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993885"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993885"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993885"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22202A">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BE0ACB">
              <w:rPr>
                <w:rFonts w:ascii="Arial" w:hAnsi="Arial"/>
                <w:b/>
                <w:bCs/>
                <w:sz w:val="36"/>
                <w:lang w:val="en-US"/>
              </w:rPr>
              <w:t>5</w:t>
            </w:r>
            <w:r w:rsidR="0022202A">
              <w:rPr>
                <w:rFonts w:ascii="Arial" w:hAnsi="Arial"/>
                <w:b/>
                <w:bCs/>
                <w:sz w:val="36"/>
                <w:lang w:val="en-US"/>
              </w:rPr>
              <w:t>7</w:t>
            </w:r>
            <w:r w:rsidRPr="008968B6">
              <w:rPr>
                <w:rFonts w:ascii="Arial" w:hAnsi="Arial"/>
                <w:b/>
                <w:bCs/>
                <w:sz w:val="36"/>
                <w:lang w:val="en-US"/>
              </w:rPr>
              <w:t xml:space="preserve"> – </w:t>
            </w:r>
            <w:r w:rsidR="0022202A" w:rsidRPr="0022202A">
              <w:rPr>
                <w:rFonts w:ascii="Arial" w:hAnsi="Arial"/>
                <w:b/>
                <w:bCs/>
                <w:sz w:val="36"/>
                <w:lang w:val="en-US"/>
              </w:rPr>
              <w:t>Strengthening coordination and cooperation among the three ITU Sectors on matters of mutual interest</w:t>
            </w:r>
          </w:p>
        </w:tc>
      </w:tr>
      <w:bookmarkEnd w:id="6"/>
      <w:tr w:rsidR="008968B6" w:rsidRPr="00993885"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0"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0"/>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1" w:name="iiannee"/>
      <w:bookmarkEnd w:id="11"/>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9B33F4">
      <w:pPr>
        <w:pStyle w:val="ResNo"/>
        <w:rPr>
          <w:lang w:val="en-US"/>
        </w:rPr>
      </w:pPr>
      <w:r w:rsidRPr="000E4393">
        <w:rPr>
          <w:lang w:val="en-US"/>
        </w:rPr>
        <w:lastRenderedPageBreak/>
        <w:t xml:space="preserve">resolution </w:t>
      </w:r>
      <w:r w:rsidR="00BE0ACB">
        <w:rPr>
          <w:rStyle w:val="href"/>
          <w:lang w:val="en-US"/>
        </w:rPr>
        <w:t>5</w:t>
      </w:r>
      <w:r w:rsidR="009B33F4">
        <w:rPr>
          <w:rStyle w:val="href"/>
          <w:lang w:val="en-US"/>
        </w:rPr>
        <w:t>7</w:t>
      </w:r>
      <w:r w:rsidR="00993885">
        <w:rPr>
          <w:rStyle w:val="href"/>
          <w:lang w:val="en-US"/>
        </w:rPr>
        <w:t xml:space="preserve"> </w:t>
      </w:r>
      <w:r w:rsidR="00993885" w:rsidRPr="00F81B8E">
        <w:rPr>
          <w:lang w:val="en-GB"/>
        </w:rPr>
        <w:t>(R</w:t>
      </w:r>
      <w:r w:rsidR="00993885" w:rsidRPr="00F81B8E">
        <w:rPr>
          <w:caps w:val="0"/>
          <w:lang w:val="en-GB"/>
        </w:rPr>
        <w:t>ev.</w:t>
      </w:r>
      <w:r w:rsidR="00993885" w:rsidRPr="00F81B8E">
        <w:rPr>
          <w:lang w:val="en-GB"/>
        </w:rPr>
        <w:t xml:space="preserve"> </w:t>
      </w:r>
      <w:r w:rsidR="00993885" w:rsidRPr="00F81B8E">
        <w:rPr>
          <w:caps w:val="0"/>
          <w:lang w:val="en-GB"/>
        </w:rPr>
        <w:t>Dubai, 2012)</w:t>
      </w:r>
      <w:bookmarkStart w:id="12" w:name="_GoBack"/>
      <w:bookmarkEnd w:id="12"/>
    </w:p>
    <w:p w:rsidR="009B33F4" w:rsidRPr="00F81B8E" w:rsidRDefault="009B33F4" w:rsidP="009B33F4">
      <w:pPr>
        <w:pStyle w:val="Restitle"/>
        <w:rPr>
          <w:lang w:val="en-GB"/>
        </w:rPr>
      </w:pPr>
      <w:r w:rsidRPr="00F81B8E">
        <w:rPr>
          <w:lang w:val="en-GB"/>
        </w:rPr>
        <w:t>Strengthening coordination and cooperation among the three ITU Sectors</w:t>
      </w:r>
      <w:r w:rsidRPr="00F81B8E">
        <w:rPr>
          <w:lang w:val="en-GB"/>
        </w:rPr>
        <w:br/>
        <w:t xml:space="preserve"> on matters of mutual interest</w:t>
      </w:r>
    </w:p>
    <w:p w:rsidR="009B33F4" w:rsidRPr="00F81B8E" w:rsidRDefault="009B33F4" w:rsidP="009B33F4">
      <w:pPr>
        <w:pStyle w:val="Resref"/>
        <w:rPr>
          <w:lang w:val="en-GB"/>
        </w:rPr>
      </w:pPr>
      <w:r w:rsidRPr="00F81B8E">
        <w:rPr>
          <w:lang w:val="en-GB"/>
        </w:rPr>
        <w:t>(Johannesburg, 2008; Dubai, 2012)</w:t>
      </w:r>
    </w:p>
    <w:p w:rsidR="009B33F4" w:rsidRPr="00F81B8E" w:rsidRDefault="009B33F4" w:rsidP="009B33F4">
      <w:pPr>
        <w:pStyle w:val="Normalaftertitle0"/>
      </w:pPr>
      <w:r w:rsidRPr="00F81B8E">
        <w:t>The World Telecommunication Standardization Assembly (Dubai, 2012),</w:t>
      </w:r>
    </w:p>
    <w:p w:rsidR="009B33F4" w:rsidRPr="00F81B8E" w:rsidRDefault="009B33F4" w:rsidP="009B33F4">
      <w:pPr>
        <w:pStyle w:val="Call"/>
        <w:rPr>
          <w:lang w:val="en-GB"/>
        </w:rPr>
      </w:pPr>
      <w:r w:rsidRPr="00F81B8E">
        <w:rPr>
          <w:lang w:val="en-GB"/>
        </w:rPr>
        <w:t>considering</w:t>
      </w:r>
    </w:p>
    <w:p w:rsidR="009B33F4" w:rsidRPr="00F81B8E" w:rsidRDefault="009B33F4" w:rsidP="009B33F4">
      <w:pPr>
        <w:rPr>
          <w:lang w:val="en-GB"/>
        </w:rPr>
      </w:pPr>
      <w:r w:rsidRPr="00F81B8E">
        <w:rPr>
          <w:i/>
          <w:iCs/>
          <w:lang w:val="en-GB"/>
        </w:rPr>
        <w:t>a)</w:t>
      </w:r>
      <w:r w:rsidRPr="00F81B8E">
        <w:rPr>
          <w:lang w:val="en-GB"/>
        </w:rPr>
        <w:tab/>
        <w:t>that a basic principle for cooperation and collaboration among the ITU Radiocommunication (ITU</w:t>
      </w:r>
      <w:r w:rsidRPr="00F81B8E">
        <w:rPr>
          <w:lang w:val="en-GB"/>
        </w:rPr>
        <w:noBreakHyphen/>
        <w:t>R), Telecommunication Standardization (ITU</w:t>
      </w:r>
      <w:r w:rsidRPr="00F81B8E">
        <w:rPr>
          <w:lang w:val="en-GB"/>
        </w:rPr>
        <w:noBreakHyphen/>
        <w:t>T) and Telecommunication Development (ITU</w:t>
      </w:r>
      <w:r w:rsidRPr="00F81B8E">
        <w:rPr>
          <w:lang w:val="en-GB"/>
        </w:rPr>
        <w:noBreakHyphen/>
        <w:t>D) Sectors is the need for avoiding duplication of activities of the Sectors, and ensuring that work is undertaken efficiently and effectively;</w:t>
      </w:r>
    </w:p>
    <w:p w:rsidR="009B33F4" w:rsidRPr="00F81B8E" w:rsidRDefault="009B33F4" w:rsidP="009B33F4">
      <w:pPr>
        <w:rPr>
          <w:lang w:val="en-GB"/>
        </w:rPr>
      </w:pPr>
      <w:r w:rsidRPr="00F81B8E">
        <w:rPr>
          <w:i/>
          <w:iCs/>
          <w:lang w:val="en-GB"/>
        </w:rPr>
        <w:t>b)</w:t>
      </w:r>
      <w:r w:rsidRPr="00F81B8E">
        <w:rPr>
          <w:lang w:val="en-GB"/>
        </w:rPr>
        <w:tab/>
        <w:t>that there is a growing number of issues of mutual interest and concern to all Sectors including the following: electromagnetic compatibility (EMC); International Mobile Telecommunications (IMT); middleware; audiovisual delivery; accessibility for persons with disabilities; emergency communications; ICTs and climate change; and cybersecurity,</w:t>
      </w:r>
    </w:p>
    <w:p w:rsidR="009B33F4" w:rsidRPr="00F81B8E" w:rsidRDefault="009B33F4" w:rsidP="009B33F4">
      <w:pPr>
        <w:pStyle w:val="Call"/>
        <w:rPr>
          <w:lang w:val="en-GB"/>
        </w:rPr>
      </w:pPr>
      <w:r w:rsidRPr="00F81B8E">
        <w:rPr>
          <w:lang w:val="en-GB"/>
        </w:rPr>
        <w:t>recognizing</w:t>
      </w:r>
    </w:p>
    <w:p w:rsidR="009B33F4" w:rsidRPr="00F81B8E" w:rsidRDefault="009B33F4" w:rsidP="009B33F4">
      <w:pPr>
        <w:rPr>
          <w:lang w:val="en-GB"/>
        </w:rPr>
      </w:pPr>
      <w:r w:rsidRPr="00F81B8E">
        <w:rPr>
          <w:i/>
          <w:iCs/>
          <w:lang w:val="en-GB"/>
        </w:rPr>
        <w:t>a)</w:t>
      </w:r>
      <w:r w:rsidRPr="00F81B8E">
        <w:rPr>
          <w:lang w:val="en-GB"/>
        </w:rPr>
        <w:tab/>
        <w:t>that there is a need to improve the participation of developing countries</w:t>
      </w:r>
      <w:r w:rsidRPr="00F81B8E">
        <w:rPr>
          <w:rStyle w:val="FootnoteReference"/>
          <w:lang w:val="en-GB"/>
        </w:rPr>
        <w:footnoteReference w:customMarkFollows="1" w:id="1"/>
        <w:t>1</w:t>
      </w:r>
      <w:r w:rsidRPr="00F81B8E">
        <w:rPr>
          <w:lang w:val="en-GB"/>
        </w:rPr>
        <w:t xml:space="preserve"> in the work of ITU, as outlined in Resolution 5 (Rev. Hyderabad, 2010) of the World Telecommunication Development Conference;</w:t>
      </w:r>
    </w:p>
    <w:p w:rsidR="009B33F4" w:rsidRPr="00F81B8E" w:rsidRDefault="009B33F4" w:rsidP="009B33F4">
      <w:pPr>
        <w:rPr>
          <w:lang w:val="en-GB"/>
        </w:rPr>
      </w:pPr>
      <w:r w:rsidRPr="00F81B8E">
        <w:rPr>
          <w:i/>
          <w:iCs/>
          <w:lang w:val="en-GB"/>
        </w:rPr>
        <w:t>b)</w:t>
      </w:r>
      <w:r w:rsidRPr="00F81B8E">
        <w:rPr>
          <w:lang w:val="en-GB"/>
        </w:rPr>
        <w:tab/>
        <w:t>that one such mechanism – the Inter-sectoral Emergency Telecommunication Team – has been established to ensure close collaboration within the Union as a whole, as well as with interested entities and organizations outside ITU, on this key priority issue for the Union;</w:t>
      </w:r>
    </w:p>
    <w:p w:rsidR="009B33F4" w:rsidRPr="00F81B8E" w:rsidRDefault="009B33F4" w:rsidP="009B33F4">
      <w:pPr>
        <w:rPr>
          <w:lang w:val="en-GB"/>
        </w:rPr>
      </w:pPr>
      <w:r w:rsidRPr="00F81B8E">
        <w:rPr>
          <w:i/>
          <w:iCs/>
          <w:lang w:val="en-GB"/>
        </w:rPr>
        <w:t>c)</w:t>
      </w:r>
      <w:r w:rsidRPr="00F81B8E">
        <w:rPr>
          <w:lang w:val="en-GB"/>
        </w:rPr>
        <w:tab/>
        <w:t xml:space="preserve">that all advisory groups are collaborating in the implementation of Resolution 123 (Rev. Guadalajara, 2010) of the Plenipotentiary Conference, on bridging the standardization gap between developing and developed countries, </w:t>
      </w:r>
    </w:p>
    <w:p w:rsidR="009B33F4" w:rsidRPr="00F81B8E" w:rsidRDefault="009B33F4" w:rsidP="009B33F4">
      <w:pPr>
        <w:pStyle w:val="Call"/>
        <w:rPr>
          <w:lang w:val="en-GB"/>
        </w:rPr>
      </w:pPr>
      <w:r w:rsidRPr="00F81B8E">
        <w:rPr>
          <w:lang w:val="en-GB"/>
        </w:rPr>
        <w:t>taking into account</w:t>
      </w:r>
    </w:p>
    <w:p w:rsidR="009B33F4" w:rsidRPr="00F81B8E" w:rsidRDefault="009B33F4" w:rsidP="009B33F4">
      <w:pPr>
        <w:rPr>
          <w:lang w:val="en-GB"/>
        </w:rPr>
      </w:pPr>
      <w:r w:rsidRPr="00F81B8E">
        <w:rPr>
          <w:i/>
          <w:iCs/>
          <w:lang w:val="en-GB"/>
        </w:rPr>
        <w:t>a)</w:t>
      </w:r>
      <w:r w:rsidRPr="00F81B8E">
        <w:rPr>
          <w:lang w:val="en-GB"/>
        </w:rPr>
        <w:tab/>
        <w:t>that mechanisms for cooperation, beyond those already established, need to be identified to address a growing number of subjects of mutual interest and concern in ITU</w:t>
      </w:r>
      <w:r w:rsidRPr="00F81B8E">
        <w:rPr>
          <w:lang w:val="en-GB"/>
        </w:rPr>
        <w:noBreakHyphen/>
        <w:t>R, ITU</w:t>
      </w:r>
      <w:r w:rsidRPr="00F81B8E">
        <w:rPr>
          <w:lang w:val="en-GB"/>
        </w:rPr>
        <w:noBreakHyphen/>
        <w:t>T and ITU</w:t>
      </w:r>
      <w:r w:rsidRPr="00F81B8E">
        <w:rPr>
          <w:lang w:val="en-GB"/>
        </w:rPr>
        <w:noBreakHyphen/>
        <w:t>D;</w:t>
      </w:r>
    </w:p>
    <w:p w:rsidR="009B33F4" w:rsidRPr="00F81B8E" w:rsidRDefault="009B33F4" w:rsidP="009B33F4">
      <w:pPr>
        <w:rPr>
          <w:lang w:val="en-GB"/>
        </w:rPr>
      </w:pPr>
      <w:r w:rsidRPr="00F81B8E">
        <w:rPr>
          <w:i/>
          <w:iCs/>
          <w:lang w:val="en-GB"/>
        </w:rPr>
        <w:t>b)</w:t>
      </w:r>
      <w:r w:rsidRPr="00F81B8E">
        <w:rPr>
          <w:lang w:val="en-GB"/>
        </w:rPr>
        <w:tab/>
        <w:t>the ongoing consultation among representatives of the three advisory bodies in the discussion of modalities for enhancing cooperation among the advisory groups,</w:t>
      </w:r>
    </w:p>
    <w:p w:rsidR="009B33F4" w:rsidRDefault="009B33F4" w:rsidP="009B33F4">
      <w:pPr>
        <w:tabs>
          <w:tab w:val="clear" w:pos="794"/>
          <w:tab w:val="clear" w:pos="1191"/>
          <w:tab w:val="clear" w:pos="1588"/>
          <w:tab w:val="clear" w:pos="1985"/>
        </w:tabs>
        <w:overflowPunct/>
        <w:autoSpaceDE/>
        <w:autoSpaceDN/>
        <w:adjustRightInd/>
        <w:spacing w:before="0" w:line="240" w:lineRule="auto"/>
        <w:jc w:val="left"/>
        <w:textAlignment w:val="auto"/>
        <w:rPr>
          <w:i/>
          <w:lang w:val="en-GB"/>
        </w:rPr>
      </w:pPr>
      <w:r>
        <w:rPr>
          <w:lang w:val="en-GB"/>
        </w:rPr>
        <w:br w:type="page"/>
      </w:r>
    </w:p>
    <w:p w:rsidR="009B33F4" w:rsidRPr="00F81B8E" w:rsidRDefault="009B33F4" w:rsidP="009B33F4">
      <w:pPr>
        <w:pStyle w:val="Call"/>
        <w:rPr>
          <w:lang w:val="en-GB"/>
        </w:rPr>
      </w:pPr>
      <w:r w:rsidRPr="00F81B8E">
        <w:rPr>
          <w:lang w:val="en-GB"/>
        </w:rPr>
        <w:lastRenderedPageBreak/>
        <w:t>resolves</w:t>
      </w:r>
    </w:p>
    <w:p w:rsidR="009B33F4" w:rsidRPr="00F81B8E" w:rsidRDefault="009B33F4" w:rsidP="009B33F4">
      <w:pPr>
        <w:rPr>
          <w:lang w:val="en-GB"/>
        </w:rPr>
      </w:pPr>
      <w:r w:rsidRPr="00F81B8E">
        <w:rPr>
          <w:lang w:val="en-GB"/>
        </w:rPr>
        <w:t>1</w:t>
      </w:r>
      <w:r w:rsidRPr="00F81B8E">
        <w:rPr>
          <w:lang w:val="en-GB"/>
        </w:rPr>
        <w:tab/>
        <w:t>to invite the Radiocommunication (RAG), Telecommunication Standardization (TSAG) and Telecommunication Development (TDAG) advisory groups to assist in the identification of subjects common to the three Sectors and mechanisms to enhance cooperation and collaboration in all Sectors on matters of mutual interest;</w:t>
      </w:r>
    </w:p>
    <w:p w:rsidR="009B33F4" w:rsidRDefault="009B33F4" w:rsidP="009B33F4">
      <w:pPr>
        <w:rPr>
          <w:lang w:val="en-GB"/>
        </w:rPr>
      </w:pPr>
      <w:r w:rsidRPr="00F81B8E">
        <w:rPr>
          <w:lang w:val="en-GB"/>
        </w:rPr>
        <w:t>2</w:t>
      </w:r>
      <w:r w:rsidRPr="00F81B8E">
        <w:rPr>
          <w:lang w:val="en-GB"/>
        </w:rPr>
        <w:tab/>
        <w:t>to invite the Directors of the Radiocommunication (BR), Telecommunication Standardization (TSB) and Telecommunication Development (BDT) Bureaux to collaborate and report to the respective Sector advisory bodies on options for improving cooperation at the secretariat level to ensure that close coordination is maximized.</w:t>
      </w:r>
    </w:p>
    <w:p w:rsidR="009B33F4" w:rsidRDefault="009B33F4" w:rsidP="009B33F4">
      <w:pPr>
        <w:rPr>
          <w:lang w:val="en-GB"/>
        </w:rPr>
      </w:pPr>
    </w:p>
    <w:p w:rsidR="009B33F4" w:rsidRDefault="009B33F4" w:rsidP="009B33F4">
      <w:pPr>
        <w:rPr>
          <w:lang w:val="en-GB"/>
        </w:rPr>
      </w:pPr>
    </w:p>
    <w:p w:rsidR="009B33F4" w:rsidRDefault="009B33F4" w:rsidP="009B33F4">
      <w:pPr>
        <w:rPr>
          <w:lang w:val="en-GB"/>
        </w:rPr>
      </w:pPr>
    </w:p>
    <w:p w:rsidR="009B33F4" w:rsidRDefault="009B33F4" w:rsidP="009B33F4">
      <w:pPr>
        <w:rPr>
          <w:lang w:val="en-GB"/>
        </w:rPr>
      </w:pPr>
    </w:p>
    <w:p w:rsidR="009B33F4" w:rsidRDefault="009B33F4" w:rsidP="009B33F4">
      <w:pPr>
        <w:rPr>
          <w:lang w:val="en-GB"/>
        </w:rPr>
      </w:pPr>
    </w:p>
    <w:p w:rsidR="009B33F4" w:rsidRDefault="009B33F4" w:rsidP="009B33F4">
      <w:pPr>
        <w:rPr>
          <w:lang w:val="en-GB"/>
        </w:rPr>
      </w:pPr>
    </w:p>
    <w:p w:rsidR="009B33F4" w:rsidRDefault="009B33F4" w:rsidP="009B33F4">
      <w:pPr>
        <w:rPr>
          <w:lang w:val="en-GB"/>
        </w:rPr>
      </w:pPr>
    </w:p>
    <w:p w:rsidR="009B33F4" w:rsidRDefault="009B33F4" w:rsidP="009B33F4">
      <w:pPr>
        <w:rPr>
          <w:lang w:val="en-GB"/>
        </w:rPr>
      </w:pPr>
    </w:p>
    <w:p w:rsidR="009B33F4" w:rsidRDefault="009B33F4" w:rsidP="009B33F4">
      <w:pPr>
        <w:rPr>
          <w:lang w:val="en-GB"/>
        </w:rPr>
      </w:pPr>
    </w:p>
    <w:p w:rsidR="009B33F4" w:rsidRDefault="009B33F4" w:rsidP="009B33F4">
      <w:pPr>
        <w:rPr>
          <w:lang w:val="en-GB"/>
        </w:rPr>
      </w:pPr>
    </w:p>
    <w:p w:rsidR="009B33F4" w:rsidRDefault="009B33F4" w:rsidP="009B33F4">
      <w:pPr>
        <w:rPr>
          <w:lang w:val="en-GB"/>
        </w:rPr>
      </w:pPr>
    </w:p>
    <w:p w:rsidR="009B33F4" w:rsidRDefault="009B33F4" w:rsidP="009B33F4">
      <w:pPr>
        <w:rPr>
          <w:lang w:val="en-GB"/>
        </w:rPr>
      </w:pPr>
    </w:p>
    <w:p w:rsidR="009B33F4" w:rsidRDefault="009B33F4" w:rsidP="009B33F4">
      <w:pPr>
        <w:rPr>
          <w:lang w:val="en-GB"/>
        </w:rPr>
      </w:pPr>
    </w:p>
    <w:p w:rsidR="009B33F4" w:rsidRDefault="009B33F4" w:rsidP="009B33F4">
      <w:pPr>
        <w:rPr>
          <w:lang w:val="en-GB"/>
        </w:rPr>
      </w:pPr>
    </w:p>
    <w:p w:rsidR="009B33F4" w:rsidRDefault="009B33F4" w:rsidP="009B33F4">
      <w:pPr>
        <w:rPr>
          <w:lang w:val="en-GB"/>
        </w:rPr>
      </w:pPr>
    </w:p>
    <w:p w:rsidR="009B33F4" w:rsidRDefault="009B33F4" w:rsidP="009B33F4">
      <w:pPr>
        <w:rPr>
          <w:lang w:val="en-GB"/>
        </w:rPr>
      </w:pPr>
    </w:p>
    <w:p w:rsidR="009B33F4" w:rsidRDefault="009B33F4" w:rsidP="009B33F4">
      <w:pPr>
        <w:rPr>
          <w:lang w:val="en-GB"/>
        </w:rPr>
      </w:pPr>
    </w:p>
    <w:p w:rsidR="009B33F4" w:rsidRDefault="009B33F4" w:rsidP="009B33F4">
      <w:pPr>
        <w:rPr>
          <w:lang w:val="en-GB"/>
        </w:rPr>
      </w:pPr>
    </w:p>
    <w:p w:rsidR="00D32C23" w:rsidRPr="006D724B" w:rsidRDefault="00D32C23" w:rsidP="009B33F4">
      <w:pPr>
        <w:pStyle w:val="Restitle"/>
        <w:rPr>
          <w:lang w:val="en-GB"/>
        </w:rPr>
      </w:pPr>
    </w:p>
    <w:sectPr w:rsidR="00D32C23" w:rsidRPr="006D724B"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993885">
      <w:rPr>
        <w:b w:val="0"/>
        <w:bCs/>
        <w:noProof/>
        <w:lang w:val="en-US"/>
      </w:rPr>
      <w:t>2</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993885">
      <w:rPr>
        <w:noProof/>
      </w:rPr>
      <w:t>57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993885">
      <w:rPr>
        <w:noProof/>
      </w:rPr>
      <w:t>57</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993885">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 w:id="1">
    <w:p w:rsidR="009B33F4" w:rsidRPr="005664B1" w:rsidRDefault="009B33F4" w:rsidP="009B33F4">
      <w:pPr>
        <w:pStyle w:val="FootnoteText"/>
        <w:rPr>
          <w:lang w:val="en-US"/>
        </w:rPr>
      </w:pPr>
      <w:r w:rsidRPr="003B5033">
        <w:rPr>
          <w:rStyle w:val="FootnoteReference"/>
          <w:lang w:val="en-US"/>
        </w:rPr>
        <w:t>1</w:t>
      </w:r>
      <w:r w:rsidRPr="008122EA">
        <w:rPr>
          <w:lang w:val="en-US"/>
        </w:rPr>
        <w:t xml:space="preserve"> </w:t>
      </w:r>
      <w:r w:rsidRPr="008122EA">
        <w:rPr>
          <w:lang w:val="en-US"/>
        </w:rPr>
        <w:tab/>
      </w:r>
      <w:r w:rsidRPr="003B5033">
        <w:rPr>
          <w:lang w:val="en-US"/>
        </w:rP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362C1"/>
    <w:rsid w:val="00066EDE"/>
    <w:rsid w:val="000B071B"/>
    <w:rsid w:val="000B47CD"/>
    <w:rsid w:val="000B5A36"/>
    <w:rsid w:val="000C22AE"/>
    <w:rsid w:val="000D378F"/>
    <w:rsid w:val="000D3CE4"/>
    <w:rsid w:val="000D5219"/>
    <w:rsid w:val="000D6DAE"/>
    <w:rsid w:val="000E4393"/>
    <w:rsid w:val="000E77C5"/>
    <w:rsid w:val="00113415"/>
    <w:rsid w:val="001309FB"/>
    <w:rsid w:val="0016708A"/>
    <w:rsid w:val="001A0696"/>
    <w:rsid w:val="001A31C9"/>
    <w:rsid w:val="001B4A76"/>
    <w:rsid w:val="001C5240"/>
    <w:rsid w:val="001C604C"/>
    <w:rsid w:val="002204D5"/>
    <w:rsid w:val="002210D5"/>
    <w:rsid w:val="0022202A"/>
    <w:rsid w:val="00227040"/>
    <w:rsid w:val="00246C17"/>
    <w:rsid w:val="0026429C"/>
    <w:rsid w:val="002742C3"/>
    <w:rsid w:val="002C182C"/>
    <w:rsid w:val="002D5607"/>
    <w:rsid w:val="00331B2F"/>
    <w:rsid w:val="00331B48"/>
    <w:rsid w:val="003374BB"/>
    <w:rsid w:val="0038237B"/>
    <w:rsid w:val="003C3FD9"/>
    <w:rsid w:val="003C4586"/>
    <w:rsid w:val="003D116F"/>
    <w:rsid w:val="003D7A8C"/>
    <w:rsid w:val="003F293E"/>
    <w:rsid w:val="003F3EE0"/>
    <w:rsid w:val="004568D2"/>
    <w:rsid w:val="004612A7"/>
    <w:rsid w:val="00462F6A"/>
    <w:rsid w:val="00467305"/>
    <w:rsid w:val="00471930"/>
    <w:rsid w:val="0048772A"/>
    <w:rsid w:val="004947A6"/>
    <w:rsid w:val="004A1E15"/>
    <w:rsid w:val="004F2E56"/>
    <w:rsid w:val="00501F47"/>
    <w:rsid w:val="00504D1F"/>
    <w:rsid w:val="00524FB2"/>
    <w:rsid w:val="005569CA"/>
    <w:rsid w:val="00562EF2"/>
    <w:rsid w:val="005722AD"/>
    <w:rsid w:val="00574CFF"/>
    <w:rsid w:val="005C5595"/>
    <w:rsid w:val="005D1D45"/>
    <w:rsid w:val="005D45C9"/>
    <w:rsid w:val="00601999"/>
    <w:rsid w:val="00605DF4"/>
    <w:rsid w:val="00611CD0"/>
    <w:rsid w:val="00631549"/>
    <w:rsid w:val="006425B4"/>
    <w:rsid w:val="00653C1B"/>
    <w:rsid w:val="00664462"/>
    <w:rsid w:val="00665F6E"/>
    <w:rsid w:val="006678D7"/>
    <w:rsid w:val="00693D4F"/>
    <w:rsid w:val="00697D23"/>
    <w:rsid w:val="006B0459"/>
    <w:rsid w:val="006B21A6"/>
    <w:rsid w:val="006B5987"/>
    <w:rsid w:val="006D724B"/>
    <w:rsid w:val="006E13C5"/>
    <w:rsid w:val="00707551"/>
    <w:rsid w:val="007116DC"/>
    <w:rsid w:val="0071403C"/>
    <w:rsid w:val="00720F3C"/>
    <w:rsid w:val="007352F1"/>
    <w:rsid w:val="0074102F"/>
    <w:rsid w:val="007550BF"/>
    <w:rsid w:val="00780423"/>
    <w:rsid w:val="00783EB8"/>
    <w:rsid w:val="007958DD"/>
    <w:rsid w:val="007B42DA"/>
    <w:rsid w:val="007E0240"/>
    <w:rsid w:val="008075CD"/>
    <w:rsid w:val="00825222"/>
    <w:rsid w:val="00851E30"/>
    <w:rsid w:val="008968B6"/>
    <w:rsid w:val="008B4CF6"/>
    <w:rsid w:val="008C7FC3"/>
    <w:rsid w:val="008D2DB4"/>
    <w:rsid w:val="008D6D8D"/>
    <w:rsid w:val="009055E3"/>
    <w:rsid w:val="00905B41"/>
    <w:rsid w:val="00914267"/>
    <w:rsid w:val="00916468"/>
    <w:rsid w:val="00916DDD"/>
    <w:rsid w:val="0092650E"/>
    <w:rsid w:val="00931EE1"/>
    <w:rsid w:val="009330E7"/>
    <w:rsid w:val="0093423B"/>
    <w:rsid w:val="00934946"/>
    <w:rsid w:val="0095090C"/>
    <w:rsid w:val="00974C0C"/>
    <w:rsid w:val="009755D7"/>
    <w:rsid w:val="00982620"/>
    <w:rsid w:val="00985CBA"/>
    <w:rsid w:val="00993885"/>
    <w:rsid w:val="009B33F4"/>
    <w:rsid w:val="009B4C66"/>
    <w:rsid w:val="009C2357"/>
    <w:rsid w:val="009D10A5"/>
    <w:rsid w:val="009D26AE"/>
    <w:rsid w:val="009F7009"/>
    <w:rsid w:val="00A01A91"/>
    <w:rsid w:val="00A24E9A"/>
    <w:rsid w:val="00A26B1A"/>
    <w:rsid w:val="00A83D3D"/>
    <w:rsid w:val="00A976AC"/>
    <w:rsid w:val="00AA2D89"/>
    <w:rsid w:val="00AE4C26"/>
    <w:rsid w:val="00B23929"/>
    <w:rsid w:val="00B3059C"/>
    <w:rsid w:val="00B33CAA"/>
    <w:rsid w:val="00B50CB4"/>
    <w:rsid w:val="00B50D4E"/>
    <w:rsid w:val="00B50F17"/>
    <w:rsid w:val="00B56BC0"/>
    <w:rsid w:val="00B67290"/>
    <w:rsid w:val="00B73379"/>
    <w:rsid w:val="00B73B62"/>
    <w:rsid w:val="00B75029"/>
    <w:rsid w:val="00B92804"/>
    <w:rsid w:val="00BB34EA"/>
    <w:rsid w:val="00BE0ACB"/>
    <w:rsid w:val="00BE58E6"/>
    <w:rsid w:val="00BF610E"/>
    <w:rsid w:val="00C12E70"/>
    <w:rsid w:val="00C32F69"/>
    <w:rsid w:val="00C42785"/>
    <w:rsid w:val="00C64078"/>
    <w:rsid w:val="00C72AF4"/>
    <w:rsid w:val="00CD10C2"/>
    <w:rsid w:val="00CD3865"/>
    <w:rsid w:val="00CE29CC"/>
    <w:rsid w:val="00CE6C93"/>
    <w:rsid w:val="00CE767E"/>
    <w:rsid w:val="00CF024D"/>
    <w:rsid w:val="00D32C23"/>
    <w:rsid w:val="00D422A1"/>
    <w:rsid w:val="00D4292A"/>
    <w:rsid w:val="00D457B6"/>
    <w:rsid w:val="00D66950"/>
    <w:rsid w:val="00D8497D"/>
    <w:rsid w:val="00D94D9E"/>
    <w:rsid w:val="00DA7D60"/>
    <w:rsid w:val="00DB2AF8"/>
    <w:rsid w:val="00DB5592"/>
    <w:rsid w:val="00DE48B4"/>
    <w:rsid w:val="00DF31C3"/>
    <w:rsid w:val="00E03ABC"/>
    <w:rsid w:val="00E154E2"/>
    <w:rsid w:val="00E300EC"/>
    <w:rsid w:val="00E40876"/>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50</TotalTime>
  <Pages>4</Pages>
  <Words>543</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4025</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50</cp:revision>
  <cp:lastPrinted>2008-12-10T09:03:00Z</cp:lastPrinted>
  <dcterms:created xsi:type="dcterms:W3CDTF">2013-04-17T14:43:00Z</dcterms:created>
  <dcterms:modified xsi:type="dcterms:W3CDTF">2013-04-23T14:12:00Z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