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bookmarkEnd w:id="1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54644C" w:rsidRDefault="009663D2" w:rsidP="0065438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654386">
              <w:rPr>
                <w:rFonts w:ascii="Arial" w:hAnsi="Arial"/>
                <w:b/>
                <w:bCs/>
                <w:sz w:val="36"/>
                <w:lang w:val="en-US"/>
              </w:rPr>
              <w:t>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654386" w:rsidRPr="00654386">
              <w:rPr>
                <w:rFonts w:ascii="Arial" w:hAnsi="Arial"/>
                <w:b/>
                <w:bCs/>
                <w:sz w:val="36"/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</w:tr>
      <w:bookmarkEnd w:id="5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0F5D51" w:rsidRPr="00BD2012" w:rsidRDefault="000F5D51" w:rsidP="000F5D51">
      <w:pPr>
        <w:pStyle w:val="ResNo"/>
      </w:pPr>
      <w:r w:rsidRPr="00BD2012">
        <w:lastRenderedPageBreak/>
        <w:t xml:space="preserve">Резолюция </w:t>
      </w:r>
      <w:r w:rsidRPr="001034C1">
        <w:rPr>
          <w:rStyle w:val="href"/>
        </w:rPr>
        <w:t>61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0F5D51" w:rsidRPr="00BD2012" w:rsidRDefault="000F5D51" w:rsidP="000F5D51">
      <w:pPr>
        <w:pStyle w:val="Restitle"/>
      </w:pPr>
      <w:bookmarkStart w:id="11" w:name="_Toc349120794"/>
      <w:r w:rsidRPr="00BD2012">
        <w:t>Противодействие неправомерн</w:t>
      </w:r>
      <w:r w:rsidRPr="003553A5">
        <w:t>ому</w:t>
      </w:r>
      <w:r w:rsidRPr="00BD2012">
        <w:t xml:space="preserve"> присвоени</w:t>
      </w:r>
      <w:r w:rsidRPr="003553A5">
        <w:t xml:space="preserve">ю </w:t>
      </w:r>
      <w:r w:rsidRPr="00BD2012">
        <w:t>и использовани</w:t>
      </w:r>
      <w:r w:rsidRPr="003553A5">
        <w:t>ю</w:t>
      </w:r>
      <w:r w:rsidRPr="00BD2012">
        <w:rPr>
          <w:rFonts w:ascii="Times New Roman" w:hAnsi="Times New Roman"/>
        </w:rPr>
        <w:t xml:space="preserve"> </w:t>
      </w:r>
      <w:r w:rsidRPr="00BD2012">
        <w:rPr>
          <w:rFonts w:ascii="Times New Roman" w:hAnsi="Times New Roman"/>
        </w:rPr>
        <w:br/>
      </w:r>
      <w:r w:rsidRPr="00BD2012">
        <w:t>ресурсов нумерации международной электросвязи</w:t>
      </w:r>
      <w:r w:rsidRPr="003553A5">
        <w:t xml:space="preserve"> и борьба </w:t>
      </w:r>
      <w:r w:rsidRPr="00BD2012">
        <w:br/>
      </w:r>
      <w:r w:rsidRPr="003553A5">
        <w:t>с неправомерным присвоением и использованием</w:t>
      </w:r>
      <w:bookmarkEnd w:id="11"/>
    </w:p>
    <w:p w:rsidR="000F5D51" w:rsidRPr="00BD2012" w:rsidRDefault="000F5D51" w:rsidP="000F5D51">
      <w:pPr>
        <w:pStyle w:val="Resref"/>
      </w:pPr>
      <w:r w:rsidRPr="00BD2012">
        <w:t>(Йоханнесбург, 2008 г.; Дубай, 2012 г.)</w:t>
      </w:r>
    </w:p>
    <w:p w:rsidR="000F5D51" w:rsidRPr="00BD2012" w:rsidRDefault="000F5D51" w:rsidP="000F5D51">
      <w:pPr>
        <w:pStyle w:val="Normalaftertitle"/>
      </w:pPr>
      <w:r w:rsidRPr="00BD2012">
        <w:t>Всемирная ассамблея по стандартизации электросвязи (Дубай, 2012 г.),</w:t>
      </w:r>
    </w:p>
    <w:p w:rsidR="000F5D51" w:rsidRPr="00BD2012" w:rsidRDefault="000F5D51" w:rsidP="000F5D51">
      <w:pPr>
        <w:pStyle w:val="Call"/>
      </w:pPr>
      <w:r w:rsidRPr="00BD2012">
        <w:t>напоминая</w:t>
      </w:r>
    </w:p>
    <w:p w:rsidR="000F5D51" w:rsidRPr="00BD2012" w:rsidRDefault="000F5D51" w:rsidP="000F5D51">
      <w:r w:rsidRPr="00BD2012">
        <w:rPr>
          <w:i/>
          <w:iCs/>
        </w:rPr>
        <w:t>a)</w:t>
      </w:r>
      <w:r w:rsidRPr="00BD2012">
        <w:tab/>
        <w:t xml:space="preserve">Резолюцию 29 </w:t>
      </w:r>
      <w:r>
        <w:t>(Пересм. Дубай, 2012 г.) настоящей Ассамблеи</w:t>
      </w:r>
      <w:r w:rsidRPr="00BD2012">
        <w:t xml:space="preserve"> </w:t>
      </w:r>
      <w:r>
        <w:rPr>
          <w:lang w:val="ru-RU"/>
        </w:rPr>
        <w:t xml:space="preserve">об </w:t>
      </w:r>
      <w:r w:rsidRPr="00BD2012">
        <w:t>альтернативных процедур</w:t>
      </w:r>
      <w:r>
        <w:rPr>
          <w:lang w:val="ru-RU"/>
        </w:rPr>
        <w:t>ах</w:t>
      </w:r>
      <w:r w:rsidRPr="00BD2012">
        <w:t xml:space="preserve"> вызов</w:t>
      </w:r>
      <w:r>
        <w:rPr>
          <w:lang w:val="ru-RU"/>
        </w:rPr>
        <w:t>ов</w:t>
      </w:r>
      <w:r w:rsidRPr="00BD2012">
        <w:t xml:space="preserve"> в 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0F5D51" w:rsidRPr="00BD2012" w:rsidRDefault="000F5D51" w:rsidP="000F5D51">
      <w:r w:rsidRPr="00BD2012">
        <w:rPr>
          <w:i/>
          <w:iCs/>
          <w:lang w:eastAsia="ko-KR"/>
        </w:rPr>
        <w:t>b</w:t>
      </w:r>
      <w:r w:rsidRPr="00BD2012">
        <w:rPr>
          <w:i/>
          <w:iCs/>
        </w:rPr>
        <w:t>)</w:t>
      </w:r>
      <w:r w:rsidRPr="00BD2012">
        <w:tab/>
        <w:t>Рекомендацию МСЭ-T E.156, устанавливающую руководящие принципы действий МСЭ</w:t>
      </w:r>
      <w:r w:rsidRPr="00BD2012">
        <w:noBreakHyphen/>
        <w:t xml:space="preserve">T в связи с уведомлениями о неправомерном использовании ресурсов нумерации МСЭ-Т E.164 и Дополнения 1 к Рекомендации МСЭ-Т E.156, предоставляющего Практическое руководство, описывающее передовой опыт по борьбе с неправомерным использованием ресурсов нумерации </w:t>
      </w:r>
      <w:r>
        <w:t>МСЭ</w:t>
      </w:r>
      <w:r>
        <w:rPr>
          <w:lang w:val="ru-RU"/>
        </w:rPr>
        <w:noBreakHyphen/>
      </w:r>
      <w:r w:rsidRPr="00BD2012">
        <w:t>Т Е.164;</w:t>
      </w:r>
    </w:p>
    <w:p w:rsidR="000F5D51" w:rsidRPr="00BD2012" w:rsidRDefault="000F5D51" w:rsidP="000F5D51">
      <w:r w:rsidRPr="00BD2012">
        <w:rPr>
          <w:i/>
          <w:iCs/>
          <w:lang w:eastAsia="ko-KR"/>
        </w:rPr>
        <w:t>c</w:t>
      </w:r>
      <w:r w:rsidRPr="00BD2012">
        <w:rPr>
          <w:i/>
          <w:iCs/>
        </w:rPr>
        <w:t>)</w:t>
      </w:r>
      <w:r w:rsidRPr="00BD2012">
        <w:tab/>
        <w:t>цели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:rsidR="000F5D51" w:rsidRPr="00BD2012" w:rsidRDefault="000F5D51" w:rsidP="000F5D51">
      <w:pPr>
        <w:pStyle w:val="Call"/>
      </w:pPr>
      <w:r w:rsidRPr="00BD2012">
        <w:t>отмечая</w:t>
      </w:r>
    </w:p>
    <w:p w:rsidR="000F5D51" w:rsidRPr="00BD2012" w:rsidRDefault="000F5D51" w:rsidP="000F5D51">
      <w:r w:rsidRPr="00BD2012">
        <w:t>значительное число случаев н</w:t>
      </w:r>
      <w:r w:rsidRPr="003553A5">
        <w:t>еправомерно</w:t>
      </w:r>
      <w:r w:rsidRPr="00BD2012">
        <w:t>го</w:t>
      </w:r>
      <w:r w:rsidRPr="003553A5">
        <w:t xml:space="preserve"> присвоени</w:t>
      </w:r>
      <w:r w:rsidRPr="00BD2012">
        <w:t>я</w:t>
      </w:r>
      <w:r w:rsidRPr="003553A5">
        <w:t xml:space="preserve"> и </w:t>
      </w:r>
      <w:r w:rsidRPr="00BD2012">
        <w:t>использования</w:t>
      </w:r>
      <w:r w:rsidRPr="003553A5">
        <w:t xml:space="preserve"> ресурс</w:t>
      </w:r>
      <w:r w:rsidRPr="00BD2012">
        <w:t>ов</w:t>
      </w:r>
      <w:r w:rsidRPr="003553A5">
        <w:t xml:space="preserve"> нумерации</w:t>
      </w:r>
      <w:r w:rsidRPr="00BD2012">
        <w:t xml:space="preserve"> </w:t>
      </w:r>
      <w:r>
        <w:t>МСЭ</w:t>
      </w:r>
      <w:r>
        <w:noBreakHyphen/>
        <w:t xml:space="preserve">Т </w:t>
      </w:r>
      <w:r w:rsidRPr="00BD2012">
        <w:t xml:space="preserve">Е.164, о которых было сообщено Директору </w:t>
      </w:r>
      <w:r>
        <w:t>Бюро стандартизации электросвязи (</w:t>
      </w:r>
      <w:r w:rsidRPr="00BD2012">
        <w:t>БСЭ</w:t>
      </w:r>
      <w:r>
        <w:t>)</w:t>
      </w:r>
      <w:r w:rsidRPr="003553A5">
        <w:t>,</w:t>
      </w:r>
    </w:p>
    <w:p w:rsidR="000F5D51" w:rsidRPr="00BD2012" w:rsidRDefault="000F5D51" w:rsidP="000F5D51">
      <w:pPr>
        <w:pStyle w:val="Call"/>
      </w:pPr>
      <w:r w:rsidRPr="00BD2012">
        <w:t>признавая</w:t>
      </w:r>
      <w:r w:rsidRPr="00BD2012">
        <w:rPr>
          <w:i w:val="0"/>
          <w:iCs/>
        </w:rPr>
        <w:t>,</w:t>
      </w:r>
    </w:p>
    <w:p w:rsidR="000F5D51" w:rsidRPr="00BD2012" w:rsidRDefault="000F5D51" w:rsidP="000F5D51">
      <w:r w:rsidRPr="00BD2012">
        <w:rPr>
          <w:i/>
          <w:iCs/>
        </w:rPr>
        <w:t>a)</w:t>
      </w:r>
      <w:r w:rsidRPr="00BD2012">
        <w:tab/>
        <w:t>что мошенническое неправомерное присвоение и использование национальных телефонных номеров и кодов стран оказывает негативные последствия;</w:t>
      </w:r>
    </w:p>
    <w:p w:rsidR="000F5D51" w:rsidRPr="00BD2012" w:rsidRDefault="000F5D51" w:rsidP="000F5D51">
      <w:r w:rsidRPr="00BD2012">
        <w:rPr>
          <w:i/>
          <w:iCs/>
        </w:rPr>
        <w:t>b)</w:t>
      </w:r>
      <w:r w:rsidRPr="00BD2012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:rsidR="000F5D51" w:rsidRPr="003553A5" w:rsidRDefault="000F5D51" w:rsidP="000F5D51">
      <w:r w:rsidRPr="003553A5">
        <w:rPr>
          <w:i/>
          <w:iCs/>
        </w:rPr>
        <w:t>c)</w:t>
      </w:r>
      <w:r w:rsidRPr="003553A5">
        <w:tab/>
      </w:r>
      <w:r w:rsidRPr="00BD2012">
        <w:t>что неправомерная деятельность, обусловливающая потерю доходов, представляет собой важный вопрос, требующий изучения</w:t>
      </w:r>
      <w:r w:rsidRPr="003553A5">
        <w:t>;</w:t>
      </w:r>
    </w:p>
    <w:p w:rsidR="000F5D51" w:rsidRPr="00BD2012" w:rsidRDefault="000F5D51" w:rsidP="000F5D51">
      <w:r w:rsidRPr="00BD2012">
        <w:rPr>
          <w:i/>
          <w:iCs/>
        </w:rPr>
        <w:t>d)</w:t>
      </w:r>
      <w:r w:rsidRPr="00BD2012">
        <w:tab/>
        <w:t>соответствующие положения Устава и Конвенции МСЭ,</w:t>
      </w:r>
    </w:p>
    <w:p w:rsidR="000F5D51" w:rsidRPr="00BD2012" w:rsidRDefault="000F5D51" w:rsidP="000F5D51">
      <w:pPr>
        <w:pStyle w:val="Call"/>
      </w:pPr>
      <w:r w:rsidRPr="00BD2012">
        <w:t xml:space="preserve">решает предложить Государствам-Членам </w:t>
      </w:r>
    </w:p>
    <w:p w:rsidR="000F5D51" w:rsidRPr="00BD2012" w:rsidRDefault="000F5D51" w:rsidP="000F5D51">
      <w:pPr>
        <w:rPr>
          <w:lang w:eastAsia="ko-KR"/>
        </w:rPr>
      </w:pPr>
      <w:r w:rsidRPr="00BD2012">
        <w:rPr>
          <w:lang w:eastAsia="ko-KR"/>
        </w:rPr>
        <w:t>1</w:t>
      </w:r>
      <w:r w:rsidRPr="00BD2012">
        <w:rPr>
          <w:lang w:eastAsia="ko-KR"/>
        </w:rPr>
        <w:tab/>
        <w:t xml:space="preserve">обеспечить, чтобы ресурсы нумерации </w:t>
      </w:r>
      <w:r>
        <w:rPr>
          <w:lang w:eastAsia="ko-KR"/>
        </w:rPr>
        <w:t xml:space="preserve">МСЭ-Т </w:t>
      </w:r>
      <w:r w:rsidRPr="00BD2012">
        <w:rPr>
          <w:lang w:eastAsia="ko-KR"/>
        </w:rPr>
        <w:t>Е.164 использовались только теми, кому они присвоены, и только в целях, для которых они присвоены, и чтобы не использовались неприсвоенные ресурсы;</w:t>
      </w:r>
    </w:p>
    <w:p w:rsidR="000F5D51" w:rsidRPr="003553A5" w:rsidRDefault="000F5D51" w:rsidP="000F5D51">
      <w:pPr>
        <w:pageBreakBefore/>
      </w:pPr>
      <w:r w:rsidRPr="003553A5">
        <w:rPr>
          <w:lang w:eastAsia="ko-KR"/>
        </w:rPr>
        <w:lastRenderedPageBreak/>
        <w:t>2</w:t>
      </w:r>
      <w:r w:rsidRPr="003553A5">
        <w:rPr>
          <w:lang w:eastAsia="ko-KR"/>
        </w:rPr>
        <w:tab/>
      </w:r>
      <w:r w:rsidRPr="00BD2012">
        <w:t>стремиться обеспечивать, чтобы эксплуатационные организации, уполномоченные Государствами-Членами, предоставляли информацию</w:t>
      </w:r>
      <w:r w:rsidRPr="003553A5">
        <w:t xml:space="preserve"> </w:t>
      </w:r>
      <w:r w:rsidRPr="00BD2012">
        <w:t>о</w:t>
      </w:r>
      <w:r w:rsidRPr="003553A5">
        <w:t xml:space="preserve"> </w:t>
      </w:r>
      <w:r w:rsidRPr="00BD2012">
        <w:t>маршрутизации должным образом уполномоченным органам в случаях</w:t>
      </w:r>
      <w:r w:rsidRPr="003553A5">
        <w:t xml:space="preserve"> </w:t>
      </w:r>
      <w:r w:rsidRPr="00BD2012">
        <w:t>мошенничества в соответствии с национальным законодательством</w:t>
      </w:r>
      <w:r w:rsidRPr="003553A5">
        <w:t>;</w:t>
      </w:r>
    </w:p>
    <w:p w:rsidR="000F5D51" w:rsidRPr="003553A5" w:rsidRDefault="000F5D51" w:rsidP="000F5D51">
      <w:r w:rsidRPr="00BD2012">
        <w:t>3</w:t>
      </w:r>
      <w:r w:rsidRPr="003553A5">
        <w:tab/>
      </w:r>
      <w:r w:rsidRPr="00BD2012">
        <w:t>поощрять</w:t>
      </w:r>
      <w:r w:rsidRPr="003553A5">
        <w:t xml:space="preserve"> </w:t>
      </w:r>
      <w:r w:rsidRPr="00BD2012">
        <w:t>администрации</w:t>
      </w:r>
      <w:r w:rsidRPr="003553A5">
        <w:t xml:space="preserve"> </w:t>
      </w:r>
      <w:r w:rsidRPr="00BD2012">
        <w:t>и</w:t>
      </w:r>
      <w:r w:rsidRPr="003553A5">
        <w:t xml:space="preserve"> </w:t>
      </w:r>
      <w:r w:rsidRPr="00BD2012">
        <w:t>национальные</w:t>
      </w:r>
      <w:r w:rsidRPr="003553A5">
        <w:t xml:space="preserve"> </w:t>
      </w:r>
      <w:r w:rsidRPr="00BD2012">
        <w:t>регуляторные</w:t>
      </w:r>
      <w:r w:rsidRPr="003553A5">
        <w:t xml:space="preserve"> </w:t>
      </w:r>
      <w:r w:rsidRPr="00BD2012">
        <w:t>органы</w:t>
      </w:r>
      <w:r w:rsidRPr="003553A5">
        <w:t xml:space="preserve"> </w:t>
      </w:r>
      <w:r w:rsidRPr="00BD2012">
        <w:t>сотрудничать</w:t>
      </w:r>
      <w:r w:rsidRPr="003553A5">
        <w:t xml:space="preserve"> </w:t>
      </w:r>
      <w:r w:rsidRPr="00BD2012">
        <w:t>и</w:t>
      </w:r>
      <w:r w:rsidRPr="003553A5">
        <w:t xml:space="preserve"> </w:t>
      </w:r>
      <w:r w:rsidRPr="00BD2012">
        <w:t>обмениваться</w:t>
      </w:r>
      <w:r w:rsidRPr="003553A5">
        <w:t xml:space="preserve"> </w:t>
      </w:r>
      <w:r w:rsidRPr="00BD2012">
        <w:t>информацией о случаях мошеннических</w:t>
      </w:r>
      <w:r w:rsidRPr="003553A5">
        <w:t xml:space="preserve"> </w:t>
      </w:r>
      <w:r w:rsidRPr="00BD2012">
        <w:t>действий</w:t>
      </w:r>
      <w:r w:rsidRPr="003553A5">
        <w:t xml:space="preserve">, </w:t>
      </w:r>
      <w:r w:rsidRPr="00BD2012">
        <w:t>связанных</w:t>
      </w:r>
      <w:r w:rsidRPr="003553A5">
        <w:t xml:space="preserve"> </w:t>
      </w:r>
      <w:r w:rsidRPr="00BD2012">
        <w:t>с</w:t>
      </w:r>
      <w:r w:rsidRPr="003553A5">
        <w:t xml:space="preserve"> </w:t>
      </w:r>
      <w:r w:rsidRPr="00BD2012">
        <w:t>неправомерным</w:t>
      </w:r>
      <w:r w:rsidRPr="003553A5">
        <w:t xml:space="preserve"> </w:t>
      </w:r>
      <w:r w:rsidRPr="00BD2012">
        <w:t>присвоением и использованием</w:t>
      </w:r>
      <w:r w:rsidRPr="003553A5">
        <w:t xml:space="preserve"> </w:t>
      </w:r>
      <w:r w:rsidRPr="00BD2012">
        <w:t>международных</w:t>
      </w:r>
      <w:r w:rsidRPr="003553A5">
        <w:t xml:space="preserve"> </w:t>
      </w:r>
      <w:r w:rsidRPr="00BD2012">
        <w:t>ресурсов</w:t>
      </w:r>
      <w:r w:rsidRPr="003553A5">
        <w:t xml:space="preserve"> </w:t>
      </w:r>
      <w:r w:rsidRPr="00BD2012">
        <w:t>нумерации,</w:t>
      </w:r>
      <w:r w:rsidRPr="003553A5">
        <w:t xml:space="preserve"> </w:t>
      </w:r>
      <w:r w:rsidRPr="00BD2012">
        <w:t>а также сотрудничать в области противодействия такой деятельности и борьбы с ней</w:t>
      </w:r>
      <w:r w:rsidRPr="003553A5">
        <w:t>;</w:t>
      </w:r>
    </w:p>
    <w:p w:rsidR="000F5D51" w:rsidRPr="00BD2012" w:rsidRDefault="000F5D51" w:rsidP="000F5D51">
      <w:r w:rsidRPr="00BD2012">
        <w:t>4</w:t>
      </w:r>
      <w:r w:rsidRPr="00BD2012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BD2012">
        <w:noBreakHyphen/>
        <w:t>й Исследовательской комиссии МСЭ-Т</w:t>
      </w:r>
      <w:r w:rsidRPr="003553A5">
        <w:t>,</w:t>
      </w:r>
      <w:r w:rsidRPr="00BD2012">
        <w:t xml:space="preserve">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и борьбы с ней, что поможет ограничить отрицательные последствия этой мошеннической деятельности и блокирования международных вызовов;</w:t>
      </w:r>
    </w:p>
    <w:p w:rsidR="000F5D51" w:rsidRPr="00BD2012" w:rsidRDefault="000F5D51" w:rsidP="000F5D51">
      <w:r w:rsidRPr="00BD2012">
        <w:t>5</w:t>
      </w:r>
      <w:r w:rsidRPr="00BD2012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страны,</w:t>
      </w:r>
    </w:p>
    <w:p w:rsidR="000F5D51" w:rsidRPr="00BD2012" w:rsidRDefault="000F5D51" w:rsidP="000F5D51">
      <w:pPr>
        <w:pStyle w:val="Call"/>
      </w:pPr>
      <w:r w:rsidRPr="00BD2012">
        <w:t>решает далее</w:t>
      </w:r>
      <w:r w:rsidRPr="00BD2012">
        <w:rPr>
          <w:i w:val="0"/>
          <w:iCs/>
        </w:rPr>
        <w:t>,</w:t>
      </w:r>
    </w:p>
    <w:p w:rsidR="000F5D51" w:rsidRPr="00BD2012" w:rsidRDefault="000F5D51" w:rsidP="000F5D51">
      <w:r w:rsidRPr="00BD2012">
        <w:t>1</w:t>
      </w:r>
      <w:r w:rsidRPr="00BD2012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:rsidR="000F5D51" w:rsidRPr="00BD2012" w:rsidRDefault="000F5D51" w:rsidP="000F5D51">
      <w:r w:rsidRPr="00BD2012">
        <w:t>2</w:t>
      </w:r>
      <w:r w:rsidRPr="00BD2012"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Приложению к настоящей Резолюции;</w:t>
      </w:r>
    </w:p>
    <w:p w:rsidR="000F5D51" w:rsidRPr="00BD2012" w:rsidRDefault="000F5D51" w:rsidP="000F5D51">
      <w:r w:rsidRPr="00BD2012">
        <w:t>3</w:t>
      </w:r>
      <w:r w:rsidRPr="00BD2012">
        <w:tab/>
        <w:t>что Государства-Члены и национальные регуляторные органы должны принять к сведению примеры деятельности, связанной с неправомерным использованием международных ресурсов нумерации, в соответствии с Рекомендацией МСЭ-Т E.164, исполь</w:t>
      </w:r>
      <w:r>
        <w:t>зуя соответствующие ресурсы МСЭ</w:t>
      </w:r>
      <w:r>
        <w:rPr>
          <w:lang w:val="ru-RU"/>
        </w:rPr>
        <w:noBreakHyphen/>
      </w:r>
      <w:r w:rsidRPr="00BD2012">
        <w:t>Т (например</w:t>
      </w:r>
      <w:r w:rsidRPr="003553A5">
        <w:t xml:space="preserve">, </w:t>
      </w:r>
      <w:r w:rsidRPr="00BD2012">
        <w:t>Оперативный бюллетень МСЭ-Т);</w:t>
      </w:r>
    </w:p>
    <w:p w:rsidR="000F5D51" w:rsidRPr="003553A5" w:rsidRDefault="000F5D51" w:rsidP="000F5D51">
      <w:r w:rsidRPr="00BD2012">
        <w:t>4</w:t>
      </w:r>
      <w:r w:rsidRPr="00BD2012">
        <w:tab/>
        <w:t>просить 2-ю Исследовательскую комиссию изучить все аспекты и формы неправомерного присвоения</w:t>
      </w:r>
      <w:r w:rsidRPr="003553A5">
        <w:t xml:space="preserve"> </w:t>
      </w:r>
      <w:r w:rsidRPr="00BD2012">
        <w:t>и использования ресурсов нумерации, в частности международных кодов стран, с целью внесения поправок в Рекомендацию МСЭ-Т E.156 и ее Дополнения, а также руководящие указания для поддержки противодействия этой деятельности и борьбы с ней;</w:t>
      </w:r>
    </w:p>
    <w:p w:rsidR="000F5D51" w:rsidRPr="00BD2012" w:rsidRDefault="000F5D51" w:rsidP="000F5D51">
      <w:r w:rsidRPr="00BD2012">
        <w:t>5</w:t>
      </w:r>
      <w:r w:rsidRPr="003553A5">
        <w:tab/>
      </w:r>
      <w:r w:rsidRPr="00BD2012">
        <w:t>просить 3-ю Исследовательскую комиссию</w:t>
      </w:r>
      <w:r>
        <w:t xml:space="preserve"> МСЭ-Т</w:t>
      </w:r>
      <w:r w:rsidRPr="00BD2012">
        <w:t>, в сотрудничестве со 2</w:t>
      </w:r>
      <w:r>
        <w:noBreakHyphen/>
      </w:r>
      <w:r w:rsidRPr="00BD2012"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3553A5">
        <w:rPr>
          <w:szCs w:val="24"/>
        </w:rPr>
        <w:t xml:space="preserve">, </w:t>
      </w:r>
      <w:r w:rsidRPr="003553A5">
        <w:t>связанн</w:t>
      </w:r>
      <w:r w:rsidRPr="00BD2012">
        <w:t>ую с неправомерным присвоением</w:t>
      </w:r>
      <w:r w:rsidRPr="00BD2012">
        <w:rPr>
          <w:szCs w:val="24"/>
        </w:rPr>
        <w:t xml:space="preserve"> и использованием международных </w:t>
      </w:r>
      <w:r w:rsidRPr="00BD2012">
        <w:t>ресурсов нумерации, указанных в Рекомендациях МСЭ-Т, и продолжать исследовать такие вопросы</w:t>
      </w:r>
      <w:r w:rsidRPr="003553A5">
        <w:t>;</w:t>
      </w:r>
    </w:p>
    <w:p w:rsidR="000F5D51" w:rsidRPr="00BD2012" w:rsidRDefault="000F5D51" w:rsidP="000F5D51">
      <w:r w:rsidRPr="00BD2012">
        <w:t>6</w:t>
      </w:r>
      <w:r w:rsidRPr="00BD2012">
        <w:tab/>
        <w:t>просить 3-ю Исследовательскую комиссию изучить экономические последствия, возникающие в результате неправомерного присвоения и использования ресурсов нумерации, включая блокирование вызовов.</w:t>
      </w:r>
    </w:p>
    <w:p w:rsidR="000F5D51" w:rsidRPr="00BD2012" w:rsidRDefault="000F5D51" w:rsidP="00BA1D31">
      <w:pPr>
        <w:pStyle w:val="AnnexNo"/>
        <w:keepNext w:val="0"/>
        <w:keepLines w:val="0"/>
        <w:pageBreakBefore/>
        <w:spacing w:before="0" w:line="240" w:lineRule="exact"/>
      </w:pPr>
      <w:bookmarkStart w:id="12" w:name="_Toc349571488"/>
      <w:bookmarkStart w:id="13" w:name="_Toc349571914"/>
      <w:r w:rsidRPr="00BD2012">
        <w:lastRenderedPageBreak/>
        <w:t>Приложение</w:t>
      </w:r>
      <w:r w:rsidRPr="00BD2012">
        <w:br/>
        <w:t>(</w:t>
      </w:r>
      <w:r w:rsidRPr="00BD2012">
        <w:rPr>
          <w:caps w:val="0"/>
        </w:rPr>
        <w:t>к Резолюции 61</w:t>
      </w:r>
      <w:r w:rsidRPr="00BD2012">
        <w:t>)</w:t>
      </w:r>
      <w:bookmarkEnd w:id="12"/>
      <w:bookmarkEnd w:id="13"/>
    </w:p>
    <w:p w:rsidR="000F5D51" w:rsidRPr="00BD2012" w:rsidRDefault="000F5D51" w:rsidP="00BA1D31">
      <w:pPr>
        <w:pStyle w:val="Annextitle"/>
        <w:keepNext w:val="0"/>
        <w:keepLines w:val="0"/>
        <w:spacing w:after="240" w:line="240" w:lineRule="exact"/>
      </w:pPr>
      <w:r w:rsidRPr="00BD2012">
        <w: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t>
      </w:r>
    </w:p>
    <w:p w:rsidR="000F5D51" w:rsidRPr="00BD2012" w:rsidRDefault="000F5D51" w:rsidP="00BA1D31">
      <w:pPr>
        <w:pStyle w:val="Normalaftertitle"/>
        <w:spacing w:after="120" w:line="240" w:lineRule="exact"/>
      </w:pPr>
      <w:r w:rsidRPr="00BD2012">
        <w: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разумного подхода во избежание блокирования кода стран. 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2976"/>
        <w:gridCol w:w="2942"/>
      </w:tblGrid>
      <w:tr w:rsidR="00BA1D31" w:rsidRPr="00BD2012" w:rsidTr="00BA1D31">
        <w:trPr>
          <w:cantSplit/>
          <w:tblHeader/>
        </w:trPr>
        <w:tc>
          <w:tcPr>
            <w:tcW w:w="1997" w:type="pct"/>
            <w:vAlign w:val="center"/>
          </w:tcPr>
          <w:p w:rsidR="00BA1D31" w:rsidRPr="00BD2012" w:rsidRDefault="00BA1D31" w:rsidP="00BA1D31">
            <w:pPr>
              <w:pStyle w:val="Tablehead"/>
              <w:keepNext w:val="0"/>
              <w:spacing w:before="0" w:after="0" w:line="220" w:lineRule="exact"/>
              <w:rPr>
                <w:lang w:val="ru-RU"/>
              </w:rPr>
            </w:pPr>
            <w:r w:rsidRPr="00BD2012">
              <w:rPr>
                <w:lang w:val="ru-RU"/>
              </w:rPr>
              <w:t>Страна X</w:t>
            </w:r>
            <w:r w:rsidRPr="00BD2012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510" w:type="pct"/>
            <w:vAlign w:val="center"/>
          </w:tcPr>
          <w:p w:rsidR="00BA1D31" w:rsidRPr="00BD2012" w:rsidRDefault="00BA1D31" w:rsidP="00BA1D31">
            <w:pPr>
              <w:pStyle w:val="Tablehead"/>
              <w:keepNext w:val="0"/>
              <w:spacing w:before="0" w:after="0" w:line="220" w:lineRule="exact"/>
              <w:rPr>
                <w:lang w:val="ru-RU"/>
              </w:rPr>
            </w:pPr>
            <w:r w:rsidRPr="00BD2012">
              <w:rPr>
                <w:lang w:val="ru-RU"/>
              </w:rPr>
              <w:t>Страна Y</w:t>
            </w:r>
            <w:r w:rsidRPr="00BD2012">
              <w:rPr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493" w:type="pct"/>
            <w:vAlign w:val="center"/>
          </w:tcPr>
          <w:p w:rsidR="00BA1D31" w:rsidRPr="00BD2012" w:rsidRDefault="00BA1D31" w:rsidP="00BA1D31">
            <w:pPr>
              <w:pStyle w:val="Tablehead"/>
              <w:keepNext w:val="0"/>
              <w:spacing w:before="0" w:after="0" w:line="220" w:lineRule="exact"/>
              <w:rPr>
                <w:lang w:val="ru-RU"/>
              </w:rPr>
            </w:pPr>
            <w:r w:rsidRPr="00BD2012">
              <w:rPr>
                <w:lang w:val="ru-RU"/>
              </w:rPr>
              <w:t>Страна Z</w:t>
            </w:r>
            <w:r w:rsidRPr="00BD2012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BA1D31" w:rsidRPr="00BD2012" w:rsidTr="00BA1D31">
        <w:trPr>
          <w:cantSplit/>
        </w:trPr>
        <w:tc>
          <w:tcPr>
            <w:tcW w:w="1997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  <w:tc>
          <w:tcPr>
            <w:tcW w:w="1510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  <w:tc>
          <w:tcPr>
            <w:tcW w:w="1493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BA1D31" w:rsidRPr="00BD2012" w:rsidTr="00BA1D31">
        <w:trPr>
          <w:cantSplit/>
        </w:trPr>
        <w:tc>
          <w:tcPr>
            <w:tcW w:w="1997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510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  <w:tc>
          <w:tcPr>
            <w:tcW w:w="1493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</w:tr>
      <w:tr w:rsidR="00BA1D31" w:rsidRPr="00BD2012" w:rsidTr="00BA1D31">
        <w:trPr>
          <w:cantSplit/>
        </w:trPr>
        <w:tc>
          <w:tcPr>
            <w:tcW w:w="1997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510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  <w:tc>
          <w:tcPr>
            <w:tcW w:w="1493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</w:tr>
      <w:tr w:rsidR="00BA1D31" w:rsidRPr="00BD2012" w:rsidTr="00BA1D31">
        <w:trPr>
          <w:cantSplit/>
        </w:trPr>
        <w:tc>
          <w:tcPr>
            <w:tcW w:w="1997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510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493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</w:p>
        </w:tc>
      </w:tr>
      <w:tr w:rsidR="00BA1D31" w:rsidRPr="00BD2012" w:rsidTr="00BA1D31">
        <w:trPr>
          <w:cantSplit/>
        </w:trPr>
        <w:tc>
          <w:tcPr>
            <w:tcW w:w="1997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510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493" w:type="pct"/>
          </w:tcPr>
          <w:p w:rsidR="00BA1D31" w:rsidRPr="00BD2012" w:rsidRDefault="00BA1D31" w:rsidP="00BA1D31">
            <w:pPr>
              <w:pStyle w:val="Tabletext"/>
              <w:spacing w:before="20" w:after="20" w:line="220" w:lineRule="exact"/>
              <w:jc w:val="left"/>
            </w:pPr>
            <w:r w:rsidRPr="00BD2012"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:rsidR="00BA1D31" w:rsidRDefault="00BA1D31" w:rsidP="00BA1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0" w:after="20" w:line="220" w:lineRule="exact"/>
        <w:jc w:val="left"/>
        <w:textAlignment w:val="auto"/>
        <w:rPr>
          <w:lang w:val="ru-RU"/>
        </w:rPr>
      </w:pPr>
    </w:p>
    <w:sectPr w:rsidR="00BA1D31" w:rsidSect="001909F1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418" w:right="1134" w:bottom="1418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Pr="00726506" w:rsidRDefault="00BA1D31" w:rsidP="00BA1D31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B7345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B7345">
      <w:rPr>
        <w:b/>
        <w:sz w:val="22"/>
        <w:szCs w:val="22"/>
      </w:rPr>
      <w:t>61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6B7345">
      <w:rPr>
        <w:b/>
        <w:bCs/>
        <w:sz w:val="22"/>
        <w:szCs w:val="22"/>
      </w:rPr>
      <w:t>61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B7345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B7345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75FB7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1D31"/>
    <w:rsid w:val="00BB2F84"/>
    <w:rsid w:val="00BB6980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9104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2013-04-23T13:29:00Z</dcterms:created>
  <dcterms:modified xsi:type="dcterms:W3CDTF">2013-04-24T12:57:00Z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