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6A408D">
        <w:trPr>
          <w:trHeight w:hRule="exact" w:val="1418"/>
        </w:trPr>
        <w:tc>
          <w:tcPr>
            <w:tcW w:w="1428" w:type="dxa"/>
            <w:gridSpan w:val="2"/>
          </w:tcPr>
          <w:p w:rsidR="009663D2" w:rsidRPr="006A408D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6A408D">
              <w:rPr>
                <w:sz w:val="20"/>
                <w:lang w:val="ru-RU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6A408D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A408D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A408D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6A408D">
        <w:trPr>
          <w:trHeight w:hRule="exact" w:val="992"/>
        </w:trPr>
        <w:tc>
          <w:tcPr>
            <w:tcW w:w="1428" w:type="dxa"/>
            <w:gridSpan w:val="2"/>
          </w:tcPr>
          <w:p w:rsidR="009663D2" w:rsidRPr="006A408D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A408D" w:rsidRDefault="009663D2">
            <w:pPr>
              <w:rPr>
                <w:lang w:val="ru-RU"/>
              </w:rPr>
            </w:pPr>
          </w:p>
        </w:tc>
      </w:tr>
      <w:tr w:rsidR="009663D2" w:rsidRPr="006A408D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A408D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6A408D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6A408D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A408D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6A408D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6A408D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6A408D">
              <w:rPr>
                <w:rFonts w:ascii="Arial" w:hAnsi="Arial" w:cs="Arial"/>
                <w:sz w:val="20"/>
                <w:lang w:val="ru-RU"/>
              </w:rPr>
              <w:br/>
            </w:r>
            <w:r w:rsidRPr="006A408D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6A408D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A408D">
        <w:trPr>
          <w:cantSplit/>
          <w:trHeight w:hRule="exact" w:val="3402"/>
        </w:trPr>
        <w:tc>
          <w:tcPr>
            <w:tcW w:w="1418" w:type="dxa"/>
          </w:tcPr>
          <w:p w:rsidR="009663D2" w:rsidRPr="006A408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6A408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6A408D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6A408D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6A408D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6A408D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6A408D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6A408D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6A408D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6A408D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6A408D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6A408D">
        <w:trPr>
          <w:cantSplit/>
          <w:trHeight w:hRule="exact" w:val="4536"/>
        </w:trPr>
        <w:tc>
          <w:tcPr>
            <w:tcW w:w="1418" w:type="dxa"/>
          </w:tcPr>
          <w:p w:rsidR="009663D2" w:rsidRPr="006A408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6A408D" w:rsidRDefault="009663D2" w:rsidP="006A408D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6A408D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6A408D" w:rsidRPr="006A408D">
              <w:rPr>
                <w:rFonts w:ascii="Arial" w:hAnsi="Arial"/>
                <w:bCs/>
                <w:sz w:val="36"/>
                <w:lang w:val="ru-RU"/>
              </w:rPr>
              <w:t>69</w:t>
            </w:r>
            <w:r w:rsidR="001520B4" w:rsidRPr="006A408D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801"/>
            <w:r w:rsidR="006A408D" w:rsidRPr="006A408D">
              <w:rPr>
                <w:rFonts w:ascii="Arial" w:hAnsi="Arial"/>
                <w:bCs/>
                <w:sz w:val="36"/>
                <w:lang w:val="ru-RU"/>
              </w:rPr>
              <w:t>Доступ к ресурсам интернета и электросвязи/информационно-коммуникационных технологий и их использование</w:t>
            </w:r>
            <w:r w:rsidR="006A408D" w:rsidRPr="006A408D">
              <w:rPr>
                <w:rFonts w:ascii="Arial" w:hAnsi="Arial"/>
                <w:bCs/>
                <w:sz w:val="36"/>
                <w:lang w:val="ru-RU"/>
              </w:rPr>
              <w:t xml:space="preserve"> </w:t>
            </w:r>
            <w:r w:rsidR="006A408D" w:rsidRPr="006A408D">
              <w:rPr>
                <w:rFonts w:ascii="Arial" w:hAnsi="Arial"/>
                <w:bCs/>
                <w:sz w:val="36"/>
                <w:lang w:val="ru-RU"/>
              </w:rPr>
              <w:t>на недискриминационной основе</w:t>
            </w:r>
            <w:bookmarkEnd w:id="5"/>
          </w:p>
          <w:p w:rsidR="009663D2" w:rsidRPr="006A408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6A408D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6A408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6A408D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6A408D">
              <w:rPr>
                <w:lang w:val="ru-RU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6A408D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6A408D" w:rsidRDefault="00B31B8D" w:rsidP="00AF663A">
      <w:pPr>
        <w:rPr>
          <w:lang w:val="ru-RU"/>
        </w:rPr>
        <w:sectPr w:rsidR="00B31B8D" w:rsidRPr="006A408D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6A408D" w:rsidRDefault="00AF663A" w:rsidP="00B31B8D">
      <w:pPr>
        <w:jc w:val="center"/>
        <w:rPr>
          <w:lang w:val="ru-RU"/>
        </w:rPr>
      </w:pPr>
      <w:r w:rsidRPr="006A408D">
        <w:rPr>
          <w:lang w:val="ru-RU"/>
        </w:rPr>
        <w:lastRenderedPageBreak/>
        <w:t>ПРЕДИСЛОВИЕ</w:t>
      </w:r>
    </w:p>
    <w:p w:rsidR="00154CC6" w:rsidRPr="006A408D" w:rsidRDefault="00154CC6" w:rsidP="00154CC6">
      <w:pPr>
        <w:rPr>
          <w:sz w:val="20"/>
          <w:lang w:val="ru-RU"/>
        </w:rPr>
      </w:pPr>
      <w:bookmarkStart w:id="10" w:name="iitextf"/>
      <w:r w:rsidRPr="006A408D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A408D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6A408D" w:rsidRDefault="00154CC6" w:rsidP="00154CC6">
      <w:pPr>
        <w:rPr>
          <w:sz w:val="20"/>
          <w:lang w:val="ru-RU"/>
        </w:rPr>
      </w:pPr>
      <w:r w:rsidRPr="006A408D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6A408D" w:rsidRDefault="00154CC6" w:rsidP="00154CC6">
      <w:pPr>
        <w:rPr>
          <w:sz w:val="20"/>
          <w:lang w:val="ru-RU"/>
        </w:rPr>
      </w:pPr>
      <w:r w:rsidRPr="006A408D">
        <w:rPr>
          <w:sz w:val="20"/>
          <w:lang w:val="ru-RU"/>
        </w:rPr>
        <w:t xml:space="preserve">Утверждение </w:t>
      </w:r>
      <w:r w:rsidRPr="006A408D">
        <w:rPr>
          <w:caps/>
          <w:sz w:val="20"/>
          <w:lang w:val="ru-RU"/>
        </w:rPr>
        <w:t>р</w:t>
      </w:r>
      <w:r w:rsidRPr="006A408D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6A408D">
        <w:rPr>
          <w:sz w:val="20"/>
          <w:lang w:val="ru-RU"/>
        </w:rPr>
        <w:t>.</w:t>
      </w:r>
    </w:p>
    <w:p w:rsidR="00154CC6" w:rsidRPr="006A408D" w:rsidRDefault="00154CC6" w:rsidP="00154CC6">
      <w:pPr>
        <w:rPr>
          <w:lang w:val="ru-RU"/>
        </w:rPr>
      </w:pPr>
      <w:r w:rsidRPr="006A408D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AF663A" w:rsidRPr="006A408D" w:rsidRDefault="00AF663A" w:rsidP="00AF663A">
      <w:pPr>
        <w:rPr>
          <w:lang w:val="ru-RU"/>
        </w:rPr>
      </w:pPr>
    </w:p>
    <w:p w:rsidR="008357E6" w:rsidRPr="006A408D" w:rsidRDefault="008357E6" w:rsidP="00AF663A">
      <w:pPr>
        <w:rPr>
          <w:lang w:val="ru-RU"/>
        </w:rPr>
      </w:pPr>
    </w:p>
    <w:p w:rsidR="008357E6" w:rsidRPr="006A408D" w:rsidRDefault="008357E6" w:rsidP="00AF663A">
      <w:pPr>
        <w:rPr>
          <w:lang w:val="ru-RU"/>
        </w:rPr>
      </w:pPr>
    </w:p>
    <w:p w:rsidR="008357E6" w:rsidRPr="006A408D" w:rsidRDefault="008357E6" w:rsidP="00AF663A">
      <w:pPr>
        <w:rPr>
          <w:lang w:val="ru-RU"/>
        </w:rPr>
      </w:pPr>
    </w:p>
    <w:p w:rsidR="00AF663A" w:rsidRPr="006A408D" w:rsidRDefault="00AF663A" w:rsidP="007D2D13">
      <w:pPr>
        <w:jc w:val="center"/>
        <w:rPr>
          <w:sz w:val="20"/>
          <w:lang w:val="ru-RU"/>
        </w:rPr>
      </w:pPr>
      <w:r w:rsidRPr="006A408D">
        <w:rPr>
          <w:sz w:val="20"/>
          <w:lang w:val="ru-RU"/>
        </w:rPr>
        <w:sym w:font="Symbol" w:char="F0E3"/>
      </w:r>
      <w:r w:rsidRPr="006A408D">
        <w:rPr>
          <w:sz w:val="20"/>
          <w:lang w:val="ru-RU"/>
        </w:rPr>
        <w:t>  ITU  </w:t>
      </w:r>
      <w:bookmarkStart w:id="11" w:name="iiannee"/>
      <w:bookmarkEnd w:id="11"/>
      <w:r w:rsidRPr="006A408D">
        <w:rPr>
          <w:sz w:val="20"/>
          <w:lang w:val="ru-RU"/>
        </w:rPr>
        <w:t>20</w:t>
      </w:r>
      <w:r w:rsidR="0054644C" w:rsidRPr="006A408D">
        <w:rPr>
          <w:sz w:val="20"/>
          <w:lang w:val="ru-RU"/>
        </w:rPr>
        <w:t>1</w:t>
      </w:r>
      <w:r w:rsidR="007D2D13" w:rsidRPr="006A408D">
        <w:rPr>
          <w:sz w:val="20"/>
          <w:lang w:val="ru-RU"/>
        </w:rPr>
        <w:t>6</w:t>
      </w:r>
    </w:p>
    <w:p w:rsidR="00AF663A" w:rsidRPr="006A408D" w:rsidRDefault="00154CC6" w:rsidP="00F90058">
      <w:pPr>
        <w:rPr>
          <w:sz w:val="20"/>
          <w:lang w:val="ru-RU"/>
        </w:rPr>
      </w:pPr>
      <w:r w:rsidRPr="006A408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6A408D" w:rsidRDefault="00A81FB2" w:rsidP="0042255F">
      <w:pPr>
        <w:rPr>
          <w:sz w:val="20"/>
          <w:lang w:val="ru-RU"/>
        </w:rPr>
      </w:pPr>
    </w:p>
    <w:p w:rsidR="00AF663A" w:rsidRPr="006A408D" w:rsidRDefault="00AF663A" w:rsidP="00AF663A">
      <w:pPr>
        <w:rPr>
          <w:lang w:val="ru-RU"/>
        </w:rPr>
        <w:sectPr w:rsidR="00AF663A" w:rsidRPr="006A408D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6A408D" w:rsidRDefault="0042255F" w:rsidP="006A408D">
      <w:pPr>
        <w:pStyle w:val="ResNo"/>
        <w:rPr>
          <w:lang w:val="ru-RU"/>
        </w:rPr>
      </w:pPr>
      <w:r w:rsidRPr="006A408D">
        <w:rPr>
          <w:lang w:val="ru-RU"/>
        </w:rPr>
        <w:lastRenderedPageBreak/>
        <w:t xml:space="preserve">РЕЗОЛЮЦИя </w:t>
      </w:r>
      <w:r w:rsidR="006A408D" w:rsidRPr="006A408D">
        <w:rPr>
          <w:rStyle w:val="href"/>
          <w:lang w:val="ru-RU"/>
        </w:rPr>
        <w:t>69</w:t>
      </w:r>
      <w:r w:rsidR="006632C9" w:rsidRPr="006A408D">
        <w:rPr>
          <w:rStyle w:val="href"/>
          <w:lang w:val="ru-RU"/>
        </w:rPr>
        <w:t xml:space="preserve"> </w:t>
      </w:r>
      <w:r w:rsidR="001520B4" w:rsidRPr="006A408D">
        <w:rPr>
          <w:rStyle w:val="href"/>
          <w:lang w:val="ru-RU"/>
        </w:rPr>
        <w:t xml:space="preserve"> </w:t>
      </w:r>
      <w:r w:rsidR="001520B4" w:rsidRPr="006A408D">
        <w:rPr>
          <w:lang w:val="ru-RU"/>
        </w:rPr>
        <w:t>(</w:t>
      </w:r>
      <w:r w:rsidR="00F061C5" w:rsidRPr="006A408D">
        <w:rPr>
          <w:caps w:val="0"/>
          <w:lang w:val="ru-RU"/>
        </w:rPr>
        <w:t>Пересм</w:t>
      </w:r>
      <w:r w:rsidR="00F061C5" w:rsidRPr="006A408D">
        <w:rPr>
          <w:lang w:val="ru-RU"/>
        </w:rPr>
        <w:t xml:space="preserve">. </w:t>
      </w:r>
      <w:proofErr w:type="spellStart"/>
      <w:r w:rsidR="00A63402" w:rsidRPr="006A408D">
        <w:rPr>
          <w:caps w:val="0"/>
          <w:lang w:val="ru-RU"/>
        </w:rPr>
        <w:t>Хаммамет</w:t>
      </w:r>
      <w:proofErr w:type="spellEnd"/>
      <w:r w:rsidR="001520B4" w:rsidRPr="006A408D">
        <w:rPr>
          <w:lang w:val="ru-RU"/>
        </w:rPr>
        <w:t xml:space="preserve">, 2016 </w:t>
      </w:r>
      <w:r w:rsidR="001520B4" w:rsidRPr="006A408D">
        <w:rPr>
          <w:caps w:val="0"/>
          <w:lang w:val="ru-RU"/>
        </w:rPr>
        <w:t>г</w:t>
      </w:r>
      <w:r w:rsidR="001520B4" w:rsidRPr="006A408D">
        <w:rPr>
          <w:lang w:val="ru-RU"/>
        </w:rPr>
        <w:t>.)</w:t>
      </w:r>
    </w:p>
    <w:p w:rsidR="006A408D" w:rsidRPr="006A408D" w:rsidRDefault="006A408D" w:rsidP="006A408D">
      <w:pPr>
        <w:pStyle w:val="Restitle"/>
        <w:rPr>
          <w:lang w:val="ru-RU"/>
        </w:rPr>
      </w:pPr>
      <w:r w:rsidRPr="006A408D">
        <w:rPr>
          <w:lang w:val="ru-RU"/>
        </w:rPr>
        <w:t>Доступ к ресурсам интернета и электросвязи/информационно-коммуникационных технологий и их использование</w:t>
      </w:r>
      <w:r w:rsidRPr="006A408D">
        <w:rPr>
          <w:lang w:val="ru-RU"/>
        </w:rPr>
        <w:br/>
        <w:t>на недискриминационной основе</w:t>
      </w:r>
    </w:p>
    <w:p w:rsidR="006A408D" w:rsidRPr="006A408D" w:rsidRDefault="006A408D" w:rsidP="006A408D">
      <w:pPr>
        <w:pStyle w:val="Resref"/>
        <w:rPr>
          <w:lang w:val="ru-RU"/>
        </w:rPr>
      </w:pPr>
      <w:r w:rsidRPr="006A408D">
        <w:rPr>
          <w:lang w:val="ru-RU"/>
        </w:rPr>
        <w:t xml:space="preserve">(Йоханнесбург, 2008 г.; Дубай, 2012 г.; </w:t>
      </w:r>
      <w:proofErr w:type="spellStart"/>
      <w:r w:rsidRPr="006A408D">
        <w:rPr>
          <w:lang w:val="ru-RU"/>
        </w:rPr>
        <w:t>Хаммамет</w:t>
      </w:r>
      <w:proofErr w:type="spellEnd"/>
      <w:r w:rsidRPr="006A408D">
        <w:rPr>
          <w:lang w:val="ru-RU"/>
        </w:rPr>
        <w:t>, 2016 г.)</w:t>
      </w:r>
    </w:p>
    <w:p w:rsidR="006A408D" w:rsidRPr="006A408D" w:rsidRDefault="006A408D" w:rsidP="006A408D">
      <w:pPr>
        <w:pStyle w:val="Normalaftertitle"/>
        <w:rPr>
          <w:lang w:val="ru-RU"/>
        </w:rPr>
      </w:pPr>
      <w:r w:rsidRPr="006A408D">
        <w:rPr>
          <w:lang w:val="ru-RU"/>
        </w:rPr>
        <w:t>Всемирная ассамблея по стандартизации электросвязи (</w:t>
      </w:r>
      <w:proofErr w:type="spellStart"/>
      <w:r w:rsidRPr="006A408D">
        <w:rPr>
          <w:lang w:val="ru-RU"/>
        </w:rPr>
        <w:t>Хаммамет</w:t>
      </w:r>
      <w:proofErr w:type="spellEnd"/>
      <w:r w:rsidRPr="006A408D">
        <w:rPr>
          <w:lang w:val="ru-RU"/>
        </w:rPr>
        <w:t>, 2016 г.),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учитывая</w:t>
      </w:r>
      <w:r w:rsidRPr="006A408D">
        <w:rPr>
          <w:i w:val="0"/>
          <w:iCs/>
          <w:lang w:val="ru-RU"/>
        </w:rPr>
        <w:t>,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что одной из целей МСЭ, изложенных в Статье 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учитывая далее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a)</w:t>
      </w:r>
      <w:r w:rsidRPr="006A408D">
        <w:rPr>
          <w:lang w:val="ru-RU"/>
        </w:rPr>
        <w:tab/>
        <w:t>итоговые документы Всемирной встречи на высшем уровне по вопросам информационного общества (ВВУИО), Женева, 2003 год и Тунис, 2005 год, в том числе Декларацию принципов ВВУИО, в особенности пп. 11, 19, 20, 21 и 49;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b)</w:t>
      </w:r>
      <w:r w:rsidRPr="006A408D">
        <w:rPr>
          <w:lang w:val="ru-RU"/>
        </w:rPr>
        <w:tab/>
        <w:t>резолюцию Совета по правам человека Организации Объединенных Наций "</w:t>
      </w:r>
      <w:r w:rsidRPr="006A408D">
        <w:rPr>
          <w:rFonts w:asciiTheme="majorBidi" w:hAnsiTheme="majorBidi" w:cstheme="majorBidi"/>
          <w:szCs w:val="22"/>
          <w:lang w:val="ru-RU" w:eastAsia="zh-CN"/>
        </w:rPr>
        <w:t xml:space="preserve">Поощрение, защита и осуществление прав человека в Интернете" </w:t>
      </w:r>
      <w:r w:rsidRPr="006A408D">
        <w:rPr>
          <w:lang w:val="ru-RU"/>
        </w:rPr>
        <w:t>(A/HRC/20/L.13);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c)</w:t>
      </w:r>
      <w:r w:rsidRPr="006A408D">
        <w:rPr>
          <w:lang w:val="ru-RU"/>
        </w:rPr>
        <w:tab/>
        <w:t>Резолюцию 20 (Пересм. Хайдарабад, 2010 г.) Всемирной конференции по развитию электросвязи;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d)</w:t>
      </w:r>
      <w:r w:rsidRPr="006A408D">
        <w:rPr>
          <w:lang w:val="ru-RU"/>
        </w:rPr>
        <w:tab/>
        <w:t>Резолюцию 102 (Пересм. Пусан, 2014 г.) Полномочной конференции;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e)</w:t>
      </w:r>
      <w:r w:rsidRPr="006A408D">
        <w:rPr>
          <w:lang w:val="ru-RU"/>
        </w:rPr>
        <w:tab/>
        <w:t>Резолюцию 64 (Пересм. Пусан, 2014 г.) Полномочной конференции;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f)</w:t>
      </w:r>
      <w:r w:rsidRPr="006A408D">
        <w:rPr>
          <w:lang w:val="ru-RU"/>
        </w:rPr>
        <w:tab/>
        <w:t>резолюцию Генеральной Ассамблеи Организации Объединенных Наций 70/125 (ГА ООН)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g)</w:t>
      </w:r>
      <w:r w:rsidRPr="006A408D">
        <w:rPr>
          <w:lang w:val="ru-RU"/>
        </w:rPr>
        <w:tab/>
        <w:t>решения мероприятия высокого уровня ВВУИО+10 (Женева, 2014 г.), которые были представлены в качестве вклада в Общий обзор выполнения решений ВВУИО, проведенный ГА ООН, в частности те решения, которые относятся к передаче ноу-хау и технологий, а также недискриминационному доступу, в рамках осуществления необходимых для этого видов деятельности,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отмечая</w:t>
      </w:r>
      <w:r w:rsidRPr="006A408D">
        <w:rPr>
          <w:i w:val="0"/>
          <w:iCs/>
          <w:lang w:val="ru-RU"/>
        </w:rPr>
        <w:t>,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br w:type="page"/>
      </w:r>
    </w:p>
    <w:p w:rsidR="006A408D" w:rsidRPr="006A408D" w:rsidRDefault="006A408D" w:rsidP="006A408D">
      <w:pPr>
        <w:pStyle w:val="Call"/>
        <w:rPr>
          <w:i w:val="0"/>
          <w:iCs/>
          <w:lang w:val="ru-RU"/>
        </w:rPr>
      </w:pPr>
      <w:r w:rsidRPr="006A408D">
        <w:rPr>
          <w:lang w:val="ru-RU"/>
        </w:rPr>
        <w:lastRenderedPageBreak/>
        <w:t>признавая</w:t>
      </w:r>
      <w:r w:rsidRPr="006A408D">
        <w:rPr>
          <w:i w:val="0"/>
          <w:iCs/>
          <w:lang w:val="ru-RU"/>
        </w:rPr>
        <w:t>,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а)</w:t>
      </w:r>
      <w:r w:rsidRPr="006A408D">
        <w:rPr>
          <w:lang w:val="ru-RU"/>
        </w:rPr>
        <w:tab/>
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b)</w:t>
      </w:r>
      <w:r w:rsidRPr="006A408D">
        <w:rPr>
          <w:lang w:val="ru-RU"/>
        </w:rPr>
        <w:tab/>
        <w:t>что Полномочная конференция (Пусан, 2014 г.) поручила Сектору стандартизации электросвязи (МСЭ-Т) комплекс направлений деятельности, целью которых является выполнение решений ВВУИО (Тунис, 2005 г.), и ряд этих направлений деятельности связан с вопросами, имеющими отношение к интернету;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c)</w:t>
      </w:r>
      <w:r w:rsidRPr="006A408D">
        <w:rPr>
          <w:lang w:val="ru-RU"/>
        </w:rPr>
        <w:tab/>
        <w:t>Резолюцию 102 (Пересм. Пусан, 2014 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d)</w:t>
      </w:r>
      <w:r w:rsidRPr="006A408D">
        <w:rPr>
          <w:lang w:val="ru-RU"/>
        </w:rPr>
        <w:tab/>
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e)</w:t>
      </w:r>
      <w:r w:rsidRPr="006A408D">
        <w:rPr>
          <w:lang w:val="ru-RU"/>
        </w:rPr>
        <w:tab/>
        <w:t>Резолюцию 64 (Пересм. Пусан, 2014 г.) о недискриминационном доступе к современным средствам, услугам и приложениям электросвязи/ИКТ, включая прикладные исследования и передачу технологий, на взаимно согласованных условиях;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f)</w:t>
      </w:r>
      <w:r w:rsidRPr="006A408D">
        <w:rPr>
          <w:lang w:val="ru-RU"/>
        </w:rPr>
        <w:tab/>
        <w:t>Резолюцию 20 (Пересм. Хайдарабад, 2010 г.) о н</w:t>
      </w:r>
      <w:r w:rsidRPr="006A408D">
        <w:rPr>
          <w:lang w:val="ru-RU" w:eastAsia="zh-CN"/>
        </w:rPr>
        <w:t>едискриминационном доступе к современным средствам, услугам и соответствующим приложениям электросвязи/ИКТ;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g)</w:t>
      </w:r>
      <w:r w:rsidRPr="006A408D">
        <w:rPr>
          <w:lang w:val="ru-RU"/>
        </w:rPr>
        <w:tab/>
        <w:t>Мнение 1 четвертого Всемирного форума по политике в области электросвязи/ИКТ, касающейся ИКТ, по вопросам государственной политики, касающимся интернета, и Лиссабонский консенсус 2009 года по тем же вопросам,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принимая во внимание</w:t>
      </w:r>
      <w:r w:rsidRPr="006A408D">
        <w:rPr>
          <w:i w:val="0"/>
          <w:iCs/>
          <w:lang w:val="ru-RU"/>
        </w:rPr>
        <w:t>,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a)</w:t>
      </w:r>
      <w:r w:rsidRPr="006A408D">
        <w:rPr>
          <w:lang w:val="ru-RU"/>
        </w:rPr>
        <w:tab/>
        <w:t>что МСЭ-Т занимается техническими и политическими вопросами, связанными с базирующимися на протоколе Интернет (IP) сетями, включая интернет и сети последующих поколений;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b)</w:t>
      </w:r>
      <w:r w:rsidRPr="006A408D">
        <w:rPr>
          <w:lang w:val="ru-RU"/>
        </w:rPr>
        <w:tab/>
        <w:t>что в ряде резолюций настоящей Ассамблеи рассматриваются вопросы, связанные с интернетом;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c)</w:t>
      </w:r>
      <w:r w:rsidRPr="006A408D">
        <w:rPr>
          <w:lang w:val="ru-RU"/>
        </w:rPr>
        <w:tab/>
        <w:t>глобальный и открытый характер интернета как движущей силы ускорения прогресса в направлении развития в различных его формах;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d)</w:t>
      </w:r>
      <w:r w:rsidRPr="006A408D">
        <w:rPr>
          <w:lang w:val="ru-RU"/>
        </w:rPr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i/>
          <w:iCs/>
          <w:lang w:val="ru-RU"/>
        </w:rPr>
        <w:t>e)</w:t>
      </w:r>
      <w:r w:rsidRPr="006A408D">
        <w:rPr>
          <w:lang w:val="ru-RU"/>
        </w:rPr>
        <w:tab/>
        <w:t>что МСЭ-T играет ключевую роль в преодолении разрыва в области стандартизации между развитыми и развивающимися странами</w:t>
      </w:r>
      <w:r w:rsidRPr="006A408D">
        <w:rPr>
          <w:rStyle w:val="FootnoteReference"/>
          <w:lang w:val="ru-RU"/>
        </w:rPr>
        <w:footnoteReference w:customMarkFollows="1" w:id="1"/>
        <w:sym w:font="Symbol" w:char="F031"/>
      </w:r>
      <w:r w:rsidRPr="006A408D">
        <w:rPr>
          <w:lang w:val="ru-RU"/>
        </w:rPr>
        <w:t>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решает предложить Государствам-Членам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1</w:t>
      </w:r>
      <w:r w:rsidRPr="006A408D">
        <w:rPr>
          <w:lang w:val="ru-RU"/>
        </w:rPr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 1 Устава и принципов ВВУИО;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br w:type="page"/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lastRenderedPageBreak/>
        <w:t>2</w:t>
      </w:r>
      <w:r w:rsidRPr="006A408D">
        <w:rPr>
          <w:lang w:val="ru-RU"/>
        </w:rPr>
        <w:tab/>
        <w:t xml:space="preserve">сообщать Директору Бюро стандартизации электросвязи (БСЭ) о любых подобных инцидентах, упомянутых в пункте 1 раздела </w:t>
      </w:r>
      <w:r w:rsidRPr="006A408D">
        <w:rPr>
          <w:i/>
          <w:iCs/>
          <w:lang w:val="ru-RU"/>
        </w:rPr>
        <w:t>решает</w:t>
      </w:r>
      <w:r w:rsidRPr="006A408D">
        <w:rPr>
          <w:lang w:val="ru-RU"/>
        </w:rPr>
        <w:t>, выше,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поручает Директору Бюро стандартизации электросвязи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1</w:t>
      </w:r>
      <w:r w:rsidRPr="006A408D">
        <w:rPr>
          <w:lang w:val="ru-RU"/>
        </w:rPr>
        <w:tab/>
        <w:t>сводить воедино и анализировать информацию об инцидентах, полученную от Государств-Членов;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2</w:t>
      </w:r>
      <w:r w:rsidRPr="006A408D">
        <w:rPr>
          <w:lang w:val="ru-RU"/>
        </w:rPr>
        <w:tab/>
        <w:t>сообщать эту информацию Государствам-Членам с помощью соответствующих механизмов;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3</w:t>
      </w:r>
      <w:r w:rsidRPr="006A408D">
        <w:rPr>
          <w:lang w:val="ru-RU"/>
        </w:rPr>
        <w:tab/>
        <w:t>представить отчет Консультативной группе по стандартизации электросвязи (КГСЭ) о ходе выполнения настоящей Резолюции, с тем чтобы КГСЭ оценила эффективность ее осуществления;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4</w:t>
      </w:r>
      <w:r w:rsidRPr="006A408D">
        <w:rPr>
          <w:lang w:val="ru-RU"/>
        </w:rPr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поручает Генеральному секретарю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ежегодно представлять отчет Совету МСЭ о ходе выполнения настоящей Резолюции,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предлагает Директорам Бюро стандартизации электросвязи, Бюро радиосвязи и Бюро развития электросвязи</w:t>
      </w:r>
    </w:p>
    <w:p w:rsidR="006A408D" w:rsidRPr="006A408D" w:rsidRDefault="006A408D" w:rsidP="006A408D">
      <w:pPr>
        <w:tabs>
          <w:tab w:val="center" w:pos="4819"/>
        </w:tabs>
        <w:rPr>
          <w:lang w:val="ru-RU"/>
        </w:rPr>
      </w:pPr>
      <w:r w:rsidRPr="006A408D">
        <w:rPr>
          <w:lang w:val="ru-RU"/>
        </w:rPr>
        <w:t>вносить вклад в подготовку отчета о ходе выполнения настоящей Резолюции,</w:t>
      </w:r>
    </w:p>
    <w:p w:rsidR="006A408D" w:rsidRPr="006A408D" w:rsidRDefault="006A408D" w:rsidP="006A408D">
      <w:pPr>
        <w:pStyle w:val="Call"/>
        <w:rPr>
          <w:lang w:val="ru-RU"/>
        </w:rPr>
      </w:pPr>
      <w:r w:rsidRPr="006A408D">
        <w:rPr>
          <w:lang w:val="ru-RU"/>
        </w:rPr>
        <w:t>предлагает членам МСЭ</w:t>
      </w:r>
    </w:p>
    <w:p w:rsidR="006A408D" w:rsidRPr="006A408D" w:rsidRDefault="006A408D" w:rsidP="006A408D">
      <w:pPr>
        <w:rPr>
          <w:lang w:val="ru-RU"/>
        </w:rPr>
      </w:pPr>
      <w:r w:rsidRPr="006A408D">
        <w:rPr>
          <w:lang w:val="ru-RU"/>
        </w:rPr>
        <w:t>представлять вклады для исследовательских комиссий МСЭ-Т, способствующие предотвращению и предупреждению такой практики.</w:t>
      </w:r>
    </w:p>
    <w:p w:rsidR="006A408D" w:rsidRPr="006A408D" w:rsidRDefault="006A408D" w:rsidP="006A408D">
      <w:pPr>
        <w:pStyle w:val="Reasons"/>
        <w:rPr>
          <w:lang w:val="ru-RU"/>
        </w:rPr>
      </w:pPr>
    </w:p>
    <w:p w:rsidR="006A408D" w:rsidRPr="006A408D" w:rsidRDefault="006A408D" w:rsidP="006A408D">
      <w:pPr>
        <w:pStyle w:val="Restitle"/>
        <w:rPr>
          <w:lang w:val="ru-RU"/>
        </w:rPr>
      </w:pPr>
    </w:p>
    <w:p w:rsidR="006A408D" w:rsidRPr="006A408D" w:rsidRDefault="006A408D" w:rsidP="006A408D">
      <w:pPr>
        <w:pStyle w:val="Resref"/>
        <w:rPr>
          <w:lang w:val="ru-RU"/>
        </w:rPr>
      </w:pPr>
    </w:p>
    <w:p w:rsidR="006A408D" w:rsidRPr="006A408D" w:rsidRDefault="006A408D" w:rsidP="006A408D">
      <w:pPr>
        <w:pStyle w:val="Resdate"/>
        <w:rPr>
          <w:lang w:val="ru-RU"/>
        </w:rPr>
      </w:pPr>
    </w:p>
    <w:p w:rsidR="006A408D" w:rsidRPr="006A408D" w:rsidRDefault="006A408D" w:rsidP="006A408D">
      <w:pPr>
        <w:pStyle w:val="Normalaftertitle0"/>
        <w:rPr>
          <w:lang w:val="ru-RU"/>
        </w:rPr>
      </w:pPr>
      <w:bookmarkStart w:id="12" w:name="_GoBack"/>
      <w:bookmarkEnd w:id="12"/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p w:rsidR="006A408D" w:rsidRPr="006A408D" w:rsidRDefault="006A408D" w:rsidP="006A408D">
      <w:pPr>
        <w:rPr>
          <w:lang w:val="ru-RU"/>
        </w:rPr>
      </w:pPr>
    </w:p>
    <w:sectPr w:rsidR="006A408D" w:rsidRPr="006A408D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89" w:rsidRDefault="003C4289">
      <w:r>
        <w:separator/>
      </w:r>
    </w:p>
  </w:endnote>
  <w:endnote w:type="continuationSeparator" w:id="0">
    <w:p w:rsidR="003C4289" w:rsidRDefault="003C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A408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A408D">
      <w:rPr>
        <w:b/>
        <w:sz w:val="22"/>
        <w:szCs w:val="22"/>
      </w:rPr>
      <w:t>69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6A408D">
      <w:rPr>
        <w:b/>
        <w:bCs/>
        <w:sz w:val="22"/>
        <w:szCs w:val="22"/>
      </w:rPr>
      <w:fldChar w:fldCharType="separate"/>
    </w:r>
    <w:r w:rsidR="006A408D">
      <w:rPr>
        <w:b/>
        <w:bCs/>
        <w:sz w:val="22"/>
        <w:szCs w:val="22"/>
      </w:rPr>
      <w:t>69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A408D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89" w:rsidRDefault="003C4289">
      <w:r>
        <w:t>____________________</w:t>
      </w:r>
    </w:p>
  </w:footnote>
  <w:footnote w:type="continuationSeparator" w:id="0">
    <w:p w:rsidR="003C4289" w:rsidRDefault="003C4289">
      <w:r>
        <w:continuationSeparator/>
      </w:r>
    </w:p>
  </w:footnote>
  <w:footnote w:id="1">
    <w:p w:rsidR="006A408D" w:rsidRPr="009C7250" w:rsidRDefault="006A408D" w:rsidP="006A408D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A408D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7601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2</cp:revision>
  <cp:lastPrinted>2009-01-30T13:07:00Z</cp:lastPrinted>
  <dcterms:created xsi:type="dcterms:W3CDTF">2016-12-14T12:23:00Z</dcterms:created>
  <dcterms:modified xsi:type="dcterms:W3CDTF">2016-12-14T12:23:00Z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