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7346C" w14:textId="77777777" w:rsidR="00D92157" w:rsidRPr="00054EAA" w:rsidRDefault="00BE5CEA">
      <w:r w:rsidRPr="00980208">
        <w:rPr>
          <w:noProof/>
          <w:lang w:eastAsia="en-GB"/>
        </w:rPr>
        <w:drawing>
          <wp:anchor distT="0" distB="0" distL="114300" distR="114300" simplePos="0" relativeHeight="251666432" behindDoc="0" locked="0" layoutInCell="1" allowOverlap="1" wp14:anchorId="5748B382" wp14:editId="1B1B5985">
            <wp:simplePos x="0" y="0"/>
            <wp:positionH relativeFrom="column">
              <wp:posOffset>-752799</wp:posOffset>
            </wp:positionH>
            <wp:positionV relativeFrom="paragraph">
              <wp:posOffset>-610235</wp:posOffset>
            </wp:positionV>
            <wp:extent cx="1569720" cy="10771505"/>
            <wp:effectExtent l="0" t="0" r="0" b="0"/>
            <wp:wrapNone/>
            <wp:docPr id="2" name="Picture 2"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d-Rec_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pic:spPr>
                </pic:pic>
              </a:graphicData>
            </a:graphic>
            <wp14:sizeRelH relativeFrom="page">
              <wp14:pctWidth>0</wp14:pctWidth>
            </wp14:sizeRelH>
            <wp14:sizeRelV relativeFrom="page">
              <wp14:pctHeight>0</wp14:pctHeight>
            </wp14:sizeRelV>
          </wp:anchor>
        </w:drawing>
      </w:r>
    </w:p>
    <w:tbl>
      <w:tblPr>
        <w:tblW w:w="9948" w:type="dxa"/>
        <w:tblLayout w:type="fixed"/>
        <w:tblLook w:val="0000" w:firstRow="0" w:lastRow="0" w:firstColumn="0" w:lastColumn="0" w:noHBand="0" w:noVBand="0"/>
      </w:tblPr>
      <w:tblGrid>
        <w:gridCol w:w="1418"/>
        <w:gridCol w:w="10"/>
        <w:gridCol w:w="2520"/>
        <w:gridCol w:w="2029"/>
        <w:gridCol w:w="3971"/>
      </w:tblGrid>
      <w:tr w:rsidR="00E02690" w:rsidRPr="00054EAA" w14:paraId="10E3B94B" w14:textId="77777777" w:rsidTr="00E02690">
        <w:trPr>
          <w:trHeight w:hRule="exact" w:val="1418"/>
        </w:trPr>
        <w:tc>
          <w:tcPr>
            <w:tcW w:w="1428" w:type="dxa"/>
            <w:gridSpan w:val="2"/>
          </w:tcPr>
          <w:p w14:paraId="2E22F0BF" w14:textId="77777777" w:rsidR="00E02690" w:rsidRPr="00054EAA" w:rsidRDefault="00E02690" w:rsidP="00E02690"/>
          <w:p w14:paraId="0D7A9D3E" w14:textId="77777777" w:rsidR="00E02690" w:rsidRPr="00054EAA" w:rsidRDefault="00E02690" w:rsidP="00E02690">
            <w:pPr>
              <w:spacing w:before="0"/>
              <w:rPr>
                <w:b/>
                <w:sz w:val="16"/>
              </w:rPr>
            </w:pPr>
          </w:p>
        </w:tc>
        <w:tc>
          <w:tcPr>
            <w:tcW w:w="8520" w:type="dxa"/>
            <w:gridSpan w:val="3"/>
          </w:tcPr>
          <w:p w14:paraId="33EEFC6F" w14:textId="77777777" w:rsidR="00E02690" w:rsidRPr="00054EAA" w:rsidRDefault="00E02690" w:rsidP="00E02690">
            <w:pPr>
              <w:spacing w:before="0"/>
              <w:rPr>
                <w:rFonts w:ascii="Arial" w:hAnsi="Arial" w:cs="Arial"/>
              </w:rPr>
            </w:pPr>
          </w:p>
          <w:p w14:paraId="72570EE7" w14:textId="77777777" w:rsidR="00E02690" w:rsidRPr="00054EAA" w:rsidRDefault="00E02690" w:rsidP="00E02690">
            <w:pPr>
              <w:spacing w:before="284"/>
              <w:rPr>
                <w:rFonts w:ascii="Arial" w:hAnsi="Arial" w:cs="Arial"/>
                <w:b/>
                <w:bCs/>
                <w:sz w:val="18"/>
              </w:rPr>
            </w:pPr>
            <w:r w:rsidRPr="00054EAA">
              <w:rPr>
                <w:rFonts w:ascii="Arial" w:hAnsi="Arial" w:cs="Arial"/>
                <w:b/>
                <w:bCs/>
                <w:color w:val="808080"/>
                <w:spacing w:val="100"/>
              </w:rPr>
              <w:t>International Telecommunication Union</w:t>
            </w:r>
          </w:p>
        </w:tc>
      </w:tr>
      <w:tr w:rsidR="00E02690" w:rsidRPr="00054EAA" w14:paraId="5C769632" w14:textId="77777777" w:rsidTr="00E02690">
        <w:trPr>
          <w:trHeight w:hRule="exact" w:val="992"/>
        </w:trPr>
        <w:tc>
          <w:tcPr>
            <w:tcW w:w="1428" w:type="dxa"/>
            <w:gridSpan w:val="2"/>
          </w:tcPr>
          <w:p w14:paraId="0B483203" w14:textId="77777777" w:rsidR="00E02690" w:rsidRPr="00054EAA" w:rsidRDefault="00E02690" w:rsidP="00E02690">
            <w:pPr>
              <w:spacing w:before="0"/>
            </w:pPr>
          </w:p>
        </w:tc>
        <w:tc>
          <w:tcPr>
            <w:tcW w:w="8520" w:type="dxa"/>
            <w:gridSpan w:val="3"/>
          </w:tcPr>
          <w:p w14:paraId="6BB366AB" w14:textId="77777777" w:rsidR="00E02690" w:rsidRPr="00054EAA" w:rsidRDefault="00E02690" w:rsidP="00E02690"/>
        </w:tc>
      </w:tr>
      <w:tr w:rsidR="00E02690" w:rsidRPr="00054EAA" w14:paraId="376203D2" w14:textId="77777777" w:rsidTr="00E02690">
        <w:tblPrEx>
          <w:tblCellMar>
            <w:left w:w="85" w:type="dxa"/>
            <w:right w:w="85" w:type="dxa"/>
          </w:tblCellMar>
        </w:tblPrEx>
        <w:trPr>
          <w:gridBefore w:val="2"/>
          <w:wBefore w:w="1428" w:type="dxa"/>
        </w:trPr>
        <w:tc>
          <w:tcPr>
            <w:tcW w:w="2520" w:type="dxa"/>
          </w:tcPr>
          <w:p w14:paraId="4C6CE18B" w14:textId="77777777" w:rsidR="00E02690" w:rsidRPr="00054EAA" w:rsidRDefault="00E02690" w:rsidP="00E02690">
            <w:pPr>
              <w:rPr>
                <w:b/>
                <w:sz w:val="18"/>
              </w:rPr>
            </w:pPr>
            <w:bookmarkStart w:id="0" w:name="dnume" w:colFirst="1" w:colLast="1"/>
            <w:r w:rsidRPr="00054EAA">
              <w:rPr>
                <w:rFonts w:ascii="Arial" w:hAnsi="Arial"/>
                <w:b/>
                <w:spacing w:val="40"/>
                <w:sz w:val="72"/>
              </w:rPr>
              <w:t>ITU-T</w:t>
            </w:r>
          </w:p>
        </w:tc>
        <w:tc>
          <w:tcPr>
            <w:tcW w:w="6000" w:type="dxa"/>
            <w:gridSpan w:val="2"/>
          </w:tcPr>
          <w:p w14:paraId="0815621F" w14:textId="77777777" w:rsidR="00E02690" w:rsidRPr="00054EAA" w:rsidRDefault="00722CE6" w:rsidP="00722CE6">
            <w:pPr>
              <w:spacing w:before="240"/>
              <w:jc w:val="right"/>
              <w:rPr>
                <w:rFonts w:ascii="Arial" w:hAnsi="Arial" w:cs="Arial"/>
                <w:b/>
                <w:sz w:val="60"/>
              </w:rPr>
            </w:pPr>
            <w:r w:rsidRPr="00054EAA">
              <w:rPr>
                <w:rFonts w:ascii="Arial" w:hAnsi="Arial"/>
                <w:b/>
                <w:sz w:val="60"/>
              </w:rPr>
              <w:t>Technical Report</w:t>
            </w:r>
          </w:p>
        </w:tc>
      </w:tr>
      <w:tr w:rsidR="004B6014" w:rsidRPr="00054EAA" w14:paraId="15555622" w14:textId="77777777" w:rsidTr="00E02690">
        <w:tblPrEx>
          <w:tblCellMar>
            <w:left w:w="85" w:type="dxa"/>
            <w:right w:w="85" w:type="dxa"/>
          </w:tblCellMar>
        </w:tblPrEx>
        <w:trPr>
          <w:gridBefore w:val="2"/>
          <w:wBefore w:w="1428" w:type="dxa"/>
          <w:trHeight w:val="974"/>
        </w:trPr>
        <w:tc>
          <w:tcPr>
            <w:tcW w:w="4549" w:type="dxa"/>
            <w:gridSpan w:val="2"/>
          </w:tcPr>
          <w:p w14:paraId="463970D8" w14:textId="77777777" w:rsidR="004B6014" w:rsidRDefault="004B6014" w:rsidP="00C23C4F">
            <w:pPr>
              <w:jc w:val="left"/>
            </w:pPr>
            <w:bookmarkStart w:id="1" w:name="ddatee" w:colFirst="1" w:colLast="1"/>
            <w:bookmarkEnd w:id="0"/>
            <w:r w:rsidRPr="007777D2">
              <w:rPr>
                <w:rFonts w:ascii="Arial" w:hAnsi="Arial"/>
              </w:rPr>
              <w:t>TELECOMMUNICATION</w:t>
            </w:r>
            <w:r w:rsidRPr="007777D2">
              <w:rPr>
                <w:rFonts w:ascii="Arial" w:hAnsi="Arial"/>
              </w:rPr>
              <w:br/>
              <w:t>STANDARDIZATION  SECTOR</w:t>
            </w:r>
            <w:r w:rsidRPr="007777D2">
              <w:rPr>
                <w:rFonts w:ascii="Arial" w:hAnsi="Arial"/>
              </w:rPr>
              <w:br/>
              <w:t>OF  ITU</w:t>
            </w:r>
          </w:p>
        </w:tc>
        <w:tc>
          <w:tcPr>
            <w:tcW w:w="3971" w:type="dxa"/>
          </w:tcPr>
          <w:p w14:paraId="24AAFB57" w14:textId="77777777" w:rsidR="004B6014" w:rsidRPr="009635CB" w:rsidRDefault="004B6014" w:rsidP="004B6014">
            <w:pPr>
              <w:spacing w:before="284"/>
            </w:pPr>
          </w:p>
          <w:p w14:paraId="4E790F86" w14:textId="77777777" w:rsidR="004B6014" w:rsidRPr="007777D2" w:rsidRDefault="004B6014" w:rsidP="004B6014">
            <w:pPr>
              <w:wordWrap w:val="0"/>
              <w:spacing w:before="284"/>
              <w:jc w:val="right"/>
              <w:rPr>
                <w:rFonts w:ascii="Arial" w:hAnsi="Arial"/>
                <w:sz w:val="28"/>
              </w:rPr>
            </w:pPr>
            <w:r>
              <w:rPr>
                <w:rFonts w:ascii="Arial" w:hAnsi="Arial"/>
                <w:sz w:val="28"/>
              </w:rPr>
              <w:t>(05/2019)</w:t>
            </w:r>
          </w:p>
        </w:tc>
      </w:tr>
      <w:tr w:rsidR="004B6014" w:rsidRPr="00054EAA" w14:paraId="1C576C61" w14:textId="77777777" w:rsidTr="00E02690">
        <w:trPr>
          <w:cantSplit/>
          <w:trHeight w:hRule="exact" w:val="3402"/>
        </w:trPr>
        <w:tc>
          <w:tcPr>
            <w:tcW w:w="1418" w:type="dxa"/>
          </w:tcPr>
          <w:p w14:paraId="05D610A6" w14:textId="77777777" w:rsidR="004B6014" w:rsidRPr="00054EAA" w:rsidRDefault="004B6014" w:rsidP="004B6014">
            <w:pPr>
              <w:tabs>
                <w:tab w:val="right" w:pos="9639"/>
              </w:tabs>
              <w:rPr>
                <w:rFonts w:ascii="Arial" w:hAnsi="Arial"/>
                <w:sz w:val="18"/>
              </w:rPr>
            </w:pPr>
            <w:bookmarkStart w:id="2" w:name="dsece" w:colFirst="1" w:colLast="1"/>
            <w:bookmarkEnd w:id="1"/>
          </w:p>
        </w:tc>
        <w:tc>
          <w:tcPr>
            <w:tcW w:w="8530" w:type="dxa"/>
            <w:gridSpan w:val="4"/>
            <w:tcBorders>
              <w:bottom w:val="single" w:sz="12" w:space="0" w:color="auto"/>
            </w:tcBorders>
            <w:vAlign w:val="bottom"/>
          </w:tcPr>
          <w:p w14:paraId="00496FEC" w14:textId="77777777" w:rsidR="004B6014" w:rsidRPr="00054EAA" w:rsidRDefault="004B6014" w:rsidP="004B6014">
            <w:pPr>
              <w:tabs>
                <w:tab w:val="right" w:pos="9639"/>
              </w:tabs>
              <w:rPr>
                <w:rFonts w:ascii="Arial" w:hAnsi="Arial"/>
                <w:sz w:val="32"/>
              </w:rPr>
            </w:pPr>
          </w:p>
        </w:tc>
      </w:tr>
      <w:tr w:rsidR="004B6014" w:rsidRPr="00054EAA" w14:paraId="2609F703" w14:textId="77777777" w:rsidTr="00E02690">
        <w:trPr>
          <w:cantSplit/>
          <w:trHeight w:hRule="exact" w:val="4536"/>
        </w:trPr>
        <w:tc>
          <w:tcPr>
            <w:tcW w:w="1418" w:type="dxa"/>
          </w:tcPr>
          <w:p w14:paraId="60E58F31" w14:textId="77777777" w:rsidR="004B6014" w:rsidRPr="00054EAA" w:rsidRDefault="004B6014" w:rsidP="004B6014">
            <w:pPr>
              <w:tabs>
                <w:tab w:val="right" w:pos="9639"/>
              </w:tabs>
              <w:rPr>
                <w:rFonts w:ascii="Arial" w:hAnsi="Arial"/>
                <w:sz w:val="18"/>
              </w:rPr>
            </w:pPr>
            <w:bookmarkStart w:id="3" w:name="c1tite" w:colFirst="1" w:colLast="1"/>
            <w:bookmarkEnd w:id="2"/>
          </w:p>
        </w:tc>
        <w:tc>
          <w:tcPr>
            <w:tcW w:w="8530" w:type="dxa"/>
            <w:gridSpan w:val="4"/>
          </w:tcPr>
          <w:p w14:paraId="61B33DBD" w14:textId="77777777" w:rsidR="004B6014" w:rsidRPr="0081006C" w:rsidRDefault="004B6014" w:rsidP="004B6014">
            <w:pPr>
              <w:tabs>
                <w:tab w:val="right" w:pos="9639"/>
              </w:tabs>
              <w:rPr>
                <w:rFonts w:ascii="Arial" w:hAnsi="Arial" w:cs="Arial"/>
                <w:b/>
                <w:bCs/>
                <w:sz w:val="36"/>
              </w:rPr>
            </w:pPr>
            <w:r w:rsidRPr="0081006C">
              <w:rPr>
                <w:rFonts w:ascii="Arial" w:hAnsi="Arial" w:cs="Arial"/>
                <w:b/>
                <w:bCs/>
                <w:sz w:val="36"/>
              </w:rPr>
              <w:t>DSTR-DFSREG</w:t>
            </w:r>
          </w:p>
          <w:p w14:paraId="34546DED" w14:textId="488392C8" w:rsidR="004B6014" w:rsidRPr="00054EAA" w:rsidRDefault="004B6014" w:rsidP="00C23C4F">
            <w:pPr>
              <w:tabs>
                <w:tab w:val="right" w:pos="9639"/>
              </w:tabs>
              <w:jc w:val="left"/>
              <w:rPr>
                <w:rFonts w:ascii="Arial" w:hAnsi="Arial" w:cs="Arial"/>
                <w:b/>
                <w:bCs/>
                <w:sz w:val="36"/>
              </w:rPr>
            </w:pPr>
            <w:r w:rsidRPr="00054EAA">
              <w:rPr>
                <w:rFonts w:ascii="Arial" w:hAnsi="Arial" w:cs="Arial"/>
                <w:b/>
                <w:bCs/>
                <w:sz w:val="36"/>
              </w:rPr>
              <w:t xml:space="preserve">Digital </w:t>
            </w:r>
            <w:r w:rsidR="009129EC">
              <w:rPr>
                <w:rFonts w:ascii="Arial" w:hAnsi="Arial" w:cs="Arial"/>
                <w:b/>
                <w:bCs/>
                <w:sz w:val="36"/>
              </w:rPr>
              <w:t>f</w:t>
            </w:r>
            <w:r w:rsidRPr="00054EAA">
              <w:rPr>
                <w:rFonts w:ascii="Arial" w:hAnsi="Arial" w:cs="Arial"/>
                <w:b/>
                <w:bCs/>
                <w:sz w:val="36"/>
              </w:rPr>
              <w:t xml:space="preserve">inancial </w:t>
            </w:r>
            <w:r w:rsidR="009129EC">
              <w:rPr>
                <w:rFonts w:ascii="Arial" w:hAnsi="Arial" w:cs="Arial"/>
                <w:b/>
                <w:bCs/>
                <w:sz w:val="36"/>
              </w:rPr>
              <w:t>s</w:t>
            </w:r>
            <w:r w:rsidRPr="00054EAA">
              <w:rPr>
                <w:rFonts w:ascii="Arial" w:hAnsi="Arial" w:cs="Arial"/>
                <w:b/>
                <w:bCs/>
                <w:sz w:val="36"/>
              </w:rPr>
              <w:t xml:space="preserve">ervices – Regulation in the </w:t>
            </w:r>
            <w:r w:rsidR="009129EC">
              <w:rPr>
                <w:rFonts w:ascii="Arial" w:hAnsi="Arial" w:cs="Arial"/>
                <w:b/>
                <w:bCs/>
                <w:sz w:val="36"/>
              </w:rPr>
              <w:t>d</w:t>
            </w:r>
            <w:r w:rsidRPr="00054EAA">
              <w:rPr>
                <w:rFonts w:ascii="Arial" w:hAnsi="Arial" w:cs="Arial"/>
                <w:b/>
                <w:bCs/>
                <w:sz w:val="36"/>
              </w:rPr>
              <w:t xml:space="preserve">igital </w:t>
            </w:r>
            <w:r w:rsidR="009129EC">
              <w:rPr>
                <w:rFonts w:ascii="Arial" w:hAnsi="Arial" w:cs="Arial"/>
                <w:b/>
                <w:bCs/>
                <w:sz w:val="36"/>
              </w:rPr>
              <w:t>f</w:t>
            </w:r>
            <w:r w:rsidRPr="00054EAA">
              <w:rPr>
                <w:rFonts w:ascii="Arial" w:hAnsi="Arial" w:cs="Arial"/>
                <w:b/>
                <w:bCs/>
                <w:sz w:val="36"/>
              </w:rPr>
              <w:t xml:space="preserve">inancial </w:t>
            </w:r>
            <w:r w:rsidR="009129EC">
              <w:rPr>
                <w:rFonts w:ascii="Arial" w:hAnsi="Arial" w:cs="Arial"/>
                <w:b/>
                <w:bCs/>
                <w:sz w:val="36"/>
              </w:rPr>
              <w:t>s</w:t>
            </w:r>
            <w:r w:rsidRPr="00054EAA">
              <w:rPr>
                <w:rFonts w:ascii="Arial" w:hAnsi="Arial" w:cs="Arial"/>
                <w:b/>
                <w:bCs/>
                <w:sz w:val="36"/>
              </w:rPr>
              <w:t xml:space="preserve">ervices </w:t>
            </w:r>
            <w:r w:rsidR="009129EC">
              <w:rPr>
                <w:rFonts w:ascii="Arial" w:hAnsi="Arial" w:cs="Arial"/>
                <w:b/>
                <w:bCs/>
                <w:sz w:val="36"/>
              </w:rPr>
              <w:t>e</w:t>
            </w:r>
            <w:r w:rsidRPr="00054EAA">
              <w:rPr>
                <w:rFonts w:ascii="Arial" w:hAnsi="Arial" w:cs="Arial"/>
                <w:b/>
                <w:bCs/>
                <w:sz w:val="36"/>
              </w:rPr>
              <w:t>cosystem</w:t>
            </w:r>
          </w:p>
        </w:tc>
      </w:tr>
      <w:bookmarkEnd w:id="3"/>
    </w:tbl>
    <w:p w14:paraId="0D725002" w14:textId="77777777" w:rsidR="00C8520A" w:rsidRPr="00054EAA" w:rsidRDefault="00C8520A" w:rsidP="004B39E2">
      <w:pPr>
        <w:rPr>
          <w:b/>
          <w:lang w:eastAsia="ja-JP"/>
        </w:rPr>
      </w:pPr>
    </w:p>
    <w:p w14:paraId="75741418" w14:textId="77777777" w:rsidR="00C8520A" w:rsidRPr="00054EAA" w:rsidRDefault="00C8520A" w:rsidP="004B39E2">
      <w:pPr>
        <w:rPr>
          <w:b/>
          <w:lang w:eastAsia="ja-JP"/>
        </w:rPr>
      </w:pPr>
    </w:p>
    <w:p w14:paraId="6C74CAA8" w14:textId="77777777" w:rsidR="00521BCE" w:rsidRDefault="00521BCE" w:rsidP="00CF530A">
      <w:pPr>
        <w:pStyle w:val="Headingb"/>
        <w:sectPr w:rsidR="00521BCE" w:rsidSect="00B81964">
          <w:footerReference w:type="even" r:id="rId12"/>
          <w:footerReference w:type="default" r:id="rId13"/>
          <w:footerReference w:type="first" r:id="rId14"/>
          <w:pgSz w:w="11907" w:h="16840" w:code="9"/>
          <w:pgMar w:top="851" w:right="1134" w:bottom="851" w:left="1134" w:header="567" w:footer="567" w:gutter="0"/>
          <w:pgNumType w:fmt="lowerRoman" w:start="1"/>
          <w:cols w:space="720"/>
          <w:titlePg/>
          <w:docGrid w:linePitch="326"/>
        </w:sectPr>
      </w:pPr>
    </w:p>
    <w:p w14:paraId="0133E5D7" w14:textId="3095589A" w:rsidR="00CF530A" w:rsidRPr="00054EAA" w:rsidRDefault="00CF530A" w:rsidP="00CF530A">
      <w:pPr>
        <w:pStyle w:val="Headingb"/>
      </w:pPr>
      <w:r w:rsidRPr="00054EAA">
        <w:lastRenderedPageBreak/>
        <w:t>Summary</w:t>
      </w:r>
    </w:p>
    <w:p w14:paraId="3F052C2B" w14:textId="77777777" w:rsidR="00CF530A" w:rsidRPr="00054EAA" w:rsidRDefault="00CF530A" w:rsidP="00CF530A">
      <w:r w:rsidRPr="00054EAA">
        <w:t>Regulations may enable or thwart a healthy digital financial services ecosystem and therefore the potential to realize the goals of financial inclusion. Moreover, given the complexity of the DFS regulatory environment, it remains imperative that the two sector authorities involved in these efforts – financial services and telecommunication – collaborate to address these issues.</w:t>
      </w:r>
    </w:p>
    <w:p w14:paraId="447C36E7" w14:textId="77777777" w:rsidR="00CF530A" w:rsidRPr="00054EAA" w:rsidRDefault="00CF530A" w:rsidP="00CF530A">
      <w:r w:rsidRPr="00054EAA">
        <w:t>This Technical Report outlines the categories of regulation, defines the corresponding sub-issues or topics and highlights the financial inclusion of each topic. Key categories include</w:t>
      </w:r>
    </w:p>
    <w:p w14:paraId="6C531395" w14:textId="77777777" w:rsidR="00CF530A" w:rsidRPr="00054EAA" w:rsidRDefault="00CF530A" w:rsidP="00CF530A">
      <w:pPr>
        <w:pStyle w:val="enumlev10"/>
      </w:pPr>
      <w:r w:rsidRPr="00054EAA">
        <w:t>1)</w:t>
      </w:r>
      <w:r w:rsidRPr="00054EAA">
        <w:tab/>
      </w:r>
      <w:proofErr w:type="gramStart"/>
      <w:r w:rsidRPr="00054EAA">
        <w:t>agents</w:t>
      </w:r>
      <w:proofErr w:type="gramEnd"/>
      <w:r w:rsidRPr="00054EAA">
        <w:t>,</w:t>
      </w:r>
    </w:p>
    <w:p w14:paraId="4A2328E6" w14:textId="77777777" w:rsidR="00CF530A" w:rsidRPr="00054EAA" w:rsidRDefault="00CF530A" w:rsidP="00CF530A">
      <w:pPr>
        <w:pStyle w:val="enumlev10"/>
      </w:pPr>
      <w:r w:rsidRPr="00054EAA">
        <w:t>2)</w:t>
      </w:r>
      <w:r w:rsidRPr="00054EAA">
        <w:tab/>
      </w:r>
      <w:proofErr w:type="gramStart"/>
      <w:r w:rsidRPr="00054EAA">
        <w:t>consumer</w:t>
      </w:r>
      <w:proofErr w:type="gramEnd"/>
      <w:r w:rsidRPr="00054EAA">
        <w:t xml:space="preserve"> protection,</w:t>
      </w:r>
    </w:p>
    <w:p w14:paraId="41E4DD71" w14:textId="77777777" w:rsidR="00CF530A" w:rsidRPr="00054EAA" w:rsidRDefault="00CF530A" w:rsidP="00CF530A">
      <w:pPr>
        <w:pStyle w:val="enumlev10"/>
      </w:pPr>
      <w:r w:rsidRPr="00054EAA">
        <w:t>3)</w:t>
      </w:r>
      <w:r w:rsidRPr="00054EAA">
        <w:tab/>
      </w:r>
      <w:proofErr w:type="gramStart"/>
      <w:r w:rsidRPr="00054EAA">
        <w:t>market</w:t>
      </w:r>
      <w:proofErr w:type="gramEnd"/>
      <w:r w:rsidRPr="00054EAA">
        <w:t xml:space="preserve"> access,</w:t>
      </w:r>
    </w:p>
    <w:p w14:paraId="04100262" w14:textId="77777777" w:rsidR="00CF530A" w:rsidRPr="00054EAA" w:rsidRDefault="00CF530A" w:rsidP="00CF530A">
      <w:pPr>
        <w:pStyle w:val="enumlev10"/>
      </w:pPr>
      <w:r w:rsidRPr="00054EAA">
        <w:t>4)</w:t>
      </w:r>
      <w:r w:rsidRPr="00054EAA">
        <w:tab/>
      </w:r>
      <w:proofErr w:type="gramStart"/>
      <w:r w:rsidRPr="00054EAA">
        <w:t>payments</w:t>
      </w:r>
      <w:proofErr w:type="gramEnd"/>
      <w:r w:rsidRPr="00054EAA">
        <w:t xml:space="preserve"> systems,</w:t>
      </w:r>
    </w:p>
    <w:p w14:paraId="75382444" w14:textId="77777777" w:rsidR="00CF530A" w:rsidRPr="00054EAA" w:rsidRDefault="00CF530A" w:rsidP="00CF530A">
      <w:pPr>
        <w:pStyle w:val="enumlev10"/>
      </w:pPr>
      <w:r w:rsidRPr="00054EAA">
        <w:t>5)</w:t>
      </w:r>
      <w:r w:rsidRPr="00054EAA">
        <w:tab/>
      </w:r>
      <w:proofErr w:type="gramStart"/>
      <w:r w:rsidRPr="00054EAA">
        <w:t>risk</w:t>
      </w:r>
      <w:proofErr w:type="gramEnd"/>
      <w:r w:rsidRPr="00054EAA">
        <w:t xml:space="preserve"> management and</w:t>
      </w:r>
    </w:p>
    <w:p w14:paraId="05D44D87" w14:textId="77777777" w:rsidR="00CF530A" w:rsidRPr="00054EAA" w:rsidRDefault="00CF530A" w:rsidP="00CF530A">
      <w:pPr>
        <w:pStyle w:val="enumlev10"/>
      </w:pPr>
      <w:r w:rsidRPr="00054EAA">
        <w:t>6)</w:t>
      </w:r>
      <w:r w:rsidRPr="00054EAA">
        <w:tab/>
      </w:r>
      <w:proofErr w:type="gramStart"/>
      <w:r w:rsidRPr="00054EAA">
        <w:t>other</w:t>
      </w:r>
      <w:proofErr w:type="gramEnd"/>
      <w:r w:rsidRPr="00054EAA">
        <w:t xml:space="preserve"> related issues.</w:t>
      </w:r>
    </w:p>
    <w:p w14:paraId="3CAEDB3B" w14:textId="5E80E943" w:rsidR="00CF530A" w:rsidRPr="00054EAA" w:rsidRDefault="00CF530A" w:rsidP="00CF530A">
      <w:r w:rsidRPr="00054EAA">
        <w:t>This Technical Report also addresses key issues related to managing the regulatory environment. It outlines a survey of how regulators currently work together, provide</w:t>
      </w:r>
      <w:r w:rsidR="001319FC">
        <w:t>s</w:t>
      </w:r>
      <w:r w:rsidRPr="00054EAA">
        <w:t xml:space="preserve"> a draft memorandum of understanding template for Authorities in a given country to formally outline joint goals and methods of working together, and outline</w:t>
      </w:r>
      <w:r w:rsidR="001319FC">
        <w:t>s</w:t>
      </w:r>
      <w:r w:rsidRPr="00054EAA">
        <w:t xml:space="preserve"> considerations if regulators are interested in formalizing cross-border collaborations.</w:t>
      </w:r>
    </w:p>
    <w:p w14:paraId="1B1D4033" w14:textId="77777777" w:rsidR="00CF530A" w:rsidRPr="00054EAA" w:rsidRDefault="00CF530A" w:rsidP="00CF530A">
      <w:pPr>
        <w:pStyle w:val="Headingb"/>
      </w:pPr>
      <w:r w:rsidRPr="00054EAA">
        <w:t>Keywords</w:t>
      </w:r>
    </w:p>
    <w:p w14:paraId="4C34AF3B" w14:textId="62DCD9AB" w:rsidR="00CF530A" w:rsidRPr="00054EAA" w:rsidRDefault="005B285C" w:rsidP="00CF530A">
      <w:r>
        <w:t>Ecosystem, d</w:t>
      </w:r>
      <w:r w:rsidR="00CF530A" w:rsidRPr="00054EAA">
        <w:t xml:space="preserve">igital </w:t>
      </w:r>
      <w:r>
        <w:t>f</w:t>
      </w:r>
      <w:r w:rsidR="00CF530A" w:rsidRPr="00054EAA">
        <w:t xml:space="preserve">inancial </w:t>
      </w:r>
      <w:r>
        <w:t>s</w:t>
      </w:r>
      <w:r w:rsidR="00CF530A" w:rsidRPr="00054EAA">
        <w:t xml:space="preserve">ervices, </w:t>
      </w:r>
      <w:r>
        <w:t>r</w:t>
      </w:r>
      <w:r w:rsidR="00CF530A" w:rsidRPr="00054EAA">
        <w:t>egulation.</w:t>
      </w:r>
    </w:p>
    <w:p w14:paraId="1C3347F2" w14:textId="77777777" w:rsidR="00CF530A" w:rsidRPr="00054EAA" w:rsidRDefault="00CF530A" w:rsidP="00CF530A">
      <w:pPr>
        <w:pStyle w:val="Headingb"/>
      </w:pPr>
      <w:r w:rsidRPr="00054EAA">
        <w:t>Change Log</w:t>
      </w:r>
    </w:p>
    <w:p w14:paraId="765BDCC3" w14:textId="1F4B897A" w:rsidR="00CF530A" w:rsidRPr="00054EAA" w:rsidRDefault="00CF530A" w:rsidP="00C23C4F">
      <w:pPr>
        <w:spacing w:after="120"/>
      </w:pPr>
      <w:r w:rsidRPr="00054EAA">
        <w:t xml:space="preserve">This document contains the ITU-T Technical Report on </w:t>
      </w:r>
      <w:r w:rsidR="008D7C81">
        <w:t>"</w:t>
      </w:r>
      <w:r w:rsidRPr="00054EAA">
        <w:rPr>
          <w:i/>
          <w:iCs/>
        </w:rPr>
        <w:t>Digital Financial Services – Regulation in the Digital Financial Services Ecosystem</w:t>
      </w:r>
      <w:r w:rsidR="008D7C81">
        <w:rPr>
          <w:i/>
          <w:iCs/>
        </w:rPr>
        <w:t>"</w:t>
      </w:r>
      <w:r w:rsidRPr="00054EAA">
        <w:t xml:space="preserve"> </w:t>
      </w:r>
      <w:r w:rsidR="007D5907">
        <w:t>which was agreed</w:t>
      </w:r>
      <w:r w:rsidRPr="00054EAA">
        <w:t xml:space="preserve"> </w:t>
      </w:r>
      <w:r w:rsidR="007D7488">
        <w:t>by</w:t>
      </w:r>
      <w:r w:rsidRPr="00054EAA">
        <w:t xml:space="preserve"> the ITU-T Study Group 3 meeting held in Geneva, 23 April - 2 May 2019.</w:t>
      </w:r>
    </w:p>
    <w:p w14:paraId="409A4C68" w14:textId="77777777" w:rsidR="004F5830" w:rsidRPr="004F5830" w:rsidRDefault="004F5830" w:rsidP="004F5830"/>
    <w:p w14:paraId="05BB92D9" w14:textId="77777777" w:rsidR="004F5830" w:rsidRPr="004F5830" w:rsidRDefault="004F5830" w:rsidP="004F5830"/>
    <w:p w14:paraId="1C190907" w14:textId="77777777" w:rsidR="004F5830" w:rsidRPr="004F5830" w:rsidRDefault="004F5830" w:rsidP="004F5830"/>
    <w:p w14:paraId="3B77A6E3" w14:textId="77777777" w:rsidR="004F5830" w:rsidRPr="004F5830" w:rsidRDefault="004F5830" w:rsidP="004F5830"/>
    <w:p w14:paraId="4E8195CE" w14:textId="77777777" w:rsidR="004F5830" w:rsidRPr="004F5830" w:rsidRDefault="004F5830" w:rsidP="004F5830"/>
    <w:p w14:paraId="6FB3238E" w14:textId="77777777" w:rsidR="004F5830" w:rsidRPr="004F5830" w:rsidRDefault="004F5830" w:rsidP="004F5830"/>
    <w:p w14:paraId="1AACCAEA" w14:textId="77777777" w:rsidR="004F5830" w:rsidRPr="004F5830" w:rsidRDefault="004F5830" w:rsidP="004F5830"/>
    <w:p w14:paraId="4C8087A8" w14:textId="77777777" w:rsidR="004F5830" w:rsidRPr="004F5830" w:rsidRDefault="004F5830" w:rsidP="004F5830"/>
    <w:p w14:paraId="5EA22835" w14:textId="23C6B620" w:rsidR="004F5830" w:rsidRDefault="004F5830" w:rsidP="004F5830">
      <w:pPr>
        <w:tabs>
          <w:tab w:val="clear" w:pos="794"/>
          <w:tab w:val="clear" w:pos="1191"/>
          <w:tab w:val="clear" w:pos="1588"/>
          <w:tab w:val="clear" w:pos="1985"/>
          <w:tab w:val="left" w:pos="5287"/>
        </w:tabs>
      </w:pPr>
    </w:p>
    <w:p w14:paraId="4B46605F" w14:textId="65EC003D" w:rsidR="004F5830" w:rsidRDefault="004F5830" w:rsidP="004F5830"/>
    <w:p w14:paraId="29D21B4C" w14:textId="77777777" w:rsidR="00B50D1D" w:rsidRPr="004F5830" w:rsidRDefault="00B50D1D" w:rsidP="004F5830">
      <w:pPr>
        <w:sectPr w:rsidR="00B50D1D" w:rsidRPr="004F5830" w:rsidSect="00B50D1D">
          <w:footerReference w:type="default" r:id="rId15"/>
          <w:footerReference w:type="first" r:id="rId16"/>
          <w:type w:val="oddPage"/>
          <w:pgSz w:w="11907" w:h="16840" w:code="9"/>
          <w:pgMar w:top="1134" w:right="1134" w:bottom="1134" w:left="1134" w:header="567" w:footer="567" w:gutter="0"/>
          <w:pgNumType w:start="1"/>
          <w:cols w:space="720"/>
          <w:docGrid w:linePitch="326"/>
        </w:sectPr>
      </w:pPr>
    </w:p>
    <w:p w14:paraId="3DEC2781" w14:textId="77777777" w:rsidR="004F5830" w:rsidRDefault="004F5830" w:rsidP="004F5830"/>
    <w:p w14:paraId="1FD19B0E" w14:textId="53B11FCB" w:rsidR="009635CB" w:rsidRPr="00054EAA" w:rsidRDefault="009635CB" w:rsidP="003E1CC9">
      <w:pPr>
        <w:keepNext/>
        <w:jc w:val="center"/>
        <w:rPr>
          <w:b/>
          <w:bCs/>
        </w:rPr>
      </w:pPr>
      <w:r w:rsidRPr="00054EAA">
        <w:rPr>
          <w:b/>
          <w:bCs/>
        </w:rPr>
        <w:t>CONTENTS</w:t>
      </w:r>
    </w:p>
    <w:p w14:paraId="53489D23" w14:textId="77777777" w:rsidR="00601438" w:rsidRDefault="00601438" w:rsidP="00C23C4F"/>
    <w:p w14:paraId="5D0BAA6F" w14:textId="47BCC7A1" w:rsidR="008D7C81" w:rsidRPr="008D7C81" w:rsidRDefault="008D7C81">
      <w:pPr>
        <w:pStyle w:val="TOC1"/>
        <w:rPr>
          <w:rFonts w:eastAsiaTheme="minorEastAsia"/>
        </w:rPr>
      </w:pPr>
      <w:r w:rsidRPr="008D7C81">
        <w:rPr>
          <w:lang w:bidi="ar-DZ"/>
        </w:rPr>
        <w:t>1</w:t>
      </w:r>
      <w:r w:rsidRPr="008D7C81">
        <w:rPr>
          <w:rFonts w:eastAsiaTheme="minorEastAsia"/>
        </w:rPr>
        <w:tab/>
      </w:r>
      <w:r w:rsidRPr="008D7C81">
        <w:rPr>
          <w:lang w:bidi="ar-DZ"/>
        </w:rPr>
        <w:t>Scope</w:t>
      </w:r>
      <w:r w:rsidRPr="008D7C81">
        <w:rPr>
          <w:webHidden/>
        </w:rPr>
        <w:tab/>
      </w:r>
      <w:r>
        <w:rPr>
          <w:webHidden/>
        </w:rPr>
        <w:tab/>
      </w:r>
      <w:r w:rsidRPr="008D7C81">
        <w:rPr>
          <w:webHidden/>
        </w:rPr>
        <w:t>3</w:t>
      </w:r>
    </w:p>
    <w:p w14:paraId="2396498E" w14:textId="30435537" w:rsidR="008D7C81" w:rsidRPr="008D7C81" w:rsidRDefault="008D7C81">
      <w:pPr>
        <w:pStyle w:val="TOC1"/>
        <w:rPr>
          <w:rFonts w:eastAsiaTheme="minorEastAsia"/>
        </w:rPr>
      </w:pPr>
      <w:r w:rsidRPr="008D7C81">
        <w:rPr>
          <w:lang w:bidi="ar-DZ"/>
        </w:rPr>
        <w:t>2</w:t>
      </w:r>
      <w:r w:rsidRPr="008D7C81">
        <w:rPr>
          <w:rFonts w:eastAsiaTheme="minorEastAsia"/>
        </w:rPr>
        <w:tab/>
      </w:r>
      <w:r w:rsidRPr="008D7C81">
        <w:rPr>
          <w:lang w:bidi="ar-DZ"/>
        </w:rPr>
        <w:t>References</w:t>
      </w:r>
      <w:r w:rsidRPr="008D7C81">
        <w:rPr>
          <w:webHidden/>
        </w:rPr>
        <w:tab/>
      </w:r>
      <w:r>
        <w:rPr>
          <w:webHidden/>
        </w:rPr>
        <w:tab/>
      </w:r>
      <w:r w:rsidRPr="008D7C81">
        <w:rPr>
          <w:webHidden/>
        </w:rPr>
        <w:t>3</w:t>
      </w:r>
    </w:p>
    <w:p w14:paraId="57908F45" w14:textId="2228DDC6" w:rsidR="008D7C81" w:rsidRPr="008D7C81" w:rsidRDefault="008D7C81">
      <w:pPr>
        <w:pStyle w:val="TOC1"/>
        <w:rPr>
          <w:rFonts w:eastAsiaTheme="minorEastAsia"/>
        </w:rPr>
      </w:pPr>
      <w:r w:rsidRPr="008D7C81">
        <w:rPr>
          <w:lang w:bidi="ar-DZ"/>
        </w:rPr>
        <w:t>3</w:t>
      </w:r>
      <w:r w:rsidRPr="008D7C81">
        <w:rPr>
          <w:rFonts w:eastAsiaTheme="minorEastAsia"/>
        </w:rPr>
        <w:tab/>
      </w:r>
      <w:r w:rsidRPr="008D7C81">
        <w:rPr>
          <w:lang w:bidi="ar-DZ"/>
        </w:rPr>
        <w:t>Terms and definitions</w:t>
      </w:r>
      <w:r w:rsidRPr="008D7C81">
        <w:rPr>
          <w:webHidden/>
        </w:rPr>
        <w:tab/>
      </w:r>
      <w:r>
        <w:rPr>
          <w:webHidden/>
        </w:rPr>
        <w:tab/>
      </w:r>
      <w:r w:rsidRPr="008D7C81">
        <w:rPr>
          <w:webHidden/>
        </w:rPr>
        <w:t>3</w:t>
      </w:r>
    </w:p>
    <w:p w14:paraId="5FD53D3B" w14:textId="14D0B0A7" w:rsidR="008D7C81" w:rsidRPr="008D7C81" w:rsidRDefault="008D7C81">
      <w:pPr>
        <w:pStyle w:val="TOC2"/>
        <w:rPr>
          <w:rFonts w:eastAsiaTheme="minorEastAsia"/>
        </w:rPr>
      </w:pPr>
      <w:r w:rsidRPr="008D7C81">
        <w:rPr>
          <w:lang w:bidi="ar-DZ"/>
        </w:rPr>
        <w:t>3.1</w:t>
      </w:r>
      <w:r w:rsidRPr="008D7C81">
        <w:rPr>
          <w:rFonts w:eastAsiaTheme="minorEastAsia"/>
        </w:rPr>
        <w:tab/>
      </w:r>
      <w:r w:rsidRPr="008D7C81">
        <w:rPr>
          <w:lang w:bidi="ar-DZ"/>
        </w:rPr>
        <w:t>Terms defined elsewhere</w:t>
      </w:r>
      <w:r w:rsidRPr="008D7C81">
        <w:rPr>
          <w:webHidden/>
        </w:rPr>
        <w:tab/>
      </w:r>
      <w:r>
        <w:rPr>
          <w:webHidden/>
        </w:rPr>
        <w:tab/>
      </w:r>
      <w:r w:rsidRPr="008D7C81">
        <w:rPr>
          <w:webHidden/>
        </w:rPr>
        <w:t>3</w:t>
      </w:r>
    </w:p>
    <w:p w14:paraId="129AE13E" w14:textId="2515A13B" w:rsidR="008D7C81" w:rsidRPr="008D7C81" w:rsidRDefault="008D7C81">
      <w:pPr>
        <w:pStyle w:val="TOC2"/>
        <w:rPr>
          <w:rFonts w:eastAsiaTheme="minorEastAsia"/>
        </w:rPr>
      </w:pPr>
      <w:r w:rsidRPr="008D7C81">
        <w:rPr>
          <w:lang w:bidi="ar-DZ"/>
        </w:rPr>
        <w:t>3.2</w:t>
      </w:r>
      <w:r w:rsidRPr="008D7C81">
        <w:rPr>
          <w:rFonts w:eastAsiaTheme="minorEastAsia"/>
        </w:rPr>
        <w:tab/>
      </w:r>
      <w:r w:rsidRPr="008D7C81">
        <w:rPr>
          <w:lang w:bidi="ar-DZ"/>
        </w:rPr>
        <w:t>Terms defined here</w:t>
      </w:r>
      <w:r w:rsidRPr="008D7C81">
        <w:rPr>
          <w:webHidden/>
        </w:rPr>
        <w:tab/>
      </w:r>
      <w:r>
        <w:rPr>
          <w:webHidden/>
        </w:rPr>
        <w:tab/>
      </w:r>
      <w:r w:rsidRPr="008D7C81">
        <w:rPr>
          <w:webHidden/>
        </w:rPr>
        <w:t>3</w:t>
      </w:r>
    </w:p>
    <w:p w14:paraId="5ABFD513" w14:textId="49D70E81" w:rsidR="008D7C81" w:rsidRPr="008D7C81" w:rsidRDefault="008D7C81">
      <w:pPr>
        <w:pStyle w:val="TOC1"/>
        <w:rPr>
          <w:rFonts w:eastAsiaTheme="minorEastAsia"/>
        </w:rPr>
      </w:pPr>
      <w:r w:rsidRPr="008D7C81">
        <w:rPr>
          <w:lang w:bidi="ar-DZ"/>
        </w:rPr>
        <w:t>4</w:t>
      </w:r>
      <w:r w:rsidRPr="008D7C81">
        <w:rPr>
          <w:rFonts w:eastAsiaTheme="minorEastAsia"/>
        </w:rPr>
        <w:tab/>
      </w:r>
      <w:r w:rsidRPr="008D7C81">
        <w:rPr>
          <w:lang w:bidi="ar-DZ"/>
        </w:rPr>
        <w:t>Abbreviations</w:t>
      </w:r>
      <w:r w:rsidRPr="008D7C81">
        <w:rPr>
          <w:webHidden/>
        </w:rPr>
        <w:tab/>
      </w:r>
      <w:r>
        <w:rPr>
          <w:webHidden/>
        </w:rPr>
        <w:tab/>
      </w:r>
      <w:r w:rsidRPr="008D7C81">
        <w:rPr>
          <w:webHidden/>
        </w:rPr>
        <w:t>3</w:t>
      </w:r>
    </w:p>
    <w:p w14:paraId="0C5E13AB" w14:textId="5A543BEF" w:rsidR="008D7C81" w:rsidRPr="008D7C81" w:rsidRDefault="008D7C81">
      <w:pPr>
        <w:pStyle w:val="TOC1"/>
        <w:rPr>
          <w:rFonts w:eastAsiaTheme="minorEastAsia"/>
        </w:rPr>
      </w:pPr>
      <w:r w:rsidRPr="008D7C81">
        <w:rPr>
          <w:lang w:bidi="ar-DZ"/>
        </w:rPr>
        <w:t>5</w:t>
      </w:r>
      <w:r w:rsidRPr="008D7C81">
        <w:rPr>
          <w:rFonts w:eastAsiaTheme="minorEastAsia"/>
        </w:rPr>
        <w:tab/>
      </w:r>
      <w:r w:rsidRPr="008D7C81">
        <w:rPr>
          <w:lang w:bidi="ar-DZ"/>
        </w:rPr>
        <w:t>Introduction</w:t>
      </w:r>
      <w:r w:rsidRPr="008D7C81">
        <w:rPr>
          <w:webHidden/>
        </w:rPr>
        <w:tab/>
      </w:r>
      <w:r>
        <w:rPr>
          <w:webHidden/>
        </w:rPr>
        <w:tab/>
      </w:r>
      <w:r w:rsidRPr="008D7C81">
        <w:rPr>
          <w:webHidden/>
        </w:rPr>
        <w:t>3</w:t>
      </w:r>
    </w:p>
    <w:p w14:paraId="102551D4" w14:textId="6C8C2E31" w:rsidR="008D7C81" w:rsidRPr="008D7C81" w:rsidRDefault="008D7C81">
      <w:pPr>
        <w:pStyle w:val="TOC1"/>
        <w:rPr>
          <w:rFonts w:eastAsiaTheme="minorEastAsia"/>
        </w:rPr>
      </w:pPr>
      <w:r w:rsidRPr="008D7C81">
        <w:rPr>
          <w:lang w:bidi="ar-DZ"/>
        </w:rPr>
        <w:t>6</w:t>
      </w:r>
      <w:r w:rsidRPr="008D7C81">
        <w:rPr>
          <w:rFonts w:eastAsiaTheme="minorEastAsia"/>
        </w:rPr>
        <w:tab/>
      </w:r>
      <w:r w:rsidRPr="008D7C81">
        <w:rPr>
          <w:lang w:bidi="ar-DZ"/>
        </w:rPr>
        <w:t>Categories of regulation</w:t>
      </w:r>
      <w:r w:rsidRPr="008D7C81">
        <w:rPr>
          <w:webHidden/>
        </w:rPr>
        <w:tab/>
      </w:r>
      <w:r>
        <w:rPr>
          <w:webHidden/>
        </w:rPr>
        <w:tab/>
      </w:r>
      <w:r w:rsidRPr="008D7C81">
        <w:rPr>
          <w:webHidden/>
        </w:rPr>
        <w:t>4</w:t>
      </w:r>
    </w:p>
    <w:p w14:paraId="02C0E92B" w14:textId="58D4FCFE" w:rsidR="008D7C81" w:rsidRPr="008D7C81" w:rsidRDefault="008D7C81">
      <w:pPr>
        <w:pStyle w:val="TOC2"/>
        <w:rPr>
          <w:rFonts w:eastAsiaTheme="minorEastAsia"/>
        </w:rPr>
      </w:pPr>
      <w:r w:rsidRPr="008D7C81">
        <w:t>6.1</w:t>
      </w:r>
      <w:r w:rsidRPr="008D7C81">
        <w:rPr>
          <w:rFonts w:eastAsiaTheme="minorEastAsia"/>
        </w:rPr>
        <w:tab/>
      </w:r>
      <w:r w:rsidRPr="008D7C81">
        <w:t>Category 1: agents</w:t>
      </w:r>
      <w:r w:rsidRPr="008D7C81">
        <w:rPr>
          <w:webHidden/>
        </w:rPr>
        <w:tab/>
      </w:r>
      <w:r>
        <w:rPr>
          <w:webHidden/>
        </w:rPr>
        <w:tab/>
      </w:r>
      <w:r w:rsidRPr="008D7C81">
        <w:rPr>
          <w:webHidden/>
        </w:rPr>
        <w:t>4</w:t>
      </w:r>
    </w:p>
    <w:p w14:paraId="3DBDBE1C" w14:textId="7DFA8B63" w:rsidR="008D7C81" w:rsidRPr="008D7C81" w:rsidRDefault="008D7C81">
      <w:pPr>
        <w:pStyle w:val="TOC2"/>
        <w:rPr>
          <w:rFonts w:eastAsiaTheme="minorEastAsia"/>
        </w:rPr>
      </w:pPr>
      <w:r w:rsidRPr="008D7C81">
        <w:t>6.2</w:t>
      </w:r>
      <w:r w:rsidRPr="008D7C81">
        <w:rPr>
          <w:rFonts w:eastAsiaTheme="minorEastAsia"/>
        </w:rPr>
        <w:tab/>
      </w:r>
      <w:r w:rsidRPr="008D7C81">
        <w:t>Category 2: consumer protection</w:t>
      </w:r>
      <w:r w:rsidRPr="008D7C81">
        <w:rPr>
          <w:webHidden/>
        </w:rPr>
        <w:tab/>
      </w:r>
      <w:r>
        <w:rPr>
          <w:webHidden/>
        </w:rPr>
        <w:tab/>
      </w:r>
      <w:r w:rsidRPr="008D7C81">
        <w:rPr>
          <w:webHidden/>
        </w:rPr>
        <w:t>4</w:t>
      </w:r>
    </w:p>
    <w:p w14:paraId="33330773" w14:textId="0FC2637B" w:rsidR="008D7C81" w:rsidRPr="008D7C81" w:rsidRDefault="008D7C81">
      <w:pPr>
        <w:pStyle w:val="TOC2"/>
        <w:rPr>
          <w:rFonts w:eastAsiaTheme="minorEastAsia"/>
        </w:rPr>
      </w:pPr>
      <w:r w:rsidRPr="008D7C81">
        <w:t>6.3</w:t>
      </w:r>
      <w:r w:rsidRPr="008D7C81">
        <w:rPr>
          <w:rFonts w:eastAsiaTheme="minorEastAsia"/>
        </w:rPr>
        <w:tab/>
      </w:r>
      <w:r w:rsidRPr="008D7C81">
        <w:t>Category 3: market access</w:t>
      </w:r>
      <w:r w:rsidRPr="008D7C81">
        <w:rPr>
          <w:webHidden/>
        </w:rPr>
        <w:tab/>
      </w:r>
      <w:r>
        <w:rPr>
          <w:webHidden/>
        </w:rPr>
        <w:tab/>
      </w:r>
      <w:r w:rsidRPr="008D7C81">
        <w:rPr>
          <w:webHidden/>
        </w:rPr>
        <w:t>4</w:t>
      </w:r>
    </w:p>
    <w:p w14:paraId="47B19800" w14:textId="2F6F2BBE" w:rsidR="008D7C81" w:rsidRPr="008D7C81" w:rsidRDefault="008D7C81">
      <w:pPr>
        <w:pStyle w:val="TOC2"/>
        <w:rPr>
          <w:rFonts w:eastAsiaTheme="minorEastAsia"/>
        </w:rPr>
      </w:pPr>
      <w:r w:rsidRPr="008D7C81">
        <w:t>6.4</w:t>
      </w:r>
      <w:r w:rsidRPr="008D7C81">
        <w:rPr>
          <w:rFonts w:eastAsiaTheme="minorEastAsia"/>
        </w:rPr>
        <w:tab/>
      </w:r>
      <w:r w:rsidRPr="008D7C81">
        <w:t>Category 4: payment systems</w:t>
      </w:r>
      <w:r w:rsidRPr="008D7C81">
        <w:rPr>
          <w:webHidden/>
        </w:rPr>
        <w:tab/>
      </w:r>
      <w:r>
        <w:rPr>
          <w:webHidden/>
        </w:rPr>
        <w:tab/>
      </w:r>
      <w:r w:rsidRPr="008D7C81">
        <w:rPr>
          <w:webHidden/>
        </w:rPr>
        <w:t>5</w:t>
      </w:r>
    </w:p>
    <w:p w14:paraId="03210DF2" w14:textId="56EDEB7E" w:rsidR="008D7C81" w:rsidRPr="008D7C81" w:rsidRDefault="008D7C81">
      <w:pPr>
        <w:pStyle w:val="TOC2"/>
        <w:rPr>
          <w:rFonts w:eastAsiaTheme="minorEastAsia"/>
        </w:rPr>
      </w:pPr>
      <w:r w:rsidRPr="008D7C81">
        <w:t>6.5</w:t>
      </w:r>
      <w:r w:rsidRPr="008D7C81">
        <w:rPr>
          <w:rFonts w:eastAsiaTheme="minorEastAsia"/>
        </w:rPr>
        <w:tab/>
      </w:r>
      <w:r w:rsidRPr="008D7C81">
        <w:t>Category 5: risk management</w:t>
      </w:r>
      <w:r w:rsidRPr="008D7C81">
        <w:rPr>
          <w:webHidden/>
        </w:rPr>
        <w:tab/>
      </w:r>
      <w:r>
        <w:rPr>
          <w:webHidden/>
        </w:rPr>
        <w:tab/>
      </w:r>
      <w:r w:rsidRPr="008D7C81">
        <w:rPr>
          <w:webHidden/>
        </w:rPr>
        <w:t>5</w:t>
      </w:r>
    </w:p>
    <w:p w14:paraId="2620BD81" w14:textId="007027F4" w:rsidR="008D7C81" w:rsidRPr="008D7C81" w:rsidRDefault="008D7C81">
      <w:pPr>
        <w:pStyle w:val="TOC2"/>
        <w:rPr>
          <w:rFonts w:eastAsiaTheme="minorEastAsia"/>
        </w:rPr>
      </w:pPr>
      <w:r w:rsidRPr="008D7C81">
        <w:t>6.6</w:t>
      </w:r>
      <w:r w:rsidRPr="008D7C81">
        <w:rPr>
          <w:rFonts w:eastAsiaTheme="minorEastAsia"/>
        </w:rPr>
        <w:tab/>
      </w:r>
      <w:r w:rsidRPr="008D7C81">
        <w:t>Category 6: other</w:t>
      </w:r>
      <w:r w:rsidRPr="008D7C81">
        <w:rPr>
          <w:webHidden/>
        </w:rPr>
        <w:tab/>
      </w:r>
      <w:r>
        <w:rPr>
          <w:webHidden/>
        </w:rPr>
        <w:tab/>
      </w:r>
      <w:r w:rsidRPr="008D7C81">
        <w:rPr>
          <w:webHidden/>
        </w:rPr>
        <w:t>6</w:t>
      </w:r>
    </w:p>
    <w:p w14:paraId="5112C75F" w14:textId="69B973AF" w:rsidR="008D7C81" w:rsidRPr="008D7C81" w:rsidRDefault="008D7C81">
      <w:pPr>
        <w:pStyle w:val="TOC1"/>
        <w:rPr>
          <w:rFonts w:eastAsiaTheme="minorEastAsia"/>
        </w:rPr>
      </w:pPr>
      <w:r w:rsidRPr="008D7C81">
        <w:t>7</w:t>
      </w:r>
      <w:r w:rsidRPr="008D7C81">
        <w:rPr>
          <w:rFonts w:eastAsiaTheme="minorEastAsia"/>
        </w:rPr>
        <w:tab/>
      </w:r>
      <w:r w:rsidRPr="008D7C81">
        <w:t>Managing the regulatory environment</w:t>
      </w:r>
      <w:r w:rsidRPr="008D7C81">
        <w:rPr>
          <w:webHidden/>
        </w:rPr>
        <w:tab/>
      </w:r>
      <w:r>
        <w:rPr>
          <w:webHidden/>
        </w:rPr>
        <w:tab/>
      </w:r>
      <w:r w:rsidRPr="008D7C81">
        <w:rPr>
          <w:webHidden/>
        </w:rPr>
        <w:t>6</w:t>
      </w:r>
    </w:p>
    <w:p w14:paraId="58775942" w14:textId="0A97FBB0" w:rsidR="008D7C81" w:rsidRPr="008D7C81" w:rsidRDefault="008D7C81">
      <w:pPr>
        <w:pStyle w:val="TOC2"/>
        <w:rPr>
          <w:rFonts w:eastAsiaTheme="minorEastAsia"/>
        </w:rPr>
      </w:pPr>
      <w:r w:rsidRPr="008D7C81">
        <w:t>7.1</w:t>
      </w:r>
      <w:r w:rsidRPr="008D7C81">
        <w:rPr>
          <w:rFonts w:eastAsiaTheme="minorEastAsia"/>
        </w:rPr>
        <w:tab/>
      </w:r>
      <w:r w:rsidRPr="008D7C81">
        <w:t>Survey of regulators</w:t>
      </w:r>
      <w:r w:rsidRPr="008D7C81">
        <w:rPr>
          <w:webHidden/>
        </w:rPr>
        <w:tab/>
      </w:r>
      <w:r>
        <w:rPr>
          <w:webHidden/>
        </w:rPr>
        <w:tab/>
      </w:r>
      <w:r w:rsidRPr="008D7C81">
        <w:rPr>
          <w:webHidden/>
        </w:rPr>
        <w:t>6</w:t>
      </w:r>
    </w:p>
    <w:p w14:paraId="75A81955" w14:textId="039F383A" w:rsidR="008D7C81" w:rsidRPr="008D7C81" w:rsidRDefault="008D7C81">
      <w:pPr>
        <w:pStyle w:val="TOC2"/>
        <w:rPr>
          <w:rFonts w:eastAsiaTheme="minorEastAsia"/>
        </w:rPr>
      </w:pPr>
      <w:r w:rsidRPr="008D7C81">
        <w:t>7.2</w:t>
      </w:r>
      <w:r w:rsidRPr="008D7C81">
        <w:rPr>
          <w:rFonts w:eastAsiaTheme="minorEastAsia"/>
        </w:rPr>
        <w:tab/>
      </w:r>
      <w:r w:rsidRPr="008D7C81">
        <w:t>Survey conclusions</w:t>
      </w:r>
      <w:r w:rsidRPr="008D7C81">
        <w:rPr>
          <w:webHidden/>
        </w:rPr>
        <w:tab/>
      </w:r>
      <w:r>
        <w:rPr>
          <w:webHidden/>
        </w:rPr>
        <w:tab/>
      </w:r>
      <w:r w:rsidRPr="008D7C81">
        <w:rPr>
          <w:webHidden/>
        </w:rPr>
        <w:t>10</w:t>
      </w:r>
    </w:p>
    <w:p w14:paraId="4CE0C259" w14:textId="0E3CBFC5" w:rsidR="008D7C81" w:rsidRPr="008D7C81" w:rsidRDefault="008D7C81">
      <w:pPr>
        <w:pStyle w:val="TOC2"/>
        <w:rPr>
          <w:rFonts w:eastAsiaTheme="minorEastAsia"/>
        </w:rPr>
      </w:pPr>
      <w:r w:rsidRPr="008D7C81">
        <w:t>7.3</w:t>
      </w:r>
      <w:r w:rsidRPr="008D7C81">
        <w:rPr>
          <w:rFonts w:eastAsiaTheme="minorEastAsia"/>
        </w:rPr>
        <w:tab/>
      </w:r>
      <w:r w:rsidRPr="008D7C81">
        <w:t>Template for an in-country Memorandum of Understanding</w:t>
      </w:r>
      <w:r w:rsidRPr="008D7C81">
        <w:rPr>
          <w:webHidden/>
        </w:rPr>
        <w:tab/>
      </w:r>
      <w:r>
        <w:rPr>
          <w:webHidden/>
        </w:rPr>
        <w:tab/>
      </w:r>
      <w:r w:rsidRPr="008D7C81">
        <w:rPr>
          <w:webHidden/>
        </w:rPr>
        <w:t>10</w:t>
      </w:r>
    </w:p>
    <w:p w14:paraId="658C9C88" w14:textId="4B95B2F8" w:rsidR="008D7C81" w:rsidRPr="008D7C81" w:rsidRDefault="008D7C81">
      <w:pPr>
        <w:pStyle w:val="TOC2"/>
        <w:rPr>
          <w:rFonts w:eastAsiaTheme="minorEastAsia"/>
        </w:rPr>
      </w:pPr>
      <w:r w:rsidRPr="008D7C81">
        <w:t>7.4</w:t>
      </w:r>
      <w:r w:rsidRPr="008D7C81">
        <w:rPr>
          <w:rFonts w:eastAsiaTheme="minorEastAsia"/>
        </w:rPr>
        <w:tab/>
      </w:r>
      <w:r w:rsidRPr="008D7C81">
        <w:t>Cross country considerations for a memorandum of understanding</w:t>
      </w:r>
      <w:r w:rsidRPr="008D7C81">
        <w:rPr>
          <w:webHidden/>
        </w:rPr>
        <w:tab/>
      </w:r>
      <w:r>
        <w:rPr>
          <w:webHidden/>
        </w:rPr>
        <w:tab/>
      </w:r>
      <w:r w:rsidRPr="008D7C81">
        <w:rPr>
          <w:webHidden/>
        </w:rPr>
        <w:t>14</w:t>
      </w:r>
    </w:p>
    <w:p w14:paraId="5E5E0331" w14:textId="48FFBC18" w:rsidR="008D7C81" w:rsidRPr="008D7C81" w:rsidRDefault="008D7C81">
      <w:pPr>
        <w:pStyle w:val="TOC1"/>
        <w:rPr>
          <w:rFonts w:eastAsiaTheme="minorEastAsia"/>
        </w:rPr>
      </w:pPr>
      <w:r w:rsidRPr="008D7C81">
        <w:t>Bibliography</w:t>
      </w:r>
      <w:r w:rsidRPr="008D7C81">
        <w:rPr>
          <w:webHidden/>
        </w:rPr>
        <w:tab/>
      </w:r>
      <w:r>
        <w:rPr>
          <w:webHidden/>
        </w:rPr>
        <w:tab/>
      </w:r>
      <w:r w:rsidRPr="008D7C81">
        <w:rPr>
          <w:webHidden/>
        </w:rPr>
        <w:t>15</w:t>
      </w:r>
    </w:p>
    <w:p w14:paraId="68EB4056" w14:textId="317862CD" w:rsidR="00C23C4F" w:rsidRDefault="00C23C4F" w:rsidP="00C23C4F"/>
    <w:p w14:paraId="24100746" w14:textId="77777777" w:rsidR="00C23C4F" w:rsidRPr="00054EAA" w:rsidRDefault="00C23C4F" w:rsidP="00C23C4F"/>
    <w:p w14:paraId="23C134E3" w14:textId="77777777" w:rsidR="0091529C" w:rsidRPr="00054EAA" w:rsidRDefault="0091529C" w:rsidP="00CF530A">
      <w:pPr>
        <w:pStyle w:val="Headingb"/>
      </w:pPr>
    </w:p>
    <w:p w14:paraId="70267328" w14:textId="77777777" w:rsidR="00086E65" w:rsidRPr="00054EAA" w:rsidRDefault="00086E65" w:rsidP="00086E65">
      <w:pPr>
        <w:pStyle w:val="RecNo"/>
        <w:pageBreakBefore/>
      </w:pPr>
      <w:r w:rsidRPr="00054EAA">
        <w:lastRenderedPageBreak/>
        <w:t>Technical Report ITU-T DST</w:t>
      </w:r>
      <w:r w:rsidR="006279FA">
        <w:t>R</w:t>
      </w:r>
      <w:r w:rsidRPr="00054EAA">
        <w:t>-DFSREG</w:t>
      </w:r>
    </w:p>
    <w:p w14:paraId="0E1CA7B1" w14:textId="78526DFD" w:rsidR="00086E65" w:rsidRPr="00054EAA" w:rsidRDefault="00086E65" w:rsidP="00C23C4F">
      <w:pPr>
        <w:pStyle w:val="Rectitle"/>
      </w:pPr>
      <w:r w:rsidRPr="00054EAA">
        <w:t xml:space="preserve">Digital </w:t>
      </w:r>
      <w:r w:rsidR="00680A9D" w:rsidRPr="00054EAA">
        <w:t xml:space="preserve">financial services – </w:t>
      </w:r>
      <w:r w:rsidR="00680A9D">
        <w:br/>
      </w:r>
      <w:bookmarkStart w:id="4" w:name="_GoBack"/>
      <w:bookmarkEnd w:id="4"/>
      <w:r w:rsidR="00680A9D" w:rsidRPr="00054EAA">
        <w:t>Regulation in the digital financial services ecosystem</w:t>
      </w:r>
    </w:p>
    <w:p w14:paraId="75773272" w14:textId="5ED04C80" w:rsidR="00086E65" w:rsidRPr="00054EAA" w:rsidRDefault="00113E0E" w:rsidP="00086E65">
      <w:pPr>
        <w:pStyle w:val="Heading1"/>
        <w:rPr>
          <w:szCs w:val="24"/>
          <w:lang w:bidi="ar-DZ"/>
        </w:rPr>
      </w:pPr>
      <w:bookmarkStart w:id="5" w:name="_Toc401158818"/>
      <w:bookmarkStart w:id="6" w:name="_Toc401159823"/>
      <w:bookmarkStart w:id="7" w:name="_Toc8384777"/>
      <w:bookmarkStart w:id="8" w:name="_Toc8386074"/>
      <w:bookmarkStart w:id="9" w:name="_Toc8394819"/>
      <w:bookmarkStart w:id="10" w:name="_Toc17729412"/>
      <w:r>
        <w:rPr>
          <w:szCs w:val="24"/>
          <w:lang w:bidi="ar-DZ"/>
        </w:rPr>
        <w:t>1</w:t>
      </w:r>
      <w:r>
        <w:rPr>
          <w:szCs w:val="24"/>
          <w:lang w:bidi="ar-DZ"/>
        </w:rPr>
        <w:tab/>
      </w:r>
      <w:r w:rsidR="00086E65" w:rsidRPr="00054EAA">
        <w:rPr>
          <w:szCs w:val="24"/>
          <w:lang w:bidi="ar-DZ"/>
        </w:rPr>
        <w:t>Scope</w:t>
      </w:r>
      <w:bookmarkEnd w:id="5"/>
      <w:bookmarkEnd w:id="6"/>
      <w:bookmarkEnd w:id="7"/>
      <w:bookmarkEnd w:id="8"/>
      <w:bookmarkEnd w:id="9"/>
      <w:bookmarkEnd w:id="10"/>
    </w:p>
    <w:p w14:paraId="78D73B44" w14:textId="77777777" w:rsidR="00086E65" w:rsidRPr="00054EAA" w:rsidRDefault="00086E65" w:rsidP="00086E65">
      <w:pPr>
        <w:rPr>
          <w:szCs w:val="24"/>
        </w:rPr>
      </w:pPr>
      <w:r w:rsidRPr="00054EAA">
        <w:rPr>
          <w:szCs w:val="24"/>
        </w:rPr>
        <w:t>See Summary.</w:t>
      </w:r>
    </w:p>
    <w:p w14:paraId="7409A9A5" w14:textId="258024AD" w:rsidR="00086E65" w:rsidRPr="00054EAA" w:rsidRDefault="00113E0E" w:rsidP="00086E65">
      <w:pPr>
        <w:pStyle w:val="Heading1"/>
        <w:rPr>
          <w:szCs w:val="24"/>
          <w:lang w:bidi="ar-DZ"/>
        </w:rPr>
      </w:pPr>
      <w:bookmarkStart w:id="11" w:name="_Toc401159824"/>
      <w:bookmarkStart w:id="12" w:name="_Toc8384778"/>
      <w:bookmarkStart w:id="13" w:name="_Toc8386075"/>
      <w:bookmarkStart w:id="14" w:name="_Toc8394820"/>
      <w:bookmarkStart w:id="15" w:name="_Toc17729413"/>
      <w:r>
        <w:rPr>
          <w:szCs w:val="24"/>
          <w:lang w:bidi="ar-DZ"/>
        </w:rPr>
        <w:t>2</w:t>
      </w:r>
      <w:r>
        <w:rPr>
          <w:szCs w:val="24"/>
          <w:lang w:bidi="ar-DZ"/>
        </w:rPr>
        <w:tab/>
      </w:r>
      <w:r w:rsidR="00086E65" w:rsidRPr="00054EAA">
        <w:rPr>
          <w:szCs w:val="24"/>
          <w:lang w:bidi="ar-DZ"/>
        </w:rPr>
        <w:t>References</w:t>
      </w:r>
      <w:bookmarkEnd w:id="11"/>
      <w:bookmarkEnd w:id="12"/>
      <w:bookmarkEnd w:id="13"/>
      <w:bookmarkEnd w:id="14"/>
      <w:bookmarkEnd w:id="15"/>
    </w:p>
    <w:p w14:paraId="31BE0838" w14:textId="77777777" w:rsidR="00086E65" w:rsidRPr="00054EAA" w:rsidRDefault="00086E65" w:rsidP="00086E65">
      <w:pPr>
        <w:rPr>
          <w:szCs w:val="24"/>
          <w:lang w:eastAsia="ja-JP" w:bidi="ar-DZ"/>
        </w:rPr>
      </w:pPr>
      <w:r w:rsidRPr="00054EAA">
        <w:rPr>
          <w:szCs w:val="24"/>
          <w:lang w:eastAsia="ja-JP" w:bidi="ar-DZ"/>
        </w:rPr>
        <w:t>None.</w:t>
      </w:r>
    </w:p>
    <w:p w14:paraId="624E07C3" w14:textId="53B7C657" w:rsidR="00086E65" w:rsidRPr="00054EAA" w:rsidRDefault="00113E0E" w:rsidP="00086E65">
      <w:pPr>
        <w:pStyle w:val="Heading1"/>
        <w:rPr>
          <w:szCs w:val="24"/>
          <w:lang w:bidi="ar-DZ"/>
        </w:rPr>
      </w:pPr>
      <w:bookmarkStart w:id="16" w:name="_Toc401158820"/>
      <w:bookmarkStart w:id="17" w:name="_Toc401159825"/>
      <w:bookmarkStart w:id="18" w:name="_Toc8384779"/>
      <w:bookmarkStart w:id="19" w:name="_Toc8386076"/>
      <w:bookmarkStart w:id="20" w:name="_Toc8394821"/>
      <w:bookmarkStart w:id="21" w:name="_Toc17729414"/>
      <w:r>
        <w:rPr>
          <w:szCs w:val="24"/>
          <w:lang w:bidi="ar-DZ"/>
        </w:rPr>
        <w:t>3</w:t>
      </w:r>
      <w:r>
        <w:rPr>
          <w:szCs w:val="24"/>
          <w:lang w:bidi="ar-DZ"/>
        </w:rPr>
        <w:tab/>
      </w:r>
      <w:r w:rsidR="00086E65" w:rsidRPr="00054EAA">
        <w:rPr>
          <w:szCs w:val="24"/>
          <w:lang w:bidi="ar-DZ"/>
        </w:rPr>
        <w:t>Terms and definitions</w:t>
      </w:r>
      <w:bookmarkEnd w:id="16"/>
      <w:bookmarkEnd w:id="17"/>
      <w:bookmarkEnd w:id="18"/>
      <w:bookmarkEnd w:id="19"/>
      <w:bookmarkEnd w:id="20"/>
      <w:bookmarkEnd w:id="21"/>
    </w:p>
    <w:p w14:paraId="668C9F40" w14:textId="77777777" w:rsidR="00086E65" w:rsidRPr="00054EAA" w:rsidRDefault="00DF6F58" w:rsidP="008634D6">
      <w:pPr>
        <w:pStyle w:val="Heading2"/>
        <w:rPr>
          <w:lang w:bidi="ar-DZ"/>
        </w:rPr>
      </w:pPr>
      <w:bookmarkStart w:id="22" w:name="_Toc401158821"/>
      <w:bookmarkStart w:id="23" w:name="_Toc401159826"/>
      <w:bookmarkStart w:id="24" w:name="_Toc8384780"/>
      <w:bookmarkStart w:id="25" w:name="_Toc8386077"/>
      <w:bookmarkStart w:id="26" w:name="_Toc8394822"/>
      <w:bookmarkStart w:id="27" w:name="_Toc17729415"/>
      <w:r>
        <w:rPr>
          <w:lang w:bidi="ar-DZ"/>
        </w:rPr>
        <w:t>3.1</w:t>
      </w:r>
      <w:r>
        <w:rPr>
          <w:lang w:bidi="ar-DZ"/>
        </w:rPr>
        <w:tab/>
      </w:r>
      <w:r w:rsidR="00086E65" w:rsidRPr="00054EAA">
        <w:rPr>
          <w:lang w:bidi="ar-DZ"/>
        </w:rPr>
        <w:t>Terms defined elsewhere</w:t>
      </w:r>
      <w:bookmarkEnd w:id="22"/>
      <w:bookmarkEnd w:id="23"/>
      <w:bookmarkEnd w:id="24"/>
      <w:bookmarkEnd w:id="25"/>
      <w:bookmarkEnd w:id="26"/>
      <w:bookmarkEnd w:id="27"/>
    </w:p>
    <w:p w14:paraId="3BC64B2B" w14:textId="77777777" w:rsidR="00086E65" w:rsidRPr="00054EAA" w:rsidRDefault="00086E65" w:rsidP="00086E65">
      <w:pPr>
        <w:rPr>
          <w:szCs w:val="24"/>
        </w:rPr>
      </w:pPr>
      <w:r w:rsidRPr="00054EAA">
        <w:rPr>
          <w:szCs w:val="24"/>
        </w:rPr>
        <w:t>This Technical Report uses the following terms defined elsewhere:</w:t>
      </w:r>
    </w:p>
    <w:p w14:paraId="413E8032" w14:textId="77777777" w:rsidR="00086E65" w:rsidRPr="00054EAA" w:rsidRDefault="00086E65" w:rsidP="00086E65">
      <w:pPr>
        <w:rPr>
          <w:szCs w:val="24"/>
        </w:rPr>
      </w:pPr>
      <w:r w:rsidRPr="00054EAA">
        <w:rPr>
          <w:bCs/>
          <w:szCs w:val="24"/>
        </w:rPr>
        <w:t>None.</w:t>
      </w:r>
    </w:p>
    <w:p w14:paraId="15C8D442" w14:textId="77777777" w:rsidR="00086E65" w:rsidRPr="00054EAA" w:rsidRDefault="00DF6F58" w:rsidP="008634D6">
      <w:pPr>
        <w:pStyle w:val="Heading2"/>
        <w:rPr>
          <w:lang w:bidi="ar-DZ"/>
        </w:rPr>
      </w:pPr>
      <w:bookmarkStart w:id="28" w:name="_Toc401158822"/>
      <w:bookmarkStart w:id="29" w:name="_Toc401159827"/>
      <w:bookmarkStart w:id="30" w:name="_Toc8384781"/>
      <w:bookmarkStart w:id="31" w:name="_Toc8386078"/>
      <w:bookmarkStart w:id="32" w:name="_Toc8394823"/>
      <w:bookmarkStart w:id="33" w:name="_Toc17729416"/>
      <w:r>
        <w:rPr>
          <w:lang w:bidi="ar-DZ"/>
        </w:rPr>
        <w:t>3.2</w:t>
      </w:r>
      <w:r>
        <w:rPr>
          <w:lang w:bidi="ar-DZ"/>
        </w:rPr>
        <w:tab/>
      </w:r>
      <w:r w:rsidR="00086E65" w:rsidRPr="008634D6">
        <w:t>Terms</w:t>
      </w:r>
      <w:r w:rsidR="00086E65" w:rsidRPr="00054EAA">
        <w:rPr>
          <w:lang w:bidi="ar-DZ"/>
        </w:rPr>
        <w:t xml:space="preserve"> defined here</w:t>
      </w:r>
      <w:bookmarkEnd w:id="28"/>
      <w:bookmarkEnd w:id="29"/>
      <w:bookmarkEnd w:id="30"/>
      <w:bookmarkEnd w:id="31"/>
      <w:bookmarkEnd w:id="32"/>
      <w:bookmarkEnd w:id="33"/>
    </w:p>
    <w:p w14:paraId="5483B680" w14:textId="77777777" w:rsidR="00086E65" w:rsidRPr="00054EAA" w:rsidRDefault="00086E65" w:rsidP="00086E65">
      <w:pPr>
        <w:rPr>
          <w:szCs w:val="24"/>
        </w:rPr>
      </w:pPr>
      <w:r w:rsidRPr="00054EAA">
        <w:rPr>
          <w:szCs w:val="24"/>
        </w:rPr>
        <w:t>This Technical Report defines the following terms:</w:t>
      </w:r>
    </w:p>
    <w:p w14:paraId="5BFD3420" w14:textId="77777777" w:rsidR="00086E65" w:rsidRPr="00054EAA" w:rsidRDefault="00086E65" w:rsidP="00086E65">
      <w:pPr>
        <w:rPr>
          <w:szCs w:val="24"/>
        </w:rPr>
      </w:pPr>
      <w:r w:rsidRPr="00054EAA">
        <w:rPr>
          <w:bCs/>
          <w:szCs w:val="24"/>
        </w:rPr>
        <w:t>None.</w:t>
      </w:r>
    </w:p>
    <w:p w14:paraId="1BC5917C" w14:textId="4C40D7F6" w:rsidR="00086E65" w:rsidRPr="00054EAA" w:rsidRDefault="00113E0E" w:rsidP="00086E65">
      <w:pPr>
        <w:pStyle w:val="Heading1"/>
        <w:rPr>
          <w:lang w:bidi="ar-DZ"/>
        </w:rPr>
      </w:pPr>
      <w:bookmarkStart w:id="34" w:name="_Toc401158823"/>
      <w:bookmarkStart w:id="35" w:name="_Toc401159828"/>
      <w:bookmarkStart w:id="36" w:name="_Toc8384782"/>
      <w:bookmarkStart w:id="37" w:name="_Toc8386079"/>
      <w:bookmarkStart w:id="38" w:name="_Toc8394824"/>
      <w:bookmarkStart w:id="39" w:name="_Toc17729417"/>
      <w:r>
        <w:rPr>
          <w:lang w:bidi="ar-DZ"/>
        </w:rPr>
        <w:t>4</w:t>
      </w:r>
      <w:r>
        <w:rPr>
          <w:lang w:bidi="ar-DZ"/>
        </w:rPr>
        <w:tab/>
      </w:r>
      <w:r w:rsidR="00086E65" w:rsidRPr="00054EAA">
        <w:rPr>
          <w:lang w:bidi="ar-DZ"/>
        </w:rPr>
        <w:t>Abbreviations</w:t>
      </w:r>
      <w:bookmarkEnd w:id="34"/>
      <w:bookmarkEnd w:id="35"/>
      <w:bookmarkEnd w:id="36"/>
      <w:bookmarkEnd w:id="37"/>
      <w:bookmarkEnd w:id="38"/>
      <w:bookmarkEnd w:id="39"/>
    </w:p>
    <w:p w14:paraId="6241D7F8" w14:textId="5B90AA93" w:rsidR="001319FC" w:rsidRDefault="001319FC" w:rsidP="00086E65">
      <w:pPr>
        <w:rPr>
          <w:szCs w:val="24"/>
          <w:lang w:eastAsia="ja-JP" w:bidi="ar-DZ"/>
        </w:rPr>
      </w:pPr>
      <w:r>
        <w:rPr>
          <w:szCs w:val="24"/>
          <w:lang w:eastAsia="ja-JP" w:bidi="ar-DZ"/>
        </w:rPr>
        <w:t>AML</w:t>
      </w:r>
      <w:r w:rsidR="005B285C">
        <w:rPr>
          <w:szCs w:val="24"/>
          <w:lang w:eastAsia="ja-JP" w:bidi="ar-DZ"/>
        </w:rPr>
        <w:tab/>
      </w:r>
      <w:r>
        <w:rPr>
          <w:szCs w:val="24"/>
          <w:lang w:eastAsia="ja-JP" w:bidi="ar-DZ"/>
        </w:rPr>
        <w:t>Anti-Money Laundering</w:t>
      </w:r>
    </w:p>
    <w:p w14:paraId="11723381" w14:textId="301946D6" w:rsidR="00F54DA0" w:rsidRDefault="00F54DA0" w:rsidP="00086E65">
      <w:pPr>
        <w:rPr>
          <w:szCs w:val="24"/>
          <w:lang w:eastAsia="ja-JP" w:bidi="ar-DZ"/>
        </w:rPr>
      </w:pPr>
      <w:r>
        <w:rPr>
          <w:szCs w:val="24"/>
          <w:lang w:eastAsia="ja-JP" w:bidi="ar-DZ"/>
        </w:rPr>
        <w:t>CFT</w:t>
      </w:r>
      <w:r w:rsidR="005B285C">
        <w:rPr>
          <w:szCs w:val="24"/>
          <w:lang w:eastAsia="ja-JP" w:bidi="ar-DZ"/>
        </w:rPr>
        <w:tab/>
      </w:r>
      <w:r>
        <w:rPr>
          <w:szCs w:val="24"/>
          <w:lang w:eastAsia="ja-JP" w:bidi="ar-DZ"/>
        </w:rPr>
        <w:t>Combatting the Financing of Terrorism</w:t>
      </w:r>
    </w:p>
    <w:p w14:paraId="183A2FC5" w14:textId="4CAE515C" w:rsidR="00A25884" w:rsidRDefault="00A25884" w:rsidP="00086E65">
      <w:pPr>
        <w:rPr>
          <w:szCs w:val="24"/>
          <w:lang w:eastAsia="ja-JP" w:bidi="ar-DZ"/>
        </w:rPr>
      </w:pPr>
      <w:r>
        <w:rPr>
          <w:szCs w:val="24"/>
          <w:lang w:eastAsia="ja-JP" w:bidi="ar-DZ"/>
        </w:rPr>
        <w:t>DFS</w:t>
      </w:r>
      <w:r w:rsidR="005B285C">
        <w:rPr>
          <w:szCs w:val="24"/>
          <w:lang w:eastAsia="ja-JP" w:bidi="ar-DZ"/>
        </w:rPr>
        <w:tab/>
      </w:r>
      <w:r>
        <w:rPr>
          <w:szCs w:val="24"/>
          <w:lang w:eastAsia="ja-JP" w:bidi="ar-DZ"/>
        </w:rPr>
        <w:t>Digital Financial Services</w:t>
      </w:r>
    </w:p>
    <w:p w14:paraId="056AFE11" w14:textId="2694CE48" w:rsidR="00086E65" w:rsidRDefault="001319FC" w:rsidP="00086E65">
      <w:pPr>
        <w:rPr>
          <w:szCs w:val="24"/>
          <w:lang w:eastAsia="ja-JP" w:bidi="ar-DZ"/>
        </w:rPr>
      </w:pPr>
      <w:r>
        <w:rPr>
          <w:szCs w:val="24"/>
          <w:lang w:eastAsia="ja-JP" w:bidi="ar-DZ"/>
        </w:rPr>
        <w:t>KYC</w:t>
      </w:r>
      <w:r w:rsidR="005B285C">
        <w:rPr>
          <w:szCs w:val="24"/>
          <w:lang w:eastAsia="ja-JP" w:bidi="ar-DZ"/>
        </w:rPr>
        <w:tab/>
      </w:r>
      <w:r>
        <w:rPr>
          <w:szCs w:val="24"/>
          <w:lang w:eastAsia="ja-JP" w:bidi="ar-DZ"/>
        </w:rPr>
        <w:t>Know Your Customer</w:t>
      </w:r>
    </w:p>
    <w:p w14:paraId="1C338C87" w14:textId="4A9FA312" w:rsidR="00D216DE" w:rsidRDefault="00D216DE" w:rsidP="00086E65">
      <w:pPr>
        <w:rPr>
          <w:szCs w:val="24"/>
          <w:lang w:eastAsia="ja-JP" w:bidi="ar-DZ"/>
        </w:rPr>
      </w:pPr>
      <w:r>
        <w:rPr>
          <w:szCs w:val="24"/>
          <w:lang w:eastAsia="ja-JP" w:bidi="ar-DZ"/>
        </w:rPr>
        <w:t>MNO</w:t>
      </w:r>
      <w:r w:rsidR="005B285C">
        <w:rPr>
          <w:szCs w:val="24"/>
          <w:lang w:eastAsia="ja-JP" w:bidi="ar-DZ"/>
        </w:rPr>
        <w:tab/>
      </w:r>
      <w:r>
        <w:rPr>
          <w:szCs w:val="24"/>
          <w:lang w:eastAsia="ja-JP" w:bidi="ar-DZ"/>
        </w:rPr>
        <w:t>Mobile Network Operator</w:t>
      </w:r>
    </w:p>
    <w:p w14:paraId="4F430F2B" w14:textId="50425A5F" w:rsidR="006348C2" w:rsidRPr="00054EAA" w:rsidRDefault="006348C2" w:rsidP="00086E65">
      <w:pPr>
        <w:rPr>
          <w:szCs w:val="24"/>
          <w:lang w:eastAsia="ja-JP" w:bidi="ar-DZ"/>
        </w:rPr>
      </w:pPr>
      <w:r>
        <w:rPr>
          <w:szCs w:val="24"/>
          <w:lang w:eastAsia="ja-JP" w:bidi="ar-DZ"/>
        </w:rPr>
        <w:t>MOU</w:t>
      </w:r>
      <w:r w:rsidR="005B285C">
        <w:rPr>
          <w:szCs w:val="24"/>
          <w:lang w:eastAsia="ja-JP" w:bidi="ar-DZ"/>
        </w:rPr>
        <w:tab/>
      </w:r>
      <w:r>
        <w:rPr>
          <w:szCs w:val="24"/>
          <w:lang w:eastAsia="ja-JP" w:bidi="ar-DZ"/>
        </w:rPr>
        <w:t>Memorandum of Understanding</w:t>
      </w:r>
    </w:p>
    <w:p w14:paraId="74A1989B" w14:textId="6EA9E8D5" w:rsidR="00467172" w:rsidRPr="00054EAA" w:rsidRDefault="00113E0E" w:rsidP="00467172">
      <w:pPr>
        <w:pStyle w:val="Heading1"/>
        <w:rPr>
          <w:lang w:bidi="ar-DZ"/>
        </w:rPr>
      </w:pPr>
      <w:bookmarkStart w:id="40" w:name="_Toc8394825"/>
      <w:bookmarkStart w:id="41" w:name="_Toc17729418"/>
      <w:r>
        <w:rPr>
          <w:lang w:bidi="ar-DZ"/>
        </w:rPr>
        <w:t>5</w:t>
      </w:r>
      <w:r>
        <w:rPr>
          <w:lang w:bidi="ar-DZ"/>
        </w:rPr>
        <w:tab/>
      </w:r>
      <w:r w:rsidR="00C8520A" w:rsidRPr="00054EAA">
        <w:rPr>
          <w:lang w:bidi="ar-DZ"/>
        </w:rPr>
        <w:t>Introduction</w:t>
      </w:r>
      <w:bookmarkEnd w:id="40"/>
      <w:bookmarkEnd w:id="41"/>
    </w:p>
    <w:p w14:paraId="7668689E" w14:textId="77777777" w:rsidR="006B7521" w:rsidRPr="00054EAA" w:rsidRDefault="006B7521" w:rsidP="006B7521">
      <w:bookmarkStart w:id="42" w:name="_Ref316373639"/>
      <w:bookmarkStart w:id="43" w:name="_Toc318199638"/>
      <w:bookmarkStart w:id="44" w:name="_Toc323556786"/>
      <w:bookmarkStart w:id="45" w:name="_Toc401158819"/>
      <w:r w:rsidRPr="00054EAA">
        <w:t>The Ecosystem Working Group of the ITU DFS Focus Group was tasked with providing a comprehensive listing of the regul</w:t>
      </w:r>
      <w:r w:rsidR="00BA31ED" w:rsidRPr="00054EAA">
        <w:t xml:space="preserve">atory issues in the ecosystem. </w:t>
      </w:r>
      <w:r w:rsidRPr="00054EAA">
        <w:t>This is a very important part of the ecosystem, as regulations may enable or thwart a healthy digital financial services ecosystem and therefore the potential to realize the goals of financial inclusion.</w:t>
      </w:r>
    </w:p>
    <w:p w14:paraId="1E826E69" w14:textId="77777777" w:rsidR="006B7521" w:rsidRPr="00054EAA" w:rsidRDefault="006B7521" w:rsidP="006B7521">
      <w:r w:rsidRPr="00054EAA">
        <w:t xml:space="preserve">This </w:t>
      </w:r>
      <w:r w:rsidR="00BA31ED" w:rsidRPr="00054EAA">
        <w:t>Technical Report</w:t>
      </w:r>
      <w:r w:rsidRPr="00054EAA">
        <w:t xml:space="preserve"> categorizes the issues and highlights the financial inclusi</w:t>
      </w:r>
      <w:r w:rsidR="00980E22" w:rsidRPr="00054EAA">
        <w:t xml:space="preserve">on perspectives of each topic. </w:t>
      </w:r>
      <w:r w:rsidRPr="00054EAA">
        <w:t>The group also considered the issues of managing the regulatory environment, particularly given the intersecting domains of financial and telecommunications regulation.</w:t>
      </w:r>
    </w:p>
    <w:p w14:paraId="0CD2731C" w14:textId="77777777" w:rsidR="006B7521" w:rsidRPr="00054EAA" w:rsidRDefault="006B7521" w:rsidP="006B7521">
      <w:r w:rsidRPr="00054EAA">
        <w:t>Note that the interconnections and effects of one regulation on another were considered outside of scope but should be considered within a country context</w:t>
      </w:r>
      <w:r w:rsidR="00BA31ED" w:rsidRPr="00054EAA">
        <w:t xml:space="preserve">. </w:t>
      </w:r>
      <w:r w:rsidRPr="00054EAA">
        <w:t>Furthermore, the effects of specific country contexts or conditions were not considered</w:t>
      </w:r>
      <w:r w:rsidR="00BA31ED" w:rsidRPr="00054EAA">
        <w:t xml:space="preserve"> in </w:t>
      </w:r>
      <w:r w:rsidR="00B26287" w:rsidRPr="00054EAA">
        <w:t>this Technical Report</w:t>
      </w:r>
      <w:r w:rsidR="00BA31ED" w:rsidRPr="00054EAA">
        <w:t>.</w:t>
      </w:r>
    </w:p>
    <w:p w14:paraId="0096BF29" w14:textId="075625E0" w:rsidR="006B7521" w:rsidRPr="00054EAA" w:rsidRDefault="00113E0E" w:rsidP="006B7521">
      <w:pPr>
        <w:pStyle w:val="Heading1"/>
        <w:rPr>
          <w:lang w:bidi="ar-DZ"/>
        </w:rPr>
      </w:pPr>
      <w:bookmarkStart w:id="46" w:name="_Toc8394826"/>
      <w:bookmarkStart w:id="47" w:name="_Toc17729419"/>
      <w:r>
        <w:rPr>
          <w:lang w:bidi="ar-DZ"/>
        </w:rPr>
        <w:lastRenderedPageBreak/>
        <w:t>6</w:t>
      </w:r>
      <w:r>
        <w:rPr>
          <w:lang w:bidi="ar-DZ"/>
        </w:rPr>
        <w:tab/>
      </w:r>
      <w:r w:rsidR="006B7521" w:rsidRPr="00054EAA">
        <w:rPr>
          <w:lang w:bidi="ar-DZ"/>
        </w:rPr>
        <w:t xml:space="preserve">Categories of </w:t>
      </w:r>
      <w:r w:rsidR="006348C2">
        <w:rPr>
          <w:lang w:bidi="ar-DZ"/>
        </w:rPr>
        <w:t>r</w:t>
      </w:r>
      <w:r w:rsidR="006B7521" w:rsidRPr="00054EAA">
        <w:rPr>
          <w:lang w:bidi="ar-DZ"/>
        </w:rPr>
        <w:t>egulation</w:t>
      </w:r>
      <w:bookmarkEnd w:id="46"/>
      <w:bookmarkEnd w:id="47"/>
    </w:p>
    <w:p w14:paraId="32302E09" w14:textId="309F6778" w:rsidR="006B7521" w:rsidRPr="00054EAA" w:rsidRDefault="001319FC" w:rsidP="006B7521">
      <w:r>
        <w:t>R</w:t>
      </w:r>
      <w:r w:rsidR="006B7521" w:rsidRPr="00054EAA">
        <w:t>egulations</w:t>
      </w:r>
      <w:r>
        <w:t xml:space="preserve"> have been categorized</w:t>
      </w:r>
      <w:r w:rsidR="006B7521" w:rsidRPr="00054EAA">
        <w:t xml:space="preserve"> related to digital financial services and financial inclusion across 6 categories, including: </w:t>
      </w:r>
      <w:r w:rsidR="00F54DA0">
        <w:t>a</w:t>
      </w:r>
      <w:r w:rsidR="006B7521" w:rsidRPr="00054EAA">
        <w:t xml:space="preserve">gents, </w:t>
      </w:r>
      <w:r w:rsidR="00F54DA0">
        <w:t>c</w:t>
      </w:r>
      <w:r w:rsidR="006B7521" w:rsidRPr="00054EAA">
        <w:t xml:space="preserve">onsumer </w:t>
      </w:r>
      <w:r w:rsidR="00F54DA0">
        <w:t>p</w:t>
      </w:r>
      <w:r w:rsidR="006B7521" w:rsidRPr="00054EAA">
        <w:t xml:space="preserve">rotection, </w:t>
      </w:r>
      <w:r w:rsidR="00F54DA0">
        <w:t>m</w:t>
      </w:r>
      <w:r w:rsidR="006B7521" w:rsidRPr="00054EAA">
        <w:t xml:space="preserve">arket </w:t>
      </w:r>
      <w:r w:rsidR="00F54DA0">
        <w:t>a</w:t>
      </w:r>
      <w:r w:rsidR="006B7521" w:rsidRPr="00054EAA">
        <w:t xml:space="preserve">ccess, </w:t>
      </w:r>
      <w:r w:rsidR="00F54DA0">
        <w:t>p</w:t>
      </w:r>
      <w:r w:rsidR="006B7521" w:rsidRPr="00054EAA">
        <w:t xml:space="preserve">ayment </w:t>
      </w:r>
      <w:r w:rsidR="00F54DA0">
        <w:t>s</w:t>
      </w:r>
      <w:r w:rsidR="006B7521" w:rsidRPr="00054EAA">
        <w:t xml:space="preserve">ystems, </w:t>
      </w:r>
      <w:r w:rsidR="00F54DA0">
        <w:t>r</w:t>
      </w:r>
      <w:r w:rsidR="006B7521" w:rsidRPr="00054EAA">
        <w:t xml:space="preserve">isk </w:t>
      </w:r>
      <w:r w:rsidR="00F54DA0">
        <w:t>m</w:t>
      </w:r>
      <w:r w:rsidR="006B7521" w:rsidRPr="00054EAA">
        <w:t xml:space="preserve">anagement, </w:t>
      </w:r>
      <w:r w:rsidR="00F54DA0">
        <w:t>o</w:t>
      </w:r>
      <w:r w:rsidR="006B7521" w:rsidRPr="00054EAA">
        <w:t>ther</w:t>
      </w:r>
      <w:r w:rsidR="00B32E60" w:rsidRPr="00054EAA">
        <w:t>.</w:t>
      </w:r>
    </w:p>
    <w:p w14:paraId="7D62D434" w14:textId="0EF7A478" w:rsidR="00465401" w:rsidRPr="00054EAA" w:rsidRDefault="00113E0E" w:rsidP="00465401">
      <w:pPr>
        <w:pStyle w:val="Heading2"/>
      </w:pPr>
      <w:bookmarkStart w:id="48" w:name="_Toc321143787"/>
      <w:bookmarkStart w:id="49" w:name="_Toc8394827"/>
      <w:bookmarkStart w:id="50" w:name="_Toc17729420"/>
      <w:r>
        <w:t>6.1</w:t>
      </w:r>
      <w:r>
        <w:tab/>
      </w:r>
      <w:r w:rsidR="006B7521" w:rsidRPr="00054EAA">
        <w:t xml:space="preserve">Category 1: </w:t>
      </w:r>
      <w:bookmarkEnd w:id="42"/>
      <w:bookmarkEnd w:id="43"/>
      <w:bookmarkEnd w:id="44"/>
      <w:bookmarkEnd w:id="48"/>
      <w:r w:rsidR="006348C2">
        <w:t>a</w:t>
      </w:r>
      <w:r w:rsidR="00465401" w:rsidRPr="00054EAA">
        <w:t>gents</w:t>
      </w:r>
      <w:bookmarkEnd w:id="49"/>
      <w:bookmarkEnd w:id="50"/>
    </w:p>
    <w:p w14:paraId="5373B86D" w14:textId="77777777" w:rsidR="00465401" w:rsidRPr="00054EAA" w:rsidRDefault="00465401" w:rsidP="00465401">
      <w:pPr>
        <w:pStyle w:val="enumlev10"/>
      </w:pPr>
      <w:r w:rsidRPr="00054EAA">
        <w:t>•</w:t>
      </w:r>
      <w:r w:rsidRPr="00054EAA">
        <w:tab/>
        <w:t>Governing agent exclusivity (across all digital financial service providers)</w:t>
      </w:r>
    </w:p>
    <w:p w14:paraId="197714A0" w14:textId="248B6769" w:rsidR="00465401" w:rsidRPr="00054EAA" w:rsidRDefault="00FB6C72" w:rsidP="00FB6C72">
      <w:pPr>
        <w:pStyle w:val="enumlev20"/>
        <w:rPr>
          <w:i/>
        </w:rPr>
      </w:pPr>
      <w:r w:rsidRPr="00054EAA">
        <w:rPr>
          <w:b/>
          <w:bCs/>
        </w:rPr>
        <w:t>–</w:t>
      </w:r>
      <w:r w:rsidRPr="00054EAA">
        <w:rPr>
          <w:b/>
          <w:bCs/>
        </w:rPr>
        <w:tab/>
      </w:r>
      <w:r w:rsidR="00465401" w:rsidRPr="00BF30B1">
        <w:t xml:space="preserve">Financial </w:t>
      </w:r>
      <w:r w:rsidR="00F23A04" w:rsidRPr="00F23A04">
        <w:t>inclusion perspective</w:t>
      </w:r>
      <w:r w:rsidR="00465401" w:rsidRPr="00BF30B1">
        <w:t>:</w:t>
      </w:r>
      <w:r w:rsidR="00465401" w:rsidRPr="00054EAA">
        <w:t xml:space="preserve"> exclusivity may create barriers to access, vis-à-vis non-interoperable networks. However, allowing exclusivity, for a short period of time, may serve as an incentive to first movers.</w:t>
      </w:r>
    </w:p>
    <w:p w14:paraId="085F0E9A" w14:textId="6D6CFC63" w:rsidR="00465401" w:rsidRPr="00054EAA" w:rsidRDefault="00465401" w:rsidP="00465401">
      <w:pPr>
        <w:pStyle w:val="enumlev10"/>
      </w:pPr>
      <w:r w:rsidRPr="00054EAA">
        <w:t>•</w:t>
      </w:r>
      <w:r w:rsidRPr="00054EAA">
        <w:tab/>
        <w:t>Authorization of agents by the financial services regulatory authority</w:t>
      </w:r>
      <w:r w:rsidR="00F54DA0">
        <w:t>/</w:t>
      </w:r>
      <w:proofErr w:type="spellStart"/>
      <w:r w:rsidRPr="00054EAA">
        <w:t>ies</w:t>
      </w:r>
      <w:proofErr w:type="spellEnd"/>
    </w:p>
    <w:p w14:paraId="41BFE091" w14:textId="0FA23F37" w:rsidR="00465401" w:rsidRPr="00054EAA" w:rsidRDefault="00FB6C72" w:rsidP="00FB6C72">
      <w:pPr>
        <w:pStyle w:val="enumlev20"/>
        <w:rPr>
          <w:i/>
        </w:rPr>
      </w:pPr>
      <w:r w:rsidRPr="00054EAA">
        <w:rPr>
          <w:b/>
          <w:bCs/>
        </w:rPr>
        <w:t>–</w:t>
      </w:r>
      <w:r w:rsidRPr="00054EAA">
        <w:rPr>
          <w:b/>
          <w:bCs/>
        </w:rPr>
        <w:tab/>
      </w:r>
      <w:r w:rsidR="00465401" w:rsidRPr="00BF30B1">
        <w:t xml:space="preserve">Financial </w:t>
      </w:r>
      <w:r w:rsidR="00F23A04" w:rsidRPr="00F23A04">
        <w:t>inclusion perspective</w:t>
      </w:r>
      <w:r w:rsidR="00465401" w:rsidRPr="00BF30B1">
        <w:t>:</w:t>
      </w:r>
      <w:r w:rsidR="00465401" w:rsidRPr="00054EAA">
        <w:t xml:space="preserve"> authorization can be burdensome and may limit agent network development. However, guidelines may need to be issued for proper identification and notification of agents to the regulatory authority to help enable appro</w:t>
      </w:r>
      <w:r w:rsidR="00BA31ED" w:rsidRPr="00054EAA">
        <w:t>priate tracking and monitoring.</w:t>
      </w:r>
    </w:p>
    <w:p w14:paraId="79170479" w14:textId="77777777" w:rsidR="00465401" w:rsidRPr="00054EAA" w:rsidRDefault="00465401" w:rsidP="00465401">
      <w:pPr>
        <w:pStyle w:val="enumlev10"/>
      </w:pPr>
      <w:r w:rsidRPr="00054EAA">
        <w:t>•</w:t>
      </w:r>
      <w:r w:rsidRPr="00054EAA">
        <w:tab/>
        <w:t>Identifying requirements and restrictions around who can operate and serve as an agent, including security requirements</w:t>
      </w:r>
    </w:p>
    <w:p w14:paraId="03138215" w14:textId="1042DBB9" w:rsidR="00465401" w:rsidRPr="00054EAA" w:rsidRDefault="00FB6C72" w:rsidP="00FB6C72">
      <w:pPr>
        <w:pStyle w:val="enumlev20"/>
        <w:rPr>
          <w:i/>
        </w:rPr>
      </w:pPr>
      <w:r w:rsidRPr="00054EAA">
        <w:rPr>
          <w:b/>
          <w:bCs/>
        </w:rPr>
        <w:t>–</w:t>
      </w:r>
      <w:r w:rsidRPr="00054EAA">
        <w:rPr>
          <w:b/>
          <w:bCs/>
        </w:rPr>
        <w:tab/>
      </w:r>
      <w:r w:rsidR="00465401" w:rsidRPr="00BF30B1">
        <w:t xml:space="preserve">Financial </w:t>
      </w:r>
      <w:r w:rsidR="00F23A04" w:rsidRPr="00F23A04">
        <w:t>inclusion perspective</w:t>
      </w:r>
      <w:r w:rsidR="00465401" w:rsidRPr="00BF30B1">
        <w:t>:</w:t>
      </w:r>
      <w:r w:rsidR="00465401" w:rsidRPr="00054EAA">
        <w:t xml:space="preserve"> if few limitations are placed on who can serve as an agent, it may allow greater access of services by th</w:t>
      </w:r>
      <w:r w:rsidR="00BA31ED" w:rsidRPr="00054EAA">
        <w:t>e unbanked.</w:t>
      </w:r>
    </w:p>
    <w:p w14:paraId="1E72174E" w14:textId="4D6D5BDF" w:rsidR="00F61E52" w:rsidRPr="00054EAA" w:rsidRDefault="00113E0E" w:rsidP="00F61E52">
      <w:pPr>
        <w:pStyle w:val="Heading2"/>
      </w:pPr>
      <w:bookmarkStart w:id="51" w:name="_Toc321143788"/>
      <w:bookmarkStart w:id="52" w:name="_Toc8394828"/>
      <w:bookmarkStart w:id="53" w:name="_Toc17729421"/>
      <w:r>
        <w:t>6.2</w:t>
      </w:r>
      <w:r>
        <w:tab/>
      </w:r>
      <w:r w:rsidR="00F61E52" w:rsidRPr="00054EAA">
        <w:t xml:space="preserve">Category 2: </w:t>
      </w:r>
      <w:r w:rsidR="006348C2">
        <w:t>c</w:t>
      </w:r>
      <w:r w:rsidR="00F61E52" w:rsidRPr="00054EAA">
        <w:t xml:space="preserve">onsumer </w:t>
      </w:r>
      <w:r w:rsidR="006348C2">
        <w:t>p</w:t>
      </w:r>
      <w:r w:rsidR="00F61E52" w:rsidRPr="00054EAA">
        <w:t>rotection</w:t>
      </w:r>
      <w:bookmarkEnd w:id="51"/>
      <w:bookmarkEnd w:id="52"/>
      <w:bookmarkEnd w:id="53"/>
    </w:p>
    <w:p w14:paraId="19F4BD3E" w14:textId="77777777" w:rsidR="00F61E52" w:rsidRPr="00054EAA" w:rsidRDefault="00F61E52" w:rsidP="00F61E52">
      <w:pPr>
        <w:pStyle w:val="enumlev10"/>
      </w:pPr>
      <w:r w:rsidRPr="00054EAA">
        <w:t>•</w:t>
      </w:r>
      <w:r w:rsidRPr="00054EAA">
        <w:tab/>
        <w:t>Governing the ease of switching between alternative service providers</w:t>
      </w:r>
    </w:p>
    <w:p w14:paraId="5D0CBCF4" w14:textId="4C5DD98A" w:rsidR="00F61E52" w:rsidRPr="00054EAA" w:rsidRDefault="00F61E52" w:rsidP="00F61E52">
      <w:pPr>
        <w:pStyle w:val="enumlev20"/>
        <w:rPr>
          <w:i/>
        </w:rPr>
      </w:pPr>
      <w:r w:rsidRPr="00054EAA">
        <w:rPr>
          <w:b/>
          <w:bCs/>
        </w:rPr>
        <w:t>–</w:t>
      </w:r>
      <w:r w:rsidRPr="00054EAA">
        <w:rPr>
          <w:b/>
          <w:bCs/>
        </w:rPr>
        <w:tab/>
      </w:r>
      <w:r w:rsidRPr="00BF30B1">
        <w:t xml:space="preserve">Financial </w:t>
      </w:r>
      <w:r w:rsidR="005B285C">
        <w:t>i</w:t>
      </w:r>
      <w:r w:rsidRPr="00BF30B1">
        <w:t xml:space="preserve">nclusion </w:t>
      </w:r>
      <w:r w:rsidR="005B285C">
        <w:t>p</w:t>
      </w:r>
      <w:r w:rsidRPr="00BF30B1">
        <w:t>erspective:</w:t>
      </w:r>
      <w:r w:rsidRPr="00054EAA">
        <w:t xml:space="preserve"> promoting ease of switching may allow end users, particularly the unbanked, </w:t>
      </w:r>
      <w:r w:rsidR="006348C2" w:rsidRPr="00054EAA">
        <w:t>and the</w:t>
      </w:r>
      <w:r w:rsidRPr="00054EAA">
        <w:t xml:space="preserve"> power of choice. Heavy termination fees should likely be avoided.</w:t>
      </w:r>
    </w:p>
    <w:p w14:paraId="4CB9B6C7" w14:textId="77777777" w:rsidR="00F61E52" w:rsidRPr="00054EAA" w:rsidRDefault="00F61E52" w:rsidP="00F61E52">
      <w:pPr>
        <w:pStyle w:val="enumlev10"/>
      </w:pPr>
      <w:r w:rsidRPr="00054EAA">
        <w:t>•</w:t>
      </w:r>
      <w:r w:rsidRPr="00054EAA">
        <w:tab/>
        <w:t xml:space="preserve">Outlining end user privacy of payments and transactions, including governing the use of end user data by entities (both formal and informal) other than the end user </w:t>
      </w:r>
    </w:p>
    <w:p w14:paraId="0BA5DDD7" w14:textId="51DB796D" w:rsidR="00F61E52" w:rsidRPr="00054EAA" w:rsidRDefault="00F61E52" w:rsidP="00F61E52">
      <w:pPr>
        <w:pStyle w:val="enumlev20"/>
      </w:pPr>
      <w:r w:rsidRPr="00054EAA">
        <w:rPr>
          <w:b/>
          <w:bCs/>
        </w:rPr>
        <w:t>–</w:t>
      </w:r>
      <w:r w:rsidRPr="00054EAA">
        <w:rPr>
          <w:b/>
          <w:bCs/>
        </w:rPr>
        <w:tab/>
      </w:r>
      <w:r w:rsidRPr="00BF30B1">
        <w:t xml:space="preserve">Financial </w:t>
      </w:r>
      <w:r w:rsidR="005B285C">
        <w:t>i</w:t>
      </w:r>
      <w:r w:rsidRPr="00BF30B1">
        <w:t xml:space="preserve">nclusion </w:t>
      </w:r>
      <w:r w:rsidR="005B285C">
        <w:t>p</w:t>
      </w:r>
      <w:r w:rsidRPr="00BF30B1">
        <w:t>erspective:</w:t>
      </w:r>
      <w:r w:rsidRPr="00054EAA">
        <w:t xml:space="preserve"> allowing access to end user data may allow for improved products/services, but may be used incorrectly, resulting in invas</w:t>
      </w:r>
      <w:r w:rsidR="00ED5471">
        <w:t>ive advertising (e.g. spamming)</w:t>
      </w:r>
      <w:r w:rsidRPr="00054EAA">
        <w:t xml:space="preserve"> and aggressive selling. These </w:t>
      </w:r>
      <w:r w:rsidR="00F54DA0" w:rsidRPr="00054EAA">
        <w:t>trade-offs</w:t>
      </w:r>
      <w:r w:rsidRPr="00054EAA">
        <w:t xml:space="preserve"> should be top of mind as regulators determine the appropriate level of privacy.</w:t>
      </w:r>
    </w:p>
    <w:p w14:paraId="753C4A02" w14:textId="77777777" w:rsidR="00F61E52" w:rsidRPr="00054EAA" w:rsidRDefault="00F61E52" w:rsidP="00F61E52">
      <w:pPr>
        <w:pStyle w:val="enumlev10"/>
      </w:pPr>
      <w:r w:rsidRPr="00054EAA">
        <w:t>•</w:t>
      </w:r>
      <w:r w:rsidRPr="00054EAA">
        <w:tab/>
        <w:t>Determining information transparency, including those related to fees</w:t>
      </w:r>
    </w:p>
    <w:p w14:paraId="24F024D1" w14:textId="6D0DA9CD" w:rsidR="00F61E52" w:rsidRPr="00054EAA" w:rsidRDefault="00F61E52" w:rsidP="00F61E52">
      <w:pPr>
        <w:pStyle w:val="enumlev20"/>
      </w:pPr>
      <w:r w:rsidRPr="00054EAA">
        <w:rPr>
          <w:b/>
          <w:bCs/>
        </w:rPr>
        <w:t>–</w:t>
      </w:r>
      <w:r w:rsidRPr="00054EAA">
        <w:rPr>
          <w:b/>
          <w:bCs/>
        </w:rPr>
        <w:tab/>
      </w:r>
      <w:r w:rsidRPr="00BF30B1">
        <w:t>Financial Inclusion Perspective:</w:t>
      </w:r>
      <w:r w:rsidRPr="00054EAA">
        <w:t xml:space="preserve"> it is in the end user</w:t>
      </w:r>
      <w:r w:rsidR="004A4248">
        <w:t>'</w:t>
      </w:r>
      <w:r w:rsidRPr="00054EAA">
        <w:t>s best interest to have a strong understanding of how digital financial services may or may not impact them and their behavio</w:t>
      </w:r>
      <w:r w:rsidR="00743A9B">
        <w:t>u</w:t>
      </w:r>
      <w:r w:rsidRPr="00054EAA">
        <w:t>r. This transparency is particularly valuable as it relates to fees applied to a transaction. Ideally, fees are communicated before the transaction is submitted.</w:t>
      </w:r>
    </w:p>
    <w:p w14:paraId="2BC12398" w14:textId="776A5067" w:rsidR="000247ED" w:rsidRPr="00054EAA" w:rsidRDefault="00113E0E" w:rsidP="000247ED">
      <w:pPr>
        <w:pStyle w:val="Heading2"/>
      </w:pPr>
      <w:bookmarkStart w:id="54" w:name="_Toc321143789"/>
      <w:bookmarkStart w:id="55" w:name="_Toc8394829"/>
      <w:bookmarkStart w:id="56" w:name="_Toc17729422"/>
      <w:r>
        <w:t>6.3</w:t>
      </w:r>
      <w:r>
        <w:tab/>
      </w:r>
      <w:r w:rsidR="000247ED" w:rsidRPr="00054EAA">
        <w:t xml:space="preserve">Category 3: </w:t>
      </w:r>
      <w:r w:rsidR="006348C2">
        <w:t>m</w:t>
      </w:r>
      <w:r w:rsidR="000247ED" w:rsidRPr="00054EAA">
        <w:t xml:space="preserve">arket </w:t>
      </w:r>
      <w:r w:rsidR="006348C2">
        <w:t>a</w:t>
      </w:r>
      <w:r w:rsidR="000247ED" w:rsidRPr="00054EAA">
        <w:t>ccess</w:t>
      </w:r>
      <w:bookmarkEnd w:id="54"/>
      <w:bookmarkEnd w:id="55"/>
      <w:bookmarkEnd w:id="56"/>
    </w:p>
    <w:p w14:paraId="2B7F4481" w14:textId="77777777" w:rsidR="000247ED" w:rsidRPr="00054EAA" w:rsidRDefault="000247ED" w:rsidP="000247ED">
      <w:pPr>
        <w:pStyle w:val="enumlev10"/>
      </w:pPr>
      <w:r w:rsidRPr="00054EAA">
        <w:t>•</w:t>
      </w:r>
      <w:r w:rsidRPr="00054EAA">
        <w:tab/>
        <w:t>Specifying the types of entities that can hold a mobile money license or offer digital financial services</w:t>
      </w:r>
    </w:p>
    <w:p w14:paraId="4C73CAE0" w14:textId="3D9B3033" w:rsidR="000247ED" w:rsidRPr="00054EAA" w:rsidRDefault="000247ED" w:rsidP="000247ED">
      <w:pPr>
        <w:pStyle w:val="enumlev20"/>
        <w:rPr>
          <w:i/>
        </w:rPr>
      </w:pPr>
      <w:r w:rsidRPr="00054EAA">
        <w:rPr>
          <w:b/>
          <w:bCs/>
        </w:rPr>
        <w:t>–</w:t>
      </w:r>
      <w:r w:rsidRPr="00054EAA">
        <w:rPr>
          <w:b/>
          <w:bCs/>
        </w:rPr>
        <w:tab/>
      </w:r>
      <w:r w:rsidRPr="00BF30B1">
        <w:t xml:space="preserve">Financial </w:t>
      </w:r>
      <w:r w:rsidR="00AE0151" w:rsidRPr="00AE0151">
        <w:t>inclusion perspective</w:t>
      </w:r>
      <w:r w:rsidRPr="00BF30B1">
        <w:t>:</w:t>
      </w:r>
      <w:r w:rsidRPr="00054EAA">
        <w:t xml:space="preserve"> an open system is beneficial to lower income end users as it likely increases access and drives prices down</w:t>
      </w:r>
      <w:r w:rsidR="00BA31ED" w:rsidRPr="00054EAA">
        <w:t xml:space="preserve"> through increased competition.</w:t>
      </w:r>
    </w:p>
    <w:p w14:paraId="113ACE31" w14:textId="77777777" w:rsidR="000247ED" w:rsidRPr="00054EAA" w:rsidRDefault="000247ED" w:rsidP="000247ED">
      <w:pPr>
        <w:pStyle w:val="enumlev10"/>
      </w:pPr>
      <w:r w:rsidRPr="00054EAA">
        <w:t>•</w:t>
      </w:r>
      <w:r w:rsidRPr="00054EAA">
        <w:tab/>
        <w:t>Cross-border money transfer</w:t>
      </w:r>
    </w:p>
    <w:p w14:paraId="1804E6F9" w14:textId="12F67BB1" w:rsidR="000247ED" w:rsidRPr="00054EAA" w:rsidRDefault="000247ED" w:rsidP="000247ED">
      <w:pPr>
        <w:pStyle w:val="enumlev20"/>
        <w:rPr>
          <w:i/>
        </w:rPr>
      </w:pPr>
      <w:r w:rsidRPr="00054EAA">
        <w:rPr>
          <w:b/>
          <w:bCs/>
        </w:rPr>
        <w:t>–</w:t>
      </w:r>
      <w:r w:rsidRPr="00054EAA">
        <w:rPr>
          <w:b/>
          <w:bCs/>
        </w:rPr>
        <w:tab/>
      </w:r>
      <w:r w:rsidRPr="00BF30B1">
        <w:t xml:space="preserve">Financial </w:t>
      </w:r>
      <w:r w:rsidR="00AE0151" w:rsidRPr="00AE0151">
        <w:t>inclusion perspective</w:t>
      </w:r>
      <w:r w:rsidRPr="00BF30B1">
        <w:t>:</w:t>
      </w:r>
      <w:r w:rsidRPr="00054EAA">
        <w:t xml:space="preserve"> recognizing that many unbanked end users may migrate to support themselves and their families, regulations should also aim to support open, low-value cross border payments.</w:t>
      </w:r>
    </w:p>
    <w:p w14:paraId="0F1DA8A4" w14:textId="77777777" w:rsidR="000247ED" w:rsidRPr="00054EAA" w:rsidRDefault="000247ED" w:rsidP="000247ED">
      <w:pPr>
        <w:pStyle w:val="enumlev10"/>
      </w:pPr>
      <w:r w:rsidRPr="00054EAA">
        <w:lastRenderedPageBreak/>
        <w:t>•</w:t>
      </w:r>
      <w:r w:rsidRPr="00054EAA">
        <w:tab/>
        <w:t>Outlining entry and exit controls of digital financial service providers and other entities participating in the scheme</w:t>
      </w:r>
    </w:p>
    <w:p w14:paraId="7FDB484F" w14:textId="46236F02" w:rsidR="000247ED" w:rsidRPr="00054EAA" w:rsidRDefault="000247ED" w:rsidP="000247ED">
      <w:pPr>
        <w:pStyle w:val="enumlev20"/>
      </w:pPr>
      <w:r w:rsidRPr="00054EAA">
        <w:rPr>
          <w:b/>
          <w:bCs/>
        </w:rPr>
        <w:t>–</w:t>
      </w:r>
      <w:r w:rsidRPr="00054EAA">
        <w:rPr>
          <w:b/>
          <w:bCs/>
        </w:rPr>
        <w:tab/>
      </w:r>
      <w:r w:rsidRPr="00BF30B1">
        <w:t xml:space="preserve">Financial </w:t>
      </w:r>
      <w:r w:rsidR="00AE0151" w:rsidRPr="00AE0151">
        <w:t>inclusion perspective</w:t>
      </w:r>
      <w:r w:rsidRPr="00BF30B1">
        <w:t>:</w:t>
      </w:r>
      <w:r w:rsidRPr="00F54DA0">
        <w:t xml:space="preserve"> </w:t>
      </w:r>
      <w:r w:rsidRPr="00054EAA">
        <w:t>increasing entry and exit controls is likely to decrease access, which may limit competition and innovation. However, fragmented markets can be difficult to properly supervise. As a result, regulators should aim for lower entry and exit controls assuming supervision does not suffer.</w:t>
      </w:r>
    </w:p>
    <w:p w14:paraId="1A71E966" w14:textId="449B69D1" w:rsidR="00192F0D" w:rsidRPr="00054EAA" w:rsidRDefault="00113E0E" w:rsidP="00192F0D">
      <w:pPr>
        <w:pStyle w:val="Heading2"/>
      </w:pPr>
      <w:bookmarkStart w:id="57" w:name="_Toc321143790"/>
      <w:bookmarkStart w:id="58" w:name="_Toc8394830"/>
      <w:bookmarkStart w:id="59" w:name="_Toc17729423"/>
      <w:r>
        <w:t>6.4</w:t>
      </w:r>
      <w:r>
        <w:tab/>
      </w:r>
      <w:r w:rsidR="00192F0D" w:rsidRPr="00054EAA">
        <w:t xml:space="preserve">Category 4: </w:t>
      </w:r>
      <w:r w:rsidR="006348C2">
        <w:t>p</w:t>
      </w:r>
      <w:r w:rsidR="00192F0D" w:rsidRPr="00054EAA">
        <w:t xml:space="preserve">ayment </w:t>
      </w:r>
      <w:r w:rsidR="006348C2">
        <w:t>s</w:t>
      </w:r>
      <w:r w:rsidR="00192F0D" w:rsidRPr="00054EAA">
        <w:t>ystems</w:t>
      </w:r>
      <w:bookmarkEnd w:id="57"/>
      <w:bookmarkEnd w:id="58"/>
      <w:bookmarkEnd w:id="59"/>
    </w:p>
    <w:p w14:paraId="1F13BAB5" w14:textId="77777777" w:rsidR="00192F0D" w:rsidRPr="00054EAA" w:rsidRDefault="00192F0D" w:rsidP="00192F0D">
      <w:pPr>
        <w:pStyle w:val="enumlev10"/>
      </w:pPr>
      <w:r w:rsidRPr="00054EAA">
        <w:t>•</w:t>
      </w:r>
      <w:r w:rsidRPr="00054EAA">
        <w:tab/>
        <w:t>Identifying requirements for e-float to non-bank DFS providers</w:t>
      </w:r>
    </w:p>
    <w:p w14:paraId="52EE84A0" w14:textId="03373069" w:rsidR="00BA31ED" w:rsidRPr="00054EAA" w:rsidRDefault="00BA31ED" w:rsidP="00BA31ED">
      <w:pPr>
        <w:pStyle w:val="enumlev20"/>
      </w:pPr>
      <w:r w:rsidRPr="00054EAA">
        <w:rPr>
          <w:b/>
          <w:bCs/>
        </w:rPr>
        <w:t>–</w:t>
      </w:r>
      <w:r w:rsidRPr="00054EAA">
        <w:rPr>
          <w:b/>
          <w:bCs/>
        </w:rPr>
        <w:tab/>
      </w:r>
      <w:r w:rsidRPr="00BF30B1">
        <w:t xml:space="preserve">Financial </w:t>
      </w:r>
      <w:r w:rsidR="00AE0151" w:rsidRPr="00AE0151">
        <w:t>inclusion perspective</w:t>
      </w:r>
      <w:r w:rsidRPr="00BF30B1">
        <w:t>:</w:t>
      </w:r>
      <w:r w:rsidRPr="00054EAA">
        <w:t xml:space="preserve"> </w:t>
      </w:r>
      <w:r w:rsidRPr="00054EAA">
        <w:rPr>
          <w:bCs/>
        </w:rPr>
        <w:t>providers should be required to keep 100% of float in liquid assets to ensure refund or redemption by the end users</w:t>
      </w:r>
      <w:r w:rsidRPr="00054EAA">
        <w:t>.</w:t>
      </w:r>
    </w:p>
    <w:p w14:paraId="2362C3EC" w14:textId="77777777" w:rsidR="00192F0D" w:rsidRPr="00054EAA" w:rsidRDefault="00192F0D" w:rsidP="00192F0D">
      <w:pPr>
        <w:pStyle w:val="enumlev10"/>
      </w:pPr>
      <w:r w:rsidRPr="00054EAA">
        <w:t>•</w:t>
      </w:r>
      <w:r w:rsidRPr="00054EAA">
        <w:tab/>
        <w:t>Interest accrued on trust accounts</w:t>
      </w:r>
    </w:p>
    <w:p w14:paraId="1F02E763" w14:textId="2D1324B3" w:rsidR="00192F0D" w:rsidRPr="00054EAA" w:rsidRDefault="00192F0D" w:rsidP="00192F0D">
      <w:pPr>
        <w:pStyle w:val="enumlev20"/>
      </w:pPr>
      <w:r w:rsidRPr="00054EAA">
        <w:rPr>
          <w:b/>
          <w:bCs/>
        </w:rPr>
        <w:t>–</w:t>
      </w:r>
      <w:r w:rsidRPr="00054EAA">
        <w:rPr>
          <w:b/>
          <w:bCs/>
        </w:rPr>
        <w:tab/>
      </w:r>
      <w:r w:rsidRPr="00BF30B1">
        <w:t xml:space="preserve">Financial </w:t>
      </w:r>
      <w:r w:rsidR="00AE0151" w:rsidRPr="00AE0151">
        <w:t>inclusion perspective</w:t>
      </w:r>
      <w:r w:rsidRPr="00BF30B1">
        <w:t>:</w:t>
      </w:r>
      <w:r w:rsidRPr="00054EAA">
        <w:t xml:space="preserve"> the custodian bank should be required to pay interest on float. Ideally, the providers pass on interest earned on the</w:t>
      </w:r>
      <w:r w:rsidR="00BA31ED" w:rsidRPr="00054EAA">
        <w:t>ir trust accounts to end users.</w:t>
      </w:r>
    </w:p>
    <w:p w14:paraId="4D7392B6" w14:textId="77777777" w:rsidR="00192F0D" w:rsidRPr="00054EAA" w:rsidRDefault="00192F0D" w:rsidP="00192F0D">
      <w:pPr>
        <w:pStyle w:val="enumlev10"/>
      </w:pPr>
      <w:r w:rsidRPr="00054EAA">
        <w:t>•</w:t>
      </w:r>
      <w:r w:rsidRPr="00054EAA">
        <w:tab/>
        <w:t>Defining or limiting payment scheme interchange (between providers)</w:t>
      </w:r>
    </w:p>
    <w:p w14:paraId="65D03079" w14:textId="71DD9839" w:rsidR="00192F0D" w:rsidRPr="00054EAA" w:rsidRDefault="00192F0D" w:rsidP="00192F0D">
      <w:pPr>
        <w:pStyle w:val="enumlev20"/>
      </w:pPr>
      <w:r w:rsidRPr="00054EAA">
        <w:rPr>
          <w:b/>
          <w:bCs/>
        </w:rPr>
        <w:t>–</w:t>
      </w:r>
      <w:r w:rsidRPr="00054EAA">
        <w:rPr>
          <w:b/>
          <w:bCs/>
        </w:rPr>
        <w:tab/>
      </w:r>
      <w:r w:rsidRPr="00BF30B1">
        <w:t xml:space="preserve">Financial </w:t>
      </w:r>
      <w:r w:rsidR="00AE0151" w:rsidRPr="00AE0151">
        <w:t>inclusion perspective</w:t>
      </w:r>
      <w:r w:rsidRPr="00BF30B1">
        <w:t>:</w:t>
      </w:r>
      <w:r w:rsidRPr="00054EAA">
        <w:t xml:space="preserve"> low or no fees are preferred for the unbanked. Interchange can create upward</w:t>
      </w:r>
      <w:r w:rsidR="00980E22" w:rsidRPr="00054EAA">
        <w:t xml:space="preserve"> pressure on end user pricing. </w:t>
      </w:r>
      <w:r w:rsidRPr="00054EAA">
        <w:t xml:space="preserve">In instances where interchange from one DFS provider to </w:t>
      </w:r>
      <w:r w:rsidRPr="00054EAA">
        <w:rPr>
          <w:i/>
        </w:rPr>
        <w:t>another</w:t>
      </w:r>
      <w:r w:rsidRPr="00054EAA">
        <w:t xml:space="preserve"> is required or makes sense, providing a sunset period (where interchange is at first limited than phased in) may avoid higher retail prices in the long run.</w:t>
      </w:r>
    </w:p>
    <w:p w14:paraId="7EE0826C" w14:textId="77777777" w:rsidR="00192F0D" w:rsidRPr="00054EAA" w:rsidRDefault="00192F0D" w:rsidP="00192F0D">
      <w:pPr>
        <w:pStyle w:val="enumlev10"/>
      </w:pPr>
      <w:r w:rsidRPr="00054EAA">
        <w:t>•</w:t>
      </w:r>
      <w:r w:rsidRPr="00054EAA">
        <w:tab/>
        <w:t>Requiring interoperability of digital financial services providers and schemes</w:t>
      </w:r>
    </w:p>
    <w:p w14:paraId="05F85BBB" w14:textId="5238CDDF" w:rsidR="00192F0D" w:rsidRPr="00054EAA" w:rsidRDefault="00192F0D" w:rsidP="00192F0D">
      <w:pPr>
        <w:pStyle w:val="enumlev20"/>
      </w:pPr>
      <w:r w:rsidRPr="00054EAA">
        <w:rPr>
          <w:b/>
          <w:bCs/>
        </w:rPr>
        <w:t>–</w:t>
      </w:r>
      <w:r w:rsidRPr="00054EAA">
        <w:rPr>
          <w:b/>
          <w:bCs/>
        </w:rPr>
        <w:tab/>
      </w:r>
      <w:r w:rsidRPr="00BF30B1">
        <w:t xml:space="preserve">Financial </w:t>
      </w:r>
      <w:r w:rsidR="00AE0151" w:rsidRPr="00AE0151">
        <w:t>inclusion perspective</w:t>
      </w:r>
      <w:r w:rsidRPr="00BF30B1">
        <w:t>:</w:t>
      </w:r>
      <w:r w:rsidRPr="00054EAA">
        <w:rPr>
          <w:i/>
        </w:rPr>
        <w:t xml:space="preserve"> </w:t>
      </w:r>
      <w:r w:rsidRPr="00054EAA">
        <w:t xml:space="preserve">fragmented markets may limit access and usability for end users. </w:t>
      </w:r>
      <w:r w:rsidRPr="00054EAA">
        <w:rPr>
          <w:i/>
        </w:rPr>
        <w:t>Regulators</w:t>
      </w:r>
      <w:r w:rsidRPr="00054EAA">
        <w:t xml:space="preserve"> should aim to achieve full interoperability across all DFS providers and schemes.</w:t>
      </w:r>
    </w:p>
    <w:p w14:paraId="23E3B707" w14:textId="19374E12" w:rsidR="00696C8C" w:rsidRPr="00054EAA" w:rsidRDefault="00113E0E" w:rsidP="00696C8C">
      <w:pPr>
        <w:pStyle w:val="Heading2"/>
      </w:pPr>
      <w:bookmarkStart w:id="60" w:name="_Toc321143791"/>
      <w:bookmarkStart w:id="61" w:name="_Toc8394831"/>
      <w:bookmarkStart w:id="62" w:name="_Toc17729424"/>
      <w:r>
        <w:t>6.5</w:t>
      </w:r>
      <w:r>
        <w:tab/>
      </w:r>
      <w:r w:rsidR="00696C8C" w:rsidRPr="00054EAA">
        <w:t xml:space="preserve">Category 5: </w:t>
      </w:r>
      <w:r w:rsidR="006348C2">
        <w:t>r</w:t>
      </w:r>
      <w:r w:rsidR="00696C8C" w:rsidRPr="00054EAA">
        <w:t xml:space="preserve">isk </w:t>
      </w:r>
      <w:r w:rsidR="006348C2">
        <w:t>m</w:t>
      </w:r>
      <w:r w:rsidR="00696C8C" w:rsidRPr="00054EAA">
        <w:t>anagement</w:t>
      </w:r>
      <w:bookmarkEnd w:id="60"/>
      <w:bookmarkEnd w:id="61"/>
      <w:bookmarkEnd w:id="62"/>
    </w:p>
    <w:p w14:paraId="71F153D1" w14:textId="77777777" w:rsidR="00696C8C" w:rsidRPr="00054EAA" w:rsidRDefault="00696C8C" w:rsidP="00696C8C">
      <w:pPr>
        <w:pStyle w:val="enumlev10"/>
      </w:pPr>
      <w:r w:rsidRPr="00054EAA">
        <w:t>•</w:t>
      </w:r>
      <w:r w:rsidRPr="00054EAA">
        <w:tab/>
        <w:t>Specifying Know Your Customer (KYC) requirements for digital financial services providers</w:t>
      </w:r>
    </w:p>
    <w:p w14:paraId="522975AE" w14:textId="2032B4F8" w:rsidR="00696C8C" w:rsidRPr="00054EAA" w:rsidRDefault="00696C8C" w:rsidP="00696C8C">
      <w:pPr>
        <w:pStyle w:val="enumlev20"/>
      </w:pPr>
      <w:r w:rsidRPr="00054EAA">
        <w:rPr>
          <w:b/>
          <w:bCs/>
        </w:rPr>
        <w:t>–</w:t>
      </w:r>
      <w:r w:rsidRPr="00054EAA">
        <w:rPr>
          <w:b/>
          <w:bCs/>
        </w:rPr>
        <w:tab/>
      </w:r>
      <w:r w:rsidRPr="00BF30B1">
        <w:t xml:space="preserve">Financial </w:t>
      </w:r>
      <w:r w:rsidR="00AE0151" w:rsidRPr="00AE0151">
        <w:t>inclusion perspective</w:t>
      </w:r>
      <w:r w:rsidRPr="00BF30B1">
        <w:t>:</w:t>
      </w:r>
      <w:r w:rsidRPr="00054EAA">
        <w:rPr>
          <w:i/>
        </w:rPr>
        <w:t xml:space="preserve"> </w:t>
      </w:r>
      <w:r w:rsidRPr="00054EAA">
        <w:t>restrictive KYC prevents undocumented end users from opening accounts; tiered access is preferred. Additionally, connecting to a national identity scheme, if one is in place, may prove beneficial to the unbanked who may otherwise hav</w:t>
      </w:r>
      <w:r w:rsidR="00980E22" w:rsidRPr="00054EAA">
        <w:t xml:space="preserve">e few forms of identification. </w:t>
      </w:r>
      <w:r w:rsidRPr="00054EAA">
        <w:t xml:space="preserve">National identity scheme with biometric components have a powerful potential for avoiding payments to </w:t>
      </w:r>
      <w:r w:rsidR="008D7C81">
        <w:t>"</w:t>
      </w:r>
      <w:r w:rsidRPr="00054EAA">
        <w:t>ghost</w:t>
      </w:r>
      <w:r w:rsidR="008D7C81">
        <w:t>"</w:t>
      </w:r>
      <w:r w:rsidRPr="00054EAA">
        <w:t xml:space="preserve"> recipients.</w:t>
      </w:r>
    </w:p>
    <w:p w14:paraId="1B947EB0" w14:textId="1B41C906" w:rsidR="00696C8C" w:rsidRPr="00054EAA" w:rsidRDefault="00696C8C" w:rsidP="00696C8C">
      <w:pPr>
        <w:pStyle w:val="enumlev10"/>
      </w:pPr>
      <w:r w:rsidRPr="00054EAA">
        <w:t>•</w:t>
      </w:r>
      <w:r w:rsidRPr="00054EAA">
        <w:tab/>
        <w:t xml:space="preserve">Requiring </w:t>
      </w:r>
      <w:r w:rsidR="00AE0151" w:rsidRPr="00054EAA">
        <w:t xml:space="preserve">anti-money laundering </w:t>
      </w:r>
      <w:r w:rsidRPr="00054EAA">
        <w:t>(AML) /</w:t>
      </w:r>
      <w:r w:rsidR="00AE0151" w:rsidRPr="00054EAA">
        <w:t>combat</w:t>
      </w:r>
      <w:r w:rsidR="00AE0151">
        <w:t>t</w:t>
      </w:r>
      <w:r w:rsidR="00AE0151" w:rsidRPr="00054EAA">
        <w:t xml:space="preserve">ing the financing of terrorism </w:t>
      </w:r>
      <w:r w:rsidRPr="00054EAA">
        <w:t xml:space="preserve">(CFT) </w:t>
      </w:r>
      <w:r w:rsidRPr="00054EAA">
        <w:rPr>
          <w:i/>
        </w:rPr>
        <w:t>monitoring</w:t>
      </w:r>
      <w:r w:rsidRPr="00054EAA">
        <w:t xml:space="preserve"> of suspicious activity</w:t>
      </w:r>
    </w:p>
    <w:p w14:paraId="2ACCDDB0" w14:textId="047AC154" w:rsidR="00696C8C" w:rsidRPr="00054EAA" w:rsidRDefault="00696C8C" w:rsidP="00696C8C">
      <w:pPr>
        <w:pStyle w:val="enumlev20"/>
        <w:rPr>
          <w:i/>
        </w:rPr>
      </w:pPr>
      <w:r w:rsidRPr="00054EAA">
        <w:rPr>
          <w:b/>
          <w:bCs/>
        </w:rPr>
        <w:t>–</w:t>
      </w:r>
      <w:r w:rsidRPr="00054EAA">
        <w:rPr>
          <w:b/>
          <w:bCs/>
        </w:rPr>
        <w:tab/>
      </w:r>
      <w:r w:rsidRPr="00BF30B1">
        <w:t xml:space="preserve">Financial </w:t>
      </w:r>
      <w:r w:rsidR="00AE0151" w:rsidRPr="00AE0151">
        <w:t>inclusion perspective</w:t>
      </w:r>
      <w:r w:rsidRPr="00BF30B1">
        <w:t>:</w:t>
      </w:r>
      <w:r w:rsidRPr="00054EAA">
        <w:rPr>
          <w:i/>
        </w:rPr>
        <w:t xml:space="preserve"> </w:t>
      </w:r>
      <w:r w:rsidRPr="00054EAA">
        <w:t xml:space="preserve">overly tight AML/CFT monitoring can either discourage usage or </w:t>
      </w:r>
      <w:r w:rsidRPr="00054EAA">
        <w:rPr>
          <w:i/>
        </w:rPr>
        <w:t>make</w:t>
      </w:r>
      <w:r w:rsidRPr="00054EAA">
        <w:t xml:space="preserve"> the cost of operating a system high; leading to prices unsupportable for poor populations. Regulators should aim to achieve risk-proportionate AML/CFT monitoring.</w:t>
      </w:r>
    </w:p>
    <w:p w14:paraId="106161D0" w14:textId="77777777" w:rsidR="00696C8C" w:rsidRPr="00054EAA" w:rsidRDefault="00696C8C" w:rsidP="00696C8C">
      <w:pPr>
        <w:pStyle w:val="enumlev10"/>
      </w:pPr>
      <w:r w:rsidRPr="00054EAA">
        <w:t>•</w:t>
      </w:r>
      <w:r w:rsidRPr="00054EAA">
        <w:tab/>
        <w:t xml:space="preserve">Requiring AML/CFT </w:t>
      </w:r>
      <w:r w:rsidRPr="00054EAA">
        <w:rPr>
          <w:i/>
        </w:rPr>
        <w:t>reporting</w:t>
      </w:r>
      <w:r w:rsidRPr="00054EAA">
        <w:t xml:space="preserve"> of suspicious activity</w:t>
      </w:r>
    </w:p>
    <w:p w14:paraId="02F216DF" w14:textId="25BF4907" w:rsidR="00696C8C" w:rsidRPr="00054EAA" w:rsidRDefault="00696C8C" w:rsidP="00696C8C">
      <w:pPr>
        <w:pStyle w:val="enumlev20"/>
        <w:rPr>
          <w:i/>
        </w:rPr>
      </w:pPr>
      <w:r w:rsidRPr="00054EAA">
        <w:rPr>
          <w:b/>
          <w:bCs/>
        </w:rPr>
        <w:t>–</w:t>
      </w:r>
      <w:r w:rsidRPr="00054EAA">
        <w:rPr>
          <w:b/>
          <w:bCs/>
        </w:rPr>
        <w:tab/>
      </w:r>
      <w:r w:rsidRPr="00BF30B1">
        <w:t xml:space="preserve">Financial </w:t>
      </w:r>
      <w:r w:rsidR="00AE0151" w:rsidRPr="00AE0151">
        <w:t>inclusion perspective</w:t>
      </w:r>
      <w:r w:rsidRPr="00BF30B1">
        <w:t>:</w:t>
      </w:r>
      <w:r w:rsidRPr="00054EAA">
        <w:rPr>
          <w:i/>
        </w:rPr>
        <w:t xml:space="preserve"> </w:t>
      </w:r>
      <w:r w:rsidRPr="00054EAA">
        <w:t xml:space="preserve">reporting of suspicious activity should be required even for lower-risk </w:t>
      </w:r>
      <w:r w:rsidRPr="00054EAA">
        <w:rPr>
          <w:i/>
        </w:rPr>
        <w:t>accounts</w:t>
      </w:r>
      <w:r w:rsidRPr="00054EAA">
        <w:t>.</w:t>
      </w:r>
    </w:p>
    <w:p w14:paraId="1C64263B" w14:textId="77777777" w:rsidR="00696C8C" w:rsidRPr="00054EAA" w:rsidRDefault="00696C8C" w:rsidP="00696C8C">
      <w:pPr>
        <w:pStyle w:val="enumlev10"/>
      </w:pPr>
      <w:r w:rsidRPr="00054EAA">
        <w:t>•</w:t>
      </w:r>
      <w:r w:rsidRPr="00054EAA">
        <w:tab/>
        <w:t>The appropriate identification and registration of end users by agents</w:t>
      </w:r>
    </w:p>
    <w:p w14:paraId="491B6846" w14:textId="0DB3FF73" w:rsidR="00696C8C" w:rsidRPr="00054EAA" w:rsidRDefault="00696C8C" w:rsidP="00696C8C">
      <w:pPr>
        <w:pStyle w:val="enumlev20"/>
      </w:pPr>
      <w:r w:rsidRPr="00054EAA">
        <w:rPr>
          <w:b/>
          <w:bCs/>
        </w:rPr>
        <w:t>–</w:t>
      </w:r>
      <w:r w:rsidRPr="00054EAA">
        <w:rPr>
          <w:b/>
          <w:bCs/>
        </w:rPr>
        <w:tab/>
      </w:r>
      <w:r w:rsidRPr="00BF30B1">
        <w:t xml:space="preserve">Financial </w:t>
      </w:r>
      <w:r w:rsidR="00AE0151" w:rsidRPr="00AE0151">
        <w:t>inclusion perspective</w:t>
      </w:r>
      <w:r w:rsidRPr="00BF30B1">
        <w:t>:</w:t>
      </w:r>
      <w:r w:rsidRPr="00054EAA">
        <w:t xml:space="preserve"> agents should be properly trained and monitored to ensure they follow all </w:t>
      </w:r>
      <w:r w:rsidRPr="00054EAA">
        <w:rPr>
          <w:i/>
        </w:rPr>
        <w:t>required</w:t>
      </w:r>
      <w:r w:rsidRPr="00054EAA">
        <w:t xml:space="preserve"> customer due diligence procedures upon account opening (and as required for cash-in, cash-out, bill payment, etc.) </w:t>
      </w:r>
    </w:p>
    <w:p w14:paraId="3B7C10CF" w14:textId="79BAC587" w:rsidR="00696C8C" w:rsidRPr="00054EAA" w:rsidRDefault="00113E0E" w:rsidP="00696C8C">
      <w:pPr>
        <w:pStyle w:val="Heading2"/>
      </w:pPr>
      <w:bookmarkStart w:id="63" w:name="_Toc321143792"/>
      <w:bookmarkStart w:id="64" w:name="_Toc8394832"/>
      <w:bookmarkStart w:id="65" w:name="_Toc17729425"/>
      <w:r>
        <w:lastRenderedPageBreak/>
        <w:t>6.6</w:t>
      </w:r>
      <w:r>
        <w:tab/>
      </w:r>
      <w:r w:rsidR="00696C8C" w:rsidRPr="00054EAA">
        <w:t xml:space="preserve">Category 6: </w:t>
      </w:r>
      <w:r w:rsidR="006348C2">
        <w:t>o</w:t>
      </w:r>
      <w:r w:rsidR="00696C8C" w:rsidRPr="00054EAA">
        <w:t>ther</w:t>
      </w:r>
      <w:bookmarkEnd w:id="63"/>
      <w:bookmarkEnd w:id="64"/>
      <w:bookmarkEnd w:id="65"/>
    </w:p>
    <w:p w14:paraId="219DA4B3" w14:textId="29EBCB32" w:rsidR="00696C8C" w:rsidRPr="00054EAA" w:rsidRDefault="00696C8C" w:rsidP="00696C8C">
      <w:pPr>
        <w:pStyle w:val="enumlev10"/>
      </w:pPr>
      <w:r w:rsidRPr="00054EAA">
        <w:t>•</w:t>
      </w:r>
      <w:r w:rsidRPr="00054EAA">
        <w:tab/>
        <w:t>Telecommunication regulations setting minimum quality of service requirements</w:t>
      </w:r>
    </w:p>
    <w:p w14:paraId="37C43627" w14:textId="4ABCA9E1" w:rsidR="00696C8C" w:rsidRPr="00054EAA" w:rsidRDefault="00696C8C" w:rsidP="00696C8C">
      <w:pPr>
        <w:pStyle w:val="enumlev20"/>
      </w:pPr>
      <w:r w:rsidRPr="00054EAA">
        <w:rPr>
          <w:b/>
          <w:bCs/>
        </w:rPr>
        <w:t>–</w:t>
      </w:r>
      <w:r w:rsidRPr="00054EAA">
        <w:rPr>
          <w:b/>
          <w:bCs/>
        </w:rPr>
        <w:tab/>
      </w:r>
      <w:r w:rsidRPr="00BF30B1">
        <w:t xml:space="preserve">Financial </w:t>
      </w:r>
      <w:r w:rsidR="00AE0151" w:rsidRPr="00AE0151">
        <w:t>inclusion perspective</w:t>
      </w:r>
      <w:r w:rsidRPr="00BF30B1">
        <w:t>:</w:t>
      </w:r>
      <w:r w:rsidRPr="00054EAA">
        <w:t xml:space="preserve"> end users must feel that digital financial services are as reliable and available as cash. High quality of service is likely to help meet that standard. A minimum standard may encourage that perception.</w:t>
      </w:r>
    </w:p>
    <w:p w14:paraId="7D5E48CF" w14:textId="424351C0" w:rsidR="00696C8C" w:rsidRPr="00054EAA" w:rsidRDefault="00696C8C" w:rsidP="00696C8C">
      <w:pPr>
        <w:pStyle w:val="enumlev10"/>
      </w:pPr>
      <w:r w:rsidRPr="00054EAA">
        <w:t>•</w:t>
      </w:r>
      <w:r w:rsidRPr="00054EAA">
        <w:tab/>
        <w:t>Regulations relevant to labo</w:t>
      </w:r>
      <w:r w:rsidR="006348C2">
        <w:t>u</w:t>
      </w:r>
      <w:r w:rsidRPr="00054EAA">
        <w:t>r laws around agent banking</w:t>
      </w:r>
    </w:p>
    <w:p w14:paraId="251C3AD1" w14:textId="37F9AAD9" w:rsidR="00696C8C" w:rsidRPr="00054EAA" w:rsidRDefault="00696C8C" w:rsidP="00696C8C">
      <w:pPr>
        <w:pStyle w:val="enumlev20"/>
        <w:rPr>
          <w:i/>
        </w:rPr>
      </w:pPr>
      <w:r w:rsidRPr="00054EAA">
        <w:rPr>
          <w:b/>
          <w:bCs/>
        </w:rPr>
        <w:t>–</w:t>
      </w:r>
      <w:r w:rsidRPr="00054EAA">
        <w:rPr>
          <w:b/>
          <w:bCs/>
        </w:rPr>
        <w:tab/>
      </w:r>
      <w:r w:rsidRPr="00BF30B1">
        <w:t xml:space="preserve">Financial </w:t>
      </w:r>
      <w:r w:rsidR="00AE0151" w:rsidRPr="00AE0151">
        <w:t>inclusion perspective</w:t>
      </w:r>
      <w:r w:rsidRPr="00BF30B1">
        <w:t>:</w:t>
      </w:r>
      <w:r w:rsidRPr="00054EAA">
        <w:rPr>
          <w:i/>
        </w:rPr>
        <w:t xml:space="preserve"> </w:t>
      </w:r>
      <w:r w:rsidRPr="00054EAA">
        <w:t>agents play a critical role in supplying digital financial services, particularly to those who may have previously been unbanked. However, their services may not be commercially viable if the cost to serve becomes too high. Regulators should be aware of this balance and how it</w:t>
      </w:r>
      <w:r w:rsidR="003403A9" w:rsidRPr="00054EAA">
        <w:t xml:space="preserve"> may intersect with </w:t>
      </w:r>
      <w:r w:rsidR="005E04B5" w:rsidRPr="00054EAA">
        <w:t>labour</w:t>
      </w:r>
      <w:r w:rsidR="003403A9" w:rsidRPr="00054EAA">
        <w:t xml:space="preserve"> laws.</w:t>
      </w:r>
    </w:p>
    <w:p w14:paraId="47092317" w14:textId="77777777" w:rsidR="00696C8C" w:rsidRPr="00054EAA" w:rsidRDefault="00696C8C" w:rsidP="00696C8C">
      <w:pPr>
        <w:pStyle w:val="enumlev10"/>
      </w:pPr>
      <w:r w:rsidRPr="00054EAA">
        <w:t>•</w:t>
      </w:r>
      <w:r w:rsidRPr="00054EAA">
        <w:tab/>
        <w:t>Tax policies on merchant sales using digital financial services</w:t>
      </w:r>
    </w:p>
    <w:p w14:paraId="449407EA" w14:textId="1D76FAF8" w:rsidR="00696C8C" w:rsidRPr="00054EAA" w:rsidRDefault="00696C8C" w:rsidP="00696C8C">
      <w:pPr>
        <w:pStyle w:val="enumlev20"/>
      </w:pPr>
      <w:r w:rsidRPr="00054EAA">
        <w:rPr>
          <w:b/>
          <w:bCs/>
        </w:rPr>
        <w:t>–</w:t>
      </w:r>
      <w:r w:rsidRPr="00054EAA">
        <w:rPr>
          <w:b/>
          <w:bCs/>
        </w:rPr>
        <w:tab/>
      </w:r>
      <w:r w:rsidRPr="00BF30B1">
        <w:t xml:space="preserve">Financial </w:t>
      </w:r>
      <w:r w:rsidR="00AE0151" w:rsidRPr="00AE0151">
        <w:t>inclusion perspective</w:t>
      </w:r>
      <w:r w:rsidRPr="00BF30B1">
        <w:t>:</w:t>
      </w:r>
      <w:r w:rsidRPr="00054EAA">
        <w:t xml:space="preserve"> merchants may be dissuaded to use digital financial services if suddenly they are taxed on gains that, when using cash, went unnoticed and untaxed. Regulators should be cautious of how to implement and message tax policies to merchants who serve lower income end users. Consideration should be given to creating new tax policies that actively encourage merchant participation in the DFS ecosystem.</w:t>
      </w:r>
    </w:p>
    <w:p w14:paraId="7E007EAF" w14:textId="0D38C6B4" w:rsidR="00696C8C" w:rsidRPr="00054EAA" w:rsidRDefault="00113E0E" w:rsidP="00696C8C">
      <w:pPr>
        <w:pStyle w:val="Heading1"/>
      </w:pPr>
      <w:bookmarkStart w:id="66" w:name="_Toc321143793"/>
      <w:bookmarkStart w:id="67" w:name="_Toc8394833"/>
      <w:bookmarkStart w:id="68" w:name="_Toc17729426"/>
      <w:r>
        <w:t>7</w:t>
      </w:r>
      <w:r>
        <w:tab/>
      </w:r>
      <w:r w:rsidR="00696C8C" w:rsidRPr="00054EAA">
        <w:t xml:space="preserve">Managing the </w:t>
      </w:r>
      <w:r w:rsidR="006348C2">
        <w:t>r</w:t>
      </w:r>
      <w:r w:rsidR="00696C8C" w:rsidRPr="00054EAA">
        <w:t xml:space="preserve">egulatory </w:t>
      </w:r>
      <w:r w:rsidR="006348C2">
        <w:t>e</w:t>
      </w:r>
      <w:r w:rsidR="00696C8C" w:rsidRPr="00054EAA">
        <w:t>nvironment</w:t>
      </w:r>
      <w:bookmarkEnd w:id="66"/>
      <w:bookmarkEnd w:id="67"/>
      <w:bookmarkEnd w:id="68"/>
    </w:p>
    <w:p w14:paraId="7409083E" w14:textId="77777777" w:rsidR="00696C8C" w:rsidRPr="00054EAA" w:rsidRDefault="00696C8C" w:rsidP="00696C8C">
      <w:r w:rsidRPr="00054EAA">
        <w:t>Given the complexity of the DFS regulatory environment, it remains imperative that the two sector authorities involved in these efforts – financial services and telecommunications – collab</w:t>
      </w:r>
      <w:r w:rsidR="00980E22" w:rsidRPr="00054EAA">
        <w:t xml:space="preserve">orate to address these issues. </w:t>
      </w:r>
      <w:r w:rsidRPr="00054EAA">
        <w:t>Below, the Ecosystem Working Group outlines a survey of how regulators currently work together, provide a draft memorandum of understanding template for Authorities in a given country to formally outline joint goals and methods of working together, and outline considerations if regulators are interested in formalizing cross-border collaborations.</w:t>
      </w:r>
    </w:p>
    <w:p w14:paraId="198E185B" w14:textId="562BA834" w:rsidR="004A2180" w:rsidRPr="00054EAA" w:rsidRDefault="00113E0E" w:rsidP="004A2180">
      <w:pPr>
        <w:pStyle w:val="Heading2"/>
      </w:pPr>
      <w:bookmarkStart w:id="69" w:name="_Toc321143794"/>
      <w:bookmarkStart w:id="70" w:name="_Toc8394834"/>
      <w:bookmarkStart w:id="71" w:name="_Toc17729427"/>
      <w:r>
        <w:t>7.1</w:t>
      </w:r>
      <w:r>
        <w:tab/>
      </w:r>
      <w:r w:rsidR="004A2180" w:rsidRPr="00054EAA">
        <w:t xml:space="preserve">Survey of </w:t>
      </w:r>
      <w:r w:rsidR="006348C2">
        <w:t>r</w:t>
      </w:r>
      <w:r w:rsidR="004A2180" w:rsidRPr="00054EAA">
        <w:t>egulators</w:t>
      </w:r>
      <w:bookmarkEnd w:id="69"/>
      <w:bookmarkEnd w:id="70"/>
      <w:bookmarkEnd w:id="71"/>
    </w:p>
    <w:p w14:paraId="7B4908D6" w14:textId="00C627B2" w:rsidR="004A2180" w:rsidRDefault="004A2180" w:rsidP="00686A8C">
      <w:r w:rsidRPr="00054EAA">
        <w:t>Below</w:t>
      </w:r>
      <w:r w:rsidR="00AE0151">
        <w:t>,</w:t>
      </w:r>
      <w:r w:rsidRPr="00054EAA">
        <w:t xml:space="preserve"> the results of a recent study conducted </w:t>
      </w:r>
      <w:r w:rsidR="00686A8C" w:rsidRPr="00054EAA">
        <w:t>by</w:t>
      </w:r>
      <w:r w:rsidRPr="00054EAA">
        <w:t xml:space="preserve"> ITU </w:t>
      </w:r>
      <w:r w:rsidR="00686A8C" w:rsidRPr="00054EAA">
        <w:t xml:space="preserve">with </w:t>
      </w:r>
      <w:r w:rsidRPr="00054EAA">
        <w:t>telecommunication regulators on collaborative efforts</w:t>
      </w:r>
      <w:r w:rsidR="00AE0151">
        <w:t xml:space="preserve"> has been outlined</w:t>
      </w:r>
      <w:r w:rsidRPr="00054EAA">
        <w:t xml:space="preserve">. As </w:t>
      </w:r>
      <w:r w:rsidR="00AE0151">
        <w:t>can be seen</w:t>
      </w:r>
      <w:r w:rsidRPr="00054EAA">
        <w:t>, various approaches exist to working together, but many have recognized and actualized this need.</w:t>
      </w:r>
    </w:p>
    <w:p w14:paraId="416DBC62" w14:textId="2C5CCDCA" w:rsidR="00F54DA0" w:rsidRDefault="00F54DA0" w:rsidP="001D5FFD">
      <w:r>
        <w:t>Figure 1 depicts the digital financial services ecosystem.</w:t>
      </w:r>
    </w:p>
    <w:p w14:paraId="29E0C8C8" w14:textId="7F22DC26" w:rsidR="00F54DA0" w:rsidRDefault="008634D6" w:rsidP="008634D6">
      <w:pPr>
        <w:pStyle w:val="Figure"/>
      </w:pPr>
      <w:r w:rsidRPr="00934406">
        <w:rPr>
          <w:noProof/>
          <w:lang w:eastAsia="en-GB"/>
        </w:rPr>
        <w:lastRenderedPageBreak/>
        <w:drawing>
          <wp:inline distT="0" distB="0" distL="0" distR="0" wp14:anchorId="77649670" wp14:editId="68EC319C">
            <wp:extent cx="4562475" cy="341757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62475" cy="3417570"/>
                    </a:xfrm>
                    <a:prstGeom prst="rect">
                      <a:avLst/>
                    </a:prstGeom>
                    <a:noFill/>
                    <a:ln>
                      <a:noFill/>
                    </a:ln>
                  </pic:spPr>
                </pic:pic>
              </a:graphicData>
            </a:graphic>
          </wp:inline>
        </w:drawing>
      </w:r>
    </w:p>
    <w:p w14:paraId="1CBA523C" w14:textId="361EC750" w:rsidR="001D5FFD" w:rsidRPr="00BF30B1" w:rsidRDefault="001D5FFD" w:rsidP="0009664C">
      <w:pPr>
        <w:pStyle w:val="FigureNoTitle0"/>
      </w:pPr>
      <w:bookmarkStart w:id="72" w:name="_Toc453678567"/>
      <w:bookmarkStart w:id="73" w:name="_Toc8394813"/>
      <w:r w:rsidRPr="00BF30B1">
        <w:t>Figure 1</w:t>
      </w:r>
      <w:bookmarkEnd w:id="72"/>
      <w:bookmarkEnd w:id="73"/>
      <w:r w:rsidRPr="00BF30B1">
        <w:t xml:space="preserve"> </w:t>
      </w:r>
      <w:r w:rsidR="0063279C" w:rsidRPr="00BF30B1">
        <w:t>–</w:t>
      </w:r>
      <w:r w:rsidR="006348C2" w:rsidRPr="00BF30B1">
        <w:t xml:space="preserve"> Digital financial services e</w:t>
      </w:r>
      <w:r w:rsidR="00F54DA0" w:rsidRPr="00BF30B1">
        <w:t>cosystem</w:t>
      </w:r>
    </w:p>
    <w:p w14:paraId="097856CA" w14:textId="4C374039" w:rsidR="00F54DA0" w:rsidRPr="00BF30B1" w:rsidRDefault="00F54DA0" w:rsidP="00113E0E">
      <w:pPr>
        <w:pStyle w:val="Normalaftertitle0"/>
      </w:pPr>
      <w:r>
        <w:t>Figure 2 depicts the ways in which mobile network operators provide digital financial services in different countries.</w:t>
      </w:r>
    </w:p>
    <w:p w14:paraId="32F176DA" w14:textId="29F536D5" w:rsidR="001D5FFD" w:rsidRPr="00BF30B1" w:rsidRDefault="00F54DA0" w:rsidP="008634D6">
      <w:pPr>
        <w:pStyle w:val="Figure"/>
      </w:pPr>
      <w:r w:rsidRPr="00934406">
        <w:rPr>
          <w:noProof/>
          <w:lang w:eastAsia="en-GB"/>
        </w:rPr>
        <w:drawing>
          <wp:inline distT="0" distB="0" distL="0" distR="0" wp14:anchorId="18E6795A" wp14:editId="6BFF9DA0">
            <wp:extent cx="4562475" cy="341757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62475" cy="3417570"/>
                    </a:xfrm>
                    <a:prstGeom prst="rect">
                      <a:avLst/>
                    </a:prstGeom>
                    <a:noFill/>
                    <a:ln>
                      <a:noFill/>
                    </a:ln>
                  </pic:spPr>
                </pic:pic>
              </a:graphicData>
            </a:graphic>
          </wp:inline>
        </w:drawing>
      </w:r>
    </w:p>
    <w:p w14:paraId="7D0DDB3D" w14:textId="3BD2CF9F" w:rsidR="001D5FFD" w:rsidRPr="00BF30B1" w:rsidRDefault="001D5FFD" w:rsidP="0009664C">
      <w:pPr>
        <w:pStyle w:val="FigureNoTitle0"/>
      </w:pPr>
      <w:bookmarkStart w:id="74" w:name="_Toc453678568"/>
      <w:bookmarkStart w:id="75" w:name="_Toc8394814"/>
      <w:r w:rsidRPr="00113E0E">
        <w:t>Figure</w:t>
      </w:r>
      <w:r w:rsidRPr="00BF30B1">
        <w:t xml:space="preserve"> 2</w:t>
      </w:r>
      <w:bookmarkEnd w:id="74"/>
      <w:bookmarkEnd w:id="75"/>
      <w:r w:rsidRPr="00BF30B1">
        <w:t xml:space="preserve"> </w:t>
      </w:r>
      <w:r w:rsidR="008C5C40" w:rsidRPr="00BF30B1">
        <w:t>–</w:t>
      </w:r>
      <w:r w:rsidR="006348C2" w:rsidRPr="00BF30B1">
        <w:t xml:space="preserve"> Mobile network o</w:t>
      </w:r>
      <w:r w:rsidR="008C5C40" w:rsidRPr="00BF30B1">
        <w:t>perators and DFS</w:t>
      </w:r>
    </w:p>
    <w:p w14:paraId="4ECCD414" w14:textId="0F64877C" w:rsidR="008C5C40" w:rsidRPr="00BF30B1" w:rsidRDefault="008C5C40" w:rsidP="00113E0E">
      <w:pPr>
        <w:pStyle w:val="Normalaftertitle0"/>
      </w:pPr>
      <w:r>
        <w:t>Figure 3 shows the areas related specifically to digital financial services, denoting whether organizations currently mandate or expect to mandate for regulation and supervision.</w:t>
      </w:r>
    </w:p>
    <w:p w14:paraId="158CA59D" w14:textId="3EC86415" w:rsidR="001D5FFD" w:rsidRPr="00BF30B1" w:rsidRDefault="001D5FFD" w:rsidP="001D5FFD">
      <w:pPr>
        <w:pStyle w:val="enumlev20"/>
        <w:rPr>
          <w:iCs/>
        </w:rPr>
      </w:pPr>
      <w:r w:rsidRPr="00934406">
        <w:rPr>
          <w:noProof/>
          <w:lang w:eastAsia="en-GB"/>
        </w:rPr>
        <w:lastRenderedPageBreak/>
        <w:drawing>
          <wp:inline distT="0" distB="0" distL="0" distR="0" wp14:anchorId="330137BC" wp14:editId="37ADD3FB">
            <wp:extent cx="4562475" cy="341757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62475" cy="3417570"/>
                    </a:xfrm>
                    <a:prstGeom prst="rect">
                      <a:avLst/>
                    </a:prstGeom>
                    <a:noFill/>
                    <a:ln>
                      <a:noFill/>
                    </a:ln>
                  </pic:spPr>
                </pic:pic>
              </a:graphicData>
            </a:graphic>
          </wp:inline>
        </w:drawing>
      </w:r>
    </w:p>
    <w:p w14:paraId="5EFFA8F9" w14:textId="43A769E0" w:rsidR="008C5C40" w:rsidRPr="00BF30B1" w:rsidRDefault="008C5C40" w:rsidP="0009664C">
      <w:pPr>
        <w:pStyle w:val="FigureNoTitle0"/>
      </w:pPr>
      <w:r w:rsidRPr="00BF30B1">
        <w:t>Figure 3 –</w:t>
      </w:r>
      <w:r w:rsidR="006348C2" w:rsidRPr="00BF30B1">
        <w:t xml:space="preserve"> Digital financial services and m</w:t>
      </w:r>
      <w:r w:rsidRPr="00BF30B1">
        <w:t xml:space="preserve">andates </w:t>
      </w:r>
    </w:p>
    <w:p w14:paraId="11023D04" w14:textId="7E2B880A" w:rsidR="008C5C40" w:rsidRPr="00BF30B1" w:rsidRDefault="008C5C40" w:rsidP="0009664C">
      <w:pPr>
        <w:pStyle w:val="Normalaftertitle0"/>
      </w:pPr>
      <w:r w:rsidRPr="00BF30B1">
        <w:t>Figure 4 depicts the areas related to digital financial services that organizations supervise.</w:t>
      </w:r>
    </w:p>
    <w:p w14:paraId="4D1EF9A7" w14:textId="28B44096" w:rsidR="001D5FFD" w:rsidRPr="00BF30B1" w:rsidRDefault="008C5C40" w:rsidP="008634D6">
      <w:pPr>
        <w:pStyle w:val="Figure"/>
      </w:pPr>
      <w:r w:rsidRPr="00934406">
        <w:rPr>
          <w:noProof/>
          <w:lang w:eastAsia="en-GB"/>
        </w:rPr>
        <w:drawing>
          <wp:inline distT="0" distB="0" distL="0" distR="0" wp14:anchorId="41D75D4A" wp14:editId="4DBD3A17">
            <wp:extent cx="4562475" cy="341757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62475" cy="3417570"/>
                    </a:xfrm>
                    <a:prstGeom prst="rect">
                      <a:avLst/>
                    </a:prstGeom>
                    <a:noFill/>
                    <a:ln>
                      <a:noFill/>
                    </a:ln>
                  </pic:spPr>
                </pic:pic>
              </a:graphicData>
            </a:graphic>
          </wp:inline>
        </w:drawing>
      </w:r>
    </w:p>
    <w:p w14:paraId="73F8A5B4" w14:textId="7734E7A4" w:rsidR="001D5FFD" w:rsidRPr="00BF30B1" w:rsidRDefault="001D5FFD" w:rsidP="0009664C">
      <w:pPr>
        <w:pStyle w:val="FigureNoTitle0"/>
      </w:pPr>
      <w:bookmarkStart w:id="76" w:name="_Toc453678570"/>
      <w:bookmarkStart w:id="77" w:name="_Toc8394816"/>
      <w:r w:rsidRPr="00BF30B1">
        <w:t>Figure 4</w:t>
      </w:r>
      <w:bookmarkEnd w:id="76"/>
      <w:bookmarkEnd w:id="77"/>
      <w:r w:rsidR="008C5C40" w:rsidRPr="00BF30B1">
        <w:t xml:space="preserve"> –</w:t>
      </w:r>
      <w:r w:rsidR="006348C2" w:rsidRPr="00BF30B1">
        <w:t xml:space="preserve"> Digital financial services and organization s</w:t>
      </w:r>
      <w:r w:rsidR="008C5C40" w:rsidRPr="00BF30B1">
        <w:t>upervision</w:t>
      </w:r>
    </w:p>
    <w:p w14:paraId="22742DB3" w14:textId="03CA901C" w:rsidR="001D5FFD" w:rsidRPr="00BF30B1" w:rsidRDefault="008C5C40" w:rsidP="0009664C">
      <w:pPr>
        <w:pStyle w:val="Normalaftertitle0"/>
      </w:pPr>
      <w:r w:rsidRPr="00BF30B1">
        <w:t xml:space="preserve">Figure 5 describes </w:t>
      </w:r>
      <w:r w:rsidR="006348C2" w:rsidRPr="00BF30B1">
        <w:t xml:space="preserve">the </w:t>
      </w:r>
      <w:r w:rsidRPr="00BF30B1">
        <w:t>ways in which organizations work with counterparties with financial regulators, relating to digital financial services.</w:t>
      </w:r>
    </w:p>
    <w:p w14:paraId="5E09DF0D" w14:textId="77777777" w:rsidR="001D5FFD" w:rsidRPr="00BF30B1" w:rsidRDefault="001D5FFD" w:rsidP="008634D6">
      <w:pPr>
        <w:pStyle w:val="Figure"/>
        <w:rPr>
          <w:iCs/>
        </w:rPr>
      </w:pPr>
      <w:r w:rsidRPr="00934406">
        <w:rPr>
          <w:noProof/>
          <w:lang w:eastAsia="en-GB"/>
        </w:rPr>
        <w:lastRenderedPageBreak/>
        <w:drawing>
          <wp:inline distT="0" distB="0" distL="0" distR="0" wp14:anchorId="6E8605A3" wp14:editId="197343F0">
            <wp:extent cx="4562475" cy="341757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62475" cy="3417570"/>
                    </a:xfrm>
                    <a:prstGeom prst="rect">
                      <a:avLst/>
                    </a:prstGeom>
                    <a:noFill/>
                    <a:ln>
                      <a:noFill/>
                    </a:ln>
                  </pic:spPr>
                </pic:pic>
              </a:graphicData>
            </a:graphic>
          </wp:inline>
        </w:drawing>
      </w:r>
    </w:p>
    <w:p w14:paraId="14384A39" w14:textId="3E92ACA8" w:rsidR="001D5FFD" w:rsidRPr="00BF30B1" w:rsidRDefault="001D5FFD" w:rsidP="0009664C">
      <w:pPr>
        <w:pStyle w:val="FigureNoTitle0"/>
      </w:pPr>
      <w:bookmarkStart w:id="78" w:name="_Toc453678571"/>
      <w:bookmarkStart w:id="79" w:name="_Toc8394817"/>
      <w:r w:rsidRPr="00BF30B1">
        <w:t>Figure 5</w:t>
      </w:r>
      <w:bookmarkEnd w:id="78"/>
      <w:bookmarkEnd w:id="79"/>
      <w:r w:rsidR="008C5C40" w:rsidRPr="00BF30B1">
        <w:t xml:space="preserve"> – Organizations and</w:t>
      </w:r>
      <w:r w:rsidR="006348C2" w:rsidRPr="00BF30B1">
        <w:t xml:space="preserve"> financial regulators as r</w:t>
      </w:r>
      <w:r w:rsidR="008C5C40" w:rsidRPr="00BF30B1">
        <w:t>elates to DFS</w:t>
      </w:r>
    </w:p>
    <w:p w14:paraId="4E842C65" w14:textId="225E579B" w:rsidR="001D5FFD" w:rsidRPr="00BF30B1" w:rsidRDefault="008C5C40" w:rsidP="0009664C">
      <w:pPr>
        <w:pStyle w:val="Normalaftertitle0"/>
      </w:pPr>
      <w:r w:rsidRPr="00BF30B1">
        <w:t>Figure 6 depicts the ways in which organizations work with counterparties with financial regulators as it relates to financial inclusion.</w:t>
      </w:r>
    </w:p>
    <w:p w14:paraId="4FE701E0" w14:textId="43FCC43B" w:rsidR="008634D6" w:rsidRDefault="008634D6" w:rsidP="008634D6">
      <w:pPr>
        <w:pStyle w:val="Figure"/>
      </w:pPr>
      <w:bookmarkStart w:id="80" w:name="_Toc453678572"/>
      <w:bookmarkStart w:id="81" w:name="_Toc8394818"/>
      <w:r w:rsidRPr="00934406">
        <w:rPr>
          <w:noProof/>
          <w:lang w:eastAsia="en-GB"/>
        </w:rPr>
        <w:drawing>
          <wp:inline distT="0" distB="0" distL="0" distR="0" wp14:anchorId="5300E0B3" wp14:editId="63B927FD">
            <wp:extent cx="4562475" cy="341757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62475" cy="3417570"/>
                    </a:xfrm>
                    <a:prstGeom prst="rect">
                      <a:avLst/>
                    </a:prstGeom>
                    <a:noFill/>
                    <a:ln>
                      <a:noFill/>
                    </a:ln>
                  </pic:spPr>
                </pic:pic>
              </a:graphicData>
            </a:graphic>
          </wp:inline>
        </w:drawing>
      </w:r>
    </w:p>
    <w:p w14:paraId="3FA807AB" w14:textId="4E5FE528" w:rsidR="001D5FFD" w:rsidRPr="00BF30B1" w:rsidRDefault="001D5FFD" w:rsidP="0009664C">
      <w:pPr>
        <w:pStyle w:val="FigureNoTitle0"/>
      </w:pPr>
      <w:r>
        <w:t>Figure 6</w:t>
      </w:r>
      <w:bookmarkEnd w:id="80"/>
      <w:bookmarkEnd w:id="81"/>
      <w:r w:rsidR="008C5C40">
        <w:t xml:space="preserve"> </w:t>
      </w:r>
      <w:r w:rsidR="0033125C">
        <w:t>–</w:t>
      </w:r>
      <w:r w:rsidR="008C5C40">
        <w:t xml:space="preserve"> Organization</w:t>
      </w:r>
      <w:r w:rsidR="00D216DE">
        <w:t>s, financial regulators and financial i</w:t>
      </w:r>
      <w:r w:rsidR="0033125C">
        <w:t>nclusion</w:t>
      </w:r>
    </w:p>
    <w:p w14:paraId="2C3AF0F5" w14:textId="72B8C583" w:rsidR="004A2180" w:rsidRPr="00054EAA" w:rsidRDefault="0009664C" w:rsidP="004A2180">
      <w:pPr>
        <w:pStyle w:val="Heading2"/>
      </w:pPr>
      <w:bookmarkStart w:id="82" w:name="_Toc321143795"/>
      <w:bookmarkStart w:id="83" w:name="_Toc8394835"/>
      <w:bookmarkStart w:id="84" w:name="_Toc17729428"/>
      <w:r>
        <w:t>7.2</w:t>
      </w:r>
      <w:r>
        <w:tab/>
      </w:r>
      <w:r w:rsidR="004A2180" w:rsidRPr="00054EAA">
        <w:t xml:space="preserve">Survey </w:t>
      </w:r>
      <w:r w:rsidR="006348C2">
        <w:t>c</w:t>
      </w:r>
      <w:r w:rsidR="004A2180" w:rsidRPr="00054EAA">
        <w:t>onclusions</w:t>
      </w:r>
      <w:bookmarkEnd w:id="82"/>
      <w:bookmarkEnd w:id="83"/>
      <w:bookmarkEnd w:id="84"/>
    </w:p>
    <w:p w14:paraId="6C3AA591" w14:textId="3DE52E71" w:rsidR="004A2180" w:rsidRPr="00054EAA" w:rsidRDefault="004A2180" w:rsidP="004A2180">
      <w:r w:rsidRPr="00054EAA">
        <w:t xml:space="preserve">83% of respondents (telecommunications regulators) say </w:t>
      </w:r>
      <w:r w:rsidR="00D216DE">
        <w:t xml:space="preserve">that </w:t>
      </w:r>
      <w:r w:rsidRPr="00054EAA">
        <w:t>digital financial services (DFS) are currently offered in their country. Of the 17% where DFS are not currently offered, about half say it is likely that these services will be offered in the next 12 months.</w:t>
      </w:r>
    </w:p>
    <w:p w14:paraId="20EE9F38" w14:textId="77777777" w:rsidR="004A2180" w:rsidRPr="00054EAA" w:rsidRDefault="004A2180" w:rsidP="004A2180">
      <w:r w:rsidRPr="00054EAA">
        <w:lastRenderedPageBreak/>
        <w:t>Of the countries in which DFS are currently offered, 64% license MNOs to provide DFS, 35% and 32% allow MNOs to offer DFS through joint ventures and wholly controlled subsidiaries, respectively.</w:t>
      </w:r>
    </w:p>
    <w:p w14:paraId="7D5EDE6A" w14:textId="5FCCBD09" w:rsidR="004A2180" w:rsidRPr="00054EAA" w:rsidRDefault="004A2180" w:rsidP="004A2180">
      <w:r w:rsidRPr="00054EAA">
        <w:t xml:space="preserve">For those that mandate DFS, over half address </w:t>
      </w:r>
      <w:r w:rsidR="004A4248">
        <w:t>'</w:t>
      </w:r>
      <w:r w:rsidRPr="00054EAA">
        <w:t>quality of service</w:t>
      </w:r>
      <w:r w:rsidR="0081006C">
        <w:t>'</w:t>
      </w:r>
      <w:r w:rsidRPr="00054EAA">
        <w:t xml:space="preserve">, </w:t>
      </w:r>
      <w:r w:rsidR="004A4248">
        <w:t>'interconnection'</w:t>
      </w:r>
      <w:r w:rsidRPr="00054EAA">
        <w:t xml:space="preserve">, </w:t>
      </w:r>
      <w:r w:rsidR="004A4248">
        <w:t>'consumer protection'</w:t>
      </w:r>
      <w:r w:rsidRPr="00054EAA">
        <w:t xml:space="preserve"> and </w:t>
      </w:r>
      <w:r w:rsidR="004A4248">
        <w:t>'</w:t>
      </w:r>
      <w:r w:rsidRPr="00054EAA">
        <w:t>access</w:t>
      </w:r>
      <w:r w:rsidR="004A4248">
        <w:t>'</w:t>
      </w:r>
      <w:r w:rsidRPr="00054EAA">
        <w:t xml:space="preserve">. Few address </w:t>
      </w:r>
      <w:r w:rsidR="004A4248">
        <w:t>'</w:t>
      </w:r>
      <w:r w:rsidRPr="00054EAA">
        <w:t>intellectual pr</w:t>
      </w:r>
      <w:r w:rsidR="004A4248">
        <w:t>operty'</w:t>
      </w:r>
      <w:r w:rsidRPr="00054EAA">
        <w:t xml:space="preserve">, </w:t>
      </w:r>
      <w:r w:rsidR="004A4248">
        <w:t>'risk management'</w:t>
      </w:r>
      <w:r w:rsidRPr="00054EAA">
        <w:t xml:space="preserve"> and </w:t>
      </w:r>
      <w:r w:rsidR="004A4248">
        <w:t>'licensing for product design'</w:t>
      </w:r>
      <w:r w:rsidRPr="00054EAA">
        <w:t>. For those that supervise DFS, areas of supervision largely m</w:t>
      </w:r>
      <w:r w:rsidR="003403A9" w:rsidRPr="00054EAA">
        <w:t>irror the results of mandating.</w:t>
      </w:r>
    </w:p>
    <w:p w14:paraId="3B8775C1" w14:textId="77777777" w:rsidR="004A2180" w:rsidRPr="00054EAA" w:rsidRDefault="004A2180" w:rsidP="004A2180">
      <w:r w:rsidRPr="00054EAA">
        <w:t>Over 80% of respondents coordinate with the Central Bank in some form on DFS- over half citing a formal relationship with 20% citing an MOU, and 33% citing a Task Force. Similar results are yielded as it relates to coordi</w:t>
      </w:r>
      <w:r w:rsidR="00980E22" w:rsidRPr="00054EAA">
        <w:t xml:space="preserve">nating on financial inclusion. </w:t>
      </w:r>
      <w:r w:rsidRPr="00054EAA">
        <w:t>Coordination with the Ministry of Finance also proves common, though more often through occasional consult rather than an MOU or Task Force. Given the frequency through which coordination proves valuable, the Ecosystem Working Group has outlined a templa</w:t>
      </w:r>
      <w:r w:rsidR="003403A9" w:rsidRPr="00054EAA">
        <w:t>te for an In-Country MOU below.</w:t>
      </w:r>
    </w:p>
    <w:p w14:paraId="56BD40A8" w14:textId="357E18B8" w:rsidR="004A2180" w:rsidRPr="00054EAA" w:rsidRDefault="0009664C" w:rsidP="004A2180">
      <w:pPr>
        <w:pStyle w:val="Heading2"/>
      </w:pPr>
      <w:bookmarkStart w:id="85" w:name="_Toc321143796"/>
      <w:bookmarkStart w:id="86" w:name="_Toc8394836"/>
      <w:bookmarkStart w:id="87" w:name="_Toc17729429"/>
      <w:r>
        <w:t>7.3</w:t>
      </w:r>
      <w:r>
        <w:tab/>
      </w:r>
      <w:r w:rsidR="004A2180" w:rsidRPr="00054EAA">
        <w:t xml:space="preserve">Template for an </w:t>
      </w:r>
      <w:r w:rsidR="006348C2">
        <w:t>i</w:t>
      </w:r>
      <w:r w:rsidR="004A2180" w:rsidRPr="00054EAA">
        <w:t>n-</w:t>
      </w:r>
      <w:r w:rsidR="006348C2">
        <w:t>c</w:t>
      </w:r>
      <w:r w:rsidR="004A2180" w:rsidRPr="00054EAA">
        <w:t xml:space="preserve">ountry </w:t>
      </w:r>
      <w:r w:rsidR="006348C2">
        <w:t>M</w:t>
      </w:r>
      <w:r w:rsidR="004A2180" w:rsidRPr="00054EAA">
        <w:t>emorandum of Understanding</w:t>
      </w:r>
      <w:bookmarkEnd w:id="85"/>
      <w:bookmarkEnd w:id="86"/>
      <w:bookmarkEnd w:id="87"/>
    </w:p>
    <w:p w14:paraId="35665B2D" w14:textId="77777777" w:rsidR="004A2180" w:rsidRPr="00054EAA" w:rsidRDefault="004A2180" w:rsidP="004A2180">
      <w:r w:rsidRPr="00054EAA">
        <w:t xml:space="preserve">The purpose of this document is to provide a template, or starting point, for countries interested in drafting a memorandum of understanding (MOU) between the financial services regulatory </w:t>
      </w:r>
      <w:proofErr w:type="gramStart"/>
      <w:r w:rsidRPr="00054EAA">
        <w:t>authority(</w:t>
      </w:r>
      <w:proofErr w:type="spellStart"/>
      <w:proofErr w:type="gramEnd"/>
      <w:r w:rsidRPr="00054EAA">
        <w:t>ies</w:t>
      </w:r>
      <w:proofErr w:type="spellEnd"/>
      <w:r w:rsidRPr="00054EAA">
        <w:t>) and telecommunications authority(</w:t>
      </w:r>
      <w:proofErr w:type="spellStart"/>
      <w:r w:rsidRPr="00054EAA">
        <w:t>ies</w:t>
      </w:r>
      <w:proofErr w:type="spellEnd"/>
      <w:r w:rsidRPr="00054EAA">
        <w:t>), as it relates to digital financial services and financial inclusion.</w:t>
      </w:r>
    </w:p>
    <w:p w14:paraId="32C4A7A3" w14:textId="77777777" w:rsidR="004A2180" w:rsidRPr="00054EAA" w:rsidRDefault="004A2180" w:rsidP="004E5E99">
      <w:r w:rsidRPr="00054EAA">
        <w:t>Additionally, it may be relevant and/or necessary to include other authorities (e.g. competition authorities, consumer protectio</w:t>
      </w:r>
      <w:r w:rsidR="004E5E99" w:rsidRPr="00054EAA">
        <w:t>n authorities) in the agreement.</w:t>
      </w:r>
    </w:p>
    <w:p w14:paraId="3D5FED55" w14:textId="41871480" w:rsidR="004A2180" w:rsidRPr="00054EAA" w:rsidRDefault="0009664C" w:rsidP="004A2180">
      <w:pPr>
        <w:pStyle w:val="Heading3"/>
      </w:pPr>
      <w:bookmarkStart w:id="88" w:name="_Toc8394837"/>
      <w:r>
        <w:t>7.3.1</w:t>
      </w:r>
      <w:r>
        <w:tab/>
      </w:r>
      <w:r w:rsidR="004A2180" w:rsidRPr="00054EAA">
        <w:t xml:space="preserve">Parties </w:t>
      </w:r>
      <w:r w:rsidR="006348C2">
        <w:t>i</w:t>
      </w:r>
      <w:r w:rsidR="004A2180" w:rsidRPr="00054EAA">
        <w:t>nvolved</w:t>
      </w:r>
      <w:bookmarkEnd w:id="88"/>
      <w:r w:rsidR="004A2180" w:rsidRPr="00054EAA">
        <w:t xml:space="preserve"> </w:t>
      </w:r>
    </w:p>
    <w:p w14:paraId="2420BCE8" w14:textId="77777777" w:rsidR="004E5E99" w:rsidRPr="00054EAA" w:rsidRDefault="004E5E99" w:rsidP="004E5E99">
      <w:pPr>
        <w:rPr>
          <w:bCs/>
        </w:rPr>
      </w:pPr>
      <w:r w:rsidRPr="00054EAA">
        <w:rPr>
          <w:bCs/>
        </w:rPr>
        <w:t>The &lt;</w:t>
      </w:r>
      <w:r w:rsidRPr="00054EAA">
        <w:rPr>
          <w:bCs/>
          <w:highlight w:val="lightGray"/>
        </w:rPr>
        <w:t>Authority 1</w:t>
      </w:r>
      <w:r w:rsidRPr="00054EAA">
        <w:rPr>
          <w:bCs/>
        </w:rPr>
        <w:t>&gt; was established to &lt;</w:t>
      </w:r>
      <w:r w:rsidRPr="00054EAA">
        <w:rPr>
          <w:bCs/>
          <w:highlight w:val="lightGray"/>
        </w:rPr>
        <w:t>formal explanation of authority 1 role</w:t>
      </w:r>
      <w:r w:rsidRPr="00054EAA">
        <w:rPr>
          <w:bCs/>
        </w:rPr>
        <w:t>&gt;</w:t>
      </w:r>
    </w:p>
    <w:p w14:paraId="16FBE0C2" w14:textId="77777777" w:rsidR="004E5E99" w:rsidRPr="00054EAA" w:rsidRDefault="004E5E99" w:rsidP="004E5E99">
      <w:r w:rsidRPr="00054EAA">
        <w:t>The &lt;</w:t>
      </w:r>
      <w:r w:rsidRPr="00054EAA">
        <w:rPr>
          <w:highlight w:val="lightGray"/>
        </w:rPr>
        <w:t>Authority 2</w:t>
      </w:r>
      <w:r w:rsidRPr="00054EAA">
        <w:t>&gt; was established to &lt;</w:t>
      </w:r>
      <w:r w:rsidRPr="00054EAA">
        <w:rPr>
          <w:highlight w:val="lightGray"/>
        </w:rPr>
        <w:t>formal explanation of authority 2 role</w:t>
      </w:r>
      <w:r w:rsidRPr="00054EAA">
        <w:t>&gt;</w:t>
      </w:r>
    </w:p>
    <w:p w14:paraId="57EA2919" w14:textId="77777777" w:rsidR="004E5E99" w:rsidRPr="00054EAA" w:rsidRDefault="004E5E99" w:rsidP="004E5E99">
      <w:r w:rsidRPr="00054EAA">
        <w:rPr>
          <w:b/>
          <w:i/>
        </w:rPr>
        <w:t>&lt;AS NEEDED&gt;</w:t>
      </w:r>
      <w:proofErr w:type="gramStart"/>
      <w:r w:rsidRPr="00054EAA">
        <w:t>The</w:t>
      </w:r>
      <w:proofErr w:type="gramEnd"/>
      <w:r w:rsidRPr="00054EAA">
        <w:t xml:space="preserve"> &lt;</w:t>
      </w:r>
      <w:r w:rsidRPr="00054EAA">
        <w:rPr>
          <w:highlight w:val="lightGray"/>
        </w:rPr>
        <w:t>Authority 3</w:t>
      </w:r>
      <w:r w:rsidRPr="00054EAA">
        <w:t>&gt; was established to &lt;</w:t>
      </w:r>
      <w:r w:rsidRPr="00054EAA">
        <w:rPr>
          <w:highlight w:val="lightGray"/>
        </w:rPr>
        <w:t>formal explanation of authority 3 role</w:t>
      </w:r>
      <w:r w:rsidRPr="00054EAA">
        <w:t>&gt;</w:t>
      </w:r>
    </w:p>
    <w:p w14:paraId="4D378DE1" w14:textId="77777777" w:rsidR="004E5E99" w:rsidRPr="00054EAA" w:rsidRDefault="004E5E99" w:rsidP="004E5E99">
      <w:pPr>
        <w:rPr>
          <w:rFonts w:ascii="Cambria" w:hAnsi="Cambria"/>
          <w:b/>
          <w:bCs/>
          <w:color w:val="365F91"/>
          <w:sz w:val="28"/>
          <w:szCs w:val="28"/>
          <w:u w:val="single"/>
        </w:rPr>
      </w:pPr>
      <w:r w:rsidRPr="00054EAA">
        <w:rPr>
          <w:b/>
          <w:i/>
        </w:rPr>
        <w:t>&lt;AS NEEDED&gt;</w:t>
      </w:r>
      <w:proofErr w:type="gramStart"/>
      <w:r w:rsidRPr="00054EAA">
        <w:t>The</w:t>
      </w:r>
      <w:proofErr w:type="gramEnd"/>
      <w:r w:rsidRPr="00054EAA">
        <w:t xml:space="preserve"> &lt;</w:t>
      </w:r>
      <w:r w:rsidRPr="00054EAA">
        <w:rPr>
          <w:highlight w:val="lightGray"/>
        </w:rPr>
        <w:t>Authority 4</w:t>
      </w:r>
      <w:r w:rsidRPr="00054EAA">
        <w:t>&gt; was established to &lt;</w:t>
      </w:r>
      <w:r w:rsidRPr="00054EAA">
        <w:rPr>
          <w:highlight w:val="lightGray"/>
        </w:rPr>
        <w:t>formal explanation of authority 4 role</w:t>
      </w:r>
      <w:r w:rsidRPr="00054EAA">
        <w:t>&gt;</w:t>
      </w:r>
    </w:p>
    <w:p w14:paraId="674ADCDC" w14:textId="762A3B2D" w:rsidR="004A2180" w:rsidRPr="00054EAA" w:rsidRDefault="0009664C" w:rsidP="004E5E99">
      <w:pPr>
        <w:pStyle w:val="Heading3"/>
      </w:pPr>
      <w:bookmarkStart w:id="89" w:name="_Toc8394838"/>
      <w:r>
        <w:t>7.3.2</w:t>
      </w:r>
      <w:r>
        <w:tab/>
      </w:r>
      <w:r w:rsidR="004E5E99" w:rsidRPr="00054EAA">
        <w:t>Basis</w:t>
      </w:r>
      <w:bookmarkEnd w:id="89"/>
    </w:p>
    <w:p w14:paraId="3E07C1E2" w14:textId="77777777" w:rsidR="004E5E99" w:rsidRPr="00054EAA" w:rsidRDefault="004E5E99" w:rsidP="004E5E99">
      <w:r w:rsidRPr="00054EAA">
        <w:t>In recognition of the growing convergence of telecommunications and financial services in what has been identified as digital financial services, the Regulatory Authorities have identified a need for regulatory interaction and collaboration to ensure the integrity, security, stability and protection of participants and end users as these services are rolled out.</w:t>
      </w:r>
    </w:p>
    <w:p w14:paraId="4AA5CC66" w14:textId="4D2D34E4" w:rsidR="004E5E99" w:rsidRPr="00054EAA" w:rsidRDefault="0009664C" w:rsidP="004E5E99">
      <w:pPr>
        <w:pStyle w:val="Heading3"/>
      </w:pPr>
      <w:bookmarkStart w:id="90" w:name="_Toc8394839"/>
      <w:r>
        <w:t>7.3.3</w:t>
      </w:r>
      <w:r>
        <w:tab/>
      </w:r>
      <w:r w:rsidR="004E5E99" w:rsidRPr="00054EAA">
        <w:t>Purpose</w:t>
      </w:r>
      <w:bookmarkEnd w:id="90"/>
    </w:p>
    <w:p w14:paraId="559F41F7" w14:textId="22BD5202" w:rsidR="004E5E99" w:rsidRPr="00054EAA" w:rsidRDefault="004E5E99" w:rsidP="004E5E99">
      <w:r w:rsidRPr="00054EAA">
        <w:t>This M</w:t>
      </w:r>
      <w:r w:rsidR="00D216DE">
        <w:t>O</w:t>
      </w:r>
      <w:r w:rsidRPr="00054EAA">
        <w:t>U is established in respect to the mandate of the statute regulating each entity. The purpose of this memorandum is to provide a framework for the &lt;</w:t>
      </w:r>
      <w:r w:rsidRPr="00054EAA">
        <w:rPr>
          <w:highlight w:val="lightGray"/>
        </w:rPr>
        <w:t>Authority 1</w:t>
      </w:r>
      <w:r w:rsidRPr="00054EAA">
        <w:t>&gt; and &lt;</w:t>
      </w:r>
      <w:r w:rsidRPr="00054EAA">
        <w:rPr>
          <w:highlight w:val="lightGray"/>
        </w:rPr>
        <w:t>Authority 2</w:t>
      </w:r>
      <w:r w:rsidRPr="00054EAA">
        <w:t>&gt; and &lt;</w:t>
      </w:r>
      <w:r w:rsidRPr="00054EAA">
        <w:rPr>
          <w:b/>
          <w:highlight w:val="lightGray"/>
        </w:rPr>
        <w:t>AS NEEDED</w:t>
      </w:r>
      <w:r w:rsidRPr="00054EAA">
        <w:rPr>
          <w:highlight w:val="lightGray"/>
        </w:rPr>
        <w:t>: Authority 3 and 4</w:t>
      </w:r>
      <w:r w:rsidRPr="00054EAA">
        <w:t>&gt; to collaborate with one another regarding the regulation and supervision of digital financial services in &lt;</w:t>
      </w:r>
      <w:r w:rsidRPr="00054EAA">
        <w:rPr>
          <w:highlight w:val="lightGray"/>
        </w:rPr>
        <w:t>COUNTRY</w:t>
      </w:r>
      <w:r w:rsidRPr="00054EAA">
        <w:t>&gt;. This M</w:t>
      </w:r>
      <w:r w:rsidR="00D216DE">
        <w:t>O</w:t>
      </w:r>
      <w:r w:rsidRPr="00054EAA">
        <w:t>U aims to promote the integrity, efficiency (for better use of public funds/budget) and efficacy of participants by improving effective regulation and enhancing the supervision of digital financial services. This M</w:t>
      </w:r>
      <w:r w:rsidR="00D216DE">
        <w:t>O</w:t>
      </w:r>
      <w:r w:rsidRPr="00054EAA">
        <w:t>U is entered into on the basis of mutual respect, in a spirit of goodwill and does not affect the independence of the parties her</w:t>
      </w:r>
      <w:r w:rsidR="006348C2">
        <w:t>e</w:t>
      </w:r>
      <w:r w:rsidRPr="00054EAA">
        <w:t>to.</w:t>
      </w:r>
    </w:p>
    <w:p w14:paraId="59B2838F" w14:textId="5A52FF4B" w:rsidR="004E5E99" w:rsidRPr="00054EAA" w:rsidRDefault="0009664C" w:rsidP="004E5E99">
      <w:pPr>
        <w:pStyle w:val="Heading3"/>
      </w:pPr>
      <w:bookmarkStart w:id="91" w:name="_Toc8394840"/>
      <w:r>
        <w:t>7.3.4</w:t>
      </w:r>
      <w:r>
        <w:tab/>
      </w:r>
      <w:r w:rsidR="004E5E99" w:rsidRPr="00054EAA">
        <w:t>Principles</w:t>
      </w:r>
      <w:bookmarkEnd w:id="91"/>
    </w:p>
    <w:p w14:paraId="306DF531" w14:textId="77777777" w:rsidR="004E5E99" w:rsidRPr="00054EAA" w:rsidRDefault="004E5E99" w:rsidP="004E5E99">
      <w:pPr>
        <w:rPr>
          <w:bCs/>
        </w:rPr>
      </w:pPr>
      <w:r w:rsidRPr="00054EAA">
        <w:rPr>
          <w:bCs/>
        </w:rPr>
        <w:t xml:space="preserve">This </w:t>
      </w:r>
      <w:r w:rsidRPr="00054EAA">
        <w:t>collaboration</w:t>
      </w:r>
      <w:r w:rsidRPr="00054EAA">
        <w:rPr>
          <w:bCs/>
        </w:rPr>
        <w:t xml:space="preserve"> aims to abide by the following principles as allowed by law:</w:t>
      </w:r>
    </w:p>
    <w:p w14:paraId="05643664" w14:textId="77777777" w:rsidR="004E5E99" w:rsidRPr="00054EAA" w:rsidRDefault="004E5E99" w:rsidP="004E5E99">
      <w:pPr>
        <w:pStyle w:val="enumlev10"/>
      </w:pPr>
      <w:r w:rsidRPr="00054EAA">
        <w:t>•</w:t>
      </w:r>
      <w:r w:rsidRPr="00054EAA">
        <w:tab/>
        <w:t>Digital financial services providers and participants will experience a more coordinated effort through harmonious regulations that are clearly communicated</w:t>
      </w:r>
    </w:p>
    <w:p w14:paraId="708748C8" w14:textId="77777777" w:rsidR="004E5E99" w:rsidRPr="00054EAA" w:rsidRDefault="004E5E99" w:rsidP="004E5E99">
      <w:pPr>
        <w:pStyle w:val="enumlev10"/>
      </w:pPr>
      <w:r w:rsidRPr="00054EAA">
        <w:lastRenderedPageBreak/>
        <w:t>•</w:t>
      </w:r>
      <w:r w:rsidRPr="00054EAA">
        <w:tab/>
        <w:t>End users, particularly the unbanked, will be empowered to use digital financial services, recognizing such services are secure and end users are appropriately protected</w:t>
      </w:r>
    </w:p>
    <w:p w14:paraId="1100122D" w14:textId="77777777" w:rsidR="004E5E99" w:rsidRPr="00054EAA" w:rsidRDefault="004E5E99" w:rsidP="004E5E99">
      <w:r w:rsidRPr="00054EAA">
        <w:t>This collaboration aims to achieve the following outcomes as allowed by law:</w:t>
      </w:r>
    </w:p>
    <w:p w14:paraId="4AC60304" w14:textId="77777777" w:rsidR="004E5E99" w:rsidRPr="00054EAA" w:rsidRDefault="004E5E99" w:rsidP="004E5E99">
      <w:pPr>
        <w:pStyle w:val="enumlev10"/>
      </w:pPr>
      <w:r w:rsidRPr="00054EAA">
        <w:t>•</w:t>
      </w:r>
      <w:r w:rsidRPr="00054EAA">
        <w:tab/>
        <w:t xml:space="preserve">Implementing effective measures to combat the financing of terrorism, money </w:t>
      </w:r>
      <w:r w:rsidR="003403A9" w:rsidRPr="00054EAA">
        <w:t>laundering and fraud, including</w:t>
      </w:r>
    </w:p>
    <w:p w14:paraId="296E92E9" w14:textId="77777777" w:rsidR="004E5E99" w:rsidRPr="00054EAA" w:rsidRDefault="004E5E99" w:rsidP="004E5E99">
      <w:pPr>
        <w:pStyle w:val="enumlev20"/>
      </w:pPr>
      <w:proofErr w:type="spellStart"/>
      <w:r w:rsidRPr="00054EAA">
        <w:t>i</w:t>
      </w:r>
      <w:proofErr w:type="spellEnd"/>
      <w:r w:rsidRPr="00054EAA">
        <w:t>.</w:t>
      </w:r>
      <w:r w:rsidRPr="00054EAA">
        <w:tab/>
        <w:t>Facilitating the discovery of and actions against non-compliance or fraudulent practices</w:t>
      </w:r>
    </w:p>
    <w:p w14:paraId="1206C20C" w14:textId="77777777" w:rsidR="004E5E99" w:rsidRPr="00054EAA" w:rsidRDefault="004E5E99" w:rsidP="004E5E99">
      <w:pPr>
        <w:pStyle w:val="enumlev20"/>
      </w:pPr>
      <w:r w:rsidRPr="00054EAA">
        <w:t>ii.</w:t>
      </w:r>
      <w:r w:rsidRPr="00054EAA">
        <w:tab/>
        <w:t>Conducting training and awareness programs on cyber security for participants and end users</w:t>
      </w:r>
    </w:p>
    <w:p w14:paraId="284F1230" w14:textId="77777777" w:rsidR="004E5E99" w:rsidRPr="00054EAA" w:rsidRDefault="004E5E99" w:rsidP="004E5E99">
      <w:pPr>
        <w:pStyle w:val="enumlev20"/>
      </w:pPr>
      <w:r w:rsidRPr="00054EAA">
        <w:t>iii.</w:t>
      </w:r>
      <w:r w:rsidRPr="00054EAA">
        <w:tab/>
        <w:t>Ensuring the imposition of effective sanctions</w:t>
      </w:r>
    </w:p>
    <w:p w14:paraId="7C798E61" w14:textId="77777777" w:rsidR="004E5E99" w:rsidRPr="00054EAA" w:rsidRDefault="004E5E99" w:rsidP="004E5E99">
      <w:pPr>
        <w:pStyle w:val="enumlev10"/>
      </w:pPr>
      <w:r w:rsidRPr="00054EAA">
        <w:t>•</w:t>
      </w:r>
      <w:r w:rsidRPr="00054EAA">
        <w:tab/>
        <w:t>Fostering competition and promoting a level playing field for all participants of a digital financial services ecosystem including</w:t>
      </w:r>
    </w:p>
    <w:p w14:paraId="5E58225C" w14:textId="77777777" w:rsidR="004E5E99" w:rsidRPr="00054EAA" w:rsidRDefault="004E5E99" w:rsidP="004E5E99">
      <w:pPr>
        <w:pStyle w:val="enumlev20"/>
      </w:pPr>
      <w:proofErr w:type="spellStart"/>
      <w:r w:rsidRPr="00054EAA">
        <w:t>i</w:t>
      </w:r>
      <w:proofErr w:type="spellEnd"/>
      <w:r w:rsidRPr="00054EAA">
        <w:t>.</w:t>
      </w:r>
      <w:r w:rsidRPr="00054EAA">
        <w:tab/>
        <w:t>Enabling equitable access to the telecommunications network</w:t>
      </w:r>
    </w:p>
    <w:p w14:paraId="762B1ED3" w14:textId="77777777" w:rsidR="004E5E99" w:rsidRPr="00054EAA" w:rsidRDefault="004E5E99" w:rsidP="004E5E99">
      <w:pPr>
        <w:pStyle w:val="enumlev20"/>
      </w:pPr>
      <w:r w:rsidRPr="00054EAA">
        <w:t>ii.</w:t>
      </w:r>
      <w:r w:rsidRPr="00054EAA">
        <w:tab/>
        <w:t>Preventing anti-competitive practices</w:t>
      </w:r>
    </w:p>
    <w:p w14:paraId="6F4A8B12" w14:textId="77777777" w:rsidR="004E5E99" w:rsidRPr="00054EAA" w:rsidRDefault="004E5E99" w:rsidP="004E5E99">
      <w:pPr>
        <w:pStyle w:val="enumlev10"/>
      </w:pPr>
      <w:r w:rsidRPr="00054EAA">
        <w:t>•</w:t>
      </w:r>
      <w:r w:rsidRPr="00054EAA">
        <w:tab/>
        <w:t>Promoting interoperability and interconnectivity of digital financial services participants</w:t>
      </w:r>
    </w:p>
    <w:p w14:paraId="19C62CA6" w14:textId="77777777" w:rsidR="004E5E99" w:rsidRPr="00054EAA" w:rsidRDefault="004E5E99" w:rsidP="004E5E99">
      <w:pPr>
        <w:pStyle w:val="enumlev10"/>
      </w:pPr>
      <w:r w:rsidRPr="00054EAA">
        <w:t>•</w:t>
      </w:r>
      <w:r w:rsidRPr="00054EAA">
        <w:tab/>
        <w:t>Ensuring transactional points, including agents, adhere to relevant regulatory and supervisory requirements</w:t>
      </w:r>
    </w:p>
    <w:p w14:paraId="62ABA090" w14:textId="77777777" w:rsidR="004E5E99" w:rsidRPr="00054EAA" w:rsidRDefault="004E5E99" w:rsidP="004E5E99">
      <w:pPr>
        <w:pStyle w:val="enumlev10"/>
      </w:pPr>
      <w:r w:rsidRPr="00054EAA">
        <w:t>•</w:t>
      </w:r>
      <w:r w:rsidRPr="00054EAA">
        <w:tab/>
        <w:t xml:space="preserve">Ensuring appropriate mechanisms are in place to identify, assess, monitor and control risks related to digital financial services </w:t>
      </w:r>
    </w:p>
    <w:p w14:paraId="6D3BA05B" w14:textId="77777777" w:rsidR="004E5E99" w:rsidRPr="00054EAA" w:rsidRDefault="004E5E99" w:rsidP="004E5E99">
      <w:pPr>
        <w:pStyle w:val="enumlev10"/>
      </w:pPr>
      <w:r w:rsidRPr="00054EAA">
        <w:t>•</w:t>
      </w:r>
      <w:r w:rsidRPr="00054EAA">
        <w:tab/>
        <w:t>Fostering consumer protection and creating an enabling framework to ensure</w:t>
      </w:r>
    </w:p>
    <w:p w14:paraId="2383C06A" w14:textId="77777777" w:rsidR="004E5E99" w:rsidRPr="00054EAA" w:rsidRDefault="004E5E99" w:rsidP="004E5E99">
      <w:pPr>
        <w:pStyle w:val="enumlev20"/>
      </w:pPr>
      <w:proofErr w:type="spellStart"/>
      <w:r w:rsidRPr="00054EAA">
        <w:t>i</w:t>
      </w:r>
      <w:proofErr w:type="spellEnd"/>
      <w:r w:rsidRPr="00054EAA">
        <w:t>.</w:t>
      </w:r>
      <w:r w:rsidRPr="00054EAA">
        <w:tab/>
        <w:t>Services are delivered in a fair and transparent manner</w:t>
      </w:r>
    </w:p>
    <w:p w14:paraId="10797801" w14:textId="77777777" w:rsidR="004E5E99" w:rsidRPr="00054EAA" w:rsidRDefault="004E5E99" w:rsidP="004E5E99">
      <w:pPr>
        <w:pStyle w:val="enumlev20"/>
      </w:pPr>
      <w:r w:rsidRPr="00054EAA">
        <w:t>ii.</w:t>
      </w:r>
      <w:r w:rsidRPr="00054EAA">
        <w:tab/>
        <w:t>Appropriate mechanisms exist to address end user complaints</w:t>
      </w:r>
    </w:p>
    <w:p w14:paraId="1EFD7B82" w14:textId="77777777" w:rsidR="004E5E99" w:rsidRPr="00054EAA" w:rsidRDefault="00576362" w:rsidP="00576362">
      <w:pPr>
        <w:pStyle w:val="enumlev20"/>
      </w:pPr>
      <w:r w:rsidRPr="00054EAA">
        <w:t>iii.</w:t>
      </w:r>
      <w:r w:rsidRPr="00054EAA">
        <w:tab/>
      </w:r>
      <w:r w:rsidR="004E5E99" w:rsidRPr="00054EAA">
        <w:t>Appropriate financial literacy programs exists</w:t>
      </w:r>
    </w:p>
    <w:p w14:paraId="7D77E617" w14:textId="77777777" w:rsidR="004E5E99" w:rsidRPr="00054EAA" w:rsidRDefault="00576362" w:rsidP="00576362">
      <w:pPr>
        <w:pStyle w:val="enumlev20"/>
      </w:pPr>
      <w:r w:rsidRPr="00054EAA">
        <w:t>iv.</w:t>
      </w:r>
      <w:r w:rsidRPr="00054EAA">
        <w:tab/>
      </w:r>
      <w:r w:rsidR="004E5E99" w:rsidRPr="00054EAA">
        <w:t>Participants can accurately track and provide proof of transactions</w:t>
      </w:r>
    </w:p>
    <w:p w14:paraId="7BC30593" w14:textId="77777777" w:rsidR="004E5E99" w:rsidRPr="00054EAA" w:rsidRDefault="00576362" w:rsidP="00576362">
      <w:pPr>
        <w:pStyle w:val="enumlev20"/>
      </w:pPr>
      <w:r w:rsidRPr="00054EAA">
        <w:t>v.</w:t>
      </w:r>
      <w:r w:rsidRPr="00054EAA">
        <w:tab/>
      </w:r>
      <w:r w:rsidR="004E5E99" w:rsidRPr="00054EAA">
        <w:t>End user data and identity is protected and kept confidential</w:t>
      </w:r>
    </w:p>
    <w:p w14:paraId="03B9D71C" w14:textId="77777777" w:rsidR="004E5E99" w:rsidRPr="00054EAA" w:rsidRDefault="00576362" w:rsidP="00576362">
      <w:pPr>
        <w:pStyle w:val="enumlev20"/>
      </w:pPr>
      <w:r w:rsidRPr="00054EAA">
        <w:t>vi.</w:t>
      </w:r>
      <w:r w:rsidRPr="00054EAA">
        <w:tab/>
      </w:r>
      <w:r w:rsidR="004E5E99" w:rsidRPr="00054EAA">
        <w:t>End user mobility (e.g. no minimum barriers for switching products and/or services providers)</w:t>
      </w:r>
    </w:p>
    <w:p w14:paraId="0B7E06A5" w14:textId="3D18D2BD" w:rsidR="00816552" w:rsidRPr="00054EAA" w:rsidRDefault="0009664C" w:rsidP="00816552">
      <w:pPr>
        <w:pStyle w:val="Heading3"/>
      </w:pPr>
      <w:bookmarkStart w:id="92" w:name="_Toc8394841"/>
      <w:r>
        <w:t>7.3.5</w:t>
      </w:r>
      <w:r>
        <w:tab/>
      </w:r>
      <w:r w:rsidR="00816552" w:rsidRPr="00054EAA">
        <w:t>Promotion of a coordinated framework</w:t>
      </w:r>
      <w:bookmarkEnd w:id="92"/>
    </w:p>
    <w:p w14:paraId="7CD1A7A1" w14:textId="77777777" w:rsidR="00816552" w:rsidRPr="00054EAA" w:rsidRDefault="00816552" w:rsidP="00816552">
      <w:r w:rsidRPr="00054EAA">
        <w:t>The Authorities agree to work together to promote a coordinated framework for the regulation and supervision of digital financial services in &lt;</w:t>
      </w:r>
      <w:r w:rsidRPr="00054EAA">
        <w:rPr>
          <w:highlight w:val="lightGray"/>
        </w:rPr>
        <w:t>Country</w:t>
      </w:r>
      <w:r w:rsidRPr="00054EAA">
        <w:t>&gt;. Such collaboration will include but not be limited to:</w:t>
      </w:r>
    </w:p>
    <w:p w14:paraId="1218B477" w14:textId="77777777" w:rsidR="00816552" w:rsidRPr="00054EAA" w:rsidRDefault="00816552" w:rsidP="00816552">
      <w:pPr>
        <w:pStyle w:val="enumlev10"/>
      </w:pPr>
      <w:r w:rsidRPr="00054EAA">
        <w:t>•</w:t>
      </w:r>
      <w:r w:rsidRPr="00054EAA">
        <w:tab/>
        <w:t>Regulating and supervising providers to ensure digital financial services are provided in a safe, sound and sustainable manner that</w:t>
      </w:r>
      <w:r w:rsidR="00980E22" w:rsidRPr="00054EAA">
        <w:t xml:space="preserve"> promotes financial inclusion.</w:t>
      </w:r>
    </w:p>
    <w:p w14:paraId="58CFFF23" w14:textId="77777777" w:rsidR="00816552" w:rsidRPr="00054EAA" w:rsidRDefault="00816552" w:rsidP="00816552">
      <w:pPr>
        <w:pStyle w:val="enumlev20"/>
      </w:pPr>
      <w:proofErr w:type="spellStart"/>
      <w:r w:rsidRPr="00054EAA">
        <w:t>i</w:t>
      </w:r>
      <w:proofErr w:type="spellEnd"/>
      <w:r w:rsidRPr="00054EAA">
        <w:t>.</w:t>
      </w:r>
      <w:r w:rsidRPr="00054EAA">
        <w:tab/>
        <w:t>Collaborating to determine supervision, reporting, research, monitoring and record-keeping requirements</w:t>
      </w:r>
    </w:p>
    <w:p w14:paraId="3E7BCD9D" w14:textId="77777777" w:rsidR="00816552" w:rsidRPr="00054EAA" w:rsidRDefault="00816552" w:rsidP="00816552">
      <w:pPr>
        <w:pStyle w:val="enumlev20"/>
      </w:pPr>
      <w:r w:rsidRPr="00054EAA">
        <w:t>ii.</w:t>
      </w:r>
      <w:r w:rsidRPr="00054EAA">
        <w:tab/>
        <w:t>Establishing appropriate systems and clear procedures for the supervision of digital financial services</w:t>
      </w:r>
    </w:p>
    <w:p w14:paraId="2E8BC917" w14:textId="77777777" w:rsidR="00816552" w:rsidRPr="00054EAA" w:rsidRDefault="00816552" w:rsidP="00816552">
      <w:pPr>
        <w:pStyle w:val="enumlev20"/>
      </w:pPr>
      <w:r w:rsidRPr="00054EAA">
        <w:t>iii.</w:t>
      </w:r>
      <w:r w:rsidRPr="00054EAA">
        <w:tab/>
        <w:t>Developing standards and guidelines as deemed necessary</w:t>
      </w:r>
    </w:p>
    <w:p w14:paraId="43AE5504" w14:textId="77777777" w:rsidR="00816552" w:rsidRPr="00054EAA" w:rsidRDefault="00816552" w:rsidP="00816552">
      <w:pPr>
        <w:pStyle w:val="enumlev20"/>
      </w:pPr>
      <w:r w:rsidRPr="00054EAA">
        <w:t>iv.</w:t>
      </w:r>
      <w:r w:rsidRPr="00054EAA">
        <w:tab/>
        <w:t>Implementing strategies and policies aimed at enhancing financial inclusion through digital financial services</w:t>
      </w:r>
    </w:p>
    <w:p w14:paraId="1200563E" w14:textId="77777777" w:rsidR="00816552" w:rsidRPr="00054EAA" w:rsidRDefault="00816552" w:rsidP="00816552">
      <w:pPr>
        <w:pStyle w:val="enumlev20"/>
      </w:pPr>
      <w:r w:rsidRPr="00054EAA">
        <w:t>v.</w:t>
      </w:r>
      <w:r w:rsidRPr="00054EAA">
        <w:tab/>
        <w:t>Inspecting digital financial services participants and providing technical expertise</w:t>
      </w:r>
    </w:p>
    <w:p w14:paraId="31F94F8F" w14:textId="77777777" w:rsidR="00816552" w:rsidRPr="00054EAA" w:rsidRDefault="00816552" w:rsidP="00816552">
      <w:pPr>
        <w:pStyle w:val="enumlev20"/>
      </w:pPr>
      <w:r w:rsidRPr="00054EAA">
        <w:t>vi.</w:t>
      </w:r>
      <w:r w:rsidRPr="00054EAA">
        <w:tab/>
        <w:t>Sharing information &lt;</w:t>
      </w:r>
      <w:r w:rsidRPr="00054EAA">
        <w:rPr>
          <w:highlight w:val="lightGray"/>
        </w:rPr>
        <w:t>SEE LATER CLAUSE</w:t>
      </w:r>
      <w:r w:rsidRPr="00054EAA">
        <w:t>&gt;</w:t>
      </w:r>
    </w:p>
    <w:p w14:paraId="446DDBEB" w14:textId="77777777" w:rsidR="00816552" w:rsidRPr="00054EAA" w:rsidRDefault="00816552" w:rsidP="00816552">
      <w:pPr>
        <w:pStyle w:val="enumlev20"/>
      </w:pPr>
      <w:r w:rsidRPr="00054EAA">
        <w:t>vii.</w:t>
      </w:r>
      <w:r w:rsidRPr="00054EAA">
        <w:tab/>
        <w:t>Providing technical opinions and comments on legal and regulatory instruments</w:t>
      </w:r>
    </w:p>
    <w:p w14:paraId="459A9E56" w14:textId="77777777" w:rsidR="00816552" w:rsidRPr="00054EAA" w:rsidRDefault="00816552" w:rsidP="00816552">
      <w:pPr>
        <w:pStyle w:val="enumlev20"/>
        <w:rPr>
          <w:lang w:eastAsia="ja-JP"/>
        </w:rPr>
      </w:pPr>
      <w:r w:rsidRPr="00054EAA">
        <w:t>viii.</w:t>
      </w:r>
      <w:r w:rsidRPr="00054EAA">
        <w:tab/>
        <w:t>Developing and disseminating materials to participants on the regulations</w:t>
      </w:r>
    </w:p>
    <w:p w14:paraId="57B92C85" w14:textId="7C59651D" w:rsidR="004E5E99" w:rsidRPr="00054EAA" w:rsidRDefault="0009664C" w:rsidP="006932FC">
      <w:pPr>
        <w:pStyle w:val="Heading3"/>
      </w:pPr>
      <w:bookmarkStart w:id="93" w:name="_Toc8394842"/>
      <w:r>
        <w:lastRenderedPageBreak/>
        <w:t>7.3.6</w:t>
      </w:r>
      <w:r>
        <w:tab/>
      </w:r>
      <w:r w:rsidR="006932FC" w:rsidRPr="00054EAA">
        <w:t>Ongoing contact and meetings</w:t>
      </w:r>
      <w:bookmarkEnd w:id="93"/>
    </w:p>
    <w:p w14:paraId="75EDDE01" w14:textId="77777777" w:rsidR="006932FC" w:rsidRPr="00054EAA" w:rsidRDefault="006932FC" w:rsidP="006932FC">
      <w:pPr>
        <w:rPr>
          <w:bCs/>
        </w:rPr>
      </w:pPr>
      <w:r w:rsidRPr="00054EAA">
        <w:rPr>
          <w:bCs/>
        </w:rPr>
        <w:t>To enable effective collaboration, each Authority may:</w:t>
      </w:r>
    </w:p>
    <w:p w14:paraId="416AB796" w14:textId="7C1D5291" w:rsidR="006932FC" w:rsidRPr="00054EAA" w:rsidRDefault="006932FC" w:rsidP="006932FC">
      <w:pPr>
        <w:pStyle w:val="enumlev10"/>
      </w:pPr>
      <w:r w:rsidRPr="00054EAA">
        <w:t>•</w:t>
      </w:r>
      <w:r w:rsidRPr="00054EAA">
        <w:tab/>
        <w:t xml:space="preserve">Nominate at least two senior representatives from within their organization to start and serve on a Steering Committee that will hold meetings at least two times per year and when necessary. The Steering Committee will be responsible for providing strategic and policy guidance on matters covered in this </w:t>
      </w:r>
      <w:proofErr w:type="spellStart"/>
      <w:r w:rsidRPr="00054EAA">
        <w:t>MoU</w:t>
      </w:r>
      <w:proofErr w:type="spellEnd"/>
    </w:p>
    <w:p w14:paraId="3611CCA2" w14:textId="77777777" w:rsidR="006932FC" w:rsidRPr="00054EAA" w:rsidRDefault="006932FC" w:rsidP="006932FC">
      <w:pPr>
        <w:pStyle w:val="enumlev10"/>
      </w:pPr>
      <w:r w:rsidRPr="00054EAA">
        <w:t>•</w:t>
      </w:r>
      <w:r w:rsidRPr="00054EAA">
        <w:tab/>
        <w:t>Nominate one person as the primary contact person and liaison for the purposes of information sharing related to this understanding. If this person changes over the course of the understanding, the Authority will communicate the change to the other party.</w:t>
      </w:r>
    </w:p>
    <w:p w14:paraId="63E44634" w14:textId="77777777" w:rsidR="006932FC" w:rsidRPr="00054EAA" w:rsidRDefault="006932FC" w:rsidP="006932FC">
      <w:pPr>
        <w:pStyle w:val="enumlev10"/>
      </w:pPr>
      <w:r w:rsidRPr="00054EAA">
        <w:t>•</w:t>
      </w:r>
      <w:r w:rsidRPr="00054EAA">
        <w:tab/>
        <w:t>Nominate two persons to serve on a Technical Working Group aimed at collaborating on technical matters, whose terms of reference shall be defined and approved by the Steering Committee.</w:t>
      </w:r>
    </w:p>
    <w:p w14:paraId="4766338C" w14:textId="77777777" w:rsidR="006932FC" w:rsidRPr="00054EAA" w:rsidRDefault="006932FC" w:rsidP="006932FC">
      <w:pPr>
        <w:pStyle w:val="enumlev10"/>
      </w:pPr>
      <w:r w:rsidRPr="00054EAA">
        <w:t>•</w:t>
      </w:r>
      <w:r w:rsidRPr="00054EAA">
        <w:tab/>
        <w:t>Nominate one person to serve on an External Communications Working Group, aimed at liaising with other regulatory bodies and participants, whose terms of reference shall be defined and approved by the Steering Committee.</w:t>
      </w:r>
    </w:p>
    <w:p w14:paraId="36D468F6" w14:textId="77777777" w:rsidR="006932FC" w:rsidRPr="00054EAA" w:rsidRDefault="006932FC" w:rsidP="006932FC">
      <w:pPr>
        <w:pStyle w:val="enumlev10"/>
      </w:pPr>
      <w:r w:rsidRPr="00054EAA">
        <w:t>•</w:t>
      </w:r>
      <w:r w:rsidRPr="00054EAA">
        <w:tab/>
        <w:t>Nominate representatives to serve on other working groups if and when the need is identified by the Steering Committee.</w:t>
      </w:r>
    </w:p>
    <w:p w14:paraId="0DCB7CD0" w14:textId="0C88FC2E" w:rsidR="006932FC" w:rsidRPr="00054EAA" w:rsidRDefault="0009664C" w:rsidP="008D4C8F">
      <w:pPr>
        <w:pStyle w:val="Heading3"/>
      </w:pPr>
      <w:bookmarkStart w:id="94" w:name="_Toc8394843"/>
      <w:r>
        <w:t>7.3.7</w:t>
      </w:r>
      <w:r>
        <w:tab/>
      </w:r>
      <w:r w:rsidR="008D4C8F" w:rsidRPr="00054EAA">
        <w:t xml:space="preserve">Sharing </w:t>
      </w:r>
      <w:r w:rsidR="006348C2">
        <w:t>i</w:t>
      </w:r>
      <w:r w:rsidR="008D4C8F" w:rsidRPr="00054EAA">
        <w:t>nformation</w:t>
      </w:r>
      <w:bookmarkEnd w:id="94"/>
    </w:p>
    <w:p w14:paraId="527FEA10" w14:textId="77777777" w:rsidR="008D4C8F" w:rsidRPr="00054EAA" w:rsidRDefault="008D4C8F" w:rsidP="008D4C8F">
      <w:r w:rsidRPr="00054EAA">
        <w:rPr>
          <w:bCs/>
        </w:rPr>
        <w:t>Exchange</w:t>
      </w:r>
      <w:r w:rsidRPr="00054EAA">
        <w:t xml:space="preserve"> of information will take place at many levels. Some information available to one regulator (including regularly provided regulatory data) may not be readily available to the other. As a result, the Authorities agree to share information to the extent permitted by law, to enable the regulation and supervision of digital financial services in &lt;</w:t>
      </w:r>
      <w:r w:rsidRPr="00054EAA">
        <w:rPr>
          <w:highlight w:val="lightGray"/>
        </w:rPr>
        <w:t>COUNTRY</w:t>
      </w:r>
      <w:r w:rsidRPr="00054EAA">
        <w:t>&gt;. Such information includes but is not limited to</w:t>
      </w:r>
    </w:p>
    <w:p w14:paraId="104351FD" w14:textId="77777777" w:rsidR="008D4C8F" w:rsidRPr="00054EAA" w:rsidRDefault="008D4C8F" w:rsidP="008D4C8F">
      <w:pPr>
        <w:pStyle w:val="enumlev10"/>
      </w:pPr>
      <w:r w:rsidRPr="00054EAA">
        <w:t>•</w:t>
      </w:r>
      <w:r w:rsidRPr="00054EAA">
        <w:tab/>
        <w:t>Both Authorities will inform each other about an event which has the potential to endanger the stability of digital financial services or a relevant participant operating in the digital financial services ecosystem. This may include complaints data, supervision outputs, risk assessment outputs and enforcement data.</w:t>
      </w:r>
    </w:p>
    <w:p w14:paraId="01AD1927" w14:textId="77777777" w:rsidR="008D4C8F" w:rsidRPr="00054EAA" w:rsidRDefault="008D4C8F" w:rsidP="008D4C8F">
      <w:pPr>
        <w:pStyle w:val="enumlev10"/>
      </w:pPr>
      <w:r w:rsidRPr="00054EAA">
        <w:t>•</w:t>
      </w:r>
      <w:r w:rsidRPr="00054EAA">
        <w:tab/>
        <w:t xml:space="preserve">Both Authorities will consider offering trainings on their expertise to the counterparty as needed </w:t>
      </w:r>
      <w:r w:rsidR="003403A9" w:rsidRPr="00054EAA">
        <w:t>to ensure proper understanding.</w:t>
      </w:r>
    </w:p>
    <w:p w14:paraId="68AA9028" w14:textId="77777777" w:rsidR="008D4C8F" w:rsidRPr="00054EAA" w:rsidRDefault="008D4C8F" w:rsidP="008D4C8F">
      <w:pPr>
        <w:pStyle w:val="enumlev10"/>
      </w:pPr>
      <w:r w:rsidRPr="00054EAA">
        <w:t>•</w:t>
      </w:r>
      <w:r w:rsidRPr="00054EAA">
        <w:tab/>
        <w:t xml:space="preserve">The Financial Services Regulatory </w:t>
      </w:r>
      <w:proofErr w:type="gramStart"/>
      <w:r w:rsidRPr="00054EAA">
        <w:t>Authority(</w:t>
      </w:r>
      <w:proofErr w:type="spellStart"/>
      <w:proofErr w:type="gramEnd"/>
      <w:r w:rsidRPr="00054EAA">
        <w:t>ies</w:t>
      </w:r>
      <w:proofErr w:type="spellEnd"/>
      <w:r w:rsidRPr="00054EAA">
        <w:t>) will provide the Telecommunications Authority(</w:t>
      </w:r>
      <w:proofErr w:type="spellStart"/>
      <w:r w:rsidRPr="00054EAA">
        <w:t>ies</w:t>
      </w:r>
      <w:proofErr w:type="spellEnd"/>
      <w:r w:rsidRPr="00054EAA">
        <w:t>) and &lt;</w:t>
      </w:r>
      <w:r w:rsidRPr="00054EAA">
        <w:rPr>
          <w:highlight w:val="lightGray"/>
        </w:rPr>
        <w:t>AS NEEDED: Authority 3 and 4</w:t>
      </w:r>
      <w:r w:rsidRPr="00054EAA">
        <w:t>&gt;</w:t>
      </w:r>
    </w:p>
    <w:p w14:paraId="72694811" w14:textId="77777777" w:rsidR="008D4C8F" w:rsidRPr="00054EAA" w:rsidRDefault="008D4C8F" w:rsidP="008D4C8F">
      <w:pPr>
        <w:pStyle w:val="enumlev20"/>
      </w:pPr>
      <w:proofErr w:type="spellStart"/>
      <w:r w:rsidRPr="00054EAA">
        <w:t>i</w:t>
      </w:r>
      <w:proofErr w:type="spellEnd"/>
      <w:r w:rsidRPr="00054EAA">
        <w:t>.</w:t>
      </w:r>
      <w:r w:rsidRPr="00054EAA">
        <w:tab/>
        <w:t>Information related to the licensing and/or authorization of entities able to provide digital financial services and/or participate in the digital financial services ecosystem</w:t>
      </w:r>
    </w:p>
    <w:p w14:paraId="4BFE967B" w14:textId="77777777" w:rsidR="008D4C8F" w:rsidRPr="00054EAA" w:rsidRDefault="008D4C8F" w:rsidP="008D4C8F">
      <w:pPr>
        <w:pStyle w:val="enumlev20"/>
      </w:pPr>
      <w:r w:rsidRPr="00054EAA">
        <w:t>ii.</w:t>
      </w:r>
      <w:r w:rsidRPr="00054EAA">
        <w:tab/>
        <w:t>Information on funds safeguarding, including isolation, liquidity requirements and deposit protection</w:t>
      </w:r>
    </w:p>
    <w:p w14:paraId="00DFD284" w14:textId="77777777" w:rsidR="008D4C8F" w:rsidRPr="00054EAA" w:rsidRDefault="008D4C8F" w:rsidP="008D4C8F">
      <w:pPr>
        <w:pStyle w:val="enumlev20"/>
      </w:pPr>
      <w:r w:rsidRPr="00054EAA">
        <w:t>iii.</w:t>
      </w:r>
      <w:r w:rsidRPr="00054EAA">
        <w:tab/>
        <w:t>Information on emerging business models and services related to digital financial services</w:t>
      </w:r>
    </w:p>
    <w:p w14:paraId="259BBFA9" w14:textId="77777777" w:rsidR="008D4C8F" w:rsidRPr="00054EAA" w:rsidRDefault="008D4C8F" w:rsidP="008D4C8F">
      <w:pPr>
        <w:pStyle w:val="enumlev10"/>
      </w:pPr>
      <w:r w:rsidRPr="00054EAA">
        <w:t>•</w:t>
      </w:r>
      <w:r w:rsidRPr="00054EAA">
        <w:tab/>
        <w:t>Telecommunications Authority will provide the Financial Services Regulatory Authority and &lt;</w:t>
      </w:r>
      <w:r w:rsidRPr="00054EAA">
        <w:rPr>
          <w:highlight w:val="lightGray"/>
        </w:rPr>
        <w:t>AS NEEDED: Authority 3 and 4</w:t>
      </w:r>
      <w:r w:rsidRPr="00054EAA">
        <w:t>&gt;</w:t>
      </w:r>
    </w:p>
    <w:p w14:paraId="63148897" w14:textId="77777777" w:rsidR="008D4C8F" w:rsidRPr="00054EAA" w:rsidRDefault="008D4C8F" w:rsidP="008D4C8F">
      <w:pPr>
        <w:pStyle w:val="enumlev20"/>
      </w:pPr>
      <w:proofErr w:type="spellStart"/>
      <w:r w:rsidRPr="00054EAA">
        <w:t>i</w:t>
      </w:r>
      <w:proofErr w:type="spellEnd"/>
      <w:r w:rsidRPr="00054EAA">
        <w:t>.</w:t>
      </w:r>
      <w:r w:rsidRPr="00054EAA">
        <w:tab/>
        <w:t>Information pertaining to regulation or approvals to provide communication services including updates on licensed/unlicensed operations</w:t>
      </w:r>
    </w:p>
    <w:p w14:paraId="25C8F82A" w14:textId="77777777" w:rsidR="008D4C8F" w:rsidRPr="00054EAA" w:rsidRDefault="008D4C8F" w:rsidP="008D4C8F">
      <w:pPr>
        <w:pStyle w:val="enumlev20"/>
      </w:pPr>
      <w:r w:rsidRPr="00054EAA">
        <w:t>ii.</w:t>
      </w:r>
      <w:r w:rsidRPr="00054EAA">
        <w:tab/>
        <w:t>Data on outreach and coverage of the telecommunications network(s), including network performance metrics like quality and reliability</w:t>
      </w:r>
    </w:p>
    <w:p w14:paraId="29E52340" w14:textId="77777777" w:rsidR="008D4C8F" w:rsidRPr="00054EAA" w:rsidRDefault="008D4C8F" w:rsidP="008D4C8F">
      <w:pPr>
        <w:pStyle w:val="enumlev20"/>
      </w:pPr>
      <w:r w:rsidRPr="00054EAA">
        <w:t>iii.</w:t>
      </w:r>
      <w:r w:rsidRPr="00054EAA">
        <w:tab/>
        <w:t>Data on the security of the telecommunications network and information on relevant security and risk mitigation measures</w:t>
      </w:r>
    </w:p>
    <w:p w14:paraId="5686065F" w14:textId="77777777" w:rsidR="008D4C8F" w:rsidRPr="00054EAA" w:rsidRDefault="008D4C8F" w:rsidP="008D4C8F">
      <w:pPr>
        <w:pStyle w:val="enumlev20"/>
      </w:pPr>
      <w:r w:rsidRPr="00054EAA">
        <w:lastRenderedPageBreak/>
        <w:t>iv.</w:t>
      </w:r>
      <w:r w:rsidRPr="00054EAA">
        <w:tab/>
        <w:t>Information on emerging business models and services related to digital financial services</w:t>
      </w:r>
    </w:p>
    <w:p w14:paraId="6EAF4639" w14:textId="77777777" w:rsidR="008D4C8F" w:rsidRPr="00054EAA" w:rsidRDefault="008D4C8F" w:rsidP="008D4C8F">
      <w:pPr>
        <w:pStyle w:val="enumlev10"/>
      </w:pPr>
      <w:r w:rsidRPr="00054EAA">
        <w:t>•</w:t>
      </w:r>
      <w:r w:rsidRPr="00054EAA">
        <w:tab/>
        <w:t>Requests for information should be delivered with the following considerations outlined</w:t>
      </w:r>
    </w:p>
    <w:p w14:paraId="5525DF22" w14:textId="77777777" w:rsidR="008D4C8F" w:rsidRPr="00054EAA" w:rsidRDefault="008D4C8F" w:rsidP="008D4C8F">
      <w:pPr>
        <w:pStyle w:val="enumlev20"/>
      </w:pPr>
      <w:proofErr w:type="spellStart"/>
      <w:r w:rsidRPr="00054EAA">
        <w:t>i</w:t>
      </w:r>
      <w:proofErr w:type="spellEnd"/>
      <w:r w:rsidRPr="00054EAA">
        <w:t>.</w:t>
      </w:r>
      <w:r w:rsidRPr="00054EAA">
        <w:tab/>
        <w:t>Accurate description of the information needed and the corresponding purpose</w:t>
      </w:r>
    </w:p>
    <w:p w14:paraId="28EE00E2" w14:textId="77777777" w:rsidR="008D4C8F" w:rsidRPr="00054EAA" w:rsidRDefault="008D4C8F" w:rsidP="008D4C8F">
      <w:pPr>
        <w:pStyle w:val="enumlev20"/>
      </w:pPr>
      <w:r w:rsidRPr="00054EAA">
        <w:t>ii.</w:t>
      </w:r>
      <w:r w:rsidRPr="00054EAA">
        <w:tab/>
        <w:t>Conditions attached to the disclosure</w:t>
      </w:r>
    </w:p>
    <w:p w14:paraId="4DA4964C" w14:textId="77777777" w:rsidR="008D4C8F" w:rsidRPr="00054EAA" w:rsidRDefault="008D4C8F" w:rsidP="008D4C8F">
      <w:pPr>
        <w:pStyle w:val="enumlev20"/>
      </w:pPr>
      <w:r w:rsidRPr="00054EAA">
        <w:t>iii.</w:t>
      </w:r>
      <w:r w:rsidRPr="00054EAA">
        <w:tab/>
        <w:t>The sensitivity and confidentiality of the information</w:t>
      </w:r>
    </w:p>
    <w:p w14:paraId="3E26C44A" w14:textId="77777777" w:rsidR="008D4C8F" w:rsidRPr="00054EAA" w:rsidRDefault="008D4C8F" w:rsidP="008D4C8F">
      <w:pPr>
        <w:pStyle w:val="enumlev20"/>
      </w:pPr>
      <w:r w:rsidRPr="00054EAA">
        <w:t>iv.</w:t>
      </w:r>
      <w:r w:rsidRPr="00054EAA">
        <w:tab/>
        <w:t>The recipient parties of the information, including any third parties</w:t>
      </w:r>
    </w:p>
    <w:p w14:paraId="70452D30" w14:textId="77777777" w:rsidR="008D4C8F" w:rsidRPr="00054EAA" w:rsidRDefault="008D4C8F" w:rsidP="008D4C8F">
      <w:pPr>
        <w:pStyle w:val="enumlev20"/>
      </w:pPr>
      <w:r w:rsidRPr="00054EAA">
        <w:t>v.</w:t>
      </w:r>
      <w:r w:rsidRPr="00054EAA">
        <w:tab/>
        <w:t>The date by which the information is needed</w:t>
      </w:r>
    </w:p>
    <w:p w14:paraId="28E37044" w14:textId="77777777" w:rsidR="008D4C8F" w:rsidRPr="00054EAA" w:rsidRDefault="008D4C8F" w:rsidP="008D4C8F">
      <w:pPr>
        <w:pStyle w:val="enumlev10"/>
      </w:pPr>
      <w:r w:rsidRPr="00054EAA">
        <w:t>•</w:t>
      </w:r>
      <w:r w:rsidRPr="00054EAA">
        <w:tab/>
        <w:t>Provision of or request for information will be denied if compliance would result in an unlawful act or interfere with an ongoing investigation</w:t>
      </w:r>
    </w:p>
    <w:p w14:paraId="3856B4D9" w14:textId="7E3F20E3" w:rsidR="004E5E99" w:rsidRPr="00054EAA" w:rsidRDefault="0009664C" w:rsidP="00331D21">
      <w:pPr>
        <w:pStyle w:val="Heading3"/>
      </w:pPr>
      <w:bookmarkStart w:id="95" w:name="_Toc8394844"/>
      <w:r>
        <w:t>7.3.8</w:t>
      </w:r>
      <w:r>
        <w:tab/>
      </w:r>
      <w:r w:rsidR="00331D21" w:rsidRPr="00054EAA">
        <w:t>Confidentiality</w:t>
      </w:r>
      <w:bookmarkEnd w:id="95"/>
    </w:p>
    <w:p w14:paraId="7164C1FE" w14:textId="77777777" w:rsidR="00331D21" w:rsidRPr="00054EAA" w:rsidRDefault="00331D21" w:rsidP="00331D21">
      <w:pPr>
        <w:pStyle w:val="enumlev10"/>
      </w:pPr>
      <w:r w:rsidRPr="00054EAA">
        <w:t>•</w:t>
      </w:r>
      <w:r w:rsidRPr="00054EAA">
        <w:tab/>
        <w:t>Information shared or discussed will be used only for lawful purposes</w:t>
      </w:r>
    </w:p>
    <w:p w14:paraId="41733352" w14:textId="77777777" w:rsidR="00331D21" w:rsidRPr="00054EAA" w:rsidRDefault="00331D21" w:rsidP="00331D21">
      <w:pPr>
        <w:pStyle w:val="enumlev10"/>
      </w:pPr>
      <w:r w:rsidRPr="00054EAA">
        <w:t>•</w:t>
      </w:r>
      <w:r w:rsidRPr="00054EAA">
        <w:tab/>
        <w:t>Information will not be shared or disclosed beyond the recipient parties identified unless first agreed upon by both Authorities</w:t>
      </w:r>
    </w:p>
    <w:p w14:paraId="7B84A8FA" w14:textId="77777777" w:rsidR="00331D21" w:rsidRPr="00054EAA" w:rsidRDefault="00331D21" w:rsidP="00331D21">
      <w:pPr>
        <w:pStyle w:val="enumlev10"/>
      </w:pPr>
      <w:r w:rsidRPr="00054EAA">
        <w:t>•</w:t>
      </w:r>
      <w:r w:rsidRPr="00054EAA">
        <w:tab/>
        <w:t>Information provided will remain the property of the Authority that provided such information</w:t>
      </w:r>
    </w:p>
    <w:p w14:paraId="2B537702" w14:textId="46D53458" w:rsidR="00331D21" w:rsidRPr="00054EAA" w:rsidRDefault="00331D21" w:rsidP="00331D21">
      <w:pPr>
        <w:pStyle w:val="enumlev10"/>
      </w:pPr>
      <w:r w:rsidRPr="00054EAA">
        <w:t>•</w:t>
      </w:r>
      <w:r w:rsidRPr="00054EAA">
        <w:tab/>
        <w:t xml:space="preserve">All documents related to this MOU will include the following in the footer: </w:t>
      </w:r>
      <w:r w:rsidR="004A4248">
        <w:t>'</w:t>
      </w:r>
      <w:r w:rsidRPr="00054EAA">
        <w:t>Confidential- provided pursuant to the M</w:t>
      </w:r>
      <w:r w:rsidR="00D216DE">
        <w:t>O</w:t>
      </w:r>
      <w:r w:rsidRPr="00054EAA">
        <w:t>U between the &lt;</w:t>
      </w:r>
      <w:r w:rsidRPr="00054EAA">
        <w:rPr>
          <w:highlight w:val="lightGray"/>
        </w:rPr>
        <w:t>Authority 1</w:t>
      </w:r>
      <w:r w:rsidRPr="00054EAA">
        <w:t>&gt; and &lt;</w:t>
      </w:r>
      <w:r w:rsidRPr="00054EAA">
        <w:rPr>
          <w:highlight w:val="lightGray"/>
        </w:rPr>
        <w:t>Authority 2</w:t>
      </w:r>
      <w:r w:rsidRPr="00054EAA">
        <w:t>&gt; and &lt;</w:t>
      </w:r>
      <w:r w:rsidRPr="00054EAA">
        <w:rPr>
          <w:highlight w:val="lightGray"/>
        </w:rPr>
        <w:t>AS NEEDED: Authority 3 and 4</w:t>
      </w:r>
      <w:r w:rsidRPr="00054EAA">
        <w:t>&gt; on the regulation and supervision of digital financial services.</w:t>
      </w:r>
    </w:p>
    <w:p w14:paraId="3C0948B1" w14:textId="56DD9CCC" w:rsidR="00331D21" w:rsidRPr="00054EAA" w:rsidRDefault="0009664C" w:rsidP="00334C2F">
      <w:pPr>
        <w:pStyle w:val="Heading3"/>
      </w:pPr>
      <w:bookmarkStart w:id="96" w:name="_Toc8394845"/>
      <w:r>
        <w:t>7.3.9</w:t>
      </w:r>
      <w:r>
        <w:tab/>
      </w:r>
      <w:r w:rsidR="00334C2F" w:rsidRPr="00054EAA">
        <w:t xml:space="preserve">Commencement, </w:t>
      </w:r>
      <w:r w:rsidR="006348C2">
        <w:t>d</w:t>
      </w:r>
      <w:r w:rsidR="00334C2F" w:rsidRPr="00054EAA">
        <w:t xml:space="preserve">uration and </w:t>
      </w:r>
      <w:r w:rsidR="006348C2">
        <w:t>t</w:t>
      </w:r>
      <w:r w:rsidR="00334C2F" w:rsidRPr="00054EAA">
        <w:t>ermination</w:t>
      </w:r>
      <w:bookmarkEnd w:id="96"/>
    </w:p>
    <w:p w14:paraId="4B367449" w14:textId="77777777" w:rsidR="00334C2F" w:rsidRPr="00054EAA" w:rsidRDefault="00334C2F" w:rsidP="00334C2F">
      <w:pPr>
        <w:pStyle w:val="enumlev10"/>
      </w:pPr>
      <w:r w:rsidRPr="00054EAA">
        <w:t>•</w:t>
      </w:r>
      <w:r w:rsidRPr="00054EAA">
        <w:tab/>
        <w:t>This understanding comes into effect on the date signed by the represented Authorities.</w:t>
      </w:r>
    </w:p>
    <w:p w14:paraId="0317E106" w14:textId="77777777" w:rsidR="00334C2F" w:rsidRPr="00054EAA" w:rsidRDefault="00334C2F" w:rsidP="00334C2F">
      <w:pPr>
        <w:pStyle w:val="enumlev10"/>
      </w:pPr>
      <w:r w:rsidRPr="00054EAA">
        <w:t>•</w:t>
      </w:r>
      <w:r w:rsidRPr="00054EAA">
        <w:tab/>
        <w:t xml:space="preserve">This understanding shall remain in effect until one Authority notifies the other in writing of its wish to revise, amend or terminate from the understanding. &lt;X&gt; </w:t>
      </w:r>
      <w:proofErr w:type="spellStart"/>
      <w:r w:rsidRPr="00054EAA">
        <w:t>days notice</w:t>
      </w:r>
      <w:proofErr w:type="spellEnd"/>
      <w:r w:rsidRPr="00054EAA">
        <w:t xml:space="preserve"> of any action will be required. Revisions and amendments must be agreed upon by both Authorities</w:t>
      </w:r>
    </w:p>
    <w:p w14:paraId="4620681D" w14:textId="59B4D9FC" w:rsidR="00334C2F" w:rsidRPr="00054EAA" w:rsidRDefault="00334C2F" w:rsidP="00334C2F">
      <w:pPr>
        <w:pStyle w:val="enumlev10"/>
      </w:pPr>
      <w:r w:rsidRPr="00054EAA">
        <w:t>•</w:t>
      </w:r>
      <w:r w:rsidRPr="00054EAA">
        <w:tab/>
        <w:t>An Authority may terminate its participation in this understanding by providing written notice to the other Authority, ass</w:t>
      </w:r>
      <w:r w:rsidR="00980E22" w:rsidRPr="00054EAA">
        <w:t xml:space="preserve">uming the termination will not </w:t>
      </w:r>
      <w:r w:rsidRPr="00054EAA">
        <w:t>affect the obligations and rights of either Authority with respect to confidential information shared over the course the M</w:t>
      </w:r>
      <w:r w:rsidR="00D216DE">
        <w:t>O</w:t>
      </w:r>
      <w:r w:rsidRPr="00054EAA">
        <w:t>U was active</w:t>
      </w:r>
    </w:p>
    <w:p w14:paraId="6446FE92" w14:textId="0A1B8DF7" w:rsidR="00334C2F" w:rsidRPr="00054EAA" w:rsidRDefault="00334C2F" w:rsidP="00334C2F">
      <w:pPr>
        <w:pStyle w:val="enumlev10"/>
      </w:pPr>
      <w:r w:rsidRPr="00054EAA">
        <w:t>•</w:t>
      </w:r>
      <w:r w:rsidRPr="00054EAA">
        <w:tab/>
        <w:t>This M</w:t>
      </w:r>
      <w:r w:rsidR="00D216DE">
        <w:t>O</w:t>
      </w:r>
      <w:r w:rsidRPr="00054EAA">
        <w:t>U will not affect the rights and obligations of the Authorities under applicable laws and regulations</w:t>
      </w:r>
    </w:p>
    <w:p w14:paraId="12A11650" w14:textId="0ED53386" w:rsidR="00334C2F" w:rsidRPr="00054EAA" w:rsidRDefault="0009664C" w:rsidP="00334C2F">
      <w:pPr>
        <w:pStyle w:val="Heading3"/>
      </w:pPr>
      <w:bookmarkStart w:id="97" w:name="_Toc8394846"/>
      <w:r>
        <w:t>7.3.10</w:t>
      </w:r>
      <w:r>
        <w:tab/>
      </w:r>
      <w:proofErr w:type="gramStart"/>
      <w:r w:rsidR="00334C2F" w:rsidRPr="00054EAA">
        <w:t>Other</w:t>
      </w:r>
      <w:proofErr w:type="gramEnd"/>
      <w:r w:rsidR="00334C2F" w:rsidRPr="00054EAA">
        <w:t xml:space="preserve"> </w:t>
      </w:r>
      <w:r w:rsidR="006348C2">
        <w:t>c</w:t>
      </w:r>
      <w:r w:rsidR="00334C2F" w:rsidRPr="00054EAA">
        <w:t>onsiderations for establishing an M</w:t>
      </w:r>
      <w:r w:rsidR="006348C2">
        <w:t>O</w:t>
      </w:r>
      <w:r w:rsidR="00334C2F" w:rsidRPr="00054EAA">
        <w:t>U</w:t>
      </w:r>
      <w:bookmarkEnd w:id="97"/>
    </w:p>
    <w:p w14:paraId="48E1A46C" w14:textId="23601A27" w:rsidR="00334C2F" w:rsidRPr="00054EAA" w:rsidRDefault="00334C2F" w:rsidP="00334C2F">
      <w:r w:rsidRPr="00054EAA">
        <w:t>When drafting an M</w:t>
      </w:r>
      <w:r w:rsidR="006348C2">
        <w:t>O</w:t>
      </w:r>
      <w:r w:rsidRPr="00054EAA">
        <w:t>U, the Authorities may want to consider additional sections beyond what was outlined above. Those may include</w:t>
      </w:r>
    </w:p>
    <w:p w14:paraId="136DA744" w14:textId="77777777" w:rsidR="00334C2F" w:rsidRPr="00054EAA" w:rsidRDefault="00334C2F" w:rsidP="00334C2F">
      <w:pPr>
        <w:pStyle w:val="enumlev10"/>
      </w:pPr>
      <w:r w:rsidRPr="00054EAA">
        <w:t>•</w:t>
      </w:r>
      <w:r w:rsidRPr="00054EAA">
        <w:tab/>
        <w:t>Dispute resolution: how to manage dispute between the two Authorities</w:t>
      </w:r>
    </w:p>
    <w:p w14:paraId="70B6A1FC" w14:textId="38D81E50" w:rsidR="00334C2F" w:rsidRPr="00054EAA" w:rsidRDefault="00334C2F" w:rsidP="00334C2F">
      <w:pPr>
        <w:pStyle w:val="enumlev10"/>
      </w:pPr>
      <w:r w:rsidRPr="00054EAA">
        <w:t>•</w:t>
      </w:r>
      <w:r w:rsidRPr="00054EAA">
        <w:tab/>
      </w:r>
      <w:r w:rsidR="00980E22" w:rsidRPr="00054EAA">
        <w:t xml:space="preserve">Manage inconsistencies: </w:t>
      </w:r>
      <w:r w:rsidRPr="00054EAA">
        <w:t>what to do if there are inconsistencies between the M</w:t>
      </w:r>
      <w:r w:rsidR="006348C2">
        <w:t>O</w:t>
      </w:r>
      <w:r w:rsidRPr="00054EAA">
        <w:t>U and other laws or regulations</w:t>
      </w:r>
    </w:p>
    <w:p w14:paraId="297128EC" w14:textId="77777777" w:rsidR="00334C2F" w:rsidRPr="00054EAA" w:rsidRDefault="00334C2F" w:rsidP="00334C2F">
      <w:pPr>
        <w:pStyle w:val="enumlev10"/>
      </w:pPr>
      <w:r w:rsidRPr="00054EAA">
        <w:t>•</w:t>
      </w:r>
      <w:r w:rsidRPr="00054EAA">
        <w:tab/>
        <w:t>Distribution of costs: how to divide costs related to actualizing this MOU including information sharing</w:t>
      </w:r>
    </w:p>
    <w:p w14:paraId="753BC09F" w14:textId="7855E56C" w:rsidR="00334C2F" w:rsidRPr="00054EAA" w:rsidRDefault="00334C2F" w:rsidP="00334C2F">
      <w:pPr>
        <w:pStyle w:val="enumlev10"/>
      </w:pPr>
      <w:r w:rsidRPr="00054EAA">
        <w:t>•</w:t>
      </w:r>
      <w:r w:rsidRPr="00054EAA">
        <w:tab/>
        <w:t>Governing law and legislation: how to ensure the recognition and intersections of law and legislation including banking secrecy, protection of personal information and confidentiality of communication</w:t>
      </w:r>
    </w:p>
    <w:p w14:paraId="10597A44" w14:textId="77777777" w:rsidR="00334C2F" w:rsidRPr="00054EAA" w:rsidRDefault="00334C2F" w:rsidP="00334C2F">
      <w:pPr>
        <w:pStyle w:val="enumlev10"/>
      </w:pPr>
      <w:r w:rsidRPr="00054EAA">
        <w:t>•</w:t>
      </w:r>
      <w:r w:rsidRPr="00054EAA">
        <w:tab/>
        <w:t>Communications to the public: how to manage external communications to parties outside of this understanding</w:t>
      </w:r>
    </w:p>
    <w:p w14:paraId="53B448C3" w14:textId="77777777" w:rsidR="00334C2F" w:rsidRPr="00054EAA" w:rsidRDefault="00334C2F" w:rsidP="00334C2F">
      <w:pPr>
        <w:pStyle w:val="enumlev10"/>
      </w:pPr>
      <w:r w:rsidRPr="00054EAA">
        <w:lastRenderedPageBreak/>
        <w:t>•</w:t>
      </w:r>
      <w:r w:rsidRPr="00054EAA">
        <w:tab/>
        <w:t>Intersections with other authorities: how to properly engage and interact with the competition authorities and consumer protection authorities</w:t>
      </w:r>
    </w:p>
    <w:p w14:paraId="4658344F" w14:textId="2426675C" w:rsidR="00901C8B" w:rsidRPr="00054EAA" w:rsidRDefault="0009664C" w:rsidP="00901C8B">
      <w:pPr>
        <w:pStyle w:val="Heading2"/>
        <w:spacing w:before="200"/>
      </w:pPr>
      <w:bookmarkStart w:id="98" w:name="_Toc321143797"/>
      <w:bookmarkStart w:id="99" w:name="_Toc8394847"/>
      <w:bookmarkStart w:id="100" w:name="_Toc17729430"/>
      <w:r>
        <w:t>7.4</w:t>
      </w:r>
      <w:r>
        <w:tab/>
      </w:r>
      <w:r w:rsidR="00901C8B" w:rsidRPr="00054EAA">
        <w:t xml:space="preserve">Cross </w:t>
      </w:r>
      <w:r w:rsidR="006348C2">
        <w:t>c</w:t>
      </w:r>
      <w:r w:rsidR="00901C8B" w:rsidRPr="00054EAA">
        <w:t xml:space="preserve">ountry </w:t>
      </w:r>
      <w:r w:rsidR="006348C2">
        <w:t>c</w:t>
      </w:r>
      <w:r w:rsidR="00901C8B" w:rsidRPr="00054EAA">
        <w:t xml:space="preserve">onsiderations for a </w:t>
      </w:r>
      <w:r w:rsidR="006348C2">
        <w:t>m</w:t>
      </w:r>
      <w:r w:rsidR="00901C8B" w:rsidRPr="00054EAA">
        <w:t xml:space="preserve">emorandum of </w:t>
      </w:r>
      <w:r w:rsidR="006348C2">
        <w:t>u</w:t>
      </w:r>
      <w:r w:rsidR="00901C8B" w:rsidRPr="00054EAA">
        <w:t>nderstanding</w:t>
      </w:r>
      <w:bookmarkEnd w:id="98"/>
      <w:bookmarkEnd w:id="99"/>
      <w:bookmarkEnd w:id="100"/>
      <w:r w:rsidR="00901C8B" w:rsidRPr="00054EAA">
        <w:t xml:space="preserve"> </w:t>
      </w:r>
    </w:p>
    <w:p w14:paraId="40DBA1E0" w14:textId="77777777" w:rsidR="00901C8B" w:rsidRPr="00054EAA" w:rsidRDefault="00901C8B" w:rsidP="00901C8B">
      <w:r w:rsidRPr="00054EAA">
        <w:t>As national digital payment systems develop and cross-border low-value digital payments scale, regulators may consider drafting an agreement (in the form of a memorandum of understanding) to foster this poten</w:t>
      </w:r>
      <w:r w:rsidR="00980E22" w:rsidRPr="00054EAA">
        <w:t>tial and promote collaboration.</w:t>
      </w:r>
      <w:r w:rsidRPr="00054EAA">
        <w:t xml:space="preserve"> If and when this occurs, the following sections should be included:</w:t>
      </w:r>
    </w:p>
    <w:p w14:paraId="44DDECC9" w14:textId="191120B4" w:rsidR="00901C8B" w:rsidRPr="00054EAA" w:rsidRDefault="00901C8B" w:rsidP="00901C8B">
      <w:pPr>
        <w:pStyle w:val="enumlev10"/>
      </w:pPr>
      <w:r w:rsidRPr="00054EAA">
        <w:t>•</w:t>
      </w:r>
      <w:r w:rsidRPr="00054EAA">
        <w:tab/>
      </w:r>
      <w:r w:rsidRPr="00054EAA">
        <w:rPr>
          <w:b/>
        </w:rPr>
        <w:t>Introduction:</w:t>
      </w:r>
      <w:r w:rsidRPr="00054EAA">
        <w:t xml:space="preserve"> the introduction outlines the background to the current situation, describes the need and rationale for an MOU, outlines</w:t>
      </w:r>
      <w:r w:rsidR="00D216DE">
        <w:t xml:space="preserve"> the</w:t>
      </w:r>
      <w:r w:rsidRPr="00054EAA">
        <w:t xml:space="preserve"> players or authorities </w:t>
      </w:r>
      <w:r w:rsidR="00D216DE">
        <w:t xml:space="preserve">that </w:t>
      </w:r>
      <w:r w:rsidRPr="00054EAA">
        <w:t>are involved, and the imp</w:t>
      </w:r>
      <w:r w:rsidR="003403A9" w:rsidRPr="00054EAA">
        <w:t>lications of such an agreement.</w:t>
      </w:r>
    </w:p>
    <w:p w14:paraId="10D1AFC4" w14:textId="1378E10D" w:rsidR="00901C8B" w:rsidRPr="00054EAA" w:rsidRDefault="00901C8B" w:rsidP="00901C8B">
      <w:pPr>
        <w:pStyle w:val="enumlev10"/>
      </w:pPr>
      <w:r w:rsidRPr="00054EAA">
        <w:t>•</w:t>
      </w:r>
      <w:r w:rsidRPr="00054EAA">
        <w:tab/>
      </w:r>
      <w:r w:rsidRPr="00054EAA">
        <w:rPr>
          <w:b/>
        </w:rPr>
        <w:t>Purpose</w:t>
      </w:r>
      <w:r w:rsidRPr="00054EAA">
        <w:t xml:space="preserve">: the purpose is </w:t>
      </w:r>
      <w:r w:rsidR="00D216DE" w:rsidRPr="00054EAA">
        <w:t>in</w:t>
      </w:r>
      <w:r w:rsidR="00D216DE">
        <w:t>tended</w:t>
      </w:r>
      <w:r w:rsidR="00D216DE" w:rsidRPr="00054EAA">
        <w:t xml:space="preserve"> </w:t>
      </w:r>
      <w:r w:rsidRPr="00054EAA">
        <w:t xml:space="preserve">to be a concise statement that describes the intention of the MOU, how those involved will use the new capability, including </w:t>
      </w:r>
      <w:r w:rsidR="00D216DE">
        <w:t>the circumstances.</w:t>
      </w:r>
    </w:p>
    <w:p w14:paraId="5750B663" w14:textId="1F5E6586" w:rsidR="00901C8B" w:rsidRPr="00054EAA" w:rsidRDefault="00901C8B" w:rsidP="00901C8B">
      <w:pPr>
        <w:pStyle w:val="enumlev10"/>
      </w:pPr>
      <w:r w:rsidRPr="00054EAA">
        <w:t>•</w:t>
      </w:r>
      <w:r w:rsidRPr="00054EAA">
        <w:tab/>
      </w:r>
      <w:r w:rsidRPr="00054EAA">
        <w:rPr>
          <w:b/>
        </w:rPr>
        <w:t>Scope</w:t>
      </w:r>
      <w:r w:rsidRPr="00054EAA">
        <w:t xml:space="preserve">: the scope section of the MOU should include when the policies described in the agreement do and do not apply and whom the policies do and do not implicate. </w:t>
      </w:r>
    </w:p>
    <w:p w14:paraId="4E71D90B" w14:textId="3DCBB9E2" w:rsidR="00901C8B" w:rsidRPr="00054EAA" w:rsidRDefault="00901C8B" w:rsidP="00901C8B">
      <w:pPr>
        <w:pStyle w:val="enumlev10"/>
      </w:pPr>
      <w:r w:rsidRPr="00054EAA">
        <w:t>•</w:t>
      </w:r>
      <w:r w:rsidRPr="00054EAA">
        <w:tab/>
      </w:r>
      <w:r w:rsidRPr="00054EAA">
        <w:rPr>
          <w:b/>
        </w:rPr>
        <w:t>Policy</w:t>
      </w:r>
      <w:r w:rsidRPr="00054EAA">
        <w:t xml:space="preserve">: this section explains </w:t>
      </w:r>
      <w:r w:rsidR="00D216DE">
        <w:t xml:space="preserve">the </w:t>
      </w:r>
      <w:r w:rsidRPr="00054EAA">
        <w:t xml:space="preserve">policies </w:t>
      </w:r>
      <w:r w:rsidR="00D216DE">
        <w:t>that</w:t>
      </w:r>
      <w:r w:rsidR="00D216DE" w:rsidRPr="00054EAA">
        <w:t xml:space="preserve"> </w:t>
      </w:r>
      <w:r w:rsidR="00D216DE">
        <w:t xml:space="preserve">the </w:t>
      </w:r>
      <w:r w:rsidRPr="00054EAA">
        <w:t>players involved</w:t>
      </w:r>
      <w:r w:rsidR="00D216DE">
        <w:t xml:space="preserve"> have agreed upon</w:t>
      </w:r>
      <w:r w:rsidRPr="00054EAA">
        <w:t>. Definitions tend to be beneficial to ensure clarity.</w:t>
      </w:r>
    </w:p>
    <w:p w14:paraId="00A0561D" w14:textId="77777777" w:rsidR="00901C8B" w:rsidRPr="00054EAA" w:rsidRDefault="00901C8B" w:rsidP="00901C8B">
      <w:pPr>
        <w:pStyle w:val="enumlev10"/>
      </w:pPr>
      <w:r w:rsidRPr="00054EAA">
        <w:t>•</w:t>
      </w:r>
      <w:r w:rsidRPr="00054EAA">
        <w:tab/>
      </w:r>
      <w:r w:rsidRPr="00054EAA">
        <w:rPr>
          <w:b/>
        </w:rPr>
        <w:t>Structure</w:t>
      </w:r>
      <w:r w:rsidRPr="00054EAA">
        <w:t xml:space="preserve">: the structure of the agreement outlines how players intend to work together, including who will be the key points of contact, how often to meet, what the workflow looks like and how to communicate with one another. </w:t>
      </w:r>
    </w:p>
    <w:p w14:paraId="22144538" w14:textId="2721FAA4" w:rsidR="00901C8B" w:rsidRPr="00054EAA" w:rsidRDefault="00901C8B" w:rsidP="00901C8B">
      <w:pPr>
        <w:pStyle w:val="enumlev10"/>
      </w:pPr>
      <w:r w:rsidRPr="00054EAA">
        <w:t>•</w:t>
      </w:r>
      <w:r w:rsidRPr="00054EAA">
        <w:tab/>
      </w:r>
      <w:r w:rsidRPr="00054EAA">
        <w:rPr>
          <w:b/>
        </w:rPr>
        <w:t>Obligations</w:t>
      </w:r>
      <w:r w:rsidRPr="00054EAA">
        <w:t xml:space="preserve">: as its name implies, this section includes obligations of those included in the agreement. For example, </w:t>
      </w:r>
      <w:r w:rsidR="00D216DE">
        <w:t>the training that</w:t>
      </w:r>
      <w:r w:rsidRPr="00054EAA">
        <w:t xml:space="preserve"> need</w:t>
      </w:r>
      <w:r w:rsidR="00F23A04">
        <w:t>s</w:t>
      </w:r>
      <w:r w:rsidRPr="00054EAA">
        <w:t xml:space="preserve"> to be completed, </w:t>
      </w:r>
      <w:r w:rsidR="00D216DE">
        <w:t>the party that is</w:t>
      </w:r>
      <w:r w:rsidRPr="00054EAA">
        <w:t xml:space="preserve"> financial</w:t>
      </w:r>
      <w:r w:rsidR="00D216DE">
        <w:t xml:space="preserve">ly </w:t>
      </w:r>
      <w:r w:rsidRPr="00054EAA">
        <w:t>responsible for different aspects of the agreement, how maintenance and oversight will occur, and how to update th</w:t>
      </w:r>
      <w:r w:rsidR="003403A9" w:rsidRPr="00054EAA">
        <w:t>e MOU.</w:t>
      </w:r>
    </w:p>
    <w:p w14:paraId="7EB02F09" w14:textId="77777777" w:rsidR="00744802" w:rsidRPr="00054EAA" w:rsidRDefault="00744802" w:rsidP="00901C8B">
      <w:pPr>
        <w:pStyle w:val="enumlev10"/>
      </w:pPr>
      <w:r w:rsidRPr="00054EAA">
        <w:br w:type="page"/>
      </w:r>
    </w:p>
    <w:p w14:paraId="480972BA" w14:textId="77777777" w:rsidR="004D5C58" w:rsidRPr="00054EAA" w:rsidRDefault="004D5C58" w:rsidP="0009664C">
      <w:pPr>
        <w:pStyle w:val="AppendixNoTitle0"/>
      </w:pPr>
      <w:bookmarkStart w:id="101" w:name="_Toc8394848"/>
      <w:bookmarkStart w:id="102" w:name="_Toc17729431"/>
      <w:r w:rsidRPr="00054EAA">
        <w:lastRenderedPageBreak/>
        <w:t>Bibliography</w:t>
      </w:r>
      <w:bookmarkEnd w:id="101"/>
      <w:bookmarkEnd w:id="102"/>
    </w:p>
    <w:p w14:paraId="2D8334F2" w14:textId="77777777" w:rsidR="004D5C58" w:rsidRPr="00054EAA" w:rsidRDefault="00744802" w:rsidP="006925E7">
      <w:pPr>
        <w:pStyle w:val="Reftext"/>
        <w:spacing w:before="240"/>
        <w:rPr>
          <w:rFonts w:eastAsia="Malgun Gothic"/>
        </w:rPr>
      </w:pPr>
      <w:r w:rsidRPr="00054EAA">
        <w:rPr>
          <w:rFonts w:eastAsia="Malgun Gothic"/>
        </w:rPr>
        <w:t>[1]</w:t>
      </w:r>
      <w:r w:rsidRPr="00054EAA">
        <w:rPr>
          <w:rFonts w:eastAsia="Malgun Gothic"/>
        </w:rPr>
        <w:tab/>
      </w:r>
      <w:r w:rsidR="004D5C58" w:rsidRPr="00054EAA">
        <w:rPr>
          <w:rFonts w:eastAsia="Malgun Gothic"/>
        </w:rPr>
        <w:t>Bank of Ugand</w:t>
      </w:r>
      <w:r w:rsidR="003403A9" w:rsidRPr="00054EAA">
        <w:rPr>
          <w:rFonts w:eastAsia="Malgun Gothic"/>
        </w:rPr>
        <w:t>a: Mobile Money Guideline, 2013</w:t>
      </w:r>
    </w:p>
    <w:p w14:paraId="1D92E68E" w14:textId="77777777" w:rsidR="004D5C58" w:rsidRPr="00054EAA" w:rsidRDefault="00744802" w:rsidP="00744802">
      <w:pPr>
        <w:pStyle w:val="Reftext"/>
        <w:rPr>
          <w:rFonts w:eastAsia="Malgun Gothic"/>
        </w:rPr>
      </w:pPr>
      <w:r w:rsidRPr="00054EAA">
        <w:rPr>
          <w:rFonts w:eastAsia="Malgun Gothic"/>
        </w:rPr>
        <w:t>[2]</w:t>
      </w:r>
      <w:r w:rsidRPr="00054EAA">
        <w:rPr>
          <w:rFonts w:eastAsia="Malgun Gothic"/>
        </w:rPr>
        <w:tab/>
      </w:r>
      <w:r w:rsidR="004D5C58" w:rsidRPr="00054EAA">
        <w:rPr>
          <w:rFonts w:eastAsia="Malgun Gothic"/>
        </w:rPr>
        <w:t>Central Bank of Liberia: Mobile Money Regulations, 2014</w:t>
      </w:r>
    </w:p>
    <w:p w14:paraId="27A3A9BB" w14:textId="77777777" w:rsidR="004D5C58" w:rsidRPr="00054EAA" w:rsidRDefault="00744802" w:rsidP="00744802">
      <w:pPr>
        <w:pStyle w:val="Reftext"/>
        <w:rPr>
          <w:rFonts w:eastAsia="Malgun Gothic"/>
        </w:rPr>
      </w:pPr>
      <w:r w:rsidRPr="00054EAA">
        <w:rPr>
          <w:rFonts w:eastAsia="Malgun Gothic"/>
        </w:rPr>
        <w:t>[3]</w:t>
      </w:r>
      <w:r w:rsidRPr="00054EAA">
        <w:rPr>
          <w:rFonts w:eastAsia="Malgun Gothic"/>
        </w:rPr>
        <w:tab/>
      </w:r>
      <w:r w:rsidR="004D5C58" w:rsidRPr="00054EAA">
        <w:rPr>
          <w:rFonts w:eastAsia="Malgun Gothic"/>
        </w:rPr>
        <w:t>CGAP, GPFI: Global Standard-Setting Bodies and Financial Inclusion for the Poor</w:t>
      </w:r>
    </w:p>
    <w:p w14:paraId="4CB34419" w14:textId="77777777" w:rsidR="004D5C58" w:rsidRPr="00054EAA" w:rsidRDefault="00744802" w:rsidP="00744802">
      <w:pPr>
        <w:pStyle w:val="Reftext"/>
        <w:rPr>
          <w:rFonts w:eastAsia="Malgun Gothic"/>
        </w:rPr>
      </w:pPr>
      <w:r w:rsidRPr="00054EAA">
        <w:rPr>
          <w:rFonts w:eastAsia="Malgun Gothic"/>
        </w:rPr>
        <w:t>[4]</w:t>
      </w:r>
      <w:r w:rsidRPr="00054EAA">
        <w:rPr>
          <w:rFonts w:eastAsia="Malgun Gothic"/>
        </w:rPr>
        <w:tab/>
      </w:r>
      <w:r w:rsidR="004D5C58" w:rsidRPr="00054EAA">
        <w:rPr>
          <w:rFonts w:eastAsia="Malgun Gothic"/>
        </w:rPr>
        <w:t>CGAP: Update on Regulation of Branchless Banking in Brazil, 2010</w:t>
      </w:r>
    </w:p>
    <w:p w14:paraId="144852C5" w14:textId="77777777" w:rsidR="004D5C58" w:rsidRPr="00054EAA" w:rsidRDefault="00744802" w:rsidP="00744802">
      <w:pPr>
        <w:pStyle w:val="Reftext"/>
        <w:rPr>
          <w:rFonts w:eastAsia="Malgun Gothic"/>
        </w:rPr>
      </w:pPr>
      <w:r w:rsidRPr="00054EAA">
        <w:rPr>
          <w:rFonts w:eastAsia="Malgun Gothic"/>
        </w:rPr>
        <w:t>[5]</w:t>
      </w:r>
      <w:r w:rsidRPr="00054EAA">
        <w:rPr>
          <w:rFonts w:eastAsia="Malgun Gothic"/>
        </w:rPr>
        <w:tab/>
      </w:r>
      <w:r w:rsidR="004D5C58" w:rsidRPr="00054EAA">
        <w:rPr>
          <w:rFonts w:eastAsia="Malgun Gothic"/>
        </w:rPr>
        <w:t>Homeland Security: Writing Guidelines for a Memorandum of Understanding</w:t>
      </w:r>
    </w:p>
    <w:p w14:paraId="359C0152" w14:textId="77777777" w:rsidR="004D5C58" w:rsidRPr="00054EAA" w:rsidRDefault="00744802" w:rsidP="00744802">
      <w:pPr>
        <w:pStyle w:val="Reftext"/>
        <w:rPr>
          <w:rFonts w:eastAsia="Malgun Gothic"/>
        </w:rPr>
      </w:pPr>
      <w:r w:rsidRPr="00054EAA">
        <w:rPr>
          <w:rFonts w:eastAsia="Malgun Gothic"/>
        </w:rPr>
        <w:t>[6]</w:t>
      </w:r>
      <w:r w:rsidRPr="00054EAA">
        <w:rPr>
          <w:rFonts w:eastAsia="Malgun Gothic"/>
        </w:rPr>
        <w:tab/>
      </w:r>
      <w:r w:rsidR="004D5C58" w:rsidRPr="00054EAA">
        <w:rPr>
          <w:rFonts w:eastAsia="Malgun Gothic"/>
        </w:rPr>
        <w:t>NIST, U.S. Department of Commerce: Writing Guidelines to Develop a Memorandum of Understanding for Interoperable Automated Fingerprint Identification Systems, 2013</w:t>
      </w:r>
    </w:p>
    <w:p w14:paraId="3CEB71A5" w14:textId="77777777" w:rsidR="004D5C58" w:rsidRPr="00054EAA" w:rsidRDefault="00744802" w:rsidP="00744802">
      <w:pPr>
        <w:pStyle w:val="Reftext"/>
        <w:rPr>
          <w:rFonts w:eastAsia="Malgun Gothic"/>
        </w:rPr>
      </w:pPr>
      <w:r w:rsidRPr="00054EAA">
        <w:rPr>
          <w:rFonts w:eastAsia="Malgun Gothic"/>
        </w:rPr>
        <w:t>[7]</w:t>
      </w:r>
      <w:r w:rsidRPr="00054EAA">
        <w:rPr>
          <w:rFonts w:eastAsia="Malgun Gothic"/>
        </w:rPr>
        <w:tab/>
      </w:r>
      <w:r w:rsidR="004D5C58" w:rsidRPr="00054EAA">
        <w:rPr>
          <w:rFonts w:eastAsia="Malgun Gothic"/>
        </w:rPr>
        <w:t>European Securities and Market Authority: Memorandum of Understanding, 2014</w:t>
      </w:r>
    </w:p>
    <w:p w14:paraId="2F738C07" w14:textId="77777777" w:rsidR="004D5C58" w:rsidRPr="00054EAA" w:rsidRDefault="00744802" w:rsidP="00744802">
      <w:pPr>
        <w:pStyle w:val="Reftext"/>
        <w:rPr>
          <w:rFonts w:eastAsia="Malgun Gothic"/>
        </w:rPr>
      </w:pPr>
      <w:r w:rsidRPr="00054EAA">
        <w:rPr>
          <w:rFonts w:eastAsia="Malgun Gothic"/>
        </w:rPr>
        <w:t>[8]</w:t>
      </w:r>
      <w:r w:rsidRPr="00054EAA">
        <w:rPr>
          <w:rFonts w:eastAsia="Malgun Gothic"/>
        </w:rPr>
        <w:tab/>
      </w:r>
      <w:r w:rsidR="004D5C58" w:rsidRPr="00054EAA">
        <w:rPr>
          <w:rFonts w:eastAsia="Malgun Gothic"/>
        </w:rPr>
        <w:t>Federal Reserve: Protocol for the Cooperative Oversight Arrangement of CLS, 2015</w:t>
      </w:r>
    </w:p>
    <w:p w14:paraId="7ECFAE26" w14:textId="77777777" w:rsidR="004D5C58" w:rsidRPr="00054EAA" w:rsidRDefault="00744802" w:rsidP="00744802">
      <w:pPr>
        <w:pStyle w:val="Reftext"/>
        <w:rPr>
          <w:rFonts w:eastAsia="Malgun Gothic"/>
        </w:rPr>
      </w:pPr>
      <w:r w:rsidRPr="00054EAA">
        <w:rPr>
          <w:rFonts w:eastAsia="Malgun Gothic"/>
        </w:rPr>
        <w:t>[9]</w:t>
      </w:r>
      <w:r w:rsidRPr="00054EAA">
        <w:rPr>
          <w:rFonts w:eastAsia="Malgun Gothic"/>
        </w:rPr>
        <w:tab/>
      </w:r>
      <w:r w:rsidR="004D5C58" w:rsidRPr="00054EAA">
        <w:rPr>
          <w:rFonts w:eastAsia="Malgun Gothic"/>
        </w:rPr>
        <w:t xml:space="preserve">Central Banks of Sweden and Finland: Memorandum of Understanding on Cooperation in the Oversight of the Central Securities Depositories VPC AB and </w:t>
      </w:r>
      <w:proofErr w:type="spellStart"/>
      <w:r w:rsidR="004D5C58" w:rsidRPr="00054EAA">
        <w:rPr>
          <w:rFonts w:eastAsia="Malgun Gothic"/>
        </w:rPr>
        <w:t>Suomen</w:t>
      </w:r>
      <w:proofErr w:type="spellEnd"/>
      <w:r w:rsidR="004D5C58" w:rsidRPr="00054EAA">
        <w:rPr>
          <w:rFonts w:eastAsia="Malgun Gothic"/>
        </w:rPr>
        <w:t xml:space="preserve"> </w:t>
      </w:r>
      <w:proofErr w:type="spellStart"/>
      <w:r w:rsidR="004D5C58" w:rsidRPr="00054EAA">
        <w:rPr>
          <w:rFonts w:eastAsia="Malgun Gothic"/>
        </w:rPr>
        <w:t>Arvopaperikeskus</w:t>
      </w:r>
      <w:proofErr w:type="spellEnd"/>
      <w:r w:rsidR="004D5C58" w:rsidRPr="00054EAA">
        <w:rPr>
          <w:rFonts w:eastAsia="Malgun Gothic"/>
        </w:rPr>
        <w:t xml:space="preserve"> Oy, 2006</w:t>
      </w:r>
    </w:p>
    <w:p w14:paraId="0058DE32" w14:textId="77777777" w:rsidR="004D5C58" w:rsidRPr="00054EAA" w:rsidRDefault="00744802" w:rsidP="00744802">
      <w:pPr>
        <w:pStyle w:val="Reftext"/>
        <w:rPr>
          <w:rFonts w:eastAsia="Malgun Gothic"/>
        </w:rPr>
      </w:pPr>
      <w:r w:rsidRPr="00054EAA">
        <w:rPr>
          <w:rFonts w:eastAsia="Malgun Gothic"/>
        </w:rPr>
        <w:t>[10]</w:t>
      </w:r>
      <w:r w:rsidRPr="00054EAA">
        <w:rPr>
          <w:rFonts w:eastAsia="Malgun Gothic"/>
        </w:rPr>
        <w:tab/>
      </w:r>
      <w:r w:rsidR="004D5C58" w:rsidRPr="00054EAA">
        <w:rPr>
          <w:rFonts w:eastAsia="Malgun Gothic"/>
        </w:rPr>
        <w:t xml:space="preserve">Central Bank of the Russian Federation and </w:t>
      </w:r>
      <w:proofErr w:type="gramStart"/>
      <w:r w:rsidR="004D5C58" w:rsidRPr="00054EAA">
        <w:rPr>
          <w:rFonts w:eastAsia="Malgun Gothic"/>
        </w:rPr>
        <w:t>The</w:t>
      </w:r>
      <w:proofErr w:type="gramEnd"/>
      <w:r w:rsidR="004D5C58" w:rsidRPr="00054EAA">
        <w:rPr>
          <w:rFonts w:eastAsia="Malgun Gothic"/>
        </w:rPr>
        <w:t xml:space="preserve"> Commission of the Republic of Latvia: Memorandum of Understanding in the Field of Banking Supervision</w:t>
      </w:r>
    </w:p>
    <w:p w14:paraId="6C50D756" w14:textId="77777777" w:rsidR="004D5C58" w:rsidRPr="00054EAA" w:rsidRDefault="00744802" w:rsidP="00744802">
      <w:pPr>
        <w:pStyle w:val="Reftext"/>
        <w:rPr>
          <w:rFonts w:eastAsia="Malgun Gothic"/>
        </w:rPr>
      </w:pPr>
      <w:r w:rsidRPr="00054EAA">
        <w:rPr>
          <w:rFonts w:eastAsia="Malgun Gothic"/>
        </w:rPr>
        <w:t>[11]</w:t>
      </w:r>
      <w:r w:rsidRPr="00054EAA">
        <w:rPr>
          <w:rFonts w:eastAsia="Malgun Gothic"/>
        </w:rPr>
        <w:tab/>
      </w:r>
      <w:r w:rsidR="004D5C58" w:rsidRPr="00054EAA">
        <w:rPr>
          <w:rFonts w:eastAsia="Malgun Gothic"/>
        </w:rPr>
        <w:t>Central Bank of Jordan and the Qatar Financial Regulatory Authority: Memorandum of Understanding in the Field of Banking Supervision, 2005</w:t>
      </w:r>
    </w:p>
    <w:p w14:paraId="746200C4" w14:textId="77777777" w:rsidR="004D5C58" w:rsidRPr="00054EAA" w:rsidRDefault="00744802" w:rsidP="00744802">
      <w:pPr>
        <w:pStyle w:val="Reftext"/>
        <w:rPr>
          <w:rFonts w:eastAsia="Malgun Gothic"/>
        </w:rPr>
      </w:pPr>
      <w:r w:rsidRPr="00054EAA">
        <w:rPr>
          <w:rFonts w:eastAsia="Malgun Gothic"/>
        </w:rPr>
        <w:t>[12]</w:t>
      </w:r>
      <w:r w:rsidRPr="00054EAA">
        <w:rPr>
          <w:rFonts w:eastAsia="Malgun Gothic"/>
        </w:rPr>
        <w:tab/>
      </w:r>
      <w:r w:rsidR="004D5C58" w:rsidRPr="00054EAA">
        <w:rPr>
          <w:rFonts w:eastAsia="Malgun Gothic"/>
        </w:rPr>
        <w:t>Bank of England: Memoranda of Understanding between the PRA and t</w:t>
      </w:r>
      <w:r w:rsidR="003403A9" w:rsidRPr="00054EAA">
        <w:rPr>
          <w:rFonts w:eastAsia="Malgun Gothic"/>
        </w:rPr>
        <w:t>he Central Bank of Brazil, 2015</w:t>
      </w:r>
    </w:p>
    <w:p w14:paraId="6EC45776" w14:textId="77777777" w:rsidR="004D5C58" w:rsidRPr="00054EAA" w:rsidRDefault="00744802" w:rsidP="00744802">
      <w:pPr>
        <w:pStyle w:val="Reftext"/>
        <w:rPr>
          <w:rFonts w:eastAsia="Malgun Gothic"/>
        </w:rPr>
      </w:pPr>
      <w:r w:rsidRPr="00054EAA">
        <w:rPr>
          <w:rFonts w:eastAsia="Malgun Gothic"/>
        </w:rPr>
        <w:t>[13]</w:t>
      </w:r>
      <w:r w:rsidRPr="00054EAA">
        <w:rPr>
          <w:rFonts w:eastAsia="Malgun Gothic"/>
        </w:rPr>
        <w:tab/>
      </w:r>
      <w:r w:rsidR="004D5C58" w:rsidRPr="00054EAA">
        <w:rPr>
          <w:rFonts w:eastAsia="Malgun Gothic"/>
        </w:rPr>
        <w:t>Oliver Wyman: The Digital Disruption Battlefield</w:t>
      </w:r>
    </w:p>
    <w:p w14:paraId="7D5C383C" w14:textId="77777777" w:rsidR="004D5C58" w:rsidRPr="00054EAA" w:rsidRDefault="00744802" w:rsidP="00744802">
      <w:pPr>
        <w:pStyle w:val="Reftext"/>
        <w:rPr>
          <w:rFonts w:eastAsia="Malgun Gothic"/>
        </w:rPr>
      </w:pPr>
      <w:r w:rsidRPr="00054EAA">
        <w:rPr>
          <w:rFonts w:eastAsia="Malgun Gothic"/>
        </w:rPr>
        <w:t>[14]</w:t>
      </w:r>
      <w:r w:rsidRPr="00054EAA">
        <w:rPr>
          <w:rFonts w:eastAsia="Malgun Gothic"/>
        </w:rPr>
        <w:tab/>
      </w:r>
      <w:r w:rsidR="004D5C58" w:rsidRPr="00054EAA">
        <w:rPr>
          <w:rFonts w:eastAsia="Malgun Gothic"/>
        </w:rPr>
        <w:t>GSMA: Mobile Money- Enabling regulatory solutions, 2013</w:t>
      </w:r>
    </w:p>
    <w:p w14:paraId="55E64510" w14:textId="77777777" w:rsidR="004D5C58" w:rsidRPr="00054EAA" w:rsidRDefault="00744802" w:rsidP="00744802">
      <w:pPr>
        <w:pStyle w:val="Reftext"/>
        <w:rPr>
          <w:rFonts w:eastAsia="Malgun Gothic"/>
        </w:rPr>
      </w:pPr>
      <w:r w:rsidRPr="00054EAA">
        <w:rPr>
          <w:rFonts w:eastAsia="Malgun Gothic"/>
        </w:rPr>
        <w:t>[15]</w:t>
      </w:r>
      <w:r w:rsidRPr="00054EAA">
        <w:rPr>
          <w:rFonts w:eastAsia="Malgun Gothic"/>
        </w:rPr>
        <w:tab/>
      </w:r>
      <w:r w:rsidR="004D5C58" w:rsidRPr="00054EAA">
        <w:rPr>
          <w:rFonts w:eastAsia="Malgun Gothic"/>
        </w:rPr>
        <w:t>GSMA: Proportional risk-based AML/CFT regimes for mobile money- a framework for assessing risk factors and mitigation measures, 2015</w:t>
      </w:r>
    </w:p>
    <w:p w14:paraId="7DF46CF9" w14:textId="77777777" w:rsidR="004D5C58" w:rsidRPr="00054EAA" w:rsidRDefault="00744802" w:rsidP="00744802">
      <w:pPr>
        <w:pStyle w:val="Reftext"/>
        <w:rPr>
          <w:rFonts w:eastAsia="Malgun Gothic"/>
        </w:rPr>
      </w:pPr>
      <w:r w:rsidRPr="00054EAA">
        <w:rPr>
          <w:rFonts w:eastAsia="Malgun Gothic"/>
        </w:rPr>
        <w:t>[16]</w:t>
      </w:r>
      <w:r w:rsidRPr="00054EAA">
        <w:rPr>
          <w:rFonts w:eastAsia="Malgun Gothic"/>
        </w:rPr>
        <w:tab/>
      </w:r>
      <w:proofErr w:type="spellStart"/>
      <w:r w:rsidR="004D5C58" w:rsidRPr="00054EAA">
        <w:rPr>
          <w:rFonts w:eastAsia="Malgun Gothic"/>
        </w:rPr>
        <w:t>Coase</w:t>
      </w:r>
      <w:proofErr w:type="spellEnd"/>
      <w:r w:rsidR="004D5C58" w:rsidRPr="00054EAA">
        <w:rPr>
          <w:rFonts w:eastAsia="Malgun Gothic"/>
        </w:rPr>
        <w:t>-Sandor Institute for Law and Economics Working Paper: An Empirical Examination of Why Mobile Money Schemes Ignite in Some Developing Countries but Flounder in Most, 2015</w:t>
      </w:r>
    </w:p>
    <w:p w14:paraId="25057775" w14:textId="20B6C3A2" w:rsidR="004D5C58" w:rsidRDefault="00744802" w:rsidP="0009664C">
      <w:pPr>
        <w:pStyle w:val="Reftext"/>
        <w:rPr>
          <w:rFonts w:eastAsia="Malgun Gothic"/>
        </w:rPr>
      </w:pPr>
      <w:r w:rsidRPr="00054EAA">
        <w:rPr>
          <w:rFonts w:eastAsia="Malgun Gothic"/>
        </w:rPr>
        <w:t>[17]</w:t>
      </w:r>
      <w:r w:rsidRPr="00054EAA">
        <w:rPr>
          <w:rFonts w:eastAsia="Malgun Gothic"/>
        </w:rPr>
        <w:tab/>
      </w:r>
      <w:proofErr w:type="spellStart"/>
      <w:r w:rsidR="004D5C58" w:rsidRPr="00054EAA">
        <w:rPr>
          <w:rFonts w:eastAsia="Malgun Gothic"/>
        </w:rPr>
        <w:t>Center</w:t>
      </w:r>
      <w:proofErr w:type="spellEnd"/>
      <w:r w:rsidR="004D5C58" w:rsidRPr="00054EAA">
        <w:rPr>
          <w:rFonts w:eastAsia="Malgun Gothic"/>
        </w:rPr>
        <w:t xml:space="preserve"> for Global Development: Enabling Digital Financial Inclusion through Improvements in Competition and Interoperability: What Works and What Doesn</w:t>
      </w:r>
      <w:r w:rsidR="0009664C">
        <w:rPr>
          <w:rFonts w:eastAsia="Malgun Gothic"/>
        </w:rPr>
        <w:t>'</w:t>
      </w:r>
      <w:r w:rsidR="004D5C58" w:rsidRPr="00054EAA">
        <w:rPr>
          <w:rFonts w:eastAsia="Malgun Gothic"/>
        </w:rPr>
        <w:t>t</w:t>
      </w:r>
      <w:proofErr w:type="gramStart"/>
      <w:r w:rsidR="004D5C58" w:rsidRPr="00054EAA">
        <w:rPr>
          <w:rFonts w:eastAsia="Malgun Gothic"/>
        </w:rPr>
        <w:t>?,</w:t>
      </w:r>
      <w:proofErr w:type="gramEnd"/>
      <w:r w:rsidR="004D5C58" w:rsidRPr="00054EAA">
        <w:rPr>
          <w:rFonts w:eastAsia="Malgun Gothic"/>
        </w:rPr>
        <w:t xml:space="preserve"> 2015</w:t>
      </w:r>
    </w:p>
    <w:p w14:paraId="657CD2DB" w14:textId="77777777" w:rsidR="0081006C" w:rsidRDefault="0081006C" w:rsidP="0081006C">
      <w:pPr>
        <w:rPr>
          <w:lang w:eastAsia="ja-JP"/>
        </w:rPr>
      </w:pPr>
    </w:p>
    <w:p w14:paraId="00B20151" w14:textId="77777777" w:rsidR="0081006C" w:rsidRPr="00BD49DE" w:rsidRDefault="0081006C" w:rsidP="0081006C">
      <w:pPr>
        <w:jc w:val="center"/>
        <w:rPr>
          <w:lang w:eastAsia="ja-JP"/>
        </w:rPr>
      </w:pPr>
      <w:r>
        <w:rPr>
          <w:lang w:eastAsia="ja-JP"/>
        </w:rPr>
        <w:t>______________</w:t>
      </w:r>
      <w:bookmarkEnd w:id="45"/>
    </w:p>
    <w:sectPr w:rsidR="0081006C" w:rsidRPr="00BD49DE" w:rsidSect="00377498">
      <w:headerReference w:type="default" r:id="rId23"/>
      <w:footerReference w:type="even" r:id="rId24"/>
      <w:footerReference w:type="first" r:id="rId25"/>
      <w:pgSz w:w="11907" w:h="16840"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282C8" w14:textId="77777777" w:rsidR="00315E99" w:rsidRDefault="00315E99">
      <w:r>
        <w:separator/>
      </w:r>
    </w:p>
  </w:endnote>
  <w:endnote w:type="continuationSeparator" w:id="0">
    <w:p w14:paraId="489A488B" w14:textId="77777777" w:rsidR="00315E99" w:rsidRDefault="0031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Medium">
    <w:altName w:val="Times New Roman"/>
    <w:charset w:val="00"/>
    <w:family w:val="auto"/>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iss Pro Bold">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AE5C6" w14:textId="2EBA4902" w:rsidR="009D4250" w:rsidRDefault="00377498" w:rsidP="00377498">
    <w:pPr>
      <w:pStyle w:val="Footer"/>
      <w:tabs>
        <w:tab w:val="clear" w:pos="5954"/>
      </w:tabs>
      <w:jc w:val="right"/>
    </w:pPr>
    <w:r w:rsidRPr="0084023B">
      <w:rPr>
        <w:rStyle w:val="PageNumber"/>
        <w:rFonts w:ascii="Times New Roman Bold" w:hAnsi="Times New Roman Bold"/>
        <w:b/>
        <w:bCs/>
        <w:sz w:val="20"/>
      </w:rPr>
      <w:fldChar w:fldCharType="begin"/>
    </w:r>
    <w:r w:rsidRPr="0084023B">
      <w:rPr>
        <w:rStyle w:val="PageNumber"/>
        <w:rFonts w:ascii="Times New Roman Bold" w:hAnsi="Times New Roman Bold"/>
        <w:b/>
        <w:bCs/>
        <w:sz w:val="20"/>
      </w:rPr>
      <w:instrText xml:space="preserve"> PAGE </w:instrText>
    </w:r>
    <w:r w:rsidRPr="0084023B">
      <w:rPr>
        <w:rStyle w:val="PageNumber"/>
        <w:rFonts w:ascii="Times New Roman Bold" w:hAnsi="Times New Roman Bold"/>
        <w:b/>
        <w:bCs/>
        <w:sz w:val="20"/>
      </w:rPr>
      <w:fldChar w:fldCharType="separate"/>
    </w:r>
    <w:r w:rsidR="004F5830">
      <w:rPr>
        <w:rStyle w:val="PageNumber"/>
        <w:rFonts w:ascii="Times New Roman Bold" w:hAnsi="Times New Roman Bold"/>
        <w:b/>
        <w:bCs/>
        <w:sz w:val="20"/>
      </w:rPr>
      <w:t>2</w:t>
    </w:r>
    <w:r w:rsidRPr="0084023B">
      <w:rPr>
        <w:rStyle w:val="PageNumber"/>
        <w:rFonts w:ascii="Times New Roman Bold" w:hAnsi="Times New Roman Bold"/>
        <w:b/>
        <w:bCs/>
        <w:sz w:val="20"/>
      </w:rPr>
      <w:fldChar w:fldCharType="end"/>
    </w:r>
    <w:r w:rsidRPr="00240B46">
      <w:rPr>
        <w:b/>
        <w:sz w:val="20"/>
      </w:rPr>
      <w:t xml:space="preserve"> </w:t>
    </w:r>
    <w:r>
      <w:rPr>
        <w:b/>
        <w:sz w:val="20"/>
      </w:rPr>
      <w:tab/>
    </w:r>
    <w:r w:rsidR="00B50D1D" w:rsidRPr="00E17FFE">
      <w:rPr>
        <w:b/>
        <w:sz w:val="20"/>
      </w:rPr>
      <w:t>DSTR-DFSREG</w:t>
    </w:r>
    <w:r w:rsidR="00B50D1D">
      <w:rPr>
        <w:sz w:val="20"/>
      </w:rPr>
      <w:t xml:space="preserve"> </w:t>
    </w:r>
    <w:r w:rsidR="00B50D1D" w:rsidRPr="0084023B">
      <w:rPr>
        <w:b/>
        <w:sz w:val="20"/>
      </w:rPr>
      <w:t>(</w:t>
    </w:r>
    <w:r w:rsidR="00B50D1D">
      <w:rPr>
        <w:b/>
        <w:sz w:val="20"/>
      </w:rPr>
      <w:t>2019-05</w:t>
    </w:r>
    <w:r w:rsidR="00B50D1D" w:rsidRPr="0084023B">
      <w:rPr>
        <w:b/>
        <w:sz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EA86A" w14:textId="167E8078" w:rsidR="00AE0151" w:rsidRPr="0084023B" w:rsidRDefault="00AE0151" w:rsidP="007767B4">
    <w:pPr>
      <w:pStyle w:val="Footer"/>
      <w:jc w:val="right"/>
      <w:rPr>
        <w:b/>
        <w:sz w:val="20"/>
      </w:rPr>
    </w:pPr>
    <w:r w:rsidRPr="00E17FFE">
      <w:rPr>
        <w:b/>
        <w:sz w:val="20"/>
      </w:rPr>
      <w:t>DSTR-DFSREG</w:t>
    </w:r>
    <w:r>
      <w:rPr>
        <w:sz w:val="20"/>
      </w:rPr>
      <w:t xml:space="preserve"> </w:t>
    </w:r>
    <w:r w:rsidRPr="0084023B">
      <w:rPr>
        <w:b/>
        <w:sz w:val="20"/>
      </w:rPr>
      <w:t>(</w:t>
    </w:r>
    <w:r>
      <w:rPr>
        <w:b/>
        <w:sz w:val="20"/>
      </w:rPr>
      <w:t>2019-05</w:t>
    </w:r>
    <w:r w:rsidRPr="0084023B">
      <w:rPr>
        <w:b/>
        <w:sz w:val="20"/>
      </w:rPr>
      <w:t xml:space="preserve">) </w:t>
    </w:r>
    <w:r w:rsidRPr="0084023B">
      <w:rPr>
        <w:b/>
        <w:sz w:val="20"/>
      </w:rPr>
      <w:tab/>
    </w:r>
    <w:r w:rsidRPr="0084023B">
      <w:rPr>
        <w:rStyle w:val="PageNumber"/>
        <w:rFonts w:ascii="Times New Roman Bold" w:hAnsi="Times New Roman Bold"/>
        <w:b/>
        <w:bCs/>
        <w:sz w:val="20"/>
      </w:rPr>
      <w:fldChar w:fldCharType="begin"/>
    </w:r>
    <w:r w:rsidRPr="0084023B">
      <w:rPr>
        <w:rStyle w:val="PageNumber"/>
        <w:rFonts w:ascii="Times New Roman Bold" w:hAnsi="Times New Roman Bold"/>
        <w:b/>
        <w:bCs/>
        <w:sz w:val="20"/>
      </w:rPr>
      <w:instrText xml:space="preserve"> PAGE </w:instrText>
    </w:r>
    <w:r w:rsidRPr="0084023B">
      <w:rPr>
        <w:rStyle w:val="PageNumber"/>
        <w:rFonts w:ascii="Times New Roman Bold" w:hAnsi="Times New Roman Bold"/>
        <w:b/>
        <w:bCs/>
        <w:sz w:val="20"/>
      </w:rPr>
      <w:fldChar w:fldCharType="separate"/>
    </w:r>
    <w:r w:rsidR="00521BCE">
      <w:rPr>
        <w:rStyle w:val="PageNumber"/>
        <w:rFonts w:ascii="Times New Roman Bold" w:hAnsi="Times New Roman Bold"/>
        <w:b/>
        <w:bCs/>
        <w:sz w:val="20"/>
      </w:rPr>
      <w:t>ii</w:t>
    </w:r>
    <w:r w:rsidRPr="0084023B">
      <w:rPr>
        <w:rStyle w:val="PageNumber"/>
        <w:rFonts w:ascii="Times New Roman Bold" w:hAnsi="Times New Roman Bold"/>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CA6BA" w14:textId="4E6E22D3" w:rsidR="00AE0151" w:rsidRDefault="001C418A" w:rsidP="00B81964">
    <w:pPr>
      <w:pStyle w:val="Footer"/>
      <w:tabs>
        <w:tab w:val="left" w:pos="360"/>
        <w:tab w:val="right" w:pos="9600"/>
      </w:tabs>
      <w:ind w:right="-162"/>
      <w:rPr>
        <w:b/>
        <w:bCs/>
        <w:sz w:val="22"/>
      </w:rPr>
    </w:pPr>
    <w:r>
      <w:rPr>
        <w:lang w:eastAsia="en-GB"/>
      </w:rPr>
      <w:drawing>
        <wp:anchor distT="0" distB="0" distL="114300" distR="114300" simplePos="0" relativeHeight="251659264" behindDoc="0" locked="0" layoutInCell="1" allowOverlap="1" wp14:anchorId="2B6264FE" wp14:editId="75014925">
          <wp:simplePos x="0" y="0"/>
          <wp:positionH relativeFrom="margin">
            <wp:posOffset>5645785</wp:posOffset>
          </wp:positionH>
          <wp:positionV relativeFrom="margin">
            <wp:posOffset>8547735</wp:posOffset>
          </wp:positionV>
          <wp:extent cx="864000" cy="122400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ITU-RGB-.png"/>
                  <pic:cNvPicPr/>
                </pic:nvPicPr>
                <pic:blipFill>
                  <a:blip r:embed="rId1">
                    <a:extLst>
                      <a:ext uri="{28A0092B-C50C-407E-A947-70E740481C1C}">
                        <a14:useLocalDpi xmlns:a14="http://schemas.microsoft.com/office/drawing/2010/main" val="0"/>
                      </a:ext>
                    </a:extLst>
                  </a:blip>
                  <a:stretch>
                    <a:fillRect/>
                  </a:stretch>
                </pic:blipFill>
                <pic:spPr>
                  <a:xfrm>
                    <a:off x="0" y="0"/>
                    <a:ext cx="864000" cy="1224000"/>
                  </a:xfrm>
                  <a:prstGeom prst="rect">
                    <a:avLst/>
                  </a:prstGeom>
                </pic:spPr>
              </pic:pic>
            </a:graphicData>
          </a:graphic>
          <wp14:sizeRelH relativeFrom="margin">
            <wp14:pctWidth>0</wp14:pctWidth>
          </wp14:sizeRelH>
          <wp14:sizeRelV relativeFrom="margin">
            <wp14:pctHeight>0</wp14:pctHeight>
          </wp14:sizeRelV>
        </wp:anchor>
      </w:drawing>
    </w:r>
    <w:r w:rsidR="00AE0151">
      <w:rPr>
        <w:b/>
        <w:bCs/>
        <w:sz w:val="22"/>
      </w:rPr>
      <w:tab/>
    </w:r>
    <w:r w:rsidR="00AE0151">
      <w:rPr>
        <w:rStyle w:val="PageNumber"/>
        <w:b/>
        <w:bCs/>
      </w:rPr>
      <w:fldChar w:fldCharType="begin"/>
    </w:r>
    <w:r w:rsidR="00AE0151">
      <w:rPr>
        <w:rStyle w:val="PageNumber"/>
        <w:b/>
        <w:bCs/>
      </w:rPr>
      <w:instrText xml:space="preserve"> PAGE </w:instrText>
    </w:r>
    <w:r w:rsidR="00AE0151">
      <w:rPr>
        <w:rStyle w:val="PageNumber"/>
        <w:b/>
        <w:bCs/>
      </w:rPr>
      <w:fldChar w:fldCharType="separate"/>
    </w:r>
    <w:r w:rsidR="00680A9D">
      <w:rPr>
        <w:rStyle w:val="PageNumber"/>
        <w:b/>
        <w:bCs/>
      </w:rPr>
      <w:t>i</w:t>
    </w:r>
    <w:r w:rsidR="00AE0151">
      <w:rPr>
        <w:rStyle w:val="PageNumber"/>
        <w:b/>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5E86F" w14:textId="13CB0DE4" w:rsidR="00521BCE" w:rsidRPr="0084023B" w:rsidRDefault="008634D6" w:rsidP="008634D6">
    <w:pPr>
      <w:pStyle w:val="Footer"/>
      <w:tabs>
        <w:tab w:val="clear" w:pos="5954"/>
        <w:tab w:val="left" w:pos="851"/>
        <w:tab w:val="right" w:pos="8505"/>
      </w:tabs>
      <w:jc w:val="left"/>
      <w:rPr>
        <w:b/>
        <w:sz w:val="20"/>
      </w:rPr>
    </w:pPr>
    <w:r>
      <w:rPr>
        <w:b/>
        <w:sz w:val="20"/>
      </w:rPr>
      <w:tab/>
    </w:r>
    <w:r>
      <w:rPr>
        <w:b/>
        <w:sz w:val="20"/>
      </w:rPr>
      <w:tab/>
    </w:r>
    <w:r w:rsidR="00521BCE" w:rsidRPr="00E17FFE">
      <w:rPr>
        <w:b/>
        <w:sz w:val="20"/>
      </w:rPr>
      <w:t>DSTR-DFSREG</w:t>
    </w:r>
    <w:r w:rsidR="00521BCE">
      <w:rPr>
        <w:sz w:val="20"/>
      </w:rPr>
      <w:t xml:space="preserve"> </w:t>
    </w:r>
    <w:r w:rsidR="00521BCE" w:rsidRPr="0084023B">
      <w:rPr>
        <w:b/>
        <w:sz w:val="20"/>
      </w:rPr>
      <w:t>(</w:t>
    </w:r>
    <w:r w:rsidR="00521BCE">
      <w:rPr>
        <w:b/>
        <w:sz w:val="20"/>
      </w:rPr>
      <w:t>2019</w:t>
    </w:r>
    <w:r w:rsidR="00521BCE" w:rsidRPr="0084023B">
      <w:rPr>
        <w:b/>
        <w:sz w:val="20"/>
      </w:rPr>
      <w:t xml:space="preserve">) </w:t>
    </w:r>
    <w:r w:rsidR="00521BCE" w:rsidRPr="0084023B">
      <w:rPr>
        <w:b/>
        <w:sz w:val="20"/>
      </w:rPr>
      <w:tab/>
    </w:r>
    <w:r w:rsidR="00521BCE" w:rsidRPr="0084023B">
      <w:rPr>
        <w:rStyle w:val="PageNumber"/>
        <w:rFonts w:ascii="Times New Roman Bold" w:hAnsi="Times New Roman Bold"/>
        <w:b/>
        <w:bCs/>
        <w:sz w:val="20"/>
      </w:rPr>
      <w:fldChar w:fldCharType="begin"/>
    </w:r>
    <w:r w:rsidR="00521BCE" w:rsidRPr="0084023B">
      <w:rPr>
        <w:rStyle w:val="PageNumber"/>
        <w:rFonts w:ascii="Times New Roman Bold" w:hAnsi="Times New Roman Bold"/>
        <w:b/>
        <w:bCs/>
        <w:sz w:val="20"/>
      </w:rPr>
      <w:instrText xml:space="preserve"> PAGE </w:instrText>
    </w:r>
    <w:r w:rsidR="00521BCE" w:rsidRPr="0084023B">
      <w:rPr>
        <w:rStyle w:val="PageNumber"/>
        <w:rFonts w:ascii="Times New Roman Bold" w:hAnsi="Times New Roman Bold"/>
        <w:b/>
        <w:bCs/>
        <w:sz w:val="20"/>
      </w:rPr>
      <w:fldChar w:fldCharType="separate"/>
    </w:r>
    <w:r w:rsidR="00680A9D">
      <w:rPr>
        <w:rStyle w:val="PageNumber"/>
        <w:rFonts w:ascii="Times New Roman Bold" w:hAnsi="Times New Roman Bold"/>
        <w:b/>
        <w:bCs/>
        <w:sz w:val="20"/>
      </w:rPr>
      <w:t>3</w:t>
    </w:r>
    <w:r w:rsidR="00521BCE" w:rsidRPr="0084023B">
      <w:rPr>
        <w:rStyle w:val="PageNumber"/>
        <w:rFonts w:ascii="Times New Roman Bold" w:hAnsi="Times New Roman Bold"/>
        <w:b/>
        <w:bCs/>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4F697" w14:textId="42EEB672" w:rsidR="00521BCE" w:rsidRDefault="00521BCE" w:rsidP="00521BCE">
    <w:pPr>
      <w:pStyle w:val="Footer"/>
      <w:tabs>
        <w:tab w:val="clear" w:pos="5954"/>
        <w:tab w:val="left" w:pos="3686"/>
      </w:tabs>
      <w:ind w:right="-164"/>
      <w:jc w:val="right"/>
      <w:rPr>
        <w:b/>
        <w:bCs/>
        <w:sz w:val="22"/>
      </w:rPr>
    </w:pPr>
    <w:r>
      <w:rPr>
        <w:b/>
        <w:sz w:val="20"/>
      </w:rPr>
      <w:tab/>
    </w:r>
    <w:r w:rsidRPr="00E17FFE">
      <w:rPr>
        <w:b/>
        <w:sz w:val="20"/>
      </w:rPr>
      <w:t>DSTR-DFSREG</w:t>
    </w:r>
    <w:r>
      <w:rPr>
        <w:sz w:val="20"/>
      </w:rPr>
      <w:t xml:space="preserve"> </w:t>
    </w:r>
    <w:r w:rsidRPr="0084023B">
      <w:rPr>
        <w:b/>
        <w:sz w:val="20"/>
      </w:rPr>
      <w:t>(</w:t>
    </w:r>
    <w:r>
      <w:rPr>
        <w:b/>
        <w:sz w:val="20"/>
      </w:rPr>
      <w:t>2019-05</w:t>
    </w:r>
    <w:r w:rsidRPr="0084023B">
      <w:rPr>
        <w:b/>
        <w:sz w:val="20"/>
      </w:rPr>
      <w:t>)</w:t>
    </w:r>
    <w:r>
      <w:rPr>
        <w:b/>
        <w:sz w:val="20"/>
      </w:rPr>
      <w:tab/>
    </w:r>
    <w:r>
      <w:rPr>
        <w:b/>
        <w:bCs/>
        <w:sz w:val="22"/>
      </w:rPr>
      <w:tab/>
    </w:r>
    <w:r>
      <w:rPr>
        <w:rStyle w:val="PageNumber"/>
        <w:b/>
        <w:bCs/>
      </w:rPr>
      <w:fldChar w:fldCharType="begin"/>
    </w:r>
    <w:r>
      <w:rPr>
        <w:rStyle w:val="PageNumber"/>
        <w:b/>
        <w:bCs/>
      </w:rPr>
      <w:instrText xml:space="preserve"> PAGE </w:instrText>
    </w:r>
    <w:r>
      <w:rPr>
        <w:rStyle w:val="PageNumber"/>
        <w:b/>
        <w:bCs/>
      </w:rPr>
      <w:fldChar w:fldCharType="separate"/>
    </w:r>
    <w:r w:rsidR="00B50D1D">
      <w:rPr>
        <w:rStyle w:val="PageNumber"/>
        <w:b/>
        <w:bCs/>
      </w:rPr>
      <w:t>1</w:t>
    </w:r>
    <w:r>
      <w:rPr>
        <w:rStyle w:val="PageNumber"/>
        <w:b/>
        <w:bC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28744" w14:textId="7C041D63" w:rsidR="004F5830" w:rsidRDefault="004F5830" w:rsidP="008634D6">
    <w:pPr>
      <w:pStyle w:val="Footer"/>
      <w:tabs>
        <w:tab w:val="clear" w:pos="5954"/>
        <w:tab w:val="left" w:pos="851"/>
      </w:tabs>
      <w:jc w:val="left"/>
    </w:pPr>
    <w:r w:rsidRPr="0084023B">
      <w:rPr>
        <w:rStyle w:val="PageNumber"/>
        <w:rFonts w:ascii="Times New Roman Bold" w:hAnsi="Times New Roman Bold"/>
        <w:b/>
        <w:bCs/>
        <w:sz w:val="20"/>
      </w:rPr>
      <w:fldChar w:fldCharType="begin"/>
    </w:r>
    <w:r w:rsidRPr="0084023B">
      <w:rPr>
        <w:rStyle w:val="PageNumber"/>
        <w:rFonts w:ascii="Times New Roman Bold" w:hAnsi="Times New Roman Bold"/>
        <w:b/>
        <w:bCs/>
        <w:sz w:val="20"/>
      </w:rPr>
      <w:instrText xml:space="preserve"> PAGE </w:instrText>
    </w:r>
    <w:r w:rsidRPr="0084023B">
      <w:rPr>
        <w:rStyle w:val="PageNumber"/>
        <w:rFonts w:ascii="Times New Roman Bold" w:hAnsi="Times New Roman Bold"/>
        <w:b/>
        <w:bCs/>
        <w:sz w:val="20"/>
      </w:rPr>
      <w:fldChar w:fldCharType="separate"/>
    </w:r>
    <w:r w:rsidR="00680A9D">
      <w:rPr>
        <w:rStyle w:val="PageNumber"/>
        <w:rFonts w:ascii="Times New Roman Bold" w:hAnsi="Times New Roman Bold"/>
        <w:b/>
        <w:bCs/>
        <w:sz w:val="20"/>
      </w:rPr>
      <w:t>2</w:t>
    </w:r>
    <w:r w:rsidRPr="0084023B">
      <w:rPr>
        <w:rStyle w:val="PageNumber"/>
        <w:rFonts w:ascii="Times New Roman Bold" w:hAnsi="Times New Roman Bold"/>
        <w:b/>
        <w:bCs/>
        <w:sz w:val="20"/>
      </w:rPr>
      <w:fldChar w:fldCharType="end"/>
    </w:r>
    <w:r w:rsidRPr="00240B46">
      <w:rPr>
        <w:b/>
        <w:sz w:val="20"/>
      </w:rPr>
      <w:t xml:space="preserve"> </w:t>
    </w:r>
    <w:r>
      <w:rPr>
        <w:b/>
        <w:sz w:val="20"/>
      </w:rPr>
      <w:tab/>
    </w:r>
    <w:r w:rsidRPr="00E17FFE">
      <w:rPr>
        <w:b/>
        <w:sz w:val="20"/>
      </w:rPr>
      <w:t>DSTR-DFSREG</w:t>
    </w:r>
    <w:r>
      <w:rPr>
        <w:sz w:val="20"/>
      </w:rPr>
      <w:t xml:space="preserve"> </w:t>
    </w:r>
    <w:r w:rsidRPr="0084023B">
      <w:rPr>
        <w:b/>
        <w:sz w:val="20"/>
      </w:rPr>
      <w:t>(</w:t>
    </w:r>
    <w:r>
      <w:rPr>
        <w:b/>
        <w:sz w:val="20"/>
      </w:rPr>
      <w:t>2019</w:t>
    </w:r>
    <w:r w:rsidRPr="0084023B">
      <w:rPr>
        <w:b/>
        <w:sz w:val="20"/>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A0686" w14:textId="77777777" w:rsidR="00AE0151" w:rsidRPr="00B22DA4" w:rsidRDefault="00AE0151" w:rsidP="00B22DA4">
    <w:pPr>
      <w:pStyle w:val="Footer"/>
      <w:jc w:val="right"/>
      <w:rPr>
        <w:b/>
        <w:sz w:val="20"/>
      </w:rPr>
    </w:pPr>
    <w:r>
      <w:rPr>
        <w:b/>
        <w:sz w:val="20"/>
      </w:rPr>
      <w:t>FS</w:t>
    </w:r>
    <w:r w:rsidRPr="00D04546">
      <w:rPr>
        <w:b/>
        <w:sz w:val="20"/>
      </w:rPr>
      <w:t>TP-</w:t>
    </w:r>
    <w:r>
      <w:rPr>
        <w:b/>
        <w:sz w:val="20"/>
      </w:rPr>
      <w:t>FNTP</w:t>
    </w:r>
    <w:r w:rsidRPr="00D04546">
      <w:rPr>
        <w:b/>
        <w:sz w:val="20"/>
      </w:rPr>
      <w:t xml:space="preserve"> (2006-11) </w:t>
    </w:r>
    <w:r w:rsidRPr="00D04546">
      <w:rPr>
        <w:b/>
        <w:sz w:val="20"/>
      </w:rPr>
      <w:tab/>
    </w:r>
    <w:r w:rsidRPr="00D04546">
      <w:rPr>
        <w:rStyle w:val="PageNumber"/>
        <w:rFonts w:ascii="Times New Roman Bold" w:hAnsi="Times New Roman Bold"/>
        <w:b/>
        <w:bCs/>
        <w:caps w:val="0"/>
        <w:sz w:val="20"/>
      </w:rPr>
      <w:fldChar w:fldCharType="begin"/>
    </w:r>
    <w:r w:rsidRPr="00D04546">
      <w:rPr>
        <w:rStyle w:val="PageNumber"/>
        <w:rFonts w:ascii="Times New Roman Bold" w:hAnsi="Times New Roman Bold"/>
        <w:b/>
        <w:bCs/>
        <w:sz w:val="20"/>
      </w:rPr>
      <w:instrText xml:space="preserve"> PAGE </w:instrText>
    </w:r>
    <w:r w:rsidRPr="00D04546">
      <w:rPr>
        <w:rStyle w:val="PageNumber"/>
        <w:rFonts w:ascii="Times New Roman Bold" w:hAnsi="Times New Roman Bold"/>
        <w:b/>
        <w:bCs/>
        <w:caps w:val="0"/>
        <w:sz w:val="20"/>
      </w:rPr>
      <w:fldChar w:fldCharType="separate"/>
    </w:r>
    <w:r>
      <w:rPr>
        <w:rStyle w:val="PageNumber"/>
        <w:rFonts w:ascii="Times New Roman Bold" w:hAnsi="Times New Roman Bold"/>
        <w:b/>
        <w:bCs/>
        <w:sz w:val="20"/>
      </w:rPr>
      <w:t>4</w:t>
    </w:r>
    <w:r w:rsidRPr="00D04546">
      <w:rPr>
        <w:rStyle w:val="PageNumber"/>
        <w:rFonts w:ascii="Times New Roman Bold" w:hAnsi="Times New Roman Bold"/>
        <w:b/>
        <w:bCs/>
        <w:caps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0945B" w14:textId="77777777" w:rsidR="00315E99" w:rsidRDefault="00315E99">
      <w:r>
        <w:separator/>
      </w:r>
    </w:p>
  </w:footnote>
  <w:footnote w:type="continuationSeparator" w:id="0">
    <w:p w14:paraId="4C3D28E5" w14:textId="77777777" w:rsidR="00315E99" w:rsidRDefault="00315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DACE2" w14:textId="01DC2984" w:rsidR="00AE0151" w:rsidRPr="00377498" w:rsidRDefault="00AE0151" w:rsidP="00377498">
    <w:pPr>
      <w:pStyle w:val="Header"/>
      <w:rPr>
        <w:rFonts w:eastAsia="Malgun Gothi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76D2"/>
    <w:multiLevelType w:val="hybridMultilevel"/>
    <w:tmpl w:val="1A8CD3F6"/>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803FA"/>
    <w:multiLevelType w:val="hybridMultilevel"/>
    <w:tmpl w:val="6D20EF30"/>
    <w:lvl w:ilvl="0" w:tplc="C79A12E2">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16DED"/>
    <w:multiLevelType w:val="hybridMultilevel"/>
    <w:tmpl w:val="BECC3686"/>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1E8"/>
    <w:multiLevelType w:val="hybridMultilevel"/>
    <w:tmpl w:val="9984EB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9D70FE"/>
    <w:multiLevelType w:val="hybridMultilevel"/>
    <w:tmpl w:val="13F4FCDE"/>
    <w:lvl w:ilvl="0" w:tplc="6F78BE58">
      <w:start w:val="1"/>
      <w:numFmt w:val="bullet"/>
      <w:pStyle w:val="Enumlev"/>
      <w:lvlText w:val=""/>
      <w:lvlJc w:val="left"/>
      <w:pPr>
        <w:ind w:left="1778"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BA2A47"/>
    <w:multiLevelType w:val="hybridMultilevel"/>
    <w:tmpl w:val="3BD847A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EF65D1"/>
    <w:multiLevelType w:val="hybridMultilevel"/>
    <w:tmpl w:val="6DE09634"/>
    <w:lvl w:ilvl="0" w:tplc="F2A2F43A">
      <w:start w:val="1"/>
      <w:numFmt w:val="bullet"/>
      <w:pStyle w:val="2Bullet"/>
      <w:lvlText w:val=""/>
      <w:lvlJc w:val="left"/>
      <w:pPr>
        <w:ind w:left="720" w:hanging="360"/>
      </w:pPr>
      <w:rPr>
        <w:rFonts w:ascii="Symbol" w:hAnsi="Symbol" w:hint="default"/>
      </w:rPr>
    </w:lvl>
    <w:lvl w:ilvl="1" w:tplc="A852F83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D1DE3"/>
    <w:multiLevelType w:val="hybridMultilevel"/>
    <w:tmpl w:val="8F729648"/>
    <w:lvl w:ilvl="0" w:tplc="F2A2F43A">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F51B97"/>
    <w:multiLevelType w:val="hybridMultilevel"/>
    <w:tmpl w:val="B1B4BEA6"/>
    <w:lvl w:ilvl="0" w:tplc="31F602B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C560E4"/>
    <w:multiLevelType w:val="multilevel"/>
    <w:tmpl w:val="B94E5D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BDF1AEE"/>
    <w:multiLevelType w:val="hybridMultilevel"/>
    <w:tmpl w:val="AB964114"/>
    <w:lvl w:ilvl="0" w:tplc="C79A12E2">
      <w:start w:val="1"/>
      <w:numFmt w:val="bullet"/>
      <w:lvlText w:val=""/>
      <w:lvlJc w:val="left"/>
      <w:pPr>
        <w:ind w:left="720" w:hanging="360"/>
      </w:pPr>
      <w:rPr>
        <w:rFonts w:ascii="Symbol" w:hAnsi="Symbol" w:hint="default"/>
      </w:rPr>
    </w:lvl>
    <w:lvl w:ilvl="1" w:tplc="28269FDC">
      <w:start w:val="1"/>
      <w:numFmt w:val="bullet"/>
      <w:pStyle w:val="subbullet"/>
      <w:lvlText w:val="-"/>
      <w:lvlJc w:val="left"/>
      <w:pPr>
        <w:ind w:left="1440" w:hanging="360"/>
      </w:pPr>
      <w:rPr>
        <w:rFonts w:ascii="Avenir Next Medium" w:hAnsi="Avenir Next Medium"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6270AD0"/>
    <w:multiLevelType w:val="hybridMultilevel"/>
    <w:tmpl w:val="1A8CD3F6"/>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B25692"/>
    <w:multiLevelType w:val="hybridMultilevel"/>
    <w:tmpl w:val="EEAA8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0"/>
  </w:num>
  <w:num w:numId="4">
    <w:abstractNumId w:val="6"/>
  </w:num>
  <w:num w:numId="5">
    <w:abstractNumId w:val="11"/>
  </w:num>
  <w:num w:numId="6">
    <w:abstractNumId w:val="9"/>
  </w:num>
  <w:num w:numId="7">
    <w:abstractNumId w:val="8"/>
  </w:num>
  <w:num w:numId="8">
    <w:abstractNumId w:val="11"/>
  </w:num>
  <w:num w:numId="9">
    <w:abstractNumId w:val="11"/>
  </w:num>
  <w:num w:numId="10">
    <w:abstractNumId w:val="11"/>
  </w:num>
  <w:num w:numId="11">
    <w:abstractNumId w:val="2"/>
  </w:num>
  <w:num w:numId="12">
    <w:abstractNumId w:val="6"/>
    <w:lvlOverride w:ilvl="0">
      <w:startOverride w:val="1"/>
    </w:lvlOverride>
  </w:num>
  <w:num w:numId="13">
    <w:abstractNumId w:val="7"/>
  </w:num>
  <w:num w:numId="14">
    <w:abstractNumId w:val="11"/>
  </w:num>
  <w:num w:numId="15">
    <w:abstractNumId w:val="1"/>
  </w:num>
  <w:num w:numId="16">
    <w:abstractNumId w:val="11"/>
  </w:num>
  <w:num w:numId="17">
    <w:abstractNumId w:val="11"/>
  </w:num>
  <w:num w:numId="18">
    <w:abstractNumId w:val="12"/>
  </w:num>
  <w:num w:numId="19">
    <w:abstractNumId w:val="0"/>
  </w:num>
  <w:num w:numId="20">
    <w:abstractNumId w:val="5"/>
  </w:num>
  <w:num w:numId="21">
    <w:abstractNumId w:val="11"/>
  </w:num>
  <w:num w:numId="22">
    <w:abstractNumId w:val="11"/>
  </w:num>
  <w:num w:numId="23">
    <w:abstractNumId w:val="11"/>
  </w:num>
  <w:num w:numId="24">
    <w:abstractNumId w:val="13"/>
  </w:num>
  <w:num w:numId="2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evenAndOddHeaders/>
  <w:drawingGridHorizontalSpacing w:val="12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CB"/>
    <w:rsid w:val="00003CAA"/>
    <w:rsid w:val="00004A38"/>
    <w:rsid w:val="00006FD8"/>
    <w:rsid w:val="00010919"/>
    <w:rsid w:val="000247ED"/>
    <w:rsid w:val="000263FD"/>
    <w:rsid w:val="0003282B"/>
    <w:rsid w:val="00041CEE"/>
    <w:rsid w:val="00054EAA"/>
    <w:rsid w:val="00067382"/>
    <w:rsid w:val="000850CE"/>
    <w:rsid w:val="00086E65"/>
    <w:rsid w:val="00087100"/>
    <w:rsid w:val="0009664C"/>
    <w:rsid w:val="000A3E15"/>
    <w:rsid w:val="000B48B5"/>
    <w:rsid w:val="000F0F54"/>
    <w:rsid w:val="001010EC"/>
    <w:rsid w:val="00103A37"/>
    <w:rsid w:val="00105076"/>
    <w:rsid w:val="00113E0E"/>
    <w:rsid w:val="0012413B"/>
    <w:rsid w:val="00127CDE"/>
    <w:rsid w:val="001319FC"/>
    <w:rsid w:val="00133E4A"/>
    <w:rsid w:val="00146A98"/>
    <w:rsid w:val="00152C27"/>
    <w:rsid w:val="001733F8"/>
    <w:rsid w:val="001866DC"/>
    <w:rsid w:val="00190A2B"/>
    <w:rsid w:val="00192F0D"/>
    <w:rsid w:val="00194D55"/>
    <w:rsid w:val="001C1902"/>
    <w:rsid w:val="001C418A"/>
    <w:rsid w:val="001D5FFD"/>
    <w:rsid w:val="001E0A1C"/>
    <w:rsid w:val="002021F7"/>
    <w:rsid w:val="00214B7B"/>
    <w:rsid w:val="00215D26"/>
    <w:rsid w:val="00216074"/>
    <w:rsid w:val="00223588"/>
    <w:rsid w:val="002240A7"/>
    <w:rsid w:val="00225D41"/>
    <w:rsid w:val="00231322"/>
    <w:rsid w:val="002378FD"/>
    <w:rsid w:val="002506D1"/>
    <w:rsid w:val="00290970"/>
    <w:rsid w:val="0029185B"/>
    <w:rsid w:val="002A45A6"/>
    <w:rsid w:val="002B0E11"/>
    <w:rsid w:val="002C1A6F"/>
    <w:rsid w:val="002C67BB"/>
    <w:rsid w:val="002D41EB"/>
    <w:rsid w:val="002E4650"/>
    <w:rsid w:val="0030222D"/>
    <w:rsid w:val="003076FB"/>
    <w:rsid w:val="00315E99"/>
    <w:rsid w:val="00320C88"/>
    <w:rsid w:val="003233ED"/>
    <w:rsid w:val="0033125C"/>
    <w:rsid w:val="00331D21"/>
    <w:rsid w:val="00334C2F"/>
    <w:rsid w:val="003403A9"/>
    <w:rsid w:val="00341827"/>
    <w:rsid w:val="00355736"/>
    <w:rsid w:val="003712CA"/>
    <w:rsid w:val="00375080"/>
    <w:rsid w:val="00377498"/>
    <w:rsid w:val="003859FC"/>
    <w:rsid w:val="003A4716"/>
    <w:rsid w:val="003B5C40"/>
    <w:rsid w:val="003B6CCE"/>
    <w:rsid w:val="003D6ABF"/>
    <w:rsid w:val="003E1CC9"/>
    <w:rsid w:val="003E4AF9"/>
    <w:rsid w:val="003E4E2A"/>
    <w:rsid w:val="003F03EC"/>
    <w:rsid w:val="003F21F7"/>
    <w:rsid w:val="0040365C"/>
    <w:rsid w:val="0040627C"/>
    <w:rsid w:val="00412492"/>
    <w:rsid w:val="0042480B"/>
    <w:rsid w:val="004474AD"/>
    <w:rsid w:val="004578B9"/>
    <w:rsid w:val="00465401"/>
    <w:rsid w:val="00467172"/>
    <w:rsid w:val="00467B14"/>
    <w:rsid w:val="00492BA3"/>
    <w:rsid w:val="00493A9F"/>
    <w:rsid w:val="00495B26"/>
    <w:rsid w:val="004A2180"/>
    <w:rsid w:val="004A4248"/>
    <w:rsid w:val="004B39E2"/>
    <w:rsid w:val="004B6014"/>
    <w:rsid w:val="004C062A"/>
    <w:rsid w:val="004C46CD"/>
    <w:rsid w:val="004D5C58"/>
    <w:rsid w:val="004E5E99"/>
    <w:rsid w:val="004F5830"/>
    <w:rsid w:val="00501210"/>
    <w:rsid w:val="00501B49"/>
    <w:rsid w:val="00521BCE"/>
    <w:rsid w:val="005415F4"/>
    <w:rsid w:val="005440B4"/>
    <w:rsid w:val="00576362"/>
    <w:rsid w:val="005816AC"/>
    <w:rsid w:val="005975A0"/>
    <w:rsid w:val="005B285C"/>
    <w:rsid w:val="005C712C"/>
    <w:rsid w:val="005E04B5"/>
    <w:rsid w:val="005F6481"/>
    <w:rsid w:val="00601438"/>
    <w:rsid w:val="0060241A"/>
    <w:rsid w:val="00614441"/>
    <w:rsid w:val="006279FA"/>
    <w:rsid w:val="0063279C"/>
    <w:rsid w:val="00633928"/>
    <w:rsid w:val="006348C2"/>
    <w:rsid w:val="00636883"/>
    <w:rsid w:val="0064792C"/>
    <w:rsid w:val="00665E46"/>
    <w:rsid w:val="006727AE"/>
    <w:rsid w:val="00675621"/>
    <w:rsid w:val="00680A9D"/>
    <w:rsid w:val="00686A8C"/>
    <w:rsid w:val="006925E7"/>
    <w:rsid w:val="006932FC"/>
    <w:rsid w:val="0069354E"/>
    <w:rsid w:val="006935CA"/>
    <w:rsid w:val="00696C8C"/>
    <w:rsid w:val="00697C31"/>
    <w:rsid w:val="006B7521"/>
    <w:rsid w:val="00722CE6"/>
    <w:rsid w:val="00737170"/>
    <w:rsid w:val="00740FD4"/>
    <w:rsid w:val="00743A9B"/>
    <w:rsid w:val="00744802"/>
    <w:rsid w:val="007767B4"/>
    <w:rsid w:val="00785779"/>
    <w:rsid w:val="0078796F"/>
    <w:rsid w:val="007962C1"/>
    <w:rsid w:val="007D3C14"/>
    <w:rsid w:val="007D5907"/>
    <w:rsid w:val="007D7488"/>
    <w:rsid w:val="007F3528"/>
    <w:rsid w:val="007F417E"/>
    <w:rsid w:val="0081006C"/>
    <w:rsid w:val="00816552"/>
    <w:rsid w:val="0083023F"/>
    <w:rsid w:val="00833C4C"/>
    <w:rsid w:val="00837292"/>
    <w:rsid w:val="0084023B"/>
    <w:rsid w:val="00844F16"/>
    <w:rsid w:val="008634D6"/>
    <w:rsid w:val="0089086A"/>
    <w:rsid w:val="0089595C"/>
    <w:rsid w:val="008A693C"/>
    <w:rsid w:val="008B001E"/>
    <w:rsid w:val="008C2F1C"/>
    <w:rsid w:val="008C5C40"/>
    <w:rsid w:val="008D24BE"/>
    <w:rsid w:val="008D4C8F"/>
    <w:rsid w:val="008D7C81"/>
    <w:rsid w:val="008E6D55"/>
    <w:rsid w:val="009006EC"/>
    <w:rsid w:val="00901C8B"/>
    <w:rsid w:val="00907B6B"/>
    <w:rsid w:val="00911869"/>
    <w:rsid w:val="009129EC"/>
    <w:rsid w:val="0091529C"/>
    <w:rsid w:val="00920A34"/>
    <w:rsid w:val="0095330F"/>
    <w:rsid w:val="00960529"/>
    <w:rsid w:val="00960647"/>
    <w:rsid w:val="00962424"/>
    <w:rsid w:val="00962725"/>
    <w:rsid w:val="009635CB"/>
    <w:rsid w:val="00967BF3"/>
    <w:rsid w:val="00980E22"/>
    <w:rsid w:val="009814A7"/>
    <w:rsid w:val="00981C2C"/>
    <w:rsid w:val="009A4898"/>
    <w:rsid w:val="009A4F98"/>
    <w:rsid w:val="009A54C5"/>
    <w:rsid w:val="009B6A2A"/>
    <w:rsid w:val="009C01D1"/>
    <w:rsid w:val="009C46D8"/>
    <w:rsid w:val="009D26EB"/>
    <w:rsid w:val="009D4250"/>
    <w:rsid w:val="00A01C5E"/>
    <w:rsid w:val="00A25884"/>
    <w:rsid w:val="00A36E26"/>
    <w:rsid w:val="00A7792D"/>
    <w:rsid w:val="00A90B48"/>
    <w:rsid w:val="00A92C0D"/>
    <w:rsid w:val="00A93B35"/>
    <w:rsid w:val="00AA4884"/>
    <w:rsid w:val="00AB1885"/>
    <w:rsid w:val="00AD4710"/>
    <w:rsid w:val="00AE0151"/>
    <w:rsid w:val="00AF0764"/>
    <w:rsid w:val="00AF3A7B"/>
    <w:rsid w:val="00B13A0D"/>
    <w:rsid w:val="00B21D4A"/>
    <w:rsid w:val="00B22DA4"/>
    <w:rsid w:val="00B26287"/>
    <w:rsid w:val="00B32E60"/>
    <w:rsid w:val="00B42735"/>
    <w:rsid w:val="00B50D1D"/>
    <w:rsid w:val="00B51CCD"/>
    <w:rsid w:val="00B549CD"/>
    <w:rsid w:val="00B6296C"/>
    <w:rsid w:val="00B639E4"/>
    <w:rsid w:val="00B74C0A"/>
    <w:rsid w:val="00B81964"/>
    <w:rsid w:val="00B847E7"/>
    <w:rsid w:val="00B87323"/>
    <w:rsid w:val="00B93849"/>
    <w:rsid w:val="00BA31ED"/>
    <w:rsid w:val="00BA5949"/>
    <w:rsid w:val="00BB7441"/>
    <w:rsid w:val="00BC2621"/>
    <w:rsid w:val="00BD6371"/>
    <w:rsid w:val="00BE5CEA"/>
    <w:rsid w:val="00BF30B1"/>
    <w:rsid w:val="00BF5D74"/>
    <w:rsid w:val="00BF6782"/>
    <w:rsid w:val="00C066A8"/>
    <w:rsid w:val="00C1062C"/>
    <w:rsid w:val="00C23C4F"/>
    <w:rsid w:val="00C26533"/>
    <w:rsid w:val="00C42501"/>
    <w:rsid w:val="00C76B92"/>
    <w:rsid w:val="00C80C5B"/>
    <w:rsid w:val="00C8520A"/>
    <w:rsid w:val="00C932B1"/>
    <w:rsid w:val="00C97EF0"/>
    <w:rsid w:val="00CA3F8B"/>
    <w:rsid w:val="00CA6A4B"/>
    <w:rsid w:val="00CA7EB6"/>
    <w:rsid w:val="00CE189D"/>
    <w:rsid w:val="00CF530A"/>
    <w:rsid w:val="00D002A1"/>
    <w:rsid w:val="00D216DE"/>
    <w:rsid w:val="00D226D0"/>
    <w:rsid w:val="00D34B7D"/>
    <w:rsid w:val="00D454DF"/>
    <w:rsid w:val="00D46926"/>
    <w:rsid w:val="00D509D0"/>
    <w:rsid w:val="00D8104A"/>
    <w:rsid w:val="00D9069A"/>
    <w:rsid w:val="00D92157"/>
    <w:rsid w:val="00DF41E8"/>
    <w:rsid w:val="00DF6F58"/>
    <w:rsid w:val="00E02690"/>
    <w:rsid w:val="00E1616B"/>
    <w:rsid w:val="00E17FFE"/>
    <w:rsid w:val="00E204D2"/>
    <w:rsid w:val="00E27A8C"/>
    <w:rsid w:val="00E41D57"/>
    <w:rsid w:val="00E46AC6"/>
    <w:rsid w:val="00E72659"/>
    <w:rsid w:val="00E9197B"/>
    <w:rsid w:val="00EB05DE"/>
    <w:rsid w:val="00ED5471"/>
    <w:rsid w:val="00EE5E8B"/>
    <w:rsid w:val="00EF4107"/>
    <w:rsid w:val="00F014D0"/>
    <w:rsid w:val="00F040F0"/>
    <w:rsid w:val="00F05ED5"/>
    <w:rsid w:val="00F07D06"/>
    <w:rsid w:val="00F14A92"/>
    <w:rsid w:val="00F23A04"/>
    <w:rsid w:val="00F54DA0"/>
    <w:rsid w:val="00F61E52"/>
    <w:rsid w:val="00F62345"/>
    <w:rsid w:val="00F63ABA"/>
    <w:rsid w:val="00F646E3"/>
    <w:rsid w:val="00FA01C6"/>
    <w:rsid w:val="00FA0911"/>
    <w:rsid w:val="00FA2111"/>
    <w:rsid w:val="00FB6709"/>
    <w:rsid w:val="00FB6C72"/>
    <w:rsid w:val="00FC1669"/>
    <w:rsid w:val="00FC331F"/>
    <w:rsid w:val="00FC4EDF"/>
    <w:rsid w:val="00FC51E5"/>
    <w:rsid w:val="00FD181F"/>
    <w:rsid w:val="00FD7800"/>
    <w:rsid w:val="00FE73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0B93FF9"/>
  <w15:docId w15:val="{AB8D556F-1106-4A24-A5DC-5B33A567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C4F"/>
    <w:pPr>
      <w:tabs>
        <w:tab w:val="left" w:pos="794"/>
        <w:tab w:val="left" w:pos="1191"/>
        <w:tab w:val="left" w:pos="1588"/>
        <w:tab w:val="left" w:pos="1985"/>
      </w:tabs>
      <w:overflowPunct w:val="0"/>
      <w:autoSpaceDE w:val="0"/>
      <w:autoSpaceDN w:val="0"/>
      <w:adjustRightInd w:val="0"/>
      <w:spacing w:before="120"/>
      <w:jc w:val="both"/>
      <w:textAlignment w:val="baseline"/>
    </w:pPr>
    <w:rPr>
      <w:rFonts w:eastAsia="Times New Roman"/>
      <w:sz w:val="24"/>
      <w:lang w:val="en-GB" w:eastAsia="en-US"/>
    </w:rPr>
  </w:style>
  <w:style w:type="paragraph" w:styleId="Heading1">
    <w:name w:val="heading 1"/>
    <w:basedOn w:val="Normal"/>
    <w:next w:val="Normal"/>
    <w:link w:val="Heading1Char"/>
    <w:qFormat/>
    <w:rsid w:val="00C23C4F"/>
    <w:pPr>
      <w:keepNext/>
      <w:keepLines/>
      <w:spacing w:before="360"/>
      <w:ind w:left="794" w:hanging="794"/>
      <w:jc w:val="left"/>
      <w:outlineLvl w:val="0"/>
    </w:pPr>
    <w:rPr>
      <w:b/>
    </w:rPr>
  </w:style>
  <w:style w:type="paragraph" w:styleId="Heading2">
    <w:name w:val="heading 2"/>
    <w:basedOn w:val="Heading1"/>
    <w:next w:val="Normal"/>
    <w:qFormat/>
    <w:rsid w:val="00C23C4F"/>
    <w:pPr>
      <w:spacing w:before="240"/>
      <w:outlineLvl w:val="1"/>
    </w:pPr>
  </w:style>
  <w:style w:type="paragraph" w:styleId="Heading3">
    <w:name w:val="heading 3"/>
    <w:basedOn w:val="Heading1"/>
    <w:next w:val="Normal"/>
    <w:qFormat/>
    <w:rsid w:val="00C23C4F"/>
    <w:pPr>
      <w:spacing w:before="160"/>
      <w:outlineLvl w:val="2"/>
    </w:pPr>
  </w:style>
  <w:style w:type="paragraph" w:styleId="Heading4">
    <w:name w:val="heading 4"/>
    <w:basedOn w:val="Heading3"/>
    <w:next w:val="Normal"/>
    <w:qFormat/>
    <w:rsid w:val="00C23C4F"/>
    <w:pPr>
      <w:tabs>
        <w:tab w:val="clear" w:pos="794"/>
        <w:tab w:val="left" w:pos="1021"/>
      </w:tabs>
      <w:ind w:left="1021" w:hanging="1021"/>
      <w:outlineLvl w:val="3"/>
    </w:pPr>
  </w:style>
  <w:style w:type="paragraph" w:styleId="Heading5">
    <w:name w:val="heading 5"/>
    <w:basedOn w:val="Heading4"/>
    <w:next w:val="Normal"/>
    <w:qFormat/>
    <w:rsid w:val="00C23C4F"/>
    <w:pPr>
      <w:outlineLvl w:val="4"/>
    </w:pPr>
  </w:style>
  <w:style w:type="paragraph" w:styleId="Heading6">
    <w:name w:val="heading 6"/>
    <w:basedOn w:val="Heading4"/>
    <w:next w:val="Normal"/>
    <w:qFormat/>
    <w:rsid w:val="00C23C4F"/>
    <w:pPr>
      <w:tabs>
        <w:tab w:val="clear" w:pos="1021"/>
        <w:tab w:val="clear" w:pos="1191"/>
      </w:tabs>
      <w:ind w:left="1588" w:hanging="1588"/>
      <w:outlineLvl w:val="5"/>
    </w:pPr>
  </w:style>
  <w:style w:type="paragraph" w:styleId="Heading7">
    <w:name w:val="heading 7"/>
    <w:basedOn w:val="Heading6"/>
    <w:next w:val="Normal"/>
    <w:qFormat/>
    <w:rsid w:val="00C23C4F"/>
    <w:pPr>
      <w:outlineLvl w:val="6"/>
    </w:pPr>
  </w:style>
  <w:style w:type="paragraph" w:styleId="Heading8">
    <w:name w:val="heading 8"/>
    <w:basedOn w:val="Heading6"/>
    <w:next w:val="Normal"/>
    <w:qFormat/>
    <w:rsid w:val="00C23C4F"/>
    <w:pPr>
      <w:outlineLvl w:val="7"/>
    </w:pPr>
  </w:style>
  <w:style w:type="paragraph" w:styleId="Heading9">
    <w:name w:val="heading 9"/>
    <w:basedOn w:val="Heading6"/>
    <w:next w:val="Normal"/>
    <w:qFormat/>
    <w:rsid w:val="00C23C4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C4F"/>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C23C4F"/>
    <w:pPr>
      <w:tabs>
        <w:tab w:val="clear" w:pos="794"/>
        <w:tab w:val="clear" w:pos="1191"/>
        <w:tab w:val="clear" w:pos="1588"/>
        <w:tab w:val="clear" w:pos="1985"/>
        <w:tab w:val="left" w:pos="5954"/>
        <w:tab w:val="right" w:pos="9639"/>
      </w:tabs>
      <w:spacing w:before="0"/>
    </w:pPr>
    <w:rPr>
      <w:caps/>
      <w:noProof/>
      <w:sz w:val="16"/>
    </w:rPr>
  </w:style>
  <w:style w:type="character" w:styleId="PageNumber">
    <w:name w:val="page number"/>
    <w:basedOn w:val="DefaultParagraphFont"/>
    <w:rsid w:val="00C23C4F"/>
  </w:style>
  <w:style w:type="paragraph" w:customStyle="1" w:styleId="ASN1">
    <w:name w:val="ASN.1"/>
    <w:rsid w:val="00C23C4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val="en-GB" w:eastAsia="en-US"/>
    </w:rPr>
  </w:style>
  <w:style w:type="table" w:styleId="TableGrid">
    <w:name w:val="Table Grid"/>
    <w:basedOn w:val="TableNormal"/>
    <w:rsid w:val="00A0117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uiPriority w:val="39"/>
    <w:rsid w:val="00C23C4F"/>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2">
    <w:name w:val="toc 2"/>
    <w:basedOn w:val="TOC1"/>
    <w:uiPriority w:val="39"/>
    <w:rsid w:val="00C23C4F"/>
    <w:pPr>
      <w:spacing w:before="80"/>
      <w:ind w:left="1531" w:hanging="851"/>
    </w:pPr>
  </w:style>
  <w:style w:type="paragraph" w:styleId="TOC3">
    <w:name w:val="toc 3"/>
    <w:basedOn w:val="TOC2"/>
    <w:rsid w:val="00C23C4F"/>
  </w:style>
  <w:style w:type="character" w:styleId="Hyperlink">
    <w:name w:val="Hyperlink"/>
    <w:basedOn w:val="DefaultParagraphFont"/>
    <w:uiPriority w:val="99"/>
    <w:rsid w:val="00C23C4F"/>
    <w:rPr>
      <w:color w:val="0000FF"/>
      <w:u w:val="single"/>
    </w:rPr>
  </w:style>
  <w:style w:type="paragraph" w:styleId="CommentText">
    <w:name w:val="annotation text"/>
    <w:basedOn w:val="Normal"/>
    <w:semiHidden/>
    <w:rsid w:val="00C23C4F"/>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character" w:styleId="FollowedHyperlink">
    <w:name w:val="FollowedHyperlink"/>
    <w:rsid w:val="00A0117B"/>
    <w:rPr>
      <w:color w:val="800080"/>
      <w:u w:val="single"/>
    </w:rPr>
  </w:style>
  <w:style w:type="paragraph" w:customStyle="1" w:styleId="Figurelegend">
    <w:name w:val="Figure_legend"/>
    <w:basedOn w:val="Normal"/>
    <w:rsid w:val="00C23C4F"/>
    <w:pPr>
      <w:keepNext/>
      <w:keepLines/>
      <w:tabs>
        <w:tab w:val="clear" w:pos="794"/>
        <w:tab w:val="clear" w:pos="1191"/>
        <w:tab w:val="clear" w:pos="1588"/>
        <w:tab w:val="clear" w:pos="1985"/>
      </w:tabs>
      <w:spacing w:before="20" w:after="20"/>
      <w:jc w:val="left"/>
    </w:pPr>
    <w:rPr>
      <w:sz w:val="18"/>
    </w:rPr>
  </w:style>
  <w:style w:type="paragraph" w:customStyle="1" w:styleId="Normalaftertitle">
    <w:name w:val="Normal after title"/>
    <w:basedOn w:val="Normal"/>
    <w:next w:val="Normal"/>
    <w:rsid w:val="00166D09"/>
    <w:pPr>
      <w:spacing w:before="320"/>
    </w:pPr>
    <w:rPr>
      <w:rFonts w:eastAsia="SimSun"/>
    </w:rPr>
  </w:style>
  <w:style w:type="character" w:styleId="CommentReference">
    <w:name w:val="annotation reference"/>
    <w:basedOn w:val="DefaultParagraphFont"/>
    <w:semiHidden/>
    <w:rsid w:val="00C23C4F"/>
    <w:rPr>
      <w:sz w:val="16"/>
      <w:szCs w:val="16"/>
    </w:rPr>
  </w:style>
  <w:style w:type="paragraph" w:customStyle="1" w:styleId="Normalaftertitle0">
    <w:name w:val="Normal_after_title"/>
    <w:basedOn w:val="Normal"/>
    <w:next w:val="Normal"/>
    <w:rsid w:val="00C23C4F"/>
    <w:pPr>
      <w:spacing w:before="360"/>
    </w:pPr>
  </w:style>
  <w:style w:type="paragraph" w:customStyle="1" w:styleId="Rectitle">
    <w:name w:val="Rec_title"/>
    <w:basedOn w:val="Normal"/>
    <w:next w:val="Normalaftertitle0"/>
    <w:rsid w:val="00C23C4F"/>
    <w:pPr>
      <w:keepNext/>
      <w:keepLines/>
      <w:spacing w:before="360"/>
      <w:jc w:val="center"/>
    </w:pPr>
    <w:rPr>
      <w:b/>
      <w:sz w:val="28"/>
    </w:rPr>
  </w:style>
  <w:style w:type="paragraph" w:customStyle="1" w:styleId="RecNo">
    <w:name w:val="Rec_No"/>
    <w:basedOn w:val="Normal"/>
    <w:next w:val="Rectitle"/>
    <w:rsid w:val="00C23C4F"/>
    <w:pPr>
      <w:keepNext/>
      <w:keepLines/>
      <w:spacing w:before="0"/>
      <w:jc w:val="left"/>
    </w:pPr>
    <w:rPr>
      <w:b/>
      <w:sz w:val="28"/>
    </w:rPr>
  </w:style>
  <w:style w:type="paragraph" w:styleId="TOC4">
    <w:name w:val="toc 4"/>
    <w:basedOn w:val="TOC3"/>
    <w:semiHidden/>
    <w:rsid w:val="00C23C4F"/>
  </w:style>
  <w:style w:type="paragraph" w:styleId="TOC5">
    <w:name w:val="toc 5"/>
    <w:basedOn w:val="TOC4"/>
    <w:semiHidden/>
    <w:rsid w:val="00C23C4F"/>
  </w:style>
  <w:style w:type="paragraph" w:styleId="TOC6">
    <w:name w:val="toc 6"/>
    <w:basedOn w:val="TOC4"/>
    <w:semiHidden/>
    <w:rsid w:val="00C23C4F"/>
  </w:style>
  <w:style w:type="paragraph" w:styleId="TOC7">
    <w:name w:val="toc 7"/>
    <w:basedOn w:val="TOC4"/>
    <w:semiHidden/>
    <w:rsid w:val="00C23C4F"/>
  </w:style>
  <w:style w:type="paragraph" w:styleId="TOC8">
    <w:name w:val="toc 8"/>
    <w:basedOn w:val="TOC4"/>
    <w:semiHidden/>
    <w:rsid w:val="00C23C4F"/>
  </w:style>
  <w:style w:type="paragraph" w:styleId="TOC9">
    <w:name w:val="toc 9"/>
    <w:basedOn w:val="TOC3"/>
    <w:semiHidden/>
    <w:rsid w:val="00C23C4F"/>
  </w:style>
  <w:style w:type="paragraph" w:customStyle="1" w:styleId="FigureNotitle">
    <w:name w:val="Figure_No &amp; title"/>
    <w:basedOn w:val="Normal"/>
    <w:next w:val="Normal"/>
    <w:qFormat/>
    <w:rsid w:val="00EF3284"/>
    <w:pPr>
      <w:keepLines/>
      <w:spacing w:before="240" w:after="120"/>
      <w:jc w:val="center"/>
    </w:pPr>
    <w:rPr>
      <w:b/>
    </w:rPr>
  </w:style>
  <w:style w:type="paragraph" w:styleId="BalloonText">
    <w:name w:val="Balloon Text"/>
    <w:basedOn w:val="Normal"/>
    <w:link w:val="BalloonTextChar"/>
    <w:rsid w:val="00C23C4F"/>
    <w:pPr>
      <w:spacing w:before="0"/>
    </w:pPr>
    <w:rPr>
      <w:rFonts w:ascii="Tahoma" w:hAnsi="Tahoma" w:cs="Tahoma"/>
      <w:sz w:val="16"/>
      <w:szCs w:val="16"/>
    </w:rPr>
  </w:style>
  <w:style w:type="paragraph" w:styleId="CommentSubject">
    <w:name w:val="annotation subject"/>
    <w:basedOn w:val="CommentText"/>
    <w:next w:val="CommentText"/>
    <w:semiHidden/>
    <w:rsid w:val="00003CAA"/>
    <w:rPr>
      <w:rFonts w:eastAsia="MS Mincho"/>
      <w:b/>
      <w:bCs/>
      <w:lang w:eastAsia="zh-CN"/>
    </w:rPr>
  </w:style>
  <w:style w:type="paragraph" w:customStyle="1" w:styleId="TableNotitle">
    <w:name w:val="Table_No &amp; title"/>
    <w:basedOn w:val="Normal"/>
    <w:next w:val="Normal"/>
    <w:qFormat/>
    <w:rsid w:val="00C42501"/>
    <w:pPr>
      <w:keepNext/>
      <w:keepLines/>
      <w:spacing w:before="360" w:after="120"/>
      <w:jc w:val="center"/>
    </w:pPr>
    <w:rPr>
      <w:b/>
    </w:rPr>
  </w:style>
  <w:style w:type="paragraph" w:customStyle="1" w:styleId="Equation">
    <w:name w:val="Equation"/>
    <w:basedOn w:val="Normal"/>
    <w:rsid w:val="00C23C4F"/>
    <w:pPr>
      <w:tabs>
        <w:tab w:val="clear" w:pos="1191"/>
        <w:tab w:val="clear" w:pos="1588"/>
        <w:tab w:val="clear" w:pos="1985"/>
        <w:tab w:val="center" w:pos="4820"/>
        <w:tab w:val="right" w:pos="9639"/>
      </w:tabs>
      <w:jc w:val="left"/>
    </w:pPr>
  </w:style>
  <w:style w:type="paragraph" w:customStyle="1" w:styleId="Headingb">
    <w:name w:val="Heading_b"/>
    <w:basedOn w:val="Normal"/>
    <w:next w:val="Normal"/>
    <w:rsid w:val="00C23C4F"/>
    <w:pPr>
      <w:keepNext/>
      <w:spacing w:before="160"/>
      <w:jc w:val="left"/>
    </w:pPr>
    <w:rPr>
      <w:b/>
    </w:rPr>
  </w:style>
  <w:style w:type="paragraph" w:customStyle="1" w:styleId="AnnexNotitle">
    <w:name w:val="Annex_No &amp; title"/>
    <w:basedOn w:val="Normal"/>
    <w:next w:val="Normal"/>
    <w:rsid w:val="0029185B"/>
    <w:pPr>
      <w:keepNext/>
      <w:keepLines/>
      <w:spacing w:before="480"/>
      <w:jc w:val="center"/>
    </w:pPr>
    <w:rPr>
      <w:b/>
      <w:sz w:val="28"/>
    </w:rPr>
  </w:style>
  <w:style w:type="paragraph" w:customStyle="1" w:styleId="AppendixNotitle">
    <w:name w:val="Appendix_No &amp; title"/>
    <w:basedOn w:val="AnnexNotitle"/>
    <w:next w:val="Normal"/>
    <w:rsid w:val="0029185B"/>
  </w:style>
  <w:style w:type="paragraph" w:styleId="TableofFigures">
    <w:name w:val="table of figures"/>
    <w:basedOn w:val="Normal"/>
    <w:next w:val="Normal"/>
    <w:uiPriority w:val="99"/>
    <w:rsid w:val="00F14A92"/>
    <w:pPr>
      <w:tabs>
        <w:tab w:val="right" w:leader="dot" w:pos="9639"/>
      </w:tabs>
    </w:pPr>
    <w:rPr>
      <w:smallCaps/>
      <w:sz w:val="20"/>
      <w:szCs w:val="24"/>
    </w:rPr>
  </w:style>
  <w:style w:type="paragraph" w:customStyle="1" w:styleId="Heading1Centered">
    <w:name w:val="Heading 1 Centered"/>
    <w:basedOn w:val="Heading1"/>
    <w:rsid w:val="00F14A92"/>
    <w:pPr>
      <w:ind w:left="0" w:firstLine="0"/>
      <w:jc w:val="center"/>
    </w:pPr>
  </w:style>
  <w:style w:type="paragraph" w:customStyle="1" w:styleId="Headingi">
    <w:name w:val="Heading_i"/>
    <w:basedOn w:val="Normal"/>
    <w:next w:val="Normal"/>
    <w:rsid w:val="00C23C4F"/>
    <w:pPr>
      <w:keepNext/>
      <w:spacing w:before="160"/>
      <w:jc w:val="left"/>
    </w:pPr>
    <w:rPr>
      <w:i/>
    </w:rPr>
  </w:style>
  <w:style w:type="paragraph" w:customStyle="1" w:styleId="Headingib">
    <w:name w:val="Heading_ib"/>
    <w:basedOn w:val="Headingi"/>
    <w:qFormat/>
    <w:rsid w:val="00F14A92"/>
    <w:rPr>
      <w:b/>
      <w:bCs/>
    </w:rPr>
  </w:style>
  <w:style w:type="paragraph" w:customStyle="1" w:styleId="Tablehead">
    <w:name w:val="Table_head"/>
    <w:basedOn w:val="Normal"/>
    <w:next w:val="Tabletext"/>
    <w:rsid w:val="00C23C4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C23C4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Figure">
    <w:name w:val="Figure"/>
    <w:basedOn w:val="Normal"/>
    <w:next w:val="Normal"/>
    <w:rsid w:val="00C23C4F"/>
    <w:pPr>
      <w:keepNext/>
      <w:keepLines/>
      <w:spacing w:before="240" w:after="120"/>
      <w:jc w:val="center"/>
    </w:pPr>
  </w:style>
  <w:style w:type="paragraph" w:customStyle="1" w:styleId="toc0">
    <w:name w:val="toc 0"/>
    <w:basedOn w:val="Normal"/>
    <w:next w:val="TOC1"/>
    <w:rsid w:val="00C23C4F"/>
    <w:pPr>
      <w:keepLines/>
      <w:tabs>
        <w:tab w:val="clear" w:pos="794"/>
        <w:tab w:val="clear" w:pos="1191"/>
        <w:tab w:val="clear" w:pos="1588"/>
        <w:tab w:val="clear" w:pos="1985"/>
        <w:tab w:val="right" w:pos="9639"/>
      </w:tabs>
      <w:jc w:val="left"/>
    </w:pPr>
    <w:rPr>
      <w:b/>
    </w:rPr>
  </w:style>
  <w:style w:type="paragraph" w:styleId="List2">
    <w:name w:val="List 2"/>
    <w:basedOn w:val="Normal"/>
    <w:rsid w:val="0060241A"/>
    <w:pPr>
      <w:ind w:left="566" w:hanging="283"/>
    </w:pPr>
    <w:rPr>
      <w:szCs w:val="24"/>
    </w:rPr>
  </w:style>
  <w:style w:type="paragraph" w:styleId="List3">
    <w:name w:val="List 3"/>
    <w:basedOn w:val="Normal"/>
    <w:rsid w:val="0060241A"/>
    <w:pPr>
      <w:ind w:left="849" w:hanging="283"/>
    </w:pPr>
    <w:rPr>
      <w:szCs w:val="24"/>
    </w:rPr>
  </w:style>
  <w:style w:type="paragraph" w:styleId="List4">
    <w:name w:val="List 4"/>
    <w:basedOn w:val="Normal"/>
    <w:rsid w:val="0060241A"/>
    <w:pPr>
      <w:ind w:left="1132" w:hanging="283"/>
    </w:pPr>
    <w:rPr>
      <w:szCs w:val="24"/>
    </w:rPr>
  </w:style>
  <w:style w:type="paragraph" w:styleId="List5">
    <w:name w:val="List 5"/>
    <w:basedOn w:val="Normal"/>
    <w:rsid w:val="0060241A"/>
    <w:pPr>
      <w:ind w:left="1415" w:hanging="283"/>
    </w:pPr>
    <w:rPr>
      <w:szCs w:val="24"/>
    </w:rPr>
  </w:style>
  <w:style w:type="paragraph" w:styleId="Caption">
    <w:name w:val="caption"/>
    <w:basedOn w:val="Normal"/>
    <w:next w:val="Normal"/>
    <w:rsid w:val="0060241A"/>
    <w:pPr>
      <w:spacing w:after="120"/>
      <w:jc w:val="center"/>
    </w:pPr>
    <w:rPr>
      <w:b/>
      <w:bCs/>
      <w:szCs w:val="24"/>
    </w:rPr>
  </w:style>
  <w:style w:type="paragraph" w:customStyle="1" w:styleId="Tablelegend">
    <w:name w:val="Table_legend"/>
    <w:basedOn w:val="Normal"/>
    <w:rsid w:val="00C23C4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paragraph" w:styleId="TOCHeading">
    <w:name w:val="TOC Heading"/>
    <w:basedOn w:val="Heading1"/>
    <w:next w:val="Normal"/>
    <w:uiPriority w:val="39"/>
    <w:semiHidden/>
    <w:unhideWhenUsed/>
    <w:qFormat/>
    <w:rsid w:val="0060241A"/>
    <w:pPr>
      <w:spacing w:before="480" w:line="276" w:lineRule="auto"/>
      <w:ind w:left="0" w:firstLine="0"/>
      <w:outlineLvl w:val="9"/>
    </w:pPr>
    <w:rPr>
      <w:rFonts w:ascii="Cambria" w:eastAsia="SimSun" w:hAnsi="Cambria"/>
      <w:color w:val="365F91"/>
      <w:sz w:val="28"/>
      <w:szCs w:val="28"/>
      <w:lang w:val="en-US"/>
    </w:rPr>
  </w:style>
  <w:style w:type="character" w:customStyle="1" w:styleId="Heading1Char">
    <w:name w:val="Heading 1 Char"/>
    <w:link w:val="Heading1"/>
    <w:rsid w:val="009635CB"/>
    <w:rPr>
      <w:rFonts w:eastAsia="Times New Roman"/>
      <w:b/>
      <w:sz w:val="24"/>
      <w:lang w:val="en-GB" w:eastAsia="en-US"/>
    </w:rPr>
  </w:style>
  <w:style w:type="paragraph" w:styleId="Revision">
    <w:name w:val="Revision"/>
    <w:hidden/>
    <w:uiPriority w:val="99"/>
    <w:semiHidden/>
    <w:rsid w:val="009635CB"/>
    <w:rPr>
      <w:sz w:val="24"/>
    </w:rPr>
  </w:style>
  <w:style w:type="character" w:styleId="Emphasis">
    <w:name w:val="Emphasis"/>
    <w:rsid w:val="009635CB"/>
    <w:rPr>
      <w:i/>
      <w:iCs/>
    </w:rPr>
  </w:style>
  <w:style w:type="character" w:styleId="Strong">
    <w:name w:val="Strong"/>
    <w:uiPriority w:val="22"/>
    <w:qFormat/>
    <w:rsid w:val="009635CB"/>
    <w:rPr>
      <w:b/>
      <w:bCs/>
    </w:rPr>
  </w:style>
  <w:style w:type="paragraph" w:styleId="Quote">
    <w:name w:val="Quote"/>
    <w:basedOn w:val="Normal"/>
    <w:next w:val="Normal"/>
    <w:link w:val="QuoteChar"/>
    <w:uiPriority w:val="29"/>
    <w:rsid w:val="009635CB"/>
    <w:pPr>
      <w:spacing w:before="200" w:after="160"/>
      <w:ind w:left="864" w:right="864"/>
      <w:jc w:val="center"/>
    </w:pPr>
    <w:rPr>
      <w:i/>
      <w:iCs/>
      <w:color w:val="404040"/>
    </w:rPr>
  </w:style>
  <w:style w:type="character" w:customStyle="1" w:styleId="QuoteChar">
    <w:name w:val="Quote Char"/>
    <w:link w:val="Quote"/>
    <w:uiPriority w:val="29"/>
    <w:rsid w:val="009635CB"/>
    <w:rPr>
      <w:i/>
      <w:iCs/>
      <w:color w:val="404040"/>
      <w:sz w:val="24"/>
    </w:rPr>
  </w:style>
  <w:style w:type="paragraph" w:styleId="ListParagraph">
    <w:name w:val="List Paragraph"/>
    <w:basedOn w:val="Normal"/>
    <w:link w:val="ListParagraphChar"/>
    <w:uiPriority w:val="34"/>
    <w:qFormat/>
    <w:rsid w:val="00C8520A"/>
    <w:pPr>
      <w:spacing w:before="0" w:after="200" w:line="276" w:lineRule="auto"/>
      <w:ind w:left="720"/>
      <w:contextualSpacing/>
    </w:pPr>
    <w:rPr>
      <w:rFonts w:ascii="Calibri" w:hAnsi="Calibri" w:cs="Arial"/>
      <w:sz w:val="22"/>
      <w:szCs w:val="22"/>
    </w:rPr>
  </w:style>
  <w:style w:type="character" w:customStyle="1" w:styleId="ListParagraphChar">
    <w:name w:val="List Paragraph Char"/>
    <w:link w:val="ListParagraph"/>
    <w:uiPriority w:val="34"/>
    <w:rsid w:val="00C8520A"/>
    <w:rPr>
      <w:rFonts w:ascii="Calibri" w:hAnsi="Calibri" w:cs="Arial"/>
      <w:sz w:val="22"/>
      <w:szCs w:val="22"/>
    </w:rPr>
  </w:style>
  <w:style w:type="paragraph" w:styleId="BodyText">
    <w:name w:val="Body Text"/>
    <w:basedOn w:val="Normal"/>
    <w:link w:val="BodyTextChar"/>
    <w:uiPriority w:val="99"/>
    <w:unhideWhenUsed/>
    <w:qFormat/>
    <w:rsid w:val="00C8520A"/>
    <w:pPr>
      <w:spacing w:before="0" w:after="120" w:line="288" w:lineRule="auto"/>
    </w:pPr>
    <w:rPr>
      <w:rFonts w:asciiTheme="minorHAnsi" w:eastAsiaTheme="minorEastAsia" w:hAnsiTheme="minorHAnsi" w:cstheme="minorBidi"/>
      <w:sz w:val="20"/>
      <w:lang w:eastAsia="en-ZA"/>
    </w:rPr>
  </w:style>
  <w:style w:type="character" w:customStyle="1" w:styleId="BodyTextChar">
    <w:name w:val="Body Text Char"/>
    <w:basedOn w:val="DefaultParagraphFont"/>
    <w:link w:val="BodyText"/>
    <w:uiPriority w:val="99"/>
    <w:rsid w:val="00C8520A"/>
    <w:rPr>
      <w:rFonts w:asciiTheme="minorHAnsi" w:eastAsiaTheme="minorEastAsia" w:hAnsiTheme="minorHAnsi" w:cstheme="minorBidi"/>
      <w:lang w:eastAsia="en-ZA"/>
    </w:rPr>
  </w:style>
  <w:style w:type="paragraph" w:customStyle="1" w:styleId="Enumlev">
    <w:name w:val="Enumlev`"/>
    <w:basedOn w:val="ListParagraph"/>
    <w:qFormat/>
    <w:rsid w:val="00C8520A"/>
    <w:pPr>
      <w:numPr>
        <w:numId w:val="2"/>
      </w:numPr>
      <w:spacing w:before="120" w:after="120" w:line="288" w:lineRule="auto"/>
      <w:contextualSpacing w:val="0"/>
      <w:jc w:val="left"/>
    </w:pPr>
    <w:rPr>
      <w:b/>
      <w:color w:val="C0504D" w:themeColor="accent2"/>
    </w:rPr>
  </w:style>
  <w:style w:type="paragraph" w:customStyle="1" w:styleId="Enumlev1">
    <w:name w:val="Enumlev1"/>
    <w:basedOn w:val="Enumlev"/>
    <w:qFormat/>
    <w:rsid w:val="00C8520A"/>
    <w:pPr>
      <w:numPr>
        <w:numId w:val="0"/>
      </w:numPr>
    </w:pPr>
  </w:style>
  <w:style w:type="paragraph" w:customStyle="1" w:styleId="enumlev10">
    <w:name w:val="enumlev1"/>
    <w:basedOn w:val="Normal"/>
    <w:rsid w:val="00C23C4F"/>
    <w:pPr>
      <w:spacing w:before="80"/>
      <w:ind w:left="794" w:hanging="794"/>
    </w:pPr>
  </w:style>
  <w:style w:type="paragraph" w:customStyle="1" w:styleId="subbullet">
    <w:name w:val="subbullet"/>
    <w:basedOn w:val="Normal"/>
    <w:qFormat/>
    <w:rsid w:val="00C8520A"/>
    <w:pPr>
      <w:numPr>
        <w:ilvl w:val="1"/>
        <w:numId w:val="3"/>
      </w:numPr>
      <w:tabs>
        <w:tab w:val="num" w:pos="360"/>
      </w:tabs>
      <w:spacing w:before="0" w:after="60"/>
      <w:ind w:left="1620" w:hanging="270"/>
    </w:pPr>
    <w:rPr>
      <w:rFonts w:asciiTheme="minorHAnsi" w:eastAsiaTheme="minorEastAsia" w:hAnsiTheme="minorHAnsi" w:cstheme="minorBidi"/>
      <w:sz w:val="20"/>
    </w:rPr>
  </w:style>
  <w:style w:type="paragraph" w:customStyle="1" w:styleId="Enumlev2">
    <w:name w:val="Enumlev2"/>
    <w:basedOn w:val="subbullet"/>
    <w:qFormat/>
    <w:rsid w:val="00C8520A"/>
    <w:pPr>
      <w:numPr>
        <w:ilvl w:val="0"/>
        <w:numId w:val="0"/>
      </w:numPr>
      <w:tabs>
        <w:tab w:val="left" w:pos="1620"/>
      </w:tabs>
      <w:spacing w:before="120" w:after="120" w:line="288" w:lineRule="auto"/>
    </w:pPr>
  </w:style>
  <w:style w:type="paragraph" w:customStyle="1" w:styleId="enumlev20">
    <w:name w:val="enumlev2"/>
    <w:basedOn w:val="enumlev10"/>
    <w:rsid w:val="00C23C4F"/>
    <w:pPr>
      <w:ind w:left="1191" w:hanging="397"/>
    </w:pPr>
  </w:style>
  <w:style w:type="paragraph" w:customStyle="1" w:styleId="Note">
    <w:name w:val="Note"/>
    <w:basedOn w:val="Normal"/>
    <w:rsid w:val="00C23C4F"/>
    <w:pPr>
      <w:spacing w:before="80"/>
    </w:pPr>
    <w:rPr>
      <w:sz w:val="22"/>
    </w:rPr>
  </w:style>
  <w:style w:type="paragraph" w:styleId="FootnoteText">
    <w:name w:val="footnote text"/>
    <w:basedOn w:val="Note"/>
    <w:link w:val="FootnoteTextChar"/>
    <w:rsid w:val="00C23C4F"/>
    <w:pPr>
      <w:keepLines/>
      <w:tabs>
        <w:tab w:val="left" w:pos="255"/>
      </w:tabs>
      <w:ind w:left="255" w:hanging="255"/>
    </w:pPr>
  </w:style>
  <w:style w:type="character" w:customStyle="1" w:styleId="FootnoteTextChar">
    <w:name w:val="Footnote Text Char"/>
    <w:basedOn w:val="DefaultParagraphFont"/>
    <w:link w:val="FootnoteText"/>
    <w:rsid w:val="001866DC"/>
    <w:rPr>
      <w:rFonts w:eastAsia="Times New Roman"/>
      <w:sz w:val="22"/>
      <w:lang w:val="en-GB" w:eastAsia="en-US"/>
    </w:rPr>
  </w:style>
  <w:style w:type="character" w:styleId="FootnoteReference">
    <w:name w:val="footnote reference"/>
    <w:basedOn w:val="DefaultParagraphFont"/>
    <w:rsid w:val="00C23C4F"/>
    <w:rPr>
      <w:position w:val="6"/>
      <w:sz w:val="18"/>
    </w:rPr>
  </w:style>
  <w:style w:type="paragraph" w:customStyle="1" w:styleId="bullet">
    <w:name w:val="bullet"/>
    <w:basedOn w:val="ListParagraph"/>
    <w:qFormat/>
    <w:rsid w:val="007F3528"/>
    <w:pPr>
      <w:spacing w:after="60" w:line="240" w:lineRule="auto"/>
      <w:ind w:left="360" w:hanging="360"/>
      <w:contextualSpacing w:val="0"/>
      <w:jc w:val="left"/>
    </w:pPr>
    <w:rPr>
      <w:rFonts w:asciiTheme="minorHAnsi" w:eastAsiaTheme="minorEastAsia" w:hAnsiTheme="minorHAnsi" w:cstheme="minorBidi"/>
      <w:sz w:val="20"/>
      <w:szCs w:val="20"/>
    </w:rPr>
  </w:style>
  <w:style w:type="paragraph" w:customStyle="1" w:styleId="2Bullet">
    <w:name w:val="2Bullet"/>
    <w:basedOn w:val="bullet"/>
    <w:qFormat/>
    <w:rsid w:val="007F3528"/>
    <w:pPr>
      <w:numPr>
        <w:numId w:val="4"/>
      </w:numPr>
      <w:tabs>
        <w:tab w:val="left" w:pos="1260"/>
      </w:tabs>
      <w:spacing w:before="120" w:after="120" w:line="288" w:lineRule="auto"/>
      <w:ind w:left="1260"/>
    </w:pPr>
  </w:style>
  <w:style w:type="character" w:customStyle="1" w:styleId="A12">
    <w:name w:val="A12"/>
    <w:uiPriority w:val="99"/>
    <w:rsid w:val="00696C8C"/>
    <w:rPr>
      <w:rFonts w:ascii="Bliss Pro Bold" w:hAnsi="Bliss Pro Bold" w:cs="Bliss Pro Bold"/>
      <w:b/>
      <w:bCs/>
      <w:color w:val="000000"/>
      <w:sz w:val="32"/>
      <w:szCs w:val="32"/>
    </w:rPr>
  </w:style>
  <w:style w:type="paragraph" w:customStyle="1" w:styleId="Reftext">
    <w:name w:val="Ref_text"/>
    <w:basedOn w:val="Normal"/>
    <w:rsid w:val="00C23C4F"/>
    <w:pPr>
      <w:ind w:left="794" w:hanging="794"/>
      <w:jc w:val="left"/>
    </w:pPr>
  </w:style>
  <w:style w:type="character" w:customStyle="1" w:styleId="FooterChar">
    <w:name w:val="Footer Char"/>
    <w:basedOn w:val="DefaultParagraphFont"/>
    <w:link w:val="Footer"/>
    <w:rsid w:val="007767B4"/>
    <w:rPr>
      <w:rFonts w:eastAsia="Times New Roman"/>
      <w:caps/>
      <w:noProof/>
      <w:sz w:val="16"/>
      <w:lang w:val="en-GB" w:eastAsia="en-US"/>
    </w:rPr>
  </w:style>
  <w:style w:type="paragraph" w:customStyle="1" w:styleId="AnnexNoTitle0">
    <w:name w:val="Annex_NoTitle"/>
    <w:basedOn w:val="Normal"/>
    <w:next w:val="Normalaftertitle0"/>
    <w:rsid w:val="00C23C4F"/>
    <w:pPr>
      <w:keepNext/>
      <w:keepLines/>
      <w:spacing w:before="720"/>
      <w:jc w:val="center"/>
      <w:outlineLvl w:val="0"/>
    </w:pPr>
    <w:rPr>
      <w:b/>
      <w:sz w:val="28"/>
    </w:rPr>
  </w:style>
  <w:style w:type="character" w:customStyle="1" w:styleId="Appdef">
    <w:name w:val="App_def"/>
    <w:basedOn w:val="DefaultParagraphFont"/>
    <w:rsid w:val="00C23C4F"/>
    <w:rPr>
      <w:rFonts w:ascii="Times New Roman" w:hAnsi="Times New Roman"/>
      <w:b/>
    </w:rPr>
  </w:style>
  <w:style w:type="character" w:customStyle="1" w:styleId="Appref">
    <w:name w:val="App_ref"/>
    <w:basedOn w:val="DefaultParagraphFont"/>
    <w:rsid w:val="00C23C4F"/>
  </w:style>
  <w:style w:type="paragraph" w:customStyle="1" w:styleId="AppendixNoTitle0">
    <w:name w:val="Appendix_NoTitle"/>
    <w:basedOn w:val="AnnexNoTitle0"/>
    <w:next w:val="Normalaftertitle0"/>
    <w:rsid w:val="00C23C4F"/>
  </w:style>
  <w:style w:type="character" w:customStyle="1" w:styleId="Artdef">
    <w:name w:val="Art_def"/>
    <w:basedOn w:val="DefaultParagraphFont"/>
    <w:rsid w:val="00C23C4F"/>
    <w:rPr>
      <w:rFonts w:ascii="Times New Roman" w:hAnsi="Times New Roman"/>
      <w:b/>
    </w:rPr>
  </w:style>
  <w:style w:type="paragraph" w:customStyle="1" w:styleId="Artheading">
    <w:name w:val="Art_heading"/>
    <w:basedOn w:val="Normal"/>
    <w:next w:val="Normalaftertitle0"/>
    <w:rsid w:val="00C23C4F"/>
    <w:pPr>
      <w:spacing w:before="480"/>
      <w:jc w:val="center"/>
    </w:pPr>
    <w:rPr>
      <w:b/>
      <w:sz w:val="28"/>
    </w:rPr>
  </w:style>
  <w:style w:type="paragraph" w:customStyle="1" w:styleId="ArtNo">
    <w:name w:val="Art_No"/>
    <w:basedOn w:val="Normal"/>
    <w:next w:val="Normal"/>
    <w:rsid w:val="00C23C4F"/>
    <w:pPr>
      <w:keepNext/>
      <w:keepLines/>
      <w:spacing w:before="480"/>
      <w:jc w:val="center"/>
    </w:pPr>
    <w:rPr>
      <w:caps/>
      <w:sz w:val="28"/>
    </w:rPr>
  </w:style>
  <w:style w:type="character" w:customStyle="1" w:styleId="Artref">
    <w:name w:val="Art_ref"/>
    <w:basedOn w:val="DefaultParagraphFont"/>
    <w:rsid w:val="00C23C4F"/>
  </w:style>
  <w:style w:type="paragraph" w:customStyle="1" w:styleId="Arttitle">
    <w:name w:val="Art_title"/>
    <w:basedOn w:val="Normal"/>
    <w:next w:val="Normalaftertitle0"/>
    <w:rsid w:val="00C23C4F"/>
    <w:pPr>
      <w:keepNext/>
      <w:keepLines/>
      <w:spacing w:before="240"/>
      <w:jc w:val="center"/>
    </w:pPr>
    <w:rPr>
      <w:b/>
      <w:sz w:val="28"/>
    </w:rPr>
  </w:style>
  <w:style w:type="character" w:customStyle="1" w:styleId="BalloonTextChar">
    <w:name w:val="Balloon Text Char"/>
    <w:basedOn w:val="DefaultParagraphFont"/>
    <w:link w:val="BalloonText"/>
    <w:rsid w:val="00C23C4F"/>
    <w:rPr>
      <w:rFonts w:ascii="Tahoma" w:eastAsia="Times New Roman" w:hAnsi="Tahoma" w:cs="Tahoma"/>
      <w:sz w:val="16"/>
      <w:szCs w:val="16"/>
      <w:lang w:val="en-GB" w:eastAsia="en-US"/>
    </w:rPr>
  </w:style>
  <w:style w:type="paragraph" w:customStyle="1" w:styleId="Call">
    <w:name w:val="Call"/>
    <w:basedOn w:val="Normal"/>
    <w:next w:val="Normal"/>
    <w:rsid w:val="00C23C4F"/>
    <w:pPr>
      <w:keepNext/>
      <w:keepLines/>
      <w:spacing w:before="160"/>
      <w:ind w:left="794"/>
      <w:jc w:val="left"/>
    </w:pPr>
    <w:rPr>
      <w:i/>
    </w:rPr>
  </w:style>
  <w:style w:type="paragraph" w:customStyle="1" w:styleId="ChapNo">
    <w:name w:val="Chap_No"/>
    <w:basedOn w:val="Normal"/>
    <w:next w:val="Normal"/>
    <w:rsid w:val="00C23C4F"/>
    <w:pPr>
      <w:keepNext/>
      <w:keepLines/>
      <w:spacing w:before="480"/>
      <w:jc w:val="center"/>
    </w:pPr>
    <w:rPr>
      <w:b/>
      <w:caps/>
      <w:sz w:val="28"/>
    </w:rPr>
  </w:style>
  <w:style w:type="paragraph" w:customStyle="1" w:styleId="Chaptitle">
    <w:name w:val="Chap_title"/>
    <w:basedOn w:val="Normal"/>
    <w:next w:val="Normalaftertitle0"/>
    <w:rsid w:val="00C23C4F"/>
    <w:pPr>
      <w:keepNext/>
      <w:keepLines/>
      <w:spacing w:before="240"/>
      <w:jc w:val="center"/>
    </w:pPr>
    <w:rPr>
      <w:b/>
      <w:sz w:val="28"/>
    </w:rPr>
  </w:style>
  <w:style w:type="paragraph" w:customStyle="1" w:styleId="enumlev3">
    <w:name w:val="enumlev3"/>
    <w:basedOn w:val="enumlev20"/>
    <w:rsid w:val="00C23C4F"/>
    <w:pPr>
      <w:ind w:left="1588"/>
    </w:pPr>
  </w:style>
  <w:style w:type="paragraph" w:customStyle="1" w:styleId="Equationlegend">
    <w:name w:val="Equation_legend"/>
    <w:basedOn w:val="Normal"/>
    <w:rsid w:val="00C23C4F"/>
    <w:pPr>
      <w:tabs>
        <w:tab w:val="clear" w:pos="794"/>
        <w:tab w:val="clear" w:pos="1191"/>
        <w:tab w:val="clear" w:pos="1588"/>
        <w:tab w:val="right" w:pos="1814"/>
      </w:tabs>
      <w:spacing w:before="80"/>
      <w:ind w:left="1985" w:hanging="1985"/>
    </w:pPr>
  </w:style>
  <w:style w:type="paragraph" w:customStyle="1" w:styleId="FigureNoTitle0">
    <w:name w:val="Figure_NoTitle"/>
    <w:basedOn w:val="Normal"/>
    <w:next w:val="Normalaftertitle0"/>
    <w:rsid w:val="00C23C4F"/>
    <w:pPr>
      <w:keepLines/>
      <w:spacing w:before="240" w:after="120"/>
      <w:jc w:val="center"/>
    </w:pPr>
    <w:rPr>
      <w:b/>
    </w:rPr>
  </w:style>
  <w:style w:type="paragraph" w:customStyle="1" w:styleId="Figurewithouttitle">
    <w:name w:val="Figure_without_title"/>
    <w:basedOn w:val="Normal"/>
    <w:next w:val="Normalaftertitle0"/>
    <w:rsid w:val="00C23C4F"/>
    <w:pPr>
      <w:keepLines/>
      <w:spacing w:before="240" w:after="120"/>
      <w:jc w:val="center"/>
    </w:pPr>
  </w:style>
  <w:style w:type="paragraph" w:customStyle="1" w:styleId="FirstFooter">
    <w:name w:val="FirstFooter"/>
    <w:basedOn w:val="Footer"/>
    <w:rsid w:val="00C23C4F"/>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rsid w:val="00C23C4F"/>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Formal">
    <w:name w:val="Formal"/>
    <w:basedOn w:val="ASN1"/>
    <w:rsid w:val="00C23C4F"/>
    <w:rPr>
      <w:b w:val="0"/>
    </w:rPr>
  </w:style>
  <w:style w:type="paragraph" w:styleId="Index1">
    <w:name w:val="index 1"/>
    <w:basedOn w:val="Normal"/>
    <w:next w:val="Normal"/>
    <w:semiHidden/>
    <w:rsid w:val="00C23C4F"/>
    <w:pPr>
      <w:jc w:val="left"/>
    </w:pPr>
  </w:style>
  <w:style w:type="paragraph" w:styleId="Index2">
    <w:name w:val="index 2"/>
    <w:basedOn w:val="Normal"/>
    <w:next w:val="Normal"/>
    <w:semiHidden/>
    <w:rsid w:val="00C23C4F"/>
    <w:pPr>
      <w:ind w:left="284"/>
      <w:jc w:val="left"/>
    </w:pPr>
  </w:style>
  <w:style w:type="paragraph" w:styleId="Index3">
    <w:name w:val="index 3"/>
    <w:basedOn w:val="Normal"/>
    <w:next w:val="Normal"/>
    <w:semiHidden/>
    <w:rsid w:val="00C23C4F"/>
    <w:pPr>
      <w:ind w:left="567"/>
      <w:jc w:val="left"/>
    </w:pPr>
  </w:style>
  <w:style w:type="paragraph" w:customStyle="1" w:styleId="PartNo">
    <w:name w:val="Part_No"/>
    <w:basedOn w:val="Normal"/>
    <w:next w:val="Normal"/>
    <w:rsid w:val="00C23C4F"/>
    <w:pPr>
      <w:keepNext/>
      <w:keepLines/>
      <w:spacing w:before="480" w:after="80"/>
      <w:jc w:val="center"/>
    </w:pPr>
    <w:rPr>
      <w:caps/>
      <w:sz w:val="28"/>
    </w:rPr>
  </w:style>
  <w:style w:type="paragraph" w:customStyle="1" w:styleId="Partref">
    <w:name w:val="Part_ref"/>
    <w:basedOn w:val="Normal"/>
    <w:next w:val="Normal"/>
    <w:rsid w:val="00C23C4F"/>
    <w:pPr>
      <w:keepNext/>
      <w:keepLines/>
      <w:spacing w:before="280"/>
      <w:jc w:val="center"/>
    </w:pPr>
  </w:style>
  <w:style w:type="paragraph" w:customStyle="1" w:styleId="Parttitle">
    <w:name w:val="Part_title"/>
    <w:basedOn w:val="Normal"/>
    <w:next w:val="Normalaftertitle0"/>
    <w:rsid w:val="00C23C4F"/>
    <w:pPr>
      <w:keepNext/>
      <w:keepLines/>
      <w:spacing w:before="240" w:after="280"/>
      <w:jc w:val="center"/>
    </w:pPr>
    <w:rPr>
      <w:b/>
      <w:sz w:val="28"/>
    </w:rPr>
  </w:style>
  <w:style w:type="paragraph" w:customStyle="1" w:styleId="Recdate">
    <w:name w:val="Rec_date"/>
    <w:basedOn w:val="Normal"/>
    <w:next w:val="Normalaftertitle0"/>
    <w:rsid w:val="00C23C4F"/>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23C4F"/>
  </w:style>
  <w:style w:type="paragraph" w:customStyle="1" w:styleId="QuestionNo">
    <w:name w:val="Question_No"/>
    <w:basedOn w:val="RecNo"/>
    <w:next w:val="Normal"/>
    <w:rsid w:val="00C23C4F"/>
  </w:style>
  <w:style w:type="paragraph" w:customStyle="1" w:styleId="Recref">
    <w:name w:val="Rec_ref"/>
    <w:basedOn w:val="Normal"/>
    <w:next w:val="Recdate"/>
    <w:rsid w:val="00C23C4F"/>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23C4F"/>
  </w:style>
  <w:style w:type="paragraph" w:customStyle="1" w:styleId="Questiontitle">
    <w:name w:val="Question_title"/>
    <w:basedOn w:val="Rectitle"/>
    <w:next w:val="Questionref"/>
    <w:rsid w:val="00C23C4F"/>
  </w:style>
  <w:style w:type="paragraph" w:customStyle="1" w:styleId="Reftitle">
    <w:name w:val="Ref_title"/>
    <w:basedOn w:val="Normal"/>
    <w:next w:val="Reftext"/>
    <w:rsid w:val="00C23C4F"/>
    <w:pPr>
      <w:spacing w:before="480"/>
      <w:jc w:val="center"/>
    </w:pPr>
    <w:rPr>
      <w:b/>
    </w:rPr>
  </w:style>
  <w:style w:type="paragraph" w:customStyle="1" w:styleId="Repdate">
    <w:name w:val="Rep_date"/>
    <w:basedOn w:val="Recdate"/>
    <w:next w:val="Normalaftertitle0"/>
    <w:rsid w:val="00C23C4F"/>
  </w:style>
  <w:style w:type="paragraph" w:customStyle="1" w:styleId="RepNo">
    <w:name w:val="Rep_No"/>
    <w:basedOn w:val="RecNo"/>
    <w:next w:val="Normal"/>
    <w:rsid w:val="00C23C4F"/>
  </w:style>
  <w:style w:type="paragraph" w:customStyle="1" w:styleId="Repref">
    <w:name w:val="Rep_ref"/>
    <w:basedOn w:val="Recref"/>
    <w:next w:val="Repdate"/>
    <w:rsid w:val="00C23C4F"/>
  </w:style>
  <w:style w:type="paragraph" w:customStyle="1" w:styleId="Reptitle">
    <w:name w:val="Rep_title"/>
    <w:basedOn w:val="Rectitle"/>
    <w:next w:val="Repref"/>
    <w:rsid w:val="00C23C4F"/>
  </w:style>
  <w:style w:type="paragraph" w:customStyle="1" w:styleId="Resdate">
    <w:name w:val="Res_date"/>
    <w:basedOn w:val="Recdate"/>
    <w:next w:val="Normalaftertitle0"/>
    <w:rsid w:val="00C23C4F"/>
  </w:style>
  <w:style w:type="character" w:customStyle="1" w:styleId="Resdef">
    <w:name w:val="Res_def"/>
    <w:basedOn w:val="DefaultParagraphFont"/>
    <w:rsid w:val="00C23C4F"/>
    <w:rPr>
      <w:rFonts w:ascii="Times New Roman" w:hAnsi="Times New Roman"/>
      <w:b/>
    </w:rPr>
  </w:style>
  <w:style w:type="paragraph" w:customStyle="1" w:styleId="ResNo">
    <w:name w:val="Res_No"/>
    <w:basedOn w:val="RecNo"/>
    <w:next w:val="Normal"/>
    <w:rsid w:val="00C23C4F"/>
  </w:style>
  <w:style w:type="paragraph" w:customStyle="1" w:styleId="Resref">
    <w:name w:val="Res_ref"/>
    <w:basedOn w:val="Recref"/>
    <w:next w:val="Resdate"/>
    <w:rsid w:val="00C23C4F"/>
  </w:style>
  <w:style w:type="paragraph" w:customStyle="1" w:styleId="Restitle">
    <w:name w:val="Res_title"/>
    <w:basedOn w:val="Rectitle"/>
    <w:next w:val="Resref"/>
    <w:rsid w:val="00C23C4F"/>
  </w:style>
  <w:style w:type="paragraph" w:customStyle="1" w:styleId="Section1">
    <w:name w:val="Section_1"/>
    <w:basedOn w:val="Normal"/>
    <w:next w:val="Normal"/>
    <w:rsid w:val="00C23C4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23C4F"/>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C23C4F"/>
    <w:pPr>
      <w:keepNext/>
      <w:keepLines/>
      <w:spacing w:before="480" w:after="80"/>
      <w:jc w:val="center"/>
    </w:pPr>
    <w:rPr>
      <w:caps/>
      <w:sz w:val="28"/>
    </w:rPr>
  </w:style>
  <w:style w:type="paragraph" w:customStyle="1" w:styleId="Sectiontitle">
    <w:name w:val="Section_title"/>
    <w:basedOn w:val="Normal"/>
    <w:next w:val="Normalaftertitle0"/>
    <w:rsid w:val="00C23C4F"/>
    <w:pPr>
      <w:keepNext/>
      <w:keepLines/>
      <w:spacing w:before="480" w:after="280"/>
      <w:jc w:val="center"/>
    </w:pPr>
    <w:rPr>
      <w:b/>
      <w:sz w:val="28"/>
    </w:rPr>
  </w:style>
  <w:style w:type="paragraph" w:customStyle="1" w:styleId="Source">
    <w:name w:val="Source"/>
    <w:basedOn w:val="Normal"/>
    <w:next w:val="Normalaftertitle0"/>
    <w:rsid w:val="00C23C4F"/>
    <w:pPr>
      <w:spacing w:before="840" w:after="200"/>
      <w:jc w:val="center"/>
    </w:pPr>
    <w:rPr>
      <w:b/>
      <w:sz w:val="28"/>
    </w:rPr>
  </w:style>
  <w:style w:type="paragraph" w:customStyle="1" w:styleId="SpecialFooter">
    <w:name w:val="Special Footer"/>
    <w:basedOn w:val="Footer"/>
    <w:rsid w:val="00C23C4F"/>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C23C4F"/>
    <w:rPr>
      <w:b/>
      <w:color w:val="auto"/>
    </w:rPr>
  </w:style>
  <w:style w:type="paragraph" w:customStyle="1" w:styleId="TableNoTitle0">
    <w:name w:val="Table_NoTitle"/>
    <w:basedOn w:val="Normal"/>
    <w:next w:val="Tablehead"/>
    <w:rsid w:val="00C23C4F"/>
    <w:pPr>
      <w:keepNext/>
      <w:keepLines/>
      <w:spacing w:before="360" w:after="120"/>
      <w:jc w:val="center"/>
    </w:pPr>
    <w:rPr>
      <w:b/>
    </w:rPr>
  </w:style>
  <w:style w:type="paragraph" w:customStyle="1" w:styleId="Title1">
    <w:name w:val="Title 1"/>
    <w:basedOn w:val="Source"/>
    <w:next w:val="Normal"/>
    <w:rsid w:val="00C23C4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C23C4F"/>
  </w:style>
  <w:style w:type="paragraph" w:customStyle="1" w:styleId="Title3">
    <w:name w:val="Title 3"/>
    <w:basedOn w:val="Title2"/>
    <w:next w:val="Normal"/>
    <w:rsid w:val="00C23C4F"/>
    <w:rPr>
      <w:caps w:val="0"/>
    </w:rPr>
  </w:style>
  <w:style w:type="paragraph" w:customStyle="1" w:styleId="Title4">
    <w:name w:val="Title 4"/>
    <w:basedOn w:val="Title3"/>
    <w:next w:val="Heading1"/>
    <w:rsid w:val="00C23C4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81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8.emf"/><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QPUB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0E1485F74E9F4F9B7D2D3E37BF4067" ma:contentTypeVersion="2" ma:contentTypeDescription="Create a new document." ma:contentTypeScope="" ma:versionID="c34449c05f2560466ffaf715ba998df3">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1E9C3-D7E9-4EC2-9A3B-A205A2DBD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A9728-E211-4A3B-BCEF-901E9E60B34A}">
  <ds:schemaRefs>
    <ds:schemaRef ds:uri="http://schemas.microsoft.com/sharepoint/v3/contenttype/forms"/>
  </ds:schemaRefs>
</ds:datastoreItem>
</file>

<file path=customXml/itemProps3.xml><?xml version="1.0" encoding="utf-8"?>
<ds:datastoreItem xmlns:ds="http://schemas.openxmlformats.org/officeDocument/2006/customXml" ds:itemID="{3021E2B6-F73A-4F77-A433-10E0079BA3E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B13DC55-38E7-4138-ADEC-3232157E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QPUBE.dotm</Template>
  <TotalTime>2</TotalTime>
  <Pages>17</Pages>
  <Words>4308</Words>
  <Characters>24561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Technical Report</vt:lpstr>
    </vt:vector>
  </TitlesOfParts>
  <Manager>ITU-T</Manager>
  <Company>International Telecommunication Union (ITU)</Company>
  <LinksUpToDate>false</LinksUpToDate>
  <CharactersWithSpaces>28812</CharactersWithSpaces>
  <SharedDoc>false</SharedDoc>
  <HLinks>
    <vt:vector size="114" baseType="variant">
      <vt:variant>
        <vt:i4>1703985</vt:i4>
      </vt:variant>
      <vt:variant>
        <vt:i4>116</vt:i4>
      </vt:variant>
      <vt:variant>
        <vt:i4>0</vt:i4>
      </vt:variant>
      <vt:variant>
        <vt:i4>5</vt:i4>
      </vt:variant>
      <vt:variant>
        <vt:lpwstr/>
      </vt:variant>
      <vt:variant>
        <vt:lpwstr>_Toc286246115</vt:lpwstr>
      </vt:variant>
      <vt:variant>
        <vt:i4>1769521</vt:i4>
      </vt:variant>
      <vt:variant>
        <vt:i4>107</vt:i4>
      </vt:variant>
      <vt:variant>
        <vt:i4>0</vt:i4>
      </vt:variant>
      <vt:variant>
        <vt:i4>5</vt:i4>
      </vt:variant>
      <vt:variant>
        <vt:lpwstr/>
      </vt:variant>
      <vt:variant>
        <vt:lpwstr>_Toc286246107</vt:lpwstr>
      </vt:variant>
      <vt:variant>
        <vt:i4>1179697</vt:i4>
      </vt:variant>
      <vt:variant>
        <vt:i4>98</vt:i4>
      </vt:variant>
      <vt:variant>
        <vt:i4>0</vt:i4>
      </vt:variant>
      <vt:variant>
        <vt:i4>5</vt:i4>
      </vt:variant>
      <vt:variant>
        <vt:lpwstr/>
      </vt:variant>
      <vt:variant>
        <vt:lpwstr>_Toc156801694</vt:lpwstr>
      </vt:variant>
      <vt:variant>
        <vt:i4>1179697</vt:i4>
      </vt:variant>
      <vt:variant>
        <vt:i4>92</vt:i4>
      </vt:variant>
      <vt:variant>
        <vt:i4>0</vt:i4>
      </vt:variant>
      <vt:variant>
        <vt:i4>5</vt:i4>
      </vt:variant>
      <vt:variant>
        <vt:lpwstr/>
      </vt:variant>
      <vt:variant>
        <vt:lpwstr>_Toc156801693</vt:lpwstr>
      </vt:variant>
      <vt:variant>
        <vt:i4>1179697</vt:i4>
      </vt:variant>
      <vt:variant>
        <vt:i4>86</vt:i4>
      </vt:variant>
      <vt:variant>
        <vt:i4>0</vt:i4>
      </vt:variant>
      <vt:variant>
        <vt:i4>5</vt:i4>
      </vt:variant>
      <vt:variant>
        <vt:lpwstr/>
      </vt:variant>
      <vt:variant>
        <vt:lpwstr>_Toc156801692</vt:lpwstr>
      </vt:variant>
      <vt:variant>
        <vt:i4>1179697</vt:i4>
      </vt:variant>
      <vt:variant>
        <vt:i4>80</vt:i4>
      </vt:variant>
      <vt:variant>
        <vt:i4>0</vt:i4>
      </vt:variant>
      <vt:variant>
        <vt:i4>5</vt:i4>
      </vt:variant>
      <vt:variant>
        <vt:lpwstr/>
      </vt:variant>
      <vt:variant>
        <vt:lpwstr>_Toc156801691</vt:lpwstr>
      </vt:variant>
      <vt:variant>
        <vt:i4>1179697</vt:i4>
      </vt:variant>
      <vt:variant>
        <vt:i4>74</vt:i4>
      </vt:variant>
      <vt:variant>
        <vt:i4>0</vt:i4>
      </vt:variant>
      <vt:variant>
        <vt:i4>5</vt:i4>
      </vt:variant>
      <vt:variant>
        <vt:lpwstr/>
      </vt:variant>
      <vt:variant>
        <vt:lpwstr>_Toc156801690</vt:lpwstr>
      </vt:variant>
      <vt:variant>
        <vt:i4>1245233</vt:i4>
      </vt:variant>
      <vt:variant>
        <vt:i4>68</vt:i4>
      </vt:variant>
      <vt:variant>
        <vt:i4>0</vt:i4>
      </vt:variant>
      <vt:variant>
        <vt:i4>5</vt:i4>
      </vt:variant>
      <vt:variant>
        <vt:lpwstr/>
      </vt:variant>
      <vt:variant>
        <vt:lpwstr>_Toc156801689</vt:lpwstr>
      </vt:variant>
      <vt:variant>
        <vt:i4>1245233</vt:i4>
      </vt:variant>
      <vt:variant>
        <vt:i4>62</vt:i4>
      </vt:variant>
      <vt:variant>
        <vt:i4>0</vt:i4>
      </vt:variant>
      <vt:variant>
        <vt:i4>5</vt:i4>
      </vt:variant>
      <vt:variant>
        <vt:lpwstr/>
      </vt:variant>
      <vt:variant>
        <vt:lpwstr>_Toc156801688</vt:lpwstr>
      </vt:variant>
      <vt:variant>
        <vt:i4>1245233</vt:i4>
      </vt:variant>
      <vt:variant>
        <vt:i4>56</vt:i4>
      </vt:variant>
      <vt:variant>
        <vt:i4>0</vt:i4>
      </vt:variant>
      <vt:variant>
        <vt:i4>5</vt:i4>
      </vt:variant>
      <vt:variant>
        <vt:lpwstr/>
      </vt:variant>
      <vt:variant>
        <vt:lpwstr>_Toc156801687</vt:lpwstr>
      </vt:variant>
      <vt:variant>
        <vt:i4>1245233</vt:i4>
      </vt:variant>
      <vt:variant>
        <vt:i4>50</vt:i4>
      </vt:variant>
      <vt:variant>
        <vt:i4>0</vt:i4>
      </vt:variant>
      <vt:variant>
        <vt:i4>5</vt:i4>
      </vt:variant>
      <vt:variant>
        <vt:lpwstr/>
      </vt:variant>
      <vt:variant>
        <vt:lpwstr>_Toc156801686</vt:lpwstr>
      </vt:variant>
      <vt:variant>
        <vt:i4>1245233</vt:i4>
      </vt:variant>
      <vt:variant>
        <vt:i4>44</vt:i4>
      </vt:variant>
      <vt:variant>
        <vt:i4>0</vt:i4>
      </vt:variant>
      <vt:variant>
        <vt:i4>5</vt:i4>
      </vt:variant>
      <vt:variant>
        <vt:lpwstr/>
      </vt:variant>
      <vt:variant>
        <vt:lpwstr>_Toc156801685</vt:lpwstr>
      </vt:variant>
      <vt:variant>
        <vt:i4>1245233</vt:i4>
      </vt:variant>
      <vt:variant>
        <vt:i4>38</vt:i4>
      </vt:variant>
      <vt:variant>
        <vt:i4>0</vt:i4>
      </vt:variant>
      <vt:variant>
        <vt:i4>5</vt:i4>
      </vt:variant>
      <vt:variant>
        <vt:lpwstr/>
      </vt:variant>
      <vt:variant>
        <vt:lpwstr>_Toc156801684</vt:lpwstr>
      </vt:variant>
      <vt:variant>
        <vt:i4>1245233</vt:i4>
      </vt:variant>
      <vt:variant>
        <vt:i4>32</vt:i4>
      </vt:variant>
      <vt:variant>
        <vt:i4>0</vt:i4>
      </vt:variant>
      <vt:variant>
        <vt:i4>5</vt:i4>
      </vt:variant>
      <vt:variant>
        <vt:lpwstr/>
      </vt:variant>
      <vt:variant>
        <vt:lpwstr>_Toc156801683</vt:lpwstr>
      </vt:variant>
      <vt:variant>
        <vt:i4>1245233</vt:i4>
      </vt:variant>
      <vt:variant>
        <vt:i4>26</vt:i4>
      </vt:variant>
      <vt:variant>
        <vt:i4>0</vt:i4>
      </vt:variant>
      <vt:variant>
        <vt:i4>5</vt:i4>
      </vt:variant>
      <vt:variant>
        <vt:lpwstr/>
      </vt:variant>
      <vt:variant>
        <vt:lpwstr>_Toc156801682</vt:lpwstr>
      </vt:variant>
      <vt:variant>
        <vt:i4>1245233</vt:i4>
      </vt:variant>
      <vt:variant>
        <vt:i4>20</vt:i4>
      </vt:variant>
      <vt:variant>
        <vt:i4>0</vt:i4>
      </vt:variant>
      <vt:variant>
        <vt:i4>5</vt:i4>
      </vt:variant>
      <vt:variant>
        <vt:lpwstr/>
      </vt:variant>
      <vt:variant>
        <vt:lpwstr>_Toc156801681</vt:lpwstr>
      </vt:variant>
      <vt:variant>
        <vt:i4>1245233</vt:i4>
      </vt:variant>
      <vt:variant>
        <vt:i4>14</vt:i4>
      </vt:variant>
      <vt:variant>
        <vt:i4>0</vt:i4>
      </vt:variant>
      <vt:variant>
        <vt:i4>5</vt:i4>
      </vt:variant>
      <vt:variant>
        <vt:lpwstr/>
      </vt:variant>
      <vt:variant>
        <vt:lpwstr>_Toc156801680</vt:lpwstr>
      </vt:variant>
      <vt:variant>
        <vt:i4>1835057</vt:i4>
      </vt:variant>
      <vt:variant>
        <vt:i4>8</vt:i4>
      </vt:variant>
      <vt:variant>
        <vt:i4>0</vt:i4>
      </vt:variant>
      <vt:variant>
        <vt:i4>5</vt:i4>
      </vt:variant>
      <vt:variant>
        <vt:lpwstr/>
      </vt:variant>
      <vt:variant>
        <vt:lpwstr>_Toc156801679</vt:lpwstr>
      </vt:variant>
      <vt:variant>
        <vt:i4>1835057</vt:i4>
      </vt:variant>
      <vt:variant>
        <vt:i4>2</vt:i4>
      </vt:variant>
      <vt:variant>
        <vt:i4>0</vt:i4>
      </vt:variant>
      <vt:variant>
        <vt:i4>5</vt:i4>
      </vt:variant>
      <vt:variant>
        <vt:lpwstr/>
      </vt:variant>
      <vt:variant>
        <vt:lpwstr>_Toc156801678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Report</dc:title>
  <dc:creator>Simão Campos-Neto</dc:creator>
  <dc:description>Template updated 2014-10-15</dc:description>
  <cp:lastModifiedBy>TSB-AC</cp:lastModifiedBy>
  <cp:revision>3</cp:revision>
  <cp:lastPrinted>2019-05-13T09:30:00Z</cp:lastPrinted>
  <dcterms:created xsi:type="dcterms:W3CDTF">2019-08-29T12:12:00Z</dcterms:created>
  <dcterms:modified xsi:type="dcterms:W3CDTF">2019-08-29T12:31:00Z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311 (PLEN/16)</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5/16</vt:lpwstr>
  </property>
  <property fmtid="{D5CDD505-2E9C-101B-9397-08002B2CF9AE}" pid="6" name="Docdest">
    <vt:lpwstr>Geneva, 14 - 24 November 2006</vt:lpwstr>
  </property>
  <property fmtid="{D5CDD505-2E9C-101B-9397-08002B2CF9AE}" pid="7" name="Docauthor">
    <vt:lpwstr>Editor TP.FNTP</vt:lpwstr>
  </property>
  <property fmtid="{D5CDD505-2E9C-101B-9397-08002B2CF9AE}" pid="8" name="ContentTypeId">
    <vt:lpwstr>0x0101003B0E1485F74E9F4F9B7D2D3E37BF4067</vt:lpwstr>
  </property>
</Properties>
</file>