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8E145" w14:textId="48901CAD" w:rsidR="00885B99" w:rsidRPr="00054EAA" w:rsidRDefault="00885B99" w:rsidP="00885B99">
      <w:r w:rsidRPr="00980208">
        <w:rPr>
          <w:noProof/>
          <w:lang w:eastAsia="en-GB"/>
        </w:rPr>
        <w:drawing>
          <wp:anchor distT="0" distB="0" distL="114300" distR="114300" simplePos="0" relativeHeight="251657728" behindDoc="0" locked="0" layoutInCell="1" allowOverlap="1" wp14:anchorId="5A1A3CBA" wp14:editId="3B98A182">
            <wp:simplePos x="0" y="0"/>
            <wp:positionH relativeFrom="column">
              <wp:posOffset>-752799</wp:posOffset>
            </wp:positionH>
            <wp:positionV relativeFrom="paragraph">
              <wp:posOffset>-610235</wp:posOffset>
            </wp:positionV>
            <wp:extent cx="1569720" cy="10771505"/>
            <wp:effectExtent l="0" t="0" r="0" b="0"/>
            <wp:wrapNone/>
            <wp:docPr id="1" name="Picture 1"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pic:spPr>
                </pic:pic>
              </a:graphicData>
            </a:graphic>
            <wp14:sizeRelH relativeFrom="page">
              <wp14:pctWidth>0</wp14:pctWidth>
            </wp14:sizeRelH>
            <wp14:sizeRelV relativeFrom="page">
              <wp14:pctHeight>0</wp14:pctHeight>
            </wp14:sizeRelV>
          </wp:anchor>
        </w:drawing>
      </w:r>
      <w:r w:rsidR="009F4F76">
        <w:t>f</w:t>
      </w:r>
    </w:p>
    <w:tbl>
      <w:tblPr>
        <w:tblW w:w="9948" w:type="dxa"/>
        <w:tblLayout w:type="fixed"/>
        <w:tblLook w:val="0000" w:firstRow="0" w:lastRow="0" w:firstColumn="0" w:lastColumn="0" w:noHBand="0" w:noVBand="0"/>
      </w:tblPr>
      <w:tblGrid>
        <w:gridCol w:w="1418"/>
        <w:gridCol w:w="10"/>
        <w:gridCol w:w="2520"/>
        <w:gridCol w:w="2029"/>
        <w:gridCol w:w="3971"/>
      </w:tblGrid>
      <w:tr w:rsidR="00885B99" w:rsidRPr="00054EAA" w14:paraId="69F3154F" w14:textId="77777777" w:rsidTr="00FC15A2">
        <w:trPr>
          <w:trHeight w:hRule="exact" w:val="1418"/>
        </w:trPr>
        <w:tc>
          <w:tcPr>
            <w:tcW w:w="1428" w:type="dxa"/>
            <w:gridSpan w:val="2"/>
          </w:tcPr>
          <w:p w14:paraId="05870AE8" w14:textId="77777777" w:rsidR="00885B99" w:rsidRPr="00054EAA" w:rsidRDefault="00885B99" w:rsidP="00FC15A2"/>
          <w:p w14:paraId="28BA1D0E" w14:textId="77777777" w:rsidR="00885B99" w:rsidRPr="00054EAA" w:rsidRDefault="00885B99" w:rsidP="00FC15A2">
            <w:pPr>
              <w:spacing w:before="0"/>
              <w:rPr>
                <w:b/>
                <w:sz w:val="16"/>
              </w:rPr>
            </w:pPr>
          </w:p>
        </w:tc>
        <w:tc>
          <w:tcPr>
            <w:tcW w:w="8520" w:type="dxa"/>
            <w:gridSpan w:val="3"/>
          </w:tcPr>
          <w:p w14:paraId="06F97376" w14:textId="77777777" w:rsidR="00885B99" w:rsidRPr="00054EAA" w:rsidRDefault="00885B99" w:rsidP="00FC15A2">
            <w:pPr>
              <w:spacing w:before="0"/>
              <w:rPr>
                <w:rFonts w:ascii="Arial" w:hAnsi="Arial" w:cs="Arial"/>
              </w:rPr>
            </w:pPr>
          </w:p>
          <w:p w14:paraId="2ACF3363" w14:textId="77777777" w:rsidR="00885B99" w:rsidRPr="00054EAA" w:rsidRDefault="00885B99" w:rsidP="00FC15A2">
            <w:pPr>
              <w:spacing w:before="284"/>
              <w:rPr>
                <w:rFonts w:ascii="Arial" w:hAnsi="Arial" w:cs="Arial"/>
                <w:b/>
                <w:bCs/>
                <w:sz w:val="18"/>
              </w:rPr>
            </w:pPr>
            <w:r w:rsidRPr="00054EAA">
              <w:rPr>
                <w:rFonts w:ascii="Arial" w:hAnsi="Arial" w:cs="Arial"/>
                <w:b/>
                <w:bCs/>
                <w:color w:val="808080"/>
                <w:spacing w:val="100"/>
              </w:rPr>
              <w:t>International Telecommunication Union</w:t>
            </w:r>
          </w:p>
        </w:tc>
      </w:tr>
      <w:tr w:rsidR="00885B99" w:rsidRPr="00054EAA" w14:paraId="7C4832FC" w14:textId="77777777" w:rsidTr="00FC15A2">
        <w:trPr>
          <w:trHeight w:hRule="exact" w:val="992"/>
        </w:trPr>
        <w:tc>
          <w:tcPr>
            <w:tcW w:w="1428" w:type="dxa"/>
            <w:gridSpan w:val="2"/>
          </w:tcPr>
          <w:p w14:paraId="2D856851" w14:textId="77777777" w:rsidR="00885B99" w:rsidRPr="00054EAA" w:rsidRDefault="00885B99" w:rsidP="00FC15A2">
            <w:pPr>
              <w:spacing w:before="0"/>
            </w:pPr>
          </w:p>
        </w:tc>
        <w:tc>
          <w:tcPr>
            <w:tcW w:w="8520" w:type="dxa"/>
            <w:gridSpan w:val="3"/>
          </w:tcPr>
          <w:p w14:paraId="71FFC57D" w14:textId="77777777" w:rsidR="00885B99" w:rsidRPr="00054EAA" w:rsidRDefault="00885B99" w:rsidP="00FC15A2"/>
        </w:tc>
      </w:tr>
      <w:tr w:rsidR="00885B99" w:rsidRPr="00054EAA" w14:paraId="472E8728" w14:textId="77777777" w:rsidTr="00FC15A2">
        <w:tblPrEx>
          <w:tblCellMar>
            <w:left w:w="85" w:type="dxa"/>
            <w:right w:w="85" w:type="dxa"/>
          </w:tblCellMar>
        </w:tblPrEx>
        <w:trPr>
          <w:gridBefore w:val="2"/>
          <w:wBefore w:w="1428" w:type="dxa"/>
        </w:trPr>
        <w:tc>
          <w:tcPr>
            <w:tcW w:w="2520" w:type="dxa"/>
          </w:tcPr>
          <w:p w14:paraId="78D8E102" w14:textId="77777777" w:rsidR="00885B99" w:rsidRPr="00054EAA" w:rsidRDefault="00885B99" w:rsidP="00FC15A2">
            <w:pPr>
              <w:rPr>
                <w:b/>
                <w:sz w:val="18"/>
              </w:rPr>
            </w:pPr>
            <w:r w:rsidRPr="00054EAA">
              <w:rPr>
                <w:rFonts w:ascii="Arial" w:hAnsi="Arial"/>
                <w:b/>
                <w:spacing w:val="40"/>
                <w:sz w:val="72"/>
              </w:rPr>
              <w:t>ITU-T</w:t>
            </w:r>
          </w:p>
        </w:tc>
        <w:tc>
          <w:tcPr>
            <w:tcW w:w="6000" w:type="dxa"/>
            <w:gridSpan w:val="2"/>
          </w:tcPr>
          <w:p w14:paraId="333D067C" w14:textId="77777777" w:rsidR="00885B99" w:rsidRPr="00054EAA" w:rsidRDefault="00885B99" w:rsidP="00FC15A2">
            <w:pPr>
              <w:spacing w:before="240"/>
              <w:jc w:val="right"/>
              <w:rPr>
                <w:rFonts w:ascii="Arial" w:hAnsi="Arial" w:cs="Arial"/>
                <w:b/>
                <w:sz w:val="60"/>
              </w:rPr>
            </w:pPr>
            <w:r w:rsidRPr="00054EAA">
              <w:rPr>
                <w:rFonts w:ascii="Arial" w:hAnsi="Arial"/>
                <w:b/>
                <w:sz w:val="60"/>
              </w:rPr>
              <w:t>Technical Report</w:t>
            </w:r>
          </w:p>
        </w:tc>
      </w:tr>
      <w:tr w:rsidR="00885B99" w:rsidRPr="00054EAA" w14:paraId="5B4DC93B" w14:textId="77777777" w:rsidTr="00FC15A2">
        <w:tblPrEx>
          <w:tblCellMar>
            <w:left w:w="85" w:type="dxa"/>
            <w:right w:w="85" w:type="dxa"/>
          </w:tblCellMar>
        </w:tblPrEx>
        <w:trPr>
          <w:gridBefore w:val="2"/>
          <w:wBefore w:w="1428" w:type="dxa"/>
          <w:trHeight w:val="974"/>
        </w:trPr>
        <w:tc>
          <w:tcPr>
            <w:tcW w:w="4549" w:type="dxa"/>
            <w:gridSpan w:val="2"/>
          </w:tcPr>
          <w:p w14:paraId="5F03E7A4" w14:textId="77777777" w:rsidR="00885B99" w:rsidRDefault="00885B99" w:rsidP="00FC15A2">
            <w:pPr>
              <w:jc w:val="left"/>
            </w:pPr>
            <w:r w:rsidRPr="007777D2">
              <w:rPr>
                <w:rFonts w:ascii="Arial" w:hAnsi="Arial"/>
              </w:rPr>
              <w:t>TELECOMMUNICATION</w:t>
            </w:r>
            <w:r w:rsidRPr="007777D2">
              <w:rPr>
                <w:rFonts w:ascii="Arial" w:hAnsi="Arial"/>
              </w:rPr>
              <w:br/>
              <w:t>STANDARDIZATION  SECTOR</w:t>
            </w:r>
            <w:r w:rsidRPr="007777D2">
              <w:rPr>
                <w:rFonts w:ascii="Arial" w:hAnsi="Arial"/>
              </w:rPr>
              <w:br/>
              <w:t>OF  ITU</w:t>
            </w:r>
          </w:p>
        </w:tc>
        <w:tc>
          <w:tcPr>
            <w:tcW w:w="3971" w:type="dxa"/>
          </w:tcPr>
          <w:p w14:paraId="33DA5DD0" w14:textId="77777777" w:rsidR="00885B99" w:rsidRPr="007777D2" w:rsidRDefault="00885B99" w:rsidP="00FC15A2">
            <w:pPr>
              <w:wordWrap w:val="0"/>
              <w:spacing w:before="284"/>
              <w:jc w:val="right"/>
              <w:rPr>
                <w:rFonts w:ascii="Arial" w:hAnsi="Arial"/>
                <w:sz w:val="28"/>
              </w:rPr>
            </w:pPr>
            <w:r>
              <w:rPr>
                <w:rFonts w:ascii="Arial" w:hAnsi="Arial"/>
                <w:sz w:val="28"/>
              </w:rPr>
              <w:t>(05/2019)</w:t>
            </w:r>
          </w:p>
        </w:tc>
      </w:tr>
      <w:tr w:rsidR="00885B99" w:rsidRPr="00054EAA" w14:paraId="57EB3553" w14:textId="77777777" w:rsidTr="00FC15A2">
        <w:trPr>
          <w:cantSplit/>
          <w:trHeight w:hRule="exact" w:val="3402"/>
        </w:trPr>
        <w:tc>
          <w:tcPr>
            <w:tcW w:w="1418" w:type="dxa"/>
          </w:tcPr>
          <w:p w14:paraId="522DC003" w14:textId="77777777" w:rsidR="00885B99" w:rsidRPr="00054EAA" w:rsidRDefault="00885B99" w:rsidP="00FC15A2">
            <w:pPr>
              <w:tabs>
                <w:tab w:val="right" w:pos="9639"/>
              </w:tabs>
              <w:rPr>
                <w:rFonts w:ascii="Arial" w:hAnsi="Arial"/>
                <w:sz w:val="18"/>
              </w:rPr>
            </w:pPr>
          </w:p>
        </w:tc>
        <w:tc>
          <w:tcPr>
            <w:tcW w:w="8530" w:type="dxa"/>
            <w:gridSpan w:val="4"/>
            <w:tcBorders>
              <w:bottom w:val="single" w:sz="12" w:space="0" w:color="auto"/>
            </w:tcBorders>
            <w:vAlign w:val="bottom"/>
          </w:tcPr>
          <w:p w14:paraId="77461D9E" w14:textId="77777777" w:rsidR="00885B99" w:rsidRPr="00054EAA" w:rsidRDefault="00885B99" w:rsidP="009375FE">
            <w:pPr>
              <w:tabs>
                <w:tab w:val="right" w:pos="9639"/>
              </w:tabs>
              <w:rPr>
                <w:rFonts w:ascii="Arial" w:hAnsi="Arial"/>
                <w:sz w:val="32"/>
              </w:rPr>
            </w:pPr>
          </w:p>
        </w:tc>
      </w:tr>
      <w:tr w:rsidR="00885B99" w:rsidRPr="00054EAA" w14:paraId="2DD71D18" w14:textId="77777777" w:rsidTr="00FC15A2">
        <w:trPr>
          <w:cantSplit/>
          <w:trHeight w:hRule="exact" w:val="4536"/>
        </w:trPr>
        <w:tc>
          <w:tcPr>
            <w:tcW w:w="1418" w:type="dxa"/>
          </w:tcPr>
          <w:p w14:paraId="7569A5F6" w14:textId="77777777" w:rsidR="00885B99" w:rsidRPr="00054EAA" w:rsidRDefault="00885B99" w:rsidP="00FC15A2">
            <w:pPr>
              <w:tabs>
                <w:tab w:val="right" w:pos="9639"/>
              </w:tabs>
              <w:rPr>
                <w:rFonts w:ascii="Arial" w:hAnsi="Arial"/>
                <w:sz w:val="18"/>
              </w:rPr>
            </w:pPr>
          </w:p>
        </w:tc>
        <w:tc>
          <w:tcPr>
            <w:tcW w:w="8530" w:type="dxa"/>
            <w:gridSpan w:val="4"/>
          </w:tcPr>
          <w:p w14:paraId="3F97E8AD" w14:textId="77777777" w:rsidR="009375FE" w:rsidRDefault="009375FE" w:rsidP="009375FE">
            <w:pPr>
              <w:tabs>
                <w:tab w:val="right" w:pos="9639"/>
              </w:tabs>
              <w:rPr>
                <w:rFonts w:ascii="Arial" w:hAnsi="Arial"/>
                <w:sz w:val="32"/>
              </w:rPr>
            </w:pPr>
            <w:r w:rsidRPr="00B906B7">
              <w:rPr>
                <w:rFonts w:ascii="Arial" w:hAnsi="Arial" w:cs="Arial"/>
                <w:b/>
                <w:bCs/>
                <w:sz w:val="36"/>
              </w:rPr>
              <w:t>DSTR-</w:t>
            </w:r>
            <w:r>
              <w:rPr>
                <w:rFonts w:ascii="Arial" w:hAnsi="Arial" w:cs="Arial"/>
                <w:b/>
                <w:bCs/>
                <w:sz w:val="36"/>
              </w:rPr>
              <w:t>DFSCA</w:t>
            </w:r>
          </w:p>
          <w:p w14:paraId="7110D563" w14:textId="010B157D" w:rsidR="00885B99" w:rsidRPr="00054EAA" w:rsidRDefault="00B770C1" w:rsidP="00FC15A2">
            <w:pPr>
              <w:tabs>
                <w:tab w:val="right" w:pos="9639"/>
              </w:tabs>
              <w:rPr>
                <w:rFonts w:ascii="Arial" w:hAnsi="Arial" w:cs="Arial"/>
                <w:b/>
                <w:bCs/>
                <w:sz w:val="36"/>
              </w:rPr>
            </w:pPr>
            <w:r>
              <w:rPr>
                <w:rFonts w:ascii="Arial" w:hAnsi="Arial" w:cs="Arial"/>
                <w:b/>
                <w:bCs/>
                <w:sz w:val="36"/>
              </w:rPr>
              <w:t>D</w:t>
            </w:r>
            <w:r w:rsidRPr="00C4437F">
              <w:rPr>
                <w:rFonts w:ascii="Arial" w:hAnsi="Arial" w:cs="Arial"/>
                <w:b/>
                <w:bCs/>
                <w:sz w:val="36"/>
              </w:rPr>
              <w:t xml:space="preserve">igital </w:t>
            </w:r>
            <w:r>
              <w:rPr>
                <w:rFonts w:ascii="Arial" w:hAnsi="Arial" w:cs="Arial"/>
                <w:b/>
                <w:bCs/>
                <w:sz w:val="36"/>
              </w:rPr>
              <w:t>f</w:t>
            </w:r>
            <w:r w:rsidRPr="00C4437F">
              <w:rPr>
                <w:rFonts w:ascii="Arial" w:hAnsi="Arial" w:cs="Arial"/>
                <w:b/>
                <w:bCs/>
                <w:sz w:val="36"/>
              </w:rPr>
              <w:t xml:space="preserve">inancial </w:t>
            </w:r>
            <w:r>
              <w:rPr>
                <w:rFonts w:ascii="Arial" w:hAnsi="Arial" w:cs="Arial"/>
                <w:b/>
                <w:bCs/>
                <w:sz w:val="36"/>
              </w:rPr>
              <w:t>s</w:t>
            </w:r>
            <w:r w:rsidRPr="00C4437F">
              <w:rPr>
                <w:rFonts w:ascii="Arial" w:hAnsi="Arial" w:cs="Arial"/>
                <w:b/>
                <w:bCs/>
                <w:sz w:val="36"/>
              </w:rPr>
              <w:t>ervices</w:t>
            </w:r>
            <w:r w:rsidRPr="00C4437F">
              <w:rPr>
                <w:rFonts w:ascii="Arial" w:hAnsi="Arial" w:cs="Arial"/>
                <w:b/>
                <w:bCs/>
                <w:sz w:val="36"/>
              </w:rPr>
              <w:t xml:space="preserve"> </w:t>
            </w:r>
            <w:r>
              <w:rPr>
                <w:rFonts w:ascii="Arial" w:hAnsi="Arial" w:cs="Arial"/>
                <w:b/>
                <w:bCs/>
                <w:sz w:val="36"/>
              </w:rPr>
              <w:t xml:space="preserve">– </w:t>
            </w:r>
            <w:r w:rsidR="00885B99" w:rsidRPr="00C4437F">
              <w:rPr>
                <w:rFonts w:ascii="Arial" w:hAnsi="Arial" w:cs="Arial"/>
                <w:b/>
                <w:bCs/>
                <w:sz w:val="36"/>
              </w:rPr>
              <w:t>Competition</w:t>
            </w:r>
            <w:r w:rsidR="00885B99">
              <w:rPr>
                <w:rFonts w:ascii="Arial" w:hAnsi="Arial" w:cs="Arial"/>
                <w:b/>
                <w:bCs/>
                <w:sz w:val="36"/>
              </w:rPr>
              <w:t xml:space="preserve"> aspects o</w:t>
            </w:r>
            <w:r w:rsidR="00885B99" w:rsidRPr="00C4437F">
              <w:rPr>
                <w:rFonts w:ascii="Arial" w:hAnsi="Arial" w:cs="Arial"/>
                <w:b/>
                <w:bCs/>
                <w:sz w:val="36"/>
              </w:rPr>
              <w:t xml:space="preserve">f </w:t>
            </w:r>
            <w:r w:rsidR="00885B99">
              <w:rPr>
                <w:rFonts w:ascii="Arial" w:hAnsi="Arial" w:cs="Arial"/>
                <w:b/>
                <w:bCs/>
                <w:sz w:val="36"/>
              </w:rPr>
              <w:t>d</w:t>
            </w:r>
            <w:r w:rsidR="00885B99" w:rsidRPr="00C4437F">
              <w:rPr>
                <w:rFonts w:ascii="Arial" w:hAnsi="Arial" w:cs="Arial"/>
                <w:b/>
                <w:bCs/>
                <w:sz w:val="36"/>
              </w:rPr>
              <w:t xml:space="preserve">igital </w:t>
            </w:r>
            <w:r w:rsidR="00885B99">
              <w:rPr>
                <w:rFonts w:ascii="Arial" w:hAnsi="Arial" w:cs="Arial"/>
                <w:b/>
                <w:bCs/>
                <w:sz w:val="36"/>
              </w:rPr>
              <w:t>f</w:t>
            </w:r>
            <w:r w:rsidR="00885B99" w:rsidRPr="00C4437F">
              <w:rPr>
                <w:rFonts w:ascii="Arial" w:hAnsi="Arial" w:cs="Arial"/>
                <w:b/>
                <w:bCs/>
                <w:sz w:val="36"/>
              </w:rPr>
              <w:t xml:space="preserve">inancial </w:t>
            </w:r>
            <w:r w:rsidR="00885B99">
              <w:rPr>
                <w:rFonts w:ascii="Arial" w:hAnsi="Arial" w:cs="Arial"/>
                <w:b/>
                <w:bCs/>
                <w:sz w:val="36"/>
              </w:rPr>
              <w:t>s</w:t>
            </w:r>
            <w:r w:rsidR="00885B99" w:rsidRPr="00C4437F">
              <w:rPr>
                <w:rFonts w:ascii="Arial" w:hAnsi="Arial" w:cs="Arial"/>
                <w:b/>
                <w:bCs/>
                <w:sz w:val="36"/>
              </w:rPr>
              <w:t>ervices</w:t>
            </w:r>
          </w:p>
        </w:tc>
      </w:tr>
    </w:tbl>
    <w:p w14:paraId="3083EB60" w14:textId="77777777" w:rsidR="00885B99" w:rsidRPr="00054EAA" w:rsidRDefault="00885B99" w:rsidP="00885B99">
      <w:pPr>
        <w:rPr>
          <w:b/>
          <w:lang w:eastAsia="ja-JP"/>
        </w:rPr>
      </w:pPr>
    </w:p>
    <w:p w14:paraId="4FE98A8E" w14:textId="77777777" w:rsidR="00885B99" w:rsidRPr="00054EAA" w:rsidRDefault="00885B99" w:rsidP="00885B99">
      <w:pPr>
        <w:rPr>
          <w:b/>
          <w:lang w:eastAsia="ja-JP"/>
        </w:rPr>
      </w:pPr>
    </w:p>
    <w:p w14:paraId="4D754AC4" w14:textId="77777777" w:rsidR="00885B99" w:rsidRDefault="00885B99" w:rsidP="00885B99">
      <w:pPr>
        <w:pStyle w:val="Headingb"/>
        <w:sectPr w:rsidR="00885B99" w:rsidSect="00FC15A2">
          <w:footerReference w:type="even" r:id="rId12"/>
          <w:footerReference w:type="default" r:id="rId13"/>
          <w:footerReference w:type="first" r:id="rId14"/>
          <w:pgSz w:w="11907" w:h="16840" w:code="9"/>
          <w:pgMar w:top="851" w:right="1134" w:bottom="851" w:left="1134" w:header="567" w:footer="567" w:gutter="0"/>
          <w:pgNumType w:fmt="lowerRoman" w:start="1"/>
          <w:cols w:space="720"/>
          <w:titlePg/>
          <w:docGrid w:linePitch="326"/>
        </w:sectPr>
      </w:pPr>
    </w:p>
    <w:p w14:paraId="27C23199" w14:textId="77777777" w:rsidR="00885B99" w:rsidRDefault="00885B99" w:rsidP="00885B99">
      <w:pPr>
        <w:pStyle w:val="Headingb"/>
      </w:pPr>
      <w:bookmarkStart w:id="0" w:name="_Toc44995568"/>
      <w:r w:rsidRPr="007777D2">
        <w:lastRenderedPageBreak/>
        <w:t>Summary</w:t>
      </w:r>
    </w:p>
    <w:p w14:paraId="5FF57FBD" w14:textId="77777777" w:rsidR="00885B99" w:rsidRDefault="00885B99" w:rsidP="00885B99">
      <w:r w:rsidRPr="00510C3E">
        <w:t xml:space="preserve">This </w:t>
      </w:r>
      <w:r>
        <w:t>Technical Report</w:t>
      </w:r>
      <w:r w:rsidRPr="00510C3E">
        <w:t xml:space="preserve"> enumerates a sampling of competition issues stemming primarily from access to</w:t>
      </w:r>
      <w:r>
        <w:t>,</w:t>
      </w:r>
      <w:r w:rsidRPr="00510C3E">
        <w:t xml:space="preserve"> and the use of technology in</w:t>
      </w:r>
      <w:r>
        <w:t>,</w:t>
      </w:r>
      <w:r w:rsidRPr="00510C3E">
        <w:t xml:space="preserve"> the </w:t>
      </w:r>
      <w:r>
        <w:t>digital financial services (</w:t>
      </w:r>
      <w:r w:rsidRPr="00510C3E">
        <w:t>DFS</w:t>
      </w:r>
      <w:r>
        <w:t>)</w:t>
      </w:r>
      <w:r w:rsidRPr="00510C3E">
        <w:t xml:space="preserve"> ecosystem from the perspective of its stakeholders</w:t>
      </w:r>
      <w:r>
        <w:t>.</w:t>
      </w:r>
    </w:p>
    <w:p w14:paraId="68326899" w14:textId="77777777" w:rsidR="00885B99" w:rsidRPr="00510C3E" w:rsidRDefault="00885B99" w:rsidP="00885B99">
      <w:r w:rsidRPr="00510C3E">
        <w:t xml:space="preserve">The </w:t>
      </w:r>
      <w:r>
        <w:t>Technical Report</w:t>
      </w:r>
      <w:r w:rsidRPr="00510C3E">
        <w:t xml:space="preserve"> outlines competition issues that have been identified by the author based on publicly available and ventilated examples and studies </w:t>
      </w:r>
      <w:r>
        <w:t>of</w:t>
      </w:r>
      <w:r w:rsidRPr="00510C3E">
        <w:t xml:space="preserve"> DFS ecosystems worldwide</w:t>
      </w:r>
      <w:r>
        <w:t>,</w:t>
      </w:r>
      <w:r w:rsidRPr="00510C3E">
        <w:t xml:space="preserve"> as of January</w:t>
      </w:r>
      <w:r>
        <w:t> </w:t>
      </w:r>
      <w:r w:rsidRPr="00510C3E">
        <w:t>2017. Insights from market participants, analysts and regulators participating in the ITU Focus Group on DFS an</w:t>
      </w:r>
      <w:r>
        <w:t>d externally are also included.</w:t>
      </w:r>
    </w:p>
    <w:p w14:paraId="70E3A7D8" w14:textId="77777777" w:rsidR="00885B99" w:rsidRPr="00510C3E" w:rsidRDefault="00885B99" w:rsidP="00885B99">
      <w:r w:rsidRPr="00510C3E">
        <w:t>Country examples are from</w:t>
      </w:r>
      <w:r>
        <w:t>:</w:t>
      </w:r>
      <w:r w:rsidRPr="00510C3E">
        <w:t xml:space="preserve"> Bangladesh, </w:t>
      </w:r>
      <w:r w:rsidRPr="00510C3E">
        <w:rPr>
          <w:shd w:val="clear" w:color="auto" w:fill="FFFFFF"/>
        </w:rPr>
        <w:t xml:space="preserve">China, </w:t>
      </w:r>
      <w:r w:rsidRPr="00510C3E">
        <w:t xml:space="preserve">Colombia, Georgia, Ghana, India, Jordan, Kenya, </w:t>
      </w:r>
      <w:r w:rsidRPr="00510C3E">
        <w:rPr>
          <w:shd w:val="clear" w:color="auto" w:fill="FFFFFF"/>
        </w:rPr>
        <w:t>Malawi, Mexico</w:t>
      </w:r>
      <w:r w:rsidRPr="00510C3E">
        <w:t xml:space="preserve">, Nepal, Nigeria, Pakistan, Peru, Philippines, </w:t>
      </w:r>
      <w:r w:rsidRPr="00510C3E">
        <w:rPr>
          <w:shd w:val="clear" w:color="auto" w:fill="FFFFFF"/>
        </w:rPr>
        <w:t xml:space="preserve">South Africa, Sri Lanka, </w:t>
      </w:r>
      <w:r w:rsidRPr="00510C3E">
        <w:t>Tanzania, Uganda, Zambia and Zimbabwe. In some instances, multiple competition-related issues in the DFS ecosy</w:t>
      </w:r>
      <w:r>
        <w:t>stem in a country may manifest.</w:t>
      </w:r>
    </w:p>
    <w:p w14:paraId="68AB09BE" w14:textId="77777777" w:rsidR="00885B99" w:rsidRDefault="00885B99" w:rsidP="00885B99">
      <w:r w:rsidRPr="00510C3E">
        <w:t xml:space="preserve">As a pure information resource for the </w:t>
      </w:r>
      <w:r>
        <w:t xml:space="preserve">DFS </w:t>
      </w:r>
      <w:r w:rsidRPr="00510C3E">
        <w:t>Focus Group, this study does not make any conclusions or recommendations as to how the issues described</w:t>
      </w:r>
      <w:r>
        <w:t xml:space="preserve"> may be approached or resolved.</w:t>
      </w:r>
    </w:p>
    <w:p w14:paraId="04A1BD08" w14:textId="77777777" w:rsidR="00885B99" w:rsidRPr="000A7055" w:rsidRDefault="00885B99" w:rsidP="00885B99">
      <w:pPr>
        <w:pStyle w:val="Headingb"/>
      </w:pPr>
      <w:r w:rsidRPr="000A7055">
        <w:t>Keywords</w:t>
      </w:r>
    </w:p>
    <w:p w14:paraId="4BDD8AD0" w14:textId="3B1D8F46" w:rsidR="00885B99" w:rsidRPr="006F27F1" w:rsidRDefault="003733D5" w:rsidP="00885B99">
      <w:r>
        <w:t>Competition,</w:t>
      </w:r>
      <w:r w:rsidRPr="006F27F1">
        <w:t xml:space="preserve"> </w:t>
      </w:r>
      <w:r w:rsidR="00885B99" w:rsidRPr="006F27F1">
        <w:t>Digital Financial Services</w:t>
      </w:r>
      <w:r w:rsidR="00885B99">
        <w:t>.</w:t>
      </w:r>
    </w:p>
    <w:p w14:paraId="0D231C2A" w14:textId="77777777" w:rsidR="00885B99" w:rsidRPr="007777D2" w:rsidRDefault="00885B99" w:rsidP="00885B99">
      <w:pPr>
        <w:pStyle w:val="Headingb"/>
      </w:pPr>
      <w:r w:rsidRPr="007777D2">
        <w:t>Change Log</w:t>
      </w:r>
    </w:p>
    <w:p w14:paraId="16FC3F7E" w14:textId="4890910D" w:rsidR="00885B99" w:rsidRDefault="00885B99" w:rsidP="00885B99">
      <w:r w:rsidRPr="006F27F1">
        <w:t xml:space="preserve">This document contains the ITU-T Technical Report on </w:t>
      </w:r>
      <w:r>
        <w:t>"</w:t>
      </w:r>
      <w:r w:rsidRPr="006F27F1">
        <w:rPr>
          <w:i/>
          <w:iCs/>
        </w:rPr>
        <w:t xml:space="preserve">Digital Financial Services – </w:t>
      </w:r>
      <w:r w:rsidRPr="00FF2A42">
        <w:rPr>
          <w:i/>
          <w:iCs/>
        </w:rPr>
        <w:t>Competition Aspects of Digital Financial Services</w:t>
      </w:r>
      <w:r>
        <w:t>"</w:t>
      </w:r>
      <w:r w:rsidRPr="006F27F1">
        <w:t xml:space="preserve"> </w:t>
      </w:r>
      <w:r>
        <w:t>which was agreed by</w:t>
      </w:r>
      <w:r w:rsidRPr="006F27F1">
        <w:t xml:space="preserve"> the ITU-T Study Group</w:t>
      </w:r>
      <w:r w:rsidR="00296937">
        <w:t> </w:t>
      </w:r>
      <w:r w:rsidRPr="006F27F1">
        <w:t>3 meeting held in Geneva, 23 April</w:t>
      </w:r>
      <w:r>
        <w:t> –</w:t>
      </w:r>
      <w:r w:rsidRPr="006F27F1">
        <w:t xml:space="preserve"> 2 May 2019.</w:t>
      </w:r>
    </w:p>
    <w:p w14:paraId="6D197045" w14:textId="2E101BB0" w:rsidR="00F93914" w:rsidRDefault="00F93914">
      <w:pPr>
        <w:tabs>
          <w:tab w:val="clear" w:pos="794"/>
          <w:tab w:val="clear" w:pos="1191"/>
          <w:tab w:val="clear" w:pos="1588"/>
          <w:tab w:val="clear" w:pos="1985"/>
        </w:tabs>
        <w:overflowPunct/>
        <w:autoSpaceDE/>
        <w:autoSpaceDN/>
        <w:adjustRightInd/>
        <w:spacing w:before="0"/>
        <w:jc w:val="left"/>
        <w:textAlignment w:val="auto"/>
      </w:pPr>
      <w:r>
        <w:br w:type="page"/>
      </w:r>
    </w:p>
    <w:p w14:paraId="3B02E93B" w14:textId="16228E7D" w:rsidR="00F93914" w:rsidRDefault="00F93914">
      <w:pPr>
        <w:tabs>
          <w:tab w:val="clear" w:pos="794"/>
          <w:tab w:val="clear" w:pos="1191"/>
          <w:tab w:val="clear" w:pos="1588"/>
          <w:tab w:val="clear" w:pos="1985"/>
        </w:tabs>
        <w:overflowPunct/>
        <w:autoSpaceDE/>
        <w:autoSpaceDN/>
        <w:adjustRightInd/>
        <w:spacing w:before="0"/>
        <w:jc w:val="left"/>
        <w:textAlignment w:val="auto"/>
      </w:pPr>
    </w:p>
    <w:bookmarkEnd w:id="0"/>
    <w:p w14:paraId="6DD37A32" w14:textId="5CEC76E8" w:rsidR="00885B99" w:rsidRDefault="00885B99" w:rsidP="00885B99">
      <w:pPr>
        <w:jc w:val="center"/>
        <w:rPr>
          <w:b/>
          <w:lang w:val="en-US"/>
        </w:rPr>
      </w:pPr>
      <w:r>
        <w:rPr>
          <w:b/>
          <w:lang w:val="en-US"/>
        </w:rPr>
        <w:t>Table of Contents</w:t>
      </w:r>
    </w:p>
    <w:p w14:paraId="754A6A68" w14:textId="53F88D10" w:rsidR="00541805" w:rsidRDefault="00541805" w:rsidP="00541805">
      <w:pPr>
        <w:pStyle w:val="toc0"/>
        <w:ind w:right="992"/>
        <w:rPr>
          <w:noProof/>
        </w:rPr>
      </w:pPr>
      <w:r>
        <w:rPr>
          <w:rFonts w:eastAsiaTheme="minorEastAsia"/>
          <w:noProof/>
          <w:lang w:val="en-US"/>
        </w:rPr>
        <w:tab/>
        <w:t>Page</w:t>
      </w:r>
    </w:p>
    <w:p w14:paraId="42E0FF42" w14:textId="5DAFC620" w:rsidR="00541805" w:rsidRDefault="00541805" w:rsidP="00541805">
      <w:pPr>
        <w:pStyle w:val="TOC1"/>
        <w:ind w:right="992"/>
        <w:rPr>
          <w:rFonts w:asciiTheme="minorHAnsi" w:eastAsiaTheme="minorEastAsia" w:hAnsiTheme="minorHAnsi" w:cstheme="minorBidi"/>
          <w:noProof/>
          <w:sz w:val="22"/>
          <w:szCs w:val="22"/>
          <w:lang w:eastAsia="en-GB"/>
        </w:rPr>
      </w:pPr>
      <w:r w:rsidRPr="00D66230">
        <w:rPr>
          <w:rFonts w:eastAsia="Calibri"/>
          <w:noProof/>
        </w:rPr>
        <w:t>1</w:t>
      </w:r>
      <w:r>
        <w:rPr>
          <w:rFonts w:asciiTheme="minorHAnsi" w:eastAsiaTheme="minorEastAsia" w:hAnsiTheme="minorHAnsi" w:cstheme="minorBidi"/>
          <w:noProof/>
          <w:sz w:val="22"/>
          <w:szCs w:val="22"/>
          <w:lang w:eastAsia="en-GB"/>
        </w:rPr>
        <w:tab/>
      </w:r>
      <w:r w:rsidRPr="00541805">
        <w:rPr>
          <w:rFonts w:eastAsia="Calibri"/>
          <w:noProof/>
        </w:rPr>
        <w:t>Scope</w:t>
      </w:r>
      <w:r>
        <w:rPr>
          <w:rFonts w:eastAsia="Calibri"/>
          <w:noProof/>
        </w:rPr>
        <w:tab/>
      </w:r>
      <w:r>
        <w:rPr>
          <w:rFonts w:eastAsia="Calibri"/>
          <w:noProof/>
        </w:rPr>
        <w:tab/>
      </w:r>
      <w:r w:rsidRPr="00541805">
        <w:rPr>
          <w:noProof/>
        </w:rPr>
        <w:t>5</w:t>
      </w:r>
    </w:p>
    <w:p w14:paraId="4CAD5AF9" w14:textId="69779C77" w:rsidR="00541805" w:rsidRDefault="00541805" w:rsidP="00541805">
      <w:pPr>
        <w:pStyle w:val="TOC1"/>
        <w:ind w:right="992"/>
        <w:rPr>
          <w:rFonts w:asciiTheme="minorHAnsi" w:eastAsiaTheme="minorEastAsia" w:hAnsiTheme="minorHAnsi" w:cstheme="minorBidi"/>
          <w:noProof/>
          <w:sz w:val="22"/>
          <w:szCs w:val="22"/>
          <w:lang w:eastAsia="en-GB"/>
        </w:rPr>
      </w:pPr>
      <w:r w:rsidRPr="00D66230">
        <w:rPr>
          <w:rFonts w:eastAsia="Calibri"/>
          <w:noProof/>
        </w:rPr>
        <w:t>2</w:t>
      </w:r>
      <w:r>
        <w:rPr>
          <w:rFonts w:asciiTheme="minorHAnsi" w:eastAsiaTheme="minorEastAsia" w:hAnsiTheme="minorHAnsi" w:cstheme="minorBidi"/>
          <w:noProof/>
          <w:sz w:val="22"/>
          <w:szCs w:val="22"/>
          <w:lang w:eastAsia="en-GB"/>
        </w:rPr>
        <w:tab/>
      </w:r>
      <w:r w:rsidRPr="00541805">
        <w:rPr>
          <w:rFonts w:eastAsia="Calibri"/>
          <w:noProof/>
        </w:rPr>
        <w:t>References</w:t>
      </w:r>
      <w:r>
        <w:rPr>
          <w:rFonts w:eastAsia="Calibri"/>
          <w:noProof/>
        </w:rPr>
        <w:tab/>
      </w:r>
      <w:r>
        <w:rPr>
          <w:rFonts w:eastAsia="Calibri"/>
          <w:noProof/>
        </w:rPr>
        <w:tab/>
      </w:r>
      <w:r w:rsidRPr="00541805">
        <w:rPr>
          <w:noProof/>
        </w:rPr>
        <w:t>5</w:t>
      </w:r>
    </w:p>
    <w:p w14:paraId="3187CDB0" w14:textId="1B45438A" w:rsidR="00541805" w:rsidRDefault="00541805" w:rsidP="00541805">
      <w:pPr>
        <w:pStyle w:val="TOC1"/>
        <w:ind w:right="992"/>
        <w:rPr>
          <w:rFonts w:asciiTheme="minorHAnsi" w:eastAsiaTheme="minorEastAsia" w:hAnsiTheme="minorHAnsi" w:cstheme="minorBidi"/>
          <w:noProof/>
          <w:sz w:val="22"/>
          <w:szCs w:val="22"/>
          <w:lang w:eastAsia="en-GB"/>
        </w:rPr>
      </w:pPr>
      <w:r>
        <w:rPr>
          <w:noProof/>
          <w:lang w:bidi="ar-DZ"/>
        </w:rPr>
        <w:t>3</w:t>
      </w:r>
      <w:r>
        <w:rPr>
          <w:rFonts w:asciiTheme="minorHAnsi" w:eastAsiaTheme="minorEastAsia" w:hAnsiTheme="minorHAnsi" w:cstheme="minorBidi"/>
          <w:noProof/>
          <w:sz w:val="22"/>
          <w:szCs w:val="22"/>
          <w:lang w:eastAsia="en-GB"/>
        </w:rPr>
        <w:tab/>
      </w:r>
      <w:r>
        <w:rPr>
          <w:noProof/>
          <w:lang w:bidi="ar-DZ"/>
        </w:rPr>
        <w:t xml:space="preserve">Terms and </w:t>
      </w:r>
      <w:r w:rsidRPr="00541805">
        <w:rPr>
          <w:noProof/>
          <w:lang w:bidi="ar-DZ"/>
        </w:rPr>
        <w:t>definitions</w:t>
      </w:r>
      <w:r>
        <w:rPr>
          <w:noProof/>
          <w:lang w:bidi="ar-DZ"/>
        </w:rPr>
        <w:tab/>
      </w:r>
      <w:r>
        <w:rPr>
          <w:noProof/>
          <w:lang w:bidi="ar-DZ"/>
        </w:rPr>
        <w:tab/>
      </w:r>
      <w:r w:rsidRPr="00541805">
        <w:rPr>
          <w:noProof/>
        </w:rPr>
        <w:t>5</w:t>
      </w:r>
    </w:p>
    <w:p w14:paraId="41EA9A80" w14:textId="53A7C6AD" w:rsidR="00541805" w:rsidRDefault="00541805" w:rsidP="00541805">
      <w:pPr>
        <w:pStyle w:val="TOC2"/>
        <w:ind w:right="992"/>
        <w:rPr>
          <w:rFonts w:asciiTheme="minorHAnsi" w:eastAsiaTheme="minorEastAsia" w:hAnsiTheme="minorHAnsi" w:cstheme="minorBidi"/>
          <w:noProof/>
          <w:sz w:val="22"/>
          <w:szCs w:val="22"/>
          <w:lang w:eastAsia="en-GB"/>
        </w:rPr>
      </w:pPr>
      <w:r>
        <w:rPr>
          <w:noProof/>
          <w:lang w:bidi="ar-DZ"/>
        </w:rPr>
        <w:t>3.1</w:t>
      </w:r>
      <w:r>
        <w:rPr>
          <w:rFonts w:asciiTheme="minorHAnsi" w:eastAsiaTheme="minorEastAsia" w:hAnsiTheme="minorHAnsi" w:cstheme="minorBidi"/>
          <w:noProof/>
          <w:sz w:val="22"/>
          <w:szCs w:val="22"/>
          <w:lang w:eastAsia="en-GB"/>
        </w:rPr>
        <w:tab/>
      </w:r>
      <w:r>
        <w:rPr>
          <w:noProof/>
          <w:lang w:bidi="ar-DZ"/>
        </w:rPr>
        <w:t xml:space="preserve">Terms defined </w:t>
      </w:r>
      <w:r w:rsidRPr="00541805">
        <w:rPr>
          <w:noProof/>
          <w:lang w:bidi="ar-DZ"/>
        </w:rPr>
        <w:t>elsewhere</w:t>
      </w:r>
      <w:r>
        <w:rPr>
          <w:noProof/>
          <w:lang w:bidi="ar-DZ"/>
        </w:rPr>
        <w:tab/>
      </w:r>
      <w:r>
        <w:rPr>
          <w:noProof/>
          <w:lang w:bidi="ar-DZ"/>
        </w:rPr>
        <w:tab/>
      </w:r>
      <w:r w:rsidRPr="00541805">
        <w:rPr>
          <w:noProof/>
        </w:rPr>
        <w:t>5</w:t>
      </w:r>
    </w:p>
    <w:p w14:paraId="6035F7DD" w14:textId="4AE3F770" w:rsidR="00541805" w:rsidRDefault="00541805" w:rsidP="00541805">
      <w:pPr>
        <w:pStyle w:val="TOC2"/>
        <w:ind w:right="992"/>
        <w:rPr>
          <w:rFonts w:asciiTheme="minorHAnsi" w:eastAsiaTheme="minorEastAsia" w:hAnsiTheme="minorHAnsi" w:cstheme="minorBidi"/>
          <w:noProof/>
          <w:sz w:val="22"/>
          <w:szCs w:val="22"/>
          <w:lang w:eastAsia="en-GB"/>
        </w:rPr>
      </w:pPr>
      <w:r>
        <w:rPr>
          <w:noProof/>
          <w:lang w:bidi="ar-DZ"/>
        </w:rPr>
        <w:t>3.2</w:t>
      </w:r>
      <w:r>
        <w:rPr>
          <w:rFonts w:asciiTheme="minorHAnsi" w:eastAsiaTheme="minorEastAsia" w:hAnsiTheme="minorHAnsi" w:cstheme="minorBidi"/>
          <w:noProof/>
          <w:sz w:val="22"/>
          <w:szCs w:val="22"/>
          <w:lang w:eastAsia="en-GB"/>
        </w:rPr>
        <w:tab/>
      </w:r>
      <w:r>
        <w:rPr>
          <w:noProof/>
          <w:lang w:bidi="ar-DZ"/>
        </w:rPr>
        <w:t xml:space="preserve">Terms defined </w:t>
      </w:r>
      <w:r w:rsidRPr="00541805">
        <w:rPr>
          <w:noProof/>
          <w:lang w:bidi="ar-DZ"/>
        </w:rPr>
        <w:t>here</w:t>
      </w:r>
      <w:r>
        <w:rPr>
          <w:noProof/>
          <w:lang w:bidi="ar-DZ"/>
        </w:rPr>
        <w:tab/>
      </w:r>
      <w:r>
        <w:rPr>
          <w:noProof/>
          <w:lang w:bidi="ar-DZ"/>
        </w:rPr>
        <w:tab/>
      </w:r>
      <w:r w:rsidRPr="00541805">
        <w:rPr>
          <w:noProof/>
        </w:rPr>
        <w:t>5</w:t>
      </w:r>
    </w:p>
    <w:p w14:paraId="1172D18C" w14:textId="5B88AB51" w:rsidR="00541805" w:rsidRDefault="00541805" w:rsidP="00541805">
      <w:pPr>
        <w:pStyle w:val="TOC1"/>
        <w:ind w:right="992"/>
        <w:rPr>
          <w:rFonts w:asciiTheme="minorHAnsi" w:eastAsiaTheme="minorEastAsia" w:hAnsiTheme="minorHAnsi" w:cstheme="minorBidi"/>
          <w:noProof/>
          <w:sz w:val="22"/>
          <w:szCs w:val="22"/>
          <w:lang w:eastAsia="en-GB"/>
        </w:rPr>
      </w:pPr>
      <w:r>
        <w:rPr>
          <w:noProof/>
          <w:lang w:bidi="ar-DZ"/>
        </w:rPr>
        <w:t>4</w:t>
      </w:r>
      <w:r>
        <w:rPr>
          <w:rFonts w:asciiTheme="minorHAnsi" w:eastAsiaTheme="minorEastAsia" w:hAnsiTheme="minorHAnsi" w:cstheme="minorBidi"/>
          <w:noProof/>
          <w:sz w:val="22"/>
          <w:szCs w:val="22"/>
          <w:lang w:eastAsia="en-GB"/>
        </w:rPr>
        <w:tab/>
      </w:r>
      <w:r w:rsidRPr="00541805">
        <w:rPr>
          <w:noProof/>
          <w:lang w:bidi="ar-DZ"/>
        </w:rPr>
        <w:t>Abbreviations</w:t>
      </w:r>
      <w:r>
        <w:rPr>
          <w:noProof/>
          <w:lang w:bidi="ar-DZ"/>
        </w:rPr>
        <w:tab/>
      </w:r>
      <w:r>
        <w:rPr>
          <w:noProof/>
          <w:lang w:bidi="ar-DZ"/>
        </w:rPr>
        <w:tab/>
      </w:r>
      <w:r w:rsidRPr="00541805">
        <w:rPr>
          <w:noProof/>
        </w:rPr>
        <w:t>6</w:t>
      </w:r>
    </w:p>
    <w:p w14:paraId="7CDDAFCA" w14:textId="27DD1DDF" w:rsidR="00541805" w:rsidRDefault="00541805" w:rsidP="00541805">
      <w:pPr>
        <w:pStyle w:val="TOC1"/>
        <w:ind w:right="992"/>
        <w:rPr>
          <w:rFonts w:asciiTheme="minorHAnsi" w:eastAsiaTheme="minorEastAsia" w:hAnsiTheme="minorHAnsi" w:cstheme="minorBidi"/>
          <w:noProof/>
          <w:sz w:val="22"/>
          <w:szCs w:val="22"/>
          <w:lang w:eastAsia="en-GB"/>
        </w:rPr>
      </w:pPr>
      <w:r>
        <w:rPr>
          <w:noProof/>
          <w:lang w:bidi="ar-DZ"/>
        </w:rPr>
        <w:t>5</w:t>
      </w:r>
      <w:r>
        <w:rPr>
          <w:rFonts w:asciiTheme="minorHAnsi" w:eastAsiaTheme="minorEastAsia" w:hAnsiTheme="minorHAnsi" w:cstheme="minorBidi"/>
          <w:noProof/>
          <w:sz w:val="22"/>
          <w:szCs w:val="22"/>
          <w:lang w:eastAsia="en-GB"/>
        </w:rPr>
        <w:tab/>
      </w:r>
      <w:r w:rsidRPr="00541805">
        <w:rPr>
          <w:noProof/>
          <w:lang w:bidi="ar-DZ"/>
        </w:rPr>
        <w:t>Approach</w:t>
      </w:r>
      <w:r>
        <w:rPr>
          <w:noProof/>
          <w:lang w:bidi="ar-DZ"/>
        </w:rPr>
        <w:tab/>
      </w:r>
      <w:r>
        <w:rPr>
          <w:noProof/>
          <w:lang w:bidi="ar-DZ"/>
        </w:rPr>
        <w:tab/>
      </w:r>
      <w:r w:rsidRPr="00541805">
        <w:rPr>
          <w:noProof/>
        </w:rPr>
        <w:t>8</w:t>
      </w:r>
    </w:p>
    <w:p w14:paraId="5FADC09B" w14:textId="28C055A6" w:rsidR="00541805" w:rsidRDefault="00541805" w:rsidP="00541805">
      <w:pPr>
        <w:pStyle w:val="TOC1"/>
        <w:ind w:right="992"/>
        <w:rPr>
          <w:rFonts w:asciiTheme="minorHAnsi" w:eastAsiaTheme="minorEastAsia" w:hAnsiTheme="minorHAnsi" w:cstheme="minorBidi"/>
          <w:noProof/>
          <w:sz w:val="22"/>
          <w:szCs w:val="22"/>
          <w:lang w:eastAsia="en-GB"/>
        </w:rPr>
      </w:pPr>
      <w:r>
        <w:rPr>
          <w:noProof/>
        </w:rPr>
        <w:t>A</w:t>
      </w:r>
      <w:r>
        <w:rPr>
          <w:rFonts w:asciiTheme="minorHAnsi" w:eastAsiaTheme="minorEastAsia" w:hAnsiTheme="minorHAnsi" w:cstheme="minorBidi"/>
          <w:noProof/>
          <w:sz w:val="22"/>
          <w:szCs w:val="22"/>
          <w:lang w:eastAsia="en-GB"/>
        </w:rPr>
        <w:tab/>
      </w:r>
      <w:r w:rsidRPr="00541805">
        <w:rPr>
          <w:noProof/>
        </w:rPr>
        <w:t>Overview</w:t>
      </w:r>
      <w:r>
        <w:rPr>
          <w:noProof/>
        </w:rPr>
        <w:tab/>
      </w:r>
      <w:r>
        <w:rPr>
          <w:noProof/>
        </w:rPr>
        <w:tab/>
      </w:r>
      <w:r w:rsidRPr="00541805">
        <w:rPr>
          <w:noProof/>
        </w:rPr>
        <w:t>9</w:t>
      </w:r>
    </w:p>
    <w:p w14:paraId="27C2EDA0" w14:textId="42291189" w:rsidR="00541805" w:rsidRDefault="00541805" w:rsidP="00541805">
      <w:pPr>
        <w:pStyle w:val="TOC1"/>
        <w:ind w:right="992"/>
        <w:rPr>
          <w:rFonts w:asciiTheme="minorHAnsi" w:eastAsiaTheme="minorEastAsia" w:hAnsiTheme="minorHAnsi" w:cstheme="minorBidi"/>
          <w:noProof/>
          <w:sz w:val="22"/>
          <w:szCs w:val="22"/>
          <w:lang w:eastAsia="en-GB"/>
        </w:rPr>
      </w:pPr>
      <w:r>
        <w:rPr>
          <w:noProof/>
        </w:rPr>
        <w:t>1</w:t>
      </w:r>
      <w:r>
        <w:rPr>
          <w:rFonts w:asciiTheme="minorHAnsi" w:eastAsiaTheme="minorEastAsia" w:hAnsiTheme="minorHAnsi" w:cstheme="minorBidi"/>
          <w:noProof/>
          <w:sz w:val="22"/>
          <w:szCs w:val="22"/>
          <w:lang w:eastAsia="en-GB"/>
        </w:rPr>
        <w:tab/>
      </w:r>
      <w:r>
        <w:rPr>
          <w:noProof/>
        </w:rPr>
        <w:t xml:space="preserve">Background to the </w:t>
      </w:r>
      <w:r w:rsidRPr="00541805">
        <w:rPr>
          <w:noProof/>
        </w:rPr>
        <w:t>study</w:t>
      </w:r>
      <w:r>
        <w:rPr>
          <w:noProof/>
        </w:rPr>
        <w:tab/>
      </w:r>
      <w:r>
        <w:rPr>
          <w:noProof/>
        </w:rPr>
        <w:tab/>
      </w:r>
      <w:r w:rsidRPr="00541805">
        <w:rPr>
          <w:noProof/>
        </w:rPr>
        <w:t>9</w:t>
      </w:r>
    </w:p>
    <w:p w14:paraId="7C22DB81" w14:textId="1B3E62CA" w:rsidR="00541805" w:rsidRDefault="00541805" w:rsidP="00541805">
      <w:pPr>
        <w:pStyle w:val="TOC1"/>
        <w:ind w:right="992"/>
        <w:rPr>
          <w:rFonts w:asciiTheme="minorHAnsi" w:eastAsiaTheme="minorEastAsia" w:hAnsiTheme="minorHAnsi" w:cstheme="minorBidi"/>
          <w:noProof/>
          <w:sz w:val="22"/>
          <w:szCs w:val="22"/>
          <w:lang w:eastAsia="en-GB"/>
        </w:rPr>
      </w:pPr>
      <w:r>
        <w:rPr>
          <w:noProof/>
        </w:rPr>
        <w:t>2</w:t>
      </w:r>
      <w:r>
        <w:rPr>
          <w:rFonts w:asciiTheme="minorHAnsi" w:eastAsiaTheme="minorEastAsia" w:hAnsiTheme="minorHAnsi" w:cstheme="minorBidi"/>
          <w:noProof/>
          <w:sz w:val="22"/>
          <w:szCs w:val="22"/>
          <w:lang w:eastAsia="en-GB"/>
        </w:rPr>
        <w:tab/>
      </w:r>
      <w:r>
        <w:rPr>
          <w:noProof/>
        </w:rPr>
        <w:t xml:space="preserve">Approaches to competition </w:t>
      </w:r>
      <w:r w:rsidRPr="00541805">
        <w:rPr>
          <w:noProof/>
        </w:rPr>
        <w:t>issues</w:t>
      </w:r>
      <w:r>
        <w:rPr>
          <w:noProof/>
        </w:rPr>
        <w:tab/>
      </w:r>
      <w:r>
        <w:rPr>
          <w:noProof/>
        </w:rPr>
        <w:tab/>
      </w:r>
      <w:r w:rsidRPr="00541805">
        <w:rPr>
          <w:noProof/>
        </w:rPr>
        <w:t>11</w:t>
      </w:r>
    </w:p>
    <w:p w14:paraId="604BCF89" w14:textId="730BEE08" w:rsidR="00541805" w:rsidRDefault="00541805" w:rsidP="00541805">
      <w:pPr>
        <w:pStyle w:val="TOC1"/>
        <w:ind w:right="992"/>
        <w:rPr>
          <w:rFonts w:asciiTheme="minorHAnsi" w:eastAsiaTheme="minorEastAsia" w:hAnsiTheme="minorHAnsi" w:cstheme="minorBidi"/>
          <w:noProof/>
          <w:sz w:val="22"/>
          <w:szCs w:val="22"/>
          <w:lang w:eastAsia="en-GB"/>
        </w:rPr>
      </w:pPr>
      <w:r>
        <w:rPr>
          <w:noProof/>
        </w:rPr>
        <w:t>3</w:t>
      </w:r>
      <w:r>
        <w:rPr>
          <w:rFonts w:asciiTheme="minorHAnsi" w:eastAsiaTheme="minorEastAsia" w:hAnsiTheme="minorHAnsi" w:cstheme="minorBidi"/>
          <w:noProof/>
          <w:sz w:val="22"/>
          <w:szCs w:val="22"/>
          <w:lang w:eastAsia="en-GB"/>
        </w:rPr>
        <w:tab/>
      </w:r>
      <w:r>
        <w:rPr>
          <w:noProof/>
        </w:rPr>
        <w:t xml:space="preserve">Roles and responses of regulators in competition matters in </w:t>
      </w:r>
      <w:r w:rsidRPr="00541805">
        <w:rPr>
          <w:noProof/>
        </w:rPr>
        <w:t>DFS</w:t>
      </w:r>
      <w:r>
        <w:rPr>
          <w:noProof/>
        </w:rPr>
        <w:tab/>
      </w:r>
      <w:r>
        <w:rPr>
          <w:noProof/>
        </w:rPr>
        <w:tab/>
      </w:r>
      <w:r w:rsidRPr="00541805">
        <w:rPr>
          <w:noProof/>
        </w:rPr>
        <w:t>17</w:t>
      </w:r>
    </w:p>
    <w:p w14:paraId="5765955B" w14:textId="00880207" w:rsidR="00541805" w:rsidRDefault="00541805" w:rsidP="00541805">
      <w:pPr>
        <w:pStyle w:val="TOC2"/>
        <w:ind w:right="99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 xml:space="preserve">Remits of regulators related to competition </w:t>
      </w:r>
      <w:r w:rsidRPr="00541805">
        <w:rPr>
          <w:noProof/>
        </w:rPr>
        <w:t>matters</w:t>
      </w:r>
      <w:r>
        <w:rPr>
          <w:noProof/>
        </w:rPr>
        <w:tab/>
      </w:r>
      <w:r>
        <w:rPr>
          <w:noProof/>
        </w:rPr>
        <w:tab/>
      </w:r>
      <w:r w:rsidRPr="00541805">
        <w:rPr>
          <w:noProof/>
        </w:rPr>
        <w:t>17</w:t>
      </w:r>
    </w:p>
    <w:p w14:paraId="6F1FB50C" w14:textId="394514A3" w:rsidR="00541805" w:rsidRDefault="00541805" w:rsidP="00541805">
      <w:pPr>
        <w:pStyle w:val="TOC2"/>
        <w:ind w:right="99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 xml:space="preserve">Application of regulatory </w:t>
      </w:r>
      <w:r w:rsidRPr="00541805">
        <w:rPr>
          <w:noProof/>
        </w:rPr>
        <w:t>remits</w:t>
      </w:r>
      <w:r>
        <w:rPr>
          <w:noProof/>
        </w:rPr>
        <w:tab/>
      </w:r>
      <w:r>
        <w:rPr>
          <w:noProof/>
        </w:rPr>
        <w:tab/>
      </w:r>
      <w:r w:rsidRPr="00541805">
        <w:rPr>
          <w:noProof/>
        </w:rPr>
        <w:t>18</w:t>
      </w:r>
    </w:p>
    <w:p w14:paraId="2E718A44" w14:textId="7CCE9A51" w:rsidR="00541805" w:rsidRDefault="00541805" w:rsidP="00541805">
      <w:pPr>
        <w:pStyle w:val="TOC2"/>
        <w:ind w:right="992"/>
        <w:rPr>
          <w:rFonts w:asciiTheme="minorHAnsi" w:eastAsiaTheme="minorEastAsia" w:hAnsiTheme="minorHAnsi" w:cstheme="minorBidi"/>
          <w:noProof/>
          <w:sz w:val="22"/>
          <w:szCs w:val="22"/>
          <w:lang w:eastAsia="en-GB"/>
        </w:rPr>
      </w:pPr>
      <w:r>
        <w:rPr>
          <w:noProof/>
        </w:rPr>
        <w:t>3.3</w:t>
      </w:r>
      <w:r>
        <w:rPr>
          <w:rFonts w:asciiTheme="minorHAnsi" w:eastAsiaTheme="minorEastAsia" w:hAnsiTheme="minorHAnsi" w:cstheme="minorBidi"/>
          <w:noProof/>
          <w:sz w:val="22"/>
          <w:szCs w:val="22"/>
          <w:lang w:eastAsia="en-GB"/>
        </w:rPr>
        <w:tab/>
      </w:r>
      <w:r>
        <w:rPr>
          <w:noProof/>
        </w:rPr>
        <w:t xml:space="preserve">Competition-related regulatory responses possible or seen in DFS </w:t>
      </w:r>
      <w:r w:rsidRPr="00541805">
        <w:rPr>
          <w:noProof/>
        </w:rPr>
        <w:t>Markets</w:t>
      </w:r>
      <w:r>
        <w:rPr>
          <w:noProof/>
        </w:rPr>
        <w:tab/>
      </w:r>
      <w:r>
        <w:rPr>
          <w:noProof/>
        </w:rPr>
        <w:tab/>
      </w:r>
      <w:r w:rsidRPr="00541805">
        <w:rPr>
          <w:noProof/>
        </w:rPr>
        <w:t>18</w:t>
      </w:r>
    </w:p>
    <w:p w14:paraId="54D224C0" w14:textId="11A156E1" w:rsidR="00541805" w:rsidRDefault="00541805" w:rsidP="00541805">
      <w:pPr>
        <w:pStyle w:val="TOC1"/>
        <w:ind w:right="992"/>
        <w:rPr>
          <w:rFonts w:asciiTheme="minorHAnsi" w:eastAsiaTheme="minorEastAsia" w:hAnsiTheme="minorHAnsi" w:cstheme="minorBidi"/>
          <w:noProof/>
          <w:sz w:val="22"/>
          <w:szCs w:val="22"/>
          <w:lang w:eastAsia="en-GB"/>
        </w:rPr>
      </w:pPr>
      <w:r>
        <w:rPr>
          <w:noProof/>
        </w:rPr>
        <w:t>B</w:t>
      </w:r>
      <w:r>
        <w:rPr>
          <w:rFonts w:asciiTheme="minorHAnsi" w:eastAsiaTheme="minorEastAsia" w:hAnsiTheme="minorHAnsi" w:cstheme="minorBidi"/>
          <w:noProof/>
          <w:sz w:val="22"/>
          <w:szCs w:val="22"/>
          <w:lang w:eastAsia="en-GB"/>
        </w:rPr>
        <w:tab/>
      </w:r>
      <w:r>
        <w:rPr>
          <w:noProof/>
        </w:rPr>
        <w:t xml:space="preserve">Market </w:t>
      </w:r>
      <w:r w:rsidRPr="00541805">
        <w:rPr>
          <w:noProof/>
        </w:rPr>
        <w:t>access</w:t>
      </w:r>
      <w:r>
        <w:rPr>
          <w:noProof/>
        </w:rPr>
        <w:tab/>
      </w:r>
      <w:r>
        <w:rPr>
          <w:noProof/>
        </w:rPr>
        <w:tab/>
      </w:r>
      <w:r w:rsidRPr="00541805">
        <w:rPr>
          <w:noProof/>
        </w:rPr>
        <w:t>20</w:t>
      </w:r>
    </w:p>
    <w:p w14:paraId="1CD8AF9F" w14:textId="47FF305A" w:rsidR="00541805" w:rsidRDefault="00541805" w:rsidP="00541805">
      <w:pPr>
        <w:pStyle w:val="TOC1"/>
        <w:ind w:right="992"/>
        <w:rPr>
          <w:rFonts w:asciiTheme="minorHAnsi" w:eastAsiaTheme="minorEastAsia" w:hAnsiTheme="minorHAnsi" w:cstheme="minorBidi"/>
          <w:noProof/>
          <w:sz w:val="22"/>
          <w:szCs w:val="22"/>
          <w:lang w:eastAsia="en-GB"/>
        </w:rPr>
      </w:pPr>
      <w:r w:rsidRPr="00D66230">
        <w:rPr>
          <w:noProof/>
          <w:color w:val="000000" w:themeColor="text1"/>
        </w:rPr>
        <w:t>4</w:t>
      </w:r>
      <w:r>
        <w:rPr>
          <w:rFonts w:asciiTheme="minorHAnsi" w:eastAsiaTheme="minorEastAsia" w:hAnsiTheme="minorHAnsi" w:cstheme="minorBidi"/>
          <w:noProof/>
          <w:sz w:val="22"/>
          <w:szCs w:val="22"/>
          <w:lang w:eastAsia="en-GB"/>
        </w:rPr>
        <w:tab/>
      </w:r>
      <w:r w:rsidRPr="00D66230">
        <w:rPr>
          <w:noProof/>
          <w:color w:val="000000" w:themeColor="text1"/>
        </w:rPr>
        <w:t xml:space="preserve">Market access and </w:t>
      </w:r>
      <w:r w:rsidRPr="00541805">
        <w:rPr>
          <w:noProof/>
          <w:color w:val="000000" w:themeColor="text1"/>
        </w:rPr>
        <w:t>licensing</w:t>
      </w:r>
      <w:r>
        <w:rPr>
          <w:noProof/>
          <w:color w:val="000000" w:themeColor="text1"/>
        </w:rPr>
        <w:tab/>
      </w:r>
      <w:r>
        <w:rPr>
          <w:noProof/>
          <w:color w:val="000000" w:themeColor="text1"/>
        </w:rPr>
        <w:tab/>
      </w:r>
      <w:r w:rsidRPr="00541805">
        <w:rPr>
          <w:noProof/>
        </w:rPr>
        <w:t>20</w:t>
      </w:r>
    </w:p>
    <w:p w14:paraId="3FD62062" w14:textId="7D39A982" w:rsidR="00541805" w:rsidRDefault="00541805" w:rsidP="00541805">
      <w:pPr>
        <w:pStyle w:val="TOC2"/>
        <w:ind w:right="992"/>
        <w:rPr>
          <w:rFonts w:asciiTheme="minorHAnsi" w:eastAsiaTheme="minorEastAsia" w:hAnsiTheme="minorHAnsi" w:cstheme="minorBidi"/>
          <w:noProof/>
          <w:sz w:val="22"/>
          <w:szCs w:val="22"/>
          <w:lang w:eastAsia="en-GB"/>
        </w:rPr>
      </w:pPr>
      <w:r>
        <w:rPr>
          <w:noProof/>
        </w:rPr>
        <w:t>4.1</w:t>
      </w:r>
      <w:r>
        <w:rPr>
          <w:rFonts w:asciiTheme="minorHAnsi" w:eastAsiaTheme="minorEastAsia" w:hAnsiTheme="minorHAnsi" w:cstheme="minorBidi"/>
          <w:noProof/>
          <w:sz w:val="22"/>
          <w:szCs w:val="22"/>
          <w:lang w:eastAsia="en-GB"/>
        </w:rPr>
        <w:tab/>
      </w:r>
      <w:r w:rsidRPr="00541805">
        <w:rPr>
          <w:noProof/>
        </w:rPr>
        <w:t>Overview</w:t>
      </w:r>
      <w:r>
        <w:rPr>
          <w:noProof/>
        </w:rPr>
        <w:tab/>
      </w:r>
      <w:r>
        <w:rPr>
          <w:noProof/>
        </w:rPr>
        <w:tab/>
      </w:r>
      <w:r w:rsidRPr="00541805">
        <w:rPr>
          <w:noProof/>
        </w:rPr>
        <w:t>20</w:t>
      </w:r>
    </w:p>
    <w:p w14:paraId="14A51D3B" w14:textId="7F809417" w:rsidR="00541805" w:rsidRDefault="00541805" w:rsidP="00541805">
      <w:pPr>
        <w:pStyle w:val="TOC2"/>
        <w:ind w:right="992"/>
        <w:rPr>
          <w:rFonts w:asciiTheme="minorHAnsi" w:eastAsiaTheme="minorEastAsia" w:hAnsiTheme="minorHAnsi" w:cstheme="minorBidi"/>
          <w:noProof/>
          <w:sz w:val="22"/>
          <w:szCs w:val="22"/>
          <w:lang w:eastAsia="en-GB"/>
        </w:rPr>
      </w:pPr>
      <w:r>
        <w:rPr>
          <w:noProof/>
        </w:rPr>
        <w:t>4.2</w:t>
      </w:r>
      <w:r>
        <w:rPr>
          <w:rFonts w:asciiTheme="minorHAnsi" w:eastAsiaTheme="minorEastAsia" w:hAnsiTheme="minorHAnsi" w:cstheme="minorBidi"/>
          <w:noProof/>
          <w:sz w:val="22"/>
          <w:szCs w:val="22"/>
          <w:lang w:eastAsia="en-GB"/>
        </w:rPr>
        <w:tab/>
      </w:r>
      <w:r>
        <w:rPr>
          <w:noProof/>
        </w:rPr>
        <w:t xml:space="preserve">Competition </w:t>
      </w:r>
      <w:r w:rsidRPr="00541805">
        <w:rPr>
          <w:noProof/>
        </w:rPr>
        <w:t>aspects</w:t>
      </w:r>
      <w:r>
        <w:rPr>
          <w:noProof/>
        </w:rPr>
        <w:tab/>
      </w:r>
      <w:r>
        <w:rPr>
          <w:noProof/>
        </w:rPr>
        <w:tab/>
      </w:r>
      <w:r w:rsidRPr="00541805">
        <w:rPr>
          <w:noProof/>
        </w:rPr>
        <w:t>21</w:t>
      </w:r>
    </w:p>
    <w:p w14:paraId="1D5F1ACE" w14:textId="7C4DBF67" w:rsidR="00541805" w:rsidRDefault="00541805" w:rsidP="00541805">
      <w:pPr>
        <w:pStyle w:val="TOC2"/>
        <w:ind w:right="992"/>
        <w:rPr>
          <w:rFonts w:asciiTheme="minorHAnsi" w:eastAsiaTheme="minorEastAsia" w:hAnsiTheme="minorHAnsi" w:cstheme="minorBidi"/>
          <w:noProof/>
          <w:sz w:val="22"/>
          <w:szCs w:val="22"/>
          <w:lang w:eastAsia="en-GB"/>
        </w:rPr>
      </w:pPr>
      <w:r>
        <w:rPr>
          <w:noProof/>
        </w:rPr>
        <w:t>4.3</w:t>
      </w:r>
      <w:r>
        <w:rPr>
          <w:rFonts w:asciiTheme="minorHAnsi" w:eastAsiaTheme="minorEastAsia" w:hAnsiTheme="minorHAnsi" w:cstheme="minorBidi"/>
          <w:noProof/>
          <w:sz w:val="22"/>
          <w:szCs w:val="22"/>
          <w:lang w:eastAsia="en-GB"/>
        </w:rPr>
        <w:tab/>
      </w:r>
      <w:r>
        <w:rPr>
          <w:noProof/>
        </w:rPr>
        <w:t xml:space="preserve">Country </w:t>
      </w:r>
      <w:r w:rsidRPr="00541805">
        <w:rPr>
          <w:noProof/>
        </w:rPr>
        <w:t>examples</w:t>
      </w:r>
      <w:r>
        <w:rPr>
          <w:noProof/>
        </w:rPr>
        <w:tab/>
      </w:r>
      <w:r>
        <w:rPr>
          <w:noProof/>
        </w:rPr>
        <w:tab/>
      </w:r>
      <w:r w:rsidRPr="00541805">
        <w:rPr>
          <w:noProof/>
        </w:rPr>
        <w:t>22</w:t>
      </w:r>
    </w:p>
    <w:p w14:paraId="6494176B" w14:textId="7DF923F7" w:rsidR="00541805" w:rsidRDefault="00541805" w:rsidP="00541805">
      <w:pPr>
        <w:pStyle w:val="TOC1"/>
        <w:ind w:right="992"/>
        <w:rPr>
          <w:rFonts w:asciiTheme="minorHAnsi" w:eastAsiaTheme="minorEastAsia" w:hAnsiTheme="minorHAnsi" w:cstheme="minorBidi"/>
          <w:noProof/>
          <w:sz w:val="22"/>
          <w:szCs w:val="22"/>
          <w:lang w:eastAsia="en-GB"/>
        </w:rPr>
      </w:pPr>
      <w:r w:rsidRPr="00D66230">
        <w:rPr>
          <w:noProof/>
          <w:color w:val="000000" w:themeColor="text1"/>
        </w:rPr>
        <w:t>C</w:t>
      </w:r>
      <w:r>
        <w:rPr>
          <w:rFonts w:asciiTheme="minorHAnsi" w:eastAsiaTheme="minorEastAsia" w:hAnsiTheme="minorHAnsi" w:cstheme="minorBidi"/>
          <w:noProof/>
          <w:sz w:val="22"/>
          <w:szCs w:val="22"/>
          <w:lang w:eastAsia="en-GB"/>
        </w:rPr>
        <w:tab/>
      </w:r>
      <w:r w:rsidRPr="00D66230">
        <w:rPr>
          <w:noProof/>
          <w:color w:val="000000" w:themeColor="text1"/>
        </w:rPr>
        <w:t xml:space="preserve">Access to bearer </w:t>
      </w:r>
      <w:r w:rsidRPr="00541805">
        <w:rPr>
          <w:noProof/>
          <w:color w:val="000000" w:themeColor="text1"/>
        </w:rPr>
        <w:t>technology</w:t>
      </w:r>
      <w:r>
        <w:rPr>
          <w:noProof/>
          <w:color w:val="000000" w:themeColor="text1"/>
        </w:rPr>
        <w:tab/>
      </w:r>
      <w:r>
        <w:rPr>
          <w:noProof/>
          <w:color w:val="000000" w:themeColor="text1"/>
        </w:rPr>
        <w:tab/>
      </w:r>
      <w:r w:rsidRPr="00541805">
        <w:rPr>
          <w:noProof/>
        </w:rPr>
        <w:t>25</w:t>
      </w:r>
    </w:p>
    <w:p w14:paraId="205341C2" w14:textId="18E45C8B" w:rsidR="00541805" w:rsidRDefault="00541805" w:rsidP="00541805">
      <w:pPr>
        <w:pStyle w:val="TOC1"/>
        <w:ind w:right="992"/>
        <w:rPr>
          <w:rFonts w:asciiTheme="minorHAnsi" w:eastAsiaTheme="minorEastAsia" w:hAnsiTheme="minorHAnsi" w:cstheme="minorBidi"/>
          <w:noProof/>
          <w:sz w:val="22"/>
          <w:szCs w:val="22"/>
          <w:lang w:eastAsia="en-GB"/>
        </w:rPr>
      </w:pPr>
      <w:r>
        <w:rPr>
          <w:noProof/>
        </w:rPr>
        <w:t>5</w:t>
      </w:r>
      <w:r>
        <w:rPr>
          <w:rFonts w:asciiTheme="minorHAnsi" w:eastAsiaTheme="minorEastAsia" w:hAnsiTheme="minorHAnsi" w:cstheme="minorBidi"/>
          <w:noProof/>
          <w:sz w:val="22"/>
          <w:szCs w:val="22"/>
          <w:lang w:eastAsia="en-GB"/>
        </w:rPr>
        <w:tab/>
      </w:r>
      <w:r>
        <w:rPr>
          <w:noProof/>
        </w:rPr>
        <w:t xml:space="preserve">USSD </w:t>
      </w:r>
      <w:r w:rsidRPr="00541805">
        <w:rPr>
          <w:noProof/>
        </w:rPr>
        <w:t>access</w:t>
      </w:r>
      <w:r>
        <w:rPr>
          <w:noProof/>
        </w:rPr>
        <w:tab/>
      </w:r>
      <w:r>
        <w:rPr>
          <w:noProof/>
        </w:rPr>
        <w:tab/>
      </w:r>
      <w:r w:rsidRPr="00541805">
        <w:rPr>
          <w:noProof/>
        </w:rPr>
        <w:t>25</w:t>
      </w:r>
    </w:p>
    <w:p w14:paraId="350E79CE" w14:textId="390C028E" w:rsidR="00541805" w:rsidRDefault="00541805" w:rsidP="00541805">
      <w:pPr>
        <w:pStyle w:val="TOC2"/>
        <w:ind w:right="992"/>
        <w:rPr>
          <w:rFonts w:asciiTheme="minorHAnsi" w:eastAsiaTheme="minorEastAsia" w:hAnsiTheme="minorHAnsi" w:cstheme="minorBidi"/>
          <w:noProof/>
          <w:sz w:val="22"/>
          <w:szCs w:val="22"/>
          <w:lang w:eastAsia="en-GB"/>
        </w:rPr>
      </w:pPr>
      <w:r>
        <w:rPr>
          <w:noProof/>
        </w:rPr>
        <w:t>5.1</w:t>
      </w:r>
      <w:r>
        <w:rPr>
          <w:rFonts w:asciiTheme="minorHAnsi" w:eastAsiaTheme="minorEastAsia" w:hAnsiTheme="minorHAnsi" w:cstheme="minorBidi"/>
          <w:noProof/>
          <w:sz w:val="22"/>
          <w:szCs w:val="22"/>
          <w:lang w:eastAsia="en-GB"/>
        </w:rPr>
        <w:tab/>
      </w:r>
      <w:r w:rsidRPr="00541805">
        <w:rPr>
          <w:noProof/>
        </w:rPr>
        <w:t>Overview</w:t>
      </w:r>
      <w:r>
        <w:rPr>
          <w:noProof/>
        </w:rPr>
        <w:tab/>
      </w:r>
      <w:r>
        <w:rPr>
          <w:noProof/>
        </w:rPr>
        <w:tab/>
      </w:r>
      <w:r w:rsidRPr="00541805">
        <w:rPr>
          <w:noProof/>
        </w:rPr>
        <w:t>25</w:t>
      </w:r>
    </w:p>
    <w:p w14:paraId="0763B4DF" w14:textId="43F0D179" w:rsidR="00541805" w:rsidRDefault="00541805" w:rsidP="00541805">
      <w:pPr>
        <w:pStyle w:val="TOC2"/>
        <w:ind w:right="992"/>
        <w:rPr>
          <w:rFonts w:asciiTheme="minorHAnsi" w:eastAsiaTheme="minorEastAsia" w:hAnsiTheme="minorHAnsi" w:cstheme="minorBidi"/>
          <w:noProof/>
          <w:sz w:val="22"/>
          <w:szCs w:val="22"/>
          <w:lang w:eastAsia="en-GB"/>
        </w:rPr>
      </w:pPr>
      <w:r>
        <w:rPr>
          <w:noProof/>
        </w:rPr>
        <w:t>5.2</w:t>
      </w:r>
      <w:r>
        <w:rPr>
          <w:rFonts w:asciiTheme="minorHAnsi" w:eastAsiaTheme="minorEastAsia" w:hAnsiTheme="minorHAnsi" w:cstheme="minorBidi"/>
          <w:noProof/>
          <w:sz w:val="22"/>
          <w:szCs w:val="22"/>
          <w:lang w:eastAsia="en-GB"/>
        </w:rPr>
        <w:tab/>
      </w:r>
      <w:r>
        <w:rPr>
          <w:noProof/>
        </w:rPr>
        <w:t xml:space="preserve">Competition </w:t>
      </w:r>
      <w:r w:rsidRPr="00541805">
        <w:rPr>
          <w:noProof/>
        </w:rPr>
        <w:t>aspects</w:t>
      </w:r>
      <w:r>
        <w:rPr>
          <w:noProof/>
        </w:rPr>
        <w:tab/>
      </w:r>
      <w:r>
        <w:rPr>
          <w:noProof/>
        </w:rPr>
        <w:tab/>
      </w:r>
      <w:r w:rsidRPr="00541805">
        <w:rPr>
          <w:noProof/>
        </w:rPr>
        <w:t>26</w:t>
      </w:r>
    </w:p>
    <w:p w14:paraId="171E8B1B" w14:textId="7851A831" w:rsidR="00541805" w:rsidRDefault="00541805" w:rsidP="00541805">
      <w:pPr>
        <w:pStyle w:val="TOC1"/>
        <w:ind w:right="992"/>
        <w:rPr>
          <w:rFonts w:asciiTheme="minorHAnsi" w:eastAsiaTheme="minorEastAsia" w:hAnsiTheme="minorHAnsi" w:cstheme="minorBidi"/>
          <w:noProof/>
          <w:sz w:val="22"/>
          <w:szCs w:val="22"/>
          <w:lang w:eastAsia="en-GB"/>
        </w:rPr>
      </w:pPr>
      <w:r>
        <w:rPr>
          <w:noProof/>
        </w:rPr>
        <w:t>6</w:t>
      </w:r>
      <w:r>
        <w:rPr>
          <w:rFonts w:asciiTheme="minorHAnsi" w:eastAsiaTheme="minorEastAsia" w:hAnsiTheme="minorHAnsi" w:cstheme="minorBidi"/>
          <w:noProof/>
          <w:sz w:val="22"/>
          <w:szCs w:val="22"/>
          <w:lang w:eastAsia="en-GB"/>
        </w:rPr>
        <w:tab/>
      </w:r>
      <w:r>
        <w:rPr>
          <w:noProof/>
        </w:rPr>
        <w:t xml:space="preserve">Sim Toolkit </w:t>
      </w:r>
      <w:r w:rsidRPr="00541805">
        <w:rPr>
          <w:noProof/>
        </w:rPr>
        <w:t>access</w:t>
      </w:r>
      <w:r>
        <w:rPr>
          <w:noProof/>
        </w:rPr>
        <w:tab/>
      </w:r>
      <w:r>
        <w:rPr>
          <w:noProof/>
        </w:rPr>
        <w:tab/>
      </w:r>
      <w:r w:rsidRPr="00541805">
        <w:rPr>
          <w:noProof/>
        </w:rPr>
        <w:t>34</w:t>
      </w:r>
    </w:p>
    <w:p w14:paraId="09CB5837" w14:textId="429A1590" w:rsidR="00541805" w:rsidRDefault="00541805" w:rsidP="00541805">
      <w:pPr>
        <w:pStyle w:val="TOC2"/>
        <w:ind w:right="992"/>
        <w:rPr>
          <w:rFonts w:asciiTheme="minorHAnsi" w:eastAsiaTheme="minorEastAsia" w:hAnsiTheme="minorHAnsi" w:cstheme="minorBidi"/>
          <w:noProof/>
          <w:sz w:val="22"/>
          <w:szCs w:val="22"/>
          <w:lang w:eastAsia="en-GB"/>
        </w:rPr>
      </w:pPr>
      <w:r>
        <w:rPr>
          <w:noProof/>
        </w:rPr>
        <w:t>6.1</w:t>
      </w:r>
      <w:r>
        <w:rPr>
          <w:rFonts w:asciiTheme="minorHAnsi" w:eastAsiaTheme="minorEastAsia" w:hAnsiTheme="minorHAnsi" w:cstheme="minorBidi"/>
          <w:noProof/>
          <w:sz w:val="22"/>
          <w:szCs w:val="22"/>
          <w:lang w:eastAsia="en-GB"/>
        </w:rPr>
        <w:tab/>
      </w:r>
      <w:r w:rsidRPr="00541805">
        <w:rPr>
          <w:noProof/>
        </w:rPr>
        <w:t>Overview</w:t>
      </w:r>
      <w:r>
        <w:rPr>
          <w:noProof/>
        </w:rPr>
        <w:tab/>
      </w:r>
      <w:r>
        <w:rPr>
          <w:noProof/>
        </w:rPr>
        <w:tab/>
      </w:r>
      <w:r w:rsidRPr="00541805">
        <w:rPr>
          <w:noProof/>
        </w:rPr>
        <w:t>34</w:t>
      </w:r>
    </w:p>
    <w:p w14:paraId="5903DB72" w14:textId="4BED02A4" w:rsidR="00541805" w:rsidRDefault="00541805" w:rsidP="00541805">
      <w:pPr>
        <w:pStyle w:val="TOC2"/>
        <w:ind w:right="992"/>
        <w:rPr>
          <w:rFonts w:asciiTheme="minorHAnsi" w:eastAsiaTheme="minorEastAsia" w:hAnsiTheme="minorHAnsi" w:cstheme="minorBidi"/>
          <w:noProof/>
          <w:sz w:val="22"/>
          <w:szCs w:val="22"/>
          <w:lang w:eastAsia="en-GB"/>
        </w:rPr>
      </w:pPr>
      <w:r>
        <w:rPr>
          <w:noProof/>
        </w:rPr>
        <w:t>6.2</w:t>
      </w:r>
      <w:r>
        <w:rPr>
          <w:rFonts w:asciiTheme="minorHAnsi" w:eastAsiaTheme="minorEastAsia" w:hAnsiTheme="minorHAnsi" w:cstheme="minorBidi"/>
          <w:noProof/>
          <w:sz w:val="22"/>
          <w:szCs w:val="22"/>
          <w:lang w:eastAsia="en-GB"/>
        </w:rPr>
        <w:tab/>
      </w:r>
      <w:r>
        <w:rPr>
          <w:noProof/>
        </w:rPr>
        <w:t xml:space="preserve">Competition </w:t>
      </w:r>
      <w:r w:rsidRPr="00541805">
        <w:rPr>
          <w:noProof/>
        </w:rPr>
        <w:t>Aspects</w:t>
      </w:r>
      <w:r>
        <w:rPr>
          <w:noProof/>
        </w:rPr>
        <w:tab/>
      </w:r>
      <w:r>
        <w:rPr>
          <w:noProof/>
        </w:rPr>
        <w:tab/>
      </w:r>
      <w:r w:rsidRPr="00541805">
        <w:rPr>
          <w:noProof/>
        </w:rPr>
        <w:t>35</w:t>
      </w:r>
    </w:p>
    <w:p w14:paraId="0406775D" w14:textId="1792770E" w:rsidR="00541805" w:rsidRDefault="00541805" w:rsidP="00541805">
      <w:pPr>
        <w:pStyle w:val="TOC1"/>
        <w:ind w:right="992"/>
        <w:rPr>
          <w:rFonts w:asciiTheme="minorHAnsi" w:eastAsiaTheme="minorEastAsia" w:hAnsiTheme="minorHAnsi" w:cstheme="minorBidi"/>
          <w:noProof/>
          <w:sz w:val="22"/>
          <w:szCs w:val="22"/>
          <w:lang w:eastAsia="en-GB"/>
        </w:rPr>
      </w:pPr>
      <w:r>
        <w:rPr>
          <w:noProof/>
        </w:rPr>
        <w:t>7</w:t>
      </w:r>
      <w:r>
        <w:rPr>
          <w:rFonts w:asciiTheme="minorHAnsi" w:eastAsiaTheme="minorEastAsia" w:hAnsiTheme="minorHAnsi" w:cstheme="minorBidi"/>
          <w:noProof/>
          <w:sz w:val="22"/>
          <w:szCs w:val="22"/>
          <w:lang w:eastAsia="en-GB"/>
        </w:rPr>
        <w:tab/>
      </w:r>
      <w:r>
        <w:rPr>
          <w:noProof/>
        </w:rPr>
        <w:t xml:space="preserve">Short code </w:t>
      </w:r>
      <w:r w:rsidRPr="00541805">
        <w:rPr>
          <w:noProof/>
        </w:rPr>
        <w:t>access</w:t>
      </w:r>
      <w:r>
        <w:rPr>
          <w:noProof/>
        </w:rPr>
        <w:tab/>
      </w:r>
      <w:r>
        <w:rPr>
          <w:noProof/>
        </w:rPr>
        <w:tab/>
      </w:r>
      <w:r w:rsidRPr="00541805">
        <w:rPr>
          <w:noProof/>
        </w:rPr>
        <w:t>37</w:t>
      </w:r>
    </w:p>
    <w:p w14:paraId="071DE130" w14:textId="73270DCC" w:rsidR="00541805" w:rsidRDefault="00541805" w:rsidP="00541805">
      <w:pPr>
        <w:pStyle w:val="TOC2"/>
        <w:ind w:right="992"/>
        <w:rPr>
          <w:rFonts w:asciiTheme="minorHAnsi" w:eastAsiaTheme="minorEastAsia" w:hAnsiTheme="minorHAnsi" w:cstheme="minorBidi"/>
          <w:noProof/>
          <w:sz w:val="22"/>
          <w:szCs w:val="22"/>
          <w:lang w:eastAsia="en-GB"/>
        </w:rPr>
      </w:pPr>
      <w:r>
        <w:rPr>
          <w:noProof/>
        </w:rPr>
        <w:t>7.1</w:t>
      </w:r>
      <w:r>
        <w:rPr>
          <w:rFonts w:asciiTheme="minorHAnsi" w:eastAsiaTheme="minorEastAsia" w:hAnsiTheme="minorHAnsi" w:cstheme="minorBidi"/>
          <w:noProof/>
          <w:sz w:val="22"/>
          <w:szCs w:val="22"/>
          <w:lang w:eastAsia="en-GB"/>
        </w:rPr>
        <w:tab/>
      </w:r>
      <w:r w:rsidRPr="00541805">
        <w:rPr>
          <w:noProof/>
        </w:rPr>
        <w:t>Overview</w:t>
      </w:r>
      <w:r>
        <w:rPr>
          <w:noProof/>
        </w:rPr>
        <w:tab/>
      </w:r>
      <w:r>
        <w:rPr>
          <w:noProof/>
        </w:rPr>
        <w:tab/>
      </w:r>
      <w:r w:rsidRPr="00541805">
        <w:rPr>
          <w:noProof/>
        </w:rPr>
        <w:t>37</w:t>
      </w:r>
    </w:p>
    <w:p w14:paraId="20549CF8" w14:textId="7F2C5BD5" w:rsidR="00541805" w:rsidRDefault="00541805" w:rsidP="00541805">
      <w:pPr>
        <w:pStyle w:val="TOC2"/>
        <w:ind w:right="992"/>
        <w:rPr>
          <w:rFonts w:asciiTheme="minorHAnsi" w:eastAsiaTheme="minorEastAsia" w:hAnsiTheme="minorHAnsi" w:cstheme="minorBidi"/>
          <w:noProof/>
          <w:sz w:val="22"/>
          <w:szCs w:val="22"/>
          <w:lang w:eastAsia="en-GB"/>
        </w:rPr>
      </w:pPr>
      <w:r>
        <w:rPr>
          <w:noProof/>
        </w:rPr>
        <w:t>7.2</w:t>
      </w:r>
      <w:r>
        <w:rPr>
          <w:rFonts w:asciiTheme="minorHAnsi" w:eastAsiaTheme="minorEastAsia" w:hAnsiTheme="minorHAnsi" w:cstheme="minorBidi"/>
          <w:noProof/>
          <w:sz w:val="22"/>
          <w:szCs w:val="22"/>
          <w:lang w:eastAsia="en-GB"/>
        </w:rPr>
        <w:tab/>
      </w:r>
      <w:r>
        <w:rPr>
          <w:noProof/>
        </w:rPr>
        <w:t xml:space="preserve">Obtaining short </w:t>
      </w:r>
      <w:r w:rsidRPr="00541805">
        <w:rPr>
          <w:noProof/>
        </w:rPr>
        <w:t>codes</w:t>
      </w:r>
      <w:r>
        <w:rPr>
          <w:noProof/>
        </w:rPr>
        <w:tab/>
      </w:r>
      <w:r>
        <w:rPr>
          <w:noProof/>
        </w:rPr>
        <w:tab/>
      </w:r>
      <w:r w:rsidRPr="00541805">
        <w:rPr>
          <w:noProof/>
        </w:rPr>
        <w:t>37</w:t>
      </w:r>
    </w:p>
    <w:p w14:paraId="6916A837" w14:textId="6B170151" w:rsidR="00541805" w:rsidRDefault="00541805" w:rsidP="00541805">
      <w:pPr>
        <w:pStyle w:val="TOC2"/>
        <w:ind w:right="992"/>
        <w:rPr>
          <w:rFonts w:asciiTheme="minorHAnsi" w:eastAsiaTheme="minorEastAsia" w:hAnsiTheme="minorHAnsi" w:cstheme="minorBidi"/>
          <w:noProof/>
          <w:sz w:val="22"/>
          <w:szCs w:val="22"/>
          <w:lang w:eastAsia="en-GB"/>
        </w:rPr>
      </w:pPr>
      <w:r>
        <w:rPr>
          <w:noProof/>
        </w:rPr>
        <w:t>7.3</w:t>
      </w:r>
      <w:r>
        <w:rPr>
          <w:rFonts w:asciiTheme="minorHAnsi" w:eastAsiaTheme="minorEastAsia" w:hAnsiTheme="minorHAnsi" w:cstheme="minorBidi"/>
          <w:noProof/>
          <w:sz w:val="22"/>
          <w:szCs w:val="22"/>
          <w:lang w:eastAsia="en-GB"/>
        </w:rPr>
        <w:tab/>
      </w:r>
      <w:r>
        <w:rPr>
          <w:noProof/>
        </w:rPr>
        <w:t xml:space="preserve">Competition </w:t>
      </w:r>
      <w:r w:rsidRPr="00541805">
        <w:rPr>
          <w:noProof/>
        </w:rPr>
        <w:t>aspects</w:t>
      </w:r>
      <w:r>
        <w:rPr>
          <w:noProof/>
        </w:rPr>
        <w:tab/>
      </w:r>
      <w:r>
        <w:rPr>
          <w:noProof/>
        </w:rPr>
        <w:tab/>
      </w:r>
      <w:r w:rsidRPr="00541805">
        <w:rPr>
          <w:noProof/>
        </w:rPr>
        <w:t>38</w:t>
      </w:r>
    </w:p>
    <w:p w14:paraId="254022D2" w14:textId="5F676FA3" w:rsidR="00541805" w:rsidRDefault="00541805" w:rsidP="00541805">
      <w:pPr>
        <w:pStyle w:val="TOC2"/>
        <w:ind w:right="992"/>
        <w:rPr>
          <w:rFonts w:asciiTheme="minorHAnsi" w:eastAsiaTheme="minorEastAsia" w:hAnsiTheme="minorHAnsi" w:cstheme="minorBidi"/>
          <w:noProof/>
          <w:sz w:val="22"/>
          <w:szCs w:val="22"/>
          <w:lang w:eastAsia="en-GB"/>
        </w:rPr>
      </w:pPr>
      <w:r>
        <w:rPr>
          <w:noProof/>
        </w:rPr>
        <w:t>7.4</w:t>
      </w:r>
      <w:r>
        <w:rPr>
          <w:rFonts w:asciiTheme="minorHAnsi" w:eastAsiaTheme="minorEastAsia" w:hAnsiTheme="minorHAnsi" w:cstheme="minorBidi"/>
          <w:noProof/>
          <w:sz w:val="22"/>
          <w:szCs w:val="22"/>
          <w:lang w:eastAsia="en-GB"/>
        </w:rPr>
        <w:tab/>
      </w:r>
      <w:r>
        <w:rPr>
          <w:noProof/>
        </w:rPr>
        <w:t xml:space="preserve">Country </w:t>
      </w:r>
      <w:r w:rsidRPr="00541805">
        <w:rPr>
          <w:noProof/>
        </w:rPr>
        <w:t>examples</w:t>
      </w:r>
      <w:r>
        <w:rPr>
          <w:noProof/>
        </w:rPr>
        <w:tab/>
      </w:r>
      <w:r>
        <w:rPr>
          <w:noProof/>
        </w:rPr>
        <w:tab/>
      </w:r>
      <w:r w:rsidRPr="00541805">
        <w:rPr>
          <w:noProof/>
        </w:rPr>
        <w:t>38</w:t>
      </w:r>
    </w:p>
    <w:p w14:paraId="288487CA" w14:textId="1BEFA2DA" w:rsidR="00541805" w:rsidRDefault="00541805" w:rsidP="00541805">
      <w:pPr>
        <w:pStyle w:val="TOC1"/>
        <w:ind w:right="992"/>
        <w:rPr>
          <w:rFonts w:asciiTheme="minorHAnsi" w:eastAsiaTheme="minorEastAsia" w:hAnsiTheme="minorHAnsi" w:cstheme="minorBidi"/>
          <w:noProof/>
          <w:sz w:val="22"/>
          <w:szCs w:val="22"/>
          <w:lang w:eastAsia="en-GB"/>
        </w:rPr>
      </w:pPr>
      <w:r>
        <w:rPr>
          <w:noProof/>
        </w:rPr>
        <w:t>8</w:t>
      </w:r>
      <w:r>
        <w:rPr>
          <w:rFonts w:asciiTheme="minorHAnsi" w:eastAsiaTheme="minorEastAsia" w:hAnsiTheme="minorHAnsi" w:cstheme="minorBidi"/>
          <w:noProof/>
          <w:sz w:val="22"/>
          <w:szCs w:val="22"/>
          <w:lang w:eastAsia="en-GB"/>
        </w:rPr>
        <w:tab/>
      </w:r>
      <w:r>
        <w:rPr>
          <w:noProof/>
        </w:rPr>
        <w:t xml:space="preserve">Quality of </w:t>
      </w:r>
      <w:r w:rsidRPr="00541805">
        <w:rPr>
          <w:noProof/>
        </w:rPr>
        <w:t>service</w:t>
      </w:r>
      <w:r>
        <w:rPr>
          <w:noProof/>
        </w:rPr>
        <w:tab/>
      </w:r>
      <w:r>
        <w:rPr>
          <w:noProof/>
        </w:rPr>
        <w:tab/>
      </w:r>
      <w:r w:rsidRPr="00541805">
        <w:rPr>
          <w:noProof/>
        </w:rPr>
        <w:t>39</w:t>
      </w:r>
    </w:p>
    <w:p w14:paraId="7F5A1E61" w14:textId="221B0C21" w:rsidR="00541805" w:rsidRDefault="00541805" w:rsidP="00541805">
      <w:pPr>
        <w:pStyle w:val="TOC2"/>
        <w:ind w:right="992"/>
        <w:rPr>
          <w:rFonts w:asciiTheme="minorHAnsi" w:eastAsiaTheme="minorEastAsia" w:hAnsiTheme="minorHAnsi" w:cstheme="minorBidi"/>
          <w:noProof/>
          <w:sz w:val="22"/>
          <w:szCs w:val="22"/>
          <w:lang w:eastAsia="en-GB"/>
        </w:rPr>
      </w:pPr>
      <w:r>
        <w:rPr>
          <w:noProof/>
        </w:rPr>
        <w:t>8.1</w:t>
      </w:r>
      <w:r>
        <w:rPr>
          <w:rFonts w:asciiTheme="minorHAnsi" w:eastAsiaTheme="minorEastAsia" w:hAnsiTheme="minorHAnsi" w:cstheme="minorBidi"/>
          <w:noProof/>
          <w:sz w:val="22"/>
          <w:szCs w:val="22"/>
          <w:lang w:eastAsia="en-GB"/>
        </w:rPr>
        <w:tab/>
      </w:r>
      <w:r w:rsidRPr="00541805">
        <w:rPr>
          <w:noProof/>
        </w:rPr>
        <w:t>Overview</w:t>
      </w:r>
      <w:r>
        <w:rPr>
          <w:noProof/>
        </w:rPr>
        <w:tab/>
      </w:r>
      <w:r>
        <w:rPr>
          <w:noProof/>
        </w:rPr>
        <w:tab/>
      </w:r>
      <w:r w:rsidRPr="00541805">
        <w:rPr>
          <w:noProof/>
        </w:rPr>
        <w:t>39</w:t>
      </w:r>
    </w:p>
    <w:p w14:paraId="3F4C72D0" w14:textId="6D769487" w:rsidR="00541805" w:rsidRDefault="00541805" w:rsidP="00541805">
      <w:pPr>
        <w:pStyle w:val="TOC2"/>
        <w:ind w:right="992"/>
        <w:rPr>
          <w:rFonts w:asciiTheme="minorHAnsi" w:eastAsiaTheme="minorEastAsia" w:hAnsiTheme="minorHAnsi" w:cstheme="minorBidi"/>
          <w:noProof/>
          <w:sz w:val="22"/>
          <w:szCs w:val="22"/>
          <w:lang w:eastAsia="en-GB"/>
        </w:rPr>
      </w:pPr>
      <w:r>
        <w:rPr>
          <w:noProof/>
        </w:rPr>
        <w:t>8.2</w:t>
      </w:r>
      <w:r>
        <w:rPr>
          <w:rFonts w:asciiTheme="minorHAnsi" w:eastAsiaTheme="minorEastAsia" w:hAnsiTheme="minorHAnsi" w:cstheme="minorBidi"/>
          <w:noProof/>
          <w:sz w:val="22"/>
          <w:szCs w:val="22"/>
          <w:lang w:eastAsia="en-GB"/>
        </w:rPr>
        <w:tab/>
      </w:r>
      <w:r>
        <w:rPr>
          <w:noProof/>
        </w:rPr>
        <w:t xml:space="preserve">Country </w:t>
      </w:r>
      <w:r w:rsidRPr="00541805">
        <w:rPr>
          <w:noProof/>
        </w:rPr>
        <w:t>example</w:t>
      </w:r>
      <w:r>
        <w:rPr>
          <w:noProof/>
        </w:rPr>
        <w:tab/>
      </w:r>
      <w:r>
        <w:rPr>
          <w:noProof/>
        </w:rPr>
        <w:tab/>
      </w:r>
      <w:r w:rsidRPr="00541805">
        <w:rPr>
          <w:noProof/>
        </w:rPr>
        <w:t>39</w:t>
      </w:r>
    </w:p>
    <w:p w14:paraId="72DD6DE6" w14:textId="7ACE3636" w:rsidR="00541805" w:rsidRDefault="00541805" w:rsidP="00541805">
      <w:pPr>
        <w:pStyle w:val="TOC1"/>
        <w:ind w:right="992"/>
        <w:rPr>
          <w:rFonts w:asciiTheme="minorHAnsi" w:eastAsiaTheme="minorEastAsia" w:hAnsiTheme="minorHAnsi" w:cstheme="minorBidi"/>
          <w:noProof/>
          <w:sz w:val="22"/>
          <w:szCs w:val="22"/>
          <w:lang w:eastAsia="en-GB"/>
        </w:rPr>
      </w:pPr>
      <w:r>
        <w:rPr>
          <w:noProof/>
        </w:rPr>
        <w:t>D</w:t>
      </w:r>
      <w:r>
        <w:rPr>
          <w:rFonts w:asciiTheme="minorHAnsi" w:eastAsiaTheme="minorEastAsia" w:hAnsiTheme="minorHAnsi" w:cstheme="minorBidi"/>
          <w:noProof/>
          <w:sz w:val="22"/>
          <w:szCs w:val="22"/>
          <w:lang w:eastAsia="en-GB"/>
        </w:rPr>
        <w:tab/>
      </w:r>
      <w:r>
        <w:rPr>
          <w:noProof/>
        </w:rPr>
        <w:t xml:space="preserve">Access to payment infrastructure &amp; </w:t>
      </w:r>
      <w:r w:rsidRPr="00541805">
        <w:rPr>
          <w:noProof/>
        </w:rPr>
        <w:t>services</w:t>
      </w:r>
      <w:r>
        <w:rPr>
          <w:noProof/>
        </w:rPr>
        <w:tab/>
      </w:r>
      <w:r>
        <w:rPr>
          <w:noProof/>
        </w:rPr>
        <w:tab/>
      </w:r>
      <w:r w:rsidRPr="00541805">
        <w:rPr>
          <w:noProof/>
        </w:rPr>
        <w:t>40</w:t>
      </w:r>
    </w:p>
    <w:p w14:paraId="0656A9C0" w14:textId="03F3D92A" w:rsidR="00541805" w:rsidRDefault="00541805" w:rsidP="00541805">
      <w:pPr>
        <w:pStyle w:val="toc0"/>
        <w:rPr>
          <w:noProof/>
        </w:rPr>
      </w:pPr>
      <w:r>
        <w:rPr>
          <w:noProof/>
        </w:rPr>
        <w:lastRenderedPageBreak/>
        <w:tab/>
        <w:t>Page</w:t>
      </w:r>
    </w:p>
    <w:p w14:paraId="33CE16AD" w14:textId="0AFCE8C9" w:rsidR="00541805" w:rsidRDefault="00541805" w:rsidP="00541805">
      <w:pPr>
        <w:pStyle w:val="TOC1"/>
        <w:ind w:right="992"/>
        <w:rPr>
          <w:rFonts w:asciiTheme="minorHAnsi" w:eastAsiaTheme="minorEastAsia" w:hAnsiTheme="minorHAnsi" w:cstheme="minorBidi"/>
          <w:noProof/>
          <w:sz w:val="22"/>
          <w:szCs w:val="22"/>
          <w:lang w:eastAsia="en-GB"/>
        </w:rPr>
      </w:pPr>
      <w:r>
        <w:rPr>
          <w:noProof/>
        </w:rPr>
        <w:t>9</w:t>
      </w:r>
      <w:r>
        <w:rPr>
          <w:rFonts w:asciiTheme="minorHAnsi" w:eastAsiaTheme="minorEastAsia" w:hAnsiTheme="minorHAnsi" w:cstheme="minorBidi"/>
          <w:noProof/>
          <w:sz w:val="22"/>
          <w:szCs w:val="22"/>
          <w:lang w:eastAsia="en-GB"/>
        </w:rPr>
        <w:tab/>
      </w:r>
      <w:r>
        <w:rPr>
          <w:noProof/>
        </w:rPr>
        <w:t xml:space="preserve">Payment infrastructure &amp; </w:t>
      </w:r>
      <w:r w:rsidRPr="00541805">
        <w:rPr>
          <w:noProof/>
        </w:rPr>
        <w:t>services</w:t>
      </w:r>
      <w:r>
        <w:rPr>
          <w:noProof/>
        </w:rPr>
        <w:tab/>
      </w:r>
      <w:r>
        <w:rPr>
          <w:noProof/>
        </w:rPr>
        <w:tab/>
      </w:r>
      <w:r w:rsidRPr="00541805">
        <w:rPr>
          <w:noProof/>
        </w:rPr>
        <w:t>40</w:t>
      </w:r>
    </w:p>
    <w:p w14:paraId="0448CA16" w14:textId="612B3AF5" w:rsidR="00541805" w:rsidRDefault="00541805" w:rsidP="00541805">
      <w:pPr>
        <w:pStyle w:val="TOC1"/>
        <w:ind w:right="992"/>
        <w:rPr>
          <w:rFonts w:asciiTheme="minorHAnsi" w:eastAsiaTheme="minorEastAsia" w:hAnsiTheme="minorHAnsi" w:cstheme="minorBidi"/>
          <w:noProof/>
          <w:sz w:val="22"/>
          <w:szCs w:val="22"/>
          <w:lang w:eastAsia="en-GB"/>
        </w:rPr>
      </w:pPr>
      <w:r>
        <w:rPr>
          <w:noProof/>
        </w:rPr>
        <w:t>9.1</w:t>
      </w:r>
      <w:r>
        <w:rPr>
          <w:rFonts w:asciiTheme="minorHAnsi" w:eastAsiaTheme="minorEastAsia" w:hAnsiTheme="minorHAnsi" w:cstheme="minorBidi"/>
          <w:noProof/>
          <w:sz w:val="22"/>
          <w:szCs w:val="22"/>
          <w:lang w:eastAsia="en-GB"/>
        </w:rPr>
        <w:tab/>
      </w:r>
      <w:r w:rsidRPr="00541805">
        <w:rPr>
          <w:noProof/>
        </w:rPr>
        <w:t>Overview</w:t>
      </w:r>
      <w:r>
        <w:rPr>
          <w:noProof/>
        </w:rPr>
        <w:tab/>
      </w:r>
      <w:r>
        <w:rPr>
          <w:noProof/>
        </w:rPr>
        <w:tab/>
      </w:r>
      <w:r w:rsidRPr="00541805">
        <w:rPr>
          <w:noProof/>
        </w:rPr>
        <w:t>40</w:t>
      </w:r>
    </w:p>
    <w:p w14:paraId="777D5C4B" w14:textId="5E21190E" w:rsidR="00541805" w:rsidRDefault="00541805" w:rsidP="00541805">
      <w:pPr>
        <w:pStyle w:val="TOC2"/>
        <w:ind w:right="992"/>
        <w:rPr>
          <w:rFonts w:asciiTheme="minorHAnsi" w:eastAsiaTheme="minorEastAsia" w:hAnsiTheme="minorHAnsi" w:cstheme="minorBidi"/>
          <w:noProof/>
          <w:sz w:val="22"/>
          <w:szCs w:val="22"/>
          <w:lang w:eastAsia="en-GB"/>
        </w:rPr>
      </w:pPr>
      <w:r>
        <w:rPr>
          <w:noProof/>
        </w:rPr>
        <w:t>9.2</w:t>
      </w:r>
      <w:r>
        <w:rPr>
          <w:rFonts w:asciiTheme="minorHAnsi" w:eastAsiaTheme="minorEastAsia" w:hAnsiTheme="minorHAnsi" w:cstheme="minorBidi"/>
          <w:noProof/>
          <w:sz w:val="22"/>
          <w:szCs w:val="22"/>
          <w:lang w:eastAsia="en-GB"/>
        </w:rPr>
        <w:tab/>
      </w:r>
      <w:r>
        <w:rPr>
          <w:noProof/>
        </w:rPr>
        <w:t xml:space="preserve">Competition </w:t>
      </w:r>
      <w:r w:rsidRPr="00541805">
        <w:rPr>
          <w:noProof/>
        </w:rPr>
        <w:t>aspects</w:t>
      </w:r>
      <w:r>
        <w:rPr>
          <w:noProof/>
        </w:rPr>
        <w:tab/>
      </w:r>
      <w:r>
        <w:rPr>
          <w:noProof/>
        </w:rPr>
        <w:tab/>
      </w:r>
      <w:r w:rsidRPr="00541805">
        <w:rPr>
          <w:noProof/>
        </w:rPr>
        <w:t>40</w:t>
      </w:r>
    </w:p>
    <w:p w14:paraId="1F4AB331" w14:textId="30F26221" w:rsidR="00541805" w:rsidRDefault="00541805" w:rsidP="00541805">
      <w:pPr>
        <w:pStyle w:val="TOC2"/>
        <w:ind w:right="992"/>
        <w:rPr>
          <w:rFonts w:asciiTheme="minorHAnsi" w:eastAsiaTheme="minorEastAsia" w:hAnsiTheme="minorHAnsi" w:cstheme="minorBidi"/>
          <w:noProof/>
          <w:sz w:val="22"/>
          <w:szCs w:val="22"/>
          <w:lang w:eastAsia="en-GB"/>
        </w:rPr>
      </w:pPr>
      <w:r>
        <w:rPr>
          <w:noProof/>
        </w:rPr>
        <w:t>9.3</w:t>
      </w:r>
      <w:r>
        <w:rPr>
          <w:rFonts w:asciiTheme="minorHAnsi" w:eastAsiaTheme="minorEastAsia" w:hAnsiTheme="minorHAnsi" w:cstheme="minorBidi"/>
          <w:noProof/>
          <w:sz w:val="22"/>
          <w:szCs w:val="22"/>
          <w:lang w:eastAsia="en-GB"/>
        </w:rPr>
        <w:tab/>
      </w:r>
      <w:r>
        <w:rPr>
          <w:noProof/>
        </w:rPr>
        <w:t xml:space="preserve">Country </w:t>
      </w:r>
      <w:r w:rsidRPr="00541805">
        <w:rPr>
          <w:noProof/>
        </w:rPr>
        <w:t>examples</w:t>
      </w:r>
      <w:r>
        <w:rPr>
          <w:noProof/>
        </w:rPr>
        <w:tab/>
      </w:r>
      <w:r>
        <w:rPr>
          <w:noProof/>
        </w:rPr>
        <w:tab/>
      </w:r>
      <w:r w:rsidRPr="00541805">
        <w:rPr>
          <w:noProof/>
        </w:rPr>
        <w:t>41</w:t>
      </w:r>
    </w:p>
    <w:p w14:paraId="0FC921B7" w14:textId="5C3966ED" w:rsidR="00541805" w:rsidRDefault="00541805" w:rsidP="00541805">
      <w:pPr>
        <w:pStyle w:val="TOC1"/>
        <w:ind w:right="992"/>
        <w:rPr>
          <w:rFonts w:asciiTheme="minorHAnsi" w:eastAsiaTheme="minorEastAsia" w:hAnsiTheme="minorHAnsi" w:cstheme="minorBidi"/>
          <w:noProof/>
          <w:sz w:val="22"/>
          <w:szCs w:val="22"/>
          <w:lang w:eastAsia="en-GB"/>
        </w:rPr>
      </w:pPr>
      <w:r>
        <w:rPr>
          <w:noProof/>
        </w:rPr>
        <w:t>E</w:t>
      </w:r>
      <w:r>
        <w:rPr>
          <w:rFonts w:asciiTheme="minorHAnsi" w:eastAsiaTheme="minorEastAsia" w:hAnsiTheme="minorHAnsi" w:cstheme="minorBidi"/>
          <w:noProof/>
          <w:sz w:val="22"/>
          <w:szCs w:val="22"/>
          <w:lang w:eastAsia="en-GB"/>
        </w:rPr>
        <w:tab/>
      </w:r>
      <w:r>
        <w:rPr>
          <w:noProof/>
        </w:rPr>
        <w:t xml:space="preserve">Access to and use of big data </w:t>
      </w:r>
      <w:r w:rsidRPr="00541805">
        <w:rPr>
          <w:noProof/>
        </w:rPr>
        <w:t>sets</w:t>
      </w:r>
      <w:r>
        <w:rPr>
          <w:noProof/>
        </w:rPr>
        <w:tab/>
      </w:r>
      <w:r>
        <w:rPr>
          <w:noProof/>
        </w:rPr>
        <w:tab/>
      </w:r>
      <w:r w:rsidRPr="00541805">
        <w:rPr>
          <w:noProof/>
        </w:rPr>
        <w:t>42</w:t>
      </w:r>
    </w:p>
    <w:p w14:paraId="321F24D3" w14:textId="6E14B144" w:rsidR="00541805" w:rsidRDefault="00541805" w:rsidP="00541805">
      <w:pPr>
        <w:pStyle w:val="TOC1"/>
        <w:ind w:right="992"/>
        <w:rPr>
          <w:rFonts w:asciiTheme="minorHAnsi" w:eastAsiaTheme="minorEastAsia" w:hAnsiTheme="minorHAnsi" w:cstheme="minorBidi"/>
          <w:noProof/>
          <w:sz w:val="22"/>
          <w:szCs w:val="22"/>
          <w:lang w:eastAsia="en-GB"/>
        </w:rPr>
      </w:pPr>
      <w:r>
        <w:rPr>
          <w:noProof/>
        </w:rPr>
        <w:t>10</w:t>
      </w:r>
      <w:r>
        <w:rPr>
          <w:rFonts w:asciiTheme="minorHAnsi" w:eastAsiaTheme="minorEastAsia" w:hAnsiTheme="minorHAnsi" w:cstheme="minorBidi"/>
          <w:noProof/>
          <w:sz w:val="22"/>
          <w:szCs w:val="22"/>
          <w:lang w:eastAsia="en-GB"/>
        </w:rPr>
        <w:tab/>
      </w:r>
      <w:r>
        <w:rPr>
          <w:noProof/>
        </w:rPr>
        <w:t xml:space="preserve">Big data and </w:t>
      </w:r>
      <w:r w:rsidRPr="00541805">
        <w:rPr>
          <w:noProof/>
        </w:rPr>
        <w:t>DFS</w:t>
      </w:r>
      <w:r>
        <w:rPr>
          <w:noProof/>
        </w:rPr>
        <w:tab/>
      </w:r>
      <w:r>
        <w:rPr>
          <w:noProof/>
        </w:rPr>
        <w:tab/>
      </w:r>
      <w:r w:rsidRPr="00541805">
        <w:rPr>
          <w:noProof/>
        </w:rPr>
        <w:t>42</w:t>
      </w:r>
    </w:p>
    <w:p w14:paraId="6FD48718" w14:textId="07054A93" w:rsidR="00541805" w:rsidRDefault="00541805" w:rsidP="00541805">
      <w:pPr>
        <w:pStyle w:val="TOC2"/>
        <w:ind w:right="992"/>
        <w:rPr>
          <w:rFonts w:asciiTheme="minorHAnsi" w:eastAsiaTheme="minorEastAsia" w:hAnsiTheme="minorHAnsi" w:cstheme="minorBidi"/>
          <w:noProof/>
          <w:sz w:val="22"/>
          <w:szCs w:val="22"/>
          <w:lang w:eastAsia="en-GB"/>
        </w:rPr>
      </w:pPr>
      <w:r>
        <w:rPr>
          <w:noProof/>
        </w:rPr>
        <w:t>10.1</w:t>
      </w:r>
      <w:r>
        <w:rPr>
          <w:rFonts w:asciiTheme="minorHAnsi" w:eastAsiaTheme="minorEastAsia" w:hAnsiTheme="minorHAnsi" w:cstheme="minorBidi"/>
          <w:noProof/>
          <w:sz w:val="22"/>
          <w:szCs w:val="22"/>
          <w:lang w:eastAsia="en-GB"/>
        </w:rPr>
        <w:tab/>
      </w:r>
      <w:r w:rsidRPr="00541805">
        <w:rPr>
          <w:noProof/>
        </w:rPr>
        <w:t>Overview</w:t>
      </w:r>
      <w:r>
        <w:rPr>
          <w:noProof/>
        </w:rPr>
        <w:tab/>
      </w:r>
      <w:r>
        <w:rPr>
          <w:noProof/>
        </w:rPr>
        <w:tab/>
      </w:r>
      <w:r w:rsidRPr="00541805">
        <w:rPr>
          <w:noProof/>
        </w:rPr>
        <w:t>42</w:t>
      </w:r>
    </w:p>
    <w:p w14:paraId="474F98C2" w14:textId="375F127D" w:rsidR="00541805" w:rsidRDefault="00541805" w:rsidP="00541805">
      <w:pPr>
        <w:pStyle w:val="TOC2"/>
        <w:ind w:right="992"/>
        <w:rPr>
          <w:rFonts w:asciiTheme="minorHAnsi" w:eastAsiaTheme="minorEastAsia" w:hAnsiTheme="minorHAnsi" w:cstheme="minorBidi"/>
          <w:noProof/>
          <w:sz w:val="22"/>
          <w:szCs w:val="22"/>
          <w:lang w:eastAsia="en-GB"/>
        </w:rPr>
      </w:pPr>
      <w:r>
        <w:rPr>
          <w:noProof/>
        </w:rPr>
        <w:t>10.2</w:t>
      </w:r>
      <w:r>
        <w:rPr>
          <w:rFonts w:asciiTheme="minorHAnsi" w:eastAsiaTheme="minorEastAsia" w:hAnsiTheme="minorHAnsi" w:cstheme="minorBidi"/>
          <w:noProof/>
          <w:sz w:val="22"/>
          <w:szCs w:val="22"/>
          <w:lang w:eastAsia="en-GB"/>
        </w:rPr>
        <w:tab/>
      </w:r>
      <w:r>
        <w:rPr>
          <w:noProof/>
        </w:rPr>
        <w:t xml:space="preserve">Competition </w:t>
      </w:r>
      <w:r w:rsidRPr="00541805">
        <w:rPr>
          <w:noProof/>
        </w:rPr>
        <w:t>aspects</w:t>
      </w:r>
      <w:r>
        <w:rPr>
          <w:noProof/>
        </w:rPr>
        <w:tab/>
      </w:r>
      <w:r>
        <w:rPr>
          <w:noProof/>
        </w:rPr>
        <w:tab/>
      </w:r>
      <w:r w:rsidRPr="00541805">
        <w:rPr>
          <w:noProof/>
        </w:rPr>
        <w:t>43</w:t>
      </w:r>
    </w:p>
    <w:p w14:paraId="53A419D3" w14:textId="696DE678" w:rsidR="00541805" w:rsidRDefault="00541805" w:rsidP="00541805">
      <w:pPr>
        <w:pStyle w:val="TOC2"/>
        <w:ind w:right="992"/>
        <w:rPr>
          <w:rFonts w:asciiTheme="minorHAnsi" w:eastAsiaTheme="minorEastAsia" w:hAnsiTheme="minorHAnsi" w:cstheme="minorBidi"/>
          <w:noProof/>
          <w:sz w:val="22"/>
          <w:szCs w:val="22"/>
          <w:lang w:eastAsia="en-GB"/>
        </w:rPr>
      </w:pPr>
      <w:r>
        <w:rPr>
          <w:noProof/>
        </w:rPr>
        <w:t>10.3</w:t>
      </w:r>
      <w:r>
        <w:rPr>
          <w:rFonts w:asciiTheme="minorHAnsi" w:eastAsiaTheme="minorEastAsia" w:hAnsiTheme="minorHAnsi" w:cstheme="minorBidi"/>
          <w:noProof/>
          <w:sz w:val="22"/>
          <w:szCs w:val="22"/>
          <w:lang w:eastAsia="en-GB"/>
        </w:rPr>
        <w:tab/>
      </w:r>
      <w:r>
        <w:rPr>
          <w:noProof/>
        </w:rPr>
        <w:t xml:space="preserve">Country </w:t>
      </w:r>
      <w:r w:rsidRPr="00541805">
        <w:rPr>
          <w:noProof/>
        </w:rPr>
        <w:t>example</w:t>
      </w:r>
      <w:r>
        <w:rPr>
          <w:noProof/>
        </w:rPr>
        <w:tab/>
      </w:r>
      <w:r>
        <w:rPr>
          <w:noProof/>
        </w:rPr>
        <w:tab/>
      </w:r>
      <w:r w:rsidRPr="00541805">
        <w:rPr>
          <w:noProof/>
        </w:rPr>
        <w:t>44</w:t>
      </w:r>
    </w:p>
    <w:p w14:paraId="597F9B34" w14:textId="6F36FF92" w:rsidR="00541805" w:rsidRDefault="00541805" w:rsidP="00541805">
      <w:pPr>
        <w:pStyle w:val="TOC1"/>
        <w:ind w:right="992"/>
        <w:rPr>
          <w:rFonts w:asciiTheme="minorHAnsi" w:eastAsiaTheme="minorEastAsia" w:hAnsiTheme="minorHAnsi" w:cstheme="minorBidi"/>
          <w:noProof/>
          <w:sz w:val="22"/>
          <w:szCs w:val="22"/>
          <w:lang w:eastAsia="en-GB"/>
        </w:rPr>
      </w:pPr>
      <w:r>
        <w:rPr>
          <w:noProof/>
        </w:rPr>
        <w:t>F</w:t>
      </w:r>
      <w:r>
        <w:rPr>
          <w:rFonts w:asciiTheme="minorHAnsi" w:eastAsiaTheme="minorEastAsia" w:hAnsiTheme="minorHAnsi" w:cstheme="minorBidi"/>
          <w:noProof/>
          <w:sz w:val="22"/>
          <w:szCs w:val="22"/>
          <w:lang w:eastAsia="en-GB"/>
        </w:rPr>
        <w:tab/>
      </w:r>
      <w:r>
        <w:rPr>
          <w:noProof/>
        </w:rPr>
        <w:t xml:space="preserve">Access to and use of Application Programming </w:t>
      </w:r>
      <w:r w:rsidRPr="00541805">
        <w:rPr>
          <w:noProof/>
        </w:rPr>
        <w:t>Interfaces</w:t>
      </w:r>
      <w:r>
        <w:rPr>
          <w:noProof/>
        </w:rPr>
        <w:tab/>
      </w:r>
      <w:r>
        <w:rPr>
          <w:noProof/>
        </w:rPr>
        <w:tab/>
      </w:r>
      <w:r w:rsidRPr="00541805">
        <w:rPr>
          <w:noProof/>
        </w:rPr>
        <w:t>44</w:t>
      </w:r>
    </w:p>
    <w:p w14:paraId="0F71F4C8" w14:textId="11680A29" w:rsidR="00541805" w:rsidRDefault="00541805" w:rsidP="00541805">
      <w:pPr>
        <w:pStyle w:val="TOC1"/>
        <w:ind w:right="992"/>
        <w:rPr>
          <w:rFonts w:asciiTheme="minorHAnsi" w:eastAsiaTheme="minorEastAsia" w:hAnsiTheme="minorHAnsi" w:cstheme="minorBidi"/>
          <w:noProof/>
          <w:sz w:val="22"/>
          <w:szCs w:val="22"/>
          <w:lang w:eastAsia="en-GB"/>
        </w:rPr>
      </w:pPr>
      <w:r>
        <w:rPr>
          <w:noProof/>
        </w:rPr>
        <w:t>11</w:t>
      </w:r>
      <w:r>
        <w:rPr>
          <w:rFonts w:asciiTheme="minorHAnsi" w:eastAsiaTheme="minorEastAsia" w:hAnsiTheme="minorHAnsi" w:cstheme="minorBidi"/>
          <w:noProof/>
          <w:sz w:val="22"/>
          <w:szCs w:val="22"/>
          <w:lang w:eastAsia="en-GB"/>
        </w:rPr>
        <w:tab/>
      </w:r>
      <w:r>
        <w:rPr>
          <w:noProof/>
        </w:rPr>
        <w:t xml:space="preserve">Application Programming </w:t>
      </w:r>
      <w:r w:rsidRPr="00541805">
        <w:rPr>
          <w:noProof/>
        </w:rPr>
        <w:t>Interfaces</w:t>
      </w:r>
      <w:r>
        <w:rPr>
          <w:noProof/>
        </w:rPr>
        <w:tab/>
      </w:r>
      <w:r>
        <w:rPr>
          <w:noProof/>
        </w:rPr>
        <w:tab/>
      </w:r>
      <w:r w:rsidRPr="00541805">
        <w:rPr>
          <w:noProof/>
        </w:rPr>
        <w:t>44</w:t>
      </w:r>
    </w:p>
    <w:p w14:paraId="21C85CCC" w14:textId="293DEC9B" w:rsidR="00541805" w:rsidRDefault="00541805" w:rsidP="00541805">
      <w:pPr>
        <w:pStyle w:val="TOC2"/>
        <w:ind w:right="992"/>
        <w:rPr>
          <w:rFonts w:asciiTheme="minorHAnsi" w:eastAsiaTheme="minorEastAsia" w:hAnsiTheme="minorHAnsi" w:cstheme="minorBidi"/>
          <w:noProof/>
          <w:sz w:val="22"/>
          <w:szCs w:val="22"/>
          <w:lang w:eastAsia="en-GB"/>
        </w:rPr>
      </w:pPr>
      <w:r>
        <w:rPr>
          <w:noProof/>
        </w:rPr>
        <w:t>11.1</w:t>
      </w:r>
      <w:r>
        <w:rPr>
          <w:rFonts w:asciiTheme="minorHAnsi" w:eastAsiaTheme="minorEastAsia" w:hAnsiTheme="minorHAnsi" w:cstheme="minorBidi"/>
          <w:noProof/>
          <w:sz w:val="22"/>
          <w:szCs w:val="22"/>
          <w:lang w:eastAsia="en-GB"/>
        </w:rPr>
        <w:tab/>
      </w:r>
      <w:r w:rsidRPr="00541805">
        <w:rPr>
          <w:noProof/>
        </w:rPr>
        <w:t>Overview</w:t>
      </w:r>
      <w:r>
        <w:rPr>
          <w:noProof/>
        </w:rPr>
        <w:tab/>
      </w:r>
      <w:r>
        <w:rPr>
          <w:noProof/>
        </w:rPr>
        <w:tab/>
      </w:r>
      <w:r w:rsidRPr="00541805">
        <w:rPr>
          <w:noProof/>
        </w:rPr>
        <w:t>44</w:t>
      </w:r>
    </w:p>
    <w:p w14:paraId="1E9CC42B" w14:textId="316446B8" w:rsidR="00541805" w:rsidRDefault="00541805" w:rsidP="00541805">
      <w:pPr>
        <w:pStyle w:val="TOC2"/>
        <w:ind w:right="992"/>
        <w:rPr>
          <w:rFonts w:asciiTheme="minorHAnsi" w:eastAsiaTheme="minorEastAsia" w:hAnsiTheme="minorHAnsi" w:cstheme="minorBidi"/>
          <w:noProof/>
          <w:sz w:val="22"/>
          <w:szCs w:val="22"/>
          <w:lang w:eastAsia="en-GB"/>
        </w:rPr>
      </w:pPr>
      <w:r>
        <w:rPr>
          <w:noProof/>
        </w:rPr>
        <w:t>11.2</w:t>
      </w:r>
      <w:r>
        <w:rPr>
          <w:rFonts w:asciiTheme="minorHAnsi" w:eastAsiaTheme="minorEastAsia" w:hAnsiTheme="minorHAnsi" w:cstheme="minorBidi"/>
          <w:noProof/>
          <w:sz w:val="22"/>
          <w:szCs w:val="22"/>
          <w:lang w:eastAsia="en-GB"/>
        </w:rPr>
        <w:tab/>
      </w:r>
      <w:r>
        <w:rPr>
          <w:noProof/>
        </w:rPr>
        <w:t xml:space="preserve">Competition </w:t>
      </w:r>
      <w:r w:rsidRPr="00541805">
        <w:rPr>
          <w:noProof/>
        </w:rPr>
        <w:t>aspects</w:t>
      </w:r>
      <w:r>
        <w:rPr>
          <w:noProof/>
        </w:rPr>
        <w:tab/>
      </w:r>
      <w:r>
        <w:rPr>
          <w:noProof/>
        </w:rPr>
        <w:tab/>
      </w:r>
      <w:r w:rsidRPr="00541805">
        <w:rPr>
          <w:noProof/>
        </w:rPr>
        <w:t>45</w:t>
      </w:r>
    </w:p>
    <w:p w14:paraId="7F1E7916" w14:textId="5915B2C3" w:rsidR="00541805" w:rsidRDefault="00541805" w:rsidP="00541805">
      <w:pPr>
        <w:pStyle w:val="TOC2"/>
        <w:ind w:right="992"/>
        <w:rPr>
          <w:rFonts w:asciiTheme="minorHAnsi" w:eastAsiaTheme="minorEastAsia" w:hAnsiTheme="minorHAnsi" w:cstheme="minorBidi"/>
          <w:noProof/>
          <w:sz w:val="22"/>
          <w:szCs w:val="22"/>
          <w:lang w:eastAsia="en-GB"/>
        </w:rPr>
      </w:pPr>
      <w:r w:rsidRPr="00D66230">
        <w:rPr>
          <w:iCs/>
          <w:noProof/>
        </w:rPr>
        <w:t>11.3</w:t>
      </w:r>
      <w:r>
        <w:rPr>
          <w:rFonts w:asciiTheme="minorHAnsi" w:eastAsiaTheme="minorEastAsia" w:hAnsiTheme="minorHAnsi" w:cstheme="minorBidi"/>
          <w:noProof/>
          <w:sz w:val="22"/>
          <w:szCs w:val="22"/>
          <w:lang w:eastAsia="en-GB"/>
        </w:rPr>
        <w:tab/>
      </w:r>
      <w:r>
        <w:rPr>
          <w:noProof/>
        </w:rPr>
        <w:t xml:space="preserve">Country </w:t>
      </w:r>
      <w:r w:rsidRPr="00541805">
        <w:rPr>
          <w:noProof/>
        </w:rPr>
        <w:t>examples</w:t>
      </w:r>
      <w:r>
        <w:rPr>
          <w:noProof/>
        </w:rPr>
        <w:tab/>
      </w:r>
      <w:r>
        <w:rPr>
          <w:noProof/>
        </w:rPr>
        <w:tab/>
      </w:r>
      <w:r w:rsidRPr="00541805">
        <w:rPr>
          <w:noProof/>
        </w:rPr>
        <w:t>46</w:t>
      </w:r>
    </w:p>
    <w:p w14:paraId="4F184E88" w14:textId="57E75484" w:rsidR="00541805" w:rsidRDefault="00541805" w:rsidP="00541805">
      <w:pPr>
        <w:pStyle w:val="TOC1"/>
        <w:ind w:right="992"/>
        <w:rPr>
          <w:rFonts w:asciiTheme="minorHAnsi" w:eastAsiaTheme="minorEastAsia" w:hAnsiTheme="minorHAnsi" w:cstheme="minorBidi"/>
          <w:noProof/>
          <w:sz w:val="22"/>
          <w:szCs w:val="22"/>
          <w:lang w:eastAsia="en-GB"/>
        </w:rPr>
      </w:pPr>
      <w:r>
        <w:rPr>
          <w:noProof/>
        </w:rPr>
        <w:t>G</w:t>
      </w:r>
      <w:r>
        <w:rPr>
          <w:rFonts w:asciiTheme="minorHAnsi" w:eastAsiaTheme="minorEastAsia" w:hAnsiTheme="minorHAnsi" w:cstheme="minorBidi"/>
          <w:noProof/>
          <w:sz w:val="22"/>
          <w:szCs w:val="22"/>
          <w:lang w:eastAsia="en-GB"/>
        </w:rPr>
        <w:tab/>
      </w:r>
      <w:r w:rsidRPr="00541805">
        <w:rPr>
          <w:noProof/>
        </w:rPr>
        <w:t>Agents</w:t>
      </w:r>
      <w:r>
        <w:rPr>
          <w:noProof/>
        </w:rPr>
        <w:tab/>
      </w:r>
      <w:r>
        <w:rPr>
          <w:noProof/>
        </w:rPr>
        <w:tab/>
      </w:r>
      <w:r w:rsidRPr="00541805">
        <w:rPr>
          <w:noProof/>
        </w:rPr>
        <w:t>46</w:t>
      </w:r>
    </w:p>
    <w:p w14:paraId="728995E3" w14:textId="4A527E93" w:rsidR="00541805" w:rsidRDefault="00541805" w:rsidP="00541805">
      <w:pPr>
        <w:pStyle w:val="TOC1"/>
        <w:ind w:right="992"/>
        <w:rPr>
          <w:rFonts w:asciiTheme="minorHAnsi" w:eastAsiaTheme="minorEastAsia" w:hAnsiTheme="minorHAnsi" w:cstheme="minorBidi"/>
          <w:noProof/>
          <w:sz w:val="22"/>
          <w:szCs w:val="22"/>
          <w:lang w:eastAsia="en-GB"/>
        </w:rPr>
      </w:pPr>
      <w:r>
        <w:rPr>
          <w:noProof/>
        </w:rPr>
        <w:t>12</w:t>
      </w:r>
      <w:r>
        <w:rPr>
          <w:rFonts w:asciiTheme="minorHAnsi" w:eastAsiaTheme="minorEastAsia" w:hAnsiTheme="minorHAnsi" w:cstheme="minorBidi"/>
          <w:noProof/>
          <w:sz w:val="22"/>
          <w:szCs w:val="22"/>
          <w:lang w:eastAsia="en-GB"/>
        </w:rPr>
        <w:tab/>
      </w:r>
      <w:r>
        <w:rPr>
          <w:noProof/>
        </w:rPr>
        <w:t xml:space="preserve">Agents in </w:t>
      </w:r>
      <w:r w:rsidRPr="00541805">
        <w:rPr>
          <w:noProof/>
        </w:rPr>
        <w:t>DFS</w:t>
      </w:r>
      <w:r>
        <w:rPr>
          <w:noProof/>
        </w:rPr>
        <w:tab/>
      </w:r>
      <w:r>
        <w:rPr>
          <w:noProof/>
        </w:rPr>
        <w:tab/>
      </w:r>
      <w:r w:rsidRPr="00541805">
        <w:rPr>
          <w:noProof/>
        </w:rPr>
        <w:t>46</w:t>
      </w:r>
    </w:p>
    <w:p w14:paraId="2348278B" w14:textId="4A010818" w:rsidR="00541805" w:rsidRDefault="00541805" w:rsidP="00541805">
      <w:pPr>
        <w:pStyle w:val="TOC2"/>
        <w:ind w:right="992"/>
        <w:rPr>
          <w:rFonts w:asciiTheme="minorHAnsi" w:eastAsiaTheme="minorEastAsia" w:hAnsiTheme="minorHAnsi" w:cstheme="minorBidi"/>
          <w:noProof/>
          <w:sz w:val="22"/>
          <w:szCs w:val="22"/>
          <w:lang w:eastAsia="en-GB"/>
        </w:rPr>
      </w:pPr>
      <w:r w:rsidRPr="00D66230">
        <w:rPr>
          <w:noProof/>
          <w:shd w:val="clear" w:color="auto" w:fill="FFFFFF"/>
        </w:rPr>
        <w:t>12.1</w:t>
      </w:r>
      <w:r>
        <w:rPr>
          <w:rFonts w:asciiTheme="minorHAnsi" w:eastAsiaTheme="minorEastAsia" w:hAnsiTheme="minorHAnsi" w:cstheme="minorBidi"/>
          <w:noProof/>
          <w:sz w:val="22"/>
          <w:szCs w:val="22"/>
          <w:lang w:eastAsia="en-GB"/>
        </w:rPr>
        <w:tab/>
      </w:r>
      <w:r w:rsidRPr="00541805">
        <w:rPr>
          <w:noProof/>
          <w:shd w:val="clear" w:color="auto" w:fill="FFFFFF"/>
        </w:rPr>
        <w:t>Overview</w:t>
      </w:r>
      <w:r>
        <w:rPr>
          <w:noProof/>
          <w:shd w:val="clear" w:color="auto" w:fill="FFFFFF"/>
        </w:rPr>
        <w:tab/>
      </w:r>
      <w:r>
        <w:rPr>
          <w:noProof/>
          <w:shd w:val="clear" w:color="auto" w:fill="FFFFFF"/>
        </w:rPr>
        <w:tab/>
      </w:r>
      <w:r w:rsidRPr="00541805">
        <w:rPr>
          <w:noProof/>
        </w:rPr>
        <w:t>46</w:t>
      </w:r>
    </w:p>
    <w:p w14:paraId="2221BF90" w14:textId="28308752" w:rsidR="00541805" w:rsidRDefault="00541805" w:rsidP="00541805">
      <w:pPr>
        <w:pStyle w:val="TOC2"/>
        <w:ind w:right="992"/>
        <w:rPr>
          <w:rFonts w:asciiTheme="minorHAnsi" w:eastAsiaTheme="minorEastAsia" w:hAnsiTheme="minorHAnsi" w:cstheme="minorBidi"/>
          <w:noProof/>
          <w:sz w:val="22"/>
          <w:szCs w:val="22"/>
          <w:lang w:eastAsia="en-GB"/>
        </w:rPr>
      </w:pPr>
      <w:r>
        <w:rPr>
          <w:noProof/>
        </w:rPr>
        <w:t>12.2</w:t>
      </w:r>
      <w:r>
        <w:rPr>
          <w:rFonts w:asciiTheme="minorHAnsi" w:eastAsiaTheme="minorEastAsia" w:hAnsiTheme="minorHAnsi" w:cstheme="minorBidi"/>
          <w:noProof/>
          <w:sz w:val="22"/>
          <w:szCs w:val="22"/>
          <w:lang w:eastAsia="en-GB"/>
        </w:rPr>
        <w:tab/>
      </w:r>
      <w:r>
        <w:rPr>
          <w:noProof/>
        </w:rPr>
        <w:t xml:space="preserve">Competition </w:t>
      </w:r>
      <w:r w:rsidRPr="00541805">
        <w:rPr>
          <w:noProof/>
        </w:rPr>
        <w:t>aspects</w:t>
      </w:r>
      <w:r>
        <w:rPr>
          <w:noProof/>
        </w:rPr>
        <w:tab/>
      </w:r>
      <w:r>
        <w:rPr>
          <w:noProof/>
        </w:rPr>
        <w:tab/>
      </w:r>
      <w:r w:rsidRPr="00541805">
        <w:rPr>
          <w:noProof/>
        </w:rPr>
        <w:t>47</w:t>
      </w:r>
    </w:p>
    <w:p w14:paraId="03BEB668" w14:textId="248C9D38" w:rsidR="00541805" w:rsidRDefault="00541805" w:rsidP="00541805">
      <w:pPr>
        <w:pStyle w:val="TOC2"/>
        <w:ind w:right="992"/>
        <w:rPr>
          <w:rFonts w:asciiTheme="minorHAnsi" w:eastAsiaTheme="minorEastAsia" w:hAnsiTheme="minorHAnsi" w:cstheme="minorBidi"/>
          <w:noProof/>
          <w:sz w:val="22"/>
          <w:szCs w:val="22"/>
          <w:lang w:eastAsia="en-GB"/>
        </w:rPr>
      </w:pPr>
      <w:r>
        <w:rPr>
          <w:noProof/>
        </w:rPr>
        <w:t>12.3</w:t>
      </w:r>
      <w:r>
        <w:rPr>
          <w:rFonts w:asciiTheme="minorHAnsi" w:eastAsiaTheme="minorEastAsia" w:hAnsiTheme="minorHAnsi" w:cstheme="minorBidi"/>
          <w:noProof/>
          <w:sz w:val="22"/>
          <w:szCs w:val="22"/>
          <w:lang w:eastAsia="en-GB"/>
        </w:rPr>
        <w:tab/>
      </w:r>
      <w:r>
        <w:rPr>
          <w:noProof/>
        </w:rPr>
        <w:t xml:space="preserve">Country </w:t>
      </w:r>
      <w:r w:rsidRPr="00541805">
        <w:rPr>
          <w:noProof/>
        </w:rPr>
        <w:t>examples</w:t>
      </w:r>
      <w:r>
        <w:rPr>
          <w:noProof/>
        </w:rPr>
        <w:tab/>
      </w:r>
      <w:r>
        <w:rPr>
          <w:noProof/>
        </w:rPr>
        <w:tab/>
      </w:r>
      <w:r w:rsidRPr="00541805">
        <w:rPr>
          <w:noProof/>
        </w:rPr>
        <w:t>47</w:t>
      </w:r>
    </w:p>
    <w:p w14:paraId="46686502" w14:textId="5026D7A1" w:rsidR="00541805" w:rsidRDefault="00541805" w:rsidP="00541805">
      <w:pPr>
        <w:pStyle w:val="TOC1"/>
        <w:ind w:right="992"/>
        <w:rPr>
          <w:rFonts w:asciiTheme="minorHAnsi" w:eastAsiaTheme="minorEastAsia" w:hAnsiTheme="minorHAnsi" w:cstheme="minorBidi"/>
          <w:noProof/>
          <w:sz w:val="22"/>
          <w:szCs w:val="22"/>
          <w:lang w:eastAsia="en-GB"/>
        </w:rPr>
      </w:pPr>
      <w:r>
        <w:rPr>
          <w:noProof/>
        </w:rPr>
        <w:t>H</w:t>
      </w:r>
      <w:r>
        <w:rPr>
          <w:rFonts w:asciiTheme="minorHAnsi" w:eastAsiaTheme="minorEastAsia" w:hAnsiTheme="minorHAnsi" w:cstheme="minorBidi"/>
          <w:noProof/>
          <w:sz w:val="22"/>
          <w:szCs w:val="22"/>
          <w:lang w:eastAsia="en-GB"/>
        </w:rPr>
        <w:tab/>
      </w:r>
      <w:r>
        <w:rPr>
          <w:noProof/>
        </w:rPr>
        <w:t xml:space="preserve">Technical and commercial responses to competition </w:t>
      </w:r>
      <w:r w:rsidRPr="00541805">
        <w:rPr>
          <w:noProof/>
        </w:rPr>
        <w:t>bottlenecks</w:t>
      </w:r>
      <w:r>
        <w:rPr>
          <w:noProof/>
        </w:rPr>
        <w:tab/>
      </w:r>
      <w:r>
        <w:rPr>
          <w:noProof/>
        </w:rPr>
        <w:tab/>
      </w:r>
      <w:r w:rsidRPr="00541805">
        <w:rPr>
          <w:noProof/>
        </w:rPr>
        <w:t>48</w:t>
      </w:r>
    </w:p>
    <w:p w14:paraId="2DF7E488" w14:textId="32288120" w:rsidR="00541805" w:rsidRDefault="00541805" w:rsidP="00541805">
      <w:pPr>
        <w:pStyle w:val="TOC1"/>
        <w:ind w:right="992"/>
        <w:rPr>
          <w:rFonts w:asciiTheme="minorHAnsi" w:eastAsiaTheme="minorEastAsia" w:hAnsiTheme="minorHAnsi" w:cstheme="minorBidi"/>
          <w:noProof/>
          <w:sz w:val="22"/>
          <w:szCs w:val="22"/>
          <w:lang w:eastAsia="en-GB"/>
        </w:rPr>
      </w:pPr>
      <w:r>
        <w:rPr>
          <w:noProof/>
        </w:rPr>
        <w:t>13</w:t>
      </w:r>
      <w:r>
        <w:rPr>
          <w:rFonts w:asciiTheme="minorHAnsi" w:eastAsiaTheme="minorEastAsia" w:hAnsiTheme="minorHAnsi" w:cstheme="minorBidi"/>
          <w:noProof/>
          <w:sz w:val="22"/>
          <w:szCs w:val="22"/>
          <w:lang w:eastAsia="en-GB"/>
        </w:rPr>
        <w:tab/>
      </w:r>
      <w:r>
        <w:rPr>
          <w:noProof/>
        </w:rPr>
        <w:t xml:space="preserve">Thin </w:t>
      </w:r>
      <w:r w:rsidRPr="00541805">
        <w:rPr>
          <w:noProof/>
        </w:rPr>
        <w:t>SIMS</w:t>
      </w:r>
      <w:r>
        <w:rPr>
          <w:noProof/>
        </w:rPr>
        <w:tab/>
      </w:r>
      <w:r>
        <w:rPr>
          <w:noProof/>
        </w:rPr>
        <w:tab/>
      </w:r>
      <w:r w:rsidRPr="00541805">
        <w:rPr>
          <w:noProof/>
        </w:rPr>
        <w:t>48</w:t>
      </w:r>
    </w:p>
    <w:p w14:paraId="1A06F0FA" w14:textId="62C36561" w:rsidR="00541805" w:rsidRDefault="00541805" w:rsidP="00541805">
      <w:pPr>
        <w:pStyle w:val="TOC2"/>
        <w:ind w:right="992"/>
        <w:rPr>
          <w:rFonts w:asciiTheme="minorHAnsi" w:eastAsiaTheme="minorEastAsia" w:hAnsiTheme="minorHAnsi" w:cstheme="minorBidi"/>
          <w:noProof/>
          <w:sz w:val="22"/>
          <w:szCs w:val="22"/>
          <w:lang w:eastAsia="en-GB"/>
        </w:rPr>
      </w:pPr>
      <w:r>
        <w:rPr>
          <w:noProof/>
        </w:rPr>
        <w:t>13.1</w:t>
      </w:r>
      <w:r>
        <w:rPr>
          <w:rFonts w:asciiTheme="minorHAnsi" w:eastAsiaTheme="minorEastAsia" w:hAnsiTheme="minorHAnsi" w:cstheme="minorBidi"/>
          <w:noProof/>
          <w:sz w:val="22"/>
          <w:szCs w:val="22"/>
          <w:lang w:eastAsia="en-GB"/>
        </w:rPr>
        <w:tab/>
      </w:r>
      <w:r w:rsidRPr="00541805">
        <w:rPr>
          <w:noProof/>
        </w:rPr>
        <w:t>Overview</w:t>
      </w:r>
      <w:r>
        <w:rPr>
          <w:noProof/>
        </w:rPr>
        <w:tab/>
      </w:r>
      <w:r>
        <w:rPr>
          <w:noProof/>
        </w:rPr>
        <w:tab/>
      </w:r>
      <w:r w:rsidRPr="00541805">
        <w:rPr>
          <w:noProof/>
        </w:rPr>
        <w:t>48</w:t>
      </w:r>
    </w:p>
    <w:p w14:paraId="175769CF" w14:textId="5880667D" w:rsidR="00541805" w:rsidRDefault="00541805" w:rsidP="00541805">
      <w:pPr>
        <w:pStyle w:val="TOC2"/>
        <w:ind w:right="992"/>
        <w:rPr>
          <w:rFonts w:asciiTheme="minorHAnsi" w:eastAsiaTheme="minorEastAsia" w:hAnsiTheme="minorHAnsi" w:cstheme="minorBidi"/>
          <w:noProof/>
          <w:sz w:val="22"/>
          <w:szCs w:val="22"/>
          <w:lang w:eastAsia="en-GB"/>
        </w:rPr>
      </w:pPr>
      <w:r>
        <w:rPr>
          <w:noProof/>
        </w:rPr>
        <w:t>13.2</w:t>
      </w:r>
      <w:r>
        <w:rPr>
          <w:rFonts w:asciiTheme="minorHAnsi" w:eastAsiaTheme="minorEastAsia" w:hAnsiTheme="minorHAnsi" w:cstheme="minorBidi"/>
          <w:noProof/>
          <w:sz w:val="22"/>
          <w:szCs w:val="22"/>
          <w:lang w:eastAsia="en-GB"/>
        </w:rPr>
        <w:tab/>
      </w:r>
      <w:r>
        <w:rPr>
          <w:noProof/>
        </w:rPr>
        <w:t xml:space="preserve">Country </w:t>
      </w:r>
      <w:r w:rsidRPr="00541805">
        <w:rPr>
          <w:noProof/>
        </w:rPr>
        <w:t>examples</w:t>
      </w:r>
      <w:r>
        <w:rPr>
          <w:noProof/>
        </w:rPr>
        <w:tab/>
      </w:r>
      <w:r>
        <w:rPr>
          <w:noProof/>
        </w:rPr>
        <w:tab/>
      </w:r>
      <w:r w:rsidRPr="00541805">
        <w:rPr>
          <w:noProof/>
        </w:rPr>
        <w:t>49</w:t>
      </w:r>
    </w:p>
    <w:p w14:paraId="0F82EC84" w14:textId="5FE91DF0" w:rsidR="00541805" w:rsidRDefault="00541805" w:rsidP="00541805">
      <w:pPr>
        <w:pStyle w:val="TOC1"/>
        <w:ind w:right="992"/>
        <w:rPr>
          <w:rFonts w:asciiTheme="minorHAnsi" w:eastAsiaTheme="minorEastAsia" w:hAnsiTheme="minorHAnsi" w:cstheme="minorBidi"/>
          <w:noProof/>
          <w:sz w:val="22"/>
          <w:szCs w:val="22"/>
          <w:lang w:eastAsia="en-GB"/>
        </w:rPr>
      </w:pPr>
      <w:r>
        <w:rPr>
          <w:noProof/>
        </w:rPr>
        <w:t>14</w:t>
      </w:r>
      <w:r>
        <w:rPr>
          <w:rFonts w:asciiTheme="minorHAnsi" w:eastAsiaTheme="minorEastAsia" w:hAnsiTheme="minorHAnsi" w:cstheme="minorBidi"/>
          <w:noProof/>
          <w:sz w:val="22"/>
          <w:szCs w:val="22"/>
          <w:lang w:eastAsia="en-GB"/>
        </w:rPr>
        <w:tab/>
      </w:r>
      <w:r>
        <w:rPr>
          <w:noProof/>
        </w:rPr>
        <w:t xml:space="preserve">Sound-based payment </w:t>
      </w:r>
      <w:r w:rsidRPr="00541805">
        <w:rPr>
          <w:noProof/>
        </w:rPr>
        <w:t>access</w:t>
      </w:r>
      <w:r>
        <w:rPr>
          <w:noProof/>
        </w:rPr>
        <w:tab/>
      </w:r>
      <w:r>
        <w:rPr>
          <w:noProof/>
        </w:rPr>
        <w:tab/>
      </w:r>
      <w:r w:rsidRPr="00541805">
        <w:rPr>
          <w:noProof/>
        </w:rPr>
        <w:t>50</w:t>
      </w:r>
    </w:p>
    <w:p w14:paraId="2CB82DEA" w14:textId="79B6146B" w:rsidR="00541805" w:rsidRDefault="00541805" w:rsidP="00541805">
      <w:pPr>
        <w:pStyle w:val="TOC2"/>
        <w:ind w:right="992"/>
        <w:rPr>
          <w:rFonts w:asciiTheme="minorHAnsi" w:eastAsiaTheme="minorEastAsia" w:hAnsiTheme="minorHAnsi" w:cstheme="minorBidi"/>
          <w:noProof/>
          <w:sz w:val="22"/>
          <w:szCs w:val="22"/>
          <w:lang w:eastAsia="en-GB"/>
        </w:rPr>
      </w:pPr>
      <w:r>
        <w:rPr>
          <w:noProof/>
        </w:rPr>
        <w:t>14.1</w:t>
      </w:r>
      <w:r>
        <w:rPr>
          <w:rFonts w:asciiTheme="minorHAnsi" w:eastAsiaTheme="minorEastAsia" w:hAnsiTheme="minorHAnsi" w:cstheme="minorBidi"/>
          <w:noProof/>
          <w:sz w:val="22"/>
          <w:szCs w:val="22"/>
          <w:lang w:eastAsia="en-GB"/>
        </w:rPr>
        <w:tab/>
      </w:r>
      <w:r w:rsidRPr="00541805">
        <w:rPr>
          <w:noProof/>
        </w:rPr>
        <w:t>Overview</w:t>
      </w:r>
      <w:r>
        <w:rPr>
          <w:noProof/>
        </w:rPr>
        <w:tab/>
      </w:r>
      <w:r>
        <w:rPr>
          <w:noProof/>
        </w:rPr>
        <w:tab/>
      </w:r>
      <w:r w:rsidRPr="00541805">
        <w:rPr>
          <w:noProof/>
        </w:rPr>
        <w:t>50</w:t>
      </w:r>
    </w:p>
    <w:p w14:paraId="30C6390F" w14:textId="6E8F9A4E" w:rsidR="00541805" w:rsidRDefault="00541805" w:rsidP="00541805">
      <w:pPr>
        <w:pStyle w:val="TOC2"/>
        <w:ind w:right="992"/>
        <w:rPr>
          <w:rFonts w:asciiTheme="minorHAnsi" w:eastAsiaTheme="minorEastAsia" w:hAnsiTheme="minorHAnsi" w:cstheme="minorBidi"/>
          <w:noProof/>
          <w:sz w:val="22"/>
          <w:szCs w:val="22"/>
          <w:lang w:eastAsia="en-GB"/>
        </w:rPr>
      </w:pPr>
      <w:r>
        <w:rPr>
          <w:noProof/>
        </w:rPr>
        <w:t>14.2</w:t>
      </w:r>
      <w:r>
        <w:rPr>
          <w:rFonts w:asciiTheme="minorHAnsi" w:eastAsiaTheme="minorEastAsia" w:hAnsiTheme="minorHAnsi" w:cstheme="minorBidi"/>
          <w:noProof/>
          <w:sz w:val="22"/>
          <w:szCs w:val="22"/>
          <w:lang w:eastAsia="en-GB"/>
        </w:rPr>
        <w:tab/>
      </w:r>
      <w:r>
        <w:rPr>
          <w:noProof/>
        </w:rPr>
        <w:t xml:space="preserve">Country </w:t>
      </w:r>
      <w:r w:rsidRPr="00541805">
        <w:rPr>
          <w:noProof/>
        </w:rPr>
        <w:t>Examples</w:t>
      </w:r>
      <w:r>
        <w:rPr>
          <w:noProof/>
        </w:rPr>
        <w:tab/>
      </w:r>
      <w:r>
        <w:rPr>
          <w:noProof/>
        </w:rPr>
        <w:tab/>
      </w:r>
      <w:r w:rsidRPr="00541805">
        <w:rPr>
          <w:noProof/>
        </w:rPr>
        <w:t>50</w:t>
      </w:r>
    </w:p>
    <w:p w14:paraId="3F87C021" w14:textId="3277B89D" w:rsidR="00541805" w:rsidRDefault="00541805" w:rsidP="00541805">
      <w:pPr>
        <w:pStyle w:val="TOC1"/>
        <w:ind w:right="992"/>
        <w:rPr>
          <w:rFonts w:asciiTheme="minorHAnsi" w:eastAsiaTheme="minorEastAsia" w:hAnsiTheme="minorHAnsi" w:cstheme="minorBidi"/>
          <w:noProof/>
          <w:sz w:val="22"/>
          <w:szCs w:val="22"/>
          <w:lang w:eastAsia="en-GB"/>
        </w:rPr>
      </w:pPr>
      <w:r>
        <w:rPr>
          <w:noProof/>
        </w:rPr>
        <w:t>15</w:t>
      </w:r>
      <w:r>
        <w:rPr>
          <w:rFonts w:asciiTheme="minorHAnsi" w:eastAsiaTheme="minorEastAsia" w:hAnsiTheme="minorHAnsi" w:cstheme="minorBidi"/>
          <w:noProof/>
          <w:sz w:val="22"/>
          <w:szCs w:val="22"/>
          <w:lang w:eastAsia="en-GB"/>
        </w:rPr>
        <w:tab/>
      </w:r>
      <w:r>
        <w:rPr>
          <w:noProof/>
        </w:rPr>
        <w:t xml:space="preserve">Java </w:t>
      </w:r>
      <w:r w:rsidRPr="00541805">
        <w:rPr>
          <w:noProof/>
        </w:rPr>
        <w:t>applets</w:t>
      </w:r>
      <w:r>
        <w:rPr>
          <w:noProof/>
        </w:rPr>
        <w:tab/>
      </w:r>
      <w:r>
        <w:rPr>
          <w:noProof/>
        </w:rPr>
        <w:tab/>
      </w:r>
      <w:r w:rsidRPr="00541805">
        <w:rPr>
          <w:noProof/>
        </w:rPr>
        <w:t>50</w:t>
      </w:r>
    </w:p>
    <w:p w14:paraId="55E276FF" w14:textId="50C8AF11" w:rsidR="00541805" w:rsidRDefault="00541805" w:rsidP="00541805">
      <w:pPr>
        <w:pStyle w:val="TOC2"/>
        <w:ind w:right="992"/>
        <w:rPr>
          <w:rFonts w:asciiTheme="minorHAnsi" w:eastAsiaTheme="minorEastAsia" w:hAnsiTheme="minorHAnsi" w:cstheme="minorBidi"/>
          <w:noProof/>
          <w:sz w:val="22"/>
          <w:szCs w:val="22"/>
          <w:lang w:eastAsia="en-GB"/>
        </w:rPr>
      </w:pPr>
      <w:r>
        <w:rPr>
          <w:noProof/>
        </w:rPr>
        <w:t>15.1</w:t>
      </w:r>
      <w:r>
        <w:rPr>
          <w:rFonts w:asciiTheme="minorHAnsi" w:eastAsiaTheme="minorEastAsia" w:hAnsiTheme="minorHAnsi" w:cstheme="minorBidi"/>
          <w:noProof/>
          <w:sz w:val="22"/>
          <w:szCs w:val="22"/>
          <w:lang w:eastAsia="en-GB"/>
        </w:rPr>
        <w:tab/>
      </w:r>
      <w:r w:rsidRPr="00541805">
        <w:rPr>
          <w:noProof/>
        </w:rPr>
        <w:t>Overview</w:t>
      </w:r>
      <w:r>
        <w:rPr>
          <w:noProof/>
        </w:rPr>
        <w:tab/>
      </w:r>
      <w:r>
        <w:rPr>
          <w:noProof/>
        </w:rPr>
        <w:tab/>
      </w:r>
      <w:r w:rsidRPr="00541805">
        <w:rPr>
          <w:noProof/>
        </w:rPr>
        <w:t>50</w:t>
      </w:r>
    </w:p>
    <w:p w14:paraId="6BFBF9A3" w14:textId="1FA195BA" w:rsidR="00541805" w:rsidRDefault="00541805" w:rsidP="00541805">
      <w:pPr>
        <w:pStyle w:val="TOC2"/>
        <w:ind w:right="992"/>
        <w:rPr>
          <w:rFonts w:asciiTheme="minorHAnsi" w:eastAsiaTheme="minorEastAsia" w:hAnsiTheme="minorHAnsi" w:cstheme="minorBidi"/>
          <w:noProof/>
          <w:sz w:val="22"/>
          <w:szCs w:val="22"/>
          <w:lang w:eastAsia="en-GB"/>
        </w:rPr>
      </w:pPr>
      <w:r>
        <w:rPr>
          <w:noProof/>
        </w:rPr>
        <w:t>15.2</w:t>
      </w:r>
      <w:r>
        <w:rPr>
          <w:rFonts w:asciiTheme="minorHAnsi" w:eastAsiaTheme="minorEastAsia" w:hAnsiTheme="minorHAnsi" w:cstheme="minorBidi"/>
          <w:noProof/>
          <w:sz w:val="22"/>
          <w:szCs w:val="22"/>
          <w:lang w:eastAsia="en-GB"/>
        </w:rPr>
        <w:tab/>
      </w:r>
      <w:r>
        <w:rPr>
          <w:noProof/>
        </w:rPr>
        <w:t xml:space="preserve">Country </w:t>
      </w:r>
      <w:r w:rsidRPr="00541805">
        <w:rPr>
          <w:noProof/>
        </w:rPr>
        <w:t>examples</w:t>
      </w:r>
      <w:r>
        <w:rPr>
          <w:noProof/>
        </w:rPr>
        <w:tab/>
      </w:r>
      <w:r>
        <w:rPr>
          <w:noProof/>
        </w:rPr>
        <w:tab/>
      </w:r>
      <w:r w:rsidRPr="00541805">
        <w:rPr>
          <w:noProof/>
        </w:rPr>
        <w:t>51</w:t>
      </w:r>
    </w:p>
    <w:p w14:paraId="3CA4DCB9" w14:textId="0DB1F86F" w:rsidR="00541805" w:rsidRDefault="00541805" w:rsidP="00541805">
      <w:pPr>
        <w:pStyle w:val="TOC1"/>
        <w:ind w:right="992"/>
        <w:rPr>
          <w:rFonts w:asciiTheme="minorHAnsi" w:eastAsiaTheme="minorEastAsia" w:hAnsiTheme="minorHAnsi" w:cstheme="minorBidi"/>
          <w:noProof/>
          <w:sz w:val="22"/>
          <w:szCs w:val="22"/>
          <w:lang w:eastAsia="en-GB"/>
        </w:rPr>
      </w:pPr>
      <w:r>
        <w:rPr>
          <w:noProof/>
        </w:rPr>
        <w:t>16</w:t>
      </w:r>
      <w:r>
        <w:rPr>
          <w:rFonts w:asciiTheme="minorHAnsi" w:eastAsiaTheme="minorEastAsia" w:hAnsiTheme="minorHAnsi" w:cstheme="minorBidi"/>
          <w:noProof/>
          <w:sz w:val="22"/>
          <w:szCs w:val="22"/>
          <w:lang w:eastAsia="en-GB"/>
        </w:rPr>
        <w:tab/>
      </w:r>
      <w:r>
        <w:rPr>
          <w:noProof/>
        </w:rPr>
        <w:t xml:space="preserve">Smartphone-based </w:t>
      </w:r>
      <w:r w:rsidRPr="00541805">
        <w:rPr>
          <w:noProof/>
        </w:rPr>
        <w:t>interfaces</w:t>
      </w:r>
      <w:r>
        <w:rPr>
          <w:noProof/>
        </w:rPr>
        <w:tab/>
      </w:r>
      <w:r>
        <w:rPr>
          <w:noProof/>
        </w:rPr>
        <w:tab/>
      </w:r>
      <w:r w:rsidRPr="00541805">
        <w:rPr>
          <w:noProof/>
        </w:rPr>
        <w:t>51</w:t>
      </w:r>
    </w:p>
    <w:p w14:paraId="1BB47E73" w14:textId="2E792804" w:rsidR="00541805" w:rsidRDefault="00541805" w:rsidP="00541805">
      <w:pPr>
        <w:pStyle w:val="TOC1"/>
        <w:ind w:right="992"/>
        <w:rPr>
          <w:rFonts w:asciiTheme="minorHAnsi" w:eastAsiaTheme="minorEastAsia" w:hAnsiTheme="minorHAnsi" w:cstheme="minorBidi"/>
          <w:noProof/>
          <w:sz w:val="22"/>
          <w:szCs w:val="22"/>
          <w:lang w:eastAsia="en-GB"/>
        </w:rPr>
      </w:pPr>
      <w:r>
        <w:rPr>
          <w:noProof/>
        </w:rPr>
        <w:t>16.1</w:t>
      </w:r>
      <w:r>
        <w:rPr>
          <w:rFonts w:asciiTheme="minorHAnsi" w:eastAsiaTheme="minorEastAsia" w:hAnsiTheme="minorHAnsi" w:cstheme="minorBidi"/>
          <w:noProof/>
          <w:sz w:val="22"/>
          <w:szCs w:val="22"/>
          <w:lang w:eastAsia="en-GB"/>
        </w:rPr>
        <w:tab/>
      </w:r>
      <w:r w:rsidRPr="00541805">
        <w:rPr>
          <w:noProof/>
        </w:rPr>
        <w:t>Overview</w:t>
      </w:r>
      <w:r>
        <w:rPr>
          <w:noProof/>
        </w:rPr>
        <w:tab/>
      </w:r>
      <w:r>
        <w:rPr>
          <w:noProof/>
        </w:rPr>
        <w:tab/>
      </w:r>
      <w:r w:rsidRPr="00541805">
        <w:rPr>
          <w:noProof/>
        </w:rPr>
        <w:t>51</w:t>
      </w:r>
    </w:p>
    <w:p w14:paraId="7663C210" w14:textId="440EA163" w:rsidR="00541805" w:rsidRDefault="00541805" w:rsidP="00541805">
      <w:pPr>
        <w:pStyle w:val="TOC2"/>
        <w:ind w:right="992"/>
        <w:rPr>
          <w:rFonts w:asciiTheme="minorHAnsi" w:eastAsiaTheme="minorEastAsia" w:hAnsiTheme="minorHAnsi" w:cstheme="minorBidi"/>
          <w:noProof/>
          <w:sz w:val="22"/>
          <w:szCs w:val="22"/>
          <w:lang w:eastAsia="en-GB"/>
        </w:rPr>
      </w:pPr>
      <w:r>
        <w:rPr>
          <w:noProof/>
        </w:rPr>
        <w:t>17.1</w:t>
      </w:r>
      <w:r>
        <w:rPr>
          <w:rFonts w:asciiTheme="minorHAnsi" w:eastAsiaTheme="minorEastAsia" w:hAnsiTheme="minorHAnsi" w:cstheme="minorBidi"/>
          <w:noProof/>
          <w:sz w:val="22"/>
          <w:szCs w:val="22"/>
          <w:lang w:eastAsia="en-GB"/>
        </w:rPr>
        <w:tab/>
      </w:r>
      <w:r w:rsidRPr="00541805">
        <w:rPr>
          <w:noProof/>
        </w:rPr>
        <w:t>Overview</w:t>
      </w:r>
      <w:r>
        <w:rPr>
          <w:noProof/>
        </w:rPr>
        <w:tab/>
      </w:r>
      <w:r>
        <w:rPr>
          <w:noProof/>
        </w:rPr>
        <w:tab/>
      </w:r>
      <w:r w:rsidRPr="00541805">
        <w:rPr>
          <w:noProof/>
        </w:rPr>
        <w:t>52</w:t>
      </w:r>
    </w:p>
    <w:p w14:paraId="6C18DA2B" w14:textId="32F6FA95" w:rsidR="00541805" w:rsidRDefault="00541805" w:rsidP="00541805">
      <w:pPr>
        <w:pStyle w:val="TOC2"/>
        <w:ind w:right="992"/>
        <w:rPr>
          <w:rFonts w:asciiTheme="minorHAnsi" w:eastAsiaTheme="minorEastAsia" w:hAnsiTheme="minorHAnsi" w:cstheme="minorBidi"/>
          <w:noProof/>
          <w:sz w:val="22"/>
          <w:szCs w:val="22"/>
          <w:lang w:eastAsia="en-GB"/>
        </w:rPr>
      </w:pPr>
      <w:r>
        <w:rPr>
          <w:noProof/>
        </w:rPr>
        <w:t>17.2</w:t>
      </w:r>
      <w:r>
        <w:rPr>
          <w:rFonts w:asciiTheme="minorHAnsi" w:eastAsiaTheme="minorEastAsia" w:hAnsiTheme="minorHAnsi" w:cstheme="minorBidi"/>
          <w:noProof/>
          <w:sz w:val="22"/>
          <w:szCs w:val="22"/>
          <w:lang w:eastAsia="en-GB"/>
        </w:rPr>
        <w:tab/>
      </w:r>
      <w:r>
        <w:rPr>
          <w:noProof/>
        </w:rPr>
        <w:t xml:space="preserve">Country </w:t>
      </w:r>
      <w:r w:rsidRPr="00541805">
        <w:rPr>
          <w:noProof/>
        </w:rPr>
        <w:t>examples</w:t>
      </w:r>
      <w:r>
        <w:rPr>
          <w:noProof/>
        </w:rPr>
        <w:tab/>
      </w:r>
      <w:r>
        <w:rPr>
          <w:noProof/>
        </w:rPr>
        <w:tab/>
      </w:r>
      <w:r w:rsidRPr="00541805">
        <w:rPr>
          <w:noProof/>
        </w:rPr>
        <w:t>52</w:t>
      </w:r>
    </w:p>
    <w:p w14:paraId="1076954A" w14:textId="76A0B358" w:rsidR="00541805" w:rsidRDefault="00541805" w:rsidP="00541805">
      <w:pPr>
        <w:pStyle w:val="TOC1"/>
        <w:ind w:right="992"/>
        <w:rPr>
          <w:rFonts w:asciiTheme="minorHAnsi" w:eastAsiaTheme="minorEastAsia" w:hAnsiTheme="minorHAnsi" w:cstheme="minorBidi"/>
          <w:noProof/>
          <w:sz w:val="22"/>
          <w:szCs w:val="22"/>
          <w:lang w:eastAsia="en-GB"/>
        </w:rPr>
      </w:pPr>
      <w:r>
        <w:rPr>
          <w:noProof/>
        </w:rPr>
        <w:t>18</w:t>
      </w:r>
      <w:r>
        <w:rPr>
          <w:rFonts w:asciiTheme="minorHAnsi" w:eastAsiaTheme="minorEastAsia" w:hAnsiTheme="minorHAnsi" w:cstheme="minorBidi"/>
          <w:noProof/>
          <w:sz w:val="22"/>
          <w:szCs w:val="22"/>
          <w:lang w:eastAsia="en-GB"/>
        </w:rPr>
        <w:tab/>
      </w:r>
      <w:r>
        <w:rPr>
          <w:noProof/>
        </w:rPr>
        <w:t xml:space="preserve">New payment rails and </w:t>
      </w:r>
      <w:r w:rsidRPr="00541805">
        <w:rPr>
          <w:noProof/>
        </w:rPr>
        <w:t>interfaces</w:t>
      </w:r>
      <w:r>
        <w:rPr>
          <w:noProof/>
        </w:rPr>
        <w:tab/>
      </w:r>
      <w:r>
        <w:rPr>
          <w:noProof/>
        </w:rPr>
        <w:tab/>
      </w:r>
      <w:r w:rsidRPr="00541805">
        <w:rPr>
          <w:noProof/>
        </w:rPr>
        <w:t>53</w:t>
      </w:r>
    </w:p>
    <w:p w14:paraId="304A007D" w14:textId="2789AB48" w:rsidR="00541805" w:rsidRDefault="00541805" w:rsidP="00541805">
      <w:pPr>
        <w:pStyle w:val="TOC2"/>
        <w:ind w:right="992"/>
        <w:rPr>
          <w:rFonts w:asciiTheme="minorHAnsi" w:eastAsiaTheme="minorEastAsia" w:hAnsiTheme="minorHAnsi" w:cstheme="minorBidi"/>
          <w:noProof/>
          <w:sz w:val="22"/>
          <w:szCs w:val="22"/>
          <w:lang w:eastAsia="en-GB"/>
        </w:rPr>
      </w:pPr>
      <w:r>
        <w:rPr>
          <w:noProof/>
        </w:rPr>
        <w:t>18.1</w:t>
      </w:r>
      <w:r>
        <w:rPr>
          <w:rFonts w:asciiTheme="minorHAnsi" w:eastAsiaTheme="minorEastAsia" w:hAnsiTheme="minorHAnsi" w:cstheme="minorBidi"/>
          <w:noProof/>
          <w:sz w:val="22"/>
          <w:szCs w:val="22"/>
          <w:lang w:eastAsia="en-GB"/>
        </w:rPr>
        <w:tab/>
      </w:r>
      <w:r w:rsidRPr="00541805">
        <w:rPr>
          <w:noProof/>
        </w:rPr>
        <w:t>Overview</w:t>
      </w:r>
      <w:r>
        <w:rPr>
          <w:noProof/>
        </w:rPr>
        <w:tab/>
      </w:r>
      <w:r>
        <w:rPr>
          <w:noProof/>
        </w:rPr>
        <w:tab/>
      </w:r>
      <w:r w:rsidRPr="00541805">
        <w:rPr>
          <w:noProof/>
        </w:rPr>
        <w:t>53</w:t>
      </w:r>
    </w:p>
    <w:p w14:paraId="220195A0" w14:textId="17B79B58" w:rsidR="00541805" w:rsidRDefault="00541805" w:rsidP="00541805">
      <w:pPr>
        <w:pStyle w:val="TOC2"/>
        <w:ind w:right="992"/>
        <w:rPr>
          <w:rFonts w:asciiTheme="minorHAnsi" w:eastAsiaTheme="minorEastAsia" w:hAnsiTheme="minorHAnsi" w:cstheme="minorBidi"/>
          <w:noProof/>
          <w:sz w:val="22"/>
          <w:szCs w:val="22"/>
          <w:lang w:eastAsia="en-GB"/>
        </w:rPr>
      </w:pPr>
      <w:r>
        <w:rPr>
          <w:noProof/>
        </w:rPr>
        <w:t>18.2</w:t>
      </w:r>
      <w:r>
        <w:rPr>
          <w:rFonts w:asciiTheme="minorHAnsi" w:eastAsiaTheme="minorEastAsia" w:hAnsiTheme="minorHAnsi" w:cstheme="minorBidi"/>
          <w:noProof/>
          <w:sz w:val="22"/>
          <w:szCs w:val="22"/>
          <w:lang w:eastAsia="en-GB"/>
        </w:rPr>
        <w:tab/>
      </w:r>
      <w:r>
        <w:rPr>
          <w:noProof/>
        </w:rPr>
        <w:t xml:space="preserve">Country </w:t>
      </w:r>
      <w:r w:rsidRPr="00541805">
        <w:rPr>
          <w:noProof/>
        </w:rPr>
        <w:t>examples</w:t>
      </w:r>
      <w:r>
        <w:rPr>
          <w:noProof/>
        </w:rPr>
        <w:tab/>
      </w:r>
      <w:r>
        <w:rPr>
          <w:noProof/>
        </w:rPr>
        <w:tab/>
      </w:r>
      <w:r w:rsidRPr="00541805">
        <w:rPr>
          <w:noProof/>
        </w:rPr>
        <w:t>54</w:t>
      </w:r>
    </w:p>
    <w:p w14:paraId="31D5E947" w14:textId="2D25D780" w:rsidR="00541805" w:rsidRDefault="00541805" w:rsidP="00541805">
      <w:pPr>
        <w:pStyle w:val="TOC1"/>
        <w:ind w:right="992"/>
        <w:rPr>
          <w:rFonts w:asciiTheme="minorHAnsi" w:eastAsiaTheme="minorEastAsia" w:hAnsiTheme="minorHAnsi" w:cstheme="minorBidi"/>
          <w:noProof/>
          <w:sz w:val="22"/>
          <w:szCs w:val="22"/>
          <w:lang w:eastAsia="en-GB"/>
        </w:rPr>
      </w:pPr>
      <w:r w:rsidRPr="00D66230">
        <w:rPr>
          <w:noProof/>
          <w:color w:val="000000" w:themeColor="text1"/>
        </w:rPr>
        <w:t xml:space="preserve">Annex A  Competition </w:t>
      </w:r>
      <w:r w:rsidRPr="00541805">
        <w:rPr>
          <w:noProof/>
          <w:color w:val="000000" w:themeColor="text1"/>
        </w:rPr>
        <w:t>Primer</w:t>
      </w:r>
      <w:r>
        <w:rPr>
          <w:noProof/>
          <w:color w:val="000000" w:themeColor="text1"/>
        </w:rPr>
        <w:tab/>
      </w:r>
      <w:r>
        <w:rPr>
          <w:noProof/>
          <w:color w:val="000000" w:themeColor="text1"/>
        </w:rPr>
        <w:tab/>
      </w:r>
      <w:r w:rsidRPr="00541805">
        <w:rPr>
          <w:noProof/>
        </w:rPr>
        <w:t>56</w:t>
      </w:r>
    </w:p>
    <w:p w14:paraId="76630D93" w14:textId="1A144CEE" w:rsidR="00541805" w:rsidRPr="00541805" w:rsidRDefault="00541805" w:rsidP="00541805">
      <w:pPr>
        <w:pStyle w:val="TOC1"/>
        <w:ind w:right="992"/>
        <w:rPr>
          <w:rFonts w:asciiTheme="minorHAnsi" w:eastAsiaTheme="minorEastAsia" w:hAnsiTheme="minorHAnsi" w:cstheme="minorBidi"/>
          <w:noProof/>
          <w:sz w:val="22"/>
          <w:szCs w:val="22"/>
          <w:lang w:val="fr-CH" w:eastAsia="en-GB"/>
        </w:rPr>
      </w:pPr>
      <w:r w:rsidRPr="00541805">
        <w:rPr>
          <w:noProof/>
          <w:lang w:val="fr-CH"/>
        </w:rPr>
        <w:t>1</w:t>
      </w:r>
      <w:r w:rsidRPr="00541805">
        <w:rPr>
          <w:rFonts w:asciiTheme="minorHAnsi" w:eastAsiaTheme="minorEastAsia" w:hAnsiTheme="minorHAnsi" w:cstheme="minorBidi"/>
          <w:noProof/>
          <w:sz w:val="22"/>
          <w:szCs w:val="22"/>
          <w:lang w:val="fr-CH" w:eastAsia="en-GB"/>
        </w:rPr>
        <w:tab/>
      </w:r>
      <w:r w:rsidRPr="00541805">
        <w:rPr>
          <w:noProof/>
          <w:lang w:val="fr-CH"/>
        </w:rPr>
        <w:t>Horizontal cartels</w:t>
      </w:r>
      <w:r w:rsidRPr="00541805">
        <w:rPr>
          <w:noProof/>
          <w:lang w:val="fr-CH"/>
        </w:rPr>
        <w:tab/>
      </w:r>
      <w:r w:rsidRPr="00541805">
        <w:rPr>
          <w:noProof/>
          <w:lang w:val="fr-CH"/>
        </w:rPr>
        <w:tab/>
        <w:t>56</w:t>
      </w:r>
    </w:p>
    <w:p w14:paraId="33100F7D" w14:textId="4ED43DDC" w:rsidR="00541805" w:rsidRPr="00541805" w:rsidRDefault="00541805" w:rsidP="00541805">
      <w:pPr>
        <w:pStyle w:val="toc0"/>
        <w:rPr>
          <w:noProof/>
          <w:lang w:val="fr-CH"/>
        </w:rPr>
      </w:pPr>
      <w:r w:rsidRPr="00541805">
        <w:rPr>
          <w:noProof/>
          <w:lang w:val="fr-CH"/>
        </w:rPr>
        <w:lastRenderedPageBreak/>
        <w:tab/>
        <w:t>Page</w:t>
      </w:r>
    </w:p>
    <w:p w14:paraId="510CB6DD" w14:textId="2136D635" w:rsidR="00541805" w:rsidRPr="00541805" w:rsidRDefault="00541805" w:rsidP="00541805">
      <w:pPr>
        <w:pStyle w:val="TOC1"/>
        <w:ind w:right="992"/>
        <w:rPr>
          <w:rFonts w:asciiTheme="minorHAnsi" w:eastAsiaTheme="minorEastAsia" w:hAnsiTheme="minorHAnsi" w:cstheme="minorBidi"/>
          <w:noProof/>
          <w:sz w:val="22"/>
          <w:szCs w:val="22"/>
          <w:lang w:val="fr-CH" w:eastAsia="en-GB"/>
        </w:rPr>
      </w:pPr>
      <w:r w:rsidRPr="00541805">
        <w:rPr>
          <w:noProof/>
          <w:lang w:val="fr-CH"/>
        </w:rPr>
        <w:t>2</w:t>
      </w:r>
      <w:r w:rsidRPr="00541805">
        <w:rPr>
          <w:rFonts w:asciiTheme="minorHAnsi" w:eastAsiaTheme="minorEastAsia" w:hAnsiTheme="minorHAnsi" w:cstheme="minorBidi"/>
          <w:noProof/>
          <w:sz w:val="22"/>
          <w:szCs w:val="22"/>
          <w:lang w:val="fr-CH" w:eastAsia="en-GB"/>
        </w:rPr>
        <w:tab/>
      </w:r>
      <w:r w:rsidRPr="00541805">
        <w:rPr>
          <w:noProof/>
          <w:lang w:val="fr-CH"/>
        </w:rPr>
        <w:t>Vertical restrictions</w:t>
      </w:r>
      <w:r w:rsidRPr="00541805">
        <w:rPr>
          <w:noProof/>
          <w:lang w:val="fr-CH"/>
        </w:rPr>
        <w:tab/>
      </w:r>
      <w:r w:rsidRPr="00541805">
        <w:rPr>
          <w:noProof/>
          <w:lang w:val="fr-CH"/>
        </w:rPr>
        <w:tab/>
        <w:t>56</w:t>
      </w:r>
    </w:p>
    <w:p w14:paraId="6FD01CDD" w14:textId="489FF722" w:rsidR="00541805" w:rsidRDefault="00541805" w:rsidP="00541805">
      <w:pPr>
        <w:pStyle w:val="TOC1"/>
        <w:ind w:right="992"/>
        <w:rPr>
          <w:rFonts w:asciiTheme="minorHAnsi" w:eastAsiaTheme="minorEastAsia" w:hAnsiTheme="minorHAnsi" w:cstheme="minorBidi"/>
          <w:noProof/>
          <w:sz w:val="22"/>
          <w:szCs w:val="22"/>
          <w:lang w:eastAsia="en-GB"/>
        </w:rPr>
      </w:pPr>
      <w:r>
        <w:rPr>
          <w:noProof/>
        </w:rPr>
        <w:t>3</w:t>
      </w:r>
      <w:r>
        <w:rPr>
          <w:rFonts w:asciiTheme="minorHAnsi" w:eastAsiaTheme="minorEastAsia" w:hAnsiTheme="minorHAnsi" w:cstheme="minorBidi"/>
          <w:noProof/>
          <w:sz w:val="22"/>
          <w:szCs w:val="22"/>
          <w:lang w:eastAsia="en-GB"/>
        </w:rPr>
        <w:tab/>
      </w:r>
      <w:r>
        <w:rPr>
          <w:noProof/>
        </w:rPr>
        <w:t xml:space="preserve">Abuse of </w:t>
      </w:r>
      <w:r w:rsidRPr="00541805">
        <w:rPr>
          <w:noProof/>
        </w:rPr>
        <w:t>SMP</w:t>
      </w:r>
      <w:r>
        <w:rPr>
          <w:noProof/>
        </w:rPr>
        <w:tab/>
      </w:r>
      <w:r>
        <w:rPr>
          <w:noProof/>
        </w:rPr>
        <w:tab/>
      </w:r>
      <w:r w:rsidRPr="00541805">
        <w:rPr>
          <w:noProof/>
        </w:rPr>
        <w:t>57</w:t>
      </w:r>
    </w:p>
    <w:p w14:paraId="1DF04FA9" w14:textId="5AC8C5EE" w:rsidR="00541805" w:rsidRDefault="00541805" w:rsidP="00541805">
      <w:pPr>
        <w:pStyle w:val="TOC1"/>
        <w:ind w:right="992"/>
        <w:rPr>
          <w:rFonts w:asciiTheme="minorHAnsi" w:eastAsiaTheme="minorEastAsia" w:hAnsiTheme="minorHAnsi" w:cstheme="minorBidi"/>
          <w:noProof/>
          <w:sz w:val="22"/>
          <w:szCs w:val="22"/>
          <w:lang w:eastAsia="en-GB"/>
        </w:rPr>
      </w:pPr>
      <w:r>
        <w:rPr>
          <w:noProof/>
        </w:rPr>
        <w:t>4</w:t>
      </w:r>
      <w:r>
        <w:rPr>
          <w:rFonts w:asciiTheme="minorHAnsi" w:eastAsiaTheme="minorEastAsia" w:hAnsiTheme="minorHAnsi" w:cstheme="minorBidi"/>
          <w:noProof/>
          <w:sz w:val="22"/>
          <w:szCs w:val="22"/>
          <w:lang w:eastAsia="en-GB"/>
        </w:rPr>
        <w:tab/>
      </w:r>
      <w:r>
        <w:rPr>
          <w:noProof/>
        </w:rPr>
        <w:t xml:space="preserve">Market imbalances created by regulatory </w:t>
      </w:r>
      <w:r w:rsidRPr="00541805">
        <w:rPr>
          <w:noProof/>
        </w:rPr>
        <w:t>policy</w:t>
      </w:r>
      <w:r>
        <w:rPr>
          <w:noProof/>
        </w:rPr>
        <w:tab/>
      </w:r>
      <w:r>
        <w:rPr>
          <w:noProof/>
        </w:rPr>
        <w:tab/>
      </w:r>
      <w:r w:rsidRPr="00541805">
        <w:rPr>
          <w:noProof/>
        </w:rPr>
        <w:t>58</w:t>
      </w:r>
    </w:p>
    <w:p w14:paraId="35BAE3A1" w14:textId="3F9F0A3D" w:rsidR="00F93914" w:rsidRPr="00541805" w:rsidRDefault="00541805" w:rsidP="00541805">
      <w:pPr>
        <w:rPr>
          <w:rFonts w:eastAsiaTheme="minorEastAsia"/>
          <w:noProof/>
          <w:lang w:val="en-US"/>
        </w:rPr>
      </w:pPr>
      <w:r>
        <w:rPr>
          <w:rFonts w:eastAsiaTheme="minorEastAsia"/>
          <w:noProof/>
          <w:lang w:val="en-US"/>
        </w:rPr>
        <w:tab/>
      </w:r>
    </w:p>
    <w:p w14:paraId="318CFCA8" w14:textId="77777777" w:rsidR="00541805" w:rsidRDefault="00541805" w:rsidP="00F93914">
      <w:pPr>
        <w:rPr>
          <w:rFonts w:eastAsiaTheme="minorEastAsia"/>
          <w:noProof/>
          <w:lang w:val="en-US"/>
        </w:rPr>
      </w:pPr>
    </w:p>
    <w:p w14:paraId="3C4C5BA4" w14:textId="77777777" w:rsidR="00F93914" w:rsidRDefault="00F93914" w:rsidP="009B7402">
      <w:pPr>
        <w:rPr>
          <w:lang w:val="en-US"/>
        </w:rPr>
      </w:pPr>
    </w:p>
    <w:p w14:paraId="6536506F" w14:textId="77777777" w:rsidR="00B46FF3" w:rsidRDefault="00B46FF3">
      <w:pPr>
        <w:rPr>
          <w:b/>
          <w:bCs/>
          <w:lang w:val="en-US"/>
        </w:rPr>
        <w:sectPr w:rsidR="00B46FF3" w:rsidSect="009375FE">
          <w:headerReference w:type="default" r:id="rId15"/>
          <w:type w:val="oddPage"/>
          <w:pgSz w:w="11907" w:h="16834" w:code="9"/>
          <w:pgMar w:top="1134" w:right="1134" w:bottom="1134" w:left="1134" w:header="567" w:footer="567" w:gutter="0"/>
          <w:paperSrc w:first="15" w:other="15"/>
          <w:pgNumType w:start="1"/>
          <w:cols w:space="720"/>
          <w:docGrid w:linePitch="326"/>
        </w:sectPr>
      </w:pPr>
    </w:p>
    <w:p w14:paraId="6FB89F7E" w14:textId="77777777" w:rsidR="00885B99" w:rsidRDefault="00885B99" w:rsidP="00885B99">
      <w:pPr>
        <w:pStyle w:val="RecNo"/>
        <w:pageBreakBefore/>
      </w:pPr>
      <w:bookmarkStart w:id="1" w:name="p1rectexte"/>
      <w:bookmarkEnd w:id="1"/>
      <w:r>
        <w:lastRenderedPageBreak/>
        <w:t xml:space="preserve">Technical Report ITU-T </w:t>
      </w:r>
      <w:r w:rsidRPr="0098334A">
        <w:t>DST</w:t>
      </w:r>
      <w:r>
        <w:t>R-DFSCA</w:t>
      </w:r>
    </w:p>
    <w:p w14:paraId="18CB9791" w14:textId="1A7AC634" w:rsidR="00885B99" w:rsidRPr="007777D2" w:rsidRDefault="00885B99" w:rsidP="00885B99">
      <w:pPr>
        <w:pStyle w:val="Rectitle"/>
      </w:pPr>
      <w:r w:rsidRPr="0098334A">
        <w:t xml:space="preserve">Digital </w:t>
      </w:r>
      <w:r w:rsidR="00B770C1" w:rsidRPr="0098334A">
        <w:t>financial services –</w:t>
      </w:r>
      <w:r w:rsidR="00B770C1">
        <w:br/>
        <w:t>C</w:t>
      </w:r>
      <w:r w:rsidR="00B770C1" w:rsidRPr="00A7723B">
        <w:t>ompetition aspects of digital financial services</w:t>
      </w:r>
    </w:p>
    <w:p w14:paraId="6C20E902" w14:textId="77777777" w:rsidR="00885B99" w:rsidRPr="00E94D8C" w:rsidRDefault="00885B99" w:rsidP="00885B99">
      <w:pPr>
        <w:pStyle w:val="Heading1"/>
        <w:rPr>
          <w:lang w:bidi="ar-DZ"/>
        </w:rPr>
      </w:pPr>
      <w:bookmarkStart w:id="2" w:name="_Toc401158818"/>
      <w:bookmarkStart w:id="3" w:name="_Toc401159823"/>
      <w:bookmarkStart w:id="4" w:name="_Toc8394244"/>
      <w:bookmarkStart w:id="5" w:name="_Toc17799386"/>
      <w:bookmarkStart w:id="6" w:name="_Toc17881548"/>
      <w:bookmarkStart w:id="7" w:name="_Toc17882378"/>
      <w:bookmarkStart w:id="8" w:name="_Toc17882597"/>
      <w:bookmarkStart w:id="9" w:name="_Toc17882816"/>
      <w:bookmarkStart w:id="10" w:name="_Toc17883171"/>
      <w:bookmarkStart w:id="11" w:name="_Toc17892843"/>
      <w:bookmarkStart w:id="12" w:name="_Toc17893062"/>
      <w:bookmarkStart w:id="13" w:name="_Toc17893281"/>
      <w:bookmarkStart w:id="14" w:name="_Toc17894140"/>
      <w:bookmarkStart w:id="15" w:name="_Toc17894367"/>
      <w:bookmarkStart w:id="16" w:name="_Toc17969221"/>
      <w:r>
        <w:rPr>
          <w:rFonts w:eastAsia="Calibri"/>
        </w:rPr>
        <w:t>1</w:t>
      </w:r>
      <w:r>
        <w:rPr>
          <w:rFonts w:eastAsia="Calibri"/>
        </w:rPr>
        <w:tab/>
      </w:r>
      <w:r w:rsidRPr="000C604B">
        <w:rPr>
          <w:rFonts w:eastAsia="Calibri"/>
        </w:rPr>
        <w:t>Scope</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4597F2AE" w14:textId="77777777" w:rsidR="00885B99" w:rsidRPr="00A7723B" w:rsidRDefault="00885B99" w:rsidP="00885B99">
      <w:r w:rsidRPr="00A7723B">
        <w:t>This Technical Report enumerates a sampling of competition issues stemming primarily from access to, and the use of technology in, the digital financial services (DFS) ecosystem from the perspective of its stakeholders.</w:t>
      </w:r>
    </w:p>
    <w:p w14:paraId="7145C7E9" w14:textId="77777777" w:rsidR="00885B99" w:rsidRPr="00A7723B" w:rsidRDefault="00885B99" w:rsidP="00885B99">
      <w:r w:rsidRPr="00A7723B">
        <w:t>Stakeholders include regulators, technical service providers and aggregators, payment switches, agent networks, mobile network operators (MNOs), independent banks, payment service provider (PSP)-affiliated banks, MNO-affiliated banks, MNO-affiliated PSPs, mobile virtual network operators (MVNOs) and independent PSPs.</w:t>
      </w:r>
    </w:p>
    <w:p w14:paraId="1D133985" w14:textId="77777777" w:rsidR="00885B99" w:rsidRPr="00A7723B" w:rsidRDefault="00885B99" w:rsidP="00885B99">
      <w:r w:rsidRPr="00A7723B">
        <w:t>Market imbalances may result from unequal policy frameworks or from market conduct. The former may be from regulatory bans on or restricted access to: DFS ecosystems; disproportionate and unequal compliance and capital requirements; and inconsistent and disproportionate tax regimes. The latter could relate to a market participant</w:t>
      </w:r>
      <w:r>
        <w:t>'</w:t>
      </w:r>
      <w:r w:rsidRPr="00A7723B">
        <w:t>s access to fair reasonable and non-discriminatory (FRAND) terms to technology; critical and scarce infrastructure, services used for channel or wholesale access, discriminatory pricing of services, cross-subsidization of services, quality of service and access to big data.</w:t>
      </w:r>
    </w:p>
    <w:p w14:paraId="0592712C" w14:textId="77777777" w:rsidR="00885B99" w:rsidRPr="00A7723B" w:rsidRDefault="00885B99" w:rsidP="00885B99">
      <w:r w:rsidRPr="00A7723B">
        <w:t xml:space="preserve">The Technical Report </w:t>
      </w:r>
      <w:r w:rsidRPr="00510C3E">
        <w:t xml:space="preserve">outlines competition issues that have been identified by the author based on </w:t>
      </w:r>
      <w:r w:rsidRPr="00A7723B">
        <w:t>publicly available and ventilated examples and studies of DFS ecosystems worldwide, as of January</w:t>
      </w:r>
      <w:r>
        <w:t> </w:t>
      </w:r>
      <w:r w:rsidRPr="00A7723B">
        <w:t>2017. Insights from market participants, analysts and regulators participating in the ITU Focus Group on DFS and externally are also included.</w:t>
      </w:r>
    </w:p>
    <w:p w14:paraId="5E0C4DE5" w14:textId="77777777" w:rsidR="00885B99" w:rsidRPr="00A7723B" w:rsidRDefault="00885B99" w:rsidP="00885B99">
      <w:r w:rsidRPr="00A7723B">
        <w:t>Regulatory capacities and potential types of interventions to deal with these and other related competition and market balance concerns are detailed, as are the technical and commercial methods that have been employed by market participants to deal with competition-related issues in the absence of regulatory intervention.</w:t>
      </w:r>
    </w:p>
    <w:p w14:paraId="19152AC7" w14:textId="77777777" w:rsidR="00885B99" w:rsidRPr="00A7723B" w:rsidRDefault="00885B99" w:rsidP="00885B99">
      <w:pPr>
        <w:keepNext/>
        <w:keepLines/>
      </w:pPr>
      <w:r w:rsidRPr="00A7723B">
        <w:t xml:space="preserve">Country examples are from: Bangladesh, </w:t>
      </w:r>
      <w:r w:rsidRPr="00A7723B">
        <w:rPr>
          <w:shd w:val="clear" w:color="auto" w:fill="FFFFFF"/>
        </w:rPr>
        <w:t xml:space="preserve">China, </w:t>
      </w:r>
      <w:r w:rsidRPr="00A7723B">
        <w:t xml:space="preserve">Colombia, Georgia, Ghana, India, Jordan, Kenya, </w:t>
      </w:r>
      <w:r w:rsidRPr="00A7723B">
        <w:rPr>
          <w:shd w:val="clear" w:color="auto" w:fill="FFFFFF"/>
        </w:rPr>
        <w:t>Malawi, Mexico</w:t>
      </w:r>
      <w:r w:rsidRPr="00A7723B">
        <w:t xml:space="preserve">, Nepal, Nigeria, Pakistan, Peru, Philippines, </w:t>
      </w:r>
      <w:r w:rsidRPr="00A7723B">
        <w:rPr>
          <w:shd w:val="clear" w:color="auto" w:fill="FFFFFF"/>
        </w:rPr>
        <w:t xml:space="preserve">South Africa, Sri Lanka, </w:t>
      </w:r>
      <w:r w:rsidRPr="00A7723B">
        <w:t>Tanzania, Uganda, Zambia and Zimbabwe. In some instances, multiple competition-related issues in the DFS ecosystem in a country may manifest.</w:t>
      </w:r>
    </w:p>
    <w:p w14:paraId="5C16CCF0" w14:textId="77777777" w:rsidR="00885B99" w:rsidRPr="00A7723B" w:rsidRDefault="00885B99" w:rsidP="00885B99">
      <w:pPr>
        <w:rPr>
          <w:szCs w:val="24"/>
        </w:rPr>
      </w:pPr>
      <w:r w:rsidRPr="00A7723B">
        <w:t>As a pure information resource for the DFS Focus Group, this study does not make any conclusions or recommendations as to how the issues described may be approached or resolved.</w:t>
      </w:r>
    </w:p>
    <w:p w14:paraId="71C0F950" w14:textId="77777777" w:rsidR="00885B99" w:rsidRPr="00E94D8C" w:rsidRDefault="00885B99" w:rsidP="00885B99">
      <w:pPr>
        <w:pStyle w:val="Heading1"/>
        <w:rPr>
          <w:lang w:bidi="ar-DZ"/>
        </w:rPr>
      </w:pPr>
      <w:bookmarkStart w:id="17" w:name="_Toc401158819"/>
      <w:bookmarkStart w:id="18" w:name="_Toc401159824"/>
      <w:bookmarkStart w:id="19" w:name="_Toc8394245"/>
      <w:bookmarkStart w:id="20" w:name="_Toc17799387"/>
      <w:bookmarkStart w:id="21" w:name="_Toc17881549"/>
      <w:bookmarkStart w:id="22" w:name="_Toc17882379"/>
      <w:bookmarkStart w:id="23" w:name="_Toc17882598"/>
      <w:bookmarkStart w:id="24" w:name="_Toc17882817"/>
      <w:bookmarkStart w:id="25" w:name="_Toc17883172"/>
      <w:bookmarkStart w:id="26" w:name="_Toc17892844"/>
      <w:bookmarkStart w:id="27" w:name="_Toc17893063"/>
      <w:bookmarkStart w:id="28" w:name="_Toc17893282"/>
      <w:bookmarkStart w:id="29" w:name="_Toc17894141"/>
      <w:bookmarkStart w:id="30" w:name="_Toc17894368"/>
      <w:bookmarkStart w:id="31" w:name="_Toc17969222"/>
      <w:r>
        <w:rPr>
          <w:rFonts w:eastAsia="Calibri"/>
        </w:rPr>
        <w:t>2</w:t>
      </w:r>
      <w:r>
        <w:rPr>
          <w:rFonts w:eastAsia="Calibri"/>
        </w:rPr>
        <w:tab/>
      </w:r>
      <w:r w:rsidRPr="000C604B">
        <w:rPr>
          <w:rFonts w:eastAsia="Calibri"/>
        </w:rPr>
        <w:t>References</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13296202" w14:textId="77777777" w:rsidR="00885B99" w:rsidRPr="00E94D8C" w:rsidRDefault="00885B99" w:rsidP="00885B99">
      <w:pPr>
        <w:rPr>
          <w:szCs w:val="24"/>
          <w:lang w:eastAsia="ja-JP" w:bidi="ar-DZ"/>
        </w:rPr>
      </w:pPr>
      <w:r w:rsidRPr="00E94D8C">
        <w:rPr>
          <w:szCs w:val="24"/>
          <w:lang w:eastAsia="ja-JP" w:bidi="ar-DZ"/>
        </w:rPr>
        <w:t>None.</w:t>
      </w:r>
    </w:p>
    <w:p w14:paraId="35A1A897" w14:textId="77777777" w:rsidR="00885B99" w:rsidRPr="00E94D8C" w:rsidRDefault="00885B99" w:rsidP="003D1970">
      <w:pPr>
        <w:pStyle w:val="Heading1"/>
        <w:rPr>
          <w:lang w:bidi="ar-DZ"/>
        </w:rPr>
      </w:pPr>
      <w:bookmarkStart w:id="32" w:name="_Toc401158820"/>
      <w:bookmarkStart w:id="33" w:name="_Toc401159825"/>
      <w:bookmarkStart w:id="34" w:name="_Toc8394246"/>
      <w:bookmarkStart w:id="35" w:name="_Toc17799388"/>
      <w:bookmarkStart w:id="36" w:name="_Toc17894142"/>
      <w:bookmarkStart w:id="37" w:name="_Toc17894369"/>
      <w:bookmarkStart w:id="38" w:name="_Toc17969223"/>
      <w:r>
        <w:rPr>
          <w:lang w:bidi="ar-DZ"/>
        </w:rPr>
        <w:t>3</w:t>
      </w:r>
      <w:r>
        <w:rPr>
          <w:lang w:bidi="ar-DZ"/>
        </w:rPr>
        <w:tab/>
      </w:r>
      <w:r w:rsidRPr="00E94D8C">
        <w:rPr>
          <w:lang w:bidi="ar-DZ"/>
        </w:rPr>
        <w:t>Terms and definitions</w:t>
      </w:r>
      <w:bookmarkEnd w:id="32"/>
      <w:bookmarkEnd w:id="33"/>
      <w:bookmarkEnd w:id="34"/>
      <w:bookmarkEnd w:id="35"/>
      <w:bookmarkEnd w:id="36"/>
      <w:bookmarkEnd w:id="37"/>
      <w:bookmarkEnd w:id="38"/>
    </w:p>
    <w:p w14:paraId="15CD75BC" w14:textId="77777777" w:rsidR="00885B99" w:rsidRPr="000735C7" w:rsidRDefault="00885B99" w:rsidP="00885B99">
      <w:pPr>
        <w:pStyle w:val="Heading2"/>
        <w:rPr>
          <w:lang w:bidi="ar-DZ"/>
        </w:rPr>
      </w:pPr>
      <w:bookmarkStart w:id="39" w:name="_Toc401158821"/>
      <w:bookmarkStart w:id="40" w:name="_Toc401159826"/>
      <w:bookmarkStart w:id="41" w:name="_Toc8394247"/>
      <w:bookmarkStart w:id="42" w:name="_Toc17799389"/>
      <w:bookmarkStart w:id="43" w:name="_Toc17881550"/>
      <w:bookmarkStart w:id="44" w:name="_Toc17882380"/>
      <w:bookmarkStart w:id="45" w:name="_Toc17882599"/>
      <w:bookmarkStart w:id="46" w:name="_Toc17882818"/>
      <w:bookmarkStart w:id="47" w:name="_Toc17883173"/>
      <w:bookmarkStart w:id="48" w:name="_Toc17892845"/>
      <w:bookmarkStart w:id="49" w:name="_Toc17893064"/>
      <w:bookmarkStart w:id="50" w:name="_Toc17893283"/>
      <w:bookmarkStart w:id="51" w:name="_Toc17894143"/>
      <w:bookmarkStart w:id="52" w:name="_Toc17894370"/>
      <w:bookmarkStart w:id="53" w:name="_Toc17969224"/>
      <w:r w:rsidRPr="000735C7">
        <w:rPr>
          <w:lang w:bidi="ar-DZ"/>
        </w:rPr>
        <w:t>3.1</w:t>
      </w:r>
      <w:r w:rsidRPr="000735C7">
        <w:rPr>
          <w:lang w:bidi="ar-DZ"/>
        </w:rPr>
        <w:tab/>
        <w:t>Terms defined elsewhere</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062A6EB7" w14:textId="77777777" w:rsidR="00885B99" w:rsidRPr="00E94D8C" w:rsidRDefault="00885B99" w:rsidP="00885B99">
      <w:pPr>
        <w:rPr>
          <w:szCs w:val="24"/>
        </w:rPr>
      </w:pPr>
      <w:r w:rsidRPr="00E94D8C">
        <w:rPr>
          <w:szCs w:val="24"/>
        </w:rPr>
        <w:t>This Technical Report uses the following terms defined elsewhere:</w:t>
      </w:r>
    </w:p>
    <w:p w14:paraId="24E6058D" w14:textId="77777777" w:rsidR="00885B99" w:rsidRPr="00E94D8C" w:rsidRDefault="00885B99" w:rsidP="00885B99">
      <w:pPr>
        <w:rPr>
          <w:szCs w:val="24"/>
        </w:rPr>
      </w:pPr>
      <w:r w:rsidRPr="00E94D8C">
        <w:rPr>
          <w:bCs/>
          <w:szCs w:val="24"/>
        </w:rPr>
        <w:t>None.</w:t>
      </w:r>
    </w:p>
    <w:p w14:paraId="276FA600" w14:textId="77777777" w:rsidR="00885B99" w:rsidRPr="00E94D8C" w:rsidRDefault="00885B99" w:rsidP="00885B99">
      <w:pPr>
        <w:pStyle w:val="Heading2"/>
        <w:rPr>
          <w:lang w:bidi="ar-DZ"/>
        </w:rPr>
      </w:pPr>
      <w:bookmarkStart w:id="54" w:name="_Toc401158822"/>
      <w:bookmarkStart w:id="55" w:name="_Toc401159827"/>
      <w:bookmarkStart w:id="56" w:name="_Toc8394248"/>
      <w:bookmarkStart w:id="57" w:name="_Toc17799390"/>
      <w:bookmarkStart w:id="58" w:name="_Toc17881551"/>
      <w:bookmarkStart w:id="59" w:name="_Toc17882381"/>
      <w:bookmarkStart w:id="60" w:name="_Toc17882600"/>
      <w:bookmarkStart w:id="61" w:name="_Toc17882819"/>
      <w:bookmarkStart w:id="62" w:name="_Toc17883174"/>
      <w:bookmarkStart w:id="63" w:name="_Toc17892846"/>
      <w:bookmarkStart w:id="64" w:name="_Toc17893065"/>
      <w:bookmarkStart w:id="65" w:name="_Toc17893284"/>
      <w:bookmarkStart w:id="66" w:name="_Toc17894144"/>
      <w:bookmarkStart w:id="67" w:name="_Toc17894371"/>
      <w:bookmarkStart w:id="68" w:name="_Toc17969225"/>
      <w:r>
        <w:rPr>
          <w:lang w:bidi="ar-DZ"/>
        </w:rPr>
        <w:t>3.2</w:t>
      </w:r>
      <w:r>
        <w:rPr>
          <w:lang w:bidi="ar-DZ"/>
        </w:rPr>
        <w:tab/>
      </w:r>
      <w:r w:rsidRPr="00E94D8C">
        <w:rPr>
          <w:lang w:bidi="ar-DZ"/>
        </w:rPr>
        <w:t>Terms defined here</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01401530" w14:textId="77777777" w:rsidR="00885B99" w:rsidRPr="00E94D8C" w:rsidRDefault="00885B99" w:rsidP="00885B99">
      <w:pPr>
        <w:rPr>
          <w:szCs w:val="24"/>
        </w:rPr>
      </w:pPr>
      <w:r w:rsidRPr="00E94D8C">
        <w:rPr>
          <w:szCs w:val="24"/>
        </w:rPr>
        <w:t>This Technical Report defines the following terms:</w:t>
      </w:r>
    </w:p>
    <w:p w14:paraId="127974FC" w14:textId="77777777" w:rsidR="00885B99" w:rsidRPr="00E94D8C" w:rsidRDefault="00885B99" w:rsidP="00885B99">
      <w:pPr>
        <w:rPr>
          <w:szCs w:val="24"/>
        </w:rPr>
      </w:pPr>
      <w:r w:rsidRPr="00E94D8C">
        <w:rPr>
          <w:bCs/>
          <w:szCs w:val="24"/>
        </w:rPr>
        <w:lastRenderedPageBreak/>
        <w:t>None.</w:t>
      </w:r>
    </w:p>
    <w:p w14:paraId="588990E8" w14:textId="77777777" w:rsidR="00885B99" w:rsidRDefault="00885B99" w:rsidP="00F93914">
      <w:pPr>
        <w:pStyle w:val="Heading1"/>
        <w:rPr>
          <w:lang w:bidi="ar-DZ"/>
        </w:rPr>
      </w:pPr>
      <w:bookmarkStart w:id="69" w:name="_Toc401158823"/>
      <w:bookmarkStart w:id="70" w:name="_Toc401159828"/>
      <w:bookmarkStart w:id="71" w:name="_Toc8394249"/>
      <w:bookmarkStart w:id="72" w:name="_Toc17894372"/>
      <w:bookmarkStart w:id="73" w:name="_Toc17969226"/>
      <w:r>
        <w:rPr>
          <w:lang w:bidi="ar-DZ"/>
        </w:rPr>
        <w:t>4</w:t>
      </w:r>
      <w:r>
        <w:rPr>
          <w:lang w:bidi="ar-DZ"/>
        </w:rPr>
        <w:tab/>
      </w:r>
      <w:r w:rsidRPr="00E94D8C">
        <w:rPr>
          <w:lang w:bidi="ar-DZ"/>
        </w:rPr>
        <w:t>Abbreviations</w:t>
      </w:r>
      <w:bookmarkEnd w:id="69"/>
      <w:bookmarkEnd w:id="70"/>
      <w:bookmarkEnd w:id="71"/>
      <w:bookmarkEnd w:id="72"/>
      <w:bookmarkEnd w:id="73"/>
    </w:p>
    <w:p w14:paraId="11EFA54A" w14:textId="1E670938" w:rsidR="00D73E8A" w:rsidRDefault="00D73E8A" w:rsidP="00194FC7">
      <w:r>
        <w:t>3GPP</w:t>
      </w:r>
      <w:r>
        <w:tab/>
      </w:r>
      <w:r>
        <w:tab/>
        <w:t>3rd Generation Part</w:t>
      </w:r>
      <w:r w:rsidR="00D4014A">
        <w:t>n</w:t>
      </w:r>
      <w:bookmarkStart w:id="74" w:name="_GoBack"/>
      <w:bookmarkEnd w:id="74"/>
      <w:r>
        <w:t>ership Project</w:t>
      </w:r>
    </w:p>
    <w:p w14:paraId="13641789" w14:textId="2E47C224" w:rsidR="00885B99" w:rsidRPr="00A7723B" w:rsidRDefault="00885B99" w:rsidP="00194FC7">
      <w:r w:rsidRPr="00A7723B">
        <w:t>ACH</w:t>
      </w:r>
      <w:r w:rsidRPr="00A7723B">
        <w:tab/>
      </w:r>
      <w:r w:rsidRPr="00A7723B">
        <w:tab/>
        <w:t>Automated Clearing House</w:t>
      </w:r>
    </w:p>
    <w:p w14:paraId="01E79580" w14:textId="77777777" w:rsidR="00885B99" w:rsidRPr="00A7723B" w:rsidRDefault="00885B99" w:rsidP="00194FC7">
      <w:r w:rsidRPr="00A7723B">
        <w:t xml:space="preserve">AML </w:t>
      </w:r>
      <w:r w:rsidRPr="00A7723B">
        <w:tab/>
      </w:r>
      <w:r w:rsidRPr="00A7723B">
        <w:tab/>
        <w:t>Anti-Money Laundering</w:t>
      </w:r>
    </w:p>
    <w:p w14:paraId="2C5F01DA" w14:textId="77777777" w:rsidR="00885B99" w:rsidRPr="00A7723B" w:rsidRDefault="00885B99" w:rsidP="00194FC7">
      <w:r w:rsidRPr="00A7723B">
        <w:t>API</w:t>
      </w:r>
      <w:r w:rsidRPr="00A7723B">
        <w:tab/>
      </w:r>
      <w:r w:rsidRPr="00A7723B">
        <w:tab/>
        <w:t>Application Programming Interface</w:t>
      </w:r>
    </w:p>
    <w:p w14:paraId="53D6E46F" w14:textId="77777777" w:rsidR="00885B99" w:rsidRPr="00A7723B" w:rsidRDefault="00885B99" w:rsidP="00194FC7">
      <w:r w:rsidRPr="00A7723B">
        <w:t>ATM</w:t>
      </w:r>
      <w:r>
        <w:tab/>
      </w:r>
      <w:r>
        <w:tab/>
      </w:r>
      <w:r w:rsidRPr="00A7723B">
        <w:t>Automated Teller Machine</w:t>
      </w:r>
    </w:p>
    <w:p w14:paraId="760657CE" w14:textId="77777777" w:rsidR="00885B99" w:rsidRPr="00A7723B" w:rsidRDefault="00885B99" w:rsidP="00194FC7">
      <w:r w:rsidRPr="00A7723B">
        <w:t>BB</w:t>
      </w:r>
      <w:r>
        <w:tab/>
      </w:r>
      <w:r>
        <w:tab/>
      </w:r>
      <w:r w:rsidRPr="00A7723B">
        <w:t>Bangladesh Bank</w:t>
      </w:r>
    </w:p>
    <w:p w14:paraId="6C635FBC" w14:textId="77777777" w:rsidR="00885B99" w:rsidRPr="00A7723B" w:rsidRDefault="00885B99" w:rsidP="00194FC7">
      <w:r w:rsidRPr="00A7723B">
        <w:t>BOU</w:t>
      </w:r>
      <w:r>
        <w:tab/>
      </w:r>
      <w:r>
        <w:tab/>
      </w:r>
      <w:r w:rsidRPr="00A7723B">
        <w:t>Bank of Uganda</w:t>
      </w:r>
    </w:p>
    <w:p w14:paraId="3B5CB0B3" w14:textId="77777777" w:rsidR="00885B99" w:rsidRPr="00A7723B" w:rsidRDefault="00885B99" w:rsidP="00194FC7">
      <w:r w:rsidRPr="00A7723B">
        <w:t xml:space="preserve">BTRC </w:t>
      </w:r>
      <w:r w:rsidRPr="00A7723B">
        <w:tab/>
      </w:r>
      <w:r w:rsidRPr="00A7723B">
        <w:tab/>
        <w:t>Bangladesh Telecommunication Regulatory Commission</w:t>
      </w:r>
    </w:p>
    <w:p w14:paraId="6DF3912D" w14:textId="77777777" w:rsidR="00885B99" w:rsidRPr="00A7723B" w:rsidRDefault="00885B99" w:rsidP="00194FC7">
      <w:r w:rsidRPr="00A7723B">
        <w:t>CA</w:t>
      </w:r>
      <w:r>
        <w:tab/>
      </w:r>
      <w:r>
        <w:tab/>
      </w:r>
      <w:r w:rsidRPr="00A7723B">
        <w:t>Communications Authority</w:t>
      </w:r>
    </w:p>
    <w:p w14:paraId="3415567F" w14:textId="77777777" w:rsidR="00885B99" w:rsidRPr="00A7723B" w:rsidRDefault="00885B99" w:rsidP="00194FC7">
      <w:r w:rsidRPr="00A7723B">
        <w:t>CAK</w:t>
      </w:r>
      <w:r>
        <w:tab/>
      </w:r>
      <w:r>
        <w:tab/>
      </w:r>
      <w:r w:rsidRPr="00A7723B">
        <w:t>Competition Authority of Kenya</w:t>
      </w:r>
    </w:p>
    <w:p w14:paraId="31A41663" w14:textId="77777777" w:rsidR="00885B99" w:rsidRPr="00A7723B" w:rsidRDefault="00885B99" w:rsidP="00194FC7">
      <w:r w:rsidRPr="00A7723B">
        <w:t xml:space="preserve">CBK </w:t>
      </w:r>
      <w:r>
        <w:tab/>
      </w:r>
      <w:r>
        <w:tab/>
      </w:r>
      <w:r w:rsidRPr="00A7723B">
        <w:t>Central Bank of Kenya</w:t>
      </w:r>
    </w:p>
    <w:p w14:paraId="7EFB9C0B" w14:textId="77777777" w:rsidR="00885B99" w:rsidRPr="00A7723B" w:rsidRDefault="00885B99" w:rsidP="00194FC7">
      <w:r w:rsidRPr="00A7723B">
        <w:t>CBN</w:t>
      </w:r>
      <w:r>
        <w:tab/>
      </w:r>
      <w:r>
        <w:tab/>
      </w:r>
      <w:r w:rsidRPr="00A7723B">
        <w:t>Central Bank of Nigeria</w:t>
      </w:r>
    </w:p>
    <w:p w14:paraId="159E4829" w14:textId="77777777" w:rsidR="00885B99" w:rsidRPr="00A7723B" w:rsidRDefault="00885B99" w:rsidP="00194FC7">
      <w:r w:rsidRPr="00A7723B">
        <w:t>CFTC</w:t>
      </w:r>
      <w:r w:rsidRPr="00A7723B">
        <w:tab/>
      </w:r>
      <w:r w:rsidRPr="00A7723B">
        <w:tab/>
        <w:t xml:space="preserve">Competition &amp; Fair Trading Commission </w:t>
      </w:r>
    </w:p>
    <w:p w14:paraId="7443119A" w14:textId="77777777" w:rsidR="00885B99" w:rsidRPr="00A7723B" w:rsidRDefault="00885B99" w:rsidP="00194FC7">
      <w:r w:rsidRPr="00A7723B">
        <w:t>CGAP</w:t>
      </w:r>
      <w:r w:rsidRPr="00A7723B">
        <w:tab/>
      </w:r>
      <w:r w:rsidRPr="00A7723B">
        <w:tab/>
        <w:t>Consultative Group to Assist the Poor</w:t>
      </w:r>
    </w:p>
    <w:p w14:paraId="4C073070" w14:textId="77777777" w:rsidR="00885B99" w:rsidRPr="00A7723B" w:rsidRDefault="00885B99" w:rsidP="00194FC7">
      <w:r w:rsidRPr="00A7723B">
        <w:t>CICO</w:t>
      </w:r>
      <w:r w:rsidRPr="00A7723B">
        <w:tab/>
      </w:r>
      <w:r w:rsidRPr="00A7723B">
        <w:tab/>
        <w:t>Cash In/Cash Out</w:t>
      </w:r>
    </w:p>
    <w:p w14:paraId="4ADA1D51" w14:textId="77777777" w:rsidR="00885B99" w:rsidRPr="00A7723B" w:rsidRDefault="00885B99" w:rsidP="00194FC7">
      <w:r>
        <w:t>CTC</w:t>
      </w:r>
      <w:r>
        <w:tab/>
      </w:r>
      <w:r>
        <w:tab/>
      </w:r>
      <w:r w:rsidRPr="00A7723B">
        <w:t>Competition and Tariff Commission</w:t>
      </w:r>
    </w:p>
    <w:p w14:paraId="2CA38418" w14:textId="77777777" w:rsidR="00885B99" w:rsidRPr="00035A23" w:rsidRDefault="00885B99" w:rsidP="00194FC7">
      <w:pPr>
        <w:rPr>
          <w:i/>
        </w:rPr>
      </w:pPr>
      <w:r w:rsidRPr="00035A23">
        <w:t>DFS</w:t>
      </w:r>
      <w:r w:rsidRPr="00035A23">
        <w:rPr>
          <w:i/>
        </w:rPr>
        <w:tab/>
      </w:r>
      <w:r w:rsidRPr="00035A23">
        <w:rPr>
          <w:i/>
        </w:rPr>
        <w:tab/>
      </w:r>
      <w:r w:rsidRPr="00035A23">
        <w:t>Digital Financial Services</w:t>
      </w:r>
    </w:p>
    <w:p w14:paraId="180F5421" w14:textId="77777777" w:rsidR="00885B99" w:rsidRPr="00035A23" w:rsidRDefault="00885B99" w:rsidP="00194FC7">
      <w:r w:rsidRPr="00035A23">
        <w:t>EMV</w:t>
      </w:r>
      <w:r w:rsidRPr="00035A23">
        <w:tab/>
      </w:r>
      <w:r w:rsidRPr="00035A23">
        <w:tab/>
        <w:t>EuroPay, MasterCard and Visa</w:t>
      </w:r>
    </w:p>
    <w:p w14:paraId="1F1B2D70" w14:textId="77777777" w:rsidR="00885B99" w:rsidRPr="00A7723B" w:rsidRDefault="00885B99" w:rsidP="00194FC7">
      <w:r w:rsidRPr="00A7723B">
        <w:t>ETSI</w:t>
      </w:r>
      <w:r>
        <w:tab/>
      </w:r>
      <w:r>
        <w:tab/>
      </w:r>
      <w:r w:rsidRPr="00A7723B">
        <w:t>European Telecommunications Standards Institute</w:t>
      </w:r>
    </w:p>
    <w:p w14:paraId="70AAE50C" w14:textId="77777777" w:rsidR="00885B99" w:rsidRPr="00A7723B" w:rsidRDefault="00885B99" w:rsidP="00F93914">
      <w:r w:rsidRPr="00A7723B">
        <w:t>FRAND</w:t>
      </w:r>
      <w:r w:rsidRPr="00A7723B">
        <w:tab/>
        <w:t>Fair Reasonable and Non-Discriminatory</w:t>
      </w:r>
    </w:p>
    <w:p w14:paraId="6721E283" w14:textId="77777777" w:rsidR="00885B99" w:rsidRPr="00A7723B" w:rsidRDefault="00885B99" w:rsidP="00885B99">
      <w:pPr>
        <w:spacing w:after="120"/>
        <w:rPr>
          <w:color w:val="000000" w:themeColor="text1"/>
          <w:szCs w:val="24"/>
        </w:rPr>
      </w:pPr>
      <w:r w:rsidRPr="00A7723B">
        <w:rPr>
          <w:color w:val="000000" w:themeColor="text1"/>
          <w:szCs w:val="24"/>
        </w:rPr>
        <w:t>G2P</w:t>
      </w:r>
      <w:r>
        <w:rPr>
          <w:color w:val="000000" w:themeColor="text1"/>
          <w:szCs w:val="24"/>
        </w:rPr>
        <w:tab/>
      </w:r>
      <w:r>
        <w:rPr>
          <w:color w:val="000000" w:themeColor="text1"/>
          <w:szCs w:val="24"/>
        </w:rPr>
        <w:tab/>
      </w:r>
      <w:r w:rsidRPr="00A7723B">
        <w:rPr>
          <w:color w:val="000000" w:themeColor="text1"/>
          <w:szCs w:val="24"/>
        </w:rPr>
        <w:t>Government-To-Person</w:t>
      </w:r>
    </w:p>
    <w:p w14:paraId="19FB9DD3" w14:textId="77777777" w:rsidR="00885B99" w:rsidRPr="00A7723B" w:rsidRDefault="00885B99" w:rsidP="00885B99">
      <w:pPr>
        <w:spacing w:after="120"/>
        <w:rPr>
          <w:color w:val="000000" w:themeColor="text1"/>
          <w:szCs w:val="24"/>
        </w:rPr>
      </w:pPr>
      <w:r w:rsidRPr="00A7723B">
        <w:rPr>
          <w:color w:val="000000" w:themeColor="text1"/>
          <w:szCs w:val="24"/>
        </w:rPr>
        <w:t>GPR</w:t>
      </w:r>
      <w:r>
        <w:rPr>
          <w:color w:val="000000" w:themeColor="text1"/>
          <w:szCs w:val="24"/>
        </w:rPr>
        <w:tab/>
      </w:r>
      <w:r>
        <w:rPr>
          <w:color w:val="000000" w:themeColor="text1"/>
          <w:szCs w:val="24"/>
        </w:rPr>
        <w:tab/>
      </w:r>
      <w:r w:rsidRPr="00A7723B">
        <w:rPr>
          <w:color w:val="000000" w:themeColor="text1"/>
          <w:szCs w:val="24"/>
        </w:rPr>
        <w:t>General Purpose Reloadable</w:t>
      </w:r>
    </w:p>
    <w:p w14:paraId="64E26025" w14:textId="77777777" w:rsidR="00885B99" w:rsidRPr="00A7723B" w:rsidRDefault="00885B99" w:rsidP="00885B99">
      <w:pPr>
        <w:spacing w:after="120"/>
        <w:rPr>
          <w:color w:val="000000" w:themeColor="text1"/>
          <w:szCs w:val="24"/>
        </w:rPr>
      </w:pPr>
      <w:r w:rsidRPr="00A7723B">
        <w:rPr>
          <w:color w:val="000000" w:themeColor="text1"/>
          <w:szCs w:val="24"/>
        </w:rPr>
        <w:t xml:space="preserve">GSM </w:t>
      </w:r>
      <w:r w:rsidRPr="00A7723B">
        <w:rPr>
          <w:color w:val="000000" w:themeColor="text1"/>
          <w:szCs w:val="24"/>
        </w:rPr>
        <w:tab/>
      </w:r>
      <w:r w:rsidRPr="00A7723B">
        <w:rPr>
          <w:color w:val="000000" w:themeColor="text1"/>
          <w:szCs w:val="24"/>
        </w:rPr>
        <w:tab/>
        <w:t>Global System for Mobile Communications</w:t>
      </w:r>
    </w:p>
    <w:p w14:paraId="5B8F69FE" w14:textId="77777777" w:rsidR="00885B99" w:rsidRPr="00A7723B" w:rsidRDefault="00885B99" w:rsidP="00885B99">
      <w:pPr>
        <w:spacing w:after="120"/>
        <w:rPr>
          <w:color w:val="000000" w:themeColor="text1"/>
          <w:szCs w:val="24"/>
        </w:rPr>
      </w:pPr>
      <w:r w:rsidRPr="00A7723B">
        <w:rPr>
          <w:color w:val="000000" w:themeColor="text1"/>
          <w:szCs w:val="24"/>
        </w:rPr>
        <w:t>GSMA</w:t>
      </w:r>
      <w:r w:rsidRPr="00A7723B">
        <w:rPr>
          <w:color w:val="000000" w:themeColor="text1"/>
          <w:szCs w:val="24"/>
        </w:rPr>
        <w:tab/>
      </w:r>
      <w:r w:rsidRPr="00A7723B">
        <w:rPr>
          <w:color w:val="000000" w:themeColor="text1"/>
          <w:szCs w:val="24"/>
        </w:rPr>
        <w:tab/>
        <w:t>GSM Association</w:t>
      </w:r>
    </w:p>
    <w:p w14:paraId="27E22D76" w14:textId="77777777" w:rsidR="00885B99" w:rsidRPr="00A7723B" w:rsidRDefault="00885B99" w:rsidP="00885B99">
      <w:pPr>
        <w:spacing w:after="120"/>
        <w:rPr>
          <w:color w:val="222222"/>
          <w:szCs w:val="24"/>
          <w:shd w:val="clear" w:color="auto" w:fill="FFFFFF"/>
        </w:rPr>
      </w:pPr>
      <w:r w:rsidRPr="00A7723B">
        <w:rPr>
          <w:color w:val="000000" w:themeColor="text1"/>
          <w:szCs w:val="24"/>
          <w:shd w:val="clear" w:color="auto" w:fill="FFFFFF"/>
        </w:rPr>
        <w:t>ICT</w:t>
      </w:r>
      <w:r w:rsidRPr="00A7723B">
        <w:rPr>
          <w:color w:val="222222"/>
          <w:szCs w:val="24"/>
          <w:shd w:val="clear" w:color="auto" w:fill="FFFFFF"/>
        </w:rPr>
        <w:t xml:space="preserve"> </w:t>
      </w:r>
      <w:r>
        <w:rPr>
          <w:color w:val="222222"/>
          <w:szCs w:val="24"/>
          <w:shd w:val="clear" w:color="auto" w:fill="FFFFFF"/>
        </w:rPr>
        <w:tab/>
      </w:r>
      <w:r>
        <w:rPr>
          <w:color w:val="222222"/>
          <w:szCs w:val="24"/>
          <w:shd w:val="clear" w:color="auto" w:fill="FFFFFF"/>
        </w:rPr>
        <w:tab/>
      </w:r>
      <w:r w:rsidRPr="00A7723B">
        <w:rPr>
          <w:color w:val="222222"/>
          <w:szCs w:val="24"/>
          <w:shd w:val="clear" w:color="auto" w:fill="FFFFFF"/>
        </w:rPr>
        <w:t>Information and Communications Technology</w:t>
      </w:r>
    </w:p>
    <w:p w14:paraId="2AF6C8D5" w14:textId="77777777" w:rsidR="00885B99" w:rsidRPr="00A7723B" w:rsidRDefault="00885B99" w:rsidP="00885B99">
      <w:pPr>
        <w:spacing w:after="120"/>
        <w:rPr>
          <w:color w:val="222222"/>
          <w:szCs w:val="24"/>
          <w:shd w:val="clear" w:color="auto" w:fill="FFFFFF"/>
        </w:rPr>
      </w:pPr>
      <w:r w:rsidRPr="00A7723B">
        <w:rPr>
          <w:color w:val="222222"/>
          <w:szCs w:val="24"/>
          <w:shd w:val="clear" w:color="auto" w:fill="FFFFFF"/>
        </w:rPr>
        <w:t xml:space="preserve">IFSC </w:t>
      </w:r>
      <w:r>
        <w:rPr>
          <w:color w:val="222222"/>
          <w:szCs w:val="24"/>
          <w:shd w:val="clear" w:color="auto" w:fill="FFFFFF"/>
        </w:rPr>
        <w:tab/>
      </w:r>
      <w:r>
        <w:rPr>
          <w:color w:val="222222"/>
          <w:szCs w:val="24"/>
          <w:shd w:val="clear" w:color="auto" w:fill="FFFFFF"/>
        </w:rPr>
        <w:tab/>
      </w:r>
      <w:r w:rsidRPr="00A7723B">
        <w:rPr>
          <w:color w:val="222222"/>
          <w:szCs w:val="24"/>
          <w:shd w:val="clear" w:color="auto" w:fill="FFFFFF"/>
        </w:rPr>
        <w:t xml:space="preserve">Indian Financial System </w:t>
      </w:r>
      <w:r w:rsidRPr="00A7723B">
        <w:rPr>
          <w:bCs/>
          <w:color w:val="222222"/>
          <w:szCs w:val="24"/>
          <w:shd w:val="clear" w:color="auto" w:fill="FFFFFF"/>
        </w:rPr>
        <w:t>Code</w:t>
      </w:r>
    </w:p>
    <w:p w14:paraId="5883595C" w14:textId="77777777" w:rsidR="00885B99" w:rsidRPr="00A7723B" w:rsidRDefault="00885B99" w:rsidP="00885B99">
      <w:pPr>
        <w:spacing w:after="120"/>
        <w:rPr>
          <w:color w:val="000000" w:themeColor="text1"/>
          <w:szCs w:val="24"/>
        </w:rPr>
      </w:pPr>
      <w:r w:rsidRPr="00A7723B">
        <w:rPr>
          <w:color w:val="000000" w:themeColor="text1"/>
          <w:szCs w:val="24"/>
        </w:rPr>
        <w:t>IP</w:t>
      </w:r>
      <w:r>
        <w:rPr>
          <w:color w:val="000000" w:themeColor="text1"/>
          <w:szCs w:val="24"/>
        </w:rPr>
        <w:tab/>
      </w:r>
      <w:r>
        <w:rPr>
          <w:color w:val="000000" w:themeColor="text1"/>
          <w:szCs w:val="24"/>
        </w:rPr>
        <w:tab/>
      </w:r>
      <w:r w:rsidRPr="00A7723B">
        <w:rPr>
          <w:color w:val="000000" w:themeColor="text1"/>
          <w:szCs w:val="24"/>
        </w:rPr>
        <w:t>Internet Protocol</w:t>
      </w:r>
    </w:p>
    <w:p w14:paraId="4208114A" w14:textId="77777777" w:rsidR="00885B99" w:rsidRPr="00A7723B" w:rsidRDefault="00885B99" w:rsidP="00885B99">
      <w:pPr>
        <w:spacing w:after="120"/>
        <w:rPr>
          <w:color w:val="000000" w:themeColor="text1"/>
          <w:szCs w:val="24"/>
        </w:rPr>
      </w:pPr>
      <w:r w:rsidRPr="00A7723B">
        <w:rPr>
          <w:color w:val="000000" w:themeColor="text1"/>
          <w:szCs w:val="24"/>
        </w:rPr>
        <w:t>ITU</w:t>
      </w:r>
      <w:r>
        <w:rPr>
          <w:color w:val="000000" w:themeColor="text1"/>
          <w:szCs w:val="24"/>
        </w:rPr>
        <w:tab/>
      </w:r>
      <w:r>
        <w:rPr>
          <w:color w:val="000000" w:themeColor="text1"/>
          <w:szCs w:val="24"/>
        </w:rPr>
        <w:tab/>
      </w:r>
      <w:r w:rsidRPr="00A7723B">
        <w:rPr>
          <w:color w:val="000000" w:themeColor="text1"/>
          <w:szCs w:val="24"/>
        </w:rPr>
        <w:t>International Telecommunication Union</w:t>
      </w:r>
    </w:p>
    <w:p w14:paraId="4A8C08D1" w14:textId="77777777" w:rsidR="00885B99" w:rsidRPr="00A7723B" w:rsidRDefault="00885B99" w:rsidP="00885B99">
      <w:pPr>
        <w:spacing w:after="120"/>
        <w:rPr>
          <w:color w:val="000000" w:themeColor="text1"/>
          <w:szCs w:val="24"/>
        </w:rPr>
      </w:pPr>
      <w:r w:rsidRPr="00A7723B">
        <w:rPr>
          <w:color w:val="000000" w:themeColor="text1"/>
          <w:szCs w:val="24"/>
        </w:rPr>
        <w:t>IVR</w:t>
      </w:r>
      <w:r>
        <w:rPr>
          <w:color w:val="000000" w:themeColor="text1"/>
          <w:szCs w:val="24"/>
        </w:rPr>
        <w:tab/>
      </w:r>
      <w:r>
        <w:rPr>
          <w:color w:val="000000" w:themeColor="text1"/>
          <w:szCs w:val="24"/>
        </w:rPr>
        <w:tab/>
      </w:r>
      <w:r w:rsidRPr="00A7723B">
        <w:rPr>
          <w:color w:val="000000" w:themeColor="text1"/>
          <w:szCs w:val="24"/>
        </w:rPr>
        <w:t xml:space="preserve">Interactive Voice Response </w:t>
      </w:r>
    </w:p>
    <w:p w14:paraId="793B17F5" w14:textId="77777777" w:rsidR="00885B99" w:rsidRPr="00A7723B" w:rsidRDefault="00885B99" w:rsidP="00885B99">
      <w:pPr>
        <w:spacing w:after="120"/>
        <w:rPr>
          <w:color w:val="000000" w:themeColor="text1"/>
          <w:szCs w:val="24"/>
        </w:rPr>
      </w:pPr>
      <w:r w:rsidRPr="00A7723B">
        <w:rPr>
          <w:color w:val="000000" w:themeColor="text1"/>
          <w:szCs w:val="24"/>
        </w:rPr>
        <w:t>KYC</w:t>
      </w:r>
      <w:r>
        <w:rPr>
          <w:color w:val="000000" w:themeColor="text1"/>
          <w:szCs w:val="24"/>
        </w:rPr>
        <w:tab/>
      </w:r>
      <w:r>
        <w:rPr>
          <w:color w:val="000000" w:themeColor="text1"/>
          <w:szCs w:val="24"/>
        </w:rPr>
        <w:tab/>
      </w:r>
      <w:r w:rsidRPr="00A7723B">
        <w:rPr>
          <w:color w:val="000000" w:themeColor="text1"/>
          <w:szCs w:val="24"/>
        </w:rPr>
        <w:t>Know Your Customer</w:t>
      </w:r>
    </w:p>
    <w:p w14:paraId="6B1310A1" w14:textId="77777777" w:rsidR="00885B99" w:rsidRPr="00A7723B" w:rsidRDefault="00885B99" w:rsidP="00885B99">
      <w:pPr>
        <w:spacing w:after="120"/>
        <w:rPr>
          <w:color w:val="000000" w:themeColor="text1"/>
          <w:szCs w:val="24"/>
        </w:rPr>
      </w:pPr>
      <w:r w:rsidRPr="00A7723B">
        <w:rPr>
          <w:color w:val="000000" w:themeColor="text1"/>
          <w:szCs w:val="24"/>
        </w:rPr>
        <w:t>LONO</w:t>
      </w:r>
      <w:r w:rsidRPr="00A7723B">
        <w:rPr>
          <w:color w:val="000000" w:themeColor="text1"/>
          <w:szCs w:val="24"/>
        </w:rPr>
        <w:tab/>
      </w:r>
      <w:r w:rsidRPr="00A7723B">
        <w:rPr>
          <w:color w:val="000000" w:themeColor="text1"/>
          <w:szCs w:val="24"/>
        </w:rPr>
        <w:tab/>
        <w:t>Letter of No Objection</w:t>
      </w:r>
    </w:p>
    <w:p w14:paraId="5571EFCA" w14:textId="77777777" w:rsidR="00885B99" w:rsidRPr="00A7723B" w:rsidRDefault="00885B99" w:rsidP="00885B99">
      <w:pPr>
        <w:spacing w:after="120"/>
        <w:rPr>
          <w:color w:val="000000" w:themeColor="text1"/>
          <w:szCs w:val="24"/>
        </w:rPr>
      </w:pPr>
      <w:r w:rsidRPr="00A7723B">
        <w:rPr>
          <w:color w:val="000000" w:themeColor="text1"/>
          <w:szCs w:val="24"/>
        </w:rPr>
        <w:t>MFI</w:t>
      </w:r>
      <w:r>
        <w:rPr>
          <w:color w:val="000000" w:themeColor="text1"/>
          <w:szCs w:val="24"/>
        </w:rPr>
        <w:tab/>
      </w:r>
      <w:r>
        <w:rPr>
          <w:color w:val="000000" w:themeColor="text1"/>
          <w:szCs w:val="24"/>
        </w:rPr>
        <w:tab/>
      </w:r>
      <w:r w:rsidRPr="00A7723B">
        <w:rPr>
          <w:color w:val="000000" w:themeColor="text1"/>
          <w:szCs w:val="24"/>
        </w:rPr>
        <w:t>Micro Finance Institution</w:t>
      </w:r>
    </w:p>
    <w:p w14:paraId="0F09099A" w14:textId="77777777" w:rsidR="00885B99" w:rsidRPr="00A7723B" w:rsidRDefault="00885B99" w:rsidP="00885B99">
      <w:pPr>
        <w:spacing w:after="120"/>
        <w:rPr>
          <w:color w:val="000000" w:themeColor="text1"/>
          <w:szCs w:val="24"/>
        </w:rPr>
      </w:pPr>
      <w:r w:rsidRPr="00A7723B">
        <w:rPr>
          <w:color w:val="000000" w:themeColor="text1"/>
          <w:szCs w:val="24"/>
        </w:rPr>
        <w:t>MMI</w:t>
      </w:r>
      <w:r>
        <w:rPr>
          <w:color w:val="000000" w:themeColor="text1"/>
          <w:szCs w:val="24"/>
        </w:rPr>
        <w:tab/>
      </w:r>
      <w:r>
        <w:rPr>
          <w:color w:val="000000" w:themeColor="text1"/>
          <w:szCs w:val="24"/>
        </w:rPr>
        <w:tab/>
      </w:r>
      <w:r w:rsidRPr="00A7723B">
        <w:rPr>
          <w:color w:val="000000" w:themeColor="text1"/>
          <w:szCs w:val="24"/>
        </w:rPr>
        <w:t>Man Machine Interface</w:t>
      </w:r>
    </w:p>
    <w:p w14:paraId="68C21E07" w14:textId="77777777" w:rsidR="00885B99" w:rsidRPr="00A7723B" w:rsidRDefault="00885B99" w:rsidP="00885B99">
      <w:pPr>
        <w:spacing w:after="120"/>
        <w:rPr>
          <w:color w:val="000000" w:themeColor="text1"/>
          <w:szCs w:val="24"/>
        </w:rPr>
      </w:pPr>
      <w:r w:rsidRPr="00A7723B">
        <w:rPr>
          <w:color w:val="000000" w:themeColor="text1"/>
          <w:szCs w:val="24"/>
        </w:rPr>
        <w:t xml:space="preserve">MNO </w:t>
      </w:r>
      <w:r w:rsidRPr="00A7723B">
        <w:rPr>
          <w:color w:val="000000" w:themeColor="text1"/>
          <w:szCs w:val="24"/>
        </w:rPr>
        <w:tab/>
      </w:r>
      <w:r w:rsidRPr="00A7723B">
        <w:rPr>
          <w:color w:val="000000" w:themeColor="text1"/>
          <w:szCs w:val="24"/>
        </w:rPr>
        <w:tab/>
        <w:t>Mobile Network Operator</w:t>
      </w:r>
    </w:p>
    <w:p w14:paraId="7A06DE83" w14:textId="77777777" w:rsidR="00885B99" w:rsidRPr="00A7723B" w:rsidRDefault="00885B99" w:rsidP="00885B99">
      <w:pPr>
        <w:spacing w:after="120"/>
        <w:rPr>
          <w:color w:val="000000" w:themeColor="text1"/>
          <w:szCs w:val="24"/>
        </w:rPr>
      </w:pPr>
      <w:r w:rsidRPr="00A7723B">
        <w:rPr>
          <w:color w:val="000000" w:themeColor="text1"/>
          <w:szCs w:val="24"/>
        </w:rPr>
        <w:lastRenderedPageBreak/>
        <w:t>MO</w:t>
      </w:r>
      <w:r>
        <w:rPr>
          <w:color w:val="000000" w:themeColor="text1"/>
          <w:szCs w:val="24"/>
        </w:rPr>
        <w:tab/>
      </w:r>
      <w:r>
        <w:rPr>
          <w:color w:val="000000" w:themeColor="text1"/>
          <w:szCs w:val="24"/>
        </w:rPr>
        <w:tab/>
      </w:r>
      <w:r w:rsidRPr="00A7723B">
        <w:rPr>
          <w:color w:val="000000" w:themeColor="text1"/>
          <w:szCs w:val="24"/>
        </w:rPr>
        <w:t>Mobile Originating</w:t>
      </w:r>
    </w:p>
    <w:p w14:paraId="74933DF9" w14:textId="77777777" w:rsidR="00885B99" w:rsidRPr="00A7723B" w:rsidRDefault="00885B99" w:rsidP="00885B99">
      <w:pPr>
        <w:spacing w:after="120"/>
        <w:rPr>
          <w:color w:val="000000" w:themeColor="text1"/>
          <w:szCs w:val="24"/>
        </w:rPr>
      </w:pPr>
      <w:r w:rsidRPr="00A7723B">
        <w:rPr>
          <w:color w:val="000000" w:themeColor="text1"/>
          <w:szCs w:val="24"/>
        </w:rPr>
        <w:t>MO-SMS</w:t>
      </w:r>
      <w:r w:rsidRPr="00A7723B">
        <w:rPr>
          <w:color w:val="000000" w:themeColor="text1"/>
          <w:szCs w:val="24"/>
        </w:rPr>
        <w:tab/>
        <w:t>Mobile Originating SMS</w:t>
      </w:r>
    </w:p>
    <w:p w14:paraId="4FBD795C" w14:textId="77777777" w:rsidR="00885B99" w:rsidRPr="00A7723B" w:rsidRDefault="00885B99" w:rsidP="00885B99">
      <w:pPr>
        <w:spacing w:after="120"/>
        <w:rPr>
          <w:color w:val="000000" w:themeColor="text1"/>
          <w:szCs w:val="24"/>
        </w:rPr>
      </w:pPr>
      <w:r w:rsidRPr="00A7723B">
        <w:rPr>
          <w:color w:val="000000" w:themeColor="text1"/>
          <w:szCs w:val="24"/>
        </w:rPr>
        <w:t>MOU</w:t>
      </w:r>
      <w:r>
        <w:rPr>
          <w:color w:val="000000" w:themeColor="text1"/>
          <w:szCs w:val="24"/>
        </w:rPr>
        <w:tab/>
      </w:r>
      <w:r>
        <w:rPr>
          <w:color w:val="000000" w:themeColor="text1"/>
          <w:szCs w:val="24"/>
        </w:rPr>
        <w:tab/>
      </w:r>
      <w:r w:rsidRPr="00A7723B">
        <w:rPr>
          <w:color w:val="000000" w:themeColor="text1"/>
          <w:szCs w:val="24"/>
        </w:rPr>
        <w:t>Memorandum of Understanding</w:t>
      </w:r>
    </w:p>
    <w:p w14:paraId="32E59AA9" w14:textId="77777777" w:rsidR="00885B99" w:rsidRPr="00A7723B" w:rsidRDefault="00885B99" w:rsidP="00885B99">
      <w:pPr>
        <w:spacing w:after="120"/>
        <w:rPr>
          <w:color w:val="000000" w:themeColor="text1"/>
          <w:szCs w:val="24"/>
        </w:rPr>
      </w:pPr>
      <w:r w:rsidRPr="00A7723B">
        <w:rPr>
          <w:color w:val="000000" w:themeColor="text1"/>
          <w:szCs w:val="24"/>
        </w:rPr>
        <w:t>MT</w:t>
      </w:r>
      <w:r>
        <w:rPr>
          <w:color w:val="000000" w:themeColor="text1"/>
          <w:szCs w:val="24"/>
        </w:rPr>
        <w:tab/>
      </w:r>
      <w:r>
        <w:rPr>
          <w:color w:val="000000" w:themeColor="text1"/>
          <w:szCs w:val="24"/>
        </w:rPr>
        <w:tab/>
      </w:r>
      <w:r w:rsidRPr="00A7723B">
        <w:rPr>
          <w:color w:val="000000" w:themeColor="text1"/>
          <w:szCs w:val="24"/>
        </w:rPr>
        <w:t>Mobile Terminating</w:t>
      </w:r>
    </w:p>
    <w:p w14:paraId="2D6B0FE0" w14:textId="77777777" w:rsidR="00885B99" w:rsidRPr="00A7723B" w:rsidRDefault="00885B99" w:rsidP="00885B99">
      <w:pPr>
        <w:spacing w:after="120"/>
        <w:rPr>
          <w:color w:val="000000" w:themeColor="text1"/>
          <w:szCs w:val="24"/>
        </w:rPr>
      </w:pPr>
      <w:r w:rsidRPr="00A7723B">
        <w:rPr>
          <w:color w:val="000000" w:themeColor="text1"/>
          <w:szCs w:val="24"/>
        </w:rPr>
        <w:t>MT-SMS</w:t>
      </w:r>
      <w:r w:rsidRPr="00A7723B">
        <w:rPr>
          <w:color w:val="000000" w:themeColor="text1"/>
          <w:szCs w:val="24"/>
        </w:rPr>
        <w:tab/>
        <w:t>Mobile Terminating SMS</w:t>
      </w:r>
    </w:p>
    <w:p w14:paraId="7F4CCCFA" w14:textId="77777777" w:rsidR="00885B99" w:rsidRPr="00A7723B" w:rsidRDefault="00885B99" w:rsidP="00885B99">
      <w:pPr>
        <w:spacing w:after="120"/>
        <w:rPr>
          <w:color w:val="000000" w:themeColor="text1"/>
          <w:szCs w:val="24"/>
        </w:rPr>
      </w:pPr>
      <w:r w:rsidRPr="00A7723B">
        <w:rPr>
          <w:color w:val="000000" w:themeColor="text1"/>
          <w:szCs w:val="24"/>
        </w:rPr>
        <w:t>MVNO</w:t>
      </w:r>
      <w:r w:rsidRPr="00A7723B">
        <w:rPr>
          <w:color w:val="000000" w:themeColor="text1"/>
          <w:szCs w:val="24"/>
        </w:rPr>
        <w:tab/>
      </w:r>
      <w:r w:rsidRPr="00A7723B">
        <w:rPr>
          <w:color w:val="000000" w:themeColor="text1"/>
          <w:szCs w:val="24"/>
        </w:rPr>
        <w:tab/>
        <w:t>Mobile Virtual Network Operator</w:t>
      </w:r>
    </w:p>
    <w:p w14:paraId="40609366" w14:textId="77777777" w:rsidR="00885B99" w:rsidRPr="00A7723B" w:rsidRDefault="00885B99" w:rsidP="00885B99">
      <w:pPr>
        <w:spacing w:after="120"/>
        <w:rPr>
          <w:color w:val="000000" w:themeColor="text1"/>
          <w:szCs w:val="24"/>
        </w:rPr>
      </w:pPr>
      <w:r w:rsidRPr="00A7723B">
        <w:rPr>
          <w:color w:val="000000" w:themeColor="text1"/>
          <w:szCs w:val="24"/>
        </w:rPr>
        <w:t>NFC</w:t>
      </w:r>
      <w:r>
        <w:rPr>
          <w:color w:val="000000" w:themeColor="text1"/>
          <w:szCs w:val="24"/>
        </w:rPr>
        <w:tab/>
      </w:r>
      <w:r>
        <w:rPr>
          <w:color w:val="000000" w:themeColor="text1"/>
          <w:szCs w:val="24"/>
        </w:rPr>
        <w:tab/>
      </w:r>
      <w:r w:rsidRPr="00A7723B">
        <w:rPr>
          <w:color w:val="000000" w:themeColor="text1"/>
          <w:szCs w:val="24"/>
        </w:rPr>
        <w:t>Near Field Communication</w:t>
      </w:r>
    </w:p>
    <w:p w14:paraId="54037E34" w14:textId="77777777" w:rsidR="00885B99" w:rsidRPr="00A7723B" w:rsidRDefault="00885B99" w:rsidP="00885B99">
      <w:pPr>
        <w:spacing w:after="120"/>
        <w:rPr>
          <w:color w:val="000000" w:themeColor="text1"/>
          <w:szCs w:val="24"/>
        </w:rPr>
      </w:pPr>
      <w:r w:rsidRPr="00A7723B">
        <w:rPr>
          <w:color w:val="000000" w:themeColor="text1"/>
          <w:szCs w:val="24"/>
        </w:rPr>
        <w:t>NI-USSD</w:t>
      </w:r>
      <w:r w:rsidRPr="00A7723B">
        <w:rPr>
          <w:color w:val="000000" w:themeColor="text1"/>
          <w:szCs w:val="24"/>
        </w:rPr>
        <w:tab/>
        <w:t>Network Initiated USSD</w:t>
      </w:r>
    </w:p>
    <w:p w14:paraId="250D7C0A" w14:textId="77777777" w:rsidR="00885B99" w:rsidRPr="00A7723B" w:rsidRDefault="00885B99" w:rsidP="00885B99">
      <w:pPr>
        <w:spacing w:after="120"/>
        <w:rPr>
          <w:color w:val="000000" w:themeColor="text1"/>
          <w:szCs w:val="24"/>
        </w:rPr>
      </w:pPr>
      <w:r w:rsidRPr="00A7723B">
        <w:rPr>
          <w:color w:val="000000" w:themeColor="text1"/>
          <w:szCs w:val="24"/>
        </w:rPr>
        <w:t xml:space="preserve">NPCI </w:t>
      </w:r>
      <w:r w:rsidRPr="00A7723B">
        <w:rPr>
          <w:color w:val="000000" w:themeColor="text1"/>
          <w:szCs w:val="24"/>
        </w:rPr>
        <w:tab/>
      </w:r>
      <w:r w:rsidRPr="00A7723B">
        <w:rPr>
          <w:color w:val="000000" w:themeColor="text1"/>
          <w:szCs w:val="24"/>
        </w:rPr>
        <w:tab/>
        <w:t>National Payments Corporation of India</w:t>
      </w:r>
    </w:p>
    <w:p w14:paraId="115C5BBC" w14:textId="77777777" w:rsidR="00885B99" w:rsidRPr="00A7723B" w:rsidRDefault="00885B99" w:rsidP="00885B99">
      <w:pPr>
        <w:spacing w:after="120"/>
        <w:rPr>
          <w:color w:val="000000" w:themeColor="text1"/>
          <w:szCs w:val="24"/>
        </w:rPr>
      </w:pPr>
      <w:r w:rsidRPr="00A7723B">
        <w:rPr>
          <w:color w:val="000000" w:themeColor="text1"/>
          <w:szCs w:val="24"/>
        </w:rPr>
        <w:t>NPS</w:t>
      </w:r>
      <w:r>
        <w:rPr>
          <w:color w:val="000000" w:themeColor="text1"/>
          <w:szCs w:val="24"/>
        </w:rPr>
        <w:tab/>
      </w:r>
      <w:r>
        <w:rPr>
          <w:color w:val="000000" w:themeColor="text1"/>
          <w:szCs w:val="24"/>
        </w:rPr>
        <w:tab/>
      </w:r>
      <w:r w:rsidRPr="00A7723B">
        <w:rPr>
          <w:color w:val="000000" w:themeColor="text1"/>
          <w:szCs w:val="24"/>
        </w:rPr>
        <w:t>National Payment System</w:t>
      </w:r>
    </w:p>
    <w:p w14:paraId="1F37F572" w14:textId="77777777" w:rsidR="00885B99" w:rsidRPr="00A7723B" w:rsidRDefault="00885B99" w:rsidP="00885B99">
      <w:pPr>
        <w:spacing w:after="120"/>
        <w:rPr>
          <w:color w:val="000000" w:themeColor="text1"/>
          <w:szCs w:val="24"/>
        </w:rPr>
      </w:pPr>
      <w:r w:rsidRPr="00A7723B">
        <w:rPr>
          <w:color w:val="000000" w:themeColor="text1"/>
          <w:szCs w:val="24"/>
        </w:rPr>
        <w:t>NSDT</w:t>
      </w:r>
      <w:r w:rsidRPr="00A7723B">
        <w:rPr>
          <w:color w:val="000000" w:themeColor="text1"/>
          <w:szCs w:val="24"/>
        </w:rPr>
        <w:tab/>
      </w:r>
      <w:r w:rsidRPr="00A7723B">
        <w:rPr>
          <w:color w:val="000000" w:themeColor="text1"/>
          <w:szCs w:val="24"/>
        </w:rPr>
        <w:tab/>
        <w:t>Near Sound Data Transfer</w:t>
      </w:r>
    </w:p>
    <w:p w14:paraId="40CFC818" w14:textId="77777777" w:rsidR="00885B99" w:rsidRPr="00A7723B" w:rsidRDefault="00885B99" w:rsidP="00885B99">
      <w:pPr>
        <w:spacing w:after="120"/>
        <w:rPr>
          <w:color w:val="000000" w:themeColor="text1"/>
          <w:szCs w:val="24"/>
        </w:rPr>
      </w:pPr>
      <w:r w:rsidRPr="00A7723B">
        <w:rPr>
          <w:color w:val="000000" w:themeColor="text1"/>
          <w:szCs w:val="24"/>
        </w:rPr>
        <w:t>OS</w:t>
      </w:r>
      <w:r>
        <w:rPr>
          <w:color w:val="000000" w:themeColor="text1"/>
          <w:szCs w:val="24"/>
        </w:rPr>
        <w:tab/>
      </w:r>
      <w:r>
        <w:rPr>
          <w:color w:val="000000" w:themeColor="text1"/>
          <w:szCs w:val="24"/>
        </w:rPr>
        <w:tab/>
      </w:r>
      <w:r w:rsidRPr="00A7723B">
        <w:rPr>
          <w:color w:val="000000" w:themeColor="text1"/>
          <w:szCs w:val="24"/>
        </w:rPr>
        <w:t>Operating System</w:t>
      </w:r>
    </w:p>
    <w:p w14:paraId="7E3C049A" w14:textId="77777777" w:rsidR="00885B99" w:rsidRPr="00A7723B" w:rsidRDefault="00885B99" w:rsidP="00885B99">
      <w:pPr>
        <w:spacing w:after="120"/>
        <w:rPr>
          <w:color w:val="000000" w:themeColor="text1"/>
          <w:szCs w:val="24"/>
        </w:rPr>
      </w:pPr>
      <w:r w:rsidRPr="00A7723B">
        <w:rPr>
          <w:color w:val="000000" w:themeColor="text1"/>
          <w:szCs w:val="24"/>
        </w:rPr>
        <w:t>OTA</w:t>
      </w:r>
      <w:r>
        <w:rPr>
          <w:color w:val="000000" w:themeColor="text1"/>
          <w:szCs w:val="24"/>
        </w:rPr>
        <w:tab/>
      </w:r>
      <w:r>
        <w:rPr>
          <w:color w:val="000000" w:themeColor="text1"/>
          <w:szCs w:val="24"/>
        </w:rPr>
        <w:tab/>
      </w:r>
      <w:r w:rsidRPr="00A7723B">
        <w:rPr>
          <w:color w:val="000000" w:themeColor="text1"/>
          <w:szCs w:val="24"/>
        </w:rPr>
        <w:t>Over The Air</w:t>
      </w:r>
    </w:p>
    <w:p w14:paraId="5F897783" w14:textId="77777777" w:rsidR="00885B99" w:rsidRPr="00A7723B" w:rsidRDefault="00885B99" w:rsidP="00885B99">
      <w:pPr>
        <w:spacing w:after="120"/>
        <w:rPr>
          <w:color w:val="000000" w:themeColor="text1"/>
          <w:szCs w:val="24"/>
        </w:rPr>
      </w:pPr>
      <w:r w:rsidRPr="00A7723B">
        <w:rPr>
          <w:color w:val="000000" w:themeColor="text1"/>
          <w:szCs w:val="24"/>
        </w:rPr>
        <w:t>OTC</w:t>
      </w:r>
      <w:r>
        <w:rPr>
          <w:color w:val="000000" w:themeColor="text1"/>
          <w:szCs w:val="24"/>
        </w:rPr>
        <w:tab/>
      </w:r>
      <w:r>
        <w:rPr>
          <w:color w:val="000000" w:themeColor="text1"/>
          <w:szCs w:val="24"/>
        </w:rPr>
        <w:tab/>
      </w:r>
      <w:r w:rsidRPr="00A7723B">
        <w:rPr>
          <w:color w:val="000000" w:themeColor="text1"/>
          <w:szCs w:val="24"/>
        </w:rPr>
        <w:t xml:space="preserve">Over The Counter </w:t>
      </w:r>
    </w:p>
    <w:p w14:paraId="37BAC843" w14:textId="77777777" w:rsidR="00885B99" w:rsidRPr="00A7723B" w:rsidRDefault="00885B99" w:rsidP="00885B99">
      <w:pPr>
        <w:spacing w:after="120"/>
        <w:rPr>
          <w:color w:val="000000" w:themeColor="text1"/>
          <w:szCs w:val="24"/>
        </w:rPr>
      </w:pPr>
      <w:r w:rsidRPr="00A7723B">
        <w:rPr>
          <w:color w:val="000000" w:themeColor="text1"/>
          <w:szCs w:val="24"/>
        </w:rPr>
        <w:t>OTT</w:t>
      </w:r>
      <w:r>
        <w:rPr>
          <w:color w:val="000000" w:themeColor="text1"/>
          <w:szCs w:val="24"/>
        </w:rPr>
        <w:tab/>
      </w:r>
      <w:r>
        <w:rPr>
          <w:color w:val="000000" w:themeColor="text1"/>
          <w:szCs w:val="24"/>
        </w:rPr>
        <w:tab/>
      </w:r>
      <w:r w:rsidRPr="00A7723B">
        <w:rPr>
          <w:color w:val="000000" w:themeColor="text1"/>
          <w:szCs w:val="24"/>
        </w:rPr>
        <w:t>Over The Top</w:t>
      </w:r>
    </w:p>
    <w:p w14:paraId="13A18CDB" w14:textId="77777777" w:rsidR="00885B99" w:rsidRPr="00A7723B" w:rsidRDefault="00885B99" w:rsidP="00885B99">
      <w:pPr>
        <w:spacing w:after="120"/>
        <w:rPr>
          <w:color w:val="000000" w:themeColor="text1"/>
          <w:szCs w:val="24"/>
        </w:rPr>
      </w:pPr>
      <w:r w:rsidRPr="00A7723B">
        <w:rPr>
          <w:color w:val="000000" w:themeColor="text1"/>
          <w:szCs w:val="24"/>
        </w:rPr>
        <w:t>P2A</w:t>
      </w:r>
      <w:r>
        <w:rPr>
          <w:color w:val="000000" w:themeColor="text1"/>
          <w:szCs w:val="24"/>
        </w:rPr>
        <w:tab/>
      </w:r>
      <w:r>
        <w:rPr>
          <w:color w:val="000000" w:themeColor="text1"/>
          <w:szCs w:val="24"/>
        </w:rPr>
        <w:tab/>
      </w:r>
      <w:r w:rsidRPr="00A7723B">
        <w:rPr>
          <w:color w:val="000000" w:themeColor="text1"/>
          <w:szCs w:val="24"/>
        </w:rPr>
        <w:t>Person-To-Account</w:t>
      </w:r>
    </w:p>
    <w:p w14:paraId="37A57138" w14:textId="77777777" w:rsidR="00885B99" w:rsidRPr="00A7723B" w:rsidRDefault="00885B99" w:rsidP="00885B99">
      <w:pPr>
        <w:spacing w:after="120"/>
        <w:rPr>
          <w:color w:val="000000" w:themeColor="text1"/>
          <w:szCs w:val="24"/>
        </w:rPr>
      </w:pPr>
      <w:r w:rsidRPr="00A7723B">
        <w:rPr>
          <w:color w:val="000000" w:themeColor="text1"/>
          <w:szCs w:val="24"/>
        </w:rPr>
        <w:t>P2M</w:t>
      </w:r>
      <w:r>
        <w:rPr>
          <w:color w:val="000000" w:themeColor="text1"/>
          <w:szCs w:val="24"/>
        </w:rPr>
        <w:tab/>
      </w:r>
      <w:r>
        <w:rPr>
          <w:color w:val="000000" w:themeColor="text1"/>
          <w:szCs w:val="24"/>
        </w:rPr>
        <w:tab/>
      </w:r>
      <w:r w:rsidRPr="00A7723B">
        <w:rPr>
          <w:color w:val="000000" w:themeColor="text1"/>
          <w:szCs w:val="24"/>
        </w:rPr>
        <w:t>Person-To-Machine</w:t>
      </w:r>
    </w:p>
    <w:p w14:paraId="60F54C01" w14:textId="77777777" w:rsidR="00885B99" w:rsidRPr="00A7723B" w:rsidRDefault="00885B99" w:rsidP="00885B99">
      <w:pPr>
        <w:tabs>
          <w:tab w:val="clear" w:pos="1985"/>
          <w:tab w:val="left" w:pos="1691"/>
          <w:tab w:val="left" w:pos="1987"/>
        </w:tabs>
        <w:spacing w:after="120"/>
        <w:rPr>
          <w:color w:val="000000" w:themeColor="text1"/>
          <w:szCs w:val="24"/>
        </w:rPr>
      </w:pPr>
      <w:r w:rsidRPr="00A7723B">
        <w:rPr>
          <w:color w:val="000000" w:themeColor="text1"/>
          <w:szCs w:val="24"/>
        </w:rPr>
        <w:t>P2P</w:t>
      </w:r>
      <w:r>
        <w:rPr>
          <w:color w:val="000000" w:themeColor="text1"/>
          <w:szCs w:val="24"/>
        </w:rPr>
        <w:tab/>
      </w:r>
      <w:r w:rsidRPr="00A7723B">
        <w:rPr>
          <w:color w:val="000000" w:themeColor="text1"/>
          <w:szCs w:val="24"/>
        </w:rPr>
        <w:tab/>
        <w:t>Person-To-Person</w:t>
      </w:r>
    </w:p>
    <w:p w14:paraId="3D71BA53" w14:textId="77777777" w:rsidR="00885B99" w:rsidRPr="00A7723B" w:rsidRDefault="00885B99" w:rsidP="00885B99">
      <w:pPr>
        <w:spacing w:after="120"/>
        <w:rPr>
          <w:color w:val="000000" w:themeColor="text1"/>
          <w:szCs w:val="24"/>
        </w:rPr>
      </w:pPr>
      <w:r w:rsidRPr="00A7723B">
        <w:rPr>
          <w:color w:val="000000" w:themeColor="text1"/>
          <w:szCs w:val="24"/>
        </w:rPr>
        <w:t>PCI-DSS</w:t>
      </w:r>
      <w:r w:rsidRPr="00A7723B">
        <w:rPr>
          <w:color w:val="000000" w:themeColor="text1"/>
          <w:szCs w:val="24"/>
        </w:rPr>
        <w:tab/>
      </w:r>
      <w:r w:rsidRPr="00A7723B">
        <w:rPr>
          <w:color w:val="000000" w:themeColor="text1"/>
          <w:szCs w:val="24"/>
          <w:shd w:val="clear" w:color="auto" w:fill="FFFFFF"/>
        </w:rPr>
        <w:t>Payment Card Industry Data Security Standard</w:t>
      </w:r>
    </w:p>
    <w:p w14:paraId="4F05D493" w14:textId="77777777" w:rsidR="00885B99" w:rsidRPr="00A7723B" w:rsidRDefault="00885B99" w:rsidP="00885B99">
      <w:pPr>
        <w:spacing w:after="120"/>
        <w:rPr>
          <w:color w:val="000000" w:themeColor="text1"/>
          <w:szCs w:val="24"/>
        </w:rPr>
      </w:pPr>
      <w:r w:rsidRPr="00A7723B">
        <w:rPr>
          <w:color w:val="000000" w:themeColor="text1"/>
          <w:szCs w:val="24"/>
        </w:rPr>
        <w:t>PIN</w:t>
      </w:r>
      <w:r>
        <w:rPr>
          <w:color w:val="000000" w:themeColor="text1"/>
          <w:szCs w:val="24"/>
        </w:rPr>
        <w:tab/>
      </w:r>
      <w:r>
        <w:rPr>
          <w:color w:val="000000" w:themeColor="text1"/>
          <w:szCs w:val="24"/>
        </w:rPr>
        <w:tab/>
      </w:r>
      <w:r w:rsidRPr="00A7723B">
        <w:rPr>
          <w:color w:val="000000" w:themeColor="text1"/>
          <w:szCs w:val="24"/>
        </w:rPr>
        <w:t>Personal Identification Number</w:t>
      </w:r>
    </w:p>
    <w:p w14:paraId="2DB8DDC0" w14:textId="77777777" w:rsidR="00885B99" w:rsidRPr="00A7723B" w:rsidRDefault="00885B99" w:rsidP="00885B99">
      <w:pPr>
        <w:spacing w:after="120"/>
        <w:rPr>
          <w:color w:val="000000" w:themeColor="text1"/>
          <w:szCs w:val="24"/>
        </w:rPr>
      </w:pPr>
      <w:r w:rsidRPr="00A7723B">
        <w:rPr>
          <w:color w:val="000000" w:themeColor="text1"/>
          <w:szCs w:val="24"/>
        </w:rPr>
        <w:t>POS</w:t>
      </w:r>
      <w:r>
        <w:rPr>
          <w:color w:val="000000" w:themeColor="text1"/>
          <w:szCs w:val="24"/>
        </w:rPr>
        <w:tab/>
      </w:r>
      <w:r>
        <w:rPr>
          <w:color w:val="000000" w:themeColor="text1"/>
          <w:szCs w:val="24"/>
        </w:rPr>
        <w:tab/>
      </w:r>
      <w:r w:rsidRPr="00A7723B">
        <w:rPr>
          <w:color w:val="000000" w:themeColor="text1"/>
          <w:szCs w:val="24"/>
        </w:rPr>
        <w:t>Point of Sale</w:t>
      </w:r>
    </w:p>
    <w:p w14:paraId="281FDA21" w14:textId="77777777" w:rsidR="00885B99" w:rsidRPr="00A7723B" w:rsidRDefault="00885B99" w:rsidP="00885B99">
      <w:pPr>
        <w:spacing w:after="120"/>
        <w:rPr>
          <w:color w:val="000000" w:themeColor="text1"/>
          <w:szCs w:val="24"/>
        </w:rPr>
      </w:pPr>
      <w:r w:rsidRPr="00A7723B">
        <w:rPr>
          <w:color w:val="000000" w:themeColor="text1"/>
          <w:szCs w:val="24"/>
        </w:rPr>
        <w:t>POTAZ</w:t>
      </w:r>
      <w:r w:rsidRPr="00A7723B">
        <w:rPr>
          <w:color w:val="000000" w:themeColor="text1"/>
          <w:szCs w:val="24"/>
        </w:rPr>
        <w:tab/>
      </w:r>
      <w:r w:rsidRPr="00A7723B">
        <w:rPr>
          <w:color w:val="000000" w:themeColor="text1"/>
          <w:szCs w:val="24"/>
        </w:rPr>
        <w:tab/>
        <w:t>Postal and Telecommunications Regulatory Authority of Zimbabwe</w:t>
      </w:r>
    </w:p>
    <w:p w14:paraId="68FFF37C" w14:textId="77777777" w:rsidR="00885B99" w:rsidRPr="00A7723B" w:rsidRDefault="00885B99" w:rsidP="00885B99">
      <w:pPr>
        <w:spacing w:after="120"/>
        <w:rPr>
          <w:color w:val="000000" w:themeColor="text1"/>
          <w:szCs w:val="24"/>
        </w:rPr>
      </w:pPr>
      <w:r w:rsidRPr="00A7723B">
        <w:rPr>
          <w:color w:val="000000" w:themeColor="text1"/>
          <w:szCs w:val="24"/>
        </w:rPr>
        <w:t>PSP</w:t>
      </w:r>
      <w:r>
        <w:rPr>
          <w:color w:val="000000" w:themeColor="text1"/>
          <w:szCs w:val="24"/>
        </w:rPr>
        <w:tab/>
      </w:r>
      <w:r>
        <w:rPr>
          <w:color w:val="000000" w:themeColor="text1"/>
          <w:szCs w:val="24"/>
        </w:rPr>
        <w:tab/>
      </w:r>
      <w:r w:rsidRPr="00A7723B">
        <w:rPr>
          <w:color w:val="000000" w:themeColor="text1"/>
          <w:szCs w:val="24"/>
        </w:rPr>
        <w:t>Payment Service Provider</w:t>
      </w:r>
    </w:p>
    <w:p w14:paraId="3E2CD189" w14:textId="77777777" w:rsidR="00885B99" w:rsidRPr="00A7723B" w:rsidRDefault="00885B99" w:rsidP="00885B99">
      <w:pPr>
        <w:spacing w:after="120"/>
        <w:rPr>
          <w:color w:val="000000" w:themeColor="text1"/>
          <w:szCs w:val="24"/>
        </w:rPr>
      </w:pPr>
      <w:r w:rsidRPr="00A7723B">
        <w:rPr>
          <w:color w:val="000000" w:themeColor="text1"/>
          <w:szCs w:val="24"/>
        </w:rPr>
        <w:t>QOS</w:t>
      </w:r>
      <w:r>
        <w:rPr>
          <w:color w:val="000000" w:themeColor="text1"/>
          <w:szCs w:val="24"/>
        </w:rPr>
        <w:tab/>
      </w:r>
      <w:r>
        <w:rPr>
          <w:color w:val="000000" w:themeColor="text1"/>
          <w:szCs w:val="24"/>
        </w:rPr>
        <w:tab/>
      </w:r>
      <w:r w:rsidRPr="00A7723B">
        <w:rPr>
          <w:color w:val="000000" w:themeColor="text1"/>
          <w:szCs w:val="24"/>
        </w:rPr>
        <w:t>Quality of Service</w:t>
      </w:r>
    </w:p>
    <w:p w14:paraId="586F476A" w14:textId="77777777" w:rsidR="00885B99" w:rsidRPr="00A7723B" w:rsidRDefault="00885B99" w:rsidP="00885B99">
      <w:pPr>
        <w:spacing w:after="120"/>
        <w:rPr>
          <w:color w:val="000000" w:themeColor="text1"/>
          <w:szCs w:val="24"/>
        </w:rPr>
      </w:pPr>
      <w:r w:rsidRPr="00A7723B">
        <w:rPr>
          <w:color w:val="000000" w:themeColor="text1"/>
          <w:szCs w:val="24"/>
        </w:rPr>
        <w:t>RBI</w:t>
      </w:r>
      <w:r>
        <w:rPr>
          <w:color w:val="000000" w:themeColor="text1"/>
          <w:szCs w:val="24"/>
        </w:rPr>
        <w:tab/>
      </w:r>
      <w:r>
        <w:rPr>
          <w:color w:val="000000" w:themeColor="text1"/>
          <w:szCs w:val="24"/>
        </w:rPr>
        <w:tab/>
      </w:r>
      <w:r w:rsidRPr="00A7723B">
        <w:rPr>
          <w:color w:val="000000" w:themeColor="text1"/>
          <w:szCs w:val="24"/>
        </w:rPr>
        <w:t>Reserve Bank of India</w:t>
      </w:r>
    </w:p>
    <w:p w14:paraId="401394C2" w14:textId="77777777" w:rsidR="00885B99" w:rsidRPr="00A7723B" w:rsidRDefault="00885B99" w:rsidP="00885B99">
      <w:pPr>
        <w:spacing w:after="120"/>
        <w:rPr>
          <w:color w:val="000000" w:themeColor="text1"/>
          <w:szCs w:val="24"/>
        </w:rPr>
      </w:pPr>
      <w:r w:rsidRPr="00A7723B">
        <w:rPr>
          <w:color w:val="000000" w:themeColor="text1"/>
          <w:szCs w:val="24"/>
        </w:rPr>
        <w:t>Regtech</w:t>
      </w:r>
      <w:r w:rsidRPr="00A7723B">
        <w:rPr>
          <w:color w:val="000000" w:themeColor="text1"/>
          <w:szCs w:val="24"/>
        </w:rPr>
        <w:tab/>
      </w:r>
      <w:r w:rsidRPr="00A7723B">
        <w:rPr>
          <w:color w:val="000000" w:themeColor="text1"/>
          <w:szCs w:val="24"/>
        </w:rPr>
        <w:tab/>
        <w:t>Regulatory Technology</w:t>
      </w:r>
    </w:p>
    <w:p w14:paraId="4A3EBBDB" w14:textId="77777777" w:rsidR="00885B99" w:rsidRPr="00A7723B" w:rsidRDefault="00885B99" w:rsidP="00885B99">
      <w:pPr>
        <w:spacing w:after="120"/>
        <w:rPr>
          <w:color w:val="000000" w:themeColor="text1"/>
          <w:szCs w:val="24"/>
        </w:rPr>
      </w:pPr>
      <w:r w:rsidRPr="00A7723B">
        <w:rPr>
          <w:color w:val="000000" w:themeColor="text1"/>
          <w:szCs w:val="24"/>
        </w:rPr>
        <w:t xml:space="preserve">RTGS </w:t>
      </w:r>
      <w:r w:rsidRPr="00A7723B">
        <w:rPr>
          <w:color w:val="000000" w:themeColor="text1"/>
          <w:szCs w:val="24"/>
        </w:rPr>
        <w:tab/>
      </w:r>
      <w:r w:rsidRPr="00A7723B">
        <w:rPr>
          <w:color w:val="000000" w:themeColor="text1"/>
          <w:szCs w:val="24"/>
        </w:rPr>
        <w:tab/>
        <w:t>Real-Time Gross Settlement</w:t>
      </w:r>
    </w:p>
    <w:p w14:paraId="63B9912E" w14:textId="77777777" w:rsidR="00885B99" w:rsidRPr="00A7723B" w:rsidRDefault="00885B99" w:rsidP="00885B99">
      <w:pPr>
        <w:spacing w:after="120"/>
        <w:rPr>
          <w:color w:val="000000" w:themeColor="text1"/>
          <w:szCs w:val="24"/>
        </w:rPr>
      </w:pPr>
      <w:r w:rsidRPr="00A7723B">
        <w:rPr>
          <w:color w:val="000000" w:themeColor="text1"/>
          <w:szCs w:val="24"/>
        </w:rPr>
        <w:t>SIM</w:t>
      </w:r>
      <w:r>
        <w:rPr>
          <w:color w:val="000000" w:themeColor="text1"/>
          <w:szCs w:val="24"/>
        </w:rPr>
        <w:tab/>
      </w:r>
      <w:r>
        <w:rPr>
          <w:color w:val="000000" w:themeColor="text1"/>
          <w:szCs w:val="24"/>
        </w:rPr>
        <w:tab/>
      </w:r>
      <w:r w:rsidRPr="00A7723B">
        <w:rPr>
          <w:color w:val="000000" w:themeColor="text1"/>
          <w:szCs w:val="24"/>
        </w:rPr>
        <w:t>Subscriber Identity Module</w:t>
      </w:r>
    </w:p>
    <w:p w14:paraId="61037CA2" w14:textId="77777777" w:rsidR="00885B99" w:rsidRPr="00A7723B" w:rsidRDefault="00885B99" w:rsidP="00885B99">
      <w:pPr>
        <w:spacing w:after="120"/>
        <w:rPr>
          <w:color w:val="000000" w:themeColor="text1"/>
          <w:szCs w:val="24"/>
        </w:rPr>
      </w:pPr>
      <w:r w:rsidRPr="00A7723B">
        <w:rPr>
          <w:color w:val="000000" w:themeColor="text1"/>
          <w:szCs w:val="24"/>
        </w:rPr>
        <w:t>SMP</w:t>
      </w:r>
      <w:r>
        <w:rPr>
          <w:color w:val="000000" w:themeColor="text1"/>
          <w:szCs w:val="24"/>
        </w:rPr>
        <w:tab/>
      </w:r>
      <w:r>
        <w:rPr>
          <w:color w:val="000000" w:themeColor="text1"/>
          <w:szCs w:val="24"/>
        </w:rPr>
        <w:tab/>
      </w:r>
      <w:r w:rsidRPr="00A7723B">
        <w:rPr>
          <w:color w:val="000000" w:themeColor="text1"/>
          <w:szCs w:val="24"/>
        </w:rPr>
        <w:t>Significant Market Power</w:t>
      </w:r>
    </w:p>
    <w:p w14:paraId="5DD13468" w14:textId="77777777" w:rsidR="00885B99" w:rsidRPr="00A7723B" w:rsidRDefault="00885B99" w:rsidP="00885B99">
      <w:pPr>
        <w:spacing w:after="120"/>
        <w:rPr>
          <w:color w:val="000000" w:themeColor="text1"/>
          <w:szCs w:val="24"/>
        </w:rPr>
      </w:pPr>
      <w:r w:rsidRPr="00A7723B">
        <w:rPr>
          <w:color w:val="000000" w:themeColor="text1"/>
          <w:szCs w:val="24"/>
        </w:rPr>
        <w:t>SSNIP</w:t>
      </w:r>
      <w:r w:rsidRPr="00A7723B">
        <w:rPr>
          <w:color w:val="000000" w:themeColor="text1"/>
          <w:szCs w:val="24"/>
        </w:rPr>
        <w:tab/>
      </w:r>
      <w:r w:rsidRPr="00A7723B">
        <w:rPr>
          <w:color w:val="000000" w:themeColor="text1"/>
          <w:szCs w:val="24"/>
        </w:rPr>
        <w:tab/>
        <w:t>Small but Significant and Non-transitory Increase in Price</w:t>
      </w:r>
    </w:p>
    <w:p w14:paraId="3DD466A7" w14:textId="77777777" w:rsidR="00885B99" w:rsidRPr="00A7723B" w:rsidRDefault="00885B99" w:rsidP="00885B99">
      <w:pPr>
        <w:spacing w:after="120"/>
        <w:rPr>
          <w:color w:val="000000" w:themeColor="text1"/>
          <w:szCs w:val="24"/>
        </w:rPr>
      </w:pPr>
      <w:r w:rsidRPr="00A7723B">
        <w:rPr>
          <w:color w:val="000000" w:themeColor="text1"/>
          <w:szCs w:val="24"/>
        </w:rPr>
        <w:t>SMS</w:t>
      </w:r>
      <w:r>
        <w:rPr>
          <w:color w:val="000000" w:themeColor="text1"/>
          <w:szCs w:val="24"/>
        </w:rPr>
        <w:tab/>
      </w:r>
      <w:r>
        <w:rPr>
          <w:color w:val="000000" w:themeColor="text1"/>
          <w:szCs w:val="24"/>
        </w:rPr>
        <w:tab/>
      </w:r>
      <w:r w:rsidRPr="00A7723B">
        <w:rPr>
          <w:color w:val="000000" w:themeColor="text1"/>
          <w:szCs w:val="24"/>
        </w:rPr>
        <w:t>Short Message Service</w:t>
      </w:r>
    </w:p>
    <w:p w14:paraId="1872EB96" w14:textId="77777777" w:rsidR="00885B99" w:rsidRPr="00A7723B" w:rsidRDefault="00885B99" w:rsidP="00885B99">
      <w:pPr>
        <w:spacing w:after="120"/>
        <w:rPr>
          <w:color w:val="000000" w:themeColor="text1"/>
          <w:szCs w:val="24"/>
        </w:rPr>
      </w:pPr>
      <w:r w:rsidRPr="00A7723B">
        <w:rPr>
          <w:color w:val="000000" w:themeColor="text1"/>
          <w:szCs w:val="24"/>
        </w:rPr>
        <w:t>SP</w:t>
      </w:r>
      <w:r>
        <w:rPr>
          <w:color w:val="000000" w:themeColor="text1"/>
          <w:szCs w:val="24"/>
        </w:rPr>
        <w:tab/>
      </w:r>
      <w:r>
        <w:rPr>
          <w:color w:val="000000" w:themeColor="text1"/>
          <w:szCs w:val="24"/>
        </w:rPr>
        <w:tab/>
      </w:r>
      <w:r w:rsidRPr="00A7723B">
        <w:rPr>
          <w:color w:val="000000" w:themeColor="text1"/>
          <w:szCs w:val="24"/>
        </w:rPr>
        <w:t>Service Provider</w:t>
      </w:r>
    </w:p>
    <w:p w14:paraId="0BC4A7F2" w14:textId="77777777" w:rsidR="00885B99" w:rsidRPr="00A7723B" w:rsidRDefault="00885B99" w:rsidP="00885B99">
      <w:pPr>
        <w:spacing w:after="120"/>
        <w:rPr>
          <w:color w:val="000000" w:themeColor="text1"/>
          <w:szCs w:val="24"/>
        </w:rPr>
      </w:pPr>
      <w:r w:rsidRPr="00A7723B">
        <w:rPr>
          <w:color w:val="000000" w:themeColor="text1"/>
          <w:szCs w:val="24"/>
        </w:rPr>
        <w:t>STK</w:t>
      </w:r>
      <w:r>
        <w:rPr>
          <w:color w:val="000000" w:themeColor="text1"/>
          <w:szCs w:val="24"/>
        </w:rPr>
        <w:tab/>
      </w:r>
      <w:r>
        <w:rPr>
          <w:color w:val="000000" w:themeColor="text1"/>
          <w:szCs w:val="24"/>
        </w:rPr>
        <w:tab/>
      </w:r>
      <w:r w:rsidRPr="00A7723B">
        <w:rPr>
          <w:color w:val="000000" w:themeColor="text1"/>
          <w:szCs w:val="24"/>
        </w:rPr>
        <w:t>SIM Toolkit</w:t>
      </w:r>
    </w:p>
    <w:p w14:paraId="126BA936" w14:textId="77777777" w:rsidR="00885B99" w:rsidRPr="00A7723B" w:rsidRDefault="00885B99" w:rsidP="00885B99">
      <w:pPr>
        <w:spacing w:after="120"/>
        <w:rPr>
          <w:color w:val="000000" w:themeColor="text1"/>
          <w:szCs w:val="24"/>
        </w:rPr>
      </w:pPr>
      <w:r w:rsidRPr="00A7723B">
        <w:rPr>
          <w:color w:val="000000" w:themeColor="text1"/>
          <w:szCs w:val="24"/>
        </w:rPr>
        <w:t>TRAI</w:t>
      </w:r>
      <w:r>
        <w:rPr>
          <w:color w:val="000000" w:themeColor="text1"/>
          <w:szCs w:val="24"/>
        </w:rPr>
        <w:tab/>
      </w:r>
      <w:r>
        <w:rPr>
          <w:color w:val="000000" w:themeColor="text1"/>
          <w:szCs w:val="24"/>
        </w:rPr>
        <w:tab/>
      </w:r>
      <w:r w:rsidRPr="00A7723B">
        <w:rPr>
          <w:color w:val="000000" w:themeColor="text1"/>
          <w:szCs w:val="24"/>
        </w:rPr>
        <w:t>Telecom Regulatory Authority of India</w:t>
      </w:r>
    </w:p>
    <w:p w14:paraId="47473C3B" w14:textId="77777777" w:rsidR="00885B99" w:rsidRPr="00F13FA3" w:rsidRDefault="00885B99" w:rsidP="00885B99">
      <w:pPr>
        <w:spacing w:after="120"/>
        <w:rPr>
          <w:color w:val="000000" w:themeColor="text1"/>
          <w:szCs w:val="24"/>
        </w:rPr>
      </w:pPr>
      <w:r w:rsidRPr="00F13FA3">
        <w:rPr>
          <w:color w:val="000000" w:themeColor="text1"/>
          <w:szCs w:val="24"/>
        </w:rPr>
        <w:t>TSP</w:t>
      </w:r>
      <w:r>
        <w:rPr>
          <w:color w:val="000000" w:themeColor="text1"/>
          <w:szCs w:val="24"/>
        </w:rPr>
        <w:tab/>
      </w:r>
      <w:r>
        <w:rPr>
          <w:color w:val="000000" w:themeColor="text1"/>
          <w:szCs w:val="24"/>
        </w:rPr>
        <w:tab/>
      </w:r>
      <w:r w:rsidRPr="00F13FA3">
        <w:rPr>
          <w:color w:val="000000" w:themeColor="text1"/>
          <w:szCs w:val="24"/>
        </w:rPr>
        <w:t>Technical Service Provider</w:t>
      </w:r>
    </w:p>
    <w:p w14:paraId="12DE8571" w14:textId="77777777" w:rsidR="00885B99" w:rsidRPr="00F13FA3" w:rsidRDefault="00885B99" w:rsidP="00885B99">
      <w:pPr>
        <w:spacing w:after="120"/>
        <w:rPr>
          <w:color w:val="000000" w:themeColor="text1"/>
          <w:szCs w:val="24"/>
        </w:rPr>
      </w:pPr>
      <w:r w:rsidRPr="00F13FA3">
        <w:rPr>
          <w:color w:val="000000" w:themeColor="text1"/>
          <w:szCs w:val="24"/>
        </w:rPr>
        <w:t>UCC</w:t>
      </w:r>
      <w:r>
        <w:rPr>
          <w:color w:val="000000" w:themeColor="text1"/>
          <w:szCs w:val="24"/>
        </w:rPr>
        <w:tab/>
      </w:r>
      <w:r>
        <w:rPr>
          <w:color w:val="000000" w:themeColor="text1"/>
          <w:szCs w:val="24"/>
        </w:rPr>
        <w:tab/>
      </w:r>
      <w:r w:rsidRPr="00F13FA3">
        <w:rPr>
          <w:color w:val="000000" w:themeColor="text1"/>
          <w:szCs w:val="24"/>
        </w:rPr>
        <w:t>Uganda Communications Commission</w:t>
      </w:r>
    </w:p>
    <w:p w14:paraId="7DB20A00" w14:textId="77777777" w:rsidR="00885B99" w:rsidRPr="00A7723B" w:rsidRDefault="00885B99" w:rsidP="00885B99">
      <w:pPr>
        <w:spacing w:after="120"/>
        <w:rPr>
          <w:color w:val="000000" w:themeColor="text1"/>
          <w:szCs w:val="24"/>
          <w:shd w:val="clear" w:color="auto" w:fill="FFFFFF"/>
        </w:rPr>
      </w:pPr>
      <w:r w:rsidRPr="00A7723B">
        <w:rPr>
          <w:color w:val="000000" w:themeColor="text1"/>
          <w:szCs w:val="24"/>
        </w:rPr>
        <w:t>USSD</w:t>
      </w:r>
      <w:r w:rsidRPr="00A7723B">
        <w:rPr>
          <w:color w:val="000000" w:themeColor="text1"/>
          <w:szCs w:val="24"/>
        </w:rPr>
        <w:tab/>
      </w:r>
      <w:r w:rsidRPr="00A7723B">
        <w:rPr>
          <w:color w:val="000000" w:themeColor="text1"/>
          <w:szCs w:val="24"/>
        </w:rPr>
        <w:tab/>
      </w:r>
      <w:r w:rsidRPr="00A7723B">
        <w:rPr>
          <w:color w:val="000000" w:themeColor="text1"/>
          <w:szCs w:val="24"/>
          <w:shd w:val="clear" w:color="auto" w:fill="FFFFFF"/>
        </w:rPr>
        <w:t>Unstructured Supplementary Service Data</w:t>
      </w:r>
    </w:p>
    <w:p w14:paraId="3236ACEB" w14:textId="77777777" w:rsidR="00885B99" w:rsidRPr="00A7723B" w:rsidRDefault="00885B99" w:rsidP="00885B99">
      <w:pPr>
        <w:spacing w:after="120"/>
        <w:rPr>
          <w:color w:val="000000" w:themeColor="text1"/>
          <w:szCs w:val="24"/>
          <w:shd w:val="clear" w:color="auto" w:fill="FFFFFF"/>
        </w:rPr>
      </w:pPr>
      <w:r w:rsidRPr="00A7723B">
        <w:rPr>
          <w:color w:val="000000" w:themeColor="text1"/>
          <w:szCs w:val="24"/>
          <w:shd w:val="clear" w:color="auto" w:fill="FFFFFF"/>
        </w:rPr>
        <w:lastRenderedPageBreak/>
        <w:t>VAS</w:t>
      </w:r>
      <w:r>
        <w:rPr>
          <w:color w:val="000000" w:themeColor="text1"/>
          <w:szCs w:val="24"/>
          <w:shd w:val="clear" w:color="auto" w:fill="FFFFFF"/>
        </w:rPr>
        <w:tab/>
      </w:r>
      <w:r>
        <w:rPr>
          <w:color w:val="000000" w:themeColor="text1"/>
          <w:szCs w:val="24"/>
          <w:shd w:val="clear" w:color="auto" w:fill="FFFFFF"/>
        </w:rPr>
        <w:tab/>
      </w:r>
      <w:r w:rsidRPr="00A7723B">
        <w:rPr>
          <w:color w:val="000000" w:themeColor="text1"/>
          <w:szCs w:val="24"/>
          <w:shd w:val="clear" w:color="auto" w:fill="FFFFFF"/>
        </w:rPr>
        <w:t>Value-Added Services</w:t>
      </w:r>
    </w:p>
    <w:p w14:paraId="76948437" w14:textId="77777777" w:rsidR="00885B99" w:rsidRPr="00510C3E" w:rsidRDefault="00885B99" w:rsidP="003D1970">
      <w:pPr>
        <w:pStyle w:val="Heading1"/>
        <w:rPr>
          <w:color w:val="000000" w:themeColor="text1"/>
        </w:rPr>
      </w:pPr>
      <w:bookmarkStart w:id="75" w:name="_Toc17894145"/>
      <w:bookmarkStart w:id="76" w:name="_Toc17894373"/>
      <w:bookmarkStart w:id="77" w:name="_Toc17969227"/>
      <w:r>
        <w:rPr>
          <w:lang w:bidi="ar-DZ"/>
        </w:rPr>
        <w:t>5</w:t>
      </w:r>
      <w:r>
        <w:rPr>
          <w:lang w:bidi="ar-DZ"/>
        </w:rPr>
        <w:tab/>
      </w:r>
      <w:r w:rsidRPr="00A7723B">
        <w:rPr>
          <w:lang w:bidi="ar-DZ"/>
        </w:rPr>
        <w:t>Approach</w:t>
      </w:r>
      <w:bookmarkEnd w:id="75"/>
      <w:bookmarkEnd w:id="76"/>
      <w:bookmarkEnd w:id="77"/>
    </w:p>
    <w:p w14:paraId="3AA131CF" w14:textId="77777777" w:rsidR="00885B99" w:rsidRPr="007560B7" w:rsidRDefault="00885B99" w:rsidP="00885B99">
      <w:r>
        <w:t xml:space="preserve">For </w:t>
      </w:r>
      <w:r w:rsidRPr="007560B7">
        <w:t>those not necessarily familiar with competition policies and laws, this study does not employ classic competition categorizations found in the literature and academic works</w:t>
      </w:r>
      <w:r>
        <w:t xml:space="preserve"> for ease of reading</w:t>
      </w:r>
      <w:r w:rsidRPr="007560B7">
        <w:t>.</w:t>
      </w:r>
      <w:r>
        <w:rPr>
          <w:rStyle w:val="FootnoteReference"/>
        </w:rPr>
        <w:footnoteReference w:id="1"/>
      </w:r>
      <w:r w:rsidRPr="007560B7">
        <w:t xml:space="preserve"> Indeed, there are tensions and complexities in applying traditional competition precepts and terminology designed for traditional (</w:t>
      </w:r>
      <w:r>
        <w:t xml:space="preserve">and </w:t>
      </w:r>
      <w:r w:rsidRPr="007560B7">
        <w:t>often) physical products to digital ecosystems</w:t>
      </w:r>
      <w:r>
        <w:t>,</w:t>
      </w:r>
      <w:r w:rsidRPr="007560B7">
        <w:t xml:space="preserve"> such as DFS.</w:t>
      </w:r>
      <w:r w:rsidRPr="007560B7">
        <w:rPr>
          <w:rStyle w:val="FootnoteReference"/>
          <w:color w:val="000000" w:themeColor="text1"/>
          <w:szCs w:val="24"/>
        </w:rPr>
        <w:footnoteReference w:id="2"/>
      </w:r>
    </w:p>
    <w:p w14:paraId="5500A78B" w14:textId="0DB2ABFE" w:rsidR="00885B99" w:rsidRPr="007560B7" w:rsidRDefault="00885B99" w:rsidP="00885B99">
      <w:r w:rsidRPr="007560B7">
        <w:t xml:space="preserve">Hence, instead of defining competition issues as per the </w:t>
      </w:r>
      <w:r>
        <w:t>'</w:t>
      </w:r>
      <w:r w:rsidRPr="007560B7">
        <w:t>vertical</w:t>
      </w:r>
      <w:r>
        <w:t>'</w:t>
      </w:r>
      <w:r w:rsidRPr="007560B7">
        <w:t xml:space="preserve"> or </w:t>
      </w:r>
      <w:r>
        <w:t>'</w:t>
      </w:r>
      <w:r w:rsidRPr="007560B7">
        <w:t>horizontal</w:t>
      </w:r>
      <w:r>
        <w:t>'</w:t>
      </w:r>
      <w:r w:rsidRPr="007560B7">
        <w:t xml:space="preserve"> terms of art usually employed –</w:t>
      </w:r>
      <w:r>
        <w:t> </w:t>
      </w:r>
      <w:r w:rsidRPr="007560B7">
        <w:t xml:space="preserve">which includes defining a </w:t>
      </w:r>
      <w:r>
        <w:t>'</w:t>
      </w:r>
      <w:r w:rsidRPr="007560B7">
        <w:t>market</w:t>
      </w:r>
      <w:r>
        <w:t>'</w:t>
      </w:r>
      <w:r w:rsidRPr="007560B7">
        <w:rPr>
          <w:rStyle w:val="FootnoteReference"/>
          <w:color w:val="000000" w:themeColor="text1"/>
          <w:szCs w:val="24"/>
        </w:rPr>
        <w:footnoteReference w:id="3"/>
      </w:r>
      <w:r>
        <w:t> –</w:t>
      </w:r>
      <w:r w:rsidRPr="007560B7">
        <w:t xml:space="preserve"> this study instead uses a functional (descriptive) approach to categorizing the identified</w:t>
      </w:r>
      <w:r>
        <w:t xml:space="preserve"> or potential</w:t>
      </w:r>
      <w:r w:rsidRPr="007560B7">
        <w:t xml:space="preserve"> competition issues. It similarly uses an evidence-based approach to determine what issues have risen to </w:t>
      </w:r>
      <w:r>
        <w:t>a</w:t>
      </w:r>
      <w:r w:rsidRPr="007560B7">
        <w:t xml:space="preserve"> level of concern for entities and regulators, and how these have been dealt with –</w:t>
      </w:r>
      <w:r w:rsidR="003733D5">
        <w:t> </w:t>
      </w:r>
      <w:r w:rsidRPr="007560B7">
        <w:t>or not, as the case may be</w:t>
      </w:r>
      <w:r w:rsidR="003733D5">
        <w:t> </w:t>
      </w:r>
      <w:r w:rsidRPr="007560B7">
        <w:t xml:space="preserve">– either through market dynamics </w:t>
      </w:r>
      <w:r>
        <w:t>and/or regulatory intervention.</w:t>
      </w:r>
    </w:p>
    <w:p w14:paraId="15285511" w14:textId="77777777" w:rsidR="00885B99" w:rsidRPr="007560B7" w:rsidRDefault="00885B99" w:rsidP="00885B99">
      <w:pPr>
        <w:keepNext/>
        <w:keepLines/>
      </w:pPr>
      <w:r w:rsidRPr="007560B7">
        <w:t>The country examples included below and the accompanying explanatory text reflect this approach, which first defines the context of the issue and any technical or other components outlines any related competition aspects</w:t>
      </w:r>
      <w:r>
        <w:t>,</w:t>
      </w:r>
      <w:r w:rsidRPr="007560B7">
        <w:t xml:space="preserve"> and then provides the country examples where the issue and any identified competition aspects have arisen and</w:t>
      </w:r>
      <w:r>
        <w:t xml:space="preserve"> are</w:t>
      </w:r>
      <w:r w:rsidRPr="007560B7">
        <w:t xml:space="preserve"> dealt with</w:t>
      </w:r>
      <w:r>
        <w:t xml:space="preserve"> (if applicable).</w:t>
      </w:r>
    </w:p>
    <w:p w14:paraId="47543149" w14:textId="77777777" w:rsidR="00885B99" w:rsidRPr="007560B7" w:rsidRDefault="00885B99" w:rsidP="00885B99">
      <w:r w:rsidRPr="007560B7">
        <w:t>Similarly, a functional approach is used to describe any technical solutions that have been designed or employed to deal with any competition bottlenecks in DFS.</w:t>
      </w:r>
      <w:r>
        <w:rPr>
          <w:rStyle w:val="FootnoteReference"/>
        </w:rPr>
        <w:footnoteReference w:id="4"/>
      </w:r>
    </w:p>
    <w:p w14:paraId="03F39BA2" w14:textId="77777777" w:rsidR="00885B99" w:rsidRDefault="00885B99" w:rsidP="00885B99">
      <w:r w:rsidRPr="007560B7">
        <w:t xml:space="preserve">The study also recognizes that where issues of dominance or </w:t>
      </w:r>
      <w:r>
        <w:t>significant market power (</w:t>
      </w:r>
      <w:r w:rsidRPr="007560B7">
        <w:t>SMP</w:t>
      </w:r>
      <w:r>
        <w:t>)</w:t>
      </w:r>
      <w:r w:rsidRPr="007560B7">
        <w:t xml:space="preserve"> arise, this is usually only a determination that can be decided by the relevant </w:t>
      </w:r>
      <w:r>
        <w:t>authorities</w:t>
      </w:r>
      <w:r w:rsidRPr="007560B7">
        <w:t xml:space="preserve"> on a case by case basis after a market review and analysis. Indeed, market dominance with or without SMP and associated market conduct that invokes the ire of competitors</w:t>
      </w:r>
      <w:r>
        <w:t>,</w:t>
      </w:r>
      <w:r w:rsidRPr="007560B7">
        <w:t xml:space="preserve"> may or may not actually breach national competition law and/or related competition provisions of sectoral legislation and require specific regulatory determinations.</w:t>
      </w:r>
    </w:p>
    <w:p w14:paraId="0E26E3E1" w14:textId="77777777" w:rsidR="00885B99" w:rsidRPr="00E83E52" w:rsidRDefault="00885B99" w:rsidP="00885B99">
      <w:pPr>
        <w:pStyle w:val="Heading1"/>
      </w:pPr>
      <w:bookmarkStart w:id="78" w:name="h.csaoygn4u6j6" w:colFirst="0" w:colLast="0"/>
      <w:bookmarkStart w:id="79" w:name="_Toc472443721"/>
      <w:bookmarkStart w:id="80" w:name="_Toc17799391"/>
      <w:bookmarkStart w:id="81" w:name="_Toc17881552"/>
      <w:bookmarkStart w:id="82" w:name="_Toc17882382"/>
      <w:bookmarkStart w:id="83" w:name="_Toc17882601"/>
      <w:bookmarkStart w:id="84" w:name="_Toc17882820"/>
      <w:bookmarkStart w:id="85" w:name="_Toc17883175"/>
      <w:bookmarkStart w:id="86" w:name="_Toc17892847"/>
      <w:bookmarkStart w:id="87" w:name="_Toc17893066"/>
      <w:bookmarkStart w:id="88" w:name="_Toc17893285"/>
      <w:bookmarkStart w:id="89" w:name="_Toc17894146"/>
      <w:bookmarkStart w:id="90" w:name="_Toc17894374"/>
      <w:bookmarkStart w:id="91" w:name="_Toc17969228"/>
      <w:bookmarkEnd w:id="78"/>
      <w:r w:rsidRPr="00E83E52">
        <w:lastRenderedPageBreak/>
        <w:t>A</w:t>
      </w:r>
      <w:r w:rsidRPr="00E83E52">
        <w:tab/>
        <w:t>Overview</w:t>
      </w:r>
      <w:bookmarkEnd w:id="79"/>
      <w:bookmarkEnd w:id="80"/>
      <w:bookmarkEnd w:id="81"/>
      <w:bookmarkEnd w:id="82"/>
      <w:bookmarkEnd w:id="83"/>
      <w:bookmarkEnd w:id="84"/>
      <w:bookmarkEnd w:id="85"/>
      <w:bookmarkEnd w:id="86"/>
      <w:bookmarkEnd w:id="87"/>
      <w:bookmarkEnd w:id="88"/>
      <w:bookmarkEnd w:id="89"/>
      <w:bookmarkEnd w:id="90"/>
      <w:bookmarkEnd w:id="91"/>
    </w:p>
    <w:p w14:paraId="0500EBF5" w14:textId="77777777" w:rsidR="00885B99" w:rsidRPr="00E83E52" w:rsidRDefault="00885B99" w:rsidP="00885B99">
      <w:pPr>
        <w:pStyle w:val="Heading1"/>
      </w:pPr>
      <w:bookmarkStart w:id="92" w:name="_Toc472443722"/>
      <w:bookmarkStart w:id="93" w:name="_Toc17799392"/>
      <w:bookmarkStart w:id="94" w:name="_Toc17881553"/>
      <w:bookmarkStart w:id="95" w:name="_Toc17882383"/>
      <w:bookmarkStart w:id="96" w:name="_Toc17882602"/>
      <w:bookmarkStart w:id="97" w:name="_Toc17882821"/>
      <w:bookmarkStart w:id="98" w:name="_Toc17883176"/>
      <w:bookmarkStart w:id="99" w:name="_Toc17892848"/>
      <w:bookmarkStart w:id="100" w:name="_Toc17893067"/>
      <w:bookmarkStart w:id="101" w:name="_Toc17893286"/>
      <w:bookmarkStart w:id="102" w:name="_Toc17894147"/>
      <w:bookmarkStart w:id="103" w:name="_Toc17894375"/>
      <w:bookmarkStart w:id="104" w:name="_Toc17969229"/>
      <w:r>
        <w:t>1</w:t>
      </w:r>
      <w:r>
        <w:tab/>
      </w:r>
      <w:r w:rsidRPr="00E83E52">
        <w:t>B</w:t>
      </w:r>
      <w:r>
        <w:t>ackground</w:t>
      </w:r>
      <w:r w:rsidRPr="00E83E52">
        <w:t xml:space="preserve"> </w:t>
      </w:r>
      <w:r>
        <w:t>to</w:t>
      </w:r>
      <w:r w:rsidRPr="00E83E52">
        <w:t xml:space="preserve"> </w:t>
      </w:r>
      <w:r>
        <w:t>the</w:t>
      </w:r>
      <w:r w:rsidRPr="00E83E52">
        <w:t xml:space="preserve"> </w:t>
      </w:r>
      <w:r>
        <w:t>study</w:t>
      </w:r>
      <w:bookmarkEnd w:id="92"/>
      <w:bookmarkEnd w:id="93"/>
      <w:bookmarkEnd w:id="94"/>
      <w:bookmarkEnd w:id="95"/>
      <w:bookmarkEnd w:id="96"/>
      <w:bookmarkEnd w:id="97"/>
      <w:bookmarkEnd w:id="98"/>
      <w:bookmarkEnd w:id="99"/>
      <w:bookmarkEnd w:id="100"/>
      <w:bookmarkEnd w:id="101"/>
      <w:bookmarkEnd w:id="102"/>
      <w:bookmarkEnd w:id="103"/>
      <w:bookmarkEnd w:id="104"/>
    </w:p>
    <w:p w14:paraId="0F68D8D8" w14:textId="77777777" w:rsidR="00885B99" w:rsidRPr="00E83E52" w:rsidRDefault="00885B99" w:rsidP="00885B99">
      <w:r w:rsidRPr="00E83E52">
        <w:t xml:space="preserve">As the </w:t>
      </w:r>
      <w:r>
        <w:t>d</w:t>
      </w:r>
      <w:r w:rsidRPr="00E83E52">
        <w:t xml:space="preserve">igital </w:t>
      </w:r>
      <w:r>
        <w:t>f</w:t>
      </w:r>
      <w:r w:rsidRPr="00E83E52">
        <w:t xml:space="preserve">inancial </w:t>
      </w:r>
      <w:r>
        <w:t>s</w:t>
      </w:r>
      <w:r w:rsidRPr="00E83E52">
        <w:t>ervices (DFS)</w:t>
      </w:r>
      <w:r w:rsidRPr="00E83E52">
        <w:rPr>
          <w:rStyle w:val="FootnoteReference"/>
          <w:color w:val="000000" w:themeColor="text1"/>
          <w:szCs w:val="24"/>
        </w:rPr>
        <w:footnoteReference w:id="5"/>
      </w:r>
      <w:r w:rsidRPr="00E83E52">
        <w:t xml:space="preserve"> ecosystem grows and becomes more competitive, a range of competiti</w:t>
      </w:r>
      <w:r>
        <w:t>ve</w:t>
      </w:r>
      <w:r w:rsidRPr="00E83E52">
        <w:t xml:space="preserve"> issues relating to and affecting existing and potential ma</w:t>
      </w:r>
      <w:r>
        <w:t>rket participants have emerged.</w:t>
      </w:r>
    </w:p>
    <w:p w14:paraId="44538AD8" w14:textId="77777777" w:rsidR="00885B99" w:rsidRPr="00E83E52" w:rsidRDefault="00885B99" w:rsidP="00885B99">
      <w:r w:rsidRPr="00E83E52">
        <w:t xml:space="preserve">The </w:t>
      </w:r>
      <w:r>
        <w:t>trusted internet connections (</w:t>
      </w:r>
      <w:r w:rsidRPr="00E83E52">
        <w:t>TIC</w:t>
      </w:r>
      <w:r>
        <w:t>)</w:t>
      </w:r>
      <w:r w:rsidRPr="00E83E52">
        <w:t xml:space="preserve"> Working Group identified a number of these competition-related issues in DFS ecosystems worthy of additional study. These may include those relating to</w:t>
      </w:r>
      <w:r>
        <w:t>:</w:t>
      </w:r>
      <w:r w:rsidRPr="00E83E52">
        <w:t xml:space="preserve"> market access and licensing; technical access to telecommunications and payment infrastructure; differential rules on the use of agents; ability to interoperate; capital requirements and safeguarding of funds; service pricing; cross-subsidization of services; quality of service</w:t>
      </w:r>
      <w:r>
        <w:t xml:space="preserve"> (QOS)</w:t>
      </w:r>
      <w:r w:rsidRPr="00E83E52">
        <w:t>; ta</w:t>
      </w:r>
      <w:r>
        <w:t>xation; and access to big data.</w:t>
      </w:r>
    </w:p>
    <w:p w14:paraId="54025908" w14:textId="77777777" w:rsidR="00885B99" w:rsidRPr="00E83E52" w:rsidRDefault="00885B99" w:rsidP="00885B99">
      <w:r w:rsidRPr="00E83E52">
        <w:t>These issues form the basis for this study and are approached from the respective perspectives of market participants in, and regulators of, the DFS ecosystem, all of whom may have their own sets of competition-related concerns. These market participants include</w:t>
      </w:r>
      <w:r>
        <w:t>:</w:t>
      </w:r>
      <w:r w:rsidRPr="00E83E52">
        <w:t xml:space="preserve"> </w:t>
      </w:r>
      <w:r>
        <w:t>i</w:t>
      </w:r>
      <w:r w:rsidRPr="00E83E52">
        <w:t>ndependent banks</w:t>
      </w:r>
      <w:r>
        <w:t>;</w:t>
      </w:r>
      <w:r w:rsidRPr="00E83E52">
        <w:t xml:space="preserve"> </w:t>
      </w:r>
      <w:r>
        <w:t>m</w:t>
      </w:r>
      <w:r w:rsidRPr="00E83E52">
        <w:t xml:space="preserve">obile </w:t>
      </w:r>
      <w:r>
        <w:t>n</w:t>
      </w:r>
      <w:r w:rsidRPr="00E83E52">
        <w:t xml:space="preserve">etwork </w:t>
      </w:r>
      <w:r>
        <w:t>o</w:t>
      </w:r>
      <w:r w:rsidRPr="00E83E52">
        <w:t>perator (MNO)-affiliated banks</w:t>
      </w:r>
      <w:r w:rsidRPr="00E83E52">
        <w:rPr>
          <w:rStyle w:val="FootnoteReference"/>
          <w:color w:val="000000" w:themeColor="text1"/>
          <w:szCs w:val="24"/>
        </w:rPr>
        <w:footnoteReference w:id="6"/>
      </w:r>
      <w:r>
        <w:t>;</w:t>
      </w:r>
      <w:r w:rsidRPr="00E83E52">
        <w:t xml:space="preserve"> MNO-affiliated </w:t>
      </w:r>
      <w:r>
        <w:t>p</w:t>
      </w:r>
      <w:r w:rsidRPr="00E83E52">
        <w:t xml:space="preserve">ayment </w:t>
      </w:r>
      <w:r>
        <w:t>s</w:t>
      </w:r>
      <w:r w:rsidRPr="00E83E52">
        <w:t xml:space="preserve">ervice </w:t>
      </w:r>
      <w:r>
        <w:t>p</w:t>
      </w:r>
      <w:r w:rsidRPr="00E83E52">
        <w:t>roviders (PSPs)</w:t>
      </w:r>
      <w:r w:rsidRPr="00E83E52">
        <w:rPr>
          <w:rStyle w:val="FootnoteReference"/>
          <w:color w:val="000000" w:themeColor="text1"/>
          <w:szCs w:val="24"/>
        </w:rPr>
        <w:footnoteReference w:id="7"/>
      </w:r>
      <w:r>
        <w:t>;</w:t>
      </w:r>
      <w:r w:rsidRPr="00E83E52">
        <w:t xml:space="preserve"> independent PSPs</w:t>
      </w:r>
      <w:r>
        <w:t>;</w:t>
      </w:r>
      <w:r w:rsidRPr="00E83E52">
        <w:t xml:space="preserve"> PSP-affiliated bank</w:t>
      </w:r>
      <w:r>
        <w:t>s</w:t>
      </w:r>
      <w:r w:rsidRPr="00E83E52">
        <w:rPr>
          <w:rStyle w:val="FootnoteReference"/>
          <w:color w:val="000000" w:themeColor="text1"/>
          <w:szCs w:val="24"/>
        </w:rPr>
        <w:footnoteReference w:id="8"/>
      </w:r>
      <w:r>
        <w:t>;</w:t>
      </w:r>
      <w:r w:rsidRPr="00E83E52">
        <w:t xml:space="preserve"> MNOs</w:t>
      </w:r>
      <w:r w:rsidRPr="00E83E52">
        <w:rPr>
          <w:rStyle w:val="FootnoteReference"/>
          <w:color w:val="000000" w:themeColor="text1"/>
          <w:szCs w:val="24"/>
        </w:rPr>
        <w:footnoteReference w:id="9"/>
      </w:r>
      <w:r>
        <w:t>;</w:t>
      </w:r>
      <w:r w:rsidRPr="00E83E52">
        <w:t xml:space="preserve"> technical service providers (TSPs) and aggregators; payment switches; agent networks; and </w:t>
      </w:r>
      <w:r>
        <w:t>m</w:t>
      </w:r>
      <w:r w:rsidRPr="00E83E52">
        <w:t xml:space="preserve">obile </w:t>
      </w:r>
      <w:r>
        <w:t>v</w:t>
      </w:r>
      <w:r w:rsidRPr="00E83E52">
        <w:t xml:space="preserve">irtual </w:t>
      </w:r>
      <w:r>
        <w:t>n</w:t>
      </w:r>
      <w:r w:rsidRPr="00E83E52">
        <w:t xml:space="preserve">etwork </w:t>
      </w:r>
      <w:r>
        <w:t>o</w:t>
      </w:r>
      <w:r w:rsidRPr="00E83E52">
        <w:t>perators (MVNOs).</w:t>
      </w:r>
    </w:p>
    <w:p w14:paraId="791E7C91" w14:textId="77777777" w:rsidR="00885B99" w:rsidRPr="00E83E52" w:rsidRDefault="00885B99" w:rsidP="00043258">
      <w:pPr>
        <w:keepNext/>
        <w:keepLines/>
      </w:pPr>
      <w:r w:rsidRPr="00E83E52">
        <w:t>While discussions of competition issues can often amount to a dystopic characterization of an ecosystem, this may not necessarily be the norm in DFS ecosystems. There are, of course, a number of examples where market forces in the ecosystem have sufficed to provide an equilibrium of service provision and access between market participants, and which then have obviated the need for regulator</w:t>
      </w:r>
      <w:r>
        <w:t xml:space="preserve"> </w:t>
      </w:r>
      <w:r w:rsidRPr="004446DB">
        <w:t>or competition authority</w:t>
      </w:r>
      <w:r w:rsidRPr="00E83E52">
        <w:t xml:space="preserve"> intervention in relation to access to technology, services</w:t>
      </w:r>
      <w:r>
        <w:t xml:space="preserve"> and pricing thereof.</w:t>
      </w:r>
    </w:p>
    <w:p w14:paraId="219DBFC3" w14:textId="77777777" w:rsidR="00885B99" w:rsidRPr="00E83E52" w:rsidRDefault="00885B99" w:rsidP="00885B99">
      <w:r w:rsidRPr="00E83E52">
        <w:t>But</w:t>
      </w:r>
      <w:r>
        <w:t>,</w:t>
      </w:r>
      <w:r w:rsidRPr="00E83E52">
        <w:t xml:space="preserve"> as </w:t>
      </w:r>
      <w:r>
        <w:t>reveal</w:t>
      </w:r>
      <w:r w:rsidRPr="00E83E52">
        <w:t xml:space="preserve">ed in the country examples below, the issues </w:t>
      </w:r>
      <w:r>
        <w:t xml:space="preserve">in areas </w:t>
      </w:r>
      <w:r w:rsidRPr="00E83E52">
        <w:t xml:space="preserve">such as </w:t>
      </w:r>
      <w:r>
        <w:t>m</w:t>
      </w:r>
      <w:r w:rsidRPr="00E83E52">
        <w:t>arket access</w:t>
      </w:r>
      <w:r>
        <w:t>;</w:t>
      </w:r>
      <w:r w:rsidRPr="00E83E52">
        <w:t xml:space="preserve"> access to technology</w:t>
      </w:r>
      <w:r>
        <w:t>;</w:t>
      </w:r>
      <w:r w:rsidRPr="00E83E52">
        <w:t xml:space="preserve"> data and services</w:t>
      </w:r>
      <w:r>
        <w:t>;</w:t>
      </w:r>
      <w:r w:rsidRPr="00E83E52">
        <w:t xml:space="preserve"> and use of agents are manifest and </w:t>
      </w:r>
      <w:r w:rsidRPr="004446DB">
        <w:t>may be of concern to a number of regulator, competition authorities, market</w:t>
      </w:r>
      <w:r w:rsidRPr="00E83E52">
        <w:t xml:space="preserve"> participants and cons</w:t>
      </w:r>
      <w:r>
        <w:t>umers in a number of countries.</w:t>
      </w:r>
    </w:p>
    <w:p w14:paraId="3BD263B2" w14:textId="77777777" w:rsidR="00885B99" w:rsidRPr="00E83E52" w:rsidRDefault="00885B99" w:rsidP="00885B99">
      <w:r w:rsidRPr="00E83E52">
        <w:t xml:space="preserve">While there are significant market participants in the DFS ecosystem whose actions affect the market, it is trite </w:t>
      </w:r>
      <w:r>
        <w:t xml:space="preserve">to say </w:t>
      </w:r>
      <w:r w:rsidRPr="00E83E52">
        <w:t xml:space="preserve">that much of the competition-related focus in DFS has revolved around the activity of regulators </w:t>
      </w:r>
      <w:r>
        <w:t>with</w:t>
      </w:r>
      <w:r w:rsidRPr="00E83E52">
        <w:t xml:space="preserve"> respect </w:t>
      </w:r>
      <w:r>
        <w:t>to</w:t>
      </w:r>
      <w:r w:rsidRPr="00E83E52">
        <w:t xml:space="preserve"> MNOs and the access they provide to critical and scarce bearer infrastructure such as </w:t>
      </w:r>
      <w:r>
        <w:t>u</w:t>
      </w:r>
      <w:r w:rsidRPr="00E83E52">
        <w:t xml:space="preserve">nstructured </w:t>
      </w:r>
      <w:r>
        <w:t>s</w:t>
      </w:r>
      <w:r w:rsidRPr="00E83E52">
        <w:t xml:space="preserve">upplementary </w:t>
      </w:r>
      <w:r>
        <w:t>s</w:t>
      </w:r>
      <w:r w:rsidRPr="00E83E52">
        <w:t xml:space="preserve">ervice </w:t>
      </w:r>
      <w:r>
        <w:t>d</w:t>
      </w:r>
      <w:r w:rsidRPr="00E83E52">
        <w:t xml:space="preserve">ata (USSD) and SIM </w:t>
      </w:r>
      <w:r>
        <w:t>t</w:t>
      </w:r>
      <w:r w:rsidRPr="00E83E52">
        <w:t>oolkit (STK). Indeed, just through sheer weight of public examples, and their prominent role in the DFS ecosystem, there is often a large focus on MNOs when looking at competition issues in DFS-focused lit</w:t>
      </w:r>
      <w:r>
        <w:t>erature.</w:t>
      </w:r>
    </w:p>
    <w:p w14:paraId="114784ED" w14:textId="77777777" w:rsidR="00885B99" w:rsidRPr="00E83E52" w:rsidRDefault="00885B99" w:rsidP="003D1970">
      <w:r w:rsidRPr="00E83E52">
        <w:t>T</w:t>
      </w:r>
      <w:r>
        <w:t>herefore, t</w:t>
      </w:r>
      <w:r w:rsidRPr="00E83E52">
        <w:t>he question may be asked as to why there is such an outsized competition-related focus on MNOs in many jurisdictions</w:t>
      </w:r>
      <w:r>
        <w:t xml:space="preserve"> and less so on others</w:t>
      </w:r>
      <w:r w:rsidRPr="00E83E52">
        <w:t>. From one perspective, it may reflect the MNO</w:t>
      </w:r>
      <w:r>
        <w:t>'</w:t>
      </w:r>
      <w:r w:rsidRPr="00E83E52">
        <w:t xml:space="preserve">s critical role in DFS infrastructure provision and their noted foundational </w:t>
      </w:r>
      <w:r>
        <w:t>'</w:t>
      </w:r>
      <w:r w:rsidRPr="00E83E52">
        <w:t>first mover</w:t>
      </w:r>
      <w:r>
        <w:t>'</w:t>
      </w:r>
      <w:r w:rsidRPr="00E83E52">
        <w:t xml:space="preserve"> role in building DFS ecosystems </w:t>
      </w:r>
      <w:r>
        <w:t xml:space="preserve">in some markets </w:t>
      </w:r>
      <w:r w:rsidRPr="00E83E52">
        <w:t>which</w:t>
      </w:r>
      <w:r>
        <w:t>, not only</w:t>
      </w:r>
      <w:r w:rsidRPr="00E83E52">
        <w:t xml:space="preserve"> allowed them to build significant market presences, </w:t>
      </w:r>
      <w:r w:rsidRPr="00E83E52">
        <w:lastRenderedPageBreak/>
        <w:t>but also to potentially be in a position to restrict access to critical and scarce mobile infrastructure from direct DFS competitors. On the other hand, others</w:t>
      </w:r>
      <w:r w:rsidRPr="00E83E52">
        <w:rPr>
          <w:rStyle w:val="FootnoteReference"/>
          <w:szCs w:val="24"/>
        </w:rPr>
        <w:footnoteReference w:id="10"/>
      </w:r>
      <w:r w:rsidRPr="00E83E52">
        <w:t xml:space="preserve"> argue that the focus on bearer access and pricing has come from a relatively small number of </w:t>
      </w:r>
      <w:r>
        <w:t>'</w:t>
      </w:r>
      <w:r w:rsidRPr="00E83E52">
        <w:t>hotspots,</w:t>
      </w:r>
      <w:r>
        <w:t>'</w:t>
      </w:r>
      <w:r w:rsidRPr="00E83E52">
        <w:t xml:space="preserve"> coupled with a belief that </w:t>
      </w:r>
      <w:r w:rsidRPr="00E83E52">
        <w:rPr>
          <w:i/>
        </w:rPr>
        <w:t>ex ante</w:t>
      </w:r>
      <w:r w:rsidRPr="00E83E52">
        <w:rPr>
          <w:rStyle w:val="FootnoteReference"/>
          <w:color w:val="000000" w:themeColor="text1"/>
          <w:szCs w:val="24"/>
        </w:rPr>
        <w:footnoteReference w:id="11"/>
      </w:r>
      <w:r w:rsidRPr="00E83E52">
        <w:t xml:space="preserve"> </w:t>
      </w:r>
      <w:r>
        <w:t>'</w:t>
      </w:r>
      <w:r w:rsidRPr="00E83E52">
        <w:t>regulatory activism</w:t>
      </w:r>
      <w:r>
        <w:t>'</w:t>
      </w:r>
      <w:r w:rsidRPr="00E83E52">
        <w:t xml:space="preserve"> is a quick fix in any market, but without recognizing the radically different market competition and context for DFS.</w:t>
      </w:r>
      <w:r w:rsidRPr="00E83E52">
        <w:rPr>
          <w:rStyle w:val="FootnoteReference"/>
          <w:color w:val="000000" w:themeColor="text1"/>
          <w:szCs w:val="24"/>
        </w:rPr>
        <w:footnoteReference w:id="12"/>
      </w:r>
      <w:r w:rsidRPr="00E83E52">
        <w:rPr>
          <w:b/>
        </w:rPr>
        <w:t xml:space="preserve"> </w:t>
      </w:r>
      <w:r w:rsidRPr="00E83E52">
        <w:t>Similarly, the competition issues outlined below may be representative of market dynamics in a particular country, and may not necessarily be a global trend.</w:t>
      </w:r>
      <w:r w:rsidRPr="00E83E52">
        <w:rPr>
          <w:rStyle w:val="FootnoteReference"/>
          <w:color w:val="000000" w:themeColor="text1"/>
          <w:szCs w:val="24"/>
        </w:rPr>
        <w:footnoteReference w:id="13"/>
      </w:r>
    </w:p>
    <w:p w14:paraId="7FC322BA" w14:textId="77777777" w:rsidR="00885B99" w:rsidRPr="00E83E52" w:rsidRDefault="00885B99" w:rsidP="00885B99">
      <w:r w:rsidRPr="00E83E52">
        <w:t xml:space="preserve">Importantly too, the market conduct and competition issues raised in a particular jurisdiction, and which are enumerated below, may or may not actually breach national competition law and/or related competition provisions of sectoral legislation. This ultimately must be decided by the relevant regulators </w:t>
      </w:r>
      <w:r>
        <w:t xml:space="preserve">or competition authorities </w:t>
      </w:r>
      <w:r w:rsidRPr="00E83E52">
        <w:t>on a case</w:t>
      </w:r>
      <w:r>
        <w:t>-</w:t>
      </w:r>
      <w:r w:rsidRPr="00E83E52">
        <w:t>by</w:t>
      </w:r>
      <w:r>
        <w:t>-</w:t>
      </w:r>
      <w:r w:rsidRPr="00E83E52">
        <w:t xml:space="preserve">case basis after a full market review and analysis. In this respect, it should be noted that certain </w:t>
      </w:r>
      <w:r>
        <w:t>behaviour</w:t>
      </w:r>
      <w:r w:rsidRPr="00E83E52">
        <w:t xml:space="preserve"> which is acceptable for a market player with an insignificant market power could actually be considered a breach of competition law if undertaken by an entity with </w:t>
      </w:r>
      <w:r>
        <w:t>s</w:t>
      </w:r>
      <w:r w:rsidRPr="00E83E52">
        <w:t xml:space="preserve">ubstantial </w:t>
      </w:r>
      <w:r>
        <w:t>m</w:t>
      </w:r>
      <w:r w:rsidRPr="00E83E52">
        <w:t xml:space="preserve">arket </w:t>
      </w:r>
      <w:r>
        <w:t>p</w:t>
      </w:r>
      <w:r w:rsidRPr="00E83E52">
        <w:t>ower (SMP). It is the responsibility</w:t>
      </w:r>
      <w:r>
        <w:t>,</w:t>
      </w:r>
      <w:r w:rsidRPr="00E83E52">
        <w:t xml:space="preserve"> however</w:t>
      </w:r>
      <w:r>
        <w:t>,</w:t>
      </w:r>
      <w:r w:rsidRPr="00E83E52">
        <w:t xml:space="preserve"> of regulators </w:t>
      </w:r>
      <w:r>
        <w:t xml:space="preserve">or competition authorities </w:t>
      </w:r>
      <w:r w:rsidRPr="00E83E52">
        <w:t>to make such a determination</w:t>
      </w:r>
      <w:r>
        <w:t>,</w:t>
      </w:r>
      <w:r w:rsidRPr="00E83E52">
        <w:t xml:space="preserve"> if required.</w:t>
      </w:r>
    </w:p>
    <w:p w14:paraId="7C184755" w14:textId="77777777" w:rsidR="00885B99" w:rsidRPr="00E83E52" w:rsidRDefault="00885B99" w:rsidP="00885B99">
      <w:r w:rsidRPr="00E83E52">
        <w:t xml:space="preserve">MNOs and other non-banks </w:t>
      </w:r>
      <w:r>
        <w:t xml:space="preserve">may also </w:t>
      </w:r>
      <w:r w:rsidRPr="00E83E52">
        <w:t>have their own competition-related concerns, particularly with regards to market access and licensing, access to national payment systems</w:t>
      </w:r>
      <w:r>
        <w:t>,</w:t>
      </w:r>
      <w:r w:rsidRPr="00E83E52">
        <w:t xml:space="preserve"> and proportionality of regulations that may affect them. In particular, incumbent banks and payment switches required for </w:t>
      </w:r>
      <w:r>
        <w:t xml:space="preserve">the </w:t>
      </w:r>
      <w:r w:rsidRPr="00E83E52">
        <w:t xml:space="preserve">integration of POS systems and for interoperability have </w:t>
      </w:r>
      <w:r>
        <w:t xml:space="preserve">often </w:t>
      </w:r>
      <w:r w:rsidRPr="00E83E52">
        <w:t>been accused of restricting access to critical financial and banking infrastructure to potential DFS competitors such as MNOs and non-banks. These issues and concerns are described in full below.</w:t>
      </w:r>
      <w:r w:rsidRPr="00E83E52">
        <w:rPr>
          <w:rStyle w:val="FootnoteReference"/>
          <w:color w:val="000000" w:themeColor="text1"/>
          <w:szCs w:val="24"/>
        </w:rPr>
        <w:footnoteReference w:id="14"/>
      </w:r>
    </w:p>
    <w:p w14:paraId="4A757B31" w14:textId="77777777" w:rsidR="00885B99" w:rsidRPr="00E83E52" w:rsidRDefault="00885B99" w:rsidP="00885B99">
      <w:r w:rsidRPr="00E83E52">
        <w:t xml:space="preserve">From the perspectives of all market participants, there may also be cases of regulatory overreach in relation to market imbalances. As noted by </w:t>
      </w:r>
      <w:r>
        <w:t xml:space="preserve">the </w:t>
      </w:r>
      <w:r w:rsidRPr="007560B7">
        <w:t>Consultative Group to Assist the Poor</w:t>
      </w:r>
      <w:r w:rsidRPr="00E83E52">
        <w:t xml:space="preserve"> </w:t>
      </w:r>
      <w:r>
        <w:t>(</w:t>
      </w:r>
      <w:r w:rsidRPr="00E83E52">
        <w:t>CGAP</w:t>
      </w:r>
      <w:r>
        <w:t>)</w:t>
      </w:r>
      <w:r w:rsidRPr="00E83E52">
        <w:t xml:space="preserve">, this may run counter to a key guiding principle for regulation: </w:t>
      </w:r>
      <w:r>
        <w:t>T</w:t>
      </w:r>
      <w:r w:rsidRPr="00E83E52">
        <w:t xml:space="preserve">hat the remedy for harmful conduct should be the least restrictive </w:t>
      </w:r>
      <w:r>
        <w:t xml:space="preserve">available </w:t>
      </w:r>
      <w:r w:rsidRPr="00E83E52">
        <w:t>to achieve the intended objective and should be proportionate to the extent of risk.</w:t>
      </w:r>
      <w:r>
        <w:rPr>
          <w:rStyle w:val="FootnoteReference"/>
          <w:color w:val="000000" w:themeColor="text1"/>
          <w:szCs w:val="24"/>
        </w:rPr>
        <w:footnoteReference w:id="15"/>
      </w:r>
      <w:r w:rsidRPr="00E83E52">
        <w:t xml:space="preserve"> The intervention should therefore be justified by the risk </w:t>
      </w:r>
      <w:r>
        <w:t xml:space="preserve">to market evolution </w:t>
      </w:r>
      <w:r w:rsidRPr="00E83E52">
        <w:t xml:space="preserve">of anti-competitive </w:t>
      </w:r>
      <w:r>
        <w:t>behaviour;</w:t>
      </w:r>
      <w:r w:rsidRPr="00E83E52">
        <w:t xml:space="preserve"> the higher the risk, the stricter the rules </w:t>
      </w:r>
      <w:r>
        <w:t>that comprise the intervention.</w:t>
      </w:r>
    </w:p>
    <w:p w14:paraId="1803F59F" w14:textId="77777777" w:rsidR="00885B99" w:rsidRPr="00E83E52" w:rsidRDefault="00885B99" w:rsidP="00885B99">
      <w:pPr>
        <w:keepNext/>
        <w:keepLines/>
        <w:spacing w:after="120"/>
        <w:rPr>
          <w:color w:val="000000" w:themeColor="text1"/>
          <w:szCs w:val="24"/>
        </w:rPr>
      </w:pPr>
      <w:r>
        <w:rPr>
          <w:color w:val="000000" w:themeColor="text1"/>
          <w:szCs w:val="24"/>
        </w:rPr>
        <w:lastRenderedPageBreak/>
        <w:t>Although</w:t>
      </w:r>
      <w:r w:rsidRPr="00E83E52">
        <w:rPr>
          <w:color w:val="000000" w:themeColor="text1"/>
          <w:szCs w:val="24"/>
        </w:rPr>
        <w:t xml:space="preserve"> not exhaustive, the study captures a number of countries where competition issues relating to the DFS ecosystem have been found to be manifest. It outlines the genesis of competition issues by the type of issue or market conduct that may have raised market opprobrium and regulatory focus or ire, and provides examples </w:t>
      </w:r>
      <w:r>
        <w:rPr>
          <w:color w:val="000000" w:themeColor="text1"/>
          <w:szCs w:val="24"/>
        </w:rPr>
        <w:t xml:space="preserve">within different countries </w:t>
      </w:r>
      <w:r w:rsidRPr="00E83E52">
        <w:rPr>
          <w:color w:val="000000" w:themeColor="text1"/>
          <w:szCs w:val="24"/>
        </w:rPr>
        <w:t>of how these issues have manifested and been dealt with by market dynamics and/or through regulatory intervention.</w:t>
      </w:r>
    </w:p>
    <w:p w14:paraId="6AF2A109" w14:textId="77777777" w:rsidR="00885B99" w:rsidRPr="00E83E52" w:rsidRDefault="00885B99" w:rsidP="00885B99">
      <w:pPr>
        <w:pStyle w:val="Heading1"/>
      </w:pPr>
      <w:bookmarkStart w:id="105" w:name="_Toc472443723"/>
      <w:bookmarkStart w:id="106" w:name="_Toc17799393"/>
      <w:bookmarkStart w:id="107" w:name="_Toc17881554"/>
      <w:bookmarkStart w:id="108" w:name="_Toc17882384"/>
      <w:bookmarkStart w:id="109" w:name="_Toc17882603"/>
      <w:bookmarkStart w:id="110" w:name="_Toc17882822"/>
      <w:bookmarkStart w:id="111" w:name="_Toc17883177"/>
      <w:bookmarkStart w:id="112" w:name="_Toc17892849"/>
      <w:bookmarkStart w:id="113" w:name="_Toc17893068"/>
      <w:bookmarkStart w:id="114" w:name="_Toc17893287"/>
      <w:bookmarkStart w:id="115" w:name="_Toc17894148"/>
      <w:bookmarkStart w:id="116" w:name="_Toc17894376"/>
      <w:bookmarkStart w:id="117" w:name="_Toc17969230"/>
      <w:r>
        <w:t>2</w:t>
      </w:r>
      <w:r>
        <w:tab/>
      </w:r>
      <w:r w:rsidRPr="00E83E52">
        <w:t>A</w:t>
      </w:r>
      <w:r>
        <w:t>pproaches to competition issues</w:t>
      </w:r>
      <w:bookmarkEnd w:id="105"/>
      <w:bookmarkEnd w:id="106"/>
      <w:bookmarkEnd w:id="107"/>
      <w:bookmarkEnd w:id="108"/>
      <w:bookmarkEnd w:id="109"/>
      <w:bookmarkEnd w:id="110"/>
      <w:bookmarkEnd w:id="111"/>
      <w:bookmarkEnd w:id="112"/>
      <w:bookmarkEnd w:id="113"/>
      <w:bookmarkEnd w:id="114"/>
      <w:bookmarkEnd w:id="115"/>
      <w:bookmarkEnd w:id="116"/>
      <w:bookmarkEnd w:id="117"/>
    </w:p>
    <w:p w14:paraId="7918D306" w14:textId="77777777" w:rsidR="00885B99" w:rsidRPr="00E83E52" w:rsidRDefault="00885B99" w:rsidP="00885B99">
      <w:r w:rsidRPr="00E83E52">
        <w:t xml:space="preserve">From the country evidence detailed below, many of the classic vertical and horizontal competition issues and </w:t>
      </w:r>
      <w:r>
        <w:t>behaviour</w:t>
      </w:r>
      <w:r w:rsidRPr="00E83E52">
        <w:t xml:space="preserve">s outlined in Annex </w:t>
      </w:r>
      <w:r>
        <w:t>A may map to the DFS ecosystem.</w:t>
      </w:r>
    </w:p>
    <w:p w14:paraId="486477A7" w14:textId="77777777" w:rsidR="00885B99" w:rsidRPr="00E83E52" w:rsidRDefault="00885B99" w:rsidP="00885B99">
      <w:r w:rsidRPr="00E83E52">
        <w:t>In terms of market behaviors, regulators</w:t>
      </w:r>
      <w:r>
        <w:t xml:space="preserve">, competition authorities </w:t>
      </w:r>
      <w:r w:rsidRPr="00E83E52">
        <w:t xml:space="preserve">and some market participants may find the following </w:t>
      </w:r>
      <w:r>
        <w:t>behaviour</w:t>
      </w:r>
      <w:r w:rsidRPr="00E83E52">
        <w:t xml:space="preserve"> problematic</w:t>
      </w:r>
      <w:r>
        <w:t xml:space="preserve"> from a competition perspective</w:t>
      </w:r>
      <w:r w:rsidRPr="00E83E52">
        <w:t>:</w:t>
      </w:r>
    </w:p>
    <w:p w14:paraId="514F1FDA" w14:textId="77777777" w:rsidR="00885B99" w:rsidRPr="00E83E52" w:rsidRDefault="00885B99" w:rsidP="00885B99">
      <w:pPr>
        <w:pStyle w:val="enumlev1"/>
        <w:rPr>
          <w:shd w:val="clear" w:color="auto" w:fill="FFFFFF"/>
        </w:rPr>
      </w:pPr>
      <w:r w:rsidRPr="00465D85">
        <w:rPr>
          <w:color w:val="000000" w:themeColor="text1"/>
        </w:rPr>
        <w:t>•</w:t>
      </w:r>
      <w:r w:rsidRPr="00465D85">
        <w:rPr>
          <w:color w:val="000000" w:themeColor="text1"/>
        </w:rPr>
        <w:tab/>
      </w:r>
      <w:r>
        <w:rPr>
          <w:color w:val="000000" w:themeColor="text1"/>
        </w:rPr>
        <w:t>O</w:t>
      </w:r>
      <w:r w:rsidRPr="00E83E52">
        <w:rPr>
          <w:color w:val="000000" w:themeColor="text1"/>
        </w:rPr>
        <w:t xml:space="preserve">utright </w:t>
      </w:r>
      <w:r>
        <w:rPr>
          <w:color w:val="000000" w:themeColor="text1"/>
        </w:rPr>
        <w:t xml:space="preserve">or unreasonable </w:t>
      </w:r>
      <w:r w:rsidRPr="00E83E52">
        <w:rPr>
          <w:color w:val="000000" w:themeColor="text1"/>
        </w:rPr>
        <w:t xml:space="preserve">restrictions on or inordinate delays in </w:t>
      </w:r>
      <w:r w:rsidRPr="00E83E52">
        <w:rPr>
          <w:shd w:val="clear" w:color="auto" w:fill="FFFFFF"/>
        </w:rPr>
        <w:t xml:space="preserve">access to scarce infrastructure, channels and services such </w:t>
      </w:r>
      <w:r w:rsidRPr="00C55B9C">
        <w:rPr>
          <w:shd w:val="clear" w:color="auto" w:fill="FFFFFF"/>
        </w:rPr>
        <w:t xml:space="preserve">as </w:t>
      </w:r>
      <w:r w:rsidRPr="00C64E16">
        <w:rPr>
          <w:color w:val="000000" w:themeColor="text1"/>
          <w:shd w:val="clear" w:color="auto" w:fill="FFFFFF"/>
        </w:rPr>
        <w:t>unstructured supplementary service data</w:t>
      </w:r>
      <w:r w:rsidRPr="00E83E52">
        <w:rPr>
          <w:shd w:val="clear" w:color="auto" w:fill="FFFFFF"/>
        </w:rPr>
        <w:t xml:space="preserve"> </w:t>
      </w:r>
      <w:r>
        <w:rPr>
          <w:shd w:val="clear" w:color="auto" w:fill="FFFFFF"/>
        </w:rPr>
        <w:t>(</w:t>
      </w:r>
      <w:r w:rsidRPr="00E83E52">
        <w:rPr>
          <w:shd w:val="clear" w:color="auto" w:fill="FFFFFF"/>
        </w:rPr>
        <w:t>USSD</w:t>
      </w:r>
      <w:r>
        <w:rPr>
          <w:shd w:val="clear" w:color="auto" w:fill="FFFFFF"/>
        </w:rPr>
        <w:t>)</w:t>
      </w:r>
      <w:r w:rsidRPr="00E83E52">
        <w:rPr>
          <w:shd w:val="clear" w:color="auto" w:fill="FFFFFF"/>
        </w:rPr>
        <w:t>, shortcodes and payment switches</w:t>
      </w:r>
      <w:r>
        <w:rPr>
          <w:shd w:val="clear" w:color="auto" w:fill="FFFFFF"/>
        </w:rPr>
        <w:t>.</w:t>
      </w:r>
      <w:r>
        <w:rPr>
          <w:rStyle w:val="FootnoteReference"/>
          <w:color w:val="222222"/>
          <w:szCs w:val="24"/>
          <w:shd w:val="clear" w:color="auto" w:fill="FFFFFF"/>
        </w:rPr>
        <w:footnoteReference w:id="16"/>
      </w:r>
    </w:p>
    <w:p w14:paraId="6385D465" w14:textId="77777777" w:rsidR="00885B99" w:rsidRPr="00E83E52" w:rsidRDefault="00885B99" w:rsidP="00885B99">
      <w:pPr>
        <w:pStyle w:val="enumlev1"/>
        <w:rPr>
          <w:shd w:val="clear" w:color="auto" w:fill="FFFFFF"/>
        </w:rPr>
      </w:pPr>
      <w:r w:rsidRPr="00465D85">
        <w:rPr>
          <w:shd w:val="clear" w:color="auto" w:fill="FFFFFF"/>
        </w:rPr>
        <w:t>•</w:t>
      </w:r>
      <w:r w:rsidRPr="00465D85">
        <w:rPr>
          <w:shd w:val="clear" w:color="auto" w:fill="FFFFFF"/>
        </w:rPr>
        <w:tab/>
      </w:r>
      <w:r>
        <w:rPr>
          <w:shd w:val="clear" w:color="auto" w:fill="FFFFFF"/>
        </w:rPr>
        <w:t>B</w:t>
      </w:r>
      <w:r w:rsidRPr="00E83E52">
        <w:rPr>
          <w:shd w:val="clear" w:color="auto" w:fill="FFFFFF"/>
        </w:rPr>
        <w:t>undling of services, or ability to provide scarce incentives, that</w:t>
      </w:r>
      <w:r>
        <w:rPr>
          <w:shd w:val="clear" w:color="auto" w:fill="FFFFFF"/>
        </w:rPr>
        <w:t xml:space="preserve"> create unfair competition.</w:t>
      </w:r>
      <w:r w:rsidRPr="00E83E52">
        <w:rPr>
          <w:shd w:val="clear" w:color="auto" w:fill="FFFFFF"/>
        </w:rPr>
        <w:t xml:space="preserve"> </w:t>
      </w:r>
    </w:p>
    <w:p w14:paraId="20321D9B" w14:textId="77777777" w:rsidR="00885B99" w:rsidRPr="00E83E52" w:rsidRDefault="00885B99" w:rsidP="00885B99">
      <w:pPr>
        <w:pStyle w:val="enumlev1"/>
        <w:rPr>
          <w:shd w:val="clear" w:color="auto" w:fill="FFFFFF"/>
        </w:rPr>
      </w:pPr>
      <w:r w:rsidRPr="00465D85">
        <w:rPr>
          <w:shd w:val="clear" w:color="auto" w:fill="FFFFFF"/>
        </w:rPr>
        <w:t>•</w:t>
      </w:r>
      <w:r w:rsidRPr="00465D85">
        <w:rPr>
          <w:shd w:val="clear" w:color="auto" w:fill="FFFFFF"/>
        </w:rPr>
        <w:tab/>
      </w:r>
      <w:r>
        <w:rPr>
          <w:shd w:val="clear" w:color="auto" w:fill="FFFFFF"/>
        </w:rPr>
        <w:t>C</w:t>
      </w:r>
      <w:r w:rsidRPr="00E83E52">
        <w:rPr>
          <w:shd w:val="clear" w:color="auto" w:fill="FFFFFF"/>
        </w:rPr>
        <w:t>ollusive or unfair pricing of services for USSD, STK, and switching and interc</w:t>
      </w:r>
      <w:r>
        <w:rPr>
          <w:shd w:val="clear" w:color="auto" w:fill="FFFFFF"/>
        </w:rPr>
        <w:t>hange fees in payments switches.</w:t>
      </w:r>
    </w:p>
    <w:p w14:paraId="3DA680E6" w14:textId="77777777" w:rsidR="00885B99" w:rsidRPr="00E83E52" w:rsidRDefault="00885B99" w:rsidP="00885B99">
      <w:pPr>
        <w:pStyle w:val="enumlev1"/>
        <w:rPr>
          <w:shd w:val="clear" w:color="auto" w:fill="FFFFFF"/>
        </w:rPr>
      </w:pPr>
      <w:r w:rsidRPr="00465D85">
        <w:rPr>
          <w:shd w:val="clear" w:color="auto" w:fill="FFFFFF"/>
        </w:rPr>
        <w:t>•</w:t>
      </w:r>
      <w:r w:rsidRPr="00465D85">
        <w:rPr>
          <w:shd w:val="clear" w:color="auto" w:fill="FFFFFF"/>
        </w:rPr>
        <w:tab/>
      </w:r>
      <w:r w:rsidRPr="00E83E52">
        <w:rPr>
          <w:shd w:val="clear" w:color="auto" w:fill="FFFFFF"/>
        </w:rPr>
        <w:t>Lack of, or restricted, ability to participate in industry-led governance structures relating to infrastructur</w:t>
      </w:r>
      <w:r>
        <w:rPr>
          <w:shd w:val="clear" w:color="auto" w:fill="FFFFFF"/>
        </w:rPr>
        <w:t>e or services.</w:t>
      </w:r>
    </w:p>
    <w:p w14:paraId="37ABDD3C" w14:textId="77777777" w:rsidR="00885B99" w:rsidRPr="00E83E52" w:rsidRDefault="00885B99" w:rsidP="00885B99">
      <w:pPr>
        <w:pStyle w:val="enumlev1"/>
        <w:rPr>
          <w:shd w:val="clear" w:color="auto" w:fill="FFFFFF"/>
        </w:rPr>
      </w:pPr>
      <w:r w:rsidRPr="00465D85">
        <w:rPr>
          <w:shd w:val="clear" w:color="auto" w:fill="FFFFFF"/>
        </w:rPr>
        <w:t>•</w:t>
      </w:r>
      <w:r w:rsidRPr="00465D85">
        <w:rPr>
          <w:shd w:val="clear" w:color="auto" w:fill="FFFFFF"/>
        </w:rPr>
        <w:tab/>
      </w:r>
      <w:r w:rsidRPr="00E83E52">
        <w:rPr>
          <w:shd w:val="clear" w:color="auto" w:fill="FFFFFF"/>
        </w:rPr>
        <w:t xml:space="preserve">Deliberate </w:t>
      </w:r>
      <w:r>
        <w:rPr>
          <w:shd w:val="clear" w:color="auto" w:fill="FFFFFF"/>
        </w:rPr>
        <w:t xml:space="preserve">or unreasonable </w:t>
      </w:r>
      <w:r w:rsidRPr="00E83E52">
        <w:rPr>
          <w:shd w:val="clear" w:color="auto" w:fill="FFFFFF"/>
        </w:rPr>
        <w:t xml:space="preserve">lack of </w:t>
      </w:r>
      <w:r>
        <w:rPr>
          <w:shd w:val="clear" w:color="auto" w:fill="FFFFFF"/>
        </w:rPr>
        <w:t>QOS guarantees.</w:t>
      </w:r>
    </w:p>
    <w:p w14:paraId="57530CEE" w14:textId="77777777" w:rsidR="00885B99" w:rsidRPr="00E83E52" w:rsidRDefault="00885B99" w:rsidP="00885B99">
      <w:pPr>
        <w:pStyle w:val="enumlev1"/>
        <w:rPr>
          <w:shd w:val="clear" w:color="auto" w:fill="FFFFFF"/>
        </w:rPr>
      </w:pPr>
      <w:r w:rsidRPr="00465D85">
        <w:rPr>
          <w:shd w:val="clear" w:color="auto" w:fill="FFFFFF"/>
        </w:rPr>
        <w:t>•</w:t>
      </w:r>
      <w:r w:rsidRPr="00465D85">
        <w:rPr>
          <w:shd w:val="clear" w:color="auto" w:fill="FFFFFF"/>
        </w:rPr>
        <w:tab/>
      </w:r>
      <w:r w:rsidRPr="00E83E52">
        <w:rPr>
          <w:shd w:val="clear" w:color="auto" w:fill="FFFFFF"/>
        </w:rPr>
        <w:t>Inability to</w:t>
      </w:r>
      <w:r>
        <w:rPr>
          <w:shd w:val="clear" w:color="auto" w:fill="FFFFFF"/>
        </w:rPr>
        <w:t xml:space="preserve">, or unreasonable restrictions on, </w:t>
      </w:r>
      <w:r w:rsidRPr="00E83E52">
        <w:rPr>
          <w:shd w:val="clear" w:color="auto" w:fill="FFFFFF"/>
        </w:rPr>
        <w:t xml:space="preserve">access </w:t>
      </w:r>
      <w:r>
        <w:rPr>
          <w:shd w:val="clear" w:color="auto" w:fill="FFFFFF"/>
        </w:rPr>
        <w:t xml:space="preserve">to </w:t>
      </w:r>
      <w:r w:rsidRPr="00E83E52">
        <w:rPr>
          <w:shd w:val="clear" w:color="auto" w:fill="FFFFFF"/>
        </w:rPr>
        <w:t>big data suites</w:t>
      </w:r>
      <w:r>
        <w:rPr>
          <w:shd w:val="clear" w:color="auto" w:fill="FFFFFF"/>
        </w:rPr>
        <w:t>.</w:t>
      </w:r>
    </w:p>
    <w:p w14:paraId="2823E0E7" w14:textId="77777777" w:rsidR="00885B99" w:rsidRPr="00E83E52" w:rsidRDefault="00885B99" w:rsidP="00885B99">
      <w:pPr>
        <w:rPr>
          <w:color w:val="000000" w:themeColor="text1"/>
        </w:rPr>
      </w:pPr>
      <w:r w:rsidRPr="00E83E52">
        <w:rPr>
          <w:color w:val="000000" w:themeColor="text1"/>
        </w:rPr>
        <w:t xml:space="preserve">Market participants </w:t>
      </w:r>
      <w:r w:rsidRPr="00E83E52">
        <w:t xml:space="preserve">may believe that the following regulatory and policy approaches could affect their ability to compete on a level playing field, </w:t>
      </w:r>
      <w:r>
        <w:t xml:space="preserve">as </w:t>
      </w:r>
      <w:r w:rsidRPr="00E83E52">
        <w:rPr>
          <w:color w:val="222222"/>
          <w:shd w:val="clear" w:color="auto" w:fill="FFFFFF"/>
        </w:rPr>
        <w:t xml:space="preserve">summarized </w:t>
      </w:r>
      <w:r w:rsidRPr="00E83E52">
        <w:rPr>
          <w:color w:val="000000" w:themeColor="text1"/>
        </w:rPr>
        <w:t>in Exhibit 1.</w:t>
      </w:r>
      <w:r>
        <w:rPr>
          <w:rStyle w:val="FootnoteReference"/>
          <w:color w:val="000000" w:themeColor="text1"/>
          <w:szCs w:val="24"/>
        </w:rPr>
        <w:footnoteReference w:id="17"/>
      </w:r>
    </w:p>
    <w:p w14:paraId="0377BA9D" w14:textId="77777777" w:rsidR="00885B99" w:rsidRPr="004446DB" w:rsidRDefault="00885B99" w:rsidP="00885B99">
      <w:pPr>
        <w:pStyle w:val="enumlev1"/>
      </w:pPr>
      <w:r w:rsidRPr="00465D85">
        <w:t>•</w:t>
      </w:r>
      <w:r w:rsidRPr="00465D85">
        <w:tab/>
      </w:r>
      <w:r w:rsidRPr="004446DB">
        <w:t>restrictions on licensing/market access and unequal</w:t>
      </w:r>
      <w:r>
        <w:t xml:space="preserve"> </w:t>
      </w:r>
      <w:r w:rsidRPr="004446DB">
        <w:t>licensing provisions;</w:t>
      </w:r>
    </w:p>
    <w:p w14:paraId="233ED175" w14:textId="77777777" w:rsidR="00885B99" w:rsidRPr="004446DB" w:rsidRDefault="00885B99" w:rsidP="00885B99">
      <w:pPr>
        <w:pStyle w:val="enumlev1"/>
      </w:pPr>
      <w:r w:rsidRPr="00465D85">
        <w:rPr>
          <w:color w:val="222222"/>
          <w:shd w:val="clear" w:color="auto" w:fill="FFFFFF"/>
        </w:rPr>
        <w:t>•</w:t>
      </w:r>
      <w:r w:rsidRPr="00465D85">
        <w:rPr>
          <w:color w:val="222222"/>
          <w:shd w:val="clear" w:color="auto" w:fill="FFFFFF"/>
        </w:rPr>
        <w:tab/>
      </w:r>
      <w:r w:rsidRPr="004446DB">
        <w:rPr>
          <w:color w:val="222222"/>
          <w:shd w:val="clear" w:color="auto" w:fill="FFFFFF"/>
        </w:rPr>
        <w:t>asymmetric compliance requirements such as for agent know your customer (KYC), and cash handling and physical security;</w:t>
      </w:r>
    </w:p>
    <w:p w14:paraId="3BF646BA" w14:textId="77777777" w:rsidR="00885B99" w:rsidRPr="004446DB" w:rsidRDefault="00885B99" w:rsidP="00885B99">
      <w:pPr>
        <w:pStyle w:val="enumlev1"/>
      </w:pPr>
      <w:r w:rsidRPr="00465D85">
        <w:t>•</w:t>
      </w:r>
      <w:r w:rsidRPr="00465D85">
        <w:tab/>
      </w:r>
      <w:r w:rsidRPr="004446DB">
        <w:t>unequal tax treatment;</w:t>
      </w:r>
    </w:p>
    <w:p w14:paraId="72042383" w14:textId="77777777" w:rsidR="00885B99" w:rsidRPr="004446DB" w:rsidRDefault="00885B99" w:rsidP="00885B99">
      <w:pPr>
        <w:pStyle w:val="enumlev1"/>
      </w:pPr>
      <w:r w:rsidRPr="00465D85">
        <w:t>•</w:t>
      </w:r>
      <w:r w:rsidRPr="00465D85">
        <w:tab/>
      </w:r>
      <w:r w:rsidRPr="004446DB">
        <w:t>unequal treatment of capital requirements required for licensing;</w:t>
      </w:r>
    </w:p>
    <w:p w14:paraId="23D33F8B" w14:textId="77777777" w:rsidR="00885B99" w:rsidRPr="004446DB" w:rsidRDefault="00885B99" w:rsidP="00885B99">
      <w:pPr>
        <w:pStyle w:val="enumlev1"/>
      </w:pPr>
      <w:r w:rsidRPr="00465D85">
        <w:t>•</w:t>
      </w:r>
      <w:r w:rsidRPr="00465D85">
        <w:tab/>
      </w:r>
      <w:r w:rsidRPr="004446DB">
        <w:t>forced or mandated pricing caps for channel access;</w:t>
      </w:r>
    </w:p>
    <w:p w14:paraId="7A398126" w14:textId="77777777" w:rsidR="00885B99" w:rsidRDefault="00885B99" w:rsidP="00885B99">
      <w:pPr>
        <w:pStyle w:val="enumlev1"/>
      </w:pPr>
      <w:r w:rsidRPr="00465D85">
        <w:t>•</w:t>
      </w:r>
      <w:r w:rsidRPr="00465D85">
        <w:tab/>
      </w:r>
      <w:r w:rsidRPr="004446DB">
        <w:t>bans on agent exclusivity</w:t>
      </w:r>
      <w:r>
        <w:t>.</w:t>
      </w:r>
    </w:p>
    <w:p w14:paraId="3C5C5639" w14:textId="77777777" w:rsidR="00885B99" w:rsidRPr="00885B99" w:rsidRDefault="00885B99" w:rsidP="00885B99">
      <w:pPr>
        <w:sectPr w:rsidR="00885B99" w:rsidRPr="00885B99" w:rsidSect="009375FE">
          <w:type w:val="oddPage"/>
          <w:pgSz w:w="11907" w:h="16840" w:code="9"/>
          <w:pgMar w:top="1134" w:right="1134" w:bottom="1134" w:left="1134" w:header="567" w:footer="567" w:gutter="0"/>
          <w:cols w:space="720"/>
          <w:docGrid w:linePitch="360"/>
        </w:sectPr>
      </w:pPr>
    </w:p>
    <w:tbl>
      <w:tblPr>
        <w:tblW w:w="0" w:type="auto"/>
        <w:jc w:val="center"/>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7434"/>
        <w:gridCol w:w="1474"/>
        <w:gridCol w:w="1417"/>
        <w:gridCol w:w="1361"/>
        <w:gridCol w:w="1417"/>
        <w:gridCol w:w="1239"/>
      </w:tblGrid>
      <w:tr w:rsidR="00885B99" w:rsidRPr="009E5DED" w14:paraId="5A26D63C" w14:textId="77777777" w:rsidTr="00FC15A2">
        <w:trPr>
          <w:tblHeader/>
          <w:jc w:val="center"/>
        </w:trPr>
        <w:tc>
          <w:tcPr>
            <w:tcW w:w="14342" w:type="dxa"/>
            <w:gridSpan w:val="6"/>
          </w:tcPr>
          <w:p w14:paraId="3D64ABFD" w14:textId="77777777" w:rsidR="00885B99" w:rsidRPr="009E5DED" w:rsidRDefault="00885B99" w:rsidP="00FC15A2">
            <w:pPr>
              <w:pStyle w:val="TableNoTitle"/>
            </w:pPr>
            <w:r w:rsidRPr="00E83E52">
              <w:lastRenderedPageBreak/>
              <w:t>Exhibit 1</w:t>
            </w:r>
            <w:r>
              <w:t xml:space="preserve"> – </w:t>
            </w:r>
            <w:r w:rsidRPr="00F15E2D">
              <w:t>Competition-related issues from the perspectives of DFS market participants</w:t>
            </w:r>
          </w:p>
        </w:tc>
      </w:tr>
      <w:tr w:rsidR="00885B99" w:rsidRPr="009E5DED" w14:paraId="67E038FF" w14:textId="77777777" w:rsidTr="00FC15A2">
        <w:tblPrEx>
          <w:tblBorders>
            <w:top w:val="single" w:sz="4" w:space="0" w:color="auto"/>
            <w:left w:val="single" w:sz="4" w:space="0" w:color="auto"/>
            <w:right w:val="single" w:sz="4" w:space="0" w:color="auto"/>
          </w:tblBorders>
        </w:tblPrEx>
        <w:trPr>
          <w:tblHeader/>
          <w:jc w:val="center"/>
        </w:trPr>
        <w:tc>
          <w:tcPr>
            <w:tcW w:w="7434" w:type="dxa"/>
            <w:vAlign w:val="center"/>
          </w:tcPr>
          <w:p w14:paraId="1EF5A706" w14:textId="77777777" w:rsidR="00885B99" w:rsidRPr="00CC1A4C" w:rsidRDefault="00885B99" w:rsidP="00FC15A2">
            <w:pPr>
              <w:pStyle w:val="Tablehead"/>
            </w:pPr>
            <w:r>
              <w:t>Type of behaviour</w:t>
            </w:r>
          </w:p>
        </w:tc>
        <w:tc>
          <w:tcPr>
            <w:tcW w:w="1474" w:type="dxa"/>
            <w:shd w:val="clear" w:color="auto" w:fill="auto"/>
            <w:vAlign w:val="center"/>
          </w:tcPr>
          <w:p w14:paraId="511541E2" w14:textId="77777777" w:rsidR="00885B99" w:rsidRPr="002051BB" w:rsidRDefault="00885B99" w:rsidP="00FC15A2">
            <w:pPr>
              <w:pStyle w:val="Tabletext"/>
              <w:jc w:val="center"/>
              <w:rPr>
                <w:b/>
                <w:sz w:val="18"/>
                <w:szCs w:val="18"/>
              </w:rPr>
            </w:pPr>
            <w:r w:rsidRPr="002051BB">
              <w:rPr>
                <w:b/>
              </w:rPr>
              <w:t>Independent banks</w:t>
            </w:r>
          </w:p>
        </w:tc>
        <w:tc>
          <w:tcPr>
            <w:tcW w:w="1417" w:type="dxa"/>
            <w:shd w:val="clear" w:color="auto" w:fill="auto"/>
            <w:vAlign w:val="center"/>
          </w:tcPr>
          <w:p w14:paraId="378D577D" w14:textId="77777777" w:rsidR="00885B99" w:rsidRPr="009E5DED" w:rsidRDefault="00885B99" w:rsidP="00FC15A2">
            <w:pPr>
              <w:pStyle w:val="Tabletext"/>
              <w:jc w:val="center"/>
              <w:rPr>
                <w:sz w:val="18"/>
                <w:szCs w:val="18"/>
              </w:rPr>
            </w:pPr>
            <w:r w:rsidRPr="002051BB">
              <w:rPr>
                <w:b/>
              </w:rPr>
              <w:t>MNO/PSP-</w:t>
            </w:r>
            <w:r w:rsidRPr="002051BB">
              <w:rPr>
                <w:b/>
              </w:rPr>
              <w:br/>
              <w:t>affiliated banks</w:t>
            </w:r>
            <w:r>
              <w:rPr>
                <w:rStyle w:val="FootnoteReference"/>
              </w:rPr>
              <w:footnoteReference w:id="18"/>
            </w:r>
          </w:p>
        </w:tc>
        <w:tc>
          <w:tcPr>
            <w:tcW w:w="1361" w:type="dxa"/>
            <w:shd w:val="clear" w:color="auto" w:fill="auto"/>
            <w:vAlign w:val="center"/>
          </w:tcPr>
          <w:p w14:paraId="44622ED3" w14:textId="77777777" w:rsidR="00885B99" w:rsidRPr="009E5DED" w:rsidRDefault="00885B99" w:rsidP="00FC15A2">
            <w:pPr>
              <w:pStyle w:val="Tabletext"/>
              <w:jc w:val="center"/>
              <w:rPr>
                <w:sz w:val="18"/>
                <w:szCs w:val="18"/>
              </w:rPr>
            </w:pPr>
            <w:r w:rsidRPr="002051BB">
              <w:rPr>
                <w:b/>
              </w:rPr>
              <w:t>MNO-</w:t>
            </w:r>
            <w:r w:rsidRPr="002051BB">
              <w:rPr>
                <w:b/>
              </w:rPr>
              <w:br/>
              <w:t>affiliated PSPs</w:t>
            </w:r>
            <w:r>
              <w:rPr>
                <w:rStyle w:val="FootnoteReference"/>
              </w:rPr>
              <w:footnoteReference w:id="19"/>
            </w:r>
          </w:p>
        </w:tc>
        <w:tc>
          <w:tcPr>
            <w:tcW w:w="1417" w:type="dxa"/>
            <w:shd w:val="clear" w:color="auto" w:fill="auto"/>
            <w:vAlign w:val="center"/>
          </w:tcPr>
          <w:p w14:paraId="05AB3B62" w14:textId="77777777" w:rsidR="00885B99" w:rsidRPr="002051BB" w:rsidRDefault="00885B99" w:rsidP="00FC15A2">
            <w:pPr>
              <w:pStyle w:val="Tabletext"/>
              <w:jc w:val="center"/>
              <w:rPr>
                <w:b/>
                <w:sz w:val="18"/>
                <w:szCs w:val="18"/>
              </w:rPr>
            </w:pPr>
            <w:r w:rsidRPr="002051BB">
              <w:rPr>
                <w:b/>
              </w:rPr>
              <w:t>Independent PSPs</w:t>
            </w:r>
          </w:p>
        </w:tc>
        <w:tc>
          <w:tcPr>
            <w:tcW w:w="1239" w:type="dxa"/>
            <w:shd w:val="clear" w:color="auto" w:fill="auto"/>
            <w:vAlign w:val="center"/>
          </w:tcPr>
          <w:p w14:paraId="1511D334" w14:textId="77777777" w:rsidR="00885B99" w:rsidRPr="002051BB" w:rsidRDefault="00885B99" w:rsidP="00FC15A2">
            <w:pPr>
              <w:pStyle w:val="Tabletext"/>
              <w:jc w:val="center"/>
              <w:rPr>
                <w:b/>
                <w:sz w:val="18"/>
                <w:szCs w:val="18"/>
              </w:rPr>
            </w:pPr>
            <w:r w:rsidRPr="002051BB">
              <w:rPr>
                <w:b/>
              </w:rPr>
              <w:t>MNOs</w:t>
            </w:r>
          </w:p>
        </w:tc>
      </w:tr>
      <w:tr w:rsidR="00885B99" w:rsidRPr="009E5DED" w14:paraId="207EDA74" w14:textId="77777777" w:rsidTr="00FC15A2">
        <w:tblPrEx>
          <w:tblBorders>
            <w:top w:val="single" w:sz="4" w:space="0" w:color="auto"/>
            <w:left w:val="single" w:sz="4" w:space="0" w:color="auto"/>
            <w:right w:val="single" w:sz="4" w:space="0" w:color="auto"/>
          </w:tblBorders>
        </w:tblPrEx>
        <w:trPr>
          <w:jc w:val="center"/>
        </w:trPr>
        <w:tc>
          <w:tcPr>
            <w:tcW w:w="7434" w:type="dxa"/>
          </w:tcPr>
          <w:p w14:paraId="1FF776F0" w14:textId="77777777" w:rsidR="00885B99" w:rsidRPr="00CC1A4C" w:rsidRDefault="00885B99" w:rsidP="00FC15A2">
            <w:pPr>
              <w:pStyle w:val="Tabletext"/>
              <w:rPr>
                <w:b/>
              </w:rPr>
            </w:pPr>
            <w:r w:rsidRPr="00CC1A4C">
              <w:rPr>
                <w:b/>
              </w:rPr>
              <w:t>Licensing</w:t>
            </w:r>
          </w:p>
        </w:tc>
        <w:tc>
          <w:tcPr>
            <w:tcW w:w="1474" w:type="dxa"/>
            <w:shd w:val="clear" w:color="auto" w:fill="auto"/>
          </w:tcPr>
          <w:p w14:paraId="739AA908" w14:textId="77777777" w:rsidR="00885B99" w:rsidRPr="009E5DED" w:rsidRDefault="00885B99" w:rsidP="00FC15A2">
            <w:pPr>
              <w:pStyle w:val="Tabletext"/>
              <w:jc w:val="center"/>
              <w:rPr>
                <w:sz w:val="18"/>
                <w:szCs w:val="18"/>
              </w:rPr>
            </w:pPr>
          </w:p>
        </w:tc>
        <w:tc>
          <w:tcPr>
            <w:tcW w:w="1417" w:type="dxa"/>
            <w:shd w:val="clear" w:color="auto" w:fill="auto"/>
          </w:tcPr>
          <w:p w14:paraId="0F537B90" w14:textId="77777777" w:rsidR="00885B99" w:rsidRPr="009E5DED" w:rsidRDefault="00885B99" w:rsidP="00FC15A2">
            <w:pPr>
              <w:pStyle w:val="Tabletext"/>
              <w:jc w:val="center"/>
              <w:rPr>
                <w:sz w:val="18"/>
                <w:szCs w:val="18"/>
              </w:rPr>
            </w:pPr>
          </w:p>
        </w:tc>
        <w:tc>
          <w:tcPr>
            <w:tcW w:w="1361" w:type="dxa"/>
            <w:shd w:val="clear" w:color="auto" w:fill="auto"/>
          </w:tcPr>
          <w:p w14:paraId="10B80D45" w14:textId="77777777" w:rsidR="00885B99" w:rsidRPr="009E5DED" w:rsidRDefault="00885B99" w:rsidP="00FC15A2">
            <w:pPr>
              <w:pStyle w:val="Tabletext"/>
              <w:jc w:val="center"/>
              <w:rPr>
                <w:sz w:val="18"/>
                <w:szCs w:val="18"/>
              </w:rPr>
            </w:pPr>
          </w:p>
        </w:tc>
        <w:tc>
          <w:tcPr>
            <w:tcW w:w="1417" w:type="dxa"/>
            <w:shd w:val="clear" w:color="auto" w:fill="auto"/>
          </w:tcPr>
          <w:p w14:paraId="7FE1CE41" w14:textId="77777777" w:rsidR="00885B99" w:rsidRPr="009E5DED" w:rsidRDefault="00885B99" w:rsidP="00FC15A2">
            <w:pPr>
              <w:pStyle w:val="Tabletext"/>
              <w:jc w:val="center"/>
              <w:rPr>
                <w:sz w:val="18"/>
                <w:szCs w:val="18"/>
              </w:rPr>
            </w:pPr>
          </w:p>
        </w:tc>
        <w:tc>
          <w:tcPr>
            <w:tcW w:w="1239" w:type="dxa"/>
            <w:shd w:val="clear" w:color="auto" w:fill="auto"/>
          </w:tcPr>
          <w:p w14:paraId="14B28AAD" w14:textId="77777777" w:rsidR="00885B99" w:rsidRPr="009E5DED" w:rsidRDefault="00885B99" w:rsidP="00FC15A2">
            <w:pPr>
              <w:pStyle w:val="Tabletext"/>
              <w:jc w:val="center"/>
              <w:rPr>
                <w:sz w:val="18"/>
                <w:szCs w:val="18"/>
              </w:rPr>
            </w:pPr>
          </w:p>
        </w:tc>
      </w:tr>
      <w:tr w:rsidR="00885B99" w:rsidRPr="009E5DED" w14:paraId="00853C75" w14:textId="77777777" w:rsidTr="00FC15A2">
        <w:tblPrEx>
          <w:tblBorders>
            <w:top w:val="single" w:sz="4" w:space="0" w:color="auto"/>
            <w:left w:val="single" w:sz="4" w:space="0" w:color="auto"/>
            <w:right w:val="single" w:sz="4" w:space="0" w:color="auto"/>
          </w:tblBorders>
        </w:tblPrEx>
        <w:trPr>
          <w:jc w:val="center"/>
        </w:trPr>
        <w:tc>
          <w:tcPr>
            <w:tcW w:w="7434" w:type="dxa"/>
          </w:tcPr>
          <w:p w14:paraId="3D8F522F" w14:textId="77777777" w:rsidR="00885B99" w:rsidRPr="009E5DED" w:rsidRDefault="00885B99" w:rsidP="00FC15A2">
            <w:pPr>
              <w:pStyle w:val="Tabletext"/>
            </w:pPr>
            <w:r w:rsidRPr="009E5DED">
              <w:t>Unable to operate at all in DFS ecosystem</w:t>
            </w:r>
          </w:p>
        </w:tc>
        <w:tc>
          <w:tcPr>
            <w:tcW w:w="1474" w:type="dxa"/>
            <w:shd w:val="clear" w:color="auto" w:fill="auto"/>
          </w:tcPr>
          <w:p w14:paraId="3E5097D6" w14:textId="77777777" w:rsidR="00885B99" w:rsidRPr="009E5DED" w:rsidRDefault="00885B99" w:rsidP="00FC15A2">
            <w:pPr>
              <w:pStyle w:val="Tabletext"/>
              <w:jc w:val="center"/>
              <w:rPr>
                <w:sz w:val="18"/>
                <w:szCs w:val="18"/>
              </w:rPr>
            </w:pPr>
          </w:p>
        </w:tc>
        <w:tc>
          <w:tcPr>
            <w:tcW w:w="1417" w:type="dxa"/>
            <w:shd w:val="clear" w:color="auto" w:fill="auto"/>
          </w:tcPr>
          <w:p w14:paraId="34DDC083" w14:textId="77777777" w:rsidR="00885B99" w:rsidRPr="009E5DED" w:rsidRDefault="00885B99" w:rsidP="00FC15A2">
            <w:pPr>
              <w:pStyle w:val="Tabletext"/>
              <w:jc w:val="center"/>
              <w:rPr>
                <w:sz w:val="18"/>
                <w:szCs w:val="18"/>
              </w:rPr>
            </w:pPr>
          </w:p>
        </w:tc>
        <w:tc>
          <w:tcPr>
            <w:tcW w:w="1361" w:type="dxa"/>
            <w:shd w:val="clear" w:color="auto" w:fill="auto"/>
          </w:tcPr>
          <w:p w14:paraId="3A2F3E47" w14:textId="77777777" w:rsidR="00885B99" w:rsidRPr="009E5DED" w:rsidRDefault="00885B99" w:rsidP="00FC15A2">
            <w:pPr>
              <w:pStyle w:val="Tabletext"/>
              <w:jc w:val="center"/>
              <w:rPr>
                <w:sz w:val="18"/>
                <w:szCs w:val="18"/>
              </w:rPr>
            </w:pPr>
            <w:r w:rsidRPr="009E5DED">
              <w:rPr>
                <w:sz w:val="18"/>
                <w:szCs w:val="18"/>
              </w:rPr>
              <w:t>X</w:t>
            </w:r>
          </w:p>
        </w:tc>
        <w:tc>
          <w:tcPr>
            <w:tcW w:w="1417" w:type="dxa"/>
            <w:shd w:val="clear" w:color="auto" w:fill="auto"/>
          </w:tcPr>
          <w:p w14:paraId="4174F7B8" w14:textId="77777777" w:rsidR="00885B99" w:rsidRPr="009E5DED" w:rsidRDefault="00885B99" w:rsidP="00FC15A2">
            <w:pPr>
              <w:pStyle w:val="Tabletext"/>
              <w:jc w:val="center"/>
              <w:rPr>
                <w:sz w:val="18"/>
                <w:szCs w:val="18"/>
              </w:rPr>
            </w:pPr>
            <w:r w:rsidRPr="009E5DED">
              <w:rPr>
                <w:sz w:val="18"/>
                <w:szCs w:val="18"/>
              </w:rPr>
              <w:t>X</w:t>
            </w:r>
          </w:p>
        </w:tc>
        <w:tc>
          <w:tcPr>
            <w:tcW w:w="1239" w:type="dxa"/>
            <w:shd w:val="clear" w:color="auto" w:fill="auto"/>
          </w:tcPr>
          <w:p w14:paraId="3F502416" w14:textId="77777777" w:rsidR="00885B99" w:rsidRPr="009E5DED" w:rsidRDefault="00885B99" w:rsidP="00FC15A2">
            <w:pPr>
              <w:pStyle w:val="Tabletext"/>
              <w:jc w:val="center"/>
              <w:rPr>
                <w:sz w:val="18"/>
                <w:szCs w:val="18"/>
              </w:rPr>
            </w:pPr>
            <w:r w:rsidRPr="009E5DED">
              <w:rPr>
                <w:sz w:val="18"/>
                <w:szCs w:val="18"/>
              </w:rPr>
              <w:t>X</w:t>
            </w:r>
          </w:p>
        </w:tc>
      </w:tr>
      <w:tr w:rsidR="00885B99" w:rsidRPr="009E5DED" w14:paraId="0ABEE6A3" w14:textId="77777777" w:rsidTr="00FC15A2">
        <w:tblPrEx>
          <w:tblBorders>
            <w:top w:val="single" w:sz="4" w:space="0" w:color="auto"/>
            <w:left w:val="single" w:sz="4" w:space="0" w:color="auto"/>
            <w:right w:val="single" w:sz="4" w:space="0" w:color="auto"/>
          </w:tblBorders>
        </w:tblPrEx>
        <w:trPr>
          <w:jc w:val="center"/>
        </w:trPr>
        <w:tc>
          <w:tcPr>
            <w:tcW w:w="7434" w:type="dxa"/>
          </w:tcPr>
          <w:p w14:paraId="126D0D87" w14:textId="77777777" w:rsidR="00885B99" w:rsidRPr="009E5DED" w:rsidRDefault="00885B99" w:rsidP="00FC15A2">
            <w:pPr>
              <w:pStyle w:val="Tabletext"/>
            </w:pPr>
            <w:r w:rsidRPr="009E5DED">
              <w:t>Unable to provide full range of DFS services</w:t>
            </w:r>
          </w:p>
        </w:tc>
        <w:tc>
          <w:tcPr>
            <w:tcW w:w="1474" w:type="dxa"/>
            <w:shd w:val="clear" w:color="auto" w:fill="auto"/>
          </w:tcPr>
          <w:p w14:paraId="7CACB048" w14:textId="77777777" w:rsidR="00885B99" w:rsidRPr="009E5DED" w:rsidRDefault="00885B99" w:rsidP="00FC15A2">
            <w:pPr>
              <w:pStyle w:val="Tabletext"/>
              <w:jc w:val="center"/>
              <w:rPr>
                <w:sz w:val="18"/>
                <w:szCs w:val="18"/>
              </w:rPr>
            </w:pPr>
          </w:p>
        </w:tc>
        <w:tc>
          <w:tcPr>
            <w:tcW w:w="1417" w:type="dxa"/>
            <w:shd w:val="clear" w:color="auto" w:fill="auto"/>
          </w:tcPr>
          <w:p w14:paraId="07F3C75D" w14:textId="77777777" w:rsidR="00885B99" w:rsidRPr="009E5DED" w:rsidRDefault="00885B99" w:rsidP="00FC15A2">
            <w:pPr>
              <w:pStyle w:val="Tabletext"/>
              <w:jc w:val="center"/>
              <w:rPr>
                <w:sz w:val="18"/>
                <w:szCs w:val="18"/>
              </w:rPr>
            </w:pPr>
            <w:r w:rsidRPr="009E5DED">
              <w:rPr>
                <w:sz w:val="18"/>
                <w:szCs w:val="18"/>
              </w:rPr>
              <w:t>X</w:t>
            </w:r>
          </w:p>
        </w:tc>
        <w:tc>
          <w:tcPr>
            <w:tcW w:w="1361" w:type="dxa"/>
            <w:shd w:val="clear" w:color="auto" w:fill="auto"/>
          </w:tcPr>
          <w:p w14:paraId="2E33E6C5" w14:textId="77777777" w:rsidR="00885B99" w:rsidRPr="009E5DED" w:rsidRDefault="00885B99" w:rsidP="00FC15A2">
            <w:pPr>
              <w:pStyle w:val="Tabletext"/>
              <w:jc w:val="center"/>
              <w:rPr>
                <w:sz w:val="18"/>
                <w:szCs w:val="18"/>
              </w:rPr>
            </w:pPr>
            <w:r w:rsidRPr="009E5DED">
              <w:rPr>
                <w:sz w:val="18"/>
                <w:szCs w:val="18"/>
              </w:rPr>
              <w:t>X</w:t>
            </w:r>
          </w:p>
        </w:tc>
        <w:tc>
          <w:tcPr>
            <w:tcW w:w="1417" w:type="dxa"/>
            <w:shd w:val="clear" w:color="auto" w:fill="auto"/>
          </w:tcPr>
          <w:p w14:paraId="1828DEF2" w14:textId="77777777" w:rsidR="00885B99" w:rsidRPr="009E5DED" w:rsidRDefault="00885B99" w:rsidP="00FC15A2">
            <w:pPr>
              <w:pStyle w:val="Tabletext"/>
              <w:jc w:val="center"/>
              <w:rPr>
                <w:sz w:val="18"/>
                <w:szCs w:val="18"/>
              </w:rPr>
            </w:pPr>
            <w:r w:rsidRPr="009E5DED">
              <w:rPr>
                <w:sz w:val="18"/>
                <w:szCs w:val="18"/>
              </w:rPr>
              <w:t>X</w:t>
            </w:r>
          </w:p>
        </w:tc>
        <w:tc>
          <w:tcPr>
            <w:tcW w:w="1239" w:type="dxa"/>
            <w:shd w:val="clear" w:color="auto" w:fill="auto"/>
          </w:tcPr>
          <w:p w14:paraId="72FDB969" w14:textId="77777777" w:rsidR="00885B99" w:rsidRPr="009E5DED" w:rsidRDefault="00885B99" w:rsidP="00FC15A2">
            <w:pPr>
              <w:pStyle w:val="Tabletext"/>
              <w:jc w:val="center"/>
              <w:rPr>
                <w:sz w:val="18"/>
                <w:szCs w:val="18"/>
              </w:rPr>
            </w:pPr>
            <w:r w:rsidRPr="009E5DED">
              <w:rPr>
                <w:sz w:val="18"/>
                <w:szCs w:val="18"/>
              </w:rPr>
              <w:t>X</w:t>
            </w:r>
            <w:r>
              <w:rPr>
                <w:rStyle w:val="FootnoteReference"/>
                <w:szCs w:val="18"/>
              </w:rPr>
              <w:footnoteReference w:id="20"/>
            </w:r>
          </w:p>
        </w:tc>
      </w:tr>
      <w:tr w:rsidR="00885B99" w:rsidRPr="009E5DED" w14:paraId="196592CD" w14:textId="77777777" w:rsidTr="00FC15A2">
        <w:tblPrEx>
          <w:tblBorders>
            <w:top w:val="single" w:sz="4" w:space="0" w:color="auto"/>
            <w:left w:val="single" w:sz="4" w:space="0" w:color="auto"/>
            <w:right w:val="single" w:sz="4" w:space="0" w:color="auto"/>
          </w:tblBorders>
        </w:tblPrEx>
        <w:trPr>
          <w:jc w:val="center"/>
        </w:trPr>
        <w:tc>
          <w:tcPr>
            <w:tcW w:w="7434" w:type="dxa"/>
          </w:tcPr>
          <w:p w14:paraId="58A2A77F" w14:textId="77777777" w:rsidR="00885B99" w:rsidRPr="009E5DED" w:rsidRDefault="00885B99" w:rsidP="00FC15A2">
            <w:pPr>
              <w:pStyle w:val="Tabletext"/>
            </w:pPr>
            <w:r w:rsidRPr="009E5DED">
              <w:t>Unable to operate independently in DFS ecosystem</w:t>
            </w:r>
          </w:p>
        </w:tc>
        <w:tc>
          <w:tcPr>
            <w:tcW w:w="1474" w:type="dxa"/>
            <w:shd w:val="clear" w:color="auto" w:fill="auto"/>
          </w:tcPr>
          <w:p w14:paraId="73009A63" w14:textId="77777777" w:rsidR="00885B99" w:rsidRPr="009E5DED" w:rsidRDefault="00885B99" w:rsidP="00FC15A2">
            <w:pPr>
              <w:pStyle w:val="Tabletext"/>
              <w:jc w:val="center"/>
              <w:rPr>
                <w:sz w:val="18"/>
                <w:szCs w:val="18"/>
              </w:rPr>
            </w:pPr>
          </w:p>
        </w:tc>
        <w:tc>
          <w:tcPr>
            <w:tcW w:w="1417" w:type="dxa"/>
            <w:shd w:val="clear" w:color="auto" w:fill="auto"/>
          </w:tcPr>
          <w:p w14:paraId="792FAD57" w14:textId="77777777" w:rsidR="00885B99" w:rsidRPr="009E5DED" w:rsidRDefault="00885B99" w:rsidP="00FC15A2">
            <w:pPr>
              <w:pStyle w:val="Tabletext"/>
              <w:jc w:val="center"/>
              <w:rPr>
                <w:sz w:val="18"/>
                <w:szCs w:val="18"/>
              </w:rPr>
            </w:pPr>
          </w:p>
        </w:tc>
        <w:tc>
          <w:tcPr>
            <w:tcW w:w="1361" w:type="dxa"/>
            <w:shd w:val="clear" w:color="auto" w:fill="auto"/>
          </w:tcPr>
          <w:p w14:paraId="3519D9AB" w14:textId="77777777" w:rsidR="00885B99" w:rsidRPr="009E5DED" w:rsidRDefault="00885B99" w:rsidP="00FC15A2">
            <w:pPr>
              <w:pStyle w:val="Tabletext"/>
              <w:jc w:val="center"/>
              <w:rPr>
                <w:sz w:val="18"/>
                <w:szCs w:val="18"/>
              </w:rPr>
            </w:pPr>
            <w:r w:rsidRPr="009E5DED">
              <w:rPr>
                <w:sz w:val="18"/>
                <w:szCs w:val="18"/>
              </w:rPr>
              <w:t>X</w:t>
            </w:r>
          </w:p>
        </w:tc>
        <w:tc>
          <w:tcPr>
            <w:tcW w:w="1417" w:type="dxa"/>
            <w:shd w:val="clear" w:color="auto" w:fill="auto"/>
          </w:tcPr>
          <w:p w14:paraId="3BC040B9" w14:textId="77777777" w:rsidR="00885B99" w:rsidRPr="009E5DED" w:rsidRDefault="00885B99" w:rsidP="00FC15A2">
            <w:pPr>
              <w:pStyle w:val="Tabletext"/>
              <w:jc w:val="center"/>
              <w:rPr>
                <w:sz w:val="18"/>
                <w:szCs w:val="18"/>
              </w:rPr>
            </w:pPr>
            <w:r w:rsidRPr="009E5DED">
              <w:rPr>
                <w:sz w:val="18"/>
                <w:szCs w:val="18"/>
              </w:rPr>
              <w:t>X</w:t>
            </w:r>
          </w:p>
        </w:tc>
        <w:tc>
          <w:tcPr>
            <w:tcW w:w="1239" w:type="dxa"/>
            <w:shd w:val="clear" w:color="auto" w:fill="auto"/>
          </w:tcPr>
          <w:p w14:paraId="597FDD9C" w14:textId="77777777" w:rsidR="00885B99" w:rsidRPr="009E5DED" w:rsidRDefault="00885B99" w:rsidP="00FC15A2">
            <w:pPr>
              <w:pStyle w:val="Tabletext"/>
              <w:jc w:val="center"/>
              <w:rPr>
                <w:sz w:val="18"/>
                <w:szCs w:val="18"/>
              </w:rPr>
            </w:pPr>
            <w:r w:rsidRPr="009E5DED">
              <w:rPr>
                <w:sz w:val="18"/>
                <w:szCs w:val="18"/>
              </w:rPr>
              <w:t>X</w:t>
            </w:r>
          </w:p>
        </w:tc>
      </w:tr>
      <w:tr w:rsidR="00885B99" w:rsidRPr="009E5DED" w14:paraId="4FDCF035" w14:textId="77777777" w:rsidTr="00FC15A2">
        <w:tblPrEx>
          <w:tblBorders>
            <w:top w:val="single" w:sz="4" w:space="0" w:color="auto"/>
            <w:left w:val="single" w:sz="4" w:space="0" w:color="auto"/>
            <w:right w:val="single" w:sz="4" w:space="0" w:color="auto"/>
          </w:tblBorders>
        </w:tblPrEx>
        <w:trPr>
          <w:jc w:val="center"/>
        </w:trPr>
        <w:tc>
          <w:tcPr>
            <w:tcW w:w="7434" w:type="dxa"/>
          </w:tcPr>
          <w:p w14:paraId="68BD6FE1" w14:textId="77777777" w:rsidR="00885B99" w:rsidRPr="009E5DED" w:rsidRDefault="00885B99" w:rsidP="00FC15A2">
            <w:pPr>
              <w:pStyle w:val="Tabletext"/>
            </w:pPr>
            <w:r w:rsidRPr="009E5DED">
              <w:t>Only able to provide agent/non-financial</w:t>
            </w:r>
            <w:r>
              <w:rPr>
                <w:rStyle w:val="FootnoteReference"/>
              </w:rPr>
              <w:footnoteReference w:id="21"/>
            </w:r>
            <w:r w:rsidRPr="009E5DED">
              <w:t xml:space="preserve"> services to banks or PSPs</w:t>
            </w:r>
          </w:p>
        </w:tc>
        <w:tc>
          <w:tcPr>
            <w:tcW w:w="1474" w:type="dxa"/>
            <w:shd w:val="clear" w:color="auto" w:fill="auto"/>
          </w:tcPr>
          <w:p w14:paraId="4679E76D" w14:textId="77777777" w:rsidR="00885B99" w:rsidRPr="009E5DED" w:rsidRDefault="00885B99" w:rsidP="00FC15A2">
            <w:pPr>
              <w:pStyle w:val="Tabletext"/>
              <w:jc w:val="center"/>
              <w:rPr>
                <w:sz w:val="18"/>
                <w:szCs w:val="18"/>
              </w:rPr>
            </w:pPr>
          </w:p>
        </w:tc>
        <w:tc>
          <w:tcPr>
            <w:tcW w:w="1417" w:type="dxa"/>
            <w:shd w:val="clear" w:color="auto" w:fill="auto"/>
          </w:tcPr>
          <w:p w14:paraId="4DB00E86" w14:textId="77777777" w:rsidR="00885B99" w:rsidRPr="009E5DED" w:rsidRDefault="00885B99" w:rsidP="00FC15A2">
            <w:pPr>
              <w:pStyle w:val="Tabletext"/>
              <w:jc w:val="center"/>
              <w:rPr>
                <w:sz w:val="18"/>
                <w:szCs w:val="18"/>
              </w:rPr>
            </w:pPr>
          </w:p>
        </w:tc>
        <w:tc>
          <w:tcPr>
            <w:tcW w:w="1361" w:type="dxa"/>
            <w:shd w:val="clear" w:color="auto" w:fill="auto"/>
          </w:tcPr>
          <w:p w14:paraId="762A00EB" w14:textId="77777777" w:rsidR="00885B99" w:rsidRPr="009E5DED" w:rsidRDefault="00885B99" w:rsidP="00FC15A2">
            <w:pPr>
              <w:pStyle w:val="Tabletext"/>
              <w:jc w:val="center"/>
              <w:rPr>
                <w:sz w:val="18"/>
                <w:szCs w:val="18"/>
              </w:rPr>
            </w:pPr>
            <w:r w:rsidRPr="009E5DED">
              <w:rPr>
                <w:sz w:val="18"/>
                <w:szCs w:val="18"/>
              </w:rPr>
              <w:t>X</w:t>
            </w:r>
          </w:p>
        </w:tc>
        <w:tc>
          <w:tcPr>
            <w:tcW w:w="1417" w:type="dxa"/>
            <w:shd w:val="clear" w:color="auto" w:fill="auto"/>
          </w:tcPr>
          <w:p w14:paraId="44723A32" w14:textId="77777777" w:rsidR="00885B99" w:rsidRPr="009E5DED" w:rsidRDefault="00885B99" w:rsidP="00FC15A2">
            <w:pPr>
              <w:pStyle w:val="Tabletext"/>
              <w:jc w:val="center"/>
              <w:rPr>
                <w:sz w:val="18"/>
                <w:szCs w:val="18"/>
              </w:rPr>
            </w:pPr>
            <w:r w:rsidRPr="009E5DED">
              <w:rPr>
                <w:sz w:val="18"/>
                <w:szCs w:val="18"/>
              </w:rPr>
              <w:t>X</w:t>
            </w:r>
          </w:p>
        </w:tc>
        <w:tc>
          <w:tcPr>
            <w:tcW w:w="1239" w:type="dxa"/>
            <w:shd w:val="clear" w:color="auto" w:fill="auto"/>
          </w:tcPr>
          <w:p w14:paraId="6D2F6FB2" w14:textId="77777777" w:rsidR="00885B99" w:rsidRPr="009E5DED" w:rsidRDefault="00885B99" w:rsidP="00FC15A2">
            <w:pPr>
              <w:pStyle w:val="Tabletext"/>
              <w:jc w:val="center"/>
              <w:rPr>
                <w:sz w:val="18"/>
                <w:szCs w:val="18"/>
              </w:rPr>
            </w:pPr>
            <w:r w:rsidRPr="009E5DED">
              <w:rPr>
                <w:sz w:val="18"/>
                <w:szCs w:val="18"/>
              </w:rPr>
              <w:t>X</w:t>
            </w:r>
            <w:r>
              <w:rPr>
                <w:rStyle w:val="FootnoteReference"/>
                <w:szCs w:val="18"/>
              </w:rPr>
              <w:footnoteReference w:id="22"/>
            </w:r>
          </w:p>
        </w:tc>
      </w:tr>
      <w:tr w:rsidR="00885B99" w:rsidRPr="009E5DED" w14:paraId="4563FFFF" w14:textId="77777777" w:rsidTr="00FC15A2">
        <w:tblPrEx>
          <w:tblBorders>
            <w:top w:val="single" w:sz="4" w:space="0" w:color="auto"/>
            <w:left w:val="single" w:sz="4" w:space="0" w:color="auto"/>
            <w:right w:val="single" w:sz="4" w:space="0" w:color="auto"/>
          </w:tblBorders>
        </w:tblPrEx>
        <w:trPr>
          <w:jc w:val="center"/>
        </w:trPr>
        <w:tc>
          <w:tcPr>
            <w:tcW w:w="7434" w:type="dxa"/>
            <w:tcBorders>
              <w:bottom w:val="single" w:sz="4" w:space="0" w:color="auto"/>
            </w:tcBorders>
          </w:tcPr>
          <w:p w14:paraId="69F7F47F" w14:textId="77777777" w:rsidR="00885B99" w:rsidRPr="009E5DED" w:rsidRDefault="00885B99" w:rsidP="00FC15A2">
            <w:pPr>
              <w:pStyle w:val="Tabletext"/>
            </w:pPr>
            <w:r w:rsidRPr="009E5DED">
              <w:t>Only one MNO allowed to offer services for DFS</w:t>
            </w:r>
            <w:r>
              <w:rPr>
                <w:rStyle w:val="FootnoteReference"/>
              </w:rPr>
              <w:footnoteReference w:id="23"/>
            </w:r>
          </w:p>
        </w:tc>
        <w:tc>
          <w:tcPr>
            <w:tcW w:w="1474" w:type="dxa"/>
            <w:tcBorders>
              <w:bottom w:val="single" w:sz="4" w:space="0" w:color="auto"/>
            </w:tcBorders>
            <w:shd w:val="clear" w:color="auto" w:fill="auto"/>
          </w:tcPr>
          <w:p w14:paraId="686BA4C5" w14:textId="77777777" w:rsidR="00885B99" w:rsidRPr="009E5DED" w:rsidRDefault="00885B99" w:rsidP="00FC15A2">
            <w:pPr>
              <w:pStyle w:val="Tabletext"/>
              <w:jc w:val="center"/>
              <w:rPr>
                <w:sz w:val="18"/>
                <w:szCs w:val="18"/>
              </w:rPr>
            </w:pPr>
            <w:r w:rsidRPr="009E5DED">
              <w:rPr>
                <w:sz w:val="18"/>
                <w:szCs w:val="18"/>
              </w:rPr>
              <w:t>X</w:t>
            </w:r>
          </w:p>
        </w:tc>
        <w:tc>
          <w:tcPr>
            <w:tcW w:w="1417" w:type="dxa"/>
            <w:tcBorders>
              <w:bottom w:val="single" w:sz="4" w:space="0" w:color="auto"/>
            </w:tcBorders>
            <w:shd w:val="clear" w:color="auto" w:fill="auto"/>
          </w:tcPr>
          <w:p w14:paraId="049D0458" w14:textId="77777777" w:rsidR="00885B99" w:rsidRPr="009E5DED" w:rsidRDefault="00885B99" w:rsidP="00FC15A2">
            <w:pPr>
              <w:pStyle w:val="Tabletext"/>
              <w:jc w:val="center"/>
              <w:rPr>
                <w:sz w:val="18"/>
                <w:szCs w:val="18"/>
              </w:rPr>
            </w:pPr>
            <w:r w:rsidRPr="009E5DED">
              <w:rPr>
                <w:sz w:val="18"/>
                <w:szCs w:val="18"/>
              </w:rPr>
              <w:t>X</w:t>
            </w:r>
          </w:p>
        </w:tc>
        <w:tc>
          <w:tcPr>
            <w:tcW w:w="1361" w:type="dxa"/>
            <w:tcBorders>
              <w:bottom w:val="single" w:sz="4" w:space="0" w:color="auto"/>
            </w:tcBorders>
            <w:shd w:val="clear" w:color="auto" w:fill="auto"/>
          </w:tcPr>
          <w:p w14:paraId="16BC513A" w14:textId="77777777" w:rsidR="00885B99" w:rsidRPr="009E5DED" w:rsidRDefault="00885B99" w:rsidP="00FC15A2">
            <w:pPr>
              <w:pStyle w:val="Tabletext"/>
              <w:jc w:val="center"/>
              <w:rPr>
                <w:sz w:val="18"/>
                <w:szCs w:val="18"/>
              </w:rPr>
            </w:pPr>
            <w:r w:rsidRPr="009E5DED">
              <w:rPr>
                <w:sz w:val="18"/>
                <w:szCs w:val="18"/>
              </w:rPr>
              <w:t>X</w:t>
            </w:r>
          </w:p>
        </w:tc>
        <w:tc>
          <w:tcPr>
            <w:tcW w:w="1417" w:type="dxa"/>
            <w:tcBorders>
              <w:bottom w:val="single" w:sz="4" w:space="0" w:color="auto"/>
            </w:tcBorders>
            <w:shd w:val="clear" w:color="auto" w:fill="auto"/>
          </w:tcPr>
          <w:p w14:paraId="5184ECD2" w14:textId="77777777" w:rsidR="00885B99" w:rsidRPr="009E5DED" w:rsidRDefault="00885B99" w:rsidP="00FC15A2">
            <w:pPr>
              <w:pStyle w:val="Tabletext"/>
              <w:jc w:val="center"/>
              <w:rPr>
                <w:sz w:val="18"/>
                <w:szCs w:val="18"/>
              </w:rPr>
            </w:pPr>
            <w:r w:rsidRPr="009E5DED">
              <w:rPr>
                <w:sz w:val="18"/>
                <w:szCs w:val="18"/>
              </w:rPr>
              <w:t>X</w:t>
            </w:r>
          </w:p>
        </w:tc>
        <w:tc>
          <w:tcPr>
            <w:tcW w:w="1239" w:type="dxa"/>
            <w:tcBorders>
              <w:bottom w:val="single" w:sz="4" w:space="0" w:color="auto"/>
            </w:tcBorders>
            <w:shd w:val="clear" w:color="auto" w:fill="auto"/>
          </w:tcPr>
          <w:p w14:paraId="737E0A74" w14:textId="77777777" w:rsidR="00885B99" w:rsidRPr="009E5DED" w:rsidRDefault="00885B99" w:rsidP="00FC15A2">
            <w:pPr>
              <w:pStyle w:val="Tabletext"/>
              <w:jc w:val="center"/>
              <w:rPr>
                <w:sz w:val="18"/>
                <w:szCs w:val="18"/>
              </w:rPr>
            </w:pPr>
            <w:r w:rsidRPr="009E5DED">
              <w:rPr>
                <w:sz w:val="18"/>
                <w:szCs w:val="18"/>
              </w:rPr>
              <w:t>X</w:t>
            </w:r>
          </w:p>
        </w:tc>
      </w:tr>
      <w:tr w:rsidR="00885B99" w:rsidRPr="009E5DED" w14:paraId="26062330" w14:textId="77777777" w:rsidTr="003733D5">
        <w:tblPrEx>
          <w:tblBorders>
            <w:top w:val="single" w:sz="4" w:space="0" w:color="auto"/>
            <w:left w:val="single" w:sz="4" w:space="0" w:color="auto"/>
            <w:right w:val="single" w:sz="4" w:space="0" w:color="auto"/>
          </w:tblBorders>
        </w:tblPrEx>
        <w:trPr>
          <w:jc w:val="center"/>
        </w:trPr>
        <w:tc>
          <w:tcPr>
            <w:tcW w:w="7434" w:type="dxa"/>
            <w:tcBorders>
              <w:left w:val="nil"/>
              <w:bottom w:val="single" w:sz="4" w:space="0" w:color="auto"/>
              <w:right w:val="nil"/>
            </w:tcBorders>
          </w:tcPr>
          <w:p w14:paraId="2860BD38" w14:textId="77777777" w:rsidR="00885B99" w:rsidRPr="009E5DED" w:rsidRDefault="00885B99" w:rsidP="00FC15A2">
            <w:pPr>
              <w:pStyle w:val="Tabletext"/>
            </w:pPr>
          </w:p>
        </w:tc>
        <w:tc>
          <w:tcPr>
            <w:tcW w:w="1474" w:type="dxa"/>
            <w:tcBorders>
              <w:left w:val="nil"/>
              <w:bottom w:val="single" w:sz="4" w:space="0" w:color="auto"/>
              <w:right w:val="nil"/>
            </w:tcBorders>
            <w:shd w:val="clear" w:color="auto" w:fill="auto"/>
          </w:tcPr>
          <w:p w14:paraId="2247D02F" w14:textId="77777777" w:rsidR="00885B99" w:rsidRPr="009E5DED" w:rsidRDefault="00885B99" w:rsidP="00FC15A2">
            <w:pPr>
              <w:pStyle w:val="Tabletext"/>
              <w:jc w:val="center"/>
              <w:rPr>
                <w:sz w:val="18"/>
                <w:szCs w:val="18"/>
              </w:rPr>
            </w:pPr>
          </w:p>
        </w:tc>
        <w:tc>
          <w:tcPr>
            <w:tcW w:w="1417" w:type="dxa"/>
            <w:tcBorders>
              <w:left w:val="nil"/>
              <w:bottom w:val="single" w:sz="4" w:space="0" w:color="auto"/>
              <w:right w:val="nil"/>
            </w:tcBorders>
            <w:shd w:val="clear" w:color="auto" w:fill="auto"/>
          </w:tcPr>
          <w:p w14:paraId="380A4F73" w14:textId="77777777" w:rsidR="00885B99" w:rsidRPr="009E5DED" w:rsidRDefault="00885B99" w:rsidP="00FC15A2">
            <w:pPr>
              <w:pStyle w:val="Tabletext"/>
              <w:jc w:val="center"/>
              <w:rPr>
                <w:sz w:val="18"/>
                <w:szCs w:val="18"/>
              </w:rPr>
            </w:pPr>
          </w:p>
        </w:tc>
        <w:tc>
          <w:tcPr>
            <w:tcW w:w="1361" w:type="dxa"/>
            <w:tcBorders>
              <w:left w:val="nil"/>
              <w:bottom w:val="single" w:sz="4" w:space="0" w:color="auto"/>
              <w:right w:val="nil"/>
            </w:tcBorders>
            <w:shd w:val="clear" w:color="auto" w:fill="auto"/>
          </w:tcPr>
          <w:p w14:paraId="7E96C757" w14:textId="77777777" w:rsidR="00885B99" w:rsidRPr="009E5DED" w:rsidRDefault="00885B99" w:rsidP="00FC15A2">
            <w:pPr>
              <w:pStyle w:val="Tabletext"/>
              <w:jc w:val="center"/>
              <w:rPr>
                <w:sz w:val="18"/>
                <w:szCs w:val="18"/>
              </w:rPr>
            </w:pPr>
          </w:p>
        </w:tc>
        <w:tc>
          <w:tcPr>
            <w:tcW w:w="1417" w:type="dxa"/>
            <w:tcBorders>
              <w:left w:val="nil"/>
              <w:bottom w:val="single" w:sz="4" w:space="0" w:color="auto"/>
              <w:right w:val="nil"/>
            </w:tcBorders>
            <w:shd w:val="clear" w:color="auto" w:fill="auto"/>
          </w:tcPr>
          <w:p w14:paraId="796A4944" w14:textId="77777777" w:rsidR="00885B99" w:rsidRPr="009E5DED" w:rsidRDefault="00885B99" w:rsidP="00FC15A2">
            <w:pPr>
              <w:pStyle w:val="Tabletext"/>
              <w:jc w:val="center"/>
              <w:rPr>
                <w:sz w:val="18"/>
                <w:szCs w:val="18"/>
              </w:rPr>
            </w:pPr>
          </w:p>
        </w:tc>
        <w:tc>
          <w:tcPr>
            <w:tcW w:w="1239" w:type="dxa"/>
            <w:tcBorders>
              <w:left w:val="nil"/>
              <w:bottom w:val="single" w:sz="4" w:space="0" w:color="auto"/>
              <w:right w:val="nil"/>
            </w:tcBorders>
            <w:shd w:val="clear" w:color="auto" w:fill="auto"/>
          </w:tcPr>
          <w:p w14:paraId="7D89AEDC" w14:textId="77777777" w:rsidR="00885B99" w:rsidRPr="009E5DED" w:rsidRDefault="00885B99" w:rsidP="00FC15A2">
            <w:pPr>
              <w:pStyle w:val="Tabletext"/>
              <w:jc w:val="center"/>
              <w:rPr>
                <w:sz w:val="18"/>
                <w:szCs w:val="18"/>
              </w:rPr>
            </w:pPr>
          </w:p>
        </w:tc>
      </w:tr>
      <w:tr w:rsidR="00885B99" w:rsidRPr="009E5DED" w14:paraId="195ECB32" w14:textId="77777777" w:rsidTr="003733D5">
        <w:tblPrEx>
          <w:tblBorders>
            <w:top w:val="single" w:sz="4" w:space="0" w:color="auto"/>
            <w:left w:val="single" w:sz="4" w:space="0" w:color="auto"/>
            <w:right w:val="single" w:sz="4" w:space="0" w:color="auto"/>
          </w:tblBorders>
        </w:tblPrEx>
        <w:trPr>
          <w:trHeight w:val="185"/>
          <w:jc w:val="center"/>
        </w:trPr>
        <w:tc>
          <w:tcPr>
            <w:tcW w:w="7434" w:type="dxa"/>
            <w:tcBorders>
              <w:top w:val="single" w:sz="4" w:space="0" w:color="auto"/>
            </w:tcBorders>
          </w:tcPr>
          <w:p w14:paraId="5480A641" w14:textId="77777777" w:rsidR="00885B99" w:rsidRPr="00CC1A4C" w:rsidRDefault="00885B99" w:rsidP="00FC15A2">
            <w:pPr>
              <w:pStyle w:val="Tabletext"/>
              <w:keepNext/>
              <w:keepLines/>
              <w:rPr>
                <w:b/>
              </w:rPr>
            </w:pPr>
            <w:r w:rsidRPr="00CC1A4C">
              <w:rPr>
                <w:b/>
              </w:rPr>
              <w:lastRenderedPageBreak/>
              <w:t>Infrastructure &amp; service access</w:t>
            </w:r>
          </w:p>
        </w:tc>
        <w:tc>
          <w:tcPr>
            <w:tcW w:w="1474" w:type="dxa"/>
            <w:tcBorders>
              <w:top w:val="single" w:sz="4" w:space="0" w:color="auto"/>
            </w:tcBorders>
            <w:shd w:val="clear" w:color="auto" w:fill="auto"/>
          </w:tcPr>
          <w:p w14:paraId="6676DFD5" w14:textId="77777777" w:rsidR="00885B99" w:rsidRPr="009E5DED" w:rsidRDefault="00885B99" w:rsidP="00FC15A2">
            <w:pPr>
              <w:pStyle w:val="Tabletext"/>
              <w:keepNext/>
              <w:keepLines/>
              <w:jc w:val="center"/>
              <w:rPr>
                <w:sz w:val="18"/>
                <w:szCs w:val="18"/>
              </w:rPr>
            </w:pPr>
          </w:p>
        </w:tc>
        <w:tc>
          <w:tcPr>
            <w:tcW w:w="1417" w:type="dxa"/>
            <w:tcBorders>
              <w:top w:val="single" w:sz="4" w:space="0" w:color="auto"/>
            </w:tcBorders>
            <w:shd w:val="clear" w:color="auto" w:fill="auto"/>
          </w:tcPr>
          <w:p w14:paraId="7975CE82" w14:textId="77777777" w:rsidR="00885B99" w:rsidRPr="009E5DED" w:rsidRDefault="00885B99" w:rsidP="00FC15A2">
            <w:pPr>
              <w:pStyle w:val="Tabletext"/>
              <w:keepNext/>
              <w:keepLines/>
              <w:jc w:val="center"/>
              <w:rPr>
                <w:sz w:val="18"/>
                <w:szCs w:val="18"/>
              </w:rPr>
            </w:pPr>
          </w:p>
        </w:tc>
        <w:tc>
          <w:tcPr>
            <w:tcW w:w="1361" w:type="dxa"/>
            <w:tcBorders>
              <w:top w:val="single" w:sz="4" w:space="0" w:color="auto"/>
            </w:tcBorders>
            <w:shd w:val="clear" w:color="auto" w:fill="auto"/>
          </w:tcPr>
          <w:p w14:paraId="37805327" w14:textId="77777777" w:rsidR="00885B99" w:rsidRPr="009E5DED" w:rsidRDefault="00885B99" w:rsidP="00FC15A2">
            <w:pPr>
              <w:pStyle w:val="Tabletext"/>
              <w:keepNext/>
              <w:keepLines/>
              <w:jc w:val="center"/>
              <w:rPr>
                <w:sz w:val="18"/>
                <w:szCs w:val="18"/>
              </w:rPr>
            </w:pPr>
          </w:p>
        </w:tc>
        <w:tc>
          <w:tcPr>
            <w:tcW w:w="1417" w:type="dxa"/>
            <w:tcBorders>
              <w:top w:val="single" w:sz="4" w:space="0" w:color="auto"/>
            </w:tcBorders>
            <w:shd w:val="clear" w:color="auto" w:fill="auto"/>
          </w:tcPr>
          <w:p w14:paraId="5102D7CF" w14:textId="77777777" w:rsidR="00885B99" w:rsidRPr="009E5DED" w:rsidRDefault="00885B99" w:rsidP="00FC15A2">
            <w:pPr>
              <w:pStyle w:val="Tabletext"/>
              <w:keepNext/>
              <w:keepLines/>
              <w:jc w:val="center"/>
              <w:rPr>
                <w:sz w:val="18"/>
                <w:szCs w:val="18"/>
              </w:rPr>
            </w:pPr>
          </w:p>
        </w:tc>
        <w:tc>
          <w:tcPr>
            <w:tcW w:w="1239" w:type="dxa"/>
            <w:tcBorders>
              <w:top w:val="single" w:sz="4" w:space="0" w:color="auto"/>
            </w:tcBorders>
            <w:shd w:val="clear" w:color="auto" w:fill="auto"/>
          </w:tcPr>
          <w:p w14:paraId="751DF577" w14:textId="77777777" w:rsidR="00885B99" w:rsidRPr="009E5DED" w:rsidRDefault="00885B99" w:rsidP="00FC15A2">
            <w:pPr>
              <w:pStyle w:val="Tabletext"/>
              <w:keepNext/>
              <w:keepLines/>
              <w:jc w:val="center"/>
              <w:rPr>
                <w:sz w:val="18"/>
                <w:szCs w:val="18"/>
              </w:rPr>
            </w:pPr>
          </w:p>
        </w:tc>
      </w:tr>
      <w:tr w:rsidR="00885B99" w:rsidRPr="009E5DED" w14:paraId="31497334" w14:textId="77777777" w:rsidTr="00FC15A2">
        <w:tblPrEx>
          <w:tblBorders>
            <w:top w:val="single" w:sz="4" w:space="0" w:color="auto"/>
            <w:left w:val="single" w:sz="4" w:space="0" w:color="auto"/>
            <w:right w:val="single" w:sz="4" w:space="0" w:color="auto"/>
          </w:tblBorders>
        </w:tblPrEx>
        <w:trPr>
          <w:jc w:val="center"/>
        </w:trPr>
        <w:tc>
          <w:tcPr>
            <w:tcW w:w="7434" w:type="dxa"/>
          </w:tcPr>
          <w:p w14:paraId="64A60578" w14:textId="77777777" w:rsidR="00885B99" w:rsidRPr="009E5DED" w:rsidRDefault="00885B99" w:rsidP="00FC15A2">
            <w:pPr>
              <w:pStyle w:val="Tabletext"/>
              <w:keepNext/>
              <w:keepLines/>
            </w:pPr>
            <w:r w:rsidRPr="009E5DED">
              <w:t>Inability to obtain</w:t>
            </w:r>
            <w:r>
              <w:t xml:space="preserve"> network initiated USSD (</w:t>
            </w:r>
            <w:r w:rsidRPr="009E5DED">
              <w:t>NI-USSD</w:t>
            </w:r>
            <w:r>
              <w:t>)</w:t>
            </w:r>
            <w:r w:rsidRPr="009E5DED">
              <w:t xml:space="preserve"> services</w:t>
            </w:r>
          </w:p>
        </w:tc>
        <w:tc>
          <w:tcPr>
            <w:tcW w:w="1474" w:type="dxa"/>
            <w:shd w:val="clear" w:color="auto" w:fill="auto"/>
          </w:tcPr>
          <w:p w14:paraId="502CB14C" w14:textId="77777777" w:rsidR="00885B99" w:rsidRPr="009E5DED" w:rsidRDefault="00885B99" w:rsidP="00FC15A2">
            <w:pPr>
              <w:pStyle w:val="Tabletext"/>
              <w:keepNext/>
              <w:keepLines/>
              <w:jc w:val="center"/>
              <w:rPr>
                <w:sz w:val="18"/>
                <w:szCs w:val="18"/>
              </w:rPr>
            </w:pPr>
            <w:r w:rsidRPr="009E5DED">
              <w:rPr>
                <w:sz w:val="18"/>
                <w:szCs w:val="18"/>
              </w:rPr>
              <w:t>X</w:t>
            </w:r>
          </w:p>
        </w:tc>
        <w:tc>
          <w:tcPr>
            <w:tcW w:w="1417" w:type="dxa"/>
            <w:shd w:val="clear" w:color="auto" w:fill="auto"/>
          </w:tcPr>
          <w:p w14:paraId="5D9A8F3E" w14:textId="77777777" w:rsidR="00885B99" w:rsidRPr="009E5DED" w:rsidRDefault="00885B99" w:rsidP="00FC15A2">
            <w:pPr>
              <w:pStyle w:val="Tabletext"/>
              <w:keepNext/>
              <w:keepLines/>
              <w:jc w:val="center"/>
              <w:rPr>
                <w:sz w:val="18"/>
                <w:szCs w:val="18"/>
              </w:rPr>
            </w:pPr>
            <w:r w:rsidRPr="009E5DED">
              <w:rPr>
                <w:sz w:val="18"/>
                <w:szCs w:val="18"/>
              </w:rPr>
              <w:t>X</w:t>
            </w:r>
          </w:p>
        </w:tc>
        <w:tc>
          <w:tcPr>
            <w:tcW w:w="1361" w:type="dxa"/>
            <w:shd w:val="clear" w:color="auto" w:fill="auto"/>
          </w:tcPr>
          <w:p w14:paraId="0D76272D" w14:textId="77777777" w:rsidR="00885B99" w:rsidRPr="009E5DED" w:rsidRDefault="00885B99" w:rsidP="00FC15A2">
            <w:pPr>
              <w:pStyle w:val="Tabletext"/>
              <w:keepNext/>
              <w:keepLines/>
              <w:jc w:val="center"/>
              <w:rPr>
                <w:sz w:val="18"/>
                <w:szCs w:val="18"/>
              </w:rPr>
            </w:pPr>
          </w:p>
        </w:tc>
        <w:tc>
          <w:tcPr>
            <w:tcW w:w="1417" w:type="dxa"/>
            <w:shd w:val="clear" w:color="auto" w:fill="auto"/>
          </w:tcPr>
          <w:p w14:paraId="08C9A12C" w14:textId="77777777" w:rsidR="00885B99" w:rsidRPr="009E5DED" w:rsidRDefault="00885B99" w:rsidP="00FC15A2">
            <w:pPr>
              <w:pStyle w:val="Tabletext"/>
              <w:keepNext/>
              <w:keepLines/>
              <w:jc w:val="center"/>
              <w:rPr>
                <w:sz w:val="18"/>
                <w:szCs w:val="18"/>
              </w:rPr>
            </w:pPr>
            <w:r w:rsidRPr="009E5DED">
              <w:rPr>
                <w:sz w:val="18"/>
                <w:szCs w:val="18"/>
              </w:rPr>
              <w:t>X</w:t>
            </w:r>
          </w:p>
        </w:tc>
        <w:tc>
          <w:tcPr>
            <w:tcW w:w="1239" w:type="dxa"/>
            <w:shd w:val="clear" w:color="auto" w:fill="auto"/>
          </w:tcPr>
          <w:p w14:paraId="3A38D4D3" w14:textId="77777777" w:rsidR="00885B99" w:rsidRPr="009E5DED" w:rsidRDefault="00885B99" w:rsidP="00FC15A2">
            <w:pPr>
              <w:pStyle w:val="Tabletext"/>
              <w:keepNext/>
              <w:keepLines/>
              <w:jc w:val="center"/>
              <w:rPr>
                <w:sz w:val="18"/>
                <w:szCs w:val="18"/>
              </w:rPr>
            </w:pPr>
          </w:p>
        </w:tc>
      </w:tr>
      <w:tr w:rsidR="00885B99" w:rsidRPr="009E5DED" w14:paraId="23CA835B" w14:textId="77777777" w:rsidTr="00FC15A2">
        <w:tblPrEx>
          <w:tblBorders>
            <w:top w:val="single" w:sz="4" w:space="0" w:color="auto"/>
            <w:left w:val="single" w:sz="4" w:space="0" w:color="auto"/>
            <w:right w:val="single" w:sz="4" w:space="0" w:color="auto"/>
          </w:tblBorders>
        </w:tblPrEx>
        <w:trPr>
          <w:jc w:val="center"/>
        </w:trPr>
        <w:tc>
          <w:tcPr>
            <w:tcW w:w="7434" w:type="dxa"/>
          </w:tcPr>
          <w:p w14:paraId="69D54F7B" w14:textId="77777777" w:rsidR="00885B99" w:rsidRPr="009E5DED" w:rsidRDefault="00885B99" w:rsidP="00FC15A2">
            <w:pPr>
              <w:pStyle w:val="Tabletext"/>
              <w:keepNext/>
              <w:keepLines/>
            </w:pPr>
            <w:r w:rsidRPr="009E5DED">
              <w:t>Only able to provide bearer services to banks or PSPs</w:t>
            </w:r>
          </w:p>
        </w:tc>
        <w:tc>
          <w:tcPr>
            <w:tcW w:w="1474" w:type="dxa"/>
            <w:shd w:val="clear" w:color="auto" w:fill="auto"/>
          </w:tcPr>
          <w:p w14:paraId="3757075D" w14:textId="77777777" w:rsidR="00885B99" w:rsidRPr="009E5DED" w:rsidRDefault="00885B99" w:rsidP="00FC15A2">
            <w:pPr>
              <w:pStyle w:val="Tabletext"/>
              <w:keepNext/>
              <w:keepLines/>
              <w:jc w:val="center"/>
              <w:rPr>
                <w:sz w:val="18"/>
                <w:szCs w:val="18"/>
              </w:rPr>
            </w:pPr>
          </w:p>
        </w:tc>
        <w:tc>
          <w:tcPr>
            <w:tcW w:w="1417" w:type="dxa"/>
            <w:shd w:val="clear" w:color="auto" w:fill="auto"/>
          </w:tcPr>
          <w:p w14:paraId="20C240EC" w14:textId="77777777" w:rsidR="00885B99" w:rsidRPr="009E5DED" w:rsidRDefault="00885B99" w:rsidP="00FC15A2">
            <w:pPr>
              <w:pStyle w:val="Tabletext"/>
              <w:keepNext/>
              <w:keepLines/>
              <w:jc w:val="center"/>
              <w:rPr>
                <w:sz w:val="18"/>
                <w:szCs w:val="18"/>
              </w:rPr>
            </w:pPr>
          </w:p>
        </w:tc>
        <w:tc>
          <w:tcPr>
            <w:tcW w:w="1361" w:type="dxa"/>
            <w:shd w:val="clear" w:color="auto" w:fill="auto"/>
          </w:tcPr>
          <w:p w14:paraId="574151CF" w14:textId="77777777" w:rsidR="00885B99" w:rsidRPr="009E5DED" w:rsidRDefault="00885B99" w:rsidP="00FC15A2">
            <w:pPr>
              <w:pStyle w:val="Tabletext"/>
              <w:keepNext/>
              <w:keepLines/>
              <w:jc w:val="center"/>
              <w:rPr>
                <w:sz w:val="18"/>
                <w:szCs w:val="18"/>
              </w:rPr>
            </w:pPr>
            <w:r w:rsidRPr="009E5DED">
              <w:rPr>
                <w:sz w:val="18"/>
                <w:szCs w:val="18"/>
              </w:rPr>
              <w:t>X</w:t>
            </w:r>
          </w:p>
        </w:tc>
        <w:tc>
          <w:tcPr>
            <w:tcW w:w="1417" w:type="dxa"/>
            <w:shd w:val="clear" w:color="auto" w:fill="auto"/>
          </w:tcPr>
          <w:p w14:paraId="7FEC5540" w14:textId="77777777" w:rsidR="00885B99" w:rsidRPr="009E5DED" w:rsidRDefault="00885B99" w:rsidP="00FC15A2">
            <w:pPr>
              <w:pStyle w:val="Tabletext"/>
              <w:keepNext/>
              <w:keepLines/>
              <w:jc w:val="center"/>
              <w:rPr>
                <w:sz w:val="18"/>
                <w:szCs w:val="18"/>
              </w:rPr>
            </w:pPr>
            <w:r w:rsidRPr="009E5DED">
              <w:rPr>
                <w:sz w:val="18"/>
                <w:szCs w:val="18"/>
              </w:rPr>
              <w:t>X</w:t>
            </w:r>
          </w:p>
        </w:tc>
        <w:tc>
          <w:tcPr>
            <w:tcW w:w="1239" w:type="dxa"/>
            <w:shd w:val="clear" w:color="auto" w:fill="auto"/>
          </w:tcPr>
          <w:p w14:paraId="288F7D66" w14:textId="77777777" w:rsidR="00885B99" w:rsidRPr="009E5DED" w:rsidRDefault="00885B99" w:rsidP="00FC15A2">
            <w:pPr>
              <w:pStyle w:val="Tabletext"/>
              <w:keepNext/>
              <w:keepLines/>
              <w:jc w:val="center"/>
              <w:rPr>
                <w:sz w:val="18"/>
                <w:szCs w:val="18"/>
              </w:rPr>
            </w:pPr>
            <w:r w:rsidRPr="009E5DED">
              <w:rPr>
                <w:sz w:val="18"/>
                <w:szCs w:val="18"/>
              </w:rPr>
              <w:t>X</w:t>
            </w:r>
          </w:p>
        </w:tc>
      </w:tr>
      <w:tr w:rsidR="00885B99" w:rsidRPr="009E5DED" w14:paraId="7D3E50F4" w14:textId="77777777" w:rsidTr="00FC15A2">
        <w:tblPrEx>
          <w:tblBorders>
            <w:top w:val="single" w:sz="4" w:space="0" w:color="auto"/>
            <w:left w:val="single" w:sz="4" w:space="0" w:color="auto"/>
            <w:right w:val="single" w:sz="4" w:space="0" w:color="auto"/>
          </w:tblBorders>
        </w:tblPrEx>
        <w:trPr>
          <w:jc w:val="center"/>
        </w:trPr>
        <w:tc>
          <w:tcPr>
            <w:tcW w:w="7434" w:type="dxa"/>
          </w:tcPr>
          <w:p w14:paraId="2B1DF09C" w14:textId="77777777" w:rsidR="00885B99" w:rsidRPr="009E5DED" w:rsidRDefault="00885B99" w:rsidP="00FC15A2">
            <w:pPr>
              <w:pStyle w:val="Tabletext"/>
              <w:keepNext/>
              <w:keepLines/>
            </w:pPr>
            <w:r w:rsidRPr="009E5DED">
              <w:t>Delays in obtaining shortcodes from MNOs</w:t>
            </w:r>
          </w:p>
        </w:tc>
        <w:tc>
          <w:tcPr>
            <w:tcW w:w="1474" w:type="dxa"/>
            <w:shd w:val="clear" w:color="auto" w:fill="auto"/>
          </w:tcPr>
          <w:p w14:paraId="36A44D24" w14:textId="77777777" w:rsidR="00885B99" w:rsidRPr="009E5DED" w:rsidRDefault="00885B99" w:rsidP="00FC15A2">
            <w:pPr>
              <w:pStyle w:val="Tabletext"/>
              <w:keepNext/>
              <w:keepLines/>
              <w:jc w:val="center"/>
              <w:rPr>
                <w:sz w:val="18"/>
                <w:szCs w:val="18"/>
              </w:rPr>
            </w:pPr>
            <w:r w:rsidRPr="009E5DED">
              <w:rPr>
                <w:sz w:val="18"/>
                <w:szCs w:val="18"/>
              </w:rPr>
              <w:t>X</w:t>
            </w:r>
          </w:p>
        </w:tc>
        <w:tc>
          <w:tcPr>
            <w:tcW w:w="1417" w:type="dxa"/>
            <w:shd w:val="clear" w:color="auto" w:fill="auto"/>
          </w:tcPr>
          <w:p w14:paraId="583027F5" w14:textId="77777777" w:rsidR="00885B99" w:rsidRPr="009E5DED" w:rsidRDefault="00885B99" w:rsidP="00FC15A2">
            <w:pPr>
              <w:pStyle w:val="Tabletext"/>
              <w:keepNext/>
              <w:keepLines/>
              <w:jc w:val="center"/>
              <w:rPr>
                <w:sz w:val="18"/>
                <w:szCs w:val="18"/>
              </w:rPr>
            </w:pPr>
          </w:p>
        </w:tc>
        <w:tc>
          <w:tcPr>
            <w:tcW w:w="1361" w:type="dxa"/>
            <w:shd w:val="clear" w:color="auto" w:fill="auto"/>
          </w:tcPr>
          <w:p w14:paraId="4A79BF97" w14:textId="77777777" w:rsidR="00885B99" w:rsidRPr="009E5DED" w:rsidRDefault="00885B99" w:rsidP="00FC15A2">
            <w:pPr>
              <w:pStyle w:val="Tabletext"/>
              <w:keepNext/>
              <w:keepLines/>
              <w:jc w:val="center"/>
              <w:rPr>
                <w:sz w:val="18"/>
                <w:szCs w:val="18"/>
              </w:rPr>
            </w:pPr>
          </w:p>
        </w:tc>
        <w:tc>
          <w:tcPr>
            <w:tcW w:w="1417" w:type="dxa"/>
            <w:shd w:val="clear" w:color="auto" w:fill="auto"/>
          </w:tcPr>
          <w:p w14:paraId="3BB7D8AD" w14:textId="77777777" w:rsidR="00885B99" w:rsidRPr="009E5DED" w:rsidRDefault="00885B99" w:rsidP="00FC15A2">
            <w:pPr>
              <w:pStyle w:val="Tabletext"/>
              <w:keepNext/>
              <w:keepLines/>
              <w:jc w:val="center"/>
              <w:rPr>
                <w:sz w:val="18"/>
                <w:szCs w:val="18"/>
              </w:rPr>
            </w:pPr>
            <w:r w:rsidRPr="009E5DED">
              <w:rPr>
                <w:sz w:val="18"/>
                <w:szCs w:val="18"/>
              </w:rPr>
              <w:t>X</w:t>
            </w:r>
          </w:p>
        </w:tc>
        <w:tc>
          <w:tcPr>
            <w:tcW w:w="1239" w:type="dxa"/>
            <w:shd w:val="clear" w:color="auto" w:fill="auto"/>
          </w:tcPr>
          <w:p w14:paraId="17003001" w14:textId="77777777" w:rsidR="00885B99" w:rsidRPr="009E5DED" w:rsidRDefault="00885B99" w:rsidP="00FC15A2">
            <w:pPr>
              <w:pStyle w:val="Tabletext"/>
              <w:keepNext/>
              <w:keepLines/>
              <w:jc w:val="center"/>
              <w:rPr>
                <w:sz w:val="18"/>
                <w:szCs w:val="18"/>
              </w:rPr>
            </w:pPr>
          </w:p>
        </w:tc>
      </w:tr>
      <w:tr w:rsidR="00885B99" w:rsidRPr="009E5DED" w14:paraId="568D03A5" w14:textId="77777777" w:rsidTr="00FC15A2">
        <w:tblPrEx>
          <w:tblBorders>
            <w:top w:val="single" w:sz="4" w:space="0" w:color="auto"/>
            <w:left w:val="single" w:sz="4" w:space="0" w:color="auto"/>
            <w:right w:val="single" w:sz="4" w:space="0" w:color="auto"/>
          </w:tblBorders>
        </w:tblPrEx>
        <w:trPr>
          <w:jc w:val="center"/>
        </w:trPr>
        <w:tc>
          <w:tcPr>
            <w:tcW w:w="7434" w:type="dxa"/>
          </w:tcPr>
          <w:p w14:paraId="5AB4A27D" w14:textId="77777777" w:rsidR="00885B99" w:rsidRPr="009E5DED" w:rsidRDefault="00885B99" w:rsidP="00FC15A2">
            <w:pPr>
              <w:pStyle w:val="Tabletext"/>
              <w:keepNext/>
              <w:keepLines/>
            </w:pPr>
            <w:r w:rsidRPr="009E5DED">
              <w:t>Not given access to bank and/or national payment infrastructures</w:t>
            </w:r>
          </w:p>
        </w:tc>
        <w:tc>
          <w:tcPr>
            <w:tcW w:w="1474" w:type="dxa"/>
            <w:shd w:val="clear" w:color="auto" w:fill="auto"/>
          </w:tcPr>
          <w:p w14:paraId="5ECA8D5E" w14:textId="77777777" w:rsidR="00885B99" w:rsidRPr="009E5DED" w:rsidRDefault="00885B99" w:rsidP="00FC15A2">
            <w:pPr>
              <w:pStyle w:val="Tabletext"/>
              <w:keepNext/>
              <w:keepLines/>
              <w:jc w:val="center"/>
              <w:rPr>
                <w:sz w:val="18"/>
                <w:szCs w:val="18"/>
              </w:rPr>
            </w:pPr>
          </w:p>
        </w:tc>
        <w:tc>
          <w:tcPr>
            <w:tcW w:w="1417" w:type="dxa"/>
            <w:shd w:val="clear" w:color="auto" w:fill="auto"/>
          </w:tcPr>
          <w:p w14:paraId="1B9E47EF" w14:textId="77777777" w:rsidR="00885B99" w:rsidRPr="009E5DED" w:rsidRDefault="00885B99" w:rsidP="00FC15A2">
            <w:pPr>
              <w:pStyle w:val="Tabletext"/>
              <w:keepNext/>
              <w:keepLines/>
              <w:jc w:val="center"/>
              <w:rPr>
                <w:sz w:val="18"/>
                <w:szCs w:val="18"/>
              </w:rPr>
            </w:pPr>
          </w:p>
        </w:tc>
        <w:tc>
          <w:tcPr>
            <w:tcW w:w="1361" w:type="dxa"/>
            <w:shd w:val="clear" w:color="auto" w:fill="auto"/>
          </w:tcPr>
          <w:p w14:paraId="223A6E2C" w14:textId="77777777" w:rsidR="00885B99" w:rsidRPr="009E5DED" w:rsidRDefault="00885B99" w:rsidP="00FC15A2">
            <w:pPr>
              <w:pStyle w:val="Tabletext"/>
              <w:keepNext/>
              <w:keepLines/>
              <w:jc w:val="center"/>
              <w:rPr>
                <w:sz w:val="18"/>
                <w:szCs w:val="18"/>
              </w:rPr>
            </w:pPr>
            <w:r w:rsidRPr="009E5DED">
              <w:rPr>
                <w:sz w:val="18"/>
                <w:szCs w:val="18"/>
              </w:rPr>
              <w:t>X</w:t>
            </w:r>
          </w:p>
        </w:tc>
        <w:tc>
          <w:tcPr>
            <w:tcW w:w="1417" w:type="dxa"/>
            <w:shd w:val="clear" w:color="auto" w:fill="auto"/>
          </w:tcPr>
          <w:p w14:paraId="36A1595D" w14:textId="77777777" w:rsidR="00885B99" w:rsidRPr="009E5DED" w:rsidRDefault="00885B99" w:rsidP="00FC15A2">
            <w:pPr>
              <w:pStyle w:val="Tabletext"/>
              <w:keepNext/>
              <w:keepLines/>
              <w:jc w:val="center"/>
              <w:rPr>
                <w:sz w:val="18"/>
                <w:szCs w:val="18"/>
              </w:rPr>
            </w:pPr>
            <w:r w:rsidRPr="009E5DED">
              <w:rPr>
                <w:sz w:val="18"/>
                <w:szCs w:val="18"/>
              </w:rPr>
              <w:t>X</w:t>
            </w:r>
            <w:r>
              <w:rPr>
                <w:rStyle w:val="FootnoteReference"/>
                <w:szCs w:val="18"/>
              </w:rPr>
              <w:footnoteReference w:id="24"/>
            </w:r>
          </w:p>
        </w:tc>
        <w:tc>
          <w:tcPr>
            <w:tcW w:w="1239" w:type="dxa"/>
            <w:shd w:val="clear" w:color="auto" w:fill="auto"/>
          </w:tcPr>
          <w:p w14:paraId="66EE1448" w14:textId="77777777" w:rsidR="00885B99" w:rsidRPr="009E5DED" w:rsidRDefault="00885B99" w:rsidP="00FC15A2">
            <w:pPr>
              <w:pStyle w:val="Tabletext"/>
              <w:keepNext/>
              <w:keepLines/>
              <w:jc w:val="center"/>
              <w:rPr>
                <w:sz w:val="18"/>
                <w:szCs w:val="18"/>
              </w:rPr>
            </w:pPr>
            <w:r w:rsidRPr="009E5DED">
              <w:rPr>
                <w:sz w:val="18"/>
                <w:szCs w:val="18"/>
              </w:rPr>
              <w:t>X</w:t>
            </w:r>
          </w:p>
        </w:tc>
      </w:tr>
      <w:tr w:rsidR="00885B99" w:rsidRPr="009E5DED" w14:paraId="0473B590" w14:textId="77777777" w:rsidTr="00FC15A2">
        <w:tblPrEx>
          <w:tblBorders>
            <w:top w:val="single" w:sz="4" w:space="0" w:color="auto"/>
            <w:left w:val="single" w:sz="4" w:space="0" w:color="auto"/>
            <w:right w:val="single" w:sz="4" w:space="0" w:color="auto"/>
          </w:tblBorders>
        </w:tblPrEx>
        <w:trPr>
          <w:jc w:val="center"/>
        </w:trPr>
        <w:tc>
          <w:tcPr>
            <w:tcW w:w="7434" w:type="dxa"/>
            <w:tcBorders>
              <w:bottom w:val="single" w:sz="4" w:space="0" w:color="auto"/>
            </w:tcBorders>
          </w:tcPr>
          <w:p w14:paraId="7AD1A396" w14:textId="77777777" w:rsidR="00885B99" w:rsidRPr="009E5DED" w:rsidRDefault="00885B99" w:rsidP="00FC15A2">
            <w:pPr>
              <w:pStyle w:val="Tabletext"/>
            </w:pPr>
            <w:r w:rsidRPr="009E5DED">
              <w:t>Inability to access APIs, or integration/testing of APIs is delayed</w:t>
            </w:r>
          </w:p>
        </w:tc>
        <w:tc>
          <w:tcPr>
            <w:tcW w:w="1474" w:type="dxa"/>
            <w:tcBorders>
              <w:bottom w:val="single" w:sz="4" w:space="0" w:color="auto"/>
            </w:tcBorders>
            <w:shd w:val="clear" w:color="auto" w:fill="auto"/>
          </w:tcPr>
          <w:p w14:paraId="577D98BE" w14:textId="77777777" w:rsidR="00885B99" w:rsidRPr="009E5DED" w:rsidRDefault="00885B99" w:rsidP="00FC15A2">
            <w:pPr>
              <w:pStyle w:val="Tabletext"/>
              <w:jc w:val="center"/>
              <w:rPr>
                <w:sz w:val="18"/>
                <w:szCs w:val="18"/>
              </w:rPr>
            </w:pPr>
            <w:r w:rsidRPr="009E5DED">
              <w:rPr>
                <w:sz w:val="18"/>
                <w:szCs w:val="18"/>
              </w:rPr>
              <w:t>X</w:t>
            </w:r>
          </w:p>
        </w:tc>
        <w:tc>
          <w:tcPr>
            <w:tcW w:w="1417" w:type="dxa"/>
            <w:tcBorders>
              <w:bottom w:val="single" w:sz="4" w:space="0" w:color="auto"/>
            </w:tcBorders>
            <w:shd w:val="clear" w:color="auto" w:fill="auto"/>
          </w:tcPr>
          <w:p w14:paraId="0859968E" w14:textId="77777777" w:rsidR="00885B99" w:rsidRPr="009E5DED" w:rsidRDefault="00885B99" w:rsidP="00FC15A2">
            <w:pPr>
              <w:pStyle w:val="Tabletext"/>
              <w:jc w:val="center"/>
              <w:rPr>
                <w:sz w:val="18"/>
                <w:szCs w:val="18"/>
              </w:rPr>
            </w:pPr>
          </w:p>
        </w:tc>
        <w:tc>
          <w:tcPr>
            <w:tcW w:w="1361" w:type="dxa"/>
            <w:tcBorders>
              <w:bottom w:val="single" w:sz="4" w:space="0" w:color="auto"/>
            </w:tcBorders>
            <w:shd w:val="clear" w:color="auto" w:fill="auto"/>
          </w:tcPr>
          <w:p w14:paraId="6FF17DC8" w14:textId="77777777" w:rsidR="00885B99" w:rsidRPr="009E5DED" w:rsidRDefault="00885B99" w:rsidP="00FC15A2">
            <w:pPr>
              <w:pStyle w:val="Tabletext"/>
              <w:jc w:val="center"/>
              <w:rPr>
                <w:sz w:val="18"/>
                <w:szCs w:val="18"/>
              </w:rPr>
            </w:pPr>
          </w:p>
        </w:tc>
        <w:tc>
          <w:tcPr>
            <w:tcW w:w="1417" w:type="dxa"/>
            <w:tcBorders>
              <w:bottom w:val="single" w:sz="4" w:space="0" w:color="auto"/>
            </w:tcBorders>
            <w:shd w:val="clear" w:color="auto" w:fill="auto"/>
          </w:tcPr>
          <w:p w14:paraId="1E734457" w14:textId="77777777" w:rsidR="00885B99" w:rsidRPr="009E5DED" w:rsidRDefault="00885B99" w:rsidP="00FC15A2">
            <w:pPr>
              <w:pStyle w:val="Tabletext"/>
              <w:jc w:val="center"/>
              <w:rPr>
                <w:sz w:val="18"/>
                <w:szCs w:val="18"/>
              </w:rPr>
            </w:pPr>
            <w:r w:rsidRPr="009E5DED">
              <w:rPr>
                <w:sz w:val="18"/>
                <w:szCs w:val="18"/>
              </w:rPr>
              <w:t>X</w:t>
            </w:r>
          </w:p>
        </w:tc>
        <w:tc>
          <w:tcPr>
            <w:tcW w:w="1239" w:type="dxa"/>
            <w:tcBorders>
              <w:bottom w:val="single" w:sz="4" w:space="0" w:color="auto"/>
            </w:tcBorders>
            <w:shd w:val="clear" w:color="auto" w:fill="auto"/>
          </w:tcPr>
          <w:p w14:paraId="4711799F" w14:textId="77777777" w:rsidR="00885B99" w:rsidRPr="009E5DED" w:rsidRDefault="00885B99" w:rsidP="00FC15A2">
            <w:pPr>
              <w:pStyle w:val="Tabletext"/>
              <w:jc w:val="center"/>
              <w:rPr>
                <w:sz w:val="18"/>
                <w:szCs w:val="18"/>
              </w:rPr>
            </w:pPr>
          </w:p>
        </w:tc>
      </w:tr>
      <w:tr w:rsidR="00885B99" w:rsidRPr="009E5DED" w14:paraId="4A88EC04" w14:textId="77777777" w:rsidTr="00CD567B">
        <w:tblPrEx>
          <w:tblBorders>
            <w:top w:val="single" w:sz="4" w:space="0" w:color="auto"/>
            <w:left w:val="single" w:sz="4" w:space="0" w:color="auto"/>
            <w:right w:val="single" w:sz="4" w:space="0" w:color="auto"/>
          </w:tblBorders>
        </w:tblPrEx>
        <w:trPr>
          <w:jc w:val="center"/>
        </w:trPr>
        <w:tc>
          <w:tcPr>
            <w:tcW w:w="7434" w:type="dxa"/>
            <w:tcBorders>
              <w:bottom w:val="single" w:sz="4" w:space="0" w:color="auto"/>
            </w:tcBorders>
          </w:tcPr>
          <w:p w14:paraId="6608FEE5" w14:textId="77777777" w:rsidR="00885B99" w:rsidRPr="009E5DED" w:rsidRDefault="00885B99" w:rsidP="00FC15A2">
            <w:pPr>
              <w:pStyle w:val="Tabletext"/>
            </w:pPr>
            <w:r w:rsidRPr="009E5DED">
              <w:t>Only one entity allowed to run critical payment infrastructures</w:t>
            </w:r>
            <w:r>
              <w:rPr>
                <w:rStyle w:val="FootnoteReference"/>
              </w:rPr>
              <w:footnoteReference w:id="25"/>
            </w:r>
          </w:p>
        </w:tc>
        <w:tc>
          <w:tcPr>
            <w:tcW w:w="1474" w:type="dxa"/>
            <w:tcBorders>
              <w:bottom w:val="single" w:sz="4" w:space="0" w:color="auto"/>
            </w:tcBorders>
            <w:shd w:val="clear" w:color="auto" w:fill="auto"/>
          </w:tcPr>
          <w:p w14:paraId="02279021" w14:textId="77777777" w:rsidR="00885B99" w:rsidRPr="009E5DED" w:rsidRDefault="00885B99" w:rsidP="00FC15A2">
            <w:pPr>
              <w:pStyle w:val="Tabletext"/>
              <w:jc w:val="center"/>
              <w:rPr>
                <w:sz w:val="18"/>
                <w:szCs w:val="18"/>
              </w:rPr>
            </w:pPr>
          </w:p>
        </w:tc>
        <w:tc>
          <w:tcPr>
            <w:tcW w:w="1417" w:type="dxa"/>
            <w:tcBorders>
              <w:bottom w:val="single" w:sz="4" w:space="0" w:color="auto"/>
            </w:tcBorders>
            <w:shd w:val="clear" w:color="auto" w:fill="auto"/>
          </w:tcPr>
          <w:p w14:paraId="42D0FBE8" w14:textId="77777777" w:rsidR="00885B99" w:rsidRPr="009E5DED" w:rsidRDefault="00885B99" w:rsidP="00FC15A2">
            <w:pPr>
              <w:pStyle w:val="Tabletext"/>
              <w:jc w:val="center"/>
              <w:rPr>
                <w:sz w:val="18"/>
                <w:szCs w:val="18"/>
              </w:rPr>
            </w:pPr>
          </w:p>
        </w:tc>
        <w:tc>
          <w:tcPr>
            <w:tcW w:w="1361" w:type="dxa"/>
            <w:tcBorders>
              <w:bottom w:val="single" w:sz="4" w:space="0" w:color="auto"/>
            </w:tcBorders>
            <w:shd w:val="clear" w:color="auto" w:fill="auto"/>
          </w:tcPr>
          <w:p w14:paraId="665CDCC8" w14:textId="77777777" w:rsidR="00885B99" w:rsidRPr="009E5DED" w:rsidRDefault="00885B99" w:rsidP="00FC15A2">
            <w:pPr>
              <w:pStyle w:val="Tabletext"/>
              <w:jc w:val="center"/>
              <w:rPr>
                <w:sz w:val="18"/>
                <w:szCs w:val="18"/>
              </w:rPr>
            </w:pPr>
          </w:p>
        </w:tc>
        <w:tc>
          <w:tcPr>
            <w:tcW w:w="1417" w:type="dxa"/>
            <w:tcBorders>
              <w:bottom w:val="single" w:sz="4" w:space="0" w:color="auto"/>
            </w:tcBorders>
            <w:shd w:val="clear" w:color="auto" w:fill="auto"/>
          </w:tcPr>
          <w:p w14:paraId="138ECBE9" w14:textId="77777777" w:rsidR="00885B99" w:rsidRPr="009E5DED" w:rsidRDefault="00885B99" w:rsidP="00FC15A2">
            <w:pPr>
              <w:pStyle w:val="Tabletext"/>
              <w:jc w:val="center"/>
              <w:rPr>
                <w:sz w:val="18"/>
                <w:szCs w:val="18"/>
              </w:rPr>
            </w:pPr>
          </w:p>
        </w:tc>
        <w:tc>
          <w:tcPr>
            <w:tcW w:w="1239" w:type="dxa"/>
            <w:tcBorders>
              <w:bottom w:val="single" w:sz="4" w:space="0" w:color="auto"/>
            </w:tcBorders>
            <w:shd w:val="clear" w:color="auto" w:fill="auto"/>
          </w:tcPr>
          <w:p w14:paraId="683168A8" w14:textId="77777777" w:rsidR="00885B99" w:rsidRPr="009E5DED" w:rsidRDefault="00885B99" w:rsidP="00FC15A2">
            <w:pPr>
              <w:pStyle w:val="Tabletext"/>
              <w:jc w:val="center"/>
              <w:rPr>
                <w:sz w:val="18"/>
                <w:szCs w:val="18"/>
              </w:rPr>
            </w:pPr>
          </w:p>
        </w:tc>
      </w:tr>
      <w:tr w:rsidR="00885B99" w:rsidRPr="009E5DED" w14:paraId="58D5E809" w14:textId="77777777" w:rsidTr="00CD567B">
        <w:tblPrEx>
          <w:tblBorders>
            <w:top w:val="single" w:sz="4" w:space="0" w:color="auto"/>
            <w:left w:val="single" w:sz="4" w:space="0" w:color="auto"/>
            <w:right w:val="single" w:sz="4" w:space="0" w:color="auto"/>
          </w:tblBorders>
        </w:tblPrEx>
        <w:trPr>
          <w:jc w:val="center"/>
        </w:trPr>
        <w:tc>
          <w:tcPr>
            <w:tcW w:w="7434" w:type="dxa"/>
            <w:tcBorders>
              <w:top w:val="single" w:sz="4" w:space="0" w:color="auto"/>
              <w:left w:val="single" w:sz="4" w:space="0" w:color="auto"/>
              <w:bottom w:val="single" w:sz="4" w:space="0" w:color="auto"/>
              <w:right w:val="nil"/>
            </w:tcBorders>
          </w:tcPr>
          <w:p w14:paraId="01D34061" w14:textId="77777777" w:rsidR="00885B99" w:rsidRPr="00F15E2D" w:rsidRDefault="00885B99" w:rsidP="00FC15A2">
            <w:pPr>
              <w:pStyle w:val="Tabletext"/>
              <w:rPr>
                <w:szCs w:val="22"/>
              </w:rPr>
            </w:pPr>
          </w:p>
        </w:tc>
        <w:tc>
          <w:tcPr>
            <w:tcW w:w="1474" w:type="dxa"/>
            <w:tcBorders>
              <w:top w:val="single" w:sz="4" w:space="0" w:color="auto"/>
              <w:left w:val="nil"/>
              <w:bottom w:val="single" w:sz="4" w:space="0" w:color="auto"/>
              <w:right w:val="nil"/>
            </w:tcBorders>
            <w:shd w:val="clear" w:color="auto" w:fill="auto"/>
          </w:tcPr>
          <w:p w14:paraId="2059846F" w14:textId="77777777" w:rsidR="00885B99" w:rsidRPr="009E5DED" w:rsidRDefault="00885B99" w:rsidP="00FC15A2">
            <w:pPr>
              <w:pStyle w:val="Tabletext"/>
              <w:jc w:val="center"/>
              <w:rPr>
                <w:sz w:val="18"/>
                <w:szCs w:val="18"/>
              </w:rPr>
            </w:pPr>
          </w:p>
        </w:tc>
        <w:tc>
          <w:tcPr>
            <w:tcW w:w="1417" w:type="dxa"/>
            <w:tcBorders>
              <w:top w:val="single" w:sz="4" w:space="0" w:color="auto"/>
              <w:left w:val="nil"/>
              <w:bottom w:val="single" w:sz="4" w:space="0" w:color="auto"/>
              <w:right w:val="nil"/>
            </w:tcBorders>
            <w:shd w:val="clear" w:color="auto" w:fill="auto"/>
          </w:tcPr>
          <w:p w14:paraId="253A5CD6" w14:textId="77777777" w:rsidR="00885B99" w:rsidRPr="009E5DED" w:rsidRDefault="00885B99" w:rsidP="00FC15A2">
            <w:pPr>
              <w:pStyle w:val="Tabletext"/>
              <w:jc w:val="center"/>
              <w:rPr>
                <w:sz w:val="18"/>
                <w:szCs w:val="18"/>
              </w:rPr>
            </w:pPr>
          </w:p>
        </w:tc>
        <w:tc>
          <w:tcPr>
            <w:tcW w:w="1361" w:type="dxa"/>
            <w:tcBorders>
              <w:top w:val="single" w:sz="4" w:space="0" w:color="auto"/>
              <w:left w:val="nil"/>
              <w:bottom w:val="single" w:sz="4" w:space="0" w:color="auto"/>
              <w:right w:val="nil"/>
            </w:tcBorders>
            <w:shd w:val="clear" w:color="auto" w:fill="auto"/>
          </w:tcPr>
          <w:p w14:paraId="4B08454C" w14:textId="77777777" w:rsidR="00885B99" w:rsidRPr="009E5DED" w:rsidRDefault="00885B99" w:rsidP="00FC15A2">
            <w:pPr>
              <w:pStyle w:val="Tabletext"/>
              <w:jc w:val="center"/>
              <w:rPr>
                <w:sz w:val="18"/>
                <w:szCs w:val="18"/>
              </w:rPr>
            </w:pPr>
          </w:p>
        </w:tc>
        <w:tc>
          <w:tcPr>
            <w:tcW w:w="1417" w:type="dxa"/>
            <w:tcBorders>
              <w:top w:val="single" w:sz="4" w:space="0" w:color="auto"/>
              <w:left w:val="nil"/>
              <w:bottom w:val="single" w:sz="4" w:space="0" w:color="auto"/>
              <w:right w:val="nil"/>
            </w:tcBorders>
            <w:shd w:val="clear" w:color="auto" w:fill="auto"/>
          </w:tcPr>
          <w:p w14:paraId="1757605C" w14:textId="77777777" w:rsidR="00885B99" w:rsidRPr="009E5DED" w:rsidRDefault="00885B99" w:rsidP="00FC15A2">
            <w:pPr>
              <w:pStyle w:val="Tabletext"/>
              <w:jc w:val="center"/>
              <w:rPr>
                <w:sz w:val="18"/>
                <w:szCs w:val="18"/>
              </w:rPr>
            </w:pPr>
          </w:p>
        </w:tc>
        <w:tc>
          <w:tcPr>
            <w:tcW w:w="1239" w:type="dxa"/>
            <w:tcBorders>
              <w:top w:val="single" w:sz="4" w:space="0" w:color="auto"/>
              <w:left w:val="nil"/>
              <w:bottom w:val="single" w:sz="4" w:space="0" w:color="auto"/>
              <w:right w:val="single" w:sz="4" w:space="0" w:color="auto"/>
            </w:tcBorders>
            <w:shd w:val="clear" w:color="auto" w:fill="auto"/>
          </w:tcPr>
          <w:p w14:paraId="0E18648B" w14:textId="77777777" w:rsidR="00885B99" w:rsidRPr="009E5DED" w:rsidRDefault="00885B99" w:rsidP="00FC15A2">
            <w:pPr>
              <w:pStyle w:val="Tabletext"/>
              <w:jc w:val="center"/>
              <w:rPr>
                <w:sz w:val="18"/>
                <w:szCs w:val="18"/>
              </w:rPr>
            </w:pPr>
          </w:p>
        </w:tc>
      </w:tr>
      <w:tr w:rsidR="00885B99" w:rsidRPr="009E5DED" w14:paraId="34B8D09A" w14:textId="77777777" w:rsidTr="00FC15A2">
        <w:tblPrEx>
          <w:tblBorders>
            <w:top w:val="single" w:sz="4" w:space="0" w:color="auto"/>
            <w:left w:val="single" w:sz="4" w:space="0" w:color="auto"/>
            <w:right w:val="single" w:sz="4" w:space="0" w:color="auto"/>
          </w:tblBorders>
        </w:tblPrEx>
        <w:trPr>
          <w:jc w:val="center"/>
        </w:trPr>
        <w:tc>
          <w:tcPr>
            <w:tcW w:w="7434" w:type="dxa"/>
            <w:tcBorders>
              <w:top w:val="single" w:sz="4" w:space="0" w:color="auto"/>
            </w:tcBorders>
          </w:tcPr>
          <w:p w14:paraId="21337C4F" w14:textId="77777777" w:rsidR="00885B99" w:rsidRPr="00843EC0" w:rsidRDefault="00885B99" w:rsidP="00FC15A2">
            <w:pPr>
              <w:pStyle w:val="Tabletext"/>
              <w:rPr>
                <w:b/>
              </w:rPr>
            </w:pPr>
            <w:r w:rsidRPr="00843EC0">
              <w:rPr>
                <w:b/>
              </w:rPr>
              <w:t>Infrastructure pricing</w:t>
            </w:r>
          </w:p>
        </w:tc>
        <w:tc>
          <w:tcPr>
            <w:tcW w:w="1474" w:type="dxa"/>
            <w:tcBorders>
              <w:top w:val="single" w:sz="4" w:space="0" w:color="auto"/>
            </w:tcBorders>
            <w:shd w:val="clear" w:color="auto" w:fill="auto"/>
          </w:tcPr>
          <w:p w14:paraId="4F34B0C6" w14:textId="77777777" w:rsidR="00885B99" w:rsidRPr="00F50B0C" w:rsidRDefault="00885B99" w:rsidP="00FC15A2">
            <w:pPr>
              <w:pStyle w:val="Tabletext"/>
              <w:jc w:val="center"/>
            </w:pPr>
          </w:p>
        </w:tc>
        <w:tc>
          <w:tcPr>
            <w:tcW w:w="1417" w:type="dxa"/>
            <w:tcBorders>
              <w:top w:val="single" w:sz="4" w:space="0" w:color="auto"/>
            </w:tcBorders>
            <w:shd w:val="clear" w:color="auto" w:fill="auto"/>
          </w:tcPr>
          <w:p w14:paraId="336E801C" w14:textId="77777777" w:rsidR="00885B99" w:rsidRPr="00F50B0C" w:rsidRDefault="00885B99" w:rsidP="00FC15A2">
            <w:pPr>
              <w:pStyle w:val="Tabletext"/>
              <w:jc w:val="center"/>
            </w:pPr>
          </w:p>
        </w:tc>
        <w:tc>
          <w:tcPr>
            <w:tcW w:w="1361" w:type="dxa"/>
            <w:tcBorders>
              <w:top w:val="single" w:sz="4" w:space="0" w:color="auto"/>
            </w:tcBorders>
            <w:shd w:val="clear" w:color="auto" w:fill="auto"/>
          </w:tcPr>
          <w:p w14:paraId="31358664" w14:textId="77777777" w:rsidR="00885B99" w:rsidRPr="00F50B0C" w:rsidRDefault="00885B99" w:rsidP="00FC15A2">
            <w:pPr>
              <w:pStyle w:val="Tabletext"/>
              <w:jc w:val="center"/>
            </w:pPr>
          </w:p>
        </w:tc>
        <w:tc>
          <w:tcPr>
            <w:tcW w:w="1417" w:type="dxa"/>
            <w:tcBorders>
              <w:top w:val="single" w:sz="4" w:space="0" w:color="auto"/>
            </w:tcBorders>
            <w:shd w:val="clear" w:color="auto" w:fill="auto"/>
          </w:tcPr>
          <w:p w14:paraId="6D718A75" w14:textId="77777777" w:rsidR="00885B99" w:rsidRPr="00F50B0C" w:rsidRDefault="00885B99" w:rsidP="00FC15A2">
            <w:pPr>
              <w:pStyle w:val="Tabletext"/>
              <w:jc w:val="center"/>
            </w:pPr>
          </w:p>
        </w:tc>
        <w:tc>
          <w:tcPr>
            <w:tcW w:w="1239" w:type="dxa"/>
            <w:tcBorders>
              <w:top w:val="single" w:sz="4" w:space="0" w:color="auto"/>
            </w:tcBorders>
            <w:shd w:val="clear" w:color="auto" w:fill="auto"/>
          </w:tcPr>
          <w:p w14:paraId="37D9AC6E" w14:textId="77777777" w:rsidR="00885B99" w:rsidRPr="00F50B0C" w:rsidRDefault="00885B99" w:rsidP="00FC15A2">
            <w:pPr>
              <w:pStyle w:val="Tabletext"/>
              <w:jc w:val="center"/>
            </w:pPr>
          </w:p>
        </w:tc>
      </w:tr>
      <w:tr w:rsidR="00885B99" w:rsidRPr="00F50B0C" w14:paraId="40629732" w14:textId="77777777" w:rsidTr="00FC15A2">
        <w:tblPrEx>
          <w:tblBorders>
            <w:top w:val="single" w:sz="4" w:space="0" w:color="auto"/>
            <w:left w:val="single" w:sz="4" w:space="0" w:color="auto"/>
            <w:right w:val="single" w:sz="4" w:space="0" w:color="auto"/>
          </w:tblBorders>
        </w:tblPrEx>
        <w:trPr>
          <w:jc w:val="center"/>
        </w:trPr>
        <w:tc>
          <w:tcPr>
            <w:tcW w:w="7434" w:type="dxa"/>
          </w:tcPr>
          <w:p w14:paraId="31277937" w14:textId="77777777" w:rsidR="00885B99" w:rsidRPr="00F50B0C" w:rsidRDefault="00885B99" w:rsidP="00FC15A2">
            <w:pPr>
              <w:pStyle w:val="Tabletext"/>
              <w:rPr>
                <w:u w:val="single"/>
              </w:rPr>
            </w:pPr>
            <w:r w:rsidRPr="00F50B0C">
              <w:t>Differential, higher pricing on USSD, and/or STK access</w:t>
            </w:r>
            <w:r>
              <w:rPr>
                <w:rStyle w:val="FootnoteReference"/>
              </w:rPr>
              <w:footnoteReference w:id="26"/>
            </w:r>
          </w:p>
        </w:tc>
        <w:tc>
          <w:tcPr>
            <w:tcW w:w="1474" w:type="dxa"/>
            <w:shd w:val="clear" w:color="auto" w:fill="auto"/>
          </w:tcPr>
          <w:p w14:paraId="52620194" w14:textId="77777777" w:rsidR="00885B99" w:rsidRPr="00F50B0C" w:rsidRDefault="00885B99" w:rsidP="00FC15A2">
            <w:pPr>
              <w:pStyle w:val="Tabletext"/>
              <w:jc w:val="center"/>
            </w:pPr>
            <w:r w:rsidRPr="00F50B0C">
              <w:t>X</w:t>
            </w:r>
          </w:p>
        </w:tc>
        <w:tc>
          <w:tcPr>
            <w:tcW w:w="1417" w:type="dxa"/>
            <w:shd w:val="clear" w:color="auto" w:fill="auto"/>
          </w:tcPr>
          <w:p w14:paraId="14E3795D" w14:textId="77777777" w:rsidR="00885B99" w:rsidRPr="00F50B0C" w:rsidRDefault="00885B99" w:rsidP="00FC15A2">
            <w:pPr>
              <w:pStyle w:val="Tabletext"/>
              <w:jc w:val="center"/>
            </w:pPr>
          </w:p>
        </w:tc>
        <w:tc>
          <w:tcPr>
            <w:tcW w:w="1361" w:type="dxa"/>
            <w:shd w:val="clear" w:color="auto" w:fill="auto"/>
          </w:tcPr>
          <w:p w14:paraId="75B39C27" w14:textId="77777777" w:rsidR="00885B99" w:rsidRPr="00F50B0C" w:rsidRDefault="00885B99" w:rsidP="00FC15A2">
            <w:pPr>
              <w:pStyle w:val="Tabletext"/>
              <w:jc w:val="center"/>
            </w:pPr>
          </w:p>
        </w:tc>
        <w:tc>
          <w:tcPr>
            <w:tcW w:w="1417" w:type="dxa"/>
            <w:shd w:val="clear" w:color="auto" w:fill="auto"/>
          </w:tcPr>
          <w:p w14:paraId="067A8D4A" w14:textId="77777777" w:rsidR="00885B99" w:rsidRPr="00F50B0C" w:rsidRDefault="00885B99" w:rsidP="00FC15A2">
            <w:pPr>
              <w:pStyle w:val="Tabletext"/>
              <w:jc w:val="center"/>
            </w:pPr>
            <w:r w:rsidRPr="00F50B0C">
              <w:t>X</w:t>
            </w:r>
          </w:p>
        </w:tc>
        <w:tc>
          <w:tcPr>
            <w:tcW w:w="1239" w:type="dxa"/>
            <w:shd w:val="clear" w:color="auto" w:fill="auto"/>
          </w:tcPr>
          <w:p w14:paraId="268B12F2" w14:textId="77777777" w:rsidR="00885B99" w:rsidRPr="00F50B0C" w:rsidRDefault="00885B99" w:rsidP="00FC15A2">
            <w:pPr>
              <w:pStyle w:val="Tabletext"/>
              <w:jc w:val="center"/>
            </w:pPr>
          </w:p>
        </w:tc>
      </w:tr>
      <w:tr w:rsidR="00885B99" w:rsidRPr="009E5DED" w14:paraId="14108783" w14:textId="77777777" w:rsidTr="00FC15A2">
        <w:tblPrEx>
          <w:tblBorders>
            <w:top w:val="single" w:sz="4" w:space="0" w:color="auto"/>
            <w:left w:val="single" w:sz="4" w:space="0" w:color="auto"/>
            <w:right w:val="single" w:sz="4" w:space="0" w:color="auto"/>
          </w:tblBorders>
        </w:tblPrEx>
        <w:trPr>
          <w:trHeight w:val="199"/>
          <w:jc w:val="center"/>
        </w:trPr>
        <w:tc>
          <w:tcPr>
            <w:tcW w:w="7434" w:type="dxa"/>
          </w:tcPr>
          <w:p w14:paraId="214F255E" w14:textId="77777777" w:rsidR="00885B99" w:rsidRPr="00F50B0C" w:rsidRDefault="00885B99" w:rsidP="00FC15A2">
            <w:pPr>
              <w:pStyle w:val="Tabletext"/>
            </w:pPr>
            <w:r w:rsidRPr="00F50B0C">
              <w:t>Provision of bearer access at below cost</w:t>
            </w:r>
          </w:p>
        </w:tc>
        <w:tc>
          <w:tcPr>
            <w:tcW w:w="1474" w:type="dxa"/>
            <w:shd w:val="clear" w:color="auto" w:fill="auto"/>
          </w:tcPr>
          <w:p w14:paraId="74595692" w14:textId="77777777" w:rsidR="00885B99" w:rsidRPr="00F50B0C" w:rsidRDefault="00885B99" w:rsidP="00FC15A2">
            <w:pPr>
              <w:pStyle w:val="Tabletext"/>
              <w:jc w:val="center"/>
            </w:pPr>
          </w:p>
        </w:tc>
        <w:tc>
          <w:tcPr>
            <w:tcW w:w="1417" w:type="dxa"/>
            <w:shd w:val="clear" w:color="auto" w:fill="auto"/>
          </w:tcPr>
          <w:p w14:paraId="225B0D8F" w14:textId="77777777" w:rsidR="00885B99" w:rsidRPr="00F50B0C" w:rsidRDefault="00885B99" w:rsidP="00FC15A2">
            <w:pPr>
              <w:pStyle w:val="Tabletext"/>
              <w:jc w:val="center"/>
            </w:pPr>
          </w:p>
        </w:tc>
        <w:tc>
          <w:tcPr>
            <w:tcW w:w="1361" w:type="dxa"/>
            <w:shd w:val="clear" w:color="auto" w:fill="auto"/>
          </w:tcPr>
          <w:p w14:paraId="1A23FDCB" w14:textId="77777777" w:rsidR="00885B99" w:rsidRPr="00F50B0C" w:rsidRDefault="00885B99" w:rsidP="00FC15A2">
            <w:pPr>
              <w:pStyle w:val="Tabletext"/>
              <w:jc w:val="center"/>
            </w:pPr>
          </w:p>
        </w:tc>
        <w:tc>
          <w:tcPr>
            <w:tcW w:w="1417" w:type="dxa"/>
            <w:shd w:val="clear" w:color="auto" w:fill="auto"/>
          </w:tcPr>
          <w:p w14:paraId="71CC1C3A" w14:textId="77777777" w:rsidR="00885B99" w:rsidRPr="00F50B0C" w:rsidRDefault="00885B99" w:rsidP="00FC15A2">
            <w:pPr>
              <w:pStyle w:val="Tabletext"/>
              <w:jc w:val="center"/>
            </w:pPr>
          </w:p>
        </w:tc>
        <w:tc>
          <w:tcPr>
            <w:tcW w:w="1239" w:type="dxa"/>
            <w:shd w:val="clear" w:color="auto" w:fill="auto"/>
          </w:tcPr>
          <w:p w14:paraId="3E63C1D9" w14:textId="77777777" w:rsidR="00885B99" w:rsidRPr="00F50B0C" w:rsidRDefault="00885B99" w:rsidP="00FC15A2">
            <w:pPr>
              <w:pStyle w:val="Tabletext"/>
              <w:jc w:val="center"/>
            </w:pPr>
            <w:r w:rsidRPr="00F50B0C">
              <w:t>X</w:t>
            </w:r>
            <w:r>
              <w:rPr>
                <w:rStyle w:val="FootnoteReference"/>
              </w:rPr>
              <w:footnoteReference w:id="27"/>
            </w:r>
          </w:p>
        </w:tc>
      </w:tr>
      <w:tr w:rsidR="00885B99" w:rsidRPr="009E5DED" w14:paraId="5E280E43" w14:textId="77777777" w:rsidTr="00FC15A2">
        <w:tblPrEx>
          <w:tblBorders>
            <w:top w:val="single" w:sz="4" w:space="0" w:color="auto"/>
            <w:left w:val="single" w:sz="4" w:space="0" w:color="auto"/>
            <w:right w:val="single" w:sz="4" w:space="0" w:color="auto"/>
          </w:tblBorders>
        </w:tblPrEx>
        <w:trPr>
          <w:jc w:val="center"/>
        </w:trPr>
        <w:tc>
          <w:tcPr>
            <w:tcW w:w="7434" w:type="dxa"/>
            <w:tcBorders>
              <w:bottom w:val="single" w:sz="4" w:space="0" w:color="auto"/>
            </w:tcBorders>
          </w:tcPr>
          <w:p w14:paraId="592B72B9" w14:textId="77777777" w:rsidR="00885B99" w:rsidRPr="00F50B0C" w:rsidRDefault="00885B99" w:rsidP="00FC15A2">
            <w:pPr>
              <w:pStyle w:val="Tabletext"/>
            </w:pPr>
            <w:r w:rsidRPr="00F50B0C">
              <w:t>Not given fair reasonable and non-discriminatory</w:t>
            </w:r>
          </w:p>
          <w:p w14:paraId="72DCFDA5" w14:textId="77777777" w:rsidR="00885B99" w:rsidRPr="00F50B0C" w:rsidRDefault="00885B99" w:rsidP="00FC15A2">
            <w:pPr>
              <w:pStyle w:val="Tabletext"/>
            </w:pPr>
            <w:r w:rsidRPr="00F50B0C">
              <w:t>(FRAND) access to bank/national payment infrastructures</w:t>
            </w:r>
          </w:p>
        </w:tc>
        <w:tc>
          <w:tcPr>
            <w:tcW w:w="1474" w:type="dxa"/>
            <w:tcBorders>
              <w:bottom w:val="single" w:sz="4" w:space="0" w:color="auto"/>
            </w:tcBorders>
            <w:shd w:val="clear" w:color="auto" w:fill="auto"/>
          </w:tcPr>
          <w:p w14:paraId="22FB8600" w14:textId="77777777" w:rsidR="00885B99" w:rsidRPr="00F50B0C" w:rsidRDefault="00885B99" w:rsidP="00FC15A2">
            <w:pPr>
              <w:pStyle w:val="Tabletext"/>
              <w:jc w:val="center"/>
            </w:pPr>
          </w:p>
        </w:tc>
        <w:tc>
          <w:tcPr>
            <w:tcW w:w="1417" w:type="dxa"/>
            <w:tcBorders>
              <w:bottom w:val="single" w:sz="4" w:space="0" w:color="auto"/>
            </w:tcBorders>
            <w:shd w:val="clear" w:color="auto" w:fill="auto"/>
          </w:tcPr>
          <w:p w14:paraId="26506693" w14:textId="77777777" w:rsidR="00885B99" w:rsidRPr="00F50B0C" w:rsidRDefault="00885B99" w:rsidP="00FC15A2">
            <w:pPr>
              <w:pStyle w:val="Tabletext"/>
              <w:jc w:val="center"/>
            </w:pPr>
            <w:r w:rsidRPr="00F50B0C">
              <w:t>X</w:t>
            </w:r>
          </w:p>
        </w:tc>
        <w:tc>
          <w:tcPr>
            <w:tcW w:w="1361" w:type="dxa"/>
            <w:tcBorders>
              <w:bottom w:val="single" w:sz="4" w:space="0" w:color="auto"/>
            </w:tcBorders>
            <w:shd w:val="clear" w:color="auto" w:fill="auto"/>
          </w:tcPr>
          <w:p w14:paraId="757BCE32" w14:textId="77777777" w:rsidR="00885B99" w:rsidRPr="00F50B0C" w:rsidRDefault="00885B99" w:rsidP="00FC15A2">
            <w:pPr>
              <w:pStyle w:val="Tabletext"/>
              <w:jc w:val="center"/>
            </w:pPr>
            <w:r w:rsidRPr="00F50B0C">
              <w:t>X</w:t>
            </w:r>
          </w:p>
        </w:tc>
        <w:tc>
          <w:tcPr>
            <w:tcW w:w="1417" w:type="dxa"/>
            <w:tcBorders>
              <w:bottom w:val="single" w:sz="4" w:space="0" w:color="auto"/>
            </w:tcBorders>
            <w:shd w:val="clear" w:color="auto" w:fill="auto"/>
          </w:tcPr>
          <w:p w14:paraId="29A2483B" w14:textId="77777777" w:rsidR="00885B99" w:rsidRPr="00F50B0C" w:rsidRDefault="00885B99" w:rsidP="00FC15A2">
            <w:pPr>
              <w:pStyle w:val="Tabletext"/>
              <w:jc w:val="center"/>
            </w:pPr>
            <w:r w:rsidRPr="00F50B0C">
              <w:t>X</w:t>
            </w:r>
          </w:p>
        </w:tc>
        <w:tc>
          <w:tcPr>
            <w:tcW w:w="1239" w:type="dxa"/>
            <w:tcBorders>
              <w:bottom w:val="single" w:sz="4" w:space="0" w:color="auto"/>
            </w:tcBorders>
            <w:shd w:val="clear" w:color="auto" w:fill="auto"/>
          </w:tcPr>
          <w:p w14:paraId="51B9C0D8" w14:textId="77777777" w:rsidR="00885B99" w:rsidRPr="00F50B0C" w:rsidRDefault="00885B99" w:rsidP="00FC15A2">
            <w:pPr>
              <w:pStyle w:val="Tabletext"/>
              <w:jc w:val="center"/>
            </w:pPr>
            <w:r w:rsidRPr="00F50B0C">
              <w:t>X</w:t>
            </w:r>
          </w:p>
        </w:tc>
      </w:tr>
      <w:tr w:rsidR="00885B99" w:rsidRPr="009E5DED" w14:paraId="2048D75C" w14:textId="77777777" w:rsidTr="003733D5">
        <w:tblPrEx>
          <w:tblBorders>
            <w:top w:val="single" w:sz="4" w:space="0" w:color="auto"/>
            <w:left w:val="single" w:sz="4" w:space="0" w:color="auto"/>
            <w:right w:val="single" w:sz="4" w:space="0" w:color="auto"/>
          </w:tblBorders>
        </w:tblPrEx>
        <w:trPr>
          <w:jc w:val="center"/>
        </w:trPr>
        <w:tc>
          <w:tcPr>
            <w:tcW w:w="7434" w:type="dxa"/>
            <w:tcBorders>
              <w:left w:val="nil"/>
              <w:bottom w:val="single" w:sz="4" w:space="0" w:color="auto"/>
              <w:right w:val="nil"/>
            </w:tcBorders>
          </w:tcPr>
          <w:p w14:paraId="41B7FA7B" w14:textId="77777777" w:rsidR="00885B99" w:rsidRPr="00F15E2D" w:rsidRDefault="00885B99" w:rsidP="00FC15A2">
            <w:pPr>
              <w:pStyle w:val="Tabletext"/>
              <w:rPr>
                <w:szCs w:val="22"/>
              </w:rPr>
            </w:pPr>
          </w:p>
        </w:tc>
        <w:tc>
          <w:tcPr>
            <w:tcW w:w="1474" w:type="dxa"/>
            <w:tcBorders>
              <w:left w:val="nil"/>
              <w:bottom w:val="single" w:sz="4" w:space="0" w:color="auto"/>
              <w:right w:val="nil"/>
            </w:tcBorders>
            <w:shd w:val="clear" w:color="auto" w:fill="auto"/>
          </w:tcPr>
          <w:p w14:paraId="4A1107DD" w14:textId="77777777" w:rsidR="00885B99" w:rsidRPr="009E5DED" w:rsidRDefault="00885B99" w:rsidP="00FC15A2">
            <w:pPr>
              <w:pStyle w:val="Tabletext"/>
              <w:jc w:val="center"/>
              <w:rPr>
                <w:sz w:val="18"/>
                <w:szCs w:val="18"/>
              </w:rPr>
            </w:pPr>
          </w:p>
        </w:tc>
        <w:tc>
          <w:tcPr>
            <w:tcW w:w="1417" w:type="dxa"/>
            <w:tcBorders>
              <w:left w:val="nil"/>
              <w:bottom w:val="single" w:sz="4" w:space="0" w:color="auto"/>
              <w:right w:val="nil"/>
            </w:tcBorders>
            <w:shd w:val="clear" w:color="auto" w:fill="auto"/>
          </w:tcPr>
          <w:p w14:paraId="0A67988F" w14:textId="77777777" w:rsidR="00885B99" w:rsidRPr="009E5DED" w:rsidRDefault="00885B99" w:rsidP="00FC15A2">
            <w:pPr>
              <w:pStyle w:val="Tabletext"/>
              <w:jc w:val="center"/>
              <w:rPr>
                <w:sz w:val="18"/>
                <w:szCs w:val="18"/>
              </w:rPr>
            </w:pPr>
          </w:p>
        </w:tc>
        <w:tc>
          <w:tcPr>
            <w:tcW w:w="1361" w:type="dxa"/>
            <w:tcBorders>
              <w:left w:val="nil"/>
              <w:bottom w:val="single" w:sz="4" w:space="0" w:color="auto"/>
              <w:right w:val="nil"/>
            </w:tcBorders>
            <w:shd w:val="clear" w:color="auto" w:fill="auto"/>
          </w:tcPr>
          <w:p w14:paraId="43544F4F" w14:textId="77777777" w:rsidR="00885B99" w:rsidRPr="009E5DED" w:rsidRDefault="00885B99" w:rsidP="00FC15A2">
            <w:pPr>
              <w:pStyle w:val="Tabletext"/>
              <w:jc w:val="center"/>
              <w:rPr>
                <w:sz w:val="18"/>
                <w:szCs w:val="18"/>
              </w:rPr>
            </w:pPr>
          </w:p>
        </w:tc>
        <w:tc>
          <w:tcPr>
            <w:tcW w:w="1417" w:type="dxa"/>
            <w:tcBorders>
              <w:left w:val="nil"/>
              <w:bottom w:val="single" w:sz="4" w:space="0" w:color="auto"/>
              <w:right w:val="nil"/>
            </w:tcBorders>
            <w:shd w:val="clear" w:color="auto" w:fill="auto"/>
          </w:tcPr>
          <w:p w14:paraId="14736DBB" w14:textId="77777777" w:rsidR="00885B99" w:rsidRPr="009E5DED" w:rsidRDefault="00885B99" w:rsidP="00FC15A2">
            <w:pPr>
              <w:pStyle w:val="Tabletext"/>
              <w:jc w:val="center"/>
              <w:rPr>
                <w:sz w:val="18"/>
                <w:szCs w:val="18"/>
              </w:rPr>
            </w:pPr>
          </w:p>
        </w:tc>
        <w:tc>
          <w:tcPr>
            <w:tcW w:w="1239" w:type="dxa"/>
            <w:tcBorders>
              <w:left w:val="nil"/>
              <w:bottom w:val="single" w:sz="4" w:space="0" w:color="auto"/>
              <w:right w:val="nil"/>
            </w:tcBorders>
            <w:shd w:val="clear" w:color="auto" w:fill="auto"/>
          </w:tcPr>
          <w:p w14:paraId="2B456538" w14:textId="77777777" w:rsidR="00885B99" w:rsidRPr="009E5DED" w:rsidRDefault="00885B99" w:rsidP="00FC15A2">
            <w:pPr>
              <w:pStyle w:val="Tabletext"/>
              <w:jc w:val="center"/>
              <w:rPr>
                <w:sz w:val="18"/>
                <w:szCs w:val="18"/>
              </w:rPr>
            </w:pPr>
          </w:p>
        </w:tc>
      </w:tr>
      <w:tr w:rsidR="00885B99" w:rsidRPr="009E5DED" w14:paraId="6960DFDC" w14:textId="77777777" w:rsidTr="003733D5">
        <w:tblPrEx>
          <w:tblBorders>
            <w:top w:val="single" w:sz="4" w:space="0" w:color="auto"/>
            <w:left w:val="single" w:sz="4" w:space="0" w:color="auto"/>
            <w:right w:val="single" w:sz="4" w:space="0" w:color="auto"/>
          </w:tblBorders>
        </w:tblPrEx>
        <w:trPr>
          <w:jc w:val="center"/>
        </w:trPr>
        <w:tc>
          <w:tcPr>
            <w:tcW w:w="7434" w:type="dxa"/>
            <w:tcBorders>
              <w:top w:val="single" w:sz="4" w:space="0" w:color="auto"/>
            </w:tcBorders>
          </w:tcPr>
          <w:p w14:paraId="257A98E0" w14:textId="77777777" w:rsidR="00885B99" w:rsidRPr="00843EC0" w:rsidRDefault="00885B99" w:rsidP="00FC15A2">
            <w:pPr>
              <w:pStyle w:val="Tabletext"/>
              <w:keepNext/>
              <w:keepLines/>
              <w:rPr>
                <w:b/>
              </w:rPr>
            </w:pPr>
            <w:r w:rsidRPr="00843EC0">
              <w:rPr>
                <w:b/>
              </w:rPr>
              <w:lastRenderedPageBreak/>
              <w:t>Bundling and cross subsidization</w:t>
            </w:r>
          </w:p>
        </w:tc>
        <w:tc>
          <w:tcPr>
            <w:tcW w:w="1474" w:type="dxa"/>
            <w:tcBorders>
              <w:top w:val="single" w:sz="4" w:space="0" w:color="auto"/>
            </w:tcBorders>
            <w:shd w:val="clear" w:color="auto" w:fill="auto"/>
          </w:tcPr>
          <w:p w14:paraId="6B47828B" w14:textId="77777777" w:rsidR="00885B99" w:rsidRPr="00F50B0C" w:rsidRDefault="00885B99" w:rsidP="00FC15A2">
            <w:pPr>
              <w:pStyle w:val="Tabletext"/>
              <w:keepNext/>
              <w:keepLines/>
              <w:jc w:val="center"/>
            </w:pPr>
          </w:p>
        </w:tc>
        <w:tc>
          <w:tcPr>
            <w:tcW w:w="1417" w:type="dxa"/>
            <w:tcBorders>
              <w:top w:val="single" w:sz="4" w:space="0" w:color="auto"/>
            </w:tcBorders>
            <w:shd w:val="clear" w:color="auto" w:fill="auto"/>
          </w:tcPr>
          <w:p w14:paraId="3167FF0A" w14:textId="77777777" w:rsidR="00885B99" w:rsidRPr="00F50B0C" w:rsidRDefault="00885B99" w:rsidP="00FC15A2">
            <w:pPr>
              <w:pStyle w:val="Tabletext"/>
              <w:keepNext/>
              <w:keepLines/>
              <w:jc w:val="center"/>
            </w:pPr>
          </w:p>
        </w:tc>
        <w:tc>
          <w:tcPr>
            <w:tcW w:w="1361" w:type="dxa"/>
            <w:tcBorders>
              <w:top w:val="single" w:sz="4" w:space="0" w:color="auto"/>
            </w:tcBorders>
            <w:shd w:val="clear" w:color="auto" w:fill="auto"/>
          </w:tcPr>
          <w:p w14:paraId="7DAFF5E0" w14:textId="77777777" w:rsidR="00885B99" w:rsidRPr="00F50B0C" w:rsidRDefault="00885B99" w:rsidP="00FC15A2">
            <w:pPr>
              <w:pStyle w:val="Tabletext"/>
              <w:keepNext/>
              <w:keepLines/>
              <w:jc w:val="center"/>
            </w:pPr>
          </w:p>
        </w:tc>
        <w:tc>
          <w:tcPr>
            <w:tcW w:w="1417" w:type="dxa"/>
            <w:tcBorders>
              <w:top w:val="single" w:sz="4" w:space="0" w:color="auto"/>
            </w:tcBorders>
            <w:shd w:val="clear" w:color="auto" w:fill="auto"/>
          </w:tcPr>
          <w:p w14:paraId="62788B02" w14:textId="77777777" w:rsidR="00885B99" w:rsidRPr="00F50B0C" w:rsidRDefault="00885B99" w:rsidP="00FC15A2">
            <w:pPr>
              <w:pStyle w:val="Tabletext"/>
              <w:keepNext/>
              <w:keepLines/>
              <w:jc w:val="center"/>
            </w:pPr>
          </w:p>
        </w:tc>
        <w:tc>
          <w:tcPr>
            <w:tcW w:w="1239" w:type="dxa"/>
            <w:tcBorders>
              <w:top w:val="single" w:sz="4" w:space="0" w:color="auto"/>
            </w:tcBorders>
            <w:shd w:val="clear" w:color="auto" w:fill="auto"/>
          </w:tcPr>
          <w:p w14:paraId="4579B6A6" w14:textId="77777777" w:rsidR="00885B99" w:rsidRPr="00F50B0C" w:rsidRDefault="00885B99" w:rsidP="00FC15A2">
            <w:pPr>
              <w:pStyle w:val="Tabletext"/>
              <w:keepNext/>
              <w:keepLines/>
              <w:jc w:val="center"/>
            </w:pPr>
          </w:p>
        </w:tc>
      </w:tr>
      <w:tr w:rsidR="00885B99" w:rsidRPr="009E5DED" w14:paraId="17B036CD" w14:textId="77777777" w:rsidTr="00FC15A2">
        <w:tblPrEx>
          <w:tblBorders>
            <w:top w:val="single" w:sz="4" w:space="0" w:color="auto"/>
            <w:left w:val="single" w:sz="4" w:space="0" w:color="auto"/>
            <w:right w:val="single" w:sz="4" w:space="0" w:color="auto"/>
          </w:tblBorders>
        </w:tblPrEx>
        <w:trPr>
          <w:jc w:val="center"/>
        </w:trPr>
        <w:tc>
          <w:tcPr>
            <w:tcW w:w="7434" w:type="dxa"/>
          </w:tcPr>
          <w:p w14:paraId="4478E7CB" w14:textId="77777777" w:rsidR="00885B99" w:rsidRPr="00F50B0C" w:rsidRDefault="00885B99" w:rsidP="00FC15A2">
            <w:pPr>
              <w:pStyle w:val="Tabletext"/>
              <w:keepNext/>
              <w:keepLines/>
            </w:pPr>
            <w:r w:rsidRPr="00F50B0C">
              <w:t>Cross-platform subsidization and incentives</w:t>
            </w:r>
          </w:p>
        </w:tc>
        <w:tc>
          <w:tcPr>
            <w:tcW w:w="1474" w:type="dxa"/>
            <w:shd w:val="clear" w:color="auto" w:fill="auto"/>
          </w:tcPr>
          <w:p w14:paraId="6D612DA9" w14:textId="77777777" w:rsidR="00885B99" w:rsidRPr="00F50B0C" w:rsidRDefault="00885B99" w:rsidP="00FC15A2">
            <w:pPr>
              <w:pStyle w:val="Tabletext"/>
              <w:keepNext/>
              <w:keepLines/>
              <w:jc w:val="center"/>
            </w:pPr>
            <w:r w:rsidRPr="00F50B0C">
              <w:t>X</w:t>
            </w:r>
            <w:r>
              <w:rPr>
                <w:rStyle w:val="FootnoteReference"/>
              </w:rPr>
              <w:footnoteReference w:id="28"/>
            </w:r>
          </w:p>
        </w:tc>
        <w:tc>
          <w:tcPr>
            <w:tcW w:w="1417" w:type="dxa"/>
            <w:shd w:val="clear" w:color="auto" w:fill="auto"/>
          </w:tcPr>
          <w:p w14:paraId="4421A135" w14:textId="77777777" w:rsidR="00885B99" w:rsidRPr="00F50B0C" w:rsidRDefault="00885B99" w:rsidP="00FC15A2">
            <w:pPr>
              <w:pStyle w:val="Tabletext"/>
              <w:keepNext/>
              <w:keepLines/>
              <w:jc w:val="center"/>
            </w:pPr>
            <w:r w:rsidRPr="00F50B0C">
              <w:t>X</w:t>
            </w:r>
            <w:r>
              <w:rPr>
                <w:rStyle w:val="FootnoteReference"/>
              </w:rPr>
              <w:footnoteReference w:id="29"/>
            </w:r>
          </w:p>
        </w:tc>
        <w:tc>
          <w:tcPr>
            <w:tcW w:w="1361" w:type="dxa"/>
            <w:shd w:val="clear" w:color="auto" w:fill="auto"/>
          </w:tcPr>
          <w:p w14:paraId="59324EFC" w14:textId="77777777" w:rsidR="00885B99" w:rsidRPr="00F50B0C" w:rsidRDefault="00885B99" w:rsidP="00FC15A2">
            <w:pPr>
              <w:pStyle w:val="Tabletext"/>
              <w:keepNext/>
              <w:keepLines/>
              <w:jc w:val="center"/>
            </w:pPr>
          </w:p>
        </w:tc>
        <w:tc>
          <w:tcPr>
            <w:tcW w:w="1417" w:type="dxa"/>
            <w:shd w:val="clear" w:color="auto" w:fill="auto"/>
          </w:tcPr>
          <w:p w14:paraId="7A0D067D" w14:textId="77777777" w:rsidR="00885B99" w:rsidRPr="00F50B0C" w:rsidRDefault="00885B99" w:rsidP="00FC15A2">
            <w:pPr>
              <w:pStyle w:val="Tabletext"/>
              <w:keepNext/>
              <w:keepLines/>
              <w:jc w:val="center"/>
            </w:pPr>
            <w:r w:rsidRPr="00F50B0C">
              <w:t>X</w:t>
            </w:r>
          </w:p>
        </w:tc>
        <w:tc>
          <w:tcPr>
            <w:tcW w:w="1239" w:type="dxa"/>
            <w:shd w:val="clear" w:color="auto" w:fill="auto"/>
          </w:tcPr>
          <w:p w14:paraId="60BEEDA8" w14:textId="77777777" w:rsidR="00885B99" w:rsidRPr="00F50B0C" w:rsidRDefault="00885B99" w:rsidP="00FC15A2">
            <w:pPr>
              <w:pStyle w:val="Tabletext"/>
              <w:keepNext/>
              <w:keepLines/>
              <w:jc w:val="center"/>
            </w:pPr>
          </w:p>
        </w:tc>
      </w:tr>
      <w:tr w:rsidR="00885B99" w:rsidRPr="009E5DED" w14:paraId="04754E3F" w14:textId="77777777" w:rsidTr="00CD567B">
        <w:tblPrEx>
          <w:tblBorders>
            <w:top w:val="single" w:sz="4" w:space="0" w:color="auto"/>
            <w:left w:val="single" w:sz="4" w:space="0" w:color="auto"/>
            <w:right w:val="single" w:sz="4" w:space="0" w:color="auto"/>
          </w:tblBorders>
        </w:tblPrEx>
        <w:trPr>
          <w:jc w:val="center"/>
        </w:trPr>
        <w:tc>
          <w:tcPr>
            <w:tcW w:w="7434" w:type="dxa"/>
          </w:tcPr>
          <w:p w14:paraId="5E33181C" w14:textId="77777777" w:rsidR="00885B99" w:rsidRPr="00F50B0C" w:rsidRDefault="00885B99" w:rsidP="00FC15A2">
            <w:pPr>
              <w:pStyle w:val="Tabletext"/>
            </w:pPr>
            <w:r w:rsidRPr="00F50B0C">
              <w:t>Forced use of services to obtain technical access</w:t>
            </w:r>
          </w:p>
        </w:tc>
        <w:tc>
          <w:tcPr>
            <w:tcW w:w="1474" w:type="dxa"/>
            <w:tcBorders>
              <w:bottom w:val="single" w:sz="4" w:space="0" w:color="auto"/>
            </w:tcBorders>
            <w:shd w:val="clear" w:color="auto" w:fill="auto"/>
          </w:tcPr>
          <w:p w14:paraId="6930C881" w14:textId="77777777" w:rsidR="00885B99" w:rsidRPr="00F50B0C" w:rsidRDefault="00885B99" w:rsidP="00FC15A2">
            <w:pPr>
              <w:pStyle w:val="Tabletext"/>
              <w:jc w:val="center"/>
            </w:pPr>
            <w:r w:rsidRPr="00F50B0C">
              <w:t>X</w:t>
            </w:r>
            <w:r>
              <w:rPr>
                <w:rStyle w:val="FootnoteReference"/>
              </w:rPr>
              <w:footnoteReference w:id="30"/>
            </w:r>
          </w:p>
        </w:tc>
        <w:tc>
          <w:tcPr>
            <w:tcW w:w="1417" w:type="dxa"/>
            <w:tcBorders>
              <w:bottom w:val="single" w:sz="4" w:space="0" w:color="auto"/>
            </w:tcBorders>
            <w:shd w:val="clear" w:color="auto" w:fill="auto"/>
          </w:tcPr>
          <w:p w14:paraId="0F88F101" w14:textId="77777777" w:rsidR="00885B99" w:rsidRPr="00F50B0C" w:rsidRDefault="00885B99" w:rsidP="00FC15A2">
            <w:pPr>
              <w:pStyle w:val="Tabletext"/>
              <w:jc w:val="center"/>
            </w:pPr>
            <w:r w:rsidRPr="00F50B0C">
              <w:t>X</w:t>
            </w:r>
          </w:p>
        </w:tc>
        <w:tc>
          <w:tcPr>
            <w:tcW w:w="1361" w:type="dxa"/>
            <w:tcBorders>
              <w:bottom w:val="single" w:sz="4" w:space="0" w:color="auto"/>
            </w:tcBorders>
            <w:shd w:val="clear" w:color="auto" w:fill="auto"/>
          </w:tcPr>
          <w:p w14:paraId="13927BAC" w14:textId="77777777" w:rsidR="00885B99" w:rsidRPr="00F50B0C" w:rsidRDefault="00885B99" w:rsidP="00FC15A2">
            <w:pPr>
              <w:pStyle w:val="Tabletext"/>
              <w:jc w:val="center"/>
            </w:pPr>
            <w:r w:rsidRPr="00F50B0C">
              <w:t>X</w:t>
            </w:r>
          </w:p>
        </w:tc>
        <w:tc>
          <w:tcPr>
            <w:tcW w:w="1417" w:type="dxa"/>
            <w:tcBorders>
              <w:bottom w:val="single" w:sz="4" w:space="0" w:color="auto"/>
            </w:tcBorders>
            <w:shd w:val="clear" w:color="auto" w:fill="auto"/>
          </w:tcPr>
          <w:p w14:paraId="759F33D2" w14:textId="77777777" w:rsidR="00885B99" w:rsidRPr="00F50B0C" w:rsidRDefault="00885B99" w:rsidP="00FC15A2">
            <w:pPr>
              <w:pStyle w:val="Tabletext"/>
              <w:jc w:val="center"/>
            </w:pPr>
            <w:r w:rsidRPr="00F50B0C">
              <w:t>X</w:t>
            </w:r>
          </w:p>
        </w:tc>
        <w:tc>
          <w:tcPr>
            <w:tcW w:w="1239" w:type="dxa"/>
            <w:shd w:val="clear" w:color="auto" w:fill="auto"/>
          </w:tcPr>
          <w:p w14:paraId="77940449" w14:textId="77777777" w:rsidR="00885B99" w:rsidRPr="00F50B0C" w:rsidRDefault="00885B99" w:rsidP="00FC15A2">
            <w:pPr>
              <w:pStyle w:val="Tabletext"/>
              <w:jc w:val="center"/>
            </w:pPr>
            <w:r w:rsidRPr="00F50B0C">
              <w:t>X</w:t>
            </w:r>
          </w:p>
        </w:tc>
      </w:tr>
      <w:tr w:rsidR="00CD567B" w:rsidRPr="009E5DED" w14:paraId="160E03C5" w14:textId="77777777" w:rsidTr="00CD567B">
        <w:tblPrEx>
          <w:tblBorders>
            <w:top w:val="single" w:sz="4" w:space="0" w:color="auto"/>
            <w:left w:val="single" w:sz="4" w:space="0" w:color="auto"/>
            <w:right w:val="single" w:sz="4" w:space="0" w:color="auto"/>
          </w:tblBorders>
        </w:tblPrEx>
        <w:trPr>
          <w:jc w:val="center"/>
        </w:trPr>
        <w:tc>
          <w:tcPr>
            <w:tcW w:w="7434" w:type="dxa"/>
            <w:tcBorders>
              <w:bottom w:val="single" w:sz="4" w:space="0" w:color="auto"/>
              <w:right w:val="nil"/>
            </w:tcBorders>
          </w:tcPr>
          <w:p w14:paraId="3CE51B66" w14:textId="77777777" w:rsidR="00CD567B" w:rsidRPr="00F50B0C" w:rsidRDefault="00CD567B" w:rsidP="00FC15A2">
            <w:pPr>
              <w:pStyle w:val="Tabletext"/>
            </w:pPr>
          </w:p>
        </w:tc>
        <w:tc>
          <w:tcPr>
            <w:tcW w:w="1474" w:type="dxa"/>
            <w:tcBorders>
              <w:left w:val="nil"/>
              <w:bottom w:val="single" w:sz="4" w:space="0" w:color="auto"/>
              <w:right w:val="nil"/>
            </w:tcBorders>
            <w:shd w:val="clear" w:color="auto" w:fill="auto"/>
          </w:tcPr>
          <w:p w14:paraId="3C58E947" w14:textId="77777777" w:rsidR="00CD567B" w:rsidRPr="00F50B0C" w:rsidRDefault="00CD567B" w:rsidP="00FC15A2">
            <w:pPr>
              <w:pStyle w:val="Tabletext"/>
              <w:jc w:val="center"/>
            </w:pPr>
          </w:p>
        </w:tc>
        <w:tc>
          <w:tcPr>
            <w:tcW w:w="1417" w:type="dxa"/>
            <w:tcBorders>
              <w:left w:val="nil"/>
              <w:bottom w:val="single" w:sz="4" w:space="0" w:color="auto"/>
              <w:right w:val="nil"/>
            </w:tcBorders>
            <w:shd w:val="clear" w:color="auto" w:fill="auto"/>
          </w:tcPr>
          <w:p w14:paraId="39FA1EBD" w14:textId="77777777" w:rsidR="00CD567B" w:rsidRPr="00F50B0C" w:rsidRDefault="00CD567B" w:rsidP="00FC15A2">
            <w:pPr>
              <w:pStyle w:val="Tabletext"/>
              <w:jc w:val="center"/>
            </w:pPr>
          </w:p>
        </w:tc>
        <w:tc>
          <w:tcPr>
            <w:tcW w:w="1361" w:type="dxa"/>
            <w:tcBorders>
              <w:left w:val="nil"/>
              <w:bottom w:val="single" w:sz="4" w:space="0" w:color="auto"/>
              <w:right w:val="nil"/>
            </w:tcBorders>
            <w:shd w:val="clear" w:color="auto" w:fill="auto"/>
          </w:tcPr>
          <w:p w14:paraId="4B79F93F" w14:textId="77777777" w:rsidR="00CD567B" w:rsidRPr="00F50B0C" w:rsidRDefault="00CD567B" w:rsidP="00FC15A2">
            <w:pPr>
              <w:pStyle w:val="Tabletext"/>
              <w:jc w:val="center"/>
            </w:pPr>
          </w:p>
        </w:tc>
        <w:tc>
          <w:tcPr>
            <w:tcW w:w="1417" w:type="dxa"/>
            <w:tcBorders>
              <w:left w:val="nil"/>
              <w:bottom w:val="single" w:sz="4" w:space="0" w:color="auto"/>
              <w:right w:val="nil"/>
            </w:tcBorders>
            <w:shd w:val="clear" w:color="auto" w:fill="auto"/>
          </w:tcPr>
          <w:p w14:paraId="215BD5C2" w14:textId="77777777" w:rsidR="00CD567B" w:rsidRPr="00F50B0C" w:rsidRDefault="00CD567B" w:rsidP="00FC15A2">
            <w:pPr>
              <w:pStyle w:val="Tabletext"/>
              <w:jc w:val="center"/>
            </w:pPr>
          </w:p>
        </w:tc>
        <w:tc>
          <w:tcPr>
            <w:tcW w:w="1239" w:type="dxa"/>
            <w:tcBorders>
              <w:left w:val="nil"/>
              <w:bottom w:val="single" w:sz="4" w:space="0" w:color="auto"/>
            </w:tcBorders>
            <w:shd w:val="clear" w:color="auto" w:fill="auto"/>
          </w:tcPr>
          <w:p w14:paraId="5B242E38" w14:textId="77777777" w:rsidR="00CD567B" w:rsidRPr="00F50B0C" w:rsidRDefault="00CD567B" w:rsidP="00FC15A2">
            <w:pPr>
              <w:pStyle w:val="Tabletext"/>
              <w:jc w:val="center"/>
            </w:pPr>
          </w:p>
        </w:tc>
      </w:tr>
      <w:tr w:rsidR="00885B99" w:rsidRPr="00F50B0C" w14:paraId="73DCA2CD" w14:textId="77777777" w:rsidTr="00CD567B">
        <w:tblPrEx>
          <w:tblBorders>
            <w:top w:val="single" w:sz="4" w:space="0" w:color="auto"/>
            <w:left w:val="single" w:sz="4" w:space="0" w:color="auto"/>
            <w:right w:val="single" w:sz="4" w:space="0" w:color="auto"/>
          </w:tblBorders>
        </w:tblPrEx>
        <w:trPr>
          <w:jc w:val="center"/>
        </w:trPr>
        <w:tc>
          <w:tcPr>
            <w:tcW w:w="7434" w:type="dxa"/>
          </w:tcPr>
          <w:p w14:paraId="234785C1" w14:textId="77777777" w:rsidR="00885B99" w:rsidRPr="00843EC0" w:rsidRDefault="00885B99" w:rsidP="00FC15A2">
            <w:pPr>
              <w:pStyle w:val="Tabletext"/>
              <w:keepNext/>
              <w:keepLines/>
              <w:rPr>
                <w:b/>
              </w:rPr>
            </w:pPr>
            <w:r w:rsidRPr="00843EC0">
              <w:rPr>
                <w:b/>
              </w:rPr>
              <w:t>QOS</w:t>
            </w:r>
          </w:p>
        </w:tc>
        <w:tc>
          <w:tcPr>
            <w:tcW w:w="1474" w:type="dxa"/>
            <w:shd w:val="clear" w:color="auto" w:fill="auto"/>
          </w:tcPr>
          <w:p w14:paraId="09E2FFCE" w14:textId="77777777" w:rsidR="00885B99" w:rsidRPr="00F50B0C" w:rsidRDefault="00885B99" w:rsidP="00FC15A2">
            <w:pPr>
              <w:pStyle w:val="Tabletext"/>
              <w:keepNext/>
              <w:keepLines/>
              <w:jc w:val="center"/>
            </w:pPr>
          </w:p>
        </w:tc>
        <w:tc>
          <w:tcPr>
            <w:tcW w:w="1417" w:type="dxa"/>
            <w:shd w:val="clear" w:color="auto" w:fill="auto"/>
          </w:tcPr>
          <w:p w14:paraId="647C2846" w14:textId="77777777" w:rsidR="00885B99" w:rsidRPr="00F50B0C" w:rsidRDefault="00885B99" w:rsidP="00FC15A2">
            <w:pPr>
              <w:pStyle w:val="Tabletext"/>
              <w:keepNext/>
              <w:keepLines/>
              <w:jc w:val="center"/>
            </w:pPr>
          </w:p>
        </w:tc>
        <w:tc>
          <w:tcPr>
            <w:tcW w:w="1361" w:type="dxa"/>
            <w:shd w:val="clear" w:color="auto" w:fill="auto"/>
          </w:tcPr>
          <w:p w14:paraId="0A21E63E" w14:textId="77777777" w:rsidR="00885B99" w:rsidRPr="00F50B0C" w:rsidRDefault="00885B99" w:rsidP="00FC15A2">
            <w:pPr>
              <w:pStyle w:val="Tabletext"/>
              <w:keepNext/>
              <w:keepLines/>
              <w:jc w:val="center"/>
            </w:pPr>
          </w:p>
        </w:tc>
        <w:tc>
          <w:tcPr>
            <w:tcW w:w="1417" w:type="dxa"/>
            <w:shd w:val="clear" w:color="auto" w:fill="auto"/>
          </w:tcPr>
          <w:p w14:paraId="518A7FB6" w14:textId="77777777" w:rsidR="00885B99" w:rsidRPr="00F50B0C" w:rsidRDefault="00885B99" w:rsidP="00FC15A2">
            <w:pPr>
              <w:pStyle w:val="Tabletext"/>
              <w:keepNext/>
              <w:keepLines/>
              <w:jc w:val="center"/>
            </w:pPr>
          </w:p>
        </w:tc>
        <w:tc>
          <w:tcPr>
            <w:tcW w:w="1239" w:type="dxa"/>
            <w:shd w:val="clear" w:color="auto" w:fill="auto"/>
          </w:tcPr>
          <w:p w14:paraId="495242E2" w14:textId="77777777" w:rsidR="00885B99" w:rsidRPr="00F50B0C" w:rsidRDefault="00885B99" w:rsidP="00FC15A2">
            <w:pPr>
              <w:pStyle w:val="Tabletext"/>
              <w:keepNext/>
              <w:keepLines/>
              <w:jc w:val="center"/>
            </w:pPr>
          </w:p>
        </w:tc>
      </w:tr>
      <w:tr w:rsidR="00885B99" w:rsidRPr="00F50B0C" w14:paraId="53B68A14" w14:textId="77777777" w:rsidTr="00CD567B">
        <w:tblPrEx>
          <w:tblBorders>
            <w:top w:val="single" w:sz="4" w:space="0" w:color="auto"/>
            <w:left w:val="single" w:sz="4" w:space="0" w:color="auto"/>
            <w:right w:val="single" w:sz="4" w:space="0" w:color="auto"/>
          </w:tblBorders>
        </w:tblPrEx>
        <w:trPr>
          <w:jc w:val="center"/>
        </w:trPr>
        <w:tc>
          <w:tcPr>
            <w:tcW w:w="7434" w:type="dxa"/>
          </w:tcPr>
          <w:p w14:paraId="725E9658" w14:textId="77777777" w:rsidR="00885B99" w:rsidRPr="00F50B0C" w:rsidRDefault="00885B99" w:rsidP="00FC15A2">
            <w:pPr>
              <w:pStyle w:val="Tabletext"/>
              <w:rPr>
                <w:u w:val="single"/>
              </w:rPr>
            </w:pPr>
            <w:r w:rsidRPr="00F50B0C">
              <w:t>QOS issues affecting access channels</w:t>
            </w:r>
          </w:p>
        </w:tc>
        <w:tc>
          <w:tcPr>
            <w:tcW w:w="1474" w:type="dxa"/>
            <w:shd w:val="clear" w:color="auto" w:fill="auto"/>
          </w:tcPr>
          <w:p w14:paraId="31BAA22F" w14:textId="77777777" w:rsidR="00885B99" w:rsidRPr="00F50B0C" w:rsidRDefault="00885B99" w:rsidP="00FC15A2">
            <w:pPr>
              <w:pStyle w:val="Tabletext"/>
              <w:jc w:val="center"/>
            </w:pPr>
            <w:r w:rsidRPr="00F50B0C">
              <w:t>X</w:t>
            </w:r>
          </w:p>
        </w:tc>
        <w:tc>
          <w:tcPr>
            <w:tcW w:w="1417" w:type="dxa"/>
            <w:shd w:val="clear" w:color="auto" w:fill="auto"/>
          </w:tcPr>
          <w:p w14:paraId="5FECB46C" w14:textId="77777777" w:rsidR="00885B99" w:rsidRPr="00F50B0C" w:rsidRDefault="00885B99" w:rsidP="00FC15A2">
            <w:pPr>
              <w:pStyle w:val="Tabletext"/>
              <w:jc w:val="center"/>
            </w:pPr>
          </w:p>
        </w:tc>
        <w:tc>
          <w:tcPr>
            <w:tcW w:w="1361" w:type="dxa"/>
            <w:shd w:val="clear" w:color="auto" w:fill="auto"/>
          </w:tcPr>
          <w:p w14:paraId="16D27ACA" w14:textId="77777777" w:rsidR="00885B99" w:rsidRPr="00F50B0C" w:rsidRDefault="00885B99" w:rsidP="00FC15A2">
            <w:pPr>
              <w:pStyle w:val="Tabletext"/>
              <w:jc w:val="center"/>
            </w:pPr>
          </w:p>
        </w:tc>
        <w:tc>
          <w:tcPr>
            <w:tcW w:w="1417" w:type="dxa"/>
            <w:shd w:val="clear" w:color="auto" w:fill="auto"/>
          </w:tcPr>
          <w:p w14:paraId="23BD4BE9" w14:textId="77777777" w:rsidR="00885B99" w:rsidRPr="00F50B0C" w:rsidRDefault="00885B99" w:rsidP="00FC15A2">
            <w:pPr>
              <w:pStyle w:val="Tabletext"/>
              <w:jc w:val="center"/>
            </w:pPr>
            <w:r w:rsidRPr="00F50B0C">
              <w:t>X</w:t>
            </w:r>
          </w:p>
        </w:tc>
        <w:tc>
          <w:tcPr>
            <w:tcW w:w="1239" w:type="dxa"/>
            <w:shd w:val="clear" w:color="auto" w:fill="auto"/>
          </w:tcPr>
          <w:p w14:paraId="3015E9C9" w14:textId="77777777" w:rsidR="00885B99" w:rsidRPr="00F50B0C" w:rsidRDefault="00885B99" w:rsidP="00FC15A2">
            <w:pPr>
              <w:pStyle w:val="Tabletext"/>
              <w:jc w:val="center"/>
            </w:pPr>
          </w:p>
        </w:tc>
      </w:tr>
      <w:tr w:rsidR="00885B99" w:rsidRPr="00F50B0C" w14:paraId="5477B0D4" w14:textId="77777777" w:rsidTr="00CD567B">
        <w:tblPrEx>
          <w:tblBorders>
            <w:top w:val="single" w:sz="4" w:space="0" w:color="auto"/>
            <w:left w:val="single" w:sz="4" w:space="0" w:color="auto"/>
            <w:right w:val="single" w:sz="4" w:space="0" w:color="auto"/>
          </w:tblBorders>
        </w:tblPrEx>
        <w:trPr>
          <w:jc w:val="center"/>
        </w:trPr>
        <w:tc>
          <w:tcPr>
            <w:tcW w:w="7434" w:type="dxa"/>
            <w:tcBorders>
              <w:bottom w:val="single" w:sz="4" w:space="0" w:color="auto"/>
            </w:tcBorders>
          </w:tcPr>
          <w:p w14:paraId="1CDBF4BD" w14:textId="77777777" w:rsidR="00885B99" w:rsidRPr="00F50B0C" w:rsidRDefault="00885B99" w:rsidP="00FC15A2">
            <w:pPr>
              <w:pStyle w:val="Tabletext"/>
            </w:pPr>
            <w:r w:rsidRPr="00F50B0C">
              <w:t>Lack of QOS terms in contracts</w:t>
            </w:r>
            <w:r>
              <w:rPr>
                <w:rStyle w:val="FootnoteReference"/>
              </w:rPr>
              <w:footnoteReference w:id="31"/>
            </w:r>
          </w:p>
        </w:tc>
        <w:tc>
          <w:tcPr>
            <w:tcW w:w="1474" w:type="dxa"/>
            <w:tcBorders>
              <w:bottom w:val="single" w:sz="4" w:space="0" w:color="auto"/>
            </w:tcBorders>
            <w:shd w:val="clear" w:color="auto" w:fill="auto"/>
          </w:tcPr>
          <w:p w14:paraId="3D48B779" w14:textId="77777777" w:rsidR="00885B99" w:rsidRPr="00F50B0C" w:rsidRDefault="00885B99" w:rsidP="00FC15A2">
            <w:pPr>
              <w:pStyle w:val="Tabletext"/>
              <w:jc w:val="center"/>
            </w:pPr>
            <w:r w:rsidRPr="00F50B0C">
              <w:t>X</w:t>
            </w:r>
          </w:p>
        </w:tc>
        <w:tc>
          <w:tcPr>
            <w:tcW w:w="1417" w:type="dxa"/>
            <w:tcBorders>
              <w:bottom w:val="single" w:sz="4" w:space="0" w:color="auto"/>
            </w:tcBorders>
            <w:shd w:val="clear" w:color="auto" w:fill="auto"/>
          </w:tcPr>
          <w:p w14:paraId="29B37B5E" w14:textId="77777777" w:rsidR="00885B99" w:rsidRPr="00F50B0C" w:rsidRDefault="00885B99" w:rsidP="00FC15A2">
            <w:pPr>
              <w:pStyle w:val="Tabletext"/>
              <w:jc w:val="center"/>
            </w:pPr>
            <w:r w:rsidRPr="00F50B0C">
              <w:t>X</w:t>
            </w:r>
          </w:p>
        </w:tc>
        <w:tc>
          <w:tcPr>
            <w:tcW w:w="1361" w:type="dxa"/>
            <w:tcBorders>
              <w:bottom w:val="single" w:sz="4" w:space="0" w:color="auto"/>
            </w:tcBorders>
            <w:shd w:val="clear" w:color="auto" w:fill="auto"/>
          </w:tcPr>
          <w:p w14:paraId="659099E4" w14:textId="77777777" w:rsidR="00885B99" w:rsidRPr="00F50B0C" w:rsidRDefault="00885B99" w:rsidP="00FC15A2">
            <w:pPr>
              <w:pStyle w:val="Tabletext"/>
              <w:jc w:val="center"/>
            </w:pPr>
            <w:r w:rsidRPr="00F50B0C">
              <w:t>X</w:t>
            </w:r>
          </w:p>
        </w:tc>
        <w:tc>
          <w:tcPr>
            <w:tcW w:w="1417" w:type="dxa"/>
            <w:tcBorders>
              <w:bottom w:val="single" w:sz="4" w:space="0" w:color="auto"/>
            </w:tcBorders>
            <w:shd w:val="clear" w:color="auto" w:fill="auto"/>
          </w:tcPr>
          <w:p w14:paraId="776CAA60" w14:textId="77777777" w:rsidR="00885B99" w:rsidRPr="00F50B0C" w:rsidRDefault="00885B99" w:rsidP="00FC15A2">
            <w:pPr>
              <w:pStyle w:val="Tabletext"/>
              <w:jc w:val="center"/>
            </w:pPr>
            <w:r w:rsidRPr="00F50B0C">
              <w:t>X</w:t>
            </w:r>
          </w:p>
        </w:tc>
        <w:tc>
          <w:tcPr>
            <w:tcW w:w="1239" w:type="dxa"/>
            <w:tcBorders>
              <w:bottom w:val="single" w:sz="4" w:space="0" w:color="auto"/>
            </w:tcBorders>
            <w:shd w:val="clear" w:color="auto" w:fill="auto"/>
          </w:tcPr>
          <w:p w14:paraId="1ED109F5" w14:textId="77777777" w:rsidR="00885B99" w:rsidRPr="00F50B0C" w:rsidRDefault="00885B99" w:rsidP="00FC15A2">
            <w:pPr>
              <w:pStyle w:val="Tabletext"/>
              <w:jc w:val="center"/>
            </w:pPr>
            <w:r w:rsidRPr="00F50B0C">
              <w:t>X</w:t>
            </w:r>
          </w:p>
        </w:tc>
      </w:tr>
      <w:tr w:rsidR="00885B99" w:rsidRPr="00F50B0C" w14:paraId="6E82B01C" w14:textId="77777777" w:rsidTr="00CD567B">
        <w:tblPrEx>
          <w:tblBorders>
            <w:top w:val="single" w:sz="4" w:space="0" w:color="auto"/>
            <w:left w:val="single" w:sz="4" w:space="0" w:color="auto"/>
            <w:right w:val="single" w:sz="4" w:space="0" w:color="auto"/>
          </w:tblBorders>
        </w:tblPrEx>
        <w:trPr>
          <w:jc w:val="center"/>
        </w:trPr>
        <w:tc>
          <w:tcPr>
            <w:tcW w:w="7434" w:type="dxa"/>
            <w:tcBorders>
              <w:bottom w:val="single" w:sz="4" w:space="0" w:color="auto"/>
            </w:tcBorders>
          </w:tcPr>
          <w:p w14:paraId="0EC79108" w14:textId="77777777" w:rsidR="00885B99" w:rsidRPr="00F50B0C" w:rsidRDefault="00885B99" w:rsidP="00FC15A2">
            <w:pPr>
              <w:pStyle w:val="Tabletext"/>
            </w:pPr>
            <w:r w:rsidRPr="00F50B0C">
              <w:t>Lack of optimal grievance redress in case of QOS</w:t>
            </w:r>
          </w:p>
        </w:tc>
        <w:tc>
          <w:tcPr>
            <w:tcW w:w="1474" w:type="dxa"/>
            <w:tcBorders>
              <w:bottom w:val="single" w:sz="4" w:space="0" w:color="auto"/>
            </w:tcBorders>
            <w:shd w:val="clear" w:color="auto" w:fill="auto"/>
          </w:tcPr>
          <w:p w14:paraId="1913957C" w14:textId="77777777" w:rsidR="00885B99" w:rsidRPr="00F50B0C" w:rsidRDefault="00885B99" w:rsidP="00FC15A2">
            <w:pPr>
              <w:pStyle w:val="Tabletext"/>
              <w:jc w:val="center"/>
            </w:pPr>
            <w:r w:rsidRPr="00F50B0C">
              <w:t>X</w:t>
            </w:r>
          </w:p>
        </w:tc>
        <w:tc>
          <w:tcPr>
            <w:tcW w:w="1417" w:type="dxa"/>
            <w:tcBorders>
              <w:bottom w:val="single" w:sz="4" w:space="0" w:color="auto"/>
            </w:tcBorders>
            <w:shd w:val="clear" w:color="auto" w:fill="auto"/>
          </w:tcPr>
          <w:p w14:paraId="1F5A64A8" w14:textId="77777777" w:rsidR="00885B99" w:rsidRPr="00F50B0C" w:rsidRDefault="00885B99" w:rsidP="00FC15A2">
            <w:pPr>
              <w:pStyle w:val="Tabletext"/>
              <w:jc w:val="center"/>
            </w:pPr>
            <w:r w:rsidRPr="00F50B0C">
              <w:t>X</w:t>
            </w:r>
          </w:p>
        </w:tc>
        <w:tc>
          <w:tcPr>
            <w:tcW w:w="1361" w:type="dxa"/>
            <w:tcBorders>
              <w:bottom w:val="single" w:sz="4" w:space="0" w:color="auto"/>
            </w:tcBorders>
            <w:shd w:val="clear" w:color="auto" w:fill="auto"/>
          </w:tcPr>
          <w:p w14:paraId="69D433C1" w14:textId="77777777" w:rsidR="00885B99" w:rsidRPr="00F50B0C" w:rsidRDefault="00885B99" w:rsidP="00FC15A2">
            <w:pPr>
              <w:pStyle w:val="Tabletext"/>
              <w:jc w:val="center"/>
            </w:pPr>
            <w:r w:rsidRPr="00F50B0C">
              <w:t>X</w:t>
            </w:r>
          </w:p>
        </w:tc>
        <w:tc>
          <w:tcPr>
            <w:tcW w:w="1417" w:type="dxa"/>
            <w:tcBorders>
              <w:bottom w:val="single" w:sz="4" w:space="0" w:color="auto"/>
            </w:tcBorders>
            <w:shd w:val="clear" w:color="auto" w:fill="auto"/>
          </w:tcPr>
          <w:p w14:paraId="0CD27232" w14:textId="77777777" w:rsidR="00885B99" w:rsidRPr="00F50B0C" w:rsidRDefault="00885B99" w:rsidP="00FC15A2">
            <w:pPr>
              <w:pStyle w:val="Tabletext"/>
              <w:jc w:val="center"/>
            </w:pPr>
            <w:r w:rsidRPr="00F50B0C">
              <w:t>X</w:t>
            </w:r>
          </w:p>
        </w:tc>
        <w:tc>
          <w:tcPr>
            <w:tcW w:w="1239" w:type="dxa"/>
            <w:tcBorders>
              <w:bottom w:val="single" w:sz="4" w:space="0" w:color="auto"/>
            </w:tcBorders>
            <w:shd w:val="clear" w:color="auto" w:fill="auto"/>
          </w:tcPr>
          <w:p w14:paraId="00739E0B" w14:textId="77777777" w:rsidR="00885B99" w:rsidRPr="00F50B0C" w:rsidRDefault="00885B99" w:rsidP="00FC15A2">
            <w:pPr>
              <w:pStyle w:val="Tabletext"/>
              <w:jc w:val="center"/>
            </w:pPr>
            <w:r w:rsidRPr="00F50B0C">
              <w:t>X</w:t>
            </w:r>
          </w:p>
        </w:tc>
      </w:tr>
      <w:tr w:rsidR="00885B99" w:rsidRPr="00F50B0C" w14:paraId="09E68C5C" w14:textId="77777777" w:rsidTr="00CD567B">
        <w:tblPrEx>
          <w:tblBorders>
            <w:top w:val="single" w:sz="4" w:space="0" w:color="auto"/>
            <w:left w:val="single" w:sz="4" w:space="0" w:color="auto"/>
            <w:right w:val="single" w:sz="4" w:space="0" w:color="auto"/>
          </w:tblBorders>
        </w:tblPrEx>
        <w:trPr>
          <w:jc w:val="center"/>
        </w:trPr>
        <w:tc>
          <w:tcPr>
            <w:tcW w:w="7434" w:type="dxa"/>
            <w:tcBorders>
              <w:left w:val="single" w:sz="4" w:space="0" w:color="auto"/>
              <w:right w:val="nil"/>
            </w:tcBorders>
          </w:tcPr>
          <w:p w14:paraId="26AB1125" w14:textId="77777777" w:rsidR="00885B99" w:rsidRPr="00F50B0C" w:rsidRDefault="00885B99" w:rsidP="00FC15A2">
            <w:pPr>
              <w:pStyle w:val="Tabletext"/>
            </w:pPr>
          </w:p>
        </w:tc>
        <w:tc>
          <w:tcPr>
            <w:tcW w:w="1474" w:type="dxa"/>
            <w:tcBorders>
              <w:left w:val="nil"/>
              <w:right w:val="nil"/>
            </w:tcBorders>
            <w:shd w:val="clear" w:color="auto" w:fill="auto"/>
          </w:tcPr>
          <w:p w14:paraId="0BBD77E9" w14:textId="77777777" w:rsidR="00885B99" w:rsidRPr="00F50B0C" w:rsidRDefault="00885B99" w:rsidP="00FC15A2">
            <w:pPr>
              <w:pStyle w:val="Tabletext"/>
              <w:jc w:val="center"/>
            </w:pPr>
          </w:p>
        </w:tc>
        <w:tc>
          <w:tcPr>
            <w:tcW w:w="1417" w:type="dxa"/>
            <w:tcBorders>
              <w:left w:val="nil"/>
              <w:right w:val="nil"/>
            </w:tcBorders>
            <w:shd w:val="clear" w:color="auto" w:fill="auto"/>
          </w:tcPr>
          <w:p w14:paraId="7EADD359" w14:textId="77777777" w:rsidR="00885B99" w:rsidRPr="00F50B0C" w:rsidRDefault="00885B99" w:rsidP="00FC15A2">
            <w:pPr>
              <w:pStyle w:val="Tabletext"/>
              <w:jc w:val="center"/>
            </w:pPr>
          </w:p>
        </w:tc>
        <w:tc>
          <w:tcPr>
            <w:tcW w:w="1361" w:type="dxa"/>
            <w:tcBorders>
              <w:left w:val="nil"/>
              <w:right w:val="nil"/>
            </w:tcBorders>
            <w:shd w:val="clear" w:color="auto" w:fill="auto"/>
          </w:tcPr>
          <w:p w14:paraId="6D91F5E4" w14:textId="77777777" w:rsidR="00885B99" w:rsidRPr="00F50B0C" w:rsidRDefault="00885B99" w:rsidP="00FC15A2">
            <w:pPr>
              <w:pStyle w:val="Tabletext"/>
              <w:jc w:val="center"/>
            </w:pPr>
          </w:p>
        </w:tc>
        <w:tc>
          <w:tcPr>
            <w:tcW w:w="1417" w:type="dxa"/>
            <w:tcBorders>
              <w:left w:val="nil"/>
              <w:right w:val="nil"/>
            </w:tcBorders>
            <w:shd w:val="clear" w:color="auto" w:fill="auto"/>
          </w:tcPr>
          <w:p w14:paraId="13930FB6" w14:textId="77777777" w:rsidR="00885B99" w:rsidRPr="00F50B0C" w:rsidRDefault="00885B99" w:rsidP="00FC15A2">
            <w:pPr>
              <w:pStyle w:val="Tabletext"/>
              <w:jc w:val="center"/>
            </w:pPr>
          </w:p>
        </w:tc>
        <w:tc>
          <w:tcPr>
            <w:tcW w:w="1239" w:type="dxa"/>
            <w:tcBorders>
              <w:left w:val="nil"/>
              <w:right w:val="single" w:sz="4" w:space="0" w:color="auto"/>
            </w:tcBorders>
            <w:shd w:val="clear" w:color="auto" w:fill="auto"/>
          </w:tcPr>
          <w:p w14:paraId="0BCE718B" w14:textId="77777777" w:rsidR="00885B99" w:rsidRPr="00F50B0C" w:rsidRDefault="00885B99" w:rsidP="00FC15A2">
            <w:pPr>
              <w:pStyle w:val="Tabletext"/>
              <w:jc w:val="center"/>
            </w:pPr>
          </w:p>
        </w:tc>
      </w:tr>
      <w:tr w:rsidR="00885B99" w:rsidRPr="00F50B0C" w14:paraId="048D1D4A" w14:textId="77777777" w:rsidTr="00CD567B">
        <w:tblPrEx>
          <w:tblBorders>
            <w:top w:val="single" w:sz="4" w:space="0" w:color="auto"/>
            <w:left w:val="single" w:sz="4" w:space="0" w:color="auto"/>
            <w:right w:val="single" w:sz="4" w:space="0" w:color="auto"/>
          </w:tblBorders>
        </w:tblPrEx>
        <w:trPr>
          <w:jc w:val="center"/>
        </w:trPr>
        <w:tc>
          <w:tcPr>
            <w:tcW w:w="7434" w:type="dxa"/>
          </w:tcPr>
          <w:p w14:paraId="6CA35500" w14:textId="77777777" w:rsidR="00885B99" w:rsidRPr="00843EC0" w:rsidRDefault="00885B99" w:rsidP="00FC15A2">
            <w:pPr>
              <w:pStyle w:val="Tabletext"/>
              <w:rPr>
                <w:b/>
              </w:rPr>
            </w:pPr>
            <w:r w:rsidRPr="00843EC0">
              <w:rPr>
                <w:b/>
              </w:rPr>
              <w:t>Big data</w:t>
            </w:r>
          </w:p>
        </w:tc>
        <w:tc>
          <w:tcPr>
            <w:tcW w:w="1474" w:type="dxa"/>
            <w:shd w:val="clear" w:color="auto" w:fill="auto"/>
          </w:tcPr>
          <w:p w14:paraId="5100C7F3" w14:textId="77777777" w:rsidR="00885B99" w:rsidRPr="00F50B0C" w:rsidRDefault="00885B99" w:rsidP="00FC15A2">
            <w:pPr>
              <w:pStyle w:val="Tabletext"/>
              <w:jc w:val="center"/>
            </w:pPr>
          </w:p>
        </w:tc>
        <w:tc>
          <w:tcPr>
            <w:tcW w:w="1417" w:type="dxa"/>
            <w:shd w:val="clear" w:color="auto" w:fill="auto"/>
          </w:tcPr>
          <w:p w14:paraId="2603A54C" w14:textId="77777777" w:rsidR="00885B99" w:rsidRPr="00F50B0C" w:rsidRDefault="00885B99" w:rsidP="00FC15A2">
            <w:pPr>
              <w:pStyle w:val="Tabletext"/>
              <w:jc w:val="center"/>
            </w:pPr>
          </w:p>
        </w:tc>
        <w:tc>
          <w:tcPr>
            <w:tcW w:w="1361" w:type="dxa"/>
            <w:shd w:val="clear" w:color="auto" w:fill="auto"/>
          </w:tcPr>
          <w:p w14:paraId="74E91D49" w14:textId="77777777" w:rsidR="00885B99" w:rsidRPr="00F50B0C" w:rsidRDefault="00885B99" w:rsidP="00FC15A2">
            <w:pPr>
              <w:pStyle w:val="Tabletext"/>
              <w:jc w:val="center"/>
            </w:pPr>
          </w:p>
        </w:tc>
        <w:tc>
          <w:tcPr>
            <w:tcW w:w="1417" w:type="dxa"/>
            <w:shd w:val="clear" w:color="auto" w:fill="auto"/>
          </w:tcPr>
          <w:p w14:paraId="2E158111" w14:textId="77777777" w:rsidR="00885B99" w:rsidRPr="00F50B0C" w:rsidRDefault="00885B99" w:rsidP="00FC15A2">
            <w:pPr>
              <w:pStyle w:val="Tabletext"/>
              <w:jc w:val="center"/>
            </w:pPr>
          </w:p>
        </w:tc>
        <w:tc>
          <w:tcPr>
            <w:tcW w:w="1239" w:type="dxa"/>
            <w:shd w:val="clear" w:color="auto" w:fill="auto"/>
          </w:tcPr>
          <w:p w14:paraId="0A053349" w14:textId="77777777" w:rsidR="00885B99" w:rsidRPr="00F50B0C" w:rsidRDefault="00885B99" w:rsidP="00FC15A2">
            <w:pPr>
              <w:pStyle w:val="Tabletext"/>
              <w:jc w:val="center"/>
            </w:pPr>
          </w:p>
        </w:tc>
      </w:tr>
      <w:tr w:rsidR="00885B99" w:rsidRPr="00F50B0C" w14:paraId="7814C88B" w14:textId="77777777" w:rsidTr="00CD567B">
        <w:tblPrEx>
          <w:tblBorders>
            <w:top w:val="single" w:sz="4" w:space="0" w:color="auto"/>
            <w:left w:val="single" w:sz="4" w:space="0" w:color="auto"/>
            <w:right w:val="single" w:sz="4" w:space="0" w:color="auto"/>
          </w:tblBorders>
        </w:tblPrEx>
        <w:trPr>
          <w:jc w:val="center"/>
        </w:trPr>
        <w:tc>
          <w:tcPr>
            <w:tcW w:w="7434" w:type="dxa"/>
            <w:tcBorders>
              <w:bottom w:val="single" w:sz="4" w:space="0" w:color="auto"/>
            </w:tcBorders>
          </w:tcPr>
          <w:p w14:paraId="34A941FA" w14:textId="77777777" w:rsidR="00885B99" w:rsidRPr="00F50B0C" w:rsidRDefault="00885B99" w:rsidP="00FC15A2">
            <w:pPr>
              <w:pStyle w:val="Tabletext"/>
            </w:pPr>
            <w:r w:rsidRPr="00F50B0C">
              <w:t>Inability to get full access to proprietary data sets</w:t>
            </w:r>
            <w:r>
              <w:rPr>
                <w:rStyle w:val="FootnoteReference"/>
              </w:rPr>
              <w:footnoteReference w:id="32"/>
            </w:r>
          </w:p>
        </w:tc>
        <w:tc>
          <w:tcPr>
            <w:tcW w:w="1474" w:type="dxa"/>
            <w:tcBorders>
              <w:bottom w:val="single" w:sz="4" w:space="0" w:color="auto"/>
            </w:tcBorders>
            <w:shd w:val="clear" w:color="auto" w:fill="auto"/>
          </w:tcPr>
          <w:p w14:paraId="5C54E019" w14:textId="77777777" w:rsidR="00885B99" w:rsidRPr="00F50B0C" w:rsidRDefault="00885B99" w:rsidP="00FC15A2">
            <w:pPr>
              <w:pStyle w:val="Tabletext"/>
              <w:jc w:val="center"/>
            </w:pPr>
            <w:r w:rsidRPr="00F50B0C">
              <w:t>X</w:t>
            </w:r>
          </w:p>
        </w:tc>
        <w:tc>
          <w:tcPr>
            <w:tcW w:w="1417" w:type="dxa"/>
            <w:tcBorders>
              <w:bottom w:val="single" w:sz="4" w:space="0" w:color="auto"/>
            </w:tcBorders>
            <w:shd w:val="clear" w:color="auto" w:fill="auto"/>
          </w:tcPr>
          <w:p w14:paraId="3F25F57A" w14:textId="77777777" w:rsidR="00885B99" w:rsidRPr="00F50B0C" w:rsidRDefault="00885B99" w:rsidP="00FC15A2">
            <w:pPr>
              <w:pStyle w:val="Tabletext"/>
              <w:jc w:val="center"/>
            </w:pPr>
            <w:r w:rsidRPr="00F50B0C">
              <w:t>X</w:t>
            </w:r>
            <w:r>
              <w:rPr>
                <w:rStyle w:val="FootnoteReference"/>
              </w:rPr>
              <w:footnoteReference w:id="33"/>
            </w:r>
          </w:p>
        </w:tc>
        <w:tc>
          <w:tcPr>
            <w:tcW w:w="1361" w:type="dxa"/>
            <w:tcBorders>
              <w:bottom w:val="single" w:sz="4" w:space="0" w:color="auto"/>
            </w:tcBorders>
            <w:shd w:val="clear" w:color="auto" w:fill="auto"/>
          </w:tcPr>
          <w:p w14:paraId="2E470D5B" w14:textId="77777777" w:rsidR="00885B99" w:rsidRPr="00F50B0C" w:rsidRDefault="00885B99" w:rsidP="00FC15A2">
            <w:pPr>
              <w:pStyle w:val="Tabletext"/>
              <w:jc w:val="center"/>
            </w:pPr>
            <w:r w:rsidRPr="00F50B0C">
              <w:t>X</w:t>
            </w:r>
          </w:p>
        </w:tc>
        <w:tc>
          <w:tcPr>
            <w:tcW w:w="1417" w:type="dxa"/>
            <w:tcBorders>
              <w:bottom w:val="single" w:sz="4" w:space="0" w:color="auto"/>
            </w:tcBorders>
            <w:shd w:val="clear" w:color="auto" w:fill="auto"/>
          </w:tcPr>
          <w:p w14:paraId="76D83332" w14:textId="77777777" w:rsidR="00885B99" w:rsidRPr="00F50B0C" w:rsidRDefault="00885B99" w:rsidP="00FC15A2">
            <w:pPr>
              <w:pStyle w:val="Tabletext"/>
              <w:jc w:val="center"/>
            </w:pPr>
            <w:r w:rsidRPr="00F50B0C">
              <w:t>X</w:t>
            </w:r>
          </w:p>
        </w:tc>
        <w:tc>
          <w:tcPr>
            <w:tcW w:w="1239" w:type="dxa"/>
            <w:tcBorders>
              <w:bottom w:val="single" w:sz="4" w:space="0" w:color="auto"/>
            </w:tcBorders>
            <w:shd w:val="clear" w:color="auto" w:fill="auto"/>
          </w:tcPr>
          <w:p w14:paraId="5F310EE1" w14:textId="77777777" w:rsidR="00885B99" w:rsidRPr="00F50B0C" w:rsidRDefault="00885B99" w:rsidP="00FC15A2">
            <w:pPr>
              <w:pStyle w:val="Tabletext"/>
              <w:jc w:val="center"/>
            </w:pPr>
            <w:r w:rsidRPr="00F50B0C">
              <w:t>X</w:t>
            </w:r>
          </w:p>
        </w:tc>
      </w:tr>
      <w:tr w:rsidR="00885B99" w:rsidRPr="00F50B0C" w14:paraId="25165487" w14:textId="77777777" w:rsidTr="003733D5">
        <w:tblPrEx>
          <w:tblBorders>
            <w:top w:val="single" w:sz="4" w:space="0" w:color="auto"/>
            <w:left w:val="single" w:sz="4" w:space="0" w:color="auto"/>
            <w:right w:val="single" w:sz="4" w:space="0" w:color="auto"/>
          </w:tblBorders>
        </w:tblPrEx>
        <w:trPr>
          <w:jc w:val="center"/>
        </w:trPr>
        <w:tc>
          <w:tcPr>
            <w:tcW w:w="7434" w:type="dxa"/>
            <w:tcBorders>
              <w:left w:val="nil"/>
              <w:bottom w:val="single" w:sz="4" w:space="0" w:color="auto"/>
              <w:right w:val="nil"/>
            </w:tcBorders>
          </w:tcPr>
          <w:p w14:paraId="505E7189" w14:textId="77777777" w:rsidR="00885B99" w:rsidRPr="00F50B0C" w:rsidRDefault="00885B99" w:rsidP="00FC15A2">
            <w:pPr>
              <w:pStyle w:val="Tabletext"/>
            </w:pPr>
          </w:p>
        </w:tc>
        <w:tc>
          <w:tcPr>
            <w:tcW w:w="1474" w:type="dxa"/>
            <w:tcBorders>
              <w:left w:val="nil"/>
              <w:bottom w:val="single" w:sz="4" w:space="0" w:color="auto"/>
              <w:right w:val="nil"/>
            </w:tcBorders>
            <w:shd w:val="clear" w:color="auto" w:fill="auto"/>
          </w:tcPr>
          <w:p w14:paraId="5236641E" w14:textId="77777777" w:rsidR="00885B99" w:rsidRPr="00F50B0C" w:rsidRDefault="00885B99" w:rsidP="00FC15A2">
            <w:pPr>
              <w:pStyle w:val="Tabletext"/>
              <w:jc w:val="center"/>
            </w:pPr>
          </w:p>
        </w:tc>
        <w:tc>
          <w:tcPr>
            <w:tcW w:w="1417" w:type="dxa"/>
            <w:tcBorders>
              <w:left w:val="nil"/>
              <w:bottom w:val="single" w:sz="4" w:space="0" w:color="auto"/>
              <w:right w:val="nil"/>
            </w:tcBorders>
            <w:shd w:val="clear" w:color="auto" w:fill="auto"/>
          </w:tcPr>
          <w:p w14:paraId="0BABBA74" w14:textId="77777777" w:rsidR="00885B99" w:rsidRPr="00F50B0C" w:rsidRDefault="00885B99" w:rsidP="00FC15A2">
            <w:pPr>
              <w:pStyle w:val="Tabletext"/>
              <w:jc w:val="center"/>
            </w:pPr>
          </w:p>
        </w:tc>
        <w:tc>
          <w:tcPr>
            <w:tcW w:w="1361" w:type="dxa"/>
            <w:tcBorders>
              <w:left w:val="nil"/>
              <w:bottom w:val="single" w:sz="4" w:space="0" w:color="auto"/>
              <w:right w:val="nil"/>
            </w:tcBorders>
            <w:shd w:val="clear" w:color="auto" w:fill="auto"/>
          </w:tcPr>
          <w:p w14:paraId="561CA8AA" w14:textId="77777777" w:rsidR="00885B99" w:rsidRPr="00F50B0C" w:rsidRDefault="00885B99" w:rsidP="00FC15A2">
            <w:pPr>
              <w:pStyle w:val="Tabletext"/>
              <w:jc w:val="center"/>
            </w:pPr>
          </w:p>
        </w:tc>
        <w:tc>
          <w:tcPr>
            <w:tcW w:w="1417" w:type="dxa"/>
            <w:tcBorders>
              <w:left w:val="nil"/>
              <w:bottom w:val="single" w:sz="4" w:space="0" w:color="auto"/>
              <w:right w:val="nil"/>
            </w:tcBorders>
            <w:shd w:val="clear" w:color="auto" w:fill="auto"/>
          </w:tcPr>
          <w:p w14:paraId="247F6843" w14:textId="77777777" w:rsidR="00885B99" w:rsidRPr="00F50B0C" w:rsidRDefault="00885B99" w:rsidP="00FC15A2">
            <w:pPr>
              <w:pStyle w:val="Tabletext"/>
              <w:jc w:val="center"/>
            </w:pPr>
          </w:p>
        </w:tc>
        <w:tc>
          <w:tcPr>
            <w:tcW w:w="1239" w:type="dxa"/>
            <w:tcBorders>
              <w:left w:val="nil"/>
              <w:bottom w:val="single" w:sz="4" w:space="0" w:color="auto"/>
              <w:right w:val="nil"/>
            </w:tcBorders>
            <w:shd w:val="clear" w:color="auto" w:fill="auto"/>
          </w:tcPr>
          <w:p w14:paraId="46CF9866" w14:textId="77777777" w:rsidR="00885B99" w:rsidRPr="00F50B0C" w:rsidRDefault="00885B99" w:rsidP="00FC15A2">
            <w:pPr>
              <w:pStyle w:val="Tabletext"/>
              <w:jc w:val="center"/>
            </w:pPr>
          </w:p>
        </w:tc>
      </w:tr>
      <w:tr w:rsidR="00885B99" w:rsidRPr="00F50B0C" w14:paraId="7E20C298" w14:textId="77777777" w:rsidTr="003733D5">
        <w:tblPrEx>
          <w:tblBorders>
            <w:top w:val="single" w:sz="4" w:space="0" w:color="auto"/>
            <w:left w:val="single" w:sz="4" w:space="0" w:color="auto"/>
            <w:right w:val="single" w:sz="4" w:space="0" w:color="auto"/>
          </w:tblBorders>
        </w:tblPrEx>
        <w:trPr>
          <w:jc w:val="center"/>
        </w:trPr>
        <w:tc>
          <w:tcPr>
            <w:tcW w:w="7434" w:type="dxa"/>
            <w:tcBorders>
              <w:top w:val="single" w:sz="4" w:space="0" w:color="auto"/>
            </w:tcBorders>
          </w:tcPr>
          <w:p w14:paraId="64B57FDB" w14:textId="77777777" w:rsidR="00885B99" w:rsidRPr="00843EC0" w:rsidRDefault="00885B99" w:rsidP="00FC15A2">
            <w:pPr>
              <w:pStyle w:val="Tabletext"/>
              <w:keepNext/>
              <w:keepLines/>
              <w:rPr>
                <w:b/>
              </w:rPr>
            </w:pPr>
            <w:r w:rsidRPr="00843EC0">
              <w:rPr>
                <w:b/>
              </w:rPr>
              <w:lastRenderedPageBreak/>
              <w:t>Asymmetric compliance requirements</w:t>
            </w:r>
          </w:p>
        </w:tc>
        <w:tc>
          <w:tcPr>
            <w:tcW w:w="1474" w:type="dxa"/>
            <w:tcBorders>
              <w:top w:val="single" w:sz="4" w:space="0" w:color="auto"/>
            </w:tcBorders>
            <w:shd w:val="clear" w:color="auto" w:fill="auto"/>
          </w:tcPr>
          <w:p w14:paraId="21F6D2F8" w14:textId="77777777" w:rsidR="00885B99" w:rsidRPr="00F50B0C" w:rsidRDefault="00885B99" w:rsidP="00FC15A2">
            <w:pPr>
              <w:pStyle w:val="Tabletext"/>
              <w:keepNext/>
              <w:keepLines/>
              <w:jc w:val="center"/>
            </w:pPr>
          </w:p>
        </w:tc>
        <w:tc>
          <w:tcPr>
            <w:tcW w:w="1417" w:type="dxa"/>
            <w:tcBorders>
              <w:top w:val="single" w:sz="4" w:space="0" w:color="auto"/>
            </w:tcBorders>
            <w:shd w:val="clear" w:color="auto" w:fill="auto"/>
          </w:tcPr>
          <w:p w14:paraId="150848D7" w14:textId="77777777" w:rsidR="00885B99" w:rsidRPr="00F50B0C" w:rsidRDefault="00885B99" w:rsidP="00FC15A2">
            <w:pPr>
              <w:pStyle w:val="Tabletext"/>
              <w:keepNext/>
              <w:keepLines/>
              <w:jc w:val="center"/>
            </w:pPr>
          </w:p>
        </w:tc>
        <w:tc>
          <w:tcPr>
            <w:tcW w:w="1361" w:type="dxa"/>
            <w:tcBorders>
              <w:top w:val="single" w:sz="4" w:space="0" w:color="auto"/>
            </w:tcBorders>
            <w:shd w:val="clear" w:color="auto" w:fill="auto"/>
          </w:tcPr>
          <w:p w14:paraId="79DF2449" w14:textId="77777777" w:rsidR="00885B99" w:rsidRPr="00F50B0C" w:rsidRDefault="00885B99" w:rsidP="00FC15A2">
            <w:pPr>
              <w:pStyle w:val="Tabletext"/>
              <w:keepNext/>
              <w:keepLines/>
              <w:jc w:val="center"/>
            </w:pPr>
          </w:p>
        </w:tc>
        <w:tc>
          <w:tcPr>
            <w:tcW w:w="1417" w:type="dxa"/>
            <w:tcBorders>
              <w:top w:val="single" w:sz="4" w:space="0" w:color="auto"/>
            </w:tcBorders>
            <w:shd w:val="clear" w:color="auto" w:fill="auto"/>
          </w:tcPr>
          <w:p w14:paraId="00800FF7" w14:textId="77777777" w:rsidR="00885B99" w:rsidRPr="00F50B0C" w:rsidRDefault="00885B99" w:rsidP="00FC15A2">
            <w:pPr>
              <w:pStyle w:val="Tabletext"/>
              <w:keepNext/>
              <w:keepLines/>
              <w:jc w:val="center"/>
            </w:pPr>
          </w:p>
        </w:tc>
        <w:tc>
          <w:tcPr>
            <w:tcW w:w="1239" w:type="dxa"/>
            <w:tcBorders>
              <w:top w:val="single" w:sz="4" w:space="0" w:color="auto"/>
            </w:tcBorders>
            <w:shd w:val="clear" w:color="auto" w:fill="auto"/>
          </w:tcPr>
          <w:p w14:paraId="4BF12B8E" w14:textId="77777777" w:rsidR="00885B99" w:rsidRPr="00F50B0C" w:rsidRDefault="00885B99" w:rsidP="00FC15A2">
            <w:pPr>
              <w:pStyle w:val="Tabletext"/>
              <w:keepNext/>
              <w:keepLines/>
              <w:jc w:val="center"/>
            </w:pPr>
          </w:p>
        </w:tc>
      </w:tr>
      <w:tr w:rsidR="00885B99" w:rsidRPr="00F50B0C" w14:paraId="09AF07C1" w14:textId="77777777" w:rsidTr="00CD567B">
        <w:tblPrEx>
          <w:tblBorders>
            <w:top w:val="single" w:sz="4" w:space="0" w:color="auto"/>
            <w:left w:val="single" w:sz="4" w:space="0" w:color="auto"/>
            <w:right w:val="single" w:sz="4" w:space="0" w:color="auto"/>
          </w:tblBorders>
        </w:tblPrEx>
        <w:trPr>
          <w:jc w:val="center"/>
        </w:trPr>
        <w:tc>
          <w:tcPr>
            <w:tcW w:w="7434" w:type="dxa"/>
          </w:tcPr>
          <w:p w14:paraId="49D64EFC" w14:textId="77777777" w:rsidR="00885B99" w:rsidRPr="00F50B0C" w:rsidRDefault="00885B99" w:rsidP="00FC15A2">
            <w:pPr>
              <w:pStyle w:val="Tabletext"/>
              <w:keepNext/>
              <w:keepLines/>
            </w:pPr>
            <w:r w:rsidRPr="00F50B0C">
              <w:t>Disproportionate general compliance requirements</w:t>
            </w:r>
          </w:p>
        </w:tc>
        <w:tc>
          <w:tcPr>
            <w:tcW w:w="1474" w:type="dxa"/>
            <w:shd w:val="clear" w:color="auto" w:fill="auto"/>
          </w:tcPr>
          <w:p w14:paraId="3DA0E680" w14:textId="77777777" w:rsidR="00885B99" w:rsidRPr="00F50B0C" w:rsidRDefault="00885B99" w:rsidP="00FC15A2">
            <w:pPr>
              <w:pStyle w:val="Tabletext"/>
              <w:keepNext/>
              <w:keepLines/>
              <w:jc w:val="center"/>
            </w:pPr>
            <w:r w:rsidRPr="00F50B0C">
              <w:t>X</w:t>
            </w:r>
            <w:r>
              <w:rPr>
                <w:rStyle w:val="FootnoteReference"/>
              </w:rPr>
              <w:footnoteReference w:id="34"/>
            </w:r>
          </w:p>
        </w:tc>
        <w:tc>
          <w:tcPr>
            <w:tcW w:w="1417" w:type="dxa"/>
            <w:shd w:val="clear" w:color="auto" w:fill="auto"/>
          </w:tcPr>
          <w:p w14:paraId="60B784E1" w14:textId="77777777" w:rsidR="00885B99" w:rsidRPr="00F50B0C" w:rsidRDefault="00885B99" w:rsidP="00FC15A2">
            <w:pPr>
              <w:pStyle w:val="Tabletext"/>
              <w:keepNext/>
              <w:keepLines/>
              <w:jc w:val="center"/>
            </w:pPr>
            <w:r w:rsidRPr="00F50B0C">
              <w:t>X</w:t>
            </w:r>
            <w:r>
              <w:rPr>
                <w:rStyle w:val="FootnoteReference"/>
              </w:rPr>
              <w:footnoteReference w:id="35"/>
            </w:r>
          </w:p>
        </w:tc>
        <w:tc>
          <w:tcPr>
            <w:tcW w:w="1361" w:type="dxa"/>
            <w:shd w:val="clear" w:color="auto" w:fill="auto"/>
          </w:tcPr>
          <w:p w14:paraId="7B719768" w14:textId="77777777" w:rsidR="00885B99" w:rsidRPr="00F50B0C" w:rsidRDefault="00885B99" w:rsidP="00FC15A2">
            <w:pPr>
              <w:pStyle w:val="Tabletext"/>
              <w:keepNext/>
              <w:keepLines/>
              <w:jc w:val="center"/>
            </w:pPr>
            <w:r w:rsidRPr="00F50B0C">
              <w:t>X</w:t>
            </w:r>
            <w:r>
              <w:rPr>
                <w:rStyle w:val="FootnoteReference"/>
              </w:rPr>
              <w:footnoteReference w:id="36"/>
            </w:r>
          </w:p>
        </w:tc>
        <w:tc>
          <w:tcPr>
            <w:tcW w:w="1417" w:type="dxa"/>
            <w:shd w:val="clear" w:color="auto" w:fill="auto"/>
          </w:tcPr>
          <w:p w14:paraId="4FCA71A8" w14:textId="77777777" w:rsidR="00885B99" w:rsidRPr="00F50B0C" w:rsidRDefault="00885B99" w:rsidP="00FC15A2">
            <w:pPr>
              <w:pStyle w:val="Tabletext"/>
              <w:keepNext/>
              <w:keepLines/>
              <w:jc w:val="center"/>
            </w:pPr>
            <w:r w:rsidRPr="00F50B0C">
              <w:t>X</w:t>
            </w:r>
            <w:r>
              <w:rPr>
                <w:rStyle w:val="FootnoteReference"/>
              </w:rPr>
              <w:footnoteReference w:id="37"/>
            </w:r>
          </w:p>
        </w:tc>
        <w:tc>
          <w:tcPr>
            <w:tcW w:w="1239" w:type="dxa"/>
            <w:shd w:val="clear" w:color="auto" w:fill="auto"/>
          </w:tcPr>
          <w:p w14:paraId="2477240F" w14:textId="77777777" w:rsidR="00885B99" w:rsidRPr="00F50B0C" w:rsidRDefault="00885B99" w:rsidP="00FC15A2">
            <w:pPr>
              <w:pStyle w:val="Tabletext"/>
              <w:keepNext/>
              <w:keepLines/>
              <w:jc w:val="center"/>
            </w:pPr>
            <w:r w:rsidRPr="00F50B0C">
              <w:t>X</w:t>
            </w:r>
            <w:r>
              <w:rPr>
                <w:rStyle w:val="FootnoteReference"/>
              </w:rPr>
              <w:footnoteReference w:id="38"/>
            </w:r>
          </w:p>
        </w:tc>
      </w:tr>
      <w:tr w:rsidR="00885B99" w:rsidRPr="00F50B0C" w14:paraId="4D9B5000" w14:textId="77777777" w:rsidTr="00CD567B">
        <w:tblPrEx>
          <w:tblBorders>
            <w:top w:val="single" w:sz="4" w:space="0" w:color="auto"/>
            <w:left w:val="single" w:sz="4" w:space="0" w:color="auto"/>
            <w:right w:val="single" w:sz="4" w:space="0" w:color="auto"/>
          </w:tblBorders>
        </w:tblPrEx>
        <w:trPr>
          <w:jc w:val="center"/>
        </w:trPr>
        <w:tc>
          <w:tcPr>
            <w:tcW w:w="7434" w:type="dxa"/>
          </w:tcPr>
          <w:p w14:paraId="1AC92259" w14:textId="77777777" w:rsidR="00885B99" w:rsidRPr="00F50B0C" w:rsidRDefault="00885B99" w:rsidP="00FC15A2">
            <w:pPr>
              <w:pStyle w:val="Tabletext"/>
            </w:pPr>
            <w:r w:rsidRPr="00F50B0C">
              <w:t>Higher security needs for cash handling</w:t>
            </w:r>
          </w:p>
        </w:tc>
        <w:tc>
          <w:tcPr>
            <w:tcW w:w="1474" w:type="dxa"/>
            <w:shd w:val="clear" w:color="auto" w:fill="auto"/>
          </w:tcPr>
          <w:p w14:paraId="313782C1" w14:textId="77777777" w:rsidR="00885B99" w:rsidRPr="00F50B0C" w:rsidRDefault="00885B99" w:rsidP="00FC15A2">
            <w:pPr>
              <w:pStyle w:val="Tabletext"/>
              <w:jc w:val="center"/>
              <w:rPr>
                <w:color w:val="000000" w:themeColor="text1"/>
              </w:rPr>
            </w:pPr>
            <w:r w:rsidRPr="00F50B0C">
              <w:rPr>
                <w:color w:val="000000" w:themeColor="text1"/>
              </w:rPr>
              <w:t>X</w:t>
            </w:r>
          </w:p>
        </w:tc>
        <w:tc>
          <w:tcPr>
            <w:tcW w:w="1417" w:type="dxa"/>
            <w:shd w:val="clear" w:color="auto" w:fill="auto"/>
          </w:tcPr>
          <w:p w14:paraId="399FF876" w14:textId="77777777" w:rsidR="00885B99" w:rsidRPr="00F50B0C" w:rsidRDefault="00885B99" w:rsidP="00FC15A2">
            <w:pPr>
              <w:pStyle w:val="Tabletext"/>
              <w:jc w:val="center"/>
              <w:rPr>
                <w:color w:val="000000" w:themeColor="text1"/>
              </w:rPr>
            </w:pPr>
            <w:r w:rsidRPr="00F50B0C">
              <w:rPr>
                <w:color w:val="000000" w:themeColor="text1"/>
              </w:rPr>
              <w:t>X</w:t>
            </w:r>
          </w:p>
        </w:tc>
        <w:tc>
          <w:tcPr>
            <w:tcW w:w="1361" w:type="dxa"/>
            <w:shd w:val="clear" w:color="auto" w:fill="auto"/>
          </w:tcPr>
          <w:p w14:paraId="490B923F" w14:textId="77777777" w:rsidR="00885B99" w:rsidRPr="00F50B0C" w:rsidRDefault="00885B99" w:rsidP="00FC15A2">
            <w:pPr>
              <w:pStyle w:val="Tabletext"/>
              <w:jc w:val="center"/>
              <w:rPr>
                <w:color w:val="000000" w:themeColor="text1"/>
              </w:rPr>
            </w:pPr>
          </w:p>
        </w:tc>
        <w:tc>
          <w:tcPr>
            <w:tcW w:w="1417" w:type="dxa"/>
            <w:shd w:val="clear" w:color="auto" w:fill="auto"/>
          </w:tcPr>
          <w:p w14:paraId="5BF64A62" w14:textId="77777777" w:rsidR="00885B99" w:rsidRPr="00F50B0C" w:rsidRDefault="00885B99" w:rsidP="00FC15A2">
            <w:pPr>
              <w:pStyle w:val="Tabletext"/>
              <w:jc w:val="center"/>
              <w:rPr>
                <w:color w:val="000000" w:themeColor="text1"/>
              </w:rPr>
            </w:pPr>
          </w:p>
        </w:tc>
        <w:tc>
          <w:tcPr>
            <w:tcW w:w="1239" w:type="dxa"/>
            <w:shd w:val="clear" w:color="auto" w:fill="auto"/>
          </w:tcPr>
          <w:p w14:paraId="12908718" w14:textId="77777777" w:rsidR="00885B99" w:rsidRPr="00F50B0C" w:rsidRDefault="00885B99" w:rsidP="00FC15A2">
            <w:pPr>
              <w:pStyle w:val="Tabletext"/>
              <w:jc w:val="center"/>
              <w:rPr>
                <w:color w:val="000000" w:themeColor="text1"/>
              </w:rPr>
            </w:pPr>
          </w:p>
        </w:tc>
      </w:tr>
      <w:tr w:rsidR="00885B99" w:rsidRPr="00F50B0C" w14:paraId="1CB5E9E4" w14:textId="77777777" w:rsidTr="00CD567B">
        <w:tblPrEx>
          <w:tblBorders>
            <w:top w:val="single" w:sz="4" w:space="0" w:color="auto"/>
            <w:left w:val="single" w:sz="4" w:space="0" w:color="auto"/>
            <w:right w:val="single" w:sz="4" w:space="0" w:color="auto"/>
          </w:tblBorders>
        </w:tblPrEx>
        <w:trPr>
          <w:jc w:val="center"/>
        </w:trPr>
        <w:tc>
          <w:tcPr>
            <w:tcW w:w="7434" w:type="dxa"/>
          </w:tcPr>
          <w:p w14:paraId="5A58F740" w14:textId="77777777" w:rsidR="00885B99" w:rsidRPr="00F50B0C" w:rsidRDefault="00885B99" w:rsidP="00FC15A2">
            <w:pPr>
              <w:pStyle w:val="Tabletext"/>
              <w:keepNext/>
              <w:keepLines/>
              <w:rPr>
                <w:color w:val="000000" w:themeColor="text1"/>
              </w:rPr>
            </w:pPr>
            <w:r w:rsidRPr="00F50B0C">
              <w:rPr>
                <w:color w:val="000000" w:themeColor="text1"/>
              </w:rPr>
              <w:t>Higher capital requirements</w:t>
            </w:r>
          </w:p>
        </w:tc>
        <w:tc>
          <w:tcPr>
            <w:tcW w:w="1474" w:type="dxa"/>
            <w:shd w:val="clear" w:color="auto" w:fill="auto"/>
          </w:tcPr>
          <w:p w14:paraId="221237A1" w14:textId="77777777" w:rsidR="00885B99" w:rsidRPr="00F50B0C" w:rsidRDefault="00885B99" w:rsidP="00FC15A2">
            <w:pPr>
              <w:pStyle w:val="Tabletext"/>
              <w:keepNext/>
              <w:keepLines/>
              <w:jc w:val="center"/>
              <w:rPr>
                <w:color w:val="000000" w:themeColor="text1"/>
              </w:rPr>
            </w:pPr>
            <w:r w:rsidRPr="00F50B0C">
              <w:rPr>
                <w:color w:val="000000" w:themeColor="text1"/>
              </w:rPr>
              <w:t>X</w:t>
            </w:r>
            <w:r>
              <w:rPr>
                <w:rStyle w:val="FootnoteReference"/>
                <w:color w:val="000000" w:themeColor="text1"/>
              </w:rPr>
              <w:footnoteReference w:id="39"/>
            </w:r>
          </w:p>
        </w:tc>
        <w:tc>
          <w:tcPr>
            <w:tcW w:w="1417" w:type="dxa"/>
            <w:shd w:val="clear" w:color="auto" w:fill="auto"/>
          </w:tcPr>
          <w:p w14:paraId="2FECEC1D" w14:textId="77777777" w:rsidR="00885B99" w:rsidRPr="00F50B0C" w:rsidRDefault="00885B99" w:rsidP="00FC15A2">
            <w:pPr>
              <w:pStyle w:val="Tabletext"/>
              <w:keepNext/>
              <w:keepLines/>
              <w:jc w:val="center"/>
              <w:rPr>
                <w:color w:val="000000" w:themeColor="text1"/>
              </w:rPr>
            </w:pPr>
            <w:r w:rsidRPr="00F50B0C">
              <w:rPr>
                <w:color w:val="000000" w:themeColor="text1"/>
              </w:rPr>
              <w:t>X</w:t>
            </w:r>
          </w:p>
        </w:tc>
        <w:tc>
          <w:tcPr>
            <w:tcW w:w="1361" w:type="dxa"/>
            <w:shd w:val="clear" w:color="auto" w:fill="auto"/>
          </w:tcPr>
          <w:p w14:paraId="2F2AD919" w14:textId="77777777" w:rsidR="00885B99" w:rsidRPr="00F50B0C" w:rsidRDefault="00885B99" w:rsidP="00FC15A2">
            <w:pPr>
              <w:pStyle w:val="Tabletext"/>
              <w:keepNext/>
              <w:keepLines/>
              <w:jc w:val="center"/>
              <w:rPr>
                <w:color w:val="000000" w:themeColor="text1"/>
              </w:rPr>
            </w:pPr>
          </w:p>
        </w:tc>
        <w:tc>
          <w:tcPr>
            <w:tcW w:w="1417" w:type="dxa"/>
            <w:shd w:val="clear" w:color="auto" w:fill="auto"/>
          </w:tcPr>
          <w:p w14:paraId="19D74F47" w14:textId="77777777" w:rsidR="00885B99" w:rsidRPr="00F50B0C" w:rsidRDefault="00885B99" w:rsidP="00FC15A2">
            <w:pPr>
              <w:pStyle w:val="Tabletext"/>
              <w:keepNext/>
              <w:keepLines/>
              <w:jc w:val="center"/>
              <w:rPr>
                <w:color w:val="000000" w:themeColor="text1"/>
              </w:rPr>
            </w:pPr>
          </w:p>
        </w:tc>
        <w:tc>
          <w:tcPr>
            <w:tcW w:w="1239" w:type="dxa"/>
            <w:shd w:val="clear" w:color="auto" w:fill="auto"/>
          </w:tcPr>
          <w:p w14:paraId="74091D4C" w14:textId="77777777" w:rsidR="00885B99" w:rsidRPr="00F50B0C" w:rsidRDefault="00885B99" w:rsidP="00FC15A2">
            <w:pPr>
              <w:pStyle w:val="Tabletext"/>
              <w:keepNext/>
              <w:keepLines/>
              <w:jc w:val="center"/>
              <w:rPr>
                <w:color w:val="000000" w:themeColor="text1"/>
              </w:rPr>
            </w:pPr>
          </w:p>
        </w:tc>
      </w:tr>
      <w:tr w:rsidR="00885B99" w:rsidRPr="00F50B0C" w14:paraId="218D7278" w14:textId="77777777" w:rsidTr="00CD567B">
        <w:tblPrEx>
          <w:tblBorders>
            <w:top w:val="single" w:sz="4" w:space="0" w:color="auto"/>
            <w:left w:val="single" w:sz="4" w:space="0" w:color="auto"/>
            <w:right w:val="single" w:sz="4" w:space="0" w:color="auto"/>
          </w:tblBorders>
        </w:tblPrEx>
        <w:trPr>
          <w:jc w:val="center"/>
        </w:trPr>
        <w:tc>
          <w:tcPr>
            <w:tcW w:w="7434" w:type="dxa"/>
          </w:tcPr>
          <w:p w14:paraId="09DA9E48" w14:textId="77777777" w:rsidR="00885B99" w:rsidRPr="00F50B0C" w:rsidRDefault="00885B99" w:rsidP="00FC15A2">
            <w:pPr>
              <w:pStyle w:val="Tabletext"/>
              <w:rPr>
                <w:color w:val="000000" w:themeColor="text1"/>
              </w:rPr>
            </w:pPr>
            <w:r w:rsidRPr="00F50B0C">
              <w:rPr>
                <w:color w:val="000000" w:themeColor="text1"/>
              </w:rPr>
              <w:t>Higher KYC compliance requirements</w:t>
            </w:r>
          </w:p>
        </w:tc>
        <w:tc>
          <w:tcPr>
            <w:tcW w:w="1474" w:type="dxa"/>
            <w:shd w:val="clear" w:color="auto" w:fill="auto"/>
          </w:tcPr>
          <w:p w14:paraId="22F6EA74" w14:textId="77777777" w:rsidR="00885B99" w:rsidRPr="00F50B0C" w:rsidRDefault="00885B99" w:rsidP="00FC15A2">
            <w:pPr>
              <w:pStyle w:val="Tabletext"/>
              <w:jc w:val="center"/>
              <w:rPr>
                <w:color w:val="000000" w:themeColor="text1"/>
              </w:rPr>
            </w:pPr>
            <w:r w:rsidRPr="00F50B0C">
              <w:rPr>
                <w:color w:val="000000" w:themeColor="text1"/>
              </w:rPr>
              <w:t>X</w:t>
            </w:r>
            <w:r>
              <w:rPr>
                <w:rStyle w:val="FootnoteReference"/>
                <w:color w:val="000000" w:themeColor="text1"/>
              </w:rPr>
              <w:footnoteReference w:id="40"/>
            </w:r>
          </w:p>
        </w:tc>
        <w:tc>
          <w:tcPr>
            <w:tcW w:w="1417" w:type="dxa"/>
            <w:shd w:val="clear" w:color="auto" w:fill="auto"/>
          </w:tcPr>
          <w:p w14:paraId="758D23C0" w14:textId="77777777" w:rsidR="00885B99" w:rsidRPr="00F50B0C" w:rsidRDefault="00885B99" w:rsidP="00FC15A2">
            <w:pPr>
              <w:pStyle w:val="Tabletext"/>
              <w:jc w:val="center"/>
              <w:rPr>
                <w:color w:val="000000" w:themeColor="text1"/>
              </w:rPr>
            </w:pPr>
            <w:r w:rsidRPr="00F50B0C">
              <w:rPr>
                <w:color w:val="000000" w:themeColor="text1"/>
              </w:rPr>
              <w:t>X</w:t>
            </w:r>
          </w:p>
        </w:tc>
        <w:tc>
          <w:tcPr>
            <w:tcW w:w="1361" w:type="dxa"/>
            <w:shd w:val="clear" w:color="auto" w:fill="auto"/>
          </w:tcPr>
          <w:p w14:paraId="42A1851F" w14:textId="77777777" w:rsidR="00885B99" w:rsidRPr="00F50B0C" w:rsidRDefault="00885B99" w:rsidP="00FC15A2">
            <w:pPr>
              <w:pStyle w:val="Tabletext"/>
              <w:jc w:val="center"/>
              <w:rPr>
                <w:color w:val="000000" w:themeColor="text1"/>
              </w:rPr>
            </w:pPr>
          </w:p>
        </w:tc>
        <w:tc>
          <w:tcPr>
            <w:tcW w:w="1417" w:type="dxa"/>
            <w:shd w:val="clear" w:color="auto" w:fill="auto"/>
          </w:tcPr>
          <w:p w14:paraId="497CC037" w14:textId="77777777" w:rsidR="00885B99" w:rsidRPr="00F50B0C" w:rsidRDefault="00885B99" w:rsidP="00FC15A2">
            <w:pPr>
              <w:pStyle w:val="Tabletext"/>
              <w:jc w:val="center"/>
              <w:rPr>
                <w:color w:val="000000" w:themeColor="text1"/>
              </w:rPr>
            </w:pPr>
            <w:r w:rsidRPr="00F50B0C">
              <w:rPr>
                <w:color w:val="000000" w:themeColor="text1"/>
              </w:rPr>
              <w:t>X</w:t>
            </w:r>
          </w:p>
        </w:tc>
        <w:tc>
          <w:tcPr>
            <w:tcW w:w="1239" w:type="dxa"/>
            <w:shd w:val="clear" w:color="auto" w:fill="auto"/>
          </w:tcPr>
          <w:p w14:paraId="51E6E289" w14:textId="77777777" w:rsidR="00885B99" w:rsidRPr="00F50B0C" w:rsidRDefault="00885B99" w:rsidP="00FC15A2">
            <w:pPr>
              <w:pStyle w:val="Tabletext"/>
              <w:jc w:val="center"/>
              <w:rPr>
                <w:color w:val="000000" w:themeColor="text1"/>
              </w:rPr>
            </w:pPr>
          </w:p>
        </w:tc>
      </w:tr>
      <w:tr w:rsidR="00885B99" w:rsidRPr="00F50B0C" w14:paraId="48380CA9" w14:textId="77777777" w:rsidTr="00CD567B">
        <w:tblPrEx>
          <w:tblBorders>
            <w:top w:val="single" w:sz="4" w:space="0" w:color="auto"/>
            <w:left w:val="single" w:sz="4" w:space="0" w:color="auto"/>
            <w:right w:val="single" w:sz="4" w:space="0" w:color="auto"/>
          </w:tblBorders>
        </w:tblPrEx>
        <w:trPr>
          <w:jc w:val="center"/>
        </w:trPr>
        <w:tc>
          <w:tcPr>
            <w:tcW w:w="7434" w:type="dxa"/>
            <w:tcBorders>
              <w:bottom w:val="single" w:sz="4" w:space="0" w:color="auto"/>
            </w:tcBorders>
          </w:tcPr>
          <w:p w14:paraId="4A6D311F" w14:textId="77777777" w:rsidR="00885B99" w:rsidRPr="00F50B0C" w:rsidRDefault="00885B99" w:rsidP="00FC15A2">
            <w:pPr>
              <w:pStyle w:val="Tabletext"/>
              <w:rPr>
                <w:color w:val="000000" w:themeColor="text1"/>
              </w:rPr>
            </w:pPr>
            <w:r w:rsidRPr="00F50B0C">
              <w:rPr>
                <w:color w:val="000000" w:themeColor="text1"/>
              </w:rPr>
              <w:t>Higher physical security requirements</w:t>
            </w:r>
          </w:p>
        </w:tc>
        <w:tc>
          <w:tcPr>
            <w:tcW w:w="1474" w:type="dxa"/>
            <w:tcBorders>
              <w:bottom w:val="single" w:sz="4" w:space="0" w:color="auto"/>
            </w:tcBorders>
            <w:shd w:val="clear" w:color="auto" w:fill="auto"/>
          </w:tcPr>
          <w:p w14:paraId="5A024FB2" w14:textId="77777777" w:rsidR="00885B99" w:rsidRPr="00F50B0C" w:rsidRDefault="00885B99" w:rsidP="00FC15A2">
            <w:pPr>
              <w:pStyle w:val="Tabletext"/>
              <w:jc w:val="center"/>
              <w:rPr>
                <w:color w:val="000000" w:themeColor="text1"/>
              </w:rPr>
            </w:pPr>
            <w:r w:rsidRPr="00F50B0C">
              <w:rPr>
                <w:color w:val="000000" w:themeColor="text1"/>
              </w:rPr>
              <w:t>X</w:t>
            </w:r>
            <w:r>
              <w:rPr>
                <w:rStyle w:val="FootnoteReference"/>
                <w:color w:val="000000" w:themeColor="text1"/>
              </w:rPr>
              <w:footnoteReference w:id="41"/>
            </w:r>
          </w:p>
        </w:tc>
        <w:tc>
          <w:tcPr>
            <w:tcW w:w="1417" w:type="dxa"/>
            <w:tcBorders>
              <w:bottom w:val="single" w:sz="4" w:space="0" w:color="auto"/>
            </w:tcBorders>
            <w:shd w:val="clear" w:color="auto" w:fill="auto"/>
          </w:tcPr>
          <w:p w14:paraId="25B84CE9" w14:textId="77777777" w:rsidR="00885B99" w:rsidRPr="00F50B0C" w:rsidRDefault="00885B99" w:rsidP="00FC15A2">
            <w:pPr>
              <w:pStyle w:val="Tabletext"/>
              <w:jc w:val="center"/>
              <w:rPr>
                <w:color w:val="000000" w:themeColor="text1"/>
              </w:rPr>
            </w:pPr>
            <w:r w:rsidRPr="00F50B0C">
              <w:rPr>
                <w:color w:val="000000" w:themeColor="text1"/>
              </w:rPr>
              <w:t>X</w:t>
            </w:r>
            <w:r>
              <w:rPr>
                <w:rStyle w:val="FootnoteReference"/>
                <w:color w:val="000000" w:themeColor="text1"/>
              </w:rPr>
              <w:footnoteReference w:id="42"/>
            </w:r>
          </w:p>
        </w:tc>
        <w:tc>
          <w:tcPr>
            <w:tcW w:w="1361" w:type="dxa"/>
            <w:tcBorders>
              <w:bottom w:val="single" w:sz="4" w:space="0" w:color="auto"/>
            </w:tcBorders>
            <w:shd w:val="clear" w:color="auto" w:fill="auto"/>
          </w:tcPr>
          <w:p w14:paraId="2A6B5A0B" w14:textId="77777777" w:rsidR="00885B99" w:rsidRPr="00F50B0C" w:rsidRDefault="00885B99" w:rsidP="00FC15A2">
            <w:pPr>
              <w:pStyle w:val="Tabletext"/>
              <w:jc w:val="center"/>
              <w:rPr>
                <w:color w:val="000000" w:themeColor="text1"/>
              </w:rPr>
            </w:pPr>
          </w:p>
        </w:tc>
        <w:tc>
          <w:tcPr>
            <w:tcW w:w="1417" w:type="dxa"/>
            <w:tcBorders>
              <w:bottom w:val="single" w:sz="4" w:space="0" w:color="auto"/>
            </w:tcBorders>
            <w:shd w:val="clear" w:color="auto" w:fill="auto"/>
          </w:tcPr>
          <w:p w14:paraId="736A11D7" w14:textId="77777777" w:rsidR="00885B99" w:rsidRPr="00F50B0C" w:rsidRDefault="00885B99" w:rsidP="00FC15A2">
            <w:pPr>
              <w:pStyle w:val="Tabletext"/>
              <w:jc w:val="center"/>
              <w:rPr>
                <w:color w:val="000000" w:themeColor="text1"/>
              </w:rPr>
            </w:pPr>
          </w:p>
        </w:tc>
        <w:tc>
          <w:tcPr>
            <w:tcW w:w="1239" w:type="dxa"/>
            <w:tcBorders>
              <w:bottom w:val="single" w:sz="4" w:space="0" w:color="auto"/>
            </w:tcBorders>
            <w:shd w:val="clear" w:color="auto" w:fill="auto"/>
          </w:tcPr>
          <w:p w14:paraId="473B47A3" w14:textId="77777777" w:rsidR="00885B99" w:rsidRPr="00F50B0C" w:rsidRDefault="00885B99" w:rsidP="00FC15A2">
            <w:pPr>
              <w:pStyle w:val="Tabletext"/>
              <w:jc w:val="center"/>
              <w:rPr>
                <w:color w:val="000000" w:themeColor="text1"/>
              </w:rPr>
            </w:pPr>
          </w:p>
        </w:tc>
      </w:tr>
      <w:tr w:rsidR="00885B99" w:rsidRPr="00F50B0C" w14:paraId="3CB35817" w14:textId="77777777" w:rsidTr="003733D5">
        <w:tblPrEx>
          <w:tblBorders>
            <w:top w:val="single" w:sz="4" w:space="0" w:color="auto"/>
            <w:left w:val="single" w:sz="4" w:space="0" w:color="auto"/>
            <w:right w:val="single" w:sz="4" w:space="0" w:color="auto"/>
          </w:tblBorders>
        </w:tblPrEx>
        <w:trPr>
          <w:jc w:val="center"/>
        </w:trPr>
        <w:tc>
          <w:tcPr>
            <w:tcW w:w="7434" w:type="dxa"/>
            <w:tcBorders>
              <w:left w:val="nil"/>
              <w:bottom w:val="single" w:sz="4" w:space="0" w:color="auto"/>
              <w:right w:val="nil"/>
            </w:tcBorders>
          </w:tcPr>
          <w:p w14:paraId="294A7E12" w14:textId="77777777" w:rsidR="00885B99" w:rsidRPr="00F50B0C" w:rsidRDefault="00885B99" w:rsidP="00FC15A2">
            <w:pPr>
              <w:pStyle w:val="Tabletext"/>
              <w:rPr>
                <w:b/>
                <w:color w:val="000000" w:themeColor="text1"/>
              </w:rPr>
            </w:pPr>
          </w:p>
        </w:tc>
        <w:tc>
          <w:tcPr>
            <w:tcW w:w="1474" w:type="dxa"/>
            <w:tcBorders>
              <w:left w:val="nil"/>
              <w:bottom w:val="single" w:sz="4" w:space="0" w:color="auto"/>
              <w:right w:val="nil"/>
            </w:tcBorders>
            <w:shd w:val="clear" w:color="auto" w:fill="auto"/>
          </w:tcPr>
          <w:p w14:paraId="29D347BD" w14:textId="77777777" w:rsidR="00885B99" w:rsidRPr="00F50B0C" w:rsidRDefault="00885B99" w:rsidP="00FC15A2">
            <w:pPr>
              <w:pStyle w:val="Tabletext"/>
              <w:jc w:val="center"/>
              <w:rPr>
                <w:color w:val="000000" w:themeColor="text1"/>
              </w:rPr>
            </w:pPr>
          </w:p>
        </w:tc>
        <w:tc>
          <w:tcPr>
            <w:tcW w:w="1417" w:type="dxa"/>
            <w:tcBorders>
              <w:left w:val="nil"/>
              <w:bottom w:val="single" w:sz="4" w:space="0" w:color="auto"/>
              <w:right w:val="nil"/>
            </w:tcBorders>
            <w:shd w:val="clear" w:color="auto" w:fill="auto"/>
          </w:tcPr>
          <w:p w14:paraId="2973F747" w14:textId="77777777" w:rsidR="00885B99" w:rsidRPr="00F50B0C" w:rsidRDefault="00885B99" w:rsidP="00FC15A2">
            <w:pPr>
              <w:pStyle w:val="Tabletext"/>
              <w:jc w:val="center"/>
              <w:rPr>
                <w:color w:val="000000" w:themeColor="text1"/>
              </w:rPr>
            </w:pPr>
          </w:p>
        </w:tc>
        <w:tc>
          <w:tcPr>
            <w:tcW w:w="1361" w:type="dxa"/>
            <w:tcBorders>
              <w:left w:val="nil"/>
              <w:bottom w:val="single" w:sz="4" w:space="0" w:color="auto"/>
              <w:right w:val="nil"/>
            </w:tcBorders>
            <w:shd w:val="clear" w:color="auto" w:fill="auto"/>
          </w:tcPr>
          <w:p w14:paraId="60E21B8F" w14:textId="77777777" w:rsidR="00885B99" w:rsidRPr="00F50B0C" w:rsidRDefault="00885B99" w:rsidP="00FC15A2">
            <w:pPr>
              <w:pStyle w:val="Tabletext"/>
              <w:jc w:val="center"/>
              <w:rPr>
                <w:color w:val="000000" w:themeColor="text1"/>
              </w:rPr>
            </w:pPr>
          </w:p>
        </w:tc>
        <w:tc>
          <w:tcPr>
            <w:tcW w:w="1417" w:type="dxa"/>
            <w:tcBorders>
              <w:left w:val="nil"/>
              <w:bottom w:val="single" w:sz="4" w:space="0" w:color="auto"/>
              <w:right w:val="nil"/>
            </w:tcBorders>
            <w:shd w:val="clear" w:color="auto" w:fill="auto"/>
          </w:tcPr>
          <w:p w14:paraId="5D4822B3" w14:textId="77777777" w:rsidR="00885B99" w:rsidRPr="00F50B0C" w:rsidRDefault="00885B99" w:rsidP="00FC15A2">
            <w:pPr>
              <w:pStyle w:val="Tabletext"/>
              <w:jc w:val="center"/>
              <w:rPr>
                <w:color w:val="000000" w:themeColor="text1"/>
              </w:rPr>
            </w:pPr>
          </w:p>
        </w:tc>
        <w:tc>
          <w:tcPr>
            <w:tcW w:w="1239" w:type="dxa"/>
            <w:tcBorders>
              <w:left w:val="nil"/>
              <w:bottom w:val="single" w:sz="4" w:space="0" w:color="auto"/>
              <w:right w:val="nil"/>
            </w:tcBorders>
            <w:shd w:val="clear" w:color="auto" w:fill="auto"/>
          </w:tcPr>
          <w:p w14:paraId="3368207E" w14:textId="77777777" w:rsidR="00885B99" w:rsidRPr="00F50B0C" w:rsidRDefault="00885B99" w:rsidP="00FC15A2">
            <w:pPr>
              <w:pStyle w:val="Tabletext"/>
              <w:jc w:val="center"/>
              <w:rPr>
                <w:color w:val="000000" w:themeColor="text1"/>
              </w:rPr>
            </w:pPr>
          </w:p>
        </w:tc>
      </w:tr>
      <w:tr w:rsidR="00885B99" w:rsidRPr="00F50B0C" w14:paraId="598B64E6" w14:textId="77777777" w:rsidTr="003733D5">
        <w:tblPrEx>
          <w:tblBorders>
            <w:top w:val="single" w:sz="4" w:space="0" w:color="auto"/>
            <w:left w:val="single" w:sz="4" w:space="0" w:color="auto"/>
            <w:right w:val="single" w:sz="4" w:space="0" w:color="auto"/>
          </w:tblBorders>
        </w:tblPrEx>
        <w:trPr>
          <w:jc w:val="center"/>
        </w:trPr>
        <w:tc>
          <w:tcPr>
            <w:tcW w:w="7434" w:type="dxa"/>
            <w:tcBorders>
              <w:top w:val="single" w:sz="4" w:space="0" w:color="auto"/>
            </w:tcBorders>
          </w:tcPr>
          <w:p w14:paraId="47474DC9" w14:textId="77777777" w:rsidR="00885B99" w:rsidRPr="00F50B0C" w:rsidRDefault="00885B99" w:rsidP="00FC15A2">
            <w:pPr>
              <w:pStyle w:val="Tabletext"/>
              <w:keepNext/>
              <w:keepLines/>
              <w:rPr>
                <w:b/>
                <w:color w:val="000000" w:themeColor="text1"/>
              </w:rPr>
            </w:pPr>
            <w:r w:rsidRPr="00F50B0C">
              <w:rPr>
                <w:b/>
                <w:color w:val="000000" w:themeColor="text1"/>
              </w:rPr>
              <w:lastRenderedPageBreak/>
              <w:t>Taxes</w:t>
            </w:r>
          </w:p>
        </w:tc>
        <w:tc>
          <w:tcPr>
            <w:tcW w:w="1474" w:type="dxa"/>
            <w:tcBorders>
              <w:top w:val="single" w:sz="4" w:space="0" w:color="auto"/>
            </w:tcBorders>
            <w:shd w:val="clear" w:color="auto" w:fill="auto"/>
          </w:tcPr>
          <w:p w14:paraId="157FF349" w14:textId="77777777" w:rsidR="00885B99" w:rsidRPr="00F50B0C" w:rsidRDefault="00885B99" w:rsidP="00FC15A2">
            <w:pPr>
              <w:pStyle w:val="Tabletext"/>
              <w:keepNext/>
              <w:keepLines/>
              <w:jc w:val="center"/>
              <w:rPr>
                <w:color w:val="000000" w:themeColor="text1"/>
              </w:rPr>
            </w:pPr>
          </w:p>
        </w:tc>
        <w:tc>
          <w:tcPr>
            <w:tcW w:w="1417" w:type="dxa"/>
            <w:tcBorders>
              <w:top w:val="single" w:sz="4" w:space="0" w:color="auto"/>
            </w:tcBorders>
            <w:shd w:val="clear" w:color="auto" w:fill="auto"/>
          </w:tcPr>
          <w:p w14:paraId="68A4F422" w14:textId="77777777" w:rsidR="00885B99" w:rsidRPr="00F50B0C" w:rsidRDefault="00885B99" w:rsidP="00FC15A2">
            <w:pPr>
              <w:pStyle w:val="Tabletext"/>
              <w:keepNext/>
              <w:keepLines/>
              <w:jc w:val="center"/>
              <w:rPr>
                <w:color w:val="000000" w:themeColor="text1"/>
              </w:rPr>
            </w:pPr>
          </w:p>
        </w:tc>
        <w:tc>
          <w:tcPr>
            <w:tcW w:w="1361" w:type="dxa"/>
            <w:tcBorders>
              <w:top w:val="single" w:sz="4" w:space="0" w:color="auto"/>
            </w:tcBorders>
            <w:shd w:val="clear" w:color="auto" w:fill="auto"/>
          </w:tcPr>
          <w:p w14:paraId="1B36BA89" w14:textId="77777777" w:rsidR="00885B99" w:rsidRPr="00F50B0C" w:rsidRDefault="00885B99" w:rsidP="00FC15A2">
            <w:pPr>
              <w:pStyle w:val="Tabletext"/>
              <w:keepNext/>
              <w:keepLines/>
              <w:jc w:val="center"/>
              <w:rPr>
                <w:color w:val="000000" w:themeColor="text1"/>
              </w:rPr>
            </w:pPr>
          </w:p>
        </w:tc>
        <w:tc>
          <w:tcPr>
            <w:tcW w:w="1417" w:type="dxa"/>
            <w:tcBorders>
              <w:top w:val="single" w:sz="4" w:space="0" w:color="auto"/>
            </w:tcBorders>
            <w:shd w:val="clear" w:color="auto" w:fill="auto"/>
          </w:tcPr>
          <w:p w14:paraId="1D9EC8C1" w14:textId="77777777" w:rsidR="00885B99" w:rsidRPr="00F50B0C" w:rsidRDefault="00885B99" w:rsidP="00FC15A2">
            <w:pPr>
              <w:pStyle w:val="Tabletext"/>
              <w:keepNext/>
              <w:keepLines/>
              <w:jc w:val="center"/>
              <w:rPr>
                <w:color w:val="000000" w:themeColor="text1"/>
              </w:rPr>
            </w:pPr>
          </w:p>
        </w:tc>
        <w:tc>
          <w:tcPr>
            <w:tcW w:w="1239" w:type="dxa"/>
            <w:tcBorders>
              <w:top w:val="single" w:sz="4" w:space="0" w:color="auto"/>
            </w:tcBorders>
            <w:shd w:val="clear" w:color="auto" w:fill="auto"/>
          </w:tcPr>
          <w:p w14:paraId="6F884351" w14:textId="77777777" w:rsidR="00885B99" w:rsidRPr="00F50B0C" w:rsidRDefault="00885B99" w:rsidP="00FC15A2">
            <w:pPr>
              <w:pStyle w:val="Tabletext"/>
              <w:keepNext/>
              <w:keepLines/>
              <w:jc w:val="center"/>
              <w:rPr>
                <w:color w:val="000000" w:themeColor="text1"/>
              </w:rPr>
            </w:pPr>
          </w:p>
        </w:tc>
      </w:tr>
      <w:tr w:rsidR="00885B99" w:rsidRPr="00F50B0C" w14:paraId="4A0BC811" w14:textId="77777777" w:rsidTr="00CD567B">
        <w:tblPrEx>
          <w:tblBorders>
            <w:top w:val="single" w:sz="4" w:space="0" w:color="auto"/>
            <w:left w:val="single" w:sz="4" w:space="0" w:color="auto"/>
            <w:right w:val="single" w:sz="4" w:space="0" w:color="auto"/>
          </w:tblBorders>
        </w:tblPrEx>
        <w:trPr>
          <w:jc w:val="center"/>
        </w:trPr>
        <w:tc>
          <w:tcPr>
            <w:tcW w:w="7434" w:type="dxa"/>
            <w:tcBorders>
              <w:bottom w:val="single" w:sz="4" w:space="0" w:color="auto"/>
            </w:tcBorders>
          </w:tcPr>
          <w:p w14:paraId="53AAA9BD" w14:textId="77777777" w:rsidR="00885B99" w:rsidRPr="00F50B0C" w:rsidRDefault="00885B99" w:rsidP="00FC15A2">
            <w:pPr>
              <w:pStyle w:val="Tabletext"/>
              <w:keepNext/>
              <w:keepLines/>
              <w:rPr>
                <w:color w:val="000000" w:themeColor="text1"/>
              </w:rPr>
            </w:pPr>
            <w:r w:rsidRPr="00F50B0C">
              <w:rPr>
                <w:color w:val="000000" w:themeColor="text1"/>
              </w:rPr>
              <w:t>DFS transactions subject to special taxes not applicable to MNOs/PSPs</w:t>
            </w:r>
          </w:p>
        </w:tc>
        <w:tc>
          <w:tcPr>
            <w:tcW w:w="1474" w:type="dxa"/>
            <w:tcBorders>
              <w:bottom w:val="single" w:sz="4" w:space="0" w:color="auto"/>
            </w:tcBorders>
            <w:shd w:val="clear" w:color="auto" w:fill="auto"/>
          </w:tcPr>
          <w:p w14:paraId="553E9DDD" w14:textId="77777777" w:rsidR="00885B99" w:rsidRPr="00F50B0C" w:rsidRDefault="00885B99" w:rsidP="00FC15A2">
            <w:pPr>
              <w:pStyle w:val="Tabletext"/>
              <w:keepNext/>
              <w:keepLines/>
              <w:jc w:val="center"/>
              <w:rPr>
                <w:color w:val="000000" w:themeColor="text1"/>
              </w:rPr>
            </w:pPr>
            <w:r w:rsidRPr="00F50B0C">
              <w:rPr>
                <w:color w:val="000000" w:themeColor="text1"/>
              </w:rPr>
              <w:t>X</w:t>
            </w:r>
            <w:r>
              <w:rPr>
                <w:rStyle w:val="FootnoteReference"/>
                <w:color w:val="000000" w:themeColor="text1"/>
              </w:rPr>
              <w:footnoteReference w:id="43"/>
            </w:r>
          </w:p>
        </w:tc>
        <w:tc>
          <w:tcPr>
            <w:tcW w:w="1417" w:type="dxa"/>
            <w:tcBorders>
              <w:bottom w:val="single" w:sz="4" w:space="0" w:color="auto"/>
            </w:tcBorders>
            <w:shd w:val="clear" w:color="auto" w:fill="auto"/>
          </w:tcPr>
          <w:p w14:paraId="5E3AF7D5" w14:textId="77777777" w:rsidR="00885B99" w:rsidRPr="00F50B0C" w:rsidRDefault="00885B99" w:rsidP="00FC15A2">
            <w:pPr>
              <w:pStyle w:val="Tabletext"/>
              <w:keepNext/>
              <w:keepLines/>
              <w:jc w:val="center"/>
              <w:rPr>
                <w:color w:val="000000" w:themeColor="text1"/>
              </w:rPr>
            </w:pPr>
          </w:p>
        </w:tc>
        <w:tc>
          <w:tcPr>
            <w:tcW w:w="1361" w:type="dxa"/>
            <w:tcBorders>
              <w:bottom w:val="single" w:sz="4" w:space="0" w:color="auto"/>
            </w:tcBorders>
            <w:shd w:val="clear" w:color="auto" w:fill="auto"/>
          </w:tcPr>
          <w:p w14:paraId="17428A56" w14:textId="77777777" w:rsidR="00885B99" w:rsidRPr="00F50B0C" w:rsidRDefault="00885B99" w:rsidP="00FC15A2">
            <w:pPr>
              <w:pStyle w:val="Tabletext"/>
              <w:keepNext/>
              <w:keepLines/>
              <w:jc w:val="center"/>
              <w:rPr>
                <w:color w:val="000000" w:themeColor="text1"/>
              </w:rPr>
            </w:pPr>
          </w:p>
        </w:tc>
        <w:tc>
          <w:tcPr>
            <w:tcW w:w="1417" w:type="dxa"/>
            <w:tcBorders>
              <w:bottom w:val="single" w:sz="4" w:space="0" w:color="auto"/>
            </w:tcBorders>
            <w:shd w:val="clear" w:color="auto" w:fill="auto"/>
          </w:tcPr>
          <w:p w14:paraId="6EC1C48E" w14:textId="77777777" w:rsidR="00885B99" w:rsidRPr="00F50B0C" w:rsidRDefault="00885B99" w:rsidP="00FC15A2">
            <w:pPr>
              <w:pStyle w:val="Tabletext"/>
              <w:keepNext/>
              <w:keepLines/>
              <w:jc w:val="center"/>
              <w:rPr>
                <w:color w:val="000000" w:themeColor="text1"/>
              </w:rPr>
            </w:pPr>
          </w:p>
        </w:tc>
        <w:tc>
          <w:tcPr>
            <w:tcW w:w="1239" w:type="dxa"/>
            <w:tcBorders>
              <w:bottom w:val="single" w:sz="4" w:space="0" w:color="auto"/>
            </w:tcBorders>
            <w:shd w:val="clear" w:color="auto" w:fill="auto"/>
          </w:tcPr>
          <w:p w14:paraId="1A9E6816" w14:textId="77777777" w:rsidR="00885B99" w:rsidRPr="00F50B0C" w:rsidRDefault="00885B99" w:rsidP="00FC15A2">
            <w:pPr>
              <w:pStyle w:val="Tabletext"/>
              <w:keepNext/>
              <w:keepLines/>
              <w:jc w:val="center"/>
              <w:rPr>
                <w:color w:val="000000" w:themeColor="text1"/>
              </w:rPr>
            </w:pPr>
          </w:p>
        </w:tc>
      </w:tr>
      <w:tr w:rsidR="00885B99" w:rsidRPr="00F50B0C" w14:paraId="5BF8B960" w14:textId="77777777" w:rsidTr="00CD567B">
        <w:tblPrEx>
          <w:tblBorders>
            <w:top w:val="single" w:sz="4" w:space="0" w:color="auto"/>
            <w:left w:val="single" w:sz="4" w:space="0" w:color="auto"/>
            <w:right w:val="single" w:sz="4" w:space="0" w:color="auto"/>
          </w:tblBorders>
        </w:tblPrEx>
        <w:trPr>
          <w:jc w:val="center"/>
        </w:trPr>
        <w:tc>
          <w:tcPr>
            <w:tcW w:w="7434" w:type="dxa"/>
          </w:tcPr>
          <w:p w14:paraId="4107173B" w14:textId="77777777" w:rsidR="00885B99" w:rsidRPr="00F50B0C" w:rsidRDefault="00885B99" w:rsidP="00FC15A2">
            <w:pPr>
              <w:pStyle w:val="Tabletext"/>
              <w:keepNext/>
              <w:keepLines/>
              <w:rPr>
                <w:color w:val="000000" w:themeColor="text1"/>
              </w:rPr>
            </w:pPr>
            <w:r w:rsidRPr="00F50B0C">
              <w:rPr>
                <w:color w:val="000000" w:themeColor="text1"/>
              </w:rPr>
              <w:t>DFS transactions subject to special taxes not applicable to banks</w:t>
            </w:r>
          </w:p>
        </w:tc>
        <w:tc>
          <w:tcPr>
            <w:tcW w:w="1474" w:type="dxa"/>
            <w:tcBorders>
              <w:bottom w:val="single" w:sz="4" w:space="0" w:color="auto"/>
            </w:tcBorders>
            <w:shd w:val="clear" w:color="auto" w:fill="auto"/>
          </w:tcPr>
          <w:p w14:paraId="48131138" w14:textId="77777777" w:rsidR="00885B99" w:rsidRPr="00F50B0C" w:rsidRDefault="00885B99" w:rsidP="00FC15A2">
            <w:pPr>
              <w:pStyle w:val="Tabletext"/>
              <w:keepNext/>
              <w:keepLines/>
              <w:jc w:val="center"/>
              <w:rPr>
                <w:color w:val="000000" w:themeColor="text1"/>
              </w:rPr>
            </w:pPr>
            <w:r w:rsidRPr="00F50B0C">
              <w:rPr>
                <w:color w:val="000000" w:themeColor="text1"/>
              </w:rPr>
              <w:t>X</w:t>
            </w:r>
            <w:r>
              <w:rPr>
                <w:rStyle w:val="FootnoteReference"/>
                <w:color w:val="000000" w:themeColor="text1"/>
              </w:rPr>
              <w:footnoteReference w:id="44"/>
            </w:r>
          </w:p>
        </w:tc>
        <w:tc>
          <w:tcPr>
            <w:tcW w:w="1417" w:type="dxa"/>
            <w:tcBorders>
              <w:bottom w:val="single" w:sz="4" w:space="0" w:color="auto"/>
            </w:tcBorders>
            <w:shd w:val="clear" w:color="auto" w:fill="auto"/>
          </w:tcPr>
          <w:p w14:paraId="1E886292" w14:textId="77777777" w:rsidR="00885B99" w:rsidRPr="00F50B0C" w:rsidRDefault="00885B99" w:rsidP="00FC15A2">
            <w:pPr>
              <w:pStyle w:val="Tabletext"/>
              <w:keepNext/>
              <w:keepLines/>
              <w:jc w:val="center"/>
              <w:rPr>
                <w:color w:val="000000" w:themeColor="text1"/>
              </w:rPr>
            </w:pPr>
          </w:p>
        </w:tc>
        <w:tc>
          <w:tcPr>
            <w:tcW w:w="1361" w:type="dxa"/>
            <w:tcBorders>
              <w:bottom w:val="single" w:sz="4" w:space="0" w:color="auto"/>
            </w:tcBorders>
            <w:shd w:val="clear" w:color="auto" w:fill="auto"/>
          </w:tcPr>
          <w:p w14:paraId="713A2A9E" w14:textId="77777777" w:rsidR="00885B99" w:rsidRPr="00F50B0C" w:rsidRDefault="00885B99" w:rsidP="00FC15A2">
            <w:pPr>
              <w:pStyle w:val="Tabletext"/>
              <w:keepNext/>
              <w:keepLines/>
              <w:jc w:val="center"/>
              <w:rPr>
                <w:color w:val="000000" w:themeColor="text1"/>
              </w:rPr>
            </w:pPr>
            <w:r w:rsidRPr="00F50B0C">
              <w:rPr>
                <w:color w:val="000000" w:themeColor="text1"/>
              </w:rPr>
              <w:t>X</w:t>
            </w:r>
            <w:r>
              <w:rPr>
                <w:rStyle w:val="FootnoteReference"/>
                <w:color w:val="000000" w:themeColor="text1"/>
              </w:rPr>
              <w:footnoteReference w:id="45"/>
            </w:r>
          </w:p>
        </w:tc>
        <w:tc>
          <w:tcPr>
            <w:tcW w:w="1417" w:type="dxa"/>
            <w:tcBorders>
              <w:bottom w:val="single" w:sz="4" w:space="0" w:color="auto"/>
            </w:tcBorders>
            <w:shd w:val="clear" w:color="auto" w:fill="auto"/>
          </w:tcPr>
          <w:p w14:paraId="5F81D659" w14:textId="77777777" w:rsidR="00885B99" w:rsidRPr="00F50B0C" w:rsidRDefault="00885B99" w:rsidP="00FC15A2">
            <w:pPr>
              <w:pStyle w:val="Tabletext"/>
              <w:keepNext/>
              <w:keepLines/>
              <w:jc w:val="center"/>
              <w:rPr>
                <w:color w:val="000000" w:themeColor="text1"/>
              </w:rPr>
            </w:pPr>
            <w:r w:rsidRPr="00F50B0C">
              <w:rPr>
                <w:color w:val="000000" w:themeColor="text1"/>
              </w:rPr>
              <w:t>X</w:t>
            </w:r>
            <w:r>
              <w:rPr>
                <w:rStyle w:val="FootnoteReference"/>
                <w:color w:val="000000" w:themeColor="text1"/>
              </w:rPr>
              <w:footnoteReference w:id="46"/>
            </w:r>
          </w:p>
        </w:tc>
        <w:tc>
          <w:tcPr>
            <w:tcW w:w="1239" w:type="dxa"/>
            <w:shd w:val="clear" w:color="auto" w:fill="auto"/>
          </w:tcPr>
          <w:p w14:paraId="1309045A" w14:textId="77777777" w:rsidR="00885B99" w:rsidRPr="00F50B0C" w:rsidRDefault="00885B99" w:rsidP="00FC15A2">
            <w:pPr>
              <w:pStyle w:val="Tabletext"/>
              <w:keepNext/>
              <w:keepLines/>
              <w:jc w:val="center"/>
              <w:rPr>
                <w:color w:val="000000" w:themeColor="text1"/>
              </w:rPr>
            </w:pPr>
            <w:r w:rsidRPr="00F50B0C">
              <w:rPr>
                <w:color w:val="000000" w:themeColor="text1"/>
              </w:rPr>
              <w:t>X</w:t>
            </w:r>
            <w:r>
              <w:rPr>
                <w:rStyle w:val="FootnoteReference"/>
                <w:color w:val="000000" w:themeColor="text1"/>
              </w:rPr>
              <w:footnoteReference w:id="47"/>
            </w:r>
          </w:p>
        </w:tc>
      </w:tr>
      <w:tr w:rsidR="00CD567B" w:rsidRPr="00F50B0C" w14:paraId="3014D24D" w14:textId="77777777" w:rsidTr="00CD567B">
        <w:tblPrEx>
          <w:tblBorders>
            <w:top w:val="single" w:sz="4" w:space="0" w:color="auto"/>
            <w:left w:val="single" w:sz="4" w:space="0" w:color="auto"/>
            <w:right w:val="single" w:sz="4" w:space="0" w:color="auto"/>
          </w:tblBorders>
        </w:tblPrEx>
        <w:trPr>
          <w:jc w:val="center"/>
        </w:trPr>
        <w:tc>
          <w:tcPr>
            <w:tcW w:w="7434" w:type="dxa"/>
            <w:tcBorders>
              <w:bottom w:val="single" w:sz="4" w:space="0" w:color="auto"/>
              <w:right w:val="nil"/>
            </w:tcBorders>
          </w:tcPr>
          <w:p w14:paraId="6025C85E" w14:textId="77777777" w:rsidR="00CD567B" w:rsidRPr="00F50B0C" w:rsidRDefault="00CD567B" w:rsidP="00FC15A2">
            <w:pPr>
              <w:pStyle w:val="Tabletext"/>
              <w:keepNext/>
              <w:keepLines/>
              <w:rPr>
                <w:color w:val="000000" w:themeColor="text1"/>
              </w:rPr>
            </w:pPr>
          </w:p>
        </w:tc>
        <w:tc>
          <w:tcPr>
            <w:tcW w:w="1474" w:type="dxa"/>
            <w:tcBorders>
              <w:left w:val="nil"/>
              <w:bottom w:val="single" w:sz="4" w:space="0" w:color="auto"/>
              <w:right w:val="nil"/>
            </w:tcBorders>
            <w:shd w:val="clear" w:color="auto" w:fill="auto"/>
          </w:tcPr>
          <w:p w14:paraId="2484B4C3" w14:textId="77777777" w:rsidR="00CD567B" w:rsidRPr="00F50B0C" w:rsidRDefault="00CD567B" w:rsidP="00FC15A2">
            <w:pPr>
              <w:pStyle w:val="Tabletext"/>
              <w:keepNext/>
              <w:keepLines/>
              <w:jc w:val="center"/>
              <w:rPr>
                <w:color w:val="000000" w:themeColor="text1"/>
              </w:rPr>
            </w:pPr>
          </w:p>
        </w:tc>
        <w:tc>
          <w:tcPr>
            <w:tcW w:w="1417" w:type="dxa"/>
            <w:tcBorders>
              <w:left w:val="nil"/>
              <w:bottom w:val="single" w:sz="4" w:space="0" w:color="auto"/>
              <w:right w:val="nil"/>
            </w:tcBorders>
            <w:shd w:val="clear" w:color="auto" w:fill="auto"/>
          </w:tcPr>
          <w:p w14:paraId="121764ED" w14:textId="77777777" w:rsidR="00CD567B" w:rsidRPr="00F50B0C" w:rsidRDefault="00CD567B" w:rsidP="00FC15A2">
            <w:pPr>
              <w:pStyle w:val="Tabletext"/>
              <w:keepNext/>
              <w:keepLines/>
              <w:jc w:val="center"/>
              <w:rPr>
                <w:color w:val="000000" w:themeColor="text1"/>
              </w:rPr>
            </w:pPr>
          </w:p>
        </w:tc>
        <w:tc>
          <w:tcPr>
            <w:tcW w:w="1361" w:type="dxa"/>
            <w:tcBorders>
              <w:left w:val="nil"/>
              <w:bottom w:val="single" w:sz="4" w:space="0" w:color="auto"/>
              <w:right w:val="nil"/>
            </w:tcBorders>
            <w:shd w:val="clear" w:color="auto" w:fill="auto"/>
          </w:tcPr>
          <w:p w14:paraId="26878189" w14:textId="77777777" w:rsidR="00CD567B" w:rsidRPr="00F50B0C" w:rsidRDefault="00CD567B" w:rsidP="00FC15A2">
            <w:pPr>
              <w:pStyle w:val="Tabletext"/>
              <w:keepNext/>
              <w:keepLines/>
              <w:jc w:val="center"/>
              <w:rPr>
                <w:color w:val="000000" w:themeColor="text1"/>
              </w:rPr>
            </w:pPr>
          </w:p>
        </w:tc>
        <w:tc>
          <w:tcPr>
            <w:tcW w:w="1417" w:type="dxa"/>
            <w:tcBorders>
              <w:left w:val="nil"/>
              <w:bottom w:val="single" w:sz="4" w:space="0" w:color="auto"/>
              <w:right w:val="nil"/>
            </w:tcBorders>
            <w:shd w:val="clear" w:color="auto" w:fill="auto"/>
          </w:tcPr>
          <w:p w14:paraId="37812968" w14:textId="77777777" w:rsidR="00CD567B" w:rsidRPr="00F50B0C" w:rsidRDefault="00CD567B" w:rsidP="00FC15A2">
            <w:pPr>
              <w:pStyle w:val="Tabletext"/>
              <w:keepNext/>
              <w:keepLines/>
              <w:jc w:val="center"/>
              <w:rPr>
                <w:color w:val="000000" w:themeColor="text1"/>
              </w:rPr>
            </w:pPr>
          </w:p>
        </w:tc>
        <w:tc>
          <w:tcPr>
            <w:tcW w:w="1239" w:type="dxa"/>
            <w:tcBorders>
              <w:left w:val="nil"/>
              <w:bottom w:val="single" w:sz="4" w:space="0" w:color="auto"/>
            </w:tcBorders>
            <w:shd w:val="clear" w:color="auto" w:fill="auto"/>
          </w:tcPr>
          <w:p w14:paraId="711E3CF1" w14:textId="77777777" w:rsidR="00CD567B" w:rsidRPr="00F50B0C" w:rsidRDefault="00CD567B" w:rsidP="00FC15A2">
            <w:pPr>
              <w:pStyle w:val="Tabletext"/>
              <w:keepNext/>
              <w:keepLines/>
              <w:jc w:val="center"/>
              <w:rPr>
                <w:color w:val="000000" w:themeColor="text1"/>
              </w:rPr>
            </w:pPr>
          </w:p>
        </w:tc>
      </w:tr>
      <w:tr w:rsidR="00885B99" w:rsidRPr="00F50B0C" w14:paraId="3C536241" w14:textId="77777777" w:rsidTr="00CD567B">
        <w:tblPrEx>
          <w:tblBorders>
            <w:top w:val="single" w:sz="4" w:space="0" w:color="auto"/>
            <w:left w:val="single" w:sz="4" w:space="0" w:color="auto"/>
            <w:right w:val="single" w:sz="4" w:space="0" w:color="auto"/>
          </w:tblBorders>
        </w:tblPrEx>
        <w:trPr>
          <w:jc w:val="center"/>
        </w:trPr>
        <w:tc>
          <w:tcPr>
            <w:tcW w:w="7434" w:type="dxa"/>
            <w:tcBorders>
              <w:top w:val="single" w:sz="4" w:space="0" w:color="auto"/>
            </w:tcBorders>
          </w:tcPr>
          <w:p w14:paraId="6FEC790E" w14:textId="77777777" w:rsidR="00885B99" w:rsidRPr="00F50B0C" w:rsidRDefault="00885B99" w:rsidP="00FC15A2">
            <w:pPr>
              <w:pStyle w:val="Tabletext"/>
              <w:keepNext/>
              <w:keepLines/>
              <w:rPr>
                <w:b/>
                <w:color w:val="000000" w:themeColor="text1"/>
              </w:rPr>
            </w:pPr>
            <w:r w:rsidRPr="00F50B0C">
              <w:rPr>
                <w:b/>
                <w:color w:val="000000" w:themeColor="text1"/>
              </w:rPr>
              <w:t>Agents</w:t>
            </w:r>
          </w:p>
        </w:tc>
        <w:tc>
          <w:tcPr>
            <w:tcW w:w="1474" w:type="dxa"/>
            <w:tcBorders>
              <w:top w:val="single" w:sz="4" w:space="0" w:color="auto"/>
            </w:tcBorders>
            <w:shd w:val="clear" w:color="auto" w:fill="auto"/>
          </w:tcPr>
          <w:p w14:paraId="5DECFE7A" w14:textId="77777777" w:rsidR="00885B99" w:rsidRPr="00F50B0C" w:rsidRDefault="00885B99" w:rsidP="00FC15A2">
            <w:pPr>
              <w:pStyle w:val="Tabletext"/>
              <w:keepNext/>
              <w:keepLines/>
              <w:jc w:val="center"/>
              <w:rPr>
                <w:color w:val="000000" w:themeColor="text1"/>
              </w:rPr>
            </w:pPr>
          </w:p>
        </w:tc>
        <w:tc>
          <w:tcPr>
            <w:tcW w:w="1417" w:type="dxa"/>
            <w:tcBorders>
              <w:top w:val="single" w:sz="4" w:space="0" w:color="auto"/>
            </w:tcBorders>
            <w:shd w:val="clear" w:color="auto" w:fill="auto"/>
          </w:tcPr>
          <w:p w14:paraId="67EB79D7" w14:textId="77777777" w:rsidR="00885B99" w:rsidRPr="00F50B0C" w:rsidRDefault="00885B99" w:rsidP="00FC15A2">
            <w:pPr>
              <w:pStyle w:val="Tabletext"/>
              <w:keepNext/>
              <w:keepLines/>
              <w:jc w:val="center"/>
              <w:rPr>
                <w:color w:val="000000" w:themeColor="text1"/>
              </w:rPr>
            </w:pPr>
          </w:p>
        </w:tc>
        <w:tc>
          <w:tcPr>
            <w:tcW w:w="1361" w:type="dxa"/>
            <w:tcBorders>
              <w:top w:val="single" w:sz="4" w:space="0" w:color="auto"/>
            </w:tcBorders>
            <w:shd w:val="clear" w:color="auto" w:fill="auto"/>
          </w:tcPr>
          <w:p w14:paraId="4FAE200B" w14:textId="77777777" w:rsidR="00885B99" w:rsidRPr="00F50B0C" w:rsidRDefault="00885B99" w:rsidP="00FC15A2">
            <w:pPr>
              <w:pStyle w:val="Tabletext"/>
              <w:keepNext/>
              <w:keepLines/>
              <w:jc w:val="center"/>
              <w:rPr>
                <w:color w:val="000000" w:themeColor="text1"/>
              </w:rPr>
            </w:pPr>
          </w:p>
        </w:tc>
        <w:tc>
          <w:tcPr>
            <w:tcW w:w="1417" w:type="dxa"/>
            <w:tcBorders>
              <w:top w:val="single" w:sz="4" w:space="0" w:color="auto"/>
            </w:tcBorders>
            <w:shd w:val="clear" w:color="auto" w:fill="auto"/>
          </w:tcPr>
          <w:p w14:paraId="66103842" w14:textId="77777777" w:rsidR="00885B99" w:rsidRPr="00F50B0C" w:rsidRDefault="00885B99" w:rsidP="00FC15A2">
            <w:pPr>
              <w:pStyle w:val="Tabletext"/>
              <w:keepNext/>
              <w:keepLines/>
              <w:jc w:val="center"/>
              <w:rPr>
                <w:color w:val="000000" w:themeColor="text1"/>
              </w:rPr>
            </w:pPr>
          </w:p>
        </w:tc>
        <w:tc>
          <w:tcPr>
            <w:tcW w:w="1239" w:type="dxa"/>
            <w:tcBorders>
              <w:top w:val="single" w:sz="4" w:space="0" w:color="auto"/>
            </w:tcBorders>
            <w:shd w:val="clear" w:color="auto" w:fill="auto"/>
          </w:tcPr>
          <w:p w14:paraId="174B3C42" w14:textId="77777777" w:rsidR="00885B99" w:rsidRPr="00F50B0C" w:rsidRDefault="00885B99" w:rsidP="00FC15A2">
            <w:pPr>
              <w:pStyle w:val="Tabletext"/>
              <w:keepNext/>
              <w:keepLines/>
              <w:jc w:val="center"/>
              <w:rPr>
                <w:color w:val="000000" w:themeColor="text1"/>
              </w:rPr>
            </w:pPr>
          </w:p>
        </w:tc>
      </w:tr>
      <w:tr w:rsidR="00885B99" w:rsidRPr="00F50B0C" w14:paraId="257D533B" w14:textId="77777777" w:rsidTr="00CD567B">
        <w:tblPrEx>
          <w:tblBorders>
            <w:top w:val="single" w:sz="4" w:space="0" w:color="auto"/>
            <w:left w:val="single" w:sz="4" w:space="0" w:color="auto"/>
            <w:right w:val="single" w:sz="4" w:space="0" w:color="auto"/>
          </w:tblBorders>
        </w:tblPrEx>
        <w:trPr>
          <w:jc w:val="center"/>
        </w:trPr>
        <w:tc>
          <w:tcPr>
            <w:tcW w:w="7434" w:type="dxa"/>
          </w:tcPr>
          <w:p w14:paraId="65ED2CE1" w14:textId="77777777" w:rsidR="00885B99" w:rsidRPr="00F50B0C" w:rsidRDefault="00885B99" w:rsidP="00FC15A2">
            <w:pPr>
              <w:pStyle w:val="Tabletext"/>
              <w:keepNext/>
              <w:keepLines/>
              <w:rPr>
                <w:b/>
                <w:color w:val="000000" w:themeColor="text1"/>
                <w:u w:val="single"/>
              </w:rPr>
            </w:pPr>
            <w:r w:rsidRPr="00F50B0C">
              <w:rPr>
                <w:color w:val="000000" w:themeColor="text1"/>
              </w:rPr>
              <w:t>Need for agents to have insurance</w:t>
            </w:r>
            <w:r>
              <w:rPr>
                <w:rStyle w:val="FootnoteReference"/>
                <w:color w:val="000000" w:themeColor="text1"/>
              </w:rPr>
              <w:footnoteReference w:id="48"/>
            </w:r>
          </w:p>
        </w:tc>
        <w:tc>
          <w:tcPr>
            <w:tcW w:w="1474" w:type="dxa"/>
            <w:shd w:val="clear" w:color="auto" w:fill="auto"/>
          </w:tcPr>
          <w:p w14:paraId="56DFA8B3" w14:textId="77777777" w:rsidR="00885B99" w:rsidRPr="00F50B0C" w:rsidRDefault="00885B99" w:rsidP="00FC15A2">
            <w:pPr>
              <w:pStyle w:val="Tabletext"/>
              <w:keepNext/>
              <w:keepLines/>
              <w:jc w:val="center"/>
              <w:rPr>
                <w:color w:val="000000" w:themeColor="text1"/>
              </w:rPr>
            </w:pPr>
          </w:p>
        </w:tc>
        <w:tc>
          <w:tcPr>
            <w:tcW w:w="1417" w:type="dxa"/>
            <w:shd w:val="clear" w:color="auto" w:fill="auto"/>
          </w:tcPr>
          <w:p w14:paraId="5D57C99F" w14:textId="77777777" w:rsidR="00885B99" w:rsidRPr="00F50B0C" w:rsidRDefault="00885B99" w:rsidP="00FC15A2">
            <w:pPr>
              <w:pStyle w:val="Tabletext"/>
              <w:keepNext/>
              <w:keepLines/>
              <w:jc w:val="center"/>
              <w:rPr>
                <w:color w:val="000000" w:themeColor="text1"/>
              </w:rPr>
            </w:pPr>
          </w:p>
        </w:tc>
        <w:tc>
          <w:tcPr>
            <w:tcW w:w="1361" w:type="dxa"/>
            <w:shd w:val="clear" w:color="auto" w:fill="auto"/>
          </w:tcPr>
          <w:p w14:paraId="0BDEB680" w14:textId="77777777" w:rsidR="00885B99" w:rsidRPr="00F50B0C" w:rsidRDefault="00885B99" w:rsidP="00FC15A2">
            <w:pPr>
              <w:pStyle w:val="Tabletext"/>
              <w:keepNext/>
              <w:keepLines/>
              <w:jc w:val="center"/>
              <w:rPr>
                <w:color w:val="000000" w:themeColor="text1"/>
              </w:rPr>
            </w:pPr>
            <w:r w:rsidRPr="00F50B0C">
              <w:rPr>
                <w:color w:val="000000" w:themeColor="text1"/>
              </w:rPr>
              <w:t>X</w:t>
            </w:r>
          </w:p>
        </w:tc>
        <w:tc>
          <w:tcPr>
            <w:tcW w:w="1417" w:type="dxa"/>
            <w:shd w:val="clear" w:color="auto" w:fill="auto"/>
          </w:tcPr>
          <w:p w14:paraId="7A0C08E4" w14:textId="77777777" w:rsidR="00885B99" w:rsidRPr="00F50B0C" w:rsidRDefault="00885B99" w:rsidP="00FC15A2">
            <w:pPr>
              <w:pStyle w:val="Tabletext"/>
              <w:keepNext/>
              <w:keepLines/>
              <w:jc w:val="center"/>
              <w:rPr>
                <w:color w:val="000000" w:themeColor="text1"/>
              </w:rPr>
            </w:pPr>
            <w:r w:rsidRPr="00F50B0C">
              <w:rPr>
                <w:color w:val="000000" w:themeColor="text1"/>
              </w:rPr>
              <w:t>X</w:t>
            </w:r>
          </w:p>
        </w:tc>
        <w:tc>
          <w:tcPr>
            <w:tcW w:w="1239" w:type="dxa"/>
            <w:shd w:val="clear" w:color="auto" w:fill="auto"/>
          </w:tcPr>
          <w:p w14:paraId="3ABDFC1A" w14:textId="77777777" w:rsidR="00885B99" w:rsidRPr="00F50B0C" w:rsidRDefault="00885B99" w:rsidP="00FC15A2">
            <w:pPr>
              <w:pStyle w:val="Tabletext"/>
              <w:keepNext/>
              <w:keepLines/>
              <w:jc w:val="center"/>
              <w:rPr>
                <w:color w:val="000000" w:themeColor="text1"/>
              </w:rPr>
            </w:pPr>
            <w:r w:rsidRPr="00F50B0C">
              <w:rPr>
                <w:color w:val="000000" w:themeColor="text1"/>
              </w:rPr>
              <w:t>X</w:t>
            </w:r>
          </w:p>
        </w:tc>
      </w:tr>
      <w:tr w:rsidR="00885B99" w:rsidRPr="00F50B0C" w14:paraId="01707B3F" w14:textId="77777777" w:rsidTr="00CD567B">
        <w:tblPrEx>
          <w:tblBorders>
            <w:top w:val="single" w:sz="4" w:space="0" w:color="auto"/>
            <w:left w:val="single" w:sz="4" w:space="0" w:color="auto"/>
            <w:right w:val="single" w:sz="4" w:space="0" w:color="auto"/>
          </w:tblBorders>
        </w:tblPrEx>
        <w:trPr>
          <w:jc w:val="center"/>
        </w:trPr>
        <w:tc>
          <w:tcPr>
            <w:tcW w:w="7434" w:type="dxa"/>
          </w:tcPr>
          <w:p w14:paraId="53EEB37B" w14:textId="77777777" w:rsidR="00885B99" w:rsidRPr="00F50B0C" w:rsidRDefault="00885B99" w:rsidP="00FC15A2">
            <w:pPr>
              <w:pStyle w:val="Tabletext"/>
              <w:keepNext/>
              <w:keepLines/>
              <w:rPr>
                <w:color w:val="000000" w:themeColor="text1"/>
              </w:rPr>
            </w:pPr>
            <w:r w:rsidRPr="00F50B0C">
              <w:rPr>
                <w:color w:val="000000" w:themeColor="text1"/>
              </w:rPr>
              <w:t>Disproportionate agent approval requirements</w:t>
            </w:r>
          </w:p>
        </w:tc>
        <w:tc>
          <w:tcPr>
            <w:tcW w:w="1474" w:type="dxa"/>
            <w:shd w:val="clear" w:color="auto" w:fill="auto"/>
          </w:tcPr>
          <w:p w14:paraId="0768669B" w14:textId="77777777" w:rsidR="00885B99" w:rsidRPr="00F50B0C" w:rsidRDefault="00885B99" w:rsidP="00FC15A2">
            <w:pPr>
              <w:pStyle w:val="Tabletext"/>
              <w:keepNext/>
              <w:keepLines/>
              <w:jc w:val="center"/>
              <w:rPr>
                <w:color w:val="000000" w:themeColor="text1"/>
              </w:rPr>
            </w:pPr>
            <w:r w:rsidRPr="00F50B0C">
              <w:rPr>
                <w:color w:val="000000" w:themeColor="text1"/>
              </w:rPr>
              <w:t>X</w:t>
            </w:r>
            <w:r>
              <w:rPr>
                <w:rStyle w:val="FootnoteReference"/>
                <w:color w:val="000000" w:themeColor="text1"/>
              </w:rPr>
              <w:footnoteReference w:id="49"/>
            </w:r>
          </w:p>
        </w:tc>
        <w:tc>
          <w:tcPr>
            <w:tcW w:w="1417" w:type="dxa"/>
            <w:shd w:val="clear" w:color="auto" w:fill="auto"/>
          </w:tcPr>
          <w:p w14:paraId="4B34F185" w14:textId="77777777" w:rsidR="00885B99" w:rsidRPr="00F50B0C" w:rsidRDefault="00885B99" w:rsidP="00FC15A2">
            <w:pPr>
              <w:pStyle w:val="Tabletext"/>
              <w:keepNext/>
              <w:keepLines/>
              <w:jc w:val="center"/>
              <w:rPr>
                <w:color w:val="000000" w:themeColor="text1"/>
              </w:rPr>
            </w:pPr>
            <w:r w:rsidRPr="00F50B0C">
              <w:rPr>
                <w:color w:val="000000" w:themeColor="text1"/>
              </w:rPr>
              <w:t>X</w:t>
            </w:r>
          </w:p>
        </w:tc>
        <w:tc>
          <w:tcPr>
            <w:tcW w:w="1361" w:type="dxa"/>
            <w:shd w:val="clear" w:color="auto" w:fill="auto"/>
          </w:tcPr>
          <w:p w14:paraId="49225169" w14:textId="77777777" w:rsidR="00885B99" w:rsidRPr="00F50B0C" w:rsidRDefault="00885B99" w:rsidP="00FC15A2">
            <w:pPr>
              <w:pStyle w:val="Tabletext"/>
              <w:keepNext/>
              <w:keepLines/>
              <w:jc w:val="center"/>
              <w:rPr>
                <w:color w:val="000000" w:themeColor="text1"/>
              </w:rPr>
            </w:pPr>
          </w:p>
        </w:tc>
        <w:tc>
          <w:tcPr>
            <w:tcW w:w="1417" w:type="dxa"/>
            <w:shd w:val="clear" w:color="auto" w:fill="auto"/>
          </w:tcPr>
          <w:p w14:paraId="4499F7AB" w14:textId="77777777" w:rsidR="00885B99" w:rsidRPr="00F50B0C" w:rsidRDefault="00885B99" w:rsidP="00FC15A2">
            <w:pPr>
              <w:pStyle w:val="Tabletext"/>
              <w:keepNext/>
              <w:keepLines/>
              <w:jc w:val="center"/>
              <w:rPr>
                <w:color w:val="000000" w:themeColor="text1"/>
              </w:rPr>
            </w:pPr>
          </w:p>
        </w:tc>
        <w:tc>
          <w:tcPr>
            <w:tcW w:w="1239" w:type="dxa"/>
            <w:shd w:val="clear" w:color="auto" w:fill="auto"/>
          </w:tcPr>
          <w:p w14:paraId="61BF42BF" w14:textId="77777777" w:rsidR="00885B99" w:rsidRPr="00F50B0C" w:rsidRDefault="00885B99" w:rsidP="00FC15A2">
            <w:pPr>
              <w:pStyle w:val="Tabletext"/>
              <w:keepNext/>
              <w:keepLines/>
              <w:jc w:val="center"/>
              <w:rPr>
                <w:color w:val="000000" w:themeColor="text1"/>
              </w:rPr>
            </w:pPr>
          </w:p>
        </w:tc>
      </w:tr>
      <w:tr w:rsidR="00885B99" w:rsidRPr="00F50B0C" w14:paraId="68668577" w14:textId="77777777" w:rsidTr="00CD567B">
        <w:tblPrEx>
          <w:tblBorders>
            <w:top w:val="single" w:sz="4" w:space="0" w:color="auto"/>
            <w:left w:val="single" w:sz="4" w:space="0" w:color="auto"/>
            <w:right w:val="single" w:sz="4" w:space="0" w:color="auto"/>
          </w:tblBorders>
        </w:tblPrEx>
        <w:trPr>
          <w:jc w:val="center"/>
        </w:trPr>
        <w:tc>
          <w:tcPr>
            <w:tcW w:w="7434" w:type="dxa"/>
          </w:tcPr>
          <w:p w14:paraId="5334DBE7" w14:textId="77777777" w:rsidR="00885B99" w:rsidRPr="00F50B0C" w:rsidRDefault="00885B99" w:rsidP="00FC15A2">
            <w:pPr>
              <w:pStyle w:val="Tabletext"/>
              <w:rPr>
                <w:color w:val="000000" w:themeColor="text1"/>
              </w:rPr>
            </w:pPr>
            <w:r w:rsidRPr="00F50B0C">
              <w:rPr>
                <w:color w:val="000000" w:themeColor="text1"/>
              </w:rPr>
              <w:t>Disproportionate capital requirements</w:t>
            </w:r>
          </w:p>
        </w:tc>
        <w:tc>
          <w:tcPr>
            <w:tcW w:w="1474" w:type="dxa"/>
            <w:shd w:val="clear" w:color="auto" w:fill="auto"/>
          </w:tcPr>
          <w:p w14:paraId="2DE519B7" w14:textId="77777777" w:rsidR="00885B99" w:rsidRPr="00F50B0C" w:rsidRDefault="00885B99" w:rsidP="00FC15A2">
            <w:pPr>
              <w:pStyle w:val="Tabletext"/>
              <w:jc w:val="center"/>
              <w:rPr>
                <w:color w:val="000000" w:themeColor="text1"/>
              </w:rPr>
            </w:pPr>
          </w:p>
        </w:tc>
        <w:tc>
          <w:tcPr>
            <w:tcW w:w="1417" w:type="dxa"/>
            <w:shd w:val="clear" w:color="auto" w:fill="auto"/>
          </w:tcPr>
          <w:p w14:paraId="49185CE5" w14:textId="77777777" w:rsidR="00885B99" w:rsidRPr="00F50B0C" w:rsidRDefault="00885B99" w:rsidP="00FC15A2">
            <w:pPr>
              <w:pStyle w:val="Tabletext"/>
              <w:jc w:val="center"/>
              <w:rPr>
                <w:color w:val="000000" w:themeColor="text1"/>
              </w:rPr>
            </w:pPr>
            <w:r w:rsidRPr="00F50B0C">
              <w:rPr>
                <w:color w:val="000000" w:themeColor="text1"/>
              </w:rPr>
              <w:t>X</w:t>
            </w:r>
          </w:p>
        </w:tc>
        <w:tc>
          <w:tcPr>
            <w:tcW w:w="1361" w:type="dxa"/>
            <w:shd w:val="clear" w:color="auto" w:fill="auto"/>
          </w:tcPr>
          <w:p w14:paraId="46B087BF" w14:textId="77777777" w:rsidR="00885B99" w:rsidRPr="00F50B0C" w:rsidRDefault="00885B99" w:rsidP="00FC15A2">
            <w:pPr>
              <w:pStyle w:val="Tabletext"/>
              <w:jc w:val="center"/>
              <w:rPr>
                <w:color w:val="000000" w:themeColor="text1"/>
              </w:rPr>
            </w:pPr>
            <w:r w:rsidRPr="00F50B0C">
              <w:rPr>
                <w:color w:val="000000" w:themeColor="text1"/>
              </w:rPr>
              <w:t>X</w:t>
            </w:r>
          </w:p>
        </w:tc>
        <w:tc>
          <w:tcPr>
            <w:tcW w:w="1417" w:type="dxa"/>
            <w:shd w:val="clear" w:color="auto" w:fill="auto"/>
          </w:tcPr>
          <w:p w14:paraId="7D5479F5" w14:textId="77777777" w:rsidR="00885B99" w:rsidRPr="00F50B0C" w:rsidRDefault="00885B99" w:rsidP="00FC15A2">
            <w:pPr>
              <w:pStyle w:val="Tabletext"/>
              <w:jc w:val="center"/>
              <w:rPr>
                <w:color w:val="000000" w:themeColor="text1"/>
              </w:rPr>
            </w:pPr>
            <w:r w:rsidRPr="00F50B0C">
              <w:rPr>
                <w:color w:val="000000" w:themeColor="text1"/>
              </w:rPr>
              <w:t>X</w:t>
            </w:r>
          </w:p>
        </w:tc>
        <w:tc>
          <w:tcPr>
            <w:tcW w:w="1239" w:type="dxa"/>
            <w:shd w:val="clear" w:color="auto" w:fill="auto"/>
          </w:tcPr>
          <w:p w14:paraId="2CD7A876" w14:textId="77777777" w:rsidR="00885B99" w:rsidRPr="00F50B0C" w:rsidRDefault="00885B99" w:rsidP="00FC15A2">
            <w:pPr>
              <w:pStyle w:val="Tabletext"/>
              <w:jc w:val="center"/>
              <w:rPr>
                <w:color w:val="000000" w:themeColor="text1"/>
              </w:rPr>
            </w:pPr>
            <w:r w:rsidRPr="00F50B0C">
              <w:rPr>
                <w:color w:val="000000" w:themeColor="text1"/>
              </w:rPr>
              <w:t>X</w:t>
            </w:r>
          </w:p>
        </w:tc>
      </w:tr>
      <w:tr w:rsidR="00885B99" w:rsidRPr="00F50B0C" w14:paraId="6D5294C9" w14:textId="77777777" w:rsidTr="00CD567B">
        <w:tblPrEx>
          <w:tblBorders>
            <w:top w:val="single" w:sz="4" w:space="0" w:color="auto"/>
            <w:left w:val="single" w:sz="4" w:space="0" w:color="auto"/>
            <w:right w:val="single" w:sz="4" w:space="0" w:color="auto"/>
          </w:tblBorders>
        </w:tblPrEx>
        <w:trPr>
          <w:jc w:val="center"/>
        </w:trPr>
        <w:tc>
          <w:tcPr>
            <w:tcW w:w="7434" w:type="dxa"/>
          </w:tcPr>
          <w:p w14:paraId="401B14D3" w14:textId="77777777" w:rsidR="00885B99" w:rsidRPr="00F50B0C" w:rsidRDefault="00885B99" w:rsidP="00FC15A2">
            <w:pPr>
              <w:pStyle w:val="Tabletext"/>
              <w:rPr>
                <w:b/>
                <w:color w:val="000000" w:themeColor="text1"/>
                <w:u w:val="single"/>
              </w:rPr>
            </w:pPr>
            <w:r w:rsidRPr="00F50B0C">
              <w:rPr>
                <w:color w:val="000000" w:themeColor="text1"/>
              </w:rPr>
              <w:t>Disproportionate KYC requirements</w:t>
            </w:r>
          </w:p>
        </w:tc>
        <w:tc>
          <w:tcPr>
            <w:tcW w:w="1474" w:type="dxa"/>
            <w:shd w:val="clear" w:color="auto" w:fill="auto"/>
          </w:tcPr>
          <w:p w14:paraId="69FAC063" w14:textId="77777777" w:rsidR="00885B99" w:rsidRPr="00F50B0C" w:rsidRDefault="00885B99" w:rsidP="00FC15A2">
            <w:pPr>
              <w:pStyle w:val="Tabletext"/>
              <w:jc w:val="center"/>
              <w:rPr>
                <w:color w:val="000000" w:themeColor="text1"/>
              </w:rPr>
            </w:pPr>
            <w:r w:rsidRPr="00F50B0C">
              <w:rPr>
                <w:color w:val="000000" w:themeColor="text1"/>
              </w:rPr>
              <w:t>X</w:t>
            </w:r>
          </w:p>
        </w:tc>
        <w:tc>
          <w:tcPr>
            <w:tcW w:w="1417" w:type="dxa"/>
            <w:shd w:val="clear" w:color="auto" w:fill="auto"/>
          </w:tcPr>
          <w:p w14:paraId="53B378B8" w14:textId="77777777" w:rsidR="00885B99" w:rsidRPr="00F50B0C" w:rsidRDefault="00885B99" w:rsidP="00FC15A2">
            <w:pPr>
              <w:pStyle w:val="Tabletext"/>
              <w:jc w:val="center"/>
              <w:rPr>
                <w:color w:val="000000" w:themeColor="text1"/>
              </w:rPr>
            </w:pPr>
            <w:r w:rsidRPr="00F50B0C">
              <w:rPr>
                <w:color w:val="000000" w:themeColor="text1"/>
              </w:rPr>
              <w:t>X</w:t>
            </w:r>
          </w:p>
        </w:tc>
        <w:tc>
          <w:tcPr>
            <w:tcW w:w="1361" w:type="dxa"/>
            <w:shd w:val="clear" w:color="auto" w:fill="auto"/>
          </w:tcPr>
          <w:p w14:paraId="272B141F" w14:textId="77777777" w:rsidR="00885B99" w:rsidRPr="00F50B0C" w:rsidRDefault="00885B99" w:rsidP="00FC15A2">
            <w:pPr>
              <w:pStyle w:val="Tabletext"/>
              <w:jc w:val="center"/>
              <w:rPr>
                <w:color w:val="000000" w:themeColor="text1"/>
              </w:rPr>
            </w:pPr>
            <w:r w:rsidRPr="00F50B0C">
              <w:rPr>
                <w:color w:val="000000" w:themeColor="text1"/>
              </w:rPr>
              <w:t>X</w:t>
            </w:r>
          </w:p>
        </w:tc>
        <w:tc>
          <w:tcPr>
            <w:tcW w:w="1417" w:type="dxa"/>
            <w:shd w:val="clear" w:color="auto" w:fill="auto"/>
          </w:tcPr>
          <w:p w14:paraId="3AAFA49B" w14:textId="77777777" w:rsidR="00885B99" w:rsidRPr="00F50B0C" w:rsidRDefault="00885B99" w:rsidP="00FC15A2">
            <w:pPr>
              <w:pStyle w:val="Tabletext"/>
              <w:jc w:val="center"/>
              <w:rPr>
                <w:color w:val="000000" w:themeColor="text1"/>
              </w:rPr>
            </w:pPr>
            <w:r w:rsidRPr="00F50B0C">
              <w:rPr>
                <w:color w:val="000000" w:themeColor="text1"/>
              </w:rPr>
              <w:t>X</w:t>
            </w:r>
          </w:p>
        </w:tc>
        <w:tc>
          <w:tcPr>
            <w:tcW w:w="1239" w:type="dxa"/>
            <w:shd w:val="clear" w:color="auto" w:fill="auto"/>
          </w:tcPr>
          <w:p w14:paraId="7F4AA2C0" w14:textId="77777777" w:rsidR="00885B99" w:rsidRPr="00F50B0C" w:rsidRDefault="00885B99" w:rsidP="00FC15A2">
            <w:pPr>
              <w:pStyle w:val="Tabletext"/>
              <w:jc w:val="center"/>
              <w:rPr>
                <w:color w:val="000000" w:themeColor="text1"/>
              </w:rPr>
            </w:pPr>
            <w:r w:rsidRPr="00F50B0C">
              <w:rPr>
                <w:color w:val="000000" w:themeColor="text1"/>
              </w:rPr>
              <w:t>X</w:t>
            </w:r>
          </w:p>
        </w:tc>
      </w:tr>
      <w:tr w:rsidR="00885B99" w:rsidRPr="00F50B0C" w14:paraId="6D83B618" w14:textId="77777777" w:rsidTr="00CD567B">
        <w:tblPrEx>
          <w:tblBorders>
            <w:top w:val="single" w:sz="4" w:space="0" w:color="auto"/>
            <w:left w:val="single" w:sz="4" w:space="0" w:color="auto"/>
            <w:right w:val="single" w:sz="4" w:space="0" w:color="auto"/>
          </w:tblBorders>
        </w:tblPrEx>
        <w:trPr>
          <w:jc w:val="center"/>
        </w:trPr>
        <w:tc>
          <w:tcPr>
            <w:tcW w:w="7434" w:type="dxa"/>
          </w:tcPr>
          <w:p w14:paraId="1422D8BC" w14:textId="77777777" w:rsidR="00885B99" w:rsidRPr="00F50B0C" w:rsidRDefault="00885B99" w:rsidP="00FC15A2">
            <w:pPr>
              <w:pStyle w:val="Tabletext"/>
              <w:rPr>
                <w:color w:val="000000" w:themeColor="text1"/>
              </w:rPr>
            </w:pPr>
            <w:r w:rsidRPr="00F50B0C">
              <w:rPr>
                <w:color w:val="000000" w:themeColor="text1"/>
              </w:rPr>
              <w:t>Agent exclusivity</w:t>
            </w:r>
          </w:p>
        </w:tc>
        <w:tc>
          <w:tcPr>
            <w:tcW w:w="1474" w:type="dxa"/>
            <w:shd w:val="clear" w:color="auto" w:fill="auto"/>
          </w:tcPr>
          <w:p w14:paraId="17E16590" w14:textId="77777777" w:rsidR="00885B99" w:rsidRPr="00F50B0C" w:rsidRDefault="00885B99" w:rsidP="00FC15A2">
            <w:pPr>
              <w:pStyle w:val="Tabletext"/>
              <w:jc w:val="center"/>
              <w:rPr>
                <w:color w:val="000000" w:themeColor="text1"/>
              </w:rPr>
            </w:pPr>
            <w:r w:rsidRPr="00F50B0C">
              <w:rPr>
                <w:color w:val="000000" w:themeColor="text1"/>
              </w:rPr>
              <w:t>X</w:t>
            </w:r>
          </w:p>
        </w:tc>
        <w:tc>
          <w:tcPr>
            <w:tcW w:w="1417" w:type="dxa"/>
            <w:shd w:val="clear" w:color="auto" w:fill="auto"/>
          </w:tcPr>
          <w:p w14:paraId="3D0200CE" w14:textId="77777777" w:rsidR="00885B99" w:rsidRPr="00F50B0C" w:rsidRDefault="00885B99" w:rsidP="00FC15A2">
            <w:pPr>
              <w:pStyle w:val="Tabletext"/>
              <w:jc w:val="center"/>
              <w:rPr>
                <w:color w:val="000000" w:themeColor="text1"/>
              </w:rPr>
            </w:pPr>
            <w:r w:rsidRPr="00F50B0C">
              <w:rPr>
                <w:color w:val="000000" w:themeColor="text1"/>
              </w:rPr>
              <w:t>X</w:t>
            </w:r>
          </w:p>
        </w:tc>
        <w:tc>
          <w:tcPr>
            <w:tcW w:w="1361" w:type="dxa"/>
            <w:shd w:val="clear" w:color="auto" w:fill="auto"/>
          </w:tcPr>
          <w:p w14:paraId="10E5C138" w14:textId="77777777" w:rsidR="00885B99" w:rsidRPr="00F50B0C" w:rsidRDefault="00885B99" w:rsidP="00FC15A2">
            <w:pPr>
              <w:pStyle w:val="Tabletext"/>
              <w:jc w:val="center"/>
              <w:rPr>
                <w:color w:val="000000" w:themeColor="text1"/>
              </w:rPr>
            </w:pPr>
            <w:r w:rsidRPr="00F50B0C">
              <w:rPr>
                <w:color w:val="000000" w:themeColor="text1"/>
              </w:rPr>
              <w:t>X</w:t>
            </w:r>
          </w:p>
        </w:tc>
        <w:tc>
          <w:tcPr>
            <w:tcW w:w="1417" w:type="dxa"/>
            <w:shd w:val="clear" w:color="auto" w:fill="auto"/>
          </w:tcPr>
          <w:p w14:paraId="593247C6" w14:textId="77777777" w:rsidR="00885B99" w:rsidRPr="00F50B0C" w:rsidRDefault="00885B99" w:rsidP="00FC15A2">
            <w:pPr>
              <w:pStyle w:val="Tabletext"/>
              <w:jc w:val="center"/>
              <w:rPr>
                <w:color w:val="000000" w:themeColor="text1"/>
              </w:rPr>
            </w:pPr>
            <w:r w:rsidRPr="00F50B0C">
              <w:rPr>
                <w:color w:val="000000" w:themeColor="text1"/>
              </w:rPr>
              <w:t>X</w:t>
            </w:r>
          </w:p>
        </w:tc>
        <w:tc>
          <w:tcPr>
            <w:tcW w:w="1239" w:type="dxa"/>
            <w:shd w:val="clear" w:color="auto" w:fill="auto"/>
          </w:tcPr>
          <w:p w14:paraId="78F86D3D" w14:textId="77777777" w:rsidR="00885B99" w:rsidRPr="00F50B0C" w:rsidRDefault="00885B99" w:rsidP="00FC15A2">
            <w:pPr>
              <w:pStyle w:val="Tabletext"/>
              <w:jc w:val="center"/>
              <w:rPr>
                <w:color w:val="000000" w:themeColor="text1"/>
              </w:rPr>
            </w:pPr>
            <w:r w:rsidRPr="00F50B0C">
              <w:rPr>
                <w:color w:val="000000" w:themeColor="text1"/>
              </w:rPr>
              <w:t>X</w:t>
            </w:r>
          </w:p>
        </w:tc>
      </w:tr>
    </w:tbl>
    <w:p w14:paraId="70ED9726" w14:textId="77777777" w:rsidR="00885B99" w:rsidRDefault="00885B99" w:rsidP="00885B99">
      <w:pPr>
        <w:rPr>
          <w:u w:val="single"/>
        </w:rPr>
      </w:pPr>
    </w:p>
    <w:p w14:paraId="65CC8450" w14:textId="77777777" w:rsidR="00885B99" w:rsidRPr="00885B99" w:rsidRDefault="00885B99" w:rsidP="00885B99">
      <w:pPr>
        <w:rPr>
          <w:u w:val="single"/>
        </w:rPr>
      </w:pPr>
    </w:p>
    <w:p w14:paraId="71FCE679" w14:textId="77777777" w:rsidR="00885B99" w:rsidRDefault="00885B99" w:rsidP="00885B99">
      <w:pPr>
        <w:sectPr w:rsidR="00885B99" w:rsidSect="009375FE">
          <w:headerReference w:type="even" r:id="rId16"/>
          <w:footerReference w:type="even" r:id="rId17"/>
          <w:footerReference w:type="default" r:id="rId18"/>
          <w:pgSz w:w="16834" w:h="11907" w:orient="landscape" w:code="9"/>
          <w:pgMar w:top="1134" w:right="1134" w:bottom="1134" w:left="1134" w:header="567" w:footer="567" w:gutter="0"/>
          <w:paperSrc w:first="15" w:other="15"/>
          <w:cols w:space="720"/>
          <w:docGrid w:linePitch="326"/>
        </w:sectPr>
      </w:pPr>
    </w:p>
    <w:p w14:paraId="0E22A200" w14:textId="77777777" w:rsidR="00885B99" w:rsidRPr="0059019C" w:rsidRDefault="00885B99" w:rsidP="00FC15A2">
      <w:pPr>
        <w:pStyle w:val="Heading1"/>
        <w:spacing w:before="0"/>
      </w:pPr>
      <w:bookmarkStart w:id="118" w:name="_Toc472443724"/>
      <w:bookmarkStart w:id="119" w:name="_Toc17799394"/>
      <w:bookmarkStart w:id="120" w:name="_Toc17881555"/>
      <w:bookmarkStart w:id="121" w:name="_Toc17882385"/>
      <w:bookmarkStart w:id="122" w:name="_Toc17882604"/>
      <w:bookmarkStart w:id="123" w:name="_Toc17882823"/>
      <w:bookmarkStart w:id="124" w:name="_Toc17883178"/>
      <w:bookmarkStart w:id="125" w:name="_Toc17892850"/>
      <w:bookmarkStart w:id="126" w:name="_Toc17893069"/>
      <w:bookmarkStart w:id="127" w:name="_Toc17893288"/>
      <w:bookmarkStart w:id="128" w:name="_Toc17894149"/>
      <w:bookmarkStart w:id="129" w:name="_Toc17894377"/>
      <w:bookmarkStart w:id="130" w:name="_Toc17969231"/>
      <w:r>
        <w:lastRenderedPageBreak/>
        <w:t>3</w:t>
      </w:r>
      <w:r>
        <w:tab/>
      </w:r>
      <w:r w:rsidRPr="00E83E52">
        <w:t>R</w:t>
      </w:r>
      <w:r>
        <w:t>oles and responses of regulators in competition matters in DFS</w:t>
      </w:r>
      <w:bookmarkEnd w:id="118"/>
      <w:bookmarkEnd w:id="119"/>
      <w:bookmarkEnd w:id="120"/>
      <w:bookmarkEnd w:id="121"/>
      <w:bookmarkEnd w:id="122"/>
      <w:bookmarkEnd w:id="123"/>
      <w:bookmarkEnd w:id="124"/>
      <w:bookmarkEnd w:id="125"/>
      <w:bookmarkEnd w:id="126"/>
      <w:bookmarkEnd w:id="127"/>
      <w:bookmarkEnd w:id="128"/>
      <w:bookmarkEnd w:id="129"/>
      <w:bookmarkEnd w:id="130"/>
    </w:p>
    <w:p w14:paraId="61AD9F28" w14:textId="77777777" w:rsidR="00885B99" w:rsidRPr="00E83E52" w:rsidRDefault="00885B99" w:rsidP="00885B99">
      <w:pPr>
        <w:pStyle w:val="Heading2"/>
      </w:pPr>
      <w:bookmarkStart w:id="131" w:name="_Toc17799395"/>
      <w:bookmarkStart w:id="132" w:name="_Toc17881556"/>
      <w:bookmarkStart w:id="133" w:name="_Toc17882386"/>
      <w:bookmarkStart w:id="134" w:name="_Toc17882605"/>
      <w:bookmarkStart w:id="135" w:name="_Toc17882824"/>
      <w:bookmarkStart w:id="136" w:name="_Toc17883179"/>
      <w:bookmarkStart w:id="137" w:name="_Toc17892851"/>
      <w:bookmarkStart w:id="138" w:name="_Toc17893070"/>
      <w:bookmarkStart w:id="139" w:name="_Toc17893289"/>
      <w:bookmarkStart w:id="140" w:name="_Toc17894150"/>
      <w:bookmarkStart w:id="141" w:name="_Toc17894378"/>
      <w:bookmarkStart w:id="142" w:name="_Toc17969232"/>
      <w:r w:rsidRPr="00E83E52">
        <w:t>3.1</w:t>
      </w:r>
      <w:r>
        <w:tab/>
        <w:t>Remits of regulators related to competition m</w:t>
      </w:r>
      <w:r w:rsidRPr="0059019C">
        <w:t>atters</w:t>
      </w:r>
      <w:bookmarkEnd w:id="131"/>
      <w:bookmarkEnd w:id="132"/>
      <w:bookmarkEnd w:id="133"/>
      <w:bookmarkEnd w:id="134"/>
      <w:bookmarkEnd w:id="135"/>
      <w:bookmarkEnd w:id="136"/>
      <w:bookmarkEnd w:id="137"/>
      <w:bookmarkEnd w:id="138"/>
      <w:bookmarkEnd w:id="139"/>
      <w:bookmarkEnd w:id="140"/>
      <w:bookmarkEnd w:id="141"/>
      <w:bookmarkEnd w:id="142"/>
    </w:p>
    <w:p w14:paraId="5CBFB478" w14:textId="77777777" w:rsidR="00885B99" w:rsidRPr="00E83E52" w:rsidRDefault="00885B99" w:rsidP="00885B99">
      <w:pPr>
        <w:spacing w:after="120"/>
        <w:rPr>
          <w:color w:val="000000" w:themeColor="text1"/>
          <w:szCs w:val="24"/>
        </w:rPr>
      </w:pPr>
      <w:r w:rsidRPr="00E83E52">
        <w:rPr>
          <w:color w:val="000000" w:themeColor="text1"/>
          <w:szCs w:val="24"/>
        </w:rPr>
        <w:t>The DFS ecosystem usually touches on a number of regulatory domains and may involve multiple regulators</w:t>
      </w:r>
      <w:r>
        <w:rPr>
          <w:color w:val="000000" w:themeColor="text1"/>
          <w:szCs w:val="24"/>
        </w:rPr>
        <w:t xml:space="preserve"> or authorities</w:t>
      </w:r>
      <w:r w:rsidRPr="00E83E52">
        <w:rPr>
          <w:color w:val="000000" w:themeColor="text1"/>
          <w:szCs w:val="24"/>
        </w:rPr>
        <w:t xml:space="preserve">: </w:t>
      </w:r>
      <w:r>
        <w:rPr>
          <w:color w:val="000000" w:themeColor="text1"/>
          <w:szCs w:val="24"/>
        </w:rPr>
        <w:t>f</w:t>
      </w:r>
      <w:r w:rsidRPr="00E83E52">
        <w:rPr>
          <w:color w:val="000000" w:themeColor="text1"/>
          <w:szCs w:val="24"/>
        </w:rPr>
        <w:t>or example</w:t>
      </w:r>
      <w:r>
        <w:rPr>
          <w:color w:val="000000" w:themeColor="text1"/>
          <w:szCs w:val="24"/>
        </w:rPr>
        <w:t>,</w:t>
      </w:r>
      <w:r w:rsidRPr="00E83E52">
        <w:rPr>
          <w:color w:val="000000" w:themeColor="text1"/>
          <w:szCs w:val="24"/>
        </w:rPr>
        <w:t xml:space="preserve"> the telecommunication regulator, central bank</w:t>
      </w:r>
      <w:r w:rsidRPr="00E83E52">
        <w:rPr>
          <w:rStyle w:val="FootnoteReference"/>
          <w:color w:val="000000" w:themeColor="text1"/>
          <w:szCs w:val="24"/>
        </w:rPr>
        <w:footnoteReference w:id="50"/>
      </w:r>
      <w:r w:rsidRPr="00E83E52">
        <w:rPr>
          <w:color w:val="000000" w:themeColor="text1"/>
          <w:szCs w:val="24"/>
        </w:rPr>
        <w:t>, payments regulator</w:t>
      </w:r>
      <w:r w:rsidRPr="00E83E52">
        <w:rPr>
          <w:rStyle w:val="FootnoteReference"/>
          <w:color w:val="000000" w:themeColor="text1"/>
          <w:szCs w:val="24"/>
        </w:rPr>
        <w:footnoteReference w:id="51"/>
      </w:r>
      <w:r w:rsidRPr="00E83E52">
        <w:rPr>
          <w:color w:val="000000" w:themeColor="text1"/>
          <w:szCs w:val="24"/>
        </w:rPr>
        <w:t xml:space="preserve">, </w:t>
      </w:r>
      <w:r>
        <w:rPr>
          <w:color w:val="000000" w:themeColor="text1"/>
          <w:szCs w:val="24"/>
        </w:rPr>
        <w:t>f</w:t>
      </w:r>
      <w:r w:rsidRPr="00E83E52">
        <w:rPr>
          <w:color w:val="000000" w:themeColor="text1"/>
          <w:szCs w:val="24"/>
        </w:rPr>
        <w:t xml:space="preserve">inancial </w:t>
      </w:r>
      <w:r>
        <w:rPr>
          <w:color w:val="000000" w:themeColor="text1"/>
          <w:szCs w:val="24"/>
        </w:rPr>
        <w:t>i</w:t>
      </w:r>
      <w:r w:rsidRPr="00E83E52">
        <w:rPr>
          <w:color w:val="000000" w:themeColor="text1"/>
          <w:szCs w:val="24"/>
        </w:rPr>
        <w:t xml:space="preserve">ntelligence </w:t>
      </w:r>
      <w:r>
        <w:rPr>
          <w:color w:val="000000" w:themeColor="text1"/>
          <w:szCs w:val="24"/>
        </w:rPr>
        <w:t>u</w:t>
      </w:r>
      <w:r w:rsidRPr="00E83E52">
        <w:rPr>
          <w:color w:val="000000" w:themeColor="text1"/>
          <w:szCs w:val="24"/>
        </w:rPr>
        <w:t xml:space="preserve">nit and a competition </w:t>
      </w:r>
      <w:r>
        <w:rPr>
          <w:color w:val="000000" w:themeColor="text1"/>
          <w:szCs w:val="24"/>
        </w:rPr>
        <w:t>authority</w:t>
      </w:r>
      <w:r w:rsidRPr="00E83E52">
        <w:rPr>
          <w:color w:val="000000" w:themeColor="text1"/>
          <w:szCs w:val="24"/>
        </w:rPr>
        <w:t>.</w:t>
      </w:r>
      <w:r w:rsidRPr="00E83E52">
        <w:rPr>
          <w:rStyle w:val="FootnoteReference"/>
          <w:color w:val="000000" w:themeColor="text1"/>
          <w:szCs w:val="24"/>
        </w:rPr>
        <w:footnoteReference w:id="52"/>
      </w:r>
      <w:r w:rsidRPr="00E83E52">
        <w:rPr>
          <w:color w:val="000000" w:themeColor="text1"/>
          <w:szCs w:val="24"/>
        </w:rPr>
        <w:t xml:space="preserve"> </w:t>
      </w:r>
      <w:r>
        <w:rPr>
          <w:color w:val="000000" w:themeColor="text1"/>
          <w:szCs w:val="24"/>
        </w:rPr>
        <w:t>Generally, f</w:t>
      </w:r>
      <w:r w:rsidRPr="00E83E52">
        <w:rPr>
          <w:color w:val="000000" w:themeColor="text1"/>
          <w:szCs w:val="24"/>
        </w:rPr>
        <w:t xml:space="preserve">or DFS, the financial services regulator is the lead regulator, and is usually the central bank. Telecommunication regulators usually act in a supporting role, with their jurisdiction mostly limited to issues related to </w:t>
      </w:r>
      <w:r>
        <w:rPr>
          <w:color w:val="000000" w:themeColor="text1"/>
          <w:szCs w:val="24"/>
        </w:rPr>
        <w:t>the telecommunication channel.</w:t>
      </w:r>
    </w:p>
    <w:p w14:paraId="417B51DC" w14:textId="77777777" w:rsidR="00885B99" w:rsidRPr="00E83E52" w:rsidRDefault="00885B99" w:rsidP="00885B99">
      <w:pPr>
        <w:spacing w:after="120"/>
        <w:rPr>
          <w:color w:val="000000" w:themeColor="text1"/>
          <w:szCs w:val="24"/>
        </w:rPr>
      </w:pPr>
      <w:r w:rsidRPr="00E83E52">
        <w:rPr>
          <w:color w:val="000000" w:themeColor="text1"/>
          <w:szCs w:val="24"/>
        </w:rPr>
        <w:t xml:space="preserve">There are multiple theories </w:t>
      </w:r>
      <w:r>
        <w:rPr>
          <w:color w:val="000000" w:themeColor="text1"/>
          <w:szCs w:val="24"/>
        </w:rPr>
        <w:t>about</w:t>
      </w:r>
      <w:r w:rsidRPr="00E83E52">
        <w:rPr>
          <w:color w:val="000000" w:themeColor="text1"/>
          <w:szCs w:val="24"/>
        </w:rPr>
        <w:t xml:space="preserve"> how competition-based precepts should be applied to the digital economy,</w:t>
      </w:r>
      <w:r w:rsidRPr="00E83E52">
        <w:rPr>
          <w:rStyle w:val="FootnoteReference"/>
          <w:color w:val="000000" w:themeColor="text1"/>
          <w:szCs w:val="24"/>
        </w:rPr>
        <w:footnoteReference w:id="53"/>
      </w:r>
      <w:r w:rsidRPr="00E83E52">
        <w:rPr>
          <w:color w:val="000000" w:themeColor="text1"/>
          <w:szCs w:val="24"/>
        </w:rPr>
        <w:t xml:space="preserve"> but generally competition-related jurisdiction and power is founded through </w:t>
      </w:r>
      <w:r w:rsidRPr="00E83E52">
        <w:rPr>
          <w:i/>
          <w:color w:val="000000" w:themeColor="text1"/>
          <w:szCs w:val="24"/>
        </w:rPr>
        <w:t>sectoral</w:t>
      </w:r>
      <w:r w:rsidRPr="00E83E52">
        <w:rPr>
          <w:color w:val="000000" w:themeColor="text1"/>
          <w:szCs w:val="24"/>
        </w:rPr>
        <w:t xml:space="preserve"> </w:t>
      </w:r>
      <w:r w:rsidRPr="00E83E52">
        <w:rPr>
          <w:i/>
          <w:color w:val="000000" w:themeColor="text1"/>
          <w:szCs w:val="24"/>
        </w:rPr>
        <w:t>regulations</w:t>
      </w:r>
      <w:r w:rsidRPr="00E83E52">
        <w:rPr>
          <w:color w:val="000000" w:themeColor="text1"/>
          <w:szCs w:val="24"/>
        </w:rPr>
        <w:t xml:space="preserve"> and </w:t>
      </w:r>
      <w:r w:rsidRPr="00E83E52">
        <w:rPr>
          <w:i/>
          <w:color w:val="000000" w:themeColor="text1"/>
          <w:szCs w:val="24"/>
        </w:rPr>
        <w:t>national</w:t>
      </w:r>
      <w:r w:rsidRPr="00E83E52">
        <w:rPr>
          <w:color w:val="000000" w:themeColor="text1"/>
          <w:szCs w:val="24"/>
        </w:rPr>
        <w:t xml:space="preserve"> </w:t>
      </w:r>
      <w:r w:rsidRPr="00E83E52">
        <w:rPr>
          <w:i/>
          <w:color w:val="000000" w:themeColor="text1"/>
          <w:szCs w:val="24"/>
        </w:rPr>
        <w:t>competition law</w:t>
      </w:r>
      <w:r>
        <w:rPr>
          <w:color w:val="000000" w:themeColor="text1"/>
          <w:szCs w:val="24"/>
        </w:rPr>
        <w:t>.</w:t>
      </w:r>
    </w:p>
    <w:p w14:paraId="33003ED6" w14:textId="77777777" w:rsidR="00885B99" w:rsidRPr="00E83E52" w:rsidRDefault="00885B99" w:rsidP="00885B99">
      <w:pPr>
        <w:spacing w:after="120"/>
        <w:rPr>
          <w:color w:val="000000" w:themeColor="text1"/>
          <w:szCs w:val="24"/>
        </w:rPr>
      </w:pPr>
      <w:r w:rsidRPr="00E83E52">
        <w:rPr>
          <w:color w:val="000000" w:themeColor="text1"/>
          <w:szCs w:val="24"/>
        </w:rPr>
        <w:t xml:space="preserve">Not all countries have a competition law or </w:t>
      </w:r>
      <w:r>
        <w:rPr>
          <w:color w:val="000000" w:themeColor="text1"/>
          <w:szCs w:val="24"/>
        </w:rPr>
        <w:t>competition authority</w:t>
      </w:r>
      <w:r w:rsidRPr="00E83E52">
        <w:rPr>
          <w:color w:val="000000" w:themeColor="text1"/>
          <w:szCs w:val="24"/>
        </w:rPr>
        <w:t>. Often</w:t>
      </w:r>
      <w:r>
        <w:rPr>
          <w:color w:val="000000" w:themeColor="text1"/>
          <w:szCs w:val="24"/>
        </w:rPr>
        <w:t>,</w:t>
      </w:r>
      <w:r w:rsidRPr="00E83E52">
        <w:rPr>
          <w:color w:val="000000" w:themeColor="text1"/>
          <w:szCs w:val="24"/>
        </w:rPr>
        <w:t xml:space="preserve"> the competition powers are found in sectoral regulation, such that each of the sectoral regulators may have mandates that allow them </w:t>
      </w:r>
      <w:r>
        <w:rPr>
          <w:color w:val="000000" w:themeColor="text1"/>
          <w:szCs w:val="24"/>
        </w:rPr>
        <w:t xml:space="preserve">to </w:t>
      </w:r>
      <w:r w:rsidRPr="00E83E52">
        <w:rPr>
          <w:color w:val="000000" w:themeColor="text1"/>
          <w:szCs w:val="24"/>
        </w:rPr>
        <w:t>intervene in their sector if there is</w:t>
      </w:r>
      <w:r>
        <w:rPr>
          <w:color w:val="000000" w:themeColor="text1"/>
          <w:szCs w:val="24"/>
        </w:rPr>
        <w:t xml:space="preserve"> a competition-related concern.</w:t>
      </w:r>
    </w:p>
    <w:p w14:paraId="2B777062" w14:textId="63453DA9" w:rsidR="00885B99" w:rsidRPr="00E83E52" w:rsidRDefault="00885B99" w:rsidP="00885B99">
      <w:pPr>
        <w:spacing w:after="120"/>
        <w:rPr>
          <w:color w:val="000000" w:themeColor="text1"/>
          <w:szCs w:val="24"/>
        </w:rPr>
      </w:pPr>
      <w:r w:rsidRPr="00E83E52">
        <w:rPr>
          <w:color w:val="000000" w:themeColor="text1"/>
          <w:szCs w:val="24"/>
        </w:rPr>
        <w:t>In some jurisdictions, competition policies</w:t>
      </w:r>
      <w:r>
        <w:rPr>
          <w:color w:val="000000" w:themeColor="text1"/>
          <w:szCs w:val="24"/>
        </w:rPr>
        <w:t xml:space="preserve"> or laws</w:t>
      </w:r>
      <w:r w:rsidRPr="00E83E52">
        <w:rPr>
          <w:color w:val="000000" w:themeColor="text1"/>
          <w:szCs w:val="24"/>
        </w:rPr>
        <w:t xml:space="preserve"> are available to guide sector regulators to </w:t>
      </w:r>
      <w:r>
        <w:rPr>
          <w:color w:val="000000" w:themeColor="text1"/>
          <w:szCs w:val="24"/>
        </w:rPr>
        <w:t xml:space="preserve">help them </w:t>
      </w:r>
      <w:r w:rsidRPr="00E83E52">
        <w:rPr>
          <w:color w:val="000000" w:themeColor="text1"/>
          <w:szCs w:val="24"/>
        </w:rPr>
        <w:t>deal with competition</w:t>
      </w:r>
      <w:r>
        <w:rPr>
          <w:color w:val="000000" w:themeColor="text1"/>
          <w:szCs w:val="24"/>
        </w:rPr>
        <w:t>-</w:t>
      </w:r>
      <w:r w:rsidRPr="00E83E52">
        <w:rPr>
          <w:color w:val="000000" w:themeColor="text1"/>
          <w:szCs w:val="24"/>
        </w:rPr>
        <w:t xml:space="preserve">related issues. Because of jurisdictional conflicts, coordination on competition issues has been found to be useful in preventing regulatory arbitrage. This has usually taken the form of a </w:t>
      </w:r>
      <w:r>
        <w:rPr>
          <w:color w:val="000000" w:themeColor="text1"/>
          <w:szCs w:val="24"/>
        </w:rPr>
        <w:t>m</w:t>
      </w:r>
      <w:r w:rsidRPr="00E83E52">
        <w:rPr>
          <w:color w:val="000000" w:themeColor="text1"/>
          <w:szCs w:val="24"/>
        </w:rPr>
        <w:t xml:space="preserve">emorandum of </w:t>
      </w:r>
      <w:r>
        <w:rPr>
          <w:color w:val="000000" w:themeColor="text1"/>
          <w:szCs w:val="24"/>
        </w:rPr>
        <w:t>u</w:t>
      </w:r>
      <w:r w:rsidRPr="00E83E52">
        <w:rPr>
          <w:color w:val="000000" w:themeColor="text1"/>
          <w:szCs w:val="24"/>
        </w:rPr>
        <w:t xml:space="preserve">nderstanding (MOU) between the regulators </w:t>
      </w:r>
      <w:r>
        <w:rPr>
          <w:color w:val="000000" w:themeColor="text1"/>
          <w:szCs w:val="24"/>
        </w:rPr>
        <w:t>which</w:t>
      </w:r>
      <w:r w:rsidRPr="00E83E52">
        <w:rPr>
          <w:color w:val="000000" w:themeColor="text1"/>
          <w:szCs w:val="24"/>
        </w:rPr>
        <w:t xml:space="preserve"> has outlined who has jurisdiction over a specific issue or sets of issues and the remedies available, if any.</w:t>
      </w:r>
      <w:r w:rsidRPr="00E83E52">
        <w:rPr>
          <w:rStyle w:val="FootnoteReference"/>
          <w:color w:val="000000" w:themeColor="text1"/>
          <w:szCs w:val="24"/>
        </w:rPr>
        <w:footnoteReference w:id="54"/>
      </w:r>
      <w:r w:rsidRPr="00E83E52">
        <w:rPr>
          <w:color w:val="000000" w:themeColor="text1"/>
          <w:szCs w:val="24"/>
        </w:rPr>
        <w:t xml:space="preserve"> Or,</w:t>
      </w:r>
      <w:r w:rsidR="005D5B5C">
        <w:rPr>
          <w:color w:val="000000" w:themeColor="text1"/>
          <w:szCs w:val="24"/>
        </w:rPr>
        <w:t> </w:t>
      </w:r>
      <w:r w:rsidRPr="00E83E52">
        <w:rPr>
          <w:color w:val="000000" w:themeColor="text1"/>
          <w:szCs w:val="24"/>
        </w:rPr>
        <w:t>the legislature may intervene to specifically carve out competition-related roles.</w:t>
      </w:r>
      <w:r w:rsidRPr="00E83E52">
        <w:rPr>
          <w:rStyle w:val="FootnoteReference"/>
          <w:color w:val="000000" w:themeColor="text1"/>
          <w:szCs w:val="24"/>
        </w:rPr>
        <w:footnoteReference w:id="55"/>
      </w:r>
    </w:p>
    <w:p w14:paraId="201F34DF" w14:textId="77777777" w:rsidR="00885B99" w:rsidRPr="0059019C" w:rsidRDefault="00885B99" w:rsidP="00885B99">
      <w:pPr>
        <w:pStyle w:val="Heading2"/>
      </w:pPr>
      <w:bookmarkStart w:id="143" w:name="_Toc17799396"/>
      <w:bookmarkStart w:id="144" w:name="_Toc17881557"/>
      <w:bookmarkStart w:id="145" w:name="_Toc17882387"/>
      <w:bookmarkStart w:id="146" w:name="_Toc17882606"/>
      <w:bookmarkStart w:id="147" w:name="_Toc17882825"/>
      <w:bookmarkStart w:id="148" w:name="_Toc17883180"/>
      <w:bookmarkStart w:id="149" w:name="_Toc17892852"/>
      <w:bookmarkStart w:id="150" w:name="_Toc17893071"/>
      <w:bookmarkStart w:id="151" w:name="_Toc17893290"/>
      <w:bookmarkStart w:id="152" w:name="_Toc17894151"/>
      <w:bookmarkStart w:id="153" w:name="_Toc17894379"/>
      <w:bookmarkStart w:id="154" w:name="_Toc17969233"/>
      <w:r>
        <w:lastRenderedPageBreak/>
        <w:t>3.2</w:t>
      </w:r>
      <w:r>
        <w:tab/>
        <w:t>Application of regulatory r</w:t>
      </w:r>
      <w:r w:rsidRPr="0059019C">
        <w:t>emits</w:t>
      </w:r>
      <w:bookmarkEnd w:id="143"/>
      <w:bookmarkEnd w:id="144"/>
      <w:bookmarkEnd w:id="145"/>
      <w:bookmarkEnd w:id="146"/>
      <w:bookmarkEnd w:id="147"/>
      <w:bookmarkEnd w:id="148"/>
      <w:bookmarkEnd w:id="149"/>
      <w:bookmarkEnd w:id="150"/>
      <w:bookmarkEnd w:id="151"/>
      <w:bookmarkEnd w:id="152"/>
      <w:bookmarkEnd w:id="153"/>
      <w:bookmarkEnd w:id="154"/>
    </w:p>
    <w:p w14:paraId="683C1D9C" w14:textId="77777777" w:rsidR="00885B99" w:rsidRPr="00E83E52" w:rsidRDefault="00885B99" w:rsidP="00885B99">
      <w:pPr>
        <w:spacing w:after="120"/>
        <w:rPr>
          <w:color w:val="000000" w:themeColor="text1"/>
          <w:szCs w:val="24"/>
        </w:rPr>
      </w:pPr>
      <w:r w:rsidRPr="00E83E52">
        <w:rPr>
          <w:color w:val="000000" w:themeColor="text1"/>
          <w:szCs w:val="24"/>
        </w:rPr>
        <w:t xml:space="preserve">Sectoral regulations may contain competition provisions which apply </w:t>
      </w:r>
      <w:r w:rsidRPr="00E83E52">
        <w:rPr>
          <w:i/>
          <w:color w:val="000000" w:themeColor="text1"/>
          <w:szCs w:val="24"/>
        </w:rPr>
        <w:t>prior</w:t>
      </w:r>
      <w:r w:rsidRPr="00E83E52">
        <w:rPr>
          <w:color w:val="000000" w:themeColor="text1"/>
          <w:szCs w:val="24"/>
        </w:rPr>
        <w:t xml:space="preserve"> to the occurrence of actions that may require intervention to ensure a fair </w:t>
      </w:r>
      <w:r>
        <w:rPr>
          <w:color w:val="000000" w:themeColor="text1"/>
          <w:szCs w:val="24"/>
        </w:rPr>
        <w:t xml:space="preserve">and </w:t>
      </w:r>
      <w:r w:rsidRPr="00E83E52">
        <w:rPr>
          <w:color w:val="000000" w:themeColor="text1"/>
          <w:szCs w:val="24"/>
        </w:rPr>
        <w:t>level playing field.</w:t>
      </w:r>
      <w:r>
        <w:rPr>
          <w:rStyle w:val="FootnoteReference"/>
          <w:color w:val="000000" w:themeColor="text1"/>
          <w:szCs w:val="24"/>
        </w:rPr>
        <w:footnoteReference w:id="56"/>
      </w:r>
      <w:r w:rsidRPr="00E83E52">
        <w:rPr>
          <w:color w:val="000000" w:themeColor="text1"/>
          <w:szCs w:val="24"/>
        </w:rPr>
        <w:t xml:space="preserve"> These are termed </w:t>
      </w:r>
      <w:r w:rsidRPr="00E83E52">
        <w:rPr>
          <w:i/>
          <w:color w:val="000000" w:themeColor="text1"/>
          <w:szCs w:val="24"/>
        </w:rPr>
        <w:t>ex</w:t>
      </w:r>
      <w:r>
        <w:rPr>
          <w:i/>
          <w:color w:val="000000" w:themeColor="text1"/>
          <w:szCs w:val="24"/>
        </w:rPr>
        <w:t> </w:t>
      </w:r>
      <w:r w:rsidRPr="00E83E52">
        <w:rPr>
          <w:i/>
          <w:color w:val="000000" w:themeColor="text1"/>
          <w:szCs w:val="24"/>
        </w:rPr>
        <w:t>ante</w:t>
      </w:r>
      <w:r w:rsidRPr="00E83E52">
        <w:rPr>
          <w:color w:val="000000" w:themeColor="text1"/>
          <w:szCs w:val="24"/>
        </w:rPr>
        <w:t>. For example, regulators have intervened to provide access to a USSD channel at</w:t>
      </w:r>
      <w:r>
        <w:rPr>
          <w:color w:val="000000" w:themeColor="text1"/>
          <w:szCs w:val="24"/>
        </w:rPr>
        <w:t xml:space="preserve"> FRAND</w:t>
      </w:r>
      <w:r w:rsidRPr="00E83E52">
        <w:rPr>
          <w:color w:val="000000" w:themeColor="text1"/>
          <w:szCs w:val="24"/>
        </w:rPr>
        <w:t xml:space="preserve"> terms.</w:t>
      </w:r>
    </w:p>
    <w:p w14:paraId="6548D844" w14:textId="77777777" w:rsidR="00885B99" w:rsidRPr="00E83E52" w:rsidRDefault="00885B99" w:rsidP="00885B99">
      <w:pPr>
        <w:spacing w:after="120"/>
        <w:rPr>
          <w:color w:val="000000" w:themeColor="text1"/>
          <w:szCs w:val="24"/>
        </w:rPr>
      </w:pPr>
      <w:r w:rsidRPr="00E83E52">
        <w:rPr>
          <w:color w:val="000000" w:themeColor="text1"/>
          <w:szCs w:val="24"/>
        </w:rPr>
        <w:t xml:space="preserve">Competition law is usually termed </w:t>
      </w:r>
      <w:r w:rsidRPr="00E83E52">
        <w:rPr>
          <w:i/>
          <w:color w:val="000000" w:themeColor="text1"/>
          <w:szCs w:val="24"/>
        </w:rPr>
        <w:t>ex post</w:t>
      </w:r>
      <w:r w:rsidRPr="00E83E52">
        <w:rPr>
          <w:color w:val="000000" w:themeColor="text1"/>
          <w:szCs w:val="24"/>
        </w:rPr>
        <w:t xml:space="preserve">, meaning that the </w:t>
      </w:r>
      <w:r>
        <w:rPr>
          <w:color w:val="000000" w:themeColor="text1"/>
          <w:szCs w:val="24"/>
        </w:rPr>
        <w:t xml:space="preserve">competition authority or </w:t>
      </w:r>
      <w:r w:rsidRPr="00E83E52">
        <w:rPr>
          <w:color w:val="000000" w:themeColor="text1"/>
          <w:szCs w:val="24"/>
        </w:rPr>
        <w:t xml:space="preserve">regulator has set rules in place to prevent and deal with anti-competitive </w:t>
      </w:r>
      <w:r>
        <w:rPr>
          <w:color w:val="000000" w:themeColor="text1"/>
          <w:szCs w:val="24"/>
        </w:rPr>
        <w:t>behaviour</w:t>
      </w:r>
      <w:r w:rsidRPr="00E83E52">
        <w:rPr>
          <w:color w:val="000000" w:themeColor="text1"/>
          <w:szCs w:val="24"/>
        </w:rPr>
        <w:t xml:space="preserve"> </w:t>
      </w:r>
      <w:r w:rsidRPr="00E83E52">
        <w:rPr>
          <w:i/>
          <w:color w:val="000000" w:themeColor="text1"/>
          <w:szCs w:val="24"/>
        </w:rPr>
        <w:t>after or when</w:t>
      </w:r>
      <w:r w:rsidRPr="00E83E52">
        <w:rPr>
          <w:color w:val="000000" w:themeColor="text1"/>
          <w:szCs w:val="24"/>
        </w:rPr>
        <w:t xml:space="preserve"> it takes place.</w:t>
      </w:r>
      <w:r w:rsidRPr="00E83E52">
        <w:rPr>
          <w:rStyle w:val="FootnoteReference"/>
          <w:color w:val="000000" w:themeColor="text1"/>
          <w:szCs w:val="24"/>
        </w:rPr>
        <w:footnoteReference w:id="57"/>
      </w:r>
      <w:r w:rsidRPr="00E83E52">
        <w:rPr>
          <w:color w:val="000000" w:themeColor="text1"/>
          <w:szCs w:val="24"/>
        </w:rPr>
        <w:t xml:space="preserve"> It applies </w:t>
      </w:r>
      <w:r w:rsidRPr="00E83E52">
        <w:rPr>
          <w:i/>
          <w:color w:val="000000" w:themeColor="text1"/>
          <w:szCs w:val="24"/>
        </w:rPr>
        <w:t>after</w:t>
      </w:r>
      <w:r w:rsidRPr="00E83E52">
        <w:rPr>
          <w:color w:val="000000" w:themeColor="text1"/>
          <w:szCs w:val="24"/>
        </w:rPr>
        <w:t xml:space="preserve"> an infringement, possibly leading to a fine and remedies imposed on the infringers.</w:t>
      </w:r>
    </w:p>
    <w:p w14:paraId="369D8670" w14:textId="77777777" w:rsidR="00885B99" w:rsidRPr="00E83E52" w:rsidRDefault="00885B99" w:rsidP="00885B99">
      <w:pPr>
        <w:spacing w:after="120"/>
        <w:rPr>
          <w:color w:val="000000" w:themeColor="text1"/>
          <w:szCs w:val="24"/>
        </w:rPr>
      </w:pPr>
      <w:r w:rsidRPr="00E83E52">
        <w:rPr>
          <w:color w:val="000000" w:themeColor="text1"/>
          <w:szCs w:val="24"/>
        </w:rPr>
        <w:t xml:space="preserve">Competition law may empower both sectoral </w:t>
      </w:r>
      <w:r>
        <w:rPr>
          <w:color w:val="000000" w:themeColor="text1"/>
          <w:szCs w:val="24"/>
        </w:rPr>
        <w:t xml:space="preserve">regulators </w:t>
      </w:r>
      <w:r w:rsidRPr="00E83E52">
        <w:rPr>
          <w:color w:val="000000" w:themeColor="text1"/>
          <w:szCs w:val="24"/>
        </w:rPr>
        <w:t xml:space="preserve">and competition </w:t>
      </w:r>
      <w:r>
        <w:rPr>
          <w:color w:val="000000" w:themeColor="text1"/>
          <w:szCs w:val="24"/>
        </w:rPr>
        <w:t>authorities</w:t>
      </w:r>
      <w:r w:rsidRPr="00E83E52">
        <w:rPr>
          <w:color w:val="000000" w:themeColor="text1"/>
          <w:szCs w:val="24"/>
        </w:rPr>
        <w:t>. This approach also allows for market investigations and inquiries to determine if an entity has what is termed dominance or has SMP based on its market</w:t>
      </w:r>
      <w:r>
        <w:rPr>
          <w:color w:val="000000" w:themeColor="text1"/>
          <w:szCs w:val="24"/>
        </w:rPr>
        <w:t xml:space="preserve"> size and other market factors.</w:t>
      </w:r>
    </w:p>
    <w:p w14:paraId="543B5971" w14:textId="77777777" w:rsidR="00885B99" w:rsidRPr="00E83E52" w:rsidRDefault="00885B99" w:rsidP="00885B99">
      <w:pPr>
        <w:spacing w:after="120"/>
        <w:rPr>
          <w:color w:val="000000" w:themeColor="text1"/>
          <w:szCs w:val="24"/>
        </w:rPr>
      </w:pPr>
      <w:r w:rsidRPr="00E83E52">
        <w:rPr>
          <w:color w:val="000000" w:themeColor="text1"/>
          <w:szCs w:val="24"/>
        </w:rPr>
        <w:t xml:space="preserve">Even if the regulator </w:t>
      </w:r>
      <w:r>
        <w:rPr>
          <w:color w:val="000000" w:themeColor="text1"/>
          <w:szCs w:val="24"/>
        </w:rPr>
        <w:t xml:space="preserve">or competition authority </w:t>
      </w:r>
      <w:r w:rsidRPr="00E83E52">
        <w:rPr>
          <w:color w:val="000000" w:themeColor="text1"/>
          <w:szCs w:val="24"/>
        </w:rPr>
        <w:t>determines that a certain entity does have SMP, the question is whether the entity is abusing this SMP to the determinant of other smaller entities, and what remedies and/or punishments are then necessary</w:t>
      </w:r>
      <w:r>
        <w:rPr>
          <w:color w:val="000000" w:themeColor="text1"/>
          <w:szCs w:val="24"/>
        </w:rPr>
        <w:t xml:space="preserve"> or appropriate.</w:t>
      </w:r>
    </w:p>
    <w:p w14:paraId="03E32D54" w14:textId="77777777" w:rsidR="00885B99" w:rsidRPr="00F03707" w:rsidRDefault="00885B99" w:rsidP="00885B99">
      <w:pPr>
        <w:pStyle w:val="Heading2"/>
      </w:pPr>
      <w:bookmarkStart w:id="155" w:name="_Toc472006530"/>
      <w:bookmarkStart w:id="156" w:name="_Toc472024720"/>
      <w:bookmarkStart w:id="157" w:name="_Toc472006531"/>
      <w:bookmarkStart w:id="158" w:name="_Toc472024721"/>
      <w:bookmarkStart w:id="159" w:name="_Toc472006532"/>
      <w:bookmarkStart w:id="160" w:name="_Toc472024722"/>
      <w:bookmarkStart w:id="161" w:name="_Toc472006535"/>
      <w:bookmarkStart w:id="162" w:name="_Toc472024725"/>
      <w:bookmarkStart w:id="163" w:name="_Toc472443725"/>
      <w:bookmarkStart w:id="164" w:name="_Toc17799397"/>
      <w:bookmarkStart w:id="165" w:name="_Toc17881558"/>
      <w:bookmarkStart w:id="166" w:name="_Toc17882388"/>
      <w:bookmarkStart w:id="167" w:name="_Toc17882607"/>
      <w:bookmarkStart w:id="168" w:name="_Toc17882826"/>
      <w:bookmarkStart w:id="169" w:name="_Toc17883181"/>
      <w:bookmarkStart w:id="170" w:name="_Toc17892853"/>
      <w:bookmarkStart w:id="171" w:name="_Toc17893072"/>
      <w:bookmarkStart w:id="172" w:name="_Toc17893291"/>
      <w:bookmarkStart w:id="173" w:name="_Toc17894152"/>
      <w:bookmarkStart w:id="174" w:name="_Toc17894380"/>
      <w:bookmarkStart w:id="175" w:name="_Toc17969234"/>
      <w:bookmarkEnd w:id="155"/>
      <w:bookmarkEnd w:id="156"/>
      <w:bookmarkEnd w:id="157"/>
      <w:bookmarkEnd w:id="158"/>
      <w:bookmarkEnd w:id="159"/>
      <w:bookmarkEnd w:id="160"/>
      <w:bookmarkEnd w:id="161"/>
      <w:bookmarkEnd w:id="162"/>
      <w:r>
        <w:t>3.3</w:t>
      </w:r>
      <w:r>
        <w:tab/>
      </w:r>
      <w:r w:rsidRPr="00F03707">
        <w:t xml:space="preserve">Competition-related </w:t>
      </w:r>
      <w:r>
        <w:t>regulatory responses possible or seen i</w:t>
      </w:r>
      <w:r w:rsidRPr="00F03707">
        <w:t>n DFS Markets</w:t>
      </w:r>
      <w:bookmarkEnd w:id="163"/>
      <w:bookmarkEnd w:id="164"/>
      <w:bookmarkEnd w:id="165"/>
      <w:bookmarkEnd w:id="166"/>
      <w:bookmarkEnd w:id="167"/>
      <w:bookmarkEnd w:id="168"/>
      <w:bookmarkEnd w:id="169"/>
      <w:bookmarkEnd w:id="170"/>
      <w:bookmarkEnd w:id="171"/>
      <w:bookmarkEnd w:id="172"/>
      <w:bookmarkEnd w:id="173"/>
      <w:bookmarkEnd w:id="174"/>
      <w:bookmarkEnd w:id="175"/>
    </w:p>
    <w:p w14:paraId="3D4EAADC" w14:textId="77777777" w:rsidR="00885B99" w:rsidRPr="00E83E52" w:rsidRDefault="00885B99" w:rsidP="00885B99">
      <w:pPr>
        <w:pStyle w:val="Heading3"/>
      </w:pPr>
      <w:bookmarkStart w:id="176" w:name="_Toc472443726"/>
      <w:bookmarkStart w:id="177" w:name="_Toc17799398"/>
      <w:r>
        <w:t>3.3.1</w:t>
      </w:r>
      <w:r>
        <w:tab/>
        <w:t>Sectoral r</w:t>
      </w:r>
      <w:r w:rsidRPr="00E83E52">
        <w:t>egulators</w:t>
      </w:r>
      <w:bookmarkEnd w:id="176"/>
      <w:bookmarkEnd w:id="177"/>
    </w:p>
    <w:p w14:paraId="0DFD8E5F" w14:textId="77777777" w:rsidR="00885B99" w:rsidRPr="00E83E52" w:rsidRDefault="00885B99" w:rsidP="00885B99">
      <w:pPr>
        <w:spacing w:after="120"/>
        <w:rPr>
          <w:color w:val="000000" w:themeColor="text1"/>
          <w:szCs w:val="24"/>
        </w:rPr>
      </w:pPr>
      <w:r w:rsidRPr="00E83E52">
        <w:rPr>
          <w:color w:val="000000" w:themeColor="text1"/>
          <w:szCs w:val="24"/>
        </w:rPr>
        <w:t>There are a number of methods</w:t>
      </w:r>
      <w:r w:rsidRPr="00E83E52">
        <w:rPr>
          <w:rStyle w:val="FootnoteReference"/>
          <w:color w:val="000000" w:themeColor="text1"/>
          <w:szCs w:val="24"/>
        </w:rPr>
        <w:footnoteReference w:id="58"/>
      </w:r>
      <w:r>
        <w:rPr>
          <w:color w:val="000000" w:themeColor="text1"/>
          <w:szCs w:val="24"/>
        </w:rPr>
        <w:t xml:space="preserve"> – </w:t>
      </w:r>
      <w:r w:rsidRPr="00E83E52">
        <w:rPr>
          <w:color w:val="000000" w:themeColor="text1"/>
          <w:szCs w:val="24"/>
        </w:rPr>
        <w:t>which do not apply to competition authorities, who have very different tools and times to intervene</w:t>
      </w:r>
      <w:r>
        <w:rPr>
          <w:color w:val="000000" w:themeColor="text1"/>
          <w:szCs w:val="24"/>
        </w:rPr>
        <w:t> –</w:t>
      </w:r>
      <w:r w:rsidRPr="00E83E52">
        <w:rPr>
          <w:color w:val="000000" w:themeColor="text1"/>
          <w:szCs w:val="24"/>
        </w:rPr>
        <w:t xml:space="preserve"> which sectoral regulators possessing competition-related competencies have </w:t>
      </w:r>
      <w:r>
        <w:rPr>
          <w:color w:val="000000" w:themeColor="text1"/>
          <w:szCs w:val="24"/>
        </w:rPr>
        <w:t xml:space="preserve">employed </w:t>
      </w:r>
      <w:r w:rsidRPr="00E83E52">
        <w:rPr>
          <w:color w:val="000000" w:themeColor="text1"/>
          <w:szCs w:val="24"/>
        </w:rPr>
        <w:t>to date to approach</w:t>
      </w:r>
      <w:r>
        <w:rPr>
          <w:color w:val="000000" w:themeColor="text1"/>
          <w:szCs w:val="24"/>
        </w:rPr>
        <w:t xml:space="preserve"> or resolve competition issues.</w:t>
      </w:r>
    </w:p>
    <w:p w14:paraId="534B7AD3" w14:textId="77777777" w:rsidR="00885B99" w:rsidRPr="00E83E52" w:rsidRDefault="00885B99" w:rsidP="00885B99">
      <w:pPr>
        <w:spacing w:after="120"/>
        <w:rPr>
          <w:color w:val="000000" w:themeColor="text1"/>
          <w:szCs w:val="24"/>
        </w:rPr>
      </w:pPr>
      <w:r w:rsidRPr="00E83E52">
        <w:rPr>
          <w:color w:val="000000" w:themeColor="text1"/>
          <w:szCs w:val="24"/>
        </w:rPr>
        <w:t>The country examples in this study demonstrate that the following methods, described stylistically below, have been used to intervene in competition issues:</w:t>
      </w:r>
      <w:r w:rsidRPr="00E83E52">
        <w:rPr>
          <w:rStyle w:val="FootnoteReference"/>
          <w:color w:val="000000" w:themeColor="text1"/>
          <w:szCs w:val="24"/>
        </w:rPr>
        <w:footnoteReference w:id="59"/>
      </w:r>
    </w:p>
    <w:p w14:paraId="11B3BFDB" w14:textId="77777777" w:rsidR="00885B99" w:rsidRPr="00E83E52" w:rsidRDefault="00885B99" w:rsidP="00885B99">
      <w:pPr>
        <w:pStyle w:val="enumlev1"/>
      </w:pPr>
      <w:r w:rsidRPr="00BC4273">
        <w:t>•</w:t>
      </w:r>
      <w:r>
        <w:rPr>
          <w:b/>
        </w:rPr>
        <w:tab/>
      </w:r>
      <w:r w:rsidRPr="00E83E52">
        <w:rPr>
          <w:b/>
        </w:rPr>
        <w:t>Regulatory forbearance</w:t>
      </w:r>
      <w:r w:rsidRPr="00C64E16">
        <w:rPr>
          <w:b/>
        </w:rPr>
        <w:t>:</w:t>
      </w:r>
      <w:r w:rsidRPr="00E83E52">
        <w:t xml:space="preserve"> Here the responsible regulator(s)</w:t>
      </w:r>
      <w:r>
        <w:t> –</w:t>
      </w:r>
      <w:r w:rsidRPr="00E83E52">
        <w:t xml:space="preserve"> aware of a competition issue and having the power to intervene</w:t>
      </w:r>
      <w:r>
        <w:t> –</w:t>
      </w:r>
      <w:r w:rsidRPr="00E83E52">
        <w:t xml:space="preserve"> instead allow the market to come to a solution.</w:t>
      </w:r>
      <w:r>
        <w:rPr>
          <w:rStyle w:val="FootnoteReference"/>
          <w:color w:val="000000" w:themeColor="text1"/>
          <w:szCs w:val="24"/>
        </w:rPr>
        <w:footnoteReference w:id="60"/>
      </w:r>
    </w:p>
    <w:p w14:paraId="37D3E7CF" w14:textId="77777777" w:rsidR="00885B99" w:rsidRPr="00E83E52" w:rsidRDefault="00885B99" w:rsidP="00885B99">
      <w:pPr>
        <w:pStyle w:val="enumlev1"/>
      </w:pPr>
      <w:r w:rsidRPr="00D6488B">
        <w:rPr>
          <w:b/>
        </w:rPr>
        <w:t>•</w:t>
      </w:r>
      <w:r>
        <w:rPr>
          <w:b/>
        </w:rPr>
        <w:tab/>
      </w:r>
      <w:r w:rsidRPr="00E83E52">
        <w:rPr>
          <w:b/>
        </w:rPr>
        <w:t>Use of moral suasion</w:t>
      </w:r>
      <w:r w:rsidRPr="00C64E16">
        <w:rPr>
          <w:b/>
        </w:rPr>
        <w:t xml:space="preserve">: </w:t>
      </w:r>
      <w:r w:rsidRPr="00E83E52">
        <w:t>The responsible regulator(s) use a light-touch and coordinated approach to persuade the market participants to come to a satisfactory resolution to their competition dispute(s) on their own, and at the risk of the regulators stepping in to mandate a solution if they do not.</w:t>
      </w:r>
      <w:r>
        <w:rPr>
          <w:rStyle w:val="FootnoteReference"/>
          <w:color w:val="000000" w:themeColor="text1"/>
          <w:szCs w:val="24"/>
        </w:rPr>
        <w:footnoteReference w:id="61"/>
      </w:r>
    </w:p>
    <w:p w14:paraId="5770D354" w14:textId="77777777" w:rsidR="00885B99" w:rsidRPr="00E83E52" w:rsidRDefault="00885B99" w:rsidP="00885B99">
      <w:pPr>
        <w:pStyle w:val="enumlev1"/>
      </w:pPr>
      <w:r w:rsidRPr="00D6488B">
        <w:rPr>
          <w:b/>
        </w:rPr>
        <w:lastRenderedPageBreak/>
        <w:t>•</w:t>
      </w:r>
      <w:r>
        <w:rPr>
          <w:b/>
        </w:rPr>
        <w:tab/>
      </w:r>
      <w:r w:rsidRPr="00E83E52">
        <w:rPr>
          <w:b/>
        </w:rPr>
        <w:t xml:space="preserve">Intervention: </w:t>
      </w:r>
      <w:r w:rsidRPr="00E83E52">
        <w:t xml:space="preserve">If the parties are unable to, or will not, resolve their disputes, the responsible regulators may </w:t>
      </w:r>
      <w:r w:rsidRPr="00E83E52">
        <w:rPr>
          <w:i/>
        </w:rPr>
        <w:t>intervene</w:t>
      </w:r>
      <w:r w:rsidRPr="00E83E52">
        <w:t>.</w:t>
      </w:r>
      <w:r>
        <w:rPr>
          <w:rStyle w:val="FootnoteReference"/>
        </w:rPr>
        <w:footnoteReference w:id="62"/>
      </w:r>
      <w:r w:rsidRPr="00E83E52">
        <w:t xml:space="preserve"> The intervention may, for example, relate to pricing and/or access rights by competitors to a specific service.</w:t>
      </w:r>
      <w:r>
        <w:rPr>
          <w:rStyle w:val="FootnoteReference"/>
        </w:rPr>
        <w:footnoteReference w:id="63"/>
      </w:r>
      <w:r w:rsidRPr="00E83E52">
        <w:t xml:space="preserve"> The regulator may also intervene unilaterally</w:t>
      </w:r>
      <w:r>
        <w:t>,</w:t>
      </w:r>
      <w:r w:rsidRPr="00E83E52">
        <w:t xml:space="preserve"> based on policy precepts without a competition issue necessarily being raised with them.</w:t>
      </w:r>
      <w:r>
        <w:rPr>
          <w:rStyle w:val="FootnoteReference"/>
        </w:rPr>
        <w:footnoteReference w:id="64"/>
      </w:r>
    </w:p>
    <w:p w14:paraId="1E682345" w14:textId="77777777" w:rsidR="00885B99" w:rsidRPr="00E83E52" w:rsidRDefault="00885B99" w:rsidP="00885B99">
      <w:pPr>
        <w:pStyle w:val="enumlev1"/>
      </w:pPr>
      <w:r w:rsidRPr="00BC4273">
        <w:t>•</w:t>
      </w:r>
      <w:r>
        <w:rPr>
          <w:b/>
        </w:rPr>
        <w:tab/>
      </w:r>
      <w:r w:rsidRPr="00E83E52">
        <w:rPr>
          <w:b/>
        </w:rPr>
        <w:t xml:space="preserve">Blunt </w:t>
      </w:r>
      <w:r>
        <w:rPr>
          <w:b/>
        </w:rPr>
        <w:t>i</w:t>
      </w:r>
      <w:r w:rsidRPr="00E83E52">
        <w:rPr>
          <w:b/>
        </w:rPr>
        <w:t>nstrument:</w:t>
      </w:r>
      <w:r w:rsidRPr="00E83E52">
        <w:t xml:space="preserve"> Here the regulator may employ a </w:t>
      </w:r>
      <w:r w:rsidRPr="00E83E52">
        <w:rPr>
          <w:i/>
        </w:rPr>
        <w:t>blunt instrument</w:t>
      </w:r>
      <w:r w:rsidRPr="00E83E52">
        <w:t xml:space="preserve"> approach, by breaking up an entity</w:t>
      </w:r>
      <w:r>
        <w:t xml:space="preserve"> – </w:t>
      </w:r>
      <w:r w:rsidRPr="00E83E52">
        <w:t>that a study has shown that has been abusing its vertically-integrated market power</w:t>
      </w:r>
      <w:r>
        <w:rPr>
          <w:rStyle w:val="FootnoteReference"/>
        </w:rPr>
        <w:footnoteReference w:id="65"/>
      </w:r>
      <w:r>
        <w:t> –</w:t>
      </w:r>
      <w:r w:rsidRPr="00E83E52">
        <w:t xml:space="preserve"> into two independent entities, say</w:t>
      </w:r>
      <w:r>
        <w:t>,</w:t>
      </w:r>
      <w:r w:rsidRPr="00E83E52">
        <w:t xml:space="preserve"> for infrastructure and services. The newly</w:t>
      </w:r>
      <w:r>
        <w:t>-</w:t>
      </w:r>
      <w:r w:rsidRPr="00E83E52">
        <w:t>independent infrastructure entity would then have to provide services to all market participants at FRAND terms. Similarly, the newly independent services entity is in the same position as all other market participants, and must now obtain its access from the new infrastructure entity at market-related prices.</w:t>
      </w:r>
      <w:r>
        <w:rPr>
          <w:rStyle w:val="FootnoteReference"/>
        </w:rPr>
        <w:footnoteReference w:id="66"/>
      </w:r>
    </w:p>
    <w:p w14:paraId="1C1DDB2C" w14:textId="77777777" w:rsidR="00885B99" w:rsidRPr="00E83E52" w:rsidRDefault="00885B99" w:rsidP="00885B99">
      <w:pPr>
        <w:pStyle w:val="Heading3"/>
        <w:numPr>
          <w:ilvl w:val="2"/>
          <w:numId w:val="26"/>
        </w:numPr>
        <w:spacing w:after="120"/>
        <w:rPr>
          <w:b w:val="0"/>
          <w:color w:val="000000" w:themeColor="text1"/>
          <w:szCs w:val="24"/>
        </w:rPr>
      </w:pPr>
      <w:bookmarkStart w:id="178" w:name="_Toc472443727"/>
      <w:bookmarkStart w:id="179" w:name="_Toc17799399"/>
      <w:r>
        <w:rPr>
          <w:color w:val="000000" w:themeColor="text1"/>
          <w:szCs w:val="24"/>
        </w:rPr>
        <w:t>Competition a</w:t>
      </w:r>
      <w:r w:rsidRPr="00E83E52">
        <w:rPr>
          <w:color w:val="000000" w:themeColor="text1"/>
          <w:szCs w:val="24"/>
        </w:rPr>
        <w:t>uthorities</w:t>
      </w:r>
      <w:bookmarkEnd w:id="178"/>
      <w:bookmarkEnd w:id="179"/>
    </w:p>
    <w:p w14:paraId="406DD6F0" w14:textId="77777777" w:rsidR="00885B99" w:rsidRPr="00E83E52" w:rsidRDefault="00885B99" w:rsidP="00885B99">
      <w:r w:rsidRPr="00E83E52">
        <w:t>Competition authorities have tools that are clearly delimited by legislation and which are executed within specific competition mandates.</w:t>
      </w:r>
      <w:r>
        <w:rPr>
          <w:rStyle w:val="FootnoteReference"/>
          <w:color w:val="000000" w:themeColor="text1"/>
          <w:szCs w:val="24"/>
        </w:rPr>
        <w:footnoteReference w:id="67"/>
      </w:r>
      <w:r w:rsidRPr="00E83E52">
        <w:t xml:space="preserve"> While they may have some of the powers outlined above for sectoral regulators, their tools are usually a form of </w:t>
      </w:r>
      <w:r w:rsidRPr="00E83E52">
        <w:rPr>
          <w:i/>
        </w:rPr>
        <w:t>ex post</w:t>
      </w:r>
      <w:r w:rsidRPr="00E83E52">
        <w:t xml:space="preserve"> intervention</w:t>
      </w:r>
      <w:r w:rsidRPr="00E83E52">
        <w:rPr>
          <w:rStyle w:val="FootnoteReference"/>
          <w:color w:val="000000" w:themeColor="text1"/>
          <w:szCs w:val="24"/>
        </w:rPr>
        <w:footnoteReference w:id="68"/>
      </w:r>
      <w:r>
        <w:t>.</w:t>
      </w:r>
    </w:p>
    <w:p w14:paraId="50DB989E" w14:textId="77777777" w:rsidR="00885B99" w:rsidRPr="00E83E52" w:rsidRDefault="00885B99" w:rsidP="00885B99">
      <w:pPr>
        <w:spacing w:after="120"/>
        <w:rPr>
          <w:color w:val="000000" w:themeColor="text1"/>
          <w:szCs w:val="24"/>
        </w:rPr>
      </w:pPr>
      <w:r w:rsidRPr="00E83E52">
        <w:rPr>
          <w:color w:val="000000" w:themeColor="text1"/>
          <w:szCs w:val="24"/>
        </w:rPr>
        <w:t>These include:</w:t>
      </w:r>
    </w:p>
    <w:p w14:paraId="137AC0AA" w14:textId="77777777" w:rsidR="00885B99" w:rsidRPr="00E83E52" w:rsidRDefault="00885B99" w:rsidP="00885B99">
      <w:pPr>
        <w:pStyle w:val="enumlev1"/>
      </w:pPr>
      <w:r w:rsidRPr="00BC4273">
        <w:t>•</w:t>
      </w:r>
      <w:r>
        <w:rPr>
          <w:b/>
        </w:rPr>
        <w:tab/>
      </w:r>
      <w:r w:rsidRPr="00E83E52">
        <w:rPr>
          <w:b/>
        </w:rPr>
        <w:t>Investigations</w:t>
      </w:r>
      <w:r w:rsidRPr="00C914F0">
        <w:t xml:space="preserve">: </w:t>
      </w:r>
      <w:r w:rsidRPr="00E83E52">
        <w:t xml:space="preserve">A regulator </w:t>
      </w:r>
      <w:r>
        <w:t xml:space="preserve">or competition authority </w:t>
      </w:r>
      <w:r w:rsidRPr="00E83E52">
        <w:t>may be able to initiate</w:t>
      </w:r>
      <w:r>
        <w:t xml:space="preserve"> an</w:t>
      </w:r>
      <w:r w:rsidRPr="00E83E52">
        <w:t xml:space="preserve"> investigation of anti-competitive behavior. This may be done</w:t>
      </w:r>
      <w:r w:rsidRPr="00E83E52">
        <w:rPr>
          <w:b/>
        </w:rPr>
        <w:t xml:space="preserve"> </w:t>
      </w:r>
      <w:r w:rsidRPr="00E83E52">
        <w:t xml:space="preserve">either on its own accord or based on industry complaints. Such investigation usually takes the form of a market review and analysis, </w:t>
      </w:r>
      <w:r>
        <w:t xml:space="preserve">and may include </w:t>
      </w:r>
      <w:r w:rsidRPr="00E83E52">
        <w:t>the sending of questionnaires to all</w:t>
      </w:r>
      <w:r>
        <w:t xml:space="preserve"> of</w:t>
      </w:r>
      <w:r w:rsidRPr="00E83E52">
        <w:t xml:space="preserve"> the market participants and economic modeling. If</w:t>
      </w:r>
      <w:r>
        <w:t>,</w:t>
      </w:r>
      <w:r w:rsidRPr="00E83E52">
        <w:t xml:space="preserve"> after the review</w:t>
      </w:r>
      <w:r>
        <w:t>,</w:t>
      </w:r>
      <w:r w:rsidRPr="00E83E52">
        <w:t xml:space="preserve"> a competition issue is indeed substantiated, </w:t>
      </w:r>
      <w:r>
        <w:t>the regulator</w:t>
      </w:r>
      <w:r w:rsidRPr="00E83E52">
        <w:t xml:space="preserve"> may formally charge the relevant entity, whose final recourse then is to appeal through the judiciary or a specific competition appeals body. Sanctions for a finding of a breach of competition law </w:t>
      </w:r>
      <w:r>
        <w:t xml:space="preserve">may </w:t>
      </w:r>
      <w:r w:rsidRPr="00E83E52">
        <w:t>include fines, structural remedies, behavioral remedies</w:t>
      </w:r>
      <w:r>
        <w:t>,</w:t>
      </w:r>
      <w:r w:rsidRPr="00E83E52">
        <w:t xml:space="preserve"> and possibility criminal penalties</w:t>
      </w:r>
      <w:r>
        <w:t>,</w:t>
      </w:r>
      <w:r w:rsidRPr="00E83E52">
        <w:t xml:space="preserve"> such as prison sentences.</w:t>
      </w:r>
      <w:r>
        <w:rPr>
          <w:rStyle w:val="FootnoteReference"/>
          <w:color w:val="000000" w:themeColor="text1"/>
          <w:szCs w:val="24"/>
        </w:rPr>
        <w:footnoteReference w:id="69"/>
      </w:r>
    </w:p>
    <w:p w14:paraId="673DF65F" w14:textId="77777777" w:rsidR="00885B99" w:rsidRPr="00E83E52" w:rsidRDefault="00885B99" w:rsidP="00885B99">
      <w:pPr>
        <w:pStyle w:val="enumlev1"/>
      </w:pPr>
      <w:r w:rsidRPr="00BC4273">
        <w:t>•</w:t>
      </w:r>
      <w:r>
        <w:rPr>
          <w:b/>
        </w:rPr>
        <w:tab/>
      </w:r>
      <w:r w:rsidRPr="00E83E52">
        <w:rPr>
          <w:b/>
        </w:rPr>
        <w:t>Injunctions/</w:t>
      </w:r>
      <w:r>
        <w:rPr>
          <w:b/>
        </w:rPr>
        <w:t>i</w:t>
      </w:r>
      <w:r w:rsidRPr="00E83E52">
        <w:rPr>
          <w:b/>
        </w:rPr>
        <w:t>nterdict</w:t>
      </w:r>
      <w:r w:rsidRPr="00B30AEC">
        <w:rPr>
          <w:b/>
        </w:rPr>
        <w:t>s</w:t>
      </w:r>
      <w:r w:rsidRPr="00C914F0">
        <w:t xml:space="preserve">: </w:t>
      </w:r>
      <w:r w:rsidRPr="00E83E52">
        <w:t>Ability to request injunctions/interdicts to temporarily stop potential anti-competitive behavior before it can complete any necessary market review if the harm is immediate and irreversible.</w:t>
      </w:r>
    </w:p>
    <w:p w14:paraId="4F2198B1" w14:textId="77777777" w:rsidR="00885B99" w:rsidRPr="00E83E52" w:rsidRDefault="00885B99" w:rsidP="00885B99">
      <w:pPr>
        <w:pStyle w:val="enumlev1"/>
      </w:pPr>
      <w:r>
        <w:lastRenderedPageBreak/>
        <w:t>•</w:t>
      </w:r>
      <w:r>
        <w:tab/>
      </w:r>
      <w:r w:rsidRPr="00E83E52">
        <w:rPr>
          <w:b/>
        </w:rPr>
        <w:t xml:space="preserve">Merger </w:t>
      </w:r>
      <w:r>
        <w:rPr>
          <w:b/>
        </w:rPr>
        <w:t>r</w:t>
      </w:r>
      <w:r w:rsidRPr="00E83E52">
        <w:rPr>
          <w:b/>
        </w:rPr>
        <w:t>eviews</w:t>
      </w:r>
      <w:r w:rsidRPr="00C914F0">
        <w:t xml:space="preserve">: </w:t>
      </w:r>
      <w:r w:rsidRPr="00E83E52">
        <w:t>Ability to review certain types of mergers and acquisition</w:t>
      </w:r>
      <w:r>
        <w:t>s</w:t>
      </w:r>
      <w:r w:rsidRPr="00E83E52">
        <w:t xml:space="preserve"> to ensure that they do not raise any competition issues post-merger, and in many jurisdictions, the ability to render such mergers and acquisitions conditional on its approval (possibly with conditions, including structural or behavioral remedies).</w:t>
      </w:r>
      <w:r>
        <w:rPr>
          <w:rStyle w:val="FootnoteReference"/>
        </w:rPr>
        <w:footnoteReference w:id="70"/>
      </w:r>
    </w:p>
    <w:p w14:paraId="56EB93A5" w14:textId="77777777" w:rsidR="00885B99" w:rsidRPr="00E83E52" w:rsidRDefault="00885B99" w:rsidP="00885B99">
      <w:pPr>
        <w:pStyle w:val="Heading1"/>
      </w:pPr>
      <w:bookmarkStart w:id="180" w:name="_Toc472443728"/>
      <w:bookmarkStart w:id="181" w:name="_Toc17799400"/>
      <w:bookmarkStart w:id="182" w:name="_Toc17881559"/>
      <w:bookmarkStart w:id="183" w:name="_Toc17882389"/>
      <w:bookmarkStart w:id="184" w:name="_Toc17882608"/>
      <w:bookmarkStart w:id="185" w:name="_Toc17882827"/>
      <w:bookmarkStart w:id="186" w:name="_Toc17883182"/>
      <w:bookmarkStart w:id="187" w:name="_Toc17892854"/>
      <w:bookmarkStart w:id="188" w:name="_Toc17893073"/>
      <w:bookmarkStart w:id="189" w:name="_Toc17893292"/>
      <w:bookmarkStart w:id="190" w:name="_Toc17894153"/>
      <w:bookmarkStart w:id="191" w:name="_Toc17894381"/>
      <w:bookmarkStart w:id="192" w:name="_Toc17969235"/>
      <w:r w:rsidRPr="00D51597">
        <w:t>B</w:t>
      </w:r>
      <w:r w:rsidRPr="00D51597">
        <w:tab/>
        <w:t>Market access</w:t>
      </w:r>
      <w:bookmarkEnd w:id="180"/>
      <w:bookmarkEnd w:id="181"/>
      <w:bookmarkEnd w:id="182"/>
      <w:bookmarkEnd w:id="183"/>
      <w:bookmarkEnd w:id="184"/>
      <w:bookmarkEnd w:id="185"/>
      <w:bookmarkEnd w:id="186"/>
      <w:bookmarkEnd w:id="187"/>
      <w:bookmarkEnd w:id="188"/>
      <w:bookmarkEnd w:id="189"/>
      <w:bookmarkEnd w:id="190"/>
      <w:bookmarkEnd w:id="191"/>
      <w:bookmarkEnd w:id="192"/>
    </w:p>
    <w:p w14:paraId="268BF683" w14:textId="77777777" w:rsidR="00885B99" w:rsidRPr="00E83E52" w:rsidRDefault="00885B99" w:rsidP="00885B99">
      <w:pPr>
        <w:pStyle w:val="Heading1"/>
        <w:numPr>
          <w:ilvl w:val="0"/>
          <w:numId w:val="26"/>
        </w:numPr>
        <w:spacing w:before="120" w:after="120"/>
        <w:ind w:left="709" w:hanging="709"/>
        <w:jc w:val="both"/>
        <w:rPr>
          <w:color w:val="000000" w:themeColor="text1"/>
          <w:szCs w:val="24"/>
        </w:rPr>
      </w:pPr>
      <w:bookmarkStart w:id="193" w:name="_Toc472443729"/>
      <w:bookmarkStart w:id="194" w:name="_Toc17799401"/>
      <w:bookmarkStart w:id="195" w:name="_Toc17881560"/>
      <w:bookmarkStart w:id="196" w:name="_Toc17882390"/>
      <w:bookmarkStart w:id="197" w:name="_Toc17882609"/>
      <w:bookmarkStart w:id="198" w:name="_Toc17882828"/>
      <w:bookmarkStart w:id="199" w:name="_Toc17883183"/>
      <w:bookmarkStart w:id="200" w:name="_Toc17892855"/>
      <w:bookmarkStart w:id="201" w:name="_Toc17893074"/>
      <w:bookmarkStart w:id="202" w:name="_Toc17893293"/>
      <w:bookmarkStart w:id="203" w:name="_Toc17894154"/>
      <w:bookmarkStart w:id="204" w:name="_Toc17894382"/>
      <w:bookmarkStart w:id="205" w:name="_Toc17969236"/>
      <w:r w:rsidRPr="00E83E52">
        <w:rPr>
          <w:color w:val="000000" w:themeColor="text1"/>
          <w:szCs w:val="24"/>
        </w:rPr>
        <w:t>M</w:t>
      </w:r>
      <w:r>
        <w:rPr>
          <w:color w:val="000000" w:themeColor="text1"/>
          <w:szCs w:val="24"/>
        </w:rPr>
        <w:t>arket access and licensing</w:t>
      </w:r>
      <w:bookmarkEnd w:id="193"/>
      <w:bookmarkEnd w:id="194"/>
      <w:bookmarkEnd w:id="195"/>
      <w:bookmarkEnd w:id="196"/>
      <w:bookmarkEnd w:id="197"/>
      <w:bookmarkEnd w:id="198"/>
      <w:bookmarkEnd w:id="199"/>
      <w:bookmarkEnd w:id="200"/>
      <w:bookmarkEnd w:id="201"/>
      <w:bookmarkEnd w:id="202"/>
      <w:bookmarkEnd w:id="203"/>
      <w:bookmarkEnd w:id="204"/>
      <w:bookmarkEnd w:id="205"/>
    </w:p>
    <w:p w14:paraId="627CC3B3" w14:textId="77777777" w:rsidR="00885B99" w:rsidRPr="00455FD8" w:rsidRDefault="00885B99" w:rsidP="00885B99">
      <w:pPr>
        <w:pStyle w:val="Heading2"/>
      </w:pPr>
      <w:bookmarkStart w:id="206" w:name="_Toc472443730"/>
      <w:bookmarkStart w:id="207" w:name="_Toc17799402"/>
      <w:bookmarkStart w:id="208" w:name="_Toc17881561"/>
      <w:bookmarkStart w:id="209" w:name="_Toc17882391"/>
      <w:bookmarkStart w:id="210" w:name="_Toc17882610"/>
      <w:bookmarkStart w:id="211" w:name="_Toc17882829"/>
      <w:bookmarkStart w:id="212" w:name="_Toc17883184"/>
      <w:bookmarkStart w:id="213" w:name="_Toc17892856"/>
      <w:bookmarkStart w:id="214" w:name="_Toc17893075"/>
      <w:bookmarkStart w:id="215" w:name="_Toc17893294"/>
      <w:bookmarkStart w:id="216" w:name="_Toc17894155"/>
      <w:bookmarkStart w:id="217" w:name="_Toc17894383"/>
      <w:bookmarkStart w:id="218" w:name="_Toc17969237"/>
      <w:r w:rsidRPr="00455FD8">
        <w:t>4.1</w:t>
      </w:r>
      <w:r w:rsidRPr="00455FD8">
        <w:tab/>
        <w:t>Overview</w:t>
      </w:r>
      <w:bookmarkEnd w:id="206"/>
      <w:bookmarkEnd w:id="207"/>
      <w:bookmarkEnd w:id="208"/>
      <w:bookmarkEnd w:id="209"/>
      <w:bookmarkEnd w:id="210"/>
      <w:bookmarkEnd w:id="211"/>
      <w:bookmarkEnd w:id="212"/>
      <w:bookmarkEnd w:id="213"/>
      <w:bookmarkEnd w:id="214"/>
      <w:bookmarkEnd w:id="215"/>
      <w:bookmarkEnd w:id="216"/>
      <w:bookmarkEnd w:id="217"/>
      <w:bookmarkEnd w:id="218"/>
    </w:p>
    <w:p w14:paraId="676C8823" w14:textId="77777777" w:rsidR="00885B99" w:rsidRDefault="00885B99" w:rsidP="00885B99">
      <w:r w:rsidRPr="00E83E52">
        <w:t>The entry ticket to the DFS ecosystem is the legal and regulatory consent to do so.</w:t>
      </w:r>
      <w:r>
        <w:rPr>
          <w:rStyle w:val="FootnoteReference"/>
          <w:color w:val="000000" w:themeColor="text1"/>
          <w:szCs w:val="24"/>
        </w:rPr>
        <w:footnoteReference w:id="71"/>
      </w:r>
      <w:r w:rsidRPr="00E83E52">
        <w:t xml:space="preserve">This qualifier has been deemed to be a measure of whether a market has </w:t>
      </w:r>
      <w:r>
        <w:t>'</w:t>
      </w:r>
      <w:r w:rsidRPr="00E83E52">
        <w:t>an enabling environment</w:t>
      </w:r>
      <w:r>
        <w:t>'</w:t>
      </w:r>
      <w:r w:rsidRPr="00E83E52">
        <w:t xml:space="preserve"> for entities to provide a suite of, at a minimum, transactional DFS</w:t>
      </w:r>
      <w:r>
        <w:t xml:space="preserve"> </w:t>
      </w:r>
      <w:r w:rsidRPr="00E83E52">
        <w:t>stored value accounts.</w:t>
      </w:r>
      <w:r w:rsidRPr="00E83E52">
        <w:rPr>
          <w:rStyle w:val="FootnoteReference"/>
          <w:color w:val="000000" w:themeColor="text1"/>
          <w:szCs w:val="24"/>
        </w:rPr>
        <w:footnoteReference w:id="72"/>
      </w:r>
      <w:r>
        <w:t xml:space="preserve"> However, s</w:t>
      </w:r>
      <w:r w:rsidRPr="00E83E52">
        <w:t>ince the dawn of the DFS ecosystem, various jurisdictions have applied different methodologies for allowing access to the DFS market. The permutations</w:t>
      </w:r>
      <w:r w:rsidRPr="00E83E52">
        <w:rPr>
          <w:rStyle w:val="FootnoteReference"/>
          <w:color w:val="000000" w:themeColor="text1"/>
          <w:szCs w:val="24"/>
        </w:rPr>
        <w:footnoteReference w:id="73"/>
      </w:r>
      <w:r w:rsidRPr="00E83E52">
        <w:t xml:space="preserve"> usually seen include:</w:t>
      </w:r>
    </w:p>
    <w:p w14:paraId="49AF85F3" w14:textId="77777777" w:rsidR="00885B99" w:rsidRPr="00E83E52" w:rsidRDefault="00885B99" w:rsidP="00885B99">
      <w:pPr>
        <w:pStyle w:val="enumlev1"/>
      </w:pPr>
      <w:r w:rsidRPr="00C914F0">
        <w:t>•</w:t>
      </w:r>
      <w:r w:rsidRPr="00C914F0">
        <w:tab/>
      </w:r>
      <w:r w:rsidRPr="00E83E52">
        <w:rPr>
          <w:b/>
          <w:color w:val="000000" w:themeColor="text1"/>
          <w:szCs w:val="24"/>
        </w:rPr>
        <w:t>Closed</w:t>
      </w:r>
      <w:r w:rsidRPr="00C914F0">
        <w:t xml:space="preserve">: </w:t>
      </w:r>
      <w:r w:rsidRPr="00E83E52">
        <w:rPr>
          <w:color w:val="000000" w:themeColor="text1"/>
          <w:szCs w:val="24"/>
        </w:rPr>
        <w:t>Where only banks can provide transactional DFS services and where MNOs and non-banks, for example, may only provide ancillary services.</w:t>
      </w:r>
      <w:r>
        <w:rPr>
          <w:rStyle w:val="FootnoteReference"/>
          <w:color w:val="000000" w:themeColor="text1"/>
          <w:szCs w:val="24"/>
        </w:rPr>
        <w:footnoteReference w:id="74"/>
      </w:r>
      <w:r w:rsidRPr="00E83E52">
        <w:rPr>
          <w:color w:val="000000" w:themeColor="text1"/>
          <w:szCs w:val="24"/>
        </w:rPr>
        <w:t xml:space="preserve"> Or there may be a ban on MNOs investing in MFS companies.</w:t>
      </w:r>
      <w:r>
        <w:rPr>
          <w:rStyle w:val="FootnoteReference"/>
          <w:color w:val="000000" w:themeColor="text1"/>
          <w:szCs w:val="24"/>
        </w:rPr>
        <w:footnoteReference w:id="75"/>
      </w:r>
    </w:p>
    <w:p w14:paraId="6DB28FF2" w14:textId="77777777" w:rsidR="00885B99" w:rsidRPr="00E83E52" w:rsidRDefault="00885B99" w:rsidP="00885B99">
      <w:pPr>
        <w:pStyle w:val="enumlev1"/>
      </w:pPr>
      <w:r w:rsidRPr="00C914F0">
        <w:t>•</w:t>
      </w:r>
      <w:r w:rsidRPr="00C914F0">
        <w:tab/>
      </w:r>
      <w:r w:rsidRPr="00E83E52">
        <w:rPr>
          <w:b/>
          <w:color w:val="000000" w:themeColor="text1"/>
          <w:szCs w:val="24"/>
        </w:rPr>
        <w:t>Semi-closed</w:t>
      </w:r>
      <w:r w:rsidRPr="00C914F0">
        <w:t>:</w:t>
      </w:r>
      <w:r w:rsidRPr="00E83E52">
        <w:rPr>
          <w:color w:val="000000" w:themeColor="text1"/>
          <w:szCs w:val="24"/>
        </w:rPr>
        <w:t xml:space="preserve"> Where banks and non-banks can provide transactional DFS services, but MNOs cannot.</w:t>
      </w:r>
      <w:r>
        <w:rPr>
          <w:rStyle w:val="FootnoteReference"/>
          <w:color w:val="000000" w:themeColor="text1"/>
          <w:szCs w:val="24"/>
        </w:rPr>
        <w:footnoteReference w:id="76"/>
      </w:r>
    </w:p>
    <w:p w14:paraId="76491A7E" w14:textId="77777777" w:rsidR="00885B99" w:rsidRPr="00E83E52" w:rsidRDefault="00885B99" w:rsidP="00885B99">
      <w:pPr>
        <w:pStyle w:val="enumlev1"/>
      </w:pPr>
      <w:r w:rsidRPr="00C914F0">
        <w:t>•</w:t>
      </w:r>
      <w:r w:rsidRPr="00C914F0">
        <w:tab/>
      </w:r>
      <w:r w:rsidRPr="00E83E52">
        <w:rPr>
          <w:b/>
          <w:color w:val="000000" w:themeColor="text1"/>
          <w:szCs w:val="24"/>
        </w:rPr>
        <w:t>Bank-based</w:t>
      </w:r>
      <w:r w:rsidRPr="00C914F0">
        <w:t>:</w:t>
      </w:r>
      <w:r>
        <w:rPr>
          <w:rStyle w:val="FootnoteReference"/>
          <w:b/>
          <w:color w:val="000000" w:themeColor="text1"/>
          <w:szCs w:val="24"/>
        </w:rPr>
        <w:footnoteReference w:id="77"/>
      </w:r>
      <w:r w:rsidRPr="00E83E52">
        <w:rPr>
          <w:color w:val="000000" w:themeColor="text1"/>
          <w:szCs w:val="24"/>
        </w:rPr>
        <w:t xml:space="preserve"> A type of cooperative model, where an MNO can provide transactional DFS services but only in partnership with a bank</w:t>
      </w:r>
      <w:r>
        <w:rPr>
          <w:rStyle w:val="FootnoteReference"/>
          <w:color w:val="000000" w:themeColor="text1"/>
          <w:szCs w:val="24"/>
        </w:rPr>
        <w:footnoteReference w:id="78"/>
      </w:r>
      <w:r w:rsidRPr="00E83E52">
        <w:rPr>
          <w:color w:val="000000" w:themeColor="text1"/>
          <w:szCs w:val="24"/>
        </w:rPr>
        <w:t xml:space="preserve"> or via its investment as a shareholder in a bank subsidiary.</w:t>
      </w:r>
    </w:p>
    <w:p w14:paraId="6D8A3D0C" w14:textId="2D9CCE3E" w:rsidR="00885B99" w:rsidRPr="00E83E52" w:rsidRDefault="00885B99" w:rsidP="00885B99">
      <w:pPr>
        <w:pStyle w:val="enumlev1"/>
      </w:pPr>
      <w:r w:rsidRPr="00C914F0">
        <w:t>•</w:t>
      </w:r>
      <w:r w:rsidRPr="00C914F0">
        <w:tab/>
      </w:r>
      <w:r w:rsidRPr="00E83E52">
        <w:rPr>
          <w:b/>
          <w:color w:val="000000" w:themeColor="text1"/>
          <w:szCs w:val="24"/>
        </w:rPr>
        <w:t>Open</w:t>
      </w:r>
      <w:r w:rsidRPr="00C914F0">
        <w:t>:</w:t>
      </w:r>
      <w:r w:rsidRPr="00E83E52">
        <w:rPr>
          <w:color w:val="000000" w:themeColor="text1"/>
          <w:szCs w:val="24"/>
        </w:rPr>
        <w:t xml:space="preserve"> An open market access framework where all banks and non-banks may provide almost equal transactional DFS services on almost equal market access terms.</w:t>
      </w:r>
      <w:r>
        <w:rPr>
          <w:rStyle w:val="FootnoteReference"/>
          <w:color w:val="000000" w:themeColor="text1"/>
          <w:szCs w:val="24"/>
        </w:rPr>
        <w:footnoteReference w:id="79"/>
      </w:r>
    </w:p>
    <w:p w14:paraId="6B54D723" w14:textId="77777777" w:rsidR="00885B99" w:rsidRPr="00E83E52" w:rsidRDefault="00885B99" w:rsidP="00885B99">
      <w:pPr>
        <w:pStyle w:val="enumlev1"/>
        <w:keepNext/>
        <w:keepLines/>
      </w:pPr>
      <w:r w:rsidRPr="00C914F0">
        <w:lastRenderedPageBreak/>
        <w:t>•</w:t>
      </w:r>
      <w:r w:rsidRPr="00C914F0">
        <w:tab/>
      </w:r>
      <w:r w:rsidRPr="00E83E52">
        <w:rPr>
          <w:b/>
          <w:color w:val="000000" w:themeColor="text1"/>
          <w:szCs w:val="24"/>
        </w:rPr>
        <w:t>Conditiona</w:t>
      </w:r>
      <w:r w:rsidRPr="00B30AEC">
        <w:rPr>
          <w:b/>
          <w:color w:val="000000" w:themeColor="text1"/>
          <w:szCs w:val="24"/>
        </w:rPr>
        <w:t>l</w:t>
      </w:r>
      <w:r w:rsidRPr="005D5B5C">
        <w:rPr>
          <w:color w:val="000000" w:themeColor="text1"/>
          <w:szCs w:val="24"/>
        </w:rPr>
        <w:t>:</w:t>
      </w:r>
      <w:r w:rsidRPr="00E83E52">
        <w:rPr>
          <w:color w:val="000000" w:themeColor="text1"/>
          <w:szCs w:val="24"/>
        </w:rPr>
        <w:t xml:space="preserve"> The</w:t>
      </w:r>
      <w:r>
        <w:rPr>
          <w:color w:val="000000" w:themeColor="text1"/>
          <w:szCs w:val="24"/>
        </w:rPr>
        <w:t>se may encompass the following:</w:t>
      </w:r>
    </w:p>
    <w:p w14:paraId="30CE5B91" w14:textId="77777777" w:rsidR="00885B99" w:rsidRPr="00E83E52" w:rsidRDefault="00885B99" w:rsidP="00885B99">
      <w:pPr>
        <w:pStyle w:val="enumlev2"/>
        <w:keepNext/>
        <w:keepLines/>
      </w:pPr>
      <w:r>
        <w:t>◦</w:t>
      </w:r>
      <w:r>
        <w:tab/>
      </w:r>
      <w:r w:rsidRPr="00E83E52">
        <w:t>The regulator allows a non-bank to create a specialized financial service</w:t>
      </w:r>
      <w:r>
        <w:rPr>
          <w:rStyle w:val="FootnoteReference"/>
          <w:color w:val="000000" w:themeColor="text1"/>
          <w:szCs w:val="24"/>
        </w:rPr>
        <w:footnoteReference w:id="80"/>
      </w:r>
      <w:r>
        <w:t>,</w:t>
      </w:r>
      <w:r w:rsidRPr="00E83E52">
        <w:t xml:space="preserve"> or even banking entity</w:t>
      </w:r>
      <w:r>
        <w:rPr>
          <w:rStyle w:val="FootnoteReference"/>
          <w:color w:val="000000" w:themeColor="text1"/>
          <w:szCs w:val="24"/>
        </w:rPr>
        <w:footnoteReference w:id="81"/>
      </w:r>
      <w:r>
        <w:t xml:space="preserve">, </w:t>
      </w:r>
      <w:r w:rsidRPr="00E83E52">
        <w:t>to undertake transactional DFS business, albeit in a restricted manner</w:t>
      </w:r>
      <w:r>
        <w:t>.</w:t>
      </w:r>
      <w:r>
        <w:rPr>
          <w:rStyle w:val="FootnoteReference"/>
          <w:color w:val="000000" w:themeColor="text1"/>
          <w:szCs w:val="24"/>
        </w:rPr>
        <w:footnoteReference w:id="82"/>
      </w:r>
    </w:p>
    <w:p w14:paraId="779B9B45" w14:textId="77777777" w:rsidR="00885B99" w:rsidRPr="00E83E52" w:rsidRDefault="00885B99" w:rsidP="00885B99">
      <w:pPr>
        <w:pStyle w:val="enumlev2"/>
      </w:pPr>
      <w:r>
        <w:t>◦</w:t>
      </w:r>
      <w:r>
        <w:tab/>
      </w:r>
      <w:r w:rsidRPr="00E83E52">
        <w:t>Where the MNO has special conditions related to USSD access provision attached to its DFS licensing authorization.</w:t>
      </w:r>
      <w:r>
        <w:rPr>
          <w:rStyle w:val="FootnoteReference"/>
          <w:color w:val="000000" w:themeColor="text1"/>
          <w:szCs w:val="24"/>
        </w:rPr>
        <w:footnoteReference w:id="83"/>
      </w:r>
    </w:p>
    <w:p w14:paraId="27A09EDA" w14:textId="77777777" w:rsidR="00885B99" w:rsidRPr="00E83E52" w:rsidRDefault="00885B99" w:rsidP="00885B99">
      <w:r w:rsidRPr="001A7B76">
        <w:t>Services are now available in 93</w:t>
      </w:r>
      <w:r>
        <w:t> </w:t>
      </w:r>
      <w:r w:rsidRPr="001A7B76">
        <w:t>countries via 271</w:t>
      </w:r>
      <w:r>
        <w:t> </w:t>
      </w:r>
      <w:r w:rsidRPr="001A7B76">
        <w:t>providers,</w:t>
      </w:r>
      <w:r w:rsidRPr="001A7B76">
        <w:rPr>
          <w:rStyle w:val="FootnoteReference"/>
          <w:color w:val="000000" w:themeColor="text1"/>
          <w:szCs w:val="24"/>
        </w:rPr>
        <w:footnoteReference w:id="84"/>
      </w:r>
      <w:r w:rsidRPr="00E83E52">
        <w:t xml:space="preserve"> with each jurisdiction applying variations of these regulatory frameworks.</w:t>
      </w:r>
    </w:p>
    <w:p w14:paraId="57FAE38A" w14:textId="77777777" w:rsidR="00885B99" w:rsidRPr="00E83E52" w:rsidRDefault="00885B99" w:rsidP="00885B99">
      <w:r w:rsidRPr="00E83E52">
        <w:t>A true enabling environment is said to exist when banks and non-banks are allowed to undertake almost equal market activities on almost equal terms</w:t>
      </w:r>
      <w:r>
        <w:rPr>
          <w:rStyle w:val="FootnoteReference"/>
          <w:color w:val="000000" w:themeColor="text1"/>
          <w:szCs w:val="24"/>
        </w:rPr>
        <w:footnoteReference w:id="85"/>
      </w:r>
      <w:r w:rsidRPr="00E83E52">
        <w:t xml:space="preserve"> using a functional and proportional approach that reflects the risk profile of the service being offered,</w:t>
      </w:r>
      <w:r>
        <w:rPr>
          <w:rStyle w:val="FootnoteReference"/>
          <w:szCs w:val="24"/>
        </w:rPr>
        <w:footnoteReference w:id="86"/>
      </w:r>
      <w:r w:rsidRPr="00E83E52">
        <w:t xml:space="preserve"> rather than being based on the type of provider.</w:t>
      </w:r>
      <w:r>
        <w:rPr>
          <w:rStyle w:val="FootnoteReference"/>
          <w:szCs w:val="24"/>
        </w:rPr>
        <w:footnoteReference w:id="87"/>
      </w:r>
    </w:p>
    <w:p w14:paraId="4EF816E0" w14:textId="77777777" w:rsidR="00885B99" w:rsidRPr="00E83E52" w:rsidRDefault="00885B99" w:rsidP="00885B99">
      <w:r w:rsidRPr="00E83E52">
        <w:t>The lack of legislation</w:t>
      </w:r>
      <w:r>
        <w:t>,</w:t>
      </w:r>
      <w:r w:rsidRPr="00E83E52">
        <w:t xml:space="preserve"> such as a national payment systems act and associated regulations</w:t>
      </w:r>
      <w:r>
        <w:t>,</w:t>
      </w:r>
      <w:r w:rsidRPr="00E83E52">
        <w:t xml:space="preserve"> is not necessarily a handicap to non-banks being allowed market access: </w:t>
      </w:r>
      <w:r>
        <w:t>A</w:t>
      </w:r>
      <w:r w:rsidRPr="00E83E52">
        <w:t xml:space="preserve"> central bank, and often the telecommunication regulator</w:t>
      </w:r>
      <w:r>
        <w:t>,</w:t>
      </w:r>
      <w:r w:rsidRPr="00E83E52">
        <w:t xml:space="preserve"> may issue a letter of no objection (LONO) in advance of, or in the absence of an adopted regulatory framework. However, if the terms are not transparent and applied uniformly amongst market participant</w:t>
      </w:r>
      <w:r>
        <w:t>s</w:t>
      </w:r>
      <w:r w:rsidRPr="00E83E52">
        <w:t>, this may result in certain entities being favored and subject to privileged terms.</w:t>
      </w:r>
    </w:p>
    <w:p w14:paraId="1E925EE0" w14:textId="77777777" w:rsidR="00885B99" w:rsidRPr="00F03707" w:rsidRDefault="00885B99" w:rsidP="00885B99">
      <w:pPr>
        <w:pStyle w:val="Heading2"/>
      </w:pPr>
      <w:bookmarkStart w:id="219" w:name="_Toc472443731"/>
      <w:bookmarkStart w:id="220" w:name="_Toc17799403"/>
      <w:bookmarkStart w:id="221" w:name="_Toc17881562"/>
      <w:bookmarkStart w:id="222" w:name="_Toc17882392"/>
      <w:bookmarkStart w:id="223" w:name="_Toc17882611"/>
      <w:bookmarkStart w:id="224" w:name="_Toc17882830"/>
      <w:bookmarkStart w:id="225" w:name="_Toc17883185"/>
      <w:bookmarkStart w:id="226" w:name="_Toc17892857"/>
      <w:bookmarkStart w:id="227" w:name="_Toc17893076"/>
      <w:bookmarkStart w:id="228" w:name="_Toc17893295"/>
      <w:bookmarkStart w:id="229" w:name="_Toc17894156"/>
      <w:bookmarkStart w:id="230" w:name="_Toc17894384"/>
      <w:bookmarkStart w:id="231" w:name="_Toc17969238"/>
      <w:r>
        <w:t>4.2</w:t>
      </w:r>
      <w:r>
        <w:tab/>
      </w:r>
      <w:r w:rsidRPr="00F03707">
        <w:t>C</w:t>
      </w:r>
      <w:r>
        <w:t>ompetition a</w:t>
      </w:r>
      <w:r w:rsidRPr="00F03707">
        <w:t>spects</w:t>
      </w:r>
      <w:bookmarkEnd w:id="219"/>
      <w:bookmarkEnd w:id="220"/>
      <w:bookmarkEnd w:id="221"/>
      <w:bookmarkEnd w:id="222"/>
      <w:bookmarkEnd w:id="223"/>
      <w:bookmarkEnd w:id="224"/>
      <w:bookmarkEnd w:id="225"/>
      <w:bookmarkEnd w:id="226"/>
      <w:bookmarkEnd w:id="227"/>
      <w:bookmarkEnd w:id="228"/>
      <w:bookmarkEnd w:id="229"/>
      <w:bookmarkEnd w:id="230"/>
      <w:bookmarkEnd w:id="231"/>
    </w:p>
    <w:p w14:paraId="704E867F" w14:textId="77777777" w:rsidR="00885B99" w:rsidRDefault="00885B99" w:rsidP="00885B99">
      <w:r w:rsidRPr="00E83E52">
        <w:t xml:space="preserve">Consent by a regulator for an entity to enter a market is ground zero for the facilitation of </w:t>
      </w:r>
      <w:r>
        <w:t xml:space="preserve">a </w:t>
      </w:r>
      <w:r w:rsidRPr="00E83E52">
        <w:t>robust competition in a market. Without the consent, certain entities may be left to only provide ancillary services. And even where some participation is allowed from non-bank entities, th</w:t>
      </w:r>
      <w:r>
        <w:t>ere may be sectoral complaints.</w:t>
      </w:r>
    </w:p>
    <w:p w14:paraId="0F8AAF26" w14:textId="77777777" w:rsidR="00885B99" w:rsidRPr="001A7B76" w:rsidRDefault="00885B99" w:rsidP="00885B99">
      <w:pPr>
        <w:keepNext/>
        <w:keepLines/>
        <w:rPr>
          <w:sz w:val="32"/>
          <w:szCs w:val="24"/>
        </w:rPr>
      </w:pPr>
      <w:r w:rsidRPr="001A7B76">
        <w:lastRenderedPageBreak/>
        <w:t>Consent by a regulator for variety of entities to enter a market is precondition for robust competition in the market for DFS. Without the consent, new innovative providers will not be able to deliver DFS services at scale</w:t>
      </w:r>
      <w:r w:rsidRPr="001A7B76">
        <w:rPr>
          <w:rStyle w:val="FootnoteReference"/>
          <w:color w:val="000000" w:themeColor="text1"/>
        </w:rPr>
        <w:footnoteReference w:id="88"/>
      </w:r>
      <w:r w:rsidRPr="001A7B76">
        <w:t xml:space="preserve"> and certain entities may be left to only provide ancillary services. And even where some participation is allowed from non-bank entities, there may be sectoral complaints.</w:t>
      </w:r>
    </w:p>
    <w:p w14:paraId="566E05C4" w14:textId="77777777" w:rsidR="00885B99" w:rsidRPr="00E83E52" w:rsidRDefault="00885B99" w:rsidP="00885B99">
      <w:pPr>
        <w:pStyle w:val="Heading2"/>
      </w:pPr>
      <w:bookmarkStart w:id="232" w:name="_Toc472443732"/>
      <w:bookmarkStart w:id="233" w:name="_Toc17799404"/>
      <w:bookmarkStart w:id="234" w:name="_Toc17881563"/>
      <w:bookmarkStart w:id="235" w:name="_Toc17882393"/>
      <w:bookmarkStart w:id="236" w:name="_Toc17882612"/>
      <w:bookmarkStart w:id="237" w:name="_Toc17882831"/>
      <w:bookmarkStart w:id="238" w:name="_Toc17883186"/>
      <w:bookmarkStart w:id="239" w:name="_Toc17892858"/>
      <w:bookmarkStart w:id="240" w:name="_Toc17893077"/>
      <w:bookmarkStart w:id="241" w:name="_Toc17893296"/>
      <w:bookmarkStart w:id="242" w:name="_Toc17894157"/>
      <w:bookmarkStart w:id="243" w:name="_Toc17894385"/>
      <w:bookmarkStart w:id="244" w:name="_Toc17969239"/>
      <w:r w:rsidRPr="001A7B76">
        <w:t>4.3</w:t>
      </w:r>
      <w:r w:rsidRPr="001A7B76">
        <w:tab/>
        <w:t>Country examples</w:t>
      </w:r>
      <w:bookmarkEnd w:id="232"/>
      <w:bookmarkEnd w:id="233"/>
      <w:bookmarkEnd w:id="234"/>
      <w:bookmarkEnd w:id="235"/>
      <w:bookmarkEnd w:id="236"/>
      <w:bookmarkEnd w:id="237"/>
      <w:bookmarkEnd w:id="238"/>
      <w:bookmarkEnd w:id="239"/>
      <w:bookmarkEnd w:id="240"/>
      <w:bookmarkEnd w:id="241"/>
      <w:bookmarkEnd w:id="242"/>
      <w:bookmarkEnd w:id="243"/>
      <w:bookmarkEnd w:id="244"/>
    </w:p>
    <w:p w14:paraId="55E01C8C" w14:textId="77777777" w:rsidR="00885B99" w:rsidRPr="00C914F0" w:rsidRDefault="00885B99" w:rsidP="00885B99">
      <w:pPr>
        <w:pStyle w:val="Headingb"/>
        <w:rPr>
          <w:i/>
        </w:rPr>
      </w:pPr>
      <w:r w:rsidRPr="00C914F0">
        <w:rPr>
          <w:i/>
        </w:rPr>
        <w:t>Bangladesh</w:t>
      </w:r>
    </w:p>
    <w:p w14:paraId="11B419BA" w14:textId="77777777" w:rsidR="00885B99" w:rsidRPr="00E83E52" w:rsidRDefault="00885B99" w:rsidP="00885B99">
      <w:r w:rsidRPr="00E83E52">
        <w:t xml:space="preserve">Under the </w:t>
      </w:r>
      <w:r>
        <w:t>'</w:t>
      </w:r>
      <w:r w:rsidRPr="00E83E52">
        <w:t>Mobile Financial Services Guideline 2011</w:t>
      </w:r>
      <w:r>
        <w:t>'</w:t>
      </w:r>
      <w:r w:rsidRPr="00E83E52">
        <w:t xml:space="preserve"> issued by Bangladesh Bank (BB), only banks or their subsidiaries are eligible for a DFS license. Neither MNOs nor other non-banks can legally independently operate in the DFS ecosystem in Bangladesh, although non-banks can be investors in bank subsidiaries.</w:t>
      </w:r>
      <w:r>
        <w:rPr>
          <w:rStyle w:val="FootnoteReference"/>
          <w:color w:val="000000" w:themeColor="text1"/>
          <w:szCs w:val="24"/>
        </w:rPr>
        <w:footnoteReference w:id="89"/>
      </w:r>
      <w:r w:rsidRPr="00E83E52">
        <w:t xml:space="preserve"> So far BB has not approved DFS licenses for bank subsidiaries </w:t>
      </w:r>
      <w:r>
        <w:t>that have MNOs as shareholders.</w:t>
      </w:r>
    </w:p>
    <w:p w14:paraId="454BB981" w14:textId="3E960352" w:rsidR="00885B99" w:rsidRPr="00E83E52" w:rsidRDefault="00885B99" w:rsidP="00885B99">
      <w:r w:rsidRPr="00E83E52">
        <w:t>This regulatory situation has brought about a virtual monopoly in the DFS market, dominated by</w:t>
      </w:r>
      <w:r>
        <w:t xml:space="preserve"> the</w:t>
      </w:r>
      <w:r w:rsidRPr="00E83E52">
        <w:t xml:space="preserve"> DFS Service Provider (SP) bKash which holds over 90</w:t>
      </w:r>
      <w:r w:rsidR="005D5B5C">
        <w:t> </w:t>
      </w:r>
      <w:r>
        <w:t>per cent</w:t>
      </w:r>
      <w:r w:rsidRPr="00E83E52">
        <w:t xml:space="preserve"> of the market share</w:t>
      </w:r>
      <w:r>
        <w:t>,</w:t>
      </w:r>
      <w:r w:rsidRPr="00E83E52">
        <w:t xml:space="preserve"> even though 18 banks operate DFS.</w:t>
      </w:r>
      <w:r w:rsidRPr="00D83C61">
        <w:rPr>
          <w:rStyle w:val="FootnoteReference"/>
          <w:color w:val="000000" w:themeColor="text1"/>
          <w:szCs w:val="24"/>
        </w:rPr>
        <w:footnoteReference w:id="90"/>
      </w:r>
      <w:r w:rsidRPr="00E83E52">
        <w:t xml:space="preserve"> </w:t>
      </w:r>
      <w:r w:rsidRPr="004D186A">
        <w:t>There are 28 commercial banks with MFS licenses, but only three or four are effectively operating in the market.</w:t>
      </w:r>
      <w:r w:rsidRPr="00D83C61">
        <w:rPr>
          <w:rStyle w:val="FootnoteReference"/>
          <w:color w:val="000000" w:themeColor="text1"/>
          <w:szCs w:val="24"/>
        </w:rPr>
        <w:footnoteReference w:id="91"/>
      </w:r>
      <w:r w:rsidRPr="00E83E52">
        <w:rPr>
          <w:color w:val="333333"/>
        </w:rPr>
        <w:t xml:space="preserve"> </w:t>
      </w:r>
      <w:r w:rsidRPr="00E83E52">
        <w:t>The consequence of this lack of competition is seen as having created a situation of insufficient investment and innovation in the DFS market.</w:t>
      </w:r>
      <w:r>
        <w:rPr>
          <w:rStyle w:val="FootnoteReference"/>
          <w:color w:val="000000" w:themeColor="text1"/>
          <w:szCs w:val="24"/>
        </w:rPr>
        <w:footnoteReference w:id="92"/>
      </w:r>
    </w:p>
    <w:p w14:paraId="051867E7" w14:textId="77777777" w:rsidR="00885B99" w:rsidRPr="00E83E52" w:rsidRDefault="00885B99" w:rsidP="00885B99">
      <w:r w:rsidRPr="00E83E52">
        <w:t>In August of 2015, BB released draft MFS regulations meant to encourage greater competition by limiting the ownership structure of banks in MFS businesses.</w:t>
      </w:r>
      <w:r>
        <w:rPr>
          <w:rStyle w:val="FootnoteReference"/>
          <w:szCs w:val="24"/>
        </w:rPr>
        <w:footnoteReference w:id="93"/>
      </w:r>
      <w:r w:rsidRPr="00E83E52">
        <w:t xml:space="preserve"> </w:t>
      </w:r>
      <w:r w:rsidRPr="00A166F6">
        <w:t xml:space="preserve">However, </w:t>
      </w:r>
      <w:r w:rsidRPr="001A7B76">
        <w:t>the draft proved controversial and its ability to support competition in DFS, amongst other policy objectives, was disputed.</w:t>
      </w:r>
      <w:r w:rsidRPr="001A7B76">
        <w:rPr>
          <w:rStyle w:val="FootnoteReference"/>
          <w:szCs w:val="24"/>
        </w:rPr>
        <w:footnoteReference w:id="94"/>
      </w:r>
      <w:r w:rsidRPr="001A7B76">
        <w:t xml:space="preserve"> The updated regulations and as yet have not yet been implemented.</w:t>
      </w:r>
      <w:r w:rsidRPr="00E83E52">
        <w:t xml:space="preserve"> The MNOs are </w:t>
      </w:r>
      <w:r w:rsidRPr="00E83E52">
        <w:lastRenderedPageBreak/>
        <w:t>currently lobbying</w:t>
      </w:r>
      <w:r w:rsidRPr="00E83E52">
        <w:rPr>
          <w:rStyle w:val="FootnoteReference"/>
          <w:color w:val="000000" w:themeColor="text1"/>
          <w:szCs w:val="24"/>
        </w:rPr>
        <w:footnoteReference w:id="95"/>
      </w:r>
      <w:r w:rsidRPr="00E83E52">
        <w:t xml:space="preserve"> the government to be able to provide a full suite of DFS </w:t>
      </w:r>
      <w:r>
        <w:t>services</w:t>
      </w:r>
      <w:r w:rsidRPr="00E83E52">
        <w:t xml:space="preserve"> as offered by bKash, an effort supported by the State Minister for Telecom.</w:t>
      </w:r>
      <w:r w:rsidRPr="00E83E52">
        <w:rPr>
          <w:rStyle w:val="FootnoteReference"/>
          <w:color w:val="000000" w:themeColor="text1"/>
          <w:szCs w:val="24"/>
        </w:rPr>
        <w:footnoteReference w:id="96"/>
      </w:r>
    </w:p>
    <w:p w14:paraId="1456BAD3" w14:textId="77777777" w:rsidR="00885B99" w:rsidRDefault="00885B99" w:rsidP="00885B99">
      <w:r w:rsidRPr="00E83E52">
        <w:t>MNOs have been providing different payment service</w:t>
      </w:r>
      <w:r>
        <w:t>s,</w:t>
      </w:r>
      <w:r w:rsidRPr="00E83E52">
        <w:t xml:space="preserve"> such as utility bill payment, train ticketing, cricket match tickets, airtime top-ups and lottery tickets since 2006. For each of these services, the MNOs have obtained approvals from Bangladesh Telecommunication Regulatory Commission (BTRC) under the purview of </w:t>
      </w:r>
      <w:r>
        <w:t xml:space="preserve">the </w:t>
      </w:r>
      <w:r w:rsidRPr="00E83E52">
        <w:t>Telecommunication Act,</w:t>
      </w:r>
      <w:r w:rsidRPr="00E83E52">
        <w:rPr>
          <w:rStyle w:val="FootnoteReference"/>
          <w:szCs w:val="24"/>
        </w:rPr>
        <w:footnoteReference w:id="97"/>
      </w:r>
      <w:r w:rsidRPr="00E83E52">
        <w:t xml:space="preserve"> which incorporated the payment products within the jurisdiction of DFS when the 2011 regulations were </w:t>
      </w:r>
      <w:r>
        <w:t>promulgated.</w:t>
      </w:r>
    </w:p>
    <w:p w14:paraId="5E49E314" w14:textId="77777777" w:rsidR="00885B99" w:rsidRPr="00E83E52" w:rsidRDefault="00885B99" w:rsidP="00885B99">
      <w:pPr>
        <w:rPr>
          <w:color w:val="000000" w:themeColor="text1"/>
        </w:rPr>
      </w:pPr>
      <w:r w:rsidRPr="00E83E52">
        <w:t xml:space="preserve">The MNOs then obtained a LONO from BB for the services that had been initially approved under the Telecommunication Act, and have continued only a few of these services since that time. </w:t>
      </w:r>
      <w:r w:rsidRPr="00E83E52">
        <w:rPr>
          <w:color w:val="000000" w:themeColor="text1"/>
        </w:rPr>
        <w:t>MNO Grameen</w:t>
      </w:r>
      <w:r>
        <w:rPr>
          <w:color w:val="000000" w:themeColor="text1"/>
        </w:rPr>
        <w:t>P</w:t>
      </w:r>
      <w:r w:rsidRPr="00E83E52">
        <w:rPr>
          <w:color w:val="000000" w:themeColor="text1"/>
        </w:rPr>
        <w:t xml:space="preserve">hone, for example, now </w:t>
      </w:r>
      <w:r w:rsidRPr="00E83E52">
        <w:t>has two services using the brand name GPAY to provide approved services</w:t>
      </w:r>
      <w:r>
        <w:t>,</w:t>
      </w:r>
      <w:r w:rsidRPr="00E83E52">
        <w:t xml:space="preserve"> such as utility payments, train ticketing, lottery tickets, cricket match tickets and airtime. They have an enabler-type system branded as Mobicash that partners with banks under the DFS Guideline of 2011</w:t>
      </w:r>
      <w:r>
        <w:t>,</w:t>
      </w:r>
      <w:r w:rsidRPr="00E83E52">
        <w:rPr>
          <w:rStyle w:val="FootnoteReference"/>
          <w:szCs w:val="24"/>
        </w:rPr>
        <w:footnoteReference w:id="98"/>
      </w:r>
      <w:r w:rsidRPr="00E83E52">
        <w:t xml:space="preserve"> </w:t>
      </w:r>
      <w:r>
        <w:t>which</w:t>
      </w:r>
      <w:r w:rsidRPr="00E83E52">
        <w:t xml:space="preserve"> </w:t>
      </w:r>
      <w:r>
        <w:t>(</w:t>
      </w:r>
      <w:r w:rsidRPr="00E83E52">
        <w:t>under the agent banking regulation</w:t>
      </w:r>
      <w:r w:rsidRPr="00E83E52">
        <w:rPr>
          <w:rStyle w:val="FootnoteReference"/>
          <w:szCs w:val="24"/>
        </w:rPr>
        <w:footnoteReference w:id="99"/>
      </w:r>
      <w:r>
        <w:t>)</w:t>
      </w:r>
      <w:r w:rsidRPr="00E83E52">
        <w:t xml:space="preserve"> allows </w:t>
      </w:r>
      <w:r>
        <w:t>them</w:t>
      </w:r>
      <w:r w:rsidRPr="00E83E52">
        <w:t xml:space="preserve"> to operate as partner bank agents to do partner banks</w:t>
      </w:r>
      <w:r>
        <w:t>;</w:t>
      </w:r>
      <w:r w:rsidRPr="00E83E52">
        <w:t xml:space="preserve"> account registration and DFS cash-in and cash</w:t>
      </w:r>
      <w:r>
        <w:t>-</w:t>
      </w:r>
      <w:r w:rsidRPr="00E83E52">
        <w:t xml:space="preserve">out take place in these agent networks. </w:t>
      </w:r>
      <w:r w:rsidRPr="001A7B76">
        <w:t>GrameenPhone is not permitted to offer its own accounts and</w:t>
      </w:r>
      <w:r>
        <w:t>/</w:t>
      </w:r>
      <w:r w:rsidRPr="001A7B76">
        <w:t>or the associated does not have any cash-in or cash out services of its own.</w:t>
      </w:r>
    </w:p>
    <w:p w14:paraId="53995978" w14:textId="77777777" w:rsidR="00885B99" w:rsidRPr="00C914F0" w:rsidRDefault="00885B99" w:rsidP="00885B99">
      <w:pPr>
        <w:pStyle w:val="Headingb"/>
        <w:rPr>
          <w:i/>
        </w:rPr>
      </w:pPr>
      <w:r w:rsidRPr="00C914F0">
        <w:rPr>
          <w:i/>
        </w:rPr>
        <w:t>Colombia</w:t>
      </w:r>
    </w:p>
    <w:p w14:paraId="3D0A3D51" w14:textId="77777777" w:rsidR="00885B99" w:rsidRPr="00E83E52" w:rsidRDefault="00885B99" w:rsidP="00885B99">
      <w:r w:rsidRPr="00E83E52">
        <w:t xml:space="preserve">Colombia initially had a bank-based model for DFS, but after an anemic take-up of services, </w:t>
      </w:r>
      <w:r>
        <w:t xml:space="preserve">in 2012 </w:t>
      </w:r>
      <w:r w:rsidRPr="00E83E52">
        <w:t>the government opened up the market to non-banks, creating a new type of financial institution called</w:t>
      </w:r>
      <w:r>
        <w:t xml:space="preserve"> </w:t>
      </w:r>
      <w:r w:rsidRPr="00E83E52">
        <w:t>Specialized Electronic Deposit and Payment Institutions.</w:t>
      </w:r>
      <w:r w:rsidRPr="00194FC7">
        <w:t xml:space="preserve"> </w:t>
      </w:r>
      <w:r w:rsidRPr="00E83E52">
        <w:t>Funds are covered by deposit insurance and can earn interest. Remote opening of electronic deposit accounts is allowed with a national ID.</w:t>
      </w:r>
      <w:r>
        <w:rPr>
          <w:rStyle w:val="FootnoteReference"/>
          <w:color w:val="000000" w:themeColor="text1"/>
        </w:rPr>
        <w:footnoteReference w:id="100"/>
      </w:r>
    </w:p>
    <w:p w14:paraId="4CDF1568" w14:textId="77777777" w:rsidR="00885B99" w:rsidRPr="00C914F0" w:rsidRDefault="00885B99" w:rsidP="00885B99">
      <w:pPr>
        <w:pStyle w:val="Headingb"/>
        <w:rPr>
          <w:i/>
        </w:rPr>
      </w:pPr>
      <w:r w:rsidRPr="00C914F0">
        <w:rPr>
          <w:i/>
        </w:rPr>
        <w:t>Georgia</w:t>
      </w:r>
    </w:p>
    <w:p w14:paraId="25450D7A" w14:textId="77777777" w:rsidR="00885B99" w:rsidRPr="00E83E52" w:rsidRDefault="00885B99" w:rsidP="00885B99">
      <w:r w:rsidRPr="00E83E52">
        <w:t xml:space="preserve">The National Bank of Georgia has proposed making a determination of SMP-type equivalence on entities based purely on systemic concerns related </w:t>
      </w:r>
      <w:r>
        <w:t xml:space="preserve">to </w:t>
      </w:r>
      <w:r w:rsidRPr="00E83E52">
        <w:t xml:space="preserve">the total volume and value of the DFS transactions </w:t>
      </w:r>
      <w:r>
        <w:t xml:space="preserve">that </w:t>
      </w:r>
      <w:r w:rsidRPr="00E83E52">
        <w:t>it processes. Such a determination could result in restrictions on an entity</w:t>
      </w:r>
      <w:r>
        <w:t>'</w:t>
      </w:r>
      <w:r w:rsidRPr="00E83E52">
        <w:t>s DFS market activities and higher capital requirements.</w:t>
      </w:r>
    </w:p>
    <w:p w14:paraId="6522BADD" w14:textId="77777777" w:rsidR="00885B99" w:rsidRPr="00C914F0" w:rsidRDefault="00885B99" w:rsidP="00885B99">
      <w:pPr>
        <w:pStyle w:val="Headingb"/>
        <w:rPr>
          <w:i/>
        </w:rPr>
      </w:pPr>
      <w:r w:rsidRPr="00C914F0">
        <w:rPr>
          <w:i/>
        </w:rPr>
        <w:t>Ghana</w:t>
      </w:r>
    </w:p>
    <w:p w14:paraId="00679D4F" w14:textId="77777777" w:rsidR="00885B99" w:rsidRPr="00E83E52" w:rsidRDefault="00885B99" w:rsidP="00885B99">
      <w:r w:rsidRPr="00E83E52">
        <w:t xml:space="preserve">In 2015, and then again in 2016, Ghana revised its market access policy, moving away from the bank-based model to an open access model. This is part of </w:t>
      </w:r>
      <w:r w:rsidRPr="00E83E52">
        <w:rPr>
          <w:shd w:val="clear" w:color="auto" w:fill="FFFFFF"/>
        </w:rPr>
        <w:t>a new National Payment Systems Strategy which seeks to promote the use of electronic payments. New Electronic Money Issuers and Agent Guidelines were also released.</w:t>
      </w:r>
      <w:r>
        <w:rPr>
          <w:rStyle w:val="FootnoteReference"/>
          <w:color w:val="000000" w:themeColor="text1"/>
          <w:shd w:val="clear" w:color="auto" w:fill="FFFFFF"/>
        </w:rPr>
        <w:footnoteReference w:id="101"/>
      </w:r>
    </w:p>
    <w:p w14:paraId="220A9E31" w14:textId="77777777" w:rsidR="00885B99" w:rsidRPr="00C914F0" w:rsidRDefault="00885B99" w:rsidP="00885B99">
      <w:pPr>
        <w:pStyle w:val="Headingb"/>
        <w:rPr>
          <w:i/>
        </w:rPr>
      </w:pPr>
      <w:r w:rsidRPr="00C914F0">
        <w:rPr>
          <w:i/>
        </w:rPr>
        <w:lastRenderedPageBreak/>
        <w:t>India</w:t>
      </w:r>
    </w:p>
    <w:p w14:paraId="0C638403" w14:textId="77777777" w:rsidR="00885B99" w:rsidRPr="00E83E52" w:rsidRDefault="00885B99" w:rsidP="00885B99">
      <w:r w:rsidRPr="00E83E52">
        <w:rPr>
          <w:shd w:val="clear" w:color="auto" w:fill="FFFFFF"/>
        </w:rPr>
        <w:t>India moved away from a closed banks-only</w:t>
      </w:r>
      <w:r>
        <w:rPr>
          <w:rStyle w:val="FootnoteReference"/>
          <w:bCs/>
          <w:color w:val="000000" w:themeColor="text1"/>
          <w:shd w:val="clear" w:color="auto" w:fill="FFFFFF"/>
        </w:rPr>
        <w:footnoteReference w:id="102"/>
      </w:r>
      <w:r w:rsidRPr="00E83E52">
        <w:rPr>
          <w:shd w:val="clear" w:color="auto" w:fill="FFFFFF"/>
        </w:rPr>
        <w:t xml:space="preserve"> model and introduced a new enabling framework characterized by the new </w:t>
      </w:r>
      <w:r>
        <w:rPr>
          <w:shd w:val="clear" w:color="auto" w:fill="FFFFFF"/>
        </w:rPr>
        <w:t>'</w:t>
      </w:r>
      <w:r w:rsidRPr="00E83E52">
        <w:rPr>
          <w:shd w:val="clear" w:color="auto" w:fill="FFFFFF"/>
        </w:rPr>
        <w:t>payments bank</w:t>
      </w:r>
      <w:r>
        <w:rPr>
          <w:shd w:val="clear" w:color="auto" w:fill="FFFFFF"/>
        </w:rPr>
        <w:t>'</w:t>
      </w:r>
      <w:r w:rsidRPr="00E83E52">
        <w:rPr>
          <w:shd w:val="clear" w:color="auto" w:fill="FFFFFF"/>
        </w:rPr>
        <w:t xml:space="preserve"> concept developed by the </w:t>
      </w:r>
      <w:r w:rsidRPr="00E83E52">
        <w:t>Reserve Bank of India (RBI)</w:t>
      </w:r>
      <w:r w:rsidRPr="00E83E52">
        <w:rPr>
          <w:shd w:val="clear" w:color="auto" w:fill="FFFFFF"/>
        </w:rPr>
        <w:t>. While the new p</w:t>
      </w:r>
      <w:r w:rsidRPr="00E83E52">
        <w:t xml:space="preserve">ayments bank framework is still a bank regulation-based model, RBI has allowed entities such as MNOs to apply for banking licenses as banks. </w:t>
      </w:r>
      <w:r w:rsidRPr="00E83E52">
        <w:rPr>
          <w:shd w:val="clear" w:color="auto" w:fill="FFFFFF"/>
        </w:rPr>
        <w:t>They can accept deposits up to INR 100</w:t>
      </w:r>
      <w:r>
        <w:rPr>
          <w:shd w:val="clear" w:color="auto" w:fill="FFFFFF"/>
        </w:rPr>
        <w:t> </w:t>
      </w:r>
      <w:r w:rsidRPr="00E83E52">
        <w:rPr>
          <w:shd w:val="clear" w:color="auto" w:fill="FFFFFF"/>
        </w:rPr>
        <w:t>000</w:t>
      </w:r>
      <w:r>
        <w:rPr>
          <w:shd w:val="clear" w:color="auto" w:fill="FFFFFF"/>
        </w:rPr>
        <w:t> </w:t>
      </w:r>
      <w:r w:rsidRPr="00E83E52">
        <w:rPr>
          <w:shd w:val="clear" w:color="auto" w:fill="FFFFFF"/>
        </w:rPr>
        <w:t>(US</w:t>
      </w:r>
      <w:r>
        <w:rPr>
          <w:shd w:val="clear" w:color="auto" w:fill="FFFFFF"/>
        </w:rPr>
        <w:t>D </w:t>
      </w:r>
      <w:r w:rsidRPr="00E83E52">
        <w:rPr>
          <w:shd w:val="clear" w:color="auto" w:fill="FFFFFF"/>
        </w:rPr>
        <w:t>1</w:t>
      </w:r>
      <w:r>
        <w:rPr>
          <w:shd w:val="clear" w:color="auto" w:fill="FFFFFF"/>
        </w:rPr>
        <w:t> </w:t>
      </w:r>
      <w:r w:rsidRPr="00E83E52">
        <w:rPr>
          <w:shd w:val="clear" w:color="auto" w:fill="FFFFFF"/>
        </w:rPr>
        <w:t xml:space="preserve">466), provide payments and remittances services, and distribute third-party financial products. </w:t>
      </w:r>
      <w:r>
        <w:rPr>
          <w:shd w:val="clear" w:color="auto" w:fill="FFFFFF"/>
        </w:rPr>
        <w:t>However, t</w:t>
      </w:r>
      <w:r w:rsidRPr="00E83E52">
        <w:rPr>
          <w:shd w:val="clear" w:color="auto" w:fill="FFFFFF"/>
        </w:rPr>
        <w:t>hey cannot lend or issue credit cards, although they can provide debit cards and internet banking facilities.</w:t>
      </w:r>
      <w:r>
        <w:rPr>
          <w:rStyle w:val="FootnoteReference"/>
          <w:color w:val="000000" w:themeColor="text1"/>
          <w:shd w:val="clear" w:color="auto" w:fill="FFFFFF"/>
        </w:rPr>
        <w:footnoteReference w:id="103"/>
      </w:r>
      <w:r w:rsidRPr="00E83E52">
        <w:t xml:space="preserve"> India had previously allowed non-banks to issue prepaid payment instruments.</w:t>
      </w:r>
      <w:r>
        <w:rPr>
          <w:rStyle w:val="FootnoteReference"/>
          <w:color w:val="000000" w:themeColor="text1"/>
        </w:rPr>
        <w:footnoteReference w:id="104"/>
      </w:r>
    </w:p>
    <w:p w14:paraId="60CC3085" w14:textId="77777777" w:rsidR="00885B99" w:rsidRPr="00C914F0" w:rsidRDefault="00885B99" w:rsidP="00885B99">
      <w:pPr>
        <w:pStyle w:val="Headingb"/>
        <w:rPr>
          <w:i/>
        </w:rPr>
      </w:pPr>
      <w:r w:rsidRPr="00C914F0">
        <w:rPr>
          <w:i/>
        </w:rPr>
        <w:t>Nigeria</w:t>
      </w:r>
    </w:p>
    <w:p w14:paraId="146E3875" w14:textId="77777777" w:rsidR="00885B99" w:rsidRPr="00E83E52" w:rsidRDefault="00885B99" w:rsidP="00885B99">
      <w:pPr>
        <w:rPr>
          <w:shd w:val="clear" w:color="auto" w:fill="FFFFFF"/>
        </w:rPr>
      </w:pPr>
      <w:r w:rsidRPr="00E83E52">
        <w:rPr>
          <w:shd w:val="clear" w:color="auto" w:fill="FFFFFF"/>
        </w:rPr>
        <w:t>Nigeria does not allow MNOs to independently operate DFS services, although other non-banks are able to do so.</w:t>
      </w:r>
      <w:r>
        <w:rPr>
          <w:rStyle w:val="FootnoteReference"/>
          <w:color w:val="000000" w:themeColor="text1"/>
          <w:shd w:val="clear" w:color="auto" w:fill="FFFFFF"/>
        </w:rPr>
        <w:footnoteReference w:id="105"/>
      </w:r>
      <w:r w:rsidRPr="00E83E52">
        <w:rPr>
          <w:shd w:val="clear" w:color="auto" w:fill="FFFFFF"/>
        </w:rPr>
        <w:t xml:space="preserve"> MNOs can, however, provide agent s</w:t>
      </w:r>
      <w:r>
        <w:rPr>
          <w:shd w:val="clear" w:color="auto" w:fill="FFFFFF"/>
        </w:rPr>
        <w:t>ervices to banks and non-banks.</w:t>
      </w:r>
    </w:p>
    <w:p w14:paraId="6378A7AF" w14:textId="77777777" w:rsidR="00885B99" w:rsidRPr="00C914F0" w:rsidRDefault="00885B99" w:rsidP="00885B99">
      <w:pPr>
        <w:pStyle w:val="Headingb"/>
        <w:rPr>
          <w:i/>
        </w:rPr>
      </w:pPr>
      <w:r w:rsidRPr="00C914F0">
        <w:rPr>
          <w:i/>
        </w:rPr>
        <w:t>Sri Lanka</w:t>
      </w:r>
    </w:p>
    <w:p w14:paraId="26C5D3D8" w14:textId="77777777" w:rsidR="00885B99" w:rsidRPr="00E83E52" w:rsidRDefault="00885B99" w:rsidP="00885B99">
      <w:r w:rsidRPr="00E83E52">
        <w:t xml:space="preserve">When DFS services were launched in 2007, the regulatory framework required customers to have a bank account. </w:t>
      </w:r>
      <w:r>
        <w:t>In 2011, t</w:t>
      </w:r>
      <w:r w:rsidRPr="00E83E52">
        <w:t>he regulator changed the model, opening the market to both bank and non-bank providers. MNO Dialog now operates the largest DFS implementation, eZ Cash, which is interoperable with most MNOs</w:t>
      </w:r>
      <w:r>
        <w:t>,</w:t>
      </w:r>
      <w:r w:rsidRPr="00E83E52">
        <w:t xml:space="preserve"> except Mobitel.</w:t>
      </w:r>
      <w:r w:rsidRPr="00E83E52">
        <w:rPr>
          <w:rStyle w:val="FootnoteReference"/>
          <w:szCs w:val="24"/>
        </w:rPr>
        <w:footnoteReference w:id="106"/>
      </w:r>
    </w:p>
    <w:p w14:paraId="0E5CD532" w14:textId="77777777" w:rsidR="00885B99" w:rsidRPr="00C914F0" w:rsidRDefault="00885B99" w:rsidP="00885B99">
      <w:pPr>
        <w:pStyle w:val="Headingb"/>
        <w:rPr>
          <w:i/>
        </w:rPr>
      </w:pPr>
      <w:r w:rsidRPr="00C914F0">
        <w:rPr>
          <w:i/>
        </w:rPr>
        <w:t>Nepal</w:t>
      </w:r>
    </w:p>
    <w:p w14:paraId="1A6B9CD5" w14:textId="77777777" w:rsidR="00885B99" w:rsidRPr="00E83E52" w:rsidRDefault="00885B99" w:rsidP="00885B99">
      <w:r w:rsidRPr="00E83E52">
        <w:rPr>
          <w:lang w:eastAsia="en-GB"/>
        </w:rPr>
        <w:t xml:space="preserve">Until July 2016, DFS in Nepal was strategically linked to mobile banking initiatives and thus based on a bank-based </w:t>
      </w:r>
      <w:r w:rsidRPr="00E83E52">
        <w:t>model. This all changed with the issuance of new regulations</w:t>
      </w:r>
      <w:r w:rsidRPr="00E83E52">
        <w:rPr>
          <w:rStyle w:val="FootnoteReference"/>
          <w:szCs w:val="24"/>
        </w:rPr>
        <w:footnoteReference w:id="107"/>
      </w:r>
      <w:r w:rsidRPr="00E83E52">
        <w:t xml:space="preserve"> in early July 2016, which allow</w:t>
      </w:r>
      <w:r>
        <w:t>ed</w:t>
      </w:r>
      <w:r w:rsidRPr="00E83E52">
        <w:t xml:space="preserve"> the licensing of both bank and non-bank entities as PSPs.</w:t>
      </w:r>
      <w:r w:rsidRPr="00E83E52">
        <w:rPr>
          <w:rStyle w:val="FootnoteReference"/>
          <w:szCs w:val="24"/>
        </w:rPr>
        <w:footnoteReference w:id="108"/>
      </w:r>
      <w:r w:rsidRPr="00E83E52">
        <w:t xml:space="preserve"> Both licensed banks and non-banks, including MNOs, are eligible to apply for such licenses. MNOs</w:t>
      </w:r>
      <w:r>
        <w:t>,</w:t>
      </w:r>
      <w:r w:rsidRPr="00E83E52">
        <w:t xml:space="preserve"> however have to set up subsidiary entities to provide such services as well as a commitment in writing that access to its </w:t>
      </w:r>
      <w:r w:rsidRPr="00E83E52">
        <w:lastRenderedPageBreak/>
        <w:t>network to other PSPs will be provided on a non-discriminatory basis. Non-compliance to the latter obligation can result in cancellation of the PSP license.</w:t>
      </w:r>
      <w:r w:rsidRPr="00E83E52">
        <w:rPr>
          <w:rStyle w:val="FootnoteReference"/>
          <w:szCs w:val="24"/>
        </w:rPr>
        <w:footnoteReference w:id="109"/>
      </w:r>
    </w:p>
    <w:p w14:paraId="2D6C5DAA" w14:textId="77777777" w:rsidR="00885B99" w:rsidRPr="00E83E52" w:rsidRDefault="00885B99" w:rsidP="00885B99">
      <w:pPr>
        <w:pStyle w:val="Heading1"/>
        <w:tabs>
          <w:tab w:val="left" w:pos="993"/>
        </w:tabs>
        <w:ind w:left="432" w:hanging="432"/>
        <w:jc w:val="both"/>
        <w:rPr>
          <w:color w:val="000000" w:themeColor="text1"/>
          <w:szCs w:val="24"/>
        </w:rPr>
      </w:pPr>
      <w:bookmarkStart w:id="245" w:name="_Toc472443733"/>
      <w:bookmarkStart w:id="246" w:name="_Toc17799405"/>
      <w:bookmarkStart w:id="247" w:name="_Toc17881564"/>
      <w:bookmarkStart w:id="248" w:name="_Toc17882394"/>
      <w:bookmarkStart w:id="249" w:name="_Toc17882613"/>
      <w:bookmarkStart w:id="250" w:name="_Toc17882832"/>
      <w:bookmarkStart w:id="251" w:name="_Toc17883187"/>
      <w:bookmarkStart w:id="252" w:name="_Toc17892859"/>
      <w:bookmarkStart w:id="253" w:name="_Toc17893078"/>
      <w:bookmarkStart w:id="254" w:name="_Toc17893297"/>
      <w:bookmarkStart w:id="255" w:name="_Toc17894158"/>
      <w:bookmarkStart w:id="256" w:name="_Toc17894386"/>
      <w:bookmarkStart w:id="257" w:name="_Toc17969240"/>
      <w:r w:rsidRPr="00E83E52">
        <w:rPr>
          <w:color w:val="000000" w:themeColor="text1"/>
          <w:szCs w:val="24"/>
        </w:rPr>
        <w:t>C</w:t>
      </w:r>
      <w:r w:rsidRPr="00E83E52">
        <w:rPr>
          <w:b w:val="0"/>
          <w:color w:val="000000" w:themeColor="text1"/>
          <w:szCs w:val="24"/>
        </w:rPr>
        <w:tab/>
      </w:r>
      <w:r w:rsidRPr="00E83E52">
        <w:rPr>
          <w:color w:val="000000" w:themeColor="text1"/>
          <w:szCs w:val="24"/>
        </w:rPr>
        <w:t>A</w:t>
      </w:r>
      <w:r>
        <w:rPr>
          <w:color w:val="000000" w:themeColor="text1"/>
          <w:szCs w:val="24"/>
        </w:rPr>
        <w:t>ccess to bearer technology</w:t>
      </w:r>
      <w:bookmarkEnd w:id="245"/>
      <w:bookmarkEnd w:id="246"/>
      <w:bookmarkEnd w:id="247"/>
      <w:bookmarkEnd w:id="248"/>
      <w:bookmarkEnd w:id="249"/>
      <w:bookmarkEnd w:id="250"/>
      <w:bookmarkEnd w:id="251"/>
      <w:bookmarkEnd w:id="252"/>
      <w:bookmarkEnd w:id="253"/>
      <w:bookmarkEnd w:id="254"/>
      <w:bookmarkEnd w:id="255"/>
      <w:bookmarkEnd w:id="256"/>
      <w:bookmarkEnd w:id="257"/>
    </w:p>
    <w:p w14:paraId="315204C5" w14:textId="0A1DEB31" w:rsidR="00885B99" w:rsidRPr="00E83E52" w:rsidRDefault="00885B99" w:rsidP="00885B99">
      <w:pPr>
        <w:pStyle w:val="Heading1"/>
      </w:pPr>
      <w:bookmarkStart w:id="258" w:name="_Toc472443734"/>
      <w:bookmarkStart w:id="259" w:name="_Toc17799406"/>
      <w:bookmarkStart w:id="260" w:name="_Toc17881565"/>
      <w:bookmarkStart w:id="261" w:name="_Toc17882395"/>
      <w:bookmarkStart w:id="262" w:name="_Toc17882614"/>
      <w:bookmarkStart w:id="263" w:name="_Toc17882833"/>
      <w:bookmarkStart w:id="264" w:name="_Toc17883188"/>
      <w:bookmarkStart w:id="265" w:name="_Toc17892860"/>
      <w:bookmarkStart w:id="266" w:name="_Toc17893079"/>
      <w:bookmarkStart w:id="267" w:name="_Toc17893298"/>
      <w:bookmarkStart w:id="268" w:name="_Toc17894159"/>
      <w:bookmarkStart w:id="269" w:name="_Toc17894387"/>
      <w:bookmarkStart w:id="270" w:name="_Toc17969241"/>
      <w:r>
        <w:t>5</w:t>
      </w:r>
      <w:r>
        <w:tab/>
      </w:r>
      <w:r w:rsidRPr="00E83E52">
        <w:t>USSD</w:t>
      </w:r>
      <w:r>
        <w:t xml:space="preserve"> </w:t>
      </w:r>
      <w:r w:rsidR="00296937">
        <w:t>access</w:t>
      </w:r>
      <w:bookmarkEnd w:id="258"/>
      <w:bookmarkEnd w:id="259"/>
      <w:bookmarkEnd w:id="260"/>
      <w:bookmarkEnd w:id="261"/>
      <w:bookmarkEnd w:id="262"/>
      <w:bookmarkEnd w:id="263"/>
      <w:bookmarkEnd w:id="264"/>
      <w:bookmarkEnd w:id="265"/>
      <w:bookmarkEnd w:id="266"/>
      <w:bookmarkEnd w:id="267"/>
      <w:bookmarkEnd w:id="268"/>
      <w:bookmarkEnd w:id="269"/>
      <w:bookmarkEnd w:id="270"/>
    </w:p>
    <w:p w14:paraId="328DD461" w14:textId="77777777" w:rsidR="00885B99" w:rsidRPr="009F3C6D" w:rsidRDefault="00885B99" w:rsidP="00885B99">
      <w:pPr>
        <w:pStyle w:val="Heading2"/>
      </w:pPr>
      <w:bookmarkStart w:id="271" w:name="_Toc472443735"/>
      <w:bookmarkStart w:id="272" w:name="_Toc17799407"/>
      <w:bookmarkStart w:id="273" w:name="_Toc17881566"/>
      <w:bookmarkStart w:id="274" w:name="_Toc17882396"/>
      <w:bookmarkStart w:id="275" w:name="_Toc17882615"/>
      <w:bookmarkStart w:id="276" w:name="_Toc17882834"/>
      <w:bookmarkStart w:id="277" w:name="_Toc17883189"/>
      <w:bookmarkStart w:id="278" w:name="_Toc17892861"/>
      <w:bookmarkStart w:id="279" w:name="_Toc17893080"/>
      <w:bookmarkStart w:id="280" w:name="_Toc17893299"/>
      <w:bookmarkStart w:id="281" w:name="_Toc17894160"/>
      <w:bookmarkStart w:id="282" w:name="_Toc17894388"/>
      <w:bookmarkStart w:id="283" w:name="_Toc17969242"/>
      <w:r>
        <w:t>5.1</w:t>
      </w:r>
      <w:r>
        <w:tab/>
      </w:r>
      <w:r w:rsidRPr="009F3C6D">
        <w:t>Overview</w:t>
      </w:r>
      <w:bookmarkEnd w:id="271"/>
      <w:bookmarkEnd w:id="272"/>
      <w:bookmarkEnd w:id="273"/>
      <w:bookmarkEnd w:id="274"/>
      <w:bookmarkEnd w:id="275"/>
      <w:bookmarkEnd w:id="276"/>
      <w:bookmarkEnd w:id="277"/>
      <w:bookmarkEnd w:id="278"/>
      <w:bookmarkEnd w:id="279"/>
      <w:bookmarkEnd w:id="280"/>
      <w:bookmarkEnd w:id="281"/>
      <w:bookmarkEnd w:id="282"/>
      <w:bookmarkEnd w:id="283"/>
    </w:p>
    <w:p w14:paraId="06196CC7" w14:textId="77777777" w:rsidR="00885B99" w:rsidRPr="00E83E52" w:rsidRDefault="00885B99" w:rsidP="00885B99">
      <w:r w:rsidRPr="00E83E52">
        <w:t>USSD is a standard within the GSM and 3G specifications.</w:t>
      </w:r>
      <w:r>
        <w:t xml:space="preserve"> </w:t>
      </w:r>
      <w:r w:rsidRPr="00E83E52">
        <w:t>As with SMS, USSD is an artifact of the original 1980s GSM specification, used by MNO engineers to send and receive test messages over the signaling channel of GSM networks witho</w:t>
      </w:r>
      <w:r>
        <w:t>ut interrupting customer calls.</w:t>
      </w:r>
    </w:p>
    <w:p w14:paraId="186EB21D" w14:textId="77777777" w:rsidR="00885B99" w:rsidRPr="00E83E52" w:rsidRDefault="00885B99" w:rsidP="00885B99">
      <w:r w:rsidRPr="00E83E52">
        <w:t>It is both a GSM</w:t>
      </w:r>
      <w:r>
        <w:rPr>
          <w:rStyle w:val="FootnoteReference"/>
          <w:color w:val="000000" w:themeColor="text1"/>
        </w:rPr>
        <w:footnoteReference w:id="110"/>
      </w:r>
      <w:r w:rsidRPr="00E83E52">
        <w:t xml:space="preserve"> bearer technolog</w:t>
      </w:r>
      <w:r>
        <w:t>y and a DFS User Interface (UI). It</w:t>
      </w:r>
      <w:r w:rsidRPr="00E83E52">
        <w:t xml:space="preserve"> does not require any additional installations by customers, nor does it require a IP-based data access connection by customers.</w:t>
      </w:r>
      <w:r>
        <w:rPr>
          <w:rStyle w:val="FootnoteReference"/>
          <w:color w:val="000000" w:themeColor="text1"/>
        </w:rPr>
        <w:footnoteReference w:id="111"/>
      </w:r>
      <w:r w:rsidRPr="00E83E52">
        <w:t xml:space="preserve"> It can be used for transmitting information and accessing standard services and Value Added Services (VAS). As a result, USSD has been termed </w:t>
      </w:r>
      <w:r>
        <w:t>'</w:t>
      </w:r>
      <w:r w:rsidRPr="00C17B2C">
        <w:rPr>
          <w:i/>
          <w:iCs/>
        </w:rPr>
        <w:t>The Third Universal App</w:t>
      </w:r>
      <w:r w:rsidRPr="00E83E52">
        <w:t>.</w:t>
      </w:r>
      <w:r>
        <w:t>'</w:t>
      </w:r>
      <w:r>
        <w:rPr>
          <w:rStyle w:val="FootnoteReference"/>
          <w:color w:val="000000" w:themeColor="text1"/>
        </w:rPr>
        <w:footnoteReference w:id="112"/>
      </w:r>
      <w:r w:rsidRPr="00E83E52">
        <w:t xml:space="preserve"> USSD is session-based and activated either by users inputting a series of predefined star (*) or hash (#)</w:t>
      </w:r>
      <w:r>
        <w:rPr>
          <w:rStyle w:val="FootnoteReference"/>
          <w:color w:val="000000" w:themeColor="text1"/>
        </w:rPr>
        <w:footnoteReference w:id="113"/>
      </w:r>
      <w:r>
        <w:t xml:space="preserve"> </w:t>
      </w:r>
      <w:r w:rsidRPr="00E83E52">
        <w:t>commands on the mobile handset, or via a session initiated by the MNO or a SP.</w:t>
      </w:r>
    </w:p>
    <w:p w14:paraId="69B3AF44" w14:textId="77777777" w:rsidR="00885B99" w:rsidRPr="00E83E52" w:rsidRDefault="00885B99" w:rsidP="00885B99">
      <w:r w:rsidRPr="00E83E52">
        <w:t>In both methods, the user is presented with a numbered menu and can use the mobile keypad to respond to</w:t>
      </w:r>
      <w:r>
        <w:t>,</w:t>
      </w:r>
      <w:r w:rsidRPr="00E83E52">
        <w:t xml:space="preserve"> and to input in any data required. While the USSD specification allows a USSD session of up to 600</w:t>
      </w:r>
      <w:r>
        <w:t> </w:t>
      </w:r>
      <w:r w:rsidRPr="00E83E52">
        <w:t>seconds, typical allowance by MNOs for third party services is up to 180</w:t>
      </w:r>
      <w:r>
        <w:t> </w:t>
      </w:r>
      <w:r w:rsidRPr="00E83E52">
        <w:t>seconds, with 120</w:t>
      </w:r>
      <w:r>
        <w:t> </w:t>
      </w:r>
      <w:r w:rsidRPr="00E83E52">
        <w:t>seconds being the typical maximum time allowed for the entire USSD session by MNOs.</w:t>
      </w:r>
      <w:r w:rsidRPr="00E83E52">
        <w:rPr>
          <w:vertAlign w:val="superscript"/>
        </w:rPr>
        <w:footnoteReference w:id="114"/>
      </w:r>
      <w:r w:rsidRPr="00E83E52">
        <w:t xml:space="preserve"> </w:t>
      </w:r>
    </w:p>
    <w:p w14:paraId="2D57AE67" w14:textId="77777777" w:rsidR="00885B99" w:rsidRPr="00E83E52" w:rsidRDefault="00885B99" w:rsidP="00885B99">
      <w:r w:rsidRPr="00E83E52">
        <w:t>Access to USSD is usually via a MNO</w:t>
      </w:r>
      <w:r>
        <w:t>'</w:t>
      </w:r>
      <w:r w:rsidRPr="00E83E52">
        <w:t>s USSD gateway.</w:t>
      </w:r>
      <w:r w:rsidRPr="00E83E52">
        <w:rPr>
          <w:vertAlign w:val="superscript"/>
        </w:rPr>
        <w:footnoteReference w:id="115"/>
      </w:r>
      <w:r w:rsidRPr="00E83E52">
        <w:t xml:space="preserve"> MNOs may give access to their USSD facilities to third parties who can craft their own USSD menus and session timeouts, usually for VAS and DFS access. In many countries, a USSD gateway is also offered by third party aggregators, who may in turn resell turnkey USSD access to entities –</w:t>
      </w:r>
      <w:r>
        <w:t> </w:t>
      </w:r>
      <w:r w:rsidRPr="00E83E52">
        <w:t xml:space="preserve">such as banks and </w:t>
      </w:r>
      <w:r>
        <w:t>m</w:t>
      </w:r>
      <w:r w:rsidRPr="00E83E52">
        <w:t xml:space="preserve">icro </w:t>
      </w:r>
      <w:r>
        <w:t>f</w:t>
      </w:r>
      <w:r w:rsidRPr="00E83E52">
        <w:t xml:space="preserve">inance </w:t>
      </w:r>
      <w:r>
        <w:t>i</w:t>
      </w:r>
      <w:r w:rsidRPr="00E83E52">
        <w:t>nstitutions (MFIs)</w:t>
      </w:r>
      <w:r>
        <w:t> –</w:t>
      </w:r>
      <w:r w:rsidRPr="00E83E52">
        <w:t xml:space="preserve"> who may not have the technical ability to properly integra</w:t>
      </w:r>
      <w:r>
        <w:t>te into the MNO's USSD gateway.</w:t>
      </w:r>
    </w:p>
    <w:p w14:paraId="17CA7213" w14:textId="77777777" w:rsidR="00885B99" w:rsidRPr="00E83E52" w:rsidRDefault="00885B99" w:rsidP="00885B99">
      <w:r w:rsidRPr="00E83E52">
        <w:rPr>
          <w:shd w:val="clear" w:color="auto" w:fill="FFFFFF"/>
        </w:rPr>
        <w:lastRenderedPageBreak/>
        <w:t>Large deployments that rely primarily on USSD include bKash in Bangladesh, WING in Cambodia, EasyPaisa in Pakistan, MTN Money and Airtel Mobile Money in Uganda, ZAAD in Somaliland, M-PESA and Tigo in Tanzania and EcoCash in Zimbabwe.</w:t>
      </w:r>
      <w:r>
        <w:rPr>
          <w:rStyle w:val="FootnoteReference"/>
          <w:color w:val="000000" w:themeColor="text1"/>
          <w:szCs w:val="24"/>
          <w:shd w:val="clear" w:color="auto" w:fill="FFFFFF"/>
        </w:rPr>
        <w:footnoteReference w:id="116"/>
      </w:r>
    </w:p>
    <w:p w14:paraId="4C86EF69" w14:textId="77777777" w:rsidR="00885B99" w:rsidRDefault="00885B99" w:rsidP="00885B99">
      <w:r w:rsidRPr="00E83E52">
        <w:t>The regulatory, commercial and technical steps needed by a third party DFS SP to obtain access to a USSD gateway could include:</w:t>
      </w:r>
      <w:r w:rsidRPr="00E83E52">
        <w:rPr>
          <w:vertAlign w:val="superscript"/>
        </w:rPr>
        <w:footnoteReference w:id="117"/>
      </w:r>
    </w:p>
    <w:p w14:paraId="6F9B64EF" w14:textId="77777777" w:rsidR="00885B99" w:rsidRPr="00E83E52" w:rsidRDefault="00885B99" w:rsidP="00885B99">
      <w:pPr>
        <w:pStyle w:val="enumlev1"/>
      </w:pPr>
      <w:r>
        <w:t>•</w:t>
      </w:r>
      <w:r>
        <w:tab/>
      </w:r>
      <w:r w:rsidRPr="00E83E52">
        <w:rPr>
          <w:color w:val="000000" w:themeColor="text1"/>
          <w:szCs w:val="24"/>
        </w:rPr>
        <w:t>Obtain consent to integrate into the USSD or STK gateway of the MNO or aggregator</w:t>
      </w:r>
      <w:r>
        <w:rPr>
          <w:color w:val="000000" w:themeColor="text1"/>
          <w:szCs w:val="24"/>
        </w:rPr>
        <w:t>.</w:t>
      </w:r>
    </w:p>
    <w:p w14:paraId="377C2434" w14:textId="77777777" w:rsidR="00885B99" w:rsidRPr="00E83E52" w:rsidRDefault="00885B99" w:rsidP="00885B99">
      <w:pPr>
        <w:pStyle w:val="enumlev1"/>
      </w:pPr>
      <w:r>
        <w:t>•</w:t>
      </w:r>
      <w:r>
        <w:tab/>
      </w:r>
      <w:r w:rsidRPr="00E83E52">
        <w:rPr>
          <w:color w:val="000000" w:themeColor="text1"/>
          <w:szCs w:val="24"/>
        </w:rPr>
        <w:t>Obtain access to USSD or STK short codes</w:t>
      </w:r>
      <w:r>
        <w:rPr>
          <w:color w:val="000000" w:themeColor="text1"/>
          <w:szCs w:val="24"/>
        </w:rPr>
        <w:t>.</w:t>
      </w:r>
    </w:p>
    <w:p w14:paraId="3085B0A3" w14:textId="77777777" w:rsidR="00885B99" w:rsidRPr="00E83E52" w:rsidRDefault="00885B99" w:rsidP="00885B99">
      <w:pPr>
        <w:pStyle w:val="enumlev1"/>
      </w:pPr>
      <w:r>
        <w:t>•</w:t>
      </w:r>
      <w:r>
        <w:tab/>
      </w:r>
      <w:r w:rsidRPr="00E83E52">
        <w:rPr>
          <w:color w:val="000000" w:themeColor="text1"/>
          <w:szCs w:val="24"/>
        </w:rPr>
        <w:t>Being able to utilize the full capabilities of these access channels</w:t>
      </w:r>
      <w:r>
        <w:rPr>
          <w:color w:val="000000" w:themeColor="text1"/>
          <w:szCs w:val="24"/>
        </w:rPr>
        <w:t>.</w:t>
      </w:r>
    </w:p>
    <w:p w14:paraId="13D63D93" w14:textId="77777777" w:rsidR="00885B99" w:rsidRPr="00E83E52" w:rsidRDefault="00885B99" w:rsidP="00885B99">
      <w:pPr>
        <w:pStyle w:val="enumlev1"/>
      </w:pPr>
      <w:r>
        <w:t>•</w:t>
      </w:r>
      <w:r>
        <w:tab/>
      </w:r>
      <w:r w:rsidRPr="00E83E52">
        <w:rPr>
          <w:color w:val="000000" w:themeColor="text1"/>
          <w:szCs w:val="24"/>
        </w:rPr>
        <w:t>Negotiate FRAND-based pricing for USSD and STK access</w:t>
      </w:r>
      <w:r>
        <w:rPr>
          <w:color w:val="000000" w:themeColor="text1"/>
          <w:szCs w:val="24"/>
        </w:rPr>
        <w:t>.</w:t>
      </w:r>
    </w:p>
    <w:p w14:paraId="1D04FA82" w14:textId="77777777" w:rsidR="00885B99" w:rsidRPr="00E83E52" w:rsidRDefault="00885B99" w:rsidP="00885B99">
      <w:pPr>
        <w:pStyle w:val="enumlev1"/>
      </w:pPr>
      <w:r>
        <w:t>•</w:t>
      </w:r>
      <w:r>
        <w:tab/>
      </w:r>
      <w:r w:rsidRPr="00E83E52">
        <w:rPr>
          <w:color w:val="000000" w:themeColor="text1"/>
          <w:szCs w:val="24"/>
        </w:rPr>
        <w:t>Obtain Q</w:t>
      </w:r>
      <w:r>
        <w:rPr>
          <w:color w:val="000000" w:themeColor="text1"/>
          <w:szCs w:val="24"/>
        </w:rPr>
        <w:t>OSS</w:t>
      </w:r>
      <w:r w:rsidRPr="00E83E52">
        <w:rPr>
          <w:color w:val="000000" w:themeColor="text1"/>
          <w:szCs w:val="24"/>
        </w:rPr>
        <w:t xml:space="preserve"> assurances from the bearer supplier</w:t>
      </w:r>
      <w:r>
        <w:rPr>
          <w:color w:val="000000" w:themeColor="text1"/>
          <w:szCs w:val="24"/>
        </w:rPr>
        <w:t>.</w:t>
      </w:r>
    </w:p>
    <w:p w14:paraId="630B195A" w14:textId="77777777" w:rsidR="00885B99" w:rsidRPr="00F03707" w:rsidRDefault="00885B99" w:rsidP="00885B99">
      <w:pPr>
        <w:pStyle w:val="Heading2"/>
      </w:pPr>
      <w:bookmarkStart w:id="284" w:name="_Toc472443736"/>
      <w:bookmarkStart w:id="285" w:name="_Toc17799408"/>
      <w:bookmarkStart w:id="286" w:name="_Toc17881567"/>
      <w:bookmarkStart w:id="287" w:name="_Toc17882397"/>
      <w:bookmarkStart w:id="288" w:name="_Toc17882616"/>
      <w:bookmarkStart w:id="289" w:name="_Toc17882835"/>
      <w:bookmarkStart w:id="290" w:name="_Toc17883190"/>
      <w:bookmarkStart w:id="291" w:name="_Toc17892862"/>
      <w:bookmarkStart w:id="292" w:name="_Toc17893081"/>
      <w:bookmarkStart w:id="293" w:name="_Toc17893300"/>
      <w:bookmarkStart w:id="294" w:name="_Toc17894161"/>
      <w:bookmarkStart w:id="295" w:name="_Toc17894389"/>
      <w:bookmarkStart w:id="296" w:name="_Toc17969243"/>
      <w:r>
        <w:t>5.2</w:t>
      </w:r>
      <w:r>
        <w:tab/>
        <w:t>Competition a</w:t>
      </w:r>
      <w:r w:rsidRPr="00F03707">
        <w:t>spects</w:t>
      </w:r>
      <w:bookmarkEnd w:id="284"/>
      <w:bookmarkEnd w:id="285"/>
      <w:bookmarkEnd w:id="286"/>
      <w:bookmarkEnd w:id="287"/>
      <w:bookmarkEnd w:id="288"/>
      <w:bookmarkEnd w:id="289"/>
      <w:bookmarkEnd w:id="290"/>
      <w:bookmarkEnd w:id="291"/>
      <w:bookmarkEnd w:id="292"/>
      <w:bookmarkEnd w:id="293"/>
      <w:bookmarkEnd w:id="294"/>
      <w:bookmarkEnd w:id="295"/>
      <w:bookmarkEnd w:id="296"/>
    </w:p>
    <w:p w14:paraId="3BD88084" w14:textId="77777777" w:rsidR="00885B99" w:rsidRPr="00F03707" w:rsidRDefault="00885B99" w:rsidP="00885B99">
      <w:pPr>
        <w:pStyle w:val="Heading3"/>
        <w:spacing w:before="120"/>
        <w:ind w:left="720" w:hanging="720"/>
        <w:rPr>
          <w:color w:val="000000" w:themeColor="text1"/>
          <w:szCs w:val="24"/>
        </w:rPr>
      </w:pPr>
      <w:bookmarkStart w:id="297" w:name="_Toc472443737"/>
      <w:bookmarkStart w:id="298" w:name="_Toc17799409"/>
      <w:r>
        <w:rPr>
          <w:color w:val="000000" w:themeColor="text1"/>
          <w:szCs w:val="24"/>
        </w:rPr>
        <w:t>5.2.1</w:t>
      </w:r>
      <w:r>
        <w:rPr>
          <w:color w:val="000000" w:themeColor="text1"/>
          <w:szCs w:val="24"/>
        </w:rPr>
        <w:tab/>
      </w:r>
      <w:r w:rsidRPr="00F03707">
        <w:rPr>
          <w:color w:val="000000" w:themeColor="text1"/>
          <w:szCs w:val="24"/>
        </w:rPr>
        <w:t>Overview</w:t>
      </w:r>
      <w:bookmarkEnd w:id="297"/>
      <w:bookmarkEnd w:id="298"/>
    </w:p>
    <w:p w14:paraId="7BC7143A" w14:textId="77777777" w:rsidR="00885B99" w:rsidRPr="00E83E52" w:rsidRDefault="00885B99" w:rsidP="00885B99">
      <w:r w:rsidRPr="00E83E52">
        <w:t xml:space="preserve">Because USSD can mostly only be offered by </w:t>
      </w:r>
      <w:r>
        <w:t xml:space="preserve">aggregators and </w:t>
      </w:r>
      <w:r w:rsidRPr="00E83E52">
        <w:t xml:space="preserve">licensed MNOs through their </w:t>
      </w:r>
      <w:r>
        <w:t xml:space="preserve">own </w:t>
      </w:r>
      <w:r w:rsidRPr="00E83E52">
        <w:t>USSD gateways, USSD is a scarce technology resource. If the MNO is in competition with the DFS SP over a DFS-related service, it could potentially block that service</w:t>
      </w:r>
      <w:r>
        <w:t>,</w:t>
      </w:r>
      <w:r w:rsidRPr="00E83E52">
        <w:t xml:space="preserve"> </w:t>
      </w:r>
      <w:r>
        <w:t xml:space="preserve">either </w:t>
      </w:r>
      <w:r w:rsidRPr="00E83E52">
        <w:t>by denying the SP access to the gateway</w:t>
      </w:r>
      <w:r>
        <w:t>,</w:t>
      </w:r>
      <w:r w:rsidRPr="00E83E52">
        <w:t xml:space="preserve"> or by not supplying it with short codes required for customer acce</w:t>
      </w:r>
      <w:r>
        <w:t>ss.</w:t>
      </w:r>
    </w:p>
    <w:p w14:paraId="1F5FF1D4" w14:textId="77777777" w:rsidR="00885B99" w:rsidRPr="00E83E52" w:rsidRDefault="00885B99" w:rsidP="00885B99">
      <w:r w:rsidRPr="00E83E52">
        <w:t xml:space="preserve">This </w:t>
      </w:r>
      <w:r>
        <w:t xml:space="preserve">refusal to supply service </w:t>
      </w:r>
      <w:r w:rsidRPr="00E83E52">
        <w:t>is not necessarily the norm as there are many instances of sound commercial arrangements between MNOs and entities that may compete with it in relation to DFS. Robust competition between MNOs in Tanzania, Malawi and South Africa, for example, has made USSD access a very profitable revenue source for MNOs, even where provided to SPs who may compete</w:t>
      </w:r>
      <w:r>
        <w:t xml:space="preserve"> with the MNO on some services.</w:t>
      </w:r>
    </w:p>
    <w:p w14:paraId="3ECD1620" w14:textId="77777777" w:rsidR="00885B99" w:rsidRDefault="00885B99" w:rsidP="00885B99">
      <w:r w:rsidRPr="00E83E52">
        <w:t>However, the vertical integration between the MNOs infrastructure business and its DFS business has in some markets raised competition issues where there has been, objectively, a denial of service. These instances are outlined below.</w:t>
      </w:r>
    </w:p>
    <w:p w14:paraId="5CD6A7BC" w14:textId="77777777" w:rsidR="00885B99" w:rsidRPr="006046D9" w:rsidRDefault="00885B99" w:rsidP="00885B99">
      <w:pPr>
        <w:pStyle w:val="Heading3"/>
      </w:pPr>
      <w:bookmarkStart w:id="299" w:name="_Toc472443738"/>
      <w:bookmarkStart w:id="300" w:name="_Toc17799410"/>
      <w:r>
        <w:t>5.2.2</w:t>
      </w:r>
      <w:r>
        <w:tab/>
        <w:t>Access to the USSD gateway or USSD c</w:t>
      </w:r>
      <w:r w:rsidRPr="006046D9">
        <w:t>omponents</w:t>
      </w:r>
      <w:bookmarkEnd w:id="299"/>
      <w:bookmarkEnd w:id="300"/>
    </w:p>
    <w:p w14:paraId="31EDB688" w14:textId="77777777" w:rsidR="00885B99" w:rsidRPr="006046D9" w:rsidRDefault="00885B99" w:rsidP="00885B99">
      <w:pPr>
        <w:pStyle w:val="Heading4"/>
      </w:pPr>
      <w:r>
        <w:t>5.2.2.1</w:t>
      </w:r>
      <w:r>
        <w:tab/>
      </w:r>
      <w:r w:rsidRPr="006046D9">
        <w:t>Overview</w:t>
      </w:r>
    </w:p>
    <w:p w14:paraId="07805414" w14:textId="77777777" w:rsidR="00885B99" w:rsidRPr="00E83E52" w:rsidRDefault="00885B99" w:rsidP="00885B99">
      <w:r w:rsidRPr="00E83E52">
        <w:t>As noted above, access to USSD is crucial to the business plans of SPs. Loss of this access may irrevocably damage their business.</w:t>
      </w:r>
      <w:r>
        <w:rPr>
          <w:rStyle w:val="FootnoteReference"/>
          <w:color w:val="000000" w:themeColor="text1"/>
        </w:rPr>
        <w:footnoteReference w:id="118"/>
      </w:r>
    </w:p>
    <w:p w14:paraId="6126407B" w14:textId="77777777" w:rsidR="00885B99" w:rsidRPr="006046D9" w:rsidRDefault="00885B99" w:rsidP="00885B99">
      <w:pPr>
        <w:pStyle w:val="Heading4"/>
      </w:pPr>
      <w:r>
        <w:t>5.2.2.2</w:t>
      </w:r>
      <w:r>
        <w:tab/>
        <w:t>Competition aspects</w:t>
      </w:r>
    </w:p>
    <w:p w14:paraId="138497E3" w14:textId="77777777" w:rsidR="00885B99" w:rsidRPr="00E83E52" w:rsidRDefault="00885B99" w:rsidP="00885B99">
      <w:r w:rsidRPr="00E83E52">
        <w:t>Usually the access given by MNOs to SPs is the Mobile Originated USSD (MO-USSD) accessible via short codes.</w:t>
      </w:r>
      <w:r>
        <w:rPr>
          <w:rStyle w:val="FootnoteReference"/>
          <w:color w:val="000000" w:themeColor="text1"/>
        </w:rPr>
        <w:footnoteReference w:id="119"/>
      </w:r>
      <w:r w:rsidRPr="00E83E52">
        <w:t xml:space="preserve"> Inability to access the gateway is fatal to a business predicated on USSD access. SPs denied access by the MNO could, however, approach aggregators, who have access to the</w:t>
      </w:r>
      <w:r>
        <w:t> </w:t>
      </w:r>
      <w:r w:rsidRPr="00E83E52">
        <w:t>MNO gateway, for access, but potentially at a higher price as the aggregator will charge a fee</w:t>
      </w:r>
      <w:r>
        <w:t>.</w:t>
      </w:r>
    </w:p>
    <w:p w14:paraId="60C393D7" w14:textId="77777777" w:rsidR="00885B99" w:rsidRPr="00E83E52" w:rsidRDefault="00885B99" w:rsidP="00885B99">
      <w:r w:rsidRPr="00E83E52">
        <w:lastRenderedPageBreak/>
        <w:t>In some countries, MNOs have given MO-USSD access only to those banks that are in a partnership with the MNO.</w:t>
      </w:r>
      <w:r>
        <w:rPr>
          <w:rStyle w:val="FootnoteReference"/>
          <w:color w:val="000000" w:themeColor="text1"/>
        </w:rPr>
        <w:footnoteReference w:id="120"/>
      </w:r>
    </w:p>
    <w:p w14:paraId="4A0B77AC" w14:textId="77777777" w:rsidR="00885B99" w:rsidRPr="00E83E52" w:rsidRDefault="00885B99" w:rsidP="00885B99">
      <w:r w:rsidRPr="00E83E52">
        <w:t>Besides MO-USSD, the provision of Network Initiated (NI)-USSD can provide a competitive advantage for SPs. For example, if there is a dropped USSD session and the transaction is not completed, the customer may not want to reinitiate the transaction so as to avoid potential double billing. NI-USSD will allow re-initiation of a dropped USSD-based transaction so that customers can complete their unfinished transaction.</w:t>
      </w:r>
      <w:r w:rsidRPr="00E83E52">
        <w:rPr>
          <w:rStyle w:val="FootnoteReference"/>
          <w:color w:val="000000" w:themeColor="text1"/>
        </w:rPr>
        <w:footnoteReference w:id="121"/>
      </w:r>
      <w:r w:rsidRPr="00E83E52">
        <w:t xml:space="preserve"> However, even if NI-USSD is provisioned on the MNOs USSD gateway, the MNO may decide not to make it available to third parties.</w:t>
      </w:r>
      <w:r w:rsidRPr="00E83E52">
        <w:rPr>
          <w:rStyle w:val="FootnoteReference"/>
          <w:color w:val="000000" w:themeColor="text1"/>
        </w:rPr>
        <w:footnoteReference w:id="122"/>
      </w:r>
    </w:p>
    <w:p w14:paraId="34FACFC9" w14:textId="77777777" w:rsidR="00885B99" w:rsidRPr="006046D9" w:rsidRDefault="00885B99" w:rsidP="00885B99">
      <w:pPr>
        <w:pStyle w:val="Heading4"/>
      </w:pPr>
      <w:r>
        <w:t>5.2.2.3</w:t>
      </w:r>
      <w:r>
        <w:tab/>
        <w:t>Country e</w:t>
      </w:r>
      <w:r w:rsidRPr="006046D9">
        <w:t>xamples</w:t>
      </w:r>
    </w:p>
    <w:p w14:paraId="150224BE" w14:textId="77777777" w:rsidR="00885B99" w:rsidRPr="00C914F0" w:rsidRDefault="00885B99" w:rsidP="00885B99">
      <w:pPr>
        <w:pStyle w:val="Headingb"/>
        <w:rPr>
          <w:i/>
        </w:rPr>
      </w:pPr>
      <w:r w:rsidRPr="00C914F0">
        <w:rPr>
          <w:i/>
        </w:rPr>
        <w:t>Bangladesh</w:t>
      </w:r>
    </w:p>
    <w:p w14:paraId="0E4854E2" w14:textId="77777777" w:rsidR="00885B99" w:rsidRPr="00E83E52" w:rsidRDefault="00885B99" w:rsidP="00885B99">
      <w:r w:rsidRPr="00E83E52">
        <w:t>MNOs require approval from Bangladesh Telecommunications Regulatory Commission (BTRC)</w:t>
      </w:r>
      <w:r>
        <w:t xml:space="preserve"> </w:t>
      </w:r>
      <w:r w:rsidRPr="00E83E52">
        <w:t xml:space="preserve">to provide USSD connectivity to the banks they partner with. Given the bank-driven regulatory framework, MNOs in Bangladesh indicate that they are not very incentivized to offer cheap USSD access or to enter into partnerships with banks. </w:t>
      </w:r>
      <w:r w:rsidRPr="00E83E52">
        <w:rPr>
          <w:rFonts w:eastAsia="Calibri"/>
        </w:rPr>
        <w:t xml:space="preserve">Access to USSD is provided on revenue sharing basis. That is, the MNOs are compensated at a very nominal rate for only those USSD sessions where </w:t>
      </w:r>
      <w:r>
        <w:rPr>
          <w:rFonts w:eastAsia="Calibri"/>
        </w:rPr>
        <w:t>the DFS providers earn revenue.</w:t>
      </w:r>
    </w:p>
    <w:p w14:paraId="07ED1D00" w14:textId="77777777" w:rsidR="00885B99" w:rsidRPr="00E80258" w:rsidRDefault="00885B99" w:rsidP="00885B99">
      <w:pPr>
        <w:pStyle w:val="Headingb"/>
        <w:rPr>
          <w:i/>
        </w:rPr>
      </w:pPr>
      <w:r w:rsidRPr="00E80258">
        <w:rPr>
          <w:i/>
        </w:rPr>
        <w:t>Colombia</w:t>
      </w:r>
    </w:p>
    <w:p w14:paraId="2E7E33A3" w14:textId="77777777" w:rsidR="00885B99" w:rsidRPr="00E83E52" w:rsidRDefault="00885B99" w:rsidP="00885B99">
      <w:r w:rsidRPr="00E83E52">
        <w:t>After negotiations between banks and MNOs failed to resolve bank complaints over USSD pricing and access from MNOs, the Colombian telecommunication regulator, the Comisión de Regulación de Comunicaciones, mandated access to USSD and introduced a case-by-case resolution of complaints about price and quality.</w:t>
      </w:r>
      <w:r>
        <w:rPr>
          <w:rStyle w:val="FootnoteReference"/>
          <w:color w:val="000000" w:themeColor="text1"/>
          <w:szCs w:val="24"/>
        </w:rPr>
        <w:footnoteReference w:id="123"/>
      </w:r>
    </w:p>
    <w:p w14:paraId="3A8FB541" w14:textId="77777777" w:rsidR="00885B99" w:rsidRPr="00E80258" w:rsidRDefault="00885B99" w:rsidP="00885B99">
      <w:pPr>
        <w:pStyle w:val="Headingb"/>
        <w:rPr>
          <w:i/>
        </w:rPr>
      </w:pPr>
      <w:r w:rsidRPr="00E80258">
        <w:rPr>
          <w:i/>
        </w:rPr>
        <w:t>Pakistan</w:t>
      </w:r>
    </w:p>
    <w:p w14:paraId="36294B91" w14:textId="77777777" w:rsidR="00885B99" w:rsidRPr="00E83E52" w:rsidRDefault="00885B99" w:rsidP="00885B99">
      <w:r w:rsidRPr="00E83E52">
        <w:t>MNOs are reportedly</w:t>
      </w:r>
      <w:r w:rsidRPr="00E83E52">
        <w:rPr>
          <w:rStyle w:val="FootnoteReference"/>
          <w:color w:val="000000" w:themeColor="text1"/>
          <w:szCs w:val="24"/>
        </w:rPr>
        <w:footnoteReference w:id="124"/>
      </w:r>
      <w:r w:rsidRPr="00E83E52">
        <w:t xml:space="preserve"> only willing to provide USSD access to their partner microfinance banks, which are effectively part of the same corporate group.</w:t>
      </w:r>
      <w:r w:rsidRPr="00E83E52">
        <w:rPr>
          <w:rStyle w:val="FootnoteReference"/>
          <w:color w:val="000000" w:themeColor="text1"/>
          <w:szCs w:val="24"/>
        </w:rPr>
        <w:footnoteReference w:id="125"/>
      </w:r>
    </w:p>
    <w:p w14:paraId="6944C20E" w14:textId="77777777" w:rsidR="00885B99" w:rsidRPr="00C914F0" w:rsidRDefault="00885B99" w:rsidP="00885B99">
      <w:pPr>
        <w:pStyle w:val="Headingb"/>
        <w:rPr>
          <w:i/>
        </w:rPr>
      </w:pPr>
      <w:r w:rsidRPr="00C914F0">
        <w:rPr>
          <w:i/>
        </w:rPr>
        <w:t>Philippines</w:t>
      </w:r>
    </w:p>
    <w:p w14:paraId="0DD57EC3" w14:textId="77777777" w:rsidR="00885B99" w:rsidRPr="00E83E52" w:rsidRDefault="00885B99" w:rsidP="00885B99">
      <w:r w:rsidRPr="00E83E52">
        <w:t>The two main MNOs in the Philippines are Smart and Globe.</w:t>
      </w:r>
      <w:r w:rsidRPr="00E83E52">
        <w:rPr>
          <w:rStyle w:val="FootnoteReference"/>
          <w:color w:val="000000" w:themeColor="text1"/>
          <w:szCs w:val="24"/>
        </w:rPr>
        <w:footnoteReference w:id="126"/>
      </w:r>
      <w:r w:rsidRPr="00E83E52">
        <w:t xml:space="preserve"> Each have their own DFS operations, while Globe also provides USSD to BankO, which it partly owns. Similarly, SMART owns 40% of mBank and provides it with USSD access. Other banks have reportedly struggled to obtain USSD access from these MNOs.</w:t>
      </w:r>
      <w:r w:rsidRPr="00E83E52">
        <w:rPr>
          <w:rStyle w:val="FootnoteReference"/>
          <w:color w:val="000000" w:themeColor="text1"/>
          <w:szCs w:val="24"/>
        </w:rPr>
        <w:footnoteReference w:id="127"/>
      </w:r>
    </w:p>
    <w:p w14:paraId="526CB2FD" w14:textId="77777777" w:rsidR="00885B99" w:rsidRPr="00E80258" w:rsidRDefault="00885B99" w:rsidP="00885B99">
      <w:pPr>
        <w:pStyle w:val="Headingb"/>
        <w:rPr>
          <w:i/>
        </w:rPr>
      </w:pPr>
      <w:r w:rsidRPr="00E80258">
        <w:rPr>
          <w:i/>
        </w:rPr>
        <w:lastRenderedPageBreak/>
        <w:t>Uganda</w:t>
      </w:r>
    </w:p>
    <w:p w14:paraId="2F1B7DEF" w14:textId="77777777" w:rsidR="00885B99" w:rsidRPr="00E83E52" w:rsidRDefault="00885B99" w:rsidP="00885B99">
      <w:pPr>
        <w:rPr>
          <w:shd w:val="clear" w:color="auto" w:fill="FFFFFF"/>
        </w:rPr>
      </w:pPr>
      <w:r w:rsidRPr="00E83E52">
        <w:rPr>
          <w:shd w:val="clear" w:color="auto" w:fill="FFFFFF"/>
        </w:rPr>
        <w:t>Uganda has no separate competition law.</w:t>
      </w:r>
      <w:r w:rsidRPr="00E83E52">
        <w:rPr>
          <w:rStyle w:val="FootnoteReference"/>
          <w:color w:val="000000" w:themeColor="text1"/>
          <w:szCs w:val="24"/>
          <w:shd w:val="clear" w:color="auto" w:fill="FFFFFF"/>
        </w:rPr>
        <w:footnoteReference w:id="128"/>
      </w:r>
      <w:r w:rsidRPr="00E83E52">
        <w:rPr>
          <w:shd w:val="clear" w:color="auto" w:fill="FFFFFF"/>
        </w:rPr>
        <w:t xml:space="preserve"> DFS SP Ezee Money sued MNO MTN Uganda for denying it access to its USSD gateway, and for thus breaching provisions of the Uganda Communications Act of 2013 which prohibits anti-competitive </w:t>
      </w:r>
      <w:r>
        <w:rPr>
          <w:shd w:val="clear" w:color="auto" w:fill="FFFFFF"/>
        </w:rPr>
        <w:t>behaviour</w:t>
      </w:r>
      <w:r w:rsidRPr="00E83E52">
        <w:rPr>
          <w:shd w:val="clear" w:color="auto" w:fill="FFFFFF"/>
        </w:rPr>
        <w:t xml:space="preserve"> between companies licensed to provide communications services. MTN</w:t>
      </w:r>
      <w:r>
        <w:rPr>
          <w:shd w:val="clear" w:color="auto" w:fill="FFFFFF"/>
        </w:rPr>
        <w:t>'</w:t>
      </w:r>
      <w:r w:rsidRPr="00E83E52">
        <w:rPr>
          <w:shd w:val="clear" w:color="auto" w:fill="FFFFFF"/>
        </w:rPr>
        <w:t>s main defense was that Ezee Money is not a licensed communications SP protected by the Act, such that the law did not apply to it. The Commercial Court judge ruled however that Ezee Money</w:t>
      </w:r>
      <w:r>
        <w:rPr>
          <w:shd w:val="clear" w:color="auto" w:fill="FFFFFF"/>
        </w:rPr>
        <w:t>'</w:t>
      </w:r>
      <w:r w:rsidRPr="00E83E52">
        <w:rPr>
          <w:shd w:val="clear" w:color="auto" w:fill="FFFFFF"/>
        </w:rPr>
        <w:t>s money transfer services were communications services, although Ezee Money is not registered. It awarded Ezee Money Sh 2.3</w:t>
      </w:r>
      <w:r>
        <w:rPr>
          <w:shd w:val="clear" w:color="auto" w:fill="FFFFFF"/>
        </w:rPr>
        <w:t> </w:t>
      </w:r>
      <w:r w:rsidRPr="00E83E52">
        <w:rPr>
          <w:shd w:val="clear" w:color="auto" w:fill="FFFFFF"/>
        </w:rPr>
        <w:t xml:space="preserve">Billion (US$662,000) in damages. MTN Uganda has </w:t>
      </w:r>
      <w:r>
        <w:rPr>
          <w:shd w:val="clear" w:color="auto" w:fill="FFFFFF"/>
        </w:rPr>
        <w:t>reportedly commenced an appeal.</w:t>
      </w:r>
    </w:p>
    <w:p w14:paraId="4CBB147D" w14:textId="77777777" w:rsidR="00885B99" w:rsidRPr="00E83E52" w:rsidRDefault="00885B99" w:rsidP="00885B99">
      <w:pPr>
        <w:rPr>
          <w:shd w:val="clear" w:color="auto" w:fill="FFFFFF"/>
        </w:rPr>
      </w:pPr>
      <w:r w:rsidRPr="00E83E52">
        <w:rPr>
          <w:shd w:val="clear" w:color="auto" w:fill="FFFFFF"/>
        </w:rPr>
        <w:t xml:space="preserve">Besides the refusal to allow access, DFS SPs have complained about </w:t>
      </w:r>
      <w:r>
        <w:rPr>
          <w:shd w:val="clear" w:color="auto" w:fill="FFFFFF"/>
        </w:rPr>
        <w:t>'</w:t>
      </w:r>
      <w:r w:rsidRPr="00E83E52">
        <w:rPr>
          <w:shd w:val="clear" w:color="auto" w:fill="FFFFFF"/>
        </w:rPr>
        <w:t>unjustifiably high</w:t>
      </w:r>
      <w:r>
        <w:rPr>
          <w:shd w:val="clear" w:color="auto" w:fill="FFFFFF"/>
        </w:rPr>
        <w:t>'</w:t>
      </w:r>
      <w:r w:rsidRPr="00E83E52">
        <w:rPr>
          <w:shd w:val="clear" w:color="auto" w:fill="FFFFFF"/>
        </w:rPr>
        <w:t xml:space="preserve"> or unfair revenue share structures for USSD session fees.</w:t>
      </w:r>
      <w:r w:rsidRPr="00E83E52">
        <w:rPr>
          <w:rStyle w:val="FootnoteReference"/>
          <w:color w:val="000000" w:themeColor="text1"/>
          <w:szCs w:val="24"/>
          <w:shd w:val="clear" w:color="auto" w:fill="FFFFFF"/>
        </w:rPr>
        <w:footnoteReference w:id="129"/>
      </w:r>
      <w:r w:rsidRPr="00E83E52">
        <w:rPr>
          <w:shd w:val="clear" w:color="auto" w:fill="FFFFFF"/>
        </w:rPr>
        <w:t xml:space="preserve"> These, in the view of the </w:t>
      </w:r>
      <w:r w:rsidRPr="00E83E52">
        <w:t>Uganda Communications Commission (UCC)</w:t>
      </w:r>
      <w:r w:rsidRPr="00E83E52">
        <w:rPr>
          <w:shd w:val="clear" w:color="auto" w:fill="FFFFFF"/>
        </w:rPr>
        <w:t>, may be designed to foreclose independent DFS OSPs from the downstream DFS market segment.</w:t>
      </w:r>
      <w:r w:rsidRPr="00E83E52">
        <w:rPr>
          <w:rStyle w:val="FootnoteReference"/>
          <w:color w:val="000000" w:themeColor="text1"/>
          <w:szCs w:val="24"/>
          <w:shd w:val="clear" w:color="auto" w:fill="FFFFFF"/>
        </w:rPr>
        <w:footnoteReference w:id="130"/>
      </w:r>
    </w:p>
    <w:p w14:paraId="400DD102" w14:textId="77777777" w:rsidR="00885B99" w:rsidRPr="00C914F0" w:rsidRDefault="00885B99" w:rsidP="00885B99">
      <w:pPr>
        <w:pStyle w:val="Headingb"/>
        <w:rPr>
          <w:i/>
        </w:rPr>
      </w:pPr>
      <w:r w:rsidRPr="00C914F0">
        <w:rPr>
          <w:i/>
        </w:rPr>
        <w:t>Zambia</w:t>
      </w:r>
    </w:p>
    <w:p w14:paraId="6D180C25" w14:textId="77777777" w:rsidR="00885B99" w:rsidRPr="00060B5E" w:rsidRDefault="00885B99" w:rsidP="00885B99">
      <w:r w:rsidRPr="00E83E52">
        <w:t xml:space="preserve">Over The Counter (OTC) DFS SP Zoona sued MNO MTN Zambia for refusing Zoona access to its USSD gateway. The </w:t>
      </w:r>
      <w:r w:rsidRPr="00194FC7">
        <w:rPr>
          <w:i/>
        </w:rPr>
        <w:t>Competition</w:t>
      </w:r>
      <w:r w:rsidRPr="00060B5E">
        <w:t xml:space="preserve"> </w:t>
      </w:r>
      <w:r w:rsidRPr="00E83E52">
        <w:rPr>
          <w:shd w:val="clear" w:color="auto" w:fill="FFFFFF"/>
        </w:rPr>
        <w:t>a</w:t>
      </w:r>
      <w:r w:rsidRPr="00194FC7">
        <w:t>nd</w:t>
      </w:r>
      <w:r w:rsidRPr="00E83E52">
        <w:rPr>
          <w:shd w:val="clear" w:color="auto" w:fill="FFFFFF"/>
        </w:rPr>
        <w:t xml:space="preserve"> </w:t>
      </w:r>
      <w:r w:rsidRPr="00194FC7">
        <w:t>Consumer Protection</w:t>
      </w:r>
      <w:r>
        <w:rPr>
          <w:shd w:val="clear" w:color="auto" w:fill="FFFFFF"/>
        </w:rPr>
        <w:t xml:space="preserve"> </w:t>
      </w:r>
      <w:r w:rsidRPr="00194FC7">
        <w:rPr>
          <w:i/>
        </w:rPr>
        <w:t>Commission</w:t>
      </w:r>
      <w:r w:rsidRPr="00060B5E">
        <w:t xml:space="preserve"> found MTN to have been engaging in anticompetitive behaviour and fined MTN 2% of its annual turnover. The ruling has reportedly been appealed.</w:t>
      </w:r>
      <w:r w:rsidRPr="00E83E52">
        <w:rPr>
          <w:rStyle w:val="FootnoteReference"/>
          <w:color w:val="000000" w:themeColor="text1"/>
          <w:szCs w:val="24"/>
          <w:shd w:val="clear" w:color="auto" w:fill="FFFFFF"/>
        </w:rPr>
        <w:footnoteReference w:id="131"/>
      </w:r>
    </w:p>
    <w:p w14:paraId="4E96E026" w14:textId="77777777" w:rsidR="00885B99" w:rsidRPr="009F3C6D" w:rsidRDefault="00885B99" w:rsidP="00885B99">
      <w:pPr>
        <w:pStyle w:val="Heading3"/>
      </w:pPr>
      <w:bookmarkStart w:id="301" w:name="_Toc472443739"/>
      <w:bookmarkStart w:id="302" w:name="_Toc17799411"/>
      <w:r>
        <w:t>5.2.3</w:t>
      </w:r>
      <w:r>
        <w:tab/>
      </w:r>
      <w:r w:rsidRPr="009F3C6D">
        <w:t>Access to USSD Short Codes</w:t>
      </w:r>
      <w:bookmarkEnd w:id="301"/>
      <w:bookmarkEnd w:id="302"/>
    </w:p>
    <w:p w14:paraId="0D2203A0" w14:textId="77777777" w:rsidR="00885B99" w:rsidRPr="00E83E52" w:rsidRDefault="00885B99" w:rsidP="00885B99">
      <w:pPr>
        <w:spacing w:after="120"/>
        <w:rPr>
          <w:color w:val="000000" w:themeColor="text1"/>
          <w:szCs w:val="24"/>
        </w:rPr>
      </w:pPr>
      <w:r w:rsidRPr="00E83E52">
        <w:rPr>
          <w:color w:val="000000" w:themeColor="text1"/>
          <w:szCs w:val="24"/>
        </w:rPr>
        <w:t xml:space="preserve">The </w:t>
      </w:r>
      <w:r>
        <w:rPr>
          <w:color w:val="000000" w:themeColor="text1"/>
          <w:szCs w:val="24"/>
        </w:rPr>
        <w:t>'</w:t>
      </w:r>
      <w:r w:rsidRPr="00E83E52">
        <w:rPr>
          <w:color w:val="000000" w:themeColor="text1"/>
          <w:szCs w:val="24"/>
        </w:rPr>
        <w:t>short code</w:t>
      </w:r>
      <w:r>
        <w:rPr>
          <w:color w:val="000000" w:themeColor="text1"/>
          <w:szCs w:val="24"/>
        </w:rPr>
        <w:t>'</w:t>
      </w:r>
      <w:r w:rsidRPr="00E83E52">
        <w:rPr>
          <w:color w:val="000000" w:themeColor="text1"/>
          <w:szCs w:val="24"/>
        </w:rPr>
        <w:t xml:space="preserve"> access code numbers used to access USSD sessions may be assigned by the MNO at their discretion, although in some markets a regulator may do so.</w:t>
      </w:r>
      <w:r w:rsidRPr="00E83E52">
        <w:rPr>
          <w:rStyle w:val="FootnoteReference"/>
          <w:color w:val="000000" w:themeColor="text1"/>
          <w:szCs w:val="24"/>
        </w:rPr>
        <w:footnoteReference w:id="132"/>
      </w:r>
      <w:r w:rsidRPr="00E83E52">
        <w:rPr>
          <w:color w:val="000000" w:themeColor="text1"/>
          <w:szCs w:val="24"/>
        </w:rPr>
        <w:t xml:space="preserve"> This issue and the competition-related impact relating to short codes is outlined in more detail in Section 7.</w:t>
      </w:r>
    </w:p>
    <w:p w14:paraId="6CF1C13A" w14:textId="77777777" w:rsidR="00885B99" w:rsidRPr="009F3C6D" w:rsidRDefault="00885B99" w:rsidP="00885B99">
      <w:pPr>
        <w:pStyle w:val="Heading3"/>
      </w:pPr>
      <w:bookmarkStart w:id="303" w:name="_Toc472443740"/>
      <w:bookmarkStart w:id="304" w:name="_Toc17799412"/>
      <w:r>
        <w:t>5.2.4</w:t>
      </w:r>
      <w:r>
        <w:tab/>
      </w:r>
      <w:r w:rsidRPr="009F3C6D">
        <w:t>Length of A USSD Session</w:t>
      </w:r>
      <w:bookmarkEnd w:id="303"/>
      <w:bookmarkEnd w:id="304"/>
    </w:p>
    <w:p w14:paraId="118EBF71" w14:textId="77777777" w:rsidR="00885B99" w:rsidRPr="006046D9" w:rsidRDefault="00885B99" w:rsidP="00885B99">
      <w:pPr>
        <w:pStyle w:val="Heading4"/>
      </w:pPr>
      <w:r>
        <w:t>5.2.4.1</w:t>
      </w:r>
      <w:r>
        <w:tab/>
      </w:r>
      <w:r w:rsidRPr="006046D9">
        <w:t>Competition Aspects</w:t>
      </w:r>
    </w:p>
    <w:p w14:paraId="2C52FEC9" w14:textId="77777777" w:rsidR="00885B99" w:rsidRDefault="00885B99" w:rsidP="00885B99">
      <w:r w:rsidRPr="00E83E52">
        <w:t>The length of a USSD session may be restricted by the MNO for third party providers, such that there is not enough time for customers to input long account numbers when prompted. Similarly, MNOs may restrict the time allowed for the input or for the customer to provide input to advance to the next tree on the menu.</w:t>
      </w:r>
      <w:r>
        <w:t xml:space="preserve"> </w:t>
      </w:r>
      <w:r w:rsidRPr="00E83E52">
        <w:t xml:space="preserve">MNOs may cite the so-called </w:t>
      </w:r>
      <w:r>
        <w:t>'</w:t>
      </w:r>
      <w:r w:rsidRPr="00E83E52">
        <w:t>opportunity cost</w:t>
      </w:r>
      <w:r>
        <w:t>'</w:t>
      </w:r>
      <w:r w:rsidRPr="00E83E52">
        <w:t xml:space="preserve"> inherent in providing USSD to third parties, since they argue that the GSM system design may mean that use of USSD (signaling) channel may block revenue-generating incoming and outgoing voice calls for the duration of the live USSD session.</w:t>
      </w:r>
      <w:r>
        <w:rPr>
          <w:rStyle w:val="FootnoteReference"/>
          <w:color w:val="000000" w:themeColor="text1"/>
          <w:szCs w:val="24"/>
        </w:rPr>
        <w:footnoteReference w:id="133"/>
      </w:r>
      <w:r w:rsidRPr="00E83E52">
        <w:t xml:space="preserve"> Further, they believe that a commercially and technically viable arrangement would allow </w:t>
      </w:r>
      <w:r w:rsidRPr="00E83E52">
        <w:lastRenderedPageBreak/>
        <w:t>for a price and length/stages of sessions that are commensurate since increased time increase</w:t>
      </w:r>
      <w:r>
        <w:t>s the use of the USSD resource.</w:t>
      </w:r>
    </w:p>
    <w:p w14:paraId="0705295C" w14:textId="77777777" w:rsidR="00885B99" w:rsidRDefault="00885B99" w:rsidP="00885B99">
      <w:r w:rsidRPr="00E83E52">
        <w:t xml:space="preserve">MNOs have discouraged sessions lengths being increased where, as in India, it is implemented in tandem with a cap on the pricing per session. </w:t>
      </w:r>
      <w:r w:rsidRPr="00E83E52">
        <w:rPr>
          <w:color w:val="000000" w:themeColor="text1"/>
        </w:rPr>
        <w:t>While not necessarily a competition-related example, recent regulations in India may illustrate the tension between length of USSD sessions and profitability for MNOs: in November 2016, following a short consultation process</w:t>
      </w:r>
      <w:r w:rsidRPr="00E83E52">
        <w:rPr>
          <w:rStyle w:val="FootnoteReference"/>
          <w:color w:val="000000" w:themeColor="text1"/>
          <w:szCs w:val="24"/>
        </w:rPr>
        <w:footnoteReference w:id="134"/>
      </w:r>
      <w:r w:rsidRPr="00E83E52">
        <w:rPr>
          <w:color w:val="000000" w:themeColor="text1"/>
        </w:rPr>
        <w:t xml:space="preserve"> on its quality of service regulations, the Telecom Regulatory Authority of India (TRAI) increased the maximum number of USSD menu stages from five to eight per USSD session as it found the menu stages – and thus the total length of the USSD session</w:t>
      </w:r>
      <w:r>
        <w:rPr>
          <w:color w:val="000000" w:themeColor="text1"/>
        </w:rPr>
        <w:t> –</w:t>
      </w:r>
      <w:r w:rsidRPr="00E83E52">
        <w:rPr>
          <w:color w:val="000000" w:themeColor="text1"/>
        </w:rPr>
        <w:t xml:space="preserve"> too short for users to properly input long account numbers</w:t>
      </w:r>
      <w:r w:rsidRPr="00E83E52">
        <w:rPr>
          <w:rStyle w:val="FootnoteReference"/>
          <w:color w:val="000000" w:themeColor="text1"/>
          <w:szCs w:val="24"/>
        </w:rPr>
        <w:footnoteReference w:id="135"/>
      </w:r>
      <w:r w:rsidRPr="00F313AA">
        <w:t xml:space="preserve"> </w:t>
      </w:r>
      <w:r w:rsidRPr="00EE7026">
        <w:rPr>
          <w:color w:val="000000" w:themeColor="text1"/>
        </w:rPr>
        <w:t>Simultaneously, TRAI cut the permitted cost of a USSD session by two thirds.</w:t>
      </w:r>
    </w:p>
    <w:p w14:paraId="6C1054B5" w14:textId="77777777" w:rsidR="00885B99" w:rsidRPr="006046D9" w:rsidRDefault="00885B99" w:rsidP="00885B99">
      <w:pPr>
        <w:pStyle w:val="Heading4"/>
      </w:pPr>
      <w:r>
        <w:t>5.2.4.2</w:t>
      </w:r>
      <w:r>
        <w:tab/>
      </w:r>
      <w:r w:rsidRPr="006046D9">
        <w:t>Count</w:t>
      </w:r>
      <w:r>
        <w:t>ry e</w:t>
      </w:r>
      <w:r w:rsidRPr="006046D9">
        <w:t>xample</w:t>
      </w:r>
    </w:p>
    <w:p w14:paraId="498E9CFD" w14:textId="77777777" w:rsidR="00885B99" w:rsidRPr="00A90FE3" w:rsidRDefault="00885B99" w:rsidP="00885B99">
      <w:pPr>
        <w:pStyle w:val="Headingb"/>
        <w:rPr>
          <w:i/>
        </w:rPr>
      </w:pPr>
      <w:r w:rsidRPr="00A90FE3">
        <w:rPr>
          <w:i/>
        </w:rPr>
        <w:t>Uganda</w:t>
      </w:r>
    </w:p>
    <w:p w14:paraId="7F296BD9" w14:textId="5C229E9F" w:rsidR="00885B99" w:rsidRPr="00E83E52" w:rsidRDefault="00885B99" w:rsidP="00885B99">
      <w:r w:rsidRPr="00E83E52">
        <w:t>In Uganda, one of the biggest MNOs charges USSD sessions in increments of 20</w:t>
      </w:r>
      <w:r w:rsidR="00ED4A34">
        <w:t> </w:t>
      </w:r>
      <w:r w:rsidRPr="00E83E52">
        <w:t>seconds while another MNO charges in increments of 100</w:t>
      </w:r>
      <w:r w:rsidR="00ED4A34">
        <w:t> </w:t>
      </w:r>
      <w:r w:rsidRPr="00E83E52">
        <w:t xml:space="preserve">seconds. The length, duration, quality and wholesale </w:t>
      </w:r>
      <w:r w:rsidRPr="00EE7026">
        <w:t xml:space="preserve">charges of USSD sessions used in DFS are the subject of an ongoing investigation into anti-competitive </w:t>
      </w:r>
      <w:r>
        <w:t>behaviour</w:t>
      </w:r>
      <w:r w:rsidRPr="00EE7026">
        <w:t xml:space="preserve"> by the UCC.</w:t>
      </w:r>
      <w:r w:rsidRPr="00EE7026">
        <w:rPr>
          <w:rStyle w:val="FootnoteReference"/>
          <w:color w:val="000000" w:themeColor="text1"/>
          <w:szCs w:val="24"/>
        </w:rPr>
        <w:footnoteReference w:id="136"/>
      </w:r>
    </w:p>
    <w:p w14:paraId="731B7125" w14:textId="77777777" w:rsidR="00885B99" w:rsidRPr="009F3C6D" w:rsidRDefault="00885B99" w:rsidP="00885B99">
      <w:pPr>
        <w:pStyle w:val="Heading3"/>
      </w:pPr>
      <w:bookmarkStart w:id="305" w:name="_Toc472443741"/>
      <w:bookmarkStart w:id="306" w:name="_Toc17799413"/>
      <w:r>
        <w:t>5.2.5</w:t>
      </w:r>
      <w:r>
        <w:tab/>
        <w:t>USSD menu t</w:t>
      </w:r>
      <w:r w:rsidRPr="009F3C6D">
        <w:t>rees</w:t>
      </w:r>
      <w:bookmarkEnd w:id="305"/>
      <w:bookmarkEnd w:id="306"/>
    </w:p>
    <w:p w14:paraId="7ED08875" w14:textId="77777777" w:rsidR="00885B99" w:rsidRPr="006046D9" w:rsidRDefault="00885B99" w:rsidP="00885B99">
      <w:pPr>
        <w:pStyle w:val="Heading4"/>
      </w:pPr>
      <w:r>
        <w:t>5.2.5.1</w:t>
      </w:r>
      <w:r>
        <w:tab/>
      </w:r>
      <w:r w:rsidRPr="006046D9">
        <w:t>Overview</w:t>
      </w:r>
    </w:p>
    <w:p w14:paraId="210FDFA0" w14:textId="77777777" w:rsidR="00885B99" w:rsidRPr="00E83E52" w:rsidRDefault="00885B99" w:rsidP="00885B99">
      <w:r w:rsidRPr="00EE7026">
        <w:rPr>
          <w:szCs w:val="24"/>
        </w:rPr>
        <w:t>Current</w:t>
      </w:r>
      <w:r w:rsidRPr="00E83E52">
        <w:t xml:space="preserve"> ceilings for the number of stages allowed in a USSD session pose challenges in creating customer friendly menus for USSD-based access to DFS. These may result in input errors or time delays and may eventually lead to declines in transaction volumes.</w:t>
      </w:r>
      <w:r>
        <w:rPr>
          <w:rStyle w:val="FootnoteReference"/>
          <w:color w:val="000000" w:themeColor="text1"/>
        </w:rPr>
        <w:footnoteReference w:id="137"/>
      </w:r>
      <w:r w:rsidRPr="00E83E52">
        <w:t xml:space="preserve"> To provide for richer service options and to compensate for customer input errors, menu trees could be increased to allow for example, a separate stage that prompts re-entry of an account number.</w:t>
      </w:r>
      <w:r>
        <w:rPr>
          <w:rStyle w:val="FootnoteReference"/>
          <w:color w:val="000000" w:themeColor="text1"/>
        </w:rPr>
        <w:footnoteReference w:id="138"/>
      </w:r>
    </w:p>
    <w:p w14:paraId="7902BEFC" w14:textId="77777777" w:rsidR="00885B99" w:rsidRPr="006046D9" w:rsidRDefault="00885B99" w:rsidP="00885B99">
      <w:pPr>
        <w:pStyle w:val="Heading4"/>
      </w:pPr>
      <w:r>
        <w:t>5.2.5.2</w:t>
      </w:r>
      <w:r>
        <w:tab/>
        <w:t>Competition a</w:t>
      </w:r>
      <w:r w:rsidRPr="006046D9">
        <w:t>spects</w:t>
      </w:r>
    </w:p>
    <w:p w14:paraId="7965BCC9" w14:textId="77777777" w:rsidR="00885B99" w:rsidRPr="00E83E52" w:rsidRDefault="00885B99" w:rsidP="00885B99">
      <w:r w:rsidRPr="00E83E52">
        <w:t xml:space="preserve">USSD menu trees may be restricted by MNOs to a maximum number of stages. As noted earlier, MNOs cite the </w:t>
      </w:r>
      <w:r>
        <w:t>'</w:t>
      </w:r>
      <w:r w:rsidRPr="00E83E52">
        <w:t>opportunity cost</w:t>
      </w:r>
      <w:r>
        <w:t>'</w:t>
      </w:r>
      <w:r w:rsidRPr="00E83E52">
        <w:t xml:space="preserve"> inherent in providing USSD to third parties, since the GSM system design may mean that use of the USSD (signaling) channel may block revenue-generating incoming and outgoing voice calls for the duration of the live USSD session. MNOs indicate that increasing </w:t>
      </w:r>
      <w:r w:rsidRPr="00E83E52">
        <w:lastRenderedPageBreak/>
        <w:t>the number of menu stages would put a load on their signaling infrastructure and any increase in the number of stages contemplated is either practically impossible or should be accompanied by a commensurate increase in the ceiling tariff for USSD sessions.</w:t>
      </w:r>
      <w:r w:rsidRPr="00E83E52">
        <w:rPr>
          <w:rStyle w:val="FootnoteReference"/>
          <w:color w:val="000000" w:themeColor="text1"/>
          <w:szCs w:val="24"/>
        </w:rPr>
        <w:footnoteReference w:id="139"/>
      </w:r>
    </w:p>
    <w:p w14:paraId="4F0852F2" w14:textId="77777777" w:rsidR="00885B99" w:rsidRPr="006046D9" w:rsidRDefault="00885B99" w:rsidP="00885B99">
      <w:pPr>
        <w:pStyle w:val="Heading4"/>
      </w:pPr>
      <w:r>
        <w:t>5.2.5.3</w:t>
      </w:r>
      <w:r>
        <w:tab/>
        <w:t>Country e</w:t>
      </w:r>
      <w:r w:rsidRPr="006046D9">
        <w:t>xample</w:t>
      </w:r>
    </w:p>
    <w:p w14:paraId="0D62E55C" w14:textId="77777777" w:rsidR="00885B99" w:rsidRPr="00A90FE3" w:rsidRDefault="00885B99" w:rsidP="00885B99">
      <w:pPr>
        <w:pStyle w:val="Headingb"/>
        <w:rPr>
          <w:i/>
        </w:rPr>
      </w:pPr>
      <w:r w:rsidRPr="00A90FE3">
        <w:rPr>
          <w:i/>
        </w:rPr>
        <w:t>India</w:t>
      </w:r>
    </w:p>
    <w:p w14:paraId="2605ACED" w14:textId="77777777" w:rsidR="00885B99" w:rsidRPr="00E83E52" w:rsidRDefault="00885B99" w:rsidP="00885B99">
      <w:r w:rsidRPr="00E83E52">
        <w:t xml:space="preserve">The TRAI in India has </w:t>
      </w:r>
      <w:r w:rsidRPr="00EE7026">
        <w:rPr>
          <w:szCs w:val="24"/>
        </w:rPr>
        <w:t>pushed</w:t>
      </w:r>
      <w:r w:rsidRPr="00E83E52">
        <w:t xml:space="preserve"> back against linking the number of menu trees to an increase in USSD access costs, citing evidence that MNOs may, for their own customers, have more menus than they allow DFS SPs to have.</w:t>
      </w:r>
      <w:r w:rsidRPr="00E83E52">
        <w:rPr>
          <w:rStyle w:val="FootnoteReference"/>
          <w:color w:val="000000" w:themeColor="text1"/>
        </w:rPr>
        <w:footnoteReference w:id="140"/>
      </w:r>
      <w:r w:rsidRPr="00E83E52">
        <w:t xml:space="preserve"> In November 2016, TRAI mandated an increase in the ceiling on number of menu stages from five to eight per USSD session and also reduced USSD pricing.</w:t>
      </w:r>
      <w:r w:rsidRPr="00E83E52">
        <w:rPr>
          <w:rStyle w:val="FootnoteReference"/>
          <w:color w:val="000000" w:themeColor="text1"/>
        </w:rPr>
        <w:footnoteReference w:id="141"/>
      </w:r>
      <w:r w:rsidRPr="00E83E52">
        <w:t xml:space="preserve"> The outcome followed a consultation process initiated in August 2016.</w:t>
      </w:r>
      <w:r w:rsidRPr="00E83E52">
        <w:rPr>
          <w:rStyle w:val="FootnoteReference"/>
          <w:color w:val="000000" w:themeColor="text1"/>
        </w:rPr>
        <w:footnoteReference w:id="142"/>
      </w:r>
    </w:p>
    <w:p w14:paraId="42C7C3E8" w14:textId="77777777" w:rsidR="00885B99" w:rsidRPr="009F3C6D" w:rsidRDefault="00885B99" w:rsidP="00885B99">
      <w:pPr>
        <w:pStyle w:val="Heading3"/>
      </w:pPr>
      <w:bookmarkStart w:id="307" w:name="_Toc472443742"/>
      <w:bookmarkStart w:id="308" w:name="_Toc17799414"/>
      <w:r>
        <w:t>5.2.6</w:t>
      </w:r>
      <w:r>
        <w:tab/>
        <w:t>USSD p</w:t>
      </w:r>
      <w:r w:rsidRPr="009F3C6D">
        <w:t>ricing</w:t>
      </w:r>
      <w:bookmarkEnd w:id="307"/>
      <w:bookmarkEnd w:id="308"/>
    </w:p>
    <w:p w14:paraId="04B383E3" w14:textId="77777777" w:rsidR="00885B99" w:rsidRPr="006046D9" w:rsidRDefault="00885B99" w:rsidP="00885B99">
      <w:pPr>
        <w:pStyle w:val="Heading4"/>
      </w:pPr>
      <w:r>
        <w:t>5.2.6.1</w:t>
      </w:r>
      <w:r>
        <w:tab/>
      </w:r>
      <w:r w:rsidRPr="006046D9">
        <w:t>Overview</w:t>
      </w:r>
    </w:p>
    <w:p w14:paraId="75D73E74" w14:textId="77777777" w:rsidR="00885B99" w:rsidRPr="00E83E52" w:rsidRDefault="00885B99" w:rsidP="00885B99">
      <w:r w:rsidRPr="00E83E52">
        <w:t xml:space="preserve">While MNOs may grant third parties access to their USSD gateway facilities, the issue of USSD-related pricing often percolates. In some cases the USSD session is charged to the customer at a fixed rate no matter the length of the session; or the TSP or PSP is charged at wholesale rates for a transaction, no matter the length, or </w:t>
      </w:r>
      <w:r w:rsidRPr="00E83E52">
        <w:rPr>
          <w:i/>
        </w:rPr>
        <w:t>pro rata</w:t>
      </w:r>
      <w:r w:rsidRPr="00E83E52">
        <w:t>; or is charged via a percentage of the transaction value. The MNO may also charge the SP a setup fee for access to its USSD gateway, and/or a monthly facilities charge on t</w:t>
      </w:r>
      <w:r>
        <w:t>op of any USSD session charges.</w:t>
      </w:r>
    </w:p>
    <w:p w14:paraId="5D83E1AC" w14:textId="77777777" w:rsidR="00885B99" w:rsidRPr="00E83E52" w:rsidRDefault="00885B99" w:rsidP="00885B99">
      <w:r w:rsidRPr="00E83E52">
        <w:t>While some TSPs and PSPs absorb the USSD charge, others will recoup the USSD cost incurred by directly debiting the customers</w:t>
      </w:r>
      <w:r>
        <w:t>'</w:t>
      </w:r>
      <w:r w:rsidRPr="00E83E52">
        <w:t xml:space="preserve"> wallet with the charge.</w:t>
      </w:r>
      <w:r w:rsidRPr="00E83E52">
        <w:rPr>
          <w:rStyle w:val="FootnoteReference"/>
          <w:color w:val="000000" w:themeColor="text1"/>
        </w:rPr>
        <w:footnoteReference w:id="143"/>
      </w:r>
    </w:p>
    <w:p w14:paraId="2775754D" w14:textId="77777777" w:rsidR="00885B99" w:rsidRPr="00E83E52" w:rsidRDefault="00885B99" w:rsidP="00885B99">
      <w:r w:rsidRPr="00E83E52">
        <w:t xml:space="preserve">Often pricing is a commercial negotiation that satisfies all parties, but sometimes disputes are escalated to a sectoral regulator or the courts. For regulators looking to regulate USSD charges, determining the </w:t>
      </w:r>
      <w:r>
        <w:t>'</w:t>
      </w:r>
      <w:r w:rsidRPr="00E83E52">
        <w:t>correct</w:t>
      </w:r>
      <w:r>
        <w:t>'</w:t>
      </w:r>
      <w:r w:rsidRPr="00E83E52">
        <w:t xml:space="preserve"> price level has not been an easy exercise, requiring sophisticated cost analysis measures.</w:t>
      </w:r>
      <w:r w:rsidRPr="00E83E52">
        <w:rPr>
          <w:rStyle w:val="FootnoteReference"/>
          <w:color w:val="000000" w:themeColor="text1"/>
        </w:rPr>
        <w:footnoteReference w:id="144"/>
      </w:r>
      <w:r w:rsidRPr="00E83E52">
        <w:t xml:space="preserve"> Other regulators, however, may simply use blunt force: by slashing USSD pricing to a level </w:t>
      </w:r>
      <w:r>
        <w:t xml:space="preserve">that </w:t>
      </w:r>
      <w:r w:rsidRPr="00E83E52">
        <w:t>they believe will stimulate the DFS market.</w:t>
      </w:r>
      <w:r w:rsidRPr="00E83E52">
        <w:rPr>
          <w:rStyle w:val="FootnoteReference"/>
          <w:color w:val="000000" w:themeColor="text1"/>
        </w:rPr>
        <w:footnoteReference w:id="145"/>
      </w:r>
    </w:p>
    <w:p w14:paraId="6021E170" w14:textId="77777777" w:rsidR="00885B99" w:rsidRPr="00E83E52" w:rsidRDefault="00885B99" w:rsidP="00885B99">
      <w:r w:rsidRPr="00E83E52">
        <w:t>Regulators may use a cost-based model to determine pricing, although there are only a few apparent cases of where this complex exercise has been undertaken, at least in telecommunication-cost related instances.</w:t>
      </w:r>
      <w:r>
        <w:rPr>
          <w:rStyle w:val="FootnoteReference"/>
          <w:color w:val="000000" w:themeColor="text1"/>
        </w:rPr>
        <w:footnoteReference w:id="146"/>
      </w:r>
      <w:r w:rsidRPr="00E83E52">
        <w:t xml:space="preserve"> Where regulators have mandated –</w:t>
      </w:r>
      <w:r>
        <w:t> </w:t>
      </w:r>
      <w:r w:rsidRPr="00E83E52">
        <w:t>or proposed</w:t>
      </w:r>
      <w:r>
        <w:t> –</w:t>
      </w:r>
      <w:r w:rsidRPr="00E83E52">
        <w:t xml:space="preserve"> USSD channel access prices, MNOs have complained that the set charges are below market value and do not compensate MNOs for the additional investments needed for network capacity to absorb increased traffic from USSD</w:t>
      </w:r>
      <w:r w:rsidRPr="00CE6B7A">
        <w:t xml:space="preserve"> </w:t>
      </w:r>
      <w:r w:rsidRPr="00EE7026">
        <w:t xml:space="preserve">and ensure </w:t>
      </w:r>
      <w:r w:rsidRPr="00EE7026">
        <w:lastRenderedPageBreak/>
        <w:t>the sustainable delivery of quality service.</w:t>
      </w:r>
      <w:r>
        <w:rPr>
          <w:rStyle w:val="FootnoteReference"/>
          <w:color w:val="000000" w:themeColor="text1"/>
        </w:rPr>
        <w:footnoteReference w:id="147"/>
      </w:r>
      <w:r w:rsidRPr="00E83E52">
        <w:t xml:space="preserve"> Further, MNOs may complain that they are then not compensated for the opportunity costs of lost call revenue due to their signaling channel being used by low-cost USSD DFS sessions.</w:t>
      </w:r>
      <w:r w:rsidRPr="00E83E52">
        <w:rPr>
          <w:rStyle w:val="FootnoteReference"/>
          <w:color w:val="000000" w:themeColor="text1"/>
        </w:rPr>
        <w:footnoteReference w:id="148"/>
      </w:r>
    </w:p>
    <w:p w14:paraId="0ED2770F" w14:textId="77777777" w:rsidR="00885B99" w:rsidRPr="006046D9" w:rsidRDefault="00885B99" w:rsidP="00885B99">
      <w:pPr>
        <w:pStyle w:val="Heading4"/>
      </w:pPr>
      <w:r>
        <w:t>5.2.6.2</w:t>
      </w:r>
      <w:r>
        <w:tab/>
        <w:t>Competition a</w:t>
      </w:r>
      <w:r w:rsidRPr="006046D9">
        <w:t>spects</w:t>
      </w:r>
    </w:p>
    <w:p w14:paraId="3B2E271B" w14:textId="77777777" w:rsidR="00885B99" w:rsidRPr="00E83E52" w:rsidRDefault="00885B99" w:rsidP="00885B99">
      <w:r w:rsidRPr="00E83E52">
        <w:t>A regular feature of the DFS ecosystem is commercial disputes between MNOs and other SPs over the cost of USSD access and the consequence of dropped USSD sessions. Such complaints have emerged in Nigeria, India, Uganda, Zimbabwe, Kenya and Bangladesh.</w:t>
      </w:r>
      <w:r>
        <w:rPr>
          <w:rStyle w:val="FootnoteReference"/>
          <w:color w:val="000000" w:themeColor="text1"/>
          <w:szCs w:val="24"/>
        </w:rPr>
        <w:footnoteReference w:id="149"/>
      </w:r>
      <w:r w:rsidRPr="00E83E52">
        <w:t xml:space="preserve"> As noted above however, this is not necessarily the norm as there are many instances of sound commercial arrangements between MNOs and third parties, for example in Tanzania, Malawi and South Africa.</w:t>
      </w:r>
    </w:p>
    <w:p w14:paraId="749F1A89" w14:textId="77777777" w:rsidR="00885B99" w:rsidRPr="00E83E52" w:rsidRDefault="00885B99" w:rsidP="00885B99">
      <w:r w:rsidRPr="00E83E52">
        <w:t>They may also relate to differential pricing, whereby the MNO provides cheaper access pricing to a favored pa</w:t>
      </w:r>
      <w:r>
        <w:t>rty such as its DFS subsidiary.</w:t>
      </w:r>
    </w:p>
    <w:p w14:paraId="16C9F0E9" w14:textId="77777777" w:rsidR="00885B99" w:rsidRPr="00E83E52" w:rsidRDefault="00885B99" w:rsidP="00885B99">
      <w:r w:rsidRPr="00E83E52">
        <w:t>Competition issues have been raised by MNOs in respect of being forced by regulations to provide access services to other SPs in the DFS ecosystem.</w:t>
      </w:r>
    </w:p>
    <w:p w14:paraId="5C2BC6ED" w14:textId="77777777" w:rsidR="00885B99" w:rsidRPr="006046D9" w:rsidRDefault="00885B99" w:rsidP="00885B99">
      <w:pPr>
        <w:pStyle w:val="Heading4"/>
      </w:pPr>
      <w:r>
        <w:t>5.2.6.3</w:t>
      </w:r>
      <w:r>
        <w:tab/>
        <w:t>Country e</w:t>
      </w:r>
      <w:r w:rsidRPr="006046D9">
        <w:t>xamples</w:t>
      </w:r>
    </w:p>
    <w:p w14:paraId="167B595A" w14:textId="77777777" w:rsidR="00885B99" w:rsidRPr="00A90FE3" w:rsidRDefault="00885B99" w:rsidP="00885B99">
      <w:pPr>
        <w:pStyle w:val="Headingb"/>
        <w:rPr>
          <w:i/>
        </w:rPr>
      </w:pPr>
      <w:r w:rsidRPr="00A90FE3">
        <w:rPr>
          <w:i/>
        </w:rPr>
        <w:t>Bangladesh</w:t>
      </w:r>
    </w:p>
    <w:p w14:paraId="151F90B7" w14:textId="77777777" w:rsidR="00885B99" w:rsidRPr="00E83E52" w:rsidRDefault="00885B99" w:rsidP="00885B99">
      <w:pPr>
        <w:spacing w:after="120"/>
        <w:rPr>
          <w:szCs w:val="24"/>
        </w:rPr>
      </w:pPr>
      <w:r w:rsidRPr="00EE7026">
        <w:rPr>
          <w:color w:val="000000" w:themeColor="text1"/>
          <w:szCs w:val="24"/>
        </w:rPr>
        <w:t>By regulation, MNOs in Bangladesh are mostly only permitted to act as bearers</w:t>
      </w:r>
      <w:r>
        <w:rPr>
          <w:color w:val="000000" w:themeColor="text1"/>
          <w:szCs w:val="24"/>
        </w:rPr>
        <w:t> –</w:t>
      </w:r>
      <w:r w:rsidRPr="00E83E52">
        <w:rPr>
          <w:color w:val="000000" w:themeColor="text1"/>
          <w:szCs w:val="24"/>
        </w:rPr>
        <w:t xml:space="preserve"> usually via USSD</w:t>
      </w:r>
      <w:r>
        <w:rPr>
          <w:color w:val="000000" w:themeColor="text1"/>
          <w:szCs w:val="24"/>
        </w:rPr>
        <w:t> –</w:t>
      </w:r>
      <w:r w:rsidRPr="00E83E52">
        <w:rPr>
          <w:color w:val="000000" w:themeColor="text1"/>
          <w:szCs w:val="24"/>
        </w:rPr>
        <w:t xml:space="preserve"> for banks and other DFS SPs. </w:t>
      </w:r>
      <w:r w:rsidRPr="00E83E52">
        <w:rPr>
          <w:rFonts w:eastAsia="Calibri"/>
          <w:szCs w:val="24"/>
        </w:rPr>
        <w:t xml:space="preserve">Currently, access to USSD is provided on </w:t>
      </w:r>
      <w:r>
        <w:rPr>
          <w:rFonts w:eastAsia="Calibri"/>
          <w:szCs w:val="24"/>
        </w:rPr>
        <w:t xml:space="preserve">a </w:t>
      </w:r>
      <w:r w:rsidRPr="00E83E52">
        <w:rPr>
          <w:rFonts w:eastAsia="Calibri"/>
          <w:szCs w:val="24"/>
        </w:rPr>
        <w:t xml:space="preserve">revenue sharing basis. That is, </w:t>
      </w:r>
      <w:r w:rsidRPr="00E83E52">
        <w:rPr>
          <w:color w:val="000000" w:themeColor="text1"/>
          <w:szCs w:val="24"/>
        </w:rPr>
        <w:t xml:space="preserve">instead of a unit or time-based charge, </w:t>
      </w:r>
      <w:r w:rsidRPr="00E83E52">
        <w:rPr>
          <w:rFonts w:eastAsia="Calibri"/>
          <w:szCs w:val="24"/>
        </w:rPr>
        <w:t xml:space="preserve">the MNOs are compensated only for those USSD sessions where the DFS providers earn revenue. </w:t>
      </w:r>
      <w:r w:rsidRPr="00E83E52">
        <w:rPr>
          <w:color w:val="000000" w:themeColor="text1"/>
          <w:szCs w:val="24"/>
        </w:rPr>
        <w:t>USSD usage charges v</w:t>
      </w:r>
      <w:r w:rsidRPr="00E83E52">
        <w:rPr>
          <w:szCs w:val="24"/>
        </w:rPr>
        <w:t>ary from MNO to MNO for MFS providers.</w:t>
      </w:r>
      <w:r>
        <w:rPr>
          <w:rStyle w:val="FootnoteReference"/>
          <w:szCs w:val="24"/>
        </w:rPr>
        <w:footnoteReference w:id="150"/>
      </w:r>
    </w:p>
    <w:p w14:paraId="76FF66BD" w14:textId="77777777" w:rsidR="00885B99" w:rsidRPr="00E83E52" w:rsidRDefault="00885B99" w:rsidP="00885B99">
      <w:pPr>
        <w:spacing w:after="120"/>
        <w:rPr>
          <w:rFonts w:eastAsia="Calibri"/>
          <w:szCs w:val="24"/>
        </w:rPr>
      </w:pPr>
      <w:r w:rsidRPr="00E83E52">
        <w:rPr>
          <w:bCs/>
          <w:szCs w:val="24"/>
        </w:rPr>
        <w:t xml:space="preserve">According to the MNOs, this revenue sharing model is unsustainable for them as the </w:t>
      </w:r>
      <w:r w:rsidRPr="00E83E52">
        <w:rPr>
          <w:rFonts w:eastAsia="Calibri"/>
          <w:szCs w:val="24"/>
        </w:rPr>
        <w:t xml:space="preserve">transactions which exhaustively use the USSD channel are extensively misused and mostly free of cost </w:t>
      </w:r>
      <w:r w:rsidRPr="00E83E52">
        <w:rPr>
          <w:bCs/>
          <w:szCs w:val="24"/>
        </w:rPr>
        <w:t>as 86% of USSD traffic and 100% of SMS are being provided for free</w:t>
      </w:r>
      <w:r w:rsidRPr="00E83E52">
        <w:rPr>
          <w:rFonts w:eastAsia="Calibri"/>
          <w:szCs w:val="24"/>
        </w:rPr>
        <w:t xml:space="preserve">. The </w:t>
      </w:r>
      <w:r w:rsidRPr="00E83E52">
        <w:rPr>
          <w:bCs/>
          <w:szCs w:val="24"/>
        </w:rPr>
        <w:t>MNOs</w:t>
      </w:r>
      <w:r w:rsidRPr="00E83E52">
        <w:rPr>
          <w:rFonts w:eastAsia="Calibri"/>
          <w:szCs w:val="24"/>
        </w:rPr>
        <w:t xml:space="preserve"> indicate that they are not incentivized to provide access and sustainability depends on a justified return for the consumption of the used resource.</w:t>
      </w:r>
      <w:r>
        <w:rPr>
          <w:rFonts w:eastAsia="Calibri"/>
          <w:szCs w:val="24"/>
        </w:rPr>
        <w:t xml:space="preserve"> </w:t>
      </w:r>
      <w:r w:rsidRPr="00E83E52">
        <w:rPr>
          <w:rFonts w:eastAsia="Calibri"/>
          <w:szCs w:val="24"/>
        </w:rPr>
        <w:t xml:space="preserve">Universal access is even more important to MNOs and overall Quality of service (QOS), they indicate, is being affected because of </w:t>
      </w:r>
      <w:r>
        <w:rPr>
          <w:rFonts w:eastAsia="Calibri"/>
          <w:szCs w:val="24"/>
        </w:rPr>
        <w:t>'</w:t>
      </w:r>
      <w:r w:rsidRPr="00E83E52">
        <w:rPr>
          <w:rFonts w:eastAsia="Calibri"/>
          <w:szCs w:val="24"/>
        </w:rPr>
        <w:t>free</w:t>
      </w:r>
      <w:r>
        <w:rPr>
          <w:rFonts w:eastAsia="Calibri"/>
          <w:szCs w:val="24"/>
        </w:rPr>
        <w:t>'</w:t>
      </w:r>
      <w:r w:rsidRPr="00E83E52">
        <w:rPr>
          <w:rFonts w:eastAsia="Calibri"/>
          <w:szCs w:val="24"/>
        </w:rPr>
        <w:t xml:space="preserve"> usage of telecom resources/ spectrum, which also reduces the value of spectrum if this is forced through</w:t>
      </w:r>
      <w:r>
        <w:rPr>
          <w:szCs w:val="24"/>
        </w:rPr>
        <w:t>.</w:t>
      </w:r>
    </w:p>
    <w:p w14:paraId="3F154B95" w14:textId="77777777" w:rsidR="00885B99" w:rsidRPr="00E83E52" w:rsidRDefault="00885B99" w:rsidP="00885B99">
      <w:pPr>
        <w:spacing w:after="120"/>
        <w:rPr>
          <w:szCs w:val="24"/>
        </w:rPr>
      </w:pPr>
      <w:r w:rsidRPr="00E83E52">
        <w:rPr>
          <w:color w:val="000000" w:themeColor="text1"/>
          <w:szCs w:val="24"/>
        </w:rPr>
        <w:t>The Bangladeshi MNOs have been lobbying for a change in the USSD charging model, which could result in large increases in USSD charges for SPs and customers if implemented.</w:t>
      </w:r>
      <w:r>
        <w:rPr>
          <w:rStyle w:val="FootnoteReference"/>
          <w:color w:val="000000" w:themeColor="text1"/>
          <w:szCs w:val="24"/>
        </w:rPr>
        <w:footnoteReference w:id="151"/>
      </w:r>
      <w:r w:rsidRPr="00E83E52">
        <w:rPr>
          <w:color w:val="000000" w:themeColor="text1"/>
          <w:szCs w:val="24"/>
        </w:rPr>
        <w:t xml:space="preserve"> </w:t>
      </w:r>
      <w:r w:rsidRPr="00E83E52">
        <w:rPr>
          <w:szCs w:val="24"/>
        </w:rPr>
        <w:t>Even so, there are complaints from SPs and banks that wholesale USSD prices are too high.</w:t>
      </w:r>
      <w:r>
        <w:rPr>
          <w:rStyle w:val="FootnoteReference"/>
          <w:szCs w:val="24"/>
        </w:rPr>
        <w:footnoteReference w:id="152"/>
      </w:r>
    </w:p>
    <w:p w14:paraId="2F0174C3" w14:textId="77777777" w:rsidR="00885B99" w:rsidRPr="00E83E52" w:rsidRDefault="00885B99" w:rsidP="00885B99">
      <w:r w:rsidRPr="00EE7026">
        <w:lastRenderedPageBreak/>
        <w:t>This issue is especially championed by banks competing with bKash, whose</w:t>
      </w:r>
      <w:r w:rsidRPr="00E83E52">
        <w:t xml:space="preserve"> current individual negotiating power is small given their high fragmentation.</w:t>
      </w:r>
      <w:r w:rsidRPr="00E83E52">
        <w:rPr>
          <w:rStyle w:val="FootnoteReference"/>
          <w:color w:val="000000" w:themeColor="text1"/>
          <w:szCs w:val="24"/>
        </w:rPr>
        <w:footnoteReference w:id="153"/>
      </w:r>
      <w:r w:rsidRPr="00E83E52">
        <w:t xml:space="preserve"> bKash, however, given its large market share, has a much better bargaining position and is more likely to secure more competitive rates to USSD access, which in effect reinforces bKash</w:t>
      </w:r>
      <w:r>
        <w:t>'</w:t>
      </w:r>
      <w:r w:rsidRPr="00E83E52">
        <w:t>s dominance. Although the Bangladesh Bank initially identified the issue via complaints from the financial institutions it regulates, it is currently engaging the BTRC and other stakeholders through a dispute resolution mechanism.</w:t>
      </w:r>
      <w:r>
        <w:rPr>
          <w:rStyle w:val="FootnoteReference"/>
          <w:szCs w:val="24"/>
        </w:rPr>
        <w:footnoteReference w:id="154"/>
      </w:r>
      <w:r w:rsidRPr="00E83E52">
        <w:t xml:space="preserve"> In this context, the BTRC is attempting to do a cost-based analysis of MNOs USSD channels to determine a price point for USSD access to DFS services.</w:t>
      </w:r>
      <w:r w:rsidRPr="00E83E52">
        <w:rPr>
          <w:rStyle w:val="FootnoteReference"/>
          <w:color w:val="000000" w:themeColor="text1"/>
          <w:szCs w:val="24"/>
        </w:rPr>
        <w:footnoteReference w:id="155"/>
      </w:r>
    </w:p>
    <w:p w14:paraId="65E92A50" w14:textId="77777777" w:rsidR="00885B99" w:rsidRPr="00B57C48" w:rsidRDefault="00885B99" w:rsidP="00885B99">
      <w:pPr>
        <w:pStyle w:val="Headingb"/>
        <w:rPr>
          <w:i/>
        </w:rPr>
      </w:pPr>
      <w:r w:rsidRPr="00B57C48">
        <w:rPr>
          <w:i/>
        </w:rPr>
        <w:t>India</w:t>
      </w:r>
    </w:p>
    <w:p w14:paraId="3D093839" w14:textId="77777777" w:rsidR="00885B99" w:rsidRPr="00E83E52" w:rsidRDefault="00885B99" w:rsidP="00885B99">
      <w:r w:rsidRPr="00E83E52">
        <w:t>As noted above, the telecommunication regulator, TRAI, slashed USSD access prices by two thirds to INR. 0.50 per USSD session in November 2016 after complaints about the service ensuing form a public consultation on pricing.</w:t>
      </w:r>
      <w:r w:rsidRPr="00E83E52">
        <w:rPr>
          <w:rStyle w:val="FootnoteReference"/>
          <w:color w:val="000000" w:themeColor="text1"/>
          <w:szCs w:val="24"/>
        </w:rPr>
        <w:footnoteReference w:id="156"/>
      </w:r>
      <w:r w:rsidRPr="00E83E52">
        <w:t xml:space="preserve"> A similar November 2013 initiative by TRAI </w:t>
      </w:r>
      <w:r>
        <w:t xml:space="preserve">who </w:t>
      </w:r>
      <w:r w:rsidRPr="00E83E52">
        <w:t>had prescribed a ceiling tariff of INR.1.50 per USSD session</w:t>
      </w:r>
      <w:r>
        <w:t xml:space="preserve">. However </w:t>
      </w:r>
      <w:r w:rsidRPr="00E83E52">
        <w:t>this did not lead to the desired result, as both the number of transactions and transaction completion rate were below TRAI</w:t>
      </w:r>
      <w:r>
        <w:t>'</w:t>
      </w:r>
      <w:r w:rsidRPr="00E83E52">
        <w:t>s expectations.</w:t>
      </w:r>
    </w:p>
    <w:p w14:paraId="25BEB189" w14:textId="77777777" w:rsidR="00885B99" w:rsidRPr="00B57C48" w:rsidRDefault="00885B99" w:rsidP="00885B99">
      <w:pPr>
        <w:pStyle w:val="Headingb"/>
        <w:rPr>
          <w:i/>
        </w:rPr>
      </w:pPr>
      <w:r w:rsidRPr="00B57C48">
        <w:rPr>
          <w:i/>
        </w:rPr>
        <w:t>Peru</w:t>
      </w:r>
    </w:p>
    <w:p w14:paraId="1FAD8B8B" w14:textId="77777777" w:rsidR="00885B99" w:rsidRPr="00E83E52" w:rsidRDefault="00885B99" w:rsidP="00885B99">
      <w:r w:rsidRPr="00E83E52">
        <w:t>The telecommunication regulator in Peru, Osiptel, issued standards to ensure fair and equal access of electronic money issuers to telecommunication services in 2014, including non-discriminatory pricing for access to USSD.</w:t>
      </w:r>
      <w:r>
        <w:rPr>
          <w:rStyle w:val="FootnoteReference"/>
          <w:color w:val="000000" w:themeColor="text1"/>
          <w:szCs w:val="24"/>
        </w:rPr>
        <w:footnoteReference w:id="157"/>
      </w:r>
      <w:r w:rsidRPr="00E83E52">
        <w:t xml:space="preserve"> While these regulations were set by Osiptel, the central bank played a significant role in creating the regulatory framework around pricing for access.</w:t>
      </w:r>
      <w:r w:rsidRPr="00E83E52">
        <w:rPr>
          <w:rStyle w:val="FootnoteReference"/>
          <w:szCs w:val="24"/>
        </w:rPr>
        <w:footnoteReference w:id="158"/>
      </w:r>
    </w:p>
    <w:p w14:paraId="5FCF24DE" w14:textId="77777777" w:rsidR="00885B99" w:rsidRPr="00B57C48" w:rsidRDefault="00885B99" w:rsidP="00885B99">
      <w:pPr>
        <w:pStyle w:val="Headingb"/>
        <w:rPr>
          <w:i/>
        </w:rPr>
      </w:pPr>
      <w:r w:rsidRPr="00B57C48">
        <w:rPr>
          <w:i/>
        </w:rPr>
        <w:t>Uganda</w:t>
      </w:r>
    </w:p>
    <w:p w14:paraId="28C63C88" w14:textId="77777777" w:rsidR="00885B99" w:rsidRPr="00E83E52" w:rsidRDefault="00885B99" w:rsidP="00885B99">
      <w:r w:rsidRPr="00E83E52">
        <w:t xml:space="preserve">A study on the wholesale USSD market as part of a broader Market Power Assessment by UCC found evidence of </w:t>
      </w:r>
      <w:r w:rsidRPr="00EE7026">
        <w:rPr>
          <w:szCs w:val="24"/>
        </w:rPr>
        <w:t>dominance</w:t>
      </w:r>
      <w:r w:rsidRPr="00E83E52">
        <w:t xml:space="preserve"> by the MNOs with a potential to abuse.</w:t>
      </w:r>
      <w:r w:rsidRPr="00E83E52">
        <w:rPr>
          <w:rStyle w:val="FootnoteReference"/>
          <w:color w:val="000000" w:themeColor="text1"/>
        </w:rPr>
        <w:footnoteReference w:id="159"/>
      </w:r>
      <w:r w:rsidRPr="00E83E52">
        <w:t xml:space="preserve"> A review of alleged price excessiveness is underway.</w:t>
      </w:r>
    </w:p>
    <w:p w14:paraId="580CE5C0" w14:textId="77777777" w:rsidR="00885B99" w:rsidRPr="00B57C48" w:rsidRDefault="00885B99" w:rsidP="00885B99">
      <w:pPr>
        <w:pStyle w:val="Headingb"/>
        <w:rPr>
          <w:i/>
        </w:rPr>
      </w:pPr>
      <w:r w:rsidRPr="00B57C48">
        <w:rPr>
          <w:i/>
        </w:rPr>
        <w:t>Zimbabwe</w:t>
      </w:r>
    </w:p>
    <w:p w14:paraId="01D6E75F" w14:textId="77777777" w:rsidR="00885B99" w:rsidRPr="00E83E52" w:rsidRDefault="00885B99" w:rsidP="00885B99">
      <w:r w:rsidRPr="00E83E52">
        <w:t xml:space="preserve">MNO </w:t>
      </w:r>
      <w:r w:rsidRPr="00E83E52">
        <w:rPr>
          <w:iCs/>
        </w:rPr>
        <w:t xml:space="preserve">Econet Wireless, </w:t>
      </w:r>
      <w:r w:rsidRPr="00E83E52">
        <w:t xml:space="preserve">through its EcoCash mobile money service subsidiary, </w:t>
      </w:r>
      <w:r w:rsidRPr="00E83E52">
        <w:rPr>
          <w:iCs/>
        </w:rPr>
        <w:t xml:space="preserve">was probed by the </w:t>
      </w:r>
      <w:r w:rsidRPr="00E83E52">
        <w:t xml:space="preserve">Competition and Tariff Commission in 2015 as to whether it contravened the competition law in dealing with banks. It had connected banks to its USSD platform for VAS, but charged the banks a </w:t>
      </w:r>
      <w:r w:rsidRPr="00E83E52">
        <w:lastRenderedPageBreak/>
        <w:t>higher fee for DFS transactions than what it had charged non-banks connected to EcoCash as well as its subsidiary, Steward Bank.</w:t>
      </w:r>
      <w:r w:rsidRPr="00E83E52">
        <w:rPr>
          <w:rStyle w:val="FootnoteReference"/>
          <w:color w:val="000000" w:themeColor="text1"/>
          <w:szCs w:val="24"/>
        </w:rPr>
        <w:footnoteReference w:id="160"/>
      </w:r>
    </w:p>
    <w:p w14:paraId="2C76DB37" w14:textId="77777777" w:rsidR="00885B99" w:rsidRPr="00E83E52" w:rsidRDefault="00885B99" w:rsidP="00885B99">
      <w:pPr>
        <w:spacing w:after="120"/>
        <w:rPr>
          <w:color w:val="222222"/>
          <w:szCs w:val="24"/>
          <w:shd w:val="clear" w:color="auto" w:fill="FFFFFF"/>
        </w:rPr>
      </w:pPr>
      <w:r w:rsidRPr="00E83E52">
        <w:rPr>
          <w:color w:val="222222"/>
          <w:szCs w:val="24"/>
          <w:shd w:val="clear" w:color="auto" w:fill="FFFFFF"/>
        </w:rPr>
        <w:t>In January 2017, the Zimbabwe Telecommunication regulator, POTRAZ</w:t>
      </w:r>
      <w:r w:rsidRPr="00E83E52">
        <w:rPr>
          <w:szCs w:val="24"/>
        </w:rPr>
        <w:t xml:space="preserve"> set floor prices on access to MNO services. It had </w:t>
      </w:r>
      <w:r w:rsidRPr="00E83E52">
        <w:rPr>
          <w:color w:val="222222"/>
          <w:szCs w:val="24"/>
          <w:shd w:val="clear" w:color="auto" w:fill="FFFFFF"/>
        </w:rPr>
        <w:t xml:space="preserve">used a study of a </w:t>
      </w:r>
      <w:r w:rsidRPr="00E83E52">
        <w:rPr>
          <w:color w:val="606060"/>
          <w:szCs w:val="24"/>
          <w:shd w:val="clear" w:color="auto" w:fill="FFFFFF"/>
        </w:rPr>
        <w:t>b</w:t>
      </w:r>
      <w:r w:rsidRPr="00E83E52">
        <w:rPr>
          <w:szCs w:val="24"/>
          <w:bdr w:val="none" w:sz="0" w:space="0" w:color="auto" w:frame="1"/>
          <w:shd w:val="clear" w:color="auto" w:fill="FFFFFF"/>
        </w:rPr>
        <w:t>ottom-up costing model</w:t>
      </w:r>
      <w:r w:rsidRPr="00E83E52">
        <w:rPr>
          <w:rStyle w:val="FootnoteReference"/>
          <w:szCs w:val="24"/>
          <w:bdr w:val="none" w:sz="0" w:space="0" w:color="auto" w:frame="1"/>
          <w:shd w:val="clear" w:color="auto" w:fill="FFFFFF"/>
        </w:rPr>
        <w:footnoteReference w:id="161"/>
      </w:r>
      <w:r w:rsidRPr="00E83E52">
        <w:rPr>
          <w:szCs w:val="24"/>
        </w:rPr>
        <w:t xml:space="preserve"> to determine pricing. Implementation of the new pricing, however, led to market confusion and massive retail price increases in mobile data, USSD, SMS and voice call costs. This led to recriminations between POTARZ, the MNOs and consumers. Ultimately the retail price increases were suspended by the MNOs a few days after initial implementation.</w:t>
      </w:r>
      <w:r>
        <w:rPr>
          <w:rStyle w:val="FootnoteReference"/>
          <w:szCs w:val="24"/>
        </w:rPr>
        <w:footnoteReference w:id="162"/>
      </w:r>
    </w:p>
    <w:p w14:paraId="66C48D32" w14:textId="77777777" w:rsidR="00885B99" w:rsidRPr="009F3C6D" w:rsidRDefault="00885B99" w:rsidP="00885B99">
      <w:pPr>
        <w:pStyle w:val="Heading3"/>
      </w:pPr>
      <w:bookmarkStart w:id="309" w:name="_Toc472443743"/>
      <w:bookmarkStart w:id="310" w:name="_Toc17799415"/>
      <w:r>
        <w:t>5.2.7</w:t>
      </w:r>
      <w:r>
        <w:tab/>
        <w:t>Quality of service in USSD s</w:t>
      </w:r>
      <w:r w:rsidRPr="009F3C6D">
        <w:t>essions</w:t>
      </w:r>
      <w:bookmarkEnd w:id="309"/>
      <w:bookmarkEnd w:id="310"/>
    </w:p>
    <w:p w14:paraId="1D699B32" w14:textId="77777777" w:rsidR="00885B99" w:rsidRPr="006046D9" w:rsidRDefault="00885B99" w:rsidP="00885B99">
      <w:pPr>
        <w:pStyle w:val="Heading4"/>
      </w:pPr>
      <w:r>
        <w:t>5.2.7.1</w:t>
      </w:r>
      <w:r>
        <w:tab/>
      </w:r>
      <w:r w:rsidRPr="006046D9">
        <w:t>Overview</w:t>
      </w:r>
    </w:p>
    <w:p w14:paraId="77739372" w14:textId="648C5FBB" w:rsidR="00885B99" w:rsidRPr="00E83E52" w:rsidRDefault="00885B99" w:rsidP="00885B99">
      <w:pPr>
        <w:rPr>
          <w:b/>
        </w:rPr>
      </w:pPr>
      <w:r w:rsidRPr="00E83E52">
        <w:t xml:space="preserve">Often USSD sessions drop, leading to a poor customer experience and maybe even loss of funds. This may dissuade customers from using the DFS service again, instead opting to use an </w:t>
      </w:r>
      <w:r>
        <w:t>o</w:t>
      </w:r>
      <w:r w:rsidRPr="00E83E52">
        <w:t xml:space="preserve">ver </w:t>
      </w:r>
      <w:r>
        <w:t>t</w:t>
      </w:r>
      <w:r w:rsidRPr="00E83E52">
        <w:t xml:space="preserve">he </w:t>
      </w:r>
      <w:r>
        <w:t>c</w:t>
      </w:r>
      <w:r w:rsidRPr="00E83E52">
        <w:t>ounter (OTC) provider to do a transaction for them. The reasons for the dropped USSD session may be poor GSM signal,</w:t>
      </w:r>
      <w:r w:rsidRPr="00E83E52">
        <w:rPr>
          <w:rStyle w:val="FootnoteReference"/>
          <w:color w:val="000000" w:themeColor="text1"/>
        </w:rPr>
        <w:footnoteReference w:id="163"/>
      </w:r>
      <w:r w:rsidRPr="00E83E52">
        <w:t xml:space="preserve"> network congestion, or –</w:t>
      </w:r>
      <w:r w:rsidR="00ED4A34">
        <w:t> </w:t>
      </w:r>
      <w:r w:rsidRPr="00E83E52">
        <w:t>as some TSPs and PSPs have alleged</w:t>
      </w:r>
      <w:r w:rsidR="00ED4A34">
        <w:t> </w:t>
      </w:r>
      <w:r w:rsidRPr="00E83E52">
        <w:t>– deliberate throttling of their customer</w:t>
      </w:r>
      <w:r>
        <w:t>'</w:t>
      </w:r>
      <w:r w:rsidRPr="00E83E52">
        <w:t xml:space="preserve">s USSD </w:t>
      </w:r>
      <w:r w:rsidRPr="00EE7026">
        <w:rPr>
          <w:color w:val="222222"/>
          <w:szCs w:val="24"/>
          <w:shd w:val="clear" w:color="auto" w:fill="FFFFFF"/>
        </w:rPr>
        <w:t>sessions</w:t>
      </w:r>
      <w:r w:rsidRPr="00E83E52">
        <w:t>. Such drops may reflect poorly on the TSPs and PSP</w:t>
      </w:r>
      <w:r>
        <w:t>'</w:t>
      </w:r>
      <w:r w:rsidRPr="00E83E52">
        <w:t>s service offering.</w:t>
      </w:r>
    </w:p>
    <w:p w14:paraId="27EC64CA" w14:textId="77777777" w:rsidR="00885B99" w:rsidRPr="006046D9" w:rsidRDefault="00885B99" w:rsidP="00885B99">
      <w:pPr>
        <w:pStyle w:val="Headingb"/>
      </w:pPr>
      <w:r>
        <w:t>5.2.7.2</w:t>
      </w:r>
      <w:r>
        <w:tab/>
        <w:t>Competition a</w:t>
      </w:r>
      <w:r w:rsidRPr="006046D9">
        <w:t>spects</w:t>
      </w:r>
    </w:p>
    <w:p w14:paraId="32E37446" w14:textId="77777777" w:rsidR="00885B99" w:rsidRPr="00E83E52" w:rsidRDefault="00885B99" w:rsidP="00885B99">
      <w:r w:rsidRPr="00E83E52">
        <w:rPr>
          <w:bCs/>
        </w:rPr>
        <w:t xml:space="preserve">Complaints from SPs allege that while MNOs may provide access, the QOS is poor, characterized by a </w:t>
      </w:r>
      <w:r w:rsidRPr="00E83E52">
        <w:t xml:space="preserve">high </w:t>
      </w:r>
      <w:r w:rsidRPr="00EE7026">
        <w:rPr>
          <w:color w:val="222222"/>
          <w:szCs w:val="24"/>
          <w:shd w:val="clear" w:color="auto" w:fill="FFFFFF"/>
        </w:rPr>
        <w:t>proportion</w:t>
      </w:r>
      <w:r w:rsidRPr="00E83E52">
        <w:t xml:space="preserve"> of dropped USSD sessions that abruptly end before the customer session is completed. As noted above, technical issues relating to GSM networks and coverage may be the issue, although some SPs have alleged that they are being handicapped through implementation of random throttling or prioritizing of access.</w:t>
      </w:r>
      <w:r w:rsidRPr="00E83E52">
        <w:rPr>
          <w:rStyle w:val="FootnoteReference"/>
          <w:color w:val="000000" w:themeColor="text1"/>
        </w:rPr>
        <w:footnoteReference w:id="164"/>
      </w:r>
      <w:r w:rsidRPr="00E83E52">
        <w:t xml:space="preserve"> As a recent CGAP report noted, whether quality can be selectively degraded by the MNOs, and if they are doing so, is a factual issue that can be further explored by a regulator in markets where these allegations arise.</w:t>
      </w:r>
      <w:r w:rsidRPr="00E83E52">
        <w:rPr>
          <w:rStyle w:val="FootnoteReference"/>
          <w:color w:val="000000" w:themeColor="text1"/>
        </w:rPr>
        <w:footnoteReference w:id="165"/>
      </w:r>
    </w:p>
    <w:p w14:paraId="5AF06191" w14:textId="77777777" w:rsidR="00885B99" w:rsidRPr="006046D9" w:rsidRDefault="00885B99" w:rsidP="00885B99">
      <w:pPr>
        <w:pStyle w:val="Heading4"/>
      </w:pPr>
      <w:r>
        <w:lastRenderedPageBreak/>
        <w:t>5.2.7.3</w:t>
      </w:r>
      <w:r>
        <w:tab/>
        <w:t>Country e</w:t>
      </w:r>
      <w:r w:rsidRPr="006046D9">
        <w:t>xamples</w:t>
      </w:r>
    </w:p>
    <w:p w14:paraId="52DBE419" w14:textId="77777777" w:rsidR="00885B99" w:rsidRPr="00B57C48" w:rsidRDefault="00885B99" w:rsidP="00885B99">
      <w:pPr>
        <w:pStyle w:val="Headingb"/>
        <w:rPr>
          <w:i/>
        </w:rPr>
      </w:pPr>
      <w:r w:rsidRPr="00B57C48">
        <w:rPr>
          <w:i/>
        </w:rPr>
        <w:t>Uganda</w:t>
      </w:r>
    </w:p>
    <w:p w14:paraId="58CA668D" w14:textId="77777777" w:rsidR="00885B99" w:rsidRPr="00E83E52" w:rsidRDefault="00885B99" w:rsidP="00885B99">
      <w:r w:rsidRPr="00E83E52">
        <w:t xml:space="preserve">Some TSPs and </w:t>
      </w:r>
      <w:r w:rsidRPr="00EE7026">
        <w:rPr>
          <w:color w:val="222222"/>
          <w:shd w:val="clear" w:color="auto" w:fill="FFFFFF"/>
        </w:rPr>
        <w:t>PSPs</w:t>
      </w:r>
      <w:r w:rsidRPr="00E83E52">
        <w:t xml:space="preserve"> say that their customers experience QOS issues with USSD sessions, but the TSP/PSP is unable to </w:t>
      </w:r>
      <w:r>
        <w:t>'</w:t>
      </w:r>
      <w:r w:rsidRPr="00E83E52">
        <w:t>fix</w:t>
      </w:r>
      <w:r>
        <w:t>'</w:t>
      </w:r>
      <w:r w:rsidRPr="00E83E52">
        <w:t xml:space="preserve"> the issue because some MNOs refuse to provide a QOS guarantee to them in their service contracts.</w:t>
      </w:r>
      <w:r w:rsidRPr="00E83E52">
        <w:rPr>
          <w:rStyle w:val="FootnoteReference"/>
          <w:color w:val="000000" w:themeColor="text1"/>
          <w:szCs w:val="24"/>
        </w:rPr>
        <w:footnoteReference w:id="166"/>
      </w:r>
      <w:r w:rsidRPr="00E83E52">
        <w:t xml:space="preserve"> SPs have also alleged to the UCC that they may not have visibility of some failed USSD transactions.</w:t>
      </w:r>
      <w:r w:rsidRPr="00E83E52">
        <w:rPr>
          <w:rStyle w:val="FootnoteReference"/>
          <w:color w:val="000000" w:themeColor="text1"/>
          <w:szCs w:val="24"/>
        </w:rPr>
        <w:footnoteReference w:id="167"/>
      </w:r>
      <w:r w:rsidRPr="00E83E52">
        <w:t xml:space="preserve"> The length, duration, quality and wholesale charges of USSD sessions used in DFS are the subject of an ongoing exploratory investigation by the UCC.</w:t>
      </w:r>
      <w:r w:rsidRPr="00E83E52">
        <w:rPr>
          <w:rStyle w:val="FootnoteReference"/>
          <w:color w:val="000000" w:themeColor="text1"/>
          <w:szCs w:val="24"/>
        </w:rPr>
        <w:footnoteReference w:id="168"/>
      </w:r>
    </w:p>
    <w:p w14:paraId="67CD1666" w14:textId="77777777" w:rsidR="00885B99" w:rsidRPr="00DF0713" w:rsidRDefault="00885B99" w:rsidP="00885B99">
      <w:pPr>
        <w:pStyle w:val="Heading1"/>
      </w:pPr>
      <w:bookmarkStart w:id="311" w:name="_Toc472443744"/>
      <w:bookmarkStart w:id="312" w:name="_Toc17799416"/>
      <w:bookmarkStart w:id="313" w:name="_Toc17881568"/>
      <w:bookmarkStart w:id="314" w:name="_Toc17882398"/>
      <w:bookmarkStart w:id="315" w:name="_Toc17882617"/>
      <w:bookmarkStart w:id="316" w:name="_Toc17882836"/>
      <w:bookmarkStart w:id="317" w:name="_Toc17883191"/>
      <w:bookmarkStart w:id="318" w:name="_Toc17892863"/>
      <w:bookmarkStart w:id="319" w:name="_Toc17893082"/>
      <w:bookmarkStart w:id="320" w:name="_Toc17893301"/>
      <w:bookmarkStart w:id="321" w:name="_Toc17894162"/>
      <w:bookmarkStart w:id="322" w:name="_Toc17894390"/>
      <w:bookmarkStart w:id="323" w:name="_Toc17969244"/>
      <w:r>
        <w:t>6</w:t>
      </w:r>
      <w:r>
        <w:tab/>
      </w:r>
      <w:r w:rsidRPr="00DF0713">
        <w:t>Sim Toolkit access</w:t>
      </w:r>
      <w:bookmarkEnd w:id="311"/>
      <w:bookmarkEnd w:id="312"/>
      <w:bookmarkEnd w:id="313"/>
      <w:bookmarkEnd w:id="314"/>
      <w:bookmarkEnd w:id="315"/>
      <w:bookmarkEnd w:id="316"/>
      <w:bookmarkEnd w:id="317"/>
      <w:bookmarkEnd w:id="318"/>
      <w:bookmarkEnd w:id="319"/>
      <w:bookmarkEnd w:id="320"/>
      <w:bookmarkEnd w:id="321"/>
      <w:bookmarkEnd w:id="322"/>
      <w:bookmarkEnd w:id="323"/>
    </w:p>
    <w:p w14:paraId="41E12577" w14:textId="77777777" w:rsidR="00885B99" w:rsidRPr="00F03707" w:rsidRDefault="00885B99" w:rsidP="00885B99">
      <w:pPr>
        <w:pStyle w:val="Heading2"/>
      </w:pPr>
      <w:bookmarkStart w:id="324" w:name="_Toc472443745"/>
      <w:bookmarkStart w:id="325" w:name="_Toc17799417"/>
      <w:bookmarkStart w:id="326" w:name="_Toc17881569"/>
      <w:bookmarkStart w:id="327" w:name="_Toc17882399"/>
      <w:bookmarkStart w:id="328" w:name="_Toc17882618"/>
      <w:bookmarkStart w:id="329" w:name="_Toc17882837"/>
      <w:bookmarkStart w:id="330" w:name="_Toc17883192"/>
      <w:bookmarkStart w:id="331" w:name="_Toc17892864"/>
      <w:bookmarkStart w:id="332" w:name="_Toc17893083"/>
      <w:bookmarkStart w:id="333" w:name="_Toc17893302"/>
      <w:bookmarkStart w:id="334" w:name="_Toc17894163"/>
      <w:bookmarkStart w:id="335" w:name="_Toc17894391"/>
      <w:bookmarkStart w:id="336" w:name="_Toc17969245"/>
      <w:r>
        <w:t>6.1</w:t>
      </w:r>
      <w:r>
        <w:tab/>
      </w:r>
      <w:r w:rsidRPr="004D7F8C">
        <w:t>Overview</w:t>
      </w:r>
      <w:bookmarkEnd w:id="324"/>
      <w:bookmarkEnd w:id="325"/>
      <w:bookmarkEnd w:id="326"/>
      <w:bookmarkEnd w:id="327"/>
      <w:bookmarkEnd w:id="328"/>
      <w:bookmarkEnd w:id="329"/>
      <w:bookmarkEnd w:id="330"/>
      <w:bookmarkEnd w:id="331"/>
      <w:bookmarkEnd w:id="332"/>
      <w:bookmarkEnd w:id="333"/>
      <w:bookmarkEnd w:id="334"/>
      <w:bookmarkEnd w:id="335"/>
      <w:bookmarkEnd w:id="336"/>
    </w:p>
    <w:p w14:paraId="75671AF9" w14:textId="77777777" w:rsidR="00885B99" w:rsidRDefault="00885B99" w:rsidP="00885B99">
      <w:r w:rsidRPr="00E83E52">
        <w:t xml:space="preserve">SIM Toolkit (STK) is a popular SMS-based remote access and UI GSM technology used to provide DFS and related services to markets where basic and feature phones are the plurality. It </w:t>
      </w:r>
      <w:r w:rsidRPr="00E83E52">
        <w:rPr>
          <w:shd w:val="clear" w:color="auto" w:fill="FFFFFF"/>
        </w:rPr>
        <w:t>is</w:t>
      </w:r>
      <w:r w:rsidRPr="00E83E52">
        <w:t xml:space="preserve"> currently one of the most extensively and globally used mobile interfaces in DFS, other than USSD.</w:t>
      </w:r>
      <w:r w:rsidRPr="00E83E52">
        <w:rPr>
          <w:rStyle w:val="FootnoteReference"/>
          <w:color w:val="000000" w:themeColor="text1"/>
        </w:rPr>
        <w:footnoteReference w:id="169"/>
      </w:r>
    </w:p>
    <w:p w14:paraId="0F82AD02" w14:textId="77777777" w:rsidR="00885B99" w:rsidRPr="00E83E52" w:rsidRDefault="00885B99" w:rsidP="00885B99">
      <w:r w:rsidRPr="00E83E52">
        <w:t>A specialized SIM to host the STK application and STK-compatible phone is required. The STK technology is embedded on the SIM card, allowing special applications for DFS and banking services to be accessed by the subscriber using custom menus stored on the SIM card.</w:t>
      </w:r>
      <w:r w:rsidRPr="00E83E52">
        <w:rPr>
          <w:rStyle w:val="FootnoteReference"/>
          <w:color w:val="000000" w:themeColor="text1"/>
        </w:rPr>
        <w:footnoteReference w:id="170"/>
      </w:r>
      <w:r w:rsidRPr="00E83E52">
        <w:t xml:space="preserve"> On a </w:t>
      </w:r>
      <w:r>
        <w:t>'</w:t>
      </w:r>
      <w:r w:rsidRPr="00E83E52">
        <w:t>basic</w:t>
      </w:r>
      <w:r>
        <w:t>'</w:t>
      </w:r>
      <w:r w:rsidRPr="00E83E52">
        <w:t xml:space="preserve"> phone, the STK menu may appear as an additional phone menu item when scrolling through basic menus to access the phone</w:t>
      </w:r>
      <w:r>
        <w:t>'</w:t>
      </w:r>
      <w:r w:rsidRPr="00E83E52">
        <w:t>s features.</w:t>
      </w:r>
      <w:r>
        <w:rPr>
          <w:rStyle w:val="FootnoteReference"/>
          <w:color w:val="000000" w:themeColor="text1"/>
        </w:rPr>
        <w:footnoteReference w:id="171"/>
      </w:r>
      <w:r w:rsidRPr="00E83E52">
        <w:t xml:space="preserve"> On a feature phone or smartphone, the STK will usually manifest as a specific application icon that appears on the device</w:t>
      </w:r>
      <w:r>
        <w:t>'</w:t>
      </w:r>
      <w:r w:rsidRPr="00E83E52">
        <w:t>s home screen.</w:t>
      </w:r>
      <w:r w:rsidRPr="00E83E52">
        <w:rPr>
          <w:rStyle w:val="FootnoteReference"/>
          <w:color w:val="000000" w:themeColor="text1"/>
        </w:rPr>
        <w:footnoteReference w:id="172"/>
      </w:r>
    </w:p>
    <w:p w14:paraId="2333E498" w14:textId="77777777" w:rsidR="00885B99" w:rsidRPr="00E83E52" w:rsidRDefault="00885B99" w:rsidP="00885B99">
      <w:r w:rsidRPr="00E83E52">
        <w:t>The STK will usually uses SMS as a bearer for communication with a host,</w:t>
      </w:r>
      <w:r w:rsidRPr="00E83E52">
        <w:rPr>
          <w:rStyle w:val="FootnoteReference"/>
          <w:color w:val="000000" w:themeColor="text1"/>
        </w:rPr>
        <w:footnoteReference w:id="173"/>
      </w:r>
      <w:r w:rsidRPr="00E83E52">
        <w:t xml:space="preserve"> encrypting the (usually) cleartext SMS to/f</w:t>
      </w:r>
      <w:r>
        <w:t>rom the handset and STK server.</w:t>
      </w:r>
    </w:p>
    <w:p w14:paraId="18D55DE8" w14:textId="77777777" w:rsidR="00885B99" w:rsidRPr="00E83E52" w:rsidRDefault="00885B99" w:rsidP="00885B99">
      <w:pPr>
        <w:keepNext/>
        <w:keepLines/>
      </w:pPr>
      <w:r w:rsidRPr="00E83E52">
        <w:lastRenderedPageBreak/>
        <w:t>STK is implemented in three layers:</w:t>
      </w:r>
    </w:p>
    <w:p w14:paraId="4C805A15" w14:textId="40DC684B" w:rsidR="00885B99" w:rsidRPr="00E83E52" w:rsidRDefault="00885B99" w:rsidP="00885B99">
      <w:pPr>
        <w:pStyle w:val="enumlev1"/>
        <w:keepNext/>
        <w:keepLines/>
      </w:pPr>
      <w:r>
        <w:t>•</w:t>
      </w:r>
      <w:r>
        <w:tab/>
      </w:r>
      <w:r w:rsidRPr="00E83E52">
        <w:t>A software application provided by a SP/bank</w:t>
      </w:r>
      <w:r w:rsidR="00ED4A34">
        <w:t>,</w:t>
      </w:r>
    </w:p>
    <w:p w14:paraId="730CB86F" w14:textId="77777777" w:rsidR="00885B99" w:rsidRPr="00E83E52" w:rsidRDefault="00885B99" w:rsidP="00885B99">
      <w:pPr>
        <w:pStyle w:val="enumlev1"/>
        <w:keepNext/>
        <w:keepLines/>
      </w:pPr>
      <w:r>
        <w:t>•</w:t>
      </w:r>
      <w:r>
        <w:tab/>
      </w:r>
      <w:r w:rsidRPr="00E83E52">
        <w:t>SIM Toolkit Application Programming Interface (API) gateway service offered by a MNO that include the required encryption keys,</w:t>
      </w:r>
      <w:r>
        <w:rPr>
          <w:rStyle w:val="FootnoteReference"/>
        </w:rPr>
        <w:footnoteReference w:id="174"/>
      </w:r>
      <w:r w:rsidRPr="00E83E52">
        <w:t xml:space="preserve"> and</w:t>
      </w:r>
    </w:p>
    <w:p w14:paraId="4A0C6E3D" w14:textId="50F334D6" w:rsidR="00885B99" w:rsidRPr="00E83E52" w:rsidRDefault="00885B99" w:rsidP="00885B99">
      <w:pPr>
        <w:pStyle w:val="enumlev1"/>
      </w:pPr>
      <w:r>
        <w:t>•</w:t>
      </w:r>
      <w:r>
        <w:tab/>
      </w:r>
      <w:r w:rsidRPr="00E83E52">
        <w:t xml:space="preserve">Customer User Interface and STK </w:t>
      </w:r>
      <w:r>
        <w:t>'</w:t>
      </w:r>
      <w:r w:rsidRPr="00E83E52">
        <w:t>translator</w:t>
      </w:r>
      <w:r>
        <w:t>'</w:t>
      </w:r>
      <w:r w:rsidRPr="00E83E52">
        <w:t xml:space="preserve"> via the STK SIM card on handset</w:t>
      </w:r>
      <w:r w:rsidR="00ED4A34">
        <w:t>.</w:t>
      </w:r>
    </w:p>
    <w:p w14:paraId="59EDF3FF" w14:textId="77777777" w:rsidR="00885B99" w:rsidRPr="00E83E52" w:rsidRDefault="00885B99" w:rsidP="00885B99">
      <w:r w:rsidRPr="00E83E52">
        <w:t>The handset will receive instructions from the SIM card to perform specific functions,</w:t>
      </w:r>
      <w:r>
        <w:rPr>
          <w:rStyle w:val="FootnoteReference"/>
          <w:color w:val="000000" w:themeColor="text1"/>
        </w:rPr>
        <w:footnoteReference w:id="175"/>
      </w:r>
      <w:r w:rsidRPr="00E83E52">
        <w:t xml:space="preserve"> which are then communicated to an application server, usually but not always transiting a dedicated STK server housed at the MNO which acts as a translator of encrypted communications for transit to the SP.</w:t>
      </w:r>
      <w:r w:rsidRPr="00E83E52">
        <w:rPr>
          <w:rStyle w:val="FootnoteReference"/>
          <w:color w:val="000000" w:themeColor="text1"/>
        </w:rPr>
        <w:footnoteReference w:id="176"/>
      </w:r>
    </w:p>
    <w:p w14:paraId="18B675AD" w14:textId="77777777" w:rsidR="00885B99" w:rsidRPr="009F3C6D" w:rsidRDefault="00885B99" w:rsidP="00885B99">
      <w:pPr>
        <w:pStyle w:val="Heading2"/>
      </w:pPr>
      <w:bookmarkStart w:id="337" w:name="_Toc472443746"/>
      <w:bookmarkStart w:id="338" w:name="_Toc17799418"/>
      <w:bookmarkStart w:id="339" w:name="_Toc17881570"/>
      <w:bookmarkStart w:id="340" w:name="_Toc17882400"/>
      <w:bookmarkStart w:id="341" w:name="_Toc17882619"/>
      <w:bookmarkStart w:id="342" w:name="_Toc17882838"/>
      <w:bookmarkStart w:id="343" w:name="_Toc17883193"/>
      <w:bookmarkStart w:id="344" w:name="_Toc17892865"/>
      <w:bookmarkStart w:id="345" w:name="_Toc17893084"/>
      <w:bookmarkStart w:id="346" w:name="_Toc17893303"/>
      <w:bookmarkStart w:id="347" w:name="_Toc17894164"/>
      <w:bookmarkStart w:id="348" w:name="_Toc17894392"/>
      <w:bookmarkStart w:id="349" w:name="_Toc17969246"/>
      <w:r>
        <w:t>6.2</w:t>
      </w:r>
      <w:r>
        <w:tab/>
      </w:r>
      <w:r w:rsidRPr="004D7F8C">
        <w:t>Competition Aspects</w:t>
      </w:r>
      <w:bookmarkEnd w:id="337"/>
      <w:bookmarkEnd w:id="338"/>
      <w:bookmarkEnd w:id="339"/>
      <w:bookmarkEnd w:id="340"/>
      <w:bookmarkEnd w:id="341"/>
      <w:bookmarkEnd w:id="342"/>
      <w:bookmarkEnd w:id="343"/>
      <w:bookmarkEnd w:id="344"/>
      <w:bookmarkEnd w:id="345"/>
      <w:bookmarkEnd w:id="346"/>
      <w:bookmarkEnd w:id="347"/>
      <w:bookmarkEnd w:id="348"/>
      <w:bookmarkEnd w:id="349"/>
    </w:p>
    <w:p w14:paraId="2ACD20E0" w14:textId="77777777" w:rsidR="00885B99" w:rsidRPr="00AF4C6E" w:rsidRDefault="00885B99" w:rsidP="00885B99">
      <w:pPr>
        <w:pStyle w:val="Heading3"/>
        <w:spacing w:before="120"/>
        <w:ind w:left="720" w:hanging="720"/>
        <w:rPr>
          <w:color w:val="000000" w:themeColor="text1"/>
          <w:szCs w:val="24"/>
        </w:rPr>
      </w:pPr>
      <w:bookmarkStart w:id="350" w:name="_Toc472443747"/>
      <w:bookmarkStart w:id="351" w:name="_Toc17799419"/>
      <w:r>
        <w:rPr>
          <w:color w:val="000000" w:themeColor="text1"/>
          <w:szCs w:val="24"/>
        </w:rPr>
        <w:t>6.2.1</w:t>
      </w:r>
      <w:r>
        <w:rPr>
          <w:color w:val="000000" w:themeColor="text1"/>
          <w:szCs w:val="24"/>
        </w:rPr>
        <w:tab/>
      </w:r>
      <w:r w:rsidRPr="00AF4C6E">
        <w:rPr>
          <w:color w:val="000000" w:themeColor="text1"/>
          <w:szCs w:val="24"/>
        </w:rPr>
        <w:t>Overview</w:t>
      </w:r>
      <w:bookmarkEnd w:id="350"/>
      <w:bookmarkEnd w:id="351"/>
    </w:p>
    <w:p w14:paraId="1A72FF9A" w14:textId="77777777" w:rsidR="00885B99" w:rsidRPr="00E83E52" w:rsidRDefault="00885B99" w:rsidP="00885B99">
      <w:pPr>
        <w:rPr>
          <w:noProof/>
        </w:rPr>
      </w:pPr>
      <w:r w:rsidRPr="00E83E52">
        <w:rPr>
          <w:noProof/>
          <w:color w:val="000000" w:themeColor="text1"/>
        </w:rPr>
        <w:t>Key to providing STK-based services is that the MNO provides access to its STK gateway; allows the SPs menu to be placed on the MNO SIM; allows Over The Air (OTA) updating of the SIM menus as needed; and that the MNO provides the DFS SP with short codes the SP</w:t>
      </w:r>
      <w:r>
        <w:rPr>
          <w:noProof/>
          <w:color w:val="000000" w:themeColor="text1"/>
        </w:rPr>
        <w:t>'</w:t>
      </w:r>
      <w:r w:rsidRPr="00E83E52">
        <w:rPr>
          <w:noProof/>
          <w:color w:val="000000" w:themeColor="text1"/>
        </w:rPr>
        <w:t>s customers will use to access the SPs DFS service.</w:t>
      </w:r>
      <w:r>
        <w:rPr>
          <w:rStyle w:val="FootnoteReference"/>
          <w:noProof/>
          <w:color w:val="000000" w:themeColor="text1"/>
        </w:rPr>
        <w:footnoteReference w:id="177"/>
      </w:r>
    </w:p>
    <w:p w14:paraId="48C482B3" w14:textId="77777777" w:rsidR="00885B99" w:rsidRPr="00AF4C6E" w:rsidRDefault="00885B99" w:rsidP="00885B99">
      <w:pPr>
        <w:pStyle w:val="Heading3"/>
      </w:pPr>
      <w:bookmarkStart w:id="352" w:name="_Toc472443748"/>
      <w:bookmarkStart w:id="353" w:name="_Toc17799420"/>
      <w:r>
        <w:rPr>
          <w:color w:val="000000" w:themeColor="text1"/>
          <w:szCs w:val="24"/>
        </w:rPr>
        <w:t>6.2.2</w:t>
      </w:r>
      <w:r>
        <w:rPr>
          <w:color w:val="000000" w:themeColor="text1"/>
          <w:szCs w:val="24"/>
        </w:rPr>
        <w:tab/>
      </w:r>
      <w:r>
        <w:t>Access t</w:t>
      </w:r>
      <w:r w:rsidRPr="00AF4C6E">
        <w:t xml:space="preserve">o STK </w:t>
      </w:r>
      <w:r>
        <w:t>g</w:t>
      </w:r>
      <w:r w:rsidRPr="00AF4C6E">
        <w:t>ateway</w:t>
      </w:r>
      <w:bookmarkEnd w:id="352"/>
      <w:bookmarkEnd w:id="353"/>
    </w:p>
    <w:p w14:paraId="35D6D901" w14:textId="77777777" w:rsidR="00885B99" w:rsidRPr="00E83E52" w:rsidRDefault="00885B99" w:rsidP="00885B99">
      <w:r w:rsidRPr="00E83E52">
        <w:t>It is self-evident that for third party SPs to provide STK-based services to their customers, the MNO must provide these third parties access to their STK gateway. If this is refused, the third party may need to use another access bearer such as USSD, Near Sound Data Transfer (NSDT), Java applets, Wireless Application Protocol (WAP)-based access, or Over The Top (OTT) smartphone apps. Some of these alternate access mechanisms, however, may not have the same relative mass-market discovery potential as STK-based access.</w:t>
      </w:r>
    </w:p>
    <w:p w14:paraId="0E4FDC40" w14:textId="77777777" w:rsidR="00885B99" w:rsidRPr="00AF4C6E" w:rsidRDefault="00885B99" w:rsidP="00885B99">
      <w:pPr>
        <w:pStyle w:val="Heading3"/>
      </w:pPr>
      <w:bookmarkStart w:id="354" w:name="_Toc472443749"/>
      <w:bookmarkStart w:id="355" w:name="_Toc17799421"/>
      <w:r>
        <w:rPr>
          <w:color w:val="000000" w:themeColor="text1"/>
          <w:szCs w:val="24"/>
        </w:rPr>
        <w:t>6.2.3</w:t>
      </w:r>
      <w:r>
        <w:rPr>
          <w:color w:val="000000" w:themeColor="text1"/>
          <w:szCs w:val="24"/>
        </w:rPr>
        <w:tab/>
      </w:r>
      <w:r w:rsidRPr="00AF4C6E">
        <w:t xml:space="preserve">SIM </w:t>
      </w:r>
      <w:r>
        <w:t>m</w:t>
      </w:r>
      <w:r w:rsidRPr="00AF4C6E">
        <w:t>enus</w:t>
      </w:r>
      <w:bookmarkEnd w:id="354"/>
      <w:bookmarkEnd w:id="355"/>
    </w:p>
    <w:p w14:paraId="28C13168" w14:textId="77777777" w:rsidR="00885B99" w:rsidRPr="00E83E52" w:rsidRDefault="00885B99" w:rsidP="00885B99">
      <w:pPr>
        <w:rPr>
          <w:noProof/>
        </w:rPr>
      </w:pPr>
      <w:r w:rsidRPr="00E83E52">
        <w:t>In terms of competition, issuance by a MNO of SIMs with STK and specific menus or icons may give the MNO and its partners a huge advantage over any other third parties that may want to provide similar services, since the discovery of the MNO</w:t>
      </w:r>
      <w:r>
        <w:t>'</w:t>
      </w:r>
      <w:r w:rsidRPr="00E83E52">
        <w:t>s STK menu is persistent and does not require a download</w:t>
      </w:r>
      <w:r w:rsidRPr="00E83E52">
        <w:rPr>
          <w:rStyle w:val="FootnoteReference"/>
          <w:color w:val="000000" w:themeColor="text1"/>
        </w:rPr>
        <w:footnoteReference w:id="178"/>
      </w:r>
      <w:r w:rsidRPr="00E83E52">
        <w:t xml:space="preserve"> to the handset by the third party.</w:t>
      </w:r>
    </w:p>
    <w:p w14:paraId="1691386D" w14:textId="77777777" w:rsidR="00885B99" w:rsidRPr="00E83E52" w:rsidRDefault="00885B99" w:rsidP="00885B99">
      <w:r w:rsidRPr="00E83E52">
        <w:rPr>
          <w:shd w:val="clear" w:color="auto" w:fill="FFFFFF"/>
        </w:rPr>
        <w:t xml:space="preserve">To deliver SIM menu updates, either the SIM must be returned to a MNO or SP agent, as the case may be, and </w:t>
      </w:r>
      <w:r w:rsidRPr="00EE7026">
        <w:t>exchanged</w:t>
      </w:r>
      <w:r w:rsidRPr="00E83E52">
        <w:rPr>
          <w:shd w:val="clear" w:color="auto" w:fill="FFFFFF"/>
        </w:rPr>
        <w:t xml:space="preserve"> for a new one. Or, the application updates must be delivered</w:t>
      </w:r>
      <w:r>
        <w:rPr>
          <w:shd w:val="clear" w:color="auto" w:fill="FFFFFF"/>
        </w:rPr>
        <w:t xml:space="preserve"> </w:t>
      </w:r>
      <w:r w:rsidRPr="00060B5E">
        <w:t>OTA</w:t>
      </w:r>
      <w:r>
        <w:t xml:space="preserve"> </w:t>
      </w:r>
      <w:r w:rsidRPr="00060B5E">
        <w:t>using</w:t>
      </w:r>
      <w:r w:rsidRPr="00E83E52">
        <w:rPr>
          <w:shd w:val="clear" w:color="auto" w:fill="FFFFFF"/>
        </w:rPr>
        <w:t xml:space="preserve"> specialized, optional SIM features and multiple binary SMSs sent to the mobile handset. Update limitations – and the fact that the MNO controls the STK gateway and pricing thereof</w:t>
      </w:r>
      <w:r>
        <w:rPr>
          <w:shd w:val="clear" w:color="auto" w:fill="FFFFFF"/>
        </w:rPr>
        <w:t> –</w:t>
      </w:r>
      <w:r w:rsidRPr="00E83E52">
        <w:rPr>
          <w:shd w:val="clear" w:color="auto" w:fill="FFFFFF"/>
        </w:rPr>
        <w:t xml:space="preserve"> may hinder the number and frequency of STK application deployments and thus the ability to provide new user features. This is especially so for SPs dependent on the STK gateway access at the MNO, and who </w:t>
      </w:r>
      <w:r w:rsidRPr="00E83E52">
        <w:rPr>
          <w:shd w:val="clear" w:color="auto" w:fill="FFFFFF"/>
        </w:rPr>
        <w:lastRenderedPageBreak/>
        <w:t>are sensitive to STK transaction pricing by MNOs.</w:t>
      </w:r>
      <w:r w:rsidRPr="00E83E52">
        <w:rPr>
          <w:rStyle w:val="FootnoteReference"/>
          <w:color w:val="000000" w:themeColor="text1"/>
          <w:shd w:val="clear" w:color="auto" w:fill="FFFFFF"/>
        </w:rPr>
        <w:footnoteReference w:id="179"/>
      </w:r>
      <w:r w:rsidRPr="00E83E52">
        <w:t xml:space="preserve"> Use of Thin SIMs may bypass competition-related access bottlenecks.</w:t>
      </w:r>
      <w:r w:rsidRPr="00E83E52">
        <w:rPr>
          <w:rStyle w:val="FootnoteReference"/>
          <w:color w:val="000000" w:themeColor="text1"/>
        </w:rPr>
        <w:footnoteReference w:id="180"/>
      </w:r>
      <w:r w:rsidRPr="00E83E52">
        <w:t xml:space="preserve"> Even if access is made available to the necessary STK components, variable and often caustic pricing can make the transaction unprofitable.</w:t>
      </w:r>
    </w:p>
    <w:p w14:paraId="5C2E78AD" w14:textId="77777777" w:rsidR="00885B99" w:rsidRPr="00AF4C6E" w:rsidRDefault="00885B99" w:rsidP="00885B99">
      <w:pPr>
        <w:pStyle w:val="Heading3"/>
      </w:pPr>
      <w:bookmarkStart w:id="356" w:name="_Toc472443750"/>
      <w:bookmarkStart w:id="357" w:name="_Toc17799422"/>
      <w:r>
        <w:rPr>
          <w:color w:val="000000" w:themeColor="text1"/>
          <w:szCs w:val="24"/>
        </w:rPr>
        <w:t>6.2.4</w:t>
      </w:r>
      <w:r>
        <w:rPr>
          <w:color w:val="000000" w:themeColor="text1"/>
          <w:szCs w:val="24"/>
        </w:rPr>
        <w:tab/>
      </w:r>
      <w:r>
        <w:t>Access to s</w:t>
      </w:r>
      <w:r w:rsidRPr="00AF4C6E">
        <w:t>hort codes</w:t>
      </w:r>
      <w:bookmarkEnd w:id="356"/>
      <w:bookmarkEnd w:id="357"/>
    </w:p>
    <w:p w14:paraId="7DD85ED5" w14:textId="77777777" w:rsidR="00885B99" w:rsidRPr="00E83E52" w:rsidRDefault="00885B99" w:rsidP="00885B99">
      <w:pPr>
        <w:spacing w:after="120"/>
        <w:rPr>
          <w:color w:val="000000" w:themeColor="text1"/>
          <w:szCs w:val="24"/>
        </w:rPr>
      </w:pPr>
      <w:r w:rsidRPr="00E83E52">
        <w:rPr>
          <w:color w:val="000000" w:themeColor="text1"/>
          <w:szCs w:val="24"/>
        </w:rPr>
        <w:t xml:space="preserve">The </w:t>
      </w:r>
      <w:r>
        <w:rPr>
          <w:color w:val="000000" w:themeColor="text1"/>
          <w:szCs w:val="24"/>
        </w:rPr>
        <w:t>'</w:t>
      </w:r>
      <w:r w:rsidRPr="00EE7026">
        <w:rPr>
          <w:color w:val="000000" w:themeColor="text1"/>
        </w:rPr>
        <w:t>short</w:t>
      </w:r>
      <w:r w:rsidRPr="00E83E52">
        <w:rPr>
          <w:color w:val="000000" w:themeColor="text1"/>
          <w:szCs w:val="24"/>
        </w:rPr>
        <w:t xml:space="preserve"> code</w:t>
      </w:r>
      <w:r>
        <w:rPr>
          <w:color w:val="000000" w:themeColor="text1"/>
          <w:szCs w:val="24"/>
        </w:rPr>
        <w:t>'</w:t>
      </w:r>
      <w:r w:rsidRPr="00E83E52">
        <w:rPr>
          <w:color w:val="000000" w:themeColor="text1"/>
          <w:szCs w:val="24"/>
        </w:rPr>
        <w:t xml:space="preserve"> access codes numbers used to access STK may be assigned by the MNO at their discretion, although in some markets a regulator may do so.</w:t>
      </w:r>
      <w:r w:rsidRPr="00E83E52">
        <w:rPr>
          <w:rStyle w:val="FootnoteReference"/>
          <w:color w:val="000000" w:themeColor="text1"/>
          <w:szCs w:val="24"/>
        </w:rPr>
        <w:footnoteReference w:id="181"/>
      </w:r>
      <w:r w:rsidRPr="00E83E52">
        <w:rPr>
          <w:color w:val="000000" w:themeColor="text1"/>
          <w:szCs w:val="24"/>
        </w:rPr>
        <w:t xml:space="preserve"> See Section 7 for more detail on short codes.</w:t>
      </w:r>
    </w:p>
    <w:p w14:paraId="70BB1759" w14:textId="77777777" w:rsidR="00885B99" w:rsidRPr="00AF4C6E" w:rsidRDefault="00885B99" w:rsidP="00885B99">
      <w:pPr>
        <w:pStyle w:val="Heading3"/>
      </w:pPr>
      <w:bookmarkStart w:id="358" w:name="_Toc17799423"/>
      <w:r>
        <w:rPr>
          <w:color w:val="000000" w:themeColor="text1"/>
          <w:szCs w:val="24"/>
        </w:rPr>
        <w:t>6.2.5</w:t>
      </w:r>
      <w:r>
        <w:rPr>
          <w:color w:val="000000" w:themeColor="text1"/>
          <w:szCs w:val="24"/>
        </w:rPr>
        <w:tab/>
      </w:r>
      <w:r>
        <w:t>Pricing of STK a</w:t>
      </w:r>
      <w:r w:rsidRPr="00AF4C6E">
        <w:t>ccess</w:t>
      </w:r>
      <w:bookmarkEnd w:id="358"/>
    </w:p>
    <w:p w14:paraId="547BA8D7" w14:textId="77777777" w:rsidR="00885B99" w:rsidRPr="00E83E52" w:rsidRDefault="00885B99" w:rsidP="00885B99">
      <w:r w:rsidRPr="00EE7026">
        <w:t>Pricing</w:t>
      </w:r>
      <w:r w:rsidRPr="00E83E52">
        <w:t xml:space="preserve"> of STK access has an issue</w:t>
      </w:r>
      <w:r>
        <w:t xml:space="preserve"> in some markets</w:t>
      </w:r>
      <w:r w:rsidRPr="00E83E52">
        <w:t>. This may relate to the charges for a transaction, which may be per transaction no matter how many SMS are used, or per SMS. The</w:t>
      </w:r>
      <w:r>
        <w:t> </w:t>
      </w:r>
      <w:r w:rsidRPr="00E83E52">
        <w:t>MNO may also charge for OTA updates to a SPs STK-based SIM menu.</w:t>
      </w:r>
    </w:p>
    <w:p w14:paraId="27093585" w14:textId="77777777" w:rsidR="00885B99" w:rsidRPr="00AF4C6E" w:rsidRDefault="00885B99" w:rsidP="00885B99">
      <w:pPr>
        <w:pStyle w:val="Heading3"/>
      </w:pPr>
      <w:bookmarkStart w:id="359" w:name="_Toc17799424"/>
      <w:r>
        <w:rPr>
          <w:color w:val="000000" w:themeColor="text1"/>
          <w:szCs w:val="24"/>
        </w:rPr>
        <w:t>6.2.6</w:t>
      </w:r>
      <w:r>
        <w:rPr>
          <w:color w:val="000000" w:themeColor="text1"/>
          <w:szCs w:val="24"/>
        </w:rPr>
        <w:tab/>
      </w:r>
      <w:r>
        <w:t>Country e</w:t>
      </w:r>
      <w:r w:rsidRPr="00AF4C6E">
        <w:t>xamples</w:t>
      </w:r>
      <w:bookmarkEnd w:id="359"/>
    </w:p>
    <w:p w14:paraId="2756FAFF" w14:textId="77777777" w:rsidR="00885B99" w:rsidRPr="00D33FE1" w:rsidRDefault="00885B99" w:rsidP="00885B99">
      <w:pPr>
        <w:pStyle w:val="Headingb"/>
        <w:rPr>
          <w:i/>
        </w:rPr>
      </w:pPr>
      <w:r w:rsidRPr="00D33FE1">
        <w:rPr>
          <w:i/>
        </w:rPr>
        <w:t>Colombia</w:t>
      </w:r>
    </w:p>
    <w:p w14:paraId="4EE7CDA5" w14:textId="53EC8ED4" w:rsidR="00885B99" w:rsidRPr="00E83E52" w:rsidRDefault="00885B99" w:rsidP="00885B99">
      <w:r w:rsidRPr="00E83E52">
        <w:t>In Colombia, Daviplata –</w:t>
      </w:r>
      <w:r w:rsidR="00ED4A34">
        <w:t> </w:t>
      </w:r>
      <w:r w:rsidRPr="00E83E52">
        <w:t xml:space="preserve">a low-cost mobile banking platform used primarily for G2P payments </w:t>
      </w:r>
      <w:r w:rsidRPr="00060B5E">
        <w:t xml:space="preserve">offered by </w:t>
      </w:r>
      <w:r w:rsidRPr="00E83E52">
        <w:rPr>
          <w:shd w:val="clear" w:color="auto" w:fill="FFFFFF"/>
        </w:rPr>
        <w:t>Banco Davivienda</w:t>
      </w:r>
      <w:r>
        <w:rPr>
          <w:shd w:val="clear" w:color="auto" w:fill="FFFFFF"/>
        </w:rPr>
        <w:t> –</w:t>
      </w:r>
      <w:r w:rsidRPr="00E83E52">
        <w:rPr>
          <w:shd w:val="clear" w:color="auto" w:fill="FFFFFF"/>
        </w:rPr>
        <w:t xml:space="preserve"> </w:t>
      </w:r>
      <w:r w:rsidRPr="00E83E52">
        <w:t>implemented a dynamic menu via STK designed to simplify the UI and make it more understandable by the target segments. As services increased, the number of SMS per update increased to 20 SMS per update. The MNOs, however, increased the cost to Daviplata from being a per-transaction charge to a per-SMS charge. This meant that the cost of over a month</w:t>
      </w:r>
      <w:r>
        <w:t>'</w:t>
      </w:r>
      <w:r w:rsidRPr="00E83E52">
        <w:t>s usage of the mobile channel consumed the entire commission that the bank received for managing the payments. Even simple balance enquiries with no transactional revenue value cost the bank substantially in profits. The issue was referred to the telecommunication regulator for review.</w:t>
      </w:r>
      <w:r>
        <w:rPr>
          <w:rStyle w:val="FootnoteReference"/>
          <w:color w:val="000000" w:themeColor="text1"/>
          <w:szCs w:val="24"/>
        </w:rPr>
        <w:footnoteReference w:id="182"/>
      </w:r>
    </w:p>
    <w:p w14:paraId="2DC917F2" w14:textId="77777777" w:rsidR="00885B99" w:rsidRPr="00D33FE1" w:rsidRDefault="00885B99" w:rsidP="00885B99">
      <w:pPr>
        <w:pStyle w:val="Headingb"/>
        <w:rPr>
          <w:i/>
        </w:rPr>
      </w:pPr>
      <w:r w:rsidRPr="00D33FE1">
        <w:rPr>
          <w:i/>
        </w:rPr>
        <w:t>Kenya</w:t>
      </w:r>
    </w:p>
    <w:p w14:paraId="16A87310" w14:textId="77777777" w:rsidR="00885B99" w:rsidRPr="00E83E52" w:rsidRDefault="00885B99" w:rsidP="00885B99">
      <w:r w:rsidRPr="00E83E52">
        <w:t>Equity Bank complained of high STK access charges from market leader MNO Safaricom that made access to its mobile banking products uneconomical. It built an MNVO called Equitel and used thin SIM to bypass Safaricom, using instead cheaper STK from Safaricom competitor Airtel.</w:t>
      </w:r>
      <w:r w:rsidRPr="00E83E52">
        <w:rPr>
          <w:vertAlign w:val="superscript"/>
        </w:rPr>
        <w:footnoteReference w:id="183"/>
      </w:r>
    </w:p>
    <w:p w14:paraId="5752DF9D" w14:textId="77777777" w:rsidR="00885B99" w:rsidRPr="003B05D8" w:rsidRDefault="00885B99" w:rsidP="00885B99">
      <w:pPr>
        <w:pStyle w:val="Heading1"/>
        <w:rPr>
          <w:color w:val="000000" w:themeColor="text1"/>
          <w:szCs w:val="24"/>
          <w:shd w:val="clear" w:color="auto" w:fill="FFFFFF"/>
        </w:rPr>
      </w:pPr>
      <w:bookmarkStart w:id="360" w:name="_Toc472443751"/>
      <w:bookmarkStart w:id="361" w:name="_Toc17799425"/>
      <w:bookmarkStart w:id="362" w:name="_Toc17881571"/>
      <w:bookmarkStart w:id="363" w:name="_Toc17882401"/>
      <w:bookmarkStart w:id="364" w:name="_Toc17882620"/>
      <w:bookmarkStart w:id="365" w:name="_Toc17882839"/>
      <w:bookmarkStart w:id="366" w:name="_Toc17883194"/>
      <w:bookmarkStart w:id="367" w:name="_Toc17892866"/>
      <w:bookmarkStart w:id="368" w:name="_Toc17893085"/>
      <w:bookmarkStart w:id="369" w:name="_Toc17893304"/>
      <w:bookmarkStart w:id="370" w:name="_Toc17894165"/>
      <w:bookmarkStart w:id="371" w:name="_Toc17894393"/>
      <w:bookmarkStart w:id="372" w:name="_Toc17969247"/>
      <w:r w:rsidRPr="00B57C48">
        <w:lastRenderedPageBreak/>
        <w:t>7</w:t>
      </w:r>
      <w:r w:rsidRPr="00B57C48">
        <w:tab/>
        <w:t>Short code access</w:t>
      </w:r>
      <w:bookmarkEnd w:id="360"/>
      <w:bookmarkEnd w:id="361"/>
      <w:bookmarkEnd w:id="362"/>
      <w:bookmarkEnd w:id="363"/>
      <w:bookmarkEnd w:id="364"/>
      <w:bookmarkEnd w:id="365"/>
      <w:bookmarkEnd w:id="366"/>
      <w:bookmarkEnd w:id="367"/>
      <w:bookmarkEnd w:id="368"/>
      <w:bookmarkEnd w:id="369"/>
      <w:bookmarkEnd w:id="370"/>
      <w:bookmarkEnd w:id="371"/>
      <w:bookmarkEnd w:id="372"/>
    </w:p>
    <w:p w14:paraId="215969B9" w14:textId="77777777" w:rsidR="00885B99" w:rsidRPr="003B05D8" w:rsidRDefault="00885B99" w:rsidP="00885B99">
      <w:pPr>
        <w:pStyle w:val="Heading2"/>
      </w:pPr>
      <w:bookmarkStart w:id="373" w:name="_Toc472443752"/>
      <w:bookmarkStart w:id="374" w:name="_Toc17799426"/>
      <w:bookmarkStart w:id="375" w:name="_Toc17881572"/>
      <w:bookmarkStart w:id="376" w:name="_Toc17882402"/>
      <w:bookmarkStart w:id="377" w:name="_Toc17882621"/>
      <w:bookmarkStart w:id="378" w:name="_Toc17882840"/>
      <w:bookmarkStart w:id="379" w:name="_Toc17883195"/>
      <w:bookmarkStart w:id="380" w:name="_Toc17892867"/>
      <w:bookmarkStart w:id="381" w:name="_Toc17893086"/>
      <w:bookmarkStart w:id="382" w:name="_Toc17893305"/>
      <w:bookmarkStart w:id="383" w:name="_Toc17894166"/>
      <w:bookmarkStart w:id="384" w:name="_Toc17894394"/>
      <w:bookmarkStart w:id="385" w:name="_Toc17969248"/>
      <w:r w:rsidRPr="003B05D8">
        <w:t>7.1</w:t>
      </w:r>
      <w:r w:rsidRPr="003B05D8">
        <w:tab/>
        <w:t>Overview</w:t>
      </w:r>
      <w:bookmarkEnd w:id="373"/>
      <w:bookmarkEnd w:id="374"/>
      <w:bookmarkEnd w:id="375"/>
      <w:bookmarkEnd w:id="376"/>
      <w:bookmarkEnd w:id="377"/>
      <w:bookmarkEnd w:id="378"/>
      <w:bookmarkEnd w:id="379"/>
      <w:bookmarkEnd w:id="380"/>
      <w:bookmarkEnd w:id="381"/>
      <w:bookmarkEnd w:id="382"/>
      <w:bookmarkEnd w:id="383"/>
      <w:bookmarkEnd w:id="384"/>
      <w:bookmarkEnd w:id="385"/>
    </w:p>
    <w:p w14:paraId="7E398FF5" w14:textId="77777777" w:rsidR="00885B99" w:rsidRPr="00E83E52" w:rsidRDefault="00885B99" w:rsidP="00885B99">
      <w:pPr>
        <w:keepNext/>
        <w:keepLines/>
      </w:pPr>
      <w:r w:rsidRPr="00E83E52">
        <w:t>As noted above, short codes then are the consumer</w:t>
      </w:r>
      <w:r>
        <w:t>'</w:t>
      </w:r>
      <w:r w:rsidRPr="00E83E52">
        <w:t>s primary access to USSD, STK or Interactive Voice Response (IVR) DFS bearer channels. The usability of these primary bearer channels is usually dependent on what specific codes the user must input into the mobile handset to allow them to access a service – the so-called Man Machine Interfaces (MMIs). In the case of access to services relating to DFS, the MMIs are specific short codes, which can be provider-specific or a generic single access number usable across all MNOs, meaning that a specific number for a specific service is the same across all MNOs.</w:t>
      </w:r>
      <w:r w:rsidRPr="00E83E52">
        <w:rPr>
          <w:rStyle w:val="FootnoteReference"/>
          <w:color w:val="000000" w:themeColor="text1"/>
          <w:szCs w:val="24"/>
        </w:rPr>
        <w:footnoteReference w:id="184"/>
      </w:r>
    </w:p>
    <w:p w14:paraId="01549B3A" w14:textId="5C9DD80F" w:rsidR="00885B99" w:rsidRPr="00E83E52" w:rsidRDefault="00885B99" w:rsidP="00885B99">
      <w:r w:rsidRPr="00E83E52">
        <w:t>The short codes could manifest as 3, 4, 5, or even 6</w:t>
      </w:r>
      <w:r w:rsidR="006B57AA">
        <w:t> </w:t>
      </w:r>
      <w:r w:rsidRPr="00E83E52">
        <w:t xml:space="preserve">digits the user will input to get direct access to a service, or access to a gateway of menu items which give downstream access to a particular service. In some cases the short code could be </w:t>
      </w:r>
      <w:r>
        <w:t>'</w:t>
      </w:r>
      <w:r w:rsidRPr="00E83E52">
        <w:t>split,</w:t>
      </w:r>
      <w:r>
        <w:t>'</w:t>
      </w:r>
      <w:r w:rsidRPr="00E83E52">
        <w:t xml:space="preserve"> prefaced with a 2 or 3</w:t>
      </w:r>
      <w:r w:rsidR="006B57AA">
        <w:t> </w:t>
      </w:r>
      <w:r w:rsidRPr="00E83E52">
        <w:t>digit number mandated for DFS by the telecommunication regulator or the central bank. That number is then followed by a star (*) entry, and then a 3 or 4</w:t>
      </w:r>
      <w:r w:rsidR="006B57AA">
        <w:t> </w:t>
      </w:r>
      <w:r w:rsidRPr="00E83E52">
        <w:t>digit number and then a hash (#) that is directed t</w:t>
      </w:r>
      <w:r>
        <w:t>o a specific service or DFS SP.</w:t>
      </w:r>
    </w:p>
    <w:p w14:paraId="25D39EDE" w14:textId="77777777" w:rsidR="00885B99" w:rsidRPr="003B05D8" w:rsidRDefault="00885B99" w:rsidP="00885B99">
      <w:pPr>
        <w:pStyle w:val="Heading2"/>
      </w:pPr>
      <w:bookmarkStart w:id="386" w:name="_Toc472443753"/>
      <w:bookmarkStart w:id="387" w:name="_Toc17799427"/>
      <w:bookmarkStart w:id="388" w:name="_Toc17881573"/>
      <w:bookmarkStart w:id="389" w:name="_Toc17882403"/>
      <w:bookmarkStart w:id="390" w:name="_Toc17882622"/>
      <w:bookmarkStart w:id="391" w:name="_Toc17882841"/>
      <w:bookmarkStart w:id="392" w:name="_Toc17883196"/>
      <w:bookmarkStart w:id="393" w:name="_Toc17892868"/>
      <w:bookmarkStart w:id="394" w:name="_Toc17893087"/>
      <w:bookmarkStart w:id="395" w:name="_Toc17893306"/>
      <w:bookmarkStart w:id="396" w:name="_Toc17894167"/>
      <w:bookmarkStart w:id="397" w:name="_Toc17894395"/>
      <w:bookmarkStart w:id="398" w:name="_Toc17969249"/>
      <w:r w:rsidRPr="003B05D8">
        <w:t>7.2</w:t>
      </w:r>
      <w:r w:rsidRPr="003B05D8">
        <w:tab/>
        <w:t xml:space="preserve">Obtaining </w:t>
      </w:r>
      <w:r>
        <w:t>s</w:t>
      </w:r>
      <w:r w:rsidRPr="003B05D8">
        <w:t>hort codes</w:t>
      </w:r>
      <w:bookmarkEnd w:id="386"/>
      <w:bookmarkEnd w:id="387"/>
      <w:bookmarkEnd w:id="388"/>
      <w:bookmarkEnd w:id="389"/>
      <w:bookmarkEnd w:id="390"/>
      <w:bookmarkEnd w:id="391"/>
      <w:bookmarkEnd w:id="392"/>
      <w:bookmarkEnd w:id="393"/>
      <w:bookmarkEnd w:id="394"/>
      <w:bookmarkEnd w:id="395"/>
      <w:bookmarkEnd w:id="396"/>
      <w:bookmarkEnd w:id="397"/>
      <w:bookmarkEnd w:id="398"/>
    </w:p>
    <w:p w14:paraId="4282773A" w14:textId="36AD30D7" w:rsidR="00885B99" w:rsidRPr="00E83E52" w:rsidRDefault="00885B99" w:rsidP="00885B99">
      <w:r w:rsidRPr="00E83E52">
        <w:t>Mobile phone and fixed line phone numbers are generally part of a national resource, usually controlled by the telecommunication regulator as part of a national numbering plan based on the ITU</w:t>
      </w:r>
      <w:r w:rsidR="006B57AA">
        <w:noBreakHyphen/>
      </w:r>
      <w:r w:rsidRPr="00E83E52">
        <w:t>T E.164 specification.</w:t>
      </w:r>
      <w:r>
        <w:rPr>
          <w:rStyle w:val="FootnoteReference"/>
          <w:color w:val="000000" w:themeColor="text1"/>
          <w:szCs w:val="24"/>
        </w:rPr>
        <w:footnoteReference w:id="185"/>
      </w:r>
      <w:r w:rsidRPr="00E83E52">
        <w:t xml:space="preserve"> Short codes, while not necessarily a direct ITU specification, are still a finite and scarce resource</w:t>
      </w:r>
      <w:r w:rsidRPr="00E83E52">
        <w:rPr>
          <w:rStyle w:val="FootnoteReference"/>
          <w:color w:val="000000" w:themeColor="text1"/>
          <w:szCs w:val="24"/>
        </w:rPr>
        <w:footnoteReference w:id="186"/>
      </w:r>
      <w:r w:rsidRPr="00E83E52">
        <w:t xml:space="preserve"> and may be part </w:t>
      </w:r>
      <w:r>
        <w:t>of the national numbering plan.</w:t>
      </w:r>
    </w:p>
    <w:p w14:paraId="2224C37A" w14:textId="77777777" w:rsidR="00885B99" w:rsidRPr="00E83E52" w:rsidRDefault="00885B99" w:rsidP="00885B99">
      <w:r w:rsidRPr="00E83E52">
        <w:t xml:space="preserve">While in many countries DFS access for consumer will be via a nationally mandated short code, in many others individual services may have a 3 or 4-digit short code that become the </w:t>
      </w:r>
      <w:r>
        <w:t>'</w:t>
      </w:r>
      <w:r w:rsidRPr="00E83E52">
        <w:t>brand</w:t>
      </w:r>
      <w:r>
        <w:t>'</w:t>
      </w:r>
      <w:r w:rsidRPr="00E83E52">
        <w:t xml:space="preserve"> of the pr</w:t>
      </w:r>
      <w:r>
        <w:t>ovider.</w:t>
      </w:r>
    </w:p>
    <w:p w14:paraId="776BE18E" w14:textId="77777777" w:rsidR="00885B99" w:rsidRDefault="00885B99" w:rsidP="00885B99">
      <w:r w:rsidRPr="00E83E52">
        <w:t>Short codes can be obtained in the following ways:</w:t>
      </w:r>
    </w:p>
    <w:p w14:paraId="00B8F44F" w14:textId="77777777" w:rsidR="00885B99" w:rsidRPr="00E83E52" w:rsidRDefault="00885B99" w:rsidP="00885B99">
      <w:pPr>
        <w:pStyle w:val="enumlev1"/>
      </w:pPr>
      <w:r>
        <w:t>a.</w:t>
      </w:r>
      <w:r>
        <w:tab/>
      </w:r>
      <w:r w:rsidRPr="00E83E52">
        <w:rPr>
          <w:color w:val="000000" w:themeColor="text1"/>
          <w:szCs w:val="24"/>
        </w:rPr>
        <w:t>Directly from the national telecommunication authority if that is the issuing authority for all short codes.</w:t>
      </w:r>
      <w:r>
        <w:rPr>
          <w:rStyle w:val="FootnoteReference"/>
          <w:color w:val="000000" w:themeColor="text1"/>
          <w:szCs w:val="24"/>
        </w:rPr>
        <w:footnoteReference w:id="187"/>
      </w:r>
    </w:p>
    <w:p w14:paraId="52812795" w14:textId="77777777" w:rsidR="00885B99" w:rsidRPr="00E83E52" w:rsidRDefault="00885B99" w:rsidP="00885B99">
      <w:pPr>
        <w:pStyle w:val="enumlev1"/>
      </w:pPr>
      <w:r>
        <w:t>b.</w:t>
      </w:r>
      <w:r>
        <w:tab/>
      </w:r>
      <w:r w:rsidRPr="00E83E52">
        <w:rPr>
          <w:color w:val="000000" w:themeColor="text1"/>
          <w:szCs w:val="24"/>
        </w:rPr>
        <w:t>From the MNO, who is allocated a numbering block or specific code by the national regulator.</w:t>
      </w:r>
      <w:r>
        <w:rPr>
          <w:rStyle w:val="FootnoteReference"/>
          <w:color w:val="000000" w:themeColor="text1"/>
          <w:szCs w:val="24"/>
        </w:rPr>
        <w:footnoteReference w:id="188"/>
      </w:r>
    </w:p>
    <w:p w14:paraId="3FD85167" w14:textId="77777777" w:rsidR="00885B99" w:rsidRDefault="00885B99" w:rsidP="00885B99">
      <w:pPr>
        <w:pStyle w:val="enumlev1"/>
        <w:rPr>
          <w:color w:val="000000" w:themeColor="text1"/>
          <w:szCs w:val="24"/>
        </w:rPr>
      </w:pPr>
      <w:r>
        <w:lastRenderedPageBreak/>
        <w:t>c.</w:t>
      </w:r>
      <w:r>
        <w:tab/>
      </w:r>
      <w:r w:rsidRPr="00E83E52">
        <w:rPr>
          <w:color w:val="000000" w:themeColor="text1"/>
          <w:szCs w:val="24"/>
        </w:rPr>
        <w:t>From a licensed MVNO, who may themselves get the short code numbers directly from the telecommunication regulator or from their home MNO, who in turn has been allocated the numbers by the telecommunication regulator.</w:t>
      </w:r>
    </w:p>
    <w:p w14:paraId="68B7AC4A" w14:textId="77777777" w:rsidR="00885B99" w:rsidRPr="00E83E52" w:rsidRDefault="00885B99" w:rsidP="00885B99">
      <w:pPr>
        <w:pStyle w:val="enumlev1"/>
      </w:pPr>
      <w:r>
        <w:t>d.</w:t>
      </w:r>
      <w:r>
        <w:tab/>
      </w:r>
      <w:r w:rsidRPr="00E83E52">
        <w:rPr>
          <w:color w:val="000000" w:themeColor="text1"/>
          <w:szCs w:val="24"/>
        </w:rPr>
        <w:t>From TSPs acting as aggregators, who may themselves get the short code numbers directly from the telecommunication regulator or from an MNO who has been allocated the numbers by the telecommunication regulator.</w:t>
      </w:r>
      <w:r>
        <w:rPr>
          <w:rStyle w:val="FootnoteReference"/>
          <w:color w:val="000000" w:themeColor="text1"/>
          <w:szCs w:val="24"/>
        </w:rPr>
        <w:footnoteReference w:id="189"/>
      </w:r>
    </w:p>
    <w:p w14:paraId="695984D9" w14:textId="77777777" w:rsidR="00885B99" w:rsidRPr="003B05D8" w:rsidRDefault="00885B99" w:rsidP="00885B99">
      <w:pPr>
        <w:pStyle w:val="Heading2"/>
      </w:pPr>
      <w:bookmarkStart w:id="399" w:name="_Toc472443754"/>
      <w:bookmarkStart w:id="400" w:name="_Toc17799428"/>
      <w:bookmarkStart w:id="401" w:name="_Toc17881574"/>
      <w:bookmarkStart w:id="402" w:name="_Toc17882404"/>
      <w:bookmarkStart w:id="403" w:name="_Toc17882623"/>
      <w:bookmarkStart w:id="404" w:name="_Toc17882842"/>
      <w:bookmarkStart w:id="405" w:name="_Toc17883197"/>
      <w:bookmarkStart w:id="406" w:name="_Toc17892869"/>
      <w:bookmarkStart w:id="407" w:name="_Toc17893088"/>
      <w:bookmarkStart w:id="408" w:name="_Toc17893307"/>
      <w:bookmarkStart w:id="409" w:name="_Toc17894168"/>
      <w:bookmarkStart w:id="410" w:name="_Toc17894396"/>
      <w:bookmarkStart w:id="411" w:name="_Toc17969250"/>
      <w:r>
        <w:t>7.3</w:t>
      </w:r>
      <w:r>
        <w:tab/>
        <w:t>Competition a</w:t>
      </w:r>
      <w:r w:rsidRPr="003B05D8">
        <w:t>spects</w:t>
      </w:r>
      <w:bookmarkEnd w:id="399"/>
      <w:bookmarkEnd w:id="400"/>
      <w:bookmarkEnd w:id="401"/>
      <w:bookmarkEnd w:id="402"/>
      <w:bookmarkEnd w:id="403"/>
      <w:bookmarkEnd w:id="404"/>
      <w:bookmarkEnd w:id="405"/>
      <w:bookmarkEnd w:id="406"/>
      <w:bookmarkEnd w:id="407"/>
      <w:bookmarkEnd w:id="408"/>
      <w:bookmarkEnd w:id="409"/>
      <w:bookmarkEnd w:id="410"/>
      <w:bookmarkEnd w:id="411"/>
    </w:p>
    <w:p w14:paraId="2A4A5D3D" w14:textId="77777777" w:rsidR="00885B99" w:rsidRPr="00E83E52" w:rsidRDefault="00885B99" w:rsidP="00885B99">
      <w:r w:rsidRPr="00E83E52">
        <w:t>Generally, choices b, c and d (above) present specific competition issues for non-MNO entities if the codes are initially allocated to the MNO. In such scenarios, the MNOs control the entire vertical chain of access, from the infrastructure to the short code allocation and access, and may result in</w:t>
      </w:r>
      <w:r>
        <w:t xml:space="preserve"> 'refusal to supply' behaviour.</w:t>
      </w:r>
    </w:p>
    <w:p w14:paraId="01E7AFED" w14:textId="77777777" w:rsidR="00885B99" w:rsidRPr="00E83E52" w:rsidRDefault="00885B99" w:rsidP="00885B99">
      <w:r w:rsidRPr="00E83E52">
        <w:rPr>
          <w:shd w:val="clear" w:color="auto" w:fill="FFFFFF"/>
        </w:rPr>
        <w:t xml:space="preserve">If a short code is obtained via a leasing agreement with an MNO, it remains the property of the MNO. </w:t>
      </w:r>
      <w:r w:rsidRPr="00E83E52">
        <w:t>If an MNO is involved in DFS, conflicts of interest may arise such that the MNO may decide not to allocate short codes to a potential DFS competitor; delay allocation of a short code to a competitor, or the correct pricing band thereof; or allocate and then withdraw the short code after DFS operations had begun</w:t>
      </w:r>
      <w:r w:rsidRPr="00E83E52">
        <w:rPr>
          <w:shd w:val="clear" w:color="auto" w:fill="FFFFFF"/>
        </w:rPr>
        <w:t>.</w:t>
      </w:r>
      <w:r w:rsidRPr="00E83E52">
        <w:rPr>
          <w:rStyle w:val="FootnoteReference"/>
          <w:color w:val="000000" w:themeColor="text1"/>
          <w:szCs w:val="24"/>
        </w:rPr>
        <w:footnoteReference w:id="190"/>
      </w:r>
    </w:p>
    <w:p w14:paraId="3054C481" w14:textId="77777777" w:rsidR="00885B99" w:rsidRPr="003B05D8" w:rsidRDefault="00885B99" w:rsidP="00885B99">
      <w:pPr>
        <w:pStyle w:val="Heading2"/>
      </w:pPr>
      <w:bookmarkStart w:id="412" w:name="_Toc472443755"/>
      <w:bookmarkStart w:id="413" w:name="_Toc17799429"/>
      <w:bookmarkStart w:id="414" w:name="_Toc17881575"/>
      <w:bookmarkStart w:id="415" w:name="_Toc17882405"/>
      <w:bookmarkStart w:id="416" w:name="_Toc17882624"/>
      <w:bookmarkStart w:id="417" w:name="_Toc17882843"/>
      <w:bookmarkStart w:id="418" w:name="_Toc17883198"/>
      <w:bookmarkStart w:id="419" w:name="_Toc17892870"/>
      <w:bookmarkStart w:id="420" w:name="_Toc17893089"/>
      <w:bookmarkStart w:id="421" w:name="_Toc17893308"/>
      <w:bookmarkStart w:id="422" w:name="_Toc17894169"/>
      <w:bookmarkStart w:id="423" w:name="_Toc17894397"/>
      <w:bookmarkStart w:id="424" w:name="_Toc17969251"/>
      <w:r>
        <w:t>7.4</w:t>
      </w:r>
      <w:r>
        <w:tab/>
        <w:t>Country e</w:t>
      </w:r>
      <w:r w:rsidRPr="003B05D8">
        <w:t>xamples</w:t>
      </w:r>
      <w:bookmarkEnd w:id="412"/>
      <w:bookmarkEnd w:id="413"/>
      <w:bookmarkEnd w:id="414"/>
      <w:bookmarkEnd w:id="415"/>
      <w:bookmarkEnd w:id="416"/>
      <w:bookmarkEnd w:id="417"/>
      <w:bookmarkEnd w:id="418"/>
      <w:bookmarkEnd w:id="419"/>
      <w:bookmarkEnd w:id="420"/>
      <w:bookmarkEnd w:id="421"/>
      <w:bookmarkEnd w:id="422"/>
      <w:bookmarkEnd w:id="423"/>
      <w:bookmarkEnd w:id="424"/>
    </w:p>
    <w:p w14:paraId="3F03658D" w14:textId="77777777" w:rsidR="00885B99" w:rsidRPr="00B57C48" w:rsidRDefault="00885B99" w:rsidP="00885B99">
      <w:pPr>
        <w:pStyle w:val="Headingb"/>
        <w:rPr>
          <w:i/>
        </w:rPr>
      </w:pPr>
      <w:r w:rsidRPr="00B57C48">
        <w:rPr>
          <w:i/>
        </w:rPr>
        <w:t>Kenya</w:t>
      </w:r>
    </w:p>
    <w:p w14:paraId="005BB728" w14:textId="77777777" w:rsidR="00885B99" w:rsidRPr="00E83E52" w:rsidRDefault="00885B99" w:rsidP="00885B99">
      <w:r w:rsidRPr="00E83E52">
        <w:t>The Communications Authority (CA) currently assigns certain categories of SMS short codes in blocks while giving the assignee MNOs the responsibility of undertaking secondary assignment of the codes to other SPs and end users. This, they say, is done for the convenience of quick industry operations, and because most of these codes are technically network specific codes and thus not based on the international ITU-T E.164 numbering standard.</w:t>
      </w:r>
      <w:r w:rsidRPr="00E83E52">
        <w:rPr>
          <w:rStyle w:val="FootnoteReference"/>
          <w:color w:val="000000" w:themeColor="text1"/>
          <w:szCs w:val="24"/>
        </w:rPr>
        <w:footnoteReference w:id="191"/>
      </w:r>
    </w:p>
    <w:p w14:paraId="598E2058" w14:textId="77777777" w:rsidR="00885B99" w:rsidRPr="00E83E52" w:rsidRDefault="00885B99" w:rsidP="00885B99">
      <w:r w:rsidRPr="00E83E52">
        <w:t>A recent report</w:t>
      </w:r>
      <w:r w:rsidRPr="00E83E52">
        <w:rPr>
          <w:rStyle w:val="FootnoteReference"/>
          <w:color w:val="000000" w:themeColor="text1"/>
          <w:szCs w:val="24"/>
        </w:rPr>
        <w:footnoteReference w:id="192"/>
      </w:r>
      <w:r w:rsidRPr="00E83E52">
        <w:t xml:space="preserve"> noted that aggregators in Kenya, because they do not already have a short code when they go to MNOs to request services, believe that this causes negotiations with MNOs to be more challenging since they have less leverage. This is, they said, a </w:t>
      </w:r>
      <w:r>
        <w:t>'</w:t>
      </w:r>
      <w:r w:rsidRPr="00E83E52">
        <w:t>subtle, but significant, impediment to fair access</w:t>
      </w:r>
      <w:r>
        <w:t>'</w:t>
      </w:r>
      <w:r w:rsidRPr="00E83E52">
        <w:t>.</w:t>
      </w:r>
      <w:r w:rsidRPr="00E83E52">
        <w:rPr>
          <w:rStyle w:val="FootnoteReference"/>
          <w:color w:val="000000" w:themeColor="text1"/>
          <w:szCs w:val="24"/>
        </w:rPr>
        <w:footnoteReference w:id="193"/>
      </w:r>
    </w:p>
    <w:p w14:paraId="3C7BAD42" w14:textId="77777777" w:rsidR="00885B99" w:rsidRPr="00B57C48" w:rsidRDefault="00885B99" w:rsidP="00885B99">
      <w:pPr>
        <w:pStyle w:val="Headingb"/>
        <w:rPr>
          <w:i/>
          <w:shd w:val="clear" w:color="auto" w:fill="FFFFFF"/>
        </w:rPr>
      </w:pPr>
      <w:r w:rsidRPr="00B57C48">
        <w:rPr>
          <w:i/>
          <w:shd w:val="clear" w:color="auto" w:fill="FFFFFF"/>
        </w:rPr>
        <w:t>Uganda</w:t>
      </w:r>
    </w:p>
    <w:p w14:paraId="6FB2844E" w14:textId="61DE5235" w:rsidR="00885B99" w:rsidRPr="00E83E52" w:rsidRDefault="00885B99" w:rsidP="006B57AA">
      <w:pPr>
        <w:rPr>
          <w:shd w:val="clear" w:color="auto" w:fill="FFFFFF"/>
        </w:rPr>
      </w:pPr>
      <w:r w:rsidRPr="00E83E52">
        <w:rPr>
          <w:shd w:val="clear" w:color="auto" w:fill="FFFFFF"/>
        </w:rPr>
        <w:t xml:space="preserve">As noted earlier, DFS SP and aggregator Ezee Money sued MNO MTN Uganda on the basis that, </w:t>
      </w:r>
      <w:r w:rsidRPr="00E83E52">
        <w:rPr>
          <w:i/>
          <w:shd w:val="clear" w:color="auto" w:fill="FFFFFF"/>
        </w:rPr>
        <w:t>inter alia</w:t>
      </w:r>
      <w:r w:rsidRPr="00E83E52">
        <w:rPr>
          <w:shd w:val="clear" w:color="auto" w:fill="FFFFFF"/>
        </w:rPr>
        <w:t>, MTN denied Ezee Money the use of short codes on its network once services had already begun. MTN</w:t>
      </w:r>
      <w:r>
        <w:rPr>
          <w:shd w:val="clear" w:color="auto" w:fill="FFFFFF"/>
        </w:rPr>
        <w:t>'</w:t>
      </w:r>
      <w:r w:rsidRPr="00E83E52">
        <w:rPr>
          <w:shd w:val="clear" w:color="auto" w:fill="FFFFFF"/>
        </w:rPr>
        <w:t>s main defense was that Ezee Money was not a licensed communications services provider protected by the Uganda Communications Act; and further, that Ezee Money was a new company with no prior business with MTN and hence did not meet MTN</w:t>
      </w:r>
      <w:r>
        <w:rPr>
          <w:shd w:val="clear" w:color="auto" w:fill="FFFFFF"/>
        </w:rPr>
        <w:t>'</w:t>
      </w:r>
      <w:r w:rsidRPr="00E83E52">
        <w:rPr>
          <w:shd w:val="clear" w:color="auto" w:fill="FFFFFF"/>
        </w:rPr>
        <w:t xml:space="preserve">s trade-vetting requirements. The Commercial Court ruled that MTN breached provisions of the Uganda Communications Act in </w:t>
      </w:r>
      <w:r w:rsidRPr="00E83E52">
        <w:rPr>
          <w:shd w:val="clear" w:color="auto" w:fill="FFFFFF"/>
        </w:rPr>
        <w:lastRenderedPageBreak/>
        <w:t>regards to restricted and distorted competition, and awarded Ezee Money Shs 2.3</w:t>
      </w:r>
      <w:r w:rsidR="006B57AA">
        <w:rPr>
          <w:shd w:val="clear" w:color="auto" w:fill="FFFFFF"/>
        </w:rPr>
        <w:t> </w:t>
      </w:r>
      <w:r w:rsidRPr="00E83E52">
        <w:rPr>
          <w:shd w:val="clear" w:color="auto" w:fill="FFFFFF"/>
        </w:rPr>
        <w:t>Billion (US$637,000) in damages. MTN Uganda has reportedly begun an appeal.</w:t>
      </w:r>
      <w:r w:rsidRPr="00E83E52">
        <w:rPr>
          <w:rStyle w:val="FootnoteReference"/>
          <w:color w:val="000000" w:themeColor="text1"/>
          <w:szCs w:val="24"/>
          <w:shd w:val="clear" w:color="auto" w:fill="FFFFFF"/>
        </w:rPr>
        <w:footnoteReference w:id="194"/>
      </w:r>
    </w:p>
    <w:p w14:paraId="2E8AA18B" w14:textId="77777777" w:rsidR="00885B99" w:rsidRPr="00E83E52" w:rsidRDefault="00885B99" w:rsidP="006B57AA">
      <w:r w:rsidRPr="00E83E52">
        <w:t>Short Codes may be issued by UCC to the DFS SP. However this may not guarantee the SP quick activation as there are currently no reference activation time lines mandated by the regulatory authority. Some banks and independent TSPs and PSPs have claimed that short code activation may take more than 3 months.</w:t>
      </w:r>
      <w:r w:rsidRPr="00E83E52">
        <w:rPr>
          <w:rStyle w:val="FootnoteReference"/>
          <w:sz w:val="24"/>
          <w:szCs w:val="24"/>
        </w:rPr>
        <w:footnoteReference w:id="195"/>
      </w:r>
    </w:p>
    <w:p w14:paraId="1764190E" w14:textId="77777777" w:rsidR="00885B99" w:rsidRPr="00E83E52" w:rsidRDefault="00885B99" w:rsidP="00885B99">
      <w:pPr>
        <w:pStyle w:val="Heading1"/>
        <w:rPr>
          <w:u w:val="single"/>
        </w:rPr>
      </w:pPr>
      <w:bookmarkStart w:id="425" w:name="_Toc472443756"/>
      <w:bookmarkStart w:id="426" w:name="_Toc17799430"/>
      <w:bookmarkStart w:id="427" w:name="_Toc17881576"/>
      <w:bookmarkStart w:id="428" w:name="_Toc17882406"/>
      <w:bookmarkStart w:id="429" w:name="_Toc17882625"/>
      <w:bookmarkStart w:id="430" w:name="_Toc17882844"/>
      <w:bookmarkStart w:id="431" w:name="_Toc17883199"/>
      <w:bookmarkStart w:id="432" w:name="_Toc17892871"/>
      <w:bookmarkStart w:id="433" w:name="_Toc17893090"/>
      <w:bookmarkStart w:id="434" w:name="_Toc17893309"/>
      <w:bookmarkStart w:id="435" w:name="_Toc17894170"/>
      <w:bookmarkStart w:id="436" w:name="_Toc17894398"/>
      <w:bookmarkStart w:id="437" w:name="_Toc17969252"/>
      <w:r>
        <w:t>8</w:t>
      </w:r>
      <w:r>
        <w:tab/>
      </w:r>
      <w:r w:rsidRPr="00E83E52">
        <w:t>Quality of service</w:t>
      </w:r>
      <w:bookmarkEnd w:id="425"/>
      <w:bookmarkEnd w:id="426"/>
      <w:bookmarkEnd w:id="427"/>
      <w:bookmarkEnd w:id="428"/>
      <w:bookmarkEnd w:id="429"/>
      <w:bookmarkEnd w:id="430"/>
      <w:bookmarkEnd w:id="431"/>
      <w:bookmarkEnd w:id="432"/>
      <w:bookmarkEnd w:id="433"/>
      <w:bookmarkEnd w:id="434"/>
      <w:bookmarkEnd w:id="435"/>
      <w:bookmarkEnd w:id="436"/>
      <w:bookmarkEnd w:id="437"/>
    </w:p>
    <w:p w14:paraId="7621F377" w14:textId="77777777" w:rsidR="00885B99" w:rsidRPr="00E83E52" w:rsidRDefault="00885B99" w:rsidP="00885B99">
      <w:pPr>
        <w:pStyle w:val="Heading2"/>
      </w:pPr>
      <w:bookmarkStart w:id="438" w:name="_Toc472443757"/>
      <w:bookmarkStart w:id="439" w:name="_Toc17799431"/>
      <w:bookmarkStart w:id="440" w:name="_Toc17881577"/>
      <w:bookmarkStart w:id="441" w:name="_Toc17882407"/>
      <w:bookmarkStart w:id="442" w:name="_Toc17882626"/>
      <w:bookmarkStart w:id="443" w:name="_Toc17882845"/>
      <w:bookmarkStart w:id="444" w:name="_Toc17883200"/>
      <w:bookmarkStart w:id="445" w:name="_Toc17892872"/>
      <w:bookmarkStart w:id="446" w:name="_Toc17893091"/>
      <w:bookmarkStart w:id="447" w:name="_Toc17893310"/>
      <w:bookmarkStart w:id="448" w:name="_Toc17894171"/>
      <w:bookmarkStart w:id="449" w:name="_Toc17894399"/>
      <w:bookmarkStart w:id="450" w:name="_Toc17969253"/>
      <w:r>
        <w:t>8.1</w:t>
      </w:r>
      <w:r>
        <w:tab/>
      </w:r>
      <w:r w:rsidRPr="00D42D8B">
        <w:t>Overview</w:t>
      </w:r>
      <w:bookmarkEnd w:id="438"/>
      <w:bookmarkEnd w:id="439"/>
      <w:bookmarkEnd w:id="440"/>
      <w:bookmarkEnd w:id="441"/>
      <w:bookmarkEnd w:id="442"/>
      <w:bookmarkEnd w:id="443"/>
      <w:bookmarkEnd w:id="444"/>
      <w:bookmarkEnd w:id="445"/>
      <w:bookmarkEnd w:id="446"/>
      <w:bookmarkEnd w:id="447"/>
      <w:bookmarkEnd w:id="448"/>
      <w:bookmarkEnd w:id="449"/>
      <w:bookmarkEnd w:id="450"/>
    </w:p>
    <w:p w14:paraId="0F862414" w14:textId="77777777" w:rsidR="00885B99" w:rsidRPr="00E83E52" w:rsidRDefault="00885B99" w:rsidP="00885B99">
      <w:r w:rsidRPr="00E83E52">
        <w:t>Issues of Quality of Service (QOS) permeate the DFS ecosystem, some anecdotal and some id</w:t>
      </w:r>
      <w:r>
        <w:t>entified by regulatory studies.</w:t>
      </w:r>
    </w:p>
    <w:p w14:paraId="2822D2E2" w14:textId="77777777" w:rsidR="00885B99" w:rsidRPr="00E83E52" w:rsidRDefault="00885B99" w:rsidP="00885B99">
      <w:r w:rsidRPr="00E83E52">
        <w:t>These QOS issues relate primarily to random, dropped USSD sessions affecting DFS SPs and aggregators. As noted by CGAP, selective degradation is technically possible, but is reportedly difficult to do and extremely difficult to prove.</w:t>
      </w:r>
      <w:r>
        <w:rPr>
          <w:rStyle w:val="FootnoteReference"/>
          <w:color w:val="000000" w:themeColor="text1"/>
          <w:szCs w:val="24"/>
        </w:rPr>
        <w:footnoteReference w:id="196"/>
      </w:r>
    </w:p>
    <w:p w14:paraId="5B00E3BE" w14:textId="1CEF84F5" w:rsidR="00885B99" w:rsidRPr="00E83E52" w:rsidRDefault="00885B99" w:rsidP="00885B99">
      <w:r w:rsidRPr="00E83E52">
        <w:t>Even so, minimum QOS standards may be embedded in MNO-SP contracts.</w:t>
      </w:r>
      <w:r>
        <w:rPr>
          <w:rStyle w:val="FootnoteReference"/>
          <w:color w:val="000000" w:themeColor="text1"/>
          <w:szCs w:val="24"/>
        </w:rPr>
        <w:footnoteReference w:id="197"/>
      </w:r>
      <w:r w:rsidRPr="00E83E52">
        <w:t xml:space="preserve"> These may provide, in a USSD context, for the provision –</w:t>
      </w:r>
      <w:r w:rsidR="00730709">
        <w:t> </w:t>
      </w:r>
      <w:r w:rsidRPr="00E83E52">
        <w:t>if and where available</w:t>
      </w:r>
      <w:r>
        <w:t> –</w:t>
      </w:r>
      <w:r w:rsidRPr="00E83E52">
        <w:t xml:space="preserve"> by an MNO to an SP of NI-USSD, which would be automatically initiated to resume a dropp</w:t>
      </w:r>
      <w:r>
        <w:t>ed user-initiated USSD session.</w:t>
      </w:r>
    </w:p>
    <w:p w14:paraId="4C2DE057" w14:textId="77777777" w:rsidR="00885B99" w:rsidRPr="00D42D8B" w:rsidRDefault="00885B99" w:rsidP="00885B99">
      <w:pPr>
        <w:pStyle w:val="Heading2"/>
      </w:pPr>
      <w:bookmarkStart w:id="451" w:name="_Toc472443758"/>
      <w:bookmarkStart w:id="452" w:name="_Toc17799432"/>
      <w:bookmarkStart w:id="453" w:name="_Toc17881578"/>
      <w:bookmarkStart w:id="454" w:name="_Toc17882408"/>
      <w:bookmarkStart w:id="455" w:name="_Toc17882627"/>
      <w:bookmarkStart w:id="456" w:name="_Toc17882846"/>
      <w:bookmarkStart w:id="457" w:name="_Toc17883201"/>
      <w:bookmarkStart w:id="458" w:name="_Toc17892873"/>
      <w:bookmarkStart w:id="459" w:name="_Toc17893092"/>
      <w:bookmarkStart w:id="460" w:name="_Toc17893311"/>
      <w:bookmarkStart w:id="461" w:name="_Toc17894172"/>
      <w:bookmarkStart w:id="462" w:name="_Toc17894400"/>
      <w:bookmarkStart w:id="463" w:name="_Toc17969254"/>
      <w:r>
        <w:t>8.2</w:t>
      </w:r>
      <w:r>
        <w:tab/>
        <w:t>Country e</w:t>
      </w:r>
      <w:r w:rsidRPr="00D42D8B">
        <w:t>xample</w:t>
      </w:r>
      <w:bookmarkEnd w:id="451"/>
      <w:bookmarkEnd w:id="452"/>
      <w:bookmarkEnd w:id="453"/>
      <w:bookmarkEnd w:id="454"/>
      <w:bookmarkEnd w:id="455"/>
      <w:bookmarkEnd w:id="456"/>
      <w:bookmarkEnd w:id="457"/>
      <w:bookmarkEnd w:id="458"/>
      <w:bookmarkEnd w:id="459"/>
      <w:bookmarkEnd w:id="460"/>
      <w:bookmarkEnd w:id="461"/>
      <w:bookmarkEnd w:id="462"/>
      <w:bookmarkEnd w:id="463"/>
    </w:p>
    <w:p w14:paraId="17044E29" w14:textId="77777777" w:rsidR="00885B99" w:rsidRPr="005F59E9" w:rsidRDefault="00885B99" w:rsidP="00885B99">
      <w:pPr>
        <w:pStyle w:val="Headingb"/>
        <w:rPr>
          <w:i/>
        </w:rPr>
      </w:pPr>
      <w:r w:rsidRPr="005F59E9">
        <w:rPr>
          <w:i/>
        </w:rPr>
        <w:t>Uganda</w:t>
      </w:r>
    </w:p>
    <w:p w14:paraId="1B374B98" w14:textId="77777777" w:rsidR="00885B99" w:rsidRPr="00E83E52" w:rsidRDefault="00885B99" w:rsidP="00885B99">
      <w:pPr>
        <w:spacing w:after="120"/>
        <w:rPr>
          <w:b/>
          <w:color w:val="000000" w:themeColor="text1"/>
          <w:szCs w:val="24"/>
          <w:u w:val="single"/>
        </w:rPr>
      </w:pPr>
      <w:r w:rsidRPr="00E83E52">
        <w:rPr>
          <w:color w:val="000000" w:themeColor="text1"/>
          <w:szCs w:val="24"/>
        </w:rPr>
        <w:t>A competition study commissioned by the UCC indicated that TSPs and PSPs reported issues with service quality and that it was not possible for them to negotiate service level guarantees, nor be compensated for poor QOS and dropped USSD sessions.</w:t>
      </w:r>
      <w:r w:rsidRPr="00E83E52">
        <w:rPr>
          <w:rStyle w:val="FootnoteReference"/>
          <w:color w:val="000000" w:themeColor="text1"/>
          <w:szCs w:val="24"/>
        </w:rPr>
        <w:footnoteReference w:id="198"/>
      </w:r>
    </w:p>
    <w:p w14:paraId="335BD1BF" w14:textId="77777777" w:rsidR="00885B99" w:rsidRPr="00E83E52" w:rsidRDefault="00885B99" w:rsidP="00885B99">
      <w:pPr>
        <w:pStyle w:val="Heading1"/>
      </w:pPr>
      <w:bookmarkStart w:id="464" w:name="_Toc472443759"/>
      <w:bookmarkStart w:id="465" w:name="_Toc17799433"/>
      <w:bookmarkStart w:id="466" w:name="_Toc17881579"/>
      <w:bookmarkStart w:id="467" w:name="_Toc17882409"/>
      <w:bookmarkStart w:id="468" w:name="_Toc17882628"/>
      <w:bookmarkStart w:id="469" w:name="_Toc17882847"/>
      <w:bookmarkStart w:id="470" w:name="_Toc17883202"/>
      <w:bookmarkStart w:id="471" w:name="_Toc17892874"/>
      <w:bookmarkStart w:id="472" w:name="_Toc17893093"/>
      <w:bookmarkStart w:id="473" w:name="_Toc17893312"/>
      <w:bookmarkStart w:id="474" w:name="_Toc17894173"/>
      <w:bookmarkStart w:id="475" w:name="_Toc17894401"/>
      <w:bookmarkStart w:id="476" w:name="_Toc17969255"/>
      <w:r w:rsidRPr="00E83E52">
        <w:lastRenderedPageBreak/>
        <w:t>D</w:t>
      </w:r>
      <w:r w:rsidRPr="00E83E52">
        <w:tab/>
        <w:t>Access to payment infrastructure &amp; services</w:t>
      </w:r>
      <w:bookmarkEnd w:id="464"/>
      <w:bookmarkEnd w:id="465"/>
      <w:bookmarkEnd w:id="466"/>
      <w:bookmarkEnd w:id="467"/>
      <w:bookmarkEnd w:id="468"/>
      <w:bookmarkEnd w:id="469"/>
      <w:bookmarkEnd w:id="470"/>
      <w:bookmarkEnd w:id="471"/>
      <w:bookmarkEnd w:id="472"/>
      <w:bookmarkEnd w:id="473"/>
      <w:bookmarkEnd w:id="474"/>
      <w:bookmarkEnd w:id="475"/>
      <w:bookmarkEnd w:id="476"/>
    </w:p>
    <w:p w14:paraId="648A69D2" w14:textId="77777777" w:rsidR="00885B99" w:rsidRPr="00D42D8B" w:rsidRDefault="00885B99" w:rsidP="00885B99">
      <w:pPr>
        <w:pStyle w:val="Heading1"/>
      </w:pPr>
      <w:bookmarkStart w:id="477" w:name="_Toc472443760"/>
      <w:bookmarkStart w:id="478" w:name="_Toc17799434"/>
      <w:bookmarkStart w:id="479" w:name="_Toc17881580"/>
      <w:bookmarkStart w:id="480" w:name="_Toc17882410"/>
      <w:bookmarkStart w:id="481" w:name="_Toc17882629"/>
      <w:bookmarkStart w:id="482" w:name="_Toc17882848"/>
      <w:bookmarkStart w:id="483" w:name="_Toc17883203"/>
      <w:bookmarkStart w:id="484" w:name="_Toc17892875"/>
      <w:bookmarkStart w:id="485" w:name="_Toc17893094"/>
      <w:bookmarkStart w:id="486" w:name="_Toc17893313"/>
      <w:bookmarkStart w:id="487" w:name="_Toc17894174"/>
      <w:bookmarkStart w:id="488" w:name="_Toc17894402"/>
      <w:bookmarkStart w:id="489" w:name="_Toc17969256"/>
      <w:r>
        <w:t>9</w:t>
      </w:r>
      <w:r>
        <w:tab/>
      </w:r>
      <w:r w:rsidRPr="00D42D8B">
        <w:t>Payment infrastructure &amp; services</w:t>
      </w:r>
      <w:bookmarkEnd w:id="477"/>
      <w:bookmarkEnd w:id="478"/>
      <w:bookmarkEnd w:id="479"/>
      <w:bookmarkEnd w:id="480"/>
      <w:bookmarkEnd w:id="481"/>
      <w:bookmarkEnd w:id="482"/>
      <w:bookmarkEnd w:id="483"/>
      <w:bookmarkEnd w:id="484"/>
      <w:bookmarkEnd w:id="485"/>
      <w:bookmarkEnd w:id="486"/>
      <w:bookmarkEnd w:id="487"/>
      <w:bookmarkEnd w:id="488"/>
      <w:bookmarkEnd w:id="489"/>
    </w:p>
    <w:p w14:paraId="2D0A8A89" w14:textId="77777777" w:rsidR="00885B99" w:rsidRPr="00D42D8B" w:rsidRDefault="00885B99" w:rsidP="00885B99">
      <w:pPr>
        <w:pStyle w:val="Heading1"/>
      </w:pPr>
      <w:bookmarkStart w:id="490" w:name="_Toc472443761"/>
      <w:bookmarkStart w:id="491" w:name="_Toc17799435"/>
      <w:bookmarkStart w:id="492" w:name="_Toc17881581"/>
      <w:bookmarkStart w:id="493" w:name="_Toc17882411"/>
      <w:bookmarkStart w:id="494" w:name="_Toc17882630"/>
      <w:bookmarkStart w:id="495" w:name="_Toc17882849"/>
      <w:bookmarkStart w:id="496" w:name="_Toc17883204"/>
      <w:bookmarkStart w:id="497" w:name="_Toc17892876"/>
      <w:bookmarkStart w:id="498" w:name="_Toc17893095"/>
      <w:bookmarkStart w:id="499" w:name="_Toc17893314"/>
      <w:bookmarkStart w:id="500" w:name="_Toc17894175"/>
      <w:bookmarkStart w:id="501" w:name="_Toc17894403"/>
      <w:bookmarkStart w:id="502" w:name="_Toc17969257"/>
      <w:r>
        <w:t>9.1</w:t>
      </w:r>
      <w:r>
        <w:tab/>
      </w:r>
      <w:r w:rsidRPr="00D42D8B">
        <w:t>Overview</w:t>
      </w:r>
      <w:bookmarkEnd w:id="490"/>
      <w:bookmarkEnd w:id="491"/>
      <w:bookmarkEnd w:id="492"/>
      <w:bookmarkEnd w:id="493"/>
      <w:bookmarkEnd w:id="494"/>
      <w:bookmarkEnd w:id="495"/>
      <w:bookmarkEnd w:id="496"/>
      <w:bookmarkEnd w:id="497"/>
      <w:bookmarkEnd w:id="498"/>
      <w:bookmarkEnd w:id="499"/>
      <w:bookmarkEnd w:id="500"/>
      <w:bookmarkEnd w:id="501"/>
      <w:bookmarkEnd w:id="502"/>
    </w:p>
    <w:p w14:paraId="08717D2B" w14:textId="77777777" w:rsidR="00885B99" w:rsidRDefault="00885B99" w:rsidP="00885B99">
      <w:pPr>
        <w:keepNext/>
        <w:keepLines/>
        <w:rPr>
          <w:shd w:val="clear" w:color="auto" w:fill="FFFFFF"/>
        </w:rPr>
      </w:pPr>
      <w:r w:rsidRPr="00E83E52">
        <w:t xml:space="preserve">Transfer of funds between stores of value such as DFS accounts and bank accounts, as well as integration into retail payment systems is key to building a DFS ecosystem and requires </w:t>
      </w:r>
      <w:r w:rsidRPr="00E83E52">
        <w:rPr>
          <w:shd w:val="clear" w:color="auto" w:fill="FFFFFF"/>
        </w:rPr>
        <w:t>interoperability between systems.</w:t>
      </w:r>
      <w:r>
        <w:rPr>
          <w:rStyle w:val="FootnoteReference"/>
          <w:color w:val="000000" w:themeColor="text1"/>
          <w:szCs w:val="24"/>
          <w:shd w:val="clear" w:color="auto" w:fill="FFFFFF"/>
        </w:rPr>
        <w:footnoteReference w:id="199"/>
      </w:r>
      <w:r w:rsidRPr="00E83E52">
        <w:rPr>
          <w:shd w:val="clear" w:color="auto" w:fill="FFFFFF"/>
        </w:rPr>
        <w:t xml:space="preserve"> This can be achieved by providers participating in a scheme, through a variety of bilateral or multilateral arrangements, or integration into </w:t>
      </w:r>
      <w:r w:rsidRPr="00E83E52">
        <w:t xml:space="preserve">automated clearinghouses (ACH), payment card processing platforms (payment switches), and </w:t>
      </w:r>
      <w:r w:rsidRPr="00E83E52">
        <w:rPr>
          <w:shd w:val="clear" w:color="auto" w:fill="FFFFFF"/>
        </w:rPr>
        <w:t>national payment system (NPS) infrastructures such as Rea</w:t>
      </w:r>
      <w:r>
        <w:rPr>
          <w:shd w:val="clear" w:color="auto" w:fill="FFFFFF"/>
        </w:rPr>
        <w:t>l Time Gross Settlement (RTGS).</w:t>
      </w:r>
    </w:p>
    <w:p w14:paraId="04DB9478" w14:textId="381BC7C0" w:rsidR="00885B99" w:rsidRPr="00E83E52" w:rsidRDefault="00885B99" w:rsidP="00885B99">
      <w:pPr>
        <w:rPr>
          <w:shd w:val="clear" w:color="auto" w:fill="FFFFFF"/>
        </w:rPr>
      </w:pPr>
      <w:r w:rsidRPr="00E83E52">
        <w:rPr>
          <w:shd w:val="clear" w:color="auto" w:fill="FFFFFF"/>
        </w:rPr>
        <w:t xml:space="preserve">Access to RTGS is usually </w:t>
      </w:r>
      <w:r>
        <w:rPr>
          <w:shd w:val="clear" w:color="auto" w:fill="FFFFFF"/>
        </w:rPr>
        <w:t>controlled</w:t>
      </w:r>
      <w:r w:rsidRPr="00E83E52">
        <w:rPr>
          <w:shd w:val="clear" w:color="auto" w:fill="FFFFFF"/>
        </w:rPr>
        <w:t xml:space="preserve"> by the central bank. For example, </w:t>
      </w:r>
      <w:r w:rsidRPr="00E83E52">
        <w:rPr>
          <w:color w:val="030303"/>
          <w:shd w:val="clear" w:color="auto" w:fill="FFFFFF"/>
        </w:rPr>
        <w:t>SPEI is a RTGS system developed and operated by Banco de México in which banks and non-banks can participate.</w:t>
      </w:r>
      <w:r w:rsidRPr="00E83E52">
        <w:rPr>
          <w:rStyle w:val="FootnoteReference"/>
          <w:color w:val="030303"/>
          <w:szCs w:val="24"/>
          <w:shd w:val="clear" w:color="auto" w:fill="FFFFFF"/>
        </w:rPr>
        <w:footnoteReference w:id="200"/>
      </w:r>
      <w:r w:rsidRPr="00E83E52">
        <w:rPr>
          <w:color w:val="030303"/>
          <w:shd w:val="clear" w:color="auto" w:fill="FFFFFF"/>
        </w:rPr>
        <w:t xml:space="preserve"> In</w:t>
      </w:r>
      <w:r w:rsidR="00730709">
        <w:rPr>
          <w:color w:val="030303"/>
          <w:shd w:val="clear" w:color="auto" w:fill="FFFFFF"/>
        </w:rPr>
        <w:t> </w:t>
      </w:r>
      <w:r w:rsidRPr="00E83E52">
        <w:rPr>
          <w:color w:val="030303"/>
          <w:shd w:val="clear" w:color="auto" w:fill="FFFFFF"/>
        </w:rPr>
        <w:t xml:space="preserve">general, </w:t>
      </w:r>
      <w:r w:rsidRPr="00E83E52">
        <w:rPr>
          <w:shd w:val="clear" w:color="auto" w:fill="FFFFFF"/>
        </w:rPr>
        <w:t>technical, risk and business rule issues need to be resolved for interoperability to work.</w:t>
      </w:r>
      <w:r w:rsidRPr="00E83E52">
        <w:rPr>
          <w:rStyle w:val="FootnoteReference"/>
          <w:color w:val="000000" w:themeColor="text1"/>
          <w:szCs w:val="24"/>
          <w:shd w:val="clear" w:color="auto" w:fill="FFFFFF"/>
        </w:rPr>
        <w:footnoteReference w:id="201"/>
      </w:r>
    </w:p>
    <w:p w14:paraId="76DB7BC2" w14:textId="77777777" w:rsidR="00885B99" w:rsidRPr="00D42D8B" w:rsidRDefault="00885B99" w:rsidP="00885B99">
      <w:pPr>
        <w:pStyle w:val="Heading2"/>
      </w:pPr>
      <w:bookmarkStart w:id="503" w:name="_Toc472443762"/>
      <w:bookmarkStart w:id="504" w:name="_Toc17799436"/>
      <w:bookmarkStart w:id="505" w:name="_Toc17881582"/>
      <w:bookmarkStart w:id="506" w:name="_Toc17882412"/>
      <w:bookmarkStart w:id="507" w:name="_Toc17882631"/>
      <w:bookmarkStart w:id="508" w:name="_Toc17882850"/>
      <w:bookmarkStart w:id="509" w:name="_Toc17883205"/>
      <w:bookmarkStart w:id="510" w:name="_Toc17892877"/>
      <w:bookmarkStart w:id="511" w:name="_Toc17893096"/>
      <w:bookmarkStart w:id="512" w:name="_Toc17893315"/>
      <w:bookmarkStart w:id="513" w:name="_Toc17894176"/>
      <w:bookmarkStart w:id="514" w:name="_Toc17894404"/>
      <w:bookmarkStart w:id="515" w:name="_Toc17969258"/>
      <w:r>
        <w:t>9.2</w:t>
      </w:r>
      <w:r>
        <w:tab/>
        <w:t>Competition a</w:t>
      </w:r>
      <w:r w:rsidRPr="00D42D8B">
        <w:t>spects</w:t>
      </w:r>
      <w:bookmarkEnd w:id="503"/>
      <w:bookmarkEnd w:id="504"/>
      <w:bookmarkEnd w:id="505"/>
      <w:bookmarkEnd w:id="506"/>
      <w:bookmarkEnd w:id="507"/>
      <w:bookmarkEnd w:id="508"/>
      <w:bookmarkEnd w:id="509"/>
      <w:bookmarkEnd w:id="510"/>
      <w:bookmarkEnd w:id="511"/>
      <w:bookmarkEnd w:id="512"/>
      <w:bookmarkEnd w:id="513"/>
      <w:bookmarkEnd w:id="514"/>
      <w:bookmarkEnd w:id="515"/>
    </w:p>
    <w:p w14:paraId="5D27BC35" w14:textId="77777777" w:rsidR="00885B99" w:rsidRPr="00E83E52" w:rsidRDefault="00885B99" w:rsidP="00885B99">
      <w:r w:rsidRPr="00E83E52">
        <w:t>Access to existing payments infrastructure for non-bank payment service providers at FRAND is necessary to ensure a level playing field in the provision of DFS and efficien</w:t>
      </w:r>
      <w:r>
        <w:t>cy and interoperability of DFS.</w:t>
      </w:r>
    </w:p>
    <w:p w14:paraId="586C2B79" w14:textId="77777777" w:rsidR="00885B99" w:rsidRPr="00E83E52" w:rsidRDefault="00885B99" w:rsidP="00885B99">
      <w:r w:rsidRPr="00E83E52">
        <w:t>Even though interoperability in the DFS ecosystem is still evolving, there already appears to be examples where there is asymmetric access to existing infrastructures in a number of markets, primarily where the payment infrastructure is controlled by a payments association, bank, or consortium of banks. The Interoperability Working Group (IWG) of the ITU DFS FG identified access to payment infrastructures by non-bank PSPs as potential block to competition in DFS.</w:t>
      </w:r>
      <w:r w:rsidRPr="00E83E52">
        <w:rPr>
          <w:rStyle w:val="FootnoteReference"/>
          <w:color w:val="000000" w:themeColor="text1"/>
          <w:szCs w:val="24"/>
        </w:rPr>
        <w:footnoteReference w:id="202"/>
      </w:r>
      <w:r w:rsidRPr="00E83E52">
        <w:t xml:space="preserve"> Specifically, the IWG pointed out that access to payment infrastructures such as RTGS, NPSs, ACHs and payment switches is generally the domain of Tier 1 or 2</w:t>
      </w:r>
      <w:r w:rsidRPr="00E83E52">
        <w:rPr>
          <w:rStyle w:val="FootnoteReference"/>
          <w:color w:val="000000" w:themeColor="text1"/>
          <w:szCs w:val="24"/>
        </w:rPr>
        <w:footnoteReference w:id="203"/>
      </w:r>
      <w:r w:rsidRPr="00E83E52">
        <w:t xml:space="preserve"> banks and bank-dominated payment companies.</w:t>
      </w:r>
      <w:r w:rsidRPr="00E83E52">
        <w:rPr>
          <w:rStyle w:val="FootnoteReference"/>
          <w:color w:val="000000" w:themeColor="text1"/>
          <w:szCs w:val="24"/>
        </w:rPr>
        <w:footnoteReference w:id="204"/>
      </w:r>
      <w:r w:rsidRPr="00E83E52">
        <w:t xml:space="preserve"> Similarly, a key payment switch could be controlled by one private entity or one where there is private-public ownership.</w:t>
      </w:r>
      <w:r w:rsidRPr="00E83E52">
        <w:rPr>
          <w:rStyle w:val="FootnoteReference"/>
          <w:color w:val="000000" w:themeColor="text1"/>
          <w:szCs w:val="24"/>
        </w:rPr>
        <w:footnoteReference w:id="205"/>
      </w:r>
    </w:p>
    <w:p w14:paraId="48CCA237" w14:textId="77777777" w:rsidR="00885B99" w:rsidRPr="00E83E52" w:rsidRDefault="00885B99" w:rsidP="00885B99">
      <w:pPr>
        <w:rPr>
          <w:color w:val="000000" w:themeColor="text1"/>
          <w:szCs w:val="24"/>
        </w:rPr>
      </w:pPr>
      <w:r w:rsidRPr="00E83E52">
        <w:rPr>
          <w:color w:val="000000" w:themeColor="text1"/>
          <w:szCs w:val="24"/>
        </w:rPr>
        <w:t>To date, at a global level, bank-based models of DFS have faced most favorable conditions in integrating with payments infrastructure.</w:t>
      </w:r>
      <w:r w:rsidRPr="00E83E52">
        <w:rPr>
          <w:rStyle w:val="FootnoteReference"/>
          <w:color w:val="000000" w:themeColor="text1"/>
          <w:szCs w:val="24"/>
        </w:rPr>
        <w:footnoteReference w:id="206"/>
      </w:r>
      <w:r w:rsidRPr="00E83E52">
        <w:rPr>
          <w:color w:val="000000" w:themeColor="text1"/>
          <w:szCs w:val="24"/>
        </w:rPr>
        <w:t xml:space="preserve"> Given the incumbent position of banks in the provision of DFS and their ownership and control of much of the existing payments infrastructure, there is potential for their dominant position in the provision of payments infrastructure to result in blocking competition in the downstream market for payments services. Pricing models and asymmetric contract power in interchange and switch fees negotiations may prompt competition concerns. </w:t>
      </w:r>
      <w:r w:rsidRPr="00E83E52">
        <w:rPr>
          <w:color w:val="000000" w:themeColor="text1"/>
          <w:szCs w:val="24"/>
        </w:rPr>
        <w:lastRenderedPageBreak/>
        <w:t>Similarly, a monopoly over access to a key national payments interface has competition and systemic implications.</w:t>
      </w:r>
      <w:r w:rsidRPr="00E83E52">
        <w:rPr>
          <w:rStyle w:val="FootnoteReference"/>
          <w:color w:val="000000" w:themeColor="text1"/>
          <w:szCs w:val="24"/>
        </w:rPr>
        <w:footnoteReference w:id="207"/>
      </w:r>
    </w:p>
    <w:p w14:paraId="6D77E8FA" w14:textId="4C21A1D6" w:rsidR="00885B99" w:rsidRPr="00E83E52" w:rsidRDefault="00885B99" w:rsidP="00885B99">
      <w:r w:rsidRPr="00E83E52">
        <w:t xml:space="preserve">In recognizing these concerns, the IWG report encouraged </w:t>
      </w:r>
      <w:r>
        <w:t xml:space="preserve">financial </w:t>
      </w:r>
      <w:r w:rsidRPr="00E83E52">
        <w:t>regulators to ensure that operators of payment infrastructures develop risk-based, objective criteria for direct access.</w:t>
      </w:r>
      <w:r w:rsidRPr="00E83E52">
        <w:rPr>
          <w:rStyle w:val="FootnoteReference"/>
          <w:color w:val="000000" w:themeColor="text1"/>
          <w:szCs w:val="24"/>
        </w:rPr>
        <w:footnoteReference w:id="208"/>
      </w:r>
      <w:r w:rsidRPr="00E83E52">
        <w:t xml:space="preserve"> At the same time, the IWG recognized that it may be infeasible for many PSPs to comply with the financial and technical requirements for direct access; and that governance arrangements may create barriers to cost-effective indirect access. Therefore, the report recommends that payment system regulators work to ensure that PSPs can access payment services –</w:t>
      </w:r>
      <w:r w:rsidR="00730709">
        <w:t> </w:t>
      </w:r>
      <w:r w:rsidRPr="00E83E52">
        <w:t>whether through direct or indirect access</w:t>
      </w:r>
      <w:r w:rsidR="00730709">
        <w:t> </w:t>
      </w:r>
      <w:r w:rsidRPr="00E83E52">
        <w:t>– under FRAND conditions.</w:t>
      </w:r>
    </w:p>
    <w:p w14:paraId="2C31A639" w14:textId="77777777" w:rsidR="00885B99" w:rsidRPr="00E83E52" w:rsidRDefault="00885B99" w:rsidP="00885B99">
      <w:pPr>
        <w:pStyle w:val="Heading2"/>
      </w:pPr>
      <w:bookmarkStart w:id="516" w:name="_Toc472443763"/>
      <w:bookmarkStart w:id="517" w:name="_Toc17799437"/>
      <w:bookmarkStart w:id="518" w:name="_Toc17881583"/>
      <w:bookmarkStart w:id="519" w:name="_Toc17882413"/>
      <w:bookmarkStart w:id="520" w:name="_Toc17882632"/>
      <w:bookmarkStart w:id="521" w:name="_Toc17882851"/>
      <w:bookmarkStart w:id="522" w:name="_Toc17883206"/>
      <w:bookmarkStart w:id="523" w:name="_Toc17892878"/>
      <w:bookmarkStart w:id="524" w:name="_Toc17893097"/>
      <w:bookmarkStart w:id="525" w:name="_Toc17893316"/>
      <w:bookmarkStart w:id="526" w:name="_Toc17894177"/>
      <w:bookmarkStart w:id="527" w:name="_Toc17894405"/>
      <w:bookmarkStart w:id="528" w:name="_Toc17969259"/>
      <w:r>
        <w:t>9.3</w:t>
      </w:r>
      <w:r>
        <w:tab/>
        <w:t>Country e</w:t>
      </w:r>
      <w:r w:rsidRPr="00E83E52">
        <w:t>xamples</w:t>
      </w:r>
      <w:bookmarkEnd w:id="516"/>
      <w:bookmarkEnd w:id="517"/>
      <w:bookmarkEnd w:id="518"/>
      <w:bookmarkEnd w:id="519"/>
      <w:bookmarkEnd w:id="520"/>
      <w:bookmarkEnd w:id="521"/>
      <w:bookmarkEnd w:id="522"/>
      <w:bookmarkEnd w:id="523"/>
      <w:bookmarkEnd w:id="524"/>
      <w:bookmarkEnd w:id="525"/>
      <w:bookmarkEnd w:id="526"/>
      <w:bookmarkEnd w:id="527"/>
      <w:bookmarkEnd w:id="528"/>
    </w:p>
    <w:p w14:paraId="07C2A5AA" w14:textId="77777777" w:rsidR="00885B99" w:rsidRPr="005002F0" w:rsidRDefault="00885B99" w:rsidP="00885B99">
      <w:pPr>
        <w:pStyle w:val="Headingb"/>
        <w:rPr>
          <w:i/>
        </w:rPr>
      </w:pPr>
      <w:r w:rsidRPr="005002F0">
        <w:rPr>
          <w:i/>
        </w:rPr>
        <w:t>Colombia</w:t>
      </w:r>
    </w:p>
    <w:p w14:paraId="515A0CC6" w14:textId="77777777" w:rsidR="00885B99" w:rsidRDefault="00885B99" w:rsidP="00885B99">
      <w:r w:rsidRPr="00E83E52">
        <w:t xml:space="preserve">Although a new law on financial inclusion was passed, it did not take fully into account the need for non-banks to access national payment infrastructures or to have access to payment switches on FRAND terms. In particular, the ability for non-bank DFS SPs such as MNOs to </w:t>
      </w:r>
      <w:r>
        <w:t>distribute</w:t>
      </w:r>
      <w:r w:rsidRPr="00E83E52">
        <w:t xml:space="preserve"> companion Visa and Master</w:t>
      </w:r>
      <w:r>
        <w:t>C</w:t>
      </w:r>
      <w:r w:rsidRPr="00E83E52">
        <w:t xml:space="preserve">ard General Purpose Reloadable (GPR) cards </w:t>
      </w:r>
      <w:r>
        <w:t xml:space="preserve">has been </w:t>
      </w:r>
      <w:r w:rsidRPr="00E83E52">
        <w:t xml:space="preserve">somewhat </w:t>
      </w:r>
      <w:r>
        <w:t>limited</w:t>
      </w:r>
      <w:r w:rsidRPr="00E83E52">
        <w:t xml:space="preserve"> by the fact that the access is tightly cont</w:t>
      </w:r>
      <w:r>
        <w:t>rolled by two local franchises.</w:t>
      </w:r>
    </w:p>
    <w:p w14:paraId="06A8F39B" w14:textId="77777777" w:rsidR="00885B99" w:rsidRPr="00E83E52" w:rsidRDefault="00885B99" w:rsidP="00885B99">
      <w:pPr>
        <w:pStyle w:val="Headingb"/>
        <w:rPr>
          <w:u w:val="single"/>
        </w:rPr>
      </w:pPr>
      <w:r w:rsidRPr="005002F0">
        <w:rPr>
          <w:i/>
        </w:rPr>
        <w:t>India</w:t>
      </w:r>
      <w:r w:rsidRPr="00E83E52">
        <w:rPr>
          <w:rStyle w:val="FootnoteReference"/>
          <w:color w:val="000000" w:themeColor="text1"/>
          <w:szCs w:val="24"/>
        </w:rPr>
        <w:footnoteReference w:id="209"/>
      </w:r>
    </w:p>
    <w:p w14:paraId="1A963576" w14:textId="77777777" w:rsidR="00885B99" w:rsidRDefault="00885B99" w:rsidP="00885B99">
      <w:r w:rsidRPr="00E83E52">
        <w:t>Several payments systems are operational in India. These include the Real Time Gross Settlement (RTGS) system, National Electronic Funds Transfer (NEFT), Immediate Payment Service (IMPS), Aadha</w:t>
      </w:r>
      <w:r>
        <w:t>a</w:t>
      </w:r>
      <w:r w:rsidRPr="00E83E52">
        <w:t>r Enabled Payment System (AEPS) and Unified Payments Interface (UPI).</w:t>
      </w:r>
      <w:r w:rsidRPr="00E83E52">
        <w:rPr>
          <w:rStyle w:val="FootnoteReference"/>
          <w:szCs w:val="24"/>
        </w:rPr>
        <w:footnoteReference w:id="210"/>
      </w:r>
      <w:r w:rsidRPr="00E83E52">
        <w:t xml:space="preserve"> The RBI, which is the banking and also the payments regulator, operates RTGS and NEFT payment systems. The National Payments Corporation of India (NPCI) operates IMPS, AEPS and UPI. In addition to operating the payment systems, NPCI has also been authorized to operate as a central unit for new centralized bill payment mechanism: Bharat Bill Payment System (BBPS). Non-banks can access NPCI systems only with/through banks.</w:t>
      </w:r>
      <w:r>
        <w:rPr>
          <w:rStyle w:val="FootnoteReference"/>
          <w:szCs w:val="24"/>
        </w:rPr>
        <w:footnoteReference w:id="211"/>
      </w:r>
    </w:p>
    <w:p w14:paraId="0F8DB388" w14:textId="480D28A2" w:rsidR="00885B99" w:rsidRPr="00E83E52" w:rsidRDefault="00885B99" w:rsidP="00885B99">
      <w:r w:rsidRPr="00E83E52">
        <w:t xml:space="preserve">The gamut of services offered by NPCI has made it </w:t>
      </w:r>
      <w:r>
        <w:t xml:space="preserve">a </w:t>
      </w:r>
      <w:r w:rsidRPr="00E83E52">
        <w:t>dominant player in several services</w:t>
      </w:r>
      <w:r w:rsidR="00730709">
        <w:t xml:space="preserve"> </w:t>
      </w:r>
      <w:r>
        <w:t>–</w:t>
      </w:r>
      <w:r w:rsidR="00730709">
        <w:t> </w:t>
      </w:r>
      <w:r w:rsidRPr="00E83E52">
        <w:t>such as card payments</w:t>
      </w:r>
      <w:r>
        <w:t> –</w:t>
      </w:r>
      <w:r w:rsidRPr="00E83E52">
        <w:t xml:space="preserve"> and </w:t>
      </w:r>
      <w:r>
        <w:t xml:space="preserve">the </w:t>
      </w:r>
      <w:r w:rsidRPr="00E83E52">
        <w:t xml:space="preserve">exclusive player in many. It is thus the only entity </w:t>
      </w:r>
      <w:r>
        <w:t>authorized</w:t>
      </w:r>
      <w:r w:rsidRPr="00E83E52">
        <w:t xml:space="preserve"> by RBI as a retail payments </w:t>
      </w:r>
      <w:r>
        <w:t>organization</w:t>
      </w:r>
      <w:r w:rsidRPr="00E83E52">
        <w:t>,</w:t>
      </w:r>
      <w:r w:rsidRPr="00E83E52">
        <w:rPr>
          <w:rStyle w:val="FootnoteReference"/>
          <w:szCs w:val="24"/>
        </w:rPr>
        <w:footnoteReference w:id="212"/>
      </w:r>
      <w:r w:rsidRPr="00E83E52">
        <w:t xml:space="preserve"> which allows it to set standards, access criteria and service pricing. This has raised concerns that NPCI is increasingly turning into </w:t>
      </w:r>
      <w:r>
        <w:t xml:space="preserve">the </w:t>
      </w:r>
      <w:r w:rsidRPr="00E83E52">
        <w:t xml:space="preserve">exclusive service provider-cum-quasi regulator for payments systems in India. The Financial Sector Legislative Reform Commission Working Group on Payments for example has called for a level playing field within the payments </w:t>
      </w:r>
      <w:r w:rsidRPr="00E83E52">
        <w:lastRenderedPageBreak/>
        <w:t>industry and between bank and non-bank players.</w:t>
      </w:r>
      <w:r w:rsidRPr="00E83E52">
        <w:rPr>
          <w:rStyle w:val="FootnoteReference"/>
          <w:szCs w:val="24"/>
        </w:rPr>
        <w:footnoteReference w:id="213"/>
      </w:r>
      <w:r w:rsidRPr="00E83E52">
        <w:t xml:space="preserve"> A recent report from the Indian Ministry of Finance – known as the Watal Committee</w:t>
      </w:r>
      <w:r>
        <w:t> –</w:t>
      </w:r>
      <w:r w:rsidRPr="00E83E52">
        <w:t xml:space="preserve"> made similar recommendations.</w:t>
      </w:r>
      <w:r w:rsidRPr="00E83E52">
        <w:rPr>
          <w:rStyle w:val="FootnoteReference"/>
          <w:szCs w:val="24"/>
        </w:rPr>
        <w:footnoteReference w:id="214"/>
      </w:r>
    </w:p>
    <w:p w14:paraId="4A2D1CB5" w14:textId="77777777" w:rsidR="00885B99" w:rsidRPr="005B221E" w:rsidRDefault="00885B99" w:rsidP="00885B99">
      <w:pPr>
        <w:pStyle w:val="Headingb"/>
        <w:rPr>
          <w:i/>
        </w:rPr>
      </w:pPr>
      <w:r w:rsidRPr="005B221E">
        <w:rPr>
          <w:i/>
        </w:rPr>
        <w:t>Kenya</w:t>
      </w:r>
    </w:p>
    <w:p w14:paraId="3FB31D5A" w14:textId="77777777" w:rsidR="00885B99" w:rsidRPr="00E83E52" w:rsidRDefault="00885B99" w:rsidP="00885B99">
      <w:r w:rsidRPr="00E83E52">
        <w:t>In August, 2015 Safaricom announced that it was increasing the rates charged for transfers from bank accounts to M-PESA to align them with the M-PESA P2P tariffs.</w:t>
      </w:r>
      <w:r w:rsidRPr="00E83E52">
        <w:rPr>
          <w:rStyle w:val="FootnoteReference"/>
          <w:color w:val="000000" w:themeColor="text1"/>
          <w:szCs w:val="24"/>
        </w:rPr>
        <w:footnoteReference w:id="215"/>
      </w:r>
      <w:r w:rsidRPr="00E83E52">
        <w:t xml:space="preserve"> Rival Equitel MVNO complained to the CBK that this price change was not justified. This apparently prompted Safaricom to unilaterally rescind the planned price increase.</w:t>
      </w:r>
      <w:r>
        <w:rPr>
          <w:rStyle w:val="FootnoteReference"/>
          <w:color w:val="000000" w:themeColor="text1"/>
          <w:szCs w:val="24"/>
        </w:rPr>
        <w:footnoteReference w:id="216"/>
      </w:r>
      <w:r w:rsidRPr="00E83E52">
        <w:t xml:space="preserve"> The retail banks in Kenya have not been fully been able to interoperate with M-PESA and as such are developing their own payments switch.</w:t>
      </w:r>
    </w:p>
    <w:p w14:paraId="5579D81E" w14:textId="77777777" w:rsidR="00885B99" w:rsidRPr="005B221E" w:rsidRDefault="00885B99" w:rsidP="00885B99">
      <w:pPr>
        <w:pStyle w:val="Headingb"/>
        <w:rPr>
          <w:i/>
        </w:rPr>
      </w:pPr>
      <w:r w:rsidRPr="005B221E">
        <w:rPr>
          <w:i/>
        </w:rPr>
        <w:t>Jordan</w:t>
      </w:r>
    </w:p>
    <w:p w14:paraId="3E64C93F" w14:textId="77777777" w:rsidR="00885B99" w:rsidRPr="00E83E52" w:rsidRDefault="00885B99" w:rsidP="00885B99">
      <w:r w:rsidRPr="00E83E52">
        <w:t>In Jordan, interoperability has been mandated by the Bank of Jordan (BOJ). All bank and non-bank participants have to link the BOJ</w:t>
      </w:r>
      <w:r>
        <w:t>'</w:t>
      </w:r>
      <w:r w:rsidRPr="00E83E52">
        <w:t>s switch JoMoPay. Final governance and commercial arrangements for the switch have yet to be established.</w:t>
      </w:r>
      <w:r w:rsidRPr="00E83E52">
        <w:rPr>
          <w:rStyle w:val="FootnoteReference"/>
          <w:color w:val="000000" w:themeColor="text1"/>
          <w:szCs w:val="24"/>
        </w:rPr>
        <w:footnoteReference w:id="217"/>
      </w:r>
    </w:p>
    <w:p w14:paraId="3B894144" w14:textId="77777777" w:rsidR="00885B99" w:rsidRPr="00E83E52" w:rsidRDefault="00885B99" w:rsidP="00885B99">
      <w:pPr>
        <w:pStyle w:val="Heading1"/>
      </w:pPr>
      <w:bookmarkStart w:id="529" w:name="_Toc472443764"/>
      <w:bookmarkStart w:id="530" w:name="_Toc17799438"/>
      <w:bookmarkStart w:id="531" w:name="_Toc17881584"/>
      <w:bookmarkStart w:id="532" w:name="_Toc17882414"/>
      <w:bookmarkStart w:id="533" w:name="_Toc17882633"/>
      <w:bookmarkStart w:id="534" w:name="_Toc17882852"/>
      <w:bookmarkStart w:id="535" w:name="_Toc17883207"/>
      <w:bookmarkStart w:id="536" w:name="_Toc17892879"/>
      <w:bookmarkStart w:id="537" w:name="_Toc17893098"/>
      <w:bookmarkStart w:id="538" w:name="_Toc17893317"/>
      <w:bookmarkStart w:id="539" w:name="_Toc17894178"/>
      <w:bookmarkStart w:id="540" w:name="_Toc17894406"/>
      <w:bookmarkStart w:id="541" w:name="_Toc17969260"/>
      <w:r w:rsidRPr="00E83E52">
        <w:t>E</w:t>
      </w:r>
      <w:r w:rsidRPr="00E83E52">
        <w:tab/>
        <w:t>Access to and use of big data sets</w:t>
      </w:r>
      <w:bookmarkEnd w:id="529"/>
      <w:bookmarkEnd w:id="530"/>
      <w:bookmarkEnd w:id="531"/>
      <w:bookmarkEnd w:id="532"/>
      <w:bookmarkEnd w:id="533"/>
      <w:bookmarkEnd w:id="534"/>
      <w:bookmarkEnd w:id="535"/>
      <w:bookmarkEnd w:id="536"/>
      <w:bookmarkEnd w:id="537"/>
      <w:bookmarkEnd w:id="538"/>
      <w:bookmarkEnd w:id="539"/>
      <w:bookmarkEnd w:id="540"/>
      <w:bookmarkEnd w:id="541"/>
    </w:p>
    <w:p w14:paraId="1B999D34" w14:textId="77777777" w:rsidR="00885B99" w:rsidRPr="0026527A" w:rsidRDefault="00885B99" w:rsidP="00885B99">
      <w:pPr>
        <w:pStyle w:val="Heading1"/>
      </w:pPr>
      <w:bookmarkStart w:id="542" w:name="_Toc472443765"/>
      <w:bookmarkStart w:id="543" w:name="_Toc17799439"/>
      <w:bookmarkStart w:id="544" w:name="_Toc17881585"/>
      <w:bookmarkStart w:id="545" w:name="_Toc17882415"/>
      <w:bookmarkStart w:id="546" w:name="_Toc17882634"/>
      <w:bookmarkStart w:id="547" w:name="_Toc17882853"/>
      <w:bookmarkStart w:id="548" w:name="_Toc17883208"/>
      <w:bookmarkStart w:id="549" w:name="_Toc17892880"/>
      <w:bookmarkStart w:id="550" w:name="_Toc17893099"/>
      <w:bookmarkStart w:id="551" w:name="_Toc17893318"/>
      <w:bookmarkStart w:id="552" w:name="_Toc17894179"/>
      <w:bookmarkStart w:id="553" w:name="_Toc17894407"/>
      <w:bookmarkStart w:id="554" w:name="_Toc17969261"/>
      <w:r>
        <w:t>10</w:t>
      </w:r>
      <w:r>
        <w:tab/>
      </w:r>
      <w:r w:rsidRPr="0026527A">
        <w:t>Big data and DFS</w:t>
      </w:r>
      <w:bookmarkEnd w:id="542"/>
      <w:bookmarkEnd w:id="543"/>
      <w:bookmarkEnd w:id="544"/>
      <w:bookmarkEnd w:id="545"/>
      <w:bookmarkEnd w:id="546"/>
      <w:bookmarkEnd w:id="547"/>
      <w:bookmarkEnd w:id="548"/>
      <w:bookmarkEnd w:id="549"/>
      <w:bookmarkEnd w:id="550"/>
      <w:bookmarkEnd w:id="551"/>
      <w:bookmarkEnd w:id="552"/>
      <w:bookmarkEnd w:id="553"/>
      <w:bookmarkEnd w:id="554"/>
    </w:p>
    <w:p w14:paraId="6F30A303" w14:textId="77777777" w:rsidR="00885B99" w:rsidRPr="00E83E52" w:rsidRDefault="00885B99" w:rsidP="00885B99">
      <w:pPr>
        <w:pStyle w:val="Heading2"/>
      </w:pPr>
      <w:bookmarkStart w:id="555" w:name="_Toc472443766"/>
      <w:bookmarkStart w:id="556" w:name="_Toc17799440"/>
      <w:bookmarkStart w:id="557" w:name="_Toc17881586"/>
      <w:bookmarkStart w:id="558" w:name="_Toc17882416"/>
      <w:bookmarkStart w:id="559" w:name="_Toc17882635"/>
      <w:bookmarkStart w:id="560" w:name="_Toc17882854"/>
      <w:bookmarkStart w:id="561" w:name="_Toc17883209"/>
      <w:bookmarkStart w:id="562" w:name="_Toc17892881"/>
      <w:bookmarkStart w:id="563" w:name="_Toc17893100"/>
      <w:bookmarkStart w:id="564" w:name="_Toc17893319"/>
      <w:bookmarkStart w:id="565" w:name="_Toc17894180"/>
      <w:bookmarkStart w:id="566" w:name="_Toc17894408"/>
      <w:bookmarkStart w:id="567" w:name="_Toc17969262"/>
      <w:r>
        <w:t>10.1</w:t>
      </w:r>
      <w:r>
        <w:tab/>
      </w:r>
      <w:r w:rsidRPr="00E83E52">
        <w:t>Overview</w:t>
      </w:r>
      <w:bookmarkEnd w:id="555"/>
      <w:bookmarkEnd w:id="556"/>
      <w:bookmarkEnd w:id="557"/>
      <w:bookmarkEnd w:id="558"/>
      <w:bookmarkEnd w:id="559"/>
      <w:bookmarkEnd w:id="560"/>
      <w:bookmarkEnd w:id="561"/>
      <w:bookmarkEnd w:id="562"/>
      <w:bookmarkEnd w:id="563"/>
      <w:bookmarkEnd w:id="564"/>
      <w:bookmarkEnd w:id="565"/>
      <w:bookmarkEnd w:id="566"/>
      <w:bookmarkEnd w:id="567"/>
    </w:p>
    <w:p w14:paraId="37EAA31A" w14:textId="77777777" w:rsidR="00885B99" w:rsidRPr="00E83E52" w:rsidRDefault="00885B99" w:rsidP="00885B99">
      <w:r w:rsidRPr="00E83E52">
        <w:t>As DFS evolves from its genesis as primarily a remittance-type service to a more transactional offering that includes services such as insurance, investments and credit provision, SPs may want better data sets to assist them to develop new products, to assess customer risk, and to target the correct market segments.</w:t>
      </w:r>
      <w:r w:rsidRPr="00E83E52">
        <w:rPr>
          <w:rStyle w:val="FootnoteReference"/>
          <w:color w:val="000000" w:themeColor="text1"/>
          <w:szCs w:val="24"/>
        </w:rPr>
        <w:footnoteReference w:id="218"/>
      </w:r>
    </w:p>
    <w:p w14:paraId="3F7FDD69" w14:textId="77777777" w:rsidR="00885B99" w:rsidRPr="00E83E52" w:rsidRDefault="00885B99" w:rsidP="00885B99">
      <w:r w:rsidRPr="00E83E52">
        <w:t>For provision of credit, be it short-term micro-credit or a longer term macro-credit product, providers need specific data sets to assess risk and credit worthiness.</w:t>
      </w:r>
      <w:r w:rsidRPr="00E83E52">
        <w:rPr>
          <w:rStyle w:val="FootnoteReference"/>
          <w:color w:val="000000" w:themeColor="text1"/>
          <w:szCs w:val="24"/>
        </w:rPr>
        <w:footnoteReference w:id="219"/>
      </w:r>
      <w:r w:rsidRPr="00E83E52">
        <w:t xml:space="preserve"> The data is limited though: o</w:t>
      </w:r>
      <w:r w:rsidRPr="00E83E52">
        <w:rPr>
          <w:shd w:val="clear" w:color="auto" w:fill="FFFFFF"/>
        </w:rPr>
        <w:t>nly 10% of people in eight</w:t>
      </w:r>
      <w:r w:rsidRPr="00060B5E">
        <w:t xml:space="preserve"> sub-Saharan countries, for example, have verifiable online financial data</w:t>
      </w:r>
      <w:r w:rsidRPr="00E83E52">
        <w:rPr>
          <w:shd w:val="clear" w:color="auto" w:fill="FFFFFF"/>
        </w:rPr>
        <w:t>.</w:t>
      </w:r>
      <w:r>
        <w:rPr>
          <w:rStyle w:val="FootnoteReference"/>
          <w:color w:val="000000" w:themeColor="text1"/>
          <w:szCs w:val="24"/>
          <w:shd w:val="clear" w:color="auto" w:fill="FFFFFF"/>
        </w:rPr>
        <w:footnoteReference w:id="220"/>
      </w:r>
    </w:p>
    <w:p w14:paraId="275DCB21" w14:textId="77777777" w:rsidR="00885B99" w:rsidRPr="00E83E52" w:rsidRDefault="00885B99" w:rsidP="00885B99">
      <w:r w:rsidRPr="00E83E52">
        <w:t xml:space="preserve">For many DFS markets, the most cogent data sets are </w:t>
      </w:r>
      <w:r>
        <w:t xml:space="preserve">often </w:t>
      </w:r>
      <w:r w:rsidRPr="00E83E52">
        <w:t xml:space="preserve">those that can be gleaned from mobile phone use, either from conventional telecommunication activity use, through transactional data in </w:t>
      </w:r>
      <w:r w:rsidRPr="00E83E52">
        <w:lastRenderedPageBreak/>
        <w:t>DFS or similar transactions obtained by DFS providers such as MNOs, or through third party smartphone app providers.</w:t>
      </w:r>
      <w:r>
        <w:rPr>
          <w:rStyle w:val="FootnoteReference"/>
          <w:color w:val="000000" w:themeColor="text1"/>
          <w:szCs w:val="24"/>
        </w:rPr>
        <w:footnoteReference w:id="221"/>
      </w:r>
    </w:p>
    <w:p w14:paraId="54467D7D" w14:textId="77777777" w:rsidR="00885B99" w:rsidRPr="00E83E52" w:rsidRDefault="00885B99" w:rsidP="00885B99">
      <w:r w:rsidRPr="00E83E52">
        <w:t xml:space="preserve">In the telecommunication (use) context for example, Call Data Records (CDRs) captured in the course of their operations by MNOs are evolving from simply being flat records of telecommunication service use by individual customers to being the cradle of rich data insights made possible by the connective tissue of big data algorithms. This so-called </w:t>
      </w:r>
      <w:r>
        <w:t>'</w:t>
      </w:r>
      <w:r w:rsidRPr="00E83E52">
        <w:t>exhaust</w:t>
      </w:r>
      <w:r>
        <w:t>'</w:t>
      </w:r>
      <w:r w:rsidRPr="00E83E52">
        <w:t xml:space="preserve"> data scrapped from these data sources can reveal a lot more </w:t>
      </w:r>
      <w:r>
        <w:t>about</w:t>
      </w:r>
      <w:r w:rsidRPr="00E83E52">
        <w:t xml:space="preserve"> customer </w:t>
      </w:r>
      <w:r>
        <w:t>behaviour</w:t>
      </w:r>
      <w:r w:rsidRPr="00E83E52">
        <w:t>, and thus credit worthiness.</w:t>
      </w:r>
      <w:r w:rsidRPr="00E83E52">
        <w:rPr>
          <w:rStyle w:val="FootnoteReference"/>
          <w:color w:val="000000" w:themeColor="text1"/>
          <w:szCs w:val="24"/>
        </w:rPr>
        <w:footnoteReference w:id="222"/>
      </w:r>
      <w:r w:rsidRPr="00E83E52">
        <w:t xml:space="preserve"> These metrics are the maximum types of data sets that can be derived from customers with feature phones,</w:t>
      </w:r>
      <w:r w:rsidRPr="00E83E52">
        <w:rPr>
          <w:rStyle w:val="FootnoteReference"/>
          <w:color w:val="000000" w:themeColor="text1"/>
          <w:szCs w:val="24"/>
        </w:rPr>
        <w:footnoteReference w:id="223"/>
      </w:r>
      <w:r w:rsidRPr="00E83E52">
        <w:t xml:space="preserve"> augmented however if the MNO also provides DFS products.</w:t>
      </w:r>
    </w:p>
    <w:p w14:paraId="2F490FB5" w14:textId="77777777" w:rsidR="00885B99" w:rsidRPr="00E83E52" w:rsidRDefault="00885B99" w:rsidP="00885B99">
      <w:pPr>
        <w:spacing w:after="120"/>
        <w:rPr>
          <w:color w:val="000000" w:themeColor="text1"/>
          <w:szCs w:val="24"/>
        </w:rPr>
      </w:pPr>
      <w:r w:rsidRPr="00E83E52">
        <w:rPr>
          <w:color w:val="000000" w:themeColor="text1"/>
          <w:szCs w:val="24"/>
        </w:rPr>
        <w:t xml:space="preserve">Even richer data sets can be gleaned from users with smartphones, who may use apps that reveal further information about them. For example, some new </w:t>
      </w:r>
      <w:r>
        <w:rPr>
          <w:color w:val="000000" w:themeColor="text1"/>
          <w:szCs w:val="24"/>
        </w:rPr>
        <w:t xml:space="preserve">DFS credit provider </w:t>
      </w:r>
      <w:r w:rsidRPr="00E83E52">
        <w:rPr>
          <w:color w:val="000000" w:themeColor="text1"/>
          <w:szCs w:val="24"/>
        </w:rPr>
        <w:t xml:space="preserve">smartphone apps will request user consent to mine their contact lists, get device details, obtain biographical data in registration forms beyond that </w:t>
      </w:r>
      <w:r>
        <w:rPr>
          <w:color w:val="000000" w:themeColor="text1"/>
          <w:szCs w:val="24"/>
        </w:rPr>
        <w:t xml:space="preserve">which </w:t>
      </w:r>
      <w:r w:rsidRPr="00E83E52">
        <w:rPr>
          <w:color w:val="000000" w:themeColor="text1"/>
          <w:szCs w:val="24"/>
        </w:rPr>
        <w:t>can be obtained in (often mandatory) SIM card registration, as well as track their calls, SMSs, instant messages, digital purchase habits and location.</w:t>
      </w:r>
      <w:r w:rsidRPr="00E83E52">
        <w:rPr>
          <w:rStyle w:val="FootnoteReference"/>
          <w:color w:val="000000" w:themeColor="text1"/>
          <w:szCs w:val="24"/>
        </w:rPr>
        <w:footnoteReference w:id="224"/>
      </w:r>
      <w:r w:rsidRPr="00E83E52">
        <w:rPr>
          <w:color w:val="000000" w:themeColor="text1"/>
          <w:szCs w:val="24"/>
        </w:rPr>
        <w:t xml:space="preserve"> Similar data and results can be obtained by messaging and social network apps </w:t>
      </w:r>
      <w:r>
        <w:rPr>
          <w:color w:val="000000" w:themeColor="text1"/>
          <w:szCs w:val="24"/>
        </w:rPr>
        <w:t>that</w:t>
      </w:r>
      <w:r w:rsidRPr="00E83E52">
        <w:rPr>
          <w:color w:val="000000" w:themeColor="text1"/>
          <w:szCs w:val="24"/>
        </w:rPr>
        <w:t xml:space="preserve"> have payment components added, such as those from Tencent</w:t>
      </w:r>
      <w:r>
        <w:rPr>
          <w:color w:val="000000" w:themeColor="text1"/>
          <w:szCs w:val="24"/>
        </w:rPr>
        <w:t>'</w:t>
      </w:r>
      <w:r w:rsidRPr="00E83E52">
        <w:rPr>
          <w:color w:val="000000" w:themeColor="text1"/>
          <w:szCs w:val="24"/>
        </w:rPr>
        <w:t xml:space="preserve">s </w:t>
      </w:r>
      <w:r>
        <w:rPr>
          <w:color w:val="000000" w:themeColor="text1"/>
          <w:szCs w:val="24"/>
        </w:rPr>
        <w:t>'</w:t>
      </w:r>
      <w:r w:rsidRPr="00E83E52">
        <w:rPr>
          <w:color w:val="000000" w:themeColor="text1"/>
          <w:szCs w:val="24"/>
        </w:rPr>
        <w:t>WeChat Pay</w:t>
      </w:r>
      <w:r>
        <w:rPr>
          <w:color w:val="000000" w:themeColor="text1"/>
          <w:szCs w:val="24"/>
        </w:rPr>
        <w:t>'</w:t>
      </w:r>
      <w:r w:rsidRPr="00E83E52">
        <w:rPr>
          <w:color w:val="000000" w:themeColor="text1"/>
          <w:szCs w:val="24"/>
        </w:rPr>
        <w:t xml:space="preserve"> application in China, and social network behemoth Facebook</w:t>
      </w:r>
      <w:r>
        <w:rPr>
          <w:color w:val="000000" w:themeColor="text1"/>
          <w:szCs w:val="24"/>
        </w:rPr>
        <w:t>'</w:t>
      </w:r>
      <w:r w:rsidRPr="00E83E52">
        <w:rPr>
          <w:color w:val="000000" w:themeColor="text1"/>
          <w:szCs w:val="24"/>
        </w:rPr>
        <w:t xml:space="preserve">s </w:t>
      </w:r>
      <w:r>
        <w:rPr>
          <w:color w:val="000000" w:themeColor="text1"/>
          <w:szCs w:val="24"/>
        </w:rPr>
        <w:t>'</w:t>
      </w:r>
      <w:r w:rsidRPr="00E83E52">
        <w:rPr>
          <w:color w:val="000000" w:themeColor="text1"/>
          <w:szCs w:val="24"/>
        </w:rPr>
        <w:t>Messenger</w:t>
      </w:r>
      <w:r>
        <w:rPr>
          <w:color w:val="000000" w:themeColor="text1"/>
          <w:szCs w:val="24"/>
        </w:rPr>
        <w:t>'</w:t>
      </w:r>
      <w:r w:rsidRPr="00E83E52">
        <w:rPr>
          <w:color w:val="000000" w:themeColor="text1"/>
          <w:szCs w:val="24"/>
        </w:rPr>
        <w:t xml:space="preserve"> application.</w:t>
      </w:r>
    </w:p>
    <w:p w14:paraId="20EC70CB" w14:textId="77777777" w:rsidR="00885B99" w:rsidRPr="00E83E52" w:rsidRDefault="00885B99" w:rsidP="00885B99">
      <w:r w:rsidRPr="00E83E52">
        <w:t>This accumulated data becomes valuable in creating alternate credit scores and in then facilitating provision of credit to some of these profiled users. In many cases, however, users may not be aware</w:t>
      </w:r>
      <w:r>
        <w:t xml:space="preserve"> that</w:t>
      </w:r>
      <w:r w:rsidRPr="00E83E52">
        <w:t xml:space="preserve"> data is being scrapped and used as a basis for developing an alternate credit score, or affecting current credit bureau scoring data. These privacy concerns have garnered the attention of some regulators.</w:t>
      </w:r>
      <w:r w:rsidRPr="00E83E52">
        <w:rPr>
          <w:rStyle w:val="FootnoteReference"/>
          <w:color w:val="000000" w:themeColor="text1"/>
          <w:szCs w:val="24"/>
        </w:rPr>
        <w:footnoteReference w:id="225"/>
      </w:r>
    </w:p>
    <w:p w14:paraId="29AFCDA6" w14:textId="77777777" w:rsidR="00885B99" w:rsidRPr="007F50B6" w:rsidRDefault="00885B99" w:rsidP="00885B99">
      <w:pPr>
        <w:pStyle w:val="Heading2"/>
      </w:pPr>
      <w:bookmarkStart w:id="568" w:name="_Toc472024762"/>
      <w:bookmarkStart w:id="569" w:name="_Toc472024763"/>
      <w:bookmarkStart w:id="570" w:name="_Toc472024765"/>
      <w:bookmarkStart w:id="571" w:name="_Toc472024767"/>
      <w:bookmarkStart w:id="572" w:name="_Toc472024768"/>
      <w:bookmarkStart w:id="573" w:name="_Toc472024769"/>
      <w:bookmarkStart w:id="574" w:name="_Toc472443767"/>
      <w:bookmarkStart w:id="575" w:name="_Toc17799441"/>
      <w:bookmarkStart w:id="576" w:name="_Toc17881587"/>
      <w:bookmarkStart w:id="577" w:name="_Toc17882417"/>
      <w:bookmarkStart w:id="578" w:name="_Toc17882636"/>
      <w:bookmarkStart w:id="579" w:name="_Toc17882855"/>
      <w:bookmarkStart w:id="580" w:name="_Toc17883210"/>
      <w:bookmarkStart w:id="581" w:name="_Toc17892882"/>
      <w:bookmarkStart w:id="582" w:name="_Toc17893101"/>
      <w:bookmarkStart w:id="583" w:name="_Toc17893320"/>
      <w:bookmarkStart w:id="584" w:name="_Toc17894181"/>
      <w:bookmarkStart w:id="585" w:name="_Toc17894409"/>
      <w:bookmarkStart w:id="586" w:name="_Toc17969263"/>
      <w:bookmarkEnd w:id="568"/>
      <w:bookmarkEnd w:id="569"/>
      <w:bookmarkEnd w:id="570"/>
      <w:bookmarkEnd w:id="571"/>
      <w:bookmarkEnd w:id="572"/>
      <w:bookmarkEnd w:id="573"/>
      <w:r>
        <w:t>10.2</w:t>
      </w:r>
      <w:r>
        <w:tab/>
        <w:t>Competition a</w:t>
      </w:r>
      <w:r w:rsidRPr="007F50B6">
        <w:t>spects</w:t>
      </w:r>
      <w:bookmarkEnd w:id="574"/>
      <w:bookmarkEnd w:id="575"/>
      <w:bookmarkEnd w:id="576"/>
      <w:bookmarkEnd w:id="577"/>
      <w:bookmarkEnd w:id="578"/>
      <w:bookmarkEnd w:id="579"/>
      <w:bookmarkEnd w:id="580"/>
      <w:bookmarkEnd w:id="581"/>
      <w:bookmarkEnd w:id="582"/>
      <w:bookmarkEnd w:id="583"/>
      <w:bookmarkEnd w:id="584"/>
      <w:bookmarkEnd w:id="585"/>
      <w:bookmarkEnd w:id="586"/>
    </w:p>
    <w:p w14:paraId="58713218" w14:textId="77777777" w:rsidR="00885B99" w:rsidRPr="00E83E52" w:rsidRDefault="00885B99" w:rsidP="00885B99">
      <w:r w:rsidRPr="00E83E52">
        <w:t>Entities who may be in a position to accumulate data used to create alternative credit scores may potentially use the data to their own advantage by not providing the complete data sets as required to credit bureaus, and/or selectively providing the data only to preferred parties. Entities with SMP may be able to utilize their internal data to the potential detriment of smaller players.</w:t>
      </w:r>
    </w:p>
    <w:p w14:paraId="099BA5ED" w14:textId="77777777" w:rsidR="00885B99" w:rsidRPr="007F50B6" w:rsidRDefault="00885B99" w:rsidP="00885B99">
      <w:pPr>
        <w:pStyle w:val="Heading2"/>
      </w:pPr>
      <w:bookmarkStart w:id="587" w:name="_Toc472024771"/>
      <w:bookmarkStart w:id="588" w:name="_Toc472024772"/>
      <w:bookmarkStart w:id="589" w:name="_Toc472443768"/>
      <w:bookmarkStart w:id="590" w:name="_Toc17799442"/>
      <w:bookmarkStart w:id="591" w:name="_Toc17881588"/>
      <w:bookmarkStart w:id="592" w:name="_Toc17882418"/>
      <w:bookmarkStart w:id="593" w:name="_Toc17882637"/>
      <w:bookmarkStart w:id="594" w:name="_Toc17882856"/>
      <w:bookmarkStart w:id="595" w:name="_Toc17883211"/>
      <w:bookmarkStart w:id="596" w:name="_Toc17892883"/>
      <w:bookmarkStart w:id="597" w:name="_Toc17893102"/>
      <w:bookmarkStart w:id="598" w:name="_Toc17893321"/>
      <w:bookmarkStart w:id="599" w:name="_Toc17894182"/>
      <w:bookmarkStart w:id="600" w:name="_Toc17894410"/>
      <w:bookmarkStart w:id="601" w:name="_Toc17969264"/>
      <w:bookmarkEnd w:id="587"/>
      <w:bookmarkEnd w:id="588"/>
      <w:r>
        <w:lastRenderedPageBreak/>
        <w:t>10.3</w:t>
      </w:r>
      <w:r>
        <w:tab/>
        <w:t>Country e</w:t>
      </w:r>
      <w:r w:rsidRPr="007F50B6">
        <w:t>xample</w:t>
      </w:r>
      <w:bookmarkEnd w:id="589"/>
      <w:bookmarkEnd w:id="590"/>
      <w:bookmarkEnd w:id="591"/>
      <w:bookmarkEnd w:id="592"/>
      <w:bookmarkEnd w:id="593"/>
      <w:bookmarkEnd w:id="594"/>
      <w:bookmarkEnd w:id="595"/>
      <w:bookmarkEnd w:id="596"/>
      <w:bookmarkEnd w:id="597"/>
      <w:bookmarkEnd w:id="598"/>
      <w:bookmarkEnd w:id="599"/>
      <w:bookmarkEnd w:id="600"/>
      <w:bookmarkEnd w:id="601"/>
    </w:p>
    <w:p w14:paraId="33393B75" w14:textId="77777777" w:rsidR="00885B99" w:rsidRPr="00422D31" w:rsidRDefault="00885B99" w:rsidP="00885B99">
      <w:pPr>
        <w:pStyle w:val="Headingb"/>
        <w:rPr>
          <w:i/>
        </w:rPr>
      </w:pPr>
      <w:r w:rsidRPr="00422D31">
        <w:rPr>
          <w:i/>
        </w:rPr>
        <w:t>Kenya</w:t>
      </w:r>
    </w:p>
    <w:p w14:paraId="35AAC07C" w14:textId="77777777" w:rsidR="00885B99" w:rsidRPr="00E83E52" w:rsidRDefault="00885B99" w:rsidP="00885B99">
      <w:r w:rsidRPr="00E83E52">
        <w:t xml:space="preserve">The Competition Authority of Kenya in 2016 began a study to </w:t>
      </w:r>
      <w:r>
        <w:t>'</w:t>
      </w:r>
      <w:r w:rsidRPr="00E83E52">
        <w:t>authenticate reports</w:t>
      </w:r>
      <w:r>
        <w:t>'</w:t>
      </w:r>
      <w:r w:rsidRPr="00E83E52">
        <w:t xml:space="preserve"> on whether provider</w:t>
      </w:r>
      <w:r>
        <w:t>'</w:t>
      </w:r>
      <w:r w:rsidRPr="00E83E52">
        <w:t xml:space="preserve">s </w:t>
      </w:r>
      <w:r>
        <w:t>'</w:t>
      </w:r>
      <w:r w:rsidRPr="00E83E52">
        <w:t>mobile credit data</w:t>
      </w:r>
      <w:r>
        <w:t>'</w:t>
      </w:r>
      <w:r w:rsidRPr="00E83E52">
        <w:t xml:space="preserve"> and other entities deliberately released information on bad borrowers while concealing information on good borrowers.</w:t>
      </w:r>
      <w:r>
        <w:rPr>
          <w:rStyle w:val="FootnoteReference"/>
        </w:rPr>
        <w:footnoteReference w:id="226"/>
      </w:r>
      <w:r w:rsidRPr="00E83E52">
        <w:t xml:space="preserve"> In particular, the study will assess:</w:t>
      </w:r>
    </w:p>
    <w:p w14:paraId="72A72BBC" w14:textId="77777777" w:rsidR="00885B99" w:rsidRPr="00E83E52" w:rsidRDefault="00885B99" w:rsidP="00885B99">
      <w:r>
        <w:rPr>
          <w:color w:val="000000" w:themeColor="text1"/>
        </w:rPr>
        <w:t>'</w:t>
      </w:r>
      <w:r w:rsidRPr="001C22B3">
        <w:t>The level of equal compliance with Credit Bureau reporting by digital credit providers</w:t>
      </w:r>
      <w:r>
        <w:t>,</w:t>
      </w:r>
      <w:r w:rsidRPr="001C22B3">
        <w:t xml:space="preserve"> if they report both positive and negative borrower data as required by law and if there exists disparate treatments that gives them anti-competitive advantage and inhibits consumers</w:t>
      </w:r>
      <w:r>
        <w:t>'</w:t>
      </w:r>
      <w:r w:rsidRPr="001C22B3">
        <w:t xml:space="preserve"> ability to take advantage of their own data for financial access</w:t>
      </w:r>
      <w:r w:rsidRPr="00E83E52">
        <w:t>.</w:t>
      </w:r>
      <w:r>
        <w:t>'</w:t>
      </w:r>
      <w:r w:rsidRPr="00E83E52">
        <w:rPr>
          <w:rStyle w:val="FootnoteReference"/>
          <w:color w:val="000000"/>
          <w:szCs w:val="24"/>
        </w:rPr>
        <w:footnoteReference w:id="227"/>
      </w:r>
    </w:p>
    <w:p w14:paraId="1245D192" w14:textId="77777777" w:rsidR="00885B99" w:rsidRPr="00E83E52" w:rsidRDefault="00885B99" w:rsidP="00885B99">
      <w:pPr>
        <w:rPr>
          <w:color w:val="000000"/>
          <w:szCs w:val="24"/>
        </w:rPr>
      </w:pPr>
      <w:r w:rsidRPr="00E83E52">
        <w:rPr>
          <w:color w:val="000000"/>
          <w:szCs w:val="24"/>
        </w:rPr>
        <w:t xml:space="preserve">The enquiry </w:t>
      </w:r>
      <w:r w:rsidRPr="00E83E52">
        <w:rPr>
          <w:color w:val="000000" w:themeColor="text1"/>
          <w:szCs w:val="24"/>
        </w:rPr>
        <w:t xml:space="preserve">was apparently prompted by </w:t>
      </w:r>
      <w:r>
        <w:rPr>
          <w:color w:val="000000" w:themeColor="text1"/>
          <w:szCs w:val="24"/>
        </w:rPr>
        <w:t>'</w:t>
      </w:r>
      <w:r w:rsidRPr="00E83E52">
        <w:rPr>
          <w:color w:val="000000" w:themeColor="text1"/>
          <w:szCs w:val="24"/>
        </w:rPr>
        <w:t>good</w:t>
      </w:r>
      <w:r>
        <w:rPr>
          <w:color w:val="000000" w:themeColor="text1"/>
          <w:szCs w:val="24"/>
        </w:rPr>
        <w:t>'</w:t>
      </w:r>
      <w:r w:rsidRPr="00E83E52">
        <w:rPr>
          <w:color w:val="000000" w:themeColor="text1"/>
          <w:szCs w:val="24"/>
        </w:rPr>
        <w:t xml:space="preserve"> borrower</w:t>
      </w:r>
      <w:r>
        <w:rPr>
          <w:color w:val="000000" w:themeColor="text1"/>
          <w:szCs w:val="24"/>
        </w:rPr>
        <w:t>'</w:t>
      </w:r>
      <w:r w:rsidRPr="00E83E52">
        <w:rPr>
          <w:color w:val="000000" w:themeColor="text1"/>
          <w:szCs w:val="24"/>
        </w:rPr>
        <w:t xml:space="preserve">s accessing loan while </w:t>
      </w:r>
      <w:r>
        <w:rPr>
          <w:color w:val="000000" w:themeColor="text1"/>
          <w:szCs w:val="24"/>
        </w:rPr>
        <w:t>'</w:t>
      </w:r>
      <w:r w:rsidRPr="00E83E52">
        <w:rPr>
          <w:color w:val="000000" w:themeColor="text1"/>
          <w:szCs w:val="24"/>
        </w:rPr>
        <w:t>bad</w:t>
      </w:r>
      <w:r>
        <w:rPr>
          <w:color w:val="000000" w:themeColor="text1"/>
          <w:szCs w:val="24"/>
        </w:rPr>
        <w:t>'</w:t>
      </w:r>
      <w:r w:rsidRPr="00E83E52">
        <w:rPr>
          <w:color w:val="000000" w:themeColor="text1"/>
          <w:szCs w:val="24"/>
        </w:rPr>
        <w:t xml:space="preserve"> borrowers were denied access to loans in other financial institutions since they lack access to any past credit information.</w:t>
      </w:r>
      <w:r w:rsidRPr="00E83E52">
        <w:rPr>
          <w:rStyle w:val="FootnoteReference"/>
          <w:color w:val="000000" w:themeColor="text1"/>
          <w:szCs w:val="24"/>
        </w:rPr>
        <w:footnoteReference w:id="228"/>
      </w:r>
      <w:r>
        <w:rPr>
          <w:color w:val="000000" w:themeColor="text1"/>
          <w:szCs w:val="24"/>
        </w:rPr>
        <w:t xml:space="preserve"> </w:t>
      </w:r>
      <w:r w:rsidRPr="00E83E52">
        <w:rPr>
          <w:color w:val="000000" w:themeColor="text1"/>
          <w:szCs w:val="24"/>
        </w:rPr>
        <w:t xml:space="preserve">The CAK study also looks at </w:t>
      </w:r>
      <w:r w:rsidRPr="00E83E52">
        <w:rPr>
          <w:color w:val="000000"/>
          <w:szCs w:val="24"/>
        </w:rPr>
        <w:t>current practices around consumer control over their transactional data and how this is sold or accessed by third parties such as the usage of mobile credit data to score and award credit o</w:t>
      </w:r>
      <w:r>
        <w:rPr>
          <w:color w:val="000000"/>
          <w:szCs w:val="24"/>
        </w:rPr>
        <w:t>ffers without consumer consent.</w:t>
      </w:r>
    </w:p>
    <w:p w14:paraId="1B8594B3" w14:textId="77777777" w:rsidR="00885B99" w:rsidRPr="00E83E52" w:rsidRDefault="00885B99" w:rsidP="00885B99">
      <w:pPr>
        <w:pStyle w:val="Heading1"/>
        <w:rPr>
          <w:bCs/>
        </w:rPr>
      </w:pPr>
      <w:bookmarkStart w:id="602" w:name="_Toc472443769"/>
      <w:bookmarkStart w:id="603" w:name="_Toc17799443"/>
      <w:bookmarkStart w:id="604" w:name="_Toc17881589"/>
      <w:bookmarkStart w:id="605" w:name="_Toc17882419"/>
      <w:bookmarkStart w:id="606" w:name="_Toc17882638"/>
      <w:bookmarkStart w:id="607" w:name="_Toc17882857"/>
      <w:bookmarkStart w:id="608" w:name="_Toc17883212"/>
      <w:bookmarkStart w:id="609" w:name="_Toc17892884"/>
      <w:bookmarkStart w:id="610" w:name="_Toc17893103"/>
      <w:bookmarkStart w:id="611" w:name="_Toc17893322"/>
      <w:bookmarkStart w:id="612" w:name="_Toc17894183"/>
      <w:bookmarkStart w:id="613" w:name="_Toc17894411"/>
      <w:bookmarkStart w:id="614" w:name="_Toc17969265"/>
      <w:r w:rsidRPr="00E83E52">
        <w:t>F</w:t>
      </w:r>
      <w:r w:rsidRPr="00E83E52">
        <w:tab/>
        <w:t>Access to and use of Application Programming Interfaces</w:t>
      </w:r>
      <w:bookmarkEnd w:id="602"/>
      <w:bookmarkEnd w:id="603"/>
      <w:bookmarkEnd w:id="604"/>
      <w:bookmarkEnd w:id="605"/>
      <w:bookmarkEnd w:id="606"/>
      <w:bookmarkEnd w:id="607"/>
      <w:bookmarkEnd w:id="608"/>
      <w:bookmarkEnd w:id="609"/>
      <w:bookmarkEnd w:id="610"/>
      <w:bookmarkEnd w:id="611"/>
      <w:bookmarkEnd w:id="612"/>
      <w:bookmarkEnd w:id="613"/>
      <w:bookmarkEnd w:id="614"/>
    </w:p>
    <w:p w14:paraId="6EA65584" w14:textId="77777777" w:rsidR="00885B99" w:rsidRPr="00E83E52" w:rsidRDefault="00885B99" w:rsidP="00885B99">
      <w:pPr>
        <w:pStyle w:val="Heading1"/>
        <w:rPr>
          <w:bCs/>
        </w:rPr>
      </w:pPr>
      <w:bookmarkStart w:id="615" w:name="_Toc472443770"/>
      <w:bookmarkStart w:id="616" w:name="_Toc17799444"/>
      <w:bookmarkStart w:id="617" w:name="_Toc17881590"/>
      <w:bookmarkStart w:id="618" w:name="_Toc17882420"/>
      <w:bookmarkStart w:id="619" w:name="_Toc17882639"/>
      <w:bookmarkStart w:id="620" w:name="_Toc17882858"/>
      <w:bookmarkStart w:id="621" w:name="_Toc17883213"/>
      <w:bookmarkStart w:id="622" w:name="_Toc17892885"/>
      <w:bookmarkStart w:id="623" w:name="_Toc17893104"/>
      <w:bookmarkStart w:id="624" w:name="_Toc17893323"/>
      <w:bookmarkStart w:id="625" w:name="_Toc17894184"/>
      <w:bookmarkStart w:id="626" w:name="_Toc17894412"/>
      <w:bookmarkStart w:id="627" w:name="_Toc17969266"/>
      <w:r>
        <w:t>11</w:t>
      </w:r>
      <w:r>
        <w:tab/>
      </w:r>
      <w:r w:rsidRPr="00E83E52">
        <w:t>Application Programming Interfaces</w:t>
      </w:r>
      <w:bookmarkEnd w:id="615"/>
      <w:bookmarkEnd w:id="616"/>
      <w:bookmarkEnd w:id="617"/>
      <w:bookmarkEnd w:id="618"/>
      <w:bookmarkEnd w:id="619"/>
      <w:bookmarkEnd w:id="620"/>
      <w:bookmarkEnd w:id="621"/>
      <w:bookmarkEnd w:id="622"/>
      <w:bookmarkEnd w:id="623"/>
      <w:bookmarkEnd w:id="624"/>
      <w:bookmarkEnd w:id="625"/>
      <w:bookmarkEnd w:id="626"/>
      <w:bookmarkEnd w:id="627"/>
    </w:p>
    <w:p w14:paraId="7E2B9585" w14:textId="77777777" w:rsidR="00885B99" w:rsidRPr="007F50B6" w:rsidRDefault="00885B99" w:rsidP="00885B99">
      <w:pPr>
        <w:pStyle w:val="Heading2"/>
      </w:pPr>
      <w:bookmarkStart w:id="628" w:name="_Toc472443771"/>
      <w:bookmarkStart w:id="629" w:name="_Toc17799445"/>
      <w:bookmarkStart w:id="630" w:name="_Toc17881591"/>
      <w:bookmarkStart w:id="631" w:name="_Toc17882421"/>
      <w:bookmarkStart w:id="632" w:name="_Toc17882640"/>
      <w:bookmarkStart w:id="633" w:name="_Toc17882859"/>
      <w:bookmarkStart w:id="634" w:name="_Toc17883214"/>
      <w:bookmarkStart w:id="635" w:name="_Toc17892886"/>
      <w:bookmarkStart w:id="636" w:name="_Toc17893105"/>
      <w:bookmarkStart w:id="637" w:name="_Toc17893324"/>
      <w:bookmarkStart w:id="638" w:name="_Toc17894185"/>
      <w:bookmarkStart w:id="639" w:name="_Toc17894413"/>
      <w:bookmarkStart w:id="640" w:name="_Toc17969267"/>
      <w:r>
        <w:t>11.1</w:t>
      </w:r>
      <w:r>
        <w:tab/>
      </w:r>
      <w:r w:rsidRPr="007F50B6">
        <w:t>Overview</w:t>
      </w:r>
      <w:bookmarkEnd w:id="628"/>
      <w:bookmarkEnd w:id="629"/>
      <w:bookmarkEnd w:id="630"/>
      <w:bookmarkEnd w:id="631"/>
      <w:bookmarkEnd w:id="632"/>
      <w:bookmarkEnd w:id="633"/>
      <w:bookmarkEnd w:id="634"/>
      <w:bookmarkEnd w:id="635"/>
      <w:bookmarkEnd w:id="636"/>
      <w:bookmarkEnd w:id="637"/>
      <w:bookmarkEnd w:id="638"/>
      <w:bookmarkEnd w:id="639"/>
      <w:bookmarkEnd w:id="640"/>
    </w:p>
    <w:p w14:paraId="69141729" w14:textId="77777777" w:rsidR="00885B99" w:rsidRPr="00E83E52" w:rsidRDefault="00885B99" w:rsidP="00885B99">
      <w:r w:rsidRPr="00E83E52">
        <w:t>Application Programming Interfaces (APIs) present a new innovation in technology and DFS. Common APIs are a very promising technical solution to reduce fragmentation amongst DFS players.</w:t>
      </w:r>
      <w:r>
        <w:rPr>
          <w:rStyle w:val="FootnoteReference"/>
          <w:szCs w:val="24"/>
        </w:rPr>
        <w:footnoteReference w:id="229"/>
      </w:r>
      <w:r w:rsidRPr="00E83E52">
        <w:t xml:space="preserve"> They provides a gateway for smaller SPs to utilize the capacity, reach and capabilities of larger entities who make their APIs available. Essentially, to gain access to the larger capabilities, all that is required is to integrate the API into a feature set or application being developed.</w:t>
      </w:r>
      <w:r w:rsidRPr="00E83E52">
        <w:rPr>
          <w:rStyle w:val="FootnoteReference"/>
          <w:color w:val="000000" w:themeColor="text1"/>
          <w:szCs w:val="24"/>
        </w:rPr>
        <w:footnoteReference w:id="230"/>
      </w:r>
    </w:p>
    <w:p w14:paraId="42C965DF" w14:textId="77777777" w:rsidR="00885B99" w:rsidRPr="00E83E52" w:rsidRDefault="00885B99" w:rsidP="00885B99">
      <w:r w:rsidRPr="00E83E52">
        <w:t>The best known example in the mobile environment is availability of the Google Android Operating System API: developers can simply develop their products, integrate the Android API, and know that their app is compatible with Android phones.</w:t>
      </w:r>
      <w:r w:rsidRPr="00E83E52">
        <w:rPr>
          <w:rStyle w:val="FootnoteReference"/>
          <w:color w:val="000000" w:themeColor="text1"/>
          <w:szCs w:val="24"/>
        </w:rPr>
        <w:footnoteReference w:id="231"/>
      </w:r>
    </w:p>
    <w:p w14:paraId="4355FE05" w14:textId="77777777" w:rsidR="00885B99" w:rsidRPr="00E83E52" w:rsidRDefault="00885B99" w:rsidP="00885B99">
      <w:pPr>
        <w:keepNext/>
        <w:keepLines/>
      </w:pPr>
      <w:r w:rsidRPr="00E83E52">
        <w:lastRenderedPageBreak/>
        <w:t xml:space="preserve">In the case of DFS, an API defines the way a developer should write a program that successfully requests services from the DFS platform. Any provider offering a DFS accounts could make an API available that allows any permitted entity to automatically debit (or credit) the DFS account, to simply be notified when a payment has been made, or add DFS payment capabilities to </w:t>
      </w:r>
      <w:r w:rsidRPr="00E83E52">
        <w:rPr>
          <w:shd w:val="clear" w:color="auto" w:fill="FFFFFF"/>
        </w:rPr>
        <w:t>e-commerce web sites</w:t>
      </w:r>
      <w:r w:rsidRPr="00E83E52">
        <w:t>.</w:t>
      </w:r>
      <w:r w:rsidRPr="00E83E52">
        <w:rPr>
          <w:rStyle w:val="FootnoteReference"/>
          <w:color w:val="000000" w:themeColor="text1"/>
          <w:szCs w:val="24"/>
        </w:rPr>
        <w:footnoteReference w:id="232"/>
      </w:r>
      <w:r w:rsidRPr="00E83E52">
        <w:t xml:space="preserve"> Alternatively, a forex provider could make an API available that allows entities who need forex components in their business – or smartphone apps – to gain access to these features by simply incorporating the forex API. The ability then to have seamless access to these facilities reduces fragmentation of services in the market and so benefits customers.</w:t>
      </w:r>
      <w:r w:rsidRPr="00E83E52">
        <w:rPr>
          <w:rStyle w:val="FootnoteReference"/>
          <w:color w:val="000000" w:themeColor="text1"/>
          <w:szCs w:val="24"/>
        </w:rPr>
        <w:footnoteReference w:id="233"/>
      </w:r>
    </w:p>
    <w:p w14:paraId="54FECFC5" w14:textId="77777777" w:rsidR="00885B99" w:rsidRPr="00E83E52" w:rsidRDefault="00885B99" w:rsidP="00885B99">
      <w:pPr>
        <w:rPr>
          <w:color w:val="000000" w:themeColor="text1"/>
          <w:szCs w:val="24"/>
        </w:rPr>
      </w:pPr>
      <w:r w:rsidRPr="00E83E52">
        <w:rPr>
          <w:color w:val="000000" w:themeColor="text1"/>
          <w:szCs w:val="24"/>
        </w:rPr>
        <w:t>A common API across all DFS SPs in a country could serve as a public good: for example, an API providing a common method for biometric data capture for KYC purposes, and then trans</w:t>
      </w:r>
      <w:r>
        <w:rPr>
          <w:color w:val="000000" w:themeColor="text1"/>
          <w:szCs w:val="24"/>
        </w:rPr>
        <w:t>mission directly to regulators.</w:t>
      </w:r>
    </w:p>
    <w:p w14:paraId="4E759D1F" w14:textId="77777777" w:rsidR="00885B99" w:rsidRPr="00E83E52" w:rsidRDefault="00885B99" w:rsidP="00885B99">
      <w:pPr>
        <w:rPr>
          <w:color w:val="000000" w:themeColor="text1"/>
          <w:szCs w:val="24"/>
        </w:rPr>
      </w:pPr>
      <w:r w:rsidRPr="00E83E52">
        <w:rPr>
          <w:color w:val="000000" w:themeColor="text1"/>
          <w:szCs w:val="24"/>
        </w:rPr>
        <w:t>APIs were opened up in 2015 for non-exclusive use by Safaricom Kenya for access to its M-PESA service;</w:t>
      </w:r>
      <w:r w:rsidRPr="00E83E52">
        <w:rPr>
          <w:rStyle w:val="FootnoteReference"/>
          <w:color w:val="000000" w:themeColor="text1"/>
          <w:szCs w:val="24"/>
        </w:rPr>
        <w:footnoteReference w:id="234"/>
      </w:r>
      <w:r w:rsidRPr="00E83E52">
        <w:rPr>
          <w:color w:val="000000" w:themeColor="text1"/>
          <w:szCs w:val="24"/>
        </w:rPr>
        <w:t xml:space="preserve"> Orange has opened up APIs via</w:t>
      </w:r>
      <w:r w:rsidRPr="00060B5E">
        <w:t xml:space="preserve"> its </w:t>
      </w:r>
      <w:r w:rsidRPr="00E83E52">
        <w:rPr>
          <w:color w:val="000000" w:themeColor="text1"/>
          <w:szCs w:val="24"/>
          <w:bdr w:val="none" w:sz="0" w:space="0" w:color="auto" w:frame="1"/>
        </w:rPr>
        <w:t>Orange</w:t>
      </w:r>
      <w:r w:rsidRPr="00E83E52">
        <w:rPr>
          <w:color w:val="000000" w:themeColor="text1"/>
          <w:szCs w:val="24"/>
        </w:rPr>
        <w:t xml:space="preserve"> Partner program for developers in Africa.</w:t>
      </w:r>
      <w:r w:rsidRPr="00E83E52">
        <w:rPr>
          <w:rStyle w:val="FootnoteReference"/>
          <w:color w:val="000000" w:themeColor="text1"/>
          <w:szCs w:val="24"/>
        </w:rPr>
        <w:footnoteReference w:id="235"/>
      </w:r>
      <w:r w:rsidRPr="00E83E52">
        <w:rPr>
          <w:color w:val="000000" w:themeColor="text1"/>
          <w:szCs w:val="24"/>
        </w:rPr>
        <w:t xml:space="preserve"> In the absence of common APIs, some workarounds have been created by entrepreneurs, primarily for access to DFS accounts where individual entities are unable to do so.</w:t>
      </w:r>
      <w:r w:rsidRPr="00E83E52">
        <w:rPr>
          <w:rStyle w:val="FootnoteReference"/>
          <w:color w:val="000000" w:themeColor="text1"/>
          <w:szCs w:val="24"/>
        </w:rPr>
        <w:footnoteReference w:id="236"/>
      </w:r>
    </w:p>
    <w:p w14:paraId="11197EF6" w14:textId="77777777" w:rsidR="00885B99" w:rsidRPr="00E83E52" w:rsidRDefault="00885B99" w:rsidP="00885B99">
      <w:pPr>
        <w:pStyle w:val="Heading2"/>
      </w:pPr>
      <w:bookmarkStart w:id="641" w:name="_Toc472443772"/>
      <w:bookmarkStart w:id="642" w:name="_Toc17799446"/>
      <w:bookmarkStart w:id="643" w:name="_Toc17881592"/>
      <w:bookmarkStart w:id="644" w:name="_Toc17882422"/>
      <w:bookmarkStart w:id="645" w:name="_Toc17882641"/>
      <w:bookmarkStart w:id="646" w:name="_Toc17882860"/>
      <w:bookmarkStart w:id="647" w:name="_Toc17883215"/>
      <w:bookmarkStart w:id="648" w:name="_Toc17892887"/>
      <w:bookmarkStart w:id="649" w:name="_Toc17893106"/>
      <w:bookmarkStart w:id="650" w:name="_Toc17893325"/>
      <w:bookmarkStart w:id="651" w:name="_Toc17894186"/>
      <w:bookmarkStart w:id="652" w:name="_Toc17894414"/>
      <w:bookmarkStart w:id="653" w:name="_Toc17969268"/>
      <w:r>
        <w:t>11.2</w:t>
      </w:r>
      <w:r>
        <w:tab/>
        <w:t>Competition a</w:t>
      </w:r>
      <w:r w:rsidRPr="00E83E52">
        <w:t>spects</w:t>
      </w:r>
      <w:bookmarkEnd w:id="641"/>
      <w:bookmarkEnd w:id="642"/>
      <w:bookmarkEnd w:id="643"/>
      <w:bookmarkEnd w:id="644"/>
      <w:bookmarkEnd w:id="645"/>
      <w:bookmarkEnd w:id="646"/>
      <w:bookmarkEnd w:id="647"/>
      <w:bookmarkEnd w:id="648"/>
      <w:bookmarkEnd w:id="649"/>
      <w:bookmarkEnd w:id="650"/>
      <w:bookmarkEnd w:id="651"/>
      <w:bookmarkEnd w:id="652"/>
      <w:bookmarkEnd w:id="653"/>
    </w:p>
    <w:p w14:paraId="1A286EE6" w14:textId="270425C4" w:rsidR="00885B99" w:rsidRPr="00E83E52" w:rsidRDefault="00885B99" w:rsidP="00885B99">
      <w:r w:rsidRPr="00E83E52">
        <w:t xml:space="preserve">APIs represent an enormous potential enhancement of DFS reach, in some cases making DFS payment methodologies mainstream. Integration of SPs using APIs into DFS systems of larger providers may, however, conflict with the business activities and plans of the latter. This could manifest as a delay in the vetting process for access to the API; continuous requirements to change the way their interface or app uses the API; refusal to accept the integration; or delay in allowing the interface or app to be used. </w:t>
      </w:r>
      <w:r>
        <w:t>Integrations and p</w:t>
      </w:r>
      <w:r w:rsidRPr="00E83E52">
        <w:t>artnerships, however, may not necessarily be forged with every provider as this may be a business decision. As such, the existence of an API does not obviate the need to establish the appropriate commercial arr</w:t>
      </w:r>
      <w:r>
        <w:t>angements to accompany its use.</w:t>
      </w:r>
    </w:p>
    <w:p w14:paraId="1C3324A1" w14:textId="77777777" w:rsidR="00885B99" w:rsidRPr="00802FFD" w:rsidRDefault="00885B99" w:rsidP="00885B99">
      <w:pPr>
        <w:pStyle w:val="Heading2"/>
      </w:pPr>
      <w:bookmarkStart w:id="654" w:name="_Toc472443773"/>
      <w:bookmarkStart w:id="655" w:name="_Toc17799447"/>
      <w:bookmarkStart w:id="656" w:name="_Toc17881593"/>
      <w:bookmarkStart w:id="657" w:name="_Toc17882423"/>
      <w:bookmarkStart w:id="658" w:name="_Toc17882642"/>
      <w:bookmarkStart w:id="659" w:name="_Toc17882861"/>
      <w:bookmarkStart w:id="660" w:name="_Toc17883216"/>
      <w:bookmarkStart w:id="661" w:name="_Toc17892888"/>
      <w:bookmarkStart w:id="662" w:name="_Toc17893107"/>
      <w:bookmarkStart w:id="663" w:name="_Toc17893326"/>
      <w:bookmarkStart w:id="664" w:name="_Toc17894187"/>
      <w:bookmarkStart w:id="665" w:name="_Toc17894415"/>
      <w:bookmarkStart w:id="666" w:name="_Toc17969269"/>
      <w:r w:rsidRPr="00802FFD">
        <w:rPr>
          <w:iCs/>
        </w:rPr>
        <w:lastRenderedPageBreak/>
        <w:t>11.3</w:t>
      </w:r>
      <w:r>
        <w:rPr>
          <w:iCs/>
        </w:rPr>
        <w:tab/>
      </w:r>
      <w:r>
        <w:t>Country e</w:t>
      </w:r>
      <w:r w:rsidRPr="00802FFD">
        <w:t>xample</w:t>
      </w:r>
      <w:bookmarkEnd w:id="654"/>
      <w:r>
        <w:t>s</w:t>
      </w:r>
      <w:bookmarkEnd w:id="655"/>
      <w:bookmarkEnd w:id="656"/>
      <w:bookmarkEnd w:id="657"/>
      <w:bookmarkEnd w:id="658"/>
      <w:bookmarkEnd w:id="659"/>
      <w:bookmarkEnd w:id="660"/>
      <w:bookmarkEnd w:id="661"/>
      <w:bookmarkEnd w:id="662"/>
      <w:bookmarkEnd w:id="663"/>
      <w:bookmarkEnd w:id="664"/>
      <w:bookmarkEnd w:id="665"/>
      <w:bookmarkEnd w:id="666"/>
    </w:p>
    <w:p w14:paraId="7110FB5E" w14:textId="77777777" w:rsidR="00885B99" w:rsidRPr="005002F0" w:rsidRDefault="00885B99" w:rsidP="00885B99">
      <w:pPr>
        <w:pStyle w:val="Headingb"/>
        <w:rPr>
          <w:i/>
        </w:rPr>
      </w:pPr>
      <w:r w:rsidRPr="005002F0">
        <w:rPr>
          <w:i/>
        </w:rPr>
        <w:t>Kenya</w:t>
      </w:r>
    </w:p>
    <w:p w14:paraId="33883EE8" w14:textId="77777777" w:rsidR="00885B99" w:rsidRPr="00E83E52" w:rsidRDefault="00885B99" w:rsidP="00885B99">
      <w:pPr>
        <w:keepNext/>
        <w:keepLines/>
      </w:pPr>
      <w:r w:rsidRPr="00E83E52">
        <w:t>Kenyan-based remittance provider Bitpesa sued Safaricom over the latter</w:t>
      </w:r>
      <w:r>
        <w:t>'</w:t>
      </w:r>
      <w:r w:rsidRPr="00E83E52">
        <w:t>s refusal to</w:t>
      </w:r>
      <w:r w:rsidRPr="00E83E52">
        <w:rPr>
          <w:shd w:val="clear" w:color="auto" w:fill="FFFFFF"/>
        </w:rPr>
        <w:t xml:space="preserve"> provide Bitpesa access to its M-PESA DFS platform as a payment option for Kenyan-based Bitcoin buyers.</w:t>
      </w:r>
      <w:r w:rsidRPr="00E83E52">
        <w:rPr>
          <w:rStyle w:val="FootnoteReference"/>
          <w:color w:val="000000" w:themeColor="text1"/>
          <w:szCs w:val="24"/>
          <w:shd w:val="clear" w:color="auto" w:fill="FFFFFF"/>
        </w:rPr>
        <w:footnoteReference w:id="237"/>
      </w:r>
      <w:r w:rsidRPr="00E83E52">
        <w:rPr>
          <w:shd w:val="clear" w:color="auto" w:fill="FFFFFF"/>
        </w:rPr>
        <w:t xml:space="preserve"> The court refused</w:t>
      </w:r>
      <w:r>
        <w:rPr>
          <w:shd w:val="clear" w:color="auto" w:fill="FFFFFF"/>
        </w:rPr>
        <w:t xml:space="preserve"> the request to force Safaricom to provide the access</w:t>
      </w:r>
      <w:r w:rsidRPr="00E83E52">
        <w:rPr>
          <w:shd w:val="clear" w:color="auto" w:fill="FFFFFF"/>
        </w:rPr>
        <w:t>.</w:t>
      </w:r>
      <w:r w:rsidRPr="00E83E52">
        <w:rPr>
          <w:rStyle w:val="FootnoteReference"/>
          <w:color w:val="000000" w:themeColor="text1"/>
          <w:szCs w:val="24"/>
        </w:rPr>
        <w:footnoteReference w:id="238"/>
      </w:r>
      <w:r w:rsidRPr="00E83E52">
        <w:rPr>
          <w:shd w:val="clear" w:color="auto" w:fill="FFFFFF"/>
        </w:rPr>
        <w:t xml:space="preserve"> There is still some controversy as to whether this refusal was a competition issue or a business decision based on compliance concerns. Safaricom cited the uncertain regulatory environment in Kenya around Bitcoin as the reason for blocking Bitpesa from its platform. Bitpesa</w:t>
      </w:r>
      <w:r>
        <w:rPr>
          <w:shd w:val="clear" w:color="auto" w:fill="FFFFFF"/>
        </w:rPr>
        <w:t>'</w:t>
      </w:r>
      <w:r w:rsidRPr="00E83E52">
        <w:rPr>
          <w:shd w:val="clear" w:color="auto" w:fill="FFFFFF"/>
        </w:rPr>
        <w:t>s contention, however, was that the refusal was a competition issue: that its international remittance business competed with that of the non-Bitcoin remittance business of Safaricom.</w:t>
      </w:r>
    </w:p>
    <w:p w14:paraId="0CE22A91" w14:textId="77777777" w:rsidR="00885B99" w:rsidRPr="00075BE7" w:rsidRDefault="00885B99" w:rsidP="00885B99">
      <w:pPr>
        <w:pStyle w:val="Headingb"/>
        <w:rPr>
          <w:i/>
        </w:rPr>
      </w:pPr>
      <w:r w:rsidRPr="00075BE7">
        <w:rPr>
          <w:i/>
        </w:rPr>
        <w:t>Uganda</w:t>
      </w:r>
    </w:p>
    <w:p w14:paraId="5B87BFCF" w14:textId="77777777" w:rsidR="00885B99" w:rsidRDefault="00885B99" w:rsidP="00885B99">
      <w:r w:rsidRPr="00E83E52">
        <w:t>MTN Uganda is providing APIs to e-commerce sites to use the MTN Money wallet as a payment instrument on the web. It is, however, reportedly restricting the number of those can integrate with the API to five.</w:t>
      </w:r>
    </w:p>
    <w:p w14:paraId="01D65ED1" w14:textId="77777777" w:rsidR="00885B99" w:rsidRPr="00E83E52" w:rsidRDefault="00885B99" w:rsidP="00885B99">
      <w:pPr>
        <w:pStyle w:val="Heading1"/>
      </w:pPr>
      <w:bookmarkStart w:id="667" w:name="_Toc472443774"/>
      <w:bookmarkStart w:id="668" w:name="_Toc17799448"/>
      <w:bookmarkStart w:id="669" w:name="_Toc17881594"/>
      <w:bookmarkStart w:id="670" w:name="_Toc17882424"/>
      <w:bookmarkStart w:id="671" w:name="_Toc17882643"/>
      <w:bookmarkStart w:id="672" w:name="_Toc17882862"/>
      <w:bookmarkStart w:id="673" w:name="_Toc17883217"/>
      <w:bookmarkStart w:id="674" w:name="_Toc17892889"/>
      <w:bookmarkStart w:id="675" w:name="_Toc17893108"/>
      <w:bookmarkStart w:id="676" w:name="_Toc17893327"/>
      <w:bookmarkStart w:id="677" w:name="_Toc17894188"/>
      <w:bookmarkStart w:id="678" w:name="_Toc17894416"/>
      <w:bookmarkStart w:id="679" w:name="_Toc17969270"/>
      <w:r w:rsidRPr="00E83E52">
        <w:t>G</w:t>
      </w:r>
      <w:r w:rsidRPr="00E83E52">
        <w:tab/>
        <w:t>Agents</w:t>
      </w:r>
      <w:bookmarkEnd w:id="667"/>
      <w:bookmarkEnd w:id="668"/>
      <w:bookmarkEnd w:id="669"/>
      <w:bookmarkEnd w:id="670"/>
      <w:bookmarkEnd w:id="671"/>
      <w:bookmarkEnd w:id="672"/>
      <w:bookmarkEnd w:id="673"/>
      <w:bookmarkEnd w:id="674"/>
      <w:bookmarkEnd w:id="675"/>
      <w:bookmarkEnd w:id="676"/>
      <w:bookmarkEnd w:id="677"/>
      <w:bookmarkEnd w:id="678"/>
      <w:bookmarkEnd w:id="679"/>
    </w:p>
    <w:p w14:paraId="180019A5" w14:textId="77777777" w:rsidR="00885B99" w:rsidRPr="00E83E52" w:rsidRDefault="00885B99" w:rsidP="00885B99">
      <w:pPr>
        <w:pStyle w:val="Heading1"/>
      </w:pPr>
      <w:bookmarkStart w:id="680" w:name="_Toc472443775"/>
      <w:bookmarkStart w:id="681" w:name="_Toc17799449"/>
      <w:bookmarkStart w:id="682" w:name="_Toc17881595"/>
      <w:bookmarkStart w:id="683" w:name="_Toc17882425"/>
      <w:bookmarkStart w:id="684" w:name="_Toc17882644"/>
      <w:bookmarkStart w:id="685" w:name="_Toc17882863"/>
      <w:bookmarkStart w:id="686" w:name="_Toc17883218"/>
      <w:bookmarkStart w:id="687" w:name="_Toc17892890"/>
      <w:bookmarkStart w:id="688" w:name="_Toc17893109"/>
      <w:bookmarkStart w:id="689" w:name="_Toc17893328"/>
      <w:bookmarkStart w:id="690" w:name="_Toc17894189"/>
      <w:bookmarkStart w:id="691" w:name="_Toc17894417"/>
      <w:bookmarkStart w:id="692" w:name="_Toc17969271"/>
      <w:r>
        <w:t>12</w:t>
      </w:r>
      <w:r>
        <w:tab/>
      </w:r>
      <w:r w:rsidRPr="00E83E52">
        <w:t>Agents in DFS</w:t>
      </w:r>
      <w:bookmarkEnd w:id="680"/>
      <w:bookmarkEnd w:id="681"/>
      <w:bookmarkEnd w:id="682"/>
      <w:bookmarkEnd w:id="683"/>
      <w:bookmarkEnd w:id="684"/>
      <w:bookmarkEnd w:id="685"/>
      <w:bookmarkEnd w:id="686"/>
      <w:bookmarkEnd w:id="687"/>
      <w:bookmarkEnd w:id="688"/>
      <w:bookmarkEnd w:id="689"/>
      <w:bookmarkEnd w:id="690"/>
      <w:bookmarkEnd w:id="691"/>
      <w:bookmarkEnd w:id="692"/>
    </w:p>
    <w:p w14:paraId="56E49EBE" w14:textId="77777777" w:rsidR="00885B99" w:rsidRPr="00E83E52" w:rsidRDefault="00885B99" w:rsidP="00885B99">
      <w:pPr>
        <w:pStyle w:val="Heading2"/>
        <w:rPr>
          <w:shd w:val="clear" w:color="auto" w:fill="FFFFFF"/>
        </w:rPr>
      </w:pPr>
      <w:bookmarkStart w:id="693" w:name="_Toc17799450"/>
      <w:bookmarkStart w:id="694" w:name="_Toc17881596"/>
      <w:bookmarkStart w:id="695" w:name="_Toc17882426"/>
      <w:bookmarkStart w:id="696" w:name="_Toc17882645"/>
      <w:bookmarkStart w:id="697" w:name="_Toc17882864"/>
      <w:bookmarkStart w:id="698" w:name="_Toc17883219"/>
      <w:bookmarkStart w:id="699" w:name="_Toc17892891"/>
      <w:bookmarkStart w:id="700" w:name="_Toc17893110"/>
      <w:bookmarkStart w:id="701" w:name="_Toc17893329"/>
      <w:bookmarkStart w:id="702" w:name="_Toc17894190"/>
      <w:bookmarkStart w:id="703" w:name="_Toc17894418"/>
      <w:bookmarkStart w:id="704" w:name="_Toc17969272"/>
      <w:r>
        <w:rPr>
          <w:shd w:val="clear" w:color="auto" w:fill="FFFFFF"/>
        </w:rPr>
        <w:t>12.1</w:t>
      </w:r>
      <w:r>
        <w:rPr>
          <w:shd w:val="clear" w:color="auto" w:fill="FFFFFF"/>
        </w:rPr>
        <w:tab/>
      </w:r>
      <w:r w:rsidRPr="00E83E52">
        <w:rPr>
          <w:shd w:val="clear" w:color="auto" w:fill="FFFFFF"/>
        </w:rPr>
        <w:t>Overview</w:t>
      </w:r>
      <w:bookmarkEnd w:id="693"/>
      <w:bookmarkEnd w:id="694"/>
      <w:bookmarkEnd w:id="695"/>
      <w:bookmarkEnd w:id="696"/>
      <w:bookmarkEnd w:id="697"/>
      <w:bookmarkEnd w:id="698"/>
      <w:bookmarkEnd w:id="699"/>
      <w:bookmarkEnd w:id="700"/>
      <w:bookmarkEnd w:id="701"/>
      <w:bookmarkEnd w:id="702"/>
      <w:bookmarkEnd w:id="703"/>
      <w:bookmarkEnd w:id="704"/>
    </w:p>
    <w:p w14:paraId="1BAABAAA" w14:textId="77777777" w:rsidR="00885B99" w:rsidRPr="00E83E52" w:rsidRDefault="00885B99" w:rsidP="00885B99">
      <w:r w:rsidRPr="00E83E52">
        <w:rPr>
          <w:shd w:val="clear" w:color="auto" w:fill="FFFFFF"/>
        </w:rPr>
        <w:t xml:space="preserve">One of the transformational components of the DFS ecosystem has been the emergence of agents as the frontline retail providers of service to customers. Agents, however, require training, marketing materials, liquidity management and replenishing, physical platforms for their locations, and incentives to signup up customers and do CICO transactions. Further, they often need to be notified to or approved by the relevant </w:t>
      </w:r>
      <w:r>
        <w:rPr>
          <w:shd w:val="clear" w:color="auto" w:fill="FFFFFF"/>
        </w:rPr>
        <w:t xml:space="preserve">financial </w:t>
      </w:r>
      <w:r w:rsidRPr="00E83E52">
        <w:rPr>
          <w:shd w:val="clear" w:color="auto" w:fill="FFFFFF"/>
        </w:rPr>
        <w:t xml:space="preserve">regulator. In all, these components </w:t>
      </w:r>
      <w:r w:rsidRPr="00E83E52">
        <w:t>require major investments to</w:t>
      </w:r>
      <w:r>
        <w:t xml:space="preserve"> set up and manage effectively.</w:t>
      </w:r>
    </w:p>
    <w:p w14:paraId="7FC7C4D9" w14:textId="77777777" w:rsidR="00885B99" w:rsidRPr="00E83E52" w:rsidRDefault="00885B99" w:rsidP="00885B99">
      <w:r w:rsidRPr="00E83E52">
        <w:t xml:space="preserve">Those </w:t>
      </w:r>
      <w:r>
        <w:t>'</w:t>
      </w:r>
      <w:r w:rsidRPr="00E83E52">
        <w:t>first to market</w:t>
      </w:r>
      <w:r>
        <w:t>'</w:t>
      </w:r>
      <w:r w:rsidRPr="00E83E52">
        <w:t xml:space="preserve"> are usually the ones who have invested this time and money, and consequently wish to protect their investments. This need may however be counterbalanced by market forces, for example subsequent entrants who want to use these same agents to sell their DFS products. This commercial need is often hindered by so-called agent exclusivity arrangements that prevent an agent contracted to one DFS SP from doing the same DFS business with another DFS PSP.</w:t>
      </w:r>
      <w:r w:rsidRPr="00E83E52">
        <w:rPr>
          <w:rStyle w:val="FootnoteReference"/>
          <w:color w:val="000000" w:themeColor="text1"/>
          <w:szCs w:val="24"/>
        </w:rPr>
        <w:footnoteReference w:id="239"/>
      </w:r>
    </w:p>
    <w:p w14:paraId="2DD7C8C5" w14:textId="77777777" w:rsidR="00885B99" w:rsidRPr="00E83E52" w:rsidRDefault="00885B99" w:rsidP="00885B99">
      <w:r w:rsidRPr="00E83E52">
        <w:t xml:space="preserve">From a </w:t>
      </w:r>
      <w:r w:rsidRPr="006832DC">
        <w:t>competition authority</w:t>
      </w:r>
      <w:r>
        <w:t>'</w:t>
      </w:r>
      <w:r w:rsidRPr="006832DC">
        <w:t>s or regulator</w:t>
      </w:r>
      <w:r>
        <w:t>'</w:t>
      </w:r>
      <w:r w:rsidRPr="006832DC">
        <w:t>s</w:t>
      </w:r>
      <w:r w:rsidRPr="00E83E52">
        <w:t xml:space="preserve"> perspective, exclusivity arrangements in the DFS ecosystem may be seen as anti-competitive and hindering financial inclusion by decreasing the ability of customers to access multiple providers (and thus services) from a</w:t>
      </w:r>
      <w:r>
        <w:t>n agent serving their location.</w:t>
      </w:r>
    </w:p>
    <w:p w14:paraId="4A3E04DC" w14:textId="77777777" w:rsidR="00885B99" w:rsidRPr="00E83E52" w:rsidRDefault="00885B99" w:rsidP="00885B99">
      <w:pPr>
        <w:pStyle w:val="Heading2"/>
      </w:pPr>
      <w:bookmarkStart w:id="705" w:name="_Toc472443776"/>
      <w:bookmarkStart w:id="706" w:name="_Toc17799451"/>
      <w:bookmarkStart w:id="707" w:name="_Toc17881597"/>
      <w:bookmarkStart w:id="708" w:name="_Toc17882427"/>
      <w:bookmarkStart w:id="709" w:name="_Toc17882646"/>
      <w:bookmarkStart w:id="710" w:name="_Toc17882865"/>
      <w:bookmarkStart w:id="711" w:name="_Toc17883220"/>
      <w:bookmarkStart w:id="712" w:name="_Toc17892892"/>
      <w:bookmarkStart w:id="713" w:name="_Toc17893111"/>
      <w:bookmarkStart w:id="714" w:name="_Toc17893330"/>
      <w:bookmarkStart w:id="715" w:name="_Toc17894191"/>
      <w:bookmarkStart w:id="716" w:name="_Toc17894419"/>
      <w:bookmarkStart w:id="717" w:name="_Toc17969273"/>
      <w:r>
        <w:lastRenderedPageBreak/>
        <w:t>12.2</w:t>
      </w:r>
      <w:r>
        <w:tab/>
      </w:r>
      <w:r w:rsidRPr="00E83E52">
        <w:t>Competit</w:t>
      </w:r>
      <w:r>
        <w:t>ion a</w:t>
      </w:r>
      <w:r w:rsidRPr="00E83E52">
        <w:t>spects</w:t>
      </w:r>
      <w:bookmarkEnd w:id="705"/>
      <w:bookmarkEnd w:id="706"/>
      <w:bookmarkEnd w:id="707"/>
      <w:bookmarkEnd w:id="708"/>
      <w:bookmarkEnd w:id="709"/>
      <w:bookmarkEnd w:id="710"/>
      <w:bookmarkEnd w:id="711"/>
      <w:bookmarkEnd w:id="712"/>
      <w:bookmarkEnd w:id="713"/>
      <w:bookmarkEnd w:id="714"/>
      <w:bookmarkEnd w:id="715"/>
      <w:bookmarkEnd w:id="716"/>
      <w:bookmarkEnd w:id="717"/>
    </w:p>
    <w:p w14:paraId="484D36DA" w14:textId="77777777" w:rsidR="00885B99" w:rsidRPr="00E83E52" w:rsidRDefault="00885B99" w:rsidP="00885B99">
      <w:pPr>
        <w:spacing w:after="120"/>
        <w:rPr>
          <w:color w:val="000000" w:themeColor="text1"/>
          <w:szCs w:val="24"/>
        </w:rPr>
      </w:pPr>
      <w:r w:rsidRPr="00E83E52">
        <w:rPr>
          <w:color w:val="000000" w:themeColor="text1"/>
          <w:szCs w:val="24"/>
        </w:rPr>
        <w:t xml:space="preserve">In some instances, bans on agent exclusivity are motivated by competition concerns. In other respects, for example in </w:t>
      </w:r>
      <w:r w:rsidRPr="00E83E52">
        <w:rPr>
          <w:szCs w:val="24"/>
        </w:rPr>
        <w:t>India, the regulator has mandated exclusivity based on consumer protection concerns.</w:t>
      </w:r>
      <w:r w:rsidRPr="00E83E52">
        <w:rPr>
          <w:rStyle w:val="FootnoteReference"/>
          <w:szCs w:val="24"/>
        </w:rPr>
        <w:footnoteReference w:id="240"/>
      </w:r>
      <w:r w:rsidRPr="00E83E52">
        <w:rPr>
          <w:szCs w:val="24"/>
        </w:rPr>
        <w:t xml:space="preserve"> </w:t>
      </w:r>
      <w:r w:rsidRPr="00E83E52">
        <w:rPr>
          <w:color w:val="000000" w:themeColor="text1"/>
          <w:szCs w:val="24"/>
        </w:rPr>
        <w:t>From a DFS PSP</w:t>
      </w:r>
      <w:r>
        <w:rPr>
          <w:color w:val="000000" w:themeColor="text1"/>
          <w:szCs w:val="24"/>
        </w:rPr>
        <w:t>'</w:t>
      </w:r>
      <w:r w:rsidRPr="00E83E52">
        <w:rPr>
          <w:color w:val="000000" w:themeColor="text1"/>
          <w:szCs w:val="24"/>
        </w:rPr>
        <w:t>s perspective, however, a ban on agent exclusivity could depress its incentive to roll out comprehensive agent networks. Even where there are bans on exclusivity, there are reports of exclusivity prohibitions being flouted.</w:t>
      </w:r>
      <w:r w:rsidRPr="00E83E52">
        <w:rPr>
          <w:rStyle w:val="FootnoteReference"/>
          <w:color w:val="000000" w:themeColor="text1"/>
          <w:szCs w:val="24"/>
        </w:rPr>
        <w:footnoteReference w:id="241"/>
      </w:r>
    </w:p>
    <w:p w14:paraId="553E153F" w14:textId="77777777" w:rsidR="00885B99" w:rsidRDefault="00885B99" w:rsidP="00885B99">
      <w:r w:rsidRPr="00E83E52">
        <w:rPr>
          <w:shd w:val="clear" w:color="auto" w:fill="FFFFFF"/>
        </w:rPr>
        <w:t xml:space="preserve">There are also instances where there is an </w:t>
      </w:r>
      <w:r w:rsidRPr="00E83E52">
        <w:t>agent regulation for banks and another regulation for non-banks,</w:t>
      </w:r>
      <w:r w:rsidRPr="00E83E52">
        <w:rPr>
          <w:rStyle w:val="FootnoteReference"/>
          <w:color w:val="000000" w:themeColor="text1"/>
          <w:szCs w:val="24"/>
        </w:rPr>
        <w:footnoteReference w:id="242"/>
      </w:r>
      <w:r w:rsidRPr="00E83E52">
        <w:t xml:space="preserve"> which may result in different approval conditions or criteria being imposed on agents offering identical types of services. This unequal treatment of bank versus non-bank agents could be motivated by issues of proportionality in risk mitigation rather than a competition issue </w:t>
      </w:r>
      <w:r w:rsidRPr="00E83E52">
        <w:rPr>
          <w:i/>
        </w:rPr>
        <w:t>per se,</w:t>
      </w:r>
      <w:r w:rsidRPr="00E83E52">
        <w:t xml:space="preserve"> since banking agents may have a higher risk profile because of the activities they carry out and as such may warrant more stringent regulations</w:t>
      </w:r>
      <w:r>
        <w:t>.</w:t>
      </w:r>
    </w:p>
    <w:p w14:paraId="49C1F9BD" w14:textId="77777777" w:rsidR="00885B99" w:rsidRPr="00E83E52" w:rsidRDefault="00885B99" w:rsidP="00885B99">
      <w:pPr>
        <w:pStyle w:val="Heading2"/>
      </w:pPr>
      <w:bookmarkStart w:id="718" w:name="_Toc472443777"/>
      <w:bookmarkStart w:id="719" w:name="_Toc17799452"/>
      <w:bookmarkStart w:id="720" w:name="_Toc17881598"/>
      <w:bookmarkStart w:id="721" w:name="_Toc17882428"/>
      <w:bookmarkStart w:id="722" w:name="_Toc17882647"/>
      <w:bookmarkStart w:id="723" w:name="_Toc17882866"/>
      <w:bookmarkStart w:id="724" w:name="_Toc17883221"/>
      <w:bookmarkStart w:id="725" w:name="_Toc17892893"/>
      <w:bookmarkStart w:id="726" w:name="_Toc17893112"/>
      <w:bookmarkStart w:id="727" w:name="_Toc17893331"/>
      <w:bookmarkStart w:id="728" w:name="_Toc17894192"/>
      <w:bookmarkStart w:id="729" w:name="_Toc17894420"/>
      <w:bookmarkStart w:id="730" w:name="_Toc17969274"/>
      <w:r>
        <w:t>12.3</w:t>
      </w:r>
      <w:r>
        <w:tab/>
        <w:t>Country e</w:t>
      </w:r>
      <w:r w:rsidRPr="00E83E52">
        <w:t>xamples</w:t>
      </w:r>
      <w:bookmarkEnd w:id="718"/>
      <w:bookmarkEnd w:id="719"/>
      <w:bookmarkEnd w:id="720"/>
      <w:bookmarkEnd w:id="721"/>
      <w:bookmarkEnd w:id="722"/>
      <w:bookmarkEnd w:id="723"/>
      <w:bookmarkEnd w:id="724"/>
      <w:bookmarkEnd w:id="725"/>
      <w:bookmarkEnd w:id="726"/>
      <w:bookmarkEnd w:id="727"/>
      <w:bookmarkEnd w:id="728"/>
      <w:bookmarkEnd w:id="729"/>
      <w:bookmarkEnd w:id="730"/>
    </w:p>
    <w:p w14:paraId="3196980F" w14:textId="77777777" w:rsidR="00885B99" w:rsidRPr="00587B01" w:rsidRDefault="00885B99" w:rsidP="00885B99">
      <w:pPr>
        <w:pStyle w:val="Headingb"/>
      </w:pPr>
      <w:r w:rsidRPr="00587B01">
        <w:rPr>
          <w:i/>
          <w:iCs/>
          <w:szCs w:val="24"/>
        </w:rPr>
        <w:t>Bangladesh</w:t>
      </w:r>
    </w:p>
    <w:p w14:paraId="79544D77" w14:textId="77777777" w:rsidR="00885B99" w:rsidRPr="00E83E52" w:rsidRDefault="00885B99" w:rsidP="00885B99">
      <w:r w:rsidRPr="00E83E52">
        <w:t xml:space="preserve">Bangladesh has </w:t>
      </w:r>
      <w:r w:rsidRPr="00E83E52">
        <w:rPr>
          <w:color w:val="000000" w:themeColor="text1"/>
        </w:rPr>
        <w:t>an agent regulation for banks</w:t>
      </w:r>
      <w:r>
        <w:rPr>
          <w:color w:val="000000" w:themeColor="text1"/>
        </w:rPr>
        <w:t> –</w:t>
      </w:r>
      <w:r w:rsidRPr="00E83E52">
        <w:rPr>
          <w:color w:val="000000" w:themeColor="text1"/>
        </w:rPr>
        <w:t xml:space="preserve"> </w:t>
      </w:r>
      <w:r w:rsidRPr="00E83E52">
        <w:rPr>
          <w:i/>
          <w:iCs/>
          <w:lang w:eastAsia="en-GB"/>
        </w:rPr>
        <w:t xml:space="preserve">Guidelines on Agent Banking for the Banks 2013 </w:t>
      </w:r>
      <w:r w:rsidRPr="00E83E52">
        <w:rPr>
          <w:i/>
          <w:iCs/>
        </w:rPr>
        <w:t>–</w:t>
      </w:r>
      <w:r w:rsidRPr="00E83E52">
        <w:rPr>
          <w:i/>
          <w:iCs/>
          <w:lang w:eastAsia="en-GB"/>
        </w:rPr>
        <w:t xml:space="preserve"> </w:t>
      </w:r>
      <w:r w:rsidRPr="00E83E52">
        <w:rPr>
          <w:color w:val="000000" w:themeColor="text1"/>
        </w:rPr>
        <w:t xml:space="preserve">as well as slightly different rules for MFS agents in their </w:t>
      </w:r>
      <w:r w:rsidRPr="00E83E52">
        <w:rPr>
          <w:i/>
          <w:color w:val="000000" w:themeColor="text1"/>
        </w:rPr>
        <w:t>MFS Guidelines</w:t>
      </w:r>
      <w:r w:rsidRPr="00E83E52">
        <w:rPr>
          <w:color w:val="000000" w:themeColor="text1"/>
        </w:rPr>
        <w:t xml:space="preserve">. Although </w:t>
      </w:r>
      <w:r w:rsidRPr="00E83E52">
        <w:t xml:space="preserve">many of the provisions are similar between the </w:t>
      </w:r>
      <w:r w:rsidRPr="00E83E52">
        <w:rPr>
          <w:iCs/>
        </w:rPr>
        <w:t>two regulations</w:t>
      </w:r>
      <w:r w:rsidRPr="00E83E52">
        <w:rPr>
          <w:i/>
          <w:iCs/>
        </w:rPr>
        <w:t xml:space="preserve">, </w:t>
      </w:r>
      <w:r w:rsidRPr="00E83E52">
        <w:t>there is a restrained requirement for country wide networks for MFS agents, but not bank ones. And bank agents, but not DFS agents, can facilitate loans/collect loan documentation, but not actually appraise the loan.</w:t>
      </w:r>
      <w:r w:rsidRPr="00E83E52">
        <w:rPr>
          <w:rStyle w:val="FootnoteReference"/>
          <w:szCs w:val="24"/>
        </w:rPr>
        <w:footnoteReference w:id="243"/>
      </w:r>
    </w:p>
    <w:p w14:paraId="322CBC27" w14:textId="77777777" w:rsidR="00885B99" w:rsidRPr="00587B01" w:rsidRDefault="00885B99" w:rsidP="00885B99">
      <w:pPr>
        <w:spacing w:before="240" w:after="120"/>
        <w:rPr>
          <w:b/>
          <w:i/>
          <w:iCs/>
          <w:color w:val="000000" w:themeColor="text1"/>
          <w:szCs w:val="24"/>
        </w:rPr>
      </w:pPr>
      <w:r w:rsidRPr="00587B01">
        <w:rPr>
          <w:b/>
          <w:i/>
          <w:iCs/>
          <w:color w:val="000000" w:themeColor="text1"/>
          <w:szCs w:val="24"/>
        </w:rPr>
        <w:t>Kenya</w:t>
      </w:r>
    </w:p>
    <w:p w14:paraId="793AE9A0" w14:textId="77777777" w:rsidR="00885B99" w:rsidRPr="00E83E52" w:rsidRDefault="00885B99" w:rsidP="00885B99">
      <w:r w:rsidRPr="00E83E52">
        <w:t>MNO Airtel in 2014 complained about agent exclusivity arrangements enforced by competitor Safaricom for their M-PESA agent network. Safaricom countered that it had invested in building an agent network and should not be required to share agents with competitors and lose its return on investment. A ruling by the CAK ordered Safaricom to open up its M-PESA agent network to rival DFS firms.</w:t>
      </w:r>
      <w:r w:rsidRPr="00E83E52">
        <w:rPr>
          <w:rStyle w:val="FootnoteReference"/>
          <w:color w:val="000000" w:themeColor="text1"/>
          <w:szCs w:val="24"/>
        </w:rPr>
        <w:footnoteReference w:id="244"/>
      </w:r>
      <w:r w:rsidRPr="00E83E52">
        <w:t xml:space="preserve"> A recent report, however, indicated that there are aspects of exclusivity being enforced through marketing requirements.</w:t>
      </w:r>
      <w:r w:rsidRPr="00E83E52">
        <w:rPr>
          <w:rStyle w:val="FootnoteReference"/>
          <w:color w:val="000000" w:themeColor="text1"/>
          <w:szCs w:val="24"/>
        </w:rPr>
        <w:footnoteReference w:id="245"/>
      </w:r>
      <w:r w:rsidRPr="00E83E52">
        <w:t xml:space="preserve"> Airtel lodged a complaint with the CAK thereto.</w:t>
      </w:r>
      <w:r w:rsidRPr="00E83E52">
        <w:rPr>
          <w:rStyle w:val="FootnoteReference"/>
          <w:color w:val="000000" w:themeColor="text1"/>
          <w:szCs w:val="24"/>
        </w:rPr>
        <w:footnoteReference w:id="246"/>
      </w:r>
    </w:p>
    <w:p w14:paraId="64218793" w14:textId="77777777" w:rsidR="00885B99" w:rsidRPr="00E83E52" w:rsidRDefault="00885B99" w:rsidP="00885B99">
      <w:r w:rsidRPr="00E83E52">
        <w:lastRenderedPageBreak/>
        <w:t xml:space="preserve">There is also inconsistency in the agent guidelines: banks using agents are subject to the </w:t>
      </w:r>
      <w:r w:rsidRPr="00E83E52">
        <w:rPr>
          <w:i/>
        </w:rPr>
        <w:t>Guideline on Agent Banking</w:t>
      </w:r>
      <w:r w:rsidRPr="00E83E52">
        <w:rPr>
          <w:rStyle w:val="FootnoteReference"/>
          <w:color w:val="000000" w:themeColor="text1"/>
          <w:szCs w:val="24"/>
        </w:rPr>
        <w:footnoteReference w:id="247"/>
      </w:r>
      <w:r w:rsidRPr="00E83E52">
        <w:t xml:space="preserve"> issued in 2010 and revised in 2013, but these rules are stricter than the rules imposed on non-bank SPs</w:t>
      </w:r>
      <w:r>
        <w:t>.</w:t>
      </w:r>
      <w:r>
        <w:rPr>
          <w:rStyle w:val="FootnoteReference"/>
          <w:color w:val="000000" w:themeColor="text1"/>
          <w:szCs w:val="24"/>
        </w:rPr>
        <w:footnoteReference w:id="248"/>
      </w:r>
    </w:p>
    <w:p w14:paraId="755AF455" w14:textId="77777777" w:rsidR="00885B99" w:rsidRDefault="00885B99" w:rsidP="00885B99">
      <w:pPr>
        <w:pStyle w:val="Headingb"/>
        <w:rPr>
          <w:i/>
          <w:shd w:val="clear" w:color="auto" w:fill="FFFFFF"/>
        </w:rPr>
      </w:pPr>
      <w:r w:rsidRPr="00075BE7">
        <w:rPr>
          <w:i/>
          <w:shd w:val="clear" w:color="auto" w:fill="FFFFFF"/>
        </w:rPr>
        <w:t>Malawi</w:t>
      </w:r>
    </w:p>
    <w:p w14:paraId="3D5C4A3B" w14:textId="77777777" w:rsidR="00885B99" w:rsidRPr="005002F0" w:rsidRDefault="00885B99" w:rsidP="00885B99">
      <w:pPr>
        <w:keepNext/>
        <w:keepLines/>
      </w:pPr>
      <w:r w:rsidRPr="00E83E52">
        <w:rPr>
          <w:shd w:val="clear" w:color="auto" w:fill="FFFFFF"/>
        </w:rPr>
        <w:t xml:space="preserve">In Malawi, the Competition and Fair Trading Commission </w:t>
      </w:r>
      <w:r>
        <w:rPr>
          <w:shd w:val="clear" w:color="auto" w:fill="FFFFFF"/>
        </w:rPr>
        <w:t xml:space="preserve">(CFTC) </w:t>
      </w:r>
      <w:r w:rsidRPr="00E83E52">
        <w:rPr>
          <w:shd w:val="clear" w:color="auto" w:fill="FFFFFF"/>
        </w:rPr>
        <w:t xml:space="preserve">has outlawed agent exclusivity </w:t>
      </w:r>
      <w:r w:rsidRPr="00E83E52">
        <w:rPr>
          <w:i/>
          <w:shd w:val="clear" w:color="auto" w:fill="FFFFFF"/>
        </w:rPr>
        <w:t>per se.</w:t>
      </w:r>
      <w:r w:rsidRPr="00E83E52">
        <w:rPr>
          <w:shd w:val="clear" w:color="auto" w:fill="FFFFFF"/>
        </w:rPr>
        <w:t xml:space="preserve"> However,</w:t>
      </w:r>
      <w:r w:rsidRPr="00E83E52">
        <w:rPr>
          <w:i/>
          <w:shd w:val="clear" w:color="auto" w:fill="FFFFFF"/>
        </w:rPr>
        <w:t xml:space="preserve"> </w:t>
      </w:r>
      <w:r w:rsidRPr="00E83E52">
        <w:rPr>
          <w:shd w:val="clear" w:color="auto" w:fill="FFFFFF"/>
        </w:rPr>
        <w:t>it allows MNOs to have exclusivity for their airtime-selling agents, but not for their DFS agents even though these may be the same person. It does, however, not appear to tightly enforce the DFS agent exclusivity rule, allowing some DFS SPs to have exclusive agents</w:t>
      </w:r>
      <w:r>
        <w:rPr>
          <w:shd w:val="clear" w:color="auto" w:fill="FFFFFF"/>
        </w:rPr>
        <w:t>.</w:t>
      </w:r>
    </w:p>
    <w:p w14:paraId="18987BE6" w14:textId="77777777" w:rsidR="00885B99" w:rsidRPr="005002F0" w:rsidRDefault="00885B99" w:rsidP="00885B99">
      <w:pPr>
        <w:pStyle w:val="Headingb"/>
        <w:rPr>
          <w:i/>
        </w:rPr>
      </w:pPr>
      <w:r w:rsidRPr="005002F0">
        <w:rPr>
          <w:i/>
        </w:rPr>
        <w:t>Mexico</w:t>
      </w:r>
    </w:p>
    <w:p w14:paraId="2CD5DE74" w14:textId="77777777" w:rsidR="00885B99" w:rsidRPr="00E83E52" w:rsidRDefault="00885B99" w:rsidP="00885B99">
      <w:r w:rsidRPr="00E83E52">
        <w:t>Mexico has an agent regulation for banks using retail agents</w:t>
      </w:r>
      <w:r w:rsidRPr="00E83E52">
        <w:rPr>
          <w:rStyle w:val="FootnoteReference"/>
          <w:color w:val="000000" w:themeColor="text1"/>
          <w:szCs w:val="24"/>
        </w:rPr>
        <w:footnoteReference w:id="249"/>
      </w:r>
      <w:r w:rsidRPr="00E83E52">
        <w:t xml:space="preserve"> and a separate regulation setting different rules for banks using agents managed by MNOs.</w:t>
      </w:r>
      <w:r w:rsidRPr="00E83E52">
        <w:rPr>
          <w:rStyle w:val="FootnoteReference"/>
          <w:color w:val="000000" w:themeColor="text1"/>
          <w:szCs w:val="24"/>
        </w:rPr>
        <w:footnoteReference w:id="250"/>
      </w:r>
    </w:p>
    <w:p w14:paraId="23C3CEF3" w14:textId="77777777" w:rsidR="00885B99" w:rsidRPr="00075BE7" w:rsidRDefault="00885B99" w:rsidP="00885B99">
      <w:pPr>
        <w:pStyle w:val="Headingb"/>
        <w:rPr>
          <w:i/>
          <w:shd w:val="clear" w:color="auto" w:fill="FFFFFF"/>
        </w:rPr>
      </w:pPr>
      <w:r w:rsidRPr="00075BE7">
        <w:rPr>
          <w:i/>
          <w:shd w:val="clear" w:color="auto" w:fill="FFFFFF"/>
        </w:rPr>
        <w:t>Uganda</w:t>
      </w:r>
    </w:p>
    <w:p w14:paraId="29E70CB5" w14:textId="77777777" w:rsidR="00885B99" w:rsidRPr="00E83E52" w:rsidRDefault="00885B99" w:rsidP="00885B99">
      <w:r w:rsidRPr="00E83E52">
        <w:rPr>
          <w:shd w:val="clear" w:color="auto" w:fill="FFFFFF"/>
        </w:rPr>
        <w:t>In Uganda, the Bank of Uganda stipulated in its 2</w:t>
      </w:r>
      <w:r w:rsidRPr="00E83E52">
        <w:rPr>
          <w:bdr w:val="none" w:sz="0" w:space="0" w:color="auto" w:frame="1"/>
          <w:shd w:val="clear" w:color="auto" w:fill="FFFFFF"/>
        </w:rPr>
        <w:t>013 Mobile Money Guidelines</w:t>
      </w:r>
      <w:r w:rsidRPr="00E83E52">
        <w:rPr>
          <w:rStyle w:val="FootnoteReference"/>
          <w:color w:val="000000" w:themeColor="text1"/>
          <w:szCs w:val="24"/>
          <w:bdr w:val="none" w:sz="0" w:space="0" w:color="auto" w:frame="1"/>
          <w:shd w:val="clear" w:color="auto" w:fill="FFFFFF"/>
        </w:rPr>
        <w:footnoteReference w:id="251"/>
      </w:r>
      <w:r w:rsidRPr="00E83E52">
        <w:rPr>
          <w:bdr w:val="none" w:sz="0" w:space="0" w:color="auto" w:frame="1"/>
          <w:shd w:val="clear" w:color="auto" w:fill="FFFFFF"/>
        </w:rPr>
        <w:t xml:space="preserve"> </w:t>
      </w:r>
      <w:r w:rsidRPr="00E83E52">
        <w:rPr>
          <w:shd w:val="clear" w:color="auto" w:fill="FFFFFF"/>
        </w:rPr>
        <w:t xml:space="preserve">that agent agreements should not provide for agent exclusivity. </w:t>
      </w:r>
      <w:r w:rsidRPr="00E83E52">
        <w:t xml:space="preserve">A recent report from CGAP, however, indicated that </w:t>
      </w:r>
      <w:r w:rsidRPr="00E83E52">
        <w:rPr>
          <w:shd w:val="clear" w:color="auto" w:fill="FFFFFF"/>
        </w:rPr>
        <w:t>some MNOs were switching off agent accounts if they served another provider</w:t>
      </w:r>
      <w:r>
        <w:rPr>
          <w:shd w:val="clear" w:color="auto" w:fill="FFFFFF"/>
        </w:rPr>
        <w:t>'</w:t>
      </w:r>
      <w:r w:rsidRPr="00E83E52">
        <w:rPr>
          <w:shd w:val="clear" w:color="auto" w:fill="FFFFFF"/>
        </w:rPr>
        <w:t>s customers</w:t>
      </w:r>
      <w:r w:rsidRPr="00E83E52">
        <w:t>.</w:t>
      </w:r>
      <w:r w:rsidRPr="00E83E52">
        <w:rPr>
          <w:rStyle w:val="FootnoteReference"/>
          <w:color w:val="000000" w:themeColor="text1"/>
          <w:szCs w:val="24"/>
        </w:rPr>
        <w:footnoteReference w:id="252"/>
      </w:r>
    </w:p>
    <w:p w14:paraId="1FDF39B9" w14:textId="77777777" w:rsidR="00885B99" w:rsidRPr="00E83E52" w:rsidRDefault="00885B99" w:rsidP="00885B99">
      <w:pPr>
        <w:pStyle w:val="Heading1"/>
      </w:pPr>
      <w:bookmarkStart w:id="731" w:name="_Toc472443778"/>
      <w:bookmarkStart w:id="732" w:name="_Toc17799453"/>
      <w:bookmarkStart w:id="733" w:name="_Toc17881599"/>
      <w:bookmarkStart w:id="734" w:name="_Toc17882429"/>
      <w:bookmarkStart w:id="735" w:name="_Toc17882648"/>
      <w:bookmarkStart w:id="736" w:name="_Toc17882867"/>
      <w:bookmarkStart w:id="737" w:name="_Toc17883222"/>
      <w:bookmarkStart w:id="738" w:name="_Toc17892894"/>
      <w:bookmarkStart w:id="739" w:name="_Toc17893113"/>
      <w:bookmarkStart w:id="740" w:name="_Toc17893332"/>
      <w:bookmarkStart w:id="741" w:name="_Toc17894193"/>
      <w:bookmarkStart w:id="742" w:name="_Toc17894421"/>
      <w:bookmarkStart w:id="743" w:name="_Toc17969275"/>
      <w:r>
        <w:t>H</w:t>
      </w:r>
      <w:r>
        <w:tab/>
        <w:t>Technical and</w:t>
      </w:r>
      <w:r w:rsidRPr="00E83E52">
        <w:t xml:space="preserve"> commercial responses to competition bottlenecks</w:t>
      </w:r>
      <w:bookmarkEnd w:id="731"/>
      <w:bookmarkEnd w:id="732"/>
      <w:bookmarkEnd w:id="733"/>
      <w:bookmarkEnd w:id="734"/>
      <w:bookmarkEnd w:id="735"/>
      <w:bookmarkEnd w:id="736"/>
      <w:bookmarkEnd w:id="737"/>
      <w:bookmarkEnd w:id="738"/>
      <w:bookmarkEnd w:id="739"/>
      <w:bookmarkEnd w:id="740"/>
      <w:bookmarkEnd w:id="741"/>
      <w:bookmarkEnd w:id="742"/>
      <w:bookmarkEnd w:id="743"/>
    </w:p>
    <w:p w14:paraId="51B62A00" w14:textId="21F6E387" w:rsidR="00885B99" w:rsidRPr="00E83E52" w:rsidRDefault="00885B99" w:rsidP="00885B99">
      <w:pPr>
        <w:pStyle w:val="Heading1"/>
      </w:pPr>
      <w:bookmarkStart w:id="744" w:name="_Toc472443779"/>
      <w:bookmarkStart w:id="745" w:name="_Toc17799454"/>
      <w:bookmarkStart w:id="746" w:name="_Toc17881600"/>
      <w:bookmarkStart w:id="747" w:name="_Toc17882430"/>
      <w:bookmarkStart w:id="748" w:name="_Toc17882649"/>
      <w:bookmarkStart w:id="749" w:name="_Toc17882868"/>
      <w:bookmarkStart w:id="750" w:name="_Toc17883223"/>
      <w:bookmarkStart w:id="751" w:name="_Toc17892895"/>
      <w:bookmarkStart w:id="752" w:name="_Toc17893114"/>
      <w:bookmarkStart w:id="753" w:name="_Toc17893333"/>
      <w:bookmarkStart w:id="754" w:name="_Toc17894194"/>
      <w:bookmarkStart w:id="755" w:name="_Toc17894422"/>
      <w:bookmarkStart w:id="756" w:name="_Toc17969276"/>
      <w:r>
        <w:t>13</w:t>
      </w:r>
      <w:r>
        <w:tab/>
      </w:r>
      <w:r w:rsidR="00BA530A" w:rsidRPr="00E83E52">
        <w:t xml:space="preserve">Thin </w:t>
      </w:r>
      <w:r w:rsidRPr="00E83E52">
        <w:t>SIMS</w:t>
      </w:r>
      <w:bookmarkEnd w:id="744"/>
      <w:bookmarkEnd w:id="745"/>
      <w:bookmarkEnd w:id="746"/>
      <w:bookmarkEnd w:id="747"/>
      <w:bookmarkEnd w:id="748"/>
      <w:bookmarkEnd w:id="749"/>
      <w:bookmarkEnd w:id="750"/>
      <w:bookmarkEnd w:id="751"/>
      <w:bookmarkEnd w:id="752"/>
      <w:bookmarkEnd w:id="753"/>
      <w:bookmarkEnd w:id="754"/>
      <w:bookmarkEnd w:id="755"/>
      <w:bookmarkEnd w:id="756"/>
    </w:p>
    <w:p w14:paraId="547619E4" w14:textId="77777777" w:rsidR="00885B99" w:rsidRPr="00802FFD" w:rsidRDefault="00885B99" w:rsidP="00885B99">
      <w:pPr>
        <w:pStyle w:val="Heading2"/>
      </w:pPr>
      <w:bookmarkStart w:id="757" w:name="_Toc472443780"/>
      <w:bookmarkStart w:id="758" w:name="_Toc17799455"/>
      <w:bookmarkStart w:id="759" w:name="_Toc17881601"/>
      <w:bookmarkStart w:id="760" w:name="_Toc17882431"/>
      <w:bookmarkStart w:id="761" w:name="_Toc17882650"/>
      <w:bookmarkStart w:id="762" w:name="_Toc17882869"/>
      <w:bookmarkStart w:id="763" w:name="_Toc17883224"/>
      <w:bookmarkStart w:id="764" w:name="_Toc17892896"/>
      <w:bookmarkStart w:id="765" w:name="_Toc17893115"/>
      <w:bookmarkStart w:id="766" w:name="_Toc17893334"/>
      <w:bookmarkStart w:id="767" w:name="_Toc17894195"/>
      <w:bookmarkStart w:id="768" w:name="_Toc17894423"/>
      <w:bookmarkStart w:id="769" w:name="_Toc17969277"/>
      <w:r>
        <w:t>13.1</w:t>
      </w:r>
      <w:r>
        <w:tab/>
      </w:r>
      <w:r w:rsidRPr="00802FFD">
        <w:t>Overview</w:t>
      </w:r>
      <w:bookmarkEnd w:id="757"/>
      <w:bookmarkEnd w:id="758"/>
      <w:bookmarkEnd w:id="759"/>
      <w:bookmarkEnd w:id="760"/>
      <w:bookmarkEnd w:id="761"/>
      <w:bookmarkEnd w:id="762"/>
      <w:bookmarkEnd w:id="763"/>
      <w:bookmarkEnd w:id="764"/>
      <w:bookmarkEnd w:id="765"/>
      <w:bookmarkEnd w:id="766"/>
      <w:bookmarkEnd w:id="767"/>
      <w:bookmarkEnd w:id="768"/>
      <w:bookmarkEnd w:id="769"/>
    </w:p>
    <w:p w14:paraId="51CC1C24" w14:textId="77777777" w:rsidR="00885B99" w:rsidRPr="00E83E52" w:rsidRDefault="00885B99" w:rsidP="00885B99">
      <w:r w:rsidRPr="00E83E52">
        <w:t xml:space="preserve">One novel technical method to compensate for restricted or unfavorable access to STK and USSD is to use what is known as </w:t>
      </w:r>
      <w:r>
        <w:t>'</w:t>
      </w:r>
      <w:r w:rsidRPr="00E83E52">
        <w:t>thin SIMs,</w:t>
      </w:r>
      <w:r>
        <w:t>'</w:t>
      </w:r>
      <w:r w:rsidRPr="00E83E52">
        <w:t xml:space="preserve"> also known as </w:t>
      </w:r>
      <w:r>
        <w:t>'</w:t>
      </w:r>
      <w:r w:rsidRPr="00E83E52">
        <w:t>sticky SIMs.</w:t>
      </w:r>
      <w:r>
        <w:t>'</w:t>
      </w:r>
      <w:r w:rsidRPr="00E83E52">
        <w:t xml:space="preserve"> Technically a SIM overlay technology, a thin SIM is a paper-thin plastic sheet embedded with a number of contact points and a chip on top of a standard SIM card.</w:t>
      </w:r>
      <w:r>
        <w:rPr>
          <w:rStyle w:val="FootnoteReference"/>
        </w:rPr>
        <w:footnoteReference w:id="253"/>
      </w:r>
      <w:r w:rsidRPr="00E83E52">
        <w:t xml:space="preserve"> Thin SIMs provide an alternative and often cheaper access method for SPs and other third parties, by allowing access to networks that ostensibly provide standard QOS, better reliability and cheaper rates for USSD and STK access.</w:t>
      </w:r>
    </w:p>
    <w:p w14:paraId="1E606287" w14:textId="77777777" w:rsidR="00885B99" w:rsidRPr="00E83E52" w:rsidRDefault="00885B99" w:rsidP="00885B99">
      <w:r w:rsidRPr="00E83E52">
        <w:t xml:space="preserve">Despite its </w:t>
      </w:r>
      <w:r>
        <w:t>'</w:t>
      </w:r>
      <w:r w:rsidRPr="00E83E52">
        <w:t>thin</w:t>
      </w:r>
      <w:r>
        <w:t>'</w:t>
      </w:r>
      <w:r w:rsidRPr="00E83E52">
        <w:t xml:space="preserve"> form factor, it is a full-featured SIM.</w:t>
      </w:r>
      <w:r w:rsidRPr="00E83E52">
        <w:rPr>
          <w:vertAlign w:val="superscript"/>
        </w:rPr>
        <w:footnoteReference w:id="254"/>
      </w:r>
      <w:r w:rsidRPr="00E83E52">
        <w:t xml:space="preserve"> Once placed over a larger SIM, the thin SIM essentially converts any handset into a dual-SIM phone.</w:t>
      </w:r>
      <w:r>
        <w:rPr>
          <w:rStyle w:val="FootnoteReference"/>
        </w:rPr>
        <w:footnoteReference w:id="255"/>
      </w:r>
    </w:p>
    <w:p w14:paraId="72B09986" w14:textId="77777777" w:rsidR="00885B99" w:rsidRPr="00E83E52" w:rsidRDefault="00885B99" w:rsidP="00885B99">
      <w:r w:rsidRPr="00E83E52">
        <w:lastRenderedPageBreak/>
        <w:t xml:space="preserve">Switching between MNOs is done either manually via the accompanying STK menu, or by inputting a specific </w:t>
      </w:r>
      <w:r>
        <w:t>short code to do the selection.</w:t>
      </w:r>
    </w:p>
    <w:p w14:paraId="7BFEAAA1" w14:textId="77777777" w:rsidR="00885B99" w:rsidRPr="00E83E52" w:rsidRDefault="00885B99" w:rsidP="00885B99">
      <w:pPr>
        <w:keepNext/>
        <w:keepLines/>
        <w:rPr>
          <w:shd w:val="clear" w:color="auto" w:fill="FFFFFF"/>
        </w:rPr>
      </w:pPr>
      <w:r w:rsidRPr="00E83E52">
        <w:t xml:space="preserve">The thin SIM will </w:t>
      </w:r>
      <w:r>
        <w:t>'</w:t>
      </w:r>
      <w:r w:rsidRPr="00E83E52">
        <w:t>listen out</w:t>
      </w:r>
      <w:r>
        <w:t>'</w:t>
      </w:r>
      <w:r w:rsidRPr="00E83E52">
        <w:t xml:space="preserve"> for a specific DFS-linked short code and if the short code belongs to a MNO or SP supported by the thin SIM, any DFS-related USSD or STK traffic will be directed to the alternate network or provider.</w:t>
      </w:r>
      <w:r w:rsidRPr="00E83E52">
        <w:rPr>
          <w:shd w:val="clear" w:color="auto" w:fill="FFFFFF"/>
        </w:rPr>
        <w:t xml:space="preserve"> Any voice traffic linked to the original, larger SIM underneath the Thin SIM will remain unchanged.</w:t>
      </w:r>
      <w:r w:rsidRPr="00E83E52">
        <w:rPr>
          <w:rStyle w:val="FootnoteReference"/>
          <w:color w:val="000000" w:themeColor="text1"/>
          <w:szCs w:val="24"/>
          <w:shd w:val="clear" w:color="auto" w:fill="FFFFFF"/>
        </w:rPr>
        <w:footnoteReference w:id="256"/>
      </w:r>
      <w:r w:rsidRPr="00E83E52">
        <w:rPr>
          <w:shd w:val="clear" w:color="auto" w:fill="FFFFFF"/>
        </w:rPr>
        <w:t xml:space="preserve"> The solution is device agnostic so it works with feature or smart phones. It is also MNO-agnostic, so it works with any MNO operator independent of the underlying SIM card.</w:t>
      </w:r>
      <w:r>
        <w:rPr>
          <w:rStyle w:val="FootnoteReference"/>
          <w:shd w:val="clear" w:color="auto" w:fill="FFFFFF"/>
        </w:rPr>
        <w:footnoteReference w:id="257"/>
      </w:r>
      <w:r w:rsidRPr="00E83E52">
        <w:rPr>
          <w:shd w:val="clear" w:color="auto" w:fill="FFFFFF"/>
        </w:rPr>
        <w:t xml:space="preserve"> </w:t>
      </w:r>
      <w:r w:rsidRPr="00E83E52">
        <w:t>This technology is now in use in a number of countries for DFS purposes, but is as yet not in widespread use.</w:t>
      </w:r>
      <w:r>
        <w:rPr>
          <w:rStyle w:val="FootnoteReference"/>
        </w:rPr>
        <w:footnoteReference w:id="258"/>
      </w:r>
    </w:p>
    <w:p w14:paraId="73E4D38D" w14:textId="77777777" w:rsidR="00885B99" w:rsidRPr="00E83E52" w:rsidRDefault="00885B99" w:rsidP="00885B99">
      <w:pPr>
        <w:pStyle w:val="Heading2"/>
      </w:pPr>
      <w:bookmarkStart w:id="770" w:name="_Toc472443781"/>
      <w:bookmarkStart w:id="771" w:name="_Toc17799456"/>
      <w:bookmarkStart w:id="772" w:name="_Toc17881602"/>
      <w:bookmarkStart w:id="773" w:name="_Toc17882432"/>
      <w:bookmarkStart w:id="774" w:name="_Toc17882651"/>
      <w:bookmarkStart w:id="775" w:name="_Toc17882870"/>
      <w:bookmarkStart w:id="776" w:name="_Toc17883225"/>
      <w:bookmarkStart w:id="777" w:name="_Toc17892897"/>
      <w:bookmarkStart w:id="778" w:name="_Toc17893116"/>
      <w:bookmarkStart w:id="779" w:name="_Toc17893335"/>
      <w:bookmarkStart w:id="780" w:name="_Toc17894196"/>
      <w:bookmarkStart w:id="781" w:name="_Toc17894424"/>
      <w:bookmarkStart w:id="782" w:name="_Toc17969278"/>
      <w:r>
        <w:t>13.2</w:t>
      </w:r>
      <w:r>
        <w:tab/>
        <w:t>Country e</w:t>
      </w:r>
      <w:r w:rsidRPr="00E83E52">
        <w:t>xamples</w:t>
      </w:r>
      <w:bookmarkEnd w:id="770"/>
      <w:bookmarkEnd w:id="771"/>
      <w:bookmarkEnd w:id="772"/>
      <w:bookmarkEnd w:id="773"/>
      <w:bookmarkEnd w:id="774"/>
      <w:bookmarkEnd w:id="775"/>
      <w:bookmarkEnd w:id="776"/>
      <w:bookmarkEnd w:id="777"/>
      <w:bookmarkEnd w:id="778"/>
      <w:bookmarkEnd w:id="779"/>
      <w:bookmarkEnd w:id="780"/>
      <w:bookmarkEnd w:id="781"/>
      <w:bookmarkEnd w:id="782"/>
    </w:p>
    <w:p w14:paraId="2C94CC2C" w14:textId="77777777" w:rsidR="00885B99" w:rsidRPr="00075BE7" w:rsidRDefault="00885B99" w:rsidP="00885B99">
      <w:pPr>
        <w:pStyle w:val="Headingb"/>
        <w:rPr>
          <w:i/>
          <w:shd w:val="clear" w:color="auto" w:fill="FFFFFF"/>
        </w:rPr>
      </w:pPr>
      <w:r w:rsidRPr="00075BE7">
        <w:rPr>
          <w:i/>
          <w:shd w:val="clear" w:color="auto" w:fill="FFFFFF"/>
        </w:rPr>
        <w:t>China</w:t>
      </w:r>
    </w:p>
    <w:p w14:paraId="636988E0" w14:textId="2738E688" w:rsidR="00885B99" w:rsidRPr="00E83E52" w:rsidRDefault="00885B99" w:rsidP="00885B99">
      <w:pPr>
        <w:spacing w:after="120"/>
        <w:rPr>
          <w:color w:val="000000" w:themeColor="text1"/>
          <w:szCs w:val="24"/>
        </w:rPr>
      </w:pPr>
      <w:r w:rsidRPr="00E83E52">
        <w:rPr>
          <w:color w:val="000000" w:themeColor="text1"/>
          <w:szCs w:val="24"/>
          <w:shd w:val="clear" w:color="auto" w:fill="FFFFFF"/>
        </w:rPr>
        <w:t>Chinese SP F-road has used Thin SIMs to enable access for over 15</w:t>
      </w:r>
      <w:r>
        <w:rPr>
          <w:color w:val="000000" w:themeColor="text1"/>
          <w:szCs w:val="24"/>
          <w:shd w:val="clear" w:color="auto" w:fill="FFFFFF"/>
        </w:rPr>
        <w:t> </w:t>
      </w:r>
      <w:r w:rsidRPr="00E83E52">
        <w:rPr>
          <w:color w:val="000000" w:themeColor="text1"/>
          <w:szCs w:val="24"/>
          <w:shd w:val="clear" w:color="auto" w:fill="FFFFFF"/>
        </w:rPr>
        <w:t>million users from 1,300</w:t>
      </w:r>
      <w:r>
        <w:rPr>
          <w:color w:val="000000" w:themeColor="text1"/>
          <w:szCs w:val="24"/>
          <w:shd w:val="clear" w:color="auto" w:fill="FFFFFF"/>
        </w:rPr>
        <w:t> </w:t>
      </w:r>
      <w:r w:rsidRPr="00E83E52">
        <w:rPr>
          <w:color w:val="000000" w:themeColor="text1"/>
          <w:szCs w:val="24"/>
          <w:shd w:val="clear" w:color="auto" w:fill="FFFFFF"/>
        </w:rPr>
        <w:t>banks in 27 of China's 31</w:t>
      </w:r>
      <w:r w:rsidR="000C3398">
        <w:rPr>
          <w:color w:val="000000" w:themeColor="text1"/>
          <w:szCs w:val="24"/>
          <w:shd w:val="clear" w:color="auto" w:fill="FFFFFF"/>
        </w:rPr>
        <w:t> </w:t>
      </w:r>
      <w:r w:rsidRPr="00E83E52">
        <w:rPr>
          <w:color w:val="000000" w:themeColor="text1"/>
          <w:szCs w:val="24"/>
          <w:shd w:val="clear" w:color="auto" w:fill="FFFFFF"/>
        </w:rPr>
        <w:t>provinces.</w:t>
      </w:r>
      <w:r w:rsidRPr="00E83E52">
        <w:rPr>
          <w:color w:val="000000" w:themeColor="text1"/>
          <w:szCs w:val="24"/>
          <w:shd w:val="clear" w:color="auto" w:fill="FFFFFF"/>
          <w:vertAlign w:val="superscript"/>
        </w:rPr>
        <w:footnoteReference w:id="259"/>
      </w:r>
      <w:r w:rsidRPr="00E83E52">
        <w:rPr>
          <w:color w:val="000000" w:themeColor="text1"/>
          <w:szCs w:val="24"/>
          <w:shd w:val="clear" w:color="auto" w:fill="FFFFFF"/>
        </w:rPr>
        <w:t xml:space="preserve"> Its </w:t>
      </w:r>
      <w:r w:rsidRPr="00E83E52">
        <w:rPr>
          <w:color w:val="000000" w:themeColor="text1"/>
          <w:szCs w:val="24"/>
        </w:rPr>
        <w:t>pre-programmed Thin SIMs are distributed to customers via financial institutions, and are inserted in phones to ensure encrypted SMS. F-Road</w:t>
      </w:r>
      <w:r>
        <w:rPr>
          <w:color w:val="000000" w:themeColor="text1"/>
          <w:szCs w:val="24"/>
        </w:rPr>
        <w:t>'</w:t>
      </w:r>
      <w:r w:rsidRPr="00E83E52">
        <w:rPr>
          <w:color w:val="000000" w:themeColor="text1"/>
          <w:szCs w:val="24"/>
        </w:rPr>
        <w:t>s technology can be used on over 95% of the phones in the local market including smart phones.</w:t>
      </w:r>
      <w:r>
        <w:rPr>
          <w:rStyle w:val="FootnoteReference"/>
          <w:color w:val="000000" w:themeColor="text1"/>
          <w:szCs w:val="24"/>
        </w:rPr>
        <w:footnoteReference w:id="260"/>
      </w:r>
    </w:p>
    <w:p w14:paraId="62B4F1DC" w14:textId="77777777" w:rsidR="00885B99" w:rsidRPr="00075BE7" w:rsidRDefault="00885B99" w:rsidP="00885B99">
      <w:pPr>
        <w:pStyle w:val="Headingb"/>
        <w:rPr>
          <w:i/>
        </w:rPr>
      </w:pPr>
      <w:r w:rsidRPr="00075BE7">
        <w:rPr>
          <w:i/>
        </w:rPr>
        <w:t>India</w:t>
      </w:r>
    </w:p>
    <w:p w14:paraId="52AF61C2" w14:textId="77777777" w:rsidR="00885B99" w:rsidRPr="00E83E52" w:rsidRDefault="00885B99" w:rsidP="00885B99">
      <w:pPr>
        <w:spacing w:after="120"/>
        <w:rPr>
          <w:color w:val="000000" w:themeColor="text1"/>
          <w:szCs w:val="24"/>
          <w:shd w:val="clear" w:color="auto" w:fill="FFFFFF"/>
        </w:rPr>
      </w:pPr>
      <w:r w:rsidRPr="00E83E52">
        <w:rPr>
          <w:color w:val="000000" w:themeColor="text1"/>
          <w:szCs w:val="24"/>
        </w:rPr>
        <w:t xml:space="preserve">In India, </w:t>
      </w:r>
      <w:r w:rsidRPr="00E83E52">
        <w:rPr>
          <w:color w:val="000000" w:themeColor="text1"/>
          <w:szCs w:val="24"/>
          <w:shd w:val="clear" w:color="auto" w:fill="FFFFFF"/>
        </w:rPr>
        <w:t>Yes Bank, India's fifth largest private sector bank, has also launched its own Thin SIM payments solution for feature phones.</w:t>
      </w:r>
      <w:r>
        <w:rPr>
          <w:rStyle w:val="FootnoteReference"/>
          <w:color w:val="000000" w:themeColor="text1"/>
          <w:szCs w:val="24"/>
          <w:shd w:val="clear" w:color="auto" w:fill="FFFFFF"/>
        </w:rPr>
        <w:footnoteReference w:id="261"/>
      </w:r>
      <w:r w:rsidRPr="00E83E52">
        <w:rPr>
          <w:color w:val="000000" w:themeColor="text1"/>
          <w:szCs w:val="24"/>
          <w:shd w:val="clear" w:color="auto" w:fill="FFFFFF"/>
        </w:rPr>
        <w:t xml:space="preserve"> Its Thin SIM installs a STK-based app linked to a prepaid wallet.</w:t>
      </w:r>
      <w:r w:rsidRPr="00E83E52">
        <w:rPr>
          <w:color w:val="000000" w:themeColor="text1"/>
          <w:szCs w:val="24"/>
          <w:shd w:val="clear" w:color="auto" w:fill="FFFFFF"/>
          <w:vertAlign w:val="superscript"/>
        </w:rPr>
        <w:footnoteReference w:id="262"/>
      </w:r>
    </w:p>
    <w:p w14:paraId="2D462B57" w14:textId="77777777" w:rsidR="00885B99" w:rsidRPr="00075BE7" w:rsidRDefault="00885B99" w:rsidP="00885B99">
      <w:pPr>
        <w:pStyle w:val="Headingb"/>
        <w:rPr>
          <w:i/>
        </w:rPr>
      </w:pPr>
      <w:r w:rsidRPr="00075BE7">
        <w:rPr>
          <w:i/>
        </w:rPr>
        <w:t>Kenya</w:t>
      </w:r>
    </w:p>
    <w:p w14:paraId="77F9769A" w14:textId="6AD53C06" w:rsidR="00885B99" w:rsidRPr="00E83E52" w:rsidRDefault="00885B99" w:rsidP="00885B99">
      <w:r w:rsidRPr="00E83E52">
        <w:t>As noted above, Kenyan MVNO Equitel</w:t>
      </w:r>
      <w:r w:rsidRPr="00E83E52">
        <w:rPr>
          <w:rStyle w:val="FootnoteReference"/>
          <w:color w:val="000000" w:themeColor="text1"/>
          <w:szCs w:val="24"/>
        </w:rPr>
        <w:footnoteReference w:id="263"/>
      </w:r>
      <w:r w:rsidRPr="00E83E52">
        <w:t xml:space="preserve"> –</w:t>
      </w:r>
      <w:r w:rsidR="000C3398">
        <w:t> </w:t>
      </w:r>
      <w:r w:rsidRPr="00E83E52">
        <w:t>the telecommunication arm of Equity Bank</w:t>
      </w:r>
      <w:r w:rsidR="000C3398">
        <w:t> </w:t>
      </w:r>
      <w:r w:rsidRPr="00E83E52">
        <w:t>– uses its thin SIM to bypass market leading MNO Safaricom, using instead cheaper bearer services from Safaricom competitor Airtel.</w:t>
      </w:r>
      <w:r w:rsidRPr="00E83E52">
        <w:rPr>
          <w:vertAlign w:val="superscript"/>
        </w:rPr>
        <w:t xml:space="preserve"> </w:t>
      </w:r>
      <w:r w:rsidRPr="00E83E52">
        <w:rPr>
          <w:vertAlign w:val="superscript"/>
        </w:rPr>
        <w:footnoteReference w:id="264"/>
      </w:r>
    </w:p>
    <w:p w14:paraId="3847F585" w14:textId="77777777" w:rsidR="00885B99" w:rsidRPr="00E83E52" w:rsidRDefault="00885B99" w:rsidP="00885B99">
      <w:pPr>
        <w:pStyle w:val="Heading1"/>
      </w:pPr>
      <w:bookmarkStart w:id="783" w:name="_Toc472443782"/>
      <w:bookmarkStart w:id="784" w:name="_Toc17799457"/>
      <w:bookmarkStart w:id="785" w:name="_Toc17881603"/>
      <w:bookmarkStart w:id="786" w:name="_Toc17882433"/>
      <w:bookmarkStart w:id="787" w:name="_Toc17882652"/>
      <w:bookmarkStart w:id="788" w:name="_Toc17882871"/>
      <w:bookmarkStart w:id="789" w:name="_Toc17883226"/>
      <w:bookmarkStart w:id="790" w:name="_Toc17892898"/>
      <w:bookmarkStart w:id="791" w:name="_Toc17893117"/>
      <w:bookmarkStart w:id="792" w:name="_Toc17893336"/>
      <w:bookmarkStart w:id="793" w:name="_Toc17894197"/>
      <w:bookmarkStart w:id="794" w:name="_Toc17894425"/>
      <w:bookmarkStart w:id="795" w:name="_Toc17969279"/>
      <w:r>
        <w:lastRenderedPageBreak/>
        <w:t>14</w:t>
      </w:r>
      <w:r>
        <w:tab/>
      </w:r>
      <w:r w:rsidRPr="00E83E52">
        <w:t>Sound-based payment access</w:t>
      </w:r>
      <w:bookmarkEnd w:id="783"/>
      <w:bookmarkEnd w:id="784"/>
      <w:bookmarkEnd w:id="785"/>
      <w:bookmarkEnd w:id="786"/>
      <w:bookmarkEnd w:id="787"/>
      <w:bookmarkEnd w:id="788"/>
      <w:bookmarkEnd w:id="789"/>
      <w:bookmarkEnd w:id="790"/>
      <w:bookmarkEnd w:id="791"/>
      <w:bookmarkEnd w:id="792"/>
      <w:bookmarkEnd w:id="793"/>
      <w:bookmarkEnd w:id="794"/>
      <w:bookmarkEnd w:id="795"/>
    </w:p>
    <w:p w14:paraId="3BA2C7A8" w14:textId="77777777" w:rsidR="00885B99" w:rsidRPr="00E83E52" w:rsidRDefault="00885B99" w:rsidP="00885B99">
      <w:pPr>
        <w:pStyle w:val="Heading2"/>
      </w:pPr>
      <w:bookmarkStart w:id="796" w:name="_Toc472443783"/>
      <w:bookmarkStart w:id="797" w:name="_Toc17799458"/>
      <w:bookmarkStart w:id="798" w:name="_Toc17881604"/>
      <w:bookmarkStart w:id="799" w:name="_Toc17882434"/>
      <w:bookmarkStart w:id="800" w:name="_Toc17882653"/>
      <w:bookmarkStart w:id="801" w:name="_Toc17882872"/>
      <w:bookmarkStart w:id="802" w:name="_Toc17883227"/>
      <w:bookmarkStart w:id="803" w:name="_Toc17892899"/>
      <w:bookmarkStart w:id="804" w:name="_Toc17893118"/>
      <w:bookmarkStart w:id="805" w:name="_Toc17893337"/>
      <w:bookmarkStart w:id="806" w:name="_Toc17894198"/>
      <w:bookmarkStart w:id="807" w:name="_Toc17894426"/>
      <w:bookmarkStart w:id="808" w:name="_Toc17969280"/>
      <w:r>
        <w:t>14.1</w:t>
      </w:r>
      <w:r>
        <w:tab/>
      </w:r>
      <w:r w:rsidRPr="00E83E52">
        <w:t>Overview</w:t>
      </w:r>
      <w:bookmarkEnd w:id="796"/>
      <w:bookmarkEnd w:id="797"/>
      <w:bookmarkEnd w:id="798"/>
      <w:bookmarkEnd w:id="799"/>
      <w:bookmarkEnd w:id="800"/>
      <w:bookmarkEnd w:id="801"/>
      <w:bookmarkEnd w:id="802"/>
      <w:bookmarkEnd w:id="803"/>
      <w:bookmarkEnd w:id="804"/>
      <w:bookmarkEnd w:id="805"/>
      <w:bookmarkEnd w:id="806"/>
      <w:bookmarkEnd w:id="807"/>
      <w:bookmarkEnd w:id="808"/>
    </w:p>
    <w:p w14:paraId="6ED257C9" w14:textId="77777777" w:rsidR="00885B99" w:rsidRPr="00E83E52" w:rsidRDefault="00885B99" w:rsidP="00885B99">
      <w:r w:rsidRPr="00E83E52">
        <w:t>Acoustic-based access technology – also known as sound-based, or NSDT</w:t>
      </w:r>
      <w:r>
        <w:rPr>
          <w:rStyle w:val="FootnoteReference"/>
          <w:color w:val="000000" w:themeColor="text1"/>
        </w:rPr>
        <w:footnoteReference w:id="265"/>
      </w:r>
      <w:r w:rsidRPr="00E83E52">
        <w:t xml:space="preserve"> allows the microphone of any basic phone, feature phone, or smartphone to be used for data capture, while the standard MNO voice channel acts as the data transporter. Transaction data is encrypted through the phone</w:t>
      </w:r>
      <w:r>
        <w:t>'</w:t>
      </w:r>
      <w:r w:rsidRPr="00E83E52">
        <w:t xml:space="preserve">s audio channel using a </w:t>
      </w:r>
      <w:r>
        <w:t>'</w:t>
      </w:r>
      <w:r w:rsidRPr="00E83E52">
        <w:t>cryptosound</w:t>
      </w:r>
      <w:r>
        <w:t>'</w:t>
      </w:r>
      <w:r w:rsidRPr="00E83E52">
        <w:t>.</w:t>
      </w:r>
      <w:r>
        <w:rPr>
          <w:rStyle w:val="FootnoteReference"/>
          <w:color w:val="000000" w:themeColor="text1"/>
        </w:rPr>
        <w:footnoteReference w:id="266"/>
      </w:r>
    </w:p>
    <w:p w14:paraId="167EBF78" w14:textId="77777777" w:rsidR="00885B99" w:rsidRPr="00E83E52" w:rsidRDefault="00885B99" w:rsidP="00885B99">
      <w:r w:rsidRPr="00E83E52">
        <w:t>In a merchant/agent environment, the merchant or agent enters the amount on the POS terminal device. The customer then enters their phone number and PIN. On the terminal, the acoustic platform dials the customer</w:t>
      </w:r>
      <w:r>
        <w:t>'</w:t>
      </w:r>
      <w:r w:rsidRPr="00E83E52">
        <w:t>s phone. The customer then answers the call and places the phone next to the terminal or agent</w:t>
      </w:r>
      <w:r>
        <w:t>'</w:t>
      </w:r>
      <w:r w:rsidRPr="00E83E52">
        <w:t xml:space="preserve">s handset. A one-time encrypted password is exchanged via the cryptosound between the two devices and the transaction is complete. Similarly, users can transfer funds to one another by both the sender and recipient calling a sound-enabled server. </w:t>
      </w:r>
      <w:r w:rsidRPr="00E83E52">
        <w:rPr>
          <w:shd w:val="clear" w:color="auto" w:fill="FFFFFF"/>
        </w:rPr>
        <w:t>The system may be especially suited for use by merchants in India, where there are more than 20</w:t>
      </w:r>
      <w:r>
        <w:rPr>
          <w:shd w:val="clear" w:color="auto" w:fill="FFFFFF"/>
        </w:rPr>
        <w:t> </w:t>
      </w:r>
      <w:r w:rsidRPr="00E83E52">
        <w:rPr>
          <w:shd w:val="clear" w:color="auto" w:fill="FFFFFF"/>
        </w:rPr>
        <w:t>million merchants but only around one million POS machines.</w:t>
      </w:r>
      <w:r w:rsidRPr="00E83E52">
        <w:rPr>
          <w:rStyle w:val="FootnoteReference"/>
          <w:color w:val="000000" w:themeColor="text1"/>
          <w:szCs w:val="24"/>
          <w:shd w:val="clear" w:color="auto" w:fill="FFFFFF"/>
        </w:rPr>
        <w:footnoteReference w:id="267"/>
      </w:r>
    </w:p>
    <w:p w14:paraId="17842567" w14:textId="77777777" w:rsidR="00885B99" w:rsidRPr="00E83E52" w:rsidRDefault="00885B99" w:rsidP="00885B99">
      <w:r w:rsidRPr="00E83E52">
        <w:t>Using NSDT, DFS SPs are not reliant on an MNO for access, since no special MNO gateways are required. However, there is limited mass-market discovery and penetration. Voice calls to link the POS, handset and server to complete a transaction may also be relatively costly.</w:t>
      </w:r>
    </w:p>
    <w:p w14:paraId="439BACD8" w14:textId="77777777" w:rsidR="00885B99" w:rsidRPr="00E83E52" w:rsidRDefault="00885B99" w:rsidP="00885B99">
      <w:pPr>
        <w:pStyle w:val="Heading2"/>
      </w:pPr>
      <w:bookmarkStart w:id="809" w:name="_Toc472443784"/>
      <w:bookmarkStart w:id="810" w:name="_Toc17799459"/>
      <w:bookmarkStart w:id="811" w:name="_Toc17881605"/>
      <w:bookmarkStart w:id="812" w:name="_Toc17882435"/>
      <w:bookmarkStart w:id="813" w:name="_Toc17882654"/>
      <w:bookmarkStart w:id="814" w:name="_Toc17882873"/>
      <w:bookmarkStart w:id="815" w:name="_Toc17883228"/>
      <w:bookmarkStart w:id="816" w:name="_Toc17892900"/>
      <w:bookmarkStart w:id="817" w:name="_Toc17893119"/>
      <w:bookmarkStart w:id="818" w:name="_Toc17893338"/>
      <w:bookmarkStart w:id="819" w:name="_Toc17894199"/>
      <w:bookmarkStart w:id="820" w:name="_Toc17894427"/>
      <w:bookmarkStart w:id="821" w:name="_Toc17969281"/>
      <w:r>
        <w:t>14.2</w:t>
      </w:r>
      <w:r>
        <w:tab/>
      </w:r>
      <w:r w:rsidRPr="00E83E52">
        <w:t>Country Examples</w:t>
      </w:r>
      <w:bookmarkEnd w:id="809"/>
      <w:bookmarkEnd w:id="810"/>
      <w:bookmarkEnd w:id="811"/>
      <w:bookmarkEnd w:id="812"/>
      <w:bookmarkEnd w:id="813"/>
      <w:bookmarkEnd w:id="814"/>
      <w:bookmarkEnd w:id="815"/>
      <w:bookmarkEnd w:id="816"/>
      <w:bookmarkEnd w:id="817"/>
      <w:bookmarkEnd w:id="818"/>
      <w:bookmarkEnd w:id="819"/>
      <w:bookmarkEnd w:id="820"/>
      <w:bookmarkEnd w:id="821"/>
    </w:p>
    <w:p w14:paraId="4642BECC" w14:textId="77777777" w:rsidR="00885B99" w:rsidRPr="00E83E52" w:rsidRDefault="00885B99" w:rsidP="00885B99">
      <w:r w:rsidRPr="00E83E52">
        <w:t xml:space="preserve">The technology is used by Yes Bank (India), Pepele Mobile (DRC); </w:t>
      </w:r>
      <w:r w:rsidRPr="00E83E52">
        <w:rPr>
          <w:shd w:val="clear" w:color="auto" w:fill="FFFFFF"/>
        </w:rPr>
        <w:t>Netcash (Zimbabwe); MoboMoney (India); UltraCash (India); and Alipay (China).</w:t>
      </w:r>
    </w:p>
    <w:p w14:paraId="099E7A45" w14:textId="77777777" w:rsidR="00885B99" w:rsidRPr="00802FFD" w:rsidRDefault="00885B99" w:rsidP="00885B99">
      <w:pPr>
        <w:pStyle w:val="Heading1"/>
        <w:spacing w:after="120"/>
        <w:ind w:left="0" w:firstLine="0"/>
      </w:pPr>
      <w:bookmarkStart w:id="822" w:name="_Toc472443785"/>
      <w:bookmarkStart w:id="823" w:name="_Toc17799460"/>
      <w:bookmarkStart w:id="824" w:name="_Toc17881606"/>
      <w:bookmarkStart w:id="825" w:name="_Toc17882436"/>
      <w:bookmarkStart w:id="826" w:name="_Toc17882655"/>
      <w:bookmarkStart w:id="827" w:name="_Toc17882874"/>
      <w:bookmarkStart w:id="828" w:name="_Toc17883229"/>
      <w:bookmarkStart w:id="829" w:name="_Toc17892901"/>
      <w:bookmarkStart w:id="830" w:name="_Toc17893120"/>
      <w:bookmarkStart w:id="831" w:name="_Toc17893339"/>
      <w:bookmarkStart w:id="832" w:name="_Toc17894200"/>
      <w:bookmarkStart w:id="833" w:name="_Toc17894428"/>
      <w:bookmarkStart w:id="834" w:name="_Toc17969282"/>
      <w:r>
        <w:t>15</w:t>
      </w:r>
      <w:r>
        <w:tab/>
      </w:r>
      <w:r w:rsidRPr="00802FFD">
        <w:t>Java applets</w:t>
      </w:r>
      <w:bookmarkEnd w:id="822"/>
      <w:bookmarkEnd w:id="823"/>
      <w:bookmarkEnd w:id="824"/>
      <w:bookmarkEnd w:id="825"/>
      <w:bookmarkEnd w:id="826"/>
      <w:bookmarkEnd w:id="827"/>
      <w:bookmarkEnd w:id="828"/>
      <w:bookmarkEnd w:id="829"/>
      <w:bookmarkEnd w:id="830"/>
      <w:bookmarkEnd w:id="831"/>
      <w:bookmarkEnd w:id="832"/>
      <w:bookmarkEnd w:id="833"/>
      <w:bookmarkEnd w:id="834"/>
    </w:p>
    <w:p w14:paraId="1FC55A99" w14:textId="77777777" w:rsidR="00885B99" w:rsidRPr="00802FFD" w:rsidRDefault="00885B99" w:rsidP="00885B99">
      <w:pPr>
        <w:pStyle w:val="Heading2"/>
      </w:pPr>
      <w:bookmarkStart w:id="835" w:name="_Toc472443786"/>
      <w:bookmarkStart w:id="836" w:name="_Toc17799461"/>
      <w:bookmarkStart w:id="837" w:name="_Toc17881607"/>
      <w:bookmarkStart w:id="838" w:name="_Toc17882437"/>
      <w:bookmarkStart w:id="839" w:name="_Toc17882656"/>
      <w:bookmarkStart w:id="840" w:name="_Toc17882875"/>
      <w:bookmarkStart w:id="841" w:name="_Toc17883230"/>
      <w:bookmarkStart w:id="842" w:name="_Toc17892902"/>
      <w:bookmarkStart w:id="843" w:name="_Toc17893121"/>
      <w:bookmarkStart w:id="844" w:name="_Toc17893340"/>
      <w:bookmarkStart w:id="845" w:name="_Toc17894201"/>
      <w:bookmarkStart w:id="846" w:name="_Toc17894429"/>
      <w:bookmarkStart w:id="847" w:name="_Toc17969283"/>
      <w:r>
        <w:t>15.1</w:t>
      </w:r>
      <w:r>
        <w:tab/>
      </w:r>
      <w:r w:rsidRPr="00802FFD">
        <w:t>Overview</w:t>
      </w:r>
      <w:bookmarkEnd w:id="835"/>
      <w:bookmarkEnd w:id="836"/>
      <w:bookmarkEnd w:id="837"/>
      <w:bookmarkEnd w:id="838"/>
      <w:bookmarkEnd w:id="839"/>
      <w:bookmarkEnd w:id="840"/>
      <w:bookmarkEnd w:id="841"/>
      <w:bookmarkEnd w:id="842"/>
      <w:bookmarkEnd w:id="843"/>
      <w:bookmarkEnd w:id="844"/>
      <w:bookmarkEnd w:id="845"/>
      <w:bookmarkEnd w:id="846"/>
      <w:bookmarkEnd w:id="847"/>
    </w:p>
    <w:p w14:paraId="71315587" w14:textId="77777777" w:rsidR="00885B99" w:rsidRPr="00E83E52" w:rsidRDefault="00885B99" w:rsidP="00885B99">
      <w:r w:rsidRPr="00E83E52">
        <w:t>Icon-based Java applications are being used in a number of DFS implementations around the world.</w:t>
      </w:r>
      <w:r w:rsidRPr="00E83E52">
        <w:rPr>
          <w:rStyle w:val="FootnoteReference"/>
          <w:color w:val="000000" w:themeColor="text1"/>
          <w:szCs w:val="24"/>
        </w:rPr>
        <w:footnoteReference w:id="268"/>
      </w:r>
      <w:r w:rsidRPr="00E83E52">
        <w:t xml:space="preserve"> As menus are icon-based, this makes it easier for illiterate/semi</w:t>
      </w:r>
      <w:r w:rsidRPr="00E83E52">
        <w:rPr>
          <w:rFonts w:ascii="Cambria Math" w:hAnsi="Cambria Math" w:cs="Cambria Math"/>
        </w:rPr>
        <w:t>‐</w:t>
      </w:r>
      <w:r w:rsidRPr="00E83E52">
        <w:t>literate users to navigate D</w:t>
      </w:r>
      <w:r>
        <w:t>FS options presented in the UI.</w:t>
      </w:r>
    </w:p>
    <w:p w14:paraId="0CAB13DB" w14:textId="77777777" w:rsidR="00885B99" w:rsidRPr="005E4AA7" w:rsidRDefault="00885B99" w:rsidP="00885B99">
      <w:r w:rsidRPr="005E4AA7">
        <w:t>Technically, small</w:t>
      </w:r>
      <w:r>
        <w:rPr>
          <w:rStyle w:val="FootnoteReference"/>
          <w:color w:val="000000" w:themeColor="text1"/>
          <w:szCs w:val="24"/>
        </w:rPr>
        <w:footnoteReference w:id="269"/>
      </w:r>
      <w:r w:rsidRPr="005E4AA7">
        <w:t xml:space="preserve"> Java </w:t>
      </w:r>
      <w:r>
        <w:t>'</w:t>
      </w:r>
      <w:r w:rsidRPr="005E4AA7">
        <w:t>applets</w:t>
      </w:r>
      <w:r>
        <w:t>'</w:t>
      </w:r>
      <w:r w:rsidRPr="005E4AA7">
        <w:t xml:space="preserve"> are installed on compatible phones either via Bluetooth or OTA using WAP. The Bluetooth loading method – called </w:t>
      </w:r>
      <w:r>
        <w:t>'</w:t>
      </w:r>
      <w:r w:rsidRPr="005E4AA7">
        <w:t>sideloading</w:t>
      </w:r>
      <w:r w:rsidRPr="005E4AA7">
        <w:rPr>
          <w:rStyle w:val="FootnoteReference"/>
          <w:color w:val="000000" w:themeColor="text1"/>
          <w:szCs w:val="24"/>
        </w:rPr>
        <w:footnoteReference w:id="270"/>
      </w:r>
      <w:r w:rsidRPr="005E4AA7">
        <w:t xml:space="preserve"> – requires the consumer to have a phone that has Bluetooth and to travel to a DFS agent, who would load the applet onto the phone through Bluetooth transfer. In the alternative OTA method, the SP simply sends the user a WAP download link for the Java application via a simple plaintext SMS. The small amount of data required </w:t>
      </w:r>
      <w:r w:rsidRPr="005E4AA7">
        <w:lastRenderedPageBreak/>
        <w:t>for the OTA applet download to the handset can be zero-cost rated to the customer by a MNO or SP just for this applet download.</w:t>
      </w:r>
      <w:r w:rsidRPr="005E4AA7">
        <w:rPr>
          <w:rStyle w:val="FootnoteReference"/>
          <w:color w:val="000000" w:themeColor="text1"/>
          <w:szCs w:val="24"/>
        </w:rPr>
        <w:footnoteReference w:id="271"/>
      </w:r>
    </w:p>
    <w:p w14:paraId="1A257D1F" w14:textId="77777777" w:rsidR="00885B99" w:rsidRPr="00E83E52" w:rsidRDefault="00885B99" w:rsidP="00885B99">
      <w:r w:rsidRPr="005E4AA7">
        <w:t>Java-based DFS apps are generally more efficient and cheaper to operate than STK access to DFS, since multiple SMSs for facilitating transactions are usually not required: usually only one MO-SMS and one MT-SMS is required per transaction. And as Java applets mostly use bank-grade security using encryption up to and exceeding Payment Card Industry Data Security Standard (PCI</w:t>
      </w:r>
      <w:r w:rsidRPr="005E4AA7">
        <w:rPr>
          <w:rFonts w:ascii="Cambria Math" w:hAnsi="Cambria Math" w:cs="Cambria Math"/>
        </w:rPr>
        <w:t>‐</w:t>
      </w:r>
      <w:r w:rsidRPr="005E4AA7">
        <w:t>DSS),</w:t>
      </w:r>
      <w:r w:rsidRPr="005E4AA7">
        <w:rPr>
          <w:rStyle w:val="FootnoteReference"/>
          <w:color w:val="000000" w:themeColor="text1"/>
          <w:szCs w:val="24"/>
        </w:rPr>
        <w:footnoteReference w:id="272"/>
      </w:r>
      <w:r w:rsidRPr="005E4AA7">
        <w:t xml:space="preserve"> each transaction and maintenance SMS message is encrypted with a unique set of keys.</w:t>
      </w:r>
      <w:r w:rsidRPr="005E4AA7">
        <w:rPr>
          <w:rStyle w:val="FootnoteReference"/>
          <w:color w:val="000000" w:themeColor="text1"/>
          <w:szCs w:val="24"/>
        </w:rPr>
        <w:footnoteReference w:id="273"/>
      </w:r>
      <w:r w:rsidRPr="005E4AA7">
        <w:t xml:space="preserve"> Using Java applets, SPs are not reliant on an MNO for access, since no special MNO gateways are required. However, there is limited mass-market discovery and penetration because of the need to load the applet ont</w:t>
      </w:r>
      <w:r>
        <w:t>o a phone.</w:t>
      </w:r>
    </w:p>
    <w:p w14:paraId="2B3DC975" w14:textId="77777777" w:rsidR="00885B99" w:rsidRPr="00802FFD" w:rsidRDefault="00885B99" w:rsidP="00885B99">
      <w:pPr>
        <w:pStyle w:val="Heading2"/>
      </w:pPr>
      <w:bookmarkStart w:id="848" w:name="_Toc472443787"/>
      <w:bookmarkStart w:id="849" w:name="_Toc17799462"/>
      <w:bookmarkStart w:id="850" w:name="_Toc17881608"/>
      <w:bookmarkStart w:id="851" w:name="_Toc17882438"/>
      <w:bookmarkStart w:id="852" w:name="_Toc17882657"/>
      <w:bookmarkStart w:id="853" w:name="_Toc17882876"/>
      <w:bookmarkStart w:id="854" w:name="_Toc17883231"/>
      <w:bookmarkStart w:id="855" w:name="_Toc17892903"/>
      <w:bookmarkStart w:id="856" w:name="_Toc17893122"/>
      <w:bookmarkStart w:id="857" w:name="_Toc17893341"/>
      <w:bookmarkStart w:id="858" w:name="_Toc17894202"/>
      <w:bookmarkStart w:id="859" w:name="_Toc17894430"/>
      <w:bookmarkStart w:id="860" w:name="_Toc17969284"/>
      <w:r>
        <w:t>15.2</w:t>
      </w:r>
      <w:r>
        <w:tab/>
      </w:r>
      <w:r w:rsidRPr="00802FFD">
        <w:t>C</w:t>
      </w:r>
      <w:r>
        <w:t>ountry e</w:t>
      </w:r>
      <w:r w:rsidRPr="00802FFD">
        <w:t>xamples</w:t>
      </w:r>
      <w:bookmarkEnd w:id="848"/>
      <w:bookmarkEnd w:id="849"/>
      <w:bookmarkEnd w:id="850"/>
      <w:bookmarkEnd w:id="851"/>
      <w:bookmarkEnd w:id="852"/>
      <w:bookmarkEnd w:id="853"/>
      <w:bookmarkEnd w:id="854"/>
      <w:bookmarkEnd w:id="855"/>
      <w:bookmarkEnd w:id="856"/>
      <w:bookmarkEnd w:id="857"/>
      <w:bookmarkEnd w:id="858"/>
      <w:bookmarkEnd w:id="859"/>
      <w:bookmarkEnd w:id="860"/>
    </w:p>
    <w:p w14:paraId="7C665402" w14:textId="77777777" w:rsidR="00885B99" w:rsidRPr="00075BE7" w:rsidRDefault="00885B99" w:rsidP="00885B99">
      <w:pPr>
        <w:pStyle w:val="Headingb"/>
        <w:rPr>
          <w:i/>
        </w:rPr>
      </w:pPr>
      <w:r w:rsidRPr="00075BE7">
        <w:rPr>
          <w:i/>
        </w:rPr>
        <w:t>India</w:t>
      </w:r>
    </w:p>
    <w:p w14:paraId="7CB1CE01" w14:textId="77777777" w:rsidR="00885B99" w:rsidRPr="00E83E52" w:rsidRDefault="00885B99" w:rsidP="00885B99">
      <w:pPr>
        <w:rPr>
          <w:b/>
        </w:rPr>
      </w:pPr>
      <w:r w:rsidRPr="00E83E52">
        <w:t>State Bank of India</w:t>
      </w:r>
      <w:r>
        <w:t>'</w:t>
      </w:r>
      <w:r w:rsidRPr="00E83E52">
        <w:t>s uses a secure Java-based DFS application on a feature phone.</w:t>
      </w:r>
    </w:p>
    <w:p w14:paraId="4C38F12D" w14:textId="77777777" w:rsidR="00885B99" w:rsidRPr="00075BE7" w:rsidRDefault="00885B99" w:rsidP="00885B99">
      <w:pPr>
        <w:pStyle w:val="Headingb"/>
        <w:rPr>
          <w:i/>
        </w:rPr>
      </w:pPr>
      <w:r w:rsidRPr="00075BE7">
        <w:rPr>
          <w:i/>
        </w:rPr>
        <w:t>Nigeria</w:t>
      </w:r>
    </w:p>
    <w:p w14:paraId="3F892C15" w14:textId="77777777" w:rsidR="00885B99" w:rsidRDefault="00885B99" w:rsidP="00885B99">
      <w:r w:rsidRPr="00E83E52">
        <w:t>GT Bank uses a secure Java-based DFS application on a feature phone.</w:t>
      </w:r>
      <w:r w:rsidRPr="00E83E52">
        <w:rPr>
          <w:rStyle w:val="FootnoteReference"/>
          <w:color w:val="000000" w:themeColor="text1"/>
          <w:szCs w:val="24"/>
        </w:rPr>
        <w:footnoteReference w:id="274"/>
      </w:r>
    </w:p>
    <w:p w14:paraId="0C6CE837" w14:textId="77777777" w:rsidR="00885B99" w:rsidRPr="00E83E52" w:rsidRDefault="00885B99" w:rsidP="00885B99">
      <w:pPr>
        <w:pStyle w:val="Heading1"/>
      </w:pPr>
      <w:bookmarkStart w:id="861" w:name="_Toc472443788"/>
      <w:bookmarkStart w:id="862" w:name="_Toc17799463"/>
      <w:bookmarkStart w:id="863" w:name="_Toc17881609"/>
      <w:bookmarkStart w:id="864" w:name="_Toc17882439"/>
      <w:bookmarkStart w:id="865" w:name="_Toc17882658"/>
      <w:bookmarkStart w:id="866" w:name="_Toc17882877"/>
      <w:bookmarkStart w:id="867" w:name="_Toc17883232"/>
      <w:bookmarkStart w:id="868" w:name="_Toc17892904"/>
      <w:bookmarkStart w:id="869" w:name="_Toc17893123"/>
      <w:bookmarkStart w:id="870" w:name="_Toc17893342"/>
      <w:bookmarkStart w:id="871" w:name="_Toc17894203"/>
      <w:bookmarkStart w:id="872" w:name="_Toc17894431"/>
      <w:bookmarkStart w:id="873" w:name="_Toc17969285"/>
      <w:r>
        <w:t>16</w:t>
      </w:r>
      <w:r>
        <w:tab/>
      </w:r>
      <w:r w:rsidRPr="00E83E52">
        <w:t>Smartphone-based interfaces</w:t>
      </w:r>
      <w:bookmarkEnd w:id="861"/>
      <w:bookmarkEnd w:id="862"/>
      <w:bookmarkEnd w:id="863"/>
      <w:bookmarkEnd w:id="864"/>
      <w:bookmarkEnd w:id="865"/>
      <w:bookmarkEnd w:id="866"/>
      <w:bookmarkEnd w:id="867"/>
      <w:bookmarkEnd w:id="868"/>
      <w:bookmarkEnd w:id="869"/>
      <w:bookmarkEnd w:id="870"/>
      <w:bookmarkEnd w:id="871"/>
      <w:bookmarkEnd w:id="872"/>
      <w:bookmarkEnd w:id="873"/>
    </w:p>
    <w:p w14:paraId="49153D81" w14:textId="77777777" w:rsidR="00885B99" w:rsidRPr="00E83E52" w:rsidRDefault="00885B99" w:rsidP="00885B99">
      <w:pPr>
        <w:pStyle w:val="Heading1"/>
      </w:pPr>
      <w:bookmarkStart w:id="874" w:name="_Toc472443789"/>
      <w:bookmarkStart w:id="875" w:name="_Toc17799464"/>
      <w:bookmarkStart w:id="876" w:name="_Toc17881610"/>
      <w:bookmarkStart w:id="877" w:name="_Toc17882440"/>
      <w:bookmarkStart w:id="878" w:name="_Toc17882659"/>
      <w:bookmarkStart w:id="879" w:name="_Toc17882878"/>
      <w:bookmarkStart w:id="880" w:name="_Toc17883233"/>
      <w:bookmarkStart w:id="881" w:name="_Toc17892905"/>
      <w:bookmarkStart w:id="882" w:name="_Toc17893124"/>
      <w:bookmarkStart w:id="883" w:name="_Toc17893343"/>
      <w:bookmarkStart w:id="884" w:name="_Toc17894204"/>
      <w:bookmarkStart w:id="885" w:name="_Toc17894432"/>
      <w:bookmarkStart w:id="886" w:name="_Toc17969286"/>
      <w:r>
        <w:t>16.1</w:t>
      </w:r>
      <w:r>
        <w:tab/>
      </w:r>
      <w:r w:rsidRPr="00E83E52">
        <w:t>Overview</w:t>
      </w:r>
      <w:bookmarkEnd w:id="874"/>
      <w:bookmarkEnd w:id="875"/>
      <w:bookmarkEnd w:id="876"/>
      <w:bookmarkEnd w:id="877"/>
      <w:bookmarkEnd w:id="878"/>
      <w:bookmarkEnd w:id="879"/>
      <w:bookmarkEnd w:id="880"/>
      <w:bookmarkEnd w:id="881"/>
      <w:bookmarkEnd w:id="882"/>
      <w:bookmarkEnd w:id="883"/>
      <w:bookmarkEnd w:id="884"/>
      <w:bookmarkEnd w:id="885"/>
      <w:bookmarkEnd w:id="886"/>
    </w:p>
    <w:p w14:paraId="4EE54831" w14:textId="77777777" w:rsidR="00885B99" w:rsidRPr="00E83E52" w:rsidRDefault="00885B99" w:rsidP="00885B99">
      <w:r w:rsidRPr="00E83E52">
        <w:t>The first smartphone-based OTT apps for DFS in developing markets emerged around 2010</w:t>
      </w:r>
      <w:r w:rsidRPr="00E83E52">
        <w:rPr>
          <w:rStyle w:val="FootnoteReference"/>
          <w:color w:val="000000" w:themeColor="text1"/>
          <w:szCs w:val="24"/>
        </w:rPr>
        <w:footnoteReference w:id="275"/>
      </w:r>
      <w:r w:rsidRPr="00E83E52">
        <w:t xml:space="preserve"> and have grown in use as cheaper smartphones emerge. Compared to WAP, USSD, STK, and even Java apps, these apps provide a rich-media user experience that utilize smartphone device features that include large </w:t>
      </w:r>
      <w:r>
        <w:t>colour</w:t>
      </w:r>
      <w:r w:rsidRPr="00E83E52">
        <w:t xml:space="preserve"> screens, touch access, faster access through 3G, as well as more context-sensitive access to DFS services, including NFC-based merchant payments. Most run on Google</w:t>
      </w:r>
      <w:r>
        <w:t>'</w:t>
      </w:r>
      <w:r w:rsidRPr="00E83E52">
        <w:t>s Android Operating System (OS).</w:t>
      </w:r>
    </w:p>
    <w:p w14:paraId="4D0F60D5" w14:textId="5B89A079" w:rsidR="00885B99" w:rsidRPr="00E83E52" w:rsidRDefault="00885B99" w:rsidP="00885B99">
      <w:r w:rsidRPr="00E83E52">
        <w:t>There are, however, some caveats with OTT apps that are specific to the DFS ecosystem. For example, not all smartphones being sold in developing markets have 3G capabilities, often because the manufacturer wants to save on 3G chipset licensing costs in price-sensitive markets. Nor is 3G</w:t>
      </w:r>
      <w:r w:rsidR="000C3398">
        <w:t> </w:t>
      </w:r>
      <w:r w:rsidRPr="00E83E52">
        <w:t>mobile coverage always available.</w:t>
      </w:r>
      <w:r w:rsidRPr="00E83E52">
        <w:rPr>
          <w:vertAlign w:val="superscript"/>
        </w:rPr>
        <w:footnoteReference w:id="276"/>
      </w:r>
    </w:p>
    <w:p w14:paraId="6202ADD5" w14:textId="77777777" w:rsidR="00885B99" w:rsidRPr="00E83E52" w:rsidRDefault="00885B99" w:rsidP="00885B99">
      <w:r w:rsidRPr="00E83E52">
        <w:lastRenderedPageBreak/>
        <w:t>Another potentially limiting factor is that not all DFS apps are usable across all Android versions since design changes across Android versions are not necessarily backwards c</w:t>
      </w:r>
      <w:r>
        <w:t>ompatible to previous versions.</w:t>
      </w:r>
    </w:p>
    <w:p w14:paraId="1BD3B825" w14:textId="77777777" w:rsidR="00885B99" w:rsidRPr="00E83E52" w:rsidRDefault="00885B99" w:rsidP="00885B99">
      <w:r w:rsidRPr="00E83E52">
        <w:t>Using OTT apps, SPs are not reliant on an MNO for access, since no spe</w:t>
      </w:r>
      <w:r>
        <w:t>cial MNO gateways are required.</w:t>
      </w:r>
    </w:p>
    <w:p w14:paraId="244C2F45" w14:textId="77777777" w:rsidR="00885B99" w:rsidRPr="00E83E52" w:rsidRDefault="00885B99" w:rsidP="00885B99">
      <w:r w:rsidRPr="00E83E52">
        <w:t xml:space="preserve">There may be </w:t>
      </w:r>
      <w:r>
        <w:t>'</w:t>
      </w:r>
      <w:r w:rsidRPr="00E83E52">
        <w:t>net neutrality</w:t>
      </w:r>
      <w:r>
        <w:t>'</w:t>
      </w:r>
      <w:r w:rsidRPr="00E83E52">
        <w:t xml:space="preserve"> issues that could arise where the app access is throttled. Similarly, integration with APIs needed for the app to operate could be delayed or halted.</w:t>
      </w:r>
    </w:p>
    <w:p w14:paraId="19BE3D04" w14:textId="77777777" w:rsidR="00885B99" w:rsidRPr="00CC592C" w:rsidRDefault="00885B99" w:rsidP="00885B99">
      <w:pPr>
        <w:keepNext/>
        <w:keepLines/>
        <w:spacing w:before="240" w:after="120"/>
        <w:outlineLvl w:val="0"/>
        <w:rPr>
          <w:b/>
          <w:color w:val="000000" w:themeColor="text1"/>
          <w:szCs w:val="24"/>
        </w:rPr>
      </w:pPr>
      <w:bookmarkStart w:id="887" w:name="_Toc472443790"/>
      <w:bookmarkStart w:id="888" w:name="_Toc17799465"/>
      <w:r>
        <w:rPr>
          <w:b/>
          <w:color w:val="000000" w:themeColor="text1"/>
          <w:szCs w:val="24"/>
        </w:rPr>
        <w:t>17</w:t>
      </w:r>
      <w:r>
        <w:rPr>
          <w:b/>
          <w:color w:val="000000" w:themeColor="text1"/>
          <w:szCs w:val="24"/>
        </w:rPr>
        <w:tab/>
      </w:r>
      <w:r w:rsidRPr="00CC592C">
        <w:rPr>
          <w:b/>
          <w:color w:val="000000" w:themeColor="text1"/>
          <w:szCs w:val="24"/>
        </w:rPr>
        <w:t>Mobile virtual network operators</w:t>
      </w:r>
      <w:bookmarkEnd w:id="887"/>
      <w:bookmarkEnd w:id="888"/>
    </w:p>
    <w:p w14:paraId="323778DA" w14:textId="77777777" w:rsidR="00885B99" w:rsidRPr="00E83E52" w:rsidRDefault="00885B99" w:rsidP="00885B99">
      <w:pPr>
        <w:pStyle w:val="Heading2"/>
      </w:pPr>
      <w:bookmarkStart w:id="889" w:name="_Toc472443791"/>
      <w:bookmarkStart w:id="890" w:name="_Toc17799466"/>
      <w:bookmarkStart w:id="891" w:name="_Toc17881611"/>
      <w:bookmarkStart w:id="892" w:name="_Toc17882441"/>
      <w:bookmarkStart w:id="893" w:name="_Toc17882660"/>
      <w:bookmarkStart w:id="894" w:name="_Toc17882879"/>
      <w:bookmarkStart w:id="895" w:name="_Toc17883234"/>
      <w:bookmarkStart w:id="896" w:name="_Toc17892906"/>
      <w:bookmarkStart w:id="897" w:name="_Toc17893125"/>
      <w:bookmarkStart w:id="898" w:name="_Toc17893344"/>
      <w:bookmarkStart w:id="899" w:name="_Toc17894205"/>
      <w:bookmarkStart w:id="900" w:name="_Toc17894433"/>
      <w:bookmarkStart w:id="901" w:name="_Toc17969287"/>
      <w:r>
        <w:t>17.1</w:t>
      </w:r>
      <w:r>
        <w:tab/>
      </w:r>
      <w:r w:rsidRPr="00E83E52">
        <w:t>Overview</w:t>
      </w:r>
      <w:bookmarkEnd w:id="889"/>
      <w:bookmarkEnd w:id="890"/>
      <w:bookmarkEnd w:id="891"/>
      <w:bookmarkEnd w:id="892"/>
      <w:bookmarkEnd w:id="893"/>
      <w:bookmarkEnd w:id="894"/>
      <w:bookmarkEnd w:id="895"/>
      <w:bookmarkEnd w:id="896"/>
      <w:bookmarkEnd w:id="897"/>
      <w:bookmarkEnd w:id="898"/>
      <w:bookmarkEnd w:id="899"/>
      <w:bookmarkEnd w:id="900"/>
      <w:bookmarkEnd w:id="901"/>
    </w:p>
    <w:p w14:paraId="15241818" w14:textId="77777777" w:rsidR="00885B99" w:rsidRPr="00E83E52" w:rsidRDefault="00885B99" w:rsidP="00885B99">
      <w:r w:rsidRPr="00E83E52">
        <w:t xml:space="preserve">A number of banks around the world have expanded their business models to become what are called Mobile Virtual Network Operators </w:t>
      </w:r>
      <w:r>
        <w:t>(MVNOs).</w:t>
      </w:r>
    </w:p>
    <w:p w14:paraId="24BCFC7B" w14:textId="77777777" w:rsidR="00885B99" w:rsidRPr="00E83E52" w:rsidRDefault="00885B99" w:rsidP="00885B99">
      <w:r w:rsidRPr="00E83E52">
        <w:t xml:space="preserve">The bank then provides (mostly) mobile telecommunication services to its customers by piggy backing off the GSM infrastructure of a licensed MNO. This allows the bank to provide almost the same GSM-based facilities as the </w:t>
      </w:r>
      <w:r>
        <w:t>'</w:t>
      </w:r>
      <w:r w:rsidRPr="00E83E52">
        <w:t>home</w:t>
      </w:r>
      <w:r>
        <w:t>'</w:t>
      </w:r>
      <w:r w:rsidRPr="00E83E52">
        <w:t xml:space="preserve"> MNO it uses. For the MNO – usually a smaller MNO in a market – it is often a guaranteed income from the MVNO, usually in the form of a commitment by the MVNO to buy a set number of airtime minutes, SMSs or megabytes of data. The MVNO may issue its own full-size SIM card to its customers, or may use a Thin SIM which sticks on top of a customer</w:t>
      </w:r>
      <w:r>
        <w:t>'</w:t>
      </w:r>
      <w:r w:rsidRPr="00E83E52">
        <w:t xml:space="preserve">s own </w:t>
      </w:r>
      <w:r>
        <w:t>'</w:t>
      </w:r>
      <w:r w:rsidRPr="00E83E52">
        <w:t>home</w:t>
      </w:r>
      <w:r>
        <w:t>'</w:t>
      </w:r>
      <w:r w:rsidRPr="00E83E52">
        <w:t xml:space="preserve"> SIM. This allows the bank customer to use their current MNO for voice calls, but automatically switch to cheaper USSD or STK access when accessing their bank accounts via mobile access channels such as USSD or STK.</w:t>
      </w:r>
    </w:p>
    <w:p w14:paraId="012EB129" w14:textId="77777777" w:rsidR="00885B99" w:rsidRPr="00E83E52" w:rsidRDefault="00885B99" w:rsidP="00885B99">
      <w:r>
        <w:t>Although</w:t>
      </w:r>
      <w:r w:rsidRPr="00E83E52">
        <w:t xml:space="preserve"> in the developed world the primary reason a bank may become an MVNO is to create </w:t>
      </w:r>
      <w:r>
        <w:t>'</w:t>
      </w:r>
      <w:r w:rsidRPr="00E83E52">
        <w:t>stickiness</w:t>
      </w:r>
      <w:r>
        <w:t>'</w:t>
      </w:r>
      <w:r w:rsidRPr="00E83E52">
        <w:t xml:space="preserve"> with its clients so as to prevent customer churn, for banks in the developing world it appears to have become a matter of survival to compete on </w:t>
      </w:r>
      <w:r>
        <w:t xml:space="preserve">an </w:t>
      </w:r>
      <w:r w:rsidRPr="00E83E52">
        <w:t>almost equal footing against non-banks such as MNOs who may prov</w:t>
      </w:r>
      <w:r>
        <w:t>ide cheaper bank-like services.</w:t>
      </w:r>
    </w:p>
    <w:p w14:paraId="774F2764" w14:textId="77777777" w:rsidR="00885B99" w:rsidRPr="00E83E52" w:rsidRDefault="00885B99" w:rsidP="00885B99">
      <w:r w:rsidRPr="00E83E52">
        <w:t>Simply, the bank may need a cheaper access channel to provide similar services to its customers, and so will form a subsidiary to become an MVNO, a step often required by th</w:t>
      </w:r>
      <w:r>
        <w:t>e telecommunication regulator.</w:t>
      </w:r>
    </w:p>
    <w:p w14:paraId="32A71BB2" w14:textId="77777777" w:rsidR="00885B99" w:rsidRPr="00E83E52" w:rsidRDefault="00885B99" w:rsidP="00885B99">
      <w:r w:rsidRPr="00E83E52">
        <w:t>By partnering with another MNO, it allows the bank to access and use USSD, SMS or STK or any other facility offered at a far lower cost than the MNO the bank may primarily be competing with in their DFS product portfolios.</w:t>
      </w:r>
      <w:r>
        <w:rPr>
          <w:rStyle w:val="FootnoteReference"/>
          <w:color w:val="000000" w:themeColor="text1"/>
          <w:szCs w:val="24"/>
        </w:rPr>
        <w:footnoteReference w:id="277"/>
      </w:r>
    </w:p>
    <w:p w14:paraId="4FDE3E20" w14:textId="77777777" w:rsidR="00885B99" w:rsidRPr="00E83E52" w:rsidRDefault="00885B99" w:rsidP="00885B99">
      <w:pPr>
        <w:pStyle w:val="Heading2"/>
      </w:pPr>
      <w:bookmarkStart w:id="902" w:name="_Toc472443792"/>
      <w:bookmarkStart w:id="903" w:name="_Toc17799467"/>
      <w:bookmarkStart w:id="904" w:name="_Toc17881612"/>
      <w:bookmarkStart w:id="905" w:name="_Toc17882442"/>
      <w:bookmarkStart w:id="906" w:name="_Toc17882661"/>
      <w:bookmarkStart w:id="907" w:name="_Toc17882880"/>
      <w:bookmarkStart w:id="908" w:name="_Toc17883235"/>
      <w:bookmarkStart w:id="909" w:name="_Toc17892907"/>
      <w:bookmarkStart w:id="910" w:name="_Toc17893126"/>
      <w:bookmarkStart w:id="911" w:name="_Toc17893345"/>
      <w:bookmarkStart w:id="912" w:name="_Toc17894206"/>
      <w:bookmarkStart w:id="913" w:name="_Toc17894434"/>
      <w:bookmarkStart w:id="914" w:name="_Toc17969288"/>
      <w:r>
        <w:t>17.2</w:t>
      </w:r>
      <w:r>
        <w:tab/>
        <w:t>Country e</w:t>
      </w:r>
      <w:r w:rsidRPr="00E83E52">
        <w:t>xamples</w:t>
      </w:r>
      <w:bookmarkEnd w:id="902"/>
      <w:bookmarkEnd w:id="903"/>
      <w:bookmarkEnd w:id="904"/>
      <w:bookmarkEnd w:id="905"/>
      <w:bookmarkEnd w:id="906"/>
      <w:bookmarkEnd w:id="907"/>
      <w:bookmarkEnd w:id="908"/>
      <w:bookmarkEnd w:id="909"/>
      <w:bookmarkEnd w:id="910"/>
      <w:bookmarkEnd w:id="911"/>
      <w:bookmarkEnd w:id="912"/>
      <w:bookmarkEnd w:id="913"/>
      <w:bookmarkEnd w:id="914"/>
    </w:p>
    <w:p w14:paraId="1C022FE3" w14:textId="77777777" w:rsidR="00885B99" w:rsidRPr="00075BE7" w:rsidRDefault="00885B99" w:rsidP="00885B99">
      <w:pPr>
        <w:pStyle w:val="Headingb"/>
        <w:rPr>
          <w:i/>
        </w:rPr>
      </w:pPr>
      <w:r w:rsidRPr="00075BE7">
        <w:rPr>
          <w:i/>
        </w:rPr>
        <w:t>Colombia</w:t>
      </w:r>
    </w:p>
    <w:p w14:paraId="1AF3DE46" w14:textId="77777777" w:rsidR="00885B99" w:rsidRPr="00E83E52" w:rsidRDefault="00885B99" w:rsidP="00885B99">
      <w:r w:rsidRPr="00E83E52">
        <w:t>Bank BanColombia entered the telecommunication market by acquiring a majority share of MVNO</w:t>
      </w:r>
      <w:r>
        <w:t> </w:t>
      </w:r>
      <w:r w:rsidRPr="00E83E52">
        <w:rPr>
          <w:i/>
          <w:iCs/>
        </w:rPr>
        <w:t>Uff</w:t>
      </w:r>
      <w:r>
        <w:t>!.</w:t>
      </w:r>
    </w:p>
    <w:p w14:paraId="18A2EFDC" w14:textId="77777777" w:rsidR="00885B99" w:rsidRPr="00075BE7" w:rsidRDefault="00885B99" w:rsidP="00885B99">
      <w:pPr>
        <w:pStyle w:val="Headingb"/>
        <w:rPr>
          <w:i/>
        </w:rPr>
      </w:pPr>
      <w:r w:rsidRPr="00075BE7">
        <w:rPr>
          <w:i/>
        </w:rPr>
        <w:lastRenderedPageBreak/>
        <w:t>Kenya</w:t>
      </w:r>
    </w:p>
    <w:p w14:paraId="3DD888E3" w14:textId="53071AE9" w:rsidR="00885B99" w:rsidRPr="00E83E52" w:rsidRDefault="00885B99" w:rsidP="00885B99">
      <w:pPr>
        <w:keepNext/>
        <w:keepLines/>
      </w:pPr>
      <w:r w:rsidRPr="00E83E52">
        <w:t>As noted above, licensed Kenyan MVNO Equitel</w:t>
      </w:r>
      <w:r w:rsidRPr="00E83E52">
        <w:rPr>
          <w:rStyle w:val="FootnoteReference"/>
          <w:color w:val="000000" w:themeColor="text1"/>
          <w:szCs w:val="24"/>
        </w:rPr>
        <w:footnoteReference w:id="278"/>
      </w:r>
      <w:r w:rsidRPr="00E83E52">
        <w:t xml:space="preserve"> – the telecommunication arm of Equity Bank – uses its thin SIM technology to bypass market leading MNO Safaricom, using instead cheaper bearer services from Safaricom competitor Airtel.</w:t>
      </w:r>
      <w:r w:rsidRPr="00E83E52">
        <w:rPr>
          <w:vertAlign w:val="superscript"/>
        </w:rPr>
        <w:footnoteReference w:id="279"/>
      </w:r>
      <w:r w:rsidRPr="00E83E52">
        <w:t xml:space="preserve"> Equity Bank has also begun to loan Equitel subscribers money to buy dual SIM smartphones.</w:t>
      </w:r>
      <w:r w:rsidRPr="00E83E52">
        <w:rPr>
          <w:rStyle w:val="FootnoteReference"/>
          <w:color w:val="000000" w:themeColor="text1"/>
          <w:szCs w:val="24"/>
        </w:rPr>
        <w:footnoteReference w:id="280"/>
      </w:r>
      <w:r w:rsidRPr="00E83E52">
        <w:t xml:space="preserve"> Safaricom reportedly lowered many of its transaction fees in response to the emergence of Equitel.</w:t>
      </w:r>
      <w:r w:rsidRPr="00E83E52">
        <w:rPr>
          <w:rStyle w:val="FootnoteReference"/>
          <w:color w:val="000000" w:themeColor="text1"/>
          <w:szCs w:val="24"/>
        </w:rPr>
        <w:footnoteReference w:id="281"/>
      </w:r>
      <w:r w:rsidRPr="00E83E52">
        <w:t xml:space="preserve"> As of mid-2016. Equitel had over 2m</w:t>
      </w:r>
      <w:r w:rsidR="000C3398">
        <w:t> </w:t>
      </w:r>
      <w:r w:rsidRPr="00E83E52">
        <w:t>million subscribers.</w:t>
      </w:r>
      <w:r w:rsidRPr="00E83E52">
        <w:rPr>
          <w:rStyle w:val="FootnoteReference"/>
          <w:color w:val="000000" w:themeColor="text1"/>
          <w:szCs w:val="24"/>
        </w:rPr>
        <w:footnoteReference w:id="282"/>
      </w:r>
    </w:p>
    <w:p w14:paraId="37084E9F" w14:textId="77777777" w:rsidR="00885B99" w:rsidRPr="003431DF" w:rsidRDefault="00885B99" w:rsidP="00885B99">
      <w:pPr>
        <w:pStyle w:val="Headingb"/>
        <w:rPr>
          <w:i/>
        </w:rPr>
      </w:pPr>
      <w:r w:rsidRPr="003431DF">
        <w:rPr>
          <w:i/>
        </w:rPr>
        <w:t>South Africa</w:t>
      </w:r>
    </w:p>
    <w:p w14:paraId="54BD01A7" w14:textId="77777777" w:rsidR="00885B99" w:rsidRPr="00E83E52" w:rsidRDefault="00885B99" w:rsidP="00885B99">
      <w:r w:rsidRPr="00E83E52">
        <w:t>First National Bank, one of the largest retail banks in South Africa, in 2015 launched its own MVNO using its own SIM and billing systems.</w:t>
      </w:r>
      <w:r w:rsidRPr="00E83E52">
        <w:rPr>
          <w:rStyle w:val="FootnoteReference"/>
          <w:color w:val="000000" w:themeColor="text1"/>
          <w:szCs w:val="24"/>
        </w:rPr>
        <w:footnoteReference w:id="283"/>
      </w:r>
    </w:p>
    <w:p w14:paraId="71F53FFA" w14:textId="77777777" w:rsidR="00885B99" w:rsidRPr="00CC592C" w:rsidRDefault="00885B99" w:rsidP="00885B99">
      <w:pPr>
        <w:pStyle w:val="Heading1"/>
      </w:pPr>
      <w:bookmarkStart w:id="915" w:name="_Toc472443793"/>
      <w:bookmarkStart w:id="916" w:name="_Toc17799468"/>
      <w:bookmarkStart w:id="917" w:name="_Toc17881613"/>
      <w:bookmarkStart w:id="918" w:name="_Toc17882443"/>
      <w:bookmarkStart w:id="919" w:name="_Toc17882662"/>
      <w:bookmarkStart w:id="920" w:name="_Toc17882881"/>
      <w:bookmarkStart w:id="921" w:name="_Toc17883236"/>
      <w:bookmarkStart w:id="922" w:name="_Toc17892908"/>
      <w:bookmarkStart w:id="923" w:name="_Toc17893127"/>
      <w:bookmarkStart w:id="924" w:name="_Toc17893346"/>
      <w:bookmarkStart w:id="925" w:name="_Toc17894207"/>
      <w:bookmarkStart w:id="926" w:name="_Toc17894435"/>
      <w:bookmarkStart w:id="927" w:name="_Toc17969289"/>
      <w:r>
        <w:t>18</w:t>
      </w:r>
      <w:r>
        <w:tab/>
        <w:t xml:space="preserve">New payment rails and </w:t>
      </w:r>
      <w:r w:rsidRPr="00CC592C">
        <w:t>interfaces</w:t>
      </w:r>
      <w:bookmarkEnd w:id="915"/>
      <w:bookmarkEnd w:id="916"/>
      <w:bookmarkEnd w:id="917"/>
      <w:bookmarkEnd w:id="918"/>
      <w:bookmarkEnd w:id="919"/>
      <w:bookmarkEnd w:id="920"/>
      <w:bookmarkEnd w:id="921"/>
      <w:bookmarkEnd w:id="922"/>
      <w:bookmarkEnd w:id="923"/>
      <w:bookmarkEnd w:id="924"/>
      <w:bookmarkEnd w:id="925"/>
      <w:bookmarkEnd w:id="926"/>
      <w:bookmarkEnd w:id="927"/>
    </w:p>
    <w:p w14:paraId="68A451A1" w14:textId="77777777" w:rsidR="00885B99" w:rsidRPr="00E83E52" w:rsidRDefault="00885B99" w:rsidP="00885B99">
      <w:pPr>
        <w:pStyle w:val="Heading2"/>
      </w:pPr>
      <w:bookmarkStart w:id="928" w:name="_Toc472443794"/>
      <w:bookmarkStart w:id="929" w:name="_Toc17799469"/>
      <w:bookmarkStart w:id="930" w:name="_Toc17881614"/>
      <w:bookmarkStart w:id="931" w:name="_Toc17882444"/>
      <w:bookmarkStart w:id="932" w:name="_Toc17882663"/>
      <w:bookmarkStart w:id="933" w:name="_Toc17882882"/>
      <w:bookmarkStart w:id="934" w:name="_Toc17883237"/>
      <w:bookmarkStart w:id="935" w:name="_Toc17892909"/>
      <w:bookmarkStart w:id="936" w:name="_Toc17893128"/>
      <w:bookmarkStart w:id="937" w:name="_Toc17893347"/>
      <w:bookmarkStart w:id="938" w:name="_Toc17894208"/>
      <w:bookmarkStart w:id="939" w:name="_Toc17894436"/>
      <w:bookmarkStart w:id="940" w:name="_Toc17969290"/>
      <w:r>
        <w:t>18.1</w:t>
      </w:r>
      <w:r>
        <w:tab/>
      </w:r>
      <w:r w:rsidRPr="00E83E52">
        <w:t>Overview</w:t>
      </w:r>
      <w:bookmarkEnd w:id="928"/>
      <w:bookmarkEnd w:id="929"/>
      <w:bookmarkEnd w:id="930"/>
      <w:bookmarkEnd w:id="931"/>
      <w:bookmarkEnd w:id="932"/>
      <w:bookmarkEnd w:id="933"/>
      <w:bookmarkEnd w:id="934"/>
      <w:bookmarkEnd w:id="935"/>
      <w:bookmarkEnd w:id="936"/>
      <w:bookmarkEnd w:id="937"/>
      <w:bookmarkEnd w:id="938"/>
      <w:bookmarkEnd w:id="939"/>
      <w:bookmarkEnd w:id="940"/>
    </w:p>
    <w:p w14:paraId="02DC786A" w14:textId="77777777" w:rsidR="00885B99" w:rsidRPr="00E83E52" w:rsidRDefault="00885B99" w:rsidP="00885B99">
      <w:r w:rsidRPr="00E83E52">
        <w:t>As noted above, access to payments infrastructure is often unavailable to entities, or if it is, is not at FRAND terms. While bank-based models of DFS have faced most favorable conditions in integrating with payments infrastructure, situations may arise where a non-bank incumbent has such large market penetration, that the accessing of their large customer base by banks and other non-bank PSPs, or at FRAND terms without regulatory intervention, is challenging. There could also be challenges in accessing card networks or due to the excessive costs relative to the amounts transacte</w:t>
      </w:r>
      <w:r>
        <w:t>d in relation to card networks.</w:t>
      </w:r>
    </w:p>
    <w:p w14:paraId="5F0435B3" w14:textId="77777777" w:rsidR="00885B99" w:rsidRPr="00E83E52" w:rsidRDefault="00885B99" w:rsidP="00885B99">
      <w:r w:rsidRPr="00E83E52">
        <w:t>In all cases, developing enabling payment switches using existing technologies and standards, or introducing new alternative, technologies such as Distributed Ledger Technology (DLT) are seen as solutions for both actual access and for lower access fees. These are shown in the country examples below.</w:t>
      </w:r>
    </w:p>
    <w:p w14:paraId="3F8D00E7" w14:textId="77777777" w:rsidR="00885B99" w:rsidRPr="00E83E52" w:rsidRDefault="00885B99" w:rsidP="00885B99">
      <w:r w:rsidRPr="00E83E52">
        <w:t>DLT</w:t>
      </w:r>
      <w:r w:rsidRPr="00E83E52">
        <w:rPr>
          <w:rStyle w:val="FootnoteReference"/>
          <w:color w:val="000000" w:themeColor="text1"/>
          <w:szCs w:val="24"/>
        </w:rPr>
        <w:footnoteReference w:id="284"/>
      </w:r>
      <w:r w:rsidRPr="00E83E52">
        <w:t xml:space="preserve"> in particular is a new type of secure database or ledger that is shared across multiple sites, countries or institutions with no centralized controller. In essence, this is a new way of keeping track of who owns a financial, physical or an electronic asset. A primary incarnation is blockchain technology. All blockchains operate by taking a number of records and putting them in a block and then chaining that block to the next block using a cryptographic signature. While the data (blocks) are stored one after the other in a continuous ledger, they can only be added when the participants reach a quorum (consensus) over their validity. Each record is time/date stamped and provided with a unique cryptographic signature, which is designed to ensure the authenticity and integrity of the </w:t>
      </w:r>
      <w:r w:rsidRPr="00E83E52">
        <w:lastRenderedPageBreak/>
        <w:t>ledger. This distributed design eliminates the need for a central authority or intermediary to process, validate or auth</w:t>
      </w:r>
      <w:r>
        <w:t>enticate transactions and data.</w:t>
      </w:r>
    </w:p>
    <w:p w14:paraId="1F68657A" w14:textId="77777777" w:rsidR="00885B99" w:rsidRPr="00E83E52" w:rsidRDefault="00885B99" w:rsidP="00885B99">
      <w:r w:rsidRPr="00E83E52">
        <w:t xml:space="preserve">One prominent DLT application has been through the crypto currency Bitcoin, which uses blockchains to be cheap and fast international remittances, to a large extent bypassing bank and MNO DFS systems, and simply using MNO bearer infrastructure to facilitate transactions using either </w:t>
      </w:r>
      <w:r>
        <w:t>feature phones or smart phones.</w:t>
      </w:r>
    </w:p>
    <w:p w14:paraId="0309BEB5" w14:textId="77777777" w:rsidR="00885B99" w:rsidRPr="00E83E52" w:rsidRDefault="00885B99" w:rsidP="00885B99">
      <w:r w:rsidRPr="00E83E52">
        <w:t>At a broader, alternate infrastructure level, DLT is being used to create alternate settlement transaction interfaces, aiming to replace for example the international SWIFT and other local centralized payment switches. Under development is the Corda DLT, a DLT technology offered by</w:t>
      </w:r>
      <w:r>
        <w:t> </w:t>
      </w:r>
      <w:r w:rsidRPr="00E83E52">
        <w:t>R3, a consortium of more than 70 of the world</w:t>
      </w:r>
      <w:r>
        <w:t>'s</w:t>
      </w:r>
      <w:r w:rsidRPr="00E83E52">
        <w:t xml:space="preserve"> biggest financial institutions in research and development of blockchain database usage in the financial system. Similarly, Fuzzo has developed BitSIM, a thin SIM technology with a Java applet into a secure Bitcoin mobile wallet.</w:t>
      </w:r>
      <w:r>
        <w:rPr>
          <w:rStyle w:val="FootnoteReference"/>
          <w:color w:val="000000" w:themeColor="text1"/>
          <w:szCs w:val="24"/>
        </w:rPr>
        <w:footnoteReference w:id="285"/>
      </w:r>
      <w:r w:rsidRPr="00E83E52">
        <w:t xml:space="preserve"> Blockchain technology built into the system reportedly gives regulators real-time access to transactions data for regtech purposes.</w:t>
      </w:r>
    </w:p>
    <w:p w14:paraId="27E5E0E0" w14:textId="77777777" w:rsidR="00885B99" w:rsidRPr="00E83E52" w:rsidRDefault="00885B99" w:rsidP="00885B99">
      <w:pPr>
        <w:pStyle w:val="Heading2"/>
      </w:pPr>
      <w:bookmarkStart w:id="941" w:name="_Toc17799470"/>
      <w:bookmarkStart w:id="942" w:name="_Toc17881615"/>
      <w:bookmarkStart w:id="943" w:name="_Toc17882445"/>
      <w:bookmarkStart w:id="944" w:name="_Toc17882664"/>
      <w:bookmarkStart w:id="945" w:name="_Toc17882883"/>
      <w:bookmarkStart w:id="946" w:name="_Toc17883238"/>
      <w:bookmarkStart w:id="947" w:name="_Toc17892910"/>
      <w:bookmarkStart w:id="948" w:name="_Toc17893129"/>
      <w:bookmarkStart w:id="949" w:name="_Toc17893348"/>
      <w:bookmarkStart w:id="950" w:name="_Toc17894209"/>
      <w:bookmarkStart w:id="951" w:name="_Toc17894437"/>
      <w:bookmarkStart w:id="952" w:name="_Toc17969291"/>
      <w:r>
        <w:t>18.2</w:t>
      </w:r>
      <w:r>
        <w:tab/>
        <w:t>Country e</w:t>
      </w:r>
      <w:r w:rsidRPr="00E83E52">
        <w:t>xamples</w:t>
      </w:r>
      <w:bookmarkEnd w:id="941"/>
      <w:bookmarkEnd w:id="942"/>
      <w:bookmarkEnd w:id="943"/>
      <w:bookmarkEnd w:id="944"/>
      <w:bookmarkEnd w:id="945"/>
      <w:bookmarkEnd w:id="946"/>
      <w:bookmarkEnd w:id="947"/>
      <w:bookmarkEnd w:id="948"/>
      <w:bookmarkEnd w:id="949"/>
      <w:bookmarkEnd w:id="950"/>
      <w:bookmarkEnd w:id="951"/>
      <w:bookmarkEnd w:id="952"/>
    </w:p>
    <w:p w14:paraId="38F0B0EB" w14:textId="77777777" w:rsidR="00885B99" w:rsidRPr="003431DF" w:rsidRDefault="00885B99" w:rsidP="00885B99">
      <w:pPr>
        <w:pStyle w:val="Headingb"/>
        <w:rPr>
          <w:i/>
        </w:rPr>
      </w:pPr>
      <w:r w:rsidRPr="003431DF">
        <w:rPr>
          <w:i/>
        </w:rPr>
        <w:t>India</w:t>
      </w:r>
    </w:p>
    <w:p w14:paraId="04BFF30D" w14:textId="77777777" w:rsidR="00885B99" w:rsidRPr="00E83E52" w:rsidRDefault="00885B99" w:rsidP="00885B99">
      <w:r w:rsidRPr="00E83E52">
        <w:t xml:space="preserve">The Government of </w:t>
      </w:r>
      <w:r>
        <w:t xml:space="preserve">India </w:t>
      </w:r>
      <w:r w:rsidRPr="00E83E52">
        <w:t>in December 2016 launched BHIM (Bharat Interface for Money), a rebranded version of UPI (Unified Payment Interface) to minimize what it said was the outsize role in the Indian economy of magstripe and EMV-based General Purpose Reloadable plastic cards and POS devices, and concomitantly to remove or reduce the need to connect to card switches such as those from Visa and Mastercard. The BHIM app is linked to the national Aadhaar biometric identity system. Merchants download the merchant app to their smartphones, which are in turn connected to a biometric reader. When transacting, customers input their Aadha</w:t>
      </w:r>
      <w:r>
        <w:t>a</w:t>
      </w:r>
      <w:r w:rsidRPr="00E83E52">
        <w:t>r number in the merchant smartphone, select the bank to be used for payment, and do a biometric scan to be authenticated. There is no need to carry a phone or Aadha</w:t>
      </w:r>
      <w:r>
        <w:t>a</w:t>
      </w:r>
      <w:r w:rsidRPr="00E83E52">
        <w:t>r card to make a payment. The app also allows you to scan a QR code. The system also allows merchants to generate their ow</w:t>
      </w:r>
      <w:r>
        <w:t>n QR code through the BHIM app.</w:t>
      </w:r>
    </w:p>
    <w:p w14:paraId="52DBFEBB" w14:textId="77777777" w:rsidR="00885B99" w:rsidRPr="00E83E52" w:rsidRDefault="00885B99" w:rsidP="00885B99">
      <w:r w:rsidRPr="00E83E52">
        <w:t>While all UPI-connected banks accept BHIM, banks not connected to UPI can receive money through BHIM through IFSC, a 11-digit code assigned to every bank branch by the RBI.</w:t>
      </w:r>
      <w:r w:rsidRPr="00E83E52">
        <w:rPr>
          <w:rStyle w:val="FootnoteReference"/>
          <w:color w:val="000000" w:themeColor="text1"/>
          <w:szCs w:val="24"/>
        </w:rPr>
        <w:footnoteReference w:id="286"/>
      </w:r>
      <w:r w:rsidRPr="00E83E52">
        <w:t xml:space="preserve"> However, BHIM was launched by NPCI, the sole payment infrastructure provider. Concerns have been raised with respect to infrastructure providers using its dominance to push BHIM, which competes with applications of banks and non-banks.</w:t>
      </w:r>
    </w:p>
    <w:p w14:paraId="5CC830EF" w14:textId="77777777" w:rsidR="00885B99" w:rsidRPr="000D7BA2" w:rsidRDefault="00885B99" w:rsidP="00885B99">
      <w:pPr>
        <w:pStyle w:val="Headingb"/>
        <w:rPr>
          <w:i/>
        </w:rPr>
      </w:pPr>
      <w:r w:rsidRPr="000D7BA2">
        <w:rPr>
          <w:i/>
        </w:rPr>
        <w:lastRenderedPageBreak/>
        <w:t>Kenya</w:t>
      </w:r>
    </w:p>
    <w:p w14:paraId="070A3B56" w14:textId="3E6B874E" w:rsidR="00885B99" w:rsidRPr="00E83E52" w:rsidRDefault="00885B99" w:rsidP="00885B99">
      <w:pPr>
        <w:keepNext/>
        <w:keepLines/>
      </w:pPr>
      <w:r w:rsidRPr="00E83E52">
        <w:t>The Kenya Bankers Association formed the Integrated Payments Service Limited, a company that will facilitate direct transfer of money between banks through their own bank to bank Real Time Interbank Switch. They indicate that the need arose for banks to bypass Safaricom</w:t>
      </w:r>
      <w:r>
        <w:t>'</w:t>
      </w:r>
      <w:r w:rsidRPr="00E83E52">
        <w:t>s M-PESA, the market leader, for P2P transactions. Consumers will register their phone number with their bank, indicating a nominated account to be linked to be used for transactions initiation and notifications purposes.</w:t>
      </w:r>
      <w:r w:rsidR="00A70083">
        <w:rPr>
          <w:rStyle w:val="FootnoteReference"/>
        </w:rPr>
        <w:footnoteReference w:id="287"/>
      </w:r>
      <w:r w:rsidRPr="00E83E52">
        <w:t xml:space="preserve"> The switch will also maintain the look-up table, provide guidance for processing fees and set up SMS and e-mail notification template preparation for alerts.</w:t>
      </w:r>
      <w:r w:rsidR="00A70083">
        <w:rPr>
          <w:rStyle w:val="FootnoteReference"/>
        </w:rPr>
        <w:footnoteReference w:id="288"/>
      </w:r>
      <w:r w:rsidRPr="00E83E52">
        <w:t xml:space="preserve"> The launch of the switch has repeatedly been delayed however, most recently due to apparent delays in regulatory approvals.</w:t>
      </w:r>
      <w:r w:rsidRPr="00E83E52">
        <w:rPr>
          <w:rStyle w:val="FootnoteReference"/>
          <w:color w:val="000000" w:themeColor="text1"/>
          <w:szCs w:val="24"/>
        </w:rPr>
        <w:footnoteReference w:id="289"/>
      </w:r>
    </w:p>
    <w:p w14:paraId="2E93050C" w14:textId="77777777" w:rsidR="00885B99" w:rsidRPr="00E83E52" w:rsidRDefault="00885B99" w:rsidP="00885B99">
      <w:pPr>
        <w:spacing w:after="120"/>
        <w:rPr>
          <w:color w:val="000000" w:themeColor="text1"/>
          <w:szCs w:val="24"/>
        </w:rPr>
      </w:pPr>
      <w:r w:rsidRPr="00E83E52">
        <w:rPr>
          <w:color w:val="000000" w:themeColor="text1"/>
          <w:szCs w:val="24"/>
        </w:rPr>
        <w:t xml:space="preserve">Safaricom at the end of 2016 indicated however that </w:t>
      </w:r>
      <w:r>
        <w:rPr>
          <w:color w:val="000000" w:themeColor="text1"/>
          <w:szCs w:val="24"/>
        </w:rPr>
        <w:t>'</w:t>
      </w:r>
      <w:r w:rsidRPr="00E83E52">
        <w:rPr>
          <w:color w:val="000000" w:themeColor="text1"/>
          <w:szCs w:val="24"/>
        </w:rPr>
        <w:t>it is in discussions with five companies</w:t>
      </w:r>
      <w:r>
        <w:rPr>
          <w:color w:val="000000" w:themeColor="text1"/>
          <w:szCs w:val="24"/>
        </w:rPr>
        <w:t>'</w:t>
      </w:r>
      <w:r w:rsidRPr="00E83E52">
        <w:rPr>
          <w:color w:val="000000" w:themeColor="text1"/>
          <w:szCs w:val="24"/>
        </w:rPr>
        <w:t xml:space="preserve"> to broaden the availability of M-Pesa services though interoperability.</w:t>
      </w:r>
      <w:r w:rsidRPr="00E83E52">
        <w:rPr>
          <w:rStyle w:val="FootnoteReference"/>
          <w:color w:val="000000" w:themeColor="text1"/>
          <w:szCs w:val="24"/>
        </w:rPr>
        <w:footnoteReference w:id="290"/>
      </w:r>
    </w:p>
    <w:p w14:paraId="593556AE" w14:textId="77777777" w:rsidR="00885B99" w:rsidRPr="00587B01" w:rsidRDefault="00885B99" w:rsidP="00885B99">
      <w:pPr>
        <w:shd w:val="clear" w:color="auto" w:fill="FFFFFF"/>
        <w:spacing w:before="240" w:after="120"/>
        <w:rPr>
          <w:b/>
          <w:i/>
          <w:iCs/>
          <w:color w:val="000000" w:themeColor="text1"/>
          <w:szCs w:val="24"/>
        </w:rPr>
      </w:pPr>
      <w:r w:rsidRPr="00587B01">
        <w:rPr>
          <w:b/>
          <w:i/>
          <w:iCs/>
          <w:color w:val="000000" w:themeColor="text1"/>
          <w:szCs w:val="24"/>
        </w:rPr>
        <w:t>Philippines, Mexico, Kenya</w:t>
      </w:r>
    </w:p>
    <w:p w14:paraId="6E4B2953" w14:textId="77777777" w:rsidR="00885B99" w:rsidRPr="00E83E52" w:rsidRDefault="00885B99" w:rsidP="00885B99">
      <w:r w:rsidRPr="00E83E52">
        <w:t>Coins.ph, Abra, Bitpesa and Bitso are some of the DLT and Bitcoin-based startups targeting the remittance market component of DFS. Many claim to have less of a forex risk, have faster transactions times and lower transaction fees.</w:t>
      </w:r>
      <w:r w:rsidRPr="00E83E52">
        <w:rPr>
          <w:rStyle w:val="FootnoteReference"/>
          <w:color w:val="000000" w:themeColor="text1"/>
          <w:szCs w:val="24"/>
        </w:rPr>
        <w:footnoteReference w:id="291"/>
      </w:r>
      <w:r w:rsidRPr="00E83E52">
        <w:t xml:space="preserve"> They bypass the traditional payment and switching </w:t>
      </w:r>
      <w:r>
        <w:t>'</w:t>
      </w:r>
      <w:r w:rsidRPr="00E83E52">
        <w:t>rails</w:t>
      </w:r>
      <w:r>
        <w:t>'</w:t>
      </w:r>
      <w:r w:rsidRPr="00E83E52">
        <w:t xml:space="preserve"> for international funds transfers but still need to be integrated into local infrastructure components and are subject to local </w:t>
      </w:r>
      <w:r>
        <w:t>anti-money laundering (</w:t>
      </w:r>
      <w:r w:rsidRPr="00E83E52">
        <w:t>AML</w:t>
      </w:r>
      <w:r>
        <w:t>)</w:t>
      </w:r>
      <w:r w:rsidRPr="00E83E52">
        <w:t xml:space="preserve"> regulations to do cas</w:t>
      </w:r>
      <w:r>
        <w:t>h in and cash out from Bitcoin.</w:t>
      </w:r>
    </w:p>
    <w:p w14:paraId="547D465E" w14:textId="77777777" w:rsidR="00885B99" w:rsidRDefault="00885B99" w:rsidP="00885B99">
      <w:pPr>
        <w:tabs>
          <w:tab w:val="clear" w:pos="794"/>
          <w:tab w:val="clear" w:pos="1191"/>
          <w:tab w:val="clear" w:pos="1588"/>
          <w:tab w:val="clear" w:pos="1985"/>
        </w:tabs>
        <w:overflowPunct/>
        <w:autoSpaceDE/>
        <w:autoSpaceDN/>
        <w:adjustRightInd/>
        <w:spacing w:before="0"/>
        <w:jc w:val="left"/>
        <w:textAlignment w:val="auto"/>
        <w:rPr>
          <w:b/>
          <w:color w:val="000000" w:themeColor="text1"/>
          <w:szCs w:val="24"/>
        </w:rPr>
      </w:pPr>
      <w:bookmarkStart w:id="953" w:name="_Toc466977705"/>
      <w:bookmarkStart w:id="954" w:name="_Toc466980101"/>
      <w:bookmarkStart w:id="955" w:name="_Toc466980413"/>
      <w:bookmarkStart w:id="956" w:name="_Toc466980520"/>
      <w:bookmarkStart w:id="957" w:name="_Toc466980615"/>
      <w:bookmarkStart w:id="958" w:name="_Toc466980827"/>
      <w:bookmarkStart w:id="959" w:name="_Toc466980934"/>
      <w:bookmarkStart w:id="960" w:name="_Toc466981215"/>
      <w:bookmarkStart w:id="961" w:name="_Toc466981429"/>
      <w:bookmarkStart w:id="962" w:name="_Toc466981536"/>
      <w:bookmarkStart w:id="963" w:name="_Toc466981931"/>
      <w:bookmarkStart w:id="964" w:name="_Toc466982397"/>
      <w:bookmarkStart w:id="965" w:name="_Toc466982811"/>
      <w:bookmarkStart w:id="966" w:name="_Toc466982919"/>
      <w:bookmarkStart w:id="967" w:name="_Toc466983027"/>
      <w:bookmarkStart w:id="968" w:name="_Toc466983135"/>
      <w:bookmarkStart w:id="969" w:name="_Toc466977706"/>
      <w:bookmarkStart w:id="970" w:name="_Toc466980102"/>
      <w:bookmarkStart w:id="971" w:name="_Toc466980414"/>
      <w:bookmarkStart w:id="972" w:name="_Toc466980521"/>
      <w:bookmarkStart w:id="973" w:name="_Toc466980616"/>
      <w:bookmarkStart w:id="974" w:name="_Toc466980828"/>
      <w:bookmarkStart w:id="975" w:name="_Toc466980935"/>
      <w:bookmarkStart w:id="976" w:name="_Toc466981216"/>
      <w:bookmarkStart w:id="977" w:name="_Toc466981430"/>
      <w:bookmarkStart w:id="978" w:name="_Toc466981537"/>
      <w:bookmarkStart w:id="979" w:name="_Toc466981932"/>
      <w:bookmarkStart w:id="980" w:name="_Toc466982398"/>
      <w:bookmarkStart w:id="981" w:name="_Toc466982812"/>
      <w:bookmarkStart w:id="982" w:name="_Toc466982920"/>
      <w:bookmarkStart w:id="983" w:name="_Toc466983028"/>
      <w:bookmarkStart w:id="984" w:name="_Toc466983136"/>
      <w:bookmarkStart w:id="985" w:name="_Toc466929600"/>
      <w:bookmarkStart w:id="986" w:name="_Toc466930022"/>
      <w:bookmarkStart w:id="987" w:name="_Toc466977682"/>
      <w:bookmarkStart w:id="988" w:name="_Toc466980078"/>
      <w:bookmarkStart w:id="989" w:name="_Toc466980390"/>
      <w:bookmarkStart w:id="990" w:name="_Toc466980497"/>
      <w:bookmarkStart w:id="991" w:name="_Toc466980592"/>
      <w:bookmarkStart w:id="992" w:name="_Toc466980804"/>
      <w:bookmarkStart w:id="993" w:name="_Toc466980911"/>
      <w:bookmarkStart w:id="994" w:name="_Toc466981192"/>
      <w:bookmarkStart w:id="995" w:name="_Toc466981406"/>
      <w:bookmarkStart w:id="996" w:name="_Toc466981513"/>
      <w:bookmarkStart w:id="997" w:name="_Toc466981908"/>
      <w:bookmarkStart w:id="998" w:name="_Toc466982374"/>
      <w:bookmarkStart w:id="999" w:name="_Toc466982788"/>
      <w:bookmarkStart w:id="1000" w:name="_Toc466982896"/>
      <w:bookmarkStart w:id="1001" w:name="_Toc466983004"/>
      <w:bookmarkStart w:id="1002" w:name="_Toc466983112"/>
      <w:bookmarkStart w:id="1003" w:name="_Toc466929601"/>
      <w:bookmarkStart w:id="1004" w:name="_Toc466930023"/>
      <w:bookmarkStart w:id="1005" w:name="_Toc466977683"/>
      <w:bookmarkStart w:id="1006" w:name="_Toc466980079"/>
      <w:bookmarkStart w:id="1007" w:name="_Toc466980391"/>
      <w:bookmarkStart w:id="1008" w:name="_Toc466980498"/>
      <w:bookmarkStart w:id="1009" w:name="_Toc466980593"/>
      <w:bookmarkStart w:id="1010" w:name="_Toc466980805"/>
      <w:bookmarkStart w:id="1011" w:name="_Toc466980912"/>
      <w:bookmarkStart w:id="1012" w:name="_Toc466981193"/>
      <w:bookmarkStart w:id="1013" w:name="_Toc466981407"/>
      <w:bookmarkStart w:id="1014" w:name="_Toc466981514"/>
      <w:bookmarkStart w:id="1015" w:name="_Toc466981909"/>
      <w:bookmarkStart w:id="1016" w:name="_Toc466982375"/>
      <w:bookmarkStart w:id="1017" w:name="_Toc466982789"/>
      <w:bookmarkStart w:id="1018" w:name="_Toc466982897"/>
      <w:bookmarkStart w:id="1019" w:name="_Toc466983005"/>
      <w:bookmarkStart w:id="1020" w:name="_Toc466983113"/>
      <w:bookmarkStart w:id="1021" w:name="_Toc472443795"/>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r>
        <w:rPr>
          <w:color w:val="000000" w:themeColor="text1"/>
          <w:szCs w:val="24"/>
        </w:rPr>
        <w:br w:type="page"/>
      </w:r>
    </w:p>
    <w:p w14:paraId="65016FAB" w14:textId="77777777" w:rsidR="00885B99" w:rsidRPr="000D7BA2" w:rsidRDefault="00885B99" w:rsidP="00885B99">
      <w:pPr>
        <w:pStyle w:val="AppendixNoTitle"/>
      </w:pPr>
      <w:bookmarkStart w:id="1022" w:name="_Toc17799471"/>
      <w:bookmarkStart w:id="1023" w:name="_Toc17881616"/>
      <w:bookmarkStart w:id="1024" w:name="_Toc17882446"/>
      <w:bookmarkStart w:id="1025" w:name="_Toc17882665"/>
      <w:bookmarkStart w:id="1026" w:name="_Toc17882884"/>
      <w:bookmarkStart w:id="1027" w:name="_Toc17883239"/>
      <w:bookmarkStart w:id="1028" w:name="_Toc17892911"/>
      <w:bookmarkStart w:id="1029" w:name="_Toc17893130"/>
      <w:bookmarkStart w:id="1030" w:name="_Toc17893349"/>
      <w:bookmarkStart w:id="1031" w:name="_Toc17894210"/>
      <w:bookmarkStart w:id="1032" w:name="_Toc17894438"/>
      <w:bookmarkStart w:id="1033" w:name="_Toc17969292"/>
      <w:bookmarkEnd w:id="1021"/>
      <w:r>
        <w:rPr>
          <w:color w:val="000000" w:themeColor="text1"/>
          <w:szCs w:val="24"/>
        </w:rPr>
        <w:lastRenderedPageBreak/>
        <w:t>Annex A</w:t>
      </w:r>
      <w:r>
        <w:rPr>
          <w:color w:val="000000" w:themeColor="text1"/>
          <w:szCs w:val="24"/>
        </w:rPr>
        <w:br/>
      </w:r>
      <w:r>
        <w:rPr>
          <w:color w:val="000000" w:themeColor="text1"/>
          <w:szCs w:val="24"/>
        </w:rPr>
        <w:br/>
      </w:r>
      <w:r w:rsidRPr="005C67A1">
        <w:rPr>
          <w:color w:val="000000" w:themeColor="text1"/>
          <w:szCs w:val="24"/>
        </w:rPr>
        <w:t>Competition Primer</w:t>
      </w:r>
      <w:r w:rsidRPr="005C67A1">
        <w:rPr>
          <w:rStyle w:val="FootnoteReference"/>
          <w:color w:val="000000" w:themeColor="text1"/>
          <w:szCs w:val="24"/>
        </w:rPr>
        <w:footnoteReference w:id="292"/>
      </w:r>
      <w:bookmarkEnd w:id="1022"/>
      <w:bookmarkEnd w:id="1023"/>
      <w:bookmarkEnd w:id="1024"/>
      <w:bookmarkEnd w:id="1025"/>
      <w:bookmarkEnd w:id="1026"/>
      <w:bookmarkEnd w:id="1027"/>
      <w:bookmarkEnd w:id="1028"/>
      <w:bookmarkEnd w:id="1029"/>
      <w:bookmarkEnd w:id="1030"/>
      <w:bookmarkEnd w:id="1031"/>
      <w:bookmarkEnd w:id="1032"/>
      <w:bookmarkEnd w:id="1033"/>
    </w:p>
    <w:p w14:paraId="0325E611" w14:textId="77777777" w:rsidR="00885B99" w:rsidRPr="00E83E52" w:rsidRDefault="00885B99" w:rsidP="00885B99">
      <w:pPr>
        <w:pStyle w:val="Heading1"/>
      </w:pPr>
      <w:bookmarkStart w:id="1034" w:name="_Toc17799472"/>
      <w:bookmarkStart w:id="1035" w:name="_Toc17881617"/>
      <w:bookmarkStart w:id="1036" w:name="_Toc17882447"/>
      <w:bookmarkStart w:id="1037" w:name="_Toc17882666"/>
      <w:bookmarkStart w:id="1038" w:name="_Toc17882885"/>
      <w:bookmarkStart w:id="1039" w:name="_Toc17883240"/>
      <w:bookmarkStart w:id="1040" w:name="_Toc17892912"/>
      <w:bookmarkStart w:id="1041" w:name="_Toc17893131"/>
      <w:bookmarkStart w:id="1042" w:name="_Toc17893350"/>
      <w:bookmarkStart w:id="1043" w:name="_Toc17894211"/>
      <w:bookmarkStart w:id="1044" w:name="_Toc17894439"/>
      <w:bookmarkStart w:id="1045" w:name="_Toc17969293"/>
      <w:r>
        <w:t>1</w:t>
      </w:r>
      <w:r>
        <w:tab/>
      </w:r>
      <w:r w:rsidRPr="00E83E52">
        <w:t>Horizontal</w:t>
      </w:r>
      <w:r>
        <w:t xml:space="preserve"> c</w:t>
      </w:r>
      <w:r w:rsidRPr="00E83E52">
        <w:t>artels</w:t>
      </w:r>
      <w:bookmarkEnd w:id="1034"/>
      <w:bookmarkEnd w:id="1035"/>
      <w:bookmarkEnd w:id="1036"/>
      <w:bookmarkEnd w:id="1037"/>
      <w:bookmarkEnd w:id="1038"/>
      <w:bookmarkEnd w:id="1039"/>
      <w:bookmarkEnd w:id="1040"/>
      <w:bookmarkEnd w:id="1041"/>
      <w:bookmarkEnd w:id="1042"/>
      <w:bookmarkEnd w:id="1043"/>
      <w:bookmarkEnd w:id="1044"/>
      <w:bookmarkEnd w:id="1045"/>
    </w:p>
    <w:p w14:paraId="5FF7BFB7" w14:textId="77777777" w:rsidR="00885B99" w:rsidRDefault="00885B99" w:rsidP="00885B99">
      <w:r w:rsidRPr="00E83E52">
        <w:t xml:space="preserve">Defined as collusion between </w:t>
      </w:r>
      <w:r w:rsidRPr="006832DC">
        <w:rPr>
          <w:color w:val="000000" w:themeColor="text1"/>
        </w:rPr>
        <w:t>entities</w:t>
      </w:r>
      <w:r w:rsidRPr="00E83E52">
        <w:t xml:space="preserve"> on the</w:t>
      </w:r>
      <w:r>
        <w:t xml:space="preserve"> same level of the value chain.</w:t>
      </w:r>
    </w:p>
    <w:p w14:paraId="3E82A966" w14:textId="77777777" w:rsidR="00885B99" w:rsidRDefault="00885B99" w:rsidP="00885B99">
      <w:r w:rsidRPr="00E83E52">
        <w:t xml:space="preserve">Examples include the following types of </w:t>
      </w:r>
      <w:r>
        <w:t>behaviour</w:t>
      </w:r>
      <w:r w:rsidRPr="00E83E52">
        <w:t>:</w:t>
      </w:r>
    </w:p>
    <w:p w14:paraId="35A97756" w14:textId="77777777" w:rsidR="00885B99" w:rsidRPr="00E83E52" w:rsidRDefault="00885B99" w:rsidP="00885B99">
      <w:pPr>
        <w:pStyle w:val="enumlev1"/>
      </w:pPr>
      <w:r>
        <w:t>•</w:t>
      </w:r>
      <w:r>
        <w:tab/>
      </w:r>
      <w:r w:rsidRPr="00E83E52">
        <w:rPr>
          <w:szCs w:val="24"/>
          <w:lang w:eastAsia="en-GB"/>
        </w:rPr>
        <w:t>Horizontal price fixing</w:t>
      </w:r>
    </w:p>
    <w:p w14:paraId="4153EA72" w14:textId="77777777" w:rsidR="00885B99" w:rsidRPr="00E83E52" w:rsidRDefault="00885B99" w:rsidP="00885B99">
      <w:pPr>
        <w:pStyle w:val="enumlev1"/>
      </w:pPr>
      <w:r>
        <w:t>•</w:t>
      </w:r>
      <w:r>
        <w:tab/>
      </w:r>
      <w:r w:rsidRPr="00E83E52">
        <w:rPr>
          <w:szCs w:val="24"/>
          <w:lang w:eastAsia="en-GB"/>
        </w:rPr>
        <w:t>Horizontal market sharing</w:t>
      </w:r>
    </w:p>
    <w:p w14:paraId="4B55E6D6" w14:textId="77777777" w:rsidR="00885B99" w:rsidRDefault="00885B99" w:rsidP="00885B99">
      <w:pPr>
        <w:pStyle w:val="enumlev1"/>
      </w:pPr>
      <w:r>
        <w:t>•</w:t>
      </w:r>
      <w:r>
        <w:tab/>
      </w:r>
      <w:r w:rsidRPr="00E83E52">
        <w:rPr>
          <w:szCs w:val="24"/>
          <w:lang w:eastAsia="en-GB"/>
        </w:rPr>
        <w:t>Quotas and other restrictions on production</w:t>
      </w:r>
    </w:p>
    <w:p w14:paraId="39858E43" w14:textId="77777777" w:rsidR="00885B99" w:rsidRPr="00E83E52" w:rsidRDefault="00885B99" w:rsidP="00885B99">
      <w:pPr>
        <w:pStyle w:val="enumlev1"/>
      </w:pPr>
      <w:r>
        <w:t>•</w:t>
      </w:r>
      <w:r>
        <w:tab/>
      </w:r>
      <w:r w:rsidRPr="00E83E52">
        <w:rPr>
          <w:szCs w:val="24"/>
          <w:lang w:eastAsia="en-GB"/>
        </w:rPr>
        <w:t>Collusive tendering</w:t>
      </w:r>
    </w:p>
    <w:p w14:paraId="53AF771B" w14:textId="77777777" w:rsidR="00885B99" w:rsidRPr="00E83E52" w:rsidRDefault="00885B99" w:rsidP="00885B99">
      <w:pPr>
        <w:pStyle w:val="enumlev1"/>
      </w:pPr>
      <w:r>
        <w:t>•</w:t>
      </w:r>
      <w:r>
        <w:tab/>
      </w:r>
      <w:r w:rsidRPr="00E83E52">
        <w:rPr>
          <w:szCs w:val="24"/>
          <w:lang w:eastAsia="en-GB"/>
        </w:rPr>
        <w:t>Agreements relating to terms and conditions</w:t>
      </w:r>
    </w:p>
    <w:p w14:paraId="0D792DB0" w14:textId="77777777" w:rsidR="00885B99" w:rsidRPr="00E83E52" w:rsidRDefault="00885B99" w:rsidP="00885B99">
      <w:pPr>
        <w:pStyle w:val="enumlev1"/>
      </w:pPr>
      <w:r>
        <w:t>•</w:t>
      </w:r>
      <w:r>
        <w:tab/>
      </w:r>
      <w:r w:rsidRPr="00E83E52">
        <w:rPr>
          <w:szCs w:val="24"/>
          <w:lang w:eastAsia="en-GB"/>
        </w:rPr>
        <w:t>Exchanges of information</w:t>
      </w:r>
    </w:p>
    <w:p w14:paraId="7CDA7B78" w14:textId="77777777" w:rsidR="00885B99" w:rsidRPr="00E83E52" w:rsidRDefault="00885B99" w:rsidP="00885B99">
      <w:pPr>
        <w:pStyle w:val="enumlev1"/>
      </w:pPr>
      <w:r>
        <w:t>•</w:t>
      </w:r>
      <w:r>
        <w:tab/>
      </w:r>
      <w:r w:rsidRPr="00E83E52">
        <w:rPr>
          <w:szCs w:val="24"/>
          <w:lang w:eastAsia="en-GB"/>
        </w:rPr>
        <w:t>Advertising restrictions</w:t>
      </w:r>
    </w:p>
    <w:p w14:paraId="64BFB62F" w14:textId="77777777" w:rsidR="00885B99" w:rsidRPr="00E83E52" w:rsidRDefault="00885B99" w:rsidP="00885B99">
      <w:pPr>
        <w:pStyle w:val="enumlev1"/>
      </w:pPr>
      <w:r>
        <w:t>•</w:t>
      </w:r>
      <w:r>
        <w:tab/>
      </w:r>
      <w:r w:rsidRPr="00E83E52">
        <w:rPr>
          <w:szCs w:val="24"/>
          <w:lang w:eastAsia="en-GB"/>
        </w:rPr>
        <w:t>Anti-competitive horizontal restraints</w:t>
      </w:r>
      <w:r>
        <w:rPr>
          <w:szCs w:val="24"/>
          <w:lang w:eastAsia="en-GB"/>
        </w:rPr>
        <w:t>.</w:t>
      </w:r>
    </w:p>
    <w:p w14:paraId="29BD1233" w14:textId="77777777" w:rsidR="00885B99" w:rsidRPr="00E83E52" w:rsidRDefault="00885B99" w:rsidP="00885B99">
      <w:r w:rsidRPr="00E83E52">
        <w:t xml:space="preserve">Some jurisdictions require that the collusion has an effect on the market, while others require only that there was an intention to collude (EU). Such </w:t>
      </w:r>
      <w:r>
        <w:t>behaviour</w:t>
      </w:r>
      <w:r w:rsidRPr="00E83E52">
        <w:t>, if it fits the required constitutive elements of the offence, is alwa</w:t>
      </w:r>
      <w:r>
        <w:t>ys considered anti-competitive.</w:t>
      </w:r>
    </w:p>
    <w:p w14:paraId="5570024C" w14:textId="77777777" w:rsidR="00885B99" w:rsidRPr="00E83E52" w:rsidRDefault="00885B99" w:rsidP="00885B99">
      <w:pPr>
        <w:pStyle w:val="Heading1"/>
      </w:pPr>
      <w:bookmarkStart w:id="1046" w:name="_Toc17799473"/>
      <w:bookmarkStart w:id="1047" w:name="_Toc17881618"/>
      <w:bookmarkStart w:id="1048" w:name="_Toc17882448"/>
      <w:bookmarkStart w:id="1049" w:name="_Toc17882667"/>
      <w:bookmarkStart w:id="1050" w:name="_Toc17882886"/>
      <w:bookmarkStart w:id="1051" w:name="_Toc17883241"/>
      <w:bookmarkStart w:id="1052" w:name="_Toc17892913"/>
      <w:bookmarkStart w:id="1053" w:name="_Toc17893132"/>
      <w:bookmarkStart w:id="1054" w:name="_Toc17893351"/>
      <w:bookmarkStart w:id="1055" w:name="_Toc17894212"/>
      <w:bookmarkStart w:id="1056" w:name="_Toc17894440"/>
      <w:bookmarkStart w:id="1057" w:name="_Toc17969294"/>
      <w:r>
        <w:t>2</w:t>
      </w:r>
      <w:r>
        <w:tab/>
        <w:t>Vertical r</w:t>
      </w:r>
      <w:r w:rsidRPr="00E83E52">
        <w:t>estrictions</w:t>
      </w:r>
      <w:bookmarkEnd w:id="1046"/>
      <w:bookmarkEnd w:id="1047"/>
      <w:bookmarkEnd w:id="1048"/>
      <w:bookmarkEnd w:id="1049"/>
      <w:bookmarkEnd w:id="1050"/>
      <w:bookmarkEnd w:id="1051"/>
      <w:bookmarkEnd w:id="1052"/>
      <w:bookmarkEnd w:id="1053"/>
      <w:bookmarkEnd w:id="1054"/>
      <w:bookmarkEnd w:id="1055"/>
      <w:bookmarkEnd w:id="1056"/>
      <w:bookmarkEnd w:id="1057"/>
    </w:p>
    <w:p w14:paraId="4514FA4C" w14:textId="77777777" w:rsidR="00885B99" w:rsidRPr="00E83E52" w:rsidRDefault="00885B99" w:rsidP="00885B99">
      <w:r w:rsidRPr="00E83E52">
        <w:t>These are defined as restrictions imposed in vertical relationships in the valu</w:t>
      </w:r>
      <w:r>
        <w:t>e chain.</w:t>
      </w:r>
    </w:p>
    <w:p w14:paraId="50D30389" w14:textId="77777777" w:rsidR="00885B99" w:rsidRDefault="00885B99" w:rsidP="00885B99">
      <w:r w:rsidRPr="00E83E52">
        <w:t>Examples include:</w:t>
      </w:r>
    </w:p>
    <w:p w14:paraId="4A3B7503" w14:textId="77777777" w:rsidR="00885B99" w:rsidRPr="00E83E52" w:rsidRDefault="00885B99" w:rsidP="00885B99">
      <w:r>
        <w:t>•</w:t>
      </w:r>
      <w:r>
        <w:tab/>
      </w:r>
      <w:r w:rsidRPr="00E83E52">
        <w:rPr>
          <w:szCs w:val="24"/>
          <w:lang w:eastAsia="en-GB"/>
        </w:rPr>
        <w:t>Single branding</w:t>
      </w:r>
    </w:p>
    <w:p w14:paraId="6604D08D" w14:textId="77777777" w:rsidR="00885B99" w:rsidRPr="00E83E52" w:rsidRDefault="00885B99" w:rsidP="00885B99">
      <w:pPr>
        <w:pStyle w:val="enumlev1"/>
        <w:rPr>
          <w:lang w:eastAsia="en-GB"/>
        </w:rPr>
      </w:pPr>
      <w:r>
        <w:t>•</w:t>
      </w:r>
      <w:r>
        <w:tab/>
      </w:r>
      <w:r w:rsidRPr="00E83E52">
        <w:rPr>
          <w:lang w:eastAsia="en-GB"/>
        </w:rPr>
        <w:t>Limited distribution</w:t>
      </w:r>
      <w:r>
        <w:rPr>
          <w:rStyle w:val="FootnoteReference"/>
          <w:lang w:eastAsia="en-GB"/>
        </w:rPr>
        <w:footnoteReference w:id="293"/>
      </w:r>
    </w:p>
    <w:p w14:paraId="61C1909B" w14:textId="77777777" w:rsidR="00885B99" w:rsidRPr="00E83E52" w:rsidRDefault="00885B99" w:rsidP="00885B99">
      <w:pPr>
        <w:pStyle w:val="enumlev1"/>
        <w:rPr>
          <w:lang w:eastAsia="en-GB"/>
        </w:rPr>
      </w:pPr>
      <w:r>
        <w:t>•</w:t>
      </w:r>
      <w:r>
        <w:tab/>
      </w:r>
      <w:r w:rsidRPr="00E83E52">
        <w:rPr>
          <w:lang w:eastAsia="en-GB"/>
        </w:rPr>
        <w:t>Resale price maintenance</w:t>
      </w:r>
    </w:p>
    <w:p w14:paraId="59D56CEA" w14:textId="77777777" w:rsidR="00885B99" w:rsidRPr="00E83E52" w:rsidRDefault="00885B99" w:rsidP="00885B99">
      <w:pPr>
        <w:pStyle w:val="enumlev1"/>
        <w:rPr>
          <w:lang w:eastAsia="en-GB"/>
        </w:rPr>
      </w:pPr>
      <w:r>
        <w:t>•</w:t>
      </w:r>
      <w:r>
        <w:tab/>
      </w:r>
      <w:r w:rsidRPr="00E83E52">
        <w:rPr>
          <w:lang w:eastAsia="en-GB"/>
        </w:rPr>
        <w:t>Market partitioning</w:t>
      </w:r>
    </w:p>
    <w:p w14:paraId="6BC02858" w14:textId="77777777" w:rsidR="00885B99" w:rsidRPr="00E83E52" w:rsidRDefault="00885B99" w:rsidP="00885B99">
      <w:pPr>
        <w:pStyle w:val="enumlev1"/>
      </w:pPr>
      <w:r>
        <w:t>•</w:t>
      </w:r>
      <w:r>
        <w:tab/>
      </w:r>
      <w:r w:rsidRPr="00E83E52">
        <w:rPr>
          <w:lang w:eastAsia="en-GB"/>
        </w:rPr>
        <w:t>Direct and indirect export bans</w:t>
      </w:r>
    </w:p>
    <w:p w14:paraId="45D8A1EB" w14:textId="3568C9FF" w:rsidR="00885B99" w:rsidRPr="00E83E52" w:rsidRDefault="00885B99" w:rsidP="00885B99">
      <w:pPr>
        <w:pStyle w:val="enumlev1"/>
        <w:rPr>
          <w:lang w:eastAsia="en-GB"/>
        </w:rPr>
      </w:pPr>
      <w:r>
        <w:t>•</w:t>
      </w:r>
      <w:r>
        <w:tab/>
      </w:r>
      <w:r w:rsidRPr="00E83E52">
        <w:rPr>
          <w:lang w:eastAsia="en-GB"/>
        </w:rPr>
        <w:t>Territorial and customer restraints on buyer</w:t>
      </w:r>
      <w:r>
        <w:rPr>
          <w:lang w:eastAsia="en-GB"/>
        </w:rPr>
        <w:t>'</w:t>
      </w:r>
      <w:r w:rsidRPr="00E83E52">
        <w:rPr>
          <w:lang w:eastAsia="en-GB"/>
        </w:rPr>
        <w:t>s rights</w:t>
      </w:r>
      <w:r w:rsidR="00A70083">
        <w:rPr>
          <w:lang w:eastAsia="en-GB"/>
        </w:rPr>
        <w:t>.</w:t>
      </w:r>
    </w:p>
    <w:p w14:paraId="22C88838" w14:textId="77777777" w:rsidR="00885B99" w:rsidRPr="00E83E52" w:rsidRDefault="00885B99" w:rsidP="00885B99">
      <w:r w:rsidRPr="00E83E52">
        <w:rPr>
          <w:lang w:val="en-US"/>
        </w:rPr>
        <w:t xml:space="preserve">They may or may not be considered anticompetitive; these </w:t>
      </w:r>
      <w:r w:rsidRPr="00E83E52">
        <w:t>restrictions will only have an effect on competition when the entity imposing restraint has some market power, although this do</w:t>
      </w:r>
      <w:r>
        <w:t>es not have to be dominant/SMP.</w:t>
      </w:r>
    </w:p>
    <w:p w14:paraId="021E89A4" w14:textId="77777777" w:rsidR="00885B99" w:rsidRPr="005E4AA7" w:rsidRDefault="00885B99" w:rsidP="00885B99">
      <w:r w:rsidRPr="00E83E52">
        <w:t>Even if the restrictions have an effect on competition, whether or not there is an actual offence is very dependent on national legislation.</w:t>
      </w:r>
      <w:r>
        <w:rPr>
          <w:rStyle w:val="FootnoteReference"/>
          <w:szCs w:val="24"/>
        </w:rPr>
        <w:footnoteReference w:id="294"/>
      </w:r>
    </w:p>
    <w:p w14:paraId="6892FC04" w14:textId="77777777" w:rsidR="00885B99" w:rsidRPr="00E83E52" w:rsidRDefault="00885B99" w:rsidP="00885B99">
      <w:pPr>
        <w:pStyle w:val="Heading1"/>
      </w:pPr>
      <w:bookmarkStart w:id="1058" w:name="_Toc17799474"/>
      <w:bookmarkStart w:id="1059" w:name="_Toc17881619"/>
      <w:bookmarkStart w:id="1060" w:name="_Toc17882449"/>
      <w:bookmarkStart w:id="1061" w:name="_Toc17882668"/>
      <w:bookmarkStart w:id="1062" w:name="_Toc17882887"/>
      <w:bookmarkStart w:id="1063" w:name="_Toc17883242"/>
      <w:bookmarkStart w:id="1064" w:name="_Toc17892914"/>
      <w:bookmarkStart w:id="1065" w:name="_Toc17893133"/>
      <w:bookmarkStart w:id="1066" w:name="_Toc17893352"/>
      <w:bookmarkStart w:id="1067" w:name="_Toc17894213"/>
      <w:bookmarkStart w:id="1068" w:name="_Toc17894441"/>
      <w:bookmarkStart w:id="1069" w:name="_Toc17969295"/>
      <w:r>
        <w:lastRenderedPageBreak/>
        <w:t>3</w:t>
      </w:r>
      <w:r>
        <w:tab/>
      </w:r>
      <w:r w:rsidRPr="00E83E52">
        <w:t>Abuse of SMP</w:t>
      </w:r>
      <w:bookmarkEnd w:id="1058"/>
      <w:bookmarkEnd w:id="1059"/>
      <w:bookmarkEnd w:id="1060"/>
      <w:bookmarkEnd w:id="1061"/>
      <w:bookmarkEnd w:id="1062"/>
      <w:bookmarkEnd w:id="1063"/>
      <w:bookmarkEnd w:id="1064"/>
      <w:bookmarkEnd w:id="1065"/>
      <w:bookmarkEnd w:id="1066"/>
      <w:bookmarkEnd w:id="1067"/>
      <w:bookmarkEnd w:id="1068"/>
      <w:bookmarkEnd w:id="1069"/>
    </w:p>
    <w:p w14:paraId="69DB226F" w14:textId="77777777" w:rsidR="00885B99" w:rsidRPr="00E83E52" w:rsidRDefault="00885B99" w:rsidP="00885B99">
      <w:pPr>
        <w:keepNext/>
        <w:keepLines/>
      </w:pPr>
      <w:r w:rsidRPr="00E83E52">
        <w:t xml:space="preserve">All these types of </w:t>
      </w:r>
      <w:r>
        <w:t>behaviour</w:t>
      </w:r>
      <w:r w:rsidRPr="00E83E52">
        <w:t xml:space="preserve"> are only anticompetitive if undertaken by a dominant/SMP firm, otherwise the </w:t>
      </w:r>
      <w:r>
        <w:t>behaviour</w:t>
      </w:r>
      <w:r w:rsidRPr="00E83E52">
        <w:t xml:space="preserve"> is not problematic in itself. To prove dominance/SMP, you need to look at market share of entity</w:t>
      </w:r>
      <w:r>
        <w:rPr>
          <w:rStyle w:val="FootnoteReference"/>
          <w:szCs w:val="24"/>
        </w:rPr>
        <w:footnoteReference w:id="295"/>
      </w:r>
      <w:r w:rsidRPr="00E83E52">
        <w:t xml:space="preserve"> and its competitors on the relevant market, but also other factors, such as (i)</w:t>
      </w:r>
      <w:r>
        <w:t> </w:t>
      </w:r>
      <w:r w:rsidRPr="00E83E52">
        <w:t>barriers to entry – legal barriers (IP, regulatory monopoly, licensing), economic advantages (e</w:t>
      </w:r>
      <w:r>
        <w:t>.g. </w:t>
      </w:r>
      <w:r w:rsidRPr="00E83E52">
        <w:t>economies of scale), cost and network effects and (ii)</w:t>
      </w:r>
      <w:r>
        <w:t> </w:t>
      </w:r>
      <w:r w:rsidRPr="00E83E52">
        <w:t>countervailing buying power.</w:t>
      </w:r>
    </w:p>
    <w:p w14:paraId="16C4EC45" w14:textId="77777777" w:rsidR="00885B99" w:rsidRPr="00E83E52" w:rsidRDefault="00885B99" w:rsidP="00885B99">
      <w:pPr>
        <w:spacing w:after="120"/>
        <w:rPr>
          <w:szCs w:val="24"/>
          <w:lang w:eastAsia="en-GB"/>
        </w:rPr>
      </w:pPr>
      <w:r w:rsidRPr="00E83E52">
        <w:rPr>
          <w:szCs w:val="24"/>
          <w:lang w:eastAsia="en-GB"/>
        </w:rPr>
        <w:t>Ultimately, these include:</w:t>
      </w:r>
    </w:p>
    <w:p w14:paraId="1BA8D4C8" w14:textId="77777777" w:rsidR="00885B99" w:rsidRPr="00E83E52" w:rsidRDefault="00885B99" w:rsidP="00885B99">
      <w:pPr>
        <w:pStyle w:val="enumlev1"/>
        <w:rPr>
          <w:lang w:eastAsia="en-GB"/>
        </w:rPr>
      </w:pPr>
      <w:r>
        <w:rPr>
          <w:lang w:eastAsia="en-GB"/>
        </w:rPr>
        <w:t>(i)</w:t>
      </w:r>
      <w:r>
        <w:rPr>
          <w:lang w:eastAsia="en-GB"/>
        </w:rPr>
        <w:tab/>
      </w:r>
      <w:r w:rsidRPr="00E83E52">
        <w:rPr>
          <w:lang w:eastAsia="en-GB"/>
        </w:rPr>
        <w:t>Constraints imposed by the existing supplies from, and the position on the</w:t>
      </w:r>
      <w:r>
        <w:rPr>
          <w:lang w:eastAsia="en-GB"/>
        </w:rPr>
        <w:t xml:space="preserve"> market of, actual competitors;</w:t>
      </w:r>
    </w:p>
    <w:p w14:paraId="36F7BB99" w14:textId="77777777" w:rsidR="00885B99" w:rsidRPr="00E83E52" w:rsidRDefault="00885B99" w:rsidP="00885B99">
      <w:pPr>
        <w:pStyle w:val="enumlev1"/>
        <w:rPr>
          <w:lang w:eastAsia="en-GB"/>
        </w:rPr>
      </w:pPr>
      <w:r>
        <w:rPr>
          <w:lang w:eastAsia="en-GB"/>
        </w:rPr>
        <w:t>(ii)</w:t>
      </w:r>
      <w:r>
        <w:rPr>
          <w:lang w:eastAsia="en-GB"/>
        </w:rPr>
        <w:tab/>
      </w:r>
      <w:r w:rsidRPr="00E83E52">
        <w:rPr>
          <w:lang w:eastAsia="en-GB"/>
        </w:rPr>
        <w:t>Constraints imposed by the credible threat of future expansion by actual competitors or entry by p</w:t>
      </w:r>
      <w:r>
        <w:rPr>
          <w:lang w:eastAsia="en-GB"/>
        </w:rPr>
        <w:t>otential competitors; and</w:t>
      </w:r>
    </w:p>
    <w:p w14:paraId="58E4A63C" w14:textId="77777777" w:rsidR="00885B99" w:rsidRPr="00E83E52" w:rsidRDefault="00885B99" w:rsidP="00885B99">
      <w:pPr>
        <w:pStyle w:val="enumlev1"/>
        <w:rPr>
          <w:lang w:eastAsia="en-GB"/>
        </w:rPr>
      </w:pPr>
      <w:r>
        <w:rPr>
          <w:lang w:eastAsia="en-GB"/>
        </w:rPr>
        <w:t>(iii)</w:t>
      </w:r>
      <w:r>
        <w:rPr>
          <w:lang w:eastAsia="en-GB"/>
        </w:rPr>
        <w:tab/>
      </w:r>
      <w:r w:rsidRPr="00E83E52">
        <w:rPr>
          <w:lang w:eastAsia="en-GB"/>
        </w:rPr>
        <w:t>Constraints imposed by bargaining strength of company</w:t>
      </w:r>
      <w:r>
        <w:rPr>
          <w:lang w:eastAsia="en-GB"/>
        </w:rPr>
        <w:t>'</w:t>
      </w:r>
      <w:r w:rsidRPr="00E83E52">
        <w:rPr>
          <w:lang w:eastAsia="en-GB"/>
        </w:rPr>
        <w:t>s customers.</w:t>
      </w:r>
    </w:p>
    <w:p w14:paraId="56CA3AD7" w14:textId="77777777" w:rsidR="00885B99" w:rsidRDefault="00885B99" w:rsidP="00885B99">
      <w:r w:rsidRPr="00E83E52">
        <w:t xml:space="preserve">It should be noted that certain commercial </w:t>
      </w:r>
      <w:r>
        <w:t>behaviour</w:t>
      </w:r>
      <w:r w:rsidRPr="00E83E52">
        <w:t>s</w:t>
      </w:r>
      <w:r>
        <w:t xml:space="preserve"> – </w:t>
      </w:r>
      <w:r w:rsidRPr="00E83E52">
        <w:t>such as the bundling products, tying and predatory pricing</w:t>
      </w:r>
      <w:r>
        <w:t> –</w:t>
      </w:r>
      <w:r w:rsidRPr="00E83E52">
        <w:t xml:space="preserve"> may be consider</w:t>
      </w:r>
      <w:r>
        <w:t>ed</w:t>
      </w:r>
      <w:r w:rsidRPr="00E83E52">
        <w:t xml:space="preserve"> acceptable competitive </w:t>
      </w:r>
      <w:r>
        <w:t>behaviour</w:t>
      </w:r>
      <w:r w:rsidRPr="00E83E52">
        <w:t xml:space="preserve"> for market participants who do not have SMP, but may be considered as an abuse of a dominant position for SMP participants.</w:t>
      </w:r>
      <w:r>
        <w:t xml:space="preserve"> </w:t>
      </w:r>
      <w:r w:rsidRPr="00E83E52">
        <w:t xml:space="preserve">These SMP participants have a special responsibility </w:t>
      </w:r>
      <w:r w:rsidRPr="00E83E52">
        <w:rPr>
          <w:i/>
        </w:rPr>
        <w:t>vis à vis</w:t>
      </w:r>
      <w:r w:rsidRPr="00E83E52">
        <w:t xml:space="preserve"> the market due to their market size and influence. Thus the determination of SMP status by the regulator is key in determining if concretely there has been any anti-competitive conduct.</w:t>
      </w:r>
    </w:p>
    <w:p w14:paraId="27402B4A" w14:textId="39EF9715" w:rsidR="00885B99" w:rsidRDefault="00885B99" w:rsidP="00885B99">
      <w:r w:rsidRPr="00E83E52">
        <w:t>An in-depth market analysis should always be taken before any allegations of abuse of dominance are made.</w:t>
      </w:r>
    </w:p>
    <w:p w14:paraId="63C97FE9" w14:textId="77777777" w:rsidR="00885B99" w:rsidRDefault="00885B99" w:rsidP="00885B99">
      <w:pPr>
        <w:pStyle w:val="enumlev1"/>
      </w:pPr>
      <w:r w:rsidRPr="002C6555">
        <w:t>•</w:t>
      </w:r>
      <w:r w:rsidRPr="002C6555">
        <w:tab/>
      </w:r>
      <w:r w:rsidRPr="00E83E52">
        <w:t xml:space="preserve">Problematic </w:t>
      </w:r>
      <w:r>
        <w:t>behaviour</w:t>
      </w:r>
      <w:r w:rsidRPr="00E83E52">
        <w:t xml:space="preserve"> includes:</w:t>
      </w:r>
    </w:p>
    <w:p w14:paraId="443CF92B" w14:textId="77777777" w:rsidR="00885B99" w:rsidRPr="00E83E52" w:rsidRDefault="00885B99" w:rsidP="00885B99">
      <w:pPr>
        <w:pStyle w:val="enumlev1"/>
      </w:pPr>
      <w:r w:rsidRPr="002C6555">
        <w:t>•</w:t>
      </w:r>
      <w:r w:rsidRPr="002C6555">
        <w:tab/>
      </w:r>
      <w:r w:rsidRPr="00E83E52">
        <w:t>Excessive purchase or selling prices</w:t>
      </w:r>
    </w:p>
    <w:p w14:paraId="722FB332" w14:textId="77777777" w:rsidR="00885B99" w:rsidRPr="00E83E52" w:rsidRDefault="00885B99" w:rsidP="00885B99">
      <w:pPr>
        <w:pStyle w:val="enumlev1"/>
      </w:pPr>
      <w:r w:rsidRPr="002C6555">
        <w:t>•</w:t>
      </w:r>
      <w:r w:rsidRPr="002C6555">
        <w:tab/>
      </w:r>
      <w:r w:rsidRPr="00E83E52">
        <w:t>Other unfair trading terms</w:t>
      </w:r>
    </w:p>
    <w:p w14:paraId="2AFA776E" w14:textId="77777777" w:rsidR="00885B99" w:rsidRPr="00E83E52" w:rsidRDefault="00885B99" w:rsidP="00885B99">
      <w:pPr>
        <w:pStyle w:val="enumlev1"/>
      </w:pPr>
      <w:r w:rsidRPr="002C6555">
        <w:t>•</w:t>
      </w:r>
      <w:r w:rsidRPr="002C6555">
        <w:tab/>
      </w:r>
      <w:r w:rsidRPr="00E83E52">
        <w:t>Margin squeeze</w:t>
      </w:r>
      <w:r>
        <w:rPr>
          <w:rStyle w:val="FootnoteReference"/>
          <w:szCs w:val="24"/>
        </w:rPr>
        <w:footnoteReference w:id="296"/>
      </w:r>
    </w:p>
    <w:p w14:paraId="65C490F3" w14:textId="77777777" w:rsidR="00885B99" w:rsidRPr="00E83E52" w:rsidRDefault="00885B99" w:rsidP="00885B99">
      <w:pPr>
        <w:pStyle w:val="enumlev1"/>
      </w:pPr>
      <w:r w:rsidRPr="002C6555">
        <w:t>•</w:t>
      </w:r>
      <w:r w:rsidRPr="002C6555">
        <w:tab/>
      </w:r>
      <w:r w:rsidRPr="00E83E52">
        <w:t>Bundling of rebates</w:t>
      </w:r>
    </w:p>
    <w:p w14:paraId="40F999E3" w14:textId="455C4603" w:rsidR="00885B99" w:rsidRPr="00E83E52" w:rsidRDefault="00885B99" w:rsidP="00885B99">
      <w:pPr>
        <w:pStyle w:val="enumlev1"/>
      </w:pPr>
      <w:r w:rsidRPr="002C6555">
        <w:t>•</w:t>
      </w:r>
      <w:r w:rsidRPr="002C6555">
        <w:tab/>
      </w:r>
      <w:r w:rsidR="00A70083">
        <w:t>Discriminatory pricing</w:t>
      </w:r>
    </w:p>
    <w:p w14:paraId="42916A9D" w14:textId="77777777" w:rsidR="00885B99" w:rsidRPr="00E83E52" w:rsidRDefault="00885B99" w:rsidP="00885B99">
      <w:pPr>
        <w:pStyle w:val="enumlev1"/>
      </w:pPr>
      <w:r w:rsidRPr="002C6555">
        <w:t>•</w:t>
      </w:r>
      <w:r w:rsidRPr="002C6555">
        <w:tab/>
      </w:r>
      <w:r w:rsidRPr="00E83E52">
        <w:t>Refusal to deal</w:t>
      </w:r>
    </w:p>
    <w:p w14:paraId="5FB3D802" w14:textId="77777777" w:rsidR="00885B99" w:rsidRPr="00E83E52" w:rsidRDefault="00885B99" w:rsidP="00885B99">
      <w:pPr>
        <w:pStyle w:val="enumlev1"/>
      </w:pPr>
      <w:r w:rsidRPr="002C6555">
        <w:t>•</w:t>
      </w:r>
      <w:r w:rsidRPr="002C6555">
        <w:tab/>
      </w:r>
      <w:r w:rsidRPr="00E83E52">
        <w:t>Exclusive dealing agreements</w:t>
      </w:r>
      <w:r>
        <w:rPr>
          <w:rStyle w:val="FootnoteReference"/>
          <w:szCs w:val="24"/>
        </w:rPr>
        <w:footnoteReference w:id="297"/>
      </w:r>
    </w:p>
    <w:p w14:paraId="1172AFCD" w14:textId="77777777" w:rsidR="00885B99" w:rsidRPr="00E83E52" w:rsidRDefault="00885B99" w:rsidP="00885B99">
      <w:pPr>
        <w:pStyle w:val="enumlev1"/>
      </w:pPr>
      <w:r w:rsidRPr="002C6555">
        <w:t>•</w:t>
      </w:r>
      <w:r w:rsidRPr="002C6555">
        <w:tab/>
      </w:r>
      <w:r w:rsidRPr="00E83E52">
        <w:t>Predatory pricing</w:t>
      </w:r>
    </w:p>
    <w:p w14:paraId="77CF1499" w14:textId="54BA5AD2" w:rsidR="00885B99" w:rsidRPr="00E83E52" w:rsidRDefault="00885B99" w:rsidP="00885B99">
      <w:pPr>
        <w:pStyle w:val="enumlev1"/>
      </w:pPr>
      <w:r w:rsidRPr="002C6555">
        <w:t>•</w:t>
      </w:r>
      <w:r w:rsidRPr="002C6555">
        <w:tab/>
      </w:r>
      <w:r w:rsidRPr="00E83E52">
        <w:t>Tying of products/services: contractual tying, refusal to supply, withdrawal of guarantee, &amp;</w:t>
      </w:r>
      <w:r w:rsidR="006E5E3B">
        <w:t> </w:t>
      </w:r>
      <w:r w:rsidRPr="00E83E52">
        <w:t>technical tying</w:t>
      </w:r>
    </w:p>
    <w:p w14:paraId="5E563C93" w14:textId="77777777" w:rsidR="00885B99" w:rsidRPr="00E83E52" w:rsidRDefault="00885B99" w:rsidP="00885B99">
      <w:pPr>
        <w:pStyle w:val="enumlev1"/>
      </w:pPr>
      <w:r w:rsidRPr="002C6555">
        <w:rPr>
          <w:lang w:eastAsia="en-GB"/>
        </w:rPr>
        <w:t>•</w:t>
      </w:r>
      <w:r w:rsidRPr="002C6555">
        <w:rPr>
          <w:lang w:eastAsia="en-GB"/>
        </w:rPr>
        <w:tab/>
      </w:r>
      <w:r w:rsidRPr="00E83E52">
        <w:rPr>
          <w:lang w:eastAsia="en-GB"/>
        </w:rPr>
        <w:t>Vexatious litigation</w:t>
      </w:r>
    </w:p>
    <w:p w14:paraId="2D5EAB25" w14:textId="77777777" w:rsidR="00885B99" w:rsidRPr="00E83E52" w:rsidRDefault="00885B99" w:rsidP="00885B99">
      <w:pPr>
        <w:pStyle w:val="enumlev1"/>
      </w:pPr>
      <w:r w:rsidRPr="002C6555">
        <w:t>•</w:t>
      </w:r>
      <w:r w:rsidRPr="002C6555">
        <w:tab/>
      </w:r>
      <w:r w:rsidRPr="00E83E52">
        <w:t>Refusal to supply</w:t>
      </w:r>
    </w:p>
    <w:p w14:paraId="23D878D2" w14:textId="656B0516" w:rsidR="00885B99" w:rsidRPr="00E83E52" w:rsidRDefault="00885B99" w:rsidP="00885B99">
      <w:pPr>
        <w:pStyle w:val="enumlev1"/>
      </w:pPr>
      <w:r w:rsidRPr="002C6555">
        <w:t>•</w:t>
      </w:r>
      <w:r w:rsidRPr="002C6555">
        <w:tab/>
      </w:r>
      <w:r w:rsidRPr="00E83E52">
        <w:t>Loyalty rebates</w:t>
      </w:r>
      <w:r w:rsidR="009F4F76">
        <w:t>.</w:t>
      </w:r>
      <w:r>
        <w:rPr>
          <w:rStyle w:val="FootnoteReference"/>
          <w:szCs w:val="24"/>
        </w:rPr>
        <w:footnoteReference w:id="298"/>
      </w:r>
    </w:p>
    <w:p w14:paraId="429FC39D" w14:textId="77777777" w:rsidR="00885B99" w:rsidRPr="00E83E52" w:rsidRDefault="00885B99" w:rsidP="00885B99">
      <w:pPr>
        <w:pStyle w:val="Heading1"/>
      </w:pPr>
      <w:bookmarkStart w:id="1070" w:name="_Toc472442175"/>
      <w:bookmarkStart w:id="1071" w:name="_Toc17799475"/>
      <w:bookmarkStart w:id="1072" w:name="_Toc17881620"/>
      <w:bookmarkStart w:id="1073" w:name="_Toc17882450"/>
      <w:bookmarkStart w:id="1074" w:name="_Toc17882669"/>
      <w:bookmarkStart w:id="1075" w:name="_Toc17882888"/>
      <w:bookmarkStart w:id="1076" w:name="_Toc17883243"/>
      <w:bookmarkStart w:id="1077" w:name="_Toc17892915"/>
      <w:bookmarkStart w:id="1078" w:name="_Toc17893134"/>
      <w:bookmarkStart w:id="1079" w:name="_Toc17893353"/>
      <w:bookmarkStart w:id="1080" w:name="_Toc17894214"/>
      <w:bookmarkStart w:id="1081" w:name="_Toc17894442"/>
      <w:bookmarkStart w:id="1082" w:name="_Toc17969296"/>
      <w:r>
        <w:lastRenderedPageBreak/>
        <w:t>4</w:t>
      </w:r>
      <w:r>
        <w:tab/>
        <w:t>Market imbalances created by regulatory p</w:t>
      </w:r>
      <w:r w:rsidRPr="00E83E52">
        <w:t>olicy</w:t>
      </w:r>
      <w:bookmarkEnd w:id="1070"/>
      <w:bookmarkEnd w:id="1071"/>
      <w:bookmarkEnd w:id="1072"/>
      <w:bookmarkEnd w:id="1073"/>
      <w:bookmarkEnd w:id="1074"/>
      <w:bookmarkEnd w:id="1075"/>
      <w:bookmarkEnd w:id="1076"/>
      <w:bookmarkEnd w:id="1077"/>
      <w:bookmarkEnd w:id="1078"/>
      <w:bookmarkEnd w:id="1079"/>
      <w:bookmarkEnd w:id="1080"/>
      <w:bookmarkEnd w:id="1081"/>
      <w:bookmarkEnd w:id="1082"/>
    </w:p>
    <w:p w14:paraId="06204823" w14:textId="77777777" w:rsidR="00885B99" w:rsidRPr="00E83E52" w:rsidRDefault="00885B99" w:rsidP="00885B99">
      <w:r w:rsidRPr="00E83E52">
        <w:t>These are actions undertake</w:t>
      </w:r>
      <w:r>
        <w:t>n</w:t>
      </w:r>
      <w:r w:rsidRPr="00E83E52">
        <w:t xml:space="preserve"> by the state/a regulator that can make an effect on the dynamics of the market, and can cause market imbalances similar to those created by anti-competitive actions taken by market participants. From the market participant</w:t>
      </w:r>
      <w:r>
        <w:t>'</w:t>
      </w:r>
      <w:r w:rsidRPr="00E83E52">
        <w:t>s perspective, these include:</w:t>
      </w:r>
    </w:p>
    <w:p w14:paraId="1F7C21FC" w14:textId="77777777" w:rsidR="00885B99" w:rsidRPr="00E83E52" w:rsidRDefault="00885B99" w:rsidP="00885B99">
      <w:pPr>
        <w:pStyle w:val="enumlev1"/>
      </w:pPr>
      <w:r w:rsidRPr="003431DF">
        <w:t>•</w:t>
      </w:r>
      <w:r w:rsidRPr="003431DF">
        <w:tab/>
      </w:r>
      <w:r w:rsidRPr="00E83E52">
        <w:t>Inconsistency in the application of related rules, leading to one market participant being advantaged versus others without justification</w:t>
      </w:r>
    </w:p>
    <w:p w14:paraId="78308E05" w14:textId="77777777" w:rsidR="00885B99" w:rsidRPr="00E83E52" w:rsidRDefault="00885B99" w:rsidP="00885B99">
      <w:pPr>
        <w:pStyle w:val="enumlev1"/>
      </w:pPr>
      <w:r w:rsidRPr="003431DF">
        <w:t>•</w:t>
      </w:r>
      <w:r w:rsidRPr="003431DF">
        <w:tab/>
      </w:r>
      <w:r w:rsidRPr="00E83E52">
        <w:t>Inconsistency in the licensing of institutions</w:t>
      </w:r>
    </w:p>
    <w:p w14:paraId="79C54EF9" w14:textId="77777777" w:rsidR="00885B99" w:rsidRPr="00E83E52" w:rsidRDefault="00885B99" w:rsidP="00885B99">
      <w:pPr>
        <w:pStyle w:val="enumlev1"/>
      </w:pPr>
      <w:r w:rsidRPr="003431DF">
        <w:t>•</w:t>
      </w:r>
      <w:r w:rsidRPr="003431DF">
        <w:tab/>
      </w:r>
      <w:r w:rsidRPr="00E83E52">
        <w:t xml:space="preserve">Bans on licensing of specific types of institutions, or restrictions on institutions with a similar focus </w:t>
      </w:r>
      <w:r>
        <w:t>on</w:t>
      </w:r>
      <w:r w:rsidRPr="00E83E52">
        <w:t xml:space="preserve"> licensed institutions</w:t>
      </w:r>
    </w:p>
    <w:p w14:paraId="21739BB9" w14:textId="77777777" w:rsidR="00885B99" w:rsidRPr="00B770C1" w:rsidRDefault="00885B99" w:rsidP="00885B99">
      <w:pPr>
        <w:pStyle w:val="enumlev1"/>
        <w:rPr>
          <w:lang w:val="fr-CH"/>
        </w:rPr>
      </w:pPr>
      <w:r w:rsidRPr="00B770C1">
        <w:rPr>
          <w:lang w:val="fr-CH"/>
        </w:rPr>
        <w:t>•</w:t>
      </w:r>
      <w:r w:rsidRPr="00B770C1">
        <w:rPr>
          <w:lang w:val="fr-CH"/>
        </w:rPr>
        <w:tab/>
        <w:t>Inconsistent tax regimes</w:t>
      </w:r>
    </w:p>
    <w:p w14:paraId="6B29C605" w14:textId="77777777" w:rsidR="00885B99" w:rsidRPr="00B770C1" w:rsidRDefault="00885B99" w:rsidP="00885B99">
      <w:pPr>
        <w:pStyle w:val="enumlev1"/>
        <w:rPr>
          <w:lang w:val="fr-CH"/>
        </w:rPr>
      </w:pPr>
      <w:r w:rsidRPr="00B770C1">
        <w:rPr>
          <w:lang w:val="fr-CH"/>
        </w:rPr>
        <w:t>•</w:t>
      </w:r>
      <w:r w:rsidRPr="00B770C1">
        <w:rPr>
          <w:lang w:val="fr-CH"/>
        </w:rPr>
        <w:tab/>
        <w:t>Inconsistent capital requirements</w:t>
      </w:r>
    </w:p>
    <w:p w14:paraId="3C9EA866" w14:textId="4555C85A" w:rsidR="00885B99" w:rsidRDefault="00885B99" w:rsidP="00885B99">
      <w:pPr>
        <w:pStyle w:val="enumlev1"/>
      </w:pPr>
      <w:r w:rsidRPr="003431DF">
        <w:t>•</w:t>
      </w:r>
      <w:r w:rsidRPr="003431DF">
        <w:tab/>
      </w:r>
      <w:r w:rsidRPr="00E83E52">
        <w:t>Setting of inconsistent pricing without justification</w:t>
      </w:r>
      <w:r w:rsidR="009F4F76">
        <w:t>.</w:t>
      </w:r>
    </w:p>
    <w:p w14:paraId="2DAF3130" w14:textId="77777777" w:rsidR="00885B99" w:rsidRDefault="00885B99" w:rsidP="00885B99"/>
    <w:p w14:paraId="34FEDA00" w14:textId="77777777" w:rsidR="00885B99" w:rsidRDefault="00885B99" w:rsidP="00D73E8A"/>
    <w:p w14:paraId="2FFE0A7E" w14:textId="77777777" w:rsidR="00885B99" w:rsidRDefault="00885B99">
      <w:pPr>
        <w:jc w:val="center"/>
      </w:pPr>
      <w:r>
        <w:t>______________</w:t>
      </w:r>
    </w:p>
    <w:p w14:paraId="3FE54B1B" w14:textId="77777777" w:rsidR="00885B99" w:rsidRDefault="00885B99" w:rsidP="00885B99"/>
    <w:sectPr w:rsidR="00885B99" w:rsidSect="009375FE">
      <w:footerReference w:type="even" r:id="rId19"/>
      <w:footerReference w:type="default" r:id="rId20"/>
      <w:pgSz w:w="11907" w:h="16834" w:code="9"/>
      <w:pgMar w:top="1134" w:right="1134" w:bottom="1134" w:left="1134" w:header="567" w:footer="567"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C8564" w14:textId="77777777" w:rsidR="00FB56C4" w:rsidRDefault="00FB56C4">
      <w:r>
        <w:separator/>
      </w:r>
    </w:p>
  </w:endnote>
  <w:endnote w:type="continuationSeparator" w:id="0">
    <w:p w14:paraId="05EEC677" w14:textId="77777777" w:rsidR="00FB56C4" w:rsidRDefault="00FB5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Next Medium">
    <w:altName w:val="Times New Roman"/>
    <w:charset w:val="00"/>
    <w:family w:val="auto"/>
    <w:pitch w:val="variable"/>
    <w:sig w:usb0="8000002F" w:usb1="5000204A" w:usb2="00000000" w:usb3="00000000" w:csb0="0000009B"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83482" w14:textId="7DFFB74A" w:rsidR="00730709" w:rsidRDefault="00730709" w:rsidP="009375FE">
    <w:pPr>
      <w:tabs>
        <w:tab w:val="clear" w:pos="794"/>
        <w:tab w:val="left" w:pos="851"/>
      </w:tabs>
      <w:jc w:val="left"/>
    </w:pPr>
    <w:r w:rsidRPr="0084023B">
      <w:rPr>
        <w:rStyle w:val="PageNumber"/>
        <w:rFonts w:ascii="Times New Roman Bold" w:hAnsi="Times New Roman Bold"/>
        <w:b/>
        <w:bCs/>
        <w:sz w:val="20"/>
      </w:rPr>
      <w:fldChar w:fldCharType="begin"/>
    </w:r>
    <w:r w:rsidRPr="0084023B">
      <w:rPr>
        <w:rStyle w:val="PageNumber"/>
        <w:rFonts w:ascii="Times New Roman Bold" w:hAnsi="Times New Roman Bold"/>
        <w:b/>
        <w:bCs/>
        <w:sz w:val="20"/>
      </w:rPr>
      <w:instrText xml:space="preserve"> PAGE </w:instrText>
    </w:r>
    <w:r w:rsidRPr="0084023B">
      <w:rPr>
        <w:rStyle w:val="PageNumber"/>
        <w:rFonts w:ascii="Times New Roman Bold" w:hAnsi="Times New Roman Bold"/>
        <w:b/>
        <w:bCs/>
        <w:sz w:val="20"/>
      </w:rPr>
      <w:fldChar w:fldCharType="separate"/>
    </w:r>
    <w:r w:rsidR="00D4014A">
      <w:rPr>
        <w:rStyle w:val="PageNumber"/>
        <w:rFonts w:ascii="Times New Roman Bold" w:hAnsi="Times New Roman Bold"/>
        <w:b/>
        <w:bCs/>
        <w:noProof/>
        <w:sz w:val="20"/>
      </w:rPr>
      <w:t>6</w:t>
    </w:r>
    <w:r w:rsidRPr="0084023B">
      <w:rPr>
        <w:rStyle w:val="PageNumber"/>
        <w:rFonts w:ascii="Times New Roman Bold" w:hAnsi="Times New Roman Bold"/>
        <w:b/>
        <w:bCs/>
        <w:sz w:val="20"/>
      </w:rPr>
      <w:fldChar w:fldCharType="end"/>
    </w:r>
    <w:r w:rsidRPr="00240B46">
      <w:rPr>
        <w:b/>
        <w:sz w:val="20"/>
      </w:rPr>
      <w:t xml:space="preserve"> </w:t>
    </w:r>
    <w:r>
      <w:rPr>
        <w:b/>
        <w:sz w:val="20"/>
      </w:rPr>
      <w:tab/>
    </w:r>
    <w:r w:rsidR="000D0022" w:rsidRPr="00E17FFE">
      <w:rPr>
        <w:b/>
        <w:sz w:val="20"/>
      </w:rPr>
      <w:t>DSTR-DFS</w:t>
    </w:r>
    <w:r w:rsidR="000D0022">
      <w:rPr>
        <w:b/>
        <w:sz w:val="20"/>
      </w:rPr>
      <w:t>CA</w:t>
    </w:r>
    <w:r w:rsidR="000D0022">
      <w:rPr>
        <w:sz w:val="20"/>
      </w:rPr>
      <w:t xml:space="preserve"> </w:t>
    </w:r>
    <w:r w:rsidR="000D0022" w:rsidRPr="0084023B">
      <w:rPr>
        <w:b/>
        <w:sz w:val="20"/>
      </w:rPr>
      <w:t>(</w:t>
    </w:r>
    <w:r w:rsidR="000D0022">
      <w:rPr>
        <w:b/>
        <w:sz w:val="20"/>
      </w:rPr>
      <w:t>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813B7" w14:textId="45DEC10F" w:rsidR="00730709" w:rsidRPr="0084023B" w:rsidRDefault="009375FE" w:rsidP="009375FE">
    <w:pPr>
      <w:tabs>
        <w:tab w:val="clear" w:pos="794"/>
        <w:tab w:val="clear" w:pos="1191"/>
        <w:tab w:val="clear" w:pos="1588"/>
        <w:tab w:val="clear" w:pos="1985"/>
        <w:tab w:val="left" w:pos="851"/>
        <w:tab w:val="right" w:pos="8789"/>
        <w:tab w:val="right" w:pos="9639"/>
      </w:tabs>
      <w:jc w:val="left"/>
      <w:rPr>
        <w:b/>
        <w:sz w:val="20"/>
      </w:rPr>
    </w:pPr>
    <w:r>
      <w:rPr>
        <w:b/>
        <w:sz w:val="20"/>
      </w:rPr>
      <w:tab/>
    </w:r>
    <w:r>
      <w:rPr>
        <w:b/>
        <w:sz w:val="20"/>
      </w:rPr>
      <w:tab/>
    </w:r>
    <w:r w:rsidR="00730709" w:rsidRPr="00E17FFE">
      <w:rPr>
        <w:b/>
        <w:sz w:val="20"/>
      </w:rPr>
      <w:t>DSTR-DFS</w:t>
    </w:r>
    <w:r w:rsidR="000D0022">
      <w:rPr>
        <w:b/>
        <w:sz w:val="20"/>
      </w:rPr>
      <w:t>CA</w:t>
    </w:r>
    <w:r w:rsidR="00730709">
      <w:rPr>
        <w:sz w:val="20"/>
      </w:rPr>
      <w:t xml:space="preserve"> </w:t>
    </w:r>
    <w:r w:rsidR="00730709" w:rsidRPr="0084023B">
      <w:rPr>
        <w:b/>
        <w:sz w:val="20"/>
      </w:rPr>
      <w:t>(</w:t>
    </w:r>
    <w:r w:rsidR="00730709">
      <w:rPr>
        <w:b/>
        <w:sz w:val="20"/>
      </w:rPr>
      <w:t>2019</w:t>
    </w:r>
    <w:r>
      <w:rPr>
        <w:b/>
        <w:sz w:val="20"/>
      </w:rPr>
      <w:t>)</w:t>
    </w:r>
    <w:r w:rsidR="00730709" w:rsidRPr="0084023B">
      <w:rPr>
        <w:b/>
        <w:sz w:val="20"/>
      </w:rPr>
      <w:tab/>
    </w:r>
    <w:r w:rsidR="00730709" w:rsidRPr="0084023B">
      <w:rPr>
        <w:rStyle w:val="PageNumber"/>
        <w:rFonts w:ascii="Times New Roman Bold" w:hAnsi="Times New Roman Bold"/>
        <w:b/>
        <w:bCs/>
        <w:sz w:val="20"/>
      </w:rPr>
      <w:fldChar w:fldCharType="begin"/>
    </w:r>
    <w:r w:rsidR="00730709" w:rsidRPr="0084023B">
      <w:rPr>
        <w:rStyle w:val="PageNumber"/>
        <w:rFonts w:ascii="Times New Roman Bold" w:hAnsi="Times New Roman Bold"/>
        <w:b/>
        <w:bCs/>
        <w:sz w:val="20"/>
      </w:rPr>
      <w:instrText xml:space="preserve"> PAGE </w:instrText>
    </w:r>
    <w:r w:rsidR="00730709" w:rsidRPr="0084023B">
      <w:rPr>
        <w:rStyle w:val="PageNumber"/>
        <w:rFonts w:ascii="Times New Roman Bold" w:hAnsi="Times New Roman Bold"/>
        <w:b/>
        <w:bCs/>
        <w:sz w:val="20"/>
      </w:rPr>
      <w:fldChar w:fldCharType="separate"/>
    </w:r>
    <w:r w:rsidR="00D4014A">
      <w:rPr>
        <w:rStyle w:val="PageNumber"/>
        <w:rFonts w:ascii="Times New Roman Bold" w:hAnsi="Times New Roman Bold"/>
        <w:b/>
        <w:bCs/>
        <w:noProof/>
        <w:sz w:val="20"/>
      </w:rPr>
      <w:t>5</w:t>
    </w:r>
    <w:r w:rsidR="00730709" w:rsidRPr="0084023B">
      <w:rPr>
        <w:rStyle w:val="PageNumber"/>
        <w:rFonts w:ascii="Times New Roman Bold" w:hAnsi="Times New Roman Bold"/>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EF90F" w14:textId="5E7335A5" w:rsidR="00730709" w:rsidRDefault="00730709" w:rsidP="00FC15A2">
    <w:pPr>
      <w:tabs>
        <w:tab w:val="left" w:pos="360"/>
        <w:tab w:val="right" w:pos="9600"/>
      </w:tabs>
      <w:ind w:right="-162"/>
      <w:rPr>
        <w:b/>
        <w:bCs/>
        <w:sz w:val="22"/>
      </w:rPr>
    </w:pPr>
    <w:r>
      <w:rPr>
        <w:noProof/>
        <w:lang w:eastAsia="en-GB"/>
      </w:rPr>
      <w:drawing>
        <wp:anchor distT="0" distB="0" distL="114300" distR="114300" simplePos="0" relativeHeight="251658752" behindDoc="0" locked="0" layoutInCell="1" allowOverlap="1" wp14:anchorId="579CED06" wp14:editId="3A3DDC3E">
          <wp:simplePos x="0" y="0"/>
          <wp:positionH relativeFrom="margin">
            <wp:posOffset>5645785</wp:posOffset>
          </wp:positionH>
          <wp:positionV relativeFrom="margin">
            <wp:posOffset>8547735</wp:posOffset>
          </wp:positionV>
          <wp:extent cx="864000" cy="1224000"/>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ITU-RGB-.png"/>
                  <pic:cNvPicPr/>
                </pic:nvPicPr>
                <pic:blipFill>
                  <a:blip r:embed="rId1">
                    <a:extLst>
                      <a:ext uri="{28A0092B-C50C-407E-A947-70E740481C1C}">
                        <a14:useLocalDpi xmlns:a14="http://schemas.microsoft.com/office/drawing/2010/main" val="0"/>
                      </a:ext>
                    </a:extLst>
                  </a:blip>
                  <a:stretch>
                    <a:fillRect/>
                  </a:stretch>
                </pic:blipFill>
                <pic:spPr>
                  <a:xfrm>
                    <a:off x="0" y="0"/>
                    <a:ext cx="864000" cy="1224000"/>
                  </a:xfrm>
                  <a:prstGeom prst="rect">
                    <a:avLst/>
                  </a:prstGeom>
                </pic:spPr>
              </pic:pic>
            </a:graphicData>
          </a:graphic>
          <wp14:sizeRelH relativeFrom="margin">
            <wp14:pctWidth>0</wp14:pctWidth>
          </wp14:sizeRelH>
          <wp14:sizeRelV relativeFrom="margin">
            <wp14:pctHeight>0</wp14:pctHeight>
          </wp14:sizeRelV>
        </wp:anchor>
      </w:drawing>
    </w:r>
    <w:r>
      <w:rPr>
        <w:b/>
        <w:bCs/>
        <w:sz w:val="22"/>
      </w:rPr>
      <w:tab/>
    </w:r>
    <w:r>
      <w:rPr>
        <w:rStyle w:val="PageNumber"/>
        <w:b/>
        <w:bCs/>
      </w:rPr>
      <w:fldChar w:fldCharType="begin"/>
    </w:r>
    <w:r>
      <w:rPr>
        <w:rStyle w:val="PageNumber"/>
        <w:b/>
        <w:bCs/>
      </w:rPr>
      <w:instrText xml:space="preserve"> PAGE </w:instrText>
    </w:r>
    <w:r>
      <w:rPr>
        <w:rStyle w:val="PageNumber"/>
        <w:b/>
        <w:bCs/>
      </w:rPr>
      <w:fldChar w:fldCharType="separate"/>
    </w:r>
    <w:r w:rsidR="00B770C1">
      <w:rPr>
        <w:rStyle w:val="PageNumber"/>
        <w:b/>
        <w:bCs/>
        <w:noProof/>
      </w:rPr>
      <w:t>i</w:t>
    </w:r>
    <w:r>
      <w:rPr>
        <w:rStyle w:val="PageNumber"/>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07B37" w14:textId="5CD023B8" w:rsidR="00730709" w:rsidRDefault="00730709" w:rsidP="0055536E">
    <w:pPr>
      <w:jc w:val="left"/>
    </w:pPr>
    <w:r w:rsidRPr="0084023B">
      <w:rPr>
        <w:rStyle w:val="PageNumber"/>
        <w:rFonts w:ascii="Times New Roman Bold" w:hAnsi="Times New Roman Bold"/>
        <w:b/>
        <w:bCs/>
        <w:sz w:val="20"/>
      </w:rPr>
      <w:fldChar w:fldCharType="begin"/>
    </w:r>
    <w:r w:rsidRPr="0084023B">
      <w:rPr>
        <w:rStyle w:val="PageNumber"/>
        <w:rFonts w:ascii="Times New Roman Bold" w:hAnsi="Times New Roman Bold"/>
        <w:b/>
        <w:bCs/>
        <w:sz w:val="20"/>
      </w:rPr>
      <w:instrText xml:space="preserve"> PAGE </w:instrText>
    </w:r>
    <w:r w:rsidRPr="0084023B">
      <w:rPr>
        <w:rStyle w:val="PageNumber"/>
        <w:rFonts w:ascii="Times New Roman Bold" w:hAnsi="Times New Roman Bold"/>
        <w:b/>
        <w:bCs/>
        <w:sz w:val="20"/>
      </w:rPr>
      <w:fldChar w:fldCharType="separate"/>
    </w:r>
    <w:r w:rsidR="00D4014A">
      <w:rPr>
        <w:rStyle w:val="PageNumber"/>
        <w:rFonts w:ascii="Times New Roman Bold" w:hAnsi="Times New Roman Bold"/>
        <w:b/>
        <w:bCs/>
        <w:noProof/>
        <w:sz w:val="20"/>
      </w:rPr>
      <w:t>16</w:t>
    </w:r>
    <w:r w:rsidRPr="0084023B">
      <w:rPr>
        <w:rStyle w:val="PageNumber"/>
        <w:rFonts w:ascii="Times New Roman Bold" w:hAnsi="Times New Roman Bold"/>
        <w:b/>
        <w:bCs/>
        <w:sz w:val="20"/>
      </w:rPr>
      <w:fldChar w:fldCharType="end"/>
    </w:r>
    <w:r w:rsidRPr="00240B46">
      <w:rPr>
        <w:b/>
        <w:sz w:val="20"/>
      </w:rPr>
      <w:t xml:space="preserve"> </w:t>
    </w:r>
    <w:r>
      <w:rPr>
        <w:b/>
        <w:sz w:val="20"/>
      </w:rPr>
      <w:tab/>
    </w:r>
    <w:r w:rsidR="000D0022" w:rsidRPr="00E17FFE">
      <w:rPr>
        <w:b/>
        <w:sz w:val="20"/>
      </w:rPr>
      <w:t>DSTR-DFS</w:t>
    </w:r>
    <w:r w:rsidR="000D0022">
      <w:rPr>
        <w:b/>
        <w:sz w:val="20"/>
      </w:rPr>
      <w:t>CA</w:t>
    </w:r>
    <w:r w:rsidR="000D0022">
      <w:rPr>
        <w:sz w:val="20"/>
      </w:rPr>
      <w:t xml:space="preserve"> </w:t>
    </w:r>
    <w:r w:rsidR="000D0022" w:rsidRPr="0084023B">
      <w:rPr>
        <w:b/>
        <w:sz w:val="20"/>
      </w:rPr>
      <w:t>(</w:t>
    </w:r>
    <w:r w:rsidR="000D0022">
      <w:rPr>
        <w:b/>
        <w:sz w:val="20"/>
      </w:rPr>
      <w:t>2019)</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C768B" w14:textId="3ADA7D7A" w:rsidR="009375FE" w:rsidRPr="0084023B" w:rsidRDefault="009375FE" w:rsidP="009375FE">
    <w:pPr>
      <w:tabs>
        <w:tab w:val="clear" w:pos="794"/>
        <w:tab w:val="clear" w:pos="1191"/>
        <w:tab w:val="clear" w:pos="1588"/>
        <w:tab w:val="clear" w:pos="1985"/>
        <w:tab w:val="left" w:pos="851"/>
        <w:tab w:val="right" w:pos="8789"/>
        <w:tab w:val="right" w:pos="9639"/>
      </w:tabs>
      <w:jc w:val="left"/>
      <w:rPr>
        <w:b/>
        <w:sz w:val="20"/>
      </w:rPr>
    </w:pPr>
    <w:r w:rsidRPr="0084023B">
      <w:rPr>
        <w:rStyle w:val="PageNumber"/>
        <w:rFonts w:ascii="Times New Roman Bold" w:hAnsi="Times New Roman Bold"/>
        <w:b/>
        <w:bCs/>
        <w:sz w:val="20"/>
      </w:rPr>
      <w:fldChar w:fldCharType="begin"/>
    </w:r>
    <w:r w:rsidRPr="0084023B">
      <w:rPr>
        <w:rStyle w:val="PageNumber"/>
        <w:rFonts w:ascii="Times New Roman Bold" w:hAnsi="Times New Roman Bold"/>
        <w:b/>
        <w:bCs/>
        <w:sz w:val="20"/>
      </w:rPr>
      <w:instrText xml:space="preserve"> PAGE </w:instrText>
    </w:r>
    <w:r w:rsidRPr="0084023B">
      <w:rPr>
        <w:rStyle w:val="PageNumber"/>
        <w:rFonts w:ascii="Times New Roman Bold" w:hAnsi="Times New Roman Bold"/>
        <w:b/>
        <w:bCs/>
        <w:sz w:val="20"/>
      </w:rPr>
      <w:fldChar w:fldCharType="separate"/>
    </w:r>
    <w:r w:rsidR="00D4014A">
      <w:rPr>
        <w:rStyle w:val="PageNumber"/>
        <w:rFonts w:ascii="Times New Roman Bold" w:hAnsi="Times New Roman Bold"/>
        <w:b/>
        <w:bCs/>
        <w:noProof/>
        <w:sz w:val="20"/>
      </w:rPr>
      <w:t>15</w:t>
    </w:r>
    <w:r w:rsidRPr="0084023B">
      <w:rPr>
        <w:rStyle w:val="PageNumber"/>
        <w:rFonts w:ascii="Times New Roman Bold" w:hAnsi="Times New Roman Bold"/>
        <w:b/>
        <w:bCs/>
        <w:sz w:val="20"/>
      </w:rPr>
      <w:fldChar w:fldCharType="end"/>
    </w:r>
    <w:r>
      <w:rPr>
        <w:b/>
        <w:sz w:val="20"/>
      </w:rPr>
      <w:tab/>
    </w:r>
    <w:r w:rsidR="000D0022" w:rsidRPr="00E17FFE">
      <w:rPr>
        <w:b/>
        <w:sz w:val="20"/>
      </w:rPr>
      <w:t>DSTR-DFS</w:t>
    </w:r>
    <w:r w:rsidR="000D0022">
      <w:rPr>
        <w:b/>
        <w:sz w:val="20"/>
      </w:rPr>
      <w:t>CA</w:t>
    </w:r>
    <w:r w:rsidR="000D0022">
      <w:rPr>
        <w:sz w:val="20"/>
      </w:rPr>
      <w:t xml:space="preserve"> </w:t>
    </w:r>
    <w:r w:rsidR="000D0022" w:rsidRPr="0084023B">
      <w:rPr>
        <w:b/>
        <w:sz w:val="20"/>
      </w:rPr>
      <w:t>(</w:t>
    </w:r>
    <w:r w:rsidR="000D0022">
      <w:rPr>
        <w:b/>
        <w:sz w:val="20"/>
      </w:rPr>
      <w:t>2019)</w:t>
    </w:r>
    <w:r w:rsidRPr="0084023B">
      <w:rPr>
        <w:b/>
        <w:sz w:val="20"/>
      </w:rP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9C0FD" w14:textId="34DDD94E" w:rsidR="009375FE" w:rsidRDefault="009375FE" w:rsidP="009375FE">
    <w:pPr>
      <w:tabs>
        <w:tab w:val="clear" w:pos="794"/>
        <w:tab w:val="left" w:pos="851"/>
      </w:tabs>
      <w:jc w:val="left"/>
    </w:pPr>
    <w:r w:rsidRPr="0084023B">
      <w:rPr>
        <w:rStyle w:val="PageNumber"/>
        <w:rFonts w:ascii="Times New Roman Bold" w:hAnsi="Times New Roman Bold"/>
        <w:b/>
        <w:bCs/>
        <w:sz w:val="20"/>
      </w:rPr>
      <w:fldChar w:fldCharType="begin"/>
    </w:r>
    <w:r w:rsidRPr="0084023B">
      <w:rPr>
        <w:rStyle w:val="PageNumber"/>
        <w:rFonts w:ascii="Times New Roman Bold" w:hAnsi="Times New Roman Bold"/>
        <w:b/>
        <w:bCs/>
        <w:sz w:val="20"/>
      </w:rPr>
      <w:instrText xml:space="preserve"> PAGE </w:instrText>
    </w:r>
    <w:r w:rsidRPr="0084023B">
      <w:rPr>
        <w:rStyle w:val="PageNumber"/>
        <w:rFonts w:ascii="Times New Roman Bold" w:hAnsi="Times New Roman Bold"/>
        <w:b/>
        <w:bCs/>
        <w:sz w:val="20"/>
      </w:rPr>
      <w:fldChar w:fldCharType="separate"/>
    </w:r>
    <w:r w:rsidR="00D4014A">
      <w:rPr>
        <w:rStyle w:val="PageNumber"/>
        <w:rFonts w:ascii="Times New Roman Bold" w:hAnsi="Times New Roman Bold"/>
        <w:b/>
        <w:bCs/>
        <w:noProof/>
        <w:sz w:val="20"/>
      </w:rPr>
      <w:t>20</w:t>
    </w:r>
    <w:r w:rsidRPr="0084023B">
      <w:rPr>
        <w:rStyle w:val="PageNumber"/>
        <w:rFonts w:ascii="Times New Roman Bold" w:hAnsi="Times New Roman Bold"/>
        <w:b/>
        <w:bCs/>
        <w:sz w:val="20"/>
      </w:rPr>
      <w:fldChar w:fldCharType="end"/>
    </w:r>
    <w:r w:rsidRPr="00240B46">
      <w:rPr>
        <w:b/>
        <w:sz w:val="20"/>
      </w:rPr>
      <w:t xml:space="preserve"> </w:t>
    </w:r>
    <w:r>
      <w:rPr>
        <w:b/>
        <w:sz w:val="20"/>
      </w:rPr>
      <w:tab/>
    </w:r>
    <w:r w:rsidR="000D0022" w:rsidRPr="00E17FFE">
      <w:rPr>
        <w:b/>
        <w:sz w:val="20"/>
      </w:rPr>
      <w:t>DSTR-DFS</w:t>
    </w:r>
    <w:r w:rsidR="000D0022">
      <w:rPr>
        <w:b/>
        <w:sz w:val="20"/>
      </w:rPr>
      <w:t>CA</w:t>
    </w:r>
    <w:r w:rsidR="000D0022">
      <w:rPr>
        <w:sz w:val="20"/>
      </w:rPr>
      <w:t xml:space="preserve"> </w:t>
    </w:r>
    <w:r w:rsidR="000D0022" w:rsidRPr="0084023B">
      <w:rPr>
        <w:b/>
        <w:sz w:val="20"/>
      </w:rPr>
      <w:t>(</w:t>
    </w:r>
    <w:r w:rsidR="000D0022">
      <w:rPr>
        <w:b/>
        <w:sz w:val="20"/>
      </w:rPr>
      <w:t>2019)</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2103B" w14:textId="1CDC7629" w:rsidR="00730709" w:rsidRPr="009375FE" w:rsidRDefault="009375FE" w:rsidP="009375FE">
    <w:pPr>
      <w:tabs>
        <w:tab w:val="clear" w:pos="794"/>
        <w:tab w:val="clear" w:pos="1191"/>
        <w:tab w:val="clear" w:pos="1588"/>
        <w:tab w:val="clear" w:pos="1985"/>
        <w:tab w:val="left" w:pos="851"/>
        <w:tab w:val="right" w:pos="8789"/>
        <w:tab w:val="right" w:pos="9639"/>
      </w:tabs>
      <w:jc w:val="left"/>
      <w:rPr>
        <w:b/>
        <w:sz w:val="20"/>
      </w:rPr>
    </w:pPr>
    <w:r>
      <w:rPr>
        <w:b/>
        <w:sz w:val="20"/>
      </w:rPr>
      <w:tab/>
    </w:r>
    <w:r>
      <w:rPr>
        <w:b/>
        <w:sz w:val="20"/>
      </w:rPr>
      <w:tab/>
    </w:r>
    <w:r w:rsidR="000D0022" w:rsidRPr="00E17FFE">
      <w:rPr>
        <w:b/>
        <w:sz w:val="20"/>
      </w:rPr>
      <w:t>DSTR-DFS</w:t>
    </w:r>
    <w:r w:rsidR="000D0022">
      <w:rPr>
        <w:b/>
        <w:sz w:val="20"/>
      </w:rPr>
      <w:t>CA</w:t>
    </w:r>
    <w:r w:rsidR="000D0022">
      <w:rPr>
        <w:sz w:val="20"/>
      </w:rPr>
      <w:t xml:space="preserve"> </w:t>
    </w:r>
    <w:r w:rsidR="000D0022" w:rsidRPr="0084023B">
      <w:rPr>
        <w:b/>
        <w:sz w:val="20"/>
      </w:rPr>
      <w:t>(</w:t>
    </w:r>
    <w:r w:rsidR="000D0022">
      <w:rPr>
        <w:b/>
        <w:sz w:val="20"/>
      </w:rPr>
      <w:t>2019)</w:t>
    </w:r>
    <w:r w:rsidRPr="0084023B">
      <w:rPr>
        <w:b/>
        <w:sz w:val="20"/>
      </w:rPr>
      <w:tab/>
    </w:r>
    <w:r w:rsidRPr="0084023B">
      <w:rPr>
        <w:rStyle w:val="PageNumber"/>
        <w:rFonts w:ascii="Times New Roman Bold" w:hAnsi="Times New Roman Bold"/>
        <w:b/>
        <w:bCs/>
        <w:sz w:val="20"/>
      </w:rPr>
      <w:fldChar w:fldCharType="begin"/>
    </w:r>
    <w:r w:rsidRPr="0084023B">
      <w:rPr>
        <w:rStyle w:val="PageNumber"/>
        <w:rFonts w:ascii="Times New Roman Bold" w:hAnsi="Times New Roman Bold"/>
        <w:b/>
        <w:bCs/>
        <w:sz w:val="20"/>
      </w:rPr>
      <w:instrText xml:space="preserve"> PAGE </w:instrText>
    </w:r>
    <w:r w:rsidRPr="0084023B">
      <w:rPr>
        <w:rStyle w:val="PageNumber"/>
        <w:rFonts w:ascii="Times New Roman Bold" w:hAnsi="Times New Roman Bold"/>
        <w:b/>
        <w:bCs/>
        <w:sz w:val="20"/>
      </w:rPr>
      <w:fldChar w:fldCharType="separate"/>
    </w:r>
    <w:r w:rsidR="00D4014A">
      <w:rPr>
        <w:rStyle w:val="PageNumber"/>
        <w:rFonts w:ascii="Times New Roman Bold" w:hAnsi="Times New Roman Bold"/>
        <w:b/>
        <w:bCs/>
        <w:noProof/>
        <w:sz w:val="20"/>
      </w:rPr>
      <w:t>19</w:t>
    </w:r>
    <w:r w:rsidRPr="0084023B">
      <w:rPr>
        <w:rStyle w:val="PageNumber"/>
        <w:rFonts w:ascii="Times New Roman Bold" w:hAnsi="Times New Roman Bold"/>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E8803" w14:textId="77777777" w:rsidR="00FB56C4" w:rsidRDefault="00FB56C4">
      <w:r>
        <w:t>____________________</w:t>
      </w:r>
    </w:p>
  </w:footnote>
  <w:footnote w:type="continuationSeparator" w:id="0">
    <w:p w14:paraId="78F580D5" w14:textId="77777777" w:rsidR="00FB56C4" w:rsidRDefault="00FB56C4">
      <w:r>
        <w:continuationSeparator/>
      </w:r>
    </w:p>
  </w:footnote>
  <w:footnote w:id="1">
    <w:p w14:paraId="24D94F2B" w14:textId="77777777" w:rsidR="00730709" w:rsidRPr="00035A23" w:rsidRDefault="00730709" w:rsidP="00885B99">
      <w:pPr>
        <w:pStyle w:val="FootnoteText"/>
      </w:pPr>
      <w:r>
        <w:rPr>
          <w:rStyle w:val="FootnoteReference"/>
        </w:rPr>
        <w:footnoteRef/>
      </w:r>
      <w:r>
        <w:t xml:space="preserve"> </w:t>
      </w:r>
      <w:r w:rsidRPr="00035A23">
        <w:tab/>
      </w:r>
      <w:r w:rsidRPr="00D3155E">
        <w:rPr>
          <w:color w:val="000000" w:themeColor="text1"/>
          <w:szCs w:val="18"/>
        </w:rPr>
        <w:t>The short competition law primer in Annex A provides further details.</w:t>
      </w:r>
    </w:p>
  </w:footnote>
  <w:footnote w:id="2">
    <w:p w14:paraId="3FBEDFAA" w14:textId="77777777"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 xml:space="preserve">This tension in application was noted in a competition report by the GSMA. See GSMA (2016a) </w:t>
      </w:r>
      <w:r w:rsidRPr="00D3155E">
        <w:rPr>
          <w:i/>
          <w:color w:val="000000" w:themeColor="text1"/>
          <w:szCs w:val="18"/>
        </w:rPr>
        <w:t xml:space="preserve">ibid; </w:t>
      </w:r>
      <w:r w:rsidRPr="00D3155E">
        <w:rPr>
          <w:color w:val="000000" w:themeColor="text1"/>
          <w:szCs w:val="18"/>
        </w:rPr>
        <w:t>and</w:t>
      </w:r>
      <w:r w:rsidRPr="00D3155E">
        <w:rPr>
          <w:i/>
          <w:color w:val="000000" w:themeColor="text1"/>
          <w:szCs w:val="18"/>
        </w:rPr>
        <w:t xml:space="preserve"> Concurrences </w:t>
      </w:r>
      <w:r w:rsidRPr="00D3155E">
        <w:rPr>
          <w:color w:val="000000" w:themeColor="text1"/>
          <w:szCs w:val="18"/>
        </w:rPr>
        <w:t>(2016)</w:t>
      </w:r>
      <w:r w:rsidRPr="00D3155E">
        <w:rPr>
          <w:i/>
          <w:color w:val="000000" w:themeColor="text1"/>
          <w:szCs w:val="18"/>
        </w:rPr>
        <w:t xml:space="preserve"> ibid.</w:t>
      </w:r>
    </w:p>
  </w:footnote>
  <w:footnote w:id="3">
    <w:p w14:paraId="18975BB2" w14:textId="77777777"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 xml:space="preserve">There are various approaches to defining a market, the methods of which are beyond the scope of this paper. Briefly, a market definition is a tool used by regulators to identify and define the boundaries of competition between entities so as to establish the framework within which competition policy principles can be applied. This may identify in a systematic way competitive constraints that market participants face. For example, some regulators employ the </w:t>
      </w:r>
      <w:r>
        <w:rPr>
          <w:color w:val="000000" w:themeColor="text1"/>
          <w:szCs w:val="18"/>
        </w:rPr>
        <w:t>'</w:t>
      </w:r>
      <w:r w:rsidRPr="00D3155E">
        <w:rPr>
          <w:color w:val="000000" w:themeColor="text1"/>
          <w:szCs w:val="18"/>
        </w:rPr>
        <w:t>Hypothetical Monopolist Test,</w:t>
      </w:r>
      <w:r>
        <w:rPr>
          <w:color w:val="000000" w:themeColor="text1"/>
          <w:szCs w:val="18"/>
        </w:rPr>
        <w:t>'</w:t>
      </w:r>
      <w:r w:rsidRPr="00D3155E">
        <w:rPr>
          <w:color w:val="000000" w:themeColor="text1"/>
          <w:szCs w:val="18"/>
        </w:rPr>
        <w:t xml:space="preserve"> also known as the SSNIP (Small but Significant and Non-transitory Increase in Price) test. See further </w:t>
      </w:r>
      <w:r w:rsidRPr="00D3155E">
        <w:rPr>
          <w:i/>
          <w:color w:val="000000" w:themeColor="text1"/>
          <w:szCs w:val="18"/>
        </w:rPr>
        <w:t xml:space="preserve">Concurrences </w:t>
      </w:r>
      <w:r w:rsidRPr="00D3155E">
        <w:rPr>
          <w:color w:val="000000" w:themeColor="text1"/>
          <w:szCs w:val="18"/>
        </w:rPr>
        <w:t>(2016)</w:t>
      </w:r>
      <w:r w:rsidRPr="00D3155E">
        <w:rPr>
          <w:i/>
          <w:color w:val="000000" w:themeColor="text1"/>
          <w:szCs w:val="18"/>
        </w:rPr>
        <w:t xml:space="preserve"> Glossary, </w:t>
      </w:r>
      <w:r w:rsidRPr="00D3155E">
        <w:rPr>
          <w:color w:val="000000" w:themeColor="text1"/>
          <w:szCs w:val="18"/>
        </w:rPr>
        <w:t>available at</w:t>
      </w:r>
      <w:r w:rsidRPr="00D3155E">
        <w:rPr>
          <w:i/>
          <w:color w:val="000000" w:themeColor="text1"/>
          <w:szCs w:val="18"/>
        </w:rPr>
        <w:t xml:space="preserve"> </w:t>
      </w:r>
      <w:hyperlink r:id="rId1" w:history="1">
        <w:r w:rsidRPr="00EF25C9">
          <w:rPr>
            <w:rStyle w:val="Hyperlink"/>
            <w:szCs w:val="18"/>
          </w:rPr>
          <w:t>https://goo.gl/nR9pPK</w:t>
        </w:r>
      </w:hyperlink>
      <w:r w:rsidRPr="00D3155E">
        <w:rPr>
          <w:color w:val="000000" w:themeColor="text1"/>
          <w:szCs w:val="18"/>
        </w:rPr>
        <w:t xml:space="preserve">, and GSMA (2016a) </w:t>
      </w:r>
      <w:r w:rsidRPr="00D3155E">
        <w:rPr>
          <w:i/>
          <w:color w:val="000000" w:themeColor="text1"/>
          <w:szCs w:val="18"/>
        </w:rPr>
        <w:t>Resetting Competition Policy Frameworks For The Digital Ecosystem</w:t>
      </w:r>
      <w:r w:rsidRPr="00D3155E">
        <w:rPr>
          <w:color w:val="000000" w:themeColor="text1"/>
          <w:szCs w:val="18"/>
        </w:rPr>
        <w:t xml:space="preserve">, available at </w:t>
      </w:r>
      <w:hyperlink r:id="rId2" w:history="1">
        <w:r w:rsidRPr="00EF25C9">
          <w:rPr>
            <w:rStyle w:val="Hyperlink"/>
            <w:szCs w:val="18"/>
          </w:rPr>
          <w:t>https://goo.gl/YHBMxv</w:t>
        </w:r>
      </w:hyperlink>
    </w:p>
  </w:footnote>
  <w:footnote w:id="4">
    <w:p w14:paraId="01A57477" w14:textId="77777777" w:rsidR="00730709" w:rsidRPr="00035A23" w:rsidRDefault="00730709" w:rsidP="00885B99">
      <w:pPr>
        <w:pStyle w:val="FootnoteText"/>
      </w:pPr>
      <w:r>
        <w:rPr>
          <w:rStyle w:val="FootnoteReference"/>
        </w:rPr>
        <w:footnoteRef/>
      </w:r>
      <w:r>
        <w:t xml:space="preserve"> </w:t>
      </w:r>
      <w:r>
        <w:tab/>
      </w:r>
      <w:r w:rsidRPr="00465D85">
        <w:rPr>
          <w:color w:val="000000" w:themeColor="text1"/>
          <w:szCs w:val="22"/>
        </w:rPr>
        <w:t>Because the country examples may have multiple use cases, for sake of completeness these examples may be duplicated in multiple sections.</w:t>
      </w:r>
    </w:p>
  </w:footnote>
  <w:footnote w:id="5">
    <w:p w14:paraId="4371A091" w14:textId="74E08496" w:rsidR="00730709" w:rsidRPr="001A7B76" w:rsidRDefault="00730709" w:rsidP="00885B99">
      <w:pPr>
        <w:pStyle w:val="FootnoteText"/>
        <w:spacing w:after="120"/>
        <w:rPr>
          <w:color w:val="000000" w:themeColor="text1"/>
          <w:szCs w:val="18"/>
        </w:rPr>
      </w:pPr>
      <w:r w:rsidRPr="001A7B76">
        <w:rPr>
          <w:rStyle w:val="FootnoteReference"/>
          <w:color w:val="000000" w:themeColor="text1"/>
          <w:szCs w:val="18"/>
        </w:rPr>
        <w:footnoteRef/>
      </w:r>
      <w:r w:rsidRPr="001A7B76">
        <w:rPr>
          <w:color w:val="000000" w:themeColor="text1"/>
          <w:szCs w:val="18"/>
        </w:rPr>
        <w:t xml:space="preserve"> </w:t>
      </w:r>
      <w:r>
        <w:rPr>
          <w:color w:val="000000" w:themeColor="text1"/>
          <w:szCs w:val="18"/>
        </w:rPr>
        <w:tab/>
      </w:r>
      <w:r w:rsidRPr="001A7B76">
        <w:rPr>
          <w:color w:val="000000" w:themeColor="text1"/>
          <w:szCs w:val="18"/>
          <w:shd w:val="clear" w:color="auto" w:fill="FFFFFF"/>
        </w:rPr>
        <w:t xml:space="preserve">Digital financial services include methods to electronically store and transfer funds; to make and receive payments; to borrow, save, insure and invest; and to manage a person's or enterprise's finances. ITU </w:t>
      </w:r>
      <w:r>
        <w:rPr>
          <w:color w:val="000000" w:themeColor="text1"/>
          <w:szCs w:val="18"/>
          <w:shd w:val="clear" w:color="auto" w:fill="FFFFFF"/>
        </w:rPr>
        <w:t>Technical Report</w:t>
      </w:r>
      <w:r w:rsidRPr="001A7B76">
        <w:rPr>
          <w:color w:val="000000" w:themeColor="text1"/>
          <w:szCs w:val="18"/>
          <w:shd w:val="clear" w:color="auto" w:fill="FFFFFF"/>
        </w:rPr>
        <w:t xml:space="preserve"> (201</w:t>
      </w:r>
      <w:r>
        <w:rPr>
          <w:color w:val="000000" w:themeColor="text1"/>
          <w:szCs w:val="18"/>
          <w:shd w:val="clear" w:color="auto" w:fill="FFFFFF"/>
        </w:rPr>
        <w:t>8</w:t>
      </w:r>
      <w:r w:rsidRPr="001A7B76">
        <w:rPr>
          <w:color w:val="000000" w:themeColor="text1"/>
          <w:szCs w:val="18"/>
          <w:shd w:val="clear" w:color="auto" w:fill="FFFFFF"/>
        </w:rPr>
        <w:t xml:space="preserve">) </w:t>
      </w:r>
      <w:r w:rsidRPr="001A7B76">
        <w:rPr>
          <w:i/>
          <w:color w:val="000000" w:themeColor="text1"/>
          <w:szCs w:val="18"/>
          <w:shd w:val="clear" w:color="auto" w:fill="FFFFFF"/>
        </w:rPr>
        <w:t>Glossary</w:t>
      </w:r>
      <w:r w:rsidRPr="001A7B76">
        <w:rPr>
          <w:color w:val="000000" w:themeColor="text1"/>
          <w:szCs w:val="18"/>
          <w:shd w:val="clear" w:color="auto" w:fill="FFFFFF"/>
        </w:rPr>
        <w:t xml:space="preserve">, available at </w:t>
      </w:r>
      <w:hyperlink r:id="rId3" w:history="1">
        <w:r w:rsidRPr="005E1EF3">
          <w:rPr>
            <w:rStyle w:val="Hyperlink"/>
            <w:szCs w:val="18"/>
            <w:shd w:val="clear" w:color="auto" w:fill="FFFFFF"/>
          </w:rPr>
          <w:t>http://handle.itu.int/11.1002/pub/81129ee5-en</w:t>
        </w:r>
      </w:hyperlink>
    </w:p>
  </w:footnote>
  <w:footnote w:id="6">
    <w:p w14:paraId="7929C260" w14:textId="77777777" w:rsidR="00730709" w:rsidRPr="001A7B76" w:rsidRDefault="00730709" w:rsidP="00885B99">
      <w:pPr>
        <w:pStyle w:val="FootnoteText"/>
        <w:spacing w:after="120"/>
        <w:rPr>
          <w:color w:val="000000" w:themeColor="text1"/>
          <w:szCs w:val="18"/>
        </w:rPr>
      </w:pPr>
      <w:r w:rsidRPr="001A7B76">
        <w:rPr>
          <w:rStyle w:val="FootnoteReference"/>
          <w:color w:val="000000" w:themeColor="text1"/>
          <w:szCs w:val="18"/>
        </w:rPr>
        <w:footnoteRef/>
      </w:r>
      <w:r w:rsidRPr="001A7B76">
        <w:rPr>
          <w:color w:val="000000" w:themeColor="text1"/>
          <w:szCs w:val="18"/>
        </w:rPr>
        <w:t xml:space="preserve"> </w:t>
      </w:r>
      <w:r>
        <w:rPr>
          <w:color w:val="000000" w:themeColor="text1"/>
          <w:szCs w:val="18"/>
        </w:rPr>
        <w:tab/>
      </w:r>
      <w:r w:rsidRPr="001A7B76">
        <w:rPr>
          <w:color w:val="000000" w:themeColor="text1"/>
          <w:szCs w:val="18"/>
        </w:rPr>
        <w:t>For example, payment banks in India such as those promoted by Airtel and Vodafone. These are regulated under a new bank-based regulatory regime.</w:t>
      </w:r>
    </w:p>
  </w:footnote>
  <w:footnote w:id="7">
    <w:p w14:paraId="5212D12A" w14:textId="77777777" w:rsidR="00730709" w:rsidRPr="001A7B76" w:rsidRDefault="00730709" w:rsidP="00885B99">
      <w:pPr>
        <w:pStyle w:val="FootnoteText"/>
        <w:spacing w:after="120"/>
        <w:rPr>
          <w:color w:val="000000" w:themeColor="text1"/>
          <w:szCs w:val="18"/>
        </w:rPr>
      </w:pPr>
      <w:r w:rsidRPr="001A7B76">
        <w:rPr>
          <w:rStyle w:val="FootnoteReference"/>
          <w:color w:val="000000" w:themeColor="text1"/>
          <w:szCs w:val="18"/>
        </w:rPr>
        <w:footnoteRef/>
      </w:r>
      <w:r w:rsidRPr="001A7B76">
        <w:rPr>
          <w:color w:val="000000" w:themeColor="text1"/>
          <w:szCs w:val="18"/>
        </w:rPr>
        <w:t xml:space="preserve"> </w:t>
      </w:r>
      <w:r>
        <w:rPr>
          <w:color w:val="000000" w:themeColor="text1"/>
          <w:szCs w:val="18"/>
        </w:rPr>
        <w:tab/>
      </w:r>
      <w:r w:rsidRPr="001A7B76">
        <w:rPr>
          <w:color w:val="000000" w:themeColor="text1"/>
          <w:szCs w:val="18"/>
        </w:rPr>
        <w:t>In some DFS markets, MNO subsidiaries are licensed as PSPs or e-money issuers, and are operationally distinct from the parent MNO. They may be regulated as financial service providers.</w:t>
      </w:r>
    </w:p>
  </w:footnote>
  <w:footnote w:id="8">
    <w:p w14:paraId="36EF0E80" w14:textId="77777777" w:rsidR="00730709" w:rsidRPr="001A7B76" w:rsidRDefault="00730709" w:rsidP="00885B99">
      <w:pPr>
        <w:pStyle w:val="FootnoteText"/>
        <w:spacing w:after="120"/>
        <w:rPr>
          <w:color w:val="000000" w:themeColor="text1"/>
          <w:szCs w:val="18"/>
        </w:rPr>
      </w:pPr>
      <w:r w:rsidRPr="001A7B76">
        <w:rPr>
          <w:rStyle w:val="FootnoteReference"/>
          <w:color w:val="000000" w:themeColor="text1"/>
          <w:szCs w:val="18"/>
        </w:rPr>
        <w:footnoteRef/>
      </w:r>
      <w:r w:rsidRPr="001A7B76">
        <w:rPr>
          <w:color w:val="000000" w:themeColor="text1"/>
          <w:szCs w:val="18"/>
        </w:rPr>
        <w:t xml:space="preserve"> </w:t>
      </w:r>
      <w:r>
        <w:rPr>
          <w:color w:val="000000" w:themeColor="text1"/>
          <w:szCs w:val="18"/>
        </w:rPr>
        <w:tab/>
      </w:r>
      <w:r w:rsidRPr="001A7B76">
        <w:rPr>
          <w:color w:val="000000" w:themeColor="text1"/>
          <w:szCs w:val="18"/>
        </w:rPr>
        <w:t>For example, payment banks in India such as those promoted by PSPs l</w:t>
      </w:r>
      <w:r>
        <w:rPr>
          <w:color w:val="000000" w:themeColor="text1"/>
          <w:szCs w:val="18"/>
        </w:rPr>
        <w:t>ike PayTM and Fino PayTech</w:t>
      </w:r>
    </w:p>
  </w:footnote>
  <w:footnote w:id="9">
    <w:p w14:paraId="0C0C20F7" w14:textId="77777777" w:rsidR="00730709" w:rsidRPr="00C64E16" w:rsidRDefault="00730709" w:rsidP="00885B99">
      <w:pPr>
        <w:pStyle w:val="FootnoteText"/>
        <w:spacing w:after="120"/>
        <w:rPr>
          <w:color w:val="000000" w:themeColor="text1"/>
          <w:sz w:val="19"/>
          <w:szCs w:val="19"/>
        </w:rPr>
      </w:pPr>
      <w:r w:rsidRPr="001A7B76">
        <w:rPr>
          <w:rStyle w:val="FootnoteReference"/>
          <w:color w:val="000000" w:themeColor="text1"/>
          <w:szCs w:val="18"/>
        </w:rPr>
        <w:footnoteRef/>
      </w:r>
      <w:r w:rsidRPr="001A7B76">
        <w:rPr>
          <w:color w:val="000000" w:themeColor="text1"/>
          <w:szCs w:val="18"/>
        </w:rPr>
        <w:t xml:space="preserve"> </w:t>
      </w:r>
      <w:r>
        <w:rPr>
          <w:color w:val="000000" w:themeColor="text1"/>
          <w:szCs w:val="18"/>
        </w:rPr>
        <w:tab/>
      </w:r>
      <w:r w:rsidRPr="001A7B76">
        <w:rPr>
          <w:color w:val="000000" w:themeColor="text1"/>
          <w:szCs w:val="18"/>
        </w:rPr>
        <w:t>See Exhibit 1.</w:t>
      </w:r>
    </w:p>
  </w:footnote>
  <w:footnote w:id="10">
    <w:p w14:paraId="48595CC0" w14:textId="77777777"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MNO comments to the TIC WG.</w:t>
      </w:r>
    </w:p>
  </w:footnote>
  <w:footnote w:id="11">
    <w:p w14:paraId="2748145C" w14:textId="7A7C9F26"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t>See Section 3.2.</w:t>
      </w:r>
    </w:p>
  </w:footnote>
  <w:footnote w:id="12">
    <w:p w14:paraId="1341C266" w14:textId="77777777"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Indeed, in a number of markets using USSD and STK for DFS purposes, market forces have sufficed to ensure that no regulatory intervention has been required.</w:t>
      </w:r>
    </w:p>
  </w:footnote>
  <w:footnote w:id="13">
    <w:p w14:paraId="5CCB86A3" w14:textId="77777777"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The sense then from some is that focus on MNOs and provision of access is disproportionate to the scale and extent of the challenge in providing access to DFS, given the number of markets in which USSD and STK is being provided where commercial arrangements have been agreed on.</w:t>
      </w:r>
    </w:p>
  </w:footnote>
  <w:footnote w:id="14">
    <w:p w14:paraId="06F91547" w14:textId="77777777"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Any competition-related concerns of MNOs and other non-banks are also described below.</w:t>
      </w:r>
    </w:p>
  </w:footnote>
  <w:footnote w:id="15">
    <w:p w14:paraId="1CB1F426" w14:textId="77777777" w:rsidR="00730709" w:rsidRPr="00035A23" w:rsidRDefault="00730709" w:rsidP="00885B99">
      <w:pPr>
        <w:pStyle w:val="FootnoteText"/>
      </w:pPr>
      <w:r>
        <w:rPr>
          <w:rStyle w:val="FootnoteReference"/>
        </w:rPr>
        <w:footnoteRef/>
      </w:r>
      <w:r>
        <w:t xml:space="preserve"> </w:t>
      </w:r>
      <w:r w:rsidRPr="00035A23">
        <w:tab/>
      </w:r>
      <w:r w:rsidRPr="00402691">
        <w:rPr>
          <w:color w:val="000000" w:themeColor="text1"/>
          <w:szCs w:val="22"/>
        </w:rPr>
        <w:t xml:space="preserve">CGAP (2014) </w:t>
      </w:r>
      <w:r w:rsidRPr="00402691">
        <w:rPr>
          <w:bCs/>
          <w:i/>
          <w:color w:val="000000" w:themeColor="text1"/>
          <w:szCs w:val="22"/>
        </w:rPr>
        <w:t>Mobile Payments Infrastructure Access and Its Regulation: USSD</w:t>
      </w:r>
      <w:r w:rsidRPr="00402691">
        <w:rPr>
          <w:bCs/>
          <w:color w:val="000000" w:themeColor="text1"/>
          <w:szCs w:val="22"/>
        </w:rPr>
        <w:t xml:space="preserve">, available at </w:t>
      </w:r>
      <w:hyperlink r:id="rId4" w:history="1">
        <w:r w:rsidRPr="00402691">
          <w:rPr>
            <w:rStyle w:val="Hyperlink"/>
            <w:szCs w:val="22"/>
          </w:rPr>
          <w:t>https://goo.gl/IBu4sJ</w:t>
        </w:r>
      </w:hyperlink>
      <w:r w:rsidRPr="00402691">
        <w:rPr>
          <w:color w:val="000000" w:themeColor="text1"/>
          <w:szCs w:val="22"/>
        </w:rPr>
        <w:t>. In the context of sharing USSD, a least restrictive rule, notes CGAP, will be one that minimizes risk of anti-competitive behaviour without putting unnecessary restrictions on MNOs. For example, banning MNOs from the mobile payments market is more restrictive than a regulation mandating USSD access. Other examples may include setting price caps or floor prices for bearer access.</w:t>
      </w:r>
    </w:p>
  </w:footnote>
  <w:footnote w:id="16">
    <w:p w14:paraId="71F027D9" w14:textId="77777777" w:rsidR="00730709" w:rsidRPr="00035A23" w:rsidRDefault="00730709" w:rsidP="00885B99">
      <w:pPr>
        <w:pStyle w:val="FootnoteText"/>
      </w:pPr>
      <w:r>
        <w:rPr>
          <w:rStyle w:val="FootnoteReference"/>
        </w:rPr>
        <w:footnoteRef/>
      </w:r>
      <w:r>
        <w:t xml:space="preserve"> </w:t>
      </w:r>
      <w:r w:rsidRPr="00035A23">
        <w:tab/>
      </w:r>
      <w:r w:rsidRPr="00402691">
        <w:rPr>
          <w:color w:val="000000" w:themeColor="text1"/>
          <w:szCs w:val="22"/>
        </w:rPr>
        <w:t>In scenarios where an entity controls the entire vertical chain of (scarce) access, this may result in 'refusal to supply' behaviour.</w:t>
      </w:r>
    </w:p>
  </w:footnote>
  <w:footnote w:id="17">
    <w:p w14:paraId="2535AC11" w14:textId="77777777" w:rsidR="00730709" w:rsidRPr="00035A23" w:rsidRDefault="00730709" w:rsidP="00885B99">
      <w:pPr>
        <w:pStyle w:val="FootnoteText"/>
      </w:pPr>
      <w:r>
        <w:rPr>
          <w:rStyle w:val="FootnoteReference"/>
        </w:rPr>
        <w:footnoteRef/>
      </w:r>
      <w:r>
        <w:t xml:space="preserve"> </w:t>
      </w:r>
      <w:r w:rsidRPr="00035A23">
        <w:tab/>
      </w:r>
      <w:r w:rsidRPr="001A7B76">
        <w:rPr>
          <w:szCs w:val="18"/>
        </w:rPr>
        <w:t xml:space="preserve">Depending on the behavior, market participants outline in Exhibit 1 may be the cause or recipient of the </w:t>
      </w:r>
      <w:r>
        <w:rPr>
          <w:szCs w:val="18"/>
        </w:rPr>
        <w:t>behaviour</w:t>
      </w:r>
      <w:r w:rsidRPr="001A7B76">
        <w:rPr>
          <w:szCs w:val="18"/>
        </w:rPr>
        <w:t>.</w:t>
      </w:r>
    </w:p>
  </w:footnote>
  <w:footnote w:id="18">
    <w:p w14:paraId="1716C1F3" w14:textId="77777777" w:rsidR="00730709" w:rsidRPr="00035A23" w:rsidRDefault="00730709" w:rsidP="00885B99">
      <w:pPr>
        <w:pStyle w:val="FootnoteText"/>
      </w:pPr>
      <w:r>
        <w:rPr>
          <w:rStyle w:val="FootnoteReference"/>
        </w:rPr>
        <w:footnoteRef/>
      </w:r>
      <w:r w:rsidRPr="00035A23">
        <w:tab/>
      </w:r>
      <w:r w:rsidRPr="00D3155E">
        <w:rPr>
          <w:color w:val="000000" w:themeColor="text1"/>
          <w:szCs w:val="18"/>
        </w:rPr>
        <w:t xml:space="preserve">These may be specialized banks, for example the new payment banks authorized by the RBI in India. Competition issues between payment banks and independent banks are discussed in CUTS (2016a) </w:t>
      </w:r>
      <w:r w:rsidRPr="00D3155E">
        <w:rPr>
          <w:i/>
          <w:color w:val="000000" w:themeColor="text1"/>
          <w:szCs w:val="18"/>
        </w:rPr>
        <w:t>Understanding And Addressing Competition &amp; Regulatory Barriers To Growth Of Payments Banks In India</w:t>
      </w:r>
      <w:r w:rsidRPr="00D3155E">
        <w:rPr>
          <w:color w:val="000000" w:themeColor="text1"/>
          <w:szCs w:val="18"/>
        </w:rPr>
        <w:t xml:space="preserve">, available at </w:t>
      </w:r>
      <w:hyperlink r:id="rId5" w:history="1">
        <w:r w:rsidRPr="00EF25C9">
          <w:rPr>
            <w:rStyle w:val="Hyperlink"/>
            <w:szCs w:val="18"/>
          </w:rPr>
          <w:t>https://goo.gl/WW3oXv</w:t>
        </w:r>
      </w:hyperlink>
      <w:r w:rsidRPr="00D3155E">
        <w:rPr>
          <w:color w:val="000000" w:themeColor="text1"/>
          <w:szCs w:val="18"/>
        </w:rPr>
        <w:t xml:space="preserve">; and CUTS (2016b) </w:t>
      </w:r>
      <w:r w:rsidRPr="00D3155E">
        <w:rPr>
          <w:i/>
          <w:color w:val="000000" w:themeColor="text1"/>
          <w:szCs w:val="18"/>
        </w:rPr>
        <w:t>Research Project On Identifying And Understanding Competition And Regulatory Bottlenecks To Growth Of Payments Banks In India</w:t>
      </w:r>
      <w:r w:rsidRPr="00D3155E">
        <w:rPr>
          <w:color w:val="000000" w:themeColor="text1"/>
          <w:szCs w:val="18"/>
        </w:rPr>
        <w:t xml:space="preserve">, available at </w:t>
      </w:r>
      <w:hyperlink r:id="rId6" w:history="1">
        <w:r w:rsidRPr="00EF25C9">
          <w:rPr>
            <w:rStyle w:val="Hyperlink"/>
            <w:szCs w:val="18"/>
          </w:rPr>
          <w:t>https://goo.gl/RzfhmS</w:t>
        </w:r>
      </w:hyperlink>
    </w:p>
  </w:footnote>
  <w:footnote w:id="19">
    <w:p w14:paraId="5F1B3C7A" w14:textId="77777777" w:rsidR="00730709" w:rsidRPr="00035A23" w:rsidRDefault="00730709" w:rsidP="00885B99">
      <w:pPr>
        <w:pStyle w:val="FootnoteText"/>
      </w:pPr>
      <w:r>
        <w:rPr>
          <w:rStyle w:val="FootnoteReference"/>
        </w:rPr>
        <w:footnoteRef/>
      </w:r>
      <w:r w:rsidRPr="00035A23">
        <w:tab/>
      </w:r>
      <w:r w:rsidRPr="00D3155E">
        <w:rPr>
          <w:color w:val="000000" w:themeColor="text1"/>
          <w:szCs w:val="18"/>
        </w:rPr>
        <w:t>These may be specialized PSPs that are subsidiaries or co-owned by MNOs, for example PSPs authorized in Jordan.</w:t>
      </w:r>
    </w:p>
  </w:footnote>
  <w:footnote w:id="20">
    <w:p w14:paraId="32EBECD0" w14:textId="77777777" w:rsidR="00730709" w:rsidRPr="00035A23" w:rsidRDefault="00730709" w:rsidP="00885B99">
      <w:pPr>
        <w:pStyle w:val="FootnoteText"/>
      </w:pPr>
      <w:r>
        <w:rPr>
          <w:rStyle w:val="FootnoteReference"/>
        </w:rPr>
        <w:footnoteRef/>
      </w:r>
      <w:r>
        <w:t xml:space="preserve"> </w:t>
      </w:r>
      <w:r w:rsidRPr="00035A23">
        <w:tab/>
      </w:r>
      <w:r w:rsidRPr="00D3155E">
        <w:t>Even if they are allowed direct access to the market, they may be restricted from providing certain services deemed risky by the regulator, i.e. credit. Or they may be able to offer more risky services, but on less competitive terms than banks.</w:t>
      </w:r>
    </w:p>
  </w:footnote>
  <w:footnote w:id="21">
    <w:p w14:paraId="1FE8AEE6" w14:textId="77777777" w:rsidR="00730709" w:rsidRPr="00035A23" w:rsidRDefault="00730709" w:rsidP="00885B99">
      <w:pPr>
        <w:pStyle w:val="FootnoteText"/>
      </w:pPr>
      <w:r>
        <w:rPr>
          <w:rStyle w:val="FootnoteReference"/>
        </w:rPr>
        <w:footnoteRef/>
      </w:r>
      <w:r>
        <w:t xml:space="preserve"> </w:t>
      </w:r>
      <w:r w:rsidRPr="00035A23">
        <w:tab/>
      </w:r>
      <w:r w:rsidRPr="00D3155E">
        <w:rPr>
          <w:color w:val="000000" w:themeColor="text1"/>
          <w:szCs w:val="18"/>
        </w:rPr>
        <w:t>Non-financial services include customer authentication and KYC checks.</w:t>
      </w:r>
    </w:p>
  </w:footnote>
  <w:footnote w:id="22">
    <w:p w14:paraId="3C8A5E09" w14:textId="77777777" w:rsidR="00730709" w:rsidRPr="00035A23" w:rsidRDefault="00730709" w:rsidP="00885B99">
      <w:pPr>
        <w:pStyle w:val="FootnoteText"/>
      </w:pPr>
      <w:r>
        <w:rPr>
          <w:rStyle w:val="FootnoteReference"/>
        </w:rPr>
        <w:footnoteRef/>
      </w:r>
      <w:r>
        <w:t xml:space="preserve"> </w:t>
      </w:r>
      <w:r w:rsidRPr="00035A23">
        <w:tab/>
      </w:r>
      <w:r w:rsidRPr="00D3155E">
        <w:t>Even if MNOs are only allowed to provide agent services to banks or non-banks, these compliance rules may make even such an opportunity less profitable.</w:t>
      </w:r>
    </w:p>
  </w:footnote>
  <w:footnote w:id="23">
    <w:p w14:paraId="234646C1" w14:textId="77777777" w:rsidR="00730709" w:rsidRPr="00035A23" w:rsidRDefault="00730709" w:rsidP="00885B99">
      <w:pPr>
        <w:pStyle w:val="FootnoteText"/>
      </w:pPr>
      <w:r>
        <w:rPr>
          <w:rStyle w:val="FootnoteReference"/>
        </w:rPr>
        <w:footnoteRef/>
      </w:r>
      <w:r>
        <w:t xml:space="preserve"> </w:t>
      </w:r>
      <w:r w:rsidRPr="00035A23">
        <w:tab/>
      </w:r>
      <w:r w:rsidRPr="00D3155E">
        <w:rPr>
          <w:color w:val="000000" w:themeColor="text1"/>
          <w:szCs w:val="18"/>
        </w:rPr>
        <w:t>For example in Ethiopia where only one (state-owned) MNO has been licensed.</w:t>
      </w:r>
    </w:p>
  </w:footnote>
  <w:footnote w:id="24">
    <w:p w14:paraId="5A151887" w14:textId="77777777" w:rsidR="00730709" w:rsidRPr="00035A23" w:rsidRDefault="00730709" w:rsidP="00885B99">
      <w:pPr>
        <w:pStyle w:val="FootnoteText"/>
      </w:pPr>
      <w:r>
        <w:rPr>
          <w:rStyle w:val="FootnoteReference"/>
        </w:rPr>
        <w:footnoteRef/>
      </w:r>
      <w:r>
        <w:t xml:space="preserve"> </w:t>
      </w:r>
      <w:r w:rsidRPr="00035A23">
        <w:tab/>
      </w:r>
      <w:r w:rsidRPr="00D3155E">
        <w:rPr>
          <w:color w:val="000000" w:themeColor="text1"/>
          <w:szCs w:val="18"/>
        </w:rPr>
        <w:t>They may be forced to interoperate through a payment switch at terms and prices that are unprofitable.</w:t>
      </w:r>
    </w:p>
  </w:footnote>
  <w:footnote w:id="25">
    <w:p w14:paraId="765AD8A5" w14:textId="77777777" w:rsidR="00730709" w:rsidRPr="00035A23" w:rsidRDefault="00730709" w:rsidP="00885B99">
      <w:pPr>
        <w:pStyle w:val="FootnoteText"/>
      </w:pPr>
      <w:r>
        <w:rPr>
          <w:rStyle w:val="FootnoteReference"/>
        </w:rPr>
        <w:footnoteRef/>
      </w:r>
      <w:r>
        <w:t xml:space="preserve"> </w:t>
      </w:r>
      <w:r w:rsidRPr="00035A23">
        <w:tab/>
      </w:r>
      <w:r w:rsidRPr="00D3155E">
        <w:rPr>
          <w:color w:val="000000" w:themeColor="text1"/>
          <w:szCs w:val="18"/>
        </w:rPr>
        <w:t>For instance, in India where only National Payments Corporation of India (NPCI) - owned by banks - has been licensed to offer retail payment infrastructure services.</w:t>
      </w:r>
    </w:p>
  </w:footnote>
  <w:footnote w:id="26">
    <w:p w14:paraId="16361779" w14:textId="77777777" w:rsidR="00730709" w:rsidRPr="00035A23" w:rsidRDefault="00730709" w:rsidP="00885B99">
      <w:pPr>
        <w:pStyle w:val="FootnoteText"/>
      </w:pPr>
      <w:r>
        <w:rPr>
          <w:rStyle w:val="FootnoteReference"/>
        </w:rPr>
        <w:footnoteRef/>
      </w:r>
      <w:r>
        <w:t xml:space="preserve"> </w:t>
      </w:r>
      <w:r w:rsidRPr="00035A23">
        <w:tab/>
      </w:r>
      <w:r w:rsidRPr="00D3155E">
        <w:rPr>
          <w:color w:val="000000" w:themeColor="text1"/>
          <w:szCs w:val="18"/>
        </w:rPr>
        <w:t>When compared to the MNO/MNO-partner</w:t>
      </w:r>
      <w:r>
        <w:rPr>
          <w:color w:val="000000" w:themeColor="text1"/>
          <w:szCs w:val="18"/>
        </w:rPr>
        <w:t>'</w:t>
      </w:r>
      <w:r w:rsidRPr="00D3155E">
        <w:rPr>
          <w:color w:val="000000" w:themeColor="text1"/>
          <w:szCs w:val="18"/>
        </w:rPr>
        <w:t>s access to similar services.</w:t>
      </w:r>
    </w:p>
  </w:footnote>
  <w:footnote w:id="27">
    <w:p w14:paraId="342F353B" w14:textId="77777777" w:rsidR="00730709" w:rsidRPr="00035A23" w:rsidRDefault="00730709" w:rsidP="00885B99">
      <w:pPr>
        <w:pStyle w:val="FootnoteText"/>
      </w:pPr>
      <w:r>
        <w:rPr>
          <w:rStyle w:val="FootnoteReference"/>
        </w:rPr>
        <w:footnoteRef/>
      </w:r>
      <w:r>
        <w:t xml:space="preserve"> </w:t>
      </w:r>
      <w:r w:rsidRPr="00035A23">
        <w:tab/>
      </w:r>
      <w:r w:rsidRPr="00D3155E">
        <w:t>These may be low-margin bearer service and they may be forced to provide access to their communications network at possibly below cost rates as a condition for their authorization to operate DFS.</w:t>
      </w:r>
    </w:p>
  </w:footnote>
  <w:footnote w:id="28">
    <w:p w14:paraId="1219DBB9" w14:textId="77777777" w:rsidR="00730709" w:rsidRPr="00035A23" w:rsidRDefault="00730709" w:rsidP="00885B99">
      <w:pPr>
        <w:pStyle w:val="FootnoteText"/>
      </w:pPr>
      <w:r>
        <w:rPr>
          <w:rStyle w:val="FootnoteReference"/>
        </w:rPr>
        <w:footnoteRef/>
      </w:r>
      <w:r>
        <w:t xml:space="preserve"> </w:t>
      </w:r>
      <w:r w:rsidRPr="00035A23">
        <w:tab/>
      </w:r>
      <w:r w:rsidRPr="00D3155E">
        <w:t>MNOs are able to provide services and incentives that banks and other PSPs may not be able to provide: For example, to incentivize customer DFS use by giving away free airtime minutes and SMSs when a MNO customer transacts.</w:t>
      </w:r>
    </w:p>
  </w:footnote>
  <w:footnote w:id="29">
    <w:p w14:paraId="050F0008" w14:textId="77777777" w:rsidR="00730709" w:rsidRPr="00035A23" w:rsidRDefault="00730709" w:rsidP="00885B99">
      <w:pPr>
        <w:pStyle w:val="FootnoteText"/>
      </w:pPr>
      <w:r>
        <w:rPr>
          <w:rStyle w:val="FootnoteReference"/>
        </w:rPr>
        <w:footnoteRef/>
      </w:r>
      <w:r>
        <w:t xml:space="preserve"> </w:t>
      </w:r>
      <w:r>
        <w:tab/>
      </w:r>
      <w:r w:rsidRPr="00D3155E">
        <w:rPr>
          <w:color w:val="000000" w:themeColor="text1"/>
          <w:szCs w:val="18"/>
        </w:rPr>
        <w:t>For example, MNO-affiliated payments banks in India offer free mobile airtime with promoter MNOs for opening of accounts with affiliated banks.</w:t>
      </w:r>
    </w:p>
  </w:footnote>
  <w:footnote w:id="30">
    <w:p w14:paraId="2B80F2BF" w14:textId="77777777" w:rsidR="00730709" w:rsidRPr="00035A23" w:rsidRDefault="00730709" w:rsidP="00885B99">
      <w:pPr>
        <w:pStyle w:val="FootnoteText"/>
      </w:pPr>
      <w:r>
        <w:rPr>
          <w:rStyle w:val="FootnoteReference"/>
        </w:rPr>
        <w:footnoteRef/>
      </w:r>
      <w:r>
        <w:t xml:space="preserve"> </w:t>
      </w:r>
      <w:r w:rsidRPr="00035A23">
        <w:tab/>
      </w:r>
      <w:r w:rsidRPr="00D3155E">
        <w:rPr>
          <w:color w:val="000000" w:themeColor="text1"/>
          <w:szCs w:val="18"/>
        </w:rPr>
        <w:t>For example the Vodafone India MyVodafone Android smartphone app, which reportedly forces MNO Vodafone India users to open up an M-PESA account with Vodafone</w:t>
      </w:r>
      <w:r>
        <w:rPr>
          <w:color w:val="000000" w:themeColor="text1"/>
          <w:szCs w:val="18"/>
        </w:rPr>
        <w:t>'</w:t>
      </w:r>
      <w:r w:rsidRPr="00D3155E">
        <w:rPr>
          <w:color w:val="000000" w:themeColor="text1"/>
          <w:szCs w:val="18"/>
        </w:rPr>
        <w:t xml:space="preserve">s M-PESA subsidiary to pay for their telecommunication services. See Medianama (2017) </w:t>
      </w:r>
      <w:r w:rsidRPr="00D3155E">
        <w:rPr>
          <w:i/>
          <w:color w:val="000000" w:themeColor="text1"/>
          <w:szCs w:val="18"/>
        </w:rPr>
        <w:t xml:space="preserve">My Vodafone App Is Forcing Customers To Create An M-Pesa Wallet, </w:t>
      </w:r>
      <w:r w:rsidRPr="00D3155E">
        <w:rPr>
          <w:color w:val="000000" w:themeColor="text1"/>
          <w:szCs w:val="18"/>
        </w:rPr>
        <w:t xml:space="preserve">available from </w:t>
      </w:r>
      <w:hyperlink r:id="rId7" w:history="1">
        <w:r w:rsidRPr="00EF25C9">
          <w:rPr>
            <w:rStyle w:val="Hyperlink"/>
            <w:szCs w:val="18"/>
          </w:rPr>
          <w:t>https://goo.gl/zYT7yI</w:t>
        </w:r>
      </w:hyperlink>
    </w:p>
  </w:footnote>
  <w:footnote w:id="31">
    <w:p w14:paraId="0CED59F0" w14:textId="77777777" w:rsidR="00730709" w:rsidRPr="00035A23" w:rsidRDefault="00730709" w:rsidP="00885B99">
      <w:pPr>
        <w:pStyle w:val="FootnoteText"/>
      </w:pPr>
      <w:r>
        <w:rPr>
          <w:rStyle w:val="FootnoteReference"/>
        </w:rPr>
        <w:footnoteRef/>
      </w:r>
      <w:r>
        <w:t xml:space="preserve"> </w:t>
      </w:r>
      <w:r w:rsidRPr="00035A23">
        <w:tab/>
      </w:r>
      <w:r w:rsidRPr="001A7B76">
        <w:rPr>
          <w:color w:val="000000" w:themeColor="text1"/>
          <w:szCs w:val="18"/>
        </w:rPr>
        <w:t>Versus other preferred parties who may not have the same restriction</w:t>
      </w:r>
      <w:r>
        <w:rPr>
          <w:color w:val="000000" w:themeColor="text1"/>
          <w:szCs w:val="18"/>
        </w:rPr>
        <w:t>.</w:t>
      </w:r>
    </w:p>
  </w:footnote>
  <w:footnote w:id="32">
    <w:p w14:paraId="08A009C8" w14:textId="77777777" w:rsidR="00730709" w:rsidRPr="00035A23" w:rsidRDefault="00730709" w:rsidP="00885B99">
      <w:pPr>
        <w:pStyle w:val="FootnoteText"/>
      </w:pPr>
      <w:r>
        <w:rPr>
          <w:rStyle w:val="FootnoteReference"/>
        </w:rPr>
        <w:footnoteRef/>
      </w:r>
      <w:r>
        <w:t xml:space="preserve"> </w:t>
      </w:r>
      <w:r>
        <w:tab/>
      </w:r>
      <w:r w:rsidRPr="001A7B76">
        <w:rPr>
          <w:color w:val="000000" w:themeColor="text1"/>
          <w:szCs w:val="18"/>
        </w:rPr>
        <w:t>For example, for alternative credit scoring purposes.</w:t>
      </w:r>
    </w:p>
  </w:footnote>
  <w:footnote w:id="33">
    <w:p w14:paraId="7EA3FCF8" w14:textId="77777777" w:rsidR="00730709" w:rsidRPr="00035A23" w:rsidRDefault="00730709" w:rsidP="00885B99">
      <w:pPr>
        <w:pStyle w:val="FootnoteText"/>
      </w:pPr>
      <w:r>
        <w:rPr>
          <w:rStyle w:val="FootnoteReference"/>
        </w:rPr>
        <w:footnoteRef/>
      </w:r>
      <w:r>
        <w:t xml:space="preserve"> </w:t>
      </w:r>
      <w:r w:rsidRPr="00035A23">
        <w:tab/>
      </w:r>
      <w:r w:rsidRPr="001A7B76">
        <w:rPr>
          <w:color w:val="000000" w:themeColor="text1"/>
          <w:szCs w:val="18"/>
        </w:rPr>
        <w:t>In India, payment banks have access to data sets available with respective promoter MNOs/PSPs but not of other market players.</w:t>
      </w:r>
    </w:p>
  </w:footnote>
  <w:footnote w:id="34">
    <w:p w14:paraId="742CA296" w14:textId="77777777" w:rsidR="00730709" w:rsidRPr="00035A23" w:rsidRDefault="00730709" w:rsidP="00885B99">
      <w:pPr>
        <w:pStyle w:val="FootnoteText"/>
      </w:pPr>
      <w:r>
        <w:rPr>
          <w:rStyle w:val="FootnoteReference"/>
        </w:rPr>
        <w:footnoteRef/>
      </w:r>
      <w:r>
        <w:t xml:space="preserve"> </w:t>
      </w:r>
      <w:r w:rsidRPr="00035A23">
        <w:tab/>
      </w:r>
      <w:r w:rsidRPr="001A7B76">
        <w:rPr>
          <w:color w:val="000000" w:themeColor="text1"/>
          <w:szCs w:val="18"/>
        </w:rPr>
        <w:t>Compliance is more rigid for banks than non-banks for the same or similar service offering.</w:t>
      </w:r>
    </w:p>
  </w:footnote>
  <w:footnote w:id="35">
    <w:p w14:paraId="6F66554B" w14:textId="77777777" w:rsidR="00730709" w:rsidRPr="00035A23" w:rsidRDefault="00730709" w:rsidP="00885B99">
      <w:pPr>
        <w:pStyle w:val="FootnoteText"/>
      </w:pPr>
      <w:r>
        <w:rPr>
          <w:rStyle w:val="FootnoteReference"/>
        </w:rPr>
        <w:footnoteRef/>
      </w:r>
      <w:r>
        <w:t xml:space="preserve"> </w:t>
      </w:r>
      <w:r w:rsidRPr="00035A23">
        <w:tab/>
      </w:r>
      <w:r w:rsidRPr="001A7B76">
        <w:rPr>
          <w:color w:val="000000" w:themeColor="text1"/>
          <w:szCs w:val="18"/>
        </w:rPr>
        <w:t xml:space="preserve">Payment banks in India might be required to comply with stringent/multiple approvals compared with full-service banks. See CUTS (2016b) </w:t>
      </w:r>
      <w:r w:rsidRPr="001A7B76">
        <w:rPr>
          <w:i/>
          <w:color w:val="000000" w:themeColor="text1"/>
          <w:szCs w:val="18"/>
        </w:rPr>
        <w:t>ibid</w:t>
      </w:r>
      <w:r w:rsidRPr="001A7B76">
        <w:rPr>
          <w:color w:val="000000" w:themeColor="text1"/>
          <w:szCs w:val="18"/>
        </w:rPr>
        <w:t xml:space="preserve"> and the Indian country example below.</w:t>
      </w:r>
    </w:p>
  </w:footnote>
  <w:footnote w:id="36">
    <w:p w14:paraId="43E30160" w14:textId="77777777" w:rsidR="00730709" w:rsidRPr="00035A23" w:rsidRDefault="00730709" w:rsidP="00885B99">
      <w:pPr>
        <w:pStyle w:val="FootnoteText"/>
      </w:pPr>
      <w:r>
        <w:rPr>
          <w:rStyle w:val="FootnoteReference"/>
        </w:rPr>
        <w:footnoteRef/>
      </w:r>
      <w:r>
        <w:t xml:space="preserve"> </w:t>
      </w:r>
      <w:r w:rsidRPr="00035A23">
        <w:tab/>
      </w:r>
      <w:r w:rsidRPr="00843EC0">
        <w:rPr>
          <w:color w:val="000000" w:themeColor="text1"/>
          <w:szCs w:val="22"/>
        </w:rPr>
        <w:t>Capital requirements, agent approval requirements and/or KYC requirements may be too stringent relative to the risk offered by low-value DFS accounts.</w:t>
      </w:r>
    </w:p>
  </w:footnote>
  <w:footnote w:id="37">
    <w:p w14:paraId="76B8A5B3" w14:textId="5E262FF4" w:rsidR="00730709" w:rsidRPr="00742A68" w:rsidRDefault="00730709" w:rsidP="00885B99">
      <w:pPr>
        <w:pStyle w:val="FootnoteText"/>
        <w:rPr>
          <w:lang w:val="es-ES"/>
        </w:rPr>
      </w:pPr>
      <w:r>
        <w:rPr>
          <w:rStyle w:val="FootnoteReference"/>
        </w:rPr>
        <w:footnoteRef/>
      </w:r>
      <w:r w:rsidRPr="00035A23">
        <w:rPr>
          <w:lang w:val="es-CO"/>
        </w:rPr>
        <w:t xml:space="preserve"> </w:t>
      </w:r>
      <w:r>
        <w:rPr>
          <w:lang w:val="es-ES"/>
        </w:rPr>
        <w:tab/>
      </w:r>
      <w:r w:rsidRPr="00843EC0">
        <w:rPr>
          <w:i/>
          <w:color w:val="000000" w:themeColor="text1"/>
          <w:szCs w:val="22"/>
          <w:lang w:val="es-ES_tradnl"/>
        </w:rPr>
        <w:t>Ibid</w:t>
      </w:r>
      <w:r w:rsidRPr="00035A23">
        <w:rPr>
          <w:lang w:val="es-CO"/>
        </w:rPr>
        <w:t>.</w:t>
      </w:r>
    </w:p>
  </w:footnote>
  <w:footnote w:id="38">
    <w:p w14:paraId="24B9BE76" w14:textId="0CB3E255" w:rsidR="00730709" w:rsidRPr="00742A68" w:rsidRDefault="00730709" w:rsidP="00885B99">
      <w:pPr>
        <w:pStyle w:val="FootnoteText"/>
        <w:rPr>
          <w:lang w:val="es-ES"/>
        </w:rPr>
      </w:pPr>
      <w:r>
        <w:rPr>
          <w:rStyle w:val="FootnoteReference"/>
        </w:rPr>
        <w:footnoteRef/>
      </w:r>
      <w:r w:rsidRPr="00035A23">
        <w:rPr>
          <w:lang w:val="es-CO"/>
        </w:rPr>
        <w:t xml:space="preserve"> </w:t>
      </w:r>
      <w:r>
        <w:rPr>
          <w:lang w:val="es-ES"/>
        </w:rPr>
        <w:tab/>
      </w:r>
      <w:r w:rsidRPr="00402691">
        <w:rPr>
          <w:i/>
          <w:lang w:val="es-ES_tradnl"/>
        </w:rPr>
        <w:t>Ibid</w:t>
      </w:r>
      <w:r w:rsidRPr="00035A23">
        <w:rPr>
          <w:lang w:val="es-CO"/>
        </w:rPr>
        <w:t>.</w:t>
      </w:r>
    </w:p>
  </w:footnote>
  <w:footnote w:id="39">
    <w:p w14:paraId="04CC8738" w14:textId="736EB566" w:rsidR="00730709" w:rsidRPr="00742A68" w:rsidRDefault="00730709" w:rsidP="00885B99">
      <w:pPr>
        <w:pStyle w:val="FootnoteText"/>
        <w:rPr>
          <w:lang w:val="es-ES"/>
        </w:rPr>
      </w:pPr>
      <w:r>
        <w:rPr>
          <w:rStyle w:val="FootnoteReference"/>
        </w:rPr>
        <w:footnoteRef/>
      </w:r>
      <w:r w:rsidRPr="00035A23">
        <w:rPr>
          <w:lang w:val="es-CO"/>
        </w:rPr>
        <w:t xml:space="preserve"> </w:t>
      </w:r>
      <w:r>
        <w:rPr>
          <w:lang w:val="es-ES"/>
        </w:rPr>
        <w:tab/>
      </w:r>
      <w:r w:rsidRPr="00D51597">
        <w:rPr>
          <w:i/>
          <w:color w:val="000000" w:themeColor="text1"/>
          <w:szCs w:val="18"/>
          <w:lang w:val="es-ES_tradnl"/>
        </w:rPr>
        <w:t>Ibid</w:t>
      </w:r>
      <w:r w:rsidRPr="00035A23">
        <w:rPr>
          <w:lang w:val="es-CO"/>
        </w:rPr>
        <w:t>.</w:t>
      </w:r>
    </w:p>
  </w:footnote>
  <w:footnote w:id="40">
    <w:p w14:paraId="356C145C" w14:textId="77777777" w:rsidR="00730709" w:rsidRPr="00742A68" w:rsidRDefault="00730709" w:rsidP="00885B99">
      <w:pPr>
        <w:pStyle w:val="FootnoteText"/>
        <w:rPr>
          <w:lang w:val="es-ES"/>
        </w:rPr>
      </w:pPr>
      <w:r>
        <w:rPr>
          <w:rStyle w:val="FootnoteReference"/>
        </w:rPr>
        <w:footnoteRef/>
      </w:r>
      <w:r w:rsidRPr="00035A23">
        <w:rPr>
          <w:lang w:val="es-CO"/>
        </w:rPr>
        <w:t xml:space="preserve"> </w:t>
      </w:r>
      <w:r>
        <w:rPr>
          <w:lang w:val="es-ES"/>
        </w:rPr>
        <w:tab/>
      </w:r>
      <w:r w:rsidRPr="00D51597">
        <w:rPr>
          <w:color w:val="000000" w:themeColor="text1"/>
          <w:szCs w:val="18"/>
          <w:lang w:val="es-ES_tradnl"/>
        </w:rPr>
        <w:t>Versus MNOs.</w:t>
      </w:r>
    </w:p>
  </w:footnote>
  <w:footnote w:id="41">
    <w:p w14:paraId="0E55DCED" w14:textId="77777777" w:rsidR="00730709" w:rsidRPr="00035A23" w:rsidRDefault="00730709" w:rsidP="00885B99">
      <w:pPr>
        <w:pStyle w:val="FootnoteText"/>
      </w:pPr>
      <w:r>
        <w:rPr>
          <w:rStyle w:val="FootnoteReference"/>
        </w:rPr>
        <w:footnoteRef/>
      </w:r>
      <w:r>
        <w:t xml:space="preserve"> </w:t>
      </w:r>
      <w:r w:rsidRPr="00035A23">
        <w:tab/>
      </w:r>
      <w:r w:rsidRPr="001A7B76">
        <w:rPr>
          <w:color w:val="000000" w:themeColor="text1"/>
          <w:szCs w:val="18"/>
        </w:rPr>
        <w:t>Non-banks may not have the same cash-handling, physical branch and cash storage requirements that are imposed on banks. For example, the requirement in Tanzania for banks to have security cameras at branches.</w:t>
      </w:r>
    </w:p>
  </w:footnote>
  <w:footnote w:id="42">
    <w:p w14:paraId="0F0918DD" w14:textId="0A91E74A" w:rsidR="00730709" w:rsidRPr="00035A23" w:rsidRDefault="00730709" w:rsidP="00885B99">
      <w:pPr>
        <w:pStyle w:val="FootnoteText"/>
      </w:pPr>
      <w:r>
        <w:rPr>
          <w:rStyle w:val="FootnoteReference"/>
        </w:rPr>
        <w:footnoteRef/>
      </w:r>
      <w:r>
        <w:t xml:space="preserve"> </w:t>
      </w:r>
      <w:r w:rsidRPr="00035A23">
        <w:tab/>
      </w:r>
      <w:r w:rsidRPr="001A7B76">
        <w:rPr>
          <w:i/>
          <w:color w:val="000000" w:themeColor="text1"/>
          <w:szCs w:val="18"/>
        </w:rPr>
        <w:t>Ibid</w:t>
      </w:r>
      <w:r w:rsidRPr="002E69BB">
        <w:t>.</w:t>
      </w:r>
    </w:p>
  </w:footnote>
  <w:footnote w:id="43">
    <w:p w14:paraId="6B0B8291" w14:textId="77777777" w:rsidR="00730709" w:rsidRPr="00035A23" w:rsidRDefault="00730709" w:rsidP="00885B99">
      <w:pPr>
        <w:pStyle w:val="FootnoteText"/>
      </w:pPr>
      <w:r>
        <w:rPr>
          <w:rStyle w:val="FootnoteReference"/>
        </w:rPr>
        <w:footnoteRef/>
      </w:r>
      <w:r>
        <w:t xml:space="preserve"> </w:t>
      </w:r>
      <w:r w:rsidRPr="00035A23">
        <w:tab/>
      </w:r>
      <w:r w:rsidRPr="001A7B76">
        <w:rPr>
          <w:color w:val="000000" w:themeColor="text1"/>
          <w:szCs w:val="18"/>
        </w:rPr>
        <w:t>Their transactions are taxed at a high level, whereas non-banks are not taxed or taxed less.</w:t>
      </w:r>
    </w:p>
  </w:footnote>
  <w:footnote w:id="44">
    <w:p w14:paraId="339CDBEE" w14:textId="77777777" w:rsidR="00730709" w:rsidRPr="00035A23" w:rsidRDefault="00730709" w:rsidP="00885B99">
      <w:pPr>
        <w:pStyle w:val="FootnoteText"/>
      </w:pPr>
      <w:r>
        <w:rPr>
          <w:rStyle w:val="FootnoteReference"/>
        </w:rPr>
        <w:footnoteRef/>
      </w:r>
      <w:r>
        <w:t xml:space="preserve"> </w:t>
      </w:r>
      <w:r w:rsidRPr="00035A23">
        <w:tab/>
      </w:r>
      <w:r w:rsidRPr="001A7B76">
        <w:rPr>
          <w:color w:val="000000" w:themeColor="text1"/>
          <w:szCs w:val="18"/>
        </w:rPr>
        <w:t>For example, in Pakistan.</w:t>
      </w:r>
    </w:p>
  </w:footnote>
  <w:footnote w:id="45">
    <w:p w14:paraId="23ADF8A1" w14:textId="77777777" w:rsidR="00730709" w:rsidRPr="00035A23" w:rsidRDefault="00730709" w:rsidP="00885B99">
      <w:pPr>
        <w:pStyle w:val="FootnoteText"/>
      </w:pPr>
      <w:r>
        <w:rPr>
          <w:rStyle w:val="FootnoteReference"/>
        </w:rPr>
        <w:footnoteRef/>
      </w:r>
      <w:r>
        <w:t xml:space="preserve"> </w:t>
      </w:r>
      <w:r w:rsidRPr="00035A23">
        <w:tab/>
      </w:r>
      <w:r w:rsidRPr="001A7B76">
        <w:t>Transactions may be subject to special taxes not applicable to banks.</w:t>
      </w:r>
    </w:p>
  </w:footnote>
  <w:footnote w:id="46">
    <w:p w14:paraId="6427F0AF" w14:textId="77777777" w:rsidR="00730709" w:rsidRPr="00035A23" w:rsidRDefault="00730709" w:rsidP="00885B99">
      <w:pPr>
        <w:pStyle w:val="FootnoteText"/>
      </w:pPr>
      <w:r>
        <w:rPr>
          <w:rStyle w:val="FootnoteReference"/>
        </w:rPr>
        <w:footnoteRef/>
      </w:r>
      <w:r>
        <w:t xml:space="preserve"> </w:t>
      </w:r>
      <w:r w:rsidRPr="00035A23">
        <w:tab/>
      </w:r>
      <w:r w:rsidRPr="001A7B76">
        <w:rPr>
          <w:i/>
        </w:rPr>
        <w:t>Ibid.</w:t>
      </w:r>
    </w:p>
  </w:footnote>
  <w:footnote w:id="47">
    <w:p w14:paraId="6B494C41" w14:textId="77777777" w:rsidR="00730709" w:rsidRPr="00035A23" w:rsidRDefault="00730709" w:rsidP="00885B99">
      <w:pPr>
        <w:pStyle w:val="FootnoteText"/>
      </w:pPr>
      <w:r>
        <w:rPr>
          <w:rStyle w:val="FootnoteReference"/>
        </w:rPr>
        <w:footnoteRef/>
      </w:r>
      <w:r>
        <w:t xml:space="preserve"> </w:t>
      </w:r>
      <w:r w:rsidRPr="00035A23">
        <w:tab/>
      </w:r>
      <w:r w:rsidRPr="001A7B76">
        <w:rPr>
          <w:i/>
        </w:rPr>
        <w:t>Ibid.</w:t>
      </w:r>
    </w:p>
  </w:footnote>
  <w:footnote w:id="48">
    <w:p w14:paraId="75FF3BEB" w14:textId="77777777" w:rsidR="00730709" w:rsidRPr="00035A23" w:rsidRDefault="00730709" w:rsidP="00885B99">
      <w:pPr>
        <w:pStyle w:val="FootnoteText"/>
      </w:pPr>
      <w:r>
        <w:rPr>
          <w:rStyle w:val="FootnoteReference"/>
        </w:rPr>
        <w:footnoteRef/>
      </w:r>
      <w:r>
        <w:t xml:space="preserve"> </w:t>
      </w:r>
      <w:r w:rsidRPr="00035A23">
        <w:tab/>
      </w:r>
      <w:r w:rsidRPr="001A7B76">
        <w:t>For example, the requirement in Nigeria for MNO</w:t>
      </w:r>
      <w:r>
        <w:t>'</w:t>
      </w:r>
      <w:r w:rsidRPr="001A7B76">
        <w:t>s DFS agents to have insurance.</w:t>
      </w:r>
    </w:p>
  </w:footnote>
  <w:footnote w:id="49">
    <w:p w14:paraId="5BAA8C33" w14:textId="77777777" w:rsidR="00730709" w:rsidRPr="00035A23" w:rsidRDefault="00730709" w:rsidP="00885B99">
      <w:pPr>
        <w:pStyle w:val="FootnoteText"/>
      </w:pPr>
      <w:r>
        <w:rPr>
          <w:rStyle w:val="FootnoteReference"/>
        </w:rPr>
        <w:footnoteRef/>
      </w:r>
      <w:r>
        <w:t xml:space="preserve"> </w:t>
      </w:r>
      <w:r w:rsidRPr="00035A23">
        <w:tab/>
      </w:r>
      <w:r w:rsidRPr="001A7B76">
        <w:t>They may not be able to use agents to provide DFS-related services, or the approval and/or compliance requirements for their agents may in some cases be disproportionate to the risk.</w:t>
      </w:r>
    </w:p>
  </w:footnote>
  <w:footnote w:id="50">
    <w:p w14:paraId="38D154AC" w14:textId="77777777" w:rsidR="00730709" w:rsidRPr="001A7B76" w:rsidRDefault="00730709" w:rsidP="00885B99">
      <w:pPr>
        <w:pStyle w:val="FootnoteText"/>
        <w:spacing w:after="120"/>
        <w:rPr>
          <w:color w:val="000000" w:themeColor="text1"/>
          <w:szCs w:val="18"/>
        </w:rPr>
      </w:pPr>
      <w:r w:rsidRPr="001A7B76">
        <w:rPr>
          <w:rStyle w:val="FootnoteReference"/>
          <w:color w:val="000000" w:themeColor="text1"/>
          <w:szCs w:val="18"/>
        </w:rPr>
        <w:footnoteRef/>
      </w:r>
      <w:r w:rsidRPr="001A7B76">
        <w:rPr>
          <w:color w:val="000000" w:themeColor="text1"/>
          <w:szCs w:val="18"/>
        </w:rPr>
        <w:t xml:space="preserve"> </w:t>
      </w:r>
      <w:r>
        <w:rPr>
          <w:color w:val="000000" w:themeColor="text1"/>
          <w:szCs w:val="18"/>
        </w:rPr>
        <w:tab/>
      </w:r>
      <w:r w:rsidRPr="001A7B76">
        <w:rPr>
          <w:color w:val="000000" w:themeColor="text1"/>
          <w:szCs w:val="18"/>
        </w:rPr>
        <w:t>This is typically the banking regulator. There may be dual remits on aspects of DFS. For example: In Indonesia between financial regulators (2011), the Indonesian Financial Services Authority (Otoritas Jasa Keuangan, (OJK)) replaced Bank Indonesia as the supervisory body for financial institutions, which includes Indonesian banks and domestic branch offices of foreign banks.</w:t>
      </w:r>
    </w:p>
  </w:footnote>
  <w:footnote w:id="51">
    <w:p w14:paraId="51AA23A6" w14:textId="77777777" w:rsidR="00730709" w:rsidRPr="001A7B76" w:rsidRDefault="00730709" w:rsidP="00885B99">
      <w:pPr>
        <w:pStyle w:val="FootnoteText"/>
        <w:spacing w:after="120"/>
        <w:rPr>
          <w:color w:val="000000" w:themeColor="text1"/>
          <w:szCs w:val="18"/>
        </w:rPr>
      </w:pPr>
      <w:r w:rsidRPr="001A7B76">
        <w:rPr>
          <w:rStyle w:val="FootnoteReference"/>
          <w:color w:val="000000" w:themeColor="text1"/>
          <w:szCs w:val="18"/>
        </w:rPr>
        <w:footnoteRef/>
      </w:r>
      <w:r w:rsidRPr="001A7B76">
        <w:rPr>
          <w:color w:val="000000" w:themeColor="text1"/>
          <w:szCs w:val="18"/>
        </w:rPr>
        <w:t xml:space="preserve"> </w:t>
      </w:r>
      <w:r>
        <w:rPr>
          <w:color w:val="000000" w:themeColor="text1"/>
          <w:szCs w:val="18"/>
        </w:rPr>
        <w:tab/>
      </w:r>
      <w:r w:rsidRPr="001A7B76">
        <w:rPr>
          <w:color w:val="000000" w:themeColor="text1"/>
          <w:szCs w:val="18"/>
        </w:rPr>
        <w:t xml:space="preserve">This may or may not be independent of the central </w:t>
      </w:r>
      <w:r>
        <w:rPr>
          <w:color w:val="000000" w:themeColor="text1"/>
          <w:szCs w:val="18"/>
        </w:rPr>
        <w:t>bank and the banking regulator.</w:t>
      </w:r>
    </w:p>
  </w:footnote>
  <w:footnote w:id="52">
    <w:p w14:paraId="072676FE" w14:textId="77777777" w:rsidR="00730709" w:rsidRPr="001A7B76" w:rsidRDefault="00730709" w:rsidP="00885B99">
      <w:pPr>
        <w:pStyle w:val="FootnoteText"/>
        <w:spacing w:after="120"/>
        <w:rPr>
          <w:color w:val="000000" w:themeColor="text1"/>
          <w:szCs w:val="18"/>
        </w:rPr>
      </w:pPr>
      <w:r w:rsidRPr="001A7B76">
        <w:rPr>
          <w:rStyle w:val="FootnoteReference"/>
          <w:color w:val="000000" w:themeColor="text1"/>
          <w:szCs w:val="18"/>
        </w:rPr>
        <w:footnoteRef/>
      </w:r>
      <w:r w:rsidRPr="001A7B76">
        <w:rPr>
          <w:color w:val="000000" w:themeColor="text1"/>
          <w:szCs w:val="18"/>
        </w:rPr>
        <w:t xml:space="preserve"> </w:t>
      </w:r>
      <w:r>
        <w:rPr>
          <w:color w:val="000000" w:themeColor="text1"/>
          <w:szCs w:val="18"/>
        </w:rPr>
        <w:tab/>
      </w:r>
      <w:r w:rsidRPr="001A7B76">
        <w:rPr>
          <w:color w:val="000000" w:themeColor="text1"/>
          <w:szCs w:val="18"/>
        </w:rPr>
        <w:t>In Kenya, Uganda, Peru, Bangladesh, Colombia and Jordan, the telecommunication regulators – often in concert with the central bank – have devised or are devising policies on wholesale pricing for USSD access.</w:t>
      </w:r>
    </w:p>
  </w:footnote>
  <w:footnote w:id="53">
    <w:p w14:paraId="69AFA006" w14:textId="77777777" w:rsidR="00730709" w:rsidRPr="001A7B76" w:rsidRDefault="00730709" w:rsidP="00885B99">
      <w:pPr>
        <w:pStyle w:val="FootnoteText"/>
        <w:spacing w:after="120"/>
        <w:rPr>
          <w:color w:val="000000" w:themeColor="text1"/>
          <w:szCs w:val="18"/>
        </w:rPr>
      </w:pPr>
      <w:r w:rsidRPr="001A7B76">
        <w:rPr>
          <w:rStyle w:val="FootnoteReference"/>
          <w:color w:val="000000" w:themeColor="text1"/>
          <w:szCs w:val="18"/>
        </w:rPr>
        <w:footnoteRef/>
      </w:r>
      <w:r w:rsidRPr="001A7B76">
        <w:rPr>
          <w:color w:val="000000" w:themeColor="text1"/>
          <w:szCs w:val="18"/>
        </w:rPr>
        <w:t xml:space="preserve"> </w:t>
      </w:r>
      <w:r>
        <w:rPr>
          <w:color w:val="000000" w:themeColor="text1"/>
          <w:szCs w:val="18"/>
        </w:rPr>
        <w:tab/>
      </w:r>
      <w:r w:rsidRPr="001A7B76">
        <w:rPr>
          <w:color w:val="000000" w:themeColor="text1"/>
          <w:szCs w:val="18"/>
        </w:rPr>
        <w:t xml:space="preserve">For good overviews on competition policies, see GSMA (2015) </w:t>
      </w:r>
      <w:r w:rsidRPr="001A7B76">
        <w:rPr>
          <w:i/>
          <w:color w:val="000000" w:themeColor="text1"/>
          <w:szCs w:val="18"/>
        </w:rPr>
        <w:t>Competition Policy in the Digital Age</w:t>
      </w:r>
      <w:r w:rsidRPr="001A7B76">
        <w:rPr>
          <w:color w:val="000000" w:themeColor="text1"/>
          <w:szCs w:val="18"/>
        </w:rPr>
        <w:t xml:space="preserve">, available at </w:t>
      </w:r>
      <w:hyperlink r:id="rId8" w:history="1">
        <w:r w:rsidRPr="00743C2E">
          <w:rPr>
            <w:rStyle w:val="Hyperlink"/>
            <w:szCs w:val="18"/>
          </w:rPr>
          <w:t>https://goo.gl/Q2Ceyc</w:t>
        </w:r>
      </w:hyperlink>
      <w:r>
        <w:rPr>
          <w:color w:val="000000" w:themeColor="text1"/>
          <w:szCs w:val="18"/>
        </w:rPr>
        <w:t xml:space="preserve"> </w:t>
      </w:r>
      <w:r w:rsidRPr="001A7B76">
        <w:rPr>
          <w:color w:val="000000" w:themeColor="text1"/>
          <w:szCs w:val="18"/>
        </w:rPr>
        <w:t xml:space="preserve">; and GSMA (2016a) </w:t>
      </w:r>
      <w:r w:rsidRPr="001A7B76">
        <w:rPr>
          <w:i/>
          <w:color w:val="000000" w:themeColor="text1"/>
          <w:szCs w:val="18"/>
        </w:rPr>
        <w:t>ibid.</w:t>
      </w:r>
    </w:p>
  </w:footnote>
  <w:footnote w:id="54">
    <w:p w14:paraId="119AF766" w14:textId="77777777" w:rsidR="00730709" w:rsidRPr="001A7B76" w:rsidRDefault="00730709" w:rsidP="00885B99">
      <w:pPr>
        <w:pStyle w:val="FootnoteText"/>
        <w:spacing w:after="120"/>
        <w:rPr>
          <w:color w:val="000000" w:themeColor="text1"/>
          <w:szCs w:val="18"/>
        </w:rPr>
      </w:pPr>
      <w:r w:rsidRPr="001A7B76">
        <w:rPr>
          <w:rStyle w:val="FootnoteReference"/>
          <w:color w:val="000000" w:themeColor="text1"/>
          <w:szCs w:val="18"/>
        </w:rPr>
        <w:footnoteRef/>
      </w:r>
      <w:r w:rsidRPr="001A7B76">
        <w:rPr>
          <w:color w:val="000000" w:themeColor="text1"/>
          <w:szCs w:val="18"/>
        </w:rPr>
        <w:t xml:space="preserve"> </w:t>
      </w:r>
      <w:r>
        <w:rPr>
          <w:color w:val="000000" w:themeColor="text1"/>
          <w:szCs w:val="18"/>
        </w:rPr>
        <w:tab/>
      </w:r>
      <w:r w:rsidRPr="001A7B76">
        <w:rPr>
          <w:color w:val="000000" w:themeColor="text1"/>
          <w:szCs w:val="18"/>
        </w:rPr>
        <w:t>In Malawi, for example, there are MOUs between the Competition and Fair Trading Commission and other DFS regulators outlining their respective jurisdictions.</w:t>
      </w:r>
    </w:p>
  </w:footnote>
  <w:footnote w:id="55">
    <w:p w14:paraId="0111C925" w14:textId="77777777" w:rsidR="00730709" w:rsidRPr="001A7B76" w:rsidRDefault="00730709" w:rsidP="00885B99">
      <w:pPr>
        <w:pStyle w:val="FootnoteText"/>
        <w:spacing w:after="120"/>
        <w:rPr>
          <w:color w:val="000000" w:themeColor="text1"/>
          <w:szCs w:val="18"/>
        </w:rPr>
      </w:pPr>
      <w:r w:rsidRPr="001A7B76">
        <w:rPr>
          <w:rStyle w:val="FootnoteReference"/>
          <w:color w:val="000000" w:themeColor="text1"/>
          <w:szCs w:val="18"/>
        </w:rPr>
        <w:footnoteRef/>
      </w:r>
      <w:r w:rsidRPr="001A7B76">
        <w:rPr>
          <w:color w:val="000000" w:themeColor="text1"/>
          <w:szCs w:val="18"/>
        </w:rPr>
        <w:t xml:space="preserve"> </w:t>
      </w:r>
      <w:r>
        <w:rPr>
          <w:color w:val="000000" w:themeColor="text1"/>
          <w:szCs w:val="18"/>
        </w:rPr>
        <w:tab/>
      </w:r>
      <w:r w:rsidRPr="001A7B76">
        <w:rPr>
          <w:color w:val="000000" w:themeColor="text1"/>
          <w:szCs w:val="18"/>
        </w:rPr>
        <w:t xml:space="preserve">For example, </w:t>
      </w:r>
      <w:r>
        <w:rPr>
          <w:color w:val="000000" w:themeColor="text1"/>
          <w:szCs w:val="18"/>
        </w:rPr>
        <w:t>the Communications Authority (CA)</w:t>
      </w:r>
      <w:r w:rsidRPr="00084E66">
        <w:rPr>
          <w:color w:val="000000" w:themeColor="text1"/>
          <w:szCs w:val="18"/>
        </w:rPr>
        <w:t xml:space="preserve"> </w:t>
      </w:r>
      <w:r>
        <w:rPr>
          <w:color w:val="000000" w:themeColor="text1"/>
          <w:szCs w:val="18"/>
        </w:rPr>
        <w:t>of</w:t>
      </w:r>
      <w:r w:rsidRPr="001A7B76">
        <w:rPr>
          <w:color w:val="000000" w:themeColor="text1"/>
          <w:szCs w:val="18"/>
        </w:rPr>
        <w:t xml:space="preserve"> Kenya</w:t>
      </w:r>
      <w:r>
        <w:rPr>
          <w:color w:val="000000" w:themeColor="text1"/>
          <w:szCs w:val="18"/>
        </w:rPr>
        <w:t xml:space="preserve"> (</w:t>
      </w:r>
      <w:r w:rsidRPr="001A7B76">
        <w:rPr>
          <w:color w:val="000000" w:themeColor="text1"/>
          <w:szCs w:val="18"/>
        </w:rPr>
        <w:t>the telecommunication sector regulator</w:t>
      </w:r>
      <w:r>
        <w:rPr>
          <w:color w:val="000000" w:themeColor="text1"/>
          <w:szCs w:val="18"/>
        </w:rPr>
        <w:t>)</w:t>
      </w:r>
      <w:r w:rsidRPr="001A7B76">
        <w:rPr>
          <w:color w:val="000000" w:themeColor="text1"/>
          <w:szCs w:val="18"/>
        </w:rPr>
        <w:t xml:space="preserve"> lost its competition powers to independently monitor dominance and act against its abuse, leaving it with a narrow mandate of licensing new players and allocating frequencies. Under the new legal regime, the CA must consult the Competition Authority of Kenya (CAK) when assessing critical industry factors, such as SMP, before making a declaration of dominance. See Asoko Insight (2016) </w:t>
      </w:r>
      <w:r w:rsidRPr="001A7B76">
        <w:rPr>
          <w:i/>
          <w:color w:val="000000" w:themeColor="text1"/>
          <w:szCs w:val="18"/>
        </w:rPr>
        <w:t>Communications Authority Of Kenya Loses Power To Regulate Dominant Telcos,</w:t>
      </w:r>
      <w:r w:rsidRPr="001A7B76">
        <w:rPr>
          <w:color w:val="000000" w:themeColor="text1"/>
          <w:szCs w:val="18"/>
        </w:rPr>
        <w:t xml:space="preserve"> available at </w:t>
      </w:r>
      <w:hyperlink r:id="rId9" w:history="1">
        <w:r w:rsidRPr="00B17C68">
          <w:rPr>
            <w:rStyle w:val="Hyperlink"/>
            <w:szCs w:val="18"/>
          </w:rPr>
          <w:t>https://goo.gl/OR5D14</w:t>
        </w:r>
      </w:hyperlink>
      <w:r w:rsidRPr="001A7B76">
        <w:rPr>
          <w:color w:val="000000" w:themeColor="text1"/>
          <w:szCs w:val="18"/>
        </w:rPr>
        <w:t>. In some jurisdictions such as India, consultations between sector regulator and competition authority are not mandatory but at the discretion of regulator in charge of the issue.</w:t>
      </w:r>
    </w:p>
  </w:footnote>
  <w:footnote w:id="56">
    <w:p w14:paraId="225E2FB0" w14:textId="77777777" w:rsidR="00730709" w:rsidRPr="00035A23" w:rsidRDefault="00730709" w:rsidP="00885B99">
      <w:pPr>
        <w:pStyle w:val="FootnoteText"/>
      </w:pPr>
      <w:r>
        <w:rPr>
          <w:rStyle w:val="FootnoteReference"/>
        </w:rPr>
        <w:footnoteRef/>
      </w:r>
      <w:r>
        <w:t xml:space="preserve"> </w:t>
      </w:r>
      <w:r w:rsidRPr="00035A23">
        <w:tab/>
      </w:r>
      <w:r w:rsidRPr="00D6488B">
        <w:rPr>
          <w:color w:val="000000" w:themeColor="text1"/>
          <w:szCs w:val="22"/>
        </w:rPr>
        <w:t xml:space="preserve">As noted by Bourreau and Valletti, </w:t>
      </w:r>
      <w:r w:rsidRPr="00D6488B">
        <w:rPr>
          <w:i/>
          <w:color w:val="000000" w:themeColor="text1"/>
          <w:szCs w:val="22"/>
        </w:rPr>
        <w:t>ex ante</w:t>
      </w:r>
      <w:r w:rsidRPr="00D6488B">
        <w:rPr>
          <w:color w:val="000000" w:themeColor="text1"/>
          <w:szCs w:val="22"/>
        </w:rPr>
        <w:t xml:space="preserve"> regulation is used when a regulatory or other relevant authority establishes that absent such </w:t>
      </w:r>
      <w:r w:rsidRPr="00D6488B">
        <w:rPr>
          <w:i/>
          <w:color w:val="000000" w:themeColor="text1"/>
          <w:szCs w:val="22"/>
        </w:rPr>
        <w:t>ex ante</w:t>
      </w:r>
      <w:r w:rsidRPr="00D6488B">
        <w:rPr>
          <w:color w:val="000000" w:themeColor="text1"/>
          <w:szCs w:val="22"/>
        </w:rPr>
        <w:t xml:space="preserve"> intervention, the abuse of a dominant position some or other market failure will occur. See Bourreau, M &amp; Valletti, T (2015) </w:t>
      </w:r>
      <w:r w:rsidRPr="00D6488B">
        <w:rPr>
          <w:i/>
          <w:color w:val="000000" w:themeColor="text1"/>
          <w:szCs w:val="22"/>
        </w:rPr>
        <w:t>Enabling Digital Financial Inclusion through Improvements in Competition and Interoperability: What Works and What Doesn</w:t>
      </w:r>
      <w:r>
        <w:rPr>
          <w:i/>
          <w:color w:val="000000" w:themeColor="text1"/>
          <w:szCs w:val="22"/>
        </w:rPr>
        <w:t>'</w:t>
      </w:r>
      <w:r w:rsidRPr="00D6488B">
        <w:rPr>
          <w:i/>
          <w:color w:val="000000" w:themeColor="text1"/>
          <w:szCs w:val="22"/>
        </w:rPr>
        <w:t>t</w:t>
      </w:r>
      <w:r w:rsidRPr="00D6488B">
        <w:rPr>
          <w:color w:val="000000" w:themeColor="text1"/>
          <w:szCs w:val="22"/>
        </w:rPr>
        <w:t xml:space="preserve">?, available at </w:t>
      </w:r>
      <w:hyperlink r:id="rId10" w:history="1">
        <w:r w:rsidRPr="00D6488B">
          <w:rPr>
            <w:rStyle w:val="Hyperlink"/>
            <w:szCs w:val="22"/>
          </w:rPr>
          <w:t>https://goo.gl/jAcViG</w:t>
        </w:r>
      </w:hyperlink>
    </w:p>
  </w:footnote>
  <w:footnote w:id="57">
    <w:p w14:paraId="125842F7" w14:textId="77777777"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Although in regards mergers and/or acquisition that create entities with large overlapping market share, the competition authority may need to be notified prior to being implemented.</w:t>
      </w:r>
    </w:p>
  </w:footnote>
  <w:footnote w:id="58">
    <w:p w14:paraId="5F0DBC68" w14:textId="77777777"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 xml:space="preserve">For an overview of the potential tools available to regulators to deal with competition issues, see Sitbon, E (2015) </w:t>
      </w:r>
      <w:r w:rsidRPr="00D3155E">
        <w:rPr>
          <w:i/>
          <w:color w:val="000000" w:themeColor="text1"/>
          <w:szCs w:val="18"/>
        </w:rPr>
        <w:t>Addressing Competition Bottlenecks in Digital Financial Ecosystems</w:t>
      </w:r>
      <w:r w:rsidRPr="00D3155E">
        <w:rPr>
          <w:color w:val="000000" w:themeColor="text1"/>
          <w:szCs w:val="18"/>
        </w:rPr>
        <w:t xml:space="preserve">, available at </w:t>
      </w:r>
      <w:hyperlink r:id="rId11" w:history="1">
        <w:r w:rsidRPr="00B17C68">
          <w:rPr>
            <w:rStyle w:val="Hyperlink"/>
            <w:szCs w:val="18"/>
          </w:rPr>
          <w:t>https://ssrn.com/abstract=2673637</w:t>
        </w:r>
      </w:hyperlink>
    </w:p>
  </w:footnote>
  <w:footnote w:id="59">
    <w:p w14:paraId="2D01CC98" w14:textId="77777777"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The list below and terminology used is stylized and descriptive, and does not necessarily use terms of art usually associated with regulatory powers in competition-related matters.</w:t>
      </w:r>
    </w:p>
  </w:footnote>
  <w:footnote w:id="60">
    <w:p w14:paraId="3912A71B" w14:textId="77777777" w:rsidR="00730709" w:rsidRPr="00035A23" w:rsidRDefault="00730709" w:rsidP="00885B99">
      <w:pPr>
        <w:pStyle w:val="FootnoteText"/>
      </w:pPr>
      <w:r>
        <w:rPr>
          <w:rStyle w:val="FootnoteReference"/>
        </w:rPr>
        <w:footnoteRef/>
      </w:r>
      <w:r>
        <w:t xml:space="preserve"> </w:t>
      </w:r>
      <w:r w:rsidRPr="00035A23">
        <w:tab/>
      </w:r>
      <w:r w:rsidRPr="00D3155E">
        <w:rPr>
          <w:color w:val="000000" w:themeColor="text1"/>
          <w:szCs w:val="18"/>
        </w:rPr>
        <w:t>This has been the approach to date for example in Uganda. However the UCC appears to be set for a more interventionist approach.</w:t>
      </w:r>
    </w:p>
  </w:footnote>
  <w:footnote w:id="61">
    <w:p w14:paraId="1BA18004" w14:textId="77777777" w:rsidR="00730709" w:rsidRPr="00035A23" w:rsidRDefault="00730709" w:rsidP="00885B99">
      <w:pPr>
        <w:pStyle w:val="FootnoteText"/>
      </w:pPr>
      <w:r>
        <w:rPr>
          <w:rStyle w:val="FootnoteReference"/>
        </w:rPr>
        <w:footnoteRef/>
      </w:r>
      <w:r>
        <w:t xml:space="preserve"> </w:t>
      </w:r>
      <w:r>
        <w:tab/>
      </w:r>
      <w:r w:rsidRPr="00D3155E">
        <w:rPr>
          <w:i/>
          <w:color w:val="000000" w:themeColor="text1"/>
          <w:szCs w:val="18"/>
        </w:rPr>
        <w:t>ibid</w:t>
      </w:r>
      <w:r w:rsidRPr="00D3155E">
        <w:rPr>
          <w:color w:val="000000" w:themeColor="text1"/>
          <w:szCs w:val="18"/>
        </w:rPr>
        <w:t>. In Jordan, the Bank of Jordan (BOJ) has embarked on a collaborative effort with current and prospective DFS market participants to participate on a non-discriminatory basis, particularly in respect of participation in the JoMoPay interoperability switch.</w:t>
      </w:r>
    </w:p>
  </w:footnote>
  <w:footnote w:id="62">
    <w:p w14:paraId="1DB8DEB0" w14:textId="77777777" w:rsidR="00730709" w:rsidRPr="00035A23" w:rsidRDefault="00730709" w:rsidP="00885B99">
      <w:pPr>
        <w:pStyle w:val="FootnoteText"/>
      </w:pPr>
      <w:r>
        <w:rPr>
          <w:rStyle w:val="FootnoteReference"/>
        </w:rPr>
        <w:footnoteRef/>
      </w:r>
      <w:r>
        <w:t xml:space="preserve"> </w:t>
      </w:r>
      <w:r w:rsidRPr="00035A23">
        <w:tab/>
      </w:r>
      <w:r w:rsidRPr="00D3155E">
        <w:rPr>
          <w:color w:val="000000" w:themeColor="text1"/>
          <w:szCs w:val="18"/>
        </w:rPr>
        <w:t>This may involve the financial regulators or telecommunication regulator</w:t>
      </w:r>
    </w:p>
  </w:footnote>
  <w:footnote w:id="63">
    <w:p w14:paraId="5843D97B" w14:textId="77777777" w:rsidR="00730709" w:rsidRPr="00035A23" w:rsidRDefault="00730709" w:rsidP="00885B99">
      <w:pPr>
        <w:pStyle w:val="FootnoteText"/>
      </w:pPr>
      <w:r>
        <w:rPr>
          <w:rStyle w:val="FootnoteReference"/>
        </w:rPr>
        <w:footnoteRef/>
      </w:r>
      <w:r>
        <w:t xml:space="preserve"> </w:t>
      </w:r>
      <w:r w:rsidRPr="00035A23">
        <w:tab/>
      </w:r>
      <w:r w:rsidRPr="00AD4204">
        <w:rPr>
          <w:color w:val="000000" w:themeColor="text1"/>
          <w:szCs w:val="22"/>
        </w:rPr>
        <w:t>The telecommunication regulator and competition regulator have both intervened in the Kenyan market in response to the dominance of MNO Safaricom and its M-PESA DFS service.</w:t>
      </w:r>
    </w:p>
  </w:footnote>
  <w:footnote w:id="64">
    <w:p w14:paraId="3DFB31D4" w14:textId="77777777" w:rsidR="00730709" w:rsidRPr="00035A23" w:rsidRDefault="00730709" w:rsidP="00885B99">
      <w:pPr>
        <w:pStyle w:val="FootnoteText"/>
      </w:pPr>
      <w:r>
        <w:rPr>
          <w:rStyle w:val="FootnoteReference"/>
        </w:rPr>
        <w:footnoteRef/>
      </w:r>
      <w:r>
        <w:t xml:space="preserve"> </w:t>
      </w:r>
      <w:r w:rsidRPr="00035A23">
        <w:tab/>
      </w:r>
      <w:r w:rsidRPr="00D3155E">
        <w:rPr>
          <w:color w:val="000000" w:themeColor="text1"/>
          <w:szCs w:val="18"/>
        </w:rPr>
        <w:t>See India and Zimbabwe as examples of implementation of price controls for telecommunication access in DFS.</w:t>
      </w:r>
    </w:p>
  </w:footnote>
  <w:footnote w:id="65">
    <w:p w14:paraId="68B36C4D" w14:textId="77777777" w:rsidR="00730709" w:rsidRPr="00035A23" w:rsidRDefault="00730709" w:rsidP="00885B99">
      <w:pPr>
        <w:pStyle w:val="FootnoteText"/>
      </w:pPr>
      <w:r>
        <w:rPr>
          <w:rStyle w:val="FootnoteReference"/>
        </w:rPr>
        <w:footnoteRef/>
      </w:r>
      <w:r>
        <w:t xml:space="preserve"> </w:t>
      </w:r>
      <w:r w:rsidRPr="00035A23">
        <w:tab/>
      </w:r>
      <w:r w:rsidRPr="00AD4204">
        <w:rPr>
          <w:color w:val="000000" w:themeColor="text1"/>
          <w:szCs w:val="22"/>
        </w:rPr>
        <w:t>A determination of SMP involves competition law principles. It may be that an entity with SMP abuses that SMP to the detriment of competitors. The abuse is what usually triggers regulatory intervention.</w:t>
      </w:r>
    </w:p>
  </w:footnote>
  <w:footnote w:id="66">
    <w:p w14:paraId="464EC174" w14:textId="77777777" w:rsidR="00730709" w:rsidRPr="00035A23" w:rsidRDefault="00730709" w:rsidP="00885B99">
      <w:pPr>
        <w:pStyle w:val="FootnoteText"/>
      </w:pPr>
      <w:r>
        <w:rPr>
          <w:rStyle w:val="FootnoteReference"/>
        </w:rPr>
        <w:footnoteRef/>
      </w:r>
      <w:r>
        <w:t xml:space="preserve"> </w:t>
      </w:r>
      <w:r w:rsidRPr="00035A23">
        <w:tab/>
      </w:r>
      <w:r w:rsidRPr="00AD4204">
        <w:rPr>
          <w:color w:val="000000" w:themeColor="text1"/>
          <w:szCs w:val="22"/>
        </w:rPr>
        <w:t>Kenya</w:t>
      </w:r>
      <w:r>
        <w:rPr>
          <w:color w:val="000000" w:themeColor="text1"/>
          <w:szCs w:val="22"/>
        </w:rPr>
        <w:t>'</w:t>
      </w:r>
      <w:r w:rsidRPr="00AD4204">
        <w:rPr>
          <w:color w:val="000000" w:themeColor="text1"/>
          <w:szCs w:val="22"/>
        </w:rPr>
        <w:t xml:space="preserve">s </w:t>
      </w:r>
      <w:r w:rsidRPr="00AD4204">
        <w:rPr>
          <w:color w:val="000000" w:themeColor="text1"/>
          <w:szCs w:val="22"/>
          <w:shd w:val="clear" w:color="auto" w:fill="FFFFFF"/>
        </w:rPr>
        <w:t>ICT secretary was quoted as saying he supports the breakup of Safaricom</w:t>
      </w:r>
      <w:r w:rsidRPr="00AD4204">
        <w:rPr>
          <w:color w:val="000000" w:themeColor="text1"/>
          <w:szCs w:val="22"/>
        </w:rPr>
        <w:t xml:space="preserve">. A bill was published for public comment, and a companion market study on SMP was launched. See Nation (2015) </w:t>
      </w:r>
      <w:r w:rsidRPr="00AD4204">
        <w:rPr>
          <w:bCs/>
          <w:i/>
          <w:color w:val="000000" w:themeColor="text1"/>
          <w:szCs w:val="22"/>
        </w:rPr>
        <w:t>Matiang</w:t>
      </w:r>
      <w:r>
        <w:rPr>
          <w:bCs/>
          <w:i/>
          <w:color w:val="000000" w:themeColor="text1"/>
          <w:szCs w:val="22"/>
        </w:rPr>
        <w:t>'</w:t>
      </w:r>
      <w:r w:rsidRPr="00AD4204">
        <w:rPr>
          <w:bCs/>
          <w:i/>
          <w:color w:val="000000" w:themeColor="text1"/>
          <w:szCs w:val="22"/>
        </w:rPr>
        <w:t>i Backs Airtel In Push To Break Up Safaricom</w:t>
      </w:r>
      <w:r w:rsidRPr="00AD4204">
        <w:rPr>
          <w:bCs/>
          <w:color w:val="000000" w:themeColor="text1"/>
          <w:szCs w:val="22"/>
        </w:rPr>
        <w:t>, available at</w:t>
      </w:r>
      <w:r w:rsidRPr="00AD4204">
        <w:rPr>
          <w:color w:val="000000" w:themeColor="text1"/>
          <w:szCs w:val="22"/>
        </w:rPr>
        <w:t xml:space="preserve"> </w:t>
      </w:r>
      <w:hyperlink r:id="rId12" w:history="1">
        <w:r w:rsidRPr="00AD4204">
          <w:rPr>
            <w:rStyle w:val="Hyperlink"/>
            <w:szCs w:val="22"/>
          </w:rPr>
          <w:t>https://goo.gl/Va7QK8</w:t>
        </w:r>
      </w:hyperlink>
      <w:r w:rsidRPr="00AD4204">
        <w:rPr>
          <w:color w:val="000000" w:themeColor="text1"/>
          <w:szCs w:val="22"/>
        </w:rPr>
        <w:t xml:space="preserve">; </w:t>
      </w:r>
      <w:r w:rsidRPr="00AD4204">
        <w:rPr>
          <w:bCs/>
          <w:i/>
          <w:color w:val="000000" w:themeColor="text1"/>
          <w:szCs w:val="22"/>
        </w:rPr>
        <w:t>The Kenya Information And Communications (Fair Competition And Equality Of Treatment) Regulations, 2015,</w:t>
      </w:r>
      <w:r w:rsidRPr="00AD4204">
        <w:rPr>
          <w:bCs/>
          <w:color w:val="000000" w:themeColor="text1"/>
          <w:szCs w:val="22"/>
        </w:rPr>
        <w:t xml:space="preserve"> available at </w:t>
      </w:r>
      <w:hyperlink r:id="rId13" w:history="1">
        <w:r w:rsidRPr="00AD4204">
          <w:rPr>
            <w:rStyle w:val="Hyperlink"/>
            <w:bCs/>
            <w:szCs w:val="22"/>
          </w:rPr>
          <w:t>https://goo.gl/MnKnEy</w:t>
        </w:r>
      </w:hyperlink>
    </w:p>
  </w:footnote>
  <w:footnote w:id="67">
    <w:p w14:paraId="5660662A" w14:textId="77777777" w:rsidR="00730709" w:rsidRPr="00035A23" w:rsidRDefault="00730709" w:rsidP="00885B99">
      <w:pPr>
        <w:pStyle w:val="FootnoteText"/>
      </w:pPr>
      <w:r>
        <w:rPr>
          <w:rStyle w:val="FootnoteReference"/>
        </w:rPr>
        <w:footnoteRef/>
      </w:r>
      <w:r>
        <w:t xml:space="preserve"> </w:t>
      </w:r>
      <w:r>
        <w:tab/>
      </w:r>
      <w:r w:rsidRPr="00AD4204">
        <w:rPr>
          <w:szCs w:val="22"/>
        </w:rPr>
        <w:t>A regulator</w:t>
      </w:r>
      <w:r>
        <w:rPr>
          <w:szCs w:val="22"/>
        </w:rPr>
        <w:t>'</w:t>
      </w:r>
      <w:r w:rsidRPr="00AD4204">
        <w:rPr>
          <w:szCs w:val="22"/>
        </w:rPr>
        <w:t>s tools may, and frequently are, also so delimited.</w:t>
      </w:r>
    </w:p>
  </w:footnote>
  <w:footnote w:id="68">
    <w:p w14:paraId="4B3C5018" w14:textId="77777777"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 xml:space="preserve">Except for merger reviews, which are </w:t>
      </w:r>
      <w:r w:rsidRPr="00D3155E">
        <w:rPr>
          <w:i/>
          <w:color w:val="000000" w:themeColor="text1"/>
          <w:szCs w:val="18"/>
        </w:rPr>
        <w:t>ex ante</w:t>
      </w:r>
      <w:r w:rsidRPr="00D3155E">
        <w:rPr>
          <w:color w:val="000000" w:themeColor="text1"/>
          <w:szCs w:val="18"/>
        </w:rPr>
        <w:t>.</w:t>
      </w:r>
    </w:p>
  </w:footnote>
  <w:footnote w:id="69">
    <w:p w14:paraId="63D985B4" w14:textId="77777777" w:rsidR="00730709" w:rsidRPr="00035A23" w:rsidRDefault="00730709" w:rsidP="00885B99">
      <w:pPr>
        <w:pStyle w:val="FootnoteText"/>
      </w:pPr>
      <w:r>
        <w:rPr>
          <w:rStyle w:val="FootnoteReference"/>
        </w:rPr>
        <w:footnoteRef/>
      </w:r>
      <w:r>
        <w:t xml:space="preserve"> </w:t>
      </w:r>
      <w:r w:rsidRPr="00035A23">
        <w:tab/>
      </w:r>
      <w:r w:rsidRPr="00D3155E">
        <w:rPr>
          <w:color w:val="000000" w:themeColor="text1"/>
          <w:szCs w:val="18"/>
        </w:rPr>
        <w:t>Post investigation, they also have the ability to recommend, or force, an entity found to have been abusing its vertically-integrated market power to split into two or more independent entities, or sell a component of its business.</w:t>
      </w:r>
    </w:p>
  </w:footnote>
  <w:footnote w:id="70">
    <w:p w14:paraId="2AEB3431" w14:textId="77777777" w:rsidR="00730709" w:rsidRPr="00035A23" w:rsidRDefault="00730709" w:rsidP="00885B99">
      <w:pPr>
        <w:pStyle w:val="FootnoteText"/>
      </w:pPr>
      <w:r>
        <w:rPr>
          <w:rStyle w:val="FootnoteReference"/>
        </w:rPr>
        <w:footnoteRef/>
      </w:r>
      <w:r>
        <w:t xml:space="preserve"> </w:t>
      </w:r>
      <w:r>
        <w:tab/>
      </w:r>
      <w:r w:rsidRPr="00D3155E">
        <w:rPr>
          <w:color w:val="000000" w:themeColor="text1"/>
          <w:szCs w:val="18"/>
        </w:rPr>
        <w:t>For example, mergers and/or acquisition that create entities with large overlapping market share in certain sectors may need to be notified to the regulator or competition authority prior to being implemented.</w:t>
      </w:r>
    </w:p>
  </w:footnote>
  <w:footnote w:id="71">
    <w:p w14:paraId="1C3E0190" w14:textId="77777777" w:rsidR="00730709" w:rsidRPr="00D3155E" w:rsidRDefault="00730709" w:rsidP="00885B99">
      <w:pPr>
        <w:pStyle w:val="FootnoteText"/>
        <w:spacing w:after="120"/>
        <w:rPr>
          <w:szCs w:val="18"/>
        </w:rPr>
      </w:pPr>
      <w:r w:rsidRPr="00C64E16">
        <w:rPr>
          <w:rStyle w:val="FootnoteReference"/>
        </w:rPr>
        <w:footnoteRef/>
      </w:r>
      <w:r w:rsidRPr="00C64E16">
        <w:t xml:space="preserve"> </w:t>
      </w:r>
      <w:r>
        <w:tab/>
      </w:r>
      <w:r w:rsidRPr="001A7B76">
        <w:t xml:space="preserve">In many jurisdictions this is permission to issue electronic money services (or equivalent). This is also called </w:t>
      </w:r>
      <w:r>
        <w:t>'</w:t>
      </w:r>
      <w:r w:rsidRPr="001A7B76">
        <w:t xml:space="preserve">mobile financial </w:t>
      </w:r>
      <w:r w:rsidRPr="00D3155E">
        <w:rPr>
          <w:szCs w:val="18"/>
        </w:rPr>
        <w:t>services</w:t>
      </w:r>
      <w:r>
        <w:rPr>
          <w:szCs w:val="18"/>
        </w:rPr>
        <w:t>'</w:t>
      </w:r>
      <w:r w:rsidRPr="00D3155E">
        <w:rPr>
          <w:szCs w:val="18"/>
        </w:rPr>
        <w:t xml:space="preserve"> or </w:t>
      </w:r>
      <w:r>
        <w:rPr>
          <w:szCs w:val="18"/>
        </w:rPr>
        <w:t>'</w:t>
      </w:r>
      <w:r w:rsidRPr="00D3155E">
        <w:rPr>
          <w:szCs w:val="18"/>
        </w:rPr>
        <w:t>branchless banking</w:t>
      </w:r>
      <w:r>
        <w:rPr>
          <w:szCs w:val="18"/>
        </w:rPr>
        <w:t>'</w:t>
      </w:r>
      <w:r w:rsidRPr="00D3155E">
        <w:rPr>
          <w:szCs w:val="18"/>
        </w:rPr>
        <w:t xml:space="preserve"> in some jurisdictions.</w:t>
      </w:r>
    </w:p>
  </w:footnote>
  <w:footnote w:id="72">
    <w:p w14:paraId="11CEA8EA" w14:textId="77777777"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 xml:space="preserve">di Castri, S (2013) </w:t>
      </w:r>
      <w:r w:rsidRPr="00D3155E">
        <w:rPr>
          <w:i/>
          <w:color w:val="000000" w:themeColor="text1"/>
          <w:szCs w:val="18"/>
        </w:rPr>
        <w:t>Mobile Money: Enabling Regulatory Solutions</w:t>
      </w:r>
      <w:r w:rsidRPr="00D3155E">
        <w:rPr>
          <w:color w:val="000000" w:themeColor="text1"/>
          <w:szCs w:val="18"/>
        </w:rPr>
        <w:t xml:space="preserve">, available at </w:t>
      </w:r>
      <w:hyperlink r:id="rId14" w:history="1">
        <w:r w:rsidRPr="00B17C68">
          <w:rPr>
            <w:rStyle w:val="Hyperlink"/>
            <w:szCs w:val="18"/>
          </w:rPr>
          <w:t>https://goo.gl/ur9AKN</w:t>
        </w:r>
      </w:hyperlink>
    </w:p>
  </w:footnote>
  <w:footnote w:id="73">
    <w:p w14:paraId="4032C3F1" w14:textId="77777777"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 xml:space="preserve">These are stylized classifications of market access to DFS. Often the terms of art used to describe market access to DFS is classified just as bank-based (or led) or MNO-based (or led). </w:t>
      </w:r>
      <w:r w:rsidRPr="00D3155E">
        <w:rPr>
          <w:i/>
          <w:color w:val="000000" w:themeColor="text1"/>
          <w:szCs w:val="18"/>
        </w:rPr>
        <w:t>Ibid.</w:t>
      </w:r>
    </w:p>
  </w:footnote>
  <w:footnote w:id="74">
    <w:p w14:paraId="7693D175" w14:textId="77777777" w:rsidR="00730709" w:rsidRPr="00035A23" w:rsidRDefault="00730709" w:rsidP="00885B99">
      <w:pPr>
        <w:pStyle w:val="FootnoteText"/>
      </w:pPr>
      <w:r>
        <w:rPr>
          <w:rStyle w:val="FootnoteReference"/>
        </w:rPr>
        <w:footnoteRef/>
      </w:r>
      <w:r w:rsidRPr="00BC4273">
        <w:tab/>
      </w:r>
      <w:r w:rsidRPr="00D3155E">
        <w:rPr>
          <w:color w:val="000000" w:themeColor="text1"/>
          <w:szCs w:val="18"/>
        </w:rPr>
        <w:t>For example, in Pakistan.</w:t>
      </w:r>
    </w:p>
  </w:footnote>
  <w:footnote w:id="75">
    <w:p w14:paraId="1FD77EB3" w14:textId="77777777" w:rsidR="00730709" w:rsidRPr="00035A23" w:rsidRDefault="00730709" w:rsidP="00885B99">
      <w:pPr>
        <w:pStyle w:val="FootnoteText"/>
      </w:pPr>
      <w:r>
        <w:rPr>
          <w:rStyle w:val="FootnoteReference"/>
        </w:rPr>
        <w:footnoteRef/>
      </w:r>
      <w:r>
        <w:tab/>
      </w:r>
      <w:r w:rsidRPr="00D3155E">
        <w:rPr>
          <w:color w:val="000000" w:themeColor="text1"/>
          <w:szCs w:val="18"/>
        </w:rPr>
        <w:t>For example as in Bangladesh.</w:t>
      </w:r>
    </w:p>
  </w:footnote>
  <w:footnote w:id="76">
    <w:p w14:paraId="292462FC" w14:textId="77777777" w:rsidR="00730709" w:rsidRPr="00035A23" w:rsidRDefault="00730709" w:rsidP="00885B99">
      <w:pPr>
        <w:pStyle w:val="FootnoteText"/>
      </w:pPr>
      <w:r>
        <w:rPr>
          <w:rStyle w:val="FootnoteReference"/>
        </w:rPr>
        <w:footnoteRef/>
      </w:r>
      <w:r w:rsidRPr="00035A23">
        <w:tab/>
      </w:r>
      <w:r w:rsidRPr="00D3155E">
        <w:rPr>
          <w:color w:val="000000" w:themeColor="text1"/>
          <w:szCs w:val="18"/>
        </w:rPr>
        <w:t>For example in in Nigeria.</w:t>
      </w:r>
    </w:p>
  </w:footnote>
  <w:footnote w:id="77">
    <w:p w14:paraId="73F61BBC" w14:textId="77777777" w:rsidR="00730709" w:rsidRPr="00035A23" w:rsidRDefault="00730709" w:rsidP="00885B99">
      <w:pPr>
        <w:pStyle w:val="FootnoteText"/>
      </w:pPr>
      <w:r>
        <w:rPr>
          <w:rStyle w:val="FootnoteReference"/>
        </w:rPr>
        <w:footnoteRef/>
      </w:r>
      <w:r>
        <w:tab/>
      </w:r>
      <w:r w:rsidRPr="00D3155E">
        <w:rPr>
          <w:color w:val="000000" w:themeColor="text1"/>
          <w:szCs w:val="18"/>
        </w:rPr>
        <w:t xml:space="preserve">This has also been termed </w:t>
      </w:r>
      <w:r>
        <w:rPr>
          <w:color w:val="000000" w:themeColor="text1"/>
          <w:szCs w:val="18"/>
        </w:rPr>
        <w:t>'</w:t>
      </w:r>
      <w:r w:rsidRPr="00D3155E">
        <w:rPr>
          <w:color w:val="000000" w:themeColor="text1"/>
          <w:szCs w:val="18"/>
        </w:rPr>
        <w:t>bank-led</w:t>
      </w:r>
      <w:r>
        <w:rPr>
          <w:color w:val="000000" w:themeColor="text1"/>
          <w:szCs w:val="18"/>
        </w:rPr>
        <w:t>'</w:t>
      </w:r>
      <w:r w:rsidRPr="00D3155E">
        <w:rPr>
          <w:color w:val="000000" w:themeColor="text1"/>
          <w:szCs w:val="18"/>
        </w:rPr>
        <w:t>.</w:t>
      </w:r>
    </w:p>
  </w:footnote>
  <w:footnote w:id="78">
    <w:p w14:paraId="4392F25C" w14:textId="77777777" w:rsidR="00730709" w:rsidRPr="00035A23" w:rsidRDefault="00730709" w:rsidP="00885B99">
      <w:pPr>
        <w:pStyle w:val="FootnoteText"/>
      </w:pPr>
      <w:r>
        <w:rPr>
          <w:rStyle w:val="FootnoteReference"/>
        </w:rPr>
        <w:footnoteRef/>
      </w:r>
      <w:r w:rsidRPr="00035A23">
        <w:tab/>
      </w:r>
      <w:r w:rsidRPr="00D3155E">
        <w:rPr>
          <w:color w:val="000000" w:themeColor="text1"/>
          <w:szCs w:val="18"/>
        </w:rPr>
        <w:t>For example, in Indonesia and Mexico.</w:t>
      </w:r>
    </w:p>
  </w:footnote>
  <w:footnote w:id="79">
    <w:p w14:paraId="77687F05" w14:textId="77777777" w:rsidR="00730709" w:rsidRPr="00035A23" w:rsidRDefault="00730709" w:rsidP="00885B99">
      <w:pPr>
        <w:pStyle w:val="FootnoteText"/>
      </w:pPr>
      <w:r>
        <w:rPr>
          <w:rStyle w:val="FootnoteReference"/>
        </w:rPr>
        <w:footnoteRef/>
      </w:r>
      <w:r w:rsidRPr="00035A23">
        <w:tab/>
      </w:r>
      <w:r w:rsidRPr="00D3155E">
        <w:rPr>
          <w:color w:val="000000" w:themeColor="text1"/>
          <w:szCs w:val="18"/>
        </w:rPr>
        <w:t>For example, in Kenya and Sri Lanka.</w:t>
      </w:r>
    </w:p>
  </w:footnote>
  <w:footnote w:id="80">
    <w:p w14:paraId="7EDDED95" w14:textId="77777777" w:rsidR="00730709" w:rsidRPr="00035A23" w:rsidRDefault="00730709" w:rsidP="00885B99">
      <w:pPr>
        <w:pStyle w:val="FootnoteText"/>
      </w:pPr>
      <w:r>
        <w:rPr>
          <w:rStyle w:val="FootnoteReference"/>
        </w:rPr>
        <w:footnoteRef/>
      </w:r>
      <w:r>
        <w:t xml:space="preserve"> </w:t>
      </w:r>
      <w:r w:rsidRPr="00035A23">
        <w:tab/>
      </w:r>
      <w:r w:rsidRPr="00D3155E">
        <w:rPr>
          <w:color w:val="000000" w:themeColor="text1"/>
          <w:szCs w:val="18"/>
        </w:rPr>
        <w:t>For example in Jordan.</w:t>
      </w:r>
    </w:p>
  </w:footnote>
  <w:footnote w:id="81">
    <w:p w14:paraId="22F05641" w14:textId="77777777" w:rsidR="00730709" w:rsidRPr="00035A23" w:rsidRDefault="00730709" w:rsidP="00885B99">
      <w:pPr>
        <w:pStyle w:val="FootnoteText"/>
      </w:pPr>
      <w:r>
        <w:rPr>
          <w:rStyle w:val="FootnoteReference"/>
        </w:rPr>
        <w:footnoteRef/>
      </w:r>
      <w:r>
        <w:t xml:space="preserve"> </w:t>
      </w:r>
      <w:r w:rsidRPr="00035A23">
        <w:tab/>
      </w:r>
      <w:r w:rsidRPr="00D3155E">
        <w:rPr>
          <w:color w:val="000000" w:themeColor="text1"/>
          <w:szCs w:val="18"/>
        </w:rPr>
        <w:t>The new Payments Bank framework in India is essentially bank-based, allowing for a new specialized banking entity.</w:t>
      </w:r>
    </w:p>
  </w:footnote>
  <w:footnote w:id="82">
    <w:p w14:paraId="7929CF74" w14:textId="77777777" w:rsidR="00730709" w:rsidRPr="00035A23" w:rsidRDefault="00730709" w:rsidP="00885B99">
      <w:pPr>
        <w:pStyle w:val="FootnoteText"/>
      </w:pPr>
      <w:r>
        <w:rPr>
          <w:rStyle w:val="FootnoteReference"/>
        </w:rPr>
        <w:footnoteRef/>
      </w:r>
      <w:r>
        <w:t xml:space="preserve"> </w:t>
      </w:r>
      <w:r>
        <w:tab/>
      </w:r>
      <w:r w:rsidRPr="00D3155E">
        <w:rPr>
          <w:color w:val="000000" w:themeColor="text1"/>
          <w:szCs w:val="18"/>
        </w:rPr>
        <w:t>For example, in Colombia and India. The entity may have restrictions on the provision of credit to its customers.</w:t>
      </w:r>
    </w:p>
  </w:footnote>
  <w:footnote w:id="83">
    <w:p w14:paraId="54089F28" w14:textId="77777777" w:rsidR="00730709" w:rsidRPr="00035A23" w:rsidRDefault="00730709" w:rsidP="00885B99">
      <w:pPr>
        <w:pStyle w:val="FootnoteText"/>
      </w:pPr>
      <w:r>
        <w:rPr>
          <w:rStyle w:val="FootnoteReference"/>
        </w:rPr>
        <w:footnoteRef/>
      </w:r>
      <w:r>
        <w:t xml:space="preserve"> </w:t>
      </w:r>
      <w:r>
        <w:tab/>
      </w:r>
      <w:r w:rsidRPr="00D3155E">
        <w:rPr>
          <w:color w:val="000000" w:themeColor="text1"/>
          <w:szCs w:val="18"/>
        </w:rPr>
        <w:t xml:space="preserve">For example, in Nepal and in the proposed draft </w:t>
      </w:r>
      <w:r>
        <w:rPr>
          <w:color w:val="000000" w:themeColor="text1"/>
          <w:szCs w:val="18"/>
        </w:rPr>
        <w:t>'</w:t>
      </w:r>
      <w:r w:rsidRPr="00D3155E">
        <w:rPr>
          <w:color w:val="000000" w:themeColor="text1"/>
          <w:szCs w:val="18"/>
        </w:rPr>
        <w:t>MFS</w:t>
      </w:r>
      <w:r>
        <w:rPr>
          <w:color w:val="000000" w:themeColor="text1"/>
          <w:szCs w:val="18"/>
        </w:rPr>
        <w:t>'</w:t>
      </w:r>
      <w:r w:rsidRPr="00D3155E">
        <w:rPr>
          <w:color w:val="000000" w:themeColor="text1"/>
          <w:szCs w:val="18"/>
        </w:rPr>
        <w:t xml:space="preserve"> Guidelines in Bangladesh.</w:t>
      </w:r>
    </w:p>
  </w:footnote>
  <w:footnote w:id="84">
    <w:p w14:paraId="69CEB1D9" w14:textId="15AD87D1"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sidR="009375FE">
        <w:rPr>
          <w:color w:val="000000" w:themeColor="text1"/>
          <w:szCs w:val="18"/>
        </w:rPr>
        <w:tab/>
      </w:r>
      <w:r w:rsidRPr="00D3155E">
        <w:rPr>
          <w:color w:val="000000" w:themeColor="text1"/>
          <w:szCs w:val="18"/>
        </w:rPr>
        <w:t xml:space="preserve">GSMA (2016b) </w:t>
      </w:r>
      <w:r w:rsidRPr="00D3155E">
        <w:rPr>
          <w:i/>
          <w:color w:val="000000" w:themeColor="text1"/>
          <w:szCs w:val="18"/>
        </w:rPr>
        <w:t>2015 State of the Industry Report Mobile Money</w:t>
      </w:r>
      <w:r w:rsidRPr="00D3155E">
        <w:rPr>
          <w:color w:val="000000" w:themeColor="text1"/>
          <w:szCs w:val="18"/>
        </w:rPr>
        <w:t xml:space="preserve">, available at </w:t>
      </w:r>
      <w:hyperlink r:id="rId15" w:history="1">
        <w:r w:rsidRPr="00B17C68">
          <w:rPr>
            <w:rStyle w:val="Hyperlink"/>
            <w:szCs w:val="18"/>
          </w:rPr>
          <w:t>https://goo.gl/XwJPDG</w:t>
        </w:r>
      </w:hyperlink>
      <w:r w:rsidRPr="00D3155E">
        <w:rPr>
          <w:rStyle w:val="Hyperlink"/>
          <w:color w:val="000000" w:themeColor="text1"/>
          <w:szCs w:val="18"/>
        </w:rPr>
        <w:t>. The GSMA does not count bank based DFS deployments where an existing bank account is needed and mobile is simply a new channel</w:t>
      </w:r>
    </w:p>
  </w:footnote>
  <w:footnote w:id="85">
    <w:p w14:paraId="3989B663" w14:textId="3643F1A3" w:rsidR="00730709" w:rsidRPr="00035A23" w:rsidRDefault="00730709" w:rsidP="00885B99">
      <w:pPr>
        <w:pStyle w:val="FootnoteText"/>
      </w:pPr>
      <w:r>
        <w:rPr>
          <w:rStyle w:val="FootnoteReference"/>
        </w:rPr>
        <w:footnoteRef/>
      </w:r>
      <w:r>
        <w:t xml:space="preserve"> </w:t>
      </w:r>
      <w:r w:rsidRPr="00035A23">
        <w:tab/>
      </w:r>
      <w:r w:rsidRPr="00D3155E">
        <w:rPr>
          <w:i/>
          <w:color w:val="000000" w:themeColor="text1"/>
          <w:szCs w:val="18"/>
        </w:rPr>
        <w:t>ibid</w:t>
      </w:r>
      <w:r w:rsidRPr="002E69BB">
        <w:t>.</w:t>
      </w:r>
    </w:p>
  </w:footnote>
  <w:footnote w:id="86">
    <w:p w14:paraId="7326C4A9" w14:textId="77777777" w:rsidR="00730709" w:rsidRPr="00035A23" w:rsidRDefault="00730709" w:rsidP="00885B99">
      <w:pPr>
        <w:pStyle w:val="FootnoteText"/>
      </w:pPr>
      <w:r>
        <w:rPr>
          <w:rStyle w:val="FootnoteReference"/>
        </w:rPr>
        <w:footnoteRef/>
      </w:r>
      <w:r>
        <w:t xml:space="preserve"> </w:t>
      </w:r>
      <w:r w:rsidRPr="00035A23">
        <w:tab/>
      </w:r>
      <w:r w:rsidRPr="00D3155E">
        <w:rPr>
          <w:color w:val="000000" w:themeColor="text1"/>
          <w:szCs w:val="18"/>
        </w:rPr>
        <w:t>This is akin to similar treatment of similarly placed entities to avoid any competition concerns. However, there might be instances of similar treatment of dissimilar entities resulting in competition concerns.</w:t>
      </w:r>
    </w:p>
  </w:footnote>
  <w:footnote w:id="87">
    <w:p w14:paraId="31537949" w14:textId="19B48EFF" w:rsidR="00730709" w:rsidRPr="00035A23" w:rsidRDefault="00730709" w:rsidP="00885B99">
      <w:pPr>
        <w:pStyle w:val="FootnoteText"/>
      </w:pPr>
      <w:r>
        <w:rPr>
          <w:rStyle w:val="FootnoteReference"/>
        </w:rPr>
        <w:footnoteRef/>
      </w:r>
      <w:r>
        <w:t xml:space="preserve"> </w:t>
      </w:r>
      <w:r w:rsidRPr="00035A23">
        <w:tab/>
      </w:r>
      <w:r w:rsidRPr="00D3155E">
        <w:rPr>
          <w:color w:val="000000" w:themeColor="text1"/>
          <w:szCs w:val="18"/>
        </w:rPr>
        <w:t xml:space="preserve">The GSMA definition of an enabling environment includes non-banks, including MNOs or their subsidiaries being able to offer electronic money services; that they are able to use a network of third party agents to cash-in/out and register clients; and that there is a market led approach to interoperability. See di Castri (2013) </w:t>
      </w:r>
      <w:r w:rsidRPr="00D3155E">
        <w:rPr>
          <w:i/>
          <w:color w:val="000000" w:themeColor="text1"/>
          <w:szCs w:val="18"/>
        </w:rPr>
        <w:t>ibid</w:t>
      </w:r>
      <w:r w:rsidRPr="002E69BB">
        <w:t>.</w:t>
      </w:r>
    </w:p>
  </w:footnote>
  <w:footnote w:id="88">
    <w:p w14:paraId="6A60C2F4" w14:textId="77777777" w:rsidR="00730709" w:rsidRPr="00D3155E" w:rsidRDefault="00730709" w:rsidP="00885B99">
      <w:pPr>
        <w:pStyle w:val="FootnoteText"/>
        <w:spacing w:after="120"/>
        <w:rPr>
          <w:szCs w:val="18"/>
        </w:rPr>
      </w:pPr>
      <w:r w:rsidRPr="00D3155E">
        <w:rPr>
          <w:rStyle w:val="FootnoteReference"/>
          <w:szCs w:val="18"/>
        </w:rPr>
        <w:footnoteRef/>
      </w:r>
      <w:r w:rsidRPr="00D3155E">
        <w:rPr>
          <w:szCs w:val="18"/>
        </w:rPr>
        <w:t xml:space="preserve"> </w:t>
      </w:r>
      <w:r>
        <w:rPr>
          <w:szCs w:val="18"/>
        </w:rPr>
        <w:tab/>
      </w:r>
      <w:r w:rsidRPr="00D3155E">
        <w:rPr>
          <w:szCs w:val="18"/>
        </w:rPr>
        <w:t xml:space="preserve">From an impact perspective, large-scale quantitative analysis on the success factors for Mobile Money demonstrates that MNO-Led MM deployments have been more successful in developing and delivering DFS: MNOs obtain an average of almost 45,000 active accounts within a year of launch – 60% higher than for non-MNOs. By the 5th year of launch, this difference grows to almost four-fold. See GSMA (2016) </w:t>
      </w:r>
      <w:r w:rsidRPr="00D3155E">
        <w:rPr>
          <w:i/>
          <w:szCs w:val="18"/>
        </w:rPr>
        <w:t>Success Factors For Mobile Money Services: A Quantitative Assessment Of Success Factors</w:t>
      </w:r>
      <w:r w:rsidRPr="00D3155E">
        <w:rPr>
          <w:szCs w:val="18"/>
        </w:rPr>
        <w:t xml:space="preserve"> </w:t>
      </w:r>
      <w:r w:rsidRPr="00D3155E">
        <w:rPr>
          <w:color w:val="444444"/>
          <w:szCs w:val="18"/>
        </w:rPr>
        <w:t xml:space="preserve">, available at </w:t>
      </w:r>
      <w:hyperlink r:id="rId16" w:history="1">
        <w:r w:rsidRPr="00CB6379">
          <w:rPr>
            <w:rStyle w:val="Hyperlink"/>
            <w:szCs w:val="18"/>
          </w:rPr>
          <w:t>https://goo.gl/epIufJ</w:t>
        </w:r>
      </w:hyperlink>
    </w:p>
  </w:footnote>
  <w:footnote w:id="89">
    <w:p w14:paraId="1D23F7E3" w14:textId="77777777" w:rsidR="00730709" w:rsidRPr="00035A23" w:rsidRDefault="00730709" w:rsidP="00885B99">
      <w:pPr>
        <w:pStyle w:val="FootnoteText"/>
      </w:pPr>
      <w:r>
        <w:rPr>
          <w:rStyle w:val="FootnoteReference"/>
        </w:rPr>
        <w:footnoteRef/>
      </w:r>
      <w:r>
        <w:t xml:space="preserve"> </w:t>
      </w:r>
      <w:r>
        <w:tab/>
      </w:r>
      <w:r w:rsidRPr="004D186A">
        <w:rPr>
          <w:color w:val="000000" w:themeColor="text1"/>
          <w:szCs w:val="22"/>
        </w:rPr>
        <w:t xml:space="preserve">ADB (2016) </w:t>
      </w:r>
      <w:r w:rsidRPr="004D186A">
        <w:rPr>
          <w:i/>
          <w:color w:val="000000" w:themeColor="text1"/>
          <w:szCs w:val="22"/>
        </w:rPr>
        <w:t>Digital Payment Systems, Mobile Money Services and Agent Banking: Bangladesh, Nepal and Sri Lanka</w:t>
      </w:r>
      <w:r w:rsidRPr="004D186A">
        <w:rPr>
          <w:color w:val="000000" w:themeColor="text1"/>
          <w:szCs w:val="22"/>
        </w:rPr>
        <w:t xml:space="preserve">, available at </w:t>
      </w:r>
      <w:hyperlink r:id="rId17" w:history="1">
        <w:r w:rsidRPr="004D186A">
          <w:rPr>
            <w:rStyle w:val="Hyperlink"/>
            <w:szCs w:val="22"/>
          </w:rPr>
          <w:t>https://goo.gl/KRZwyt</w:t>
        </w:r>
      </w:hyperlink>
    </w:p>
  </w:footnote>
  <w:footnote w:id="90">
    <w:p w14:paraId="07E992DD" w14:textId="77777777" w:rsidR="00730709" w:rsidRPr="001A7B76" w:rsidRDefault="00730709" w:rsidP="00885B99">
      <w:pPr>
        <w:pStyle w:val="FootnoteText"/>
        <w:spacing w:after="120"/>
        <w:rPr>
          <w:color w:val="000000" w:themeColor="text1"/>
          <w:szCs w:val="18"/>
        </w:rPr>
      </w:pPr>
      <w:r w:rsidRPr="001A7B76">
        <w:rPr>
          <w:rStyle w:val="FootnoteReference"/>
          <w:color w:val="000000" w:themeColor="text1"/>
          <w:szCs w:val="18"/>
        </w:rPr>
        <w:footnoteRef/>
      </w:r>
      <w:r w:rsidRPr="001A7B76">
        <w:rPr>
          <w:color w:val="000000" w:themeColor="text1"/>
          <w:szCs w:val="18"/>
        </w:rPr>
        <w:t xml:space="preserve"> </w:t>
      </w:r>
      <w:r>
        <w:rPr>
          <w:color w:val="000000" w:themeColor="text1"/>
          <w:szCs w:val="18"/>
        </w:rPr>
        <w:tab/>
      </w:r>
      <w:r w:rsidRPr="001A7B76">
        <w:rPr>
          <w:color w:val="000000" w:themeColor="text1"/>
          <w:szCs w:val="18"/>
        </w:rPr>
        <w:t xml:space="preserve">Between bKash and DBBL they have 95 per cent market share. See Dhaka Tribune (2015a) </w:t>
      </w:r>
      <w:r w:rsidRPr="001A7B76">
        <w:rPr>
          <w:i/>
          <w:color w:val="000000" w:themeColor="text1"/>
          <w:szCs w:val="18"/>
        </w:rPr>
        <w:t>Bangladesh Bank</w:t>
      </w:r>
      <w:r>
        <w:rPr>
          <w:i/>
          <w:color w:val="000000" w:themeColor="text1"/>
          <w:szCs w:val="18"/>
        </w:rPr>
        <w:t>'</w:t>
      </w:r>
      <w:r w:rsidRPr="001A7B76">
        <w:rPr>
          <w:i/>
          <w:color w:val="000000" w:themeColor="text1"/>
          <w:szCs w:val="18"/>
        </w:rPr>
        <w:t>s Nuclear Option</w:t>
      </w:r>
      <w:r w:rsidRPr="001A7B76">
        <w:rPr>
          <w:color w:val="000000" w:themeColor="text1"/>
          <w:szCs w:val="18"/>
        </w:rPr>
        <w:t xml:space="preserve">, available at </w:t>
      </w:r>
      <w:hyperlink r:id="rId18" w:history="1">
        <w:r w:rsidRPr="00CB6379">
          <w:rPr>
            <w:rStyle w:val="Hyperlink"/>
            <w:szCs w:val="18"/>
          </w:rPr>
          <w:t>https://goo.gl/BVxvBT</w:t>
        </w:r>
      </w:hyperlink>
      <w:r w:rsidRPr="001A7B76">
        <w:rPr>
          <w:color w:val="000000" w:themeColor="text1"/>
          <w:szCs w:val="18"/>
        </w:rPr>
        <w:t>.</w:t>
      </w:r>
    </w:p>
  </w:footnote>
  <w:footnote w:id="91">
    <w:p w14:paraId="26B3E222" w14:textId="0FBE8C01" w:rsidR="00730709" w:rsidRPr="00D3155E" w:rsidRDefault="00730709" w:rsidP="00885B99">
      <w:pPr>
        <w:pStyle w:val="FootnoteText"/>
        <w:tabs>
          <w:tab w:val="left" w:pos="1906"/>
        </w:tabs>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i/>
          <w:color w:val="000000" w:themeColor="text1"/>
          <w:szCs w:val="18"/>
        </w:rPr>
        <w:t>Ibid</w:t>
      </w:r>
      <w:r w:rsidRPr="002E69BB">
        <w:t>.</w:t>
      </w:r>
    </w:p>
  </w:footnote>
  <w:footnote w:id="92">
    <w:p w14:paraId="5DF6EE84" w14:textId="77777777" w:rsidR="00730709" w:rsidRPr="00035A23" w:rsidRDefault="00730709" w:rsidP="00885B99">
      <w:pPr>
        <w:pStyle w:val="FootnoteText"/>
      </w:pPr>
      <w:r>
        <w:rPr>
          <w:rStyle w:val="FootnoteReference"/>
        </w:rPr>
        <w:footnoteRef/>
      </w:r>
      <w:r>
        <w:t xml:space="preserve"> </w:t>
      </w:r>
      <w:r>
        <w:tab/>
      </w:r>
      <w:r w:rsidRPr="00D83C61">
        <w:rPr>
          <w:color w:val="000000" w:themeColor="text1"/>
          <w:szCs w:val="22"/>
        </w:rPr>
        <w:t xml:space="preserve">A recently published report by the Better Than Cash Alliance (BTCA) recommends improving the regulatory environment to achieve more competition in the DFS market. See BTCA (2016) </w:t>
      </w:r>
      <w:r w:rsidRPr="00D83C61">
        <w:rPr>
          <w:i/>
          <w:color w:val="000000" w:themeColor="text1"/>
          <w:szCs w:val="22"/>
        </w:rPr>
        <w:t>Building Digital Bangladesh: The Way Forward for Digitizing Payments</w:t>
      </w:r>
      <w:r w:rsidRPr="00D83C61">
        <w:rPr>
          <w:color w:val="000000" w:themeColor="text1"/>
          <w:szCs w:val="22"/>
        </w:rPr>
        <w:t xml:space="preserve">, available at </w:t>
      </w:r>
      <w:hyperlink r:id="rId19" w:history="1">
        <w:r w:rsidRPr="00D83C61">
          <w:rPr>
            <w:rStyle w:val="Hyperlink"/>
            <w:szCs w:val="22"/>
          </w:rPr>
          <w:t>https://goo.gl/FnIN8t</w:t>
        </w:r>
      </w:hyperlink>
    </w:p>
  </w:footnote>
  <w:footnote w:id="93">
    <w:p w14:paraId="652938AF" w14:textId="77777777" w:rsidR="00730709" w:rsidRPr="00035A23" w:rsidRDefault="00730709" w:rsidP="00885B99">
      <w:pPr>
        <w:pStyle w:val="FootnoteText"/>
      </w:pPr>
      <w:r>
        <w:rPr>
          <w:rStyle w:val="FootnoteReference"/>
        </w:rPr>
        <w:footnoteRef/>
      </w:r>
      <w:r>
        <w:t xml:space="preserve"> </w:t>
      </w:r>
      <w:r w:rsidRPr="00035A23">
        <w:tab/>
      </w:r>
      <w:r w:rsidRPr="00D83C61">
        <w:rPr>
          <w:color w:val="000000" w:themeColor="text1"/>
          <w:szCs w:val="22"/>
        </w:rPr>
        <w:t xml:space="preserve">The draft guidelines set out that an individual company would be formed (an MFS platform) that would obtain approval as a PSP; this MFS platform would be led by a bank, and ownership in the MFS platform would limit providers to 15% per entity. It also contains a requirement that at least four banks must form a consortium to achieve a 51 per cent majority-ownership share, that the maximum cap on all MNO shareholding would be 30 per cent, and that "acceptance" of an MNO as equity partner in an MFS platform will be conditional on its extending reliable telecommunication access to all licensed MFS platforms at the same effective standard of ease of access and pricing." See ADB (2016) </w:t>
      </w:r>
      <w:r w:rsidRPr="00D83C61">
        <w:rPr>
          <w:i/>
          <w:color w:val="000000" w:themeColor="text1"/>
          <w:szCs w:val="22"/>
        </w:rPr>
        <w:t>ibid</w:t>
      </w:r>
      <w:r w:rsidRPr="00D83C61">
        <w:rPr>
          <w:color w:val="000000" w:themeColor="text1"/>
          <w:szCs w:val="22"/>
        </w:rPr>
        <w:t>.</w:t>
      </w:r>
    </w:p>
  </w:footnote>
  <w:footnote w:id="94">
    <w:p w14:paraId="79707FA4" w14:textId="77777777" w:rsidR="00730709" w:rsidRPr="00D3155E" w:rsidRDefault="00730709" w:rsidP="00885B99">
      <w:pPr>
        <w:pStyle w:val="FootnoteText"/>
        <w:spacing w:after="120"/>
        <w:rPr>
          <w:szCs w:val="18"/>
        </w:rPr>
      </w:pPr>
      <w:r w:rsidRPr="00D3155E">
        <w:rPr>
          <w:rStyle w:val="FootnoteReference"/>
          <w:szCs w:val="18"/>
        </w:rPr>
        <w:footnoteRef/>
      </w:r>
      <w:r w:rsidRPr="00D3155E">
        <w:rPr>
          <w:szCs w:val="18"/>
        </w:rPr>
        <w:t xml:space="preserve"> </w:t>
      </w:r>
      <w:r>
        <w:rPr>
          <w:szCs w:val="18"/>
        </w:rPr>
        <w:tab/>
      </w:r>
      <w:r w:rsidRPr="00D3155E">
        <w:rPr>
          <w:szCs w:val="18"/>
        </w:rPr>
        <w:t>Some argued that the draft actually limited competition by creating a complex multiparty ownership structure.</w:t>
      </w:r>
    </w:p>
  </w:footnote>
  <w:footnote w:id="95">
    <w:p w14:paraId="6BDDB042" w14:textId="77777777"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 xml:space="preserve">The MNOs have been lobbying the BB to open up the market to allow non-banks to participate. Dhaka Tribune (2015b) </w:t>
      </w:r>
      <w:r w:rsidRPr="00D3155E">
        <w:rPr>
          <w:i/>
          <w:color w:val="000000" w:themeColor="text1"/>
          <w:szCs w:val="18"/>
        </w:rPr>
        <w:t>Telcos, Banks Face off over Mobile Banking</w:t>
      </w:r>
      <w:r w:rsidRPr="00D3155E">
        <w:rPr>
          <w:color w:val="000000" w:themeColor="text1"/>
          <w:szCs w:val="18"/>
        </w:rPr>
        <w:t xml:space="preserve">, available at </w:t>
      </w:r>
      <w:hyperlink r:id="rId20" w:history="1">
        <w:r w:rsidRPr="00CB6379">
          <w:rPr>
            <w:rStyle w:val="Hyperlink"/>
            <w:szCs w:val="18"/>
          </w:rPr>
          <w:t>https://goo.gl/rslTSB</w:t>
        </w:r>
      </w:hyperlink>
      <w:r w:rsidRPr="00D3155E">
        <w:rPr>
          <w:color w:val="000000" w:themeColor="text1"/>
          <w:szCs w:val="18"/>
        </w:rPr>
        <w:t>.</w:t>
      </w:r>
    </w:p>
  </w:footnote>
  <w:footnote w:id="96">
    <w:p w14:paraId="32BFD395" w14:textId="77777777"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 xml:space="preserve">The minister indicated that she wants to improve competition in a market dominated by DFS SP bKash, who has 90% of the market. The move has been opposed by bKash. See Daily Star (2016) </w:t>
      </w:r>
      <w:r w:rsidRPr="00D3155E">
        <w:rPr>
          <w:i/>
          <w:color w:val="000000" w:themeColor="text1"/>
          <w:szCs w:val="18"/>
        </w:rPr>
        <w:t>Open up DFS to Telcos: Tarana</w:t>
      </w:r>
      <w:r w:rsidRPr="00D3155E">
        <w:rPr>
          <w:color w:val="000000" w:themeColor="text1"/>
          <w:szCs w:val="18"/>
        </w:rPr>
        <w:t xml:space="preserve">, available at </w:t>
      </w:r>
      <w:hyperlink r:id="rId21" w:history="1">
        <w:r w:rsidRPr="00B17C68">
          <w:rPr>
            <w:rStyle w:val="Hyperlink"/>
            <w:szCs w:val="18"/>
          </w:rPr>
          <w:t>https://goo.gl/ScIXqr</w:t>
        </w:r>
      </w:hyperlink>
      <w:r w:rsidRPr="00D3155E">
        <w:rPr>
          <w:rStyle w:val="Hyperlink"/>
          <w:color w:val="000000" w:themeColor="text1"/>
          <w:szCs w:val="18"/>
        </w:rPr>
        <w:t>.</w:t>
      </w:r>
    </w:p>
  </w:footnote>
  <w:footnote w:id="97">
    <w:p w14:paraId="0424BB7F" w14:textId="77777777"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Telecommunication Act of 2011.</w:t>
      </w:r>
    </w:p>
  </w:footnote>
  <w:footnote w:id="98">
    <w:p w14:paraId="1039ABBD" w14:textId="77777777"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Section 8.0.</w:t>
      </w:r>
    </w:p>
  </w:footnote>
  <w:footnote w:id="99">
    <w:p w14:paraId="0F7E38C5" w14:textId="77777777"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Section 5.0. VII.</w:t>
      </w:r>
    </w:p>
  </w:footnote>
  <w:footnote w:id="100">
    <w:p w14:paraId="78549F80" w14:textId="77777777" w:rsidR="00730709" w:rsidRPr="00035A23" w:rsidRDefault="00730709" w:rsidP="00885B99">
      <w:pPr>
        <w:pStyle w:val="FootnoteText"/>
      </w:pPr>
      <w:r>
        <w:rPr>
          <w:rStyle w:val="FootnoteReference"/>
        </w:rPr>
        <w:footnoteRef/>
      </w:r>
      <w:r>
        <w:t xml:space="preserve"> </w:t>
      </w:r>
      <w:r w:rsidRPr="00035A23">
        <w:tab/>
      </w:r>
      <w:r w:rsidRPr="00D3155E">
        <w:rPr>
          <w:color w:val="000000" w:themeColor="text1"/>
          <w:szCs w:val="18"/>
        </w:rPr>
        <w:t xml:space="preserve">It also exempts electronic deposits (within limits) from banking transaction taxes. AFI (2015) </w:t>
      </w:r>
      <w:r w:rsidRPr="00D3155E">
        <w:rPr>
          <w:i/>
          <w:color w:val="000000" w:themeColor="text1"/>
          <w:szCs w:val="18"/>
        </w:rPr>
        <w:t>New Financial Inclusion Innovation in Colombia: Electronic Deposits</w:t>
      </w:r>
      <w:r w:rsidRPr="00D3155E">
        <w:rPr>
          <w:color w:val="000000" w:themeColor="text1"/>
          <w:szCs w:val="18"/>
        </w:rPr>
        <w:t xml:space="preserve">, available at </w:t>
      </w:r>
      <w:hyperlink r:id="rId22" w:history="1">
        <w:r w:rsidRPr="00B17C68">
          <w:rPr>
            <w:rStyle w:val="Hyperlink"/>
            <w:szCs w:val="18"/>
          </w:rPr>
          <w:t>https://goo.gl/o0XGRf</w:t>
        </w:r>
      </w:hyperlink>
    </w:p>
  </w:footnote>
  <w:footnote w:id="101">
    <w:p w14:paraId="6177EBB5" w14:textId="77777777" w:rsidR="00730709" w:rsidRPr="00035A23" w:rsidRDefault="00730709" w:rsidP="00885B99">
      <w:pPr>
        <w:pStyle w:val="FootnoteText"/>
      </w:pPr>
      <w:r>
        <w:rPr>
          <w:rStyle w:val="FootnoteReference"/>
        </w:rPr>
        <w:footnoteRef/>
      </w:r>
      <w:r>
        <w:t xml:space="preserve"> </w:t>
      </w:r>
      <w:r w:rsidRPr="00035A23">
        <w:tab/>
      </w:r>
      <w:r w:rsidRPr="007D5C68">
        <w:rPr>
          <w:color w:val="000000" w:themeColor="text1"/>
          <w:szCs w:val="22"/>
        </w:rPr>
        <w:t xml:space="preserve">Ghana Web (2016) </w:t>
      </w:r>
      <w:r w:rsidRPr="007D5C68">
        <w:rPr>
          <w:i/>
          <w:color w:val="000000" w:themeColor="text1"/>
          <w:szCs w:val="22"/>
        </w:rPr>
        <w:t>Ghana Digital Financial Services Programme Launched</w:t>
      </w:r>
      <w:r w:rsidRPr="007D5C68">
        <w:rPr>
          <w:color w:val="000000" w:themeColor="text1"/>
          <w:szCs w:val="22"/>
        </w:rPr>
        <w:t>, available at</w:t>
      </w:r>
      <w:r w:rsidRPr="007D5C68">
        <w:rPr>
          <w:b/>
          <w:color w:val="000000" w:themeColor="text1"/>
          <w:szCs w:val="22"/>
        </w:rPr>
        <w:t xml:space="preserve"> </w:t>
      </w:r>
      <w:hyperlink r:id="rId23" w:history="1">
        <w:r w:rsidRPr="007D5C68">
          <w:rPr>
            <w:rStyle w:val="Hyperlink"/>
            <w:szCs w:val="22"/>
          </w:rPr>
          <w:t>https://goo.gl/V53zsF</w:t>
        </w:r>
      </w:hyperlink>
    </w:p>
  </w:footnote>
  <w:footnote w:id="102">
    <w:p w14:paraId="509A627C" w14:textId="77777777" w:rsidR="00730709" w:rsidRPr="00035A23" w:rsidRDefault="00730709" w:rsidP="00885B99">
      <w:pPr>
        <w:pStyle w:val="FootnoteText"/>
      </w:pPr>
      <w:r>
        <w:rPr>
          <w:rStyle w:val="FootnoteReference"/>
        </w:rPr>
        <w:footnoteRef/>
      </w:r>
      <w:r>
        <w:t xml:space="preserve"> </w:t>
      </w:r>
      <w:r w:rsidRPr="00035A23">
        <w:tab/>
      </w:r>
      <w:r w:rsidRPr="00D3155E">
        <w:rPr>
          <w:szCs w:val="18"/>
        </w:rPr>
        <w:t xml:space="preserve">Non-banks have been able to offer PPIs, however, the semi-closed PPIs (so called </w:t>
      </w:r>
      <w:r>
        <w:rPr>
          <w:szCs w:val="18"/>
        </w:rPr>
        <w:t>'</w:t>
      </w:r>
      <w:r w:rsidRPr="00D3155E">
        <w:rPr>
          <w:szCs w:val="18"/>
        </w:rPr>
        <w:t>wallets</w:t>
      </w:r>
      <w:r>
        <w:rPr>
          <w:szCs w:val="18"/>
        </w:rPr>
        <w:t>'</w:t>
      </w:r>
      <w:r w:rsidRPr="00D3155E">
        <w:rPr>
          <w:szCs w:val="18"/>
        </w:rPr>
        <w:t>) permitted for non-banks did not allow for cash-out. This made it difficult to offer a valuable product to unbanked and underbanked users.</w:t>
      </w:r>
    </w:p>
  </w:footnote>
  <w:footnote w:id="103">
    <w:p w14:paraId="4DC0FFD2" w14:textId="77777777" w:rsidR="00730709" w:rsidRPr="00035A23" w:rsidRDefault="00730709" w:rsidP="00885B99">
      <w:pPr>
        <w:pStyle w:val="FootnoteText"/>
      </w:pPr>
      <w:r>
        <w:rPr>
          <w:rStyle w:val="FootnoteReference"/>
        </w:rPr>
        <w:footnoteRef/>
      </w:r>
      <w:r>
        <w:t xml:space="preserve"> </w:t>
      </w:r>
      <w:r w:rsidRPr="00035A23">
        <w:tab/>
      </w:r>
      <w:r w:rsidRPr="007D5C68">
        <w:rPr>
          <w:color w:val="000000" w:themeColor="text1"/>
          <w:szCs w:val="22"/>
          <w:shd w:val="clear" w:color="auto" w:fill="FFFFFF"/>
        </w:rPr>
        <w:t xml:space="preserve">MNO </w:t>
      </w:r>
      <w:r w:rsidRPr="007D5C68">
        <w:rPr>
          <w:color w:val="000000" w:themeColor="text1"/>
          <w:szCs w:val="22"/>
        </w:rPr>
        <w:t>Airtel was the first to launch a payments bank in India. Their customers use their mobile number as an identifier for the account number.</w:t>
      </w:r>
      <w:r w:rsidRPr="007D5C68">
        <w:rPr>
          <w:rStyle w:val="FootnoteReference"/>
          <w:color w:val="000000" w:themeColor="text1"/>
          <w:szCs w:val="22"/>
        </w:rPr>
        <w:t xml:space="preserve"> </w:t>
      </w:r>
      <w:r w:rsidRPr="007D5C68">
        <w:rPr>
          <w:color w:val="000000" w:themeColor="text1"/>
          <w:szCs w:val="22"/>
        </w:rPr>
        <w:t xml:space="preserve">The bank is fully digital and paperless, with even account opening being done using Aadhaar-based eKYC. Times of India (2016) </w:t>
      </w:r>
      <w:r w:rsidRPr="007D5C68">
        <w:rPr>
          <w:i/>
          <w:color w:val="000000" w:themeColor="text1"/>
          <w:szCs w:val="22"/>
        </w:rPr>
        <w:t>Airtel Rolls out India's First Payments Bank</w:t>
      </w:r>
      <w:r w:rsidRPr="007D5C68">
        <w:rPr>
          <w:color w:val="000000" w:themeColor="text1"/>
          <w:szCs w:val="22"/>
        </w:rPr>
        <w:t xml:space="preserve">, available at </w:t>
      </w:r>
      <w:hyperlink r:id="rId24" w:history="1">
        <w:r w:rsidRPr="007D5C68">
          <w:rPr>
            <w:rStyle w:val="Hyperlink"/>
            <w:szCs w:val="22"/>
          </w:rPr>
          <w:t>http://toi.in/G-ZL7b7</w:t>
        </w:r>
      </w:hyperlink>
      <w:r w:rsidRPr="007D5C68">
        <w:rPr>
          <w:color w:val="000000" w:themeColor="text1"/>
          <w:szCs w:val="22"/>
        </w:rPr>
        <w:t>. Airtel entered into a pact with Kotak Mahindra Bank, which agreed to acquire a 20 per cent stake in the new payments bank.</w:t>
      </w:r>
    </w:p>
  </w:footnote>
  <w:footnote w:id="104">
    <w:p w14:paraId="0022EDCA" w14:textId="77777777" w:rsidR="00730709" w:rsidRPr="00035A23" w:rsidRDefault="00730709" w:rsidP="00885B99">
      <w:pPr>
        <w:pStyle w:val="FootnoteText"/>
      </w:pPr>
      <w:r>
        <w:rPr>
          <w:rStyle w:val="FootnoteReference"/>
        </w:rPr>
        <w:footnoteRef/>
      </w:r>
      <w:r>
        <w:t xml:space="preserve"> </w:t>
      </w:r>
      <w:r w:rsidRPr="00035A23">
        <w:tab/>
      </w:r>
      <w:r w:rsidRPr="00D3155E">
        <w:rPr>
          <w:color w:val="000000" w:themeColor="text1"/>
          <w:szCs w:val="18"/>
        </w:rPr>
        <w:t xml:space="preserve">The guidelines related to prepaid payments instruments. See RBI (2016) </w:t>
      </w:r>
      <w:r w:rsidRPr="00D3155E">
        <w:rPr>
          <w:bCs/>
          <w:i/>
          <w:color w:val="000000" w:themeColor="text1"/>
          <w:szCs w:val="18"/>
        </w:rPr>
        <w:t>Master Circular – Policy Guidelines on Issuance and Operation of Pre-paid Payment Instruments in India</w:t>
      </w:r>
      <w:r w:rsidRPr="00D3155E">
        <w:rPr>
          <w:bCs/>
          <w:color w:val="000000" w:themeColor="text1"/>
          <w:szCs w:val="18"/>
        </w:rPr>
        <w:t>,</w:t>
      </w:r>
      <w:r w:rsidRPr="00D3155E">
        <w:rPr>
          <w:color w:val="000000" w:themeColor="text1"/>
          <w:szCs w:val="18"/>
        </w:rPr>
        <w:t xml:space="preserve"> available at </w:t>
      </w:r>
      <w:hyperlink r:id="rId25" w:history="1">
        <w:r w:rsidRPr="00CB6379">
          <w:rPr>
            <w:rStyle w:val="Hyperlink"/>
            <w:szCs w:val="18"/>
          </w:rPr>
          <w:t>https://goo.gl/fl41Ns</w:t>
        </w:r>
      </w:hyperlink>
    </w:p>
  </w:footnote>
  <w:footnote w:id="105">
    <w:p w14:paraId="57091155" w14:textId="1DBEB7A6" w:rsidR="00730709" w:rsidRPr="00035A23" w:rsidRDefault="00730709" w:rsidP="00885B99">
      <w:pPr>
        <w:pStyle w:val="FootnoteText"/>
      </w:pPr>
      <w:r>
        <w:rPr>
          <w:rStyle w:val="FootnoteReference"/>
        </w:rPr>
        <w:footnoteRef/>
      </w:r>
      <w:r>
        <w:t xml:space="preserve"> </w:t>
      </w:r>
      <w:r w:rsidRPr="00035A23">
        <w:tab/>
      </w:r>
      <w:r w:rsidRPr="00D3155E">
        <w:rPr>
          <w:color w:val="000000" w:themeColor="text1"/>
          <w:szCs w:val="18"/>
          <w:shd w:val="clear" w:color="auto" w:fill="FFFFFF"/>
        </w:rPr>
        <w:t>The Central Bank of Nigeria (CBN) does, however, license other non-banks, the reason ostensibly being because the CBN felt that a dominant MNO-led model such as in Kenya could create a monopoly and pose a systemic risk for the country. See</w:t>
      </w:r>
      <w:r w:rsidRPr="00D3155E">
        <w:rPr>
          <w:color w:val="000000" w:themeColor="text1"/>
          <w:szCs w:val="18"/>
        </w:rPr>
        <w:t xml:space="preserve"> Mobile Money for Development (2013) </w:t>
      </w:r>
      <w:hyperlink r:id="rId26" w:history="1">
        <w:r w:rsidRPr="00DF3A64">
          <w:rPr>
            <w:rStyle w:val="Hyperlink"/>
            <w:i/>
            <w:szCs w:val="18"/>
            <w:bdr w:val="none" w:sz="0" w:space="0" w:color="auto" w:frame="1"/>
          </w:rPr>
          <w:t>The Debate over MNO</w:t>
        </w:r>
        <w:r w:rsidRPr="00DF3A64">
          <w:rPr>
            <w:rStyle w:val="Hyperlink"/>
            <w:i/>
            <w:szCs w:val="18"/>
            <w:bdr w:val="none" w:sz="0" w:space="0" w:color="auto" w:frame="1"/>
          </w:rPr>
          <w:noBreakHyphen/>
          <w:t>led or Bank-led Mobile Money Strategy in Nigeria – the Perspective of a Super Agent</w:t>
        </w:r>
      </w:hyperlink>
      <w:r w:rsidRPr="00D3155E">
        <w:rPr>
          <w:i/>
          <w:color w:val="000000" w:themeColor="text1"/>
          <w:szCs w:val="18"/>
        </w:rPr>
        <w:t xml:space="preserve">, </w:t>
      </w:r>
      <w:r w:rsidRPr="00D3155E">
        <w:rPr>
          <w:color w:val="000000" w:themeColor="text1"/>
          <w:szCs w:val="18"/>
        </w:rPr>
        <w:t xml:space="preserve">available at </w:t>
      </w:r>
      <w:hyperlink r:id="rId27" w:history="1">
        <w:r w:rsidRPr="0013277F">
          <w:rPr>
            <w:rStyle w:val="Hyperlink"/>
            <w:szCs w:val="18"/>
          </w:rPr>
          <w:t>https://goo.gl/0r9UTB</w:t>
        </w:r>
      </w:hyperlink>
    </w:p>
  </w:footnote>
  <w:footnote w:id="106">
    <w:p w14:paraId="11EAD781" w14:textId="7E41F497"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eZ</w:t>
      </w:r>
      <w:r>
        <w:rPr>
          <w:color w:val="000000" w:themeColor="text1"/>
          <w:szCs w:val="18"/>
        </w:rPr>
        <w:t> </w:t>
      </w:r>
      <w:r w:rsidRPr="00D3155E">
        <w:rPr>
          <w:color w:val="000000" w:themeColor="text1"/>
          <w:szCs w:val="18"/>
        </w:rPr>
        <w:t>Cash also partnered with the Commercial Bank of Ceylon (CBC) as part of their interoperability approach. This facilitates loading of the eZ Cash wallet from CBC bank accounts and withdrawals from</w:t>
      </w:r>
      <w:r>
        <w:rPr>
          <w:color w:val="000000" w:themeColor="text1"/>
          <w:szCs w:val="18"/>
        </w:rPr>
        <w:t> </w:t>
      </w:r>
      <w:r w:rsidRPr="00D3155E">
        <w:rPr>
          <w:color w:val="000000" w:themeColor="text1"/>
          <w:szCs w:val="18"/>
        </w:rPr>
        <w:t>CBC ATMs.</w:t>
      </w:r>
    </w:p>
  </w:footnote>
  <w:footnote w:id="107">
    <w:p w14:paraId="795A27C2" w14:textId="77777777"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 xml:space="preserve">Nepal Rasta Bank (2016) </w:t>
      </w:r>
      <w:r w:rsidRPr="00D3155E">
        <w:rPr>
          <w:iCs/>
          <w:color w:val="000000" w:themeColor="text1"/>
          <w:szCs w:val="18"/>
        </w:rPr>
        <w:t xml:space="preserve">Licensing Policy for Payment Related Institutions/Mechanisms 2073, available at </w:t>
      </w:r>
      <w:hyperlink r:id="rId28" w:history="1">
        <w:r w:rsidRPr="0013277F">
          <w:rPr>
            <w:rStyle w:val="Hyperlink"/>
            <w:szCs w:val="18"/>
          </w:rPr>
          <w:t>https://goo.gl/xJT9DF</w:t>
        </w:r>
      </w:hyperlink>
      <w:r w:rsidRPr="00D3155E">
        <w:rPr>
          <w:rStyle w:val="Hyperlink"/>
          <w:color w:val="000000" w:themeColor="text1"/>
          <w:szCs w:val="18"/>
        </w:rPr>
        <w:t>.</w:t>
      </w:r>
    </w:p>
  </w:footnote>
  <w:footnote w:id="108">
    <w:p w14:paraId="12B42AA6" w14:textId="77777777"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 xml:space="preserve">For example e-Sewa, the most popular mobile wallet and digital payment portal in Nepal. See </w:t>
      </w:r>
      <w:hyperlink r:id="rId29" w:history="1">
        <w:r w:rsidRPr="00CB6379">
          <w:rPr>
            <w:rStyle w:val="Hyperlink"/>
            <w:szCs w:val="18"/>
          </w:rPr>
          <w:t>www.esewa.com.np</w:t>
        </w:r>
      </w:hyperlink>
    </w:p>
  </w:footnote>
  <w:footnote w:id="109">
    <w:p w14:paraId="24D4EECF" w14:textId="2FCE4EB1"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ADB (2016)</w:t>
      </w:r>
      <w:hyperlink w:history="1"/>
      <w:r w:rsidRPr="00D3155E">
        <w:rPr>
          <w:color w:val="000000" w:themeColor="text1"/>
          <w:szCs w:val="18"/>
        </w:rPr>
        <w:t xml:space="preserve"> </w:t>
      </w:r>
      <w:r w:rsidRPr="00D3155E">
        <w:rPr>
          <w:i/>
          <w:color w:val="000000" w:themeColor="text1"/>
          <w:szCs w:val="18"/>
        </w:rPr>
        <w:t>ibid</w:t>
      </w:r>
      <w:r w:rsidRPr="002E69BB">
        <w:t>.</w:t>
      </w:r>
    </w:p>
  </w:footnote>
  <w:footnote w:id="110">
    <w:p w14:paraId="17DA4023" w14:textId="77777777" w:rsidR="00730709" w:rsidRPr="00035A23" w:rsidRDefault="00730709" w:rsidP="00885B99">
      <w:pPr>
        <w:pStyle w:val="FootnoteText"/>
      </w:pPr>
      <w:r>
        <w:rPr>
          <w:rStyle w:val="FootnoteReference"/>
        </w:rPr>
        <w:footnoteRef/>
      </w:r>
      <w:r>
        <w:t xml:space="preserve"> </w:t>
      </w:r>
      <w:r w:rsidRPr="00035A23">
        <w:tab/>
      </w:r>
      <w:r w:rsidRPr="00D3155E">
        <w:rPr>
          <w:color w:val="000000" w:themeColor="text1"/>
          <w:szCs w:val="18"/>
        </w:rPr>
        <w:t xml:space="preserve">GSM (Global System for Mobile Communications, originally Groupe Spécial Mobile), is a standard developed by the European Telecommunications Standards Institute to describe the protocols for second-generation (2G) digital cellular networks used by mobile phones, first deployed in Finland in July 1991. It has become the </w:t>
      </w:r>
      <w:r w:rsidRPr="00D3155E">
        <w:rPr>
          <w:i/>
          <w:color w:val="000000" w:themeColor="text1"/>
          <w:szCs w:val="18"/>
        </w:rPr>
        <w:t>de facto</w:t>
      </w:r>
      <w:r w:rsidRPr="00D3155E">
        <w:rPr>
          <w:color w:val="000000" w:themeColor="text1"/>
          <w:szCs w:val="18"/>
        </w:rPr>
        <w:t xml:space="preserve"> global standard for mobile communications with over 90 per cent market share, operating in over 219 countries and territories. See </w:t>
      </w:r>
      <w:hyperlink r:id="rId30" w:history="1">
        <w:r w:rsidRPr="00CB6379">
          <w:rPr>
            <w:rStyle w:val="Hyperlink"/>
            <w:szCs w:val="18"/>
          </w:rPr>
          <w:t>www.gsma.org</w:t>
        </w:r>
      </w:hyperlink>
    </w:p>
  </w:footnote>
  <w:footnote w:id="111">
    <w:p w14:paraId="2ADB3663" w14:textId="77777777" w:rsidR="00730709" w:rsidRPr="00035A23" w:rsidRDefault="00730709" w:rsidP="00885B99">
      <w:pPr>
        <w:pStyle w:val="FootnoteText"/>
      </w:pPr>
      <w:r>
        <w:rPr>
          <w:rStyle w:val="FootnoteReference"/>
        </w:rPr>
        <w:footnoteRef/>
      </w:r>
      <w:r>
        <w:t xml:space="preserve"> </w:t>
      </w:r>
      <w:r w:rsidRPr="00035A23">
        <w:tab/>
      </w:r>
      <w:r w:rsidRPr="00D3155E">
        <w:rPr>
          <w:color w:val="000000" w:themeColor="text1"/>
          <w:szCs w:val="18"/>
        </w:rPr>
        <w:t>As USSD is session-based, it can only be accessed or be consistently accessible when there is robust communication with MNO base stations. Poor mobile signals and substandard antennas in some mobile phones may cause USSD session initiation and sustainability issues.</w:t>
      </w:r>
    </w:p>
  </w:footnote>
  <w:footnote w:id="112">
    <w:p w14:paraId="36C24C3B" w14:textId="77777777" w:rsidR="00730709" w:rsidRPr="00035A23" w:rsidRDefault="00730709" w:rsidP="00885B99">
      <w:pPr>
        <w:pStyle w:val="FootnoteText"/>
        <w:jc w:val="left"/>
      </w:pPr>
      <w:r>
        <w:rPr>
          <w:rStyle w:val="FootnoteReference"/>
        </w:rPr>
        <w:footnoteRef/>
      </w:r>
      <w:r>
        <w:t xml:space="preserve"> </w:t>
      </w:r>
      <w:r w:rsidRPr="00035A23">
        <w:tab/>
      </w:r>
      <w:r w:rsidRPr="00D3155E">
        <w:rPr>
          <w:color w:val="000000" w:themeColor="text1"/>
          <w:szCs w:val="18"/>
        </w:rPr>
        <w:t>Perrier,</w:t>
      </w:r>
      <w:r>
        <w:rPr>
          <w:color w:val="000000" w:themeColor="text1"/>
          <w:szCs w:val="18"/>
        </w:rPr>
        <w:t> </w:t>
      </w:r>
      <w:r w:rsidRPr="00D3155E">
        <w:rPr>
          <w:color w:val="000000" w:themeColor="text1"/>
          <w:szCs w:val="18"/>
        </w:rPr>
        <w:t xml:space="preserve">T </w:t>
      </w:r>
      <w:r w:rsidRPr="00D3155E">
        <w:rPr>
          <w:i/>
          <w:color w:val="000000" w:themeColor="text1"/>
          <w:szCs w:val="18"/>
        </w:rPr>
        <w:t>et al</w:t>
      </w:r>
      <w:r w:rsidRPr="00D3155E">
        <w:rPr>
          <w:color w:val="000000" w:themeColor="text1"/>
          <w:szCs w:val="18"/>
        </w:rPr>
        <w:t xml:space="preserve"> (2015) </w:t>
      </w:r>
      <w:r w:rsidRPr="00D3155E">
        <w:rPr>
          <w:i/>
          <w:color w:val="000000" w:themeColor="text1"/>
          <w:szCs w:val="18"/>
        </w:rPr>
        <w:t>USSD: The Third Universal App</w:t>
      </w:r>
      <w:r w:rsidRPr="00D3155E">
        <w:rPr>
          <w:color w:val="000000" w:themeColor="text1"/>
          <w:szCs w:val="18"/>
        </w:rPr>
        <w:t xml:space="preserve">, available at </w:t>
      </w:r>
      <w:hyperlink r:id="rId31" w:history="1">
        <w:r w:rsidRPr="0013277F">
          <w:rPr>
            <w:rStyle w:val="Hyperlink"/>
            <w:szCs w:val="18"/>
          </w:rPr>
          <w:t>http://bderenzi.com/Papers/perrier-dev2015.pdf</w:t>
        </w:r>
      </w:hyperlink>
    </w:p>
  </w:footnote>
  <w:footnote w:id="113">
    <w:p w14:paraId="56F34C39" w14:textId="77777777" w:rsidR="00730709" w:rsidRPr="00035A23" w:rsidRDefault="00730709" w:rsidP="00885B99">
      <w:pPr>
        <w:pStyle w:val="FootnoteText"/>
      </w:pPr>
      <w:r>
        <w:rPr>
          <w:rStyle w:val="FootnoteReference"/>
        </w:rPr>
        <w:footnoteRef/>
      </w:r>
      <w:r>
        <w:t xml:space="preserve"> </w:t>
      </w:r>
      <w:r w:rsidRPr="00035A23">
        <w:tab/>
      </w:r>
      <w:r w:rsidRPr="00D3155E">
        <w:rPr>
          <w:color w:val="000000" w:themeColor="text1"/>
          <w:szCs w:val="18"/>
        </w:rPr>
        <w:t xml:space="preserve">These relate to combinations of the use of the * [star] and # [hash] keys respectively on the mobile handset. The hash key is also known as the </w:t>
      </w:r>
      <w:r>
        <w:rPr>
          <w:color w:val="000000" w:themeColor="text1"/>
          <w:szCs w:val="18"/>
        </w:rPr>
        <w:t>'</w:t>
      </w:r>
      <w:r w:rsidRPr="00D3155E">
        <w:rPr>
          <w:color w:val="000000" w:themeColor="text1"/>
          <w:szCs w:val="18"/>
        </w:rPr>
        <w:t>pound key</w:t>
      </w:r>
      <w:r>
        <w:rPr>
          <w:color w:val="000000" w:themeColor="text1"/>
          <w:szCs w:val="18"/>
        </w:rPr>
        <w:t>'</w:t>
      </w:r>
      <w:r w:rsidRPr="00D3155E">
        <w:rPr>
          <w:color w:val="000000" w:themeColor="text1"/>
          <w:szCs w:val="18"/>
        </w:rPr>
        <w:t>.</w:t>
      </w:r>
    </w:p>
  </w:footnote>
  <w:footnote w:id="114">
    <w:p w14:paraId="4EC009E9" w14:textId="77777777" w:rsidR="00730709" w:rsidRPr="00D3155E" w:rsidRDefault="00730709" w:rsidP="00885B99">
      <w:pPr>
        <w:pStyle w:val="FootnoteText"/>
        <w:tabs>
          <w:tab w:val="left" w:pos="567"/>
        </w:tabs>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Response times for the customer to answer challenge questions – such as a need to select 1, 2, 3, or 4 on a USSD-based DFS menu, or type in a recipient</w:t>
      </w:r>
      <w:r>
        <w:rPr>
          <w:color w:val="000000" w:themeColor="text1"/>
          <w:szCs w:val="18"/>
        </w:rPr>
        <w:t>'</w:t>
      </w:r>
      <w:r w:rsidRPr="00D3155E">
        <w:rPr>
          <w:color w:val="000000" w:themeColor="text1"/>
          <w:szCs w:val="18"/>
        </w:rPr>
        <w:t>s phone number or name in a P2P transaction - may also have their own timeout sequences, either set by the SP, or aggregator or forced by the MNO.</w:t>
      </w:r>
    </w:p>
  </w:footnote>
  <w:footnote w:id="115">
    <w:p w14:paraId="38491C5E" w14:textId="7D61ACB5"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shd w:val="clear" w:color="auto" w:fill="FFFFFF"/>
        </w:rPr>
        <w:t>A gateway is the collection of hardware and software required to interconnect two or more disparate networks, including performing protocol conversion. See Exhibit</w:t>
      </w:r>
      <w:r>
        <w:rPr>
          <w:color w:val="000000" w:themeColor="text1"/>
          <w:szCs w:val="18"/>
          <w:shd w:val="clear" w:color="auto" w:fill="FFFFFF"/>
        </w:rPr>
        <w:t> </w:t>
      </w:r>
      <w:r w:rsidRPr="00D3155E">
        <w:rPr>
          <w:color w:val="000000" w:themeColor="text1"/>
          <w:szCs w:val="18"/>
          <w:shd w:val="clear" w:color="auto" w:fill="FFFFFF"/>
        </w:rPr>
        <w:t>3 on how USSD gateways fit into overall MNO architecture.</w:t>
      </w:r>
    </w:p>
  </w:footnote>
  <w:footnote w:id="116">
    <w:p w14:paraId="67D20B20" w14:textId="77777777" w:rsidR="00730709" w:rsidRPr="00035A23" w:rsidRDefault="00730709" w:rsidP="00885B99">
      <w:pPr>
        <w:pStyle w:val="FootnoteText"/>
      </w:pPr>
      <w:r>
        <w:rPr>
          <w:rStyle w:val="FootnoteReference"/>
        </w:rPr>
        <w:footnoteRef/>
      </w:r>
      <w:r>
        <w:tab/>
      </w:r>
      <w:r w:rsidRPr="00D3155E">
        <w:rPr>
          <w:color w:val="000000" w:themeColor="text1"/>
          <w:szCs w:val="18"/>
        </w:rPr>
        <w:t xml:space="preserve">Hanouch, M &amp; Chen, G (2015) </w:t>
      </w:r>
      <w:r w:rsidRPr="00D3155E">
        <w:rPr>
          <w:i/>
          <w:color w:val="000000" w:themeColor="text1"/>
          <w:szCs w:val="18"/>
        </w:rPr>
        <w:t>Promoting Competition in Mobile Payments: The Role of USSD</w:t>
      </w:r>
      <w:r w:rsidRPr="00D3155E">
        <w:rPr>
          <w:color w:val="000000" w:themeColor="text1"/>
          <w:szCs w:val="18"/>
        </w:rPr>
        <w:t xml:space="preserve">, available at </w:t>
      </w:r>
      <w:hyperlink r:id="rId32" w:history="1">
        <w:r w:rsidRPr="0013277F">
          <w:rPr>
            <w:rStyle w:val="Hyperlink"/>
            <w:szCs w:val="18"/>
          </w:rPr>
          <w:t>https://goo.gl/po24bd</w:t>
        </w:r>
      </w:hyperlink>
    </w:p>
  </w:footnote>
  <w:footnote w:id="117">
    <w:p w14:paraId="0001C7AF" w14:textId="77777777"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The sequence and requirements for getting access to USSD short codes and a USSD gateway as described here are stylized, and will invariably differ in various jurisdictions.</w:t>
      </w:r>
    </w:p>
  </w:footnote>
  <w:footnote w:id="118">
    <w:p w14:paraId="5F563E1E" w14:textId="77777777" w:rsidR="00730709" w:rsidRPr="00035A23" w:rsidRDefault="00730709" w:rsidP="00885B99">
      <w:pPr>
        <w:pStyle w:val="FootnoteText"/>
      </w:pPr>
      <w:r>
        <w:rPr>
          <w:rStyle w:val="FootnoteReference"/>
        </w:rPr>
        <w:footnoteRef/>
      </w:r>
      <w:r>
        <w:t xml:space="preserve"> </w:t>
      </w:r>
      <w:r>
        <w:tab/>
      </w:r>
      <w:r w:rsidRPr="000D7A3E">
        <w:rPr>
          <w:color w:val="000000" w:themeColor="text1"/>
          <w:szCs w:val="22"/>
        </w:rPr>
        <w:t xml:space="preserve">MNOs though may have legitimate reasons for denying a SPs access to their USSD gateway, for example a history of fraudulent use of USSD-based services with other MNOs or bad credit history. See also CGAP (2014) </w:t>
      </w:r>
      <w:r w:rsidRPr="000D7A3E">
        <w:rPr>
          <w:i/>
          <w:color w:val="000000" w:themeColor="text1"/>
          <w:szCs w:val="22"/>
        </w:rPr>
        <w:t>ibid</w:t>
      </w:r>
      <w:r>
        <w:t>.</w:t>
      </w:r>
    </w:p>
  </w:footnote>
  <w:footnote w:id="119">
    <w:p w14:paraId="0A99F1ED" w14:textId="77777777" w:rsidR="00730709" w:rsidRPr="00035A23" w:rsidRDefault="00730709" w:rsidP="00885B99">
      <w:pPr>
        <w:pStyle w:val="FootnoteText"/>
      </w:pPr>
      <w:r>
        <w:rPr>
          <w:rStyle w:val="FootnoteReference"/>
        </w:rPr>
        <w:footnoteRef/>
      </w:r>
      <w:r>
        <w:t xml:space="preserve"> </w:t>
      </w:r>
      <w:r w:rsidRPr="00035A23">
        <w:tab/>
      </w:r>
      <w:r w:rsidRPr="00D3155E">
        <w:rPr>
          <w:color w:val="000000" w:themeColor="text1"/>
          <w:szCs w:val="18"/>
        </w:rPr>
        <w:t>See Section 5 on Short codes.</w:t>
      </w:r>
    </w:p>
  </w:footnote>
  <w:footnote w:id="120">
    <w:p w14:paraId="4EE2B716" w14:textId="12CE072C" w:rsidR="00730709" w:rsidRPr="00035A23" w:rsidRDefault="00730709" w:rsidP="00885B99">
      <w:pPr>
        <w:pStyle w:val="FootnoteText"/>
      </w:pPr>
      <w:r>
        <w:rPr>
          <w:rStyle w:val="FootnoteReference"/>
        </w:rPr>
        <w:footnoteRef/>
      </w:r>
      <w:r>
        <w:t xml:space="preserve"> </w:t>
      </w:r>
      <w:r>
        <w:tab/>
      </w:r>
      <w:r w:rsidRPr="002216F9">
        <w:rPr>
          <w:color w:val="000000" w:themeColor="text1"/>
          <w:szCs w:val="22"/>
        </w:rPr>
        <w:t>CGAP (2014)</w:t>
      </w:r>
      <w:r w:rsidRPr="002216F9">
        <w:rPr>
          <w:i/>
          <w:color w:val="000000" w:themeColor="text1"/>
          <w:szCs w:val="22"/>
        </w:rPr>
        <w:t xml:space="preserve"> ibid</w:t>
      </w:r>
      <w:r w:rsidRPr="002E69BB">
        <w:t>.</w:t>
      </w:r>
    </w:p>
  </w:footnote>
  <w:footnote w:id="121">
    <w:p w14:paraId="6A96A45A" w14:textId="77777777"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 xml:space="preserve">TRAI (2016a) </w:t>
      </w:r>
      <w:r w:rsidRPr="00D3155E">
        <w:rPr>
          <w:i/>
          <w:color w:val="000000" w:themeColor="text1"/>
          <w:szCs w:val="18"/>
        </w:rPr>
        <w:t>Consultation Paper On The Review Of Regulatory Framework For The Use Of USSD For Mobile Financial Services</w:t>
      </w:r>
      <w:r w:rsidRPr="00D3155E">
        <w:rPr>
          <w:color w:val="000000" w:themeColor="text1"/>
          <w:szCs w:val="18"/>
        </w:rPr>
        <w:t xml:space="preserve">, available at </w:t>
      </w:r>
      <w:hyperlink r:id="rId33" w:history="1">
        <w:r w:rsidRPr="00CB6379">
          <w:rPr>
            <w:rStyle w:val="Hyperlink"/>
            <w:szCs w:val="18"/>
          </w:rPr>
          <w:t>https://goo.gl/dSSPLN</w:t>
        </w:r>
      </w:hyperlink>
    </w:p>
  </w:footnote>
  <w:footnote w:id="122">
    <w:p w14:paraId="302BF6F9" w14:textId="3DABF748"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i/>
          <w:color w:val="000000" w:themeColor="text1"/>
          <w:szCs w:val="18"/>
        </w:rPr>
        <w:t>ibid</w:t>
      </w:r>
      <w:r w:rsidRPr="002E69BB">
        <w:t>.</w:t>
      </w:r>
    </w:p>
  </w:footnote>
  <w:footnote w:id="123">
    <w:p w14:paraId="21AE85FA" w14:textId="0A791A11" w:rsidR="00730709" w:rsidRPr="00035A23" w:rsidRDefault="00730709" w:rsidP="00885B99">
      <w:pPr>
        <w:pStyle w:val="FootnoteText"/>
      </w:pPr>
      <w:r>
        <w:rPr>
          <w:rStyle w:val="FootnoteReference"/>
        </w:rPr>
        <w:footnoteRef/>
      </w:r>
      <w:r>
        <w:t xml:space="preserve"> </w:t>
      </w:r>
      <w:r>
        <w:tab/>
      </w:r>
      <w:r w:rsidRPr="00E80258">
        <w:rPr>
          <w:color w:val="000000" w:themeColor="text1"/>
          <w:szCs w:val="22"/>
        </w:rPr>
        <w:t xml:space="preserve">Hanouch &amp; Chen (2015) </w:t>
      </w:r>
      <w:r w:rsidRPr="00E80258">
        <w:rPr>
          <w:i/>
          <w:color w:val="000000" w:themeColor="text1"/>
          <w:szCs w:val="22"/>
        </w:rPr>
        <w:t>ibid</w:t>
      </w:r>
      <w:r w:rsidRPr="002E69BB">
        <w:t>.</w:t>
      </w:r>
    </w:p>
  </w:footnote>
  <w:footnote w:id="124">
    <w:p w14:paraId="3F56814A" w14:textId="5127B922"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 xml:space="preserve">CGAP (2014) </w:t>
      </w:r>
      <w:r w:rsidRPr="00D3155E">
        <w:rPr>
          <w:i/>
          <w:color w:val="000000" w:themeColor="text1"/>
          <w:szCs w:val="18"/>
        </w:rPr>
        <w:t>ibid</w:t>
      </w:r>
      <w:r w:rsidRPr="002E69BB">
        <w:t>.</w:t>
      </w:r>
    </w:p>
  </w:footnote>
  <w:footnote w:id="125">
    <w:p w14:paraId="74AAD9EF" w14:textId="492DAAAD"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Hanouch &amp; Chen (2015</w:t>
      </w:r>
      <w:r w:rsidRPr="00D3155E">
        <w:rPr>
          <w:i/>
          <w:color w:val="000000" w:themeColor="text1"/>
          <w:szCs w:val="18"/>
        </w:rPr>
        <w:t>) ibid</w:t>
      </w:r>
      <w:r w:rsidRPr="002E69BB">
        <w:t>.</w:t>
      </w:r>
    </w:p>
  </w:footnote>
  <w:footnote w:id="126">
    <w:p w14:paraId="59778ECC" w14:textId="7EF406A7"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 xml:space="preserve">CGAP (2014) </w:t>
      </w:r>
      <w:r w:rsidRPr="00D3155E">
        <w:rPr>
          <w:i/>
          <w:color w:val="000000" w:themeColor="text1"/>
          <w:szCs w:val="18"/>
        </w:rPr>
        <w:t>ibid</w:t>
      </w:r>
      <w:r w:rsidRPr="002E69BB">
        <w:t>.</w:t>
      </w:r>
    </w:p>
  </w:footnote>
  <w:footnote w:id="127">
    <w:p w14:paraId="5AAE1461" w14:textId="3291D453"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i/>
          <w:color w:val="000000" w:themeColor="text1"/>
          <w:szCs w:val="18"/>
        </w:rPr>
        <w:t>ibid</w:t>
      </w:r>
      <w:r w:rsidRPr="002E69BB">
        <w:t>.</w:t>
      </w:r>
    </w:p>
  </w:footnote>
  <w:footnote w:id="128">
    <w:p w14:paraId="6350B922" w14:textId="77777777"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 xml:space="preserve">New Vision (2015) </w:t>
      </w:r>
      <w:r w:rsidRPr="00D3155E">
        <w:rPr>
          <w:i/>
          <w:color w:val="000000" w:themeColor="text1"/>
          <w:szCs w:val="18"/>
        </w:rPr>
        <w:t>MTN Ordered To Pay Ezeemoney Sh2.3b Over Sabotage</w:t>
      </w:r>
      <w:r w:rsidRPr="00D3155E">
        <w:rPr>
          <w:color w:val="000000" w:themeColor="text1"/>
          <w:szCs w:val="18"/>
        </w:rPr>
        <w:t xml:space="preserve">, available at </w:t>
      </w:r>
      <w:hyperlink r:id="rId34" w:history="1">
        <w:r w:rsidRPr="0013277F">
          <w:rPr>
            <w:rStyle w:val="Hyperlink"/>
            <w:szCs w:val="18"/>
          </w:rPr>
          <w:t>https://goo.gl/y0FxA4</w:t>
        </w:r>
      </w:hyperlink>
    </w:p>
  </w:footnote>
  <w:footnote w:id="129">
    <w:p w14:paraId="2ADB3CC6" w14:textId="77777777"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 xml:space="preserve">UCC (2016) </w:t>
      </w:r>
      <w:r w:rsidRPr="00D3155E">
        <w:rPr>
          <w:i/>
          <w:color w:val="000000" w:themeColor="text1"/>
          <w:szCs w:val="18"/>
        </w:rPr>
        <w:t>Communication to the TIC WG</w:t>
      </w:r>
    </w:p>
  </w:footnote>
  <w:footnote w:id="130">
    <w:p w14:paraId="37B72F3A" w14:textId="4B420295"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i/>
          <w:color w:val="000000" w:themeColor="text1"/>
          <w:szCs w:val="18"/>
        </w:rPr>
        <w:t>ibid</w:t>
      </w:r>
      <w:r w:rsidRPr="002E69BB">
        <w:t>.</w:t>
      </w:r>
    </w:p>
  </w:footnote>
  <w:footnote w:id="131">
    <w:p w14:paraId="099B9FDC" w14:textId="07D6D14A"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 xml:space="preserve">Personal communication with Zoona, August 2016; Personal communication </w:t>
      </w:r>
      <w:r w:rsidRPr="00D3155E">
        <w:rPr>
          <w:bCs/>
          <w:color w:val="000000" w:themeColor="text1"/>
          <w:szCs w:val="18"/>
          <w:shd w:val="clear" w:color="auto" w:fill="FFFFFF"/>
        </w:rPr>
        <w:t>Competition</w:t>
      </w:r>
      <w:r>
        <w:rPr>
          <w:bCs/>
          <w:color w:val="000000" w:themeColor="text1"/>
          <w:szCs w:val="18"/>
          <w:shd w:val="clear" w:color="auto" w:fill="FFFFFF"/>
        </w:rPr>
        <w:t xml:space="preserve"> </w:t>
      </w:r>
      <w:r w:rsidRPr="00D3155E">
        <w:rPr>
          <w:color w:val="000000" w:themeColor="text1"/>
          <w:szCs w:val="18"/>
          <w:shd w:val="clear" w:color="auto" w:fill="FFFFFF"/>
        </w:rPr>
        <w:t>and Consumer Protection</w:t>
      </w:r>
      <w:r>
        <w:rPr>
          <w:color w:val="000000" w:themeColor="text1"/>
          <w:szCs w:val="18"/>
          <w:shd w:val="clear" w:color="auto" w:fill="FFFFFF"/>
        </w:rPr>
        <w:t xml:space="preserve"> </w:t>
      </w:r>
      <w:r w:rsidRPr="00D3155E">
        <w:rPr>
          <w:bCs/>
          <w:color w:val="000000" w:themeColor="text1"/>
          <w:szCs w:val="18"/>
          <w:shd w:val="clear" w:color="auto" w:fill="FFFFFF"/>
        </w:rPr>
        <w:t>Commission, September 2016.</w:t>
      </w:r>
    </w:p>
  </w:footnote>
  <w:footnote w:id="132">
    <w:p w14:paraId="325081F4" w14:textId="3E8AEA1F"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 xml:space="preserve">See on USSD policy, TRAI (2016a) </w:t>
      </w:r>
      <w:r w:rsidRPr="00D3155E">
        <w:rPr>
          <w:i/>
          <w:color w:val="000000" w:themeColor="text1"/>
          <w:szCs w:val="18"/>
        </w:rPr>
        <w:t>ibid</w:t>
      </w:r>
      <w:r w:rsidRPr="002E69BB">
        <w:t>.</w:t>
      </w:r>
    </w:p>
  </w:footnote>
  <w:footnote w:id="133">
    <w:p w14:paraId="55964EF9" w14:textId="5A635117" w:rsidR="00730709" w:rsidRPr="00035A23" w:rsidRDefault="00730709" w:rsidP="00885B99">
      <w:pPr>
        <w:pStyle w:val="FootnoteText"/>
      </w:pPr>
      <w:r>
        <w:rPr>
          <w:rStyle w:val="FootnoteReference"/>
        </w:rPr>
        <w:footnoteRef/>
      </w:r>
      <w:r>
        <w:t xml:space="preserve"> </w:t>
      </w:r>
      <w:r w:rsidRPr="00035A23">
        <w:tab/>
      </w:r>
      <w:r w:rsidRPr="00E80258">
        <w:rPr>
          <w:color w:val="000000" w:themeColor="text1"/>
          <w:szCs w:val="22"/>
        </w:rPr>
        <w:t xml:space="preserve">See for example the responses the TRAI received when canvassing local MNOs on use of USSD. The MNOs indicated that any move to increase the number of stages in a USSD menu would put a load on their signaling infrastructure and, therefore, that there should be a commensurate increase in the ceiling tariff for USSD session from the present level if the number of menus available were increased. Other MNOs were agreeable to increasing the number of stages provided such USSD sessions were restricted to transactions related to financial inclusion only and not for any other additional financial services such a mobile banking. TRAI (2016a) </w:t>
      </w:r>
      <w:r w:rsidRPr="00E80258">
        <w:rPr>
          <w:i/>
          <w:color w:val="000000" w:themeColor="text1"/>
          <w:szCs w:val="22"/>
        </w:rPr>
        <w:t>ibid</w:t>
      </w:r>
      <w:r w:rsidRPr="002E69BB">
        <w:t>.</w:t>
      </w:r>
    </w:p>
  </w:footnote>
  <w:footnote w:id="134">
    <w:p w14:paraId="02607E6D" w14:textId="77777777"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 xml:space="preserve">First Post (2016) </w:t>
      </w:r>
      <w:r w:rsidRPr="00D3155E">
        <w:rPr>
          <w:i/>
          <w:color w:val="000000" w:themeColor="text1"/>
          <w:szCs w:val="18"/>
          <w:shd w:val="clear" w:color="auto" w:fill="FFFFFF"/>
        </w:rPr>
        <w:t>TRAI Lowers Tariff For USSD Based Mobile Baking To A Maximum Of 50 Paise Per Transaction</w:t>
      </w:r>
      <w:r w:rsidRPr="00D3155E">
        <w:rPr>
          <w:color w:val="000000" w:themeColor="text1"/>
          <w:szCs w:val="18"/>
          <w:shd w:val="clear" w:color="auto" w:fill="FFFFFF"/>
        </w:rPr>
        <w:t xml:space="preserve">, available at </w:t>
      </w:r>
      <w:hyperlink r:id="rId35" w:history="1">
        <w:r w:rsidRPr="00CB6379">
          <w:rPr>
            <w:rStyle w:val="Hyperlink"/>
            <w:szCs w:val="18"/>
          </w:rPr>
          <w:t>https://goo.gl/zF9ggZ</w:t>
        </w:r>
      </w:hyperlink>
    </w:p>
  </w:footnote>
  <w:footnote w:id="135">
    <w:p w14:paraId="4ADED884" w14:textId="77777777" w:rsidR="00730709" w:rsidRPr="00D3155E" w:rsidRDefault="00730709" w:rsidP="00885B99">
      <w:pPr>
        <w:pStyle w:val="FootnoteText"/>
        <w:spacing w:after="120"/>
        <w:rPr>
          <w:color w:val="000000" w:themeColor="text1"/>
          <w:sz w:val="19"/>
          <w:szCs w:val="19"/>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 xml:space="preserve">TRAI (2016b) </w:t>
      </w:r>
      <w:r w:rsidRPr="00D3155E">
        <w:rPr>
          <w:i/>
          <w:color w:val="000000" w:themeColor="text1"/>
          <w:szCs w:val="18"/>
        </w:rPr>
        <w:t>Information Note to the Press (Press release No 110/2016)</w:t>
      </w:r>
      <w:r w:rsidRPr="00D3155E">
        <w:rPr>
          <w:color w:val="000000" w:themeColor="text1"/>
          <w:szCs w:val="18"/>
        </w:rPr>
        <w:t xml:space="preserve">, available at </w:t>
      </w:r>
      <w:hyperlink r:id="rId36" w:history="1">
        <w:r w:rsidRPr="00B14A98">
          <w:rPr>
            <w:rStyle w:val="Hyperlink"/>
            <w:szCs w:val="18"/>
          </w:rPr>
          <w:t>https://goo.gl/V1qZJ0</w:t>
        </w:r>
      </w:hyperlink>
      <w:r w:rsidRPr="00D3155E">
        <w:rPr>
          <w:color w:val="000000" w:themeColor="text1"/>
          <w:szCs w:val="18"/>
        </w:rPr>
        <w:t xml:space="preserve">; and TRAI (2016c) </w:t>
      </w:r>
      <w:r w:rsidRPr="00D3155E">
        <w:rPr>
          <w:i/>
          <w:color w:val="000000" w:themeColor="text1"/>
          <w:szCs w:val="18"/>
        </w:rPr>
        <w:t>The Mobile Banking (Quality Of Service) (Second Amendment) Regulations, 2016</w:t>
      </w:r>
      <w:r w:rsidRPr="00D3155E">
        <w:rPr>
          <w:color w:val="000000" w:themeColor="text1"/>
          <w:szCs w:val="18"/>
        </w:rPr>
        <w:t xml:space="preserve">, available at </w:t>
      </w:r>
      <w:hyperlink r:id="rId37" w:history="1">
        <w:r w:rsidRPr="00B14A98">
          <w:rPr>
            <w:rStyle w:val="Hyperlink"/>
            <w:szCs w:val="18"/>
          </w:rPr>
          <w:t>https://goo.gl/XwPxzn</w:t>
        </w:r>
      </w:hyperlink>
    </w:p>
  </w:footnote>
  <w:footnote w:id="136">
    <w:p w14:paraId="62250D48" w14:textId="606FC305" w:rsidR="00730709" w:rsidRPr="00EE7026" w:rsidRDefault="00730709" w:rsidP="00885B99">
      <w:pPr>
        <w:pStyle w:val="FootnoteText"/>
        <w:spacing w:after="120"/>
        <w:rPr>
          <w:color w:val="000000" w:themeColor="text1"/>
          <w:szCs w:val="18"/>
        </w:rPr>
      </w:pPr>
      <w:r w:rsidRPr="00EE7026">
        <w:rPr>
          <w:rStyle w:val="FootnoteReference"/>
          <w:color w:val="000000" w:themeColor="text1"/>
          <w:szCs w:val="18"/>
        </w:rPr>
        <w:footnoteRef/>
      </w:r>
      <w:r w:rsidRPr="00EE7026">
        <w:rPr>
          <w:color w:val="000000" w:themeColor="text1"/>
          <w:szCs w:val="18"/>
        </w:rPr>
        <w:t xml:space="preserve"> </w:t>
      </w:r>
      <w:r>
        <w:rPr>
          <w:color w:val="000000" w:themeColor="text1"/>
          <w:szCs w:val="18"/>
        </w:rPr>
        <w:tab/>
      </w:r>
      <w:r w:rsidRPr="00EE7026">
        <w:rPr>
          <w:color w:val="000000" w:themeColor="text1"/>
          <w:szCs w:val="18"/>
        </w:rPr>
        <w:t xml:space="preserve">UCC (2016) </w:t>
      </w:r>
      <w:r w:rsidRPr="00EE7026">
        <w:rPr>
          <w:i/>
          <w:color w:val="000000" w:themeColor="text1"/>
          <w:szCs w:val="18"/>
        </w:rPr>
        <w:t>ibid</w:t>
      </w:r>
      <w:r w:rsidRPr="002E69BB">
        <w:t>.</w:t>
      </w:r>
    </w:p>
  </w:footnote>
  <w:footnote w:id="137">
    <w:p w14:paraId="427B5F05" w14:textId="7BDECE53" w:rsidR="00730709" w:rsidRPr="00035A23" w:rsidRDefault="00730709" w:rsidP="00885B99">
      <w:pPr>
        <w:pStyle w:val="FootnoteText"/>
      </w:pPr>
      <w:r>
        <w:rPr>
          <w:rStyle w:val="FootnoteReference"/>
        </w:rPr>
        <w:footnoteRef/>
      </w:r>
      <w:r>
        <w:t xml:space="preserve"> </w:t>
      </w:r>
      <w:r w:rsidRPr="00035A23">
        <w:tab/>
      </w:r>
      <w:r w:rsidRPr="00E80258">
        <w:rPr>
          <w:color w:val="000000" w:themeColor="text1"/>
          <w:szCs w:val="22"/>
        </w:rPr>
        <w:t>The TRAI consultation paper indicated that, for example, while making a funds transfer using recipient's account number and IFSC code of the recipient's bank branch, the customer has to input about 23-29</w:t>
      </w:r>
      <w:r>
        <w:rPr>
          <w:color w:val="000000" w:themeColor="text1"/>
          <w:szCs w:val="22"/>
        </w:rPr>
        <w:t> </w:t>
      </w:r>
      <w:r w:rsidRPr="00E80258">
        <w:rPr>
          <w:color w:val="000000" w:themeColor="text1"/>
          <w:szCs w:val="22"/>
        </w:rPr>
        <w:t>digits (IFSC code-11</w:t>
      </w:r>
      <w:r>
        <w:rPr>
          <w:color w:val="000000" w:themeColor="text1"/>
          <w:szCs w:val="22"/>
        </w:rPr>
        <w:t> </w:t>
      </w:r>
      <w:r w:rsidRPr="00E80258">
        <w:rPr>
          <w:color w:val="000000" w:themeColor="text1"/>
          <w:szCs w:val="22"/>
        </w:rPr>
        <w:t>digits, account number-12-18</w:t>
      </w:r>
      <w:r>
        <w:rPr>
          <w:color w:val="000000" w:themeColor="text1"/>
          <w:szCs w:val="22"/>
        </w:rPr>
        <w:t> </w:t>
      </w:r>
      <w:r w:rsidRPr="00E80258">
        <w:rPr>
          <w:color w:val="000000" w:themeColor="text1"/>
          <w:szCs w:val="22"/>
        </w:rPr>
        <w:t xml:space="preserve">digits) in a single stage because the other four stages are used for (i) selecting bank; (ii) selecting transaction type; (iii) entering amount of money to be transferred; and (iv) entering mPIN. In general, input error is quite frequent when a customer is prompted to enter both the account number and IFSC code in one single stage. See TRAI (2016b) </w:t>
      </w:r>
      <w:r w:rsidRPr="00E80258">
        <w:rPr>
          <w:i/>
          <w:color w:val="000000" w:themeColor="text1"/>
          <w:szCs w:val="22"/>
        </w:rPr>
        <w:t>ibid</w:t>
      </w:r>
      <w:r w:rsidRPr="00E80258">
        <w:rPr>
          <w:color w:val="000000" w:themeColor="text1"/>
          <w:szCs w:val="22"/>
        </w:rPr>
        <w:t>;</w:t>
      </w:r>
      <w:r w:rsidRPr="00E80258">
        <w:rPr>
          <w:i/>
          <w:color w:val="000000" w:themeColor="text1"/>
          <w:szCs w:val="22"/>
        </w:rPr>
        <w:t xml:space="preserve"> </w:t>
      </w:r>
      <w:r w:rsidRPr="00E80258">
        <w:rPr>
          <w:color w:val="000000" w:themeColor="text1"/>
          <w:szCs w:val="22"/>
        </w:rPr>
        <w:t>and TRAI (2016c)</w:t>
      </w:r>
      <w:r w:rsidRPr="00E80258">
        <w:rPr>
          <w:i/>
          <w:color w:val="000000" w:themeColor="text1"/>
          <w:szCs w:val="22"/>
        </w:rPr>
        <w:t xml:space="preserve"> ibid</w:t>
      </w:r>
      <w:r w:rsidRPr="002E69BB">
        <w:t>.</w:t>
      </w:r>
    </w:p>
  </w:footnote>
  <w:footnote w:id="138">
    <w:p w14:paraId="11F910D2" w14:textId="4F771546" w:rsidR="00730709" w:rsidRPr="00035A23" w:rsidRDefault="00730709" w:rsidP="00885B99">
      <w:pPr>
        <w:pStyle w:val="FootnoteText"/>
      </w:pPr>
      <w:r>
        <w:rPr>
          <w:rStyle w:val="FootnoteReference"/>
        </w:rPr>
        <w:footnoteRef/>
      </w:r>
      <w:r>
        <w:t xml:space="preserve"> </w:t>
      </w:r>
      <w:r>
        <w:tab/>
      </w:r>
      <w:r w:rsidRPr="00E80258">
        <w:rPr>
          <w:color w:val="000000" w:themeColor="text1"/>
          <w:szCs w:val="22"/>
        </w:rPr>
        <w:t xml:space="preserve">As noted by TRAI, the lack of extended ability to correct mistakes during a USSD session has resulted in the success rate of USSD transactions being below expectations, particularly for P2P transfers. If customers have a number of transaction declines in their first few transactions, they may lose trust in the service and are unlikely to use USSD-based DFS service again. TRAI (2016a) </w:t>
      </w:r>
      <w:r w:rsidRPr="00E80258">
        <w:rPr>
          <w:i/>
          <w:color w:val="000000" w:themeColor="text1"/>
          <w:szCs w:val="22"/>
        </w:rPr>
        <w:t>ibid</w:t>
      </w:r>
      <w:r w:rsidRPr="002E69BB">
        <w:t>.</w:t>
      </w:r>
    </w:p>
  </w:footnote>
  <w:footnote w:id="139">
    <w:p w14:paraId="1B06FF24" w14:textId="379519F9" w:rsidR="00730709" w:rsidRPr="00EE7026" w:rsidRDefault="00730709" w:rsidP="00885B99">
      <w:pPr>
        <w:pStyle w:val="FootnoteText"/>
        <w:spacing w:after="120"/>
        <w:rPr>
          <w:color w:val="000000" w:themeColor="text1"/>
          <w:szCs w:val="18"/>
        </w:rPr>
      </w:pPr>
      <w:r w:rsidRPr="00EE7026">
        <w:rPr>
          <w:rStyle w:val="FootnoteReference"/>
          <w:color w:val="000000" w:themeColor="text1"/>
          <w:szCs w:val="18"/>
        </w:rPr>
        <w:footnoteRef/>
      </w:r>
      <w:r w:rsidRPr="00EE7026">
        <w:rPr>
          <w:color w:val="000000" w:themeColor="text1"/>
          <w:szCs w:val="18"/>
        </w:rPr>
        <w:t xml:space="preserve"> </w:t>
      </w:r>
      <w:r>
        <w:rPr>
          <w:color w:val="000000" w:themeColor="text1"/>
          <w:szCs w:val="18"/>
        </w:rPr>
        <w:tab/>
      </w:r>
      <w:r w:rsidRPr="00EE7026">
        <w:rPr>
          <w:color w:val="000000" w:themeColor="text1"/>
          <w:szCs w:val="18"/>
        </w:rPr>
        <w:t xml:space="preserve">TRAI (2016a) </w:t>
      </w:r>
      <w:r w:rsidRPr="00EE7026">
        <w:rPr>
          <w:i/>
          <w:color w:val="000000" w:themeColor="text1"/>
          <w:szCs w:val="18"/>
        </w:rPr>
        <w:t>ibid</w:t>
      </w:r>
      <w:r w:rsidRPr="002E69BB">
        <w:t>.</w:t>
      </w:r>
    </w:p>
  </w:footnote>
  <w:footnote w:id="140">
    <w:p w14:paraId="7676BA0D" w14:textId="7F9FB124" w:rsidR="00730709" w:rsidRPr="00EE7026" w:rsidRDefault="00730709" w:rsidP="00885B99">
      <w:pPr>
        <w:pStyle w:val="FootnoteText"/>
        <w:spacing w:after="120"/>
        <w:rPr>
          <w:color w:val="000000" w:themeColor="text1"/>
          <w:szCs w:val="18"/>
        </w:rPr>
      </w:pPr>
      <w:r w:rsidRPr="00EE7026">
        <w:rPr>
          <w:rStyle w:val="FootnoteReference"/>
          <w:color w:val="000000" w:themeColor="text1"/>
          <w:szCs w:val="18"/>
        </w:rPr>
        <w:footnoteRef/>
      </w:r>
      <w:r w:rsidRPr="00EE7026">
        <w:rPr>
          <w:color w:val="000000" w:themeColor="text1"/>
          <w:szCs w:val="18"/>
        </w:rPr>
        <w:t xml:space="preserve"> </w:t>
      </w:r>
      <w:r>
        <w:rPr>
          <w:color w:val="000000" w:themeColor="text1"/>
          <w:szCs w:val="18"/>
        </w:rPr>
        <w:tab/>
      </w:r>
      <w:r w:rsidRPr="00EE7026">
        <w:rPr>
          <w:color w:val="000000" w:themeColor="text1"/>
          <w:szCs w:val="18"/>
        </w:rPr>
        <w:t xml:space="preserve">First Post (2016) </w:t>
      </w:r>
      <w:r w:rsidRPr="00EE7026">
        <w:rPr>
          <w:i/>
          <w:color w:val="000000" w:themeColor="text1"/>
          <w:szCs w:val="18"/>
        </w:rPr>
        <w:t>ibid</w:t>
      </w:r>
      <w:r w:rsidRPr="002E69BB">
        <w:t>.</w:t>
      </w:r>
    </w:p>
  </w:footnote>
  <w:footnote w:id="141">
    <w:p w14:paraId="43CC8AD8" w14:textId="49A05AA4" w:rsidR="00730709" w:rsidRPr="00EE7026" w:rsidRDefault="00730709" w:rsidP="00885B99">
      <w:pPr>
        <w:pStyle w:val="FootnoteText"/>
        <w:spacing w:after="120"/>
        <w:rPr>
          <w:color w:val="000000" w:themeColor="text1"/>
          <w:szCs w:val="18"/>
        </w:rPr>
      </w:pPr>
      <w:r w:rsidRPr="00EE7026">
        <w:rPr>
          <w:rStyle w:val="FootnoteReference"/>
          <w:color w:val="000000" w:themeColor="text1"/>
          <w:szCs w:val="18"/>
        </w:rPr>
        <w:footnoteRef/>
      </w:r>
      <w:r w:rsidRPr="00EE7026">
        <w:rPr>
          <w:color w:val="000000" w:themeColor="text1"/>
          <w:szCs w:val="18"/>
        </w:rPr>
        <w:t xml:space="preserve"> </w:t>
      </w:r>
      <w:r>
        <w:rPr>
          <w:color w:val="000000" w:themeColor="text1"/>
          <w:szCs w:val="18"/>
        </w:rPr>
        <w:tab/>
      </w:r>
      <w:r w:rsidRPr="00EE7026">
        <w:rPr>
          <w:color w:val="000000" w:themeColor="text1"/>
          <w:szCs w:val="18"/>
        </w:rPr>
        <w:t xml:space="preserve">TRAI (2016b) </w:t>
      </w:r>
      <w:r w:rsidRPr="00EE7026">
        <w:rPr>
          <w:i/>
          <w:color w:val="000000" w:themeColor="text1"/>
          <w:szCs w:val="18"/>
        </w:rPr>
        <w:t>ibid</w:t>
      </w:r>
      <w:r w:rsidRPr="002E69BB">
        <w:t>.</w:t>
      </w:r>
    </w:p>
  </w:footnote>
  <w:footnote w:id="142">
    <w:p w14:paraId="18F75FB5" w14:textId="6F2DA16D" w:rsidR="00730709" w:rsidRPr="00C64E16" w:rsidRDefault="00730709" w:rsidP="00885B99">
      <w:pPr>
        <w:pStyle w:val="FootnoteText"/>
        <w:spacing w:after="120"/>
        <w:rPr>
          <w:color w:val="000000" w:themeColor="text1"/>
          <w:sz w:val="19"/>
          <w:szCs w:val="19"/>
        </w:rPr>
      </w:pPr>
      <w:r w:rsidRPr="00EE7026">
        <w:rPr>
          <w:rStyle w:val="FootnoteReference"/>
          <w:color w:val="000000" w:themeColor="text1"/>
          <w:szCs w:val="18"/>
        </w:rPr>
        <w:footnoteRef/>
      </w:r>
      <w:r w:rsidRPr="00EE7026">
        <w:rPr>
          <w:color w:val="000000" w:themeColor="text1"/>
          <w:szCs w:val="18"/>
        </w:rPr>
        <w:t xml:space="preserve"> </w:t>
      </w:r>
      <w:r>
        <w:rPr>
          <w:color w:val="000000" w:themeColor="text1"/>
          <w:szCs w:val="18"/>
        </w:rPr>
        <w:tab/>
      </w:r>
      <w:r w:rsidRPr="00EE7026">
        <w:rPr>
          <w:color w:val="000000" w:themeColor="text1"/>
          <w:szCs w:val="18"/>
        </w:rPr>
        <w:t xml:space="preserve">First Post (2016) </w:t>
      </w:r>
      <w:r w:rsidRPr="00EE7026">
        <w:rPr>
          <w:i/>
          <w:color w:val="000000" w:themeColor="text1"/>
          <w:szCs w:val="18"/>
        </w:rPr>
        <w:t>ibid</w:t>
      </w:r>
      <w:r w:rsidRPr="002E69BB">
        <w:t>.</w:t>
      </w:r>
    </w:p>
  </w:footnote>
  <w:footnote w:id="143">
    <w:p w14:paraId="651F510F" w14:textId="77777777"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 xml:space="preserve">Mazer, P &amp; Rowan, P (2016) </w:t>
      </w:r>
      <w:r w:rsidRPr="00D3155E">
        <w:rPr>
          <w:i/>
          <w:color w:val="000000" w:themeColor="text1"/>
          <w:szCs w:val="18"/>
        </w:rPr>
        <w:t>Competition in Mobile Financial Services: Lessons from Kenya &amp; Tanzania</w:t>
      </w:r>
      <w:r w:rsidRPr="00D3155E">
        <w:rPr>
          <w:color w:val="000000" w:themeColor="text1"/>
          <w:szCs w:val="18"/>
        </w:rPr>
        <w:t xml:space="preserve">, available at </w:t>
      </w:r>
      <w:hyperlink r:id="rId38" w:history="1">
        <w:r w:rsidRPr="00076A9A">
          <w:rPr>
            <w:rStyle w:val="Hyperlink"/>
            <w:szCs w:val="18"/>
          </w:rPr>
          <w:t>https://goo.gl/osF8Mo</w:t>
        </w:r>
      </w:hyperlink>
    </w:p>
  </w:footnote>
  <w:footnote w:id="144">
    <w:p w14:paraId="7D759007" w14:textId="77777777"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 xml:space="preserve">See below on </w:t>
      </w:r>
      <w:r>
        <w:rPr>
          <w:color w:val="000000" w:themeColor="text1"/>
          <w:szCs w:val="18"/>
        </w:rPr>
        <w:t>the Bangladesh country example.</w:t>
      </w:r>
    </w:p>
  </w:footnote>
  <w:footnote w:id="145">
    <w:p w14:paraId="222345BF" w14:textId="77777777"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See the India country example below.</w:t>
      </w:r>
    </w:p>
  </w:footnote>
  <w:footnote w:id="146">
    <w:p w14:paraId="3E3764C3" w14:textId="77777777" w:rsidR="00730709" w:rsidRPr="00035A23" w:rsidRDefault="00730709" w:rsidP="00885B99">
      <w:pPr>
        <w:pStyle w:val="FootnoteText"/>
      </w:pPr>
      <w:r>
        <w:rPr>
          <w:rStyle w:val="FootnoteReference"/>
        </w:rPr>
        <w:footnoteRef/>
      </w:r>
      <w:r>
        <w:t xml:space="preserve"> </w:t>
      </w:r>
      <w:r w:rsidRPr="00035A23">
        <w:tab/>
      </w:r>
      <w:r w:rsidRPr="00E80258">
        <w:rPr>
          <w:color w:val="000000" w:themeColor="text1"/>
          <w:szCs w:val="22"/>
        </w:rPr>
        <w:t xml:space="preserve">See for example </w:t>
      </w:r>
      <w:r w:rsidRPr="00E80258">
        <w:rPr>
          <w:color w:val="000000" w:themeColor="text1"/>
          <w:szCs w:val="22"/>
          <w:shd w:val="clear" w:color="auto" w:fill="FFFFFF"/>
        </w:rPr>
        <w:t>in Zimbabwe, where the telecommunication regulator, POTRAZ, used a b</w:t>
      </w:r>
      <w:r w:rsidRPr="00E80258">
        <w:rPr>
          <w:color w:val="000000" w:themeColor="text1"/>
          <w:szCs w:val="22"/>
          <w:bdr w:val="none" w:sz="0" w:space="0" w:color="auto" w:frame="1"/>
          <w:shd w:val="clear" w:color="auto" w:fill="FFFFFF"/>
        </w:rPr>
        <w:t>ottom-up costing model</w:t>
      </w:r>
      <w:r w:rsidRPr="00E80258">
        <w:rPr>
          <w:color w:val="000000" w:themeColor="text1"/>
          <w:szCs w:val="22"/>
        </w:rPr>
        <w:t xml:space="preserve"> to set a floor price on mobile data and bearer access. This however resulted in large retail price increases for voice and bearer services, market confusion and consumer anger.</w:t>
      </w:r>
    </w:p>
  </w:footnote>
  <w:footnote w:id="147">
    <w:p w14:paraId="6E216567" w14:textId="77777777" w:rsidR="00730709" w:rsidRPr="00035A23" w:rsidRDefault="00730709" w:rsidP="00885B99">
      <w:pPr>
        <w:pStyle w:val="FootnoteText"/>
      </w:pPr>
      <w:r>
        <w:rPr>
          <w:rStyle w:val="FootnoteReference"/>
        </w:rPr>
        <w:footnoteRef/>
      </w:r>
      <w:r>
        <w:t xml:space="preserve"> </w:t>
      </w:r>
      <w:r>
        <w:tab/>
      </w:r>
      <w:r w:rsidRPr="00D3155E">
        <w:rPr>
          <w:szCs w:val="18"/>
        </w:rPr>
        <w:t>They also express concern that by mandating a price and commercial arrangement for the provision of USSD, regulators preclude businesses from striking innovative partnerships and commercial arrangements that may be more advantageous for consumers.</w:t>
      </w:r>
    </w:p>
  </w:footnote>
  <w:footnote w:id="148">
    <w:p w14:paraId="123C1516" w14:textId="77777777"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Mas, I</w:t>
      </w:r>
      <w:r>
        <w:rPr>
          <w:color w:val="000000" w:themeColor="text1"/>
          <w:szCs w:val="18"/>
        </w:rPr>
        <w:t> </w:t>
      </w:r>
      <w:r w:rsidRPr="00D3155E">
        <w:rPr>
          <w:color w:val="000000" w:themeColor="text1"/>
          <w:szCs w:val="18"/>
        </w:rPr>
        <w:t xml:space="preserve">(2012) </w:t>
      </w:r>
      <w:r w:rsidRPr="00D3155E">
        <w:rPr>
          <w:i/>
          <w:color w:val="000000" w:themeColor="text1"/>
          <w:szCs w:val="18"/>
        </w:rPr>
        <w:t>What is the Telecom Regulator</w:t>
      </w:r>
      <w:r>
        <w:rPr>
          <w:i/>
          <w:color w:val="000000" w:themeColor="text1"/>
          <w:szCs w:val="18"/>
        </w:rPr>
        <w:t>'</w:t>
      </w:r>
      <w:r w:rsidRPr="00D3155E">
        <w:rPr>
          <w:i/>
          <w:color w:val="000000" w:themeColor="text1"/>
          <w:szCs w:val="18"/>
        </w:rPr>
        <w:t>s Role in Fostering Mobile Money</w:t>
      </w:r>
      <w:r w:rsidRPr="00D3155E">
        <w:rPr>
          <w:color w:val="000000" w:themeColor="text1"/>
          <w:szCs w:val="18"/>
        </w:rPr>
        <w:t xml:space="preserve">?, available at </w:t>
      </w:r>
      <w:hyperlink r:id="rId39" w:history="1">
        <w:r w:rsidRPr="00076A9A">
          <w:rPr>
            <w:rStyle w:val="Hyperlink"/>
            <w:szCs w:val="18"/>
          </w:rPr>
          <w:t>https://goo.gl/X9cDFQ</w:t>
        </w:r>
      </w:hyperlink>
    </w:p>
  </w:footnote>
  <w:footnote w:id="149">
    <w:p w14:paraId="2601996D" w14:textId="1D2488FA" w:rsidR="00730709" w:rsidRPr="00035A23" w:rsidRDefault="00730709" w:rsidP="00885B99">
      <w:pPr>
        <w:pStyle w:val="FootnoteText"/>
      </w:pPr>
      <w:r>
        <w:rPr>
          <w:rStyle w:val="FootnoteReference"/>
        </w:rPr>
        <w:footnoteRef/>
      </w:r>
      <w:r>
        <w:t xml:space="preserve"> </w:t>
      </w:r>
      <w:r>
        <w:rPr>
          <w:color w:val="000000" w:themeColor="text1"/>
          <w:szCs w:val="18"/>
        </w:rPr>
        <w:tab/>
      </w:r>
      <w:r w:rsidRPr="00D3155E">
        <w:rPr>
          <w:color w:val="000000" w:themeColor="text1"/>
          <w:szCs w:val="18"/>
        </w:rPr>
        <w:t xml:space="preserve">Hanouch &amp; Chen (2015) </w:t>
      </w:r>
      <w:r w:rsidRPr="00D3155E">
        <w:rPr>
          <w:i/>
          <w:color w:val="000000" w:themeColor="text1"/>
          <w:szCs w:val="18"/>
        </w:rPr>
        <w:t>ibid</w:t>
      </w:r>
      <w:r w:rsidRPr="002E69BB">
        <w:t>.</w:t>
      </w:r>
    </w:p>
  </w:footnote>
  <w:footnote w:id="150">
    <w:p w14:paraId="2667B96D" w14:textId="77777777" w:rsidR="00730709" w:rsidRPr="00035A23" w:rsidRDefault="00730709" w:rsidP="00885B99">
      <w:pPr>
        <w:pStyle w:val="FootnoteText"/>
      </w:pPr>
      <w:r>
        <w:rPr>
          <w:rStyle w:val="FootnoteReference"/>
        </w:rPr>
        <w:footnoteRef/>
      </w:r>
      <w:r>
        <w:t xml:space="preserve"> </w:t>
      </w:r>
      <w:r w:rsidRPr="00035A23">
        <w:tab/>
      </w:r>
      <w:r w:rsidRPr="0038230A">
        <w:rPr>
          <w:color w:val="000000" w:themeColor="text1"/>
          <w:szCs w:val="22"/>
        </w:rPr>
        <w:t>Grameenphone, the largest MNO, charges all MFS providers - except bKash - up to 0.25% of the cost of the cash out value. Other MNOs charge 1.8 to 1.85% for cash out, of which the MNOs take 7% to 15%. For example, for a BDT 1000 cash out, the PSP charge to the customer is BDT 18.5. An MNO will get 7% of the BDT 18.5 amount.</w:t>
      </w:r>
    </w:p>
  </w:footnote>
  <w:footnote w:id="151">
    <w:p w14:paraId="7441415E" w14:textId="77777777" w:rsidR="00730709" w:rsidRPr="00035A23" w:rsidRDefault="00730709" w:rsidP="00885B99">
      <w:pPr>
        <w:pStyle w:val="FootnoteText"/>
      </w:pPr>
      <w:r>
        <w:rPr>
          <w:rStyle w:val="FootnoteReference"/>
        </w:rPr>
        <w:footnoteRef/>
      </w:r>
      <w:r>
        <w:t xml:space="preserve"> </w:t>
      </w:r>
      <w:r w:rsidRPr="00035A23">
        <w:tab/>
      </w:r>
      <w:r w:rsidRPr="002216F9">
        <w:rPr>
          <w:color w:val="000000" w:themeColor="text1"/>
          <w:szCs w:val="22"/>
        </w:rPr>
        <w:t xml:space="preserve">The Association of Mobile Telecom Operators of Bangladesh recently submitted its proposal to the Bangladesh Telecommunication Regulatory Commission to increase USSD fees. Daily Star (2016) </w:t>
      </w:r>
      <w:r w:rsidRPr="002216F9">
        <w:rPr>
          <w:i/>
          <w:color w:val="000000" w:themeColor="text1"/>
          <w:szCs w:val="22"/>
        </w:rPr>
        <w:t>Telcos Propose To Hike Charge For Mobile Wallet Users,</w:t>
      </w:r>
      <w:r w:rsidRPr="002216F9">
        <w:rPr>
          <w:color w:val="000000" w:themeColor="text1"/>
          <w:szCs w:val="22"/>
        </w:rPr>
        <w:t xml:space="preserve"> available at </w:t>
      </w:r>
      <w:hyperlink r:id="rId40" w:history="1">
        <w:r w:rsidRPr="002216F9">
          <w:rPr>
            <w:rStyle w:val="Hyperlink"/>
            <w:szCs w:val="22"/>
          </w:rPr>
          <w:t>https://goo.gl/TSrPLP</w:t>
        </w:r>
      </w:hyperlink>
    </w:p>
  </w:footnote>
  <w:footnote w:id="152">
    <w:p w14:paraId="0675AAE3" w14:textId="0F30897F" w:rsidR="00730709" w:rsidRPr="00035A23" w:rsidRDefault="00730709" w:rsidP="00885B99">
      <w:pPr>
        <w:pStyle w:val="FootnoteText"/>
      </w:pPr>
      <w:r>
        <w:rPr>
          <w:rStyle w:val="FootnoteReference"/>
        </w:rPr>
        <w:footnoteRef/>
      </w:r>
      <w:r>
        <w:t xml:space="preserve"> </w:t>
      </w:r>
      <w:r w:rsidRPr="00035A23">
        <w:tab/>
      </w:r>
      <w:r w:rsidRPr="002216F9">
        <w:rPr>
          <w:color w:val="000000" w:themeColor="text1"/>
          <w:szCs w:val="22"/>
        </w:rPr>
        <w:t xml:space="preserve">Hanouch &amp; Chen (2015) </w:t>
      </w:r>
      <w:r w:rsidRPr="002216F9">
        <w:rPr>
          <w:i/>
          <w:color w:val="000000" w:themeColor="text1"/>
          <w:szCs w:val="22"/>
        </w:rPr>
        <w:t>ibid</w:t>
      </w:r>
      <w:r w:rsidRPr="002E69BB">
        <w:t>.</w:t>
      </w:r>
    </w:p>
  </w:footnote>
  <w:footnote w:id="153">
    <w:p w14:paraId="6B298421" w14:textId="77777777"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 xml:space="preserve">ADB (2016) </w:t>
      </w:r>
      <w:r w:rsidRPr="00D3155E">
        <w:rPr>
          <w:i/>
          <w:color w:val="000000" w:themeColor="text1"/>
          <w:szCs w:val="18"/>
        </w:rPr>
        <w:t>Digital Payment Systems, Mobile Money Services and Agent Banking: Bangladesh, Nepal and Sri Lanka</w:t>
      </w:r>
      <w:r w:rsidRPr="00D3155E">
        <w:rPr>
          <w:color w:val="000000" w:themeColor="text1"/>
          <w:szCs w:val="18"/>
        </w:rPr>
        <w:t xml:space="preserve">, available at </w:t>
      </w:r>
      <w:hyperlink r:id="rId41" w:history="1">
        <w:r w:rsidRPr="00076A9A">
          <w:rPr>
            <w:rStyle w:val="Hyperlink"/>
            <w:szCs w:val="18"/>
          </w:rPr>
          <w:t>https://goo.gl/usuONK</w:t>
        </w:r>
      </w:hyperlink>
    </w:p>
  </w:footnote>
  <w:footnote w:id="154">
    <w:p w14:paraId="32BED2A3" w14:textId="77777777" w:rsidR="00730709" w:rsidRPr="00035A23" w:rsidRDefault="00730709" w:rsidP="00885B99">
      <w:pPr>
        <w:pStyle w:val="FootnoteText"/>
      </w:pPr>
      <w:r>
        <w:rPr>
          <w:rStyle w:val="FootnoteReference"/>
        </w:rPr>
        <w:footnoteRef/>
      </w:r>
      <w:r>
        <w:t xml:space="preserve"> </w:t>
      </w:r>
      <w:r w:rsidRPr="00035A23">
        <w:tab/>
      </w:r>
      <w:r w:rsidRPr="002216F9">
        <w:rPr>
          <w:color w:val="000000" w:themeColor="text1"/>
          <w:szCs w:val="22"/>
        </w:rPr>
        <w:t xml:space="preserve">ADB (2016) </w:t>
      </w:r>
      <w:r w:rsidRPr="002216F9">
        <w:rPr>
          <w:i/>
          <w:color w:val="000000" w:themeColor="text1"/>
          <w:szCs w:val="22"/>
        </w:rPr>
        <w:t xml:space="preserve">ibid; </w:t>
      </w:r>
      <w:r w:rsidRPr="002216F9">
        <w:rPr>
          <w:color w:val="000000" w:themeColor="text1"/>
          <w:szCs w:val="22"/>
        </w:rPr>
        <w:t>Bangladesh Bank oral communication to the TIC WG.</w:t>
      </w:r>
    </w:p>
  </w:footnote>
  <w:footnote w:id="155">
    <w:p w14:paraId="5DA37960" w14:textId="77777777" w:rsidR="00730709" w:rsidRPr="00C64E16" w:rsidRDefault="00730709" w:rsidP="00885B99">
      <w:pPr>
        <w:pStyle w:val="FootnoteText"/>
        <w:spacing w:after="120"/>
        <w:rPr>
          <w:color w:val="000000" w:themeColor="text1"/>
          <w:sz w:val="19"/>
          <w:szCs w:val="19"/>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 xml:space="preserve">CGAP apparently submitted a report to BB on USSD access. See Business News (2015) </w:t>
      </w:r>
      <w:r w:rsidRPr="00D3155E">
        <w:rPr>
          <w:i/>
          <w:color w:val="000000" w:themeColor="text1"/>
          <w:szCs w:val="18"/>
        </w:rPr>
        <w:t>CGAP To Submit Report On USSD Charging Mechanism For DFS</w:t>
      </w:r>
      <w:r w:rsidRPr="00D3155E">
        <w:rPr>
          <w:color w:val="000000" w:themeColor="text1"/>
          <w:szCs w:val="18"/>
        </w:rPr>
        <w:t xml:space="preserve">, available at </w:t>
      </w:r>
      <w:hyperlink r:id="rId42" w:history="1">
        <w:r w:rsidRPr="00076A9A">
          <w:rPr>
            <w:rStyle w:val="Hyperlink"/>
            <w:szCs w:val="18"/>
          </w:rPr>
          <w:t>https://goo.gl/Y5e725</w:t>
        </w:r>
      </w:hyperlink>
    </w:p>
  </w:footnote>
  <w:footnote w:id="156">
    <w:p w14:paraId="6374409F" w14:textId="77777777"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 xml:space="preserve">TRAI (2016d) </w:t>
      </w:r>
      <w:r w:rsidRPr="00D3155E">
        <w:rPr>
          <w:i/>
          <w:color w:val="000000" w:themeColor="text1"/>
          <w:szCs w:val="18"/>
        </w:rPr>
        <w:t>The Telecommunication Tariff (Sixty First Amendment) Order, 2016 No. – 1 Of 2016</w:t>
      </w:r>
      <w:r w:rsidRPr="00D3155E">
        <w:rPr>
          <w:color w:val="000000" w:themeColor="text1"/>
          <w:szCs w:val="18"/>
        </w:rPr>
        <w:t xml:space="preserve">, available at </w:t>
      </w:r>
      <w:hyperlink r:id="rId43" w:history="1">
        <w:r w:rsidRPr="00076A9A">
          <w:rPr>
            <w:rStyle w:val="Hyperlink"/>
            <w:szCs w:val="18"/>
          </w:rPr>
          <w:t>https://goo.gl/7kHo45</w:t>
        </w:r>
      </w:hyperlink>
      <w:r w:rsidRPr="00D3155E">
        <w:rPr>
          <w:color w:val="000000" w:themeColor="text1"/>
          <w:szCs w:val="18"/>
        </w:rPr>
        <w:t xml:space="preserve">. These moves coincided with a sudden demonetization program in November 2016 by the government of India aimed at ridding the country of high value cash notes thought to be used for money laundering. DFS access surged in the wake of the demonetization announcement. </w:t>
      </w:r>
    </w:p>
  </w:footnote>
  <w:footnote w:id="157">
    <w:p w14:paraId="7DE0116A" w14:textId="77777777" w:rsidR="00730709" w:rsidRPr="00035A23" w:rsidRDefault="00730709" w:rsidP="00885B99">
      <w:pPr>
        <w:pStyle w:val="FootnoteText"/>
      </w:pPr>
      <w:r>
        <w:rPr>
          <w:rStyle w:val="FootnoteReference"/>
        </w:rPr>
        <w:footnoteRef/>
      </w:r>
      <w:r>
        <w:t xml:space="preserve"> </w:t>
      </w:r>
      <w:r w:rsidRPr="00035A23">
        <w:tab/>
        <w:t xml:space="preserve">Mas, </w:t>
      </w:r>
      <w:r w:rsidRPr="002216F9">
        <w:rPr>
          <w:color w:val="000000" w:themeColor="text1"/>
          <w:szCs w:val="22"/>
        </w:rPr>
        <w:t>I (2014)</w:t>
      </w:r>
      <w:r>
        <w:rPr>
          <w:color w:val="000000" w:themeColor="text1"/>
          <w:szCs w:val="22"/>
        </w:rPr>
        <w:t xml:space="preserve"> </w:t>
      </w:r>
      <w:r w:rsidRPr="002216F9">
        <w:rPr>
          <w:i/>
          <w:color w:val="000000" w:themeColor="text1"/>
          <w:szCs w:val="22"/>
        </w:rPr>
        <w:t>Shifting Branchless Banking Regulation from Enabling to Fostering Competition</w:t>
      </w:r>
      <w:r w:rsidRPr="002216F9">
        <w:rPr>
          <w:b/>
          <w:color w:val="000000" w:themeColor="text1"/>
          <w:szCs w:val="22"/>
        </w:rPr>
        <w:t xml:space="preserve">, </w:t>
      </w:r>
      <w:r w:rsidRPr="002216F9">
        <w:rPr>
          <w:color w:val="000000" w:themeColor="text1"/>
          <w:szCs w:val="22"/>
        </w:rPr>
        <w:t xml:space="preserve">available at </w:t>
      </w:r>
      <w:hyperlink r:id="rId44" w:history="1">
        <w:r w:rsidRPr="002216F9">
          <w:rPr>
            <w:rStyle w:val="Hyperlink"/>
            <w:szCs w:val="22"/>
          </w:rPr>
          <w:t>https://goo.gl/1Fb48a</w:t>
        </w:r>
      </w:hyperlink>
    </w:p>
  </w:footnote>
  <w:footnote w:id="158">
    <w:p w14:paraId="180900CD" w14:textId="6A05304C"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 xml:space="preserve">CGAP (2014) </w:t>
      </w:r>
      <w:r w:rsidRPr="00D3155E">
        <w:rPr>
          <w:i/>
          <w:color w:val="000000" w:themeColor="text1"/>
          <w:szCs w:val="18"/>
        </w:rPr>
        <w:t>ibid</w:t>
      </w:r>
      <w:r w:rsidRPr="002E69BB">
        <w:t>.</w:t>
      </w:r>
    </w:p>
  </w:footnote>
  <w:footnote w:id="159">
    <w:p w14:paraId="2C708487" w14:textId="77777777"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 xml:space="preserve">See Cartesian (2015) </w:t>
      </w:r>
      <w:r w:rsidRPr="00D3155E">
        <w:rPr>
          <w:i/>
          <w:color w:val="000000" w:themeColor="text1"/>
          <w:szCs w:val="18"/>
        </w:rPr>
        <w:t>Mobile Platform Access for USSD-based Applications (MPA-USSD),</w:t>
      </w:r>
      <w:r w:rsidRPr="00D3155E">
        <w:rPr>
          <w:color w:val="000000" w:themeColor="text1"/>
          <w:szCs w:val="18"/>
        </w:rPr>
        <w:t xml:space="preserve"> available at </w:t>
      </w:r>
      <w:hyperlink r:id="rId45" w:history="1">
        <w:r w:rsidRPr="00076A9A">
          <w:rPr>
            <w:rStyle w:val="Hyperlink"/>
            <w:szCs w:val="18"/>
          </w:rPr>
          <w:t>https://goo.gl/8RrIq4</w:t>
        </w:r>
      </w:hyperlink>
    </w:p>
  </w:footnote>
  <w:footnote w:id="160">
    <w:p w14:paraId="7398F087" w14:textId="77777777"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 xml:space="preserve">TechnoMag (2015) </w:t>
      </w:r>
      <w:r w:rsidRPr="00D3155E">
        <w:rPr>
          <w:i/>
          <w:color w:val="000000" w:themeColor="text1"/>
          <w:szCs w:val="18"/>
          <w:shd w:val="clear" w:color="auto" w:fill="FFFFFF"/>
        </w:rPr>
        <w:t xml:space="preserve">Econet Awaits Judgment From Competition and Tariffs Commission, </w:t>
      </w:r>
      <w:r w:rsidRPr="00D3155E">
        <w:rPr>
          <w:color w:val="000000" w:themeColor="text1"/>
          <w:szCs w:val="18"/>
          <w:shd w:val="clear" w:color="auto" w:fill="FFFFFF"/>
        </w:rPr>
        <w:t xml:space="preserve">available at </w:t>
      </w:r>
      <w:hyperlink r:id="rId46" w:history="1">
        <w:r w:rsidRPr="00076A9A">
          <w:rPr>
            <w:rStyle w:val="Hyperlink"/>
            <w:szCs w:val="18"/>
          </w:rPr>
          <w:t>https://goo.gl/pivUkH</w:t>
        </w:r>
      </w:hyperlink>
    </w:p>
  </w:footnote>
  <w:footnote w:id="161">
    <w:p w14:paraId="4D5061CE" w14:textId="77777777"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shd w:val="clear" w:color="auto" w:fill="FFFFFF"/>
        </w:rPr>
        <w:t xml:space="preserve">There are two approaches to estimating unit costs: top-down, bottom-up. These can be combined to form a </w:t>
      </w:r>
      <w:r>
        <w:rPr>
          <w:color w:val="000000" w:themeColor="text1"/>
          <w:szCs w:val="18"/>
          <w:shd w:val="clear" w:color="auto" w:fill="FFFFFF"/>
        </w:rPr>
        <w:t>'</w:t>
      </w:r>
      <w:r w:rsidRPr="00D3155E">
        <w:rPr>
          <w:color w:val="000000" w:themeColor="text1"/>
          <w:szCs w:val="18"/>
          <w:shd w:val="clear" w:color="auto" w:fill="FFFFFF"/>
        </w:rPr>
        <w:t>mixed approach</w:t>
      </w:r>
      <w:r>
        <w:rPr>
          <w:color w:val="000000" w:themeColor="text1"/>
          <w:szCs w:val="18"/>
          <w:shd w:val="clear" w:color="auto" w:fill="FFFFFF"/>
        </w:rPr>
        <w:t>'</w:t>
      </w:r>
      <w:r w:rsidRPr="00D3155E">
        <w:rPr>
          <w:color w:val="000000" w:themeColor="text1"/>
          <w:szCs w:val="18"/>
          <w:shd w:val="clear" w:color="auto" w:fill="FFFFFF"/>
        </w:rPr>
        <w:t xml:space="preserve">. A bottom-up approach is used to estimate the costs of service usage and involves identifying all resources used to provide a service, and then assigning a value to each of those resources. These values are summed and linked to a unit of activity to derive a total unit cost. Top-down costing is more amenable to estimating the society level costs which are often intangible and where data is scarce. See UK Cabinet Office (2017) </w:t>
      </w:r>
      <w:r w:rsidRPr="00D3155E">
        <w:rPr>
          <w:i/>
          <w:color w:val="000000" w:themeColor="text1"/>
          <w:szCs w:val="18"/>
          <w:shd w:val="clear" w:color="auto" w:fill="FFFFFF"/>
        </w:rPr>
        <w:t>Top Down And Bottom-Up Unit Cost Estimation</w:t>
      </w:r>
      <w:r w:rsidRPr="00D3155E">
        <w:rPr>
          <w:color w:val="000000" w:themeColor="text1"/>
          <w:szCs w:val="18"/>
          <w:shd w:val="clear" w:color="auto" w:fill="FFFFFF"/>
        </w:rPr>
        <w:t xml:space="preserve">, available at </w:t>
      </w:r>
      <w:hyperlink r:id="rId47" w:history="1">
        <w:r w:rsidRPr="00076A9A">
          <w:rPr>
            <w:rStyle w:val="Hyperlink"/>
            <w:szCs w:val="18"/>
          </w:rPr>
          <w:t>https://goo.gl/nZWX3M</w:t>
        </w:r>
      </w:hyperlink>
    </w:p>
  </w:footnote>
  <w:footnote w:id="162">
    <w:p w14:paraId="1FC4F1EE" w14:textId="77777777" w:rsidR="00730709" w:rsidRPr="00035A23" w:rsidRDefault="00730709" w:rsidP="00885B99">
      <w:pPr>
        <w:pStyle w:val="FootnoteText"/>
      </w:pPr>
      <w:r>
        <w:rPr>
          <w:rStyle w:val="FootnoteReference"/>
        </w:rPr>
        <w:footnoteRef/>
      </w:r>
      <w:r>
        <w:t xml:space="preserve"> </w:t>
      </w:r>
      <w:r w:rsidRPr="00035A23">
        <w:tab/>
      </w:r>
      <w:r w:rsidRPr="002216F9">
        <w:rPr>
          <w:color w:val="000000" w:themeColor="text1"/>
          <w:szCs w:val="22"/>
          <w:shd w:val="clear" w:color="auto" w:fill="FFFFFF"/>
        </w:rPr>
        <w:t>Techzim (2017)</w:t>
      </w:r>
      <w:r w:rsidRPr="002216F9">
        <w:rPr>
          <w:i/>
          <w:color w:val="000000" w:themeColor="text1"/>
          <w:szCs w:val="22"/>
          <w:shd w:val="clear" w:color="auto" w:fill="FFFFFF"/>
        </w:rPr>
        <w:t xml:space="preserve"> New Tariffs - POTRAZ Says It Consulted The Mobile Operators, They Actually Wanted Even Higher Prices</w:t>
      </w:r>
      <w:r w:rsidRPr="002216F9">
        <w:rPr>
          <w:color w:val="000000" w:themeColor="text1"/>
          <w:szCs w:val="22"/>
          <w:shd w:val="clear" w:color="auto" w:fill="FFFFFF"/>
        </w:rPr>
        <w:t xml:space="preserve">, available at </w:t>
      </w:r>
      <w:hyperlink r:id="rId48" w:history="1">
        <w:r w:rsidRPr="002216F9">
          <w:rPr>
            <w:rStyle w:val="Hyperlink"/>
            <w:szCs w:val="22"/>
            <w:shd w:val="clear" w:color="auto" w:fill="FFFFFF"/>
          </w:rPr>
          <w:t>http://bit.ly/2isSXNz</w:t>
        </w:r>
      </w:hyperlink>
    </w:p>
  </w:footnote>
  <w:footnote w:id="163">
    <w:p w14:paraId="618205FC" w14:textId="77777777" w:rsidR="00730709" w:rsidRPr="00EE7026" w:rsidRDefault="00730709" w:rsidP="00885B99">
      <w:pPr>
        <w:pStyle w:val="FootnoteText"/>
        <w:spacing w:after="120"/>
        <w:rPr>
          <w:color w:val="000000" w:themeColor="text1"/>
          <w:szCs w:val="18"/>
        </w:rPr>
      </w:pPr>
      <w:r w:rsidRPr="00EE7026">
        <w:rPr>
          <w:rStyle w:val="FootnoteReference"/>
          <w:color w:val="000000" w:themeColor="text1"/>
          <w:szCs w:val="18"/>
        </w:rPr>
        <w:footnoteRef/>
      </w:r>
      <w:r w:rsidRPr="00EE7026">
        <w:rPr>
          <w:color w:val="000000" w:themeColor="text1"/>
          <w:szCs w:val="18"/>
        </w:rPr>
        <w:t xml:space="preserve"> </w:t>
      </w:r>
      <w:r>
        <w:rPr>
          <w:color w:val="000000" w:themeColor="text1"/>
          <w:szCs w:val="18"/>
        </w:rPr>
        <w:tab/>
      </w:r>
      <w:r w:rsidRPr="00EE7026">
        <w:rPr>
          <w:color w:val="000000" w:themeColor="text1"/>
          <w:szCs w:val="18"/>
        </w:rPr>
        <w:t xml:space="preserve">Mobile handsets &amp; base stations must transmit enough power to maintain a call of acceptable quality or USSD session to completion without transmitting excessive power into the frequency channels &amp; timeslots allocated to others. See Keysite (2014) </w:t>
      </w:r>
      <w:r w:rsidRPr="00EE7026">
        <w:rPr>
          <w:i/>
          <w:color w:val="000000" w:themeColor="text1"/>
          <w:szCs w:val="18"/>
        </w:rPr>
        <w:t>Understanding GSM/EDGE Transmitter and Receiver Measurements for Base Transceiver Stations and their Components</w:t>
      </w:r>
      <w:r w:rsidRPr="00EE7026">
        <w:rPr>
          <w:color w:val="000000" w:themeColor="text1"/>
          <w:szCs w:val="18"/>
        </w:rPr>
        <w:t xml:space="preserve">, available at </w:t>
      </w:r>
      <w:hyperlink r:id="rId49" w:history="1">
        <w:r w:rsidRPr="00CB6379">
          <w:rPr>
            <w:rStyle w:val="Hyperlink"/>
            <w:szCs w:val="18"/>
          </w:rPr>
          <w:t>https://goo.gl/n6kqnF</w:t>
        </w:r>
      </w:hyperlink>
    </w:p>
  </w:footnote>
  <w:footnote w:id="164">
    <w:p w14:paraId="542C7C2C" w14:textId="0CC47F46" w:rsidR="00730709" w:rsidRPr="00EE7026" w:rsidRDefault="00730709" w:rsidP="00885B99">
      <w:pPr>
        <w:pStyle w:val="FootnoteText"/>
        <w:spacing w:after="120"/>
        <w:rPr>
          <w:color w:val="000000" w:themeColor="text1"/>
          <w:szCs w:val="18"/>
        </w:rPr>
      </w:pPr>
      <w:r w:rsidRPr="00EE7026">
        <w:rPr>
          <w:rStyle w:val="FootnoteReference"/>
          <w:color w:val="000000" w:themeColor="text1"/>
          <w:szCs w:val="18"/>
        </w:rPr>
        <w:footnoteRef/>
      </w:r>
      <w:r w:rsidRPr="00EE7026">
        <w:rPr>
          <w:color w:val="000000" w:themeColor="text1"/>
          <w:szCs w:val="18"/>
        </w:rPr>
        <w:t xml:space="preserve"> </w:t>
      </w:r>
      <w:r>
        <w:rPr>
          <w:color w:val="000000" w:themeColor="text1"/>
          <w:szCs w:val="18"/>
        </w:rPr>
        <w:tab/>
      </w:r>
      <w:r w:rsidRPr="00EE7026">
        <w:rPr>
          <w:color w:val="000000" w:themeColor="text1"/>
          <w:szCs w:val="18"/>
        </w:rPr>
        <w:t xml:space="preserve">See Further Chen (2015) </w:t>
      </w:r>
      <w:r w:rsidRPr="00EE7026">
        <w:rPr>
          <w:i/>
          <w:color w:val="000000" w:themeColor="text1"/>
          <w:szCs w:val="18"/>
        </w:rPr>
        <w:t>ibid</w:t>
      </w:r>
      <w:r w:rsidRPr="00EE7026">
        <w:rPr>
          <w:color w:val="000000" w:themeColor="text1"/>
          <w:szCs w:val="18"/>
        </w:rPr>
        <w:t xml:space="preserve">); and CGAP (2014) </w:t>
      </w:r>
      <w:r w:rsidRPr="00EE7026">
        <w:rPr>
          <w:i/>
          <w:color w:val="000000" w:themeColor="text1"/>
          <w:szCs w:val="18"/>
        </w:rPr>
        <w:t>ibid</w:t>
      </w:r>
      <w:r w:rsidRPr="00EE7026">
        <w:rPr>
          <w:color w:val="000000" w:themeColor="text1"/>
          <w:szCs w:val="18"/>
        </w:rPr>
        <w:t xml:space="preserve">. The BB and the BTRC are planning to investigate QOS issues, part of a larger study on USSD pricing. See also on USSD reporting for the BB, Business News (2015) </w:t>
      </w:r>
      <w:r w:rsidRPr="00EE7026">
        <w:rPr>
          <w:i/>
          <w:color w:val="000000" w:themeColor="text1"/>
          <w:szCs w:val="18"/>
        </w:rPr>
        <w:t>ibid</w:t>
      </w:r>
      <w:r w:rsidRPr="002E69BB">
        <w:t>.</w:t>
      </w:r>
    </w:p>
  </w:footnote>
  <w:footnote w:id="165">
    <w:p w14:paraId="49A485D7" w14:textId="62947C8F" w:rsidR="00730709" w:rsidRPr="00EE7026" w:rsidRDefault="00730709" w:rsidP="00885B99">
      <w:pPr>
        <w:pStyle w:val="FootnoteText"/>
        <w:spacing w:after="120"/>
        <w:rPr>
          <w:color w:val="000000" w:themeColor="text1"/>
          <w:szCs w:val="18"/>
        </w:rPr>
      </w:pPr>
      <w:r w:rsidRPr="00EE7026">
        <w:rPr>
          <w:rStyle w:val="FootnoteReference"/>
          <w:color w:val="000000" w:themeColor="text1"/>
          <w:szCs w:val="18"/>
        </w:rPr>
        <w:footnoteRef/>
      </w:r>
      <w:r w:rsidRPr="00EE7026">
        <w:rPr>
          <w:color w:val="000000" w:themeColor="text1"/>
          <w:szCs w:val="18"/>
        </w:rPr>
        <w:t xml:space="preserve"> </w:t>
      </w:r>
      <w:r>
        <w:rPr>
          <w:color w:val="000000" w:themeColor="text1"/>
          <w:szCs w:val="18"/>
        </w:rPr>
        <w:tab/>
      </w:r>
      <w:r w:rsidRPr="00EE7026">
        <w:rPr>
          <w:color w:val="000000" w:themeColor="text1"/>
          <w:szCs w:val="18"/>
        </w:rPr>
        <w:t xml:space="preserve">CGAP (2014) </w:t>
      </w:r>
      <w:r w:rsidRPr="00EE7026">
        <w:rPr>
          <w:i/>
          <w:color w:val="000000" w:themeColor="text1"/>
          <w:szCs w:val="18"/>
        </w:rPr>
        <w:t>ibid</w:t>
      </w:r>
      <w:r w:rsidRPr="002E69BB">
        <w:t>.</w:t>
      </w:r>
    </w:p>
  </w:footnote>
  <w:footnote w:id="166">
    <w:p w14:paraId="47AF6B7C" w14:textId="2790C0C4" w:rsidR="00730709" w:rsidRPr="00EE7026" w:rsidRDefault="00730709" w:rsidP="00885B99">
      <w:pPr>
        <w:pStyle w:val="FootnoteText"/>
        <w:spacing w:after="120"/>
        <w:rPr>
          <w:color w:val="000000" w:themeColor="text1"/>
          <w:szCs w:val="18"/>
        </w:rPr>
      </w:pPr>
      <w:r w:rsidRPr="00EE7026">
        <w:rPr>
          <w:rStyle w:val="FootnoteReference"/>
          <w:color w:val="000000" w:themeColor="text1"/>
          <w:szCs w:val="18"/>
        </w:rPr>
        <w:footnoteRef/>
      </w:r>
      <w:r w:rsidRPr="00EE7026">
        <w:rPr>
          <w:color w:val="000000" w:themeColor="text1"/>
          <w:szCs w:val="18"/>
        </w:rPr>
        <w:t xml:space="preserve"> </w:t>
      </w:r>
      <w:r>
        <w:rPr>
          <w:color w:val="000000" w:themeColor="text1"/>
          <w:szCs w:val="18"/>
        </w:rPr>
        <w:tab/>
      </w:r>
      <w:r w:rsidRPr="00EE7026">
        <w:rPr>
          <w:color w:val="000000" w:themeColor="text1"/>
          <w:szCs w:val="18"/>
        </w:rPr>
        <w:t xml:space="preserve">In Uganda, service providers reported limited scope for negotiation of service level agreements with MNOs, that it was not possible to negotiate the level of service availability. Cartesian (2015) </w:t>
      </w:r>
      <w:r w:rsidRPr="00EE7026">
        <w:rPr>
          <w:i/>
          <w:color w:val="000000" w:themeColor="text1"/>
          <w:szCs w:val="18"/>
        </w:rPr>
        <w:t>ibid</w:t>
      </w:r>
      <w:r w:rsidRPr="002E69BB">
        <w:t>.</w:t>
      </w:r>
    </w:p>
  </w:footnote>
  <w:footnote w:id="167">
    <w:p w14:paraId="2FBB60D8" w14:textId="73AFCD89" w:rsidR="00730709" w:rsidRPr="00EE7026" w:rsidRDefault="00730709" w:rsidP="00885B99">
      <w:pPr>
        <w:pStyle w:val="FootnoteText"/>
        <w:spacing w:after="120"/>
        <w:rPr>
          <w:color w:val="000000" w:themeColor="text1"/>
          <w:szCs w:val="18"/>
        </w:rPr>
      </w:pPr>
      <w:r w:rsidRPr="00EE7026">
        <w:rPr>
          <w:rStyle w:val="FootnoteReference"/>
          <w:color w:val="000000" w:themeColor="text1"/>
          <w:szCs w:val="18"/>
        </w:rPr>
        <w:footnoteRef/>
      </w:r>
      <w:r w:rsidRPr="00EE7026">
        <w:rPr>
          <w:color w:val="000000" w:themeColor="text1"/>
          <w:szCs w:val="18"/>
        </w:rPr>
        <w:t xml:space="preserve"> </w:t>
      </w:r>
      <w:r>
        <w:rPr>
          <w:color w:val="000000" w:themeColor="text1"/>
          <w:szCs w:val="18"/>
        </w:rPr>
        <w:tab/>
      </w:r>
      <w:r w:rsidRPr="00EE7026">
        <w:rPr>
          <w:color w:val="000000" w:themeColor="text1"/>
          <w:szCs w:val="18"/>
        </w:rPr>
        <w:t xml:space="preserve">UCC (2016) </w:t>
      </w:r>
      <w:r w:rsidRPr="00EE7026">
        <w:rPr>
          <w:i/>
          <w:color w:val="000000" w:themeColor="text1"/>
          <w:szCs w:val="18"/>
        </w:rPr>
        <w:t>ibid</w:t>
      </w:r>
      <w:r w:rsidRPr="002E69BB">
        <w:t>.</w:t>
      </w:r>
    </w:p>
  </w:footnote>
  <w:footnote w:id="168">
    <w:p w14:paraId="427F0E6B" w14:textId="77777777" w:rsidR="00730709" w:rsidRPr="00EE7026" w:rsidRDefault="00730709" w:rsidP="00885B99">
      <w:pPr>
        <w:pStyle w:val="FootnoteText"/>
        <w:spacing w:after="120"/>
        <w:rPr>
          <w:color w:val="000000" w:themeColor="text1"/>
          <w:szCs w:val="18"/>
        </w:rPr>
      </w:pPr>
      <w:r w:rsidRPr="00EE7026">
        <w:rPr>
          <w:rStyle w:val="FootnoteReference"/>
          <w:color w:val="000000" w:themeColor="text1"/>
          <w:szCs w:val="18"/>
        </w:rPr>
        <w:footnoteRef/>
      </w:r>
      <w:r w:rsidRPr="00EE7026">
        <w:rPr>
          <w:color w:val="000000" w:themeColor="text1"/>
          <w:szCs w:val="18"/>
        </w:rPr>
        <w:t xml:space="preserve"> </w:t>
      </w:r>
      <w:r>
        <w:rPr>
          <w:color w:val="000000" w:themeColor="text1"/>
          <w:szCs w:val="18"/>
        </w:rPr>
        <w:tab/>
      </w:r>
      <w:r w:rsidRPr="00EE7026">
        <w:rPr>
          <w:i/>
          <w:color w:val="000000" w:themeColor="text1"/>
          <w:szCs w:val="18"/>
        </w:rPr>
        <w:t>ibid</w:t>
      </w:r>
      <w:r w:rsidRPr="00EE7026">
        <w:rPr>
          <w:color w:val="000000" w:themeColor="text1"/>
          <w:szCs w:val="18"/>
        </w:rPr>
        <w:t>.</w:t>
      </w:r>
    </w:p>
  </w:footnote>
  <w:footnote w:id="169">
    <w:p w14:paraId="1F58F172" w14:textId="77777777" w:rsidR="00730709" w:rsidRPr="00C64E16" w:rsidRDefault="00730709" w:rsidP="00885B99">
      <w:pPr>
        <w:pStyle w:val="FootnoteText"/>
        <w:tabs>
          <w:tab w:val="left" w:pos="567"/>
        </w:tabs>
        <w:spacing w:after="120"/>
        <w:rPr>
          <w:color w:val="000000" w:themeColor="text1"/>
          <w:sz w:val="19"/>
          <w:szCs w:val="19"/>
        </w:rPr>
      </w:pPr>
      <w:r w:rsidRPr="00EE7026">
        <w:rPr>
          <w:rStyle w:val="FootnoteReference"/>
          <w:color w:val="000000" w:themeColor="text1"/>
          <w:szCs w:val="18"/>
        </w:rPr>
        <w:footnoteRef/>
      </w:r>
      <w:r w:rsidRPr="00EE7026">
        <w:rPr>
          <w:color w:val="000000" w:themeColor="text1"/>
          <w:szCs w:val="18"/>
        </w:rPr>
        <w:t xml:space="preserve"> </w:t>
      </w:r>
      <w:r>
        <w:rPr>
          <w:color w:val="000000" w:themeColor="text1"/>
          <w:szCs w:val="18"/>
        </w:rPr>
        <w:tab/>
      </w:r>
      <w:r w:rsidRPr="00EE7026">
        <w:rPr>
          <w:color w:val="000000" w:themeColor="text1"/>
          <w:szCs w:val="18"/>
        </w:rPr>
        <w:t>As with USSD, STK is especially prevalent in developing nations where entry-level phones are mostly used.</w:t>
      </w:r>
    </w:p>
  </w:footnote>
  <w:footnote w:id="170">
    <w:p w14:paraId="32335C56" w14:textId="77777777" w:rsidR="00730709" w:rsidRPr="00EE7026" w:rsidRDefault="00730709" w:rsidP="00885B99">
      <w:pPr>
        <w:pStyle w:val="FootnoteText"/>
        <w:tabs>
          <w:tab w:val="left" w:pos="567"/>
        </w:tabs>
        <w:spacing w:after="120"/>
        <w:rPr>
          <w:color w:val="000000" w:themeColor="text1"/>
          <w:szCs w:val="18"/>
        </w:rPr>
      </w:pPr>
      <w:r w:rsidRPr="00EE7026">
        <w:rPr>
          <w:rStyle w:val="FootnoteReference"/>
          <w:color w:val="000000" w:themeColor="text1"/>
          <w:szCs w:val="18"/>
        </w:rPr>
        <w:footnoteRef/>
      </w:r>
      <w:r w:rsidRPr="00EE7026">
        <w:rPr>
          <w:color w:val="000000" w:themeColor="text1"/>
          <w:szCs w:val="18"/>
        </w:rPr>
        <w:t xml:space="preserve"> </w:t>
      </w:r>
      <w:r>
        <w:rPr>
          <w:color w:val="000000" w:themeColor="text1"/>
          <w:szCs w:val="18"/>
        </w:rPr>
        <w:tab/>
      </w:r>
      <w:r w:rsidRPr="00EE7026">
        <w:rPr>
          <w:color w:val="000000" w:themeColor="text1"/>
          <w:szCs w:val="18"/>
        </w:rPr>
        <w:t xml:space="preserve">These commands are standard for all mobile equipment and defined by ETSI and </w:t>
      </w:r>
      <w:r w:rsidRPr="00EE7026">
        <w:rPr>
          <w:bCs/>
          <w:color w:val="000000" w:themeColor="text1"/>
          <w:szCs w:val="18"/>
          <w:shd w:val="clear" w:color="auto" w:fill="FFFFFF"/>
        </w:rPr>
        <w:t>3rd Generation Partnership Project</w:t>
      </w:r>
      <w:r w:rsidRPr="00EE7026">
        <w:rPr>
          <w:color w:val="000000" w:themeColor="text1"/>
          <w:szCs w:val="18"/>
        </w:rPr>
        <w:t xml:space="preserve"> (3GPP) specifications.</w:t>
      </w:r>
    </w:p>
  </w:footnote>
  <w:footnote w:id="171">
    <w:p w14:paraId="776A1260" w14:textId="77777777" w:rsidR="00730709" w:rsidRPr="00035A23" w:rsidRDefault="00730709" w:rsidP="00885B99">
      <w:pPr>
        <w:pStyle w:val="FootnoteText"/>
      </w:pPr>
      <w:r>
        <w:rPr>
          <w:rStyle w:val="FootnoteReference"/>
        </w:rPr>
        <w:footnoteRef/>
      </w:r>
      <w:r>
        <w:t xml:space="preserve"> </w:t>
      </w:r>
      <w:r w:rsidRPr="00035A23">
        <w:tab/>
      </w:r>
      <w:r w:rsidRPr="005D77A1">
        <w:rPr>
          <w:color w:val="000000" w:themeColor="text1"/>
          <w:szCs w:val="22"/>
        </w:rPr>
        <w:t>One popular STK application is a Wireless Internet Browser (WIB). The WIB is downloaded onto the</w:t>
      </w:r>
      <w:r>
        <w:rPr>
          <w:color w:val="000000" w:themeColor="text1"/>
          <w:szCs w:val="22"/>
        </w:rPr>
        <w:t> </w:t>
      </w:r>
      <w:r w:rsidRPr="005D77A1">
        <w:rPr>
          <w:color w:val="000000" w:themeColor="text1"/>
          <w:szCs w:val="22"/>
        </w:rPr>
        <w:t>SIM card before distribution and appears on the subscriber's telephone menu as a range of services. The WIB communicates with a server at the MNO, which then connects it to other servers offering the services.</w:t>
      </w:r>
    </w:p>
  </w:footnote>
  <w:footnote w:id="172">
    <w:p w14:paraId="3B4FE37D" w14:textId="77777777" w:rsidR="00730709" w:rsidRPr="00EE7026" w:rsidRDefault="00730709" w:rsidP="00885B99">
      <w:pPr>
        <w:pStyle w:val="FootnoteText"/>
        <w:tabs>
          <w:tab w:val="left" w:pos="567"/>
        </w:tabs>
        <w:spacing w:after="120"/>
        <w:rPr>
          <w:color w:val="000000" w:themeColor="text1"/>
          <w:szCs w:val="18"/>
        </w:rPr>
      </w:pPr>
      <w:r w:rsidRPr="00EE7026">
        <w:rPr>
          <w:rStyle w:val="FootnoteReference"/>
          <w:color w:val="000000" w:themeColor="text1"/>
          <w:szCs w:val="18"/>
        </w:rPr>
        <w:footnoteRef/>
      </w:r>
      <w:r w:rsidRPr="00EE7026">
        <w:rPr>
          <w:color w:val="000000" w:themeColor="text1"/>
          <w:szCs w:val="18"/>
        </w:rPr>
        <w:t xml:space="preserve"> </w:t>
      </w:r>
      <w:r>
        <w:rPr>
          <w:color w:val="000000" w:themeColor="text1"/>
          <w:szCs w:val="18"/>
        </w:rPr>
        <w:tab/>
      </w:r>
      <w:r w:rsidRPr="00EE7026">
        <w:rPr>
          <w:color w:val="000000" w:themeColor="text1"/>
          <w:szCs w:val="18"/>
        </w:rPr>
        <w:t xml:space="preserve">Many new smartphones do not have the STK </w:t>
      </w:r>
      <w:r>
        <w:rPr>
          <w:color w:val="000000" w:themeColor="text1"/>
          <w:szCs w:val="18"/>
        </w:rPr>
        <w:t>'</w:t>
      </w:r>
      <w:r w:rsidRPr="00EE7026">
        <w:rPr>
          <w:color w:val="000000" w:themeColor="text1"/>
          <w:szCs w:val="18"/>
        </w:rPr>
        <w:t>translator</w:t>
      </w:r>
      <w:r>
        <w:rPr>
          <w:color w:val="000000" w:themeColor="text1"/>
          <w:szCs w:val="18"/>
        </w:rPr>
        <w:t>'</w:t>
      </w:r>
      <w:r w:rsidRPr="00EE7026">
        <w:rPr>
          <w:color w:val="000000" w:themeColor="text1"/>
          <w:szCs w:val="18"/>
        </w:rPr>
        <w:t xml:space="preserve"> installed, meaning that services using STK-based menu items will not appear. This may impact those doing remote airtime transfer as a form of foreign remittance. Thereto, see the NoSTK Android smartphone app, which caters for smartphones without STK functionality. Available at </w:t>
      </w:r>
      <w:hyperlink r:id="rId50" w:history="1">
        <w:r w:rsidRPr="00CB6379">
          <w:rPr>
            <w:rStyle w:val="Hyperlink"/>
            <w:szCs w:val="18"/>
          </w:rPr>
          <w:t>https://goo.gl/fEg0PN</w:t>
        </w:r>
      </w:hyperlink>
      <w:r w:rsidRPr="00EE7026">
        <w:rPr>
          <w:color w:val="000000" w:themeColor="text1"/>
          <w:szCs w:val="18"/>
        </w:rPr>
        <w:t>.</w:t>
      </w:r>
    </w:p>
  </w:footnote>
  <w:footnote w:id="173">
    <w:p w14:paraId="02D6FA92" w14:textId="77777777" w:rsidR="00730709" w:rsidRPr="00EE7026" w:rsidRDefault="00730709" w:rsidP="00885B99">
      <w:pPr>
        <w:pStyle w:val="FootnoteText"/>
        <w:tabs>
          <w:tab w:val="left" w:pos="567"/>
        </w:tabs>
        <w:spacing w:after="120"/>
        <w:rPr>
          <w:color w:val="000000" w:themeColor="text1"/>
          <w:szCs w:val="18"/>
        </w:rPr>
      </w:pPr>
      <w:r w:rsidRPr="00EE7026">
        <w:rPr>
          <w:rStyle w:val="FootnoteReference"/>
          <w:color w:val="000000" w:themeColor="text1"/>
          <w:szCs w:val="18"/>
        </w:rPr>
        <w:footnoteRef/>
      </w:r>
      <w:r w:rsidRPr="00EE7026">
        <w:rPr>
          <w:color w:val="000000" w:themeColor="text1"/>
          <w:szCs w:val="18"/>
        </w:rPr>
        <w:t xml:space="preserve"> </w:t>
      </w:r>
      <w:r>
        <w:rPr>
          <w:color w:val="000000" w:themeColor="text1"/>
          <w:szCs w:val="18"/>
        </w:rPr>
        <w:tab/>
      </w:r>
      <w:r w:rsidRPr="00EE7026">
        <w:rPr>
          <w:color w:val="000000" w:themeColor="text1"/>
          <w:szCs w:val="18"/>
        </w:rPr>
        <w:t>STK as a technology can use USSD as a bearer, but it is very dependent on the STK implementation on the particular handset. Some handset manufacturers have not adequately implemented STK support for USSD however. In practice though, STK will almost always use only SMS as a bearer.</w:t>
      </w:r>
    </w:p>
  </w:footnote>
  <w:footnote w:id="174">
    <w:p w14:paraId="0C576372" w14:textId="77777777" w:rsidR="00730709" w:rsidRPr="00035A23" w:rsidRDefault="00730709" w:rsidP="00885B99">
      <w:pPr>
        <w:pStyle w:val="FootnoteText"/>
      </w:pPr>
      <w:r>
        <w:rPr>
          <w:rStyle w:val="FootnoteReference"/>
        </w:rPr>
        <w:footnoteRef/>
      </w:r>
      <w:r>
        <w:t xml:space="preserve"> </w:t>
      </w:r>
      <w:r w:rsidRPr="00035A23">
        <w:tab/>
      </w:r>
      <w:r w:rsidRPr="005D77A1">
        <w:rPr>
          <w:color w:val="000000" w:themeColor="text1"/>
          <w:szCs w:val="22"/>
        </w:rPr>
        <w:t>This is a simple machine code that converts the raw messages from the software to application-level message. This requires a special STK gateway at the MNO.</w:t>
      </w:r>
    </w:p>
  </w:footnote>
  <w:footnote w:id="175">
    <w:p w14:paraId="0F8ECCEF" w14:textId="77777777" w:rsidR="00730709" w:rsidRPr="00035A23" w:rsidRDefault="00730709" w:rsidP="00885B99">
      <w:pPr>
        <w:pStyle w:val="FootnoteText"/>
      </w:pPr>
      <w:r>
        <w:rPr>
          <w:rStyle w:val="FootnoteReference"/>
        </w:rPr>
        <w:footnoteRef/>
      </w:r>
      <w:r>
        <w:t xml:space="preserve"> </w:t>
      </w:r>
      <w:r w:rsidRPr="00035A23">
        <w:tab/>
      </w:r>
      <w:r w:rsidRPr="00D33FE1">
        <w:rPr>
          <w:color w:val="000000" w:themeColor="text1"/>
          <w:szCs w:val="22"/>
        </w:rPr>
        <w:t>The STK UI applications are usually protected by either the SIM PIN, phone lock PIN, or both. The applications are not visible when the phone is locked, when there are no SIM applications in the SIM, or when the phone does not have the physical SIM card.</w:t>
      </w:r>
    </w:p>
  </w:footnote>
  <w:footnote w:id="176">
    <w:p w14:paraId="74589FFD" w14:textId="77777777" w:rsidR="00730709" w:rsidRPr="00EE7026" w:rsidRDefault="00730709" w:rsidP="00885B99">
      <w:pPr>
        <w:pStyle w:val="FootnoteText"/>
        <w:tabs>
          <w:tab w:val="left" w:pos="567"/>
        </w:tabs>
        <w:spacing w:after="120"/>
        <w:rPr>
          <w:color w:val="000000" w:themeColor="text1"/>
          <w:szCs w:val="18"/>
        </w:rPr>
      </w:pPr>
      <w:r w:rsidRPr="00EE7026">
        <w:rPr>
          <w:rStyle w:val="FootnoteReference"/>
          <w:color w:val="000000" w:themeColor="text1"/>
          <w:szCs w:val="18"/>
        </w:rPr>
        <w:footnoteRef/>
      </w:r>
      <w:r w:rsidRPr="00EE7026">
        <w:rPr>
          <w:color w:val="000000" w:themeColor="text1"/>
          <w:szCs w:val="18"/>
        </w:rPr>
        <w:t xml:space="preserve"> </w:t>
      </w:r>
      <w:r>
        <w:rPr>
          <w:color w:val="000000" w:themeColor="text1"/>
          <w:szCs w:val="18"/>
        </w:rPr>
        <w:tab/>
      </w:r>
      <w:r w:rsidRPr="00EE7026">
        <w:rPr>
          <w:color w:val="000000" w:themeColor="text1"/>
          <w:szCs w:val="18"/>
        </w:rPr>
        <w:t>The MNO will then transmit the information on to a SP or bank who may be the ultimate provider of services.</w:t>
      </w:r>
    </w:p>
  </w:footnote>
  <w:footnote w:id="177">
    <w:p w14:paraId="06FEA031" w14:textId="77777777" w:rsidR="00730709" w:rsidRPr="00035A23" w:rsidRDefault="00730709" w:rsidP="00885B99">
      <w:pPr>
        <w:pStyle w:val="FootnoteText"/>
      </w:pPr>
      <w:r>
        <w:rPr>
          <w:rStyle w:val="FootnoteReference"/>
        </w:rPr>
        <w:footnoteRef/>
      </w:r>
      <w:r>
        <w:t xml:space="preserve"> </w:t>
      </w:r>
      <w:r w:rsidRPr="00035A23">
        <w:tab/>
      </w:r>
      <w:r w:rsidRPr="005D77A1">
        <w:rPr>
          <w:noProof/>
          <w:color w:val="000000" w:themeColor="text1"/>
          <w:szCs w:val="22"/>
        </w:rPr>
        <w:t>Since MNOs own the SIM card and thus control anything on it, this includes controlling the ability of third parties to load and use their own applications and encryption keys for use by their own customers. And as only the MNO can provision the SIM, the ability of a SP to receive or gain access to the required mobile encryption keys independently of the MNO is usually a complicated and expensive negotiation.</w:t>
      </w:r>
    </w:p>
  </w:footnote>
  <w:footnote w:id="178">
    <w:p w14:paraId="715429A0" w14:textId="77777777" w:rsidR="00730709" w:rsidRPr="00EE7026" w:rsidRDefault="00730709" w:rsidP="00885B99">
      <w:pPr>
        <w:pStyle w:val="FootnoteText"/>
        <w:spacing w:after="120"/>
        <w:rPr>
          <w:color w:val="000000" w:themeColor="text1"/>
          <w:szCs w:val="18"/>
        </w:rPr>
      </w:pPr>
      <w:r w:rsidRPr="00EE7026">
        <w:rPr>
          <w:rStyle w:val="FootnoteReference"/>
          <w:color w:val="000000" w:themeColor="text1"/>
          <w:szCs w:val="18"/>
        </w:rPr>
        <w:footnoteRef/>
      </w:r>
      <w:r w:rsidRPr="00EE7026">
        <w:rPr>
          <w:color w:val="000000" w:themeColor="text1"/>
          <w:szCs w:val="18"/>
        </w:rPr>
        <w:t xml:space="preserve"> </w:t>
      </w:r>
      <w:r>
        <w:rPr>
          <w:color w:val="000000" w:themeColor="text1"/>
          <w:szCs w:val="18"/>
        </w:rPr>
        <w:tab/>
      </w:r>
      <w:r w:rsidRPr="00EE7026">
        <w:rPr>
          <w:color w:val="000000" w:themeColor="text1"/>
          <w:szCs w:val="18"/>
        </w:rPr>
        <w:t>Or through some other discovery mechanism.</w:t>
      </w:r>
    </w:p>
  </w:footnote>
  <w:footnote w:id="179">
    <w:p w14:paraId="44CDD74F" w14:textId="77777777" w:rsidR="00730709" w:rsidRPr="00EE7026" w:rsidRDefault="00730709" w:rsidP="00885B99">
      <w:pPr>
        <w:pStyle w:val="FootnoteText"/>
        <w:spacing w:after="120"/>
        <w:rPr>
          <w:color w:val="000000" w:themeColor="text1"/>
          <w:szCs w:val="18"/>
        </w:rPr>
      </w:pPr>
      <w:r w:rsidRPr="00EE7026">
        <w:rPr>
          <w:rStyle w:val="FootnoteReference"/>
          <w:color w:val="000000" w:themeColor="text1"/>
          <w:szCs w:val="18"/>
        </w:rPr>
        <w:footnoteRef/>
      </w:r>
      <w:r w:rsidRPr="00EE7026">
        <w:rPr>
          <w:color w:val="000000" w:themeColor="text1"/>
          <w:szCs w:val="18"/>
        </w:rPr>
        <w:t xml:space="preserve"> </w:t>
      </w:r>
      <w:r>
        <w:rPr>
          <w:color w:val="000000" w:themeColor="text1"/>
          <w:szCs w:val="18"/>
        </w:rPr>
        <w:tab/>
      </w:r>
      <w:r w:rsidRPr="00EE7026">
        <w:rPr>
          <w:color w:val="000000" w:themeColor="text1"/>
          <w:szCs w:val="18"/>
        </w:rPr>
        <w:t>See below on the case of Daviplata in Colombia who were affected by MNO STK pricing, rendering their already-launched G2P services unprofitable.</w:t>
      </w:r>
    </w:p>
  </w:footnote>
  <w:footnote w:id="180">
    <w:p w14:paraId="27C9D907" w14:textId="77777777" w:rsidR="00730709" w:rsidRPr="00EE7026" w:rsidRDefault="00730709" w:rsidP="00885B99">
      <w:pPr>
        <w:pStyle w:val="FootnoteText"/>
        <w:spacing w:after="120"/>
        <w:rPr>
          <w:color w:val="000000" w:themeColor="text1"/>
          <w:szCs w:val="18"/>
        </w:rPr>
      </w:pPr>
      <w:r w:rsidRPr="00EE7026">
        <w:rPr>
          <w:rStyle w:val="FootnoteReference"/>
          <w:color w:val="000000" w:themeColor="text1"/>
          <w:szCs w:val="18"/>
        </w:rPr>
        <w:footnoteRef/>
      </w:r>
      <w:r w:rsidRPr="00EE7026">
        <w:rPr>
          <w:color w:val="000000" w:themeColor="text1"/>
          <w:szCs w:val="18"/>
        </w:rPr>
        <w:t xml:space="preserve"> </w:t>
      </w:r>
      <w:r>
        <w:rPr>
          <w:color w:val="000000" w:themeColor="text1"/>
          <w:szCs w:val="18"/>
        </w:rPr>
        <w:tab/>
      </w:r>
      <w:r w:rsidRPr="00EE7026">
        <w:rPr>
          <w:color w:val="000000" w:themeColor="text1"/>
          <w:szCs w:val="18"/>
        </w:rPr>
        <w:t>See Section 12 on Thin SIMs</w:t>
      </w:r>
    </w:p>
  </w:footnote>
  <w:footnote w:id="181">
    <w:p w14:paraId="0597A788" w14:textId="3EDB93FE" w:rsidR="00730709" w:rsidRPr="00C64E16" w:rsidRDefault="00730709" w:rsidP="00885B99">
      <w:pPr>
        <w:pStyle w:val="FootnoteText"/>
        <w:spacing w:after="120"/>
        <w:rPr>
          <w:color w:val="000000" w:themeColor="text1"/>
          <w:sz w:val="19"/>
          <w:szCs w:val="19"/>
        </w:rPr>
      </w:pPr>
      <w:r w:rsidRPr="00EE7026">
        <w:rPr>
          <w:rStyle w:val="FootnoteReference"/>
          <w:color w:val="000000" w:themeColor="text1"/>
          <w:szCs w:val="18"/>
        </w:rPr>
        <w:footnoteRef/>
      </w:r>
      <w:r w:rsidRPr="00EE7026">
        <w:rPr>
          <w:color w:val="000000" w:themeColor="text1"/>
          <w:szCs w:val="18"/>
        </w:rPr>
        <w:t xml:space="preserve"> </w:t>
      </w:r>
      <w:r>
        <w:rPr>
          <w:color w:val="000000" w:themeColor="text1"/>
          <w:szCs w:val="18"/>
        </w:rPr>
        <w:tab/>
      </w:r>
      <w:r w:rsidRPr="00EE7026">
        <w:rPr>
          <w:color w:val="000000" w:themeColor="text1"/>
          <w:szCs w:val="18"/>
        </w:rPr>
        <w:t xml:space="preserve">See further Section 17 on Competition Aspects in DFS and technical solutions thereto. See also on USSD policy, TRAI (2016a) </w:t>
      </w:r>
      <w:r w:rsidRPr="00EE7026">
        <w:rPr>
          <w:i/>
          <w:color w:val="000000" w:themeColor="text1"/>
          <w:szCs w:val="18"/>
        </w:rPr>
        <w:t>ibid</w:t>
      </w:r>
      <w:r w:rsidRPr="002E69BB">
        <w:t>.</w:t>
      </w:r>
    </w:p>
  </w:footnote>
  <w:footnote w:id="182">
    <w:p w14:paraId="2602B28C" w14:textId="77777777" w:rsidR="00730709" w:rsidRPr="00035A23" w:rsidRDefault="00730709" w:rsidP="00885B99">
      <w:pPr>
        <w:pStyle w:val="FootnoteText"/>
      </w:pPr>
      <w:r>
        <w:rPr>
          <w:rStyle w:val="FootnoteReference"/>
        </w:rPr>
        <w:footnoteRef/>
      </w:r>
      <w:r>
        <w:t xml:space="preserve"> </w:t>
      </w:r>
      <w:r w:rsidRPr="00035A23">
        <w:tab/>
      </w:r>
      <w:r w:rsidRPr="00D33FE1">
        <w:rPr>
          <w:color w:val="000000" w:themeColor="text1"/>
          <w:szCs w:val="22"/>
        </w:rPr>
        <w:t xml:space="preserve">Consultores. M (2015) </w:t>
      </w:r>
      <w:r w:rsidRPr="00D33FE1">
        <w:rPr>
          <w:i/>
          <w:color w:val="000000" w:themeColor="text1"/>
          <w:szCs w:val="22"/>
        </w:rPr>
        <w:t>Going Mobile with Conditional Cash Transfers Insights and Lessons from the payment of Familias en Accion through DaviPlata wallets in Colombia</w:t>
      </w:r>
      <w:r w:rsidRPr="00D33FE1">
        <w:rPr>
          <w:color w:val="000000" w:themeColor="text1"/>
          <w:szCs w:val="22"/>
        </w:rPr>
        <w:t xml:space="preserve">, available at </w:t>
      </w:r>
      <w:hyperlink r:id="rId51" w:history="1">
        <w:r w:rsidRPr="00D33FE1">
          <w:rPr>
            <w:rStyle w:val="Hyperlink"/>
            <w:szCs w:val="22"/>
          </w:rPr>
          <w:t>https://goo.gl/fsvyfZ</w:t>
        </w:r>
      </w:hyperlink>
    </w:p>
  </w:footnote>
  <w:footnote w:id="183">
    <w:p w14:paraId="508869CB" w14:textId="77777777"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 xml:space="preserve">In the case of Equitel in Kenya, use of the shortcode </w:t>
      </w:r>
      <w:r w:rsidRPr="00D3155E">
        <w:rPr>
          <w:color w:val="000000" w:themeColor="text1"/>
          <w:szCs w:val="18"/>
          <w:shd w:val="clear" w:color="auto" w:fill="FFFFFF"/>
        </w:rPr>
        <w:t xml:space="preserve">*247# will divert the session to use the Airtel network. See Equitel (2016) </w:t>
      </w:r>
      <w:r w:rsidRPr="00D3155E">
        <w:rPr>
          <w:i/>
          <w:color w:val="000000" w:themeColor="text1"/>
          <w:szCs w:val="18"/>
          <w:shd w:val="clear" w:color="auto" w:fill="FFFFFF"/>
        </w:rPr>
        <w:t>Get Activated</w:t>
      </w:r>
      <w:r w:rsidRPr="00D3155E">
        <w:rPr>
          <w:color w:val="000000" w:themeColor="text1"/>
          <w:szCs w:val="18"/>
          <w:shd w:val="clear" w:color="auto" w:fill="FFFFFF"/>
        </w:rPr>
        <w:t xml:space="preserve">, available at </w:t>
      </w:r>
      <w:hyperlink r:id="rId52" w:history="1">
        <w:r w:rsidRPr="00076A9A">
          <w:rPr>
            <w:rStyle w:val="Hyperlink"/>
            <w:szCs w:val="18"/>
            <w:shd w:val="clear" w:color="auto" w:fill="FFFFFF"/>
          </w:rPr>
          <w:t>http://www.equitel.com/my-phone/get-activated</w:t>
        </w:r>
      </w:hyperlink>
      <w:r w:rsidRPr="00D3155E">
        <w:rPr>
          <w:color w:val="000000" w:themeColor="text1"/>
          <w:szCs w:val="18"/>
          <w:shd w:val="clear" w:color="auto" w:fill="FFFFFF"/>
        </w:rPr>
        <w:t>.</w:t>
      </w:r>
    </w:p>
  </w:footnote>
  <w:footnote w:id="184">
    <w:p w14:paraId="1C4F6EC9" w14:textId="77777777"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Technically these are referred to as </w:t>
      </w:r>
      <w:r>
        <w:rPr>
          <w:color w:val="000000" w:themeColor="text1"/>
          <w:szCs w:val="18"/>
        </w:rPr>
        <w:t>'</w:t>
      </w:r>
      <w:r w:rsidRPr="00D3155E">
        <w:rPr>
          <w:color w:val="000000" w:themeColor="text1"/>
          <w:szCs w:val="18"/>
        </w:rPr>
        <w:t>Common Short Codes,</w:t>
      </w:r>
      <w:r>
        <w:rPr>
          <w:color w:val="000000" w:themeColor="text1"/>
          <w:szCs w:val="18"/>
        </w:rPr>
        <w:t>'</w:t>
      </w:r>
      <w:r w:rsidRPr="00D3155E">
        <w:rPr>
          <w:color w:val="000000" w:themeColor="text1"/>
          <w:szCs w:val="18"/>
        </w:rPr>
        <w:t xml:space="preserve"> usually cross carrier short numbers used to address USSD, SMS and MMS messages from mobile phones or fixed lines.</w:t>
      </w:r>
    </w:p>
  </w:footnote>
  <w:footnote w:id="185">
    <w:p w14:paraId="2E59C6EC" w14:textId="77777777" w:rsidR="00730709" w:rsidRPr="00035A23" w:rsidRDefault="00730709" w:rsidP="00885B99">
      <w:pPr>
        <w:pStyle w:val="FootnoteText"/>
      </w:pPr>
      <w:r>
        <w:rPr>
          <w:rStyle w:val="FootnoteReference"/>
        </w:rPr>
        <w:footnoteRef/>
      </w:r>
      <w:r>
        <w:t xml:space="preserve"> </w:t>
      </w:r>
      <w:r w:rsidRPr="00035A23">
        <w:tab/>
      </w:r>
      <w:r w:rsidRPr="00D33FE1">
        <w:rPr>
          <w:color w:val="000000" w:themeColor="text1"/>
          <w:szCs w:val="22"/>
        </w:rPr>
        <w:t xml:space="preserve">Numbering plans may be part of the E.164 ITU Recommendation called the international public telecommunication numbering plan that defines a numbering plan for the world-wide public switched telephone network (PSTN) and some other data networks. E.164 defines a general format for international telephone numbers. Plan-conforming numbers are limited to a maximum of 15 digits, excluding the international call prefix. See ITU (2010) </w:t>
      </w:r>
      <w:r w:rsidRPr="00D33FE1">
        <w:rPr>
          <w:i/>
          <w:color w:val="000000" w:themeColor="text1"/>
          <w:szCs w:val="22"/>
        </w:rPr>
        <w:t>Recommendation E.164 (11/10),</w:t>
      </w:r>
      <w:r w:rsidRPr="00D33FE1">
        <w:rPr>
          <w:color w:val="000000" w:themeColor="text1"/>
          <w:szCs w:val="22"/>
        </w:rPr>
        <w:t xml:space="preserve"> available at </w:t>
      </w:r>
      <w:hyperlink r:id="rId53" w:history="1">
        <w:r w:rsidRPr="00D33FE1">
          <w:rPr>
            <w:rStyle w:val="Hyperlink"/>
            <w:szCs w:val="22"/>
          </w:rPr>
          <w:t>https://www.itu.int/rec/T-REC-E.164-201011-I/en</w:t>
        </w:r>
      </w:hyperlink>
    </w:p>
  </w:footnote>
  <w:footnote w:id="186">
    <w:p w14:paraId="45312486" w14:textId="77777777" w:rsidR="00730709" w:rsidRPr="00D3155E" w:rsidRDefault="00730709" w:rsidP="00885B99">
      <w:pPr>
        <w:pStyle w:val="FootnoteText"/>
        <w:spacing w:after="120"/>
        <w:rPr>
          <w:color w:val="000000" w:themeColor="text1"/>
          <w:sz w:val="19"/>
          <w:szCs w:val="19"/>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In many countries, numbering resources used in the provision of communications services are seen as a valuable scarce national resource, finite in size whose management and administration affects the national interest.</w:t>
      </w:r>
    </w:p>
  </w:footnote>
  <w:footnote w:id="187">
    <w:p w14:paraId="09530BE3" w14:textId="77777777" w:rsidR="00730709" w:rsidRPr="00035A23" w:rsidRDefault="00730709" w:rsidP="00885B99">
      <w:pPr>
        <w:pStyle w:val="FootnoteText"/>
      </w:pPr>
      <w:r>
        <w:rPr>
          <w:rStyle w:val="FootnoteReference"/>
        </w:rPr>
        <w:footnoteRef/>
      </w:r>
      <w:r>
        <w:t xml:space="preserve"> </w:t>
      </w:r>
      <w:r w:rsidRPr="00035A23">
        <w:tab/>
      </w:r>
      <w:r w:rsidRPr="00D33FE1">
        <w:rPr>
          <w:color w:val="000000" w:themeColor="text1"/>
          <w:szCs w:val="22"/>
        </w:rPr>
        <w:t>In India, the national DFS access prefix is *99# is run by the NPCI.</w:t>
      </w:r>
    </w:p>
  </w:footnote>
  <w:footnote w:id="188">
    <w:p w14:paraId="51FBC9D2" w14:textId="77777777" w:rsidR="00730709" w:rsidRPr="00035A23" w:rsidRDefault="00730709" w:rsidP="00885B99">
      <w:pPr>
        <w:pStyle w:val="FootnoteText"/>
      </w:pPr>
      <w:r>
        <w:rPr>
          <w:rStyle w:val="FootnoteReference"/>
        </w:rPr>
        <w:footnoteRef/>
      </w:r>
      <w:r>
        <w:t xml:space="preserve"> </w:t>
      </w:r>
      <w:r w:rsidRPr="00035A23">
        <w:tab/>
      </w:r>
      <w:r w:rsidRPr="006832DC">
        <w:rPr>
          <w:color w:val="000000" w:themeColor="text1"/>
          <w:szCs w:val="18"/>
        </w:rPr>
        <w:t>In tandem with the increased popularity of short code services, there is also a growing demand for service interoperability and common codes between networks. Though many of these SMS short codes are network specific and therefore are not based on the international ITU-T E.164 standard, end-users of any network can use the same code to access the same services, if the service is accessible in their respective networks.</w:t>
      </w:r>
    </w:p>
  </w:footnote>
  <w:footnote w:id="189">
    <w:p w14:paraId="437A6CA2" w14:textId="65A08652" w:rsidR="00730709" w:rsidRPr="00035A23" w:rsidRDefault="00730709" w:rsidP="00885B99">
      <w:pPr>
        <w:pStyle w:val="FootnoteText"/>
      </w:pPr>
      <w:r>
        <w:rPr>
          <w:rStyle w:val="FootnoteReference"/>
        </w:rPr>
        <w:footnoteRef/>
      </w:r>
      <w:r>
        <w:t xml:space="preserve"> </w:t>
      </w:r>
      <w:r w:rsidRPr="00035A23">
        <w:tab/>
      </w:r>
      <w:r w:rsidRPr="006832DC">
        <w:rPr>
          <w:color w:val="000000" w:themeColor="text1"/>
          <w:szCs w:val="18"/>
        </w:rPr>
        <w:t xml:space="preserve">In some cases, SPs may obtain secondary assignments from </w:t>
      </w:r>
      <w:r>
        <w:rPr>
          <w:color w:val="000000" w:themeColor="text1"/>
          <w:szCs w:val="18"/>
        </w:rPr>
        <w:t>'</w:t>
      </w:r>
      <w:r w:rsidRPr="006832DC">
        <w:rPr>
          <w:color w:val="000000" w:themeColor="text1"/>
          <w:szCs w:val="18"/>
        </w:rPr>
        <w:t>Network Facility Providers</w:t>
      </w:r>
      <w:r>
        <w:rPr>
          <w:color w:val="000000" w:themeColor="text1"/>
          <w:szCs w:val="18"/>
        </w:rPr>
        <w:t>'</w:t>
      </w:r>
      <w:r w:rsidRPr="006832DC">
        <w:rPr>
          <w:color w:val="000000" w:themeColor="text1"/>
          <w:szCs w:val="18"/>
        </w:rPr>
        <w:t xml:space="preserve"> and </w:t>
      </w:r>
      <w:r>
        <w:rPr>
          <w:color w:val="000000" w:themeColor="text1"/>
          <w:szCs w:val="18"/>
        </w:rPr>
        <w:t>'</w:t>
      </w:r>
      <w:r w:rsidRPr="006832DC">
        <w:rPr>
          <w:color w:val="000000" w:themeColor="text1"/>
          <w:szCs w:val="18"/>
        </w:rPr>
        <w:t>Application Service Providers</w:t>
      </w:r>
      <w:r>
        <w:rPr>
          <w:color w:val="000000" w:themeColor="text1"/>
          <w:szCs w:val="18"/>
        </w:rPr>
        <w:t>'</w:t>
      </w:r>
      <w:r w:rsidRPr="006832DC">
        <w:rPr>
          <w:color w:val="000000" w:themeColor="text1"/>
          <w:szCs w:val="18"/>
        </w:rPr>
        <w:t xml:space="preserve"> with primary assignments from a regulator for provision of short codes and even premium rate numbers. See CA (2012) </w:t>
      </w:r>
      <w:r w:rsidRPr="006832DC">
        <w:rPr>
          <w:i/>
          <w:color w:val="000000" w:themeColor="text1"/>
          <w:szCs w:val="18"/>
        </w:rPr>
        <w:t>ibid</w:t>
      </w:r>
      <w:r w:rsidRPr="002E69BB">
        <w:t>.</w:t>
      </w:r>
    </w:p>
  </w:footnote>
  <w:footnote w:id="190">
    <w:p w14:paraId="4AA6598B" w14:textId="77777777" w:rsidR="00730709" w:rsidRPr="00C64E16" w:rsidRDefault="00730709" w:rsidP="00885B99">
      <w:pPr>
        <w:pStyle w:val="FootnoteText"/>
        <w:spacing w:after="120"/>
        <w:rPr>
          <w:color w:val="000000" w:themeColor="text1"/>
          <w:sz w:val="19"/>
          <w:szCs w:val="19"/>
        </w:rPr>
      </w:pPr>
      <w:r w:rsidRPr="006832DC">
        <w:rPr>
          <w:rStyle w:val="FootnoteReference"/>
          <w:color w:val="000000" w:themeColor="text1"/>
          <w:szCs w:val="18"/>
        </w:rPr>
        <w:footnoteRef/>
      </w:r>
      <w:r w:rsidRPr="006832DC">
        <w:rPr>
          <w:color w:val="000000" w:themeColor="text1"/>
          <w:szCs w:val="18"/>
        </w:rPr>
        <w:t xml:space="preserve"> </w:t>
      </w:r>
      <w:r>
        <w:rPr>
          <w:color w:val="000000" w:themeColor="text1"/>
          <w:szCs w:val="18"/>
        </w:rPr>
        <w:tab/>
      </w:r>
      <w:r w:rsidRPr="006832DC">
        <w:rPr>
          <w:color w:val="000000" w:themeColor="text1"/>
          <w:szCs w:val="18"/>
        </w:rPr>
        <w:t>See the case of Ezee Money in Uganda, below.</w:t>
      </w:r>
    </w:p>
  </w:footnote>
  <w:footnote w:id="191">
    <w:p w14:paraId="6AC60967" w14:textId="77777777" w:rsidR="00730709" w:rsidRPr="006832DC" w:rsidRDefault="00730709" w:rsidP="00885B99">
      <w:pPr>
        <w:pStyle w:val="FootnoteText"/>
        <w:spacing w:after="120"/>
        <w:rPr>
          <w:color w:val="000000" w:themeColor="text1"/>
          <w:szCs w:val="18"/>
        </w:rPr>
      </w:pPr>
      <w:r w:rsidRPr="006832DC">
        <w:rPr>
          <w:rStyle w:val="FootnoteReference"/>
          <w:color w:val="000000" w:themeColor="text1"/>
          <w:szCs w:val="18"/>
        </w:rPr>
        <w:footnoteRef/>
      </w:r>
      <w:r w:rsidRPr="006832DC">
        <w:rPr>
          <w:color w:val="000000" w:themeColor="text1"/>
          <w:szCs w:val="18"/>
        </w:rPr>
        <w:t xml:space="preserve"> </w:t>
      </w:r>
      <w:r>
        <w:rPr>
          <w:color w:val="000000" w:themeColor="text1"/>
          <w:szCs w:val="18"/>
        </w:rPr>
        <w:tab/>
      </w:r>
      <w:r w:rsidRPr="006832DC">
        <w:rPr>
          <w:color w:val="000000" w:themeColor="text1"/>
          <w:szCs w:val="18"/>
        </w:rPr>
        <w:t xml:space="preserve">See CA (2012) </w:t>
      </w:r>
      <w:r w:rsidRPr="006832DC">
        <w:rPr>
          <w:i/>
          <w:color w:val="000000" w:themeColor="text1"/>
          <w:szCs w:val="18"/>
        </w:rPr>
        <w:t>Procedures And Guidelines For The Management Of Telecommunications Short Codes And Premium Rate Numbers In Kenya,</w:t>
      </w:r>
      <w:r w:rsidRPr="006832DC">
        <w:rPr>
          <w:color w:val="000000" w:themeColor="text1"/>
          <w:szCs w:val="18"/>
        </w:rPr>
        <w:t xml:space="preserve"> available at </w:t>
      </w:r>
      <w:hyperlink r:id="rId54" w:history="1">
        <w:r w:rsidRPr="00CB6379">
          <w:rPr>
            <w:rStyle w:val="Hyperlink"/>
            <w:szCs w:val="18"/>
          </w:rPr>
          <w:t>http://bit.ly/2jlOjpe</w:t>
        </w:r>
      </w:hyperlink>
    </w:p>
  </w:footnote>
  <w:footnote w:id="192">
    <w:p w14:paraId="4A63A170" w14:textId="6F400EF0" w:rsidR="00730709" w:rsidRPr="006832DC" w:rsidRDefault="00730709" w:rsidP="00885B99">
      <w:pPr>
        <w:pStyle w:val="FootnoteText"/>
        <w:spacing w:after="120"/>
        <w:rPr>
          <w:color w:val="000000" w:themeColor="text1"/>
          <w:szCs w:val="18"/>
        </w:rPr>
      </w:pPr>
      <w:r w:rsidRPr="006832DC">
        <w:rPr>
          <w:rStyle w:val="FootnoteReference"/>
          <w:color w:val="000000" w:themeColor="text1"/>
          <w:szCs w:val="18"/>
        </w:rPr>
        <w:footnoteRef/>
      </w:r>
      <w:r w:rsidRPr="006832DC">
        <w:rPr>
          <w:color w:val="000000" w:themeColor="text1"/>
          <w:szCs w:val="18"/>
        </w:rPr>
        <w:t xml:space="preserve"> </w:t>
      </w:r>
      <w:r>
        <w:rPr>
          <w:color w:val="000000" w:themeColor="text1"/>
          <w:szCs w:val="18"/>
        </w:rPr>
        <w:tab/>
      </w:r>
      <w:r w:rsidRPr="006832DC">
        <w:rPr>
          <w:color w:val="000000" w:themeColor="text1"/>
          <w:szCs w:val="18"/>
        </w:rPr>
        <w:t xml:space="preserve">Mazer &amp; Rowan (2016) </w:t>
      </w:r>
      <w:r w:rsidRPr="006832DC">
        <w:rPr>
          <w:i/>
          <w:color w:val="000000" w:themeColor="text1"/>
          <w:szCs w:val="18"/>
        </w:rPr>
        <w:t>ibid</w:t>
      </w:r>
      <w:r w:rsidRPr="002E69BB">
        <w:t>.</w:t>
      </w:r>
    </w:p>
  </w:footnote>
  <w:footnote w:id="193">
    <w:p w14:paraId="6B352A9D" w14:textId="4F956344" w:rsidR="00730709" w:rsidRPr="006832DC" w:rsidRDefault="00730709" w:rsidP="00885B99">
      <w:pPr>
        <w:pStyle w:val="FootnoteText"/>
        <w:spacing w:after="120"/>
        <w:rPr>
          <w:color w:val="000000" w:themeColor="text1"/>
          <w:szCs w:val="18"/>
        </w:rPr>
      </w:pPr>
      <w:r w:rsidRPr="006832DC">
        <w:rPr>
          <w:rStyle w:val="FootnoteReference"/>
          <w:color w:val="000000" w:themeColor="text1"/>
          <w:szCs w:val="18"/>
        </w:rPr>
        <w:footnoteRef/>
      </w:r>
      <w:r w:rsidRPr="006832DC">
        <w:rPr>
          <w:color w:val="000000" w:themeColor="text1"/>
          <w:szCs w:val="18"/>
        </w:rPr>
        <w:t xml:space="preserve"> </w:t>
      </w:r>
      <w:r>
        <w:rPr>
          <w:color w:val="000000" w:themeColor="text1"/>
          <w:szCs w:val="18"/>
        </w:rPr>
        <w:tab/>
      </w:r>
      <w:r w:rsidRPr="006832DC">
        <w:rPr>
          <w:i/>
          <w:color w:val="000000" w:themeColor="text1"/>
          <w:szCs w:val="18"/>
        </w:rPr>
        <w:t>ibid</w:t>
      </w:r>
      <w:r w:rsidRPr="002E69BB">
        <w:t>.</w:t>
      </w:r>
    </w:p>
  </w:footnote>
  <w:footnote w:id="194">
    <w:p w14:paraId="71B0BC92" w14:textId="77777777" w:rsidR="00730709" w:rsidRPr="006832DC" w:rsidRDefault="00730709" w:rsidP="00885B99">
      <w:pPr>
        <w:pStyle w:val="FootnoteText"/>
        <w:spacing w:after="120"/>
        <w:rPr>
          <w:color w:val="000000" w:themeColor="text1"/>
          <w:szCs w:val="18"/>
        </w:rPr>
      </w:pPr>
      <w:r w:rsidRPr="006832DC">
        <w:rPr>
          <w:rStyle w:val="FootnoteReference"/>
          <w:color w:val="000000" w:themeColor="text1"/>
          <w:szCs w:val="18"/>
        </w:rPr>
        <w:footnoteRef/>
      </w:r>
      <w:r w:rsidRPr="006832DC">
        <w:rPr>
          <w:color w:val="000000" w:themeColor="text1"/>
          <w:szCs w:val="18"/>
        </w:rPr>
        <w:t xml:space="preserve"> </w:t>
      </w:r>
      <w:r>
        <w:rPr>
          <w:color w:val="000000" w:themeColor="text1"/>
          <w:szCs w:val="18"/>
        </w:rPr>
        <w:tab/>
      </w:r>
      <w:r w:rsidRPr="006832DC">
        <w:rPr>
          <w:color w:val="000000" w:themeColor="text1"/>
          <w:szCs w:val="18"/>
          <w:shd w:val="clear" w:color="auto" w:fill="FFFFFF"/>
        </w:rPr>
        <w:t xml:space="preserve">Uganda has no competition law. </w:t>
      </w:r>
      <w:r w:rsidRPr="006832DC">
        <w:rPr>
          <w:color w:val="000000" w:themeColor="text1"/>
          <w:szCs w:val="18"/>
        </w:rPr>
        <w:t xml:space="preserve">New Vision (2015) </w:t>
      </w:r>
      <w:r w:rsidRPr="006832DC">
        <w:rPr>
          <w:i/>
          <w:color w:val="000000" w:themeColor="text1"/>
          <w:szCs w:val="18"/>
        </w:rPr>
        <w:t>MTN Ordered To Pay Ezeemoney Sh2.3b Over Sabotage</w:t>
      </w:r>
      <w:r w:rsidRPr="006832DC">
        <w:rPr>
          <w:color w:val="000000" w:themeColor="text1"/>
          <w:szCs w:val="18"/>
        </w:rPr>
        <w:t xml:space="preserve">, available at </w:t>
      </w:r>
      <w:hyperlink r:id="rId55" w:history="1">
        <w:r w:rsidRPr="00CB6379">
          <w:rPr>
            <w:rStyle w:val="Hyperlink"/>
            <w:szCs w:val="18"/>
          </w:rPr>
          <w:t>https://goo.gl/glTbes</w:t>
        </w:r>
      </w:hyperlink>
    </w:p>
  </w:footnote>
  <w:footnote w:id="195">
    <w:p w14:paraId="243F30D7" w14:textId="5435BD6C" w:rsidR="00730709" w:rsidRPr="006832DC" w:rsidRDefault="00730709" w:rsidP="00885B99">
      <w:pPr>
        <w:pStyle w:val="FootnoteText"/>
        <w:spacing w:after="120"/>
        <w:rPr>
          <w:color w:val="000000" w:themeColor="text1"/>
          <w:szCs w:val="18"/>
        </w:rPr>
      </w:pPr>
      <w:r w:rsidRPr="006832DC">
        <w:rPr>
          <w:rStyle w:val="FootnoteReference"/>
          <w:color w:val="000000" w:themeColor="text1"/>
          <w:szCs w:val="18"/>
        </w:rPr>
        <w:footnoteRef/>
      </w:r>
      <w:r w:rsidRPr="006832DC">
        <w:rPr>
          <w:color w:val="000000" w:themeColor="text1"/>
          <w:szCs w:val="18"/>
        </w:rPr>
        <w:t xml:space="preserve"> </w:t>
      </w:r>
      <w:r>
        <w:rPr>
          <w:color w:val="000000" w:themeColor="text1"/>
          <w:szCs w:val="18"/>
        </w:rPr>
        <w:tab/>
      </w:r>
      <w:r w:rsidRPr="006832DC">
        <w:rPr>
          <w:color w:val="000000" w:themeColor="text1"/>
          <w:szCs w:val="18"/>
        </w:rPr>
        <w:t xml:space="preserve">UCC (2016) </w:t>
      </w:r>
      <w:r w:rsidRPr="006832DC">
        <w:rPr>
          <w:i/>
          <w:color w:val="000000" w:themeColor="text1"/>
          <w:szCs w:val="18"/>
        </w:rPr>
        <w:t>ibid</w:t>
      </w:r>
      <w:r w:rsidRPr="002E69BB">
        <w:t>.</w:t>
      </w:r>
    </w:p>
  </w:footnote>
  <w:footnote w:id="196">
    <w:p w14:paraId="27416F10" w14:textId="3FC4F259" w:rsidR="00730709" w:rsidRPr="00035A23" w:rsidRDefault="00730709" w:rsidP="00885B99">
      <w:pPr>
        <w:pStyle w:val="FootnoteText"/>
      </w:pPr>
      <w:r>
        <w:rPr>
          <w:rStyle w:val="FootnoteReference"/>
        </w:rPr>
        <w:footnoteRef/>
      </w:r>
      <w:r>
        <w:t xml:space="preserve"> </w:t>
      </w:r>
      <w:r w:rsidRPr="00035A23">
        <w:tab/>
      </w:r>
      <w:r w:rsidRPr="005F59E9">
        <w:rPr>
          <w:color w:val="000000" w:themeColor="text1"/>
          <w:szCs w:val="22"/>
        </w:rPr>
        <w:t xml:space="preserve">And as noted further by CGAP, even if a discrepancy in the quality of USSD is proven, it is not straightforward to identify the cause of the inferior quality. The point of failure could, for example, be with the DFS provider, the USSD gateway operator, or the MNO. See CGAP (2014) </w:t>
      </w:r>
      <w:r w:rsidRPr="005F59E9">
        <w:rPr>
          <w:i/>
          <w:color w:val="000000" w:themeColor="text1"/>
          <w:szCs w:val="22"/>
        </w:rPr>
        <w:t>ibid</w:t>
      </w:r>
      <w:r w:rsidRPr="002E69BB">
        <w:t>.</w:t>
      </w:r>
    </w:p>
  </w:footnote>
  <w:footnote w:id="197">
    <w:p w14:paraId="144E932E" w14:textId="77777777" w:rsidR="00730709" w:rsidRPr="00035A23" w:rsidRDefault="00730709" w:rsidP="00885B99">
      <w:pPr>
        <w:pStyle w:val="FootnoteText"/>
      </w:pPr>
      <w:r>
        <w:rPr>
          <w:rStyle w:val="FootnoteReference"/>
        </w:rPr>
        <w:footnoteRef/>
      </w:r>
      <w:r>
        <w:t xml:space="preserve"> </w:t>
      </w:r>
      <w:r w:rsidRPr="00035A23">
        <w:tab/>
      </w:r>
      <w:r w:rsidRPr="005F59E9">
        <w:rPr>
          <w:color w:val="000000" w:themeColor="text1"/>
          <w:szCs w:val="22"/>
        </w:rPr>
        <w:t xml:space="preserve">See ITU FG DFS (2016) </w:t>
      </w:r>
      <w:r w:rsidRPr="005F59E9">
        <w:rPr>
          <w:i/>
          <w:color w:val="000000" w:themeColor="text1"/>
          <w:szCs w:val="22"/>
        </w:rPr>
        <w:t>QOS and QoE Aspects of Digital Financial Services</w:t>
      </w:r>
      <w:r w:rsidRPr="005F59E9">
        <w:rPr>
          <w:color w:val="000000" w:themeColor="text1"/>
          <w:szCs w:val="22"/>
        </w:rPr>
        <w:t xml:space="preserve">, available at See </w:t>
      </w:r>
      <w:hyperlink r:id="rId56" w:history="1">
        <w:r w:rsidRPr="005F59E9">
          <w:rPr>
            <w:rStyle w:val="Hyperlink"/>
            <w:szCs w:val="22"/>
          </w:rPr>
          <w:t>http://www.itu.int/en/ITU-T/focusgroups/dfs/Pages/default.aspx</w:t>
        </w:r>
      </w:hyperlink>
      <w:r w:rsidRPr="005F59E9">
        <w:rPr>
          <w:color w:val="000000" w:themeColor="text1"/>
          <w:szCs w:val="22"/>
        </w:rPr>
        <w:t xml:space="preserve"> . The report considers the appropriate role for telecommunication regulators in ensuring the provision of high-quality DFS and offers recommendations for telecommunication regulators on how to select Key Performance Indicators (KPIs) for DFS, including technical KPIs for bearer channels used with basic phones, feature phones and smartphones.</w:t>
      </w:r>
    </w:p>
  </w:footnote>
  <w:footnote w:id="198">
    <w:p w14:paraId="25710170" w14:textId="1CA01CC7"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 xml:space="preserve">Cartesian (2015) </w:t>
      </w:r>
      <w:r w:rsidRPr="00D3155E">
        <w:rPr>
          <w:i/>
          <w:color w:val="000000" w:themeColor="text1"/>
          <w:szCs w:val="18"/>
        </w:rPr>
        <w:t xml:space="preserve">ibid; </w:t>
      </w:r>
      <w:r w:rsidRPr="00D3155E">
        <w:rPr>
          <w:color w:val="000000" w:themeColor="text1"/>
          <w:szCs w:val="18"/>
        </w:rPr>
        <w:t xml:space="preserve">UCC (2016) </w:t>
      </w:r>
      <w:r w:rsidRPr="00D3155E">
        <w:rPr>
          <w:i/>
          <w:color w:val="000000" w:themeColor="text1"/>
          <w:szCs w:val="18"/>
        </w:rPr>
        <w:t>ibid</w:t>
      </w:r>
      <w:r w:rsidRPr="002E69BB">
        <w:t>.</w:t>
      </w:r>
    </w:p>
  </w:footnote>
  <w:footnote w:id="199">
    <w:p w14:paraId="7B50E23A" w14:textId="77777777" w:rsidR="00730709" w:rsidRPr="00035A23" w:rsidRDefault="00730709" w:rsidP="00885B99">
      <w:pPr>
        <w:pStyle w:val="FootnoteText"/>
      </w:pPr>
      <w:r>
        <w:rPr>
          <w:rStyle w:val="FootnoteReference"/>
        </w:rPr>
        <w:footnoteRef/>
      </w:r>
      <w:r>
        <w:t xml:space="preserve"> </w:t>
      </w:r>
      <w:r w:rsidRPr="00035A23">
        <w:tab/>
      </w:r>
      <w:r w:rsidRPr="005F59E9">
        <w:rPr>
          <w:color w:val="000000" w:themeColor="text1"/>
          <w:szCs w:val="22"/>
          <w:shd w:val="clear" w:color="auto" w:fill="FFFFFF"/>
        </w:rPr>
        <w:t>Note that while the ITU DFS FG WG on Interoperability has produced comprehensive overviews of issues, some of this work is summarized below to give this study completeness.</w:t>
      </w:r>
    </w:p>
  </w:footnote>
  <w:footnote w:id="200">
    <w:p w14:paraId="6903C247" w14:textId="77777777"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See Banco de Mexico (2017)</w:t>
      </w:r>
      <w:r w:rsidRPr="00D3155E">
        <w:rPr>
          <w:i/>
          <w:color w:val="000000" w:themeColor="text1"/>
          <w:szCs w:val="18"/>
        </w:rPr>
        <w:t xml:space="preserve"> Interbanking Electronic Payment System</w:t>
      </w:r>
      <w:r w:rsidRPr="00D3155E">
        <w:rPr>
          <w:color w:val="000000" w:themeColor="text1"/>
          <w:szCs w:val="18"/>
        </w:rPr>
        <w:t xml:space="preserve">, available at </w:t>
      </w:r>
      <w:hyperlink r:id="rId57" w:history="1">
        <w:r w:rsidRPr="00076A9A">
          <w:rPr>
            <w:rStyle w:val="Hyperlink"/>
            <w:szCs w:val="18"/>
          </w:rPr>
          <w:t>https://goo.gl/l8cD4o</w:t>
        </w:r>
      </w:hyperlink>
    </w:p>
  </w:footnote>
  <w:footnote w:id="201">
    <w:p w14:paraId="50411DB2" w14:textId="77777777"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shd w:val="clear" w:color="auto" w:fill="FFFFFF"/>
        </w:rPr>
        <w:t xml:space="preserve">ITU </w:t>
      </w:r>
      <w:r>
        <w:rPr>
          <w:color w:val="000000" w:themeColor="text1"/>
          <w:szCs w:val="18"/>
          <w:shd w:val="clear" w:color="auto" w:fill="FFFFFF"/>
        </w:rPr>
        <w:t xml:space="preserve">Technical Report </w:t>
      </w:r>
      <w:r w:rsidRPr="00D3155E">
        <w:rPr>
          <w:color w:val="000000" w:themeColor="text1"/>
          <w:szCs w:val="18"/>
          <w:shd w:val="clear" w:color="auto" w:fill="FFFFFF"/>
        </w:rPr>
        <w:t>(201</w:t>
      </w:r>
      <w:r>
        <w:rPr>
          <w:color w:val="000000" w:themeColor="text1"/>
          <w:szCs w:val="18"/>
          <w:shd w:val="clear" w:color="auto" w:fill="FFFFFF"/>
        </w:rPr>
        <w:t>8</w:t>
      </w:r>
      <w:r w:rsidRPr="00D3155E">
        <w:rPr>
          <w:color w:val="000000" w:themeColor="text1"/>
          <w:szCs w:val="18"/>
          <w:shd w:val="clear" w:color="auto" w:fill="FFFFFF"/>
        </w:rPr>
        <w:t xml:space="preserve">) </w:t>
      </w:r>
      <w:r w:rsidRPr="00D3155E">
        <w:rPr>
          <w:i/>
          <w:color w:val="000000" w:themeColor="text1"/>
          <w:szCs w:val="18"/>
          <w:shd w:val="clear" w:color="auto" w:fill="FFFFFF"/>
        </w:rPr>
        <w:t>Glossary</w:t>
      </w:r>
      <w:r w:rsidRPr="00D3155E">
        <w:rPr>
          <w:color w:val="000000" w:themeColor="text1"/>
          <w:szCs w:val="18"/>
          <w:shd w:val="clear" w:color="auto" w:fill="FFFFFF"/>
        </w:rPr>
        <w:t xml:space="preserve">, available at </w:t>
      </w:r>
      <w:hyperlink r:id="rId58" w:history="1">
        <w:r w:rsidRPr="005E1EF3">
          <w:rPr>
            <w:rStyle w:val="Hyperlink"/>
            <w:szCs w:val="18"/>
            <w:shd w:val="clear" w:color="auto" w:fill="FFFFFF"/>
          </w:rPr>
          <w:t>http://handle.itu.int/11.1002/pub/81129ee5-en</w:t>
        </w:r>
      </w:hyperlink>
    </w:p>
  </w:footnote>
  <w:footnote w:id="202">
    <w:p w14:paraId="6D1D11D3" w14:textId="77777777"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 xml:space="preserve">ITU DFS FG (2016) </w:t>
      </w:r>
      <w:r w:rsidRPr="00D3155E">
        <w:rPr>
          <w:i/>
          <w:color w:val="000000" w:themeColor="text1"/>
          <w:szCs w:val="18"/>
        </w:rPr>
        <w:t>Interoperability</w:t>
      </w:r>
      <w:r w:rsidRPr="00D3155E">
        <w:rPr>
          <w:color w:val="000000" w:themeColor="text1"/>
          <w:szCs w:val="18"/>
        </w:rPr>
        <w:t xml:space="preserve">, available at </w:t>
      </w:r>
      <w:hyperlink r:id="rId59" w:history="1">
        <w:r w:rsidRPr="00076A9A">
          <w:rPr>
            <w:rStyle w:val="Hyperlink"/>
            <w:szCs w:val="18"/>
          </w:rPr>
          <w:t>https://goo.gl/oVmDhe</w:t>
        </w:r>
      </w:hyperlink>
    </w:p>
  </w:footnote>
  <w:footnote w:id="203">
    <w:p w14:paraId="0F41B588" w14:textId="77777777"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The Tiers relate to the size and capital reserves of banks. Tier 1 banks generally are at the core of an NPS.</w:t>
      </w:r>
    </w:p>
  </w:footnote>
  <w:footnote w:id="204">
    <w:p w14:paraId="66DDC8D8" w14:textId="2F5A154F"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 xml:space="preserve">See CGAP (2014) </w:t>
      </w:r>
      <w:r w:rsidRPr="00D3155E">
        <w:rPr>
          <w:bCs/>
          <w:i/>
          <w:color w:val="000000" w:themeColor="text1"/>
          <w:szCs w:val="18"/>
        </w:rPr>
        <w:t>ibid</w:t>
      </w:r>
      <w:r w:rsidRPr="00D3155E">
        <w:rPr>
          <w:color w:val="000000" w:themeColor="text1"/>
          <w:szCs w:val="18"/>
        </w:rPr>
        <w:t xml:space="preserve"> See CGAP (2014) </w:t>
      </w:r>
      <w:r w:rsidRPr="00D3155E">
        <w:rPr>
          <w:bCs/>
          <w:i/>
          <w:color w:val="000000" w:themeColor="text1"/>
          <w:szCs w:val="18"/>
        </w:rPr>
        <w:t>ibid</w:t>
      </w:r>
      <w:r w:rsidRPr="002E69BB">
        <w:t>.</w:t>
      </w:r>
    </w:p>
  </w:footnote>
  <w:footnote w:id="205">
    <w:p w14:paraId="656EE746" w14:textId="77777777"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See India and Nigeria below.</w:t>
      </w:r>
    </w:p>
  </w:footnote>
  <w:footnote w:id="206">
    <w:p w14:paraId="6AAB5C57" w14:textId="77777777" w:rsidR="00730709" w:rsidRPr="00D3155E" w:rsidRDefault="00730709" w:rsidP="00885B99">
      <w:pPr>
        <w:spacing w:before="0" w:after="120"/>
        <w:rPr>
          <w:color w:val="000000" w:themeColor="text1"/>
          <w:sz w:val="18"/>
          <w:szCs w:val="18"/>
        </w:rPr>
      </w:pPr>
      <w:r w:rsidRPr="00D3155E">
        <w:rPr>
          <w:rStyle w:val="FootnoteReference"/>
          <w:color w:val="000000" w:themeColor="text1"/>
          <w:szCs w:val="18"/>
        </w:rPr>
        <w:footnoteRef/>
      </w:r>
      <w:r w:rsidRPr="00D3155E">
        <w:rPr>
          <w:color w:val="000000" w:themeColor="text1"/>
          <w:sz w:val="18"/>
          <w:szCs w:val="18"/>
        </w:rPr>
        <w:t xml:space="preserve"> For example SPEI in Mexico and 1Link in Pakistan</w:t>
      </w:r>
    </w:p>
  </w:footnote>
  <w:footnote w:id="207">
    <w:p w14:paraId="4B0275BC" w14:textId="77777777"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See in particular below, the case in India with NPCI.</w:t>
      </w:r>
    </w:p>
  </w:footnote>
  <w:footnote w:id="208">
    <w:p w14:paraId="386B7800" w14:textId="5305D708"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 xml:space="preserve">ITU DFS FG (2016c) </w:t>
      </w:r>
      <w:r w:rsidRPr="00D3155E">
        <w:rPr>
          <w:i/>
          <w:color w:val="000000" w:themeColor="text1"/>
          <w:szCs w:val="18"/>
        </w:rPr>
        <w:t>ibid</w:t>
      </w:r>
      <w:r w:rsidRPr="002E69BB">
        <w:t>.</w:t>
      </w:r>
    </w:p>
  </w:footnote>
  <w:footnote w:id="209">
    <w:p w14:paraId="0DE77584" w14:textId="77777777"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 xml:space="preserve">All data in this section provided to the TIC WG by Consumer Unity &amp; Trust Society (CUTS) India. See CUTS (2016c) </w:t>
      </w:r>
      <w:r w:rsidRPr="00D3155E">
        <w:rPr>
          <w:i/>
          <w:color w:val="000000" w:themeColor="text1"/>
          <w:szCs w:val="18"/>
        </w:rPr>
        <w:t>Competition And Regulatory Concerns In Payment Systems Ecosystem In India: Brief Note Based On Initial Literature Review</w:t>
      </w:r>
      <w:r w:rsidRPr="00D3155E">
        <w:rPr>
          <w:color w:val="000000" w:themeColor="text1"/>
          <w:szCs w:val="18"/>
        </w:rPr>
        <w:t xml:space="preserve">, available at </w:t>
      </w:r>
      <w:hyperlink r:id="rId60" w:history="1">
        <w:r w:rsidRPr="00076A9A">
          <w:rPr>
            <w:rStyle w:val="Hyperlink"/>
            <w:szCs w:val="18"/>
          </w:rPr>
          <w:t>https://goo.gl/cb090G</w:t>
        </w:r>
      </w:hyperlink>
    </w:p>
  </w:footnote>
  <w:footnote w:id="210">
    <w:p w14:paraId="0393F072" w14:textId="77777777"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Gandhi,</w:t>
      </w:r>
      <w:r>
        <w:rPr>
          <w:color w:val="000000" w:themeColor="text1"/>
          <w:szCs w:val="18"/>
        </w:rPr>
        <w:t> </w:t>
      </w:r>
      <w:r w:rsidRPr="00D3155E">
        <w:rPr>
          <w:color w:val="000000" w:themeColor="text1"/>
          <w:szCs w:val="18"/>
        </w:rPr>
        <w:t xml:space="preserve">R (2016) </w:t>
      </w:r>
      <w:r w:rsidRPr="00D3155E">
        <w:rPr>
          <w:i/>
          <w:iCs/>
          <w:color w:val="000000" w:themeColor="text1"/>
          <w:szCs w:val="18"/>
        </w:rPr>
        <w:t>Evolution of payment systems in India – or is it a revolution?</w:t>
      </w:r>
      <w:r w:rsidRPr="00D3155E">
        <w:rPr>
          <w:color w:val="000000" w:themeColor="text1"/>
          <w:szCs w:val="18"/>
        </w:rPr>
        <w:t xml:space="preserve">, available at </w:t>
      </w:r>
      <w:hyperlink r:id="rId61" w:history="1">
        <w:r w:rsidRPr="00CB6379">
          <w:rPr>
            <w:rStyle w:val="Hyperlink"/>
            <w:szCs w:val="18"/>
          </w:rPr>
          <w:t>http://www.bis.org/review/r161025f.htm</w:t>
        </w:r>
      </w:hyperlink>
    </w:p>
  </w:footnote>
  <w:footnote w:id="211">
    <w:p w14:paraId="5D7BEE53" w14:textId="77777777" w:rsidR="00730709" w:rsidRPr="00035A23" w:rsidRDefault="00730709" w:rsidP="00885B99">
      <w:pPr>
        <w:pStyle w:val="FootnoteText"/>
      </w:pPr>
      <w:r>
        <w:rPr>
          <w:rStyle w:val="FootnoteReference"/>
        </w:rPr>
        <w:footnoteRef/>
      </w:r>
      <w:r>
        <w:t xml:space="preserve"> </w:t>
      </w:r>
      <w:r w:rsidRPr="00035A23">
        <w:tab/>
      </w:r>
      <w:r w:rsidRPr="00D46211">
        <w:rPr>
          <w:color w:val="000000" w:themeColor="text1"/>
          <w:szCs w:val="22"/>
        </w:rPr>
        <w:t xml:space="preserve">Ministry Of Finance (India) (2016) </w:t>
      </w:r>
      <w:r w:rsidRPr="00D46211">
        <w:rPr>
          <w:i/>
          <w:color w:val="000000" w:themeColor="text1"/>
          <w:szCs w:val="22"/>
        </w:rPr>
        <w:t>Committee on Digital Payments: Medium Term Recommendations to Strengthen Digital Payments Ecosystem</w:t>
      </w:r>
      <w:r w:rsidRPr="00D46211">
        <w:rPr>
          <w:color w:val="000000" w:themeColor="text1"/>
          <w:szCs w:val="22"/>
        </w:rPr>
        <w:t xml:space="preserve">, available at </w:t>
      </w:r>
      <w:hyperlink r:id="rId62" w:history="1">
        <w:r w:rsidRPr="00D46211">
          <w:rPr>
            <w:rStyle w:val="Hyperlink"/>
            <w:szCs w:val="22"/>
          </w:rPr>
          <w:t>https://goo.gl/cb090G</w:t>
        </w:r>
      </w:hyperlink>
    </w:p>
  </w:footnote>
  <w:footnote w:id="212">
    <w:p w14:paraId="7672C6BB" w14:textId="77777777"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 xml:space="preserve">RBI (2016) </w:t>
      </w:r>
      <w:r w:rsidRPr="00D3155E">
        <w:rPr>
          <w:bCs/>
          <w:i/>
          <w:color w:val="000000" w:themeColor="text1"/>
          <w:szCs w:val="18"/>
        </w:rPr>
        <w:t>Certificates of Authorisation</w:t>
      </w:r>
      <w:r w:rsidRPr="00D3155E">
        <w:rPr>
          <w:bCs/>
          <w:color w:val="000000" w:themeColor="text1"/>
          <w:szCs w:val="18"/>
        </w:rPr>
        <w:t>,</w:t>
      </w:r>
      <w:r w:rsidRPr="00D3155E">
        <w:rPr>
          <w:color w:val="000000" w:themeColor="text1"/>
          <w:szCs w:val="18"/>
        </w:rPr>
        <w:t xml:space="preserve"> available at </w:t>
      </w:r>
      <w:hyperlink r:id="rId63" w:history="1">
        <w:r w:rsidRPr="00F338E2">
          <w:rPr>
            <w:rStyle w:val="Hyperlink"/>
            <w:szCs w:val="18"/>
          </w:rPr>
          <w:t>https://goo.gl/14LHgS</w:t>
        </w:r>
      </w:hyperlink>
    </w:p>
  </w:footnote>
  <w:footnote w:id="213">
    <w:p w14:paraId="2C3EF94F" w14:textId="48D73547"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 xml:space="preserve">FSLRC (2013) </w:t>
      </w:r>
      <w:r w:rsidRPr="00D3155E">
        <w:rPr>
          <w:i/>
          <w:color w:val="000000" w:themeColor="text1"/>
          <w:szCs w:val="18"/>
        </w:rPr>
        <w:t>Report Of The Working Group On Payments</w:t>
      </w:r>
      <w:r w:rsidRPr="00D3155E">
        <w:rPr>
          <w:color w:val="000000" w:themeColor="text1"/>
          <w:szCs w:val="18"/>
        </w:rPr>
        <w:t xml:space="preserve">, available at </w:t>
      </w:r>
      <w:hyperlink r:id="rId64" w:history="1">
        <w:r w:rsidRPr="00CB6379">
          <w:rPr>
            <w:rStyle w:val="Hyperlink"/>
            <w:szCs w:val="18"/>
          </w:rPr>
          <w:t>https://goo.gl/PI4Zkt</w:t>
        </w:r>
      </w:hyperlink>
      <w:r w:rsidRPr="00730709">
        <w:rPr>
          <w:rStyle w:val="Hyperlink"/>
          <w:color w:val="000000" w:themeColor="text1"/>
          <w:szCs w:val="18"/>
          <w:u w:val="none"/>
        </w:rPr>
        <w:t xml:space="preserve">. See also </w:t>
      </w:r>
      <w:r w:rsidRPr="00730709">
        <w:rPr>
          <w:color w:val="000000" w:themeColor="text1"/>
          <w:szCs w:val="18"/>
        </w:rPr>
        <w:t>Srikanth</w:t>
      </w:r>
      <w:r w:rsidRPr="00D3155E">
        <w:rPr>
          <w:color w:val="000000" w:themeColor="text1"/>
          <w:szCs w:val="18"/>
        </w:rPr>
        <w:t xml:space="preserve">, L (2016) </w:t>
      </w:r>
      <w:r w:rsidRPr="00D3155E">
        <w:rPr>
          <w:i/>
          <w:iCs/>
          <w:color w:val="000000" w:themeColor="text1"/>
          <w:szCs w:val="18"/>
        </w:rPr>
        <w:t>UPI Is A Toll Road</w:t>
      </w:r>
      <w:r w:rsidRPr="00D3155E">
        <w:rPr>
          <w:color w:val="000000" w:themeColor="text1"/>
          <w:szCs w:val="18"/>
        </w:rPr>
        <w:t xml:space="preserve">, available at </w:t>
      </w:r>
      <w:hyperlink r:id="rId65" w:history="1">
        <w:r w:rsidRPr="00F338E2">
          <w:rPr>
            <w:rStyle w:val="Hyperlink"/>
            <w:szCs w:val="18"/>
          </w:rPr>
          <w:t>https://goo.gl/150ofa</w:t>
        </w:r>
      </w:hyperlink>
    </w:p>
  </w:footnote>
  <w:footnote w:id="214">
    <w:p w14:paraId="06EF0B78" w14:textId="6C15C441"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 xml:space="preserve">Ministry Of Finance (India) (2016) </w:t>
      </w:r>
      <w:r w:rsidRPr="00D3155E">
        <w:rPr>
          <w:i/>
          <w:color w:val="000000" w:themeColor="text1"/>
          <w:szCs w:val="18"/>
        </w:rPr>
        <w:t>ibid</w:t>
      </w:r>
      <w:r w:rsidRPr="002E69BB">
        <w:t>.</w:t>
      </w:r>
    </w:p>
  </w:footnote>
  <w:footnote w:id="215">
    <w:p w14:paraId="1B979DD0" w14:textId="77777777"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 xml:space="preserve">Standard Kenya (2015) </w:t>
      </w:r>
      <w:r w:rsidRPr="00D3155E">
        <w:rPr>
          <w:i/>
          <w:color w:val="000000" w:themeColor="text1"/>
          <w:szCs w:val="18"/>
        </w:rPr>
        <w:t>Safaricom Hits Banks With New M-PESA Fees</w:t>
      </w:r>
      <w:r w:rsidRPr="00D3155E">
        <w:rPr>
          <w:color w:val="000000" w:themeColor="text1"/>
          <w:szCs w:val="18"/>
        </w:rPr>
        <w:t xml:space="preserve">, available at </w:t>
      </w:r>
      <w:hyperlink r:id="rId66" w:history="1">
        <w:r w:rsidRPr="00F338E2">
          <w:rPr>
            <w:rStyle w:val="Hyperlink"/>
            <w:szCs w:val="18"/>
          </w:rPr>
          <w:t>https://goo.gl/rgXDeE</w:t>
        </w:r>
      </w:hyperlink>
    </w:p>
  </w:footnote>
  <w:footnote w:id="216">
    <w:p w14:paraId="228DF647" w14:textId="711FF741" w:rsidR="00730709" w:rsidRPr="00035A23" w:rsidRDefault="00730709" w:rsidP="00885B99">
      <w:pPr>
        <w:pStyle w:val="FootnoteText"/>
      </w:pPr>
      <w:r>
        <w:rPr>
          <w:rStyle w:val="FootnoteReference"/>
        </w:rPr>
        <w:footnoteRef/>
      </w:r>
      <w:r>
        <w:t xml:space="preserve"> </w:t>
      </w:r>
      <w:r>
        <w:tab/>
      </w:r>
      <w:r w:rsidRPr="005B221E">
        <w:rPr>
          <w:color w:val="000000" w:themeColor="text1"/>
          <w:szCs w:val="22"/>
          <w:shd w:val="clear" w:color="auto" w:fill="FFFFFF"/>
        </w:rPr>
        <w:t>People Daily</w:t>
      </w:r>
      <w:r w:rsidRPr="005B221E">
        <w:rPr>
          <w:color w:val="000000" w:themeColor="text1"/>
          <w:szCs w:val="22"/>
        </w:rPr>
        <w:t xml:space="preserve"> (2015) </w:t>
      </w:r>
      <w:r w:rsidRPr="005B221E">
        <w:rPr>
          <w:i/>
          <w:color w:val="000000" w:themeColor="text1"/>
          <w:szCs w:val="22"/>
        </w:rPr>
        <w:t>Safaricom Withdraws New Charges On Equitel</w:t>
      </w:r>
      <w:r w:rsidRPr="005B221E">
        <w:rPr>
          <w:color w:val="000000" w:themeColor="text1"/>
          <w:szCs w:val="22"/>
        </w:rPr>
        <w:t xml:space="preserve">, available at </w:t>
      </w:r>
      <w:hyperlink r:id="rId67" w:history="1">
        <w:r w:rsidRPr="005B221E">
          <w:rPr>
            <w:rStyle w:val="Hyperlink"/>
            <w:szCs w:val="22"/>
          </w:rPr>
          <w:t>https://goo.gl/I1cNUL</w:t>
        </w:r>
      </w:hyperlink>
      <w:r w:rsidRPr="005B221E">
        <w:rPr>
          <w:color w:val="000000" w:themeColor="text1"/>
          <w:szCs w:val="22"/>
        </w:rPr>
        <w:t xml:space="preserve">; and Mazer &amp; Rowan (2016) </w:t>
      </w:r>
      <w:r w:rsidRPr="005B221E">
        <w:rPr>
          <w:i/>
          <w:color w:val="000000" w:themeColor="text1"/>
          <w:szCs w:val="22"/>
        </w:rPr>
        <w:t>ibid</w:t>
      </w:r>
      <w:r w:rsidRPr="002E69BB">
        <w:t>.</w:t>
      </w:r>
    </w:p>
  </w:footnote>
  <w:footnote w:id="217">
    <w:p w14:paraId="3B2DC0BC" w14:textId="77777777"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 xml:space="preserve">GSMA (2016c) </w:t>
      </w:r>
      <w:r w:rsidRPr="00D3155E">
        <w:rPr>
          <w:i/>
          <w:color w:val="000000" w:themeColor="text1"/>
          <w:szCs w:val="18"/>
        </w:rPr>
        <w:t>The Long Road To Interoperability In Jordan</w:t>
      </w:r>
      <w:r w:rsidRPr="00D3155E">
        <w:rPr>
          <w:color w:val="000000" w:themeColor="text1"/>
          <w:szCs w:val="18"/>
        </w:rPr>
        <w:t>:</w:t>
      </w:r>
      <w:r w:rsidRPr="00D3155E">
        <w:rPr>
          <w:i/>
          <w:color w:val="000000" w:themeColor="text1"/>
          <w:szCs w:val="18"/>
        </w:rPr>
        <w:t xml:space="preserve"> Lessons For The Wider Industry</w:t>
      </w:r>
      <w:r w:rsidRPr="00D3155E">
        <w:rPr>
          <w:color w:val="000000" w:themeColor="text1"/>
          <w:szCs w:val="18"/>
        </w:rPr>
        <w:t xml:space="preserve">, available at </w:t>
      </w:r>
      <w:hyperlink r:id="rId68" w:history="1">
        <w:r w:rsidRPr="00F338E2">
          <w:rPr>
            <w:rStyle w:val="Hyperlink"/>
            <w:szCs w:val="18"/>
          </w:rPr>
          <w:t>https://goo.gl/6mnfT1</w:t>
        </w:r>
      </w:hyperlink>
    </w:p>
  </w:footnote>
  <w:footnote w:id="218">
    <w:p w14:paraId="6547B5F3" w14:textId="77777777"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 xml:space="preserve">See further on the nature of adverse selection and data sets, Mazer &amp; Rowan (2016) </w:t>
      </w:r>
      <w:r w:rsidRPr="00D3155E">
        <w:rPr>
          <w:i/>
          <w:color w:val="000000" w:themeColor="text1"/>
          <w:szCs w:val="18"/>
        </w:rPr>
        <w:t xml:space="preserve">ibid; </w:t>
      </w:r>
      <w:r w:rsidRPr="00D3155E">
        <w:rPr>
          <w:color w:val="000000" w:themeColor="text1"/>
          <w:szCs w:val="18"/>
        </w:rPr>
        <w:t xml:space="preserve">and generally on big data and DFS, Chen, G &amp; Faz, X (2015) </w:t>
      </w:r>
      <w:r w:rsidRPr="00D3155E">
        <w:rPr>
          <w:i/>
          <w:color w:val="000000" w:themeColor="text1"/>
          <w:szCs w:val="18"/>
        </w:rPr>
        <w:t>The Potential of Digital Data: How Far Can It Advance Financial Inclusion</w:t>
      </w:r>
      <w:r w:rsidRPr="00D3155E">
        <w:rPr>
          <w:color w:val="000000" w:themeColor="text1"/>
          <w:szCs w:val="18"/>
        </w:rPr>
        <w:t xml:space="preserve">?, available at </w:t>
      </w:r>
      <w:hyperlink r:id="rId69" w:history="1">
        <w:r w:rsidRPr="00F338E2">
          <w:rPr>
            <w:rStyle w:val="Hyperlink"/>
            <w:szCs w:val="18"/>
          </w:rPr>
          <w:t>https://goo.gl/dxxSIU</w:t>
        </w:r>
      </w:hyperlink>
    </w:p>
  </w:footnote>
  <w:footnote w:id="219">
    <w:p w14:paraId="0B1C1A53" w14:textId="2B4D3BEF"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 xml:space="preserve">This information asymmetry, in a credit-provision context, may result in what is termed adverse selection, such that without a credit risk assessment – or credit score – the borrower will seek and often be given credit by lenders who are unable to obtain enough information on hand to have made a more seasoned determination of whether the loan would be repaid. Thus, those with access to cogent data sets will mitigate the risks of adverse selection. See further Mazer &amp; Rowan (2016) </w:t>
      </w:r>
      <w:r w:rsidRPr="00D3155E">
        <w:rPr>
          <w:i/>
          <w:color w:val="000000" w:themeColor="text1"/>
          <w:szCs w:val="18"/>
        </w:rPr>
        <w:t>ibid</w:t>
      </w:r>
      <w:r w:rsidRPr="002E69BB">
        <w:t>.</w:t>
      </w:r>
    </w:p>
  </w:footnote>
  <w:footnote w:id="220">
    <w:p w14:paraId="502A9CF8" w14:textId="77777777" w:rsidR="00730709" w:rsidRPr="00035A23" w:rsidRDefault="00730709" w:rsidP="00885B99">
      <w:pPr>
        <w:pStyle w:val="FootnoteText"/>
      </w:pPr>
      <w:r>
        <w:rPr>
          <w:rStyle w:val="FootnoteReference"/>
        </w:rPr>
        <w:footnoteRef/>
      </w:r>
      <w:r>
        <w:t xml:space="preserve"> </w:t>
      </w:r>
      <w:r w:rsidRPr="00035A23">
        <w:tab/>
      </w:r>
      <w:r w:rsidRPr="005B221E">
        <w:rPr>
          <w:color w:val="000000" w:themeColor="text1"/>
          <w:szCs w:val="22"/>
        </w:rPr>
        <w:t>Christensen P (2015)</w:t>
      </w:r>
      <w:r w:rsidRPr="005B221E">
        <w:rPr>
          <w:i/>
          <w:color w:val="000000" w:themeColor="text1"/>
          <w:szCs w:val="22"/>
        </w:rPr>
        <w:t xml:space="preserve"> Credit Where Credit Is Due</w:t>
      </w:r>
      <w:r w:rsidRPr="005B221E">
        <w:rPr>
          <w:color w:val="000000" w:themeColor="text1"/>
          <w:szCs w:val="22"/>
        </w:rPr>
        <w:t xml:space="preserve">, available at </w:t>
      </w:r>
      <w:hyperlink r:id="rId70" w:history="1">
        <w:r w:rsidRPr="005B221E">
          <w:rPr>
            <w:rStyle w:val="Hyperlink"/>
            <w:szCs w:val="22"/>
          </w:rPr>
          <w:t>https://goo.gl/h0Oapm</w:t>
        </w:r>
      </w:hyperlink>
    </w:p>
  </w:footnote>
  <w:footnote w:id="221">
    <w:p w14:paraId="0DD4C67D" w14:textId="77777777" w:rsidR="00730709" w:rsidRPr="00D3155E" w:rsidRDefault="00730709" w:rsidP="00885B99">
      <w:pPr>
        <w:pStyle w:val="FootnoteText"/>
        <w:rPr>
          <w:szCs w:val="18"/>
        </w:rPr>
      </w:pPr>
      <w:r w:rsidRPr="00D3155E">
        <w:rPr>
          <w:rStyle w:val="FootnoteReference"/>
          <w:szCs w:val="18"/>
        </w:rPr>
        <w:footnoteRef/>
      </w:r>
      <w:r w:rsidRPr="00D3155E">
        <w:rPr>
          <w:szCs w:val="18"/>
        </w:rPr>
        <w:t xml:space="preserve"> </w:t>
      </w:r>
      <w:r>
        <w:rPr>
          <w:szCs w:val="18"/>
        </w:rPr>
        <w:tab/>
      </w:r>
      <w:r w:rsidRPr="00D3155E">
        <w:rPr>
          <w:szCs w:val="18"/>
        </w:rPr>
        <w:t>Data can of course be gleaned from bank-related activity but this may be restricted through bank secrecy laws in some coun</w:t>
      </w:r>
      <w:r>
        <w:rPr>
          <w:szCs w:val="18"/>
        </w:rPr>
        <w:t xml:space="preserve">tries - for example Pakistan - </w:t>
      </w:r>
      <w:r w:rsidRPr="00D3155E">
        <w:rPr>
          <w:szCs w:val="18"/>
        </w:rPr>
        <w:t xml:space="preserve">which have often gotten in the way of sharing data that could otherwise be valuable in the hands of alternative financial providers. Here then, traditional credit providers benefit from their </w:t>
      </w:r>
      <w:r>
        <w:rPr>
          <w:szCs w:val="18"/>
        </w:rPr>
        <w:t>'</w:t>
      </w:r>
      <w:r w:rsidRPr="00D3155E">
        <w:rPr>
          <w:szCs w:val="18"/>
        </w:rPr>
        <w:t>proprietary</w:t>
      </w:r>
      <w:r>
        <w:rPr>
          <w:szCs w:val="18"/>
        </w:rPr>
        <w:t>'</w:t>
      </w:r>
      <w:r w:rsidRPr="00D3155E">
        <w:rPr>
          <w:szCs w:val="18"/>
        </w:rPr>
        <w:t xml:space="preserve"> data.</w:t>
      </w:r>
    </w:p>
  </w:footnote>
  <w:footnote w:id="222">
    <w:p w14:paraId="36CF6E92" w14:textId="77777777" w:rsidR="00730709" w:rsidRPr="00D3155E" w:rsidRDefault="00730709" w:rsidP="00885B99">
      <w:pPr>
        <w:pStyle w:val="FootnoteText"/>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 xml:space="preserve">See San Pedro, J </w:t>
      </w:r>
      <w:r w:rsidRPr="00D3155E">
        <w:rPr>
          <w:i/>
          <w:color w:val="000000" w:themeColor="text1"/>
          <w:szCs w:val="18"/>
        </w:rPr>
        <w:t>et al</w:t>
      </w:r>
      <w:r w:rsidRPr="00D3155E">
        <w:rPr>
          <w:color w:val="000000" w:themeColor="text1"/>
          <w:szCs w:val="18"/>
        </w:rPr>
        <w:t xml:space="preserve"> (2015) </w:t>
      </w:r>
      <w:r w:rsidRPr="00D3155E">
        <w:rPr>
          <w:i/>
          <w:color w:val="000000" w:themeColor="text1"/>
          <w:szCs w:val="18"/>
        </w:rPr>
        <w:t xml:space="preserve">MobiScore: Towards Universal Credit Scoring from Mobile Phone Data, </w:t>
      </w:r>
      <w:r w:rsidRPr="00D3155E">
        <w:rPr>
          <w:color w:val="000000" w:themeColor="text1"/>
          <w:szCs w:val="18"/>
        </w:rPr>
        <w:t xml:space="preserve">available from </w:t>
      </w:r>
      <w:hyperlink r:id="rId71" w:history="1">
        <w:r w:rsidRPr="00F338E2">
          <w:rPr>
            <w:rStyle w:val="Hyperlink"/>
            <w:szCs w:val="18"/>
          </w:rPr>
          <w:t>https://goo.gl/Mkwp5T</w:t>
        </w:r>
      </w:hyperlink>
    </w:p>
  </w:footnote>
  <w:footnote w:id="223">
    <w:p w14:paraId="4ED1A39D" w14:textId="77777777" w:rsidR="00730709" w:rsidRPr="00D3155E" w:rsidRDefault="00730709" w:rsidP="00885B99">
      <w:pPr>
        <w:pStyle w:val="FootnoteText"/>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Also through some feature phones that have Facebook, Twitter and Whatsapp installed. See further, Perlman,</w:t>
      </w:r>
      <w:r>
        <w:rPr>
          <w:color w:val="000000" w:themeColor="text1"/>
          <w:szCs w:val="18"/>
        </w:rPr>
        <w:t> </w:t>
      </w:r>
      <w:r w:rsidRPr="00D3155E">
        <w:rPr>
          <w:color w:val="000000" w:themeColor="text1"/>
          <w:szCs w:val="18"/>
        </w:rPr>
        <w:t>L</w:t>
      </w:r>
      <w:r>
        <w:rPr>
          <w:color w:val="000000" w:themeColor="text1"/>
          <w:szCs w:val="18"/>
        </w:rPr>
        <w:t> </w:t>
      </w:r>
      <w:r w:rsidRPr="00D3155E">
        <w:rPr>
          <w:color w:val="000000" w:themeColor="text1"/>
          <w:szCs w:val="18"/>
        </w:rPr>
        <w:t>(2017)</w:t>
      </w:r>
      <w:r>
        <w:rPr>
          <w:color w:val="000000" w:themeColor="text1"/>
          <w:szCs w:val="18"/>
        </w:rPr>
        <w:t> </w:t>
      </w:r>
      <w:r w:rsidRPr="00D3155E">
        <w:rPr>
          <w:i/>
          <w:color w:val="000000" w:themeColor="text1"/>
          <w:szCs w:val="18"/>
        </w:rPr>
        <w:t>DFS</w:t>
      </w:r>
      <w:r>
        <w:rPr>
          <w:i/>
          <w:color w:val="000000" w:themeColor="text1"/>
          <w:szCs w:val="18"/>
        </w:rPr>
        <w:t> </w:t>
      </w:r>
      <w:r w:rsidRPr="00D3155E">
        <w:rPr>
          <w:i/>
          <w:color w:val="000000" w:themeColor="text1"/>
          <w:szCs w:val="18"/>
        </w:rPr>
        <w:t>Handset</w:t>
      </w:r>
      <w:r>
        <w:rPr>
          <w:i/>
          <w:color w:val="000000" w:themeColor="text1"/>
          <w:szCs w:val="18"/>
        </w:rPr>
        <w:t> </w:t>
      </w:r>
      <w:r w:rsidRPr="00D3155E">
        <w:rPr>
          <w:i/>
          <w:color w:val="000000" w:themeColor="text1"/>
          <w:szCs w:val="18"/>
        </w:rPr>
        <w:t>Overview:</w:t>
      </w:r>
      <w:r>
        <w:rPr>
          <w:i/>
          <w:color w:val="000000" w:themeColor="text1"/>
          <w:szCs w:val="18"/>
        </w:rPr>
        <w:t> </w:t>
      </w:r>
      <w:r w:rsidRPr="00D3155E">
        <w:rPr>
          <w:i/>
          <w:color w:val="000000" w:themeColor="text1"/>
          <w:szCs w:val="18"/>
        </w:rPr>
        <w:t>ITU</w:t>
      </w:r>
      <w:r>
        <w:rPr>
          <w:i/>
          <w:color w:val="000000" w:themeColor="text1"/>
          <w:szCs w:val="18"/>
        </w:rPr>
        <w:t> </w:t>
      </w:r>
      <w:r w:rsidRPr="00D3155E">
        <w:rPr>
          <w:i/>
          <w:color w:val="000000" w:themeColor="text1"/>
          <w:szCs w:val="18"/>
        </w:rPr>
        <w:t>FG</w:t>
      </w:r>
      <w:r>
        <w:rPr>
          <w:i/>
          <w:color w:val="000000" w:themeColor="text1"/>
          <w:szCs w:val="18"/>
        </w:rPr>
        <w:t> </w:t>
      </w:r>
      <w:r w:rsidRPr="00D3155E">
        <w:rPr>
          <w:i/>
          <w:color w:val="000000" w:themeColor="text1"/>
          <w:szCs w:val="18"/>
        </w:rPr>
        <w:t>on</w:t>
      </w:r>
      <w:r>
        <w:rPr>
          <w:i/>
          <w:color w:val="000000" w:themeColor="text1"/>
          <w:szCs w:val="18"/>
        </w:rPr>
        <w:t> </w:t>
      </w:r>
      <w:r w:rsidRPr="00D3155E">
        <w:rPr>
          <w:i/>
          <w:color w:val="000000" w:themeColor="text1"/>
          <w:szCs w:val="18"/>
        </w:rPr>
        <w:t>DFS</w:t>
      </w:r>
      <w:r w:rsidRPr="00D3155E">
        <w:rPr>
          <w:color w:val="000000" w:themeColor="text1"/>
          <w:szCs w:val="18"/>
        </w:rPr>
        <w:t>,</w:t>
      </w:r>
      <w:r>
        <w:rPr>
          <w:color w:val="000000" w:themeColor="text1"/>
          <w:szCs w:val="18"/>
        </w:rPr>
        <w:t> </w:t>
      </w:r>
      <w:r w:rsidRPr="00D3155E">
        <w:rPr>
          <w:color w:val="000000" w:themeColor="text1"/>
          <w:szCs w:val="18"/>
        </w:rPr>
        <w:t>available</w:t>
      </w:r>
      <w:r>
        <w:rPr>
          <w:color w:val="000000" w:themeColor="text1"/>
          <w:szCs w:val="18"/>
        </w:rPr>
        <w:t> </w:t>
      </w:r>
      <w:r w:rsidRPr="00D3155E">
        <w:rPr>
          <w:color w:val="000000" w:themeColor="text1"/>
          <w:szCs w:val="18"/>
        </w:rPr>
        <w:t>at</w:t>
      </w:r>
      <w:r>
        <w:rPr>
          <w:color w:val="000000" w:themeColor="text1"/>
          <w:szCs w:val="18"/>
        </w:rPr>
        <w:t> </w:t>
      </w:r>
      <w:r>
        <w:rPr>
          <w:color w:val="000000" w:themeColor="text1"/>
          <w:szCs w:val="18"/>
        </w:rPr>
        <w:br/>
      </w:r>
      <w:hyperlink r:id="rId72" w:history="1">
        <w:r w:rsidRPr="00F338E2">
          <w:rPr>
            <w:rStyle w:val="Hyperlink"/>
            <w:szCs w:val="18"/>
          </w:rPr>
          <w:t>http://www.itu.int/en/ITU-T/focusgroups/dfs/Pages/default.aspx</w:t>
        </w:r>
      </w:hyperlink>
    </w:p>
  </w:footnote>
  <w:footnote w:id="224">
    <w:p w14:paraId="5B7EB04D" w14:textId="77777777" w:rsidR="00730709" w:rsidRPr="00D3155E" w:rsidRDefault="00730709" w:rsidP="00885B99">
      <w:pPr>
        <w:pStyle w:val="FootnoteText"/>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In most cases prospective (and existing) users can only install and thus the app to get credit only if they agree to all these metrics being monitored.</w:t>
      </w:r>
    </w:p>
  </w:footnote>
  <w:footnote w:id="225">
    <w:p w14:paraId="263E53E3" w14:textId="77777777" w:rsidR="00730709" w:rsidRPr="00D3155E" w:rsidRDefault="00730709" w:rsidP="00885B99">
      <w:pPr>
        <w:pStyle w:val="FootnoteText"/>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 xml:space="preserve">See Government Of Kenya (2016) </w:t>
      </w:r>
      <w:r w:rsidRPr="00D3155E">
        <w:rPr>
          <w:i/>
          <w:color w:val="000000" w:themeColor="text1"/>
          <w:szCs w:val="18"/>
        </w:rPr>
        <w:t>Gazette Notice No. 678: Proposed Market Inquiry And Sector Study On The Kenya Banking Sector-Phase II By Competition Authority Of Kenya,</w:t>
      </w:r>
      <w:r w:rsidRPr="00D3155E">
        <w:rPr>
          <w:color w:val="000000" w:themeColor="text1"/>
          <w:szCs w:val="18"/>
        </w:rPr>
        <w:t xml:space="preserve"> available at </w:t>
      </w:r>
      <w:hyperlink r:id="rId73" w:history="1">
        <w:r w:rsidRPr="00F338E2">
          <w:rPr>
            <w:rStyle w:val="Hyperlink"/>
            <w:szCs w:val="18"/>
          </w:rPr>
          <w:t>https://goo.gl/wbqDX6</w:t>
        </w:r>
      </w:hyperlink>
    </w:p>
  </w:footnote>
  <w:footnote w:id="226">
    <w:p w14:paraId="4025041B" w14:textId="77777777" w:rsidR="00730709" w:rsidRPr="00035A23" w:rsidRDefault="00730709" w:rsidP="00885B99">
      <w:pPr>
        <w:pStyle w:val="FootnoteText"/>
      </w:pPr>
      <w:r>
        <w:rPr>
          <w:rStyle w:val="FootnoteReference"/>
        </w:rPr>
        <w:footnoteRef/>
      </w:r>
      <w:r>
        <w:t xml:space="preserve"> </w:t>
      </w:r>
      <w:r>
        <w:tab/>
      </w:r>
      <w:r w:rsidRPr="00F31430">
        <w:rPr>
          <w:color w:val="000000" w:themeColor="text1"/>
          <w:szCs w:val="18"/>
        </w:rPr>
        <w:t xml:space="preserve">Daily Nation (2016) </w:t>
      </w:r>
      <w:r w:rsidRPr="00F31430">
        <w:rPr>
          <w:i/>
          <w:color w:val="000000" w:themeColor="text1"/>
          <w:szCs w:val="18"/>
        </w:rPr>
        <w:t xml:space="preserve">Govt Launches Study On Mobile Money Practices, </w:t>
      </w:r>
      <w:r w:rsidRPr="00F31430">
        <w:rPr>
          <w:color w:val="000000" w:themeColor="text1"/>
          <w:szCs w:val="18"/>
        </w:rPr>
        <w:t xml:space="preserve">available at </w:t>
      </w:r>
      <w:hyperlink r:id="rId74" w:history="1">
        <w:r w:rsidRPr="00F31430">
          <w:rPr>
            <w:rStyle w:val="Hyperlink"/>
            <w:szCs w:val="18"/>
          </w:rPr>
          <w:t>https://goo.gl/h9OumW</w:t>
        </w:r>
      </w:hyperlink>
      <w:r w:rsidRPr="00F31430">
        <w:rPr>
          <w:color w:val="000000" w:themeColor="text1"/>
          <w:szCs w:val="18"/>
        </w:rPr>
        <w:t>. This study is reportedly ongoing as of January 2017.</w:t>
      </w:r>
    </w:p>
  </w:footnote>
  <w:footnote w:id="227">
    <w:p w14:paraId="671B5513" w14:textId="6865C6DD"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 xml:space="preserve">Government Of Kenya (2016) </w:t>
      </w:r>
      <w:r w:rsidRPr="00D3155E">
        <w:rPr>
          <w:i/>
          <w:color w:val="000000" w:themeColor="text1"/>
          <w:szCs w:val="18"/>
        </w:rPr>
        <w:t>ibid</w:t>
      </w:r>
      <w:r w:rsidRPr="002E69BB">
        <w:t>.</w:t>
      </w:r>
    </w:p>
  </w:footnote>
  <w:footnote w:id="228">
    <w:p w14:paraId="1E9BAEDE" w14:textId="36AC919C"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The CAK indicated that the study will establish whether consumers have been denied information on their DFS activities that could enable them get loans elsewhere in so far as assessing if there exists restrictions on consumers</w:t>
      </w:r>
      <w:r>
        <w:rPr>
          <w:color w:val="000000" w:themeColor="text1"/>
          <w:szCs w:val="18"/>
        </w:rPr>
        <w:t>'</w:t>
      </w:r>
      <w:r w:rsidRPr="00D3155E">
        <w:rPr>
          <w:color w:val="000000" w:themeColor="text1"/>
          <w:szCs w:val="18"/>
        </w:rPr>
        <w:t xml:space="preserve"> use of their own digital transactional data and provision of the same to third parties for commercial use. CAK communication to ITU TIC WG; and Daily Nation (2016) </w:t>
      </w:r>
      <w:r w:rsidRPr="00D3155E">
        <w:rPr>
          <w:i/>
          <w:color w:val="000000" w:themeColor="text1"/>
          <w:szCs w:val="18"/>
        </w:rPr>
        <w:t>ibid</w:t>
      </w:r>
      <w:r w:rsidRPr="002E69BB">
        <w:t>.</w:t>
      </w:r>
    </w:p>
  </w:footnote>
  <w:footnote w:id="229">
    <w:p w14:paraId="559042E1" w14:textId="77777777" w:rsidR="00730709" w:rsidRPr="00035A23" w:rsidRDefault="00730709" w:rsidP="00885B99">
      <w:pPr>
        <w:pStyle w:val="FootnoteText"/>
      </w:pPr>
      <w:r>
        <w:rPr>
          <w:rStyle w:val="FootnoteReference"/>
        </w:rPr>
        <w:footnoteRef/>
      </w:r>
      <w:r>
        <w:t xml:space="preserve"> </w:t>
      </w:r>
      <w:r>
        <w:tab/>
      </w:r>
      <w:r w:rsidRPr="00F31430">
        <w:rPr>
          <w:szCs w:val="18"/>
        </w:rPr>
        <w:t xml:space="preserve">The GSMA is working to </w:t>
      </w:r>
      <w:r w:rsidRPr="00F31430">
        <w:rPr>
          <w:bCs/>
          <w:szCs w:val="18"/>
        </w:rPr>
        <w:t xml:space="preserve">drive the adoption of standardized APIs. See GSMA (2016) </w:t>
      </w:r>
      <w:r w:rsidRPr="00F31430">
        <w:rPr>
          <w:bCs/>
          <w:i/>
          <w:szCs w:val="18"/>
        </w:rPr>
        <w:t>Launching GSMA Mobile Money APIs To Raise Industry</w:t>
      </w:r>
      <w:r w:rsidRPr="00F31430">
        <w:rPr>
          <w:bCs/>
          <w:szCs w:val="18"/>
        </w:rPr>
        <w:t xml:space="preserve"> </w:t>
      </w:r>
      <w:r w:rsidRPr="00F31430">
        <w:rPr>
          <w:bCs/>
          <w:i/>
          <w:szCs w:val="18"/>
        </w:rPr>
        <w:t>Capabilities</w:t>
      </w:r>
      <w:r w:rsidRPr="00F31430">
        <w:rPr>
          <w:bCs/>
          <w:szCs w:val="18"/>
        </w:rPr>
        <w:t xml:space="preserve">, available at </w:t>
      </w:r>
      <w:hyperlink r:id="rId75" w:history="1">
        <w:r w:rsidRPr="00F31430">
          <w:rPr>
            <w:rStyle w:val="Hyperlink"/>
            <w:szCs w:val="18"/>
          </w:rPr>
          <w:t>https://goo.gl/O4CkOP</w:t>
        </w:r>
      </w:hyperlink>
    </w:p>
  </w:footnote>
  <w:footnote w:id="230">
    <w:p w14:paraId="1A628F7A" w14:textId="77777777"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 xml:space="preserve">On the openness of DFS APIs, see Tellez-Merchan, C (2015) </w:t>
      </w:r>
      <w:r w:rsidRPr="00D3155E">
        <w:rPr>
          <w:i/>
          <w:color w:val="000000" w:themeColor="text1"/>
          <w:szCs w:val="18"/>
        </w:rPr>
        <w:t>Can Open APIs Accelerate the Digital Finance Ecosystem?</w:t>
      </w:r>
      <w:r w:rsidRPr="00D3155E">
        <w:rPr>
          <w:color w:val="000000" w:themeColor="text1"/>
          <w:szCs w:val="18"/>
        </w:rPr>
        <w:t xml:space="preserve">, available at </w:t>
      </w:r>
      <w:hyperlink r:id="rId76" w:history="1">
        <w:r w:rsidRPr="00F338E2">
          <w:rPr>
            <w:rStyle w:val="Hyperlink"/>
            <w:szCs w:val="18"/>
          </w:rPr>
          <w:t>https://goo.gl/1a6unm</w:t>
        </w:r>
      </w:hyperlink>
    </w:p>
  </w:footnote>
  <w:footnote w:id="231">
    <w:p w14:paraId="5226F7B6" w14:textId="77777777"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Android OS compatibility is not a given though, due to various changes to the OS by Google.</w:t>
      </w:r>
    </w:p>
  </w:footnote>
  <w:footnote w:id="232">
    <w:p w14:paraId="3BF9EA64" w14:textId="77777777"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 xml:space="preserve">See for example the MTN mobile money API being provided to Uganda e-commerce web sites. Its </w:t>
      </w:r>
      <w:r>
        <w:rPr>
          <w:color w:val="000000" w:themeColor="text1"/>
          <w:szCs w:val="18"/>
        </w:rPr>
        <w:t>'</w:t>
      </w:r>
      <w:r w:rsidRPr="00D3155E">
        <w:rPr>
          <w:color w:val="000000" w:themeColor="text1"/>
          <w:szCs w:val="18"/>
          <w:shd w:val="clear" w:color="auto" w:fill="FFFFFF"/>
        </w:rPr>
        <w:t>Request for Payment</w:t>
      </w:r>
      <w:r>
        <w:rPr>
          <w:color w:val="000000" w:themeColor="text1"/>
          <w:szCs w:val="18"/>
          <w:shd w:val="clear" w:color="auto" w:fill="FFFFFF"/>
        </w:rPr>
        <w:t>'</w:t>
      </w:r>
      <w:r w:rsidRPr="00D3155E">
        <w:rPr>
          <w:color w:val="000000" w:themeColor="text1"/>
          <w:szCs w:val="18"/>
          <w:shd w:val="clear" w:color="auto" w:fill="FFFFFF"/>
        </w:rPr>
        <w:t xml:space="preserve"> API sends an authentication message (Request for Payment) to a customer</w:t>
      </w:r>
      <w:r>
        <w:rPr>
          <w:color w:val="000000" w:themeColor="text1"/>
          <w:szCs w:val="18"/>
          <w:shd w:val="clear" w:color="auto" w:fill="FFFFFF"/>
        </w:rPr>
        <w:t>'</w:t>
      </w:r>
      <w:r w:rsidRPr="00D3155E">
        <w:rPr>
          <w:color w:val="000000" w:themeColor="text1"/>
          <w:szCs w:val="18"/>
          <w:shd w:val="clear" w:color="auto" w:fill="FFFFFF"/>
        </w:rPr>
        <w:t>s mobile phone if that number was inputted as a payment method on a web site. The customer then verifies the transaction with their MTN Mobile Money PIN number.</w:t>
      </w:r>
    </w:p>
  </w:footnote>
  <w:footnote w:id="233">
    <w:p w14:paraId="7DA1E008" w14:textId="77777777" w:rsidR="00730709" w:rsidRPr="00D3155E" w:rsidRDefault="00730709" w:rsidP="00885B99">
      <w:pPr>
        <w:pStyle w:val="FootnoteText"/>
        <w:spacing w:after="120"/>
        <w:rPr>
          <w:color w:val="000000" w:themeColor="text1"/>
          <w:sz w:val="19"/>
          <w:szCs w:val="19"/>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A single API is the equivalent to a single common short code being available for customers across multiple MNOs, rather than requiring individual access number for each MNO.</w:t>
      </w:r>
    </w:p>
  </w:footnote>
  <w:footnote w:id="234">
    <w:p w14:paraId="461C8DB7" w14:textId="77777777"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Pr>
          <w:color w:val="000000" w:themeColor="text1"/>
          <w:szCs w:val="18"/>
        </w:rPr>
        <w:tab/>
      </w:r>
      <w:r w:rsidRPr="00D3155E">
        <w:rPr>
          <w:color w:val="000000" w:themeColor="text1"/>
          <w:szCs w:val="18"/>
        </w:rPr>
        <w:t>Safaricom</w:t>
      </w:r>
      <w:r>
        <w:rPr>
          <w:color w:val="000000" w:themeColor="text1"/>
          <w:szCs w:val="18"/>
        </w:rPr>
        <w:t>'</w:t>
      </w:r>
      <w:r w:rsidRPr="00D3155E">
        <w:rPr>
          <w:color w:val="000000" w:themeColor="text1"/>
          <w:szCs w:val="18"/>
        </w:rPr>
        <w:t xml:space="preserve">s G2 API includes Automated Payment Receipt Processing; Automated Payment Disbursements; and Automated Payments Reversal. See further </w:t>
      </w:r>
      <w:hyperlink r:id="rId77" w:history="1">
        <w:r w:rsidRPr="00F338E2">
          <w:rPr>
            <w:rStyle w:val="Hyperlink"/>
            <w:szCs w:val="18"/>
          </w:rPr>
          <w:t>https://goo.gl/IcZG3w</w:t>
        </w:r>
      </w:hyperlink>
    </w:p>
  </w:footnote>
  <w:footnote w:id="235">
    <w:p w14:paraId="5075743B" w14:textId="77777777"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The APIs for its Orange Money include e-commerce web site payment integration; and creating your own USSD service.</w:t>
      </w:r>
    </w:p>
  </w:footnote>
  <w:footnote w:id="236">
    <w:p w14:paraId="44F8D19A" w14:textId="77777777"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See for example PesaPI, an open source API for mobile money systems, released under the BSD(lite) license. It allows entrepreneurs to seamlessly integrate mobile money systems into their application, making it easy for your application to detect when a payment has been received. It currently supports DFS</w:t>
      </w:r>
      <w:r>
        <w:rPr>
          <w:color w:val="000000" w:themeColor="text1"/>
          <w:szCs w:val="18"/>
        </w:rPr>
        <w:t> </w:t>
      </w:r>
      <w:r w:rsidRPr="00D3155E">
        <w:rPr>
          <w:color w:val="000000" w:themeColor="text1"/>
          <w:szCs w:val="18"/>
        </w:rPr>
        <w:t>operations</w:t>
      </w:r>
      <w:r>
        <w:rPr>
          <w:color w:val="000000" w:themeColor="text1"/>
          <w:szCs w:val="18"/>
        </w:rPr>
        <w:t> </w:t>
      </w:r>
      <w:r w:rsidRPr="00D3155E">
        <w:rPr>
          <w:color w:val="000000" w:themeColor="text1"/>
          <w:szCs w:val="18"/>
        </w:rPr>
        <w:t>in</w:t>
      </w:r>
      <w:r>
        <w:rPr>
          <w:color w:val="000000" w:themeColor="text1"/>
          <w:szCs w:val="18"/>
        </w:rPr>
        <w:t> </w:t>
      </w:r>
      <w:r w:rsidRPr="00D3155E">
        <w:rPr>
          <w:color w:val="000000" w:themeColor="text1"/>
          <w:szCs w:val="18"/>
        </w:rPr>
        <w:t>Kenya,</w:t>
      </w:r>
      <w:r>
        <w:rPr>
          <w:color w:val="000000" w:themeColor="text1"/>
          <w:szCs w:val="18"/>
        </w:rPr>
        <w:t> </w:t>
      </w:r>
      <w:r w:rsidRPr="00D3155E">
        <w:rPr>
          <w:color w:val="000000" w:themeColor="text1"/>
          <w:szCs w:val="18"/>
        </w:rPr>
        <w:t>Tanzania,</w:t>
      </w:r>
      <w:r>
        <w:rPr>
          <w:color w:val="000000" w:themeColor="text1"/>
          <w:szCs w:val="18"/>
        </w:rPr>
        <w:t> </w:t>
      </w:r>
      <w:r w:rsidRPr="00D3155E">
        <w:rPr>
          <w:color w:val="000000" w:themeColor="text1"/>
          <w:szCs w:val="18"/>
        </w:rPr>
        <w:t>Ghana,</w:t>
      </w:r>
      <w:r>
        <w:rPr>
          <w:color w:val="000000" w:themeColor="text1"/>
          <w:szCs w:val="18"/>
        </w:rPr>
        <w:t> </w:t>
      </w:r>
      <w:r w:rsidRPr="00D3155E">
        <w:rPr>
          <w:color w:val="000000" w:themeColor="text1"/>
          <w:szCs w:val="18"/>
        </w:rPr>
        <w:t>Rwanda,</w:t>
      </w:r>
      <w:r>
        <w:rPr>
          <w:color w:val="000000" w:themeColor="text1"/>
          <w:szCs w:val="18"/>
        </w:rPr>
        <w:t> </w:t>
      </w:r>
      <w:r w:rsidRPr="00D3155E">
        <w:rPr>
          <w:color w:val="000000" w:themeColor="text1"/>
          <w:szCs w:val="18"/>
        </w:rPr>
        <w:t>Somalia</w:t>
      </w:r>
      <w:r>
        <w:rPr>
          <w:color w:val="000000" w:themeColor="text1"/>
          <w:szCs w:val="18"/>
        </w:rPr>
        <w:t> </w:t>
      </w:r>
      <w:r w:rsidRPr="00D3155E">
        <w:rPr>
          <w:color w:val="000000" w:themeColor="text1"/>
          <w:szCs w:val="18"/>
        </w:rPr>
        <w:t>and</w:t>
      </w:r>
      <w:r>
        <w:rPr>
          <w:color w:val="000000" w:themeColor="text1"/>
          <w:szCs w:val="18"/>
        </w:rPr>
        <w:t> </w:t>
      </w:r>
      <w:r w:rsidRPr="00D3155E">
        <w:rPr>
          <w:color w:val="000000" w:themeColor="text1"/>
          <w:szCs w:val="18"/>
        </w:rPr>
        <w:t>DR</w:t>
      </w:r>
      <w:r>
        <w:rPr>
          <w:color w:val="000000" w:themeColor="text1"/>
          <w:szCs w:val="18"/>
        </w:rPr>
        <w:t> </w:t>
      </w:r>
      <w:r w:rsidRPr="00D3155E">
        <w:rPr>
          <w:color w:val="000000" w:themeColor="text1"/>
          <w:szCs w:val="18"/>
        </w:rPr>
        <w:t>Congo.</w:t>
      </w:r>
      <w:r>
        <w:rPr>
          <w:color w:val="000000" w:themeColor="text1"/>
          <w:szCs w:val="18"/>
        </w:rPr>
        <w:t> </w:t>
      </w:r>
      <w:r w:rsidRPr="00D3155E">
        <w:rPr>
          <w:color w:val="000000" w:themeColor="text1"/>
          <w:szCs w:val="18"/>
        </w:rPr>
        <w:t xml:space="preserve">See </w:t>
      </w:r>
      <w:hyperlink r:id="rId78" w:history="1">
        <w:r w:rsidRPr="00CB6379">
          <w:rPr>
            <w:rStyle w:val="Hyperlink"/>
            <w:szCs w:val="18"/>
          </w:rPr>
          <w:t>http://www.pesapi.com/</w:t>
        </w:r>
      </w:hyperlink>
    </w:p>
  </w:footnote>
  <w:footnote w:id="237">
    <w:p w14:paraId="188DD671" w14:textId="77777777"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 xml:space="preserve">CoinDesk (2015) </w:t>
      </w:r>
      <w:r w:rsidRPr="00D3155E">
        <w:rPr>
          <w:i/>
          <w:color w:val="000000" w:themeColor="text1"/>
          <w:szCs w:val="18"/>
        </w:rPr>
        <w:t>Kenyan Court Upholds Bid to Keep Bitcoin Startup Off M-PESA</w:t>
      </w:r>
      <w:r w:rsidRPr="00D3155E">
        <w:rPr>
          <w:color w:val="000000" w:themeColor="text1"/>
          <w:szCs w:val="18"/>
        </w:rPr>
        <w:t xml:space="preserve">, available from </w:t>
      </w:r>
      <w:hyperlink r:id="rId79" w:history="1">
        <w:r w:rsidRPr="00F338E2">
          <w:rPr>
            <w:rStyle w:val="Hyperlink"/>
            <w:szCs w:val="18"/>
          </w:rPr>
          <w:t>https://goo.gl/f27H23</w:t>
        </w:r>
      </w:hyperlink>
    </w:p>
  </w:footnote>
  <w:footnote w:id="238">
    <w:p w14:paraId="14686A32" w14:textId="77777777" w:rsidR="00730709" w:rsidRPr="00D3155E" w:rsidRDefault="00730709" w:rsidP="00885B99">
      <w:pPr>
        <w:pStyle w:val="FootnoteText"/>
        <w:spacing w:after="120"/>
        <w:rPr>
          <w:color w:val="000000" w:themeColor="text1"/>
          <w:sz w:val="19"/>
          <w:szCs w:val="19"/>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 xml:space="preserve">Bitcoin is a distributed cryptocurrency with no central issuer. Bitpesa </w:t>
      </w:r>
      <w:r w:rsidRPr="00D3155E">
        <w:rPr>
          <w:color w:val="000000" w:themeColor="text1"/>
          <w:szCs w:val="18"/>
          <w:shd w:val="clear" w:color="auto" w:fill="FFFFFF"/>
        </w:rPr>
        <w:t xml:space="preserve">enables the exchange of bitcoin for Kenyan Shillings, and allows users in Kenya, Nigeria, Uganda and Tanzania to send fiat funds to popular DFS wallets. It also has a corridor to China. See </w:t>
      </w:r>
      <w:hyperlink r:id="rId80" w:history="1">
        <w:r w:rsidRPr="00CB6379">
          <w:rPr>
            <w:rStyle w:val="Hyperlink"/>
            <w:szCs w:val="18"/>
            <w:shd w:val="clear" w:color="auto" w:fill="FFFFFF"/>
          </w:rPr>
          <w:t>www.bitpesa.co</w:t>
        </w:r>
      </w:hyperlink>
    </w:p>
  </w:footnote>
  <w:footnote w:id="239">
    <w:p w14:paraId="04BEBC09" w14:textId="77777777"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This sharing of agents is not interoperability as it has sometimes been described, as there is no interconnection between the e-money accounts of the agent. The agent will hold two separate e-money accounts from two or more DFS SPs. Exclusivity could manifest not only as a provider not allowing its agent to serve other service providers but could include only allowing one company or person to serve a particular location.</w:t>
      </w:r>
    </w:p>
  </w:footnote>
  <w:footnote w:id="240">
    <w:p w14:paraId="24405DC4" w14:textId="77777777"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 xml:space="preserve">The recently issued operating guidelines on payments banks allow interoperability of banking correspondents (agents), except for customer acquisition. RBI (2016) </w:t>
      </w:r>
      <w:r w:rsidRPr="00D3155E">
        <w:rPr>
          <w:i/>
          <w:color w:val="000000" w:themeColor="text1"/>
          <w:szCs w:val="18"/>
          <w:shd w:val="clear" w:color="auto" w:fill="FFFFFF"/>
        </w:rPr>
        <w:t>Operating Guidelines for Payments Banks</w:t>
      </w:r>
      <w:r w:rsidRPr="00D3155E">
        <w:rPr>
          <w:color w:val="000000" w:themeColor="text1"/>
          <w:szCs w:val="18"/>
          <w:shd w:val="clear" w:color="auto" w:fill="FFFFFF"/>
        </w:rPr>
        <w:t xml:space="preserve">, </w:t>
      </w:r>
      <w:r w:rsidRPr="00D3155E">
        <w:rPr>
          <w:color w:val="000000" w:themeColor="text1"/>
          <w:szCs w:val="18"/>
        </w:rPr>
        <w:t xml:space="preserve">available at </w:t>
      </w:r>
      <w:hyperlink r:id="rId81" w:history="1">
        <w:r w:rsidRPr="00F338E2">
          <w:rPr>
            <w:rStyle w:val="Hyperlink"/>
            <w:szCs w:val="18"/>
          </w:rPr>
          <w:t>https://goo.gl/lByJQp</w:t>
        </w:r>
      </w:hyperlink>
    </w:p>
  </w:footnote>
  <w:footnote w:id="241">
    <w:p w14:paraId="545A0065" w14:textId="6DA7D85D"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 xml:space="preserve">Mazer </w:t>
      </w:r>
      <w:r w:rsidRPr="00D3155E">
        <w:rPr>
          <w:i/>
          <w:color w:val="000000" w:themeColor="text1"/>
          <w:szCs w:val="18"/>
        </w:rPr>
        <w:t>et al</w:t>
      </w:r>
      <w:r w:rsidRPr="00D3155E">
        <w:rPr>
          <w:color w:val="000000" w:themeColor="text1"/>
          <w:szCs w:val="18"/>
        </w:rPr>
        <w:t xml:space="preserve"> (2016) </w:t>
      </w:r>
      <w:r w:rsidRPr="00D3155E">
        <w:rPr>
          <w:i/>
          <w:color w:val="000000" w:themeColor="text1"/>
          <w:szCs w:val="18"/>
        </w:rPr>
        <w:t>ibid</w:t>
      </w:r>
      <w:r w:rsidRPr="002E69BB">
        <w:t>.</w:t>
      </w:r>
    </w:p>
  </w:footnote>
  <w:footnote w:id="242">
    <w:p w14:paraId="1BCDF484" w14:textId="77777777" w:rsidR="00730709" w:rsidRPr="00D3155E" w:rsidRDefault="00730709" w:rsidP="00885B99">
      <w:pPr>
        <w:pStyle w:val="FootnoteText"/>
        <w:spacing w:after="120"/>
        <w:rPr>
          <w:color w:val="000000" w:themeColor="text1"/>
          <w:sz w:val="19"/>
          <w:szCs w:val="19"/>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See Section 7.3 below on Bangladesh and Kenya.</w:t>
      </w:r>
    </w:p>
  </w:footnote>
  <w:footnote w:id="243">
    <w:p w14:paraId="472A2CEA" w14:textId="44DA96CE"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 xml:space="preserve">ADB (2016) </w:t>
      </w:r>
      <w:r w:rsidRPr="00D3155E">
        <w:rPr>
          <w:i/>
          <w:color w:val="000000" w:themeColor="text1"/>
          <w:szCs w:val="18"/>
        </w:rPr>
        <w:t xml:space="preserve">ibid; </w:t>
      </w:r>
      <w:r w:rsidRPr="00D3155E">
        <w:rPr>
          <w:color w:val="000000" w:themeColor="text1"/>
          <w:szCs w:val="18"/>
        </w:rPr>
        <w:t>Bangladesh Bank (2016)</w:t>
      </w:r>
      <w:r w:rsidRPr="00D3155E">
        <w:rPr>
          <w:i/>
          <w:color w:val="000000" w:themeColor="text1"/>
          <w:szCs w:val="18"/>
        </w:rPr>
        <w:t xml:space="preserve"> ibid</w:t>
      </w:r>
      <w:r w:rsidRPr="002E69BB">
        <w:t>.</w:t>
      </w:r>
    </w:p>
  </w:footnote>
  <w:footnote w:id="244">
    <w:p w14:paraId="3809F95B" w14:textId="77777777"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 xml:space="preserve">The ban on agent exclusivity was further solidified in the </w:t>
      </w:r>
      <w:hyperlink r:id="rId82" w:tgtFrame="_blank" w:history="1">
        <w:r w:rsidRPr="00D3155E">
          <w:rPr>
            <w:rStyle w:val="Hyperlink"/>
            <w:color w:val="000000" w:themeColor="text1"/>
            <w:szCs w:val="18"/>
            <w:bdr w:val="none" w:sz="0" w:space="0" w:color="auto" w:frame="1"/>
            <w:shd w:val="clear" w:color="auto" w:fill="FFFFFF"/>
          </w:rPr>
          <w:t>National Payment Systems Regulations of</w:t>
        </w:r>
        <w:r>
          <w:rPr>
            <w:rStyle w:val="Hyperlink"/>
            <w:color w:val="000000" w:themeColor="text1"/>
            <w:szCs w:val="18"/>
            <w:bdr w:val="none" w:sz="0" w:space="0" w:color="auto" w:frame="1"/>
            <w:shd w:val="clear" w:color="auto" w:fill="FFFFFF"/>
          </w:rPr>
          <w:t> </w:t>
        </w:r>
        <w:r w:rsidRPr="00D3155E">
          <w:rPr>
            <w:rStyle w:val="Hyperlink"/>
            <w:color w:val="000000" w:themeColor="text1"/>
            <w:szCs w:val="18"/>
            <w:bdr w:val="none" w:sz="0" w:space="0" w:color="auto" w:frame="1"/>
            <w:shd w:val="clear" w:color="auto" w:fill="FFFFFF"/>
          </w:rPr>
          <w:t>2014</w:t>
        </w:r>
      </w:hyperlink>
      <w:r w:rsidRPr="00D3155E">
        <w:rPr>
          <w:color w:val="000000" w:themeColor="text1"/>
          <w:szCs w:val="18"/>
          <w:shd w:val="clear" w:color="auto" w:fill="FFFFFF"/>
        </w:rPr>
        <w:t xml:space="preserve">, which prohibited exclusivity in agent contracts of payment service providers such as mobile money providers. See CBK (2014) </w:t>
      </w:r>
      <w:r w:rsidRPr="00D3155E">
        <w:rPr>
          <w:i/>
          <w:color w:val="000000" w:themeColor="text1"/>
          <w:szCs w:val="18"/>
          <w:bdr w:val="none" w:sz="0" w:space="0" w:color="auto" w:frame="1"/>
          <w:shd w:val="clear" w:color="auto" w:fill="FFFFFF"/>
        </w:rPr>
        <w:t>National Payment Systems Regulations of 2014</w:t>
      </w:r>
      <w:r w:rsidRPr="00D3155E">
        <w:rPr>
          <w:color w:val="000000" w:themeColor="text1"/>
          <w:szCs w:val="18"/>
          <w:shd w:val="clear" w:color="auto" w:fill="FFFFFF"/>
        </w:rPr>
        <w:t xml:space="preserve">, available at </w:t>
      </w:r>
      <w:hyperlink r:id="rId83" w:history="1">
        <w:r w:rsidRPr="00CB6379">
          <w:rPr>
            <w:rStyle w:val="Hyperlink"/>
            <w:szCs w:val="18"/>
          </w:rPr>
          <w:t>https://goo.gl/f9cnLc</w:t>
        </w:r>
      </w:hyperlink>
    </w:p>
  </w:footnote>
  <w:footnote w:id="245">
    <w:p w14:paraId="71AFE48F" w14:textId="78847AD2"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 xml:space="preserve">CGAP reported that interviews with agents indicates that </w:t>
      </w:r>
      <w:r w:rsidRPr="00D3155E">
        <w:rPr>
          <w:color w:val="000000" w:themeColor="text1"/>
          <w:szCs w:val="18"/>
          <w:shd w:val="clear" w:color="auto" w:fill="FFFFFF"/>
        </w:rPr>
        <w:t>one MNO requires that a minimum of 75% of signage must be for their brand.</w:t>
      </w:r>
      <w:r w:rsidRPr="00D3155E">
        <w:rPr>
          <w:color w:val="000000" w:themeColor="text1"/>
          <w:szCs w:val="18"/>
        </w:rPr>
        <w:t xml:space="preserve"> See Mazer </w:t>
      </w:r>
      <w:r w:rsidRPr="00D3155E">
        <w:rPr>
          <w:i/>
          <w:color w:val="000000" w:themeColor="text1"/>
          <w:szCs w:val="18"/>
        </w:rPr>
        <w:t>et al</w:t>
      </w:r>
      <w:r w:rsidRPr="00D3155E">
        <w:rPr>
          <w:color w:val="000000" w:themeColor="text1"/>
          <w:szCs w:val="18"/>
        </w:rPr>
        <w:t xml:space="preserve"> (2016) </w:t>
      </w:r>
      <w:r w:rsidRPr="00D3155E">
        <w:rPr>
          <w:i/>
          <w:color w:val="000000" w:themeColor="text1"/>
          <w:szCs w:val="18"/>
        </w:rPr>
        <w:t>ibid</w:t>
      </w:r>
      <w:r w:rsidRPr="002E69BB">
        <w:t>.</w:t>
      </w:r>
    </w:p>
  </w:footnote>
  <w:footnote w:id="246">
    <w:p w14:paraId="03E02D40" w14:textId="77777777"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 xml:space="preserve">Business Daily (2015) </w:t>
      </w:r>
      <w:r w:rsidRPr="00D3155E">
        <w:rPr>
          <w:i/>
          <w:color w:val="000000" w:themeColor="text1"/>
          <w:szCs w:val="18"/>
        </w:rPr>
        <w:t>Competition Authority Of Kenya Asks Airtel For Evidence Against Safaricom In Mobile Cash Agents Row</w:t>
      </w:r>
      <w:r w:rsidRPr="00D3155E">
        <w:rPr>
          <w:color w:val="000000" w:themeColor="text1"/>
          <w:szCs w:val="18"/>
        </w:rPr>
        <w:t xml:space="preserve">, available at </w:t>
      </w:r>
      <w:hyperlink r:id="rId84" w:history="1">
        <w:r w:rsidRPr="00F338E2">
          <w:rPr>
            <w:rStyle w:val="Hyperlink"/>
            <w:szCs w:val="18"/>
          </w:rPr>
          <w:t>https://goo.gl/F4x2Rm</w:t>
        </w:r>
      </w:hyperlink>
    </w:p>
  </w:footnote>
  <w:footnote w:id="247">
    <w:p w14:paraId="4A34A7EC" w14:textId="34505078"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CBK/PG/15</w:t>
      </w:r>
      <w:r w:rsidR="000C3398">
        <w:rPr>
          <w:color w:val="000000" w:themeColor="text1"/>
          <w:szCs w:val="18"/>
        </w:rPr>
        <w:t>.</w:t>
      </w:r>
    </w:p>
  </w:footnote>
  <w:footnote w:id="248">
    <w:p w14:paraId="611AE100" w14:textId="77777777" w:rsidR="00730709" w:rsidRPr="00035A23" w:rsidRDefault="00730709" w:rsidP="00885B99">
      <w:pPr>
        <w:pStyle w:val="FootnoteText"/>
      </w:pPr>
      <w:r>
        <w:rPr>
          <w:rStyle w:val="FootnoteReference"/>
        </w:rPr>
        <w:footnoteRef/>
      </w:r>
      <w:r>
        <w:t xml:space="preserve"> </w:t>
      </w:r>
      <w:r w:rsidRPr="00075BE7">
        <w:rPr>
          <w:color w:val="000000" w:themeColor="text1"/>
          <w:szCs w:val="18"/>
        </w:rPr>
        <w:t xml:space="preserve">As reported by CGAP (2015) </w:t>
      </w:r>
      <w:r w:rsidRPr="00075BE7">
        <w:rPr>
          <w:bCs/>
          <w:i/>
          <w:color w:val="000000" w:themeColor="text1"/>
          <w:szCs w:val="18"/>
        </w:rPr>
        <w:t>Supervision of Banks and Non-banks Operating through Agents,</w:t>
      </w:r>
      <w:r w:rsidRPr="00075BE7">
        <w:rPr>
          <w:bCs/>
          <w:color w:val="000000" w:themeColor="text1"/>
          <w:szCs w:val="18"/>
        </w:rPr>
        <w:t xml:space="preserve"> available at </w:t>
      </w:r>
      <w:hyperlink r:id="rId85" w:history="1">
        <w:r w:rsidRPr="00075BE7">
          <w:rPr>
            <w:rStyle w:val="Hyperlink"/>
            <w:bCs/>
            <w:szCs w:val="18"/>
          </w:rPr>
          <w:t>https://goo.gl/47yZqM</w:t>
        </w:r>
      </w:hyperlink>
      <w:r w:rsidRPr="00035A23">
        <w:tab/>
      </w:r>
    </w:p>
  </w:footnote>
  <w:footnote w:id="249">
    <w:p w14:paraId="5F3695CA" w14:textId="5793D2A3"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For example, convenience stores and pharmacy chains</w:t>
      </w:r>
      <w:r w:rsidR="000C3398">
        <w:rPr>
          <w:color w:val="000000" w:themeColor="text1"/>
          <w:szCs w:val="18"/>
        </w:rPr>
        <w:t>.</w:t>
      </w:r>
    </w:p>
  </w:footnote>
  <w:footnote w:id="250">
    <w:p w14:paraId="4C1D4996" w14:textId="01AB4AE8"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 xml:space="preserve">CGAP (2015) </w:t>
      </w:r>
      <w:r w:rsidRPr="00D3155E">
        <w:rPr>
          <w:i/>
          <w:color w:val="000000" w:themeColor="text1"/>
          <w:szCs w:val="18"/>
        </w:rPr>
        <w:t>ibid</w:t>
      </w:r>
      <w:r w:rsidRPr="002E69BB">
        <w:t>.</w:t>
      </w:r>
    </w:p>
  </w:footnote>
  <w:footnote w:id="251">
    <w:p w14:paraId="1A9CEC37" w14:textId="77777777"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 xml:space="preserve">BOU (2013) </w:t>
      </w:r>
      <w:r w:rsidRPr="00D3155E">
        <w:rPr>
          <w:i/>
          <w:color w:val="000000" w:themeColor="text1"/>
          <w:szCs w:val="18"/>
          <w:bdr w:val="none" w:sz="0" w:space="0" w:color="auto" w:frame="1"/>
          <w:shd w:val="clear" w:color="auto" w:fill="FFFFFF"/>
        </w:rPr>
        <w:t>Mobile Money Guidelines</w:t>
      </w:r>
      <w:r w:rsidRPr="00D3155E">
        <w:rPr>
          <w:color w:val="000000" w:themeColor="text1"/>
          <w:szCs w:val="18"/>
        </w:rPr>
        <w:t xml:space="preserve">, available at </w:t>
      </w:r>
      <w:hyperlink r:id="rId86" w:history="1">
        <w:r w:rsidRPr="00F338E2">
          <w:rPr>
            <w:rStyle w:val="Hyperlink"/>
            <w:szCs w:val="18"/>
          </w:rPr>
          <w:t>https://goo.gl/fCr0Nu</w:t>
        </w:r>
      </w:hyperlink>
    </w:p>
  </w:footnote>
  <w:footnote w:id="252">
    <w:p w14:paraId="111EC2F7" w14:textId="6A90705C" w:rsidR="00730709" w:rsidRPr="00D3155E" w:rsidRDefault="00730709" w:rsidP="00885B99">
      <w:pPr>
        <w:pStyle w:val="FootnoteText"/>
        <w:spacing w:after="120"/>
        <w:rPr>
          <w:color w:val="000000" w:themeColor="text1"/>
          <w:szCs w:val="18"/>
          <w:lang w:val="es-ES_tradnl"/>
        </w:rPr>
      </w:pPr>
      <w:r w:rsidRPr="00D3155E">
        <w:rPr>
          <w:rStyle w:val="FootnoteReference"/>
          <w:color w:val="000000" w:themeColor="text1"/>
          <w:szCs w:val="18"/>
        </w:rPr>
        <w:footnoteRef/>
      </w:r>
      <w:r w:rsidRPr="00D3155E">
        <w:rPr>
          <w:color w:val="000000" w:themeColor="text1"/>
          <w:szCs w:val="18"/>
          <w:lang w:val="es-ES_tradnl"/>
        </w:rPr>
        <w:t xml:space="preserve"> </w:t>
      </w:r>
      <w:r>
        <w:rPr>
          <w:color w:val="000000" w:themeColor="text1"/>
          <w:szCs w:val="18"/>
          <w:lang w:val="es-ES_tradnl"/>
        </w:rPr>
        <w:tab/>
      </w:r>
      <w:r w:rsidRPr="00D3155E">
        <w:rPr>
          <w:color w:val="000000" w:themeColor="text1"/>
          <w:szCs w:val="18"/>
          <w:lang w:val="es-ES_tradnl"/>
        </w:rPr>
        <w:t xml:space="preserve">Mazer </w:t>
      </w:r>
      <w:r w:rsidRPr="00D3155E">
        <w:rPr>
          <w:i/>
          <w:color w:val="000000" w:themeColor="text1"/>
          <w:szCs w:val="18"/>
          <w:lang w:val="es-ES_tradnl"/>
        </w:rPr>
        <w:t>et al</w:t>
      </w:r>
      <w:r w:rsidRPr="00D3155E">
        <w:rPr>
          <w:color w:val="000000" w:themeColor="text1"/>
          <w:szCs w:val="18"/>
          <w:lang w:val="es-ES_tradnl"/>
        </w:rPr>
        <w:t xml:space="preserve"> (2016) </w:t>
      </w:r>
      <w:r w:rsidRPr="00D3155E">
        <w:rPr>
          <w:i/>
          <w:color w:val="000000" w:themeColor="text1"/>
          <w:szCs w:val="18"/>
          <w:lang w:val="es-ES_tradnl"/>
        </w:rPr>
        <w:t>ibid;</w:t>
      </w:r>
      <w:r w:rsidRPr="00D3155E">
        <w:rPr>
          <w:color w:val="000000" w:themeColor="text1"/>
          <w:szCs w:val="18"/>
          <w:lang w:val="es-ES_tradnl"/>
        </w:rPr>
        <w:t xml:space="preserve"> UCC (2016) </w:t>
      </w:r>
      <w:r w:rsidRPr="00D3155E">
        <w:rPr>
          <w:i/>
          <w:color w:val="000000" w:themeColor="text1"/>
          <w:szCs w:val="18"/>
          <w:lang w:val="es-ES_tradnl"/>
        </w:rPr>
        <w:t>ibid</w:t>
      </w:r>
      <w:r w:rsidRPr="00035A23">
        <w:rPr>
          <w:lang w:val="es-CO"/>
        </w:rPr>
        <w:t>.</w:t>
      </w:r>
    </w:p>
  </w:footnote>
  <w:footnote w:id="253">
    <w:p w14:paraId="642A2E0F" w14:textId="77777777" w:rsidR="00730709" w:rsidRPr="00035A23" w:rsidRDefault="00730709" w:rsidP="00885B99">
      <w:pPr>
        <w:pStyle w:val="FootnoteText"/>
      </w:pPr>
      <w:r>
        <w:rPr>
          <w:rStyle w:val="FootnoteReference"/>
        </w:rPr>
        <w:footnoteRef/>
      </w:r>
      <w:r>
        <w:t xml:space="preserve"> </w:t>
      </w:r>
      <w:r>
        <w:tab/>
      </w:r>
      <w:r w:rsidRPr="00075BE7">
        <w:rPr>
          <w:color w:val="000000" w:themeColor="text1"/>
          <w:szCs w:val="18"/>
        </w:rPr>
        <w:t xml:space="preserve">The technology was developed in China by Shanghai-based tech company F-Road in 2005, primarily </w:t>
      </w:r>
      <w:r w:rsidRPr="00075BE7">
        <w:rPr>
          <w:color w:val="000000" w:themeColor="text1"/>
          <w:szCs w:val="18"/>
          <w:shd w:val="clear" w:color="auto" w:fill="FFFFFF"/>
        </w:rPr>
        <w:t>as a mobile phone solution to support multi-operator access, designed to avoid roaming fees.</w:t>
      </w:r>
    </w:p>
  </w:footnote>
  <w:footnote w:id="254">
    <w:p w14:paraId="4135D55C" w14:textId="77777777"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The thin SIM supports GSMA/3GPP/ETSI standards, making it compatible with all standard devices from older feature phones to the latest smart phones.</w:t>
      </w:r>
    </w:p>
  </w:footnote>
  <w:footnote w:id="255">
    <w:p w14:paraId="4946F114" w14:textId="77777777" w:rsidR="00730709" w:rsidRPr="00035A23" w:rsidRDefault="00730709" w:rsidP="00885B99">
      <w:pPr>
        <w:pStyle w:val="FootnoteText"/>
      </w:pPr>
      <w:r>
        <w:rPr>
          <w:rStyle w:val="FootnoteReference"/>
        </w:rPr>
        <w:footnoteRef/>
      </w:r>
      <w:r>
        <w:t xml:space="preserve"> </w:t>
      </w:r>
      <w:r>
        <w:tab/>
      </w:r>
      <w:r w:rsidRPr="00075BE7">
        <w:rPr>
          <w:color w:val="000000" w:themeColor="text1"/>
          <w:szCs w:val="18"/>
        </w:rPr>
        <w:t>Users can then access services on both networks and having two SIM cards in one slot of the device which means the user does not have to physically remove and exchange the SIM card when the user travels, eliminating the possibility of losing and misplacing the cards.</w:t>
      </w:r>
    </w:p>
  </w:footnote>
  <w:footnote w:id="256">
    <w:p w14:paraId="419B711F" w14:textId="77777777"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Therefore users can keep their original voice number on MNO 1, but use USSD and STK services on MNO 2.</w:t>
      </w:r>
    </w:p>
  </w:footnote>
  <w:footnote w:id="257">
    <w:p w14:paraId="034F7879" w14:textId="77777777" w:rsidR="00730709" w:rsidRPr="00035A23" w:rsidRDefault="00730709" w:rsidP="00885B99">
      <w:pPr>
        <w:pStyle w:val="FootnoteText"/>
      </w:pPr>
      <w:r>
        <w:rPr>
          <w:rStyle w:val="FootnoteReference"/>
        </w:rPr>
        <w:footnoteRef/>
      </w:r>
      <w:r>
        <w:t xml:space="preserve"> </w:t>
      </w:r>
      <w:r>
        <w:tab/>
      </w:r>
      <w:r w:rsidRPr="00075BE7">
        <w:rPr>
          <w:color w:val="000000" w:themeColor="text1"/>
          <w:szCs w:val="18"/>
          <w:shd w:val="clear" w:color="auto" w:fill="FFFFFF"/>
        </w:rPr>
        <w:t>It also has a patented secure, encrypted SMS technology.</w:t>
      </w:r>
    </w:p>
  </w:footnote>
  <w:footnote w:id="258">
    <w:p w14:paraId="1ACD7501" w14:textId="4FBCF507" w:rsidR="00730709" w:rsidRPr="00035A23" w:rsidRDefault="00730709" w:rsidP="00885B99">
      <w:pPr>
        <w:pStyle w:val="FootnoteText"/>
      </w:pPr>
      <w:r>
        <w:rPr>
          <w:rStyle w:val="FootnoteReference"/>
        </w:rPr>
        <w:footnoteRef/>
      </w:r>
      <w:r>
        <w:t xml:space="preserve"> </w:t>
      </w:r>
      <w:r>
        <w:tab/>
      </w:r>
      <w:r w:rsidRPr="00075BE7">
        <w:rPr>
          <w:color w:val="000000" w:themeColor="text1"/>
          <w:szCs w:val="18"/>
        </w:rPr>
        <w:t>A CGAP report identified only a few instances where thin SIMs were being used because of competition-based issues with access to USSD and STK bearer channels. See</w:t>
      </w:r>
      <w:r w:rsidRPr="00075BE7">
        <w:rPr>
          <w:i/>
          <w:color w:val="000000" w:themeColor="text1"/>
          <w:szCs w:val="18"/>
        </w:rPr>
        <w:t xml:space="preserve"> </w:t>
      </w:r>
      <w:r w:rsidRPr="00075BE7">
        <w:rPr>
          <w:color w:val="000000" w:themeColor="text1"/>
          <w:szCs w:val="18"/>
        </w:rPr>
        <w:t xml:space="preserve">Hanouch &amp; Chen (2015) </w:t>
      </w:r>
      <w:r w:rsidRPr="00075BE7">
        <w:rPr>
          <w:i/>
          <w:color w:val="000000" w:themeColor="text1"/>
          <w:szCs w:val="18"/>
        </w:rPr>
        <w:t>ibid</w:t>
      </w:r>
      <w:r w:rsidRPr="002E69BB">
        <w:t>.</w:t>
      </w:r>
    </w:p>
  </w:footnote>
  <w:footnote w:id="259">
    <w:p w14:paraId="570E5FEF" w14:textId="1CBB00A8"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shd w:val="clear" w:color="auto" w:fill="FFFFFF"/>
        </w:rPr>
        <w:t xml:space="preserve">It handles more than RMB 5 billion daily transactions. See Micro Finance Gateway (2016) </w:t>
      </w:r>
      <w:r w:rsidRPr="00D3155E">
        <w:rPr>
          <w:i/>
          <w:color w:val="000000" w:themeColor="text1"/>
          <w:szCs w:val="18"/>
        </w:rPr>
        <w:t>Shanghai F-road Wins 1st Prize in Wall Street Journal's Financial Inclusion Challenge</w:t>
      </w:r>
      <w:r w:rsidRPr="00D3155E">
        <w:rPr>
          <w:color w:val="000000" w:themeColor="text1"/>
          <w:szCs w:val="18"/>
        </w:rPr>
        <w:t xml:space="preserve">, available at </w:t>
      </w:r>
      <w:hyperlink r:id="rId87" w:history="1">
        <w:r w:rsidRPr="00F338E2">
          <w:rPr>
            <w:rStyle w:val="Hyperlink"/>
            <w:szCs w:val="18"/>
          </w:rPr>
          <w:t>https://goo.gl/DLn9Ur</w:t>
        </w:r>
      </w:hyperlink>
    </w:p>
  </w:footnote>
  <w:footnote w:id="260">
    <w:p w14:paraId="5D8349FC" w14:textId="73962286" w:rsidR="00730709" w:rsidRPr="00035A23" w:rsidRDefault="00730709" w:rsidP="00885B99">
      <w:pPr>
        <w:pStyle w:val="FootnoteText"/>
      </w:pPr>
      <w:r>
        <w:rPr>
          <w:rStyle w:val="FootnoteReference"/>
        </w:rPr>
        <w:footnoteRef/>
      </w:r>
      <w:r>
        <w:t xml:space="preserve"> </w:t>
      </w:r>
      <w:r w:rsidRPr="00035A23">
        <w:tab/>
      </w:r>
      <w:r w:rsidRPr="00075BE7">
        <w:rPr>
          <w:color w:val="000000" w:themeColor="text1"/>
          <w:szCs w:val="22"/>
        </w:rPr>
        <w:t>F-Road follows a B2B2C model</w:t>
      </w:r>
      <w:r w:rsidR="000C3398">
        <w:rPr>
          <w:color w:val="000000" w:themeColor="text1"/>
          <w:szCs w:val="22"/>
        </w:rPr>
        <w:t>–</w:t>
      </w:r>
      <w:r w:rsidRPr="00075BE7">
        <w:rPr>
          <w:color w:val="000000" w:themeColor="text1"/>
          <w:szCs w:val="22"/>
        </w:rPr>
        <w:t xml:space="preserve">its customers are financial institutions that, in turn, serve individuals. The company's technology platform enables financial institutions, mainly Rural Credit Cooperatives and Rural Commercial Banks, with mobile-based secure DFS access. </w:t>
      </w:r>
      <w:r w:rsidRPr="00075BE7">
        <w:rPr>
          <w:color w:val="000000" w:themeColor="text1"/>
          <w:szCs w:val="22"/>
          <w:shd w:val="clear" w:color="auto" w:fill="FFFFFF"/>
        </w:rPr>
        <w:t xml:space="preserve">See </w:t>
      </w:r>
      <w:hyperlink r:id="rId88" w:history="1">
        <w:r w:rsidRPr="00075BE7">
          <w:rPr>
            <w:rStyle w:val="Hyperlink"/>
            <w:color w:val="000000" w:themeColor="text1"/>
            <w:szCs w:val="22"/>
            <w:bdr w:val="none" w:sz="0" w:space="0" w:color="auto" w:frame="1"/>
            <w:shd w:val="clear" w:color="auto" w:fill="FFFFFF"/>
          </w:rPr>
          <w:t>Shrader</w:t>
        </w:r>
      </w:hyperlink>
      <w:r w:rsidRPr="00075BE7">
        <w:rPr>
          <w:color w:val="000000" w:themeColor="text1"/>
          <w:szCs w:val="22"/>
        </w:rPr>
        <w:t>,</w:t>
      </w:r>
      <w:r w:rsidR="000C3398">
        <w:rPr>
          <w:color w:val="000000" w:themeColor="text1"/>
          <w:szCs w:val="22"/>
        </w:rPr>
        <w:t> </w:t>
      </w:r>
      <w:r w:rsidRPr="00075BE7">
        <w:rPr>
          <w:color w:val="000000" w:themeColor="text1"/>
          <w:szCs w:val="22"/>
        </w:rPr>
        <w:t>L</w:t>
      </w:r>
      <w:r w:rsidRPr="00075BE7">
        <w:rPr>
          <w:color w:val="000000" w:themeColor="text1"/>
          <w:szCs w:val="22"/>
          <w:shd w:val="clear" w:color="auto" w:fill="FFFFFF"/>
        </w:rPr>
        <w:t xml:space="preserve"> (2013) </w:t>
      </w:r>
      <w:r w:rsidRPr="00075BE7">
        <w:rPr>
          <w:color w:val="000000" w:themeColor="text1"/>
          <w:szCs w:val="22"/>
        </w:rPr>
        <w:t>C</w:t>
      </w:r>
      <w:r w:rsidRPr="00075BE7">
        <w:rPr>
          <w:i/>
          <w:color w:val="000000" w:themeColor="text1"/>
          <w:szCs w:val="22"/>
        </w:rPr>
        <w:t>hina – The</w:t>
      </w:r>
      <w:r w:rsidR="000C3398">
        <w:rPr>
          <w:i/>
          <w:color w:val="000000" w:themeColor="text1"/>
          <w:szCs w:val="22"/>
        </w:rPr>
        <w:t> </w:t>
      </w:r>
      <w:r w:rsidRPr="00075BE7">
        <w:rPr>
          <w:i/>
          <w:color w:val="000000" w:themeColor="text1"/>
          <w:szCs w:val="22"/>
        </w:rPr>
        <w:t xml:space="preserve">Future Leader in Branchless Banking for the Poor?, </w:t>
      </w:r>
      <w:r w:rsidRPr="00075BE7">
        <w:rPr>
          <w:color w:val="000000" w:themeColor="text1"/>
          <w:szCs w:val="22"/>
        </w:rPr>
        <w:t xml:space="preserve">available at </w:t>
      </w:r>
      <w:hyperlink r:id="rId89" w:history="1">
        <w:r w:rsidRPr="00075BE7">
          <w:rPr>
            <w:rStyle w:val="Hyperlink"/>
            <w:szCs w:val="22"/>
          </w:rPr>
          <w:t>https://goo.gl/C3cEZw</w:t>
        </w:r>
      </w:hyperlink>
      <w:r w:rsidRPr="00075BE7">
        <w:rPr>
          <w:color w:val="000000" w:themeColor="text1"/>
          <w:szCs w:val="22"/>
        </w:rPr>
        <w:t xml:space="preserve"> </w:t>
      </w:r>
      <w:r w:rsidRPr="00075BE7">
        <w:rPr>
          <w:color w:val="000000" w:themeColor="text1"/>
          <w:szCs w:val="22"/>
          <w:shd w:val="clear" w:color="auto" w:fill="FFFFFF"/>
        </w:rPr>
        <w:t xml:space="preserve">. </w:t>
      </w:r>
      <w:r w:rsidRPr="00075BE7">
        <w:rPr>
          <w:color w:val="000000" w:themeColor="text1"/>
          <w:szCs w:val="22"/>
        </w:rPr>
        <w:t xml:space="preserve">See also IFC (2016) </w:t>
      </w:r>
      <w:r w:rsidRPr="00075BE7">
        <w:rPr>
          <w:i/>
          <w:color w:val="000000" w:themeColor="text1"/>
          <w:szCs w:val="22"/>
        </w:rPr>
        <w:t>F-Road Company Profile</w:t>
      </w:r>
      <w:r w:rsidRPr="00075BE7">
        <w:rPr>
          <w:color w:val="000000" w:themeColor="text1"/>
          <w:szCs w:val="22"/>
        </w:rPr>
        <w:t xml:space="preserve">, available at </w:t>
      </w:r>
      <w:hyperlink r:id="rId90" w:history="1">
        <w:r w:rsidRPr="00075BE7">
          <w:rPr>
            <w:rStyle w:val="Hyperlink"/>
            <w:szCs w:val="22"/>
          </w:rPr>
          <w:t>http://goo.gl/9C1lP8</w:t>
        </w:r>
      </w:hyperlink>
    </w:p>
  </w:footnote>
  <w:footnote w:id="261">
    <w:p w14:paraId="10BA338C" w14:textId="77777777" w:rsidR="00730709" w:rsidRPr="00035A23" w:rsidRDefault="00730709" w:rsidP="00885B99">
      <w:pPr>
        <w:pStyle w:val="FootnoteText"/>
      </w:pPr>
      <w:r>
        <w:rPr>
          <w:rStyle w:val="FootnoteReference"/>
        </w:rPr>
        <w:footnoteRef/>
      </w:r>
      <w:r>
        <w:t xml:space="preserve"> </w:t>
      </w:r>
      <w:r w:rsidRPr="00075BE7">
        <w:rPr>
          <w:b/>
          <w:color w:val="000000" w:themeColor="text1"/>
          <w:szCs w:val="18"/>
        </w:rPr>
        <w:tab/>
      </w:r>
      <w:r w:rsidRPr="00075BE7">
        <w:rPr>
          <w:color w:val="000000" w:themeColor="text1"/>
          <w:szCs w:val="18"/>
        </w:rPr>
        <w:t xml:space="preserve">ETCIO (2016) </w:t>
      </w:r>
      <w:r w:rsidRPr="00075BE7">
        <w:rPr>
          <w:i/>
          <w:color w:val="000000" w:themeColor="text1"/>
          <w:szCs w:val="18"/>
        </w:rPr>
        <w:t>Yes Bank To Launch SIM Sleeve Payments Solution For Feature Phones</w:t>
      </w:r>
      <w:r w:rsidRPr="00075BE7">
        <w:rPr>
          <w:color w:val="000000" w:themeColor="text1"/>
          <w:szCs w:val="18"/>
        </w:rPr>
        <w:t xml:space="preserve">, available at </w:t>
      </w:r>
      <w:hyperlink r:id="rId91" w:history="1">
        <w:r w:rsidRPr="00075BE7">
          <w:rPr>
            <w:rStyle w:val="Hyperlink"/>
            <w:szCs w:val="18"/>
          </w:rPr>
          <w:t>https://goo.gl/ybICxl</w:t>
        </w:r>
      </w:hyperlink>
    </w:p>
  </w:footnote>
  <w:footnote w:id="262">
    <w:p w14:paraId="52584405" w14:textId="77777777" w:rsidR="00730709" w:rsidRPr="00D3155E" w:rsidRDefault="00730709" w:rsidP="00885B99">
      <w:pPr>
        <w:pStyle w:val="FootnoteText"/>
        <w:spacing w:before="120"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shd w:val="clear" w:color="auto" w:fill="FFFFFF"/>
        </w:rPr>
        <w:t>The transactions currently offered are P2P fund transfers, Person to Account (P2A) fund transfers using NEFT and IMPS, balance checking, payments to merchant for small and large value purchases and payment of bills; top-ups and recharges</w:t>
      </w:r>
    </w:p>
  </w:footnote>
  <w:footnote w:id="263">
    <w:p w14:paraId="1F365C92" w14:textId="77777777" w:rsidR="00730709" w:rsidRPr="00D3155E" w:rsidRDefault="00730709" w:rsidP="00885B99">
      <w:pPr>
        <w:pStyle w:val="FootnoteText"/>
        <w:spacing w:before="120"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hyperlink r:id="rId92" w:history="1">
        <w:r w:rsidRPr="00CB6379">
          <w:rPr>
            <w:rStyle w:val="Hyperlink"/>
            <w:szCs w:val="18"/>
          </w:rPr>
          <w:t>http://www.equitel.com</w:t>
        </w:r>
      </w:hyperlink>
    </w:p>
  </w:footnote>
  <w:footnote w:id="264">
    <w:p w14:paraId="0389FDF9" w14:textId="0D563C30" w:rsidR="00730709" w:rsidRPr="00D3155E" w:rsidRDefault="00730709" w:rsidP="00885B99">
      <w:pPr>
        <w:pStyle w:val="FootnoteText"/>
        <w:spacing w:before="120"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 xml:space="preserve">In the case of Equitel in Kenya, use of the shortcode </w:t>
      </w:r>
      <w:r w:rsidRPr="00D3155E">
        <w:rPr>
          <w:color w:val="000000" w:themeColor="text1"/>
          <w:szCs w:val="18"/>
          <w:shd w:val="clear" w:color="auto" w:fill="FFFFFF"/>
        </w:rPr>
        <w:t xml:space="preserve">*247# will divert the session to use the Airtel network. See Equitel (2016) </w:t>
      </w:r>
      <w:r w:rsidRPr="00D3155E">
        <w:rPr>
          <w:i/>
          <w:color w:val="000000" w:themeColor="text1"/>
          <w:szCs w:val="18"/>
          <w:shd w:val="clear" w:color="auto" w:fill="FFFFFF"/>
        </w:rPr>
        <w:t>Get Activated</w:t>
      </w:r>
      <w:r w:rsidRPr="00D3155E">
        <w:rPr>
          <w:color w:val="000000" w:themeColor="text1"/>
          <w:szCs w:val="18"/>
          <w:shd w:val="clear" w:color="auto" w:fill="FFFFFF"/>
        </w:rPr>
        <w:t xml:space="preserve">, available at </w:t>
      </w:r>
      <w:hyperlink r:id="rId93" w:history="1">
        <w:r w:rsidRPr="00F338E2">
          <w:rPr>
            <w:rStyle w:val="Hyperlink"/>
            <w:szCs w:val="18"/>
            <w:shd w:val="clear" w:color="auto" w:fill="FFFFFF"/>
          </w:rPr>
          <w:t>http://www.equitel.com/my-phone/get-activated</w:t>
        </w:r>
      </w:hyperlink>
    </w:p>
  </w:footnote>
  <w:footnote w:id="265">
    <w:p w14:paraId="5FE0DE05" w14:textId="7FC543BB" w:rsidR="00730709" w:rsidRPr="00035A23" w:rsidRDefault="00730709" w:rsidP="00885B99">
      <w:pPr>
        <w:pStyle w:val="FootnoteText"/>
      </w:pPr>
      <w:r>
        <w:rPr>
          <w:rStyle w:val="FootnoteReference"/>
        </w:rPr>
        <w:footnoteRef/>
      </w:r>
      <w:r>
        <w:t xml:space="preserve"> </w:t>
      </w:r>
      <w:r w:rsidRPr="00075BE7">
        <w:rPr>
          <w:color w:val="000000" w:themeColor="text1"/>
          <w:szCs w:val="18"/>
        </w:rPr>
        <w:tab/>
        <w:t xml:space="preserve">NSDT is the trade name for the acoustic access service offered by Tagpay. See </w:t>
      </w:r>
      <w:hyperlink r:id="rId94" w:history="1">
        <w:r w:rsidRPr="00075BE7">
          <w:rPr>
            <w:rStyle w:val="Hyperlink"/>
            <w:szCs w:val="18"/>
          </w:rPr>
          <w:t>www.tagpay.fr</w:t>
        </w:r>
      </w:hyperlink>
    </w:p>
  </w:footnote>
  <w:footnote w:id="266">
    <w:p w14:paraId="50B2583B" w14:textId="77777777" w:rsidR="00730709" w:rsidRPr="00035A23" w:rsidRDefault="00730709" w:rsidP="00885B99">
      <w:pPr>
        <w:pStyle w:val="FootnoteText"/>
      </w:pPr>
      <w:r>
        <w:rPr>
          <w:rStyle w:val="FootnoteReference"/>
        </w:rPr>
        <w:footnoteRef/>
      </w:r>
      <w:r>
        <w:t xml:space="preserve"> </w:t>
      </w:r>
      <w:r>
        <w:tab/>
      </w:r>
      <w:r w:rsidRPr="00075BE7">
        <w:rPr>
          <w:color w:val="000000" w:themeColor="text1"/>
          <w:szCs w:val="18"/>
        </w:rPr>
        <w:t xml:space="preserve">Zhang, B (2013) </w:t>
      </w:r>
      <w:r w:rsidRPr="00075BE7">
        <w:rPr>
          <w:i/>
          <w:color w:val="000000" w:themeColor="text1"/>
          <w:szCs w:val="18"/>
        </w:rPr>
        <w:t>PriWhisper: Enabling Keyless Secure Acoustic Communication for Smartphones</w:t>
      </w:r>
      <w:r w:rsidRPr="00075BE7">
        <w:rPr>
          <w:color w:val="000000" w:themeColor="text1"/>
          <w:szCs w:val="18"/>
        </w:rPr>
        <w:t xml:space="preserve">, available at </w:t>
      </w:r>
      <w:hyperlink r:id="rId95" w:history="1">
        <w:r w:rsidRPr="00075BE7">
          <w:rPr>
            <w:rStyle w:val="Hyperlink"/>
            <w:szCs w:val="18"/>
          </w:rPr>
          <w:t>https://eprint.iacr.org/2013/581.pdf</w:t>
        </w:r>
      </w:hyperlink>
    </w:p>
  </w:footnote>
  <w:footnote w:id="267">
    <w:p w14:paraId="64EFB748" w14:textId="77777777" w:rsidR="00730709" w:rsidRPr="00D3155E" w:rsidRDefault="00730709" w:rsidP="00885B99">
      <w:pPr>
        <w:pStyle w:val="FootnoteText"/>
        <w:tabs>
          <w:tab w:val="left" w:pos="567"/>
        </w:tabs>
        <w:spacing w:before="120"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 xml:space="preserve">NFC World (2015) </w:t>
      </w:r>
      <w:r w:rsidRPr="00D3155E">
        <w:rPr>
          <w:i/>
          <w:color w:val="000000" w:themeColor="text1"/>
          <w:szCs w:val="18"/>
        </w:rPr>
        <w:t>Ultracash Launches Sound-Based Mobile Payment Service In Bangalore</w:t>
      </w:r>
      <w:r w:rsidRPr="00D3155E">
        <w:rPr>
          <w:color w:val="000000" w:themeColor="text1"/>
          <w:szCs w:val="18"/>
        </w:rPr>
        <w:t xml:space="preserve">, available at </w:t>
      </w:r>
      <w:hyperlink r:id="rId96" w:history="1">
        <w:r w:rsidRPr="00F338E2">
          <w:rPr>
            <w:rStyle w:val="Hyperlink"/>
            <w:szCs w:val="18"/>
          </w:rPr>
          <w:t>https://goo.gl/kKV7JU</w:t>
        </w:r>
      </w:hyperlink>
    </w:p>
  </w:footnote>
  <w:footnote w:id="268">
    <w:p w14:paraId="5B573BEB" w14:textId="0E4A9E97" w:rsidR="00730709" w:rsidRPr="00D3155E" w:rsidRDefault="00730709" w:rsidP="00885B99">
      <w:pPr>
        <w:pStyle w:val="FootnoteText"/>
        <w:tabs>
          <w:tab w:val="left" w:pos="567"/>
        </w:tabs>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 xml:space="preserve">Java is a programming language and computing platform first released by Sun Microsystems in 1995. It is the underlying technology that powers state-of-the-art programs including utilities, games and business applications. See Java (2011) </w:t>
      </w:r>
      <w:r w:rsidRPr="00D3155E">
        <w:rPr>
          <w:i/>
          <w:color w:val="000000" w:themeColor="text1"/>
          <w:szCs w:val="18"/>
        </w:rPr>
        <w:t>FAQ: Mobile Java</w:t>
      </w:r>
      <w:r w:rsidRPr="00D3155E">
        <w:rPr>
          <w:color w:val="000000" w:themeColor="text1"/>
          <w:szCs w:val="18"/>
        </w:rPr>
        <w:t xml:space="preserve">, available at </w:t>
      </w:r>
      <w:hyperlink r:id="rId97" w:history="1">
        <w:r w:rsidRPr="001830FD">
          <w:rPr>
            <w:rStyle w:val="Hyperlink"/>
            <w:szCs w:val="18"/>
          </w:rPr>
          <w:t>http://goo.gl/Lo SFO</w:t>
        </w:r>
      </w:hyperlink>
    </w:p>
  </w:footnote>
  <w:footnote w:id="269">
    <w:p w14:paraId="3CA27C64" w14:textId="77777777" w:rsidR="00730709" w:rsidRPr="00035A23" w:rsidRDefault="00730709" w:rsidP="00885B99">
      <w:pPr>
        <w:pStyle w:val="FootnoteText"/>
      </w:pPr>
      <w:r>
        <w:rPr>
          <w:rStyle w:val="FootnoteReference"/>
        </w:rPr>
        <w:footnoteRef/>
      </w:r>
      <w:r>
        <w:t xml:space="preserve"> </w:t>
      </w:r>
      <w:r>
        <w:tab/>
      </w:r>
      <w:r w:rsidRPr="00075BE7">
        <w:rPr>
          <w:rFonts w:eastAsiaTheme="minorHAnsi"/>
          <w:color w:val="000000" w:themeColor="text1"/>
          <w:szCs w:val="18"/>
          <w:lang w:val="en-US"/>
        </w:rPr>
        <w:t>This method is similar in principle to a smartphone app, but running on a less sophisticated type of handset operating system. Many feature phones will have sufficient storage for this.</w:t>
      </w:r>
    </w:p>
  </w:footnote>
  <w:footnote w:id="270">
    <w:p w14:paraId="408ACFE3" w14:textId="77777777" w:rsidR="00730709" w:rsidRPr="00D3155E" w:rsidRDefault="00730709" w:rsidP="00885B99">
      <w:pPr>
        <w:pStyle w:val="FootnoteText"/>
        <w:tabs>
          <w:tab w:val="left" w:pos="567"/>
        </w:tabs>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The process of transferring data between two local devices.</w:t>
      </w:r>
    </w:p>
  </w:footnote>
  <w:footnote w:id="271">
    <w:p w14:paraId="2855FCDA" w14:textId="77777777" w:rsidR="00730709" w:rsidRPr="00D3155E" w:rsidRDefault="00730709" w:rsidP="00885B99">
      <w:pPr>
        <w:pStyle w:val="FootnoteText"/>
        <w:tabs>
          <w:tab w:val="left" w:pos="567"/>
        </w:tabs>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 xml:space="preserve">Zero-rating of the data cost of an application download and/or its use on a mobile network is an emerging trend worldwide. See Fierce Wireless (2014) </w:t>
      </w:r>
      <w:r w:rsidRPr="00D3155E">
        <w:rPr>
          <w:i/>
          <w:color w:val="000000" w:themeColor="text1"/>
          <w:szCs w:val="18"/>
        </w:rPr>
        <w:t>Report: 45% Of Operators Now Offer at Least One Zero-Rated App,</w:t>
      </w:r>
      <w:r w:rsidRPr="00D3155E">
        <w:rPr>
          <w:color w:val="000000" w:themeColor="text1"/>
          <w:szCs w:val="18"/>
        </w:rPr>
        <w:t xml:space="preserve"> available at </w:t>
      </w:r>
      <w:hyperlink r:id="rId98" w:history="1">
        <w:r w:rsidRPr="001830FD">
          <w:rPr>
            <w:rStyle w:val="Hyperlink"/>
            <w:szCs w:val="18"/>
          </w:rPr>
          <w:t>https://goo.gl/jF0mw9</w:t>
        </w:r>
      </w:hyperlink>
      <w:r w:rsidRPr="00D3155E">
        <w:rPr>
          <w:color w:val="000000" w:themeColor="text1"/>
          <w:szCs w:val="18"/>
        </w:rPr>
        <w:t>. The small data cost can be reverse-billed, such that the DFSP is charged by the MNO for the data required for the download to the customer.</w:t>
      </w:r>
    </w:p>
  </w:footnote>
  <w:footnote w:id="272">
    <w:p w14:paraId="05D1F251" w14:textId="77777777" w:rsidR="00730709" w:rsidRPr="00D3155E" w:rsidRDefault="00730709" w:rsidP="00885B99">
      <w:pPr>
        <w:pStyle w:val="FootnoteText"/>
        <w:tabs>
          <w:tab w:val="left" w:pos="567"/>
        </w:tabs>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PCI DSS is a proprietary information security standard for organizations that handle branded credit cards from the major card schemes including Visa, MasterCard, American Express, Discover and JCB.</w:t>
      </w:r>
    </w:p>
  </w:footnote>
  <w:footnote w:id="273">
    <w:p w14:paraId="6249CCF7" w14:textId="77777777"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As the transaction server and Java application is supplied by one vendor, the entire system may be dependent on that vendor however.</w:t>
      </w:r>
    </w:p>
  </w:footnote>
  <w:footnote w:id="274">
    <w:p w14:paraId="4448FAC5" w14:textId="77777777" w:rsidR="00730709" w:rsidRPr="006832DC"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 xml:space="preserve">Available for download at </w:t>
      </w:r>
      <w:hyperlink r:id="rId99" w:history="1">
        <w:r w:rsidRPr="00D3155E">
          <w:rPr>
            <w:rStyle w:val="Hyperlink"/>
            <w:szCs w:val="18"/>
          </w:rPr>
          <w:t>https://goo.gl/kGmM82</w:t>
        </w:r>
      </w:hyperlink>
    </w:p>
  </w:footnote>
  <w:footnote w:id="275">
    <w:p w14:paraId="3EC925A4" w14:textId="77777777" w:rsidR="00730709" w:rsidRPr="00D3155E" w:rsidRDefault="00730709" w:rsidP="00885B99">
      <w:pPr>
        <w:pStyle w:val="FootnoteText"/>
        <w:tabs>
          <w:tab w:val="left" w:pos="567"/>
        </w:tabs>
        <w:spacing w:after="120"/>
        <w:rPr>
          <w:color w:val="000000" w:themeColor="text1"/>
          <w:szCs w:val="18"/>
        </w:rPr>
      </w:pPr>
      <w:r w:rsidRPr="00D3155E">
        <w:rPr>
          <w:rStyle w:val="FootnoteReference"/>
          <w:color w:val="000000" w:themeColor="text1"/>
          <w:szCs w:val="18"/>
        </w:rPr>
        <w:footnoteRef/>
      </w:r>
      <w:r w:rsidRPr="00D3155E">
        <w:rPr>
          <w:rStyle w:val="FootnoteTextChar"/>
          <w:color w:val="000000" w:themeColor="text1"/>
          <w:szCs w:val="18"/>
        </w:rPr>
        <w:t xml:space="preserve"> </w:t>
      </w:r>
      <w:r>
        <w:rPr>
          <w:rStyle w:val="FootnoteTextChar"/>
          <w:color w:val="000000" w:themeColor="text1"/>
          <w:szCs w:val="18"/>
        </w:rPr>
        <w:tab/>
      </w:r>
      <w:r w:rsidRPr="00D3155E">
        <w:rPr>
          <w:rStyle w:val="FootnoteTextChar"/>
          <w:color w:val="000000" w:themeColor="text1"/>
          <w:szCs w:val="18"/>
        </w:rPr>
        <w:t xml:space="preserve">Times of India (2010) </w:t>
      </w:r>
      <w:r w:rsidRPr="00D3155E">
        <w:rPr>
          <w:rStyle w:val="FootnoteTextChar"/>
          <w:i/>
          <w:color w:val="000000" w:themeColor="text1"/>
          <w:szCs w:val="18"/>
        </w:rPr>
        <w:t>Transfer Funds to Any Bank A/C Via Mobile App</w:t>
      </w:r>
      <w:r w:rsidRPr="00D3155E">
        <w:rPr>
          <w:rStyle w:val="FootnoteTextChar"/>
          <w:color w:val="000000" w:themeColor="text1"/>
          <w:szCs w:val="18"/>
        </w:rPr>
        <w:t xml:space="preserve">, available at </w:t>
      </w:r>
      <w:hyperlink r:id="rId100" w:history="1">
        <w:r w:rsidRPr="001830FD">
          <w:rPr>
            <w:rStyle w:val="Hyperlink"/>
            <w:szCs w:val="18"/>
          </w:rPr>
          <w:t>https://goo.gl/KrZEIJ</w:t>
        </w:r>
      </w:hyperlink>
      <w:r w:rsidRPr="00D3155E">
        <w:rPr>
          <w:rStyle w:val="FootnoteTextChar"/>
          <w:color w:val="000000" w:themeColor="text1"/>
          <w:szCs w:val="18"/>
        </w:rPr>
        <w:t xml:space="preserve">. </w:t>
      </w:r>
      <w:r w:rsidRPr="00D3155E">
        <w:rPr>
          <w:color w:val="000000" w:themeColor="text1"/>
          <w:szCs w:val="18"/>
        </w:rPr>
        <w:t xml:space="preserve">See also GMA (2012) </w:t>
      </w:r>
      <w:r w:rsidRPr="00D3155E">
        <w:rPr>
          <w:i/>
          <w:color w:val="000000" w:themeColor="text1"/>
          <w:szCs w:val="18"/>
        </w:rPr>
        <w:t>Globe to launch GCash mobile app for iPhone, BlackBerry</w:t>
      </w:r>
      <w:r w:rsidRPr="00D3155E">
        <w:rPr>
          <w:color w:val="000000" w:themeColor="text1"/>
          <w:szCs w:val="18"/>
        </w:rPr>
        <w:t xml:space="preserve">, available at </w:t>
      </w:r>
      <w:hyperlink r:id="rId101" w:history="1">
        <w:r w:rsidRPr="001830FD">
          <w:rPr>
            <w:rStyle w:val="Hyperlink"/>
            <w:szCs w:val="18"/>
          </w:rPr>
          <w:t>https://goo.gl/FmdBeJ</w:t>
        </w:r>
      </w:hyperlink>
    </w:p>
  </w:footnote>
  <w:footnote w:id="276">
    <w:p w14:paraId="45B5E8C2" w14:textId="77777777" w:rsidR="00730709" w:rsidRPr="00D3155E" w:rsidRDefault="00730709" w:rsidP="00885B99">
      <w:pPr>
        <w:pStyle w:val="FootnoteText"/>
        <w:tabs>
          <w:tab w:val="left" w:pos="567"/>
        </w:tabs>
        <w:spacing w:after="120"/>
        <w:rPr>
          <w:color w:val="000000" w:themeColor="text1"/>
          <w:sz w:val="19"/>
          <w:szCs w:val="19"/>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Handsets supporting 3G and higher speeds invariably also require higher capacity batteries, and larger and more power-hungry touch screen displays, all of which are incremental costs.</w:t>
      </w:r>
    </w:p>
  </w:footnote>
  <w:footnote w:id="277">
    <w:p w14:paraId="6EAF2EB2" w14:textId="77777777" w:rsidR="00730709" w:rsidRPr="00035A23" w:rsidRDefault="00730709" w:rsidP="00885B99">
      <w:pPr>
        <w:pStyle w:val="FootnoteText"/>
      </w:pPr>
      <w:r>
        <w:rPr>
          <w:rStyle w:val="FootnoteReference"/>
        </w:rPr>
        <w:footnoteRef/>
      </w:r>
      <w:r>
        <w:t xml:space="preserve"> </w:t>
      </w:r>
      <w:r>
        <w:tab/>
      </w:r>
      <w:r w:rsidRPr="00075BE7">
        <w:rPr>
          <w:color w:val="000000" w:themeColor="text1"/>
          <w:szCs w:val="18"/>
        </w:rPr>
        <w:t>Of course, besides boosting its DFS business through increased usage through cheaper access channels, the bank may even profit from provision of telecommunication services to its customers and other looking for a cheaper telecommunication alternative. It also allows the bank to participate on relatively equal terms with its MNO rivals by being able to incentivize customer DFS use through giving away free minutes and SMSs when their customer transacts.</w:t>
      </w:r>
    </w:p>
  </w:footnote>
  <w:footnote w:id="278">
    <w:p w14:paraId="519F42CC" w14:textId="77777777"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The holding com</w:t>
      </w:r>
      <w:r>
        <w:rPr>
          <w:color w:val="000000" w:themeColor="text1"/>
          <w:szCs w:val="18"/>
        </w:rPr>
        <w:t>pany is called Finserve Africa.</w:t>
      </w:r>
    </w:p>
  </w:footnote>
  <w:footnote w:id="279">
    <w:p w14:paraId="65D267BF" w14:textId="6029421B"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 xml:space="preserve">In the case of Equitel in Kenya, use of the shortcode </w:t>
      </w:r>
      <w:r w:rsidRPr="00D3155E">
        <w:rPr>
          <w:color w:val="000000" w:themeColor="text1"/>
          <w:szCs w:val="18"/>
          <w:shd w:val="clear" w:color="auto" w:fill="FFFFFF"/>
        </w:rPr>
        <w:t xml:space="preserve">*247# will divert the session to use the Airtel network. See Equitel (2016) </w:t>
      </w:r>
      <w:r w:rsidRPr="00D3155E">
        <w:rPr>
          <w:i/>
          <w:color w:val="000000" w:themeColor="text1"/>
          <w:szCs w:val="18"/>
          <w:shd w:val="clear" w:color="auto" w:fill="FFFFFF"/>
        </w:rPr>
        <w:t>Get Activated</w:t>
      </w:r>
      <w:r w:rsidRPr="00D3155E">
        <w:rPr>
          <w:color w:val="000000" w:themeColor="text1"/>
          <w:szCs w:val="18"/>
          <w:shd w:val="clear" w:color="auto" w:fill="FFFFFF"/>
        </w:rPr>
        <w:t xml:space="preserve">, available at </w:t>
      </w:r>
      <w:hyperlink r:id="rId102" w:history="1">
        <w:r w:rsidRPr="001830FD">
          <w:rPr>
            <w:rStyle w:val="Hyperlink"/>
            <w:szCs w:val="18"/>
            <w:shd w:val="clear" w:color="auto" w:fill="FFFFFF"/>
          </w:rPr>
          <w:t>http://www.equitel.com/my-phone/get-activated</w:t>
        </w:r>
      </w:hyperlink>
    </w:p>
  </w:footnote>
  <w:footnote w:id="280">
    <w:p w14:paraId="53E2E9D8" w14:textId="77777777"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 xml:space="preserve">The Star (2016) </w:t>
      </w:r>
      <w:r w:rsidRPr="00D3155E">
        <w:rPr>
          <w:i/>
          <w:color w:val="000000" w:themeColor="text1"/>
          <w:szCs w:val="18"/>
        </w:rPr>
        <w:t>Equity Bank To Loan Equitel Subscribers Money To Buy Dual SIM Smartphones</w:t>
      </w:r>
      <w:r w:rsidRPr="00D3155E">
        <w:rPr>
          <w:color w:val="000000" w:themeColor="text1"/>
          <w:szCs w:val="18"/>
        </w:rPr>
        <w:t xml:space="preserve">, available at </w:t>
      </w:r>
      <w:hyperlink r:id="rId103" w:history="1">
        <w:r w:rsidRPr="00CB6379">
          <w:rPr>
            <w:rStyle w:val="Hyperlink"/>
            <w:szCs w:val="18"/>
          </w:rPr>
          <w:t>https://goo.gl/S8nzt8</w:t>
        </w:r>
      </w:hyperlink>
    </w:p>
  </w:footnote>
  <w:footnote w:id="281">
    <w:p w14:paraId="4331ED0B" w14:textId="2BEA999A"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 xml:space="preserve">Mazer &amp; Rowan (2016) </w:t>
      </w:r>
      <w:r w:rsidRPr="00D3155E">
        <w:rPr>
          <w:i/>
          <w:color w:val="000000" w:themeColor="text1"/>
          <w:szCs w:val="18"/>
        </w:rPr>
        <w:t>ibid</w:t>
      </w:r>
      <w:r w:rsidRPr="002E69BB">
        <w:t>.</w:t>
      </w:r>
    </w:p>
  </w:footnote>
  <w:footnote w:id="282">
    <w:p w14:paraId="6D5F9636" w14:textId="06757ABC"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 xml:space="preserve">The Star (2016) </w:t>
      </w:r>
      <w:r w:rsidRPr="00D3155E">
        <w:rPr>
          <w:i/>
          <w:color w:val="000000" w:themeColor="text1"/>
          <w:szCs w:val="18"/>
        </w:rPr>
        <w:t>ibid</w:t>
      </w:r>
      <w:r w:rsidRPr="002E69BB">
        <w:t>.</w:t>
      </w:r>
    </w:p>
  </w:footnote>
  <w:footnote w:id="283">
    <w:p w14:paraId="07127FF2" w14:textId="77777777" w:rsidR="00730709" w:rsidRPr="00D3155E" w:rsidRDefault="00730709" w:rsidP="00885B99">
      <w:pPr>
        <w:pStyle w:val="FootnoteText"/>
        <w:spacing w:after="120"/>
        <w:rPr>
          <w:color w:val="000000" w:themeColor="text1"/>
          <w:sz w:val="19"/>
          <w:szCs w:val="19"/>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It also sells mobile hardware on credit and at discounted prices.</w:t>
      </w:r>
    </w:p>
  </w:footnote>
  <w:footnote w:id="284">
    <w:p w14:paraId="6BC310CC" w14:textId="77777777" w:rsidR="00730709" w:rsidRPr="00D3155E" w:rsidRDefault="00730709" w:rsidP="00885B99">
      <w:pPr>
        <w:pStyle w:val="FootnoteText"/>
        <w:spacing w:after="120"/>
        <w:rPr>
          <w:color w:val="000000" w:themeColor="text1"/>
          <w:szCs w:val="18"/>
        </w:rPr>
      </w:pPr>
      <w:r w:rsidRPr="00D3155E">
        <w:rPr>
          <w:rStyle w:val="FootnoteReference"/>
          <w:color w:val="000000" w:themeColor="text1"/>
          <w:szCs w:val="18"/>
        </w:rPr>
        <w:footnoteRef/>
      </w:r>
      <w:r w:rsidRPr="00D3155E">
        <w:rPr>
          <w:color w:val="000000" w:themeColor="text1"/>
          <w:szCs w:val="18"/>
        </w:rPr>
        <w:t xml:space="preserve"> </w:t>
      </w:r>
      <w:r>
        <w:rPr>
          <w:color w:val="000000" w:themeColor="text1"/>
          <w:szCs w:val="18"/>
        </w:rPr>
        <w:tab/>
      </w:r>
      <w:r w:rsidRPr="00D3155E">
        <w:rPr>
          <w:color w:val="000000" w:themeColor="text1"/>
          <w:szCs w:val="18"/>
        </w:rPr>
        <w:t xml:space="preserve">For further information on DLTs, see Perlman, L (2016) </w:t>
      </w:r>
      <w:r w:rsidRPr="00D3155E">
        <w:rPr>
          <w:i/>
          <w:color w:val="000000" w:themeColor="text1"/>
          <w:szCs w:val="18"/>
        </w:rPr>
        <w:t>Aspects of The Legal and Regulatory Issues In Blockchain Technology</w:t>
      </w:r>
      <w:r>
        <w:rPr>
          <w:color w:val="000000" w:themeColor="text1"/>
          <w:szCs w:val="18"/>
        </w:rPr>
        <w:t xml:space="preserve">; and </w:t>
      </w:r>
      <w:r w:rsidRPr="00750FED">
        <w:rPr>
          <w:iCs/>
          <w:color w:val="000000" w:themeColor="text1"/>
          <w:szCs w:val="18"/>
        </w:rPr>
        <w:t xml:space="preserve">ITU Focus Group Digital Financial Services </w:t>
      </w:r>
      <w:r>
        <w:rPr>
          <w:iCs/>
          <w:color w:val="000000" w:themeColor="text1"/>
          <w:szCs w:val="18"/>
        </w:rPr>
        <w:t xml:space="preserve">Technical </w:t>
      </w:r>
      <w:r w:rsidRPr="00750FED">
        <w:rPr>
          <w:iCs/>
          <w:color w:val="000000" w:themeColor="text1"/>
          <w:szCs w:val="18"/>
        </w:rPr>
        <w:t>Report</w:t>
      </w:r>
      <w:r>
        <w:rPr>
          <w:i/>
          <w:color w:val="000000" w:themeColor="text1"/>
          <w:szCs w:val="18"/>
        </w:rPr>
        <w:t xml:space="preserve">: </w:t>
      </w:r>
      <w:hyperlink r:id="rId104" w:history="1">
        <w:r w:rsidRPr="00750FED">
          <w:rPr>
            <w:rStyle w:val="Hyperlink"/>
            <w:i/>
            <w:szCs w:val="18"/>
          </w:rPr>
          <w:t>Distributed Ledger Technologies and Financial Inclusion</w:t>
        </w:r>
      </w:hyperlink>
      <w:r>
        <w:rPr>
          <w:i/>
          <w:color w:val="000000" w:themeColor="text1"/>
          <w:szCs w:val="18"/>
        </w:rPr>
        <w:t xml:space="preserve"> </w:t>
      </w:r>
      <w:r w:rsidRPr="00750FED">
        <w:rPr>
          <w:iCs/>
          <w:color w:val="000000" w:themeColor="text1"/>
          <w:szCs w:val="18"/>
        </w:rPr>
        <w:t>(2017)</w:t>
      </w:r>
    </w:p>
  </w:footnote>
  <w:footnote w:id="285">
    <w:p w14:paraId="3568508E" w14:textId="341DC3CD" w:rsidR="00730709" w:rsidRPr="00035A23" w:rsidRDefault="00730709" w:rsidP="00885B99">
      <w:pPr>
        <w:pStyle w:val="FootnoteText"/>
      </w:pPr>
      <w:r>
        <w:rPr>
          <w:rStyle w:val="FootnoteReference"/>
        </w:rPr>
        <w:footnoteRef/>
      </w:r>
      <w:r>
        <w:t xml:space="preserve"> </w:t>
      </w:r>
      <w:r>
        <w:tab/>
      </w:r>
      <w:r w:rsidRPr="000D7BA2">
        <w:rPr>
          <w:color w:val="000000" w:themeColor="text1"/>
          <w:szCs w:val="18"/>
        </w:rPr>
        <w:t>They also indicate that the thin SIM can be used for blockchain-based mobile ID, mobile banking and mobile</w:t>
      </w:r>
      <w:r>
        <w:rPr>
          <w:color w:val="000000" w:themeColor="text1"/>
          <w:szCs w:val="18"/>
        </w:rPr>
        <w:t> </w:t>
      </w:r>
      <w:r w:rsidRPr="000D7BA2">
        <w:rPr>
          <w:color w:val="000000" w:themeColor="text1"/>
          <w:szCs w:val="18"/>
        </w:rPr>
        <w:t>remittance</w:t>
      </w:r>
      <w:r>
        <w:rPr>
          <w:color w:val="000000" w:themeColor="text1"/>
          <w:szCs w:val="18"/>
        </w:rPr>
        <w:t> </w:t>
      </w:r>
      <w:r w:rsidRPr="000D7BA2">
        <w:rPr>
          <w:color w:val="000000" w:themeColor="text1"/>
          <w:szCs w:val="18"/>
        </w:rPr>
        <w:t>Java</w:t>
      </w:r>
      <w:r>
        <w:rPr>
          <w:color w:val="000000" w:themeColor="text1"/>
          <w:szCs w:val="18"/>
        </w:rPr>
        <w:t> </w:t>
      </w:r>
      <w:r w:rsidRPr="000D7BA2">
        <w:rPr>
          <w:color w:val="000000" w:themeColor="text1"/>
          <w:szCs w:val="18"/>
        </w:rPr>
        <w:t>Apps.</w:t>
      </w:r>
      <w:r>
        <w:rPr>
          <w:color w:val="000000" w:themeColor="text1"/>
          <w:szCs w:val="18"/>
        </w:rPr>
        <w:t> </w:t>
      </w:r>
      <w:r w:rsidRPr="000D7BA2">
        <w:rPr>
          <w:color w:val="000000" w:themeColor="text1"/>
          <w:szCs w:val="18"/>
        </w:rPr>
        <w:t>See</w:t>
      </w:r>
      <w:r>
        <w:rPr>
          <w:color w:val="000000" w:themeColor="text1"/>
          <w:szCs w:val="18"/>
        </w:rPr>
        <w:t> </w:t>
      </w:r>
      <w:r w:rsidRPr="000D7BA2">
        <w:rPr>
          <w:color w:val="000000" w:themeColor="text1"/>
          <w:szCs w:val="18"/>
        </w:rPr>
        <w:t>Fuzzo</w:t>
      </w:r>
      <w:r>
        <w:rPr>
          <w:color w:val="000000" w:themeColor="text1"/>
          <w:szCs w:val="18"/>
        </w:rPr>
        <w:t> </w:t>
      </w:r>
      <w:r w:rsidRPr="000D7BA2">
        <w:rPr>
          <w:color w:val="000000" w:themeColor="text1"/>
          <w:szCs w:val="18"/>
        </w:rPr>
        <w:t>(2015)</w:t>
      </w:r>
      <w:r>
        <w:rPr>
          <w:color w:val="000000" w:themeColor="text1"/>
          <w:szCs w:val="18"/>
        </w:rPr>
        <w:t> </w:t>
      </w:r>
      <w:r w:rsidRPr="000D7BA2">
        <w:rPr>
          <w:i/>
          <w:color w:val="000000" w:themeColor="text1"/>
          <w:szCs w:val="18"/>
        </w:rPr>
        <w:t>BitSIM</w:t>
      </w:r>
      <w:r w:rsidRPr="000D7BA2">
        <w:rPr>
          <w:color w:val="000000" w:themeColor="text1"/>
          <w:szCs w:val="18"/>
        </w:rPr>
        <w:t>,</w:t>
      </w:r>
      <w:r>
        <w:rPr>
          <w:color w:val="000000" w:themeColor="text1"/>
          <w:szCs w:val="18"/>
        </w:rPr>
        <w:t> </w:t>
      </w:r>
      <w:r w:rsidRPr="000D7BA2">
        <w:rPr>
          <w:color w:val="000000" w:themeColor="text1"/>
          <w:szCs w:val="18"/>
        </w:rPr>
        <w:t>available</w:t>
      </w:r>
      <w:r>
        <w:rPr>
          <w:color w:val="000000" w:themeColor="text1"/>
          <w:szCs w:val="18"/>
        </w:rPr>
        <w:t> </w:t>
      </w:r>
      <w:r w:rsidRPr="000D7BA2">
        <w:rPr>
          <w:color w:val="000000" w:themeColor="text1"/>
          <w:szCs w:val="18"/>
        </w:rPr>
        <w:t>at</w:t>
      </w:r>
      <w:r>
        <w:rPr>
          <w:color w:val="000000" w:themeColor="text1"/>
          <w:szCs w:val="18"/>
        </w:rPr>
        <w:br/>
      </w:r>
      <w:hyperlink r:id="rId105" w:history="1">
        <w:r w:rsidRPr="000D7BA2">
          <w:rPr>
            <w:rStyle w:val="Hyperlink"/>
            <w:szCs w:val="18"/>
          </w:rPr>
          <w:t>http://www.bitsim.co/#what-is-bitsim</w:t>
        </w:r>
      </w:hyperlink>
    </w:p>
  </w:footnote>
  <w:footnote w:id="286">
    <w:p w14:paraId="7DE72788" w14:textId="77777777" w:rsidR="00730709" w:rsidRPr="00CB3B13" w:rsidRDefault="00730709" w:rsidP="00885B99">
      <w:pPr>
        <w:pStyle w:val="FootnoteText"/>
        <w:spacing w:after="120"/>
        <w:rPr>
          <w:color w:val="000000" w:themeColor="text1"/>
          <w:szCs w:val="18"/>
        </w:rPr>
      </w:pPr>
      <w:r w:rsidRPr="00CB3B13">
        <w:rPr>
          <w:rStyle w:val="FootnoteReference"/>
          <w:color w:val="000000" w:themeColor="text1"/>
          <w:szCs w:val="18"/>
        </w:rPr>
        <w:footnoteRef/>
      </w:r>
      <w:r w:rsidRPr="00CB3B13">
        <w:rPr>
          <w:color w:val="000000" w:themeColor="text1"/>
          <w:szCs w:val="18"/>
        </w:rPr>
        <w:t xml:space="preserve"> </w:t>
      </w:r>
      <w:r>
        <w:rPr>
          <w:color w:val="000000" w:themeColor="text1"/>
          <w:szCs w:val="18"/>
        </w:rPr>
        <w:tab/>
      </w:r>
      <w:r w:rsidRPr="00CB3B13">
        <w:rPr>
          <w:color w:val="000000" w:themeColor="text1"/>
          <w:szCs w:val="18"/>
        </w:rPr>
        <w:t xml:space="preserve">There is a Rs. 10,000 per transaction limit, and Rs. 20,000 per day for BHIM. See Airtel (2016) </w:t>
      </w:r>
      <w:r w:rsidRPr="00CB3B13">
        <w:rPr>
          <w:i/>
          <w:color w:val="000000" w:themeColor="text1"/>
          <w:szCs w:val="18"/>
        </w:rPr>
        <w:t>BHIM App Launched by PM Modi, Explained in 10 Points</w:t>
      </w:r>
      <w:r w:rsidRPr="00CB3B13">
        <w:rPr>
          <w:color w:val="000000" w:themeColor="text1"/>
          <w:szCs w:val="18"/>
        </w:rPr>
        <w:t xml:space="preserve">, available at </w:t>
      </w:r>
      <w:hyperlink r:id="rId106" w:history="1">
        <w:r w:rsidRPr="001830FD">
          <w:rPr>
            <w:rStyle w:val="Hyperlink"/>
            <w:szCs w:val="18"/>
          </w:rPr>
          <w:t>https://goo.gl/jC1ogx</w:t>
        </w:r>
      </w:hyperlink>
    </w:p>
  </w:footnote>
  <w:footnote w:id="287">
    <w:p w14:paraId="00350EBF" w14:textId="7161AEE7" w:rsidR="00A70083" w:rsidRPr="00035A23" w:rsidRDefault="00A70083">
      <w:pPr>
        <w:pStyle w:val="FootnoteText"/>
      </w:pPr>
      <w:r>
        <w:rPr>
          <w:rStyle w:val="FootnoteReference"/>
        </w:rPr>
        <w:footnoteRef/>
      </w:r>
      <w:r>
        <w:t xml:space="preserve"> </w:t>
      </w:r>
      <w:r w:rsidRPr="00035A23">
        <w:tab/>
      </w:r>
      <w:r w:rsidRPr="00A70083">
        <w:rPr>
          <w:rFonts w:eastAsiaTheme="majorEastAsia"/>
          <w:color w:val="000000" w:themeColor="text1"/>
          <w:szCs w:val="22"/>
          <w:bdr w:val="none" w:sz="0" w:space="0" w:color="auto" w:frame="1"/>
        </w:rPr>
        <w:t>Kerich</w:t>
      </w:r>
      <w:r w:rsidRPr="00A70083">
        <w:rPr>
          <w:color w:val="000000" w:themeColor="text1"/>
          <w:szCs w:val="22"/>
        </w:rPr>
        <w:t xml:space="preserve">, M (2015) </w:t>
      </w:r>
      <w:r w:rsidRPr="00A70083">
        <w:rPr>
          <w:i/>
          <w:color w:val="000000" w:themeColor="text1"/>
          <w:szCs w:val="22"/>
        </w:rPr>
        <w:t>Kenyan Banks Launch Real-Time Interbank Switch in Response To Mobile Money,</w:t>
      </w:r>
      <w:r w:rsidRPr="00A70083">
        <w:rPr>
          <w:color w:val="000000" w:themeColor="text1"/>
          <w:szCs w:val="22"/>
        </w:rPr>
        <w:t xml:space="preserve"> available at </w:t>
      </w:r>
      <w:hyperlink r:id="rId107" w:history="1">
        <w:r w:rsidRPr="00A70083">
          <w:rPr>
            <w:rStyle w:val="Hyperlink"/>
            <w:szCs w:val="22"/>
          </w:rPr>
          <w:t>https://goo.gl/y28ff6</w:t>
        </w:r>
      </w:hyperlink>
    </w:p>
  </w:footnote>
  <w:footnote w:id="288">
    <w:p w14:paraId="1C6A2C54" w14:textId="20E8B306" w:rsidR="00A70083" w:rsidRPr="00035A23" w:rsidRDefault="00A70083">
      <w:pPr>
        <w:pStyle w:val="FootnoteText"/>
      </w:pPr>
      <w:r>
        <w:rPr>
          <w:rStyle w:val="FootnoteReference"/>
        </w:rPr>
        <w:footnoteRef/>
      </w:r>
      <w:r>
        <w:t xml:space="preserve"> </w:t>
      </w:r>
      <w:r w:rsidRPr="00035A23">
        <w:tab/>
      </w:r>
      <w:r w:rsidRPr="00A70083">
        <w:rPr>
          <w:color w:val="000000" w:themeColor="text1"/>
          <w:szCs w:val="22"/>
        </w:rPr>
        <w:t xml:space="preserve">All Africa (2016) </w:t>
      </w:r>
      <w:r w:rsidRPr="00A70083">
        <w:rPr>
          <w:i/>
          <w:color w:val="000000" w:themeColor="text1"/>
          <w:szCs w:val="22"/>
        </w:rPr>
        <w:t>Kenya: Roll-Out of Banks' Joint Mobile Cash Transfer Platform Postponed</w:t>
      </w:r>
      <w:r w:rsidRPr="00A70083">
        <w:rPr>
          <w:color w:val="000000" w:themeColor="text1"/>
          <w:szCs w:val="22"/>
        </w:rPr>
        <w:t xml:space="preserve">, available at </w:t>
      </w:r>
      <w:hyperlink r:id="rId108" w:history="1">
        <w:r w:rsidRPr="00A70083">
          <w:rPr>
            <w:rStyle w:val="Hyperlink"/>
            <w:szCs w:val="22"/>
          </w:rPr>
          <w:t>https://goo.gl/5eZmkz</w:t>
        </w:r>
      </w:hyperlink>
    </w:p>
  </w:footnote>
  <w:footnote w:id="289">
    <w:p w14:paraId="0FD1BFB5" w14:textId="77777777" w:rsidR="00730709" w:rsidRPr="00CB3B13" w:rsidRDefault="00730709" w:rsidP="00885B99">
      <w:pPr>
        <w:pStyle w:val="FootnoteText"/>
        <w:spacing w:after="120"/>
        <w:rPr>
          <w:color w:val="000000" w:themeColor="text1"/>
          <w:szCs w:val="18"/>
        </w:rPr>
      </w:pPr>
      <w:r w:rsidRPr="00CB3B13">
        <w:rPr>
          <w:rStyle w:val="FootnoteReference"/>
          <w:color w:val="000000" w:themeColor="text1"/>
          <w:szCs w:val="18"/>
        </w:rPr>
        <w:footnoteRef/>
      </w:r>
      <w:r w:rsidRPr="00CB3B13">
        <w:rPr>
          <w:color w:val="000000" w:themeColor="text1"/>
          <w:szCs w:val="18"/>
        </w:rPr>
        <w:t xml:space="preserve"> BD Africa (2017) </w:t>
      </w:r>
      <w:r w:rsidRPr="00CB3B13">
        <w:rPr>
          <w:i/>
          <w:color w:val="000000" w:themeColor="text1"/>
          <w:szCs w:val="18"/>
        </w:rPr>
        <w:t>Banks</w:t>
      </w:r>
      <w:r>
        <w:rPr>
          <w:i/>
          <w:color w:val="000000" w:themeColor="text1"/>
          <w:szCs w:val="18"/>
        </w:rPr>
        <w:t>'</w:t>
      </w:r>
      <w:r w:rsidRPr="00CB3B13">
        <w:rPr>
          <w:i/>
          <w:color w:val="000000" w:themeColor="text1"/>
          <w:szCs w:val="18"/>
        </w:rPr>
        <w:t xml:space="preserve"> Plan To Set Up Mobile Money Transfer Platform Stalls</w:t>
      </w:r>
      <w:r w:rsidRPr="00CB3B13">
        <w:rPr>
          <w:color w:val="000000" w:themeColor="text1"/>
          <w:szCs w:val="18"/>
        </w:rPr>
        <w:t xml:space="preserve">, available at </w:t>
      </w:r>
      <w:hyperlink r:id="rId109" w:history="1">
        <w:r w:rsidRPr="001830FD">
          <w:rPr>
            <w:rStyle w:val="Hyperlink"/>
            <w:szCs w:val="18"/>
          </w:rPr>
          <w:t>https://goo.gl/FOsMlP</w:t>
        </w:r>
      </w:hyperlink>
    </w:p>
  </w:footnote>
  <w:footnote w:id="290">
    <w:p w14:paraId="7CB44AC2" w14:textId="77777777" w:rsidR="00730709" w:rsidRPr="00CB3B13" w:rsidRDefault="00730709" w:rsidP="00885B99">
      <w:pPr>
        <w:pStyle w:val="FootnoteText"/>
        <w:spacing w:after="120"/>
        <w:rPr>
          <w:color w:val="000000" w:themeColor="text1"/>
          <w:szCs w:val="18"/>
        </w:rPr>
      </w:pPr>
      <w:r w:rsidRPr="00CB3B13">
        <w:rPr>
          <w:rStyle w:val="FootnoteReference"/>
          <w:color w:val="000000" w:themeColor="text1"/>
          <w:szCs w:val="18"/>
        </w:rPr>
        <w:footnoteRef/>
      </w:r>
      <w:r w:rsidRPr="00CB3B13">
        <w:rPr>
          <w:color w:val="000000" w:themeColor="text1"/>
          <w:szCs w:val="18"/>
        </w:rPr>
        <w:t xml:space="preserve"> </w:t>
      </w:r>
      <w:r>
        <w:rPr>
          <w:color w:val="000000" w:themeColor="text1"/>
          <w:szCs w:val="18"/>
        </w:rPr>
        <w:tab/>
      </w:r>
      <w:r w:rsidRPr="00CB3B13">
        <w:rPr>
          <w:color w:val="000000" w:themeColor="text1"/>
          <w:szCs w:val="18"/>
        </w:rPr>
        <w:t xml:space="preserve">Standard (2016) </w:t>
      </w:r>
      <w:r w:rsidRPr="00CB3B13">
        <w:rPr>
          <w:i/>
          <w:color w:val="000000" w:themeColor="text1"/>
          <w:szCs w:val="18"/>
          <w:shd w:val="clear" w:color="auto" w:fill="FFFFFF"/>
        </w:rPr>
        <w:t>Safaricom In Talks With Five Firms On M-Pesa</w:t>
      </w:r>
      <w:r>
        <w:rPr>
          <w:i/>
          <w:color w:val="000000" w:themeColor="text1"/>
          <w:szCs w:val="18"/>
          <w:shd w:val="clear" w:color="auto" w:fill="FFFFFF"/>
        </w:rPr>
        <w:t>'</w:t>
      </w:r>
      <w:r w:rsidRPr="00CB3B13">
        <w:rPr>
          <w:i/>
          <w:color w:val="000000" w:themeColor="text1"/>
          <w:szCs w:val="18"/>
          <w:shd w:val="clear" w:color="auto" w:fill="FFFFFF"/>
        </w:rPr>
        <w:t>s Future,</w:t>
      </w:r>
      <w:r w:rsidRPr="00CB3B13">
        <w:rPr>
          <w:color w:val="000000" w:themeColor="text1"/>
          <w:szCs w:val="18"/>
        </w:rPr>
        <w:t xml:space="preserve"> available at </w:t>
      </w:r>
      <w:hyperlink r:id="rId110" w:history="1">
        <w:r w:rsidRPr="001830FD">
          <w:rPr>
            <w:rStyle w:val="Hyperlink"/>
            <w:szCs w:val="18"/>
          </w:rPr>
          <w:t>https://goo.gl/Acm0Fa</w:t>
        </w:r>
      </w:hyperlink>
    </w:p>
  </w:footnote>
  <w:footnote w:id="291">
    <w:p w14:paraId="2BA4E3AC" w14:textId="3E037996" w:rsidR="00730709" w:rsidRPr="00CB3B13" w:rsidRDefault="00730709" w:rsidP="00885B99">
      <w:pPr>
        <w:pStyle w:val="FootnoteText"/>
        <w:spacing w:after="120"/>
        <w:rPr>
          <w:color w:val="000000" w:themeColor="text1"/>
          <w:szCs w:val="18"/>
        </w:rPr>
      </w:pPr>
      <w:r w:rsidRPr="00CB3B13">
        <w:rPr>
          <w:rStyle w:val="FootnoteReference"/>
          <w:color w:val="000000" w:themeColor="text1"/>
          <w:szCs w:val="18"/>
        </w:rPr>
        <w:footnoteRef/>
      </w:r>
      <w:r w:rsidRPr="00CB3B13">
        <w:rPr>
          <w:color w:val="000000" w:themeColor="text1"/>
          <w:szCs w:val="18"/>
        </w:rPr>
        <w:t xml:space="preserve"> </w:t>
      </w:r>
      <w:r>
        <w:rPr>
          <w:color w:val="000000" w:themeColor="text1"/>
          <w:szCs w:val="18"/>
        </w:rPr>
        <w:tab/>
      </w:r>
      <w:r w:rsidRPr="00CB3B13">
        <w:rPr>
          <w:color w:val="000000" w:themeColor="text1"/>
          <w:szCs w:val="18"/>
        </w:rPr>
        <w:t>With Abra –</w:t>
      </w:r>
      <w:r w:rsidR="00A70083">
        <w:rPr>
          <w:color w:val="000000" w:themeColor="text1"/>
          <w:szCs w:val="18"/>
        </w:rPr>
        <w:t> </w:t>
      </w:r>
      <w:r w:rsidRPr="00CB3B13">
        <w:rPr>
          <w:color w:val="000000" w:themeColor="text1"/>
          <w:szCs w:val="18"/>
        </w:rPr>
        <w:t>which claims to be the first digital cash peer-to-peer network</w:t>
      </w:r>
      <w:r w:rsidR="00A70083">
        <w:rPr>
          <w:color w:val="000000" w:themeColor="text1"/>
          <w:szCs w:val="18"/>
        </w:rPr>
        <w:t> </w:t>
      </w:r>
      <w:r w:rsidR="00A70083" w:rsidRPr="00A70083">
        <w:rPr>
          <w:color w:val="000000" w:themeColor="text1"/>
          <w:szCs w:val="18"/>
        </w:rPr>
        <w:t>–</w:t>
      </w:r>
      <w:r w:rsidRPr="00CB3B13">
        <w:rPr>
          <w:color w:val="000000" w:themeColor="text1"/>
          <w:szCs w:val="18"/>
        </w:rPr>
        <w:t xml:space="preserve"> sending and receiving funds is free, as is adding and withdrawing funds using a partner bank account. See Abra (2017) </w:t>
      </w:r>
      <w:r w:rsidRPr="00CB3B13">
        <w:rPr>
          <w:i/>
          <w:color w:val="000000" w:themeColor="text1"/>
          <w:szCs w:val="18"/>
        </w:rPr>
        <w:t>Fees</w:t>
      </w:r>
      <w:r w:rsidRPr="00CB3B13">
        <w:rPr>
          <w:color w:val="000000" w:themeColor="text1"/>
          <w:szCs w:val="18"/>
        </w:rPr>
        <w:t xml:space="preserve">, available at </w:t>
      </w:r>
      <w:hyperlink r:id="rId111" w:history="1">
        <w:r w:rsidRPr="001830FD">
          <w:rPr>
            <w:rStyle w:val="Hyperlink"/>
            <w:szCs w:val="18"/>
          </w:rPr>
          <w:t>https://www.goabra.com/fees/</w:t>
        </w:r>
      </w:hyperlink>
    </w:p>
  </w:footnote>
  <w:footnote w:id="292">
    <w:p w14:paraId="6FBF063D" w14:textId="77777777" w:rsidR="00730709" w:rsidRPr="00CB3B13" w:rsidRDefault="00730709" w:rsidP="00885B99">
      <w:pPr>
        <w:pStyle w:val="FootnoteText"/>
        <w:spacing w:after="120"/>
        <w:rPr>
          <w:color w:val="000000" w:themeColor="text1"/>
          <w:szCs w:val="18"/>
        </w:rPr>
      </w:pPr>
      <w:r w:rsidRPr="00CB3B13">
        <w:rPr>
          <w:rStyle w:val="FootnoteReference"/>
          <w:color w:val="000000" w:themeColor="text1"/>
          <w:szCs w:val="18"/>
        </w:rPr>
        <w:footnoteRef/>
      </w:r>
      <w:r w:rsidRPr="00CB3B13">
        <w:rPr>
          <w:color w:val="000000" w:themeColor="text1"/>
          <w:szCs w:val="18"/>
        </w:rPr>
        <w:t xml:space="preserve"> </w:t>
      </w:r>
      <w:r>
        <w:rPr>
          <w:color w:val="000000" w:themeColor="text1"/>
          <w:szCs w:val="18"/>
        </w:rPr>
        <w:tab/>
      </w:r>
      <w:r w:rsidRPr="00CB3B13">
        <w:rPr>
          <w:color w:val="000000" w:themeColor="text1"/>
          <w:szCs w:val="18"/>
        </w:rPr>
        <w:t>This Annex was contributed by Ariadne Plaitakis of Mondato, a member of the TIC WG.</w:t>
      </w:r>
    </w:p>
  </w:footnote>
  <w:footnote w:id="293">
    <w:p w14:paraId="0E5F3A50" w14:textId="391AF24F" w:rsidR="00730709" w:rsidRPr="00035A23" w:rsidRDefault="00730709" w:rsidP="00885B99">
      <w:pPr>
        <w:pStyle w:val="FootnoteText"/>
      </w:pPr>
      <w:r>
        <w:rPr>
          <w:rStyle w:val="FootnoteReference"/>
        </w:rPr>
        <w:footnoteRef/>
      </w:r>
      <w:r>
        <w:t xml:space="preserve"> </w:t>
      </w:r>
      <w:r w:rsidR="009330E1">
        <w:tab/>
      </w:r>
      <w:r w:rsidRPr="00CD65DA">
        <w:rPr>
          <w:color w:val="000000" w:themeColor="text1"/>
          <w:szCs w:val="18"/>
        </w:rPr>
        <w:t xml:space="preserve">Includes </w:t>
      </w:r>
      <w:r w:rsidRPr="00CD65DA">
        <w:rPr>
          <w:color w:val="000000" w:themeColor="text1"/>
          <w:szCs w:val="18"/>
          <w:lang w:eastAsia="en-GB"/>
        </w:rPr>
        <w:t>exclusive distribution, exclusive customer allocation, selective distribution, franchising, and exclusive supply tying agreements.</w:t>
      </w:r>
    </w:p>
  </w:footnote>
  <w:footnote w:id="294">
    <w:p w14:paraId="764CD51E" w14:textId="58273157" w:rsidR="00730709" w:rsidRPr="00035A23" w:rsidRDefault="00730709" w:rsidP="00885B99">
      <w:pPr>
        <w:pStyle w:val="FootnoteText"/>
      </w:pPr>
      <w:r>
        <w:rPr>
          <w:rStyle w:val="FootnoteReference"/>
        </w:rPr>
        <w:footnoteRef/>
      </w:r>
      <w:r>
        <w:t xml:space="preserve"> </w:t>
      </w:r>
      <w:r w:rsidR="009330E1">
        <w:tab/>
      </w:r>
      <w:r w:rsidRPr="00CD65DA">
        <w:rPr>
          <w:color w:val="000000" w:themeColor="text1"/>
          <w:szCs w:val="18"/>
        </w:rPr>
        <w:t>The US is much more lenient on these types of restraints than EU.</w:t>
      </w:r>
    </w:p>
  </w:footnote>
  <w:footnote w:id="295">
    <w:p w14:paraId="7C98D9BA" w14:textId="77777777" w:rsidR="00730709" w:rsidRPr="00035A23" w:rsidRDefault="00730709" w:rsidP="00885B99">
      <w:pPr>
        <w:pStyle w:val="FootnoteText"/>
      </w:pPr>
      <w:r>
        <w:rPr>
          <w:rStyle w:val="FootnoteReference"/>
        </w:rPr>
        <w:footnoteRef/>
      </w:r>
      <w:r>
        <w:t xml:space="preserve"> </w:t>
      </w:r>
      <w:r>
        <w:tab/>
      </w:r>
      <w:r w:rsidRPr="00CD65DA">
        <w:rPr>
          <w:color w:val="000000" w:themeColor="text1"/>
          <w:szCs w:val="18"/>
        </w:rPr>
        <w:t>Under EU law, there is a presumption of dominance if the entity has more than 50% market share; such presumptions vary between jurisdictions.</w:t>
      </w:r>
    </w:p>
  </w:footnote>
  <w:footnote w:id="296">
    <w:p w14:paraId="0EE5C243" w14:textId="77777777" w:rsidR="00730709" w:rsidRPr="00035A23" w:rsidRDefault="00730709" w:rsidP="00885B99">
      <w:pPr>
        <w:pStyle w:val="FootnoteText"/>
      </w:pPr>
      <w:r>
        <w:rPr>
          <w:rStyle w:val="FootnoteReference"/>
        </w:rPr>
        <w:footnoteRef/>
      </w:r>
      <w:r>
        <w:t xml:space="preserve"> </w:t>
      </w:r>
      <w:r>
        <w:tab/>
      </w:r>
      <w:r w:rsidRPr="00CD65DA">
        <w:rPr>
          <w:color w:val="000000" w:themeColor="text1"/>
          <w:szCs w:val="18"/>
        </w:rPr>
        <w:t>Here a dominant firm leaves insufficient margin between upstream and downstream products, squeezing competitors downstream.</w:t>
      </w:r>
    </w:p>
  </w:footnote>
  <w:footnote w:id="297">
    <w:p w14:paraId="1F5A4A66" w14:textId="77777777" w:rsidR="00730709" w:rsidRPr="00035A23" w:rsidRDefault="00730709" w:rsidP="00885B99">
      <w:pPr>
        <w:pStyle w:val="FootnoteText"/>
      </w:pPr>
      <w:r>
        <w:rPr>
          <w:rStyle w:val="FootnoteReference"/>
        </w:rPr>
        <w:footnoteRef/>
      </w:r>
      <w:r>
        <w:t xml:space="preserve"> </w:t>
      </w:r>
      <w:r>
        <w:tab/>
      </w:r>
      <w:r w:rsidRPr="00CD65DA">
        <w:rPr>
          <w:color w:val="000000" w:themeColor="text1"/>
          <w:szCs w:val="18"/>
        </w:rPr>
        <w:t>Buying all from one supplier.</w:t>
      </w:r>
    </w:p>
  </w:footnote>
  <w:footnote w:id="298">
    <w:p w14:paraId="65E4FE86" w14:textId="77777777" w:rsidR="00730709" w:rsidRPr="00035A23" w:rsidRDefault="00730709" w:rsidP="00885B99">
      <w:pPr>
        <w:pStyle w:val="FootnoteText"/>
      </w:pPr>
      <w:r>
        <w:rPr>
          <w:rStyle w:val="FootnoteReference"/>
        </w:rPr>
        <w:footnoteRef/>
      </w:r>
      <w:r>
        <w:t xml:space="preserve"> </w:t>
      </w:r>
      <w:r>
        <w:tab/>
      </w:r>
      <w:r w:rsidRPr="00CD65DA">
        <w:rPr>
          <w:lang w:val="en-US"/>
        </w:rPr>
        <w:t>Volume rebates are allowed under EU law.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C84D1" w14:textId="77777777" w:rsidR="00730709" w:rsidRDefault="00730709">
    <w:pPr>
      <w:pStyle w:val="Header"/>
      <w:ind w:right="360" w:firstLine="36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32B66" w14:textId="77777777" w:rsidR="00730709" w:rsidRDefault="007307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5C477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AB6D8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BE64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62D0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DCB4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3C74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524B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FA1D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E4EC7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3E85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52E86"/>
    <w:multiLevelType w:val="hybridMultilevel"/>
    <w:tmpl w:val="3EFA7450"/>
    <w:lvl w:ilvl="0" w:tplc="5C361D8E">
      <w:start w:val="1"/>
      <w:numFmt w:val="lowerRoman"/>
      <w:lvlText w:val="(%1)"/>
      <w:lvlJc w:val="left"/>
      <w:pPr>
        <w:ind w:left="436" w:hanging="72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1" w15:restartNumberingAfterBreak="0">
    <w:nsid w:val="07C7124D"/>
    <w:multiLevelType w:val="multilevel"/>
    <w:tmpl w:val="1A98B4F8"/>
    <w:lvl w:ilvl="0">
      <w:start w:val="5"/>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F001830"/>
    <w:multiLevelType w:val="hybridMultilevel"/>
    <w:tmpl w:val="5C8618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4B93360"/>
    <w:multiLevelType w:val="hybridMultilevel"/>
    <w:tmpl w:val="2904F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F7A3D40"/>
    <w:multiLevelType w:val="hybridMultilevel"/>
    <w:tmpl w:val="E58A5A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41E3A5C"/>
    <w:multiLevelType w:val="multilevel"/>
    <w:tmpl w:val="229CFE5E"/>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4451322"/>
    <w:multiLevelType w:val="hybridMultilevel"/>
    <w:tmpl w:val="63B8F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786"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0F37CF"/>
    <w:multiLevelType w:val="multilevel"/>
    <w:tmpl w:val="8522F912"/>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655317C"/>
    <w:multiLevelType w:val="multilevel"/>
    <w:tmpl w:val="9460C4C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7BD24E9"/>
    <w:multiLevelType w:val="hybridMultilevel"/>
    <w:tmpl w:val="8872F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93052E8"/>
    <w:multiLevelType w:val="hybridMultilevel"/>
    <w:tmpl w:val="C1182E14"/>
    <w:lvl w:ilvl="0" w:tplc="04090019">
      <w:start w:val="1"/>
      <w:numFmt w:val="lowerLetter"/>
      <w:lvlText w:val="%1."/>
      <w:lvlJc w:val="left"/>
      <w:pPr>
        <w:ind w:left="-208" w:hanging="360"/>
      </w:pPr>
      <w:rPr>
        <w:rFonts w:hint="default"/>
      </w:rPr>
    </w:lvl>
    <w:lvl w:ilvl="1" w:tplc="04090019" w:tentative="1">
      <w:start w:val="1"/>
      <w:numFmt w:val="lowerLetter"/>
      <w:lvlText w:val="%2."/>
      <w:lvlJc w:val="left"/>
      <w:pPr>
        <w:ind w:left="512" w:hanging="360"/>
      </w:pPr>
    </w:lvl>
    <w:lvl w:ilvl="2" w:tplc="0409001B" w:tentative="1">
      <w:start w:val="1"/>
      <w:numFmt w:val="lowerRoman"/>
      <w:lvlText w:val="%3."/>
      <w:lvlJc w:val="right"/>
      <w:pPr>
        <w:ind w:left="1232" w:hanging="180"/>
      </w:pPr>
    </w:lvl>
    <w:lvl w:ilvl="3" w:tplc="0409000F" w:tentative="1">
      <w:start w:val="1"/>
      <w:numFmt w:val="decimal"/>
      <w:lvlText w:val="%4."/>
      <w:lvlJc w:val="left"/>
      <w:pPr>
        <w:ind w:left="1952" w:hanging="360"/>
      </w:pPr>
    </w:lvl>
    <w:lvl w:ilvl="4" w:tplc="04090019" w:tentative="1">
      <w:start w:val="1"/>
      <w:numFmt w:val="lowerLetter"/>
      <w:lvlText w:val="%5."/>
      <w:lvlJc w:val="left"/>
      <w:pPr>
        <w:ind w:left="2672" w:hanging="360"/>
      </w:pPr>
    </w:lvl>
    <w:lvl w:ilvl="5" w:tplc="0409001B" w:tentative="1">
      <w:start w:val="1"/>
      <w:numFmt w:val="lowerRoman"/>
      <w:lvlText w:val="%6."/>
      <w:lvlJc w:val="right"/>
      <w:pPr>
        <w:ind w:left="3392" w:hanging="180"/>
      </w:pPr>
    </w:lvl>
    <w:lvl w:ilvl="6" w:tplc="0409000F" w:tentative="1">
      <w:start w:val="1"/>
      <w:numFmt w:val="decimal"/>
      <w:lvlText w:val="%7."/>
      <w:lvlJc w:val="left"/>
      <w:pPr>
        <w:ind w:left="4112" w:hanging="360"/>
      </w:pPr>
    </w:lvl>
    <w:lvl w:ilvl="7" w:tplc="04090019" w:tentative="1">
      <w:start w:val="1"/>
      <w:numFmt w:val="lowerLetter"/>
      <w:lvlText w:val="%8."/>
      <w:lvlJc w:val="left"/>
      <w:pPr>
        <w:ind w:left="4832" w:hanging="360"/>
      </w:pPr>
    </w:lvl>
    <w:lvl w:ilvl="8" w:tplc="0409001B" w:tentative="1">
      <w:start w:val="1"/>
      <w:numFmt w:val="lowerRoman"/>
      <w:lvlText w:val="%9."/>
      <w:lvlJc w:val="right"/>
      <w:pPr>
        <w:ind w:left="5552" w:hanging="180"/>
      </w:pPr>
    </w:lvl>
  </w:abstractNum>
  <w:abstractNum w:abstractNumId="21" w15:restartNumberingAfterBreak="0">
    <w:nsid w:val="2A9D70FE"/>
    <w:multiLevelType w:val="hybridMultilevel"/>
    <w:tmpl w:val="13F4FCDE"/>
    <w:lvl w:ilvl="0" w:tplc="6F78BE58">
      <w:start w:val="1"/>
      <w:numFmt w:val="bullet"/>
      <w:lvlText w:val=""/>
      <w:lvlJc w:val="left"/>
      <w:pPr>
        <w:ind w:left="1778"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FEF65D1"/>
    <w:multiLevelType w:val="hybridMultilevel"/>
    <w:tmpl w:val="6DE09634"/>
    <w:lvl w:ilvl="0" w:tplc="F2A2F43A">
      <w:start w:val="1"/>
      <w:numFmt w:val="bullet"/>
      <w:lvlText w:val=""/>
      <w:lvlJc w:val="left"/>
      <w:pPr>
        <w:ind w:left="720" w:hanging="360"/>
      </w:pPr>
      <w:rPr>
        <w:rFonts w:ascii="Symbol" w:hAnsi="Symbol" w:hint="default"/>
      </w:rPr>
    </w:lvl>
    <w:lvl w:ilvl="1" w:tplc="A852F83C">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6B2EA0"/>
    <w:multiLevelType w:val="multilevel"/>
    <w:tmpl w:val="D500E26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25128C0"/>
    <w:multiLevelType w:val="hybridMultilevel"/>
    <w:tmpl w:val="C2BE8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70" w:hanging="360"/>
      </w:pPr>
      <w:rPr>
        <w:rFonts w:ascii="Courier New" w:hAnsi="Courier New" w:cs="Courier New" w:hint="default"/>
        <w:sz w:val="1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3D17B1"/>
    <w:multiLevelType w:val="multilevel"/>
    <w:tmpl w:val="C876D580"/>
    <w:lvl w:ilvl="0">
      <w:start w:val="1"/>
      <w:numFmt w:val="bullet"/>
      <w:lvlText w:val=""/>
      <w:lvlJc w:val="left"/>
      <w:pPr>
        <w:tabs>
          <w:tab w:val="num" w:pos="360"/>
        </w:tabs>
        <w:ind w:left="360" w:hanging="360"/>
      </w:pPr>
      <w:rPr>
        <w:rFonts w:ascii="Symbol" w:hAnsi="Symbol" w:hint="default"/>
        <w:sz w:val="20"/>
      </w:rPr>
    </w:lvl>
    <w:lvl w:ilvl="1">
      <w:start w:val="5"/>
      <w:numFmt w:val="decimal"/>
      <w:lvlText w:val="%2"/>
      <w:lvlJc w:val="left"/>
      <w:pPr>
        <w:ind w:left="0" w:hanging="360"/>
      </w:pPr>
      <w:rPr>
        <w:rFonts w:hint="default"/>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5FBB6008"/>
    <w:multiLevelType w:val="hybridMultilevel"/>
    <w:tmpl w:val="403CABEA"/>
    <w:lvl w:ilvl="0" w:tplc="B4E0A286">
      <w:start w:val="1"/>
      <w:numFmt w:val="bullet"/>
      <w:lvlText w:val=""/>
      <w:lvlJc w:val="left"/>
      <w:pPr>
        <w:tabs>
          <w:tab w:val="num" w:pos="851"/>
        </w:tabs>
        <w:ind w:left="851" w:hanging="851"/>
      </w:pPr>
      <w:rPr>
        <w:rFonts w:ascii="Symbol" w:hAnsi="Symbol" w:hint="default"/>
        <w:color w:val="auto"/>
      </w:rPr>
    </w:lvl>
    <w:lvl w:ilvl="1" w:tplc="B602E818">
      <w:start w:val="1"/>
      <w:numFmt w:val="bullet"/>
      <w:lvlText w:val="–"/>
      <w:lvlJc w:val="left"/>
      <w:pPr>
        <w:tabs>
          <w:tab w:val="num" w:pos="851"/>
        </w:tabs>
        <w:ind w:left="851" w:hanging="851"/>
      </w:pPr>
      <w:rPr>
        <w:rFonts w:ascii="Arial" w:hAnsi="Aria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D516D"/>
    <w:multiLevelType w:val="hybridMultilevel"/>
    <w:tmpl w:val="D76E36B2"/>
    <w:lvl w:ilvl="0" w:tplc="22A80B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7236F3C"/>
    <w:multiLevelType w:val="hybridMultilevel"/>
    <w:tmpl w:val="1A627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A44E35"/>
    <w:multiLevelType w:val="hybridMultilevel"/>
    <w:tmpl w:val="8C9A95F6"/>
    <w:lvl w:ilvl="0" w:tplc="DDCC730C">
      <w:start w:val="1"/>
      <w:numFmt w:val="decimal"/>
      <w:lvlText w:val="%1."/>
      <w:lvlJc w:val="left"/>
      <w:pPr>
        <w:ind w:left="0" w:firstLine="0"/>
      </w:pPr>
      <w:rPr>
        <w:rFonts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9204A50"/>
    <w:multiLevelType w:val="hybridMultilevel"/>
    <w:tmpl w:val="21900B28"/>
    <w:lvl w:ilvl="0" w:tplc="04090001">
      <w:start w:val="1"/>
      <w:numFmt w:val="bullet"/>
      <w:lvlText w:val=""/>
      <w:lvlJc w:val="left"/>
      <w:pPr>
        <w:ind w:left="1211" w:hanging="360"/>
      </w:pPr>
      <w:rPr>
        <w:rFonts w:ascii="Symbol" w:hAnsi="Symbol"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1" w15:restartNumberingAfterBreak="0">
    <w:nsid w:val="69B50537"/>
    <w:multiLevelType w:val="hybridMultilevel"/>
    <w:tmpl w:val="4DBEC35E"/>
    <w:lvl w:ilvl="0" w:tplc="F6663310">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BDF1AEE"/>
    <w:multiLevelType w:val="hybridMultilevel"/>
    <w:tmpl w:val="AB964114"/>
    <w:lvl w:ilvl="0" w:tplc="C79A12E2">
      <w:start w:val="1"/>
      <w:numFmt w:val="bullet"/>
      <w:lvlText w:val=""/>
      <w:lvlJc w:val="left"/>
      <w:pPr>
        <w:ind w:left="720" w:hanging="360"/>
      </w:pPr>
      <w:rPr>
        <w:rFonts w:ascii="Symbol" w:hAnsi="Symbol" w:hint="default"/>
      </w:rPr>
    </w:lvl>
    <w:lvl w:ilvl="1" w:tplc="28269FDC">
      <w:start w:val="1"/>
      <w:numFmt w:val="bullet"/>
      <w:lvlText w:val="-"/>
      <w:lvlJc w:val="left"/>
      <w:pPr>
        <w:ind w:left="1440" w:hanging="360"/>
      </w:pPr>
      <w:rPr>
        <w:rFonts w:ascii="Avenir Next Medium" w:hAnsi="Avenir Next Medium"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214FA8"/>
    <w:multiLevelType w:val="hybridMultilevel"/>
    <w:tmpl w:val="F4A03DA6"/>
    <w:lvl w:ilvl="0" w:tplc="73E6AF12">
      <w:start w:val="10"/>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BA2F4C"/>
    <w:multiLevelType w:val="hybridMultilevel"/>
    <w:tmpl w:val="55202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3978"/>
        </w:tabs>
        <w:ind w:left="3978"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5201B82"/>
    <w:multiLevelType w:val="hybridMultilevel"/>
    <w:tmpl w:val="2070E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6C11FA9"/>
    <w:multiLevelType w:val="multilevel"/>
    <w:tmpl w:val="831EAAA2"/>
    <w:lvl w:ilvl="0">
      <w:start w:val="3"/>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7782120C"/>
    <w:multiLevelType w:val="hybridMultilevel"/>
    <w:tmpl w:val="3D9CD4B0"/>
    <w:lvl w:ilvl="0" w:tplc="E5C429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96609A9"/>
    <w:multiLevelType w:val="multilevel"/>
    <w:tmpl w:val="A378D4F8"/>
    <w:lvl w:ilvl="0">
      <w:start w:val="1"/>
      <w:numFmt w:val="decimal"/>
      <w:isLgl/>
      <w:lvlText w:val="%1"/>
      <w:lvlJc w:val="left"/>
      <w:pPr>
        <w:tabs>
          <w:tab w:val="num" w:pos="567"/>
        </w:tabs>
        <w:ind w:left="567" w:hanging="567"/>
      </w:pPr>
      <w:rPr>
        <w:rFonts w:ascii="Times New Roman" w:hAnsi="Times New Roman" w:cs="Times New Roman" w:hint="default"/>
        <w:b w:val="0"/>
        <w:u w:val="none"/>
      </w:rPr>
    </w:lvl>
    <w:lvl w:ilvl="1">
      <w:start w:val="1"/>
      <w:numFmt w:val="decimal"/>
      <w:isLgl/>
      <w:lvlText w:val="%1.%2"/>
      <w:lvlJc w:val="left"/>
      <w:pPr>
        <w:tabs>
          <w:tab w:val="num" w:pos="851"/>
        </w:tabs>
        <w:ind w:left="851" w:hanging="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3"/>
        <w:szCs w:val="23"/>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134"/>
        </w:tabs>
        <w:ind w:left="1134" w:hanging="1134"/>
      </w:pPr>
      <w:rPr>
        <w:i w:val="0"/>
      </w:r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decimal"/>
      <w:lvlText w:val="%1.%2.%3.%4.%5.%6"/>
      <w:lvlJc w:val="left"/>
      <w:pPr>
        <w:tabs>
          <w:tab w:val="num" w:pos="1985"/>
        </w:tabs>
        <w:ind w:left="1985" w:hanging="1985"/>
      </w:pPr>
    </w:lvl>
    <w:lvl w:ilvl="6">
      <w:start w:val="1"/>
      <w:numFmt w:val="decimal"/>
      <w:lvlText w:val="%1.%2.%3.%4.%5.%6.%7"/>
      <w:lvlJc w:val="left"/>
      <w:pPr>
        <w:tabs>
          <w:tab w:val="num" w:pos="2268"/>
        </w:tabs>
        <w:ind w:left="2268" w:hanging="2268"/>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7FD0253E"/>
    <w:multiLevelType w:val="hybridMultilevel"/>
    <w:tmpl w:val="791468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5"/>
  </w:num>
  <w:num w:numId="2">
    <w:abstractNumId w:val="21"/>
  </w:num>
  <w:num w:numId="3">
    <w:abstractNumId w:val="32"/>
  </w:num>
  <w:num w:numId="4">
    <w:abstractNumId w:val="22"/>
  </w:num>
  <w:num w:numId="5">
    <w:abstractNumId w:val="26"/>
  </w:num>
  <w:num w:numId="6">
    <w:abstractNumId w:val="29"/>
  </w:num>
  <w:num w:numId="7">
    <w:abstractNumId w:val="23"/>
  </w:num>
  <w:num w:numId="8">
    <w:abstractNumId w:val="31"/>
  </w:num>
  <w:num w:numId="9">
    <w:abstractNumId w:val="14"/>
  </w:num>
  <w:num w:numId="10">
    <w:abstractNumId w:val="39"/>
  </w:num>
  <w:num w:numId="11">
    <w:abstractNumId w:val="25"/>
  </w:num>
  <w:num w:numId="12">
    <w:abstractNumId w:val="19"/>
  </w:num>
  <w:num w:numId="13">
    <w:abstractNumId w:val="28"/>
  </w:num>
  <w:num w:numId="14">
    <w:abstractNumId w:val="27"/>
  </w:num>
  <w:num w:numId="15">
    <w:abstractNumId w:val="20"/>
  </w:num>
  <w:num w:numId="16">
    <w:abstractNumId w:val="12"/>
  </w:num>
  <w:num w:numId="17">
    <w:abstractNumId w:val="30"/>
  </w:num>
  <w:num w:numId="18">
    <w:abstractNumId w:val="13"/>
  </w:num>
  <w:num w:numId="19">
    <w:abstractNumId w:val="36"/>
  </w:num>
  <w:num w:numId="20">
    <w:abstractNumId w:val="40"/>
  </w:num>
  <w:num w:numId="21">
    <w:abstractNumId w:val="24"/>
  </w:num>
  <w:num w:numId="22">
    <w:abstractNumId w:val="34"/>
  </w:num>
  <w:num w:numId="23">
    <w:abstractNumId w:val="10"/>
  </w:num>
  <w:num w:numId="24">
    <w:abstractNumId w:val="15"/>
  </w:num>
  <w:num w:numId="25">
    <w:abstractNumId w:val="16"/>
  </w:num>
  <w:num w:numId="26">
    <w:abstractNumId w:val="37"/>
  </w:num>
  <w:num w:numId="27">
    <w:abstractNumId w:val="17"/>
  </w:num>
  <w:num w:numId="28">
    <w:abstractNumId w:val="11"/>
  </w:num>
  <w:num w:numId="29">
    <w:abstractNumId w:val="18"/>
  </w:num>
  <w:num w:numId="30">
    <w:abstractNumId w:val="33"/>
  </w:num>
  <w:num w:numId="31">
    <w:abstractNumId w:val="38"/>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en-GB"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es-ES_tradnl" w:vendorID="64" w:dllVersion="131078" w:nlCheck="1" w:checkStyle="0"/>
  <w:activeWritingStyle w:appName="MSWord" w:lang="es-ES" w:vendorID="64" w:dllVersion="131078" w:nlCheck="1" w:checkStyle="0"/>
  <w:activeWritingStyle w:appName="MSWord" w:lang="fr-CH"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B99"/>
    <w:rsid w:val="00035A23"/>
    <w:rsid w:val="00043258"/>
    <w:rsid w:val="00082592"/>
    <w:rsid w:val="000A287B"/>
    <w:rsid w:val="000B48BF"/>
    <w:rsid w:val="000C3398"/>
    <w:rsid w:val="000D0022"/>
    <w:rsid w:val="000E355E"/>
    <w:rsid w:val="00120401"/>
    <w:rsid w:val="0013384E"/>
    <w:rsid w:val="00156515"/>
    <w:rsid w:val="0016509B"/>
    <w:rsid w:val="0018403B"/>
    <w:rsid w:val="00194FC7"/>
    <w:rsid w:val="001C107A"/>
    <w:rsid w:val="002309F5"/>
    <w:rsid w:val="00240FAD"/>
    <w:rsid w:val="002822CE"/>
    <w:rsid w:val="00296937"/>
    <w:rsid w:val="002A2404"/>
    <w:rsid w:val="002B2170"/>
    <w:rsid w:val="002E0F55"/>
    <w:rsid w:val="002E5890"/>
    <w:rsid w:val="002E69BB"/>
    <w:rsid w:val="00302A5B"/>
    <w:rsid w:val="003239B9"/>
    <w:rsid w:val="00356D5E"/>
    <w:rsid w:val="003733D5"/>
    <w:rsid w:val="00383F0B"/>
    <w:rsid w:val="003A0344"/>
    <w:rsid w:val="003D1970"/>
    <w:rsid w:val="0041539F"/>
    <w:rsid w:val="00445C10"/>
    <w:rsid w:val="004765B6"/>
    <w:rsid w:val="004A1E76"/>
    <w:rsid w:val="004A2D5C"/>
    <w:rsid w:val="004E7D87"/>
    <w:rsid w:val="00530FFD"/>
    <w:rsid w:val="00541805"/>
    <w:rsid w:val="0055536E"/>
    <w:rsid w:val="005A06F2"/>
    <w:rsid w:val="005D5B5C"/>
    <w:rsid w:val="0062037B"/>
    <w:rsid w:val="00670251"/>
    <w:rsid w:val="00681642"/>
    <w:rsid w:val="00694C7A"/>
    <w:rsid w:val="006B01E4"/>
    <w:rsid w:val="006B57AA"/>
    <w:rsid w:val="006E5E3B"/>
    <w:rsid w:val="00726163"/>
    <w:rsid w:val="00730709"/>
    <w:rsid w:val="0077050B"/>
    <w:rsid w:val="00783586"/>
    <w:rsid w:val="007A125F"/>
    <w:rsid w:val="007A7AB6"/>
    <w:rsid w:val="00863002"/>
    <w:rsid w:val="00865987"/>
    <w:rsid w:val="00885B99"/>
    <w:rsid w:val="008B4441"/>
    <w:rsid w:val="00921514"/>
    <w:rsid w:val="00923C60"/>
    <w:rsid w:val="009330E1"/>
    <w:rsid w:val="009375FE"/>
    <w:rsid w:val="00976EB7"/>
    <w:rsid w:val="00994FE7"/>
    <w:rsid w:val="009A64BD"/>
    <w:rsid w:val="009B7402"/>
    <w:rsid w:val="009C4BD0"/>
    <w:rsid w:val="009C608F"/>
    <w:rsid w:val="009F4F76"/>
    <w:rsid w:val="00A43177"/>
    <w:rsid w:val="00A70083"/>
    <w:rsid w:val="00A9292D"/>
    <w:rsid w:val="00AC6E7E"/>
    <w:rsid w:val="00AD60E6"/>
    <w:rsid w:val="00AE0008"/>
    <w:rsid w:val="00B01B93"/>
    <w:rsid w:val="00B06F7D"/>
    <w:rsid w:val="00B269D2"/>
    <w:rsid w:val="00B46FF3"/>
    <w:rsid w:val="00B72114"/>
    <w:rsid w:val="00B770C1"/>
    <w:rsid w:val="00B84159"/>
    <w:rsid w:val="00B93B8A"/>
    <w:rsid w:val="00BA530A"/>
    <w:rsid w:val="00BA6DE6"/>
    <w:rsid w:val="00C62C39"/>
    <w:rsid w:val="00CA4D8F"/>
    <w:rsid w:val="00CC0394"/>
    <w:rsid w:val="00CD567B"/>
    <w:rsid w:val="00D4014A"/>
    <w:rsid w:val="00D705D0"/>
    <w:rsid w:val="00D73E8A"/>
    <w:rsid w:val="00DD73B6"/>
    <w:rsid w:val="00DD742A"/>
    <w:rsid w:val="00DE45D7"/>
    <w:rsid w:val="00E16887"/>
    <w:rsid w:val="00E503F8"/>
    <w:rsid w:val="00E5596B"/>
    <w:rsid w:val="00ED4A34"/>
    <w:rsid w:val="00F50920"/>
    <w:rsid w:val="00F93914"/>
    <w:rsid w:val="00FA2375"/>
    <w:rsid w:val="00FB56C4"/>
    <w:rsid w:val="00FC15A2"/>
    <w:rsid w:val="00FC73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2A0933"/>
  <w15:docId w15:val="{75C68B5D-9EB1-4823-B42F-C3D7F324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FC7"/>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A64BD"/>
    <w:pPr>
      <w:keepNext/>
      <w:keepLines/>
      <w:spacing w:before="360"/>
      <w:ind w:left="794" w:hanging="794"/>
      <w:jc w:val="left"/>
      <w:outlineLvl w:val="0"/>
    </w:pPr>
    <w:rPr>
      <w:b/>
    </w:rPr>
  </w:style>
  <w:style w:type="paragraph" w:styleId="Heading2">
    <w:name w:val="heading 2"/>
    <w:basedOn w:val="Heading1"/>
    <w:next w:val="Normal"/>
    <w:link w:val="Heading2Char"/>
    <w:qFormat/>
    <w:rsid w:val="009A64BD"/>
    <w:pPr>
      <w:spacing w:before="240"/>
      <w:outlineLvl w:val="1"/>
    </w:pPr>
  </w:style>
  <w:style w:type="paragraph" w:styleId="Heading3">
    <w:name w:val="heading 3"/>
    <w:basedOn w:val="Heading1"/>
    <w:next w:val="Normal"/>
    <w:link w:val="Heading3Char"/>
    <w:qFormat/>
    <w:rsid w:val="009A64BD"/>
    <w:pPr>
      <w:spacing w:before="160"/>
      <w:outlineLvl w:val="2"/>
    </w:pPr>
  </w:style>
  <w:style w:type="paragraph" w:styleId="Heading4">
    <w:name w:val="heading 4"/>
    <w:basedOn w:val="Heading3"/>
    <w:next w:val="Normal"/>
    <w:link w:val="Heading4Char"/>
    <w:qFormat/>
    <w:rsid w:val="009A64BD"/>
    <w:pPr>
      <w:tabs>
        <w:tab w:val="clear" w:pos="794"/>
        <w:tab w:val="left" w:pos="1021"/>
      </w:tabs>
      <w:ind w:left="1021" w:hanging="1021"/>
      <w:outlineLvl w:val="3"/>
    </w:pPr>
  </w:style>
  <w:style w:type="paragraph" w:styleId="Heading5">
    <w:name w:val="heading 5"/>
    <w:basedOn w:val="Heading4"/>
    <w:next w:val="Normal"/>
    <w:link w:val="Heading5Char"/>
    <w:qFormat/>
    <w:rsid w:val="009A64BD"/>
    <w:pPr>
      <w:outlineLvl w:val="4"/>
    </w:pPr>
  </w:style>
  <w:style w:type="paragraph" w:styleId="Heading6">
    <w:name w:val="heading 6"/>
    <w:basedOn w:val="Heading4"/>
    <w:next w:val="Normal"/>
    <w:link w:val="Heading6Char"/>
    <w:qFormat/>
    <w:rsid w:val="009A64BD"/>
    <w:pPr>
      <w:tabs>
        <w:tab w:val="clear" w:pos="1021"/>
        <w:tab w:val="clear" w:pos="1191"/>
      </w:tabs>
      <w:ind w:left="1588" w:hanging="1588"/>
      <w:outlineLvl w:val="5"/>
    </w:pPr>
  </w:style>
  <w:style w:type="paragraph" w:styleId="Heading7">
    <w:name w:val="heading 7"/>
    <w:basedOn w:val="Heading6"/>
    <w:next w:val="Normal"/>
    <w:link w:val="Heading7Char"/>
    <w:qFormat/>
    <w:rsid w:val="009A64BD"/>
    <w:pPr>
      <w:outlineLvl w:val="6"/>
    </w:pPr>
  </w:style>
  <w:style w:type="paragraph" w:styleId="Heading8">
    <w:name w:val="heading 8"/>
    <w:basedOn w:val="Heading6"/>
    <w:next w:val="Normal"/>
    <w:link w:val="Heading8Char"/>
    <w:qFormat/>
    <w:rsid w:val="009A64BD"/>
    <w:pPr>
      <w:outlineLvl w:val="7"/>
    </w:pPr>
  </w:style>
  <w:style w:type="paragraph" w:styleId="Heading9">
    <w:name w:val="heading 9"/>
    <w:basedOn w:val="Heading6"/>
    <w:next w:val="Normal"/>
    <w:link w:val="Heading9Char"/>
    <w:qFormat/>
    <w:rsid w:val="009A64B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9A64BD"/>
  </w:style>
  <w:style w:type="paragraph" w:styleId="TOC4">
    <w:name w:val="toc 4"/>
    <w:basedOn w:val="TOC3"/>
    <w:rsid w:val="009A64BD"/>
  </w:style>
  <w:style w:type="paragraph" w:styleId="TOC3">
    <w:name w:val="toc 3"/>
    <w:basedOn w:val="TOC2"/>
    <w:rsid w:val="009A64BD"/>
  </w:style>
  <w:style w:type="paragraph" w:styleId="TOC2">
    <w:name w:val="toc 2"/>
    <w:basedOn w:val="TOC1"/>
    <w:uiPriority w:val="39"/>
    <w:rsid w:val="009A64BD"/>
    <w:pPr>
      <w:spacing w:before="80"/>
      <w:ind w:left="1531" w:hanging="851"/>
    </w:pPr>
  </w:style>
  <w:style w:type="paragraph" w:styleId="TOC1">
    <w:name w:val="toc 1"/>
    <w:basedOn w:val="Normal"/>
    <w:uiPriority w:val="39"/>
    <w:rsid w:val="009A64BD"/>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9A64BD"/>
  </w:style>
  <w:style w:type="paragraph" w:styleId="TOC6">
    <w:name w:val="toc 6"/>
    <w:basedOn w:val="TOC4"/>
    <w:rsid w:val="009A64BD"/>
  </w:style>
  <w:style w:type="paragraph" w:styleId="TOC5">
    <w:name w:val="toc 5"/>
    <w:basedOn w:val="TOC4"/>
    <w:rsid w:val="009A64BD"/>
  </w:style>
  <w:style w:type="paragraph" w:styleId="Footer">
    <w:name w:val="footer"/>
    <w:basedOn w:val="Normal"/>
    <w:rsid w:val="009A64BD"/>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rsid w:val="009A64BD"/>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9A64BD"/>
    <w:rPr>
      <w:position w:val="6"/>
      <w:sz w:val="18"/>
    </w:rPr>
  </w:style>
  <w:style w:type="paragraph" w:styleId="FootnoteText">
    <w:name w:val="footnote text"/>
    <w:basedOn w:val="Note"/>
    <w:link w:val="FootnoteTextChar"/>
    <w:rsid w:val="00120401"/>
    <w:pPr>
      <w:keepLines/>
      <w:tabs>
        <w:tab w:val="left" w:pos="425"/>
      </w:tabs>
      <w:ind w:left="425" w:hanging="425"/>
    </w:pPr>
  </w:style>
  <w:style w:type="paragraph" w:customStyle="1" w:styleId="Note">
    <w:name w:val="Note"/>
    <w:basedOn w:val="Normal"/>
    <w:rsid w:val="009A64BD"/>
    <w:pPr>
      <w:spacing w:before="80"/>
    </w:pPr>
    <w:rPr>
      <w:sz w:val="22"/>
    </w:rPr>
  </w:style>
  <w:style w:type="paragraph" w:customStyle="1" w:styleId="enumlev1">
    <w:name w:val="enumlev1"/>
    <w:basedOn w:val="Normal"/>
    <w:rsid w:val="009A64BD"/>
    <w:pPr>
      <w:spacing w:before="80"/>
      <w:ind w:left="794" w:hanging="794"/>
    </w:pPr>
  </w:style>
  <w:style w:type="paragraph" w:customStyle="1" w:styleId="enumlev2">
    <w:name w:val="enumlev2"/>
    <w:basedOn w:val="enumlev1"/>
    <w:rsid w:val="009A64BD"/>
    <w:pPr>
      <w:ind w:left="1191" w:hanging="397"/>
    </w:pPr>
  </w:style>
  <w:style w:type="paragraph" w:customStyle="1" w:styleId="enumlev3">
    <w:name w:val="enumlev3"/>
    <w:basedOn w:val="enumlev2"/>
    <w:rsid w:val="009A64BD"/>
    <w:pPr>
      <w:ind w:left="1588"/>
    </w:pPr>
  </w:style>
  <w:style w:type="paragraph" w:customStyle="1" w:styleId="Equation">
    <w:name w:val="Equation"/>
    <w:basedOn w:val="Normal"/>
    <w:rsid w:val="009A64BD"/>
    <w:pPr>
      <w:tabs>
        <w:tab w:val="clear" w:pos="1191"/>
        <w:tab w:val="clear" w:pos="1588"/>
        <w:tab w:val="clear" w:pos="1985"/>
        <w:tab w:val="center" w:pos="4820"/>
        <w:tab w:val="right" w:pos="9639"/>
      </w:tabs>
      <w:jc w:val="left"/>
    </w:pPr>
  </w:style>
  <w:style w:type="paragraph" w:customStyle="1" w:styleId="toc0">
    <w:name w:val="toc 0"/>
    <w:basedOn w:val="Normal"/>
    <w:next w:val="TOC1"/>
    <w:rsid w:val="009A64BD"/>
    <w:pPr>
      <w:keepLines/>
      <w:tabs>
        <w:tab w:val="clear" w:pos="794"/>
        <w:tab w:val="clear" w:pos="1191"/>
        <w:tab w:val="clear" w:pos="1588"/>
        <w:tab w:val="clear" w:pos="1985"/>
        <w:tab w:val="right" w:pos="9639"/>
      </w:tabs>
      <w:jc w:val="left"/>
    </w:pPr>
    <w:rPr>
      <w:b/>
    </w:rPr>
  </w:style>
  <w:style w:type="paragraph" w:customStyle="1" w:styleId="ASN1">
    <w:name w:val="ASN.1"/>
    <w:rsid w:val="009A64BD"/>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n-GB" w:eastAsia="en-US"/>
    </w:rPr>
  </w:style>
  <w:style w:type="paragraph" w:styleId="TOC9">
    <w:name w:val="toc 9"/>
    <w:basedOn w:val="TOC3"/>
    <w:rsid w:val="009A64BD"/>
  </w:style>
  <w:style w:type="paragraph" w:customStyle="1" w:styleId="Chaptitle">
    <w:name w:val="Chap_title"/>
    <w:basedOn w:val="Normal"/>
    <w:next w:val="Normalaftertitle"/>
    <w:rsid w:val="009A64BD"/>
    <w:pPr>
      <w:keepNext/>
      <w:keepLines/>
      <w:spacing w:before="240"/>
      <w:jc w:val="center"/>
    </w:pPr>
    <w:rPr>
      <w:b/>
      <w:sz w:val="28"/>
    </w:rPr>
  </w:style>
  <w:style w:type="character" w:styleId="PageNumber">
    <w:name w:val="page number"/>
    <w:basedOn w:val="DefaultParagraphFont"/>
    <w:rsid w:val="009A64BD"/>
  </w:style>
  <w:style w:type="paragraph" w:styleId="Index1">
    <w:name w:val="index 1"/>
    <w:basedOn w:val="Normal"/>
    <w:next w:val="Normal"/>
    <w:semiHidden/>
    <w:rsid w:val="009A64BD"/>
    <w:pPr>
      <w:jc w:val="left"/>
    </w:pPr>
  </w:style>
  <w:style w:type="paragraph" w:customStyle="1" w:styleId="AnnexNoTitle">
    <w:name w:val="Annex_NoTitle"/>
    <w:basedOn w:val="Normal"/>
    <w:next w:val="Normalaftertitle"/>
    <w:rsid w:val="00E503F8"/>
    <w:pPr>
      <w:keepNext/>
      <w:keepLines/>
      <w:spacing w:before="720"/>
      <w:jc w:val="center"/>
      <w:outlineLvl w:val="0"/>
    </w:pPr>
    <w:rPr>
      <w:b/>
      <w:sz w:val="28"/>
    </w:rPr>
  </w:style>
  <w:style w:type="character" w:customStyle="1" w:styleId="Appdef">
    <w:name w:val="App_def"/>
    <w:basedOn w:val="DefaultParagraphFont"/>
    <w:rsid w:val="009A64BD"/>
    <w:rPr>
      <w:rFonts w:ascii="Times New Roman" w:hAnsi="Times New Roman"/>
      <w:b/>
    </w:rPr>
  </w:style>
  <w:style w:type="character" w:customStyle="1" w:styleId="Appref">
    <w:name w:val="App_ref"/>
    <w:basedOn w:val="DefaultParagraphFont"/>
    <w:rsid w:val="009A64BD"/>
  </w:style>
  <w:style w:type="paragraph" w:customStyle="1" w:styleId="AppendixNoTitle">
    <w:name w:val="Appendix_NoTitle"/>
    <w:basedOn w:val="AnnexNoTitle"/>
    <w:next w:val="Normalaftertitle"/>
    <w:rsid w:val="009A64BD"/>
  </w:style>
  <w:style w:type="character" w:customStyle="1" w:styleId="Artdef">
    <w:name w:val="Art_def"/>
    <w:basedOn w:val="DefaultParagraphFont"/>
    <w:rsid w:val="009A64BD"/>
    <w:rPr>
      <w:rFonts w:ascii="Times New Roman" w:hAnsi="Times New Roman"/>
      <w:b/>
    </w:rPr>
  </w:style>
  <w:style w:type="character" w:styleId="CommentReference">
    <w:name w:val="annotation reference"/>
    <w:basedOn w:val="DefaultParagraphFont"/>
    <w:semiHidden/>
    <w:rsid w:val="009A64BD"/>
    <w:rPr>
      <w:sz w:val="16"/>
      <w:szCs w:val="16"/>
    </w:rPr>
  </w:style>
  <w:style w:type="paragraph" w:customStyle="1" w:styleId="Reftitle">
    <w:name w:val="Ref_title"/>
    <w:basedOn w:val="Normal"/>
    <w:next w:val="Reftext"/>
    <w:rsid w:val="009A64BD"/>
    <w:pPr>
      <w:spacing w:before="480"/>
      <w:jc w:val="center"/>
    </w:pPr>
    <w:rPr>
      <w:b/>
    </w:rPr>
  </w:style>
  <w:style w:type="paragraph" w:customStyle="1" w:styleId="ArtNo">
    <w:name w:val="Art_No"/>
    <w:basedOn w:val="Normal"/>
    <w:next w:val="Arttitle"/>
    <w:rsid w:val="009A64BD"/>
    <w:pPr>
      <w:keepNext/>
      <w:keepLines/>
      <w:spacing w:before="480"/>
      <w:jc w:val="center"/>
    </w:pPr>
    <w:rPr>
      <w:caps/>
      <w:sz w:val="28"/>
    </w:rPr>
  </w:style>
  <w:style w:type="paragraph" w:customStyle="1" w:styleId="Arttitle">
    <w:name w:val="Art_title"/>
    <w:basedOn w:val="Normal"/>
    <w:next w:val="Normalaftertitle"/>
    <w:rsid w:val="009A64BD"/>
    <w:pPr>
      <w:keepNext/>
      <w:keepLines/>
      <w:spacing w:before="240"/>
      <w:jc w:val="center"/>
    </w:pPr>
    <w:rPr>
      <w:b/>
      <w:sz w:val="28"/>
    </w:rPr>
  </w:style>
  <w:style w:type="character" w:customStyle="1" w:styleId="Artref">
    <w:name w:val="Art_ref"/>
    <w:basedOn w:val="DefaultParagraphFont"/>
    <w:rsid w:val="009A64BD"/>
  </w:style>
  <w:style w:type="paragraph" w:customStyle="1" w:styleId="Call">
    <w:name w:val="Call"/>
    <w:basedOn w:val="Normal"/>
    <w:next w:val="Normal"/>
    <w:rsid w:val="009A64BD"/>
    <w:pPr>
      <w:keepNext/>
      <w:keepLines/>
      <w:spacing w:before="160"/>
      <w:ind w:left="794"/>
      <w:jc w:val="left"/>
    </w:pPr>
    <w:rPr>
      <w:i/>
    </w:rPr>
  </w:style>
  <w:style w:type="paragraph" w:customStyle="1" w:styleId="ChapNo">
    <w:name w:val="Chap_No"/>
    <w:basedOn w:val="Normal"/>
    <w:next w:val="Chaptitle"/>
    <w:rsid w:val="009A64BD"/>
    <w:pPr>
      <w:keepNext/>
      <w:keepLines/>
      <w:spacing w:before="480"/>
      <w:jc w:val="center"/>
    </w:pPr>
    <w:rPr>
      <w:b/>
      <w:caps/>
      <w:sz w:val="28"/>
    </w:rPr>
  </w:style>
  <w:style w:type="paragraph" w:customStyle="1" w:styleId="Equationlegend">
    <w:name w:val="Equation_legend"/>
    <w:basedOn w:val="Normal"/>
    <w:rsid w:val="009A64BD"/>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A64BD"/>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9A64BD"/>
    <w:pPr>
      <w:keepNext/>
      <w:keepLines/>
      <w:spacing w:before="240" w:after="120"/>
      <w:jc w:val="center"/>
    </w:pPr>
  </w:style>
  <w:style w:type="paragraph" w:customStyle="1" w:styleId="FigureNoTitle">
    <w:name w:val="Figure_NoTitle"/>
    <w:basedOn w:val="Normal"/>
    <w:next w:val="Normalaftertitle"/>
    <w:rsid w:val="009A64BD"/>
    <w:pPr>
      <w:keepLines/>
      <w:spacing w:before="240" w:after="120"/>
      <w:jc w:val="center"/>
    </w:pPr>
    <w:rPr>
      <w:b/>
    </w:rPr>
  </w:style>
  <w:style w:type="paragraph" w:customStyle="1" w:styleId="Figurewithouttitle">
    <w:name w:val="Figure_without_title"/>
    <w:basedOn w:val="Normal"/>
    <w:next w:val="Normalaftertitle"/>
    <w:rsid w:val="009A64BD"/>
    <w:pPr>
      <w:keepLines/>
      <w:spacing w:before="240" w:after="120"/>
      <w:jc w:val="center"/>
    </w:pPr>
  </w:style>
  <w:style w:type="paragraph" w:customStyle="1" w:styleId="FooterQP">
    <w:name w:val="Footer_QP"/>
    <w:basedOn w:val="Normal"/>
    <w:rsid w:val="009A64BD"/>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FirstFooter">
    <w:name w:val="FirstFooter"/>
    <w:basedOn w:val="Footer"/>
    <w:rsid w:val="009A64BD"/>
    <w:pPr>
      <w:tabs>
        <w:tab w:val="clear" w:pos="5954"/>
        <w:tab w:val="clear" w:pos="9639"/>
      </w:tabs>
      <w:overflowPunct/>
      <w:autoSpaceDE/>
      <w:autoSpaceDN/>
      <w:adjustRightInd/>
      <w:spacing w:before="40"/>
      <w:jc w:val="left"/>
      <w:textAlignment w:val="auto"/>
    </w:pPr>
    <w:rPr>
      <w:caps w:val="0"/>
      <w:noProof w:val="0"/>
    </w:rPr>
  </w:style>
  <w:style w:type="paragraph" w:customStyle="1" w:styleId="Formal">
    <w:name w:val="Formal"/>
    <w:basedOn w:val="ASN1"/>
    <w:rsid w:val="009A64BD"/>
    <w:rPr>
      <w:b w:val="0"/>
    </w:rPr>
  </w:style>
  <w:style w:type="paragraph" w:customStyle="1" w:styleId="Headingb">
    <w:name w:val="Heading_b"/>
    <w:basedOn w:val="Normal"/>
    <w:next w:val="Normal"/>
    <w:rsid w:val="009A64BD"/>
    <w:pPr>
      <w:keepNext/>
      <w:spacing w:before="160"/>
      <w:jc w:val="left"/>
    </w:pPr>
    <w:rPr>
      <w:b/>
    </w:rPr>
  </w:style>
  <w:style w:type="paragraph" w:customStyle="1" w:styleId="Headingi">
    <w:name w:val="Heading_i"/>
    <w:basedOn w:val="Normal"/>
    <w:next w:val="Normal"/>
    <w:rsid w:val="009A64BD"/>
    <w:pPr>
      <w:keepNext/>
      <w:spacing w:before="160"/>
      <w:jc w:val="left"/>
    </w:pPr>
    <w:rPr>
      <w:i/>
    </w:rPr>
  </w:style>
  <w:style w:type="paragraph" w:styleId="Index2">
    <w:name w:val="index 2"/>
    <w:basedOn w:val="Normal"/>
    <w:next w:val="Normal"/>
    <w:semiHidden/>
    <w:rsid w:val="009A64BD"/>
    <w:pPr>
      <w:ind w:left="284"/>
      <w:jc w:val="left"/>
    </w:pPr>
  </w:style>
  <w:style w:type="paragraph" w:styleId="Index3">
    <w:name w:val="index 3"/>
    <w:basedOn w:val="Normal"/>
    <w:next w:val="Normal"/>
    <w:semiHidden/>
    <w:rsid w:val="009A64BD"/>
    <w:pPr>
      <w:ind w:left="567"/>
      <w:jc w:val="left"/>
    </w:pPr>
  </w:style>
  <w:style w:type="paragraph" w:customStyle="1" w:styleId="Normalaftertitle">
    <w:name w:val="Normal_after_title"/>
    <w:basedOn w:val="Normal"/>
    <w:next w:val="Normal"/>
    <w:rsid w:val="009A64BD"/>
    <w:pPr>
      <w:spacing w:before="360"/>
    </w:pPr>
  </w:style>
  <w:style w:type="paragraph" w:customStyle="1" w:styleId="PartNo">
    <w:name w:val="Part_No"/>
    <w:basedOn w:val="Normal"/>
    <w:next w:val="Partref"/>
    <w:rsid w:val="009A64BD"/>
    <w:pPr>
      <w:keepNext/>
      <w:keepLines/>
      <w:spacing w:before="480" w:after="80"/>
      <w:jc w:val="center"/>
    </w:pPr>
    <w:rPr>
      <w:caps/>
      <w:sz w:val="28"/>
    </w:rPr>
  </w:style>
  <w:style w:type="paragraph" w:customStyle="1" w:styleId="Partref">
    <w:name w:val="Part_ref"/>
    <w:basedOn w:val="Normal"/>
    <w:next w:val="Parttitle"/>
    <w:rsid w:val="009A64BD"/>
    <w:pPr>
      <w:keepNext/>
      <w:keepLines/>
      <w:spacing w:before="280"/>
      <w:jc w:val="center"/>
    </w:pPr>
  </w:style>
  <w:style w:type="paragraph" w:customStyle="1" w:styleId="Parttitle">
    <w:name w:val="Part_title"/>
    <w:basedOn w:val="Normal"/>
    <w:next w:val="Normalaftertitle"/>
    <w:rsid w:val="009A64BD"/>
    <w:pPr>
      <w:keepNext/>
      <w:keepLines/>
      <w:spacing w:before="240" w:after="280"/>
      <w:jc w:val="center"/>
    </w:pPr>
    <w:rPr>
      <w:b/>
      <w:sz w:val="28"/>
    </w:rPr>
  </w:style>
  <w:style w:type="paragraph" w:customStyle="1" w:styleId="Recdate">
    <w:name w:val="Rec_date"/>
    <w:basedOn w:val="Normal"/>
    <w:next w:val="Normalaftertitle"/>
    <w:rsid w:val="009A64BD"/>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9A64BD"/>
  </w:style>
  <w:style w:type="paragraph" w:customStyle="1" w:styleId="RecNo">
    <w:name w:val="Rec_No"/>
    <w:basedOn w:val="Normal"/>
    <w:next w:val="Rectitle"/>
    <w:rsid w:val="009A64BD"/>
    <w:pPr>
      <w:keepNext/>
      <w:keepLines/>
      <w:spacing w:before="0"/>
      <w:jc w:val="left"/>
    </w:pPr>
    <w:rPr>
      <w:b/>
      <w:sz w:val="28"/>
    </w:rPr>
  </w:style>
  <w:style w:type="paragraph" w:customStyle="1" w:styleId="QuestionNo">
    <w:name w:val="Question_No"/>
    <w:basedOn w:val="RecNo"/>
    <w:next w:val="Questiontitle"/>
    <w:rsid w:val="009A64BD"/>
  </w:style>
  <w:style w:type="paragraph" w:customStyle="1" w:styleId="Recref">
    <w:name w:val="Rec_ref"/>
    <w:basedOn w:val="Normal"/>
    <w:next w:val="Recdate"/>
    <w:rsid w:val="009A64BD"/>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9A64BD"/>
  </w:style>
  <w:style w:type="paragraph" w:customStyle="1" w:styleId="Rectitle">
    <w:name w:val="Rec_title"/>
    <w:basedOn w:val="Normal"/>
    <w:next w:val="Normalaftertitle"/>
    <w:rsid w:val="009A64BD"/>
    <w:pPr>
      <w:keepNext/>
      <w:keepLines/>
      <w:spacing w:before="360"/>
      <w:jc w:val="center"/>
    </w:pPr>
    <w:rPr>
      <w:b/>
      <w:sz w:val="28"/>
    </w:rPr>
  </w:style>
  <w:style w:type="paragraph" w:customStyle="1" w:styleId="Questiontitle">
    <w:name w:val="Question_title"/>
    <w:basedOn w:val="Rectitle"/>
    <w:next w:val="Questionref"/>
    <w:rsid w:val="009A64BD"/>
  </w:style>
  <w:style w:type="paragraph" w:customStyle="1" w:styleId="Reftext">
    <w:name w:val="Ref_text"/>
    <w:basedOn w:val="Normal"/>
    <w:rsid w:val="009A64BD"/>
    <w:pPr>
      <w:ind w:left="794" w:hanging="794"/>
      <w:jc w:val="left"/>
    </w:pPr>
  </w:style>
  <w:style w:type="paragraph" w:customStyle="1" w:styleId="Repdate">
    <w:name w:val="Rep_date"/>
    <w:basedOn w:val="Recdate"/>
    <w:next w:val="Normalaftertitle"/>
    <w:rsid w:val="009A64BD"/>
  </w:style>
  <w:style w:type="paragraph" w:customStyle="1" w:styleId="RepNo">
    <w:name w:val="Rep_No"/>
    <w:basedOn w:val="RecNo"/>
    <w:next w:val="Reptitle"/>
    <w:rsid w:val="009A64BD"/>
  </w:style>
  <w:style w:type="paragraph" w:customStyle="1" w:styleId="Repref">
    <w:name w:val="Rep_ref"/>
    <w:basedOn w:val="Recref"/>
    <w:next w:val="Repdate"/>
    <w:rsid w:val="009A64BD"/>
  </w:style>
  <w:style w:type="paragraph" w:customStyle="1" w:styleId="Reptitle">
    <w:name w:val="Rep_title"/>
    <w:basedOn w:val="Rectitle"/>
    <w:next w:val="Repref"/>
    <w:rsid w:val="009A64BD"/>
  </w:style>
  <w:style w:type="paragraph" w:customStyle="1" w:styleId="Resdate">
    <w:name w:val="Res_date"/>
    <w:basedOn w:val="Recdate"/>
    <w:next w:val="Normalaftertitle"/>
    <w:rsid w:val="009A64BD"/>
  </w:style>
  <w:style w:type="character" w:customStyle="1" w:styleId="Resdef">
    <w:name w:val="Res_def"/>
    <w:basedOn w:val="DefaultParagraphFont"/>
    <w:rsid w:val="009A64BD"/>
    <w:rPr>
      <w:rFonts w:ascii="Times New Roman" w:hAnsi="Times New Roman"/>
      <w:b/>
    </w:rPr>
  </w:style>
  <w:style w:type="paragraph" w:customStyle="1" w:styleId="ResNo">
    <w:name w:val="Res_No"/>
    <w:basedOn w:val="RecNo"/>
    <w:next w:val="Restitle"/>
    <w:rsid w:val="009A64BD"/>
  </w:style>
  <w:style w:type="paragraph" w:customStyle="1" w:styleId="Resref">
    <w:name w:val="Res_ref"/>
    <w:basedOn w:val="Recref"/>
    <w:next w:val="Resdate"/>
    <w:rsid w:val="009A64BD"/>
  </w:style>
  <w:style w:type="paragraph" w:customStyle="1" w:styleId="Restitle">
    <w:name w:val="Res_title"/>
    <w:basedOn w:val="Rectitle"/>
    <w:next w:val="Resref"/>
    <w:rsid w:val="009A64BD"/>
  </w:style>
  <w:style w:type="paragraph" w:customStyle="1" w:styleId="Section1">
    <w:name w:val="Section_1"/>
    <w:basedOn w:val="Normal"/>
    <w:next w:val="Normal"/>
    <w:rsid w:val="009A64B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A64BD"/>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9A64BD"/>
    <w:pPr>
      <w:keepNext/>
      <w:keepLines/>
      <w:spacing w:before="480" w:after="80"/>
      <w:jc w:val="center"/>
    </w:pPr>
    <w:rPr>
      <w:caps/>
      <w:sz w:val="28"/>
    </w:rPr>
  </w:style>
  <w:style w:type="paragraph" w:customStyle="1" w:styleId="Sectiontitle">
    <w:name w:val="Section_title"/>
    <w:basedOn w:val="Normal"/>
    <w:next w:val="Normalaftertitle"/>
    <w:rsid w:val="009A64BD"/>
    <w:pPr>
      <w:keepNext/>
      <w:keepLines/>
      <w:spacing w:before="480" w:after="280"/>
      <w:jc w:val="center"/>
    </w:pPr>
    <w:rPr>
      <w:b/>
      <w:sz w:val="28"/>
    </w:rPr>
  </w:style>
  <w:style w:type="paragraph" w:customStyle="1" w:styleId="Source">
    <w:name w:val="Source"/>
    <w:basedOn w:val="Normal"/>
    <w:next w:val="Normalaftertitle"/>
    <w:rsid w:val="009A64BD"/>
    <w:pPr>
      <w:spacing w:before="840" w:after="200"/>
      <w:jc w:val="center"/>
    </w:pPr>
    <w:rPr>
      <w:b/>
      <w:sz w:val="28"/>
    </w:rPr>
  </w:style>
  <w:style w:type="paragraph" w:customStyle="1" w:styleId="SpecialFooter">
    <w:name w:val="Special Footer"/>
    <w:basedOn w:val="Footer"/>
    <w:rsid w:val="009A64BD"/>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9A64BD"/>
    <w:rPr>
      <w:b/>
      <w:color w:val="auto"/>
    </w:rPr>
  </w:style>
  <w:style w:type="paragraph" w:customStyle="1" w:styleId="Tablehead">
    <w:name w:val="Table_head"/>
    <w:basedOn w:val="Normal"/>
    <w:next w:val="Tabletext"/>
    <w:rsid w:val="009A64B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9A6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styleId="CommentText">
    <w:name w:val="annotation text"/>
    <w:basedOn w:val="Normal"/>
    <w:link w:val="CommentTextChar"/>
    <w:rsid w:val="009A64BD"/>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paragraph" w:customStyle="1" w:styleId="Tabletext">
    <w:name w:val="Table_text"/>
    <w:basedOn w:val="Normal"/>
    <w:rsid w:val="009A6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NoTitle">
    <w:name w:val="Table_NoTitle"/>
    <w:basedOn w:val="Normal"/>
    <w:next w:val="Tablehead"/>
    <w:rsid w:val="009A64BD"/>
    <w:pPr>
      <w:keepNext/>
      <w:keepLines/>
      <w:spacing w:before="360" w:after="120"/>
      <w:jc w:val="center"/>
    </w:pPr>
    <w:rPr>
      <w:b/>
    </w:rPr>
  </w:style>
  <w:style w:type="paragraph" w:customStyle="1" w:styleId="Title1">
    <w:name w:val="Title 1"/>
    <w:basedOn w:val="Source"/>
    <w:next w:val="Title2"/>
    <w:rsid w:val="009A64B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A64BD"/>
  </w:style>
  <w:style w:type="paragraph" w:customStyle="1" w:styleId="Title3">
    <w:name w:val="Title 3"/>
    <w:basedOn w:val="Title2"/>
    <w:next w:val="Title4"/>
    <w:rsid w:val="009A64BD"/>
    <w:rPr>
      <w:caps w:val="0"/>
    </w:rPr>
  </w:style>
  <w:style w:type="paragraph" w:customStyle="1" w:styleId="Title4">
    <w:name w:val="Title 4"/>
    <w:basedOn w:val="Title3"/>
    <w:next w:val="Heading1"/>
    <w:rsid w:val="009A64BD"/>
    <w:rPr>
      <w:b/>
    </w:rPr>
  </w:style>
  <w:style w:type="paragraph" w:customStyle="1" w:styleId="Artheading">
    <w:name w:val="Art_heading"/>
    <w:basedOn w:val="Normal"/>
    <w:next w:val="Normalaftertitle"/>
    <w:rsid w:val="009A64BD"/>
    <w:pPr>
      <w:spacing w:before="480"/>
      <w:jc w:val="center"/>
    </w:pPr>
    <w:rPr>
      <w:b/>
      <w:sz w:val="28"/>
    </w:rPr>
  </w:style>
  <w:style w:type="character" w:styleId="Hyperlink">
    <w:name w:val="Hyperlink"/>
    <w:basedOn w:val="DefaultParagraphFont"/>
    <w:rsid w:val="009A64BD"/>
    <w:rPr>
      <w:color w:val="0000FF"/>
      <w:u w:val="single"/>
    </w:rPr>
  </w:style>
  <w:style w:type="paragraph" w:styleId="BalloonText">
    <w:name w:val="Balloon Text"/>
    <w:basedOn w:val="Normal"/>
    <w:link w:val="BalloonTextChar"/>
    <w:rsid w:val="00A9292D"/>
    <w:pPr>
      <w:spacing w:before="0"/>
    </w:pPr>
    <w:rPr>
      <w:rFonts w:ascii="Tahoma" w:hAnsi="Tahoma" w:cs="Tahoma"/>
      <w:sz w:val="16"/>
      <w:szCs w:val="16"/>
    </w:rPr>
  </w:style>
  <w:style w:type="character" w:customStyle="1" w:styleId="BalloonTextChar">
    <w:name w:val="Balloon Text Char"/>
    <w:basedOn w:val="DefaultParagraphFont"/>
    <w:link w:val="BalloonText"/>
    <w:rsid w:val="00A9292D"/>
    <w:rPr>
      <w:rFonts w:ascii="Tahoma" w:hAnsi="Tahoma" w:cs="Tahoma"/>
      <w:sz w:val="16"/>
      <w:szCs w:val="16"/>
      <w:lang w:val="en-GB" w:eastAsia="en-US"/>
    </w:rPr>
  </w:style>
  <w:style w:type="character" w:customStyle="1" w:styleId="Heading1Char">
    <w:name w:val="Heading 1 Char"/>
    <w:link w:val="Heading1"/>
    <w:rsid w:val="00885B99"/>
    <w:rPr>
      <w:rFonts w:ascii="Times New Roman" w:hAnsi="Times New Roman"/>
      <w:b/>
      <w:sz w:val="24"/>
      <w:lang w:val="en-GB" w:eastAsia="en-US"/>
    </w:rPr>
  </w:style>
  <w:style w:type="character" w:customStyle="1" w:styleId="FootnoteTextChar">
    <w:name w:val="Footnote Text Char"/>
    <w:basedOn w:val="DefaultParagraphFont"/>
    <w:link w:val="FootnoteText"/>
    <w:rsid w:val="00120401"/>
    <w:rPr>
      <w:rFonts w:ascii="Times New Roman" w:hAnsi="Times New Roman"/>
      <w:sz w:val="22"/>
      <w:lang w:val="en-GB" w:eastAsia="en-US"/>
    </w:rPr>
  </w:style>
  <w:style w:type="character" w:customStyle="1" w:styleId="Heading2Char">
    <w:name w:val="Heading 2 Char"/>
    <w:link w:val="Heading2"/>
    <w:rsid w:val="00885B99"/>
    <w:rPr>
      <w:rFonts w:ascii="Times New Roman" w:hAnsi="Times New Roman"/>
      <w:b/>
      <w:sz w:val="24"/>
      <w:lang w:val="en-GB" w:eastAsia="en-US"/>
    </w:rPr>
  </w:style>
  <w:style w:type="character" w:customStyle="1" w:styleId="Heading3Char">
    <w:name w:val="Heading 3 Char"/>
    <w:link w:val="Heading3"/>
    <w:rsid w:val="00885B99"/>
    <w:rPr>
      <w:rFonts w:ascii="Times New Roman" w:hAnsi="Times New Roman"/>
      <w:b/>
      <w:sz w:val="24"/>
      <w:lang w:val="en-GB" w:eastAsia="en-US"/>
    </w:rPr>
  </w:style>
  <w:style w:type="character" w:customStyle="1" w:styleId="Heading4Char">
    <w:name w:val="Heading 4 Char"/>
    <w:link w:val="Heading4"/>
    <w:rsid w:val="00885B99"/>
    <w:rPr>
      <w:rFonts w:ascii="Times New Roman" w:hAnsi="Times New Roman"/>
      <w:b/>
      <w:sz w:val="24"/>
      <w:lang w:val="en-GB" w:eastAsia="en-US"/>
    </w:rPr>
  </w:style>
  <w:style w:type="character" w:customStyle="1" w:styleId="Heading5Char">
    <w:name w:val="Heading 5 Char"/>
    <w:link w:val="Heading5"/>
    <w:rsid w:val="00885B99"/>
    <w:rPr>
      <w:rFonts w:ascii="Times New Roman" w:hAnsi="Times New Roman"/>
      <w:b/>
      <w:sz w:val="24"/>
      <w:lang w:val="en-GB" w:eastAsia="en-US"/>
    </w:rPr>
  </w:style>
  <w:style w:type="character" w:customStyle="1" w:styleId="Heading6Char">
    <w:name w:val="Heading 6 Char"/>
    <w:link w:val="Heading6"/>
    <w:rsid w:val="00885B99"/>
    <w:rPr>
      <w:rFonts w:ascii="Times New Roman" w:hAnsi="Times New Roman"/>
      <w:b/>
      <w:sz w:val="24"/>
      <w:lang w:val="en-GB" w:eastAsia="en-US"/>
    </w:rPr>
  </w:style>
  <w:style w:type="character" w:customStyle="1" w:styleId="Heading7Char">
    <w:name w:val="Heading 7 Char"/>
    <w:link w:val="Heading7"/>
    <w:rsid w:val="00885B99"/>
    <w:rPr>
      <w:rFonts w:ascii="Times New Roman" w:hAnsi="Times New Roman"/>
      <w:b/>
      <w:sz w:val="24"/>
      <w:lang w:val="en-GB" w:eastAsia="en-US"/>
    </w:rPr>
  </w:style>
  <w:style w:type="character" w:customStyle="1" w:styleId="Heading8Char">
    <w:name w:val="Heading 8 Char"/>
    <w:link w:val="Heading8"/>
    <w:rsid w:val="00885B99"/>
    <w:rPr>
      <w:rFonts w:ascii="Times New Roman" w:hAnsi="Times New Roman"/>
      <w:b/>
      <w:sz w:val="24"/>
      <w:lang w:val="en-GB" w:eastAsia="en-US"/>
    </w:rPr>
  </w:style>
  <w:style w:type="character" w:customStyle="1" w:styleId="Heading9Char">
    <w:name w:val="Heading 9 Char"/>
    <w:link w:val="Heading9"/>
    <w:rsid w:val="00885B99"/>
    <w:rPr>
      <w:rFonts w:ascii="Times New Roman" w:hAnsi="Times New Roman"/>
      <w:b/>
      <w:sz w:val="24"/>
      <w:lang w:val="en-GB" w:eastAsia="en-US"/>
    </w:rPr>
  </w:style>
  <w:style w:type="character" w:customStyle="1" w:styleId="HeaderChar">
    <w:name w:val="Header Char"/>
    <w:link w:val="Header"/>
    <w:rsid w:val="00885B99"/>
    <w:rPr>
      <w:rFonts w:ascii="Times New Roman" w:hAnsi="Times New Roman"/>
      <w:sz w:val="18"/>
      <w:lang w:val="en-GB" w:eastAsia="en-US"/>
    </w:rPr>
  </w:style>
  <w:style w:type="character" w:customStyle="1" w:styleId="CommentTextChar">
    <w:name w:val="Comment Text Char"/>
    <w:basedOn w:val="DefaultParagraphFont"/>
    <w:link w:val="CommentText"/>
    <w:rsid w:val="00885B99"/>
    <w:rPr>
      <w:rFonts w:ascii="Times New Roman" w:hAnsi="Times New Roman"/>
      <w:lang w:eastAsia="en-US"/>
    </w:rPr>
  </w:style>
  <w:style w:type="paragraph" w:styleId="Revision">
    <w:name w:val="Revision"/>
    <w:hidden/>
    <w:uiPriority w:val="99"/>
    <w:semiHidden/>
    <w:rsid w:val="00885B99"/>
    <w:rPr>
      <w:rFonts w:ascii="Times New Roman" w:eastAsia="MS Mincho" w:hAnsi="Times New Roman"/>
      <w:sz w:val="24"/>
    </w:rPr>
  </w:style>
  <w:style w:type="paragraph" w:styleId="CommentSubject">
    <w:name w:val="annotation subject"/>
    <w:basedOn w:val="CommentText"/>
    <w:next w:val="CommentText"/>
    <w:link w:val="CommentSubjectChar"/>
    <w:semiHidden/>
    <w:unhideWhenUsed/>
    <w:rsid w:val="00035A23"/>
    <w:pPr>
      <w:tabs>
        <w:tab w:val="left" w:pos="794"/>
        <w:tab w:val="left" w:pos="1191"/>
        <w:tab w:val="left" w:pos="1588"/>
        <w:tab w:val="left" w:pos="1985"/>
      </w:tabs>
      <w:overflowPunct w:val="0"/>
      <w:autoSpaceDE w:val="0"/>
      <w:autoSpaceDN w:val="0"/>
      <w:adjustRightInd w:val="0"/>
      <w:spacing w:before="120"/>
      <w:jc w:val="both"/>
      <w:textAlignment w:val="baseline"/>
    </w:pPr>
    <w:rPr>
      <w:b/>
      <w:bCs/>
      <w:lang w:val="en-GB"/>
    </w:rPr>
  </w:style>
  <w:style w:type="character" w:customStyle="1" w:styleId="CommentSubjectChar">
    <w:name w:val="Comment Subject Char"/>
    <w:basedOn w:val="CommentTextChar"/>
    <w:link w:val="CommentSubject"/>
    <w:semiHidden/>
    <w:rsid w:val="00035A23"/>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6" Type="http://schemas.openxmlformats.org/officeDocument/2006/relationships/hyperlink" Target="The%20Debate%20over%20MNOled%20or%20Bank-led%20Mobile%20Money%20Strategy%20in%20Nigeria%20&#8211;%20the%20Perspective%20of%20a%20Super%20Agent" TargetMode="External"/><Relationship Id="rId21" Type="http://schemas.openxmlformats.org/officeDocument/2006/relationships/hyperlink" Target="https://goo.gl/ScIXqr" TargetMode="External"/><Relationship Id="rId42" Type="http://schemas.openxmlformats.org/officeDocument/2006/relationships/hyperlink" Target="https://goo.gl/Y5e725" TargetMode="External"/><Relationship Id="rId47" Type="http://schemas.openxmlformats.org/officeDocument/2006/relationships/hyperlink" Target="https://goo.gl/nZWX3M" TargetMode="External"/><Relationship Id="rId63" Type="http://schemas.openxmlformats.org/officeDocument/2006/relationships/hyperlink" Target="https://goo.gl/14LHgS" TargetMode="External"/><Relationship Id="rId68" Type="http://schemas.openxmlformats.org/officeDocument/2006/relationships/hyperlink" Target="https://goo.gl/6mnfT1" TargetMode="External"/><Relationship Id="rId84" Type="http://schemas.openxmlformats.org/officeDocument/2006/relationships/hyperlink" Target="https://goo.gl/F4x2Rm" TargetMode="External"/><Relationship Id="rId89" Type="http://schemas.openxmlformats.org/officeDocument/2006/relationships/hyperlink" Target="https://goo.gl/C3cEZw" TargetMode="External"/><Relationship Id="rId2" Type="http://schemas.openxmlformats.org/officeDocument/2006/relationships/hyperlink" Target="https://goo.gl/YHBMxv" TargetMode="External"/><Relationship Id="rId16" Type="http://schemas.openxmlformats.org/officeDocument/2006/relationships/hyperlink" Target="https://goo.gl/epIufJ" TargetMode="External"/><Relationship Id="rId29" Type="http://schemas.openxmlformats.org/officeDocument/2006/relationships/hyperlink" Target="http://www.esewa.com.np" TargetMode="External"/><Relationship Id="rId107" Type="http://schemas.openxmlformats.org/officeDocument/2006/relationships/hyperlink" Target="https://goo.gl/y28ff6" TargetMode="External"/><Relationship Id="rId11" Type="http://schemas.openxmlformats.org/officeDocument/2006/relationships/hyperlink" Target="https://ssrn.com/abstract=2673637" TargetMode="External"/><Relationship Id="rId24" Type="http://schemas.openxmlformats.org/officeDocument/2006/relationships/hyperlink" Target="http://toi.in/G-ZL7b7" TargetMode="External"/><Relationship Id="rId32" Type="http://schemas.openxmlformats.org/officeDocument/2006/relationships/hyperlink" Target="https://goo.gl/po24bd" TargetMode="External"/><Relationship Id="rId37" Type="http://schemas.openxmlformats.org/officeDocument/2006/relationships/hyperlink" Target="https://goo.gl/XwPxzn" TargetMode="External"/><Relationship Id="rId40" Type="http://schemas.openxmlformats.org/officeDocument/2006/relationships/hyperlink" Target="https://goo.gl/TSrPLP" TargetMode="External"/><Relationship Id="rId45" Type="http://schemas.openxmlformats.org/officeDocument/2006/relationships/hyperlink" Target="https://goo.gl/8RrIq4" TargetMode="External"/><Relationship Id="rId53" Type="http://schemas.openxmlformats.org/officeDocument/2006/relationships/hyperlink" Target="https://www.itu.int/rec/T-REC-E.164-201011-I/en" TargetMode="External"/><Relationship Id="rId58" Type="http://schemas.openxmlformats.org/officeDocument/2006/relationships/hyperlink" Target="http://handle.itu.int/11.1002/pub/81129ee5-en" TargetMode="External"/><Relationship Id="rId66" Type="http://schemas.openxmlformats.org/officeDocument/2006/relationships/hyperlink" Target="https://goo.gl/rgXDeE" TargetMode="External"/><Relationship Id="rId74" Type="http://schemas.openxmlformats.org/officeDocument/2006/relationships/hyperlink" Target="https://goo.gl/h9OumW" TargetMode="External"/><Relationship Id="rId79" Type="http://schemas.openxmlformats.org/officeDocument/2006/relationships/hyperlink" Target="https://goo.gl/f27H23" TargetMode="External"/><Relationship Id="rId87" Type="http://schemas.openxmlformats.org/officeDocument/2006/relationships/hyperlink" Target="https://goo.gl/DLn9Ur" TargetMode="External"/><Relationship Id="rId102" Type="http://schemas.openxmlformats.org/officeDocument/2006/relationships/hyperlink" Target="http://www.equitel.com/my-phone/get-activated" TargetMode="External"/><Relationship Id="rId110" Type="http://schemas.openxmlformats.org/officeDocument/2006/relationships/hyperlink" Target="https://goo.gl/Acm0Fa" TargetMode="External"/><Relationship Id="rId5" Type="http://schemas.openxmlformats.org/officeDocument/2006/relationships/hyperlink" Target="https://goo.gl/WW3oXv" TargetMode="External"/><Relationship Id="rId61" Type="http://schemas.openxmlformats.org/officeDocument/2006/relationships/hyperlink" Target="http://www.bis.org/review/r161025f.htm" TargetMode="External"/><Relationship Id="rId82" Type="http://schemas.openxmlformats.org/officeDocument/2006/relationships/hyperlink" Target="https://www.centralbank.go.ke/images/docs/legislation/NPSRegulations2014.pdf" TargetMode="External"/><Relationship Id="rId90" Type="http://schemas.openxmlformats.org/officeDocument/2006/relationships/hyperlink" Target="http://goo.gl/9C1lP8" TargetMode="External"/><Relationship Id="rId95" Type="http://schemas.openxmlformats.org/officeDocument/2006/relationships/hyperlink" Target="https://eprint.iacr.org/2013/581.pdf" TargetMode="External"/><Relationship Id="rId19" Type="http://schemas.openxmlformats.org/officeDocument/2006/relationships/hyperlink" Target="https://goo.gl/FnIN8t" TargetMode="External"/><Relationship Id="rId14" Type="http://schemas.openxmlformats.org/officeDocument/2006/relationships/hyperlink" Target="https://goo.gl/ur9AKN" TargetMode="External"/><Relationship Id="rId22" Type="http://schemas.openxmlformats.org/officeDocument/2006/relationships/hyperlink" Target="https://goo.gl/o0XGRf" TargetMode="External"/><Relationship Id="rId27" Type="http://schemas.openxmlformats.org/officeDocument/2006/relationships/hyperlink" Target="https://goo.gl/0r9UTB" TargetMode="External"/><Relationship Id="rId30" Type="http://schemas.openxmlformats.org/officeDocument/2006/relationships/hyperlink" Target="http://www.gsma.org" TargetMode="External"/><Relationship Id="rId35" Type="http://schemas.openxmlformats.org/officeDocument/2006/relationships/hyperlink" Target="https://goo.gl/zF9ggZ" TargetMode="External"/><Relationship Id="rId43" Type="http://schemas.openxmlformats.org/officeDocument/2006/relationships/hyperlink" Target="https://goo.gl/7kHo45" TargetMode="External"/><Relationship Id="rId48" Type="http://schemas.openxmlformats.org/officeDocument/2006/relationships/hyperlink" Target="http://bit.ly/2isSXNz" TargetMode="External"/><Relationship Id="rId56" Type="http://schemas.openxmlformats.org/officeDocument/2006/relationships/hyperlink" Target="http://www.itu.int/en/ITU-T/focusgroups/dfs/Pages/default.aspx" TargetMode="External"/><Relationship Id="rId64" Type="http://schemas.openxmlformats.org/officeDocument/2006/relationships/hyperlink" Target="https://goo.gl/PI4Zkt" TargetMode="External"/><Relationship Id="rId69" Type="http://schemas.openxmlformats.org/officeDocument/2006/relationships/hyperlink" Target="https://goo.gl/dxxSIU" TargetMode="External"/><Relationship Id="rId77" Type="http://schemas.openxmlformats.org/officeDocument/2006/relationships/hyperlink" Target="https://goo.gl/IcZG3w" TargetMode="External"/><Relationship Id="rId100" Type="http://schemas.openxmlformats.org/officeDocument/2006/relationships/hyperlink" Target="https://goo.gl/KrZEIJ" TargetMode="External"/><Relationship Id="rId105" Type="http://schemas.openxmlformats.org/officeDocument/2006/relationships/hyperlink" Target="http://www.bitsim.co/%23what-is-bitsim" TargetMode="External"/><Relationship Id="rId8" Type="http://schemas.openxmlformats.org/officeDocument/2006/relationships/hyperlink" Target="https://goo.gl/Q2Ceyc" TargetMode="External"/><Relationship Id="rId51" Type="http://schemas.openxmlformats.org/officeDocument/2006/relationships/hyperlink" Target="https://goo.gl/fsvyfZ" TargetMode="External"/><Relationship Id="rId72" Type="http://schemas.openxmlformats.org/officeDocument/2006/relationships/hyperlink" Target="http://www.itu.int/en/ITU-T/focusgroups/dfs/Pages/default.aspx" TargetMode="External"/><Relationship Id="rId80" Type="http://schemas.openxmlformats.org/officeDocument/2006/relationships/hyperlink" Target="http://www.bitpesa.co" TargetMode="External"/><Relationship Id="rId85" Type="http://schemas.openxmlformats.org/officeDocument/2006/relationships/hyperlink" Target="https://goo.gl/47yZqM" TargetMode="External"/><Relationship Id="rId93" Type="http://schemas.openxmlformats.org/officeDocument/2006/relationships/hyperlink" Target="http://www.equitel.com/my-phone/get-activated" TargetMode="External"/><Relationship Id="rId98" Type="http://schemas.openxmlformats.org/officeDocument/2006/relationships/hyperlink" Target="https://goo.gl/jF0mw9" TargetMode="External"/><Relationship Id="rId3" Type="http://schemas.openxmlformats.org/officeDocument/2006/relationships/hyperlink" Target="http://handle.itu.int/11.1002/pub/81129ee5-en" TargetMode="External"/><Relationship Id="rId12" Type="http://schemas.openxmlformats.org/officeDocument/2006/relationships/hyperlink" Target="https://goo.gl/Va7QK8" TargetMode="External"/><Relationship Id="rId17" Type="http://schemas.openxmlformats.org/officeDocument/2006/relationships/hyperlink" Target="https://goo.gl/KRZwyt" TargetMode="External"/><Relationship Id="rId25" Type="http://schemas.openxmlformats.org/officeDocument/2006/relationships/hyperlink" Target="https://goo.gl/fl41Ns" TargetMode="External"/><Relationship Id="rId33" Type="http://schemas.openxmlformats.org/officeDocument/2006/relationships/hyperlink" Target="https://goo.gl/dSSPLN" TargetMode="External"/><Relationship Id="rId38" Type="http://schemas.openxmlformats.org/officeDocument/2006/relationships/hyperlink" Target="https://goo.gl/osF8Mo" TargetMode="External"/><Relationship Id="rId46" Type="http://schemas.openxmlformats.org/officeDocument/2006/relationships/hyperlink" Target="https://goo.gl/pivUkH" TargetMode="External"/><Relationship Id="rId59" Type="http://schemas.openxmlformats.org/officeDocument/2006/relationships/hyperlink" Target="https://goo.gl/oVmDhe" TargetMode="External"/><Relationship Id="rId67" Type="http://schemas.openxmlformats.org/officeDocument/2006/relationships/hyperlink" Target="https://goo.gl/I1cNUL" TargetMode="External"/><Relationship Id="rId103" Type="http://schemas.openxmlformats.org/officeDocument/2006/relationships/hyperlink" Target="https://goo.gl/S8nzt8" TargetMode="External"/><Relationship Id="rId108" Type="http://schemas.openxmlformats.org/officeDocument/2006/relationships/hyperlink" Target="https://goo.gl/5eZmkz" TargetMode="External"/><Relationship Id="rId20" Type="http://schemas.openxmlformats.org/officeDocument/2006/relationships/hyperlink" Target="https://goo.gl/rslTSB" TargetMode="External"/><Relationship Id="rId41" Type="http://schemas.openxmlformats.org/officeDocument/2006/relationships/hyperlink" Target="https://goo.gl/usuONK" TargetMode="External"/><Relationship Id="rId54" Type="http://schemas.openxmlformats.org/officeDocument/2006/relationships/hyperlink" Target="http://bit.ly/2jlOjpe" TargetMode="External"/><Relationship Id="rId62" Type="http://schemas.openxmlformats.org/officeDocument/2006/relationships/hyperlink" Target="https://goo.gl/cb090G" TargetMode="External"/><Relationship Id="rId70" Type="http://schemas.openxmlformats.org/officeDocument/2006/relationships/hyperlink" Target="https://goo.gl/h0Oapm" TargetMode="External"/><Relationship Id="rId75" Type="http://schemas.openxmlformats.org/officeDocument/2006/relationships/hyperlink" Target="https://goo.gl/O4CkOP" TargetMode="External"/><Relationship Id="rId83" Type="http://schemas.openxmlformats.org/officeDocument/2006/relationships/hyperlink" Target="https://goo.gl/f9cnLc" TargetMode="External"/><Relationship Id="rId88" Type="http://schemas.openxmlformats.org/officeDocument/2006/relationships/hyperlink" Target="file:///C:\Users\Leon\OneDrive\Documents4\accion%20fellows\reoport\Shrader" TargetMode="External"/><Relationship Id="rId91" Type="http://schemas.openxmlformats.org/officeDocument/2006/relationships/hyperlink" Target="https://goo.gl/ybICxl" TargetMode="External"/><Relationship Id="rId96" Type="http://schemas.openxmlformats.org/officeDocument/2006/relationships/hyperlink" Target="https://goo.gl/kKV7JU" TargetMode="External"/><Relationship Id="rId111" Type="http://schemas.openxmlformats.org/officeDocument/2006/relationships/hyperlink" Target="https://www.goabra.com/fees/" TargetMode="External"/><Relationship Id="rId1" Type="http://schemas.openxmlformats.org/officeDocument/2006/relationships/hyperlink" Target="https://goo.gl/nR9pPK" TargetMode="External"/><Relationship Id="rId6" Type="http://schemas.openxmlformats.org/officeDocument/2006/relationships/hyperlink" Target="https://goo.gl/RzfhmS" TargetMode="External"/><Relationship Id="rId15" Type="http://schemas.openxmlformats.org/officeDocument/2006/relationships/hyperlink" Target="https://goo.gl/XwJPDG" TargetMode="External"/><Relationship Id="rId23" Type="http://schemas.openxmlformats.org/officeDocument/2006/relationships/hyperlink" Target="https://goo.gl/V53zsF" TargetMode="External"/><Relationship Id="rId28" Type="http://schemas.openxmlformats.org/officeDocument/2006/relationships/hyperlink" Target="https://goo.gl/xJT9DF" TargetMode="External"/><Relationship Id="rId36" Type="http://schemas.openxmlformats.org/officeDocument/2006/relationships/hyperlink" Target="https://goo.gl/V1qZJ0" TargetMode="External"/><Relationship Id="rId49" Type="http://schemas.openxmlformats.org/officeDocument/2006/relationships/hyperlink" Target="https://goo.gl/n6kqnF" TargetMode="External"/><Relationship Id="rId57" Type="http://schemas.openxmlformats.org/officeDocument/2006/relationships/hyperlink" Target="https://goo.gl/l8cD4o" TargetMode="External"/><Relationship Id="rId106" Type="http://schemas.openxmlformats.org/officeDocument/2006/relationships/hyperlink" Target="https://goo.gl/jC1ogx" TargetMode="External"/><Relationship Id="rId10" Type="http://schemas.openxmlformats.org/officeDocument/2006/relationships/hyperlink" Target="https://goo.gl/jAcViG" TargetMode="External"/><Relationship Id="rId31" Type="http://schemas.openxmlformats.org/officeDocument/2006/relationships/hyperlink" Target="http://bderenzi.com/Papers/perrier-dev2015.pdf" TargetMode="External"/><Relationship Id="rId44" Type="http://schemas.openxmlformats.org/officeDocument/2006/relationships/hyperlink" Target="https://goo.gl/1Fb48a" TargetMode="External"/><Relationship Id="rId52" Type="http://schemas.openxmlformats.org/officeDocument/2006/relationships/hyperlink" Target="http://www.equitel.com/my-phone/get-activated" TargetMode="External"/><Relationship Id="rId60" Type="http://schemas.openxmlformats.org/officeDocument/2006/relationships/hyperlink" Target="https://goo.gl/cb090G" TargetMode="External"/><Relationship Id="rId65" Type="http://schemas.openxmlformats.org/officeDocument/2006/relationships/hyperlink" Target="https://goo.gl/150ofa" TargetMode="External"/><Relationship Id="rId73" Type="http://schemas.openxmlformats.org/officeDocument/2006/relationships/hyperlink" Target="https://goo.gl/wbqDX6" TargetMode="External"/><Relationship Id="rId78" Type="http://schemas.openxmlformats.org/officeDocument/2006/relationships/hyperlink" Target="http://www.pesapi.com/" TargetMode="External"/><Relationship Id="rId81" Type="http://schemas.openxmlformats.org/officeDocument/2006/relationships/hyperlink" Target="https://goo.gl/lByJQp" TargetMode="External"/><Relationship Id="rId86" Type="http://schemas.openxmlformats.org/officeDocument/2006/relationships/hyperlink" Target="https://goo.gl/fCr0Nu" TargetMode="External"/><Relationship Id="rId94" Type="http://schemas.openxmlformats.org/officeDocument/2006/relationships/hyperlink" Target="file:///\\blue\dfs\compo\COMP_PROD\ITU-T\2019\Publications\Technical_report\19-00410_DSTR_DFSCA\Recup\www.tagpay.fr" TargetMode="External"/><Relationship Id="rId99" Type="http://schemas.openxmlformats.org/officeDocument/2006/relationships/hyperlink" Target="https://goo.gl/kGmM82" TargetMode="External"/><Relationship Id="rId101" Type="http://schemas.openxmlformats.org/officeDocument/2006/relationships/hyperlink" Target="https://goo.gl/FmdBeJ" TargetMode="External"/><Relationship Id="rId4" Type="http://schemas.openxmlformats.org/officeDocument/2006/relationships/hyperlink" Target="https://goo.gl/IBu4sJ" TargetMode="External"/><Relationship Id="rId9" Type="http://schemas.openxmlformats.org/officeDocument/2006/relationships/hyperlink" Target="https://goo.gl/OR5D14" TargetMode="External"/><Relationship Id="rId13" Type="http://schemas.openxmlformats.org/officeDocument/2006/relationships/hyperlink" Target="https://goo.gl/MnKnEy" TargetMode="External"/><Relationship Id="rId18" Type="http://schemas.openxmlformats.org/officeDocument/2006/relationships/hyperlink" Target="https://goo.gl/BVxvBT" TargetMode="External"/><Relationship Id="rId39" Type="http://schemas.openxmlformats.org/officeDocument/2006/relationships/hyperlink" Target="https://goo.gl/X9cDFQ" TargetMode="External"/><Relationship Id="rId109" Type="http://schemas.openxmlformats.org/officeDocument/2006/relationships/hyperlink" Target="https://goo.gl/FOsMlP" TargetMode="External"/><Relationship Id="rId34" Type="http://schemas.openxmlformats.org/officeDocument/2006/relationships/hyperlink" Target="https://goo.gl/y0FxA4" TargetMode="External"/><Relationship Id="rId50" Type="http://schemas.openxmlformats.org/officeDocument/2006/relationships/hyperlink" Target="https://goo.gl/fEg0PN" TargetMode="External"/><Relationship Id="rId55" Type="http://schemas.openxmlformats.org/officeDocument/2006/relationships/hyperlink" Target="https://goo.gl/glTbes" TargetMode="External"/><Relationship Id="rId76" Type="http://schemas.openxmlformats.org/officeDocument/2006/relationships/hyperlink" Target="https://goo.gl/1a6unm" TargetMode="External"/><Relationship Id="rId97" Type="http://schemas.openxmlformats.org/officeDocument/2006/relationships/hyperlink" Target="http://goo.gl/Lo%20SFO" TargetMode="External"/><Relationship Id="rId104" Type="http://schemas.openxmlformats.org/officeDocument/2006/relationships/hyperlink" Target="http://www.itu.int/en/ITU-T/focusgroups/dfs/Documents/201703/ITU_FGDFS_Report-on-DLT-and-Financial-Inclusion.pdf" TargetMode="External"/><Relationship Id="rId7" Type="http://schemas.openxmlformats.org/officeDocument/2006/relationships/hyperlink" Target="https://goo.gl/zYT7yI" TargetMode="External"/><Relationship Id="rId71" Type="http://schemas.openxmlformats.org/officeDocument/2006/relationships/hyperlink" Target="https://goo.gl/Mkwp5T" TargetMode="External"/><Relationship Id="rId92" Type="http://schemas.openxmlformats.org/officeDocument/2006/relationships/hyperlink" Target="http://www.equite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PUB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7E394CBF2D4649A0B6A1B1F64B5C71" ma:contentTypeVersion="6" ma:contentTypeDescription="Create a new document." ma:contentTypeScope="" ma:versionID="60240a4f6bdf20b02594586e75343ef6">
  <xsd:schema xmlns:xsd="http://www.w3.org/2001/XMLSchema" xmlns:xs="http://www.w3.org/2001/XMLSchema" xmlns:p="http://schemas.microsoft.com/office/2006/metadata/properties" xmlns:ns3="d801feee-0a04-489c-95ba-2c29d5c96e1a" targetNamespace="http://schemas.microsoft.com/office/2006/metadata/properties" ma:root="true" ma:fieldsID="6f868f18c1af7e2601861a6cd8b498b9" ns3:_="">
    <xsd:import namespace="d801feee-0a04-489c-95ba-2c29d5c96e1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1feee-0a04-489c-95ba-2c29d5c96e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D60E7-780C-45C2-9DE9-E56C51641E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BBCE0E-46D5-4F53-9374-56BD130EE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1feee-0a04-489c-95ba-2c29d5c96e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3AF7CC-CBF6-4681-9B09-DABC5629D309}">
  <ds:schemaRefs>
    <ds:schemaRef ds:uri="http://schemas.microsoft.com/sharepoint/v3/contenttype/forms"/>
  </ds:schemaRefs>
</ds:datastoreItem>
</file>

<file path=customXml/itemProps4.xml><?xml version="1.0" encoding="utf-8"?>
<ds:datastoreItem xmlns:ds="http://schemas.openxmlformats.org/officeDocument/2006/customXml" ds:itemID="{4A29B037-8BA6-45C0-9728-0FAB6EC77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QPUBE.dotm</Template>
  <TotalTime>2</TotalTime>
  <Pages>60</Pages>
  <Words>15722</Words>
  <Characters>89617</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ITU-T  RECOMMENDATION</vt:lpstr>
    </vt:vector>
  </TitlesOfParts>
  <Company>ITU</Company>
  <LinksUpToDate>false</LinksUpToDate>
  <CharactersWithSpaces>105129</CharactersWithSpaces>
  <SharedDoc>false</SharedDoc>
  <HLinks>
    <vt:vector size="6" baseType="variant">
      <vt:variant>
        <vt:i4>5832781</vt:i4>
      </vt:variant>
      <vt:variant>
        <vt:i4>0</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RECOMMENDATION</dc:title>
  <dc:creator>Martinez Romera, Angel</dc:creator>
  <cp:lastModifiedBy>TSB-AC</cp:lastModifiedBy>
  <cp:revision>5</cp:revision>
  <cp:lastPrinted>2019-08-28T13:00:00Z</cp:lastPrinted>
  <dcterms:created xsi:type="dcterms:W3CDTF">2019-08-29T09:02:00Z</dcterms:created>
  <dcterms:modified xsi:type="dcterms:W3CDTF">2019-08-29T12:34:00Z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ContentTypeId">
    <vt:lpwstr>0x010100DA7E394CBF2D4649A0B6A1B1F64B5C71</vt:lpwstr>
  </property>
</Properties>
</file>