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1449"/>
        <w:gridCol w:w="4551"/>
      </w:tblGrid>
      <w:tr w:rsidR="00E02690" w:rsidRPr="007A14E2" w14:paraId="4D87F78B" w14:textId="77777777" w:rsidTr="00E02690">
        <w:trPr>
          <w:trHeight w:hRule="exact" w:val="1418"/>
        </w:trPr>
        <w:tc>
          <w:tcPr>
            <w:tcW w:w="1428" w:type="dxa"/>
            <w:gridSpan w:val="2"/>
          </w:tcPr>
          <w:p w14:paraId="636341D5" w14:textId="6913233C" w:rsidR="00E02690" w:rsidRPr="007A14E2" w:rsidRDefault="00E02690" w:rsidP="00E02690"/>
          <w:p w14:paraId="71E16882" w14:textId="77777777" w:rsidR="00E02690" w:rsidRPr="007A14E2" w:rsidRDefault="00E02690" w:rsidP="00E02690">
            <w:pPr>
              <w:spacing w:before="0"/>
              <w:rPr>
                <w:b/>
                <w:sz w:val="16"/>
              </w:rPr>
            </w:pPr>
          </w:p>
        </w:tc>
        <w:tc>
          <w:tcPr>
            <w:tcW w:w="8520" w:type="dxa"/>
            <w:gridSpan w:val="3"/>
          </w:tcPr>
          <w:p w14:paraId="6F734526" w14:textId="77777777" w:rsidR="00E02690" w:rsidRPr="007A14E2" w:rsidRDefault="00E02690" w:rsidP="00E02690">
            <w:pPr>
              <w:spacing w:before="0"/>
              <w:rPr>
                <w:rFonts w:ascii="Arial" w:hAnsi="Arial" w:cs="Arial"/>
              </w:rPr>
            </w:pPr>
          </w:p>
          <w:p w14:paraId="3430C1CF" w14:textId="77777777" w:rsidR="00E02690" w:rsidRPr="007A14E2" w:rsidRDefault="00E02690" w:rsidP="00E02690">
            <w:pPr>
              <w:spacing w:before="284"/>
              <w:rPr>
                <w:rFonts w:ascii="Arial" w:hAnsi="Arial" w:cs="Arial"/>
                <w:b/>
                <w:bCs/>
                <w:sz w:val="18"/>
              </w:rPr>
            </w:pPr>
            <w:r w:rsidRPr="007A14E2">
              <w:rPr>
                <w:rFonts w:ascii="Arial" w:hAnsi="Arial" w:cs="Arial"/>
                <w:b/>
                <w:bCs/>
                <w:color w:val="808080"/>
                <w:spacing w:val="100"/>
              </w:rPr>
              <w:t>International Telecommunication Union</w:t>
            </w:r>
          </w:p>
        </w:tc>
      </w:tr>
      <w:tr w:rsidR="00E02690" w:rsidRPr="007A14E2" w14:paraId="05182BB5" w14:textId="77777777" w:rsidTr="00E02690">
        <w:trPr>
          <w:trHeight w:hRule="exact" w:val="992"/>
        </w:trPr>
        <w:tc>
          <w:tcPr>
            <w:tcW w:w="1428" w:type="dxa"/>
            <w:gridSpan w:val="2"/>
          </w:tcPr>
          <w:p w14:paraId="74306510" w14:textId="64927174" w:rsidR="00E02690" w:rsidRPr="007A14E2" w:rsidRDefault="005A14F2" w:rsidP="00E02690">
            <w:pPr>
              <w:spacing w:before="0"/>
            </w:pPr>
            <w:r w:rsidRPr="007A14E2">
              <w:rPr>
                <w:lang w:eastAsia="en-GB"/>
              </w:rPr>
              <w:drawing>
                <wp:anchor distT="0" distB="0" distL="114300" distR="114300" simplePos="0" relativeHeight="251659264" behindDoc="0" locked="0" layoutInCell="1" allowOverlap="1" wp14:anchorId="6C2EDBF4" wp14:editId="6EC02E21">
                  <wp:simplePos x="0" y="0"/>
                  <wp:positionH relativeFrom="column">
                    <wp:posOffset>-744855</wp:posOffset>
                  </wp:positionH>
                  <wp:positionV relativeFrom="paragraph">
                    <wp:posOffset>-1588889</wp:posOffset>
                  </wp:positionV>
                  <wp:extent cx="1470355"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0355" cy="10771505"/>
                          </a:xfrm>
                          <a:prstGeom prst="rect">
                            <a:avLst/>
                          </a:prstGeom>
                          <a:noFill/>
                        </pic:spPr>
                      </pic:pic>
                    </a:graphicData>
                  </a:graphic>
                  <wp14:sizeRelH relativeFrom="page">
                    <wp14:pctWidth>0</wp14:pctWidth>
                  </wp14:sizeRelH>
                  <wp14:sizeRelV relativeFrom="page">
                    <wp14:pctHeight>0</wp14:pctHeight>
                  </wp14:sizeRelV>
                </wp:anchor>
              </w:drawing>
            </w:r>
          </w:p>
        </w:tc>
        <w:tc>
          <w:tcPr>
            <w:tcW w:w="8520" w:type="dxa"/>
            <w:gridSpan w:val="3"/>
          </w:tcPr>
          <w:p w14:paraId="7FA20148" w14:textId="77777777" w:rsidR="00E02690" w:rsidRPr="007A14E2" w:rsidRDefault="00E02690" w:rsidP="00E02690"/>
        </w:tc>
      </w:tr>
      <w:tr w:rsidR="00E02690" w:rsidRPr="007A14E2" w14:paraId="3CCA760C" w14:textId="77777777" w:rsidTr="00E02690">
        <w:tblPrEx>
          <w:tblCellMar>
            <w:left w:w="85" w:type="dxa"/>
            <w:right w:w="85" w:type="dxa"/>
          </w:tblCellMar>
        </w:tblPrEx>
        <w:trPr>
          <w:gridBefore w:val="2"/>
          <w:wBefore w:w="1428" w:type="dxa"/>
        </w:trPr>
        <w:tc>
          <w:tcPr>
            <w:tcW w:w="2520" w:type="dxa"/>
          </w:tcPr>
          <w:p w14:paraId="0B517EAC" w14:textId="77777777" w:rsidR="00E02690" w:rsidRPr="007A14E2" w:rsidRDefault="00E02690" w:rsidP="00E02690">
            <w:pPr>
              <w:rPr>
                <w:b/>
                <w:sz w:val="18"/>
              </w:rPr>
            </w:pPr>
            <w:bookmarkStart w:id="0" w:name="dnume" w:colFirst="1" w:colLast="1"/>
            <w:r w:rsidRPr="007A14E2">
              <w:rPr>
                <w:rFonts w:ascii="Arial" w:hAnsi="Arial"/>
                <w:b/>
                <w:spacing w:val="40"/>
                <w:sz w:val="72"/>
              </w:rPr>
              <w:t>ITU-T</w:t>
            </w:r>
          </w:p>
        </w:tc>
        <w:tc>
          <w:tcPr>
            <w:tcW w:w="6000" w:type="dxa"/>
            <w:gridSpan w:val="2"/>
          </w:tcPr>
          <w:p w14:paraId="50753DA3" w14:textId="77777777" w:rsidR="00E02690" w:rsidRPr="007A14E2" w:rsidRDefault="00A2356F" w:rsidP="00A2356F">
            <w:pPr>
              <w:spacing w:before="240"/>
              <w:jc w:val="right"/>
              <w:rPr>
                <w:rFonts w:ascii="Arial" w:hAnsi="Arial" w:cs="Arial"/>
                <w:b/>
                <w:sz w:val="60"/>
              </w:rPr>
            </w:pPr>
            <w:r w:rsidRPr="007A14E2">
              <w:rPr>
                <w:rFonts w:ascii="Arial" w:hAnsi="Arial"/>
                <w:b/>
                <w:sz w:val="60"/>
              </w:rPr>
              <w:t>Technical Report</w:t>
            </w:r>
          </w:p>
        </w:tc>
      </w:tr>
      <w:tr w:rsidR="00E02690" w:rsidRPr="007A14E2" w14:paraId="1FB2B9A6" w14:textId="77777777" w:rsidTr="00D40FB2">
        <w:tblPrEx>
          <w:tblCellMar>
            <w:left w:w="85" w:type="dxa"/>
            <w:right w:w="85" w:type="dxa"/>
          </w:tblCellMar>
        </w:tblPrEx>
        <w:trPr>
          <w:gridBefore w:val="2"/>
          <w:wBefore w:w="1428" w:type="dxa"/>
          <w:trHeight w:val="974"/>
        </w:trPr>
        <w:tc>
          <w:tcPr>
            <w:tcW w:w="3969" w:type="dxa"/>
            <w:gridSpan w:val="2"/>
          </w:tcPr>
          <w:p w14:paraId="3E1F906A" w14:textId="77777777" w:rsidR="00E02690" w:rsidRPr="007A14E2" w:rsidRDefault="00E02690" w:rsidP="00072CF3">
            <w:pPr>
              <w:jc w:val="left"/>
              <w:rPr>
                <w:b/>
              </w:rPr>
            </w:pPr>
            <w:bookmarkStart w:id="1" w:name="ddatee" w:colFirst="1" w:colLast="1"/>
            <w:bookmarkEnd w:id="0"/>
            <w:r w:rsidRPr="007A14E2">
              <w:rPr>
                <w:rFonts w:ascii="Arial" w:hAnsi="Arial"/>
              </w:rPr>
              <w:t>TELECOMMUNICATION</w:t>
            </w:r>
            <w:r w:rsidRPr="007A14E2">
              <w:rPr>
                <w:rFonts w:ascii="Arial" w:hAnsi="Arial"/>
              </w:rPr>
              <w:br/>
              <w:t>STANDARDIZATION  SECTOR</w:t>
            </w:r>
            <w:r w:rsidRPr="007A14E2">
              <w:rPr>
                <w:rFonts w:ascii="Arial" w:hAnsi="Arial"/>
              </w:rPr>
              <w:br/>
              <w:t>OF  ITU</w:t>
            </w:r>
          </w:p>
        </w:tc>
        <w:tc>
          <w:tcPr>
            <w:tcW w:w="3969" w:type="dxa"/>
          </w:tcPr>
          <w:p w14:paraId="390F6C18" w14:textId="1EEBBF8A" w:rsidR="00E02690" w:rsidRPr="007A14E2" w:rsidRDefault="00B05E47" w:rsidP="00A2356F">
            <w:pPr>
              <w:wordWrap w:val="0"/>
              <w:spacing w:before="284"/>
              <w:jc w:val="right"/>
              <w:rPr>
                <w:rFonts w:ascii="Arial" w:hAnsi="Arial"/>
                <w:sz w:val="28"/>
              </w:rPr>
            </w:pPr>
            <w:r w:rsidRPr="007A14E2">
              <w:rPr>
                <w:rFonts w:ascii="Arial" w:hAnsi="Arial"/>
                <w:sz w:val="28"/>
              </w:rPr>
              <w:t>(05/2019)</w:t>
            </w:r>
          </w:p>
        </w:tc>
      </w:tr>
      <w:tr w:rsidR="00E02690" w:rsidRPr="007A14E2" w14:paraId="0905BA68" w14:textId="77777777" w:rsidTr="00E02690">
        <w:trPr>
          <w:cantSplit/>
          <w:trHeight w:hRule="exact" w:val="3402"/>
        </w:trPr>
        <w:tc>
          <w:tcPr>
            <w:tcW w:w="1418" w:type="dxa"/>
          </w:tcPr>
          <w:p w14:paraId="2688E27C" w14:textId="77777777" w:rsidR="00E02690" w:rsidRPr="007A14E2"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6C6565F8" w14:textId="77777777" w:rsidR="00E02690" w:rsidRPr="007A14E2" w:rsidRDefault="00E02690" w:rsidP="00A2356F">
            <w:pPr>
              <w:tabs>
                <w:tab w:val="right" w:pos="9639"/>
              </w:tabs>
              <w:rPr>
                <w:rFonts w:ascii="Arial" w:hAnsi="Arial"/>
                <w:sz w:val="32"/>
              </w:rPr>
            </w:pPr>
          </w:p>
        </w:tc>
      </w:tr>
      <w:tr w:rsidR="00E02690" w:rsidRPr="007A14E2" w14:paraId="2B0698C2" w14:textId="77777777" w:rsidTr="00E02690">
        <w:trPr>
          <w:cantSplit/>
          <w:trHeight w:hRule="exact" w:val="4536"/>
        </w:trPr>
        <w:tc>
          <w:tcPr>
            <w:tcW w:w="1418" w:type="dxa"/>
          </w:tcPr>
          <w:p w14:paraId="3BCCDD0E" w14:textId="77777777" w:rsidR="00E02690" w:rsidRPr="007A14E2"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3D49418C" w14:textId="3EFF2DF9" w:rsidR="00A2356F" w:rsidRPr="007A14E2" w:rsidRDefault="009E0E9F" w:rsidP="00194D55">
            <w:pPr>
              <w:tabs>
                <w:tab w:val="right" w:pos="9639"/>
              </w:tabs>
              <w:rPr>
                <w:rFonts w:ascii="Arial" w:hAnsi="Arial" w:cs="Arial"/>
                <w:b/>
                <w:bCs/>
                <w:sz w:val="36"/>
              </w:rPr>
            </w:pPr>
            <w:r w:rsidRPr="007A14E2">
              <w:rPr>
                <w:rFonts w:ascii="Arial" w:hAnsi="Arial" w:cs="Arial"/>
                <w:b/>
                <w:bCs/>
                <w:sz w:val="36"/>
              </w:rPr>
              <w:t>DSTR-</w:t>
            </w:r>
            <w:r w:rsidR="00A2356F" w:rsidRPr="007A14E2">
              <w:rPr>
                <w:rFonts w:ascii="Arial" w:hAnsi="Arial" w:cs="Arial"/>
                <w:b/>
                <w:bCs/>
                <w:sz w:val="36"/>
              </w:rPr>
              <w:t>DFSPI</w:t>
            </w:r>
          </w:p>
          <w:p w14:paraId="3E645B12" w14:textId="501DC091" w:rsidR="004E54C6" w:rsidRPr="007A14E2" w:rsidRDefault="00CE1B40" w:rsidP="002B6993">
            <w:pPr>
              <w:tabs>
                <w:tab w:val="right" w:pos="9639"/>
              </w:tabs>
              <w:jc w:val="left"/>
              <w:rPr>
                <w:rFonts w:ascii="Arial" w:hAnsi="Arial" w:cs="Arial"/>
                <w:sz w:val="36"/>
              </w:rPr>
            </w:pPr>
            <w:r w:rsidRPr="007A14E2">
              <w:rPr>
                <w:rFonts w:ascii="Arial" w:hAnsi="Arial" w:cs="Arial"/>
                <w:b/>
                <w:bCs/>
                <w:sz w:val="36"/>
              </w:rPr>
              <w:t xml:space="preserve">Digital </w:t>
            </w:r>
            <w:r w:rsidR="007A14E2" w:rsidRPr="007A14E2">
              <w:rPr>
                <w:rFonts w:ascii="Arial" w:hAnsi="Arial" w:cs="Arial"/>
                <w:b/>
                <w:bCs/>
                <w:sz w:val="36"/>
              </w:rPr>
              <w:t xml:space="preserve">financial services </w:t>
            </w:r>
            <w:r w:rsidRPr="007A14E2">
              <w:rPr>
                <w:rFonts w:ascii="Arial" w:hAnsi="Arial" w:cs="Arial"/>
                <w:b/>
                <w:bCs/>
                <w:sz w:val="36"/>
              </w:rPr>
              <w:t xml:space="preserve">– </w:t>
            </w:r>
            <w:r w:rsidR="007B5718" w:rsidRPr="007A14E2">
              <w:rPr>
                <w:rFonts w:ascii="Arial" w:hAnsi="Arial" w:cs="Arial"/>
                <w:b/>
                <w:bCs/>
                <w:sz w:val="36"/>
              </w:rPr>
              <w:t>A</w:t>
            </w:r>
            <w:r w:rsidR="00742F32" w:rsidRPr="007A14E2">
              <w:rPr>
                <w:rFonts w:ascii="Arial" w:hAnsi="Arial" w:cs="Arial"/>
                <w:b/>
                <w:bCs/>
                <w:sz w:val="36"/>
              </w:rPr>
              <w:t xml:space="preserve">ccess to </w:t>
            </w:r>
            <w:r w:rsidR="00D966AD" w:rsidRPr="007A14E2">
              <w:rPr>
                <w:rFonts w:ascii="Arial" w:hAnsi="Arial" w:cs="Arial"/>
                <w:b/>
                <w:bCs/>
                <w:sz w:val="36"/>
              </w:rPr>
              <w:t>p</w:t>
            </w:r>
            <w:r w:rsidR="00742F32" w:rsidRPr="007A14E2">
              <w:rPr>
                <w:rFonts w:ascii="Arial" w:hAnsi="Arial" w:cs="Arial"/>
                <w:b/>
                <w:bCs/>
                <w:sz w:val="36"/>
              </w:rPr>
              <w:t xml:space="preserve">ayment </w:t>
            </w:r>
            <w:r w:rsidR="00D966AD" w:rsidRPr="007A14E2">
              <w:rPr>
                <w:rFonts w:ascii="Arial" w:hAnsi="Arial" w:cs="Arial"/>
                <w:b/>
                <w:bCs/>
                <w:sz w:val="36"/>
              </w:rPr>
              <w:t>i</w:t>
            </w:r>
            <w:r w:rsidR="00742F32" w:rsidRPr="007A14E2">
              <w:rPr>
                <w:rFonts w:ascii="Arial" w:hAnsi="Arial" w:cs="Arial"/>
                <w:b/>
                <w:bCs/>
                <w:sz w:val="36"/>
              </w:rPr>
              <w:t>nfrastructures</w:t>
            </w:r>
          </w:p>
        </w:tc>
      </w:tr>
    </w:tbl>
    <w:p w14:paraId="4BBE618B" w14:textId="670D7A59" w:rsidR="00B72F51" w:rsidRPr="007A14E2" w:rsidRDefault="00B72F51" w:rsidP="00B72F51">
      <w:pPr>
        <w:tabs>
          <w:tab w:val="right" w:pos="9639"/>
        </w:tabs>
        <w:spacing w:before="1200"/>
        <w:jc w:val="right"/>
        <w:rPr>
          <w:rFonts w:ascii="Arial" w:hAnsi="Arial"/>
          <w:sz w:val="18"/>
        </w:rPr>
      </w:pPr>
    </w:p>
    <w:p w14:paraId="2E9D1879" w14:textId="77777777" w:rsidR="00B72F51" w:rsidRPr="007A14E2" w:rsidRDefault="00B72F51" w:rsidP="00B72F51">
      <w:pPr>
        <w:tabs>
          <w:tab w:val="right" w:pos="9639"/>
        </w:tabs>
        <w:spacing w:before="0"/>
        <w:rPr>
          <w:rFonts w:ascii="Arial" w:hAnsi="Arial"/>
          <w:sz w:val="18"/>
        </w:rPr>
      </w:pPr>
    </w:p>
    <w:p w14:paraId="7D56A23D" w14:textId="3B549625" w:rsidR="00B72F51" w:rsidRPr="007A14E2" w:rsidRDefault="00B72F51" w:rsidP="00B72F51">
      <w:pPr>
        <w:tabs>
          <w:tab w:val="right" w:pos="9639"/>
        </w:tabs>
        <w:spacing w:before="0"/>
        <w:rPr>
          <w:rFonts w:ascii="Arial" w:hAnsi="Arial"/>
          <w:sz w:val="18"/>
        </w:rPr>
        <w:sectPr w:rsidR="00B72F51" w:rsidRPr="007A14E2" w:rsidSect="00B72F51">
          <w:footerReference w:type="even" r:id="rId12"/>
          <w:footerReference w:type="default" r:id="rId13"/>
          <w:footerReference w:type="first" r:id="rId14"/>
          <w:pgSz w:w="11907" w:h="16840" w:code="9"/>
          <w:pgMar w:top="1077" w:right="1077" w:bottom="284" w:left="1077" w:header="567" w:footer="567" w:gutter="0"/>
          <w:pgNumType w:start="1"/>
          <w:cols w:space="720"/>
          <w:titlePg/>
          <w:docGrid w:linePitch="360"/>
        </w:sectPr>
      </w:pPr>
    </w:p>
    <w:bookmarkEnd w:id="3"/>
    <w:p w14:paraId="371F0E70" w14:textId="7E9E929C" w:rsidR="003F08B8" w:rsidRPr="007A14E2" w:rsidRDefault="003F08B8" w:rsidP="00B05E47">
      <w:pPr>
        <w:pStyle w:val="Headingb"/>
        <w:pageBreakBefore/>
        <w:spacing w:before="240"/>
      </w:pPr>
      <w:r w:rsidRPr="007A14E2">
        <w:lastRenderedPageBreak/>
        <w:t>Summary</w:t>
      </w:r>
    </w:p>
    <w:p w14:paraId="3D79AEDC" w14:textId="77777777" w:rsidR="003F08B8" w:rsidRPr="007A14E2" w:rsidRDefault="003F08B8" w:rsidP="003F08B8">
      <w:r w:rsidRPr="007A14E2">
        <w:t xml:space="preserve">Non-banks </w:t>
      </w:r>
      <w:r w:rsidR="005644F4" w:rsidRPr="007A14E2">
        <w:t>have an</w:t>
      </w:r>
      <w:r w:rsidRPr="007A14E2">
        <w:t xml:space="preserve"> increasing role in payments, including the provision of payments services directly to end-users. Despite this increasing role, many of them </w:t>
      </w:r>
      <w:proofErr w:type="gramStart"/>
      <w:r w:rsidRPr="007A14E2">
        <w:t>are still not accepted</w:t>
      </w:r>
      <w:proofErr w:type="gramEnd"/>
      <w:r w:rsidRPr="007A14E2">
        <w:t xml:space="preserve"> as direct participants of key payment infrastructures, which often leads to limited or null interoperability in the services/products </w:t>
      </w:r>
      <w:r w:rsidR="005644F4" w:rsidRPr="007A14E2">
        <w:t xml:space="preserve">that </w:t>
      </w:r>
      <w:r w:rsidRPr="007A14E2">
        <w:t>they offer. Moreover, being able to use key payment infrastructures at a reasonable cost and with appropriate service levels is an important element underlying a competitive payments market.</w:t>
      </w:r>
    </w:p>
    <w:p w14:paraId="00361567" w14:textId="77777777" w:rsidR="003F08B8" w:rsidRPr="007A14E2" w:rsidRDefault="003F08B8" w:rsidP="003F08B8">
      <w:r w:rsidRPr="007A14E2">
        <w:t>The operators of these payment infrastructures should adhere to international standards and best practice and establish risk-based and objective access criteria, and ensure that any PSP that wishes to gain direct access and meets such criteria is able to join as a direct participant.</w:t>
      </w:r>
    </w:p>
    <w:p w14:paraId="35DFBDFA" w14:textId="1CC7EC7C" w:rsidR="003F08B8" w:rsidRPr="007A14E2" w:rsidRDefault="003F08B8" w:rsidP="003F08B8">
      <w:r w:rsidRPr="007A14E2">
        <w:t xml:space="preserve">Still, for many non-bank PSPs gaining direct access may not be feasible due to the investments </w:t>
      </w:r>
      <w:r w:rsidR="005644F4" w:rsidRPr="007A14E2">
        <w:t xml:space="preserve">that </w:t>
      </w:r>
      <w:r w:rsidRPr="007A14E2">
        <w:t xml:space="preserve">they would need to make in order to </w:t>
      </w:r>
      <w:r w:rsidR="00D1175E" w:rsidRPr="007A14E2">
        <w:t>fulfil</w:t>
      </w:r>
      <w:r w:rsidRPr="007A14E2">
        <w:t xml:space="preserve"> the infrastructure</w:t>
      </w:r>
      <w:r w:rsidR="00AC4FEC" w:rsidRPr="007A14E2">
        <w:t>'</w:t>
      </w:r>
      <w:r w:rsidRPr="007A14E2">
        <w:t xml:space="preserve">s access criteria. In such </w:t>
      </w:r>
      <w:proofErr w:type="gramStart"/>
      <w:r w:rsidRPr="007A14E2">
        <w:t>cases</w:t>
      </w:r>
      <w:proofErr w:type="gramEnd"/>
      <w:r w:rsidRPr="007A14E2">
        <w:t xml:space="preserve"> indirect access mechanisms may be capable of providing these PSPs with suitable payment services. </w:t>
      </w:r>
      <w:proofErr w:type="gramStart"/>
      <w:r w:rsidRPr="007A14E2">
        <w:t>However, in certain cases indirect access may not be as effective, for example if charges applied by the principal (an entity that is a direct participant in the infrastructure) are excessive relative to the costs it itself incurs for using the system, or if the criteria set by the principal for opening accounts and providing payment services to customer PSPs are disproportionate.</w:t>
      </w:r>
      <w:proofErr w:type="gramEnd"/>
    </w:p>
    <w:p w14:paraId="6387E414" w14:textId="77777777" w:rsidR="003F08B8" w:rsidRPr="007A14E2" w:rsidRDefault="003F08B8" w:rsidP="003F08B8">
      <w:r w:rsidRPr="007A14E2">
        <w:t xml:space="preserve">Payment system regulators, in particular the central bank as the payment system overseer, should ensure that all PSPs are able to gain fair access to payment </w:t>
      </w:r>
      <w:r w:rsidRPr="007A14E2">
        <w:rPr>
          <w:i/>
        </w:rPr>
        <w:t>services</w:t>
      </w:r>
      <w:r w:rsidRPr="007A14E2">
        <w:t>, including those for which direct access is not financially feasible and need to access the services through a principal.</w:t>
      </w:r>
    </w:p>
    <w:p w14:paraId="6F45CDB2" w14:textId="77777777" w:rsidR="003F08B8" w:rsidRPr="007A14E2" w:rsidRDefault="003F08B8" w:rsidP="003F08B8">
      <w:r w:rsidRPr="007A14E2">
        <w:t xml:space="preserve">Effective access to payment infrastructures </w:t>
      </w:r>
      <w:proofErr w:type="gramStart"/>
      <w:r w:rsidRPr="007A14E2">
        <w:t>may also be hampered</w:t>
      </w:r>
      <w:proofErr w:type="gramEnd"/>
      <w:r w:rsidRPr="007A14E2">
        <w:t xml:space="preserve"> if there are barriers to accessing the telecommunication networks serving those infrastructures. Telecomm regulators may also have a role to play in markets where it </w:t>
      </w:r>
      <w:proofErr w:type="gramStart"/>
      <w:r w:rsidRPr="007A14E2">
        <w:t>has been observed</w:t>
      </w:r>
      <w:proofErr w:type="gramEnd"/>
      <w:r w:rsidRPr="007A14E2">
        <w:t xml:space="preserve"> that MNOs that are involved in the payments business restrict in some form the access to other PSPs to the mobile telecommunication network that these MNOs operate.</w:t>
      </w:r>
    </w:p>
    <w:p w14:paraId="63F11E39" w14:textId="77777777" w:rsidR="003F08B8" w:rsidRPr="007A14E2" w:rsidRDefault="003F08B8" w:rsidP="003F08B8">
      <w:pPr>
        <w:pStyle w:val="Headingb"/>
      </w:pPr>
      <w:r w:rsidRPr="007A14E2">
        <w:t>Keywords</w:t>
      </w:r>
    </w:p>
    <w:p w14:paraId="34215496" w14:textId="77777777" w:rsidR="003F08B8" w:rsidRPr="007A14E2" w:rsidRDefault="003F08B8" w:rsidP="003F08B8">
      <w:pPr>
        <w:rPr>
          <w:szCs w:val="24"/>
        </w:rPr>
      </w:pPr>
      <w:r w:rsidRPr="007A14E2">
        <w:rPr>
          <w:szCs w:val="24"/>
        </w:rPr>
        <w:t xml:space="preserve">Digital </w:t>
      </w:r>
      <w:r w:rsidR="00A35B63" w:rsidRPr="007A14E2">
        <w:rPr>
          <w:szCs w:val="24"/>
        </w:rPr>
        <w:t>f</w:t>
      </w:r>
      <w:r w:rsidRPr="007A14E2">
        <w:rPr>
          <w:szCs w:val="24"/>
        </w:rPr>
        <w:t xml:space="preserve">inancial </w:t>
      </w:r>
      <w:r w:rsidR="00A35B63" w:rsidRPr="007A14E2">
        <w:rPr>
          <w:szCs w:val="24"/>
        </w:rPr>
        <w:t>s</w:t>
      </w:r>
      <w:r w:rsidRPr="007A14E2">
        <w:rPr>
          <w:szCs w:val="24"/>
        </w:rPr>
        <w:t xml:space="preserve">ervices, </w:t>
      </w:r>
      <w:r w:rsidR="00A35B63" w:rsidRPr="007A14E2">
        <w:rPr>
          <w:szCs w:val="24"/>
        </w:rPr>
        <w:t>p</w:t>
      </w:r>
      <w:r w:rsidRPr="007A14E2">
        <w:rPr>
          <w:szCs w:val="24"/>
        </w:rPr>
        <w:t>ayment infrastructures</w:t>
      </w:r>
      <w:r w:rsidR="00744C3F" w:rsidRPr="007A14E2">
        <w:rPr>
          <w:szCs w:val="24"/>
        </w:rPr>
        <w:t>.</w:t>
      </w:r>
    </w:p>
    <w:p w14:paraId="7DB6DD33" w14:textId="77777777" w:rsidR="003F08B8" w:rsidRPr="007A14E2" w:rsidRDefault="003F08B8" w:rsidP="003F08B8">
      <w:pPr>
        <w:pStyle w:val="Headingb"/>
      </w:pPr>
      <w:r w:rsidRPr="007A14E2">
        <w:t>Change Log</w:t>
      </w:r>
    </w:p>
    <w:p w14:paraId="6B50DE24" w14:textId="5845F674" w:rsidR="003F08B8" w:rsidRPr="007A14E2" w:rsidRDefault="003F08B8" w:rsidP="003F08B8">
      <w:pPr>
        <w:rPr>
          <w:szCs w:val="24"/>
        </w:rPr>
      </w:pPr>
      <w:r w:rsidRPr="007A14E2">
        <w:rPr>
          <w:szCs w:val="24"/>
        </w:rPr>
        <w:t xml:space="preserve">This document contains the ITU-T Technical Report on </w:t>
      </w:r>
      <w:r w:rsidR="008548F2" w:rsidRPr="007A14E2">
        <w:rPr>
          <w:szCs w:val="24"/>
        </w:rPr>
        <w:t>"</w:t>
      </w:r>
      <w:r w:rsidRPr="007A14E2">
        <w:rPr>
          <w:i/>
          <w:iCs/>
          <w:szCs w:val="24"/>
        </w:rPr>
        <w:t>Digital Financial Services – Access to Payment Infrastructures</w:t>
      </w:r>
      <w:r w:rsidR="008548F2" w:rsidRPr="007A14E2">
        <w:rPr>
          <w:szCs w:val="24"/>
        </w:rPr>
        <w:t>"</w:t>
      </w:r>
      <w:r w:rsidR="00A35B63" w:rsidRPr="007A14E2">
        <w:rPr>
          <w:szCs w:val="24"/>
        </w:rPr>
        <w:t>,</w:t>
      </w:r>
      <w:r w:rsidRPr="007A14E2">
        <w:rPr>
          <w:szCs w:val="24"/>
        </w:rPr>
        <w:t xml:space="preserve"> which was agreed by the ITU-T Study Group 3 meeting held in Geneva, 23 April </w:t>
      </w:r>
      <w:r w:rsidR="00D03B03" w:rsidRPr="007A14E2">
        <w:rPr>
          <w:szCs w:val="24"/>
        </w:rPr>
        <w:t>–</w:t>
      </w:r>
      <w:r w:rsidRPr="007A14E2">
        <w:rPr>
          <w:szCs w:val="24"/>
        </w:rPr>
        <w:t xml:space="preserve"> 2 May 2019.</w:t>
      </w:r>
    </w:p>
    <w:p w14:paraId="18670B95" w14:textId="77777777" w:rsidR="003F08B8" w:rsidRPr="007A14E2" w:rsidRDefault="003F08B8" w:rsidP="003F08B8">
      <w:pPr>
        <w:spacing w:before="0"/>
        <w:rPr>
          <w:b/>
          <w:highlight w:val="yellow"/>
          <w:lang w:eastAsia="ja-JP"/>
        </w:rPr>
      </w:pPr>
      <w:r w:rsidRPr="007A14E2">
        <w:rPr>
          <w:highlight w:val="yellow"/>
        </w:rPr>
        <w:br w:type="page"/>
      </w:r>
    </w:p>
    <w:p w14:paraId="7A69DD51" w14:textId="77777777" w:rsidR="008B1E5B" w:rsidRPr="007A14E2" w:rsidRDefault="008B1E5B" w:rsidP="008B1E5B">
      <w:pPr>
        <w:spacing w:before="0"/>
        <w:jc w:val="center"/>
        <w:rPr>
          <w:b/>
        </w:rPr>
      </w:pPr>
      <w:r w:rsidRPr="007A14E2">
        <w:rPr>
          <w:b/>
        </w:rPr>
        <w:lastRenderedPageBreak/>
        <w:t>Table of Contents</w:t>
      </w:r>
    </w:p>
    <w:p w14:paraId="4A5C74B8" w14:textId="5CE5D352" w:rsidR="008B1E5B" w:rsidRPr="007A14E2" w:rsidRDefault="008B1E5B" w:rsidP="008B1E5B">
      <w:pPr>
        <w:spacing w:before="0"/>
        <w:jc w:val="right"/>
        <w:rPr>
          <w:b/>
        </w:rPr>
      </w:pPr>
      <w:r w:rsidRPr="007A14E2">
        <w:rPr>
          <w:b/>
        </w:rPr>
        <w:t>Page</w:t>
      </w:r>
    </w:p>
    <w:p w14:paraId="0F47DA22" w14:textId="69F0E10E" w:rsidR="008F32D1" w:rsidRPr="007A14E2" w:rsidRDefault="008F32D1">
      <w:pPr>
        <w:pStyle w:val="TOC1"/>
        <w:rPr>
          <w:rFonts w:asciiTheme="minorHAnsi" w:eastAsiaTheme="minorEastAsia" w:hAnsiTheme="minorHAnsi" w:cstheme="minorBidi"/>
          <w:sz w:val="22"/>
          <w:szCs w:val="22"/>
        </w:rPr>
      </w:pPr>
      <w:r w:rsidRPr="007A14E2">
        <w:fldChar w:fldCharType="begin"/>
      </w:r>
      <w:r w:rsidRPr="007A14E2">
        <w:instrText xml:space="preserve"> TOC \o "1-2" \h \z \u </w:instrText>
      </w:r>
      <w:r w:rsidRPr="007A14E2">
        <w:fldChar w:fldCharType="separate"/>
      </w:r>
      <w:hyperlink w:anchor="_Toc17730756" w:history="1">
        <w:r w:rsidRPr="007A14E2">
          <w:rPr>
            <w:rStyle w:val="Hyperlink"/>
            <w:lang w:bidi="ar-DZ"/>
          </w:rPr>
          <w:t>1</w:t>
        </w:r>
        <w:r w:rsidRPr="007A14E2">
          <w:rPr>
            <w:rFonts w:asciiTheme="minorHAnsi" w:eastAsiaTheme="minorEastAsia" w:hAnsiTheme="minorHAnsi" w:cstheme="minorBidi"/>
            <w:sz w:val="22"/>
            <w:szCs w:val="22"/>
          </w:rPr>
          <w:tab/>
        </w:r>
        <w:r w:rsidRPr="007A14E2">
          <w:rPr>
            <w:rStyle w:val="Hyperlink"/>
            <w:lang w:bidi="ar-DZ"/>
          </w:rPr>
          <w:t>Scope</w:t>
        </w:r>
        <w:r w:rsidRPr="007A14E2">
          <w:rPr>
            <w:webHidden/>
          </w:rPr>
          <w:tab/>
        </w:r>
        <w:r w:rsidR="008B1E5B" w:rsidRPr="007A14E2">
          <w:rPr>
            <w:webHidden/>
          </w:rPr>
          <w:tab/>
        </w:r>
        <w:r w:rsidRPr="007A14E2">
          <w:rPr>
            <w:webHidden/>
          </w:rPr>
          <w:fldChar w:fldCharType="begin"/>
        </w:r>
        <w:r w:rsidRPr="007A14E2">
          <w:rPr>
            <w:webHidden/>
          </w:rPr>
          <w:instrText xml:space="preserve"> PAGEREF _Toc17730756 \h </w:instrText>
        </w:r>
        <w:r w:rsidRPr="007A14E2">
          <w:rPr>
            <w:webHidden/>
          </w:rPr>
        </w:r>
        <w:r w:rsidRPr="007A14E2">
          <w:rPr>
            <w:webHidden/>
          </w:rPr>
          <w:fldChar w:fldCharType="separate"/>
        </w:r>
        <w:r w:rsidR="003904D0">
          <w:rPr>
            <w:noProof/>
            <w:webHidden/>
          </w:rPr>
          <w:t>3</w:t>
        </w:r>
        <w:r w:rsidRPr="007A14E2">
          <w:rPr>
            <w:webHidden/>
          </w:rPr>
          <w:fldChar w:fldCharType="end"/>
        </w:r>
      </w:hyperlink>
    </w:p>
    <w:p w14:paraId="52880372" w14:textId="13B5DE85" w:rsidR="008F32D1" w:rsidRPr="007A14E2" w:rsidRDefault="00BE6D8C">
      <w:pPr>
        <w:pStyle w:val="TOC1"/>
        <w:rPr>
          <w:rFonts w:asciiTheme="minorHAnsi" w:eastAsiaTheme="minorEastAsia" w:hAnsiTheme="minorHAnsi" w:cstheme="minorBidi"/>
          <w:sz w:val="22"/>
          <w:szCs w:val="22"/>
        </w:rPr>
      </w:pPr>
      <w:hyperlink w:anchor="_Toc17730757" w:history="1">
        <w:r w:rsidR="008F32D1" w:rsidRPr="007A14E2">
          <w:rPr>
            <w:rStyle w:val="Hyperlink"/>
            <w:lang w:bidi="ar-DZ"/>
          </w:rPr>
          <w:t>2</w:t>
        </w:r>
        <w:r w:rsidR="008F32D1" w:rsidRPr="007A14E2">
          <w:rPr>
            <w:rFonts w:asciiTheme="minorHAnsi" w:eastAsiaTheme="minorEastAsia" w:hAnsiTheme="minorHAnsi" w:cstheme="minorBidi"/>
            <w:sz w:val="22"/>
            <w:szCs w:val="22"/>
          </w:rPr>
          <w:tab/>
        </w:r>
        <w:r w:rsidR="008F32D1" w:rsidRPr="007A14E2">
          <w:rPr>
            <w:rStyle w:val="Hyperlink"/>
            <w:lang w:bidi="ar-DZ"/>
          </w:rPr>
          <w:t>References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_Toc17730757 \h </w:instrText>
        </w:r>
        <w:r w:rsidR="008F32D1" w:rsidRPr="007A14E2">
          <w:rPr>
            <w:webHidden/>
          </w:rPr>
        </w:r>
        <w:r w:rsidR="008F32D1" w:rsidRPr="007A14E2">
          <w:rPr>
            <w:webHidden/>
          </w:rPr>
          <w:fldChar w:fldCharType="separate"/>
        </w:r>
        <w:r w:rsidR="003904D0">
          <w:rPr>
            <w:noProof/>
            <w:webHidden/>
          </w:rPr>
          <w:t>3</w:t>
        </w:r>
        <w:r w:rsidR="008F32D1" w:rsidRPr="007A14E2">
          <w:rPr>
            <w:webHidden/>
          </w:rPr>
          <w:fldChar w:fldCharType="end"/>
        </w:r>
      </w:hyperlink>
    </w:p>
    <w:p w14:paraId="46F915FD" w14:textId="2D669663" w:rsidR="008F32D1" w:rsidRPr="007A14E2" w:rsidRDefault="00BE6D8C">
      <w:pPr>
        <w:pStyle w:val="TOC1"/>
        <w:rPr>
          <w:rFonts w:asciiTheme="minorHAnsi" w:eastAsiaTheme="minorEastAsia" w:hAnsiTheme="minorHAnsi" w:cstheme="minorBidi"/>
          <w:sz w:val="22"/>
          <w:szCs w:val="22"/>
        </w:rPr>
      </w:pPr>
      <w:hyperlink w:anchor="_Toc17730758" w:history="1">
        <w:r w:rsidR="008F32D1" w:rsidRPr="007A14E2">
          <w:rPr>
            <w:rStyle w:val="Hyperlink"/>
            <w:lang w:bidi="ar-DZ"/>
          </w:rPr>
          <w:t>3</w:t>
        </w:r>
        <w:r w:rsidR="008F32D1" w:rsidRPr="007A14E2">
          <w:rPr>
            <w:rFonts w:asciiTheme="minorHAnsi" w:eastAsiaTheme="minorEastAsia" w:hAnsiTheme="minorHAnsi" w:cstheme="minorBidi"/>
            <w:sz w:val="22"/>
            <w:szCs w:val="22"/>
          </w:rPr>
          <w:tab/>
        </w:r>
        <w:r w:rsidR="008F32D1" w:rsidRPr="007A14E2">
          <w:rPr>
            <w:rStyle w:val="Hyperlink"/>
            <w:lang w:bidi="ar-DZ"/>
          </w:rPr>
          <w:t>Terms and definitions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_Toc17730758 \h </w:instrText>
        </w:r>
        <w:r w:rsidR="008F32D1" w:rsidRPr="007A14E2">
          <w:rPr>
            <w:webHidden/>
          </w:rPr>
        </w:r>
        <w:r w:rsidR="008F32D1" w:rsidRPr="007A14E2">
          <w:rPr>
            <w:webHidden/>
          </w:rPr>
          <w:fldChar w:fldCharType="separate"/>
        </w:r>
        <w:r w:rsidR="003904D0">
          <w:rPr>
            <w:noProof/>
            <w:webHidden/>
          </w:rPr>
          <w:t>3</w:t>
        </w:r>
        <w:r w:rsidR="008F32D1" w:rsidRPr="007A14E2">
          <w:rPr>
            <w:webHidden/>
          </w:rPr>
          <w:fldChar w:fldCharType="end"/>
        </w:r>
      </w:hyperlink>
    </w:p>
    <w:p w14:paraId="5CCD6220" w14:textId="5A2264AA" w:rsidR="008F32D1" w:rsidRPr="007A14E2" w:rsidRDefault="00BE6D8C">
      <w:pPr>
        <w:pStyle w:val="TOC2"/>
        <w:rPr>
          <w:rFonts w:asciiTheme="minorHAnsi" w:eastAsiaTheme="minorEastAsia" w:hAnsiTheme="minorHAnsi" w:cstheme="minorBidi"/>
          <w:sz w:val="22"/>
          <w:szCs w:val="22"/>
        </w:rPr>
      </w:pPr>
      <w:hyperlink w:anchor="_Toc17730759" w:history="1">
        <w:r w:rsidR="008F32D1" w:rsidRPr="007A14E2">
          <w:rPr>
            <w:rStyle w:val="Hyperlink"/>
          </w:rPr>
          <w:t>3.1</w:t>
        </w:r>
        <w:r w:rsidR="008F32D1" w:rsidRPr="007A14E2">
          <w:rPr>
            <w:rFonts w:asciiTheme="minorHAnsi" w:eastAsiaTheme="minorEastAsia" w:hAnsiTheme="minorHAnsi" w:cstheme="minorBidi"/>
            <w:sz w:val="22"/>
            <w:szCs w:val="22"/>
          </w:rPr>
          <w:tab/>
        </w:r>
        <w:r w:rsidR="008F32D1" w:rsidRPr="007A14E2">
          <w:rPr>
            <w:rStyle w:val="Hyperlink"/>
          </w:rPr>
          <w:t>Terms defined elsewhere</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_Toc17730759 \h </w:instrText>
        </w:r>
        <w:r w:rsidR="008F32D1" w:rsidRPr="007A14E2">
          <w:rPr>
            <w:webHidden/>
          </w:rPr>
        </w:r>
        <w:r w:rsidR="008F32D1" w:rsidRPr="007A14E2">
          <w:rPr>
            <w:webHidden/>
          </w:rPr>
          <w:fldChar w:fldCharType="separate"/>
        </w:r>
        <w:r w:rsidR="003904D0">
          <w:rPr>
            <w:noProof/>
            <w:webHidden/>
          </w:rPr>
          <w:t>3</w:t>
        </w:r>
        <w:r w:rsidR="008F32D1" w:rsidRPr="007A14E2">
          <w:rPr>
            <w:webHidden/>
          </w:rPr>
          <w:fldChar w:fldCharType="end"/>
        </w:r>
      </w:hyperlink>
    </w:p>
    <w:p w14:paraId="4E3A4FF3" w14:textId="705B460A" w:rsidR="008F32D1" w:rsidRPr="007A14E2" w:rsidRDefault="00BE6D8C">
      <w:pPr>
        <w:pStyle w:val="TOC2"/>
        <w:rPr>
          <w:rFonts w:asciiTheme="minorHAnsi" w:eastAsiaTheme="minorEastAsia" w:hAnsiTheme="minorHAnsi" w:cstheme="minorBidi"/>
          <w:sz w:val="22"/>
          <w:szCs w:val="22"/>
        </w:rPr>
      </w:pPr>
      <w:hyperlink w:anchor="_Toc17730760" w:history="1">
        <w:r w:rsidR="008F32D1" w:rsidRPr="007A14E2">
          <w:rPr>
            <w:rStyle w:val="Hyperlink"/>
          </w:rPr>
          <w:t>3.2</w:t>
        </w:r>
        <w:r w:rsidR="008F32D1" w:rsidRPr="007A14E2">
          <w:rPr>
            <w:rFonts w:asciiTheme="minorHAnsi" w:eastAsiaTheme="minorEastAsia" w:hAnsiTheme="minorHAnsi" w:cstheme="minorBidi"/>
            <w:sz w:val="22"/>
            <w:szCs w:val="22"/>
          </w:rPr>
          <w:tab/>
        </w:r>
        <w:r w:rsidR="008F32D1" w:rsidRPr="007A14E2">
          <w:rPr>
            <w:rStyle w:val="Hyperlink"/>
          </w:rPr>
          <w:t>Terms defined here</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_Toc17730760 \h </w:instrText>
        </w:r>
        <w:r w:rsidR="008F32D1" w:rsidRPr="007A14E2">
          <w:rPr>
            <w:webHidden/>
          </w:rPr>
        </w:r>
        <w:r w:rsidR="008F32D1" w:rsidRPr="007A14E2">
          <w:rPr>
            <w:webHidden/>
          </w:rPr>
          <w:fldChar w:fldCharType="separate"/>
        </w:r>
        <w:r w:rsidR="003904D0">
          <w:rPr>
            <w:noProof/>
            <w:webHidden/>
          </w:rPr>
          <w:t>3</w:t>
        </w:r>
        <w:r w:rsidR="008F32D1" w:rsidRPr="007A14E2">
          <w:rPr>
            <w:webHidden/>
          </w:rPr>
          <w:fldChar w:fldCharType="end"/>
        </w:r>
      </w:hyperlink>
    </w:p>
    <w:p w14:paraId="2E19ED74" w14:textId="6A24822D" w:rsidR="008F32D1" w:rsidRPr="007A14E2" w:rsidRDefault="00BE6D8C">
      <w:pPr>
        <w:pStyle w:val="TOC1"/>
        <w:rPr>
          <w:rFonts w:asciiTheme="minorHAnsi" w:eastAsiaTheme="minorEastAsia" w:hAnsiTheme="minorHAnsi" w:cstheme="minorBidi"/>
          <w:sz w:val="22"/>
          <w:szCs w:val="22"/>
        </w:rPr>
      </w:pPr>
      <w:hyperlink w:anchor="_Toc17730761" w:history="1">
        <w:r w:rsidR="008F32D1" w:rsidRPr="007A14E2">
          <w:rPr>
            <w:rStyle w:val="Hyperlink"/>
            <w:lang w:bidi="ar-DZ"/>
          </w:rPr>
          <w:t>4</w:t>
        </w:r>
        <w:r w:rsidR="008F32D1" w:rsidRPr="007A14E2">
          <w:rPr>
            <w:rFonts w:asciiTheme="minorHAnsi" w:eastAsiaTheme="minorEastAsia" w:hAnsiTheme="minorHAnsi" w:cstheme="minorBidi"/>
            <w:sz w:val="22"/>
            <w:szCs w:val="22"/>
          </w:rPr>
          <w:tab/>
        </w:r>
        <w:r w:rsidR="008F32D1" w:rsidRPr="007A14E2">
          <w:rPr>
            <w:rStyle w:val="Hyperlink"/>
            <w:lang w:bidi="ar-DZ"/>
          </w:rPr>
          <w:t>Abbreviations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_Toc17730761 \h </w:instrText>
        </w:r>
        <w:r w:rsidR="008F32D1" w:rsidRPr="007A14E2">
          <w:rPr>
            <w:webHidden/>
          </w:rPr>
        </w:r>
        <w:r w:rsidR="008F32D1" w:rsidRPr="007A14E2">
          <w:rPr>
            <w:webHidden/>
          </w:rPr>
          <w:fldChar w:fldCharType="separate"/>
        </w:r>
        <w:r w:rsidR="003904D0">
          <w:rPr>
            <w:noProof/>
            <w:webHidden/>
          </w:rPr>
          <w:t>4</w:t>
        </w:r>
        <w:r w:rsidR="008F32D1" w:rsidRPr="007A14E2">
          <w:rPr>
            <w:webHidden/>
          </w:rPr>
          <w:fldChar w:fldCharType="end"/>
        </w:r>
      </w:hyperlink>
    </w:p>
    <w:p w14:paraId="33B73C41" w14:textId="2790919F" w:rsidR="008F32D1" w:rsidRPr="007A14E2" w:rsidRDefault="00BE6D8C">
      <w:pPr>
        <w:pStyle w:val="TOC1"/>
        <w:rPr>
          <w:rFonts w:asciiTheme="minorHAnsi" w:eastAsiaTheme="minorEastAsia" w:hAnsiTheme="minorHAnsi" w:cstheme="minorBidi"/>
          <w:sz w:val="22"/>
          <w:szCs w:val="22"/>
        </w:rPr>
      </w:pPr>
      <w:hyperlink w:anchor="_Toc17730762" w:history="1">
        <w:r w:rsidR="008F32D1" w:rsidRPr="007A14E2">
          <w:rPr>
            <w:rStyle w:val="Hyperlink"/>
            <w:lang w:bidi="ar-DZ"/>
          </w:rPr>
          <w:t>5</w:t>
        </w:r>
        <w:r w:rsidR="008F32D1" w:rsidRPr="007A14E2">
          <w:rPr>
            <w:rFonts w:asciiTheme="minorHAnsi" w:eastAsiaTheme="minorEastAsia" w:hAnsiTheme="minorHAnsi" w:cstheme="minorBidi"/>
            <w:sz w:val="22"/>
            <w:szCs w:val="22"/>
          </w:rPr>
          <w:tab/>
        </w:r>
        <w:r w:rsidR="008F32D1" w:rsidRPr="007A14E2">
          <w:rPr>
            <w:rStyle w:val="Hyperlink"/>
            <w:lang w:bidi="ar-DZ"/>
          </w:rPr>
          <w:t>Introduction and background</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_Toc17730762 \h </w:instrText>
        </w:r>
        <w:r w:rsidR="008F32D1" w:rsidRPr="007A14E2">
          <w:rPr>
            <w:webHidden/>
          </w:rPr>
        </w:r>
        <w:r w:rsidR="008F32D1" w:rsidRPr="007A14E2">
          <w:rPr>
            <w:webHidden/>
          </w:rPr>
          <w:fldChar w:fldCharType="separate"/>
        </w:r>
        <w:r w:rsidR="003904D0">
          <w:rPr>
            <w:noProof/>
            <w:webHidden/>
          </w:rPr>
          <w:t>4</w:t>
        </w:r>
        <w:r w:rsidR="008F32D1" w:rsidRPr="007A14E2">
          <w:rPr>
            <w:webHidden/>
          </w:rPr>
          <w:fldChar w:fldCharType="end"/>
        </w:r>
      </w:hyperlink>
    </w:p>
    <w:p w14:paraId="178F5D89" w14:textId="6140F3CF" w:rsidR="008F32D1" w:rsidRPr="007A14E2" w:rsidRDefault="00BE6D8C">
      <w:pPr>
        <w:pStyle w:val="TOC1"/>
        <w:rPr>
          <w:rFonts w:asciiTheme="minorHAnsi" w:eastAsiaTheme="minorEastAsia" w:hAnsiTheme="minorHAnsi" w:cstheme="minorBidi"/>
          <w:sz w:val="22"/>
          <w:szCs w:val="22"/>
        </w:rPr>
      </w:pPr>
      <w:hyperlink w:anchor="_Toc17730763" w:history="1">
        <w:r w:rsidR="008F32D1" w:rsidRPr="007A14E2">
          <w:rPr>
            <w:rStyle w:val="Hyperlink"/>
          </w:rPr>
          <w:t>6</w:t>
        </w:r>
        <w:r w:rsidR="008F32D1" w:rsidRPr="007A14E2">
          <w:rPr>
            <w:rFonts w:asciiTheme="minorHAnsi" w:eastAsiaTheme="minorEastAsia" w:hAnsiTheme="minorHAnsi" w:cstheme="minorBidi"/>
            <w:sz w:val="22"/>
            <w:szCs w:val="22"/>
          </w:rPr>
          <w:tab/>
        </w:r>
        <w:r w:rsidR="008F32D1" w:rsidRPr="007A14E2">
          <w:rPr>
            <w:rStyle w:val="Hyperlink"/>
          </w:rPr>
          <w:t>Involvement of banks and non-banks in the payments business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_Toc17730763 \h </w:instrText>
        </w:r>
        <w:r w:rsidR="008F32D1" w:rsidRPr="007A14E2">
          <w:rPr>
            <w:webHidden/>
          </w:rPr>
        </w:r>
        <w:r w:rsidR="008F32D1" w:rsidRPr="007A14E2">
          <w:rPr>
            <w:webHidden/>
          </w:rPr>
          <w:fldChar w:fldCharType="separate"/>
        </w:r>
        <w:r w:rsidR="003904D0">
          <w:rPr>
            <w:noProof/>
            <w:webHidden/>
          </w:rPr>
          <w:t>5</w:t>
        </w:r>
        <w:r w:rsidR="008F32D1" w:rsidRPr="007A14E2">
          <w:rPr>
            <w:webHidden/>
          </w:rPr>
          <w:fldChar w:fldCharType="end"/>
        </w:r>
      </w:hyperlink>
    </w:p>
    <w:p w14:paraId="72041507" w14:textId="1BD40468" w:rsidR="008F32D1" w:rsidRPr="007A14E2" w:rsidRDefault="00BE6D8C">
      <w:pPr>
        <w:pStyle w:val="TOC1"/>
        <w:rPr>
          <w:rFonts w:asciiTheme="minorHAnsi" w:eastAsiaTheme="minorEastAsia" w:hAnsiTheme="minorHAnsi" w:cstheme="minorBidi"/>
          <w:sz w:val="22"/>
          <w:szCs w:val="22"/>
        </w:rPr>
      </w:pPr>
      <w:hyperlink w:anchor="_Toc17730764" w:history="1">
        <w:r w:rsidR="008F32D1" w:rsidRPr="007A14E2">
          <w:rPr>
            <w:rStyle w:val="Hyperlink"/>
          </w:rPr>
          <w:t>7</w:t>
        </w:r>
        <w:r w:rsidR="008F32D1" w:rsidRPr="007A14E2">
          <w:rPr>
            <w:rFonts w:asciiTheme="minorHAnsi" w:eastAsiaTheme="minorEastAsia" w:hAnsiTheme="minorHAnsi" w:cstheme="minorBidi"/>
            <w:sz w:val="22"/>
            <w:szCs w:val="22"/>
          </w:rPr>
          <w:tab/>
        </w:r>
        <w:r w:rsidR="008F32D1" w:rsidRPr="007A14E2">
          <w:rPr>
            <w:rStyle w:val="Hyperlink"/>
          </w:rPr>
          <w:t>Payment infrastructures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_Toc17730764 \h </w:instrText>
        </w:r>
        <w:r w:rsidR="008F32D1" w:rsidRPr="007A14E2">
          <w:rPr>
            <w:webHidden/>
          </w:rPr>
        </w:r>
        <w:r w:rsidR="008F32D1" w:rsidRPr="007A14E2">
          <w:rPr>
            <w:webHidden/>
          </w:rPr>
          <w:fldChar w:fldCharType="separate"/>
        </w:r>
        <w:r w:rsidR="003904D0">
          <w:rPr>
            <w:noProof/>
            <w:webHidden/>
          </w:rPr>
          <w:t>6</w:t>
        </w:r>
        <w:r w:rsidR="008F32D1" w:rsidRPr="007A14E2">
          <w:rPr>
            <w:webHidden/>
          </w:rPr>
          <w:fldChar w:fldCharType="end"/>
        </w:r>
      </w:hyperlink>
    </w:p>
    <w:p w14:paraId="21A79997" w14:textId="0752F3FA" w:rsidR="008F32D1" w:rsidRPr="007A14E2" w:rsidRDefault="00BE6D8C">
      <w:pPr>
        <w:pStyle w:val="TOC1"/>
        <w:rPr>
          <w:rFonts w:asciiTheme="minorHAnsi" w:eastAsiaTheme="minorEastAsia" w:hAnsiTheme="minorHAnsi" w:cstheme="minorBidi"/>
          <w:sz w:val="22"/>
          <w:szCs w:val="22"/>
        </w:rPr>
      </w:pPr>
      <w:hyperlink w:anchor="_Toc17730765" w:history="1">
        <w:r w:rsidR="008F32D1" w:rsidRPr="007A14E2">
          <w:rPr>
            <w:rStyle w:val="Hyperlink"/>
          </w:rPr>
          <w:t>8</w:t>
        </w:r>
        <w:r w:rsidR="008F32D1" w:rsidRPr="007A14E2">
          <w:rPr>
            <w:rFonts w:asciiTheme="minorHAnsi" w:eastAsiaTheme="minorEastAsia" w:hAnsiTheme="minorHAnsi" w:cstheme="minorBidi"/>
            <w:sz w:val="22"/>
            <w:szCs w:val="22"/>
          </w:rPr>
          <w:tab/>
        </w:r>
        <w:r w:rsidR="008F32D1" w:rsidRPr="007A14E2">
          <w:rPr>
            <w:rStyle w:val="Hyperlink"/>
          </w:rPr>
          <w:t>Types of access to payment infrastructures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_Toc17730765 \h </w:instrText>
        </w:r>
        <w:r w:rsidR="008F32D1" w:rsidRPr="007A14E2">
          <w:rPr>
            <w:webHidden/>
          </w:rPr>
        </w:r>
        <w:r w:rsidR="008F32D1" w:rsidRPr="007A14E2">
          <w:rPr>
            <w:webHidden/>
          </w:rPr>
          <w:fldChar w:fldCharType="separate"/>
        </w:r>
        <w:r w:rsidR="003904D0">
          <w:rPr>
            <w:noProof/>
            <w:webHidden/>
          </w:rPr>
          <w:t>8</w:t>
        </w:r>
        <w:r w:rsidR="008F32D1" w:rsidRPr="007A14E2">
          <w:rPr>
            <w:webHidden/>
          </w:rPr>
          <w:fldChar w:fldCharType="end"/>
        </w:r>
      </w:hyperlink>
    </w:p>
    <w:p w14:paraId="35BC0CFF" w14:textId="366EE0CE" w:rsidR="008F32D1" w:rsidRPr="007A14E2" w:rsidRDefault="00BE6D8C" w:rsidP="001021C1">
      <w:pPr>
        <w:pStyle w:val="TOC2"/>
        <w:tabs>
          <w:tab w:val="clear" w:pos="964"/>
          <w:tab w:val="left" w:pos="1560"/>
        </w:tabs>
        <w:rPr>
          <w:rFonts w:asciiTheme="minorHAnsi" w:eastAsiaTheme="minorEastAsia" w:hAnsiTheme="minorHAnsi" w:cstheme="minorBidi"/>
          <w:sz w:val="22"/>
          <w:szCs w:val="22"/>
        </w:rPr>
      </w:pPr>
      <w:hyperlink w:anchor="_Toc17730766" w:history="1">
        <w:r w:rsidR="008F32D1" w:rsidRPr="007A14E2">
          <w:rPr>
            <w:rStyle w:val="Hyperlink"/>
          </w:rPr>
          <w:t>a)</w:t>
        </w:r>
        <w:r w:rsidR="008F32D1" w:rsidRPr="007A14E2">
          <w:rPr>
            <w:rFonts w:asciiTheme="minorHAnsi" w:eastAsiaTheme="minorEastAsia" w:hAnsiTheme="minorHAnsi" w:cstheme="minorBidi"/>
            <w:sz w:val="22"/>
            <w:szCs w:val="22"/>
          </w:rPr>
          <w:tab/>
        </w:r>
        <w:r w:rsidR="008F32D1" w:rsidRPr="007A14E2">
          <w:rPr>
            <w:rStyle w:val="Hyperlink"/>
          </w:rPr>
          <w:t>Access for PSPs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_Toc17730766 \h </w:instrText>
        </w:r>
        <w:r w:rsidR="008F32D1" w:rsidRPr="007A14E2">
          <w:rPr>
            <w:webHidden/>
          </w:rPr>
        </w:r>
        <w:r w:rsidR="008F32D1" w:rsidRPr="007A14E2">
          <w:rPr>
            <w:webHidden/>
          </w:rPr>
          <w:fldChar w:fldCharType="separate"/>
        </w:r>
        <w:r w:rsidR="003904D0">
          <w:rPr>
            <w:noProof/>
            <w:webHidden/>
          </w:rPr>
          <w:t>8</w:t>
        </w:r>
        <w:r w:rsidR="008F32D1" w:rsidRPr="007A14E2">
          <w:rPr>
            <w:webHidden/>
          </w:rPr>
          <w:fldChar w:fldCharType="end"/>
        </w:r>
      </w:hyperlink>
    </w:p>
    <w:p w14:paraId="0A4B75FF" w14:textId="2BFAE23C" w:rsidR="008F32D1" w:rsidRPr="007A14E2" w:rsidRDefault="00BE6D8C" w:rsidP="001021C1">
      <w:pPr>
        <w:pStyle w:val="TOC2"/>
        <w:tabs>
          <w:tab w:val="clear" w:pos="964"/>
          <w:tab w:val="left" w:pos="1560"/>
        </w:tabs>
        <w:rPr>
          <w:rFonts w:asciiTheme="minorHAnsi" w:eastAsiaTheme="minorEastAsia" w:hAnsiTheme="minorHAnsi" w:cstheme="minorBidi"/>
          <w:sz w:val="22"/>
          <w:szCs w:val="22"/>
        </w:rPr>
      </w:pPr>
      <w:hyperlink w:anchor="_Toc17730767" w:history="1">
        <w:r w:rsidR="008F32D1" w:rsidRPr="007A14E2">
          <w:rPr>
            <w:rStyle w:val="Hyperlink"/>
          </w:rPr>
          <w:t>b)</w:t>
        </w:r>
        <w:r w:rsidR="008F32D1" w:rsidRPr="007A14E2">
          <w:rPr>
            <w:rFonts w:asciiTheme="minorHAnsi" w:eastAsiaTheme="minorEastAsia" w:hAnsiTheme="minorHAnsi" w:cstheme="minorBidi"/>
            <w:sz w:val="22"/>
            <w:szCs w:val="22"/>
          </w:rPr>
          <w:tab/>
        </w:r>
        <w:r w:rsidR="008F32D1" w:rsidRPr="007A14E2">
          <w:rPr>
            <w:rStyle w:val="Hyperlink"/>
          </w:rPr>
          <w:t>Other variants of access to payment infrastructures for PSPs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_Toc17730767 \h </w:instrText>
        </w:r>
        <w:r w:rsidR="008F32D1" w:rsidRPr="007A14E2">
          <w:rPr>
            <w:webHidden/>
          </w:rPr>
        </w:r>
        <w:r w:rsidR="008F32D1" w:rsidRPr="007A14E2">
          <w:rPr>
            <w:webHidden/>
          </w:rPr>
          <w:fldChar w:fldCharType="separate"/>
        </w:r>
        <w:r w:rsidR="003904D0">
          <w:rPr>
            <w:noProof/>
            <w:webHidden/>
          </w:rPr>
          <w:t>9</w:t>
        </w:r>
        <w:r w:rsidR="008F32D1" w:rsidRPr="007A14E2">
          <w:rPr>
            <w:webHidden/>
          </w:rPr>
          <w:fldChar w:fldCharType="end"/>
        </w:r>
      </w:hyperlink>
    </w:p>
    <w:p w14:paraId="0BFA6592" w14:textId="0AC8FA73" w:rsidR="008F32D1" w:rsidRPr="007A14E2" w:rsidRDefault="00BE6D8C" w:rsidP="001021C1">
      <w:pPr>
        <w:pStyle w:val="TOC2"/>
        <w:tabs>
          <w:tab w:val="clear" w:pos="964"/>
          <w:tab w:val="left" w:pos="1560"/>
        </w:tabs>
        <w:rPr>
          <w:rFonts w:asciiTheme="minorHAnsi" w:eastAsiaTheme="minorEastAsia" w:hAnsiTheme="minorHAnsi" w:cstheme="minorBidi"/>
          <w:sz w:val="22"/>
          <w:szCs w:val="22"/>
        </w:rPr>
      </w:pPr>
      <w:hyperlink w:anchor="_Toc17730768" w:history="1">
        <w:r w:rsidR="008F32D1" w:rsidRPr="007A14E2">
          <w:rPr>
            <w:rStyle w:val="Hyperlink"/>
          </w:rPr>
          <w:t>c)</w:t>
        </w:r>
        <w:r w:rsidR="008F32D1" w:rsidRPr="007A14E2">
          <w:rPr>
            <w:rFonts w:asciiTheme="minorHAnsi" w:eastAsiaTheme="minorEastAsia" w:hAnsiTheme="minorHAnsi" w:cstheme="minorBidi"/>
            <w:sz w:val="22"/>
            <w:szCs w:val="22"/>
          </w:rPr>
          <w:tab/>
        </w:r>
        <w:r w:rsidR="008F32D1" w:rsidRPr="007A14E2">
          <w:rPr>
            <w:rStyle w:val="Hyperlink"/>
          </w:rPr>
          <w:t>Access for operators of other payment systems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_Toc17730768 \h </w:instrText>
        </w:r>
        <w:r w:rsidR="008F32D1" w:rsidRPr="007A14E2">
          <w:rPr>
            <w:webHidden/>
          </w:rPr>
        </w:r>
        <w:r w:rsidR="008F32D1" w:rsidRPr="007A14E2">
          <w:rPr>
            <w:webHidden/>
          </w:rPr>
          <w:fldChar w:fldCharType="separate"/>
        </w:r>
        <w:r w:rsidR="003904D0">
          <w:rPr>
            <w:noProof/>
            <w:webHidden/>
          </w:rPr>
          <w:t>10</w:t>
        </w:r>
        <w:r w:rsidR="008F32D1" w:rsidRPr="007A14E2">
          <w:rPr>
            <w:webHidden/>
          </w:rPr>
          <w:fldChar w:fldCharType="end"/>
        </w:r>
      </w:hyperlink>
    </w:p>
    <w:p w14:paraId="201752C8" w14:textId="42DA82CA" w:rsidR="008F32D1" w:rsidRPr="007A14E2" w:rsidRDefault="00BE6D8C">
      <w:pPr>
        <w:pStyle w:val="TOC1"/>
        <w:rPr>
          <w:rFonts w:asciiTheme="minorHAnsi" w:eastAsiaTheme="minorEastAsia" w:hAnsiTheme="minorHAnsi" w:cstheme="minorBidi"/>
          <w:sz w:val="22"/>
          <w:szCs w:val="22"/>
        </w:rPr>
      </w:pPr>
      <w:hyperlink w:anchor="_Toc17730769" w:history="1">
        <w:r w:rsidR="008F32D1" w:rsidRPr="007A14E2">
          <w:rPr>
            <w:rStyle w:val="Hyperlink"/>
          </w:rPr>
          <w:t>9</w:t>
        </w:r>
        <w:r w:rsidR="008F32D1" w:rsidRPr="007A14E2">
          <w:rPr>
            <w:rFonts w:asciiTheme="minorHAnsi" w:eastAsiaTheme="minorEastAsia" w:hAnsiTheme="minorHAnsi" w:cstheme="minorBidi"/>
            <w:sz w:val="22"/>
            <w:szCs w:val="22"/>
          </w:rPr>
          <w:tab/>
        </w:r>
        <w:r w:rsidR="008F32D1" w:rsidRPr="007A14E2">
          <w:rPr>
            <w:rStyle w:val="Hyperlink"/>
          </w:rPr>
          <w:t>Legal and regulatory, ownership and governance aspects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_Toc17730769 \h </w:instrText>
        </w:r>
        <w:r w:rsidR="008F32D1" w:rsidRPr="007A14E2">
          <w:rPr>
            <w:webHidden/>
          </w:rPr>
        </w:r>
        <w:r w:rsidR="008F32D1" w:rsidRPr="007A14E2">
          <w:rPr>
            <w:webHidden/>
          </w:rPr>
          <w:fldChar w:fldCharType="separate"/>
        </w:r>
        <w:r w:rsidR="003904D0">
          <w:rPr>
            <w:noProof/>
            <w:webHidden/>
          </w:rPr>
          <w:t>10</w:t>
        </w:r>
        <w:r w:rsidR="008F32D1" w:rsidRPr="007A14E2">
          <w:rPr>
            <w:webHidden/>
          </w:rPr>
          <w:fldChar w:fldCharType="end"/>
        </w:r>
      </w:hyperlink>
    </w:p>
    <w:p w14:paraId="39CF73BC" w14:textId="2C0C4697" w:rsidR="008F32D1" w:rsidRPr="007A14E2" w:rsidRDefault="00BE6D8C" w:rsidP="001021C1">
      <w:pPr>
        <w:pStyle w:val="TOC2"/>
        <w:tabs>
          <w:tab w:val="clear" w:pos="964"/>
          <w:tab w:val="left" w:pos="1560"/>
        </w:tabs>
        <w:rPr>
          <w:rFonts w:asciiTheme="minorHAnsi" w:eastAsiaTheme="minorEastAsia" w:hAnsiTheme="minorHAnsi" w:cstheme="minorBidi"/>
          <w:sz w:val="22"/>
          <w:szCs w:val="22"/>
        </w:rPr>
      </w:pPr>
      <w:hyperlink w:anchor="_Toc17730770" w:history="1">
        <w:r w:rsidR="008F32D1" w:rsidRPr="007A14E2">
          <w:rPr>
            <w:rStyle w:val="Hyperlink"/>
          </w:rPr>
          <w:t>a)</w:t>
        </w:r>
        <w:r w:rsidR="008F32D1" w:rsidRPr="007A14E2">
          <w:rPr>
            <w:rFonts w:asciiTheme="minorHAnsi" w:eastAsiaTheme="minorEastAsia" w:hAnsiTheme="minorHAnsi" w:cstheme="minorBidi"/>
            <w:sz w:val="22"/>
            <w:szCs w:val="22"/>
          </w:rPr>
          <w:tab/>
        </w:r>
        <w:r w:rsidR="008F32D1" w:rsidRPr="007A14E2">
          <w:rPr>
            <w:rStyle w:val="Hyperlink"/>
          </w:rPr>
          <w:t>System access rules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_Toc17730770 \h </w:instrText>
        </w:r>
        <w:r w:rsidR="008F32D1" w:rsidRPr="007A14E2">
          <w:rPr>
            <w:webHidden/>
          </w:rPr>
        </w:r>
        <w:r w:rsidR="008F32D1" w:rsidRPr="007A14E2">
          <w:rPr>
            <w:webHidden/>
          </w:rPr>
          <w:fldChar w:fldCharType="separate"/>
        </w:r>
        <w:r w:rsidR="003904D0">
          <w:rPr>
            <w:noProof/>
            <w:webHidden/>
          </w:rPr>
          <w:t>11</w:t>
        </w:r>
        <w:r w:rsidR="008F32D1" w:rsidRPr="007A14E2">
          <w:rPr>
            <w:webHidden/>
          </w:rPr>
          <w:fldChar w:fldCharType="end"/>
        </w:r>
      </w:hyperlink>
    </w:p>
    <w:p w14:paraId="6697CC29" w14:textId="18332076" w:rsidR="008F32D1" w:rsidRPr="007A14E2" w:rsidRDefault="00BE6D8C" w:rsidP="001021C1">
      <w:pPr>
        <w:pStyle w:val="TOC2"/>
        <w:tabs>
          <w:tab w:val="clear" w:pos="964"/>
          <w:tab w:val="left" w:pos="1560"/>
        </w:tabs>
        <w:rPr>
          <w:rFonts w:asciiTheme="minorHAnsi" w:eastAsiaTheme="minorEastAsia" w:hAnsiTheme="minorHAnsi" w:cstheme="minorBidi"/>
          <w:sz w:val="22"/>
          <w:szCs w:val="22"/>
        </w:rPr>
      </w:pPr>
      <w:hyperlink w:anchor="_Toc17730771" w:history="1">
        <w:r w:rsidR="008F32D1" w:rsidRPr="007A14E2">
          <w:rPr>
            <w:rStyle w:val="Hyperlink"/>
          </w:rPr>
          <w:t>b)</w:t>
        </w:r>
        <w:r w:rsidR="008F32D1" w:rsidRPr="007A14E2">
          <w:rPr>
            <w:rFonts w:asciiTheme="minorHAnsi" w:eastAsiaTheme="minorEastAsia" w:hAnsiTheme="minorHAnsi" w:cstheme="minorBidi"/>
            <w:sz w:val="22"/>
            <w:szCs w:val="22"/>
          </w:rPr>
          <w:tab/>
        </w:r>
        <w:r w:rsidR="008F32D1" w:rsidRPr="007A14E2">
          <w:rPr>
            <w:rStyle w:val="Hyperlink"/>
          </w:rPr>
          <w:t>International standards and other guidance</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_Toc17730771 \h </w:instrText>
        </w:r>
        <w:r w:rsidR="008F32D1" w:rsidRPr="007A14E2">
          <w:rPr>
            <w:webHidden/>
          </w:rPr>
        </w:r>
        <w:r w:rsidR="008F32D1" w:rsidRPr="007A14E2">
          <w:rPr>
            <w:webHidden/>
          </w:rPr>
          <w:fldChar w:fldCharType="separate"/>
        </w:r>
        <w:r w:rsidR="003904D0">
          <w:rPr>
            <w:noProof/>
            <w:webHidden/>
          </w:rPr>
          <w:t>11</w:t>
        </w:r>
        <w:r w:rsidR="008F32D1" w:rsidRPr="007A14E2">
          <w:rPr>
            <w:webHidden/>
          </w:rPr>
          <w:fldChar w:fldCharType="end"/>
        </w:r>
      </w:hyperlink>
    </w:p>
    <w:p w14:paraId="68802B11" w14:textId="1A678E1F" w:rsidR="008F32D1" w:rsidRPr="007A14E2" w:rsidRDefault="00BE6D8C" w:rsidP="001021C1">
      <w:pPr>
        <w:pStyle w:val="TOC2"/>
        <w:tabs>
          <w:tab w:val="clear" w:pos="964"/>
          <w:tab w:val="left" w:pos="1560"/>
        </w:tabs>
        <w:rPr>
          <w:rFonts w:asciiTheme="minorHAnsi" w:eastAsiaTheme="minorEastAsia" w:hAnsiTheme="minorHAnsi" w:cstheme="minorBidi"/>
          <w:sz w:val="22"/>
          <w:szCs w:val="22"/>
        </w:rPr>
      </w:pPr>
      <w:hyperlink w:anchor="_Toc17730772" w:history="1">
        <w:r w:rsidR="008F32D1" w:rsidRPr="007A14E2">
          <w:rPr>
            <w:rStyle w:val="Hyperlink"/>
          </w:rPr>
          <w:t>c)</w:t>
        </w:r>
        <w:r w:rsidR="008F32D1" w:rsidRPr="007A14E2">
          <w:rPr>
            <w:rFonts w:asciiTheme="minorHAnsi" w:eastAsiaTheme="minorEastAsia" w:hAnsiTheme="minorHAnsi" w:cstheme="minorBidi"/>
            <w:sz w:val="22"/>
            <w:szCs w:val="22"/>
          </w:rPr>
          <w:tab/>
        </w:r>
        <w:r w:rsidR="008F32D1" w:rsidRPr="007A14E2">
          <w:rPr>
            <w:rStyle w:val="Hyperlink"/>
          </w:rPr>
          <w:t>Ownership and governance of payments infrastructures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_Toc17730772 \h </w:instrText>
        </w:r>
        <w:r w:rsidR="008F32D1" w:rsidRPr="007A14E2">
          <w:rPr>
            <w:webHidden/>
          </w:rPr>
        </w:r>
        <w:r w:rsidR="008F32D1" w:rsidRPr="007A14E2">
          <w:rPr>
            <w:webHidden/>
          </w:rPr>
          <w:fldChar w:fldCharType="separate"/>
        </w:r>
        <w:r w:rsidR="003904D0">
          <w:rPr>
            <w:noProof/>
            <w:webHidden/>
          </w:rPr>
          <w:t>12</w:t>
        </w:r>
        <w:r w:rsidR="008F32D1" w:rsidRPr="007A14E2">
          <w:rPr>
            <w:webHidden/>
          </w:rPr>
          <w:fldChar w:fldCharType="end"/>
        </w:r>
      </w:hyperlink>
    </w:p>
    <w:p w14:paraId="180113C7" w14:textId="25B30E70" w:rsidR="008F32D1" w:rsidRPr="007A14E2" w:rsidRDefault="00BE6D8C">
      <w:pPr>
        <w:pStyle w:val="TOC1"/>
        <w:rPr>
          <w:rFonts w:asciiTheme="minorHAnsi" w:eastAsiaTheme="minorEastAsia" w:hAnsiTheme="minorHAnsi" w:cstheme="minorBidi"/>
          <w:sz w:val="22"/>
          <w:szCs w:val="22"/>
        </w:rPr>
      </w:pPr>
      <w:hyperlink w:anchor="_Toc17730773" w:history="1">
        <w:r w:rsidR="008F32D1" w:rsidRPr="007A14E2">
          <w:rPr>
            <w:rStyle w:val="Hyperlink"/>
          </w:rPr>
          <w:t>10</w:t>
        </w:r>
        <w:r w:rsidR="008F32D1" w:rsidRPr="007A14E2">
          <w:rPr>
            <w:rFonts w:asciiTheme="minorHAnsi" w:eastAsiaTheme="minorEastAsia" w:hAnsiTheme="minorHAnsi" w:cstheme="minorBidi"/>
            <w:sz w:val="22"/>
            <w:szCs w:val="22"/>
          </w:rPr>
          <w:tab/>
        </w:r>
        <w:r w:rsidR="008F32D1" w:rsidRPr="007A14E2">
          <w:rPr>
            <w:rStyle w:val="Hyperlink"/>
          </w:rPr>
          <w:t>International evidence and trends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_Toc17730773 \h </w:instrText>
        </w:r>
        <w:r w:rsidR="008F32D1" w:rsidRPr="007A14E2">
          <w:rPr>
            <w:webHidden/>
          </w:rPr>
        </w:r>
        <w:r w:rsidR="008F32D1" w:rsidRPr="007A14E2">
          <w:rPr>
            <w:webHidden/>
          </w:rPr>
          <w:fldChar w:fldCharType="separate"/>
        </w:r>
        <w:r w:rsidR="003904D0">
          <w:rPr>
            <w:noProof/>
            <w:webHidden/>
          </w:rPr>
          <w:t>13</w:t>
        </w:r>
        <w:r w:rsidR="008F32D1" w:rsidRPr="007A14E2">
          <w:rPr>
            <w:webHidden/>
          </w:rPr>
          <w:fldChar w:fldCharType="end"/>
        </w:r>
      </w:hyperlink>
    </w:p>
    <w:p w14:paraId="7C6082A5" w14:textId="12B85FF3" w:rsidR="008F32D1" w:rsidRPr="007A14E2" w:rsidRDefault="00BE6D8C" w:rsidP="001021C1">
      <w:pPr>
        <w:pStyle w:val="TOC2"/>
        <w:tabs>
          <w:tab w:val="clear" w:pos="964"/>
          <w:tab w:val="left" w:pos="1560"/>
        </w:tabs>
        <w:rPr>
          <w:rFonts w:asciiTheme="minorHAnsi" w:eastAsiaTheme="minorEastAsia" w:hAnsiTheme="minorHAnsi" w:cstheme="minorBidi"/>
          <w:sz w:val="22"/>
          <w:szCs w:val="22"/>
        </w:rPr>
      </w:pPr>
      <w:hyperlink w:anchor="_Toc17730774" w:history="1">
        <w:r w:rsidR="008F32D1" w:rsidRPr="007A14E2">
          <w:rPr>
            <w:rStyle w:val="Hyperlink"/>
          </w:rPr>
          <w:t>a)</w:t>
        </w:r>
        <w:r w:rsidR="008F32D1" w:rsidRPr="007A14E2">
          <w:rPr>
            <w:rFonts w:asciiTheme="minorHAnsi" w:eastAsiaTheme="minorEastAsia" w:hAnsiTheme="minorHAnsi" w:cstheme="minorBidi"/>
            <w:sz w:val="22"/>
            <w:szCs w:val="22"/>
          </w:rPr>
          <w:tab/>
        </w:r>
        <w:r w:rsidR="008F32D1" w:rsidRPr="007A14E2">
          <w:rPr>
            <w:rStyle w:val="Hyperlink"/>
          </w:rPr>
          <w:t>Access to RTGS systems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_Toc17730774 \h </w:instrText>
        </w:r>
        <w:r w:rsidR="008F32D1" w:rsidRPr="007A14E2">
          <w:rPr>
            <w:webHidden/>
          </w:rPr>
        </w:r>
        <w:r w:rsidR="008F32D1" w:rsidRPr="007A14E2">
          <w:rPr>
            <w:webHidden/>
          </w:rPr>
          <w:fldChar w:fldCharType="separate"/>
        </w:r>
        <w:r w:rsidR="003904D0">
          <w:rPr>
            <w:noProof/>
            <w:webHidden/>
          </w:rPr>
          <w:t>13</w:t>
        </w:r>
        <w:r w:rsidR="008F32D1" w:rsidRPr="007A14E2">
          <w:rPr>
            <w:webHidden/>
          </w:rPr>
          <w:fldChar w:fldCharType="end"/>
        </w:r>
      </w:hyperlink>
    </w:p>
    <w:p w14:paraId="1D80ED7A" w14:textId="7948D15E" w:rsidR="008F32D1" w:rsidRPr="007A14E2" w:rsidRDefault="00BE6D8C" w:rsidP="001021C1">
      <w:pPr>
        <w:pStyle w:val="TOC2"/>
        <w:tabs>
          <w:tab w:val="clear" w:pos="964"/>
          <w:tab w:val="left" w:pos="1560"/>
        </w:tabs>
        <w:rPr>
          <w:rFonts w:asciiTheme="minorHAnsi" w:eastAsiaTheme="minorEastAsia" w:hAnsiTheme="minorHAnsi" w:cstheme="minorBidi"/>
          <w:sz w:val="22"/>
          <w:szCs w:val="22"/>
        </w:rPr>
      </w:pPr>
      <w:hyperlink w:anchor="_Toc17730775" w:history="1">
        <w:r w:rsidR="008F32D1" w:rsidRPr="007A14E2">
          <w:rPr>
            <w:rStyle w:val="Hyperlink"/>
          </w:rPr>
          <w:t>b)</w:t>
        </w:r>
        <w:r w:rsidR="008F32D1" w:rsidRPr="007A14E2">
          <w:rPr>
            <w:rFonts w:asciiTheme="minorHAnsi" w:eastAsiaTheme="minorEastAsia" w:hAnsiTheme="minorHAnsi" w:cstheme="minorBidi"/>
            <w:sz w:val="22"/>
            <w:szCs w:val="22"/>
          </w:rPr>
          <w:tab/>
        </w:r>
        <w:r w:rsidR="008F32D1" w:rsidRPr="007A14E2">
          <w:rPr>
            <w:rStyle w:val="Hyperlink"/>
          </w:rPr>
          <w:t>Access to ACHs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_Toc17730775 \h </w:instrText>
        </w:r>
        <w:r w:rsidR="008F32D1" w:rsidRPr="007A14E2">
          <w:rPr>
            <w:webHidden/>
          </w:rPr>
        </w:r>
        <w:r w:rsidR="008F32D1" w:rsidRPr="007A14E2">
          <w:rPr>
            <w:webHidden/>
          </w:rPr>
          <w:fldChar w:fldCharType="separate"/>
        </w:r>
        <w:r w:rsidR="003904D0">
          <w:rPr>
            <w:noProof/>
            <w:webHidden/>
          </w:rPr>
          <w:t>15</w:t>
        </w:r>
        <w:r w:rsidR="008F32D1" w:rsidRPr="007A14E2">
          <w:rPr>
            <w:webHidden/>
          </w:rPr>
          <w:fldChar w:fldCharType="end"/>
        </w:r>
      </w:hyperlink>
    </w:p>
    <w:p w14:paraId="76232CC5" w14:textId="62D13AE9" w:rsidR="008F32D1" w:rsidRPr="007A14E2" w:rsidRDefault="00BE6D8C">
      <w:pPr>
        <w:pStyle w:val="TOC1"/>
        <w:rPr>
          <w:rFonts w:asciiTheme="minorHAnsi" w:eastAsiaTheme="minorEastAsia" w:hAnsiTheme="minorHAnsi" w:cstheme="minorBidi"/>
          <w:sz w:val="22"/>
          <w:szCs w:val="22"/>
        </w:rPr>
      </w:pPr>
      <w:hyperlink w:anchor="_Toc17730776" w:history="1">
        <w:r w:rsidR="008F32D1" w:rsidRPr="007A14E2">
          <w:rPr>
            <w:rStyle w:val="Hyperlink"/>
          </w:rPr>
          <w:t>11</w:t>
        </w:r>
        <w:r w:rsidR="008F32D1" w:rsidRPr="007A14E2">
          <w:rPr>
            <w:rFonts w:asciiTheme="minorHAnsi" w:eastAsiaTheme="minorEastAsia" w:hAnsiTheme="minorHAnsi" w:cstheme="minorBidi"/>
            <w:sz w:val="22"/>
            <w:szCs w:val="22"/>
          </w:rPr>
          <w:tab/>
        </w:r>
        <w:r w:rsidR="008F32D1" w:rsidRPr="007A14E2">
          <w:rPr>
            <w:rStyle w:val="Hyperlink"/>
          </w:rPr>
          <w:t>Insights and conclusions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_Toc17730776 \h </w:instrText>
        </w:r>
        <w:r w:rsidR="008F32D1" w:rsidRPr="007A14E2">
          <w:rPr>
            <w:webHidden/>
          </w:rPr>
        </w:r>
        <w:r w:rsidR="008F32D1" w:rsidRPr="007A14E2">
          <w:rPr>
            <w:webHidden/>
          </w:rPr>
          <w:fldChar w:fldCharType="separate"/>
        </w:r>
        <w:r w:rsidR="003904D0">
          <w:rPr>
            <w:noProof/>
            <w:webHidden/>
          </w:rPr>
          <w:t>16</w:t>
        </w:r>
        <w:r w:rsidR="008F32D1" w:rsidRPr="007A14E2">
          <w:rPr>
            <w:webHidden/>
          </w:rPr>
          <w:fldChar w:fldCharType="end"/>
        </w:r>
      </w:hyperlink>
    </w:p>
    <w:p w14:paraId="3E797E66" w14:textId="66AFE475" w:rsidR="008F32D1" w:rsidRPr="007A14E2" w:rsidRDefault="00BE6D8C" w:rsidP="001021C1">
      <w:pPr>
        <w:pStyle w:val="TOC2"/>
        <w:tabs>
          <w:tab w:val="clear" w:pos="964"/>
          <w:tab w:val="left" w:pos="1560"/>
        </w:tabs>
        <w:rPr>
          <w:rFonts w:asciiTheme="minorHAnsi" w:eastAsiaTheme="minorEastAsia" w:hAnsiTheme="minorHAnsi" w:cstheme="minorBidi"/>
          <w:sz w:val="22"/>
          <w:szCs w:val="22"/>
        </w:rPr>
      </w:pPr>
      <w:hyperlink w:anchor="_Toc17730777" w:history="1">
        <w:r w:rsidR="008F32D1" w:rsidRPr="007A14E2">
          <w:rPr>
            <w:rStyle w:val="Hyperlink"/>
          </w:rPr>
          <w:t>a)</w:t>
        </w:r>
        <w:r w:rsidR="008F32D1" w:rsidRPr="007A14E2">
          <w:rPr>
            <w:rFonts w:asciiTheme="minorHAnsi" w:eastAsiaTheme="minorEastAsia" w:hAnsiTheme="minorHAnsi" w:cstheme="minorBidi"/>
            <w:sz w:val="22"/>
            <w:szCs w:val="22"/>
          </w:rPr>
          <w:tab/>
        </w:r>
        <w:r w:rsidR="008F32D1" w:rsidRPr="007A14E2">
          <w:rPr>
            <w:rStyle w:val="Hyperlink"/>
          </w:rPr>
          <w:t>Implications for operators, banks and non-banks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_Toc17730777 \h </w:instrText>
        </w:r>
        <w:r w:rsidR="008F32D1" w:rsidRPr="007A14E2">
          <w:rPr>
            <w:webHidden/>
          </w:rPr>
        </w:r>
        <w:r w:rsidR="008F32D1" w:rsidRPr="007A14E2">
          <w:rPr>
            <w:webHidden/>
          </w:rPr>
          <w:fldChar w:fldCharType="separate"/>
        </w:r>
        <w:r w:rsidR="003904D0">
          <w:rPr>
            <w:noProof/>
            <w:webHidden/>
          </w:rPr>
          <w:t>16</w:t>
        </w:r>
        <w:r w:rsidR="008F32D1" w:rsidRPr="007A14E2">
          <w:rPr>
            <w:webHidden/>
          </w:rPr>
          <w:fldChar w:fldCharType="end"/>
        </w:r>
      </w:hyperlink>
    </w:p>
    <w:p w14:paraId="55F2DA35" w14:textId="138FEC6E" w:rsidR="008F32D1" w:rsidRPr="007A14E2" w:rsidRDefault="00BE6D8C" w:rsidP="001021C1">
      <w:pPr>
        <w:pStyle w:val="TOC2"/>
        <w:tabs>
          <w:tab w:val="clear" w:pos="964"/>
          <w:tab w:val="left" w:pos="1560"/>
        </w:tabs>
        <w:rPr>
          <w:rFonts w:asciiTheme="minorHAnsi" w:eastAsiaTheme="minorEastAsia" w:hAnsiTheme="minorHAnsi" w:cstheme="minorBidi"/>
          <w:sz w:val="22"/>
          <w:szCs w:val="22"/>
        </w:rPr>
      </w:pPr>
      <w:hyperlink w:anchor="_Toc17730778" w:history="1">
        <w:r w:rsidR="008F32D1" w:rsidRPr="007A14E2">
          <w:rPr>
            <w:rStyle w:val="Hyperlink"/>
          </w:rPr>
          <w:t>b)</w:t>
        </w:r>
        <w:r w:rsidR="008F32D1" w:rsidRPr="007A14E2">
          <w:rPr>
            <w:rFonts w:asciiTheme="minorHAnsi" w:eastAsiaTheme="minorEastAsia" w:hAnsiTheme="minorHAnsi" w:cstheme="minorBidi"/>
            <w:sz w:val="22"/>
            <w:szCs w:val="22"/>
          </w:rPr>
          <w:tab/>
        </w:r>
        <w:r w:rsidR="008F32D1" w:rsidRPr="007A14E2">
          <w:rPr>
            <w:rStyle w:val="Hyperlink"/>
          </w:rPr>
          <w:t>Implications for central banks and other authorities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_Toc17730778 \h </w:instrText>
        </w:r>
        <w:r w:rsidR="008F32D1" w:rsidRPr="007A14E2">
          <w:rPr>
            <w:webHidden/>
          </w:rPr>
        </w:r>
        <w:r w:rsidR="008F32D1" w:rsidRPr="007A14E2">
          <w:rPr>
            <w:webHidden/>
          </w:rPr>
          <w:fldChar w:fldCharType="separate"/>
        </w:r>
        <w:r w:rsidR="003904D0">
          <w:rPr>
            <w:noProof/>
            <w:webHidden/>
          </w:rPr>
          <w:t>17</w:t>
        </w:r>
        <w:r w:rsidR="008F32D1" w:rsidRPr="007A14E2">
          <w:rPr>
            <w:webHidden/>
          </w:rPr>
          <w:fldChar w:fldCharType="end"/>
        </w:r>
      </w:hyperlink>
    </w:p>
    <w:p w14:paraId="60AA0436" w14:textId="7D831B9C" w:rsidR="008F32D1" w:rsidRPr="007A14E2" w:rsidRDefault="00BE6D8C">
      <w:pPr>
        <w:pStyle w:val="TOC1"/>
        <w:rPr>
          <w:rFonts w:asciiTheme="minorHAnsi" w:eastAsiaTheme="minorEastAsia" w:hAnsiTheme="minorHAnsi" w:cstheme="minorBidi"/>
          <w:sz w:val="22"/>
          <w:szCs w:val="22"/>
        </w:rPr>
      </w:pPr>
      <w:hyperlink w:anchor="_Toc17730779" w:history="1">
        <w:r w:rsidR="008F32D1" w:rsidRPr="007A14E2">
          <w:rPr>
            <w:rStyle w:val="Hyperlink"/>
          </w:rPr>
          <w:t xml:space="preserve">Annex I </w:t>
        </w:r>
        <w:r w:rsidR="0065018E" w:rsidRPr="007A14E2">
          <w:rPr>
            <w:rStyle w:val="Hyperlink"/>
          </w:rPr>
          <w:t>–</w:t>
        </w:r>
        <w:r w:rsidR="008F32D1" w:rsidRPr="007A14E2">
          <w:rPr>
            <w:rStyle w:val="Hyperlink"/>
          </w:rPr>
          <w:t xml:space="preserve"> Case studies</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_Toc17730779 \h </w:instrText>
        </w:r>
        <w:r w:rsidR="008F32D1" w:rsidRPr="007A14E2">
          <w:rPr>
            <w:webHidden/>
          </w:rPr>
        </w:r>
        <w:r w:rsidR="008F32D1" w:rsidRPr="007A14E2">
          <w:rPr>
            <w:webHidden/>
          </w:rPr>
          <w:fldChar w:fldCharType="separate"/>
        </w:r>
        <w:r w:rsidR="003904D0">
          <w:rPr>
            <w:noProof/>
            <w:webHidden/>
          </w:rPr>
          <w:t>19</w:t>
        </w:r>
        <w:r w:rsidR="008F32D1" w:rsidRPr="007A14E2">
          <w:rPr>
            <w:webHidden/>
          </w:rPr>
          <w:fldChar w:fldCharType="end"/>
        </w:r>
      </w:hyperlink>
    </w:p>
    <w:p w14:paraId="7570671A" w14:textId="5B22637F" w:rsidR="008F32D1" w:rsidRPr="007A14E2" w:rsidRDefault="00BE6D8C">
      <w:pPr>
        <w:pStyle w:val="TOC1"/>
        <w:rPr>
          <w:rFonts w:asciiTheme="minorHAnsi" w:eastAsiaTheme="minorEastAsia" w:hAnsiTheme="minorHAnsi" w:cstheme="minorBidi"/>
          <w:sz w:val="22"/>
          <w:szCs w:val="22"/>
        </w:rPr>
      </w:pPr>
      <w:hyperlink w:anchor="_Toc17730780" w:history="1">
        <w:r w:rsidR="008F32D1" w:rsidRPr="007A14E2">
          <w:rPr>
            <w:rStyle w:val="Hyperlink"/>
          </w:rPr>
          <w:t>Bibliography</w:t>
        </w:r>
        <w:r w:rsidR="008F32D1" w:rsidRPr="007A14E2">
          <w:rPr>
            <w:webHidden/>
          </w:rPr>
          <w:tab/>
        </w:r>
        <w:r w:rsidR="008B1E5B" w:rsidRPr="007A14E2">
          <w:rPr>
            <w:webHidden/>
          </w:rPr>
          <w:tab/>
        </w:r>
        <w:r w:rsidR="008F32D1" w:rsidRPr="007A14E2">
          <w:rPr>
            <w:webHidden/>
          </w:rPr>
          <w:fldChar w:fldCharType="begin"/>
        </w:r>
        <w:r w:rsidR="008F32D1" w:rsidRPr="007A14E2">
          <w:rPr>
            <w:webHidden/>
          </w:rPr>
          <w:instrText xml:space="preserve"> PAGEREF _Toc17730780 \h </w:instrText>
        </w:r>
        <w:r w:rsidR="008F32D1" w:rsidRPr="007A14E2">
          <w:rPr>
            <w:webHidden/>
          </w:rPr>
        </w:r>
        <w:r w:rsidR="008F32D1" w:rsidRPr="007A14E2">
          <w:rPr>
            <w:webHidden/>
          </w:rPr>
          <w:fldChar w:fldCharType="separate"/>
        </w:r>
        <w:r w:rsidR="003904D0">
          <w:rPr>
            <w:noProof/>
            <w:webHidden/>
          </w:rPr>
          <w:t>22</w:t>
        </w:r>
        <w:r w:rsidR="008F32D1" w:rsidRPr="007A14E2">
          <w:rPr>
            <w:webHidden/>
          </w:rPr>
          <w:fldChar w:fldCharType="end"/>
        </w:r>
      </w:hyperlink>
    </w:p>
    <w:p w14:paraId="73326819" w14:textId="3233E0B7" w:rsidR="00D42441" w:rsidRPr="007A14E2" w:rsidRDefault="008F32D1" w:rsidP="00D42441">
      <w:pPr>
        <w:spacing w:before="600"/>
        <w:jc w:val="center"/>
        <w:rPr>
          <w:b/>
        </w:rPr>
      </w:pPr>
      <w:r w:rsidRPr="007A14E2">
        <w:fldChar w:fldCharType="end"/>
      </w:r>
      <w:r w:rsidR="00D42441" w:rsidRPr="007A14E2">
        <w:rPr>
          <w:b/>
        </w:rPr>
        <w:t>List of Tables</w:t>
      </w:r>
    </w:p>
    <w:p w14:paraId="6FD07D04" w14:textId="77777777" w:rsidR="00D42441" w:rsidRPr="007A14E2" w:rsidRDefault="00D42441" w:rsidP="00D42441">
      <w:pPr>
        <w:spacing w:before="0"/>
        <w:jc w:val="right"/>
        <w:rPr>
          <w:b/>
        </w:rPr>
      </w:pPr>
      <w:r w:rsidRPr="007A14E2">
        <w:rPr>
          <w:b/>
        </w:rPr>
        <w:t>Page</w:t>
      </w:r>
    </w:p>
    <w:p w14:paraId="1899167D" w14:textId="46655C39" w:rsidR="00FE3E6E" w:rsidRPr="007A14E2" w:rsidRDefault="00FE3E6E">
      <w:pPr>
        <w:pStyle w:val="TOC1"/>
        <w:rPr>
          <w:rFonts w:asciiTheme="minorHAnsi" w:eastAsiaTheme="minorEastAsia" w:hAnsiTheme="minorHAnsi" w:cstheme="minorBidi"/>
          <w:sz w:val="22"/>
          <w:szCs w:val="22"/>
        </w:rPr>
      </w:pPr>
      <w:r w:rsidRPr="007A14E2">
        <w:fldChar w:fldCharType="begin"/>
      </w:r>
      <w:r w:rsidRPr="007A14E2">
        <w:instrText xml:space="preserve"> TOC \h \z \t "Table_NoTitle,1" </w:instrText>
      </w:r>
      <w:r w:rsidRPr="007A14E2">
        <w:fldChar w:fldCharType="separate"/>
      </w:r>
      <w:hyperlink w:anchor="_Toc17731242" w:history="1">
        <w:r w:rsidRPr="007A14E2">
          <w:rPr>
            <w:rStyle w:val="Hyperlink"/>
          </w:rPr>
          <w:t>Table 1 – Access of non-bank institutions to the RTGS system</w:t>
        </w:r>
        <w:r w:rsidRPr="007A14E2">
          <w:rPr>
            <w:webHidden/>
          </w:rPr>
          <w:tab/>
        </w:r>
        <w:r w:rsidRPr="007A14E2">
          <w:rPr>
            <w:webHidden/>
          </w:rPr>
          <w:tab/>
        </w:r>
        <w:r w:rsidRPr="007A14E2">
          <w:rPr>
            <w:webHidden/>
          </w:rPr>
          <w:fldChar w:fldCharType="begin"/>
        </w:r>
        <w:r w:rsidRPr="007A14E2">
          <w:rPr>
            <w:webHidden/>
          </w:rPr>
          <w:instrText xml:space="preserve"> PAGEREF _Toc17731242 \h </w:instrText>
        </w:r>
        <w:r w:rsidRPr="007A14E2">
          <w:rPr>
            <w:webHidden/>
          </w:rPr>
        </w:r>
        <w:r w:rsidRPr="007A14E2">
          <w:rPr>
            <w:webHidden/>
          </w:rPr>
          <w:fldChar w:fldCharType="separate"/>
        </w:r>
        <w:r w:rsidR="003904D0">
          <w:rPr>
            <w:noProof/>
            <w:webHidden/>
          </w:rPr>
          <w:t>13</w:t>
        </w:r>
        <w:r w:rsidRPr="007A14E2">
          <w:rPr>
            <w:webHidden/>
          </w:rPr>
          <w:fldChar w:fldCharType="end"/>
        </w:r>
      </w:hyperlink>
    </w:p>
    <w:p w14:paraId="44006C5D" w14:textId="5C772595" w:rsidR="00FE3E6E" w:rsidRPr="007A14E2" w:rsidRDefault="00BE6D8C">
      <w:pPr>
        <w:pStyle w:val="TOC1"/>
        <w:rPr>
          <w:rFonts w:asciiTheme="minorHAnsi" w:eastAsiaTheme="minorEastAsia" w:hAnsiTheme="minorHAnsi" w:cstheme="minorBidi"/>
          <w:sz w:val="22"/>
          <w:szCs w:val="22"/>
        </w:rPr>
      </w:pPr>
      <w:hyperlink w:anchor="_Toc17731243" w:history="1">
        <w:r w:rsidR="00FE3E6E" w:rsidRPr="007A14E2">
          <w:rPr>
            <w:rStyle w:val="Hyperlink"/>
          </w:rPr>
          <w:t>Table 2 – Access of payment system operators to the RTGS system</w:t>
        </w:r>
        <w:r w:rsidR="00FE3E6E" w:rsidRPr="007A14E2">
          <w:rPr>
            <w:webHidden/>
          </w:rPr>
          <w:tab/>
        </w:r>
        <w:r w:rsidR="00FE3E6E" w:rsidRPr="007A14E2">
          <w:rPr>
            <w:webHidden/>
          </w:rPr>
          <w:tab/>
        </w:r>
        <w:r w:rsidR="00FE3E6E" w:rsidRPr="007A14E2">
          <w:rPr>
            <w:webHidden/>
          </w:rPr>
          <w:fldChar w:fldCharType="begin"/>
        </w:r>
        <w:r w:rsidR="00FE3E6E" w:rsidRPr="007A14E2">
          <w:rPr>
            <w:webHidden/>
          </w:rPr>
          <w:instrText xml:space="preserve"> PAGEREF _Toc17731243 \h </w:instrText>
        </w:r>
        <w:r w:rsidR="00FE3E6E" w:rsidRPr="007A14E2">
          <w:rPr>
            <w:webHidden/>
          </w:rPr>
        </w:r>
        <w:r w:rsidR="00FE3E6E" w:rsidRPr="007A14E2">
          <w:rPr>
            <w:webHidden/>
          </w:rPr>
          <w:fldChar w:fldCharType="separate"/>
        </w:r>
        <w:r w:rsidR="003904D0">
          <w:rPr>
            <w:noProof/>
            <w:webHidden/>
          </w:rPr>
          <w:t>15</w:t>
        </w:r>
        <w:r w:rsidR="00FE3E6E" w:rsidRPr="007A14E2">
          <w:rPr>
            <w:webHidden/>
          </w:rPr>
          <w:fldChar w:fldCharType="end"/>
        </w:r>
      </w:hyperlink>
    </w:p>
    <w:p w14:paraId="5F49F30A" w14:textId="5D6FC024" w:rsidR="00FE3E6E" w:rsidRPr="007A14E2" w:rsidRDefault="00BE6D8C">
      <w:pPr>
        <w:pStyle w:val="TOC1"/>
        <w:rPr>
          <w:rFonts w:asciiTheme="minorHAnsi" w:eastAsiaTheme="minorEastAsia" w:hAnsiTheme="minorHAnsi" w:cstheme="minorBidi"/>
          <w:sz w:val="22"/>
          <w:szCs w:val="22"/>
        </w:rPr>
      </w:pPr>
      <w:hyperlink w:anchor="_Toc17731244" w:history="1">
        <w:r w:rsidR="00FE3E6E" w:rsidRPr="007A14E2">
          <w:rPr>
            <w:rStyle w:val="Hyperlink"/>
          </w:rPr>
          <w:t>Table 3 – Direct access of non-bank institutions to ACHs</w:t>
        </w:r>
        <w:r w:rsidR="00FE3E6E" w:rsidRPr="007A14E2">
          <w:rPr>
            <w:webHidden/>
          </w:rPr>
          <w:tab/>
        </w:r>
        <w:r w:rsidR="00FE3E6E" w:rsidRPr="007A14E2">
          <w:rPr>
            <w:webHidden/>
          </w:rPr>
          <w:tab/>
        </w:r>
        <w:r w:rsidR="00FE3E6E" w:rsidRPr="007A14E2">
          <w:rPr>
            <w:webHidden/>
          </w:rPr>
          <w:fldChar w:fldCharType="begin"/>
        </w:r>
        <w:r w:rsidR="00FE3E6E" w:rsidRPr="007A14E2">
          <w:rPr>
            <w:webHidden/>
          </w:rPr>
          <w:instrText xml:space="preserve"> PAGEREF _Toc17731244 \h </w:instrText>
        </w:r>
        <w:r w:rsidR="00FE3E6E" w:rsidRPr="007A14E2">
          <w:rPr>
            <w:webHidden/>
          </w:rPr>
        </w:r>
        <w:r w:rsidR="00FE3E6E" w:rsidRPr="007A14E2">
          <w:rPr>
            <w:webHidden/>
          </w:rPr>
          <w:fldChar w:fldCharType="separate"/>
        </w:r>
        <w:r w:rsidR="003904D0">
          <w:rPr>
            <w:noProof/>
            <w:webHidden/>
          </w:rPr>
          <w:t>15</w:t>
        </w:r>
        <w:r w:rsidR="00FE3E6E" w:rsidRPr="007A14E2">
          <w:rPr>
            <w:webHidden/>
          </w:rPr>
          <w:fldChar w:fldCharType="end"/>
        </w:r>
      </w:hyperlink>
    </w:p>
    <w:p w14:paraId="385D5435" w14:textId="6C9F3012" w:rsidR="003F08B8" w:rsidRPr="007A14E2" w:rsidRDefault="00FE3E6E" w:rsidP="003F08B8">
      <w:pPr>
        <w:pStyle w:val="RecNo"/>
        <w:pageBreakBefore/>
      </w:pPr>
      <w:r w:rsidRPr="007A14E2">
        <w:lastRenderedPageBreak/>
        <w:fldChar w:fldCharType="end"/>
      </w:r>
      <w:r w:rsidR="003F08B8" w:rsidRPr="007A14E2">
        <w:t>Technical Report ITU-T DST</w:t>
      </w:r>
      <w:r w:rsidR="00AA29AB" w:rsidRPr="007A14E2">
        <w:t>R</w:t>
      </w:r>
      <w:r w:rsidR="003F08B8" w:rsidRPr="007A14E2">
        <w:t>-DFS</w:t>
      </w:r>
      <w:r w:rsidR="008A4511" w:rsidRPr="007A14E2">
        <w:t>PI</w:t>
      </w:r>
    </w:p>
    <w:p w14:paraId="6F744400" w14:textId="7B9F9923" w:rsidR="003F08B8" w:rsidRPr="007A14E2" w:rsidRDefault="003F08B8" w:rsidP="003F08B8">
      <w:pPr>
        <w:pStyle w:val="Rectitle"/>
      </w:pPr>
      <w:r w:rsidRPr="007A14E2">
        <w:t xml:space="preserve">Digital </w:t>
      </w:r>
      <w:r w:rsidR="00A35B63" w:rsidRPr="007A14E2">
        <w:t xml:space="preserve">financial services </w:t>
      </w:r>
      <w:r w:rsidRPr="007A14E2">
        <w:t xml:space="preserve">– </w:t>
      </w:r>
      <w:bookmarkStart w:id="4" w:name="_GoBack"/>
      <w:bookmarkEnd w:id="4"/>
      <w:r w:rsidR="008A4511" w:rsidRPr="007A14E2">
        <w:t xml:space="preserve">Access </w:t>
      </w:r>
      <w:r w:rsidR="00A35B63" w:rsidRPr="007A14E2">
        <w:t>to payment infrastructures</w:t>
      </w:r>
    </w:p>
    <w:p w14:paraId="70BE270C" w14:textId="77777777" w:rsidR="003F08B8" w:rsidRPr="007A14E2" w:rsidRDefault="003F08B8" w:rsidP="00D03B03">
      <w:pPr>
        <w:pStyle w:val="Headingb"/>
        <w:spacing w:before="480"/>
      </w:pPr>
      <w:r w:rsidRPr="007A14E2">
        <w:t>Summary</w:t>
      </w:r>
    </w:p>
    <w:p w14:paraId="49ECE8CD" w14:textId="77777777" w:rsidR="008A4511" w:rsidRPr="007A14E2" w:rsidRDefault="008A4511" w:rsidP="008A4511">
      <w:r w:rsidRPr="007A14E2">
        <w:t xml:space="preserve">Non-banks </w:t>
      </w:r>
      <w:r w:rsidR="00CF0849" w:rsidRPr="007A14E2">
        <w:t>have an</w:t>
      </w:r>
      <w:r w:rsidRPr="007A14E2">
        <w:t xml:space="preserve"> increasing role in payments, including the provision of payments services directly to end-users. Despite this increasing role, many of them </w:t>
      </w:r>
      <w:proofErr w:type="gramStart"/>
      <w:r w:rsidRPr="007A14E2">
        <w:t>are still not accepted</w:t>
      </w:r>
      <w:proofErr w:type="gramEnd"/>
      <w:r w:rsidRPr="007A14E2">
        <w:t xml:space="preserve"> as direct participants of key payment infrastructures, which often leads to limited or null interoperability in the services/products </w:t>
      </w:r>
      <w:r w:rsidR="004D73CD" w:rsidRPr="007A14E2">
        <w:t xml:space="preserve">that </w:t>
      </w:r>
      <w:r w:rsidRPr="007A14E2">
        <w:t>they offer. Moreover, being able to use key payment infrastructures at a reasonable cost and with appropriate service levels is an important element underlying a competitive payments market.</w:t>
      </w:r>
    </w:p>
    <w:p w14:paraId="20ABDA9D" w14:textId="77777777" w:rsidR="008A4511" w:rsidRPr="007A14E2" w:rsidRDefault="008A4511" w:rsidP="008A4511">
      <w:r w:rsidRPr="007A14E2">
        <w:t>The operators of these payment infrastructures should adhere to international standards and best practice and establish risk-based and objective access criteria, and ensure that any PSP that wishes to gain direct access and meets such criteria is able to join as a direct participant.</w:t>
      </w:r>
    </w:p>
    <w:p w14:paraId="7BEE8037" w14:textId="66E2E6D6" w:rsidR="008A4511" w:rsidRPr="007A14E2" w:rsidRDefault="008A4511" w:rsidP="008A4511">
      <w:r w:rsidRPr="007A14E2">
        <w:t xml:space="preserve">Still, for many non-bank PSPs gaining direct access may not be feasible due to the investments </w:t>
      </w:r>
      <w:r w:rsidR="005644F4" w:rsidRPr="007A14E2">
        <w:t xml:space="preserve">that </w:t>
      </w:r>
      <w:r w:rsidRPr="007A14E2">
        <w:t xml:space="preserve">they would need to make in order to </w:t>
      </w:r>
      <w:r w:rsidR="00D1175E" w:rsidRPr="007A14E2">
        <w:t>fulfil</w:t>
      </w:r>
      <w:r w:rsidRPr="007A14E2">
        <w:t xml:space="preserve"> the infrastructure</w:t>
      </w:r>
      <w:r w:rsidR="00AC4FEC" w:rsidRPr="007A14E2">
        <w:t>'</w:t>
      </w:r>
      <w:r w:rsidRPr="007A14E2">
        <w:t xml:space="preserve">s access criteria. In such </w:t>
      </w:r>
      <w:proofErr w:type="gramStart"/>
      <w:r w:rsidRPr="007A14E2">
        <w:t>cases</w:t>
      </w:r>
      <w:proofErr w:type="gramEnd"/>
      <w:r w:rsidRPr="007A14E2">
        <w:t xml:space="preserve"> indirect access mechanisms may be capable of providing these PSPs with suitable payment services. </w:t>
      </w:r>
      <w:proofErr w:type="gramStart"/>
      <w:r w:rsidRPr="007A14E2">
        <w:t>However, in certain cases indirect access may not be as effective, for example if charges applied by the principal (an entity that is a direct participant in the infrastructure) are excessive relative to the costs it itself incurs for using the system, or if the criteria set by the principal for opening accounts and providing payment services to customer PSPs are disproportionate.</w:t>
      </w:r>
      <w:proofErr w:type="gramEnd"/>
    </w:p>
    <w:p w14:paraId="07B9AD41" w14:textId="77777777" w:rsidR="008A4511" w:rsidRPr="007A14E2" w:rsidRDefault="008A4511" w:rsidP="008A4511">
      <w:r w:rsidRPr="007A14E2">
        <w:t xml:space="preserve">Payment system regulators, in particular the central bank as the payment system overseer, should ensure that all PSPs are able to gain fair access to payment </w:t>
      </w:r>
      <w:r w:rsidRPr="007A14E2">
        <w:rPr>
          <w:i/>
        </w:rPr>
        <w:t>services</w:t>
      </w:r>
      <w:r w:rsidRPr="007A14E2">
        <w:t>, including those for which direct access is not financially feasible and need to access the services through a principal.</w:t>
      </w:r>
    </w:p>
    <w:p w14:paraId="7938400C" w14:textId="77777777" w:rsidR="008A4511" w:rsidRPr="007A14E2" w:rsidRDefault="008A4511" w:rsidP="008A4511">
      <w:pPr>
        <w:rPr>
          <w:lang w:eastAsia="ja-JP"/>
        </w:rPr>
      </w:pPr>
      <w:r w:rsidRPr="007A14E2">
        <w:t xml:space="preserve">Effective access to payment infrastructures </w:t>
      </w:r>
      <w:proofErr w:type="gramStart"/>
      <w:r w:rsidRPr="007A14E2">
        <w:t>may also be hampered</w:t>
      </w:r>
      <w:proofErr w:type="gramEnd"/>
      <w:r w:rsidRPr="007A14E2">
        <w:t xml:space="preserve"> if there are barriers to accessing the telecommunication networks serving those infrastructures. Telecomm regulators may also have a role to play in markets where it </w:t>
      </w:r>
      <w:proofErr w:type="gramStart"/>
      <w:r w:rsidRPr="007A14E2">
        <w:t>has been observed</w:t>
      </w:r>
      <w:proofErr w:type="gramEnd"/>
      <w:r w:rsidRPr="007A14E2">
        <w:t xml:space="preserve"> that MNOs that are involved in the payments business restrict in some form the access to other PSPs to the mobile telecommunication network that these MNOs operate.</w:t>
      </w:r>
    </w:p>
    <w:p w14:paraId="7DFDF75B" w14:textId="3C760874" w:rsidR="003F08B8" w:rsidRPr="007A14E2" w:rsidRDefault="00C71E72" w:rsidP="003F08B8">
      <w:pPr>
        <w:pStyle w:val="Heading1"/>
        <w:rPr>
          <w:szCs w:val="24"/>
          <w:lang w:bidi="ar-DZ"/>
        </w:rPr>
      </w:pPr>
      <w:bookmarkStart w:id="5" w:name="_Toc401158818"/>
      <w:bookmarkStart w:id="6" w:name="_Toc401159823"/>
      <w:bookmarkStart w:id="7" w:name="_Toc8384777"/>
      <w:bookmarkStart w:id="8" w:name="_Toc8394984"/>
      <w:bookmarkStart w:id="9" w:name="_Toc17730756"/>
      <w:r w:rsidRPr="007A14E2">
        <w:rPr>
          <w:szCs w:val="24"/>
          <w:lang w:bidi="ar-DZ"/>
        </w:rPr>
        <w:t>1</w:t>
      </w:r>
      <w:r w:rsidRPr="007A14E2">
        <w:rPr>
          <w:szCs w:val="24"/>
          <w:lang w:bidi="ar-DZ"/>
        </w:rPr>
        <w:tab/>
      </w:r>
      <w:r w:rsidR="003F08B8" w:rsidRPr="007A14E2">
        <w:rPr>
          <w:szCs w:val="24"/>
          <w:lang w:bidi="ar-DZ"/>
        </w:rPr>
        <w:t>Scope</w:t>
      </w:r>
      <w:bookmarkEnd w:id="5"/>
      <w:bookmarkEnd w:id="6"/>
      <w:bookmarkEnd w:id="7"/>
      <w:bookmarkEnd w:id="8"/>
      <w:bookmarkEnd w:id="9"/>
    </w:p>
    <w:p w14:paraId="13074696" w14:textId="77777777" w:rsidR="003F08B8" w:rsidRPr="007A14E2" w:rsidRDefault="003F08B8" w:rsidP="003F08B8">
      <w:pPr>
        <w:rPr>
          <w:szCs w:val="24"/>
        </w:rPr>
      </w:pPr>
      <w:r w:rsidRPr="007A14E2">
        <w:rPr>
          <w:szCs w:val="24"/>
        </w:rPr>
        <w:t>See Summary.</w:t>
      </w:r>
    </w:p>
    <w:p w14:paraId="192BAAF5" w14:textId="059E3035" w:rsidR="003F08B8" w:rsidRPr="007A14E2" w:rsidRDefault="00C71E72" w:rsidP="003F08B8">
      <w:pPr>
        <w:pStyle w:val="Heading1"/>
        <w:rPr>
          <w:szCs w:val="24"/>
          <w:lang w:bidi="ar-DZ"/>
        </w:rPr>
      </w:pPr>
      <w:bookmarkStart w:id="10" w:name="_Toc401159824"/>
      <w:bookmarkStart w:id="11" w:name="_Toc8384778"/>
      <w:bookmarkStart w:id="12" w:name="_Toc8394985"/>
      <w:bookmarkStart w:id="13" w:name="_Toc17730757"/>
      <w:r w:rsidRPr="007A14E2">
        <w:rPr>
          <w:szCs w:val="24"/>
          <w:lang w:bidi="ar-DZ"/>
        </w:rPr>
        <w:t>2</w:t>
      </w:r>
      <w:r w:rsidRPr="007A14E2">
        <w:rPr>
          <w:szCs w:val="24"/>
          <w:lang w:bidi="ar-DZ"/>
        </w:rPr>
        <w:tab/>
      </w:r>
      <w:r w:rsidR="003F08B8" w:rsidRPr="007A14E2">
        <w:rPr>
          <w:szCs w:val="24"/>
          <w:lang w:bidi="ar-DZ"/>
        </w:rPr>
        <w:t>References</w:t>
      </w:r>
      <w:bookmarkEnd w:id="10"/>
      <w:bookmarkEnd w:id="11"/>
      <w:bookmarkEnd w:id="12"/>
      <w:bookmarkEnd w:id="13"/>
    </w:p>
    <w:p w14:paraId="3B4A30E7" w14:textId="77777777" w:rsidR="003F08B8" w:rsidRPr="007A14E2" w:rsidRDefault="003F08B8" w:rsidP="003F08B8">
      <w:pPr>
        <w:rPr>
          <w:szCs w:val="24"/>
          <w:lang w:eastAsia="ja-JP" w:bidi="ar-DZ"/>
        </w:rPr>
      </w:pPr>
      <w:r w:rsidRPr="007A14E2">
        <w:rPr>
          <w:szCs w:val="24"/>
          <w:lang w:eastAsia="ja-JP" w:bidi="ar-DZ"/>
        </w:rPr>
        <w:t>None.</w:t>
      </w:r>
    </w:p>
    <w:p w14:paraId="2842D4BA" w14:textId="023CF749" w:rsidR="003F08B8" w:rsidRPr="007A14E2" w:rsidRDefault="00C71E72" w:rsidP="003F08B8">
      <w:pPr>
        <w:pStyle w:val="Heading1"/>
        <w:rPr>
          <w:szCs w:val="24"/>
          <w:lang w:bidi="ar-DZ"/>
        </w:rPr>
      </w:pPr>
      <w:bookmarkStart w:id="14" w:name="_Toc401158820"/>
      <w:bookmarkStart w:id="15" w:name="_Toc401159825"/>
      <w:bookmarkStart w:id="16" w:name="_Toc8384779"/>
      <w:bookmarkStart w:id="17" w:name="_Toc8394986"/>
      <w:bookmarkStart w:id="18" w:name="_Toc17730758"/>
      <w:r w:rsidRPr="007A14E2">
        <w:rPr>
          <w:szCs w:val="24"/>
          <w:lang w:bidi="ar-DZ"/>
        </w:rPr>
        <w:t>3</w:t>
      </w:r>
      <w:r w:rsidRPr="007A14E2">
        <w:rPr>
          <w:szCs w:val="24"/>
          <w:lang w:bidi="ar-DZ"/>
        </w:rPr>
        <w:tab/>
      </w:r>
      <w:r w:rsidR="003F08B8" w:rsidRPr="007A14E2">
        <w:rPr>
          <w:szCs w:val="24"/>
          <w:lang w:bidi="ar-DZ"/>
        </w:rPr>
        <w:t>Terms and definitions</w:t>
      </w:r>
      <w:bookmarkEnd w:id="14"/>
      <w:bookmarkEnd w:id="15"/>
      <w:bookmarkEnd w:id="16"/>
      <w:bookmarkEnd w:id="17"/>
      <w:bookmarkEnd w:id="18"/>
    </w:p>
    <w:p w14:paraId="26E7B000" w14:textId="77777777" w:rsidR="003F08B8" w:rsidRPr="007A14E2" w:rsidRDefault="00F63457" w:rsidP="00C71E72">
      <w:pPr>
        <w:pStyle w:val="Heading2"/>
      </w:pPr>
      <w:bookmarkStart w:id="19" w:name="_Toc401158821"/>
      <w:bookmarkStart w:id="20" w:name="_Toc401159826"/>
      <w:bookmarkStart w:id="21" w:name="_Toc8384780"/>
      <w:bookmarkStart w:id="22" w:name="_Toc8394987"/>
      <w:bookmarkStart w:id="23" w:name="_Toc17730759"/>
      <w:r w:rsidRPr="007A14E2">
        <w:t>3.1</w:t>
      </w:r>
      <w:r w:rsidRPr="007A14E2">
        <w:tab/>
      </w:r>
      <w:r w:rsidR="003F08B8" w:rsidRPr="007A14E2">
        <w:t>Terms defined elsewhere</w:t>
      </w:r>
      <w:bookmarkEnd w:id="19"/>
      <w:bookmarkEnd w:id="20"/>
      <w:bookmarkEnd w:id="21"/>
      <w:bookmarkEnd w:id="22"/>
      <w:bookmarkEnd w:id="23"/>
    </w:p>
    <w:p w14:paraId="2157ADF8" w14:textId="77777777" w:rsidR="003F08B8" w:rsidRPr="007A14E2" w:rsidRDefault="003F08B8" w:rsidP="003F08B8">
      <w:pPr>
        <w:rPr>
          <w:szCs w:val="24"/>
        </w:rPr>
      </w:pPr>
      <w:r w:rsidRPr="007A14E2">
        <w:rPr>
          <w:szCs w:val="24"/>
        </w:rPr>
        <w:t>This Technical Report uses the following terms defined elsewhere:</w:t>
      </w:r>
    </w:p>
    <w:p w14:paraId="3BB9BEE3" w14:textId="77777777" w:rsidR="003F08B8" w:rsidRPr="007A14E2" w:rsidRDefault="003F08B8" w:rsidP="003F08B8">
      <w:pPr>
        <w:rPr>
          <w:szCs w:val="24"/>
        </w:rPr>
      </w:pPr>
      <w:r w:rsidRPr="007A14E2">
        <w:rPr>
          <w:bCs/>
          <w:szCs w:val="24"/>
        </w:rPr>
        <w:t>None.</w:t>
      </w:r>
    </w:p>
    <w:p w14:paraId="5FDCE25B" w14:textId="77777777" w:rsidR="003F08B8" w:rsidRPr="007A14E2" w:rsidRDefault="00F63457" w:rsidP="00C71E72">
      <w:pPr>
        <w:pStyle w:val="Heading2"/>
      </w:pPr>
      <w:bookmarkStart w:id="24" w:name="_Toc401158822"/>
      <w:bookmarkStart w:id="25" w:name="_Toc401159827"/>
      <w:bookmarkStart w:id="26" w:name="_Toc8384781"/>
      <w:bookmarkStart w:id="27" w:name="_Toc8394988"/>
      <w:bookmarkStart w:id="28" w:name="_Toc17730760"/>
      <w:r w:rsidRPr="007A14E2">
        <w:t>3.2</w:t>
      </w:r>
      <w:r w:rsidRPr="007A14E2">
        <w:tab/>
      </w:r>
      <w:r w:rsidR="003F08B8" w:rsidRPr="007A14E2">
        <w:t>Terms defined here</w:t>
      </w:r>
      <w:bookmarkEnd w:id="24"/>
      <w:bookmarkEnd w:id="25"/>
      <w:bookmarkEnd w:id="26"/>
      <w:bookmarkEnd w:id="27"/>
      <w:bookmarkEnd w:id="28"/>
    </w:p>
    <w:p w14:paraId="37E4995F" w14:textId="77777777" w:rsidR="003F08B8" w:rsidRPr="007A14E2" w:rsidRDefault="003F08B8" w:rsidP="003F08B8">
      <w:pPr>
        <w:rPr>
          <w:szCs w:val="24"/>
        </w:rPr>
      </w:pPr>
      <w:r w:rsidRPr="007A14E2">
        <w:rPr>
          <w:szCs w:val="24"/>
        </w:rPr>
        <w:t>This Technical Report defines the following terms:</w:t>
      </w:r>
    </w:p>
    <w:p w14:paraId="57DCA2F5" w14:textId="77777777" w:rsidR="003F08B8" w:rsidRPr="007A14E2" w:rsidRDefault="003F08B8" w:rsidP="003F08B8">
      <w:pPr>
        <w:rPr>
          <w:szCs w:val="24"/>
        </w:rPr>
      </w:pPr>
      <w:r w:rsidRPr="007A14E2">
        <w:rPr>
          <w:bCs/>
          <w:szCs w:val="24"/>
        </w:rPr>
        <w:t>None.</w:t>
      </w:r>
    </w:p>
    <w:p w14:paraId="46647BDA" w14:textId="0211AFDE" w:rsidR="003F08B8" w:rsidRPr="007A14E2" w:rsidRDefault="00C71E72" w:rsidP="003F08B8">
      <w:pPr>
        <w:pStyle w:val="Heading1"/>
        <w:rPr>
          <w:szCs w:val="24"/>
          <w:lang w:bidi="ar-DZ"/>
        </w:rPr>
      </w:pPr>
      <w:bookmarkStart w:id="29" w:name="_Toc401158823"/>
      <w:bookmarkStart w:id="30" w:name="_Toc401159828"/>
      <w:bookmarkStart w:id="31" w:name="_Toc8384782"/>
      <w:bookmarkStart w:id="32" w:name="_Toc8394989"/>
      <w:bookmarkStart w:id="33" w:name="_Toc17730761"/>
      <w:r w:rsidRPr="007A14E2">
        <w:rPr>
          <w:szCs w:val="24"/>
          <w:lang w:bidi="ar-DZ"/>
        </w:rPr>
        <w:lastRenderedPageBreak/>
        <w:t>4</w:t>
      </w:r>
      <w:r w:rsidRPr="007A14E2">
        <w:rPr>
          <w:szCs w:val="24"/>
          <w:lang w:bidi="ar-DZ"/>
        </w:rPr>
        <w:tab/>
      </w:r>
      <w:r w:rsidR="003F08B8" w:rsidRPr="007A14E2">
        <w:rPr>
          <w:szCs w:val="24"/>
          <w:lang w:bidi="ar-DZ"/>
        </w:rPr>
        <w:t>Abbreviations</w:t>
      </w:r>
      <w:bookmarkEnd w:id="29"/>
      <w:bookmarkEnd w:id="30"/>
      <w:bookmarkEnd w:id="31"/>
      <w:bookmarkEnd w:id="32"/>
      <w:bookmarkEnd w:id="33"/>
    </w:p>
    <w:p w14:paraId="17F034C9" w14:textId="0BF7E452" w:rsidR="008A4511" w:rsidRPr="007A14E2" w:rsidRDefault="008A4511" w:rsidP="00C71E72">
      <w:pPr>
        <w:tabs>
          <w:tab w:val="clear" w:pos="794"/>
          <w:tab w:val="left" w:pos="1276"/>
        </w:tabs>
        <w:rPr>
          <w:rFonts w:eastAsia="Malgun Gothic"/>
        </w:rPr>
      </w:pPr>
      <w:r w:rsidRPr="007A14E2">
        <w:rPr>
          <w:rFonts w:eastAsia="Malgun Gothic"/>
        </w:rPr>
        <w:t>ACH</w:t>
      </w:r>
      <w:r w:rsidRPr="007A14E2">
        <w:rPr>
          <w:rFonts w:eastAsia="Malgun Gothic"/>
        </w:rPr>
        <w:tab/>
        <w:t>Automated Clearing House</w:t>
      </w:r>
    </w:p>
    <w:p w14:paraId="7525CDA5" w14:textId="3FFEDADB" w:rsidR="008A4511" w:rsidRPr="007A14E2" w:rsidRDefault="008A4511" w:rsidP="00C71E72">
      <w:pPr>
        <w:tabs>
          <w:tab w:val="clear" w:pos="794"/>
          <w:tab w:val="left" w:pos="1276"/>
        </w:tabs>
        <w:rPr>
          <w:rFonts w:eastAsia="Malgun Gothic"/>
        </w:rPr>
      </w:pPr>
      <w:r w:rsidRPr="007A14E2">
        <w:rPr>
          <w:rFonts w:eastAsia="Malgun Gothic"/>
        </w:rPr>
        <w:t>AML</w:t>
      </w:r>
      <w:r w:rsidRPr="007A14E2">
        <w:rPr>
          <w:rFonts w:eastAsia="Malgun Gothic"/>
        </w:rPr>
        <w:tab/>
        <w:t>Anti-money Laundering</w:t>
      </w:r>
    </w:p>
    <w:p w14:paraId="464F2FD9" w14:textId="2F1EDED3" w:rsidR="008A4511" w:rsidRPr="007A14E2" w:rsidRDefault="008A4511" w:rsidP="00C71E72">
      <w:pPr>
        <w:tabs>
          <w:tab w:val="clear" w:pos="794"/>
          <w:tab w:val="left" w:pos="1276"/>
        </w:tabs>
        <w:rPr>
          <w:rFonts w:eastAsia="Malgun Gothic"/>
        </w:rPr>
      </w:pPr>
      <w:r w:rsidRPr="007A14E2">
        <w:rPr>
          <w:rFonts w:eastAsia="Malgun Gothic"/>
        </w:rPr>
        <w:t>ATM</w:t>
      </w:r>
      <w:r w:rsidRPr="007A14E2">
        <w:rPr>
          <w:rFonts w:eastAsia="Malgun Gothic"/>
        </w:rPr>
        <w:tab/>
        <w:t>Automated Teller Machine</w:t>
      </w:r>
    </w:p>
    <w:p w14:paraId="66EB69E0" w14:textId="4E570145" w:rsidR="008A4511" w:rsidRPr="007A14E2" w:rsidRDefault="008A4511" w:rsidP="00C71E72">
      <w:pPr>
        <w:tabs>
          <w:tab w:val="clear" w:pos="794"/>
          <w:tab w:val="left" w:pos="1276"/>
        </w:tabs>
        <w:rPr>
          <w:rFonts w:eastAsia="Malgun Gothic"/>
        </w:rPr>
      </w:pPr>
      <w:r w:rsidRPr="007A14E2">
        <w:rPr>
          <w:rFonts w:eastAsia="Malgun Gothic"/>
        </w:rPr>
        <w:t>CFT</w:t>
      </w:r>
      <w:r w:rsidRPr="007A14E2">
        <w:rPr>
          <w:rFonts w:eastAsia="Malgun Gothic"/>
        </w:rPr>
        <w:tab/>
        <w:t>Combating the Financing of Terrorism</w:t>
      </w:r>
    </w:p>
    <w:p w14:paraId="7049B29A" w14:textId="7AD88BE1" w:rsidR="008A4511" w:rsidRPr="007A14E2" w:rsidRDefault="008A4511" w:rsidP="00C71E72">
      <w:pPr>
        <w:tabs>
          <w:tab w:val="clear" w:pos="794"/>
          <w:tab w:val="left" w:pos="1276"/>
        </w:tabs>
        <w:rPr>
          <w:rFonts w:eastAsia="Malgun Gothic"/>
        </w:rPr>
      </w:pPr>
      <w:r w:rsidRPr="007A14E2">
        <w:rPr>
          <w:rFonts w:eastAsia="Malgun Gothic"/>
        </w:rPr>
        <w:t>CPMI</w:t>
      </w:r>
      <w:r w:rsidRPr="007A14E2">
        <w:rPr>
          <w:rFonts w:eastAsia="Malgun Gothic"/>
        </w:rPr>
        <w:tab/>
        <w:t>Committee on Payments and Market Infrastructures</w:t>
      </w:r>
    </w:p>
    <w:p w14:paraId="5655C44A" w14:textId="607B3271" w:rsidR="008A4511" w:rsidRPr="007A14E2" w:rsidRDefault="008A4511" w:rsidP="00C71E72">
      <w:pPr>
        <w:tabs>
          <w:tab w:val="clear" w:pos="794"/>
          <w:tab w:val="left" w:pos="1276"/>
        </w:tabs>
        <w:rPr>
          <w:rFonts w:eastAsia="Malgun Gothic"/>
        </w:rPr>
      </w:pPr>
      <w:r w:rsidRPr="007A14E2">
        <w:rPr>
          <w:rFonts w:eastAsia="Malgun Gothic"/>
        </w:rPr>
        <w:t>DFS</w:t>
      </w:r>
      <w:r w:rsidRPr="007A14E2">
        <w:rPr>
          <w:rFonts w:eastAsia="Malgun Gothic"/>
        </w:rPr>
        <w:tab/>
        <w:t>Digital Financial Services</w:t>
      </w:r>
    </w:p>
    <w:p w14:paraId="33583EF3" w14:textId="714B150E" w:rsidR="008A4511" w:rsidRPr="007A14E2" w:rsidRDefault="008A4511" w:rsidP="00C71E72">
      <w:pPr>
        <w:tabs>
          <w:tab w:val="clear" w:pos="794"/>
          <w:tab w:val="left" w:pos="1276"/>
        </w:tabs>
        <w:rPr>
          <w:rFonts w:eastAsia="Malgun Gothic"/>
        </w:rPr>
      </w:pPr>
      <w:r w:rsidRPr="007A14E2">
        <w:rPr>
          <w:rFonts w:eastAsia="Malgun Gothic"/>
        </w:rPr>
        <w:t>IOSCO</w:t>
      </w:r>
      <w:r w:rsidRPr="007A14E2">
        <w:rPr>
          <w:rFonts w:eastAsia="Malgun Gothic"/>
        </w:rPr>
        <w:tab/>
        <w:t>International Organization of Securities Commissions</w:t>
      </w:r>
    </w:p>
    <w:p w14:paraId="5B73B19D" w14:textId="6873AB86" w:rsidR="008A4511" w:rsidRPr="007A14E2" w:rsidRDefault="008A4511" w:rsidP="00C71E72">
      <w:pPr>
        <w:tabs>
          <w:tab w:val="clear" w:pos="794"/>
          <w:tab w:val="left" w:pos="1276"/>
        </w:tabs>
        <w:rPr>
          <w:rFonts w:eastAsia="Malgun Gothic"/>
        </w:rPr>
      </w:pPr>
      <w:r w:rsidRPr="007A14E2">
        <w:rPr>
          <w:rFonts w:eastAsia="Malgun Gothic"/>
        </w:rPr>
        <w:t>ITU</w:t>
      </w:r>
      <w:r w:rsidRPr="007A14E2">
        <w:rPr>
          <w:rFonts w:eastAsia="Malgun Gothic"/>
        </w:rPr>
        <w:tab/>
        <w:t>International Telecommunication Union</w:t>
      </w:r>
    </w:p>
    <w:p w14:paraId="0071BCDD" w14:textId="3888342F" w:rsidR="008A4511" w:rsidRPr="007A14E2" w:rsidRDefault="008A4511" w:rsidP="00C71E72">
      <w:pPr>
        <w:tabs>
          <w:tab w:val="clear" w:pos="794"/>
          <w:tab w:val="left" w:pos="1276"/>
        </w:tabs>
        <w:rPr>
          <w:rFonts w:eastAsia="Malgun Gothic"/>
        </w:rPr>
      </w:pPr>
      <w:r w:rsidRPr="007A14E2">
        <w:rPr>
          <w:rFonts w:eastAsia="Malgun Gothic"/>
        </w:rPr>
        <w:t>MNO</w:t>
      </w:r>
      <w:r w:rsidRPr="007A14E2">
        <w:rPr>
          <w:rFonts w:eastAsia="Malgun Gothic"/>
        </w:rPr>
        <w:tab/>
        <w:t>Mobile Network Operator</w:t>
      </w:r>
    </w:p>
    <w:p w14:paraId="2667222F" w14:textId="5C46B641" w:rsidR="008A4511" w:rsidRPr="007A14E2" w:rsidRDefault="008A4511" w:rsidP="00C71E72">
      <w:pPr>
        <w:tabs>
          <w:tab w:val="clear" w:pos="794"/>
          <w:tab w:val="left" w:pos="1276"/>
        </w:tabs>
        <w:rPr>
          <w:rFonts w:eastAsia="Malgun Gothic"/>
        </w:rPr>
      </w:pPr>
      <w:r w:rsidRPr="007A14E2">
        <w:rPr>
          <w:rFonts w:eastAsia="Malgun Gothic"/>
        </w:rPr>
        <w:t>NBFI</w:t>
      </w:r>
      <w:r w:rsidRPr="007A14E2">
        <w:rPr>
          <w:rFonts w:eastAsia="Malgun Gothic"/>
        </w:rPr>
        <w:tab/>
        <w:t>Non-bank Financial Institution</w:t>
      </w:r>
    </w:p>
    <w:p w14:paraId="5D972BE2" w14:textId="1FCACAE2" w:rsidR="008A4511" w:rsidRPr="007A14E2" w:rsidRDefault="008A4511" w:rsidP="00C71E72">
      <w:pPr>
        <w:tabs>
          <w:tab w:val="clear" w:pos="794"/>
          <w:tab w:val="left" w:pos="1276"/>
        </w:tabs>
        <w:rPr>
          <w:rFonts w:eastAsia="Malgun Gothic"/>
        </w:rPr>
      </w:pPr>
      <w:r w:rsidRPr="007A14E2">
        <w:rPr>
          <w:rFonts w:eastAsia="Malgun Gothic"/>
        </w:rPr>
        <w:t>NPS</w:t>
      </w:r>
      <w:r w:rsidRPr="007A14E2">
        <w:rPr>
          <w:rFonts w:eastAsia="Malgun Gothic"/>
        </w:rPr>
        <w:tab/>
        <w:t>National Payments System</w:t>
      </w:r>
    </w:p>
    <w:p w14:paraId="0B7B5509" w14:textId="7B94867A" w:rsidR="008A4511" w:rsidRPr="007A14E2" w:rsidRDefault="008A4511" w:rsidP="00C71E72">
      <w:pPr>
        <w:tabs>
          <w:tab w:val="clear" w:pos="794"/>
          <w:tab w:val="left" w:pos="1276"/>
        </w:tabs>
        <w:rPr>
          <w:rFonts w:eastAsia="Malgun Gothic"/>
        </w:rPr>
      </w:pPr>
      <w:r w:rsidRPr="007A14E2">
        <w:rPr>
          <w:rFonts w:eastAsia="Malgun Gothic"/>
        </w:rPr>
        <w:t>PFMIs</w:t>
      </w:r>
      <w:r w:rsidRPr="007A14E2">
        <w:rPr>
          <w:rFonts w:eastAsia="Malgun Gothic"/>
        </w:rPr>
        <w:tab/>
        <w:t>Principles for Financial Market Infrastructures</w:t>
      </w:r>
    </w:p>
    <w:p w14:paraId="1579E07C" w14:textId="41D60FD3" w:rsidR="008A4511" w:rsidRPr="007A14E2" w:rsidRDefault="008A4511" w:rsidP="00C71E72">
      <w:pPr>
        <w:tabs>
          <w:tab w:val="clear" w:pos="794"/>
          <w:tab w:val="left" w:pos="1276"/>
        </w:tabs>
        <w:rPr>
          <w:rFonts w:eastAsia="Malgun Gothic"/>
        </w:rPr>
      </w:pPr>
      <w:r w:rsidRPr="007A14E2">
        <w:rPr>
          <w:rFonts w:eastAsia="Malgun Gothic"/>
        </w:rPr>
        <w:t>PIN</w:t>
      </w:r>
      <w:r w:rsidRPr="007A14E2">
        <w:rPr>
          <w:rFonts w:eastAsia="Malgun Gothic"/>
        </w:rPr>
        <w:tab/>
        <w:t>Personal Identification Number</w:t>
      </w:r>
    </w:p>
    <w:p w14:paraId="7FA5C0F2" w14:textId="4C29F5AE" w:rsidR="008A4511" w:rsidRPr="007A14E2" w:rsidRDefault="008A4511" w:rsidP="00C71E72">
      <w:pPr>
        <w:tabs>
          <w:tab w:val="clear" w:pos="794"/>
          <w:tab w:val="left" w:pos="1276"/>
        </w:tabs>
        <w:rPr>
          <w:rFonts w:eastAsia="Malgun Gothic"/>
        </w:rPr>
      </w:pPr>
      <w:r w:rsidRPr="007A14E2">
        <w:rPr>
          <w:rFonts w:eastAsia="Malgun Gothic"/>
        </w:rPr>
        <w:t>POS</w:t>
      </w:r>
      <w:r w:rsidRPr="007A14E2">
        <w:rPr>
          <w:rFonts w:eastAsia="Malgun Gothic"/>
        </w:rPr>
        <w:tab/>
        <w:t>Point of Sale</w:t>
      </w:r>
    </w:p>
    <w:p w14:paraId="14E80432" w14:textId="00C300DC" w:rsidR="008A4511" w:rsidRPr="007A14E2" w:rsidRDefault="008A4511" w:rsidP="00C71E72">
      <w:pPr>
        <w:tabs>
          <w:tab w:val="clear" w:pos="794"/>
          <w:tab w:val="left" w:pos="1276"/>
        </w:tabs>
        <w:rPr>
          <w:rFonts w:eastAsia="Malgun Gothic"/>
        </w:rPr>
      </w:pPr>
      <w:r w:rsidRPr="007A14E2">
        <w:rPr>
          <w:rFonts w:eastAsia="Malgun Gothic"/>
        </w:rPr>
        <w:t>PSO</w:t>
      </w:r>
      <w:r w:rsidRPr="007A14E2">
        <w:rPr>
          <w:rFonts w:eastAsia="Malgun Gothic"/>
        </w:rPr>
        <w:tab/>
        <w:t>Payment System Operator</w:t>
      </w:r>
    </w:p>
    <w:p w14:paraId="23F5A471" w14:textId="5404B9EF" w:rsidR="008A4511" w:rsidRPr="007A14E2" w:rsidRDefault="008A4511" w:rsidP="00C71E72">
      <w:pPr>
        <w:tabs>
          <w:tab w:val="clear" w:pos="794"/>
          <w:tab w:val="left" w:pos="1276"/>
        </w:tabs>
        <w:rPr>
          <w:rFonts w:eastAsia="Malgun Gothic"/>
        </w:rPr>
      </w:pPr>
      <w:r w:rsidRPr="007A14E2">
        <w:rPr>
          <w:rFonts w:eastAsia="Malgun Gothic"/>
        </w:rPr>
        <w:t>PSP</w:t>
      </w:r>
      <w:r w:rsidRPr="007A14E2">
        <w:rPr>
          <w:rFonts w:eastAsia="Malgun Gothic"/>
        </w:rPr>
        <w:tab/>
        <w:t>Payment Service Provider</w:t>
      </w:r>
    </w:p>
    <w:p w14:paraId="21B25852" w14:textId="545DE0A3" w:rsidR="008A4511" w:rsidRPr="007A14E2" w:rsidRDefault="008A4511" w:rsidP="00C71E72">
      <w:pPr>
        <w:tabs>
          <w:tab w:val="clear" w:pos="794"/>
          <w:tab w:val="left" w:pos="1276"/>
        </w:tabs>
        <w:rPr>
          <w:rFonts w:eastAsia="Malgun Gothic"/>
        </w:rPr>
      </w:pPr>
      <w:r w:rsidRPr="007A14E2">
        <w:rPr>
          <w:rFonts w:eastAsia="Malgun Gothic"/>
        </w:rPr>
        <w:t>RSP</w:t>
      </w:r>
      <w:r w:rsidRPr="007A14E2">
        <w:rPr>
          <w:rFonts w:eastAsia="Malgun Gothic"/>
        </w:rPr>
        <w:tab/>
        <w:t>Remittance Service Provider</w:t>
      </w:r>
    </w:p>
    <w:p w14:paraId="51F31063" w14:textId="307FB837" w:rsidR="008A4511" w:rsidRPr="007A14E2" w:rsidRDefault="008A4511" w:rsidP="00C71E72">
      <w:pPr>
        <w:tabs>
          <w:tab w:val="clear" w:pos="794"/>
          <w:tab w:val="left" w:pos="1276"/>
        </w:tabs>
        <w:rPr>
          <w:highlight w:val="yellow"/>
        </w:rPr>
      </w:pPr>
      <w:r w:rsidRPr="007A14E2">
        <w:rPr>
          <w:rFonts w:eastAsia="Malgun Gothic"/>
        </w:rPr>
        <w:t>RTGS</w:t>
      </w:r>
      <w:r w:rsidRPr="007A14E2">
        <w:rPr>
          <w:rFonts w:eastAsia="Malgun Gothic"/>
        </w:rPr>
        <w:tab/>
        <w:t>Real Time Gross Settlement</w:t>
      </w:r>
    </w:p>
    <w:p w14:paraId="74C8948E" w14:textId="4D409A37" w:rsidR="00467172" w:rsidRPr="007A14E2" w:rsidRDefault="00C71E72" w:rsidP="008A4511">
      <w:pPr>
        <w:pStyle w:val="Heading1"/>
        <w:rPr>
          <w:szCs w:val="24"/>
          <w:lang w:bidi="ar-DZ"/>
        </w:rPr>
      </w:pPr>
      <w:bookmarkStart w:id="34" w:name="_Toc8394990"/>
      <w:bookmarkStart w:id="35" w:name="_Toc17730762"/>
      <w:r w:rsidRPr="007A14E2">
        <w:rPr>
          <w:szCs w:val="24"/>
          <w:lang w:bidi="ar-DZ"/>
        </w:rPr>
        <w:t>5</w:t>
      </w:r>
      <w:r w:rsidRPr="007A14E2">
        <w:rPr>
          <w:szCs w:val="24"/>
          <w:lang w:bidi="ar-DZ"/>
        </w:rPr>
        <w:tab/>
      </w:r>
      <w:r w:rsidR="00C8520A" w:rsidRPr="007A14E2">
        <w:rPr>
          <w:szCs w:val="24"/>
          <w:lang w:bidi="ar-DZ"/>
        </w:rPr>
        <w:t>Introduction</w:t>
      </w:r>
      <w:r w:rsidR="00004356" w:rsidRPr="007A14E2">
        <w:rPr>
          <w:szCs w:val="24"/>
          <w:lang w:bidi="ar-DZ"/>
        </w:rPr>
        <w:t xml:space="preserve"> and </w:t>
      </w:r>
      <w:r w:rsidR="0095214F" w:rsidRPr="007A14E2">
        <w:rPr>
          <w:szCs w:val="24"/>
          <w:lang w:bidi="ar-DZ"/>
        </w:rPr>
        <w:t>b</w:t>
      </w:r>
      <w:r w:rsidR="00004356" w:rsidRPr="007A14E2">
        <w:rPr>
          <w:szCs w:val="24"/>
          <w:lang w:bidi="ar-DZ"/>
        </w:rPr>
        <w:t>ackground</w:t>
      </w:r>
      <w:bookmarkEnd w:id="34"/>
      <w:bookmarkEnd w:id="35"/>
    </w:p>
    <w:p w14:paraId="4DF80FAF" w14:textId="77777777" w:rsidR="00742F32" w:rsidRPr="007A14E2" w:rsidRDefault="00742F32" w:rsidP="00742F32">
      <w:r w:rsidRPr="007A14E2">
        <w:t xml:space="preserve">Until relatively recently, non-cash payment services were essentially – and in some countries, exclusively – provided by commercial banks. The role of banks as retail payment service providers was historically linked to another of their key functions, which is </w:t>
      </w:r>
      <w:proofErr w:type="gramStart"/>
      <w:r w:rsidRPr="007A14E2">
        <w:t>deposit-taking</w:t>
      </w:r>
      <w:proofErr w:type="gramEnd"/>
      <w:r w:rsidRPr="007A14E2">
        <w:t xml:space="preserve">. This </w:t>
      </w:r>
      <w:proofErr w:type="gramStart"/>
      <w:r w:rsidRPr="007A14E2">
        <w:t>is:</w:t>
      </w:r>
      <w:proofErr w:type="gramEnd"/>
      <w:r w:rsidRPr="007A14E2">
        <w:t xml:space="preserve"> banks provide their depositors a gateway for making payments to other depositors in the same bank or in another bank. For this purpose, banks (including the central bank) developed payment systems, and traditionally were the sole direct</w:t>
      </w:r>
      <w:r w:rsidR="009F4B19" w:rsidRPr="007A14E2">
        <w:t xml:space="preserve"> participants in most of these.</w:t>
      </w:r>
    </w:p>
    <w:p w14:paraId="407E8F68" w14:textId="77777777" w:rsidR="00742F32" w:rsidRPr="007A14E2" w:rsidRDefault="00742F32" w:rsidP="00742F32">
      <w:r w:rsidRPr="007A14E2">
        <w:t>However, the payments landscape has changed significantly in line with evolving payment needs, product, process and technical innovations, as well as other structural developments. In many countries, financial inclusion has been a major driver of change in the retail payments arena.</w:t>
      </w:r>
    </w:p>
    <w:p w14:paraId="525052A9" w14:textId="77777777" w:rsidR="00742F32" w:rsidRPr="007A14E2" w:rsidRDefault="00742F32" w:rsidP="00742F32">
      <w:r w:rsidRPr="007A14E2">
        <w:t>Development of digital financial services (and in general the shift from cash and paper-based instruments to electronic) and the expansion of the networks of service delivery/customer service points to bring financial services closer to where people live and transact are regarded as critical tools for achieving financial inclusion objectives, as well as overall payments efficiency objectives. Interoperability of the various payment services offered is another key tool to enhance the proximity of financial services and to increase ov</w:t>
      </w:r>
      <w:r w:rsidR="009F4B19" w:rsidRPr="007A14E2">
        <w:t>erall convenience to end-users.</w:t>
      </w:r>
    </w:p>
    <w:p w14:paraId="6E7FFAFA" w14:textId="77777777" w:rsidR="00742F32" w:rsidRPr="007A14E2" w:rsidRDefault="00742F32" w:rsidP="00742F32">
      <w:r w:rsidRPr="007A14E2">
        <w:t>In this context, non-banks are having an increasing role in payments in general, and in retail payments in particular, including for the continued development of digital financial services.</w:t>
      </w:r>
    </w:p>
    <w:p w14:paraId="3ECC4401" w14:textId="77777777" w:rsidR="00742F32" w:rsidRPr="007A14E2" w:rsidRDefault="00742F32" w:rsidP="00742F32">
      <w:r w:rsidRPr="007A14E2">
        <w:lastRenderedPageBreak/>
        <w:t>Despite this increasing role, many non-banks that provide payment services are still not accepted as direct participants</w:t>
      </w:r>
      <w:r w:rsidRPr="007A14E2">
        <w:rPr>
          <w:rStyle w:val="FootnoteReference"/>
          <w:rFonts w:cs="Arial"/>
          <w:szCs w:val="24"/>
        </w:rPr>
        <w:footnoteReference w:id="1"/>
      </w:r>
      <w:r w:rsidRPr="007A14E2">
        <w:t xml:space="preserve"> in many payment infrastructures, </w:t>
      </w:r>
      <w:proofErr w:type="gramStart"/>
      <w:r w:rsidRPr="007A14E2">
        <w:t>either of a retail nature or a</w:t>
      </w:r>
      <w:proofErr w:type="gramEnd"/>
      <w:r w:rsidRPr="007A14E2">
        <w:t xml:space="preserve"> large-value nature. This often results in fragmentation of payment services and/or of payment service providers, which leads to their limited or null</w:t>
      </w:r>
      <w:r w:rsidR="009F4B19" w:rsidRPr="007A14E2">
        <w:t xml:space="preserve"> interoperability.</w:t>
      </w:r>
    </w:p>
    <w:p w14:paraId="3D59A584" w14:textId="77777777" w:rsidR="00742F32" w:rsidRPr="007A14E2" w:rsidRDefault="00742F32" w:rsidP="00742F32">
      <w:r w:rsidRPr="007A14E2">
        <w:t xml:space="preserve">In addition, being able to make effective use of key payment infrastructures is an important element underlying a competitive payments market. Payment systems generally benefit largely from economies of scale and network effects, and for this reason in any particular </w:t>
      </w:r>
      <w:proofErr w:type="gramStart"/>
      <w:r w:rsidRPr="007A14E2">
        <w:t>market</w:t>
      </w:r>
      <w:proofErr w:type="gramEnd"/>
      <w:r w:rsidRPr="007A14E2">
        <w:t xml:space="preserve"> there is a very small number of payment systems. Hence, not being able to participate in a key payments infrastructure may significantly affect the competitive balance among market participants. </w:t>
      </w:r>
    </w:p>
    <w:p w14:paraId="332F99E9" w14:textId="3FFCEBE8" w:rsidR="00742F32" w:rsidRPr="007A14E2" w:rsidRDefault="00742F32" w:rsidP="00742F32">
      <w:r w:rsidRPr="007A14E2">
        <w:t xml:space="preserve">From a financial inclusion perspective, in their 2016 report </w:t>
      </w:r>
      <w:r w:rsidR="008548F2" w:rsidRPr="007A14E2">
        <w:t>"</w:t>
      </w:r>
      <w:r w:rsidRPr="007A14E2">
        <w:t>Payment Aspects of Financial Inclusion</w:t>
      </w:r>
      <w:r w:rsidR="008548F2" w:rsidRPr="007A14E2">
        <w:t>"</w:t>
      </w:r>
      <w:r w:rsidRPr="007A14E2">
        <w:t xml:space="preserve"> the Committee on Payments and Market Infrastructures (CPMI) and the World Bank Group have described the issue at stake as follows:</w:t>
      </w:r>
    </w:p>
    <w:p w14:paraId="44305B22" w14:textId="55FA018F" w:rsidR="00742F32" w:rsidRPr="007A14E2" w:rsidRDefault="008548F2" w:rsidP="00742F32">
      <w:pPr>
        <w:rPr>
          <w:rFonts w:cs="Arial"/>
          <w:i/>
          <w:iCs/>
          <w:szCs w:val="24"/>
        </w:rPr>
      </w:pPr>
      <w:r w:rsidRPr="007A14E2">
        <w:t>"</w:t>
      </w:r>
      <w:r w:rsidR="00742F32" w:rsidRPr="007A14E2">
        <w:rPr>
          <w:i/>
          <w:iCs/>
        </w:rPr>
        <w:t xml:space="preserve">Restricted access to financial and ICT infrastructures, especially of new or non-traditional service providers, tends to constrain the supply of payment services to users. Often incumbents with a dominant position in one infrastructure have the incentive to create barriers for access to new entrants. However, there are some more fundamental challenges to accessing the messaging, clearing and settlement service </w:t>
      </w:r>
      <w:proofErr w:type="gramStart"/>
      <w:r w:rsidR="00742F32" w:rsidRPr="007A14E2">
        <w:rPr>
          <w:i/>
          <w:iCs/>
        </w:rPr>
        <w:t>infrastructures,</w:t>
      </w:r>
      <w:proofErr w:type="gramEnd"/>
      <w:r w:rsidR="00742F32" w:rsidRPr="007A14E2">
        <w:rPr>
          <w:i/>
          <w:iCs/>
        </w:rPr>
        <w:t xml:space="preserve"> including those associated with technical, legal/regulatory and/or financial viability issues (i.e. direct access might be too expensive).</w:t>
      </w:r>
      <w:r w:rsidRPr="007A14E2">
        <w:t>"</w:t>
      </w:r>
    </w:p>
    <w:p w14:paraId="0E24F8E0" w14:textId="77777777" w:rsidR="00742F32" w:rsidRPr="007A14E2" w:rsidRDefault="00742F32" w:rsidP="00742F32">
      <w:r w:rsidRPr="007A14E2">
        <w:t xml:space="preserve">The main purpose of this </w:t>
      </w:r>
      <w:r w:rsidR="009F4B19" w:rsidRPr="007A14E2">
        <w:t xml:space="preserve">Technical Report </w:t>
      </w:r>
      <w:r w:rsidRPr="007A14E2">
        <w:t xml:space="preserve">is therefore to discuss </w:t>
      </w:r>
      <w:proofErr w:type="gramStart"/>
      <w:r w:rsidRPr="007A14E2">
        <w:t>access-to-payment-infrastructures issues around the world, and how these can affect the development of safe, efficient, interoperable and financia</w:t>
      </w:r>
      <w:r w:rsidR="009F4B19" w:rsidRPr="007A14E2">
        <w:t>lly inclusive payment services</w:t>
      </w:r>
      <w:proofErr w:type="gramEnd"/>
      <w:r w:rsidR="009F4B19" w:rsidRPr="007A14E2">
        <w:t>.</w:t>
      </w:r>
    </w:p>
    <w:p w14:paraId="3B6C74D4" w14:textId="77777777" w:rsidR="00742F32" w:rsidRPr="007A14E2" w:rsidRDefault="00742F32" w:rsidP="00E42965">
      <w:r w:rsidRPr="007A14E2">
        <w:t xml:space="preserve">This </w:t>
      </w:r>
      <w:r w:rsidR="009F4B19" w:rsidRPr="007A14E2">
        <w:t>Technical Report</w:t>
      </w:r>
      <w:r w:rsidRPr="007A14E2">
        <w:t xml:space="preserve"> builds on the collective experience of the members of the Interoperability Working Group and the broader Focus Group on Digital Financial Services, convened by the International</w:t>
      </w:r>
      <w:r w:rsidR="009F4B19" w:rsidRPr="007A14E2">
        <w:t xml:space="preserve"> Telecommunication Union (ITU).</w:t>
      </w:r>
    </w:p>
    <w:p w14:paraId="4ACABF7C" w14:textId="6E2B8226" w:rsidR="00742F32" w:rsidRPr="007A14E2" w:rsidRDefault="00742F32" w:rsidP="00742F32">
      <w:pPr>
        <w:rPr>
          <w:lang w:eastAsia="ja-JP" w:bidi="ar-DZ"/>
        </w:rPr>
      </w:pPr>
      <w:proofErr w:type="gramStart"/>
      <w:r w:rsidRPr="007A14E2">
        <w:t xml:space="preserve">The </w:t>
      </w:r>
      <w:r w:rsidR="009F4B19" w:rsidRPr="007A14E2">
        <w:t xml:space="preserve">Technical Report </w:t>
      </w:r>
      <w:r w:rsidRPr="007A14E2">
        <w:t xml:space="preserve">is organized as follows: </w:t>
      </w:r>
      <w:r w:rsidR="00F63D15" w:rsidRPr="007A14E2">
        <w:t>Clause 6</w:t>
      </w:r>
      <w:r w:rsidRPr="007A14E2">
        <w:t xml:space="preserve"> provides a general description of the historical role of banks in </w:t>
      </w:r>
      <w:r w:rsidR="00F63D15" w:rsidRPr="007A14E2">
        <w:t xml:space="preserve">the </w:t>
      </w:r>
      <w:r w:rsidRPr="007A14E2">
        <w:t xml:space="preserve">payment business, and highlights the increasing role of non-banks in this area in recent years; </w:t>
      </w:r>
      <w:r w:rsidR="00F63D15" w:rsidRPr="007A14E2">
        <w:t>clause 7</w:t>
      </w:r>
      <w:r w:rsidRPr="007A14E2">
        <w:t xml:space="preserve"> describes the core interbank payment infrastructures that are observed in most markets around the world, namely real-time gross settlement systems, automated clearinghouses and payment card switches, </w:t>
      </w:r>
      <w:r w:rsidR="00F63D15" w:rsidRPr="007A14E2">
        <w:t xml:space="preserve">and </w:t>
      </w:r>
      <w:r w:rsidRPr="007A14E2">
        <w:t>emphasiz</w:t>
      </w:r>
      <w:r w:rsidR="00F63D15" w:rsidRPr="007A14E2">
        <w:t>es</w:t>
      </w:r>
      <w:r w:rsidRPr="007A14E2">
        <w:t xml:space="preserve"> the important role that these infrastructures play in </w:t>
      </w:r>
      <w:r w:rsidR="00F63D15" w:rsidRPr="007A14E2">
        <w:t>allowing</w:t>
      </w:r>
      <w:r w:rsidRPr="007A14E2">
        <w:t xml:space="preserve"> </w:t>
      </w:r>
      <w:r w:rsidR="00F63D15" w:rsidRPr="007A14E2">
        <w:t>payment service providers (</w:t>
      </w:r>
      <w:r w:rsidRPr="007A14E2">
        <w:t>PSPs</w:t>
      </w:r>
      <w:r w:rsidR="00F63D15" w:rsidRPr="007A14E2">
        <w:t>)</w:t>
      </w:r>
      <w:r w:rsidRPr="007A14E2">
        <w:t xml:space="preserve"> interoperable at different levels; </w:t>
      </w:r>
      <w:r w:rsidR="0007532E" w:rsidRPr="007A14E2">
        <w:t xml:space="preserve">clause 8 describes the types of access to payment infrastructures; </w:t>
      </w:r>
      <w:r w:rsidR="00F63D15" w:rsidRPr="007A14E2">
        <w:t xml:space="preserve">clause 9 </w:t>
      </w:r>
      <w:r w:rsidRPr="007A14E2">
        <w:t xml:space="preserve">discusses legal and regulatory aspects related to access to payment infrastructures, in particular the various types of access criteria that are typically included in the rules or regulations of those systems; </w:t>
      </w:r>
      <w:r w:rsidR="00F63D15" w:rsidRPr="007A14E2">
        <w:t>clause</w:t>
      </w:r>
      <w:r w:rsidRPr="007A14E2">
        <w:t xml:space="preserve"> </w:t>
      </w:r>
      <w:r w:rsidR="00F63D15" w:rsidRPr="007A14E2">
        <w:t>10</w:t>
      </w:r>
      <w:r w:rsidRPr="007A14E2">
        <w:t xml:space="preserve"> then presents and </w:t>
      </w:r>
      <w:r w:rsidR="00F63D15" w:rsidRPr="007A14E2">
        <w:t>analyses</w:t>
      </w:r>
      <w:r w:rsidRPr="007A14E2">
        <w:t xml:space="preserve"> global data on access-to-payment infrastructures issues.</w:t>
      </w:r>
      <w:proofErr w:type="gramEnd"/>
      <w:r w:rsidRPr="007A14E2">
        <w:t xml:space="preserve"> The main body of the </w:t>
      </w:r>
      <w:r w:rsidR="00D209B0" w:rsidRPr="007A14E2">
        <w:t xml:space="preserve">Technical Report </w:t>
      </w:r>
      <w:r w:rsidRPr="007A14E2">
        <w:t xml:space="preserve">ends with </w:t>
      </w:r>
      <w:r w:rsidR="00F63D15" w:rsidRPr="007A14E2">
        <w:t xml:space="preserve">clause </w:t>
      </w:r>
      <w:r w:rsidR="0007532E" w:rsidRPr="007A14E2">
        <w:t>11</w:t>
      </w:r>
      <w:r w:rsidR="00F63D15" w:rsidRPr="007A14E2">
        <w:t xml:space="preserve">, which </w:t>
      </w:r>
      <w:r w:rsidRPr="007A14E2">
        <w:t>discusse</w:t>
      </w:r>
      <w:r w:rsidR="00F63D15" w:rsidRPr="007A14E2">
        <w:t>s</w:t>
      </w:r>
      <w:r w:rsidRPr="007A14E2">
        <w:t xml:space="preserve"> key insights and conclusions. A number of specific case stud</w:t>
      </w:r>
      <w:r w:rsidR="0007532E" w:rsidRPr="007A14E2">
        <w:t xml:space="preserve">ies </w:t>
      </w:r>
      <w:proofErr w:type="gramStart"/>
      <w:r w:rsidR="0007532E" w:rsidRPr="007A14E2">
        <w:t>are then presented</w:t>
      </w:r>
      <w:proofErr w:type="gramEnd"/>
      <w:r w:rsidR="0007532E" w:rsidRPr="007A14E2">
        <w:t xml:space="preserve"> in Annex </w:t>
      </w:r>
      <w:r w:rsidRPr="007A14E2">
        <w:t>I.</w:t>
      </w:r>
    </w:p>
    <w:p w14:paraId="5F20C30C" w14:textId="3D823FBB" w:rsidR="00742F32" w:rsidRPr="007A14E2" w:rsidRDefault="00C71E72" w:rsidP="00742F32">
      <w:pPr>
        <w:pStyle w:val="Heading1"/>
      </w:pPr>
      <w:bookmarkStart w:id="36" w:name="_Toc8394991"/>
      <w:bookmarkStart w:id="37" w:name="_Toc17730763"/>
      <w:bookmarkStart w:id="38" w:name="_Toc401158819"/>
      <w:r w:rsidRPr="007A14E2">
        <w:t>6</w:t>
      </w:r>
      <w:r w:rsidRPr="007A14E2">
        <w:tab/>
      </w:r>
      <w:r w:rsidR="00742F32" w:rsidRPr="007A14E2">
        <w:t>Involvement of banks and non-banks in the payments business</w:t>
      </w:r>
      <w:bookmarkEnd w:id="36"/>
      <w:bookmarkEnd w:id="37"/>
    </w:p>
    <w:p w14:paraId="06E79CBF" w14:textId="2C50CFF0" w:rsidR="00742F32" w:rsidRPr="007A14E2" w:rsidRDefault="00742F32" w:rsidP="00742F32">
      <w:r w:rsidRPr="007A14E2">
        <w:t xml:space="preserve">Banks have been the </w:t>
      </w:r>
      <w:r w:rsidR="008548F2" w:rsidRPr="007A14E2">
        <w:t>"</w:t>
      </w:r>
      <w:r w:rsidRPr="007A14E2">
        <w:t>traditional</w:t>
      </w:r>
      <w:r w:rsidR="008548F2" w:rsidRPr="007A14E2">
        <w:t>"</w:t>
      </w:r>
      <w:r w:rsidRPr="007A14E2">
        <w:t xml:space="preserve"> retail payment service providers, largely because through one of their core functions</w:t>
      </w:r>
      <w:r w:rsidR="0007532E" w:rsidRPr="007A14E2">
        <w:t>,</w:t>
      </w:r>
      <w:r w:rsidRPr="007A14E2">
        <w:t xml:space="preserve"> which is </w:t>
      </w:r>
      <w:proofErr w:type="gramStart"/>
      <w:r w:rsidRPr="007A14E2">
        <w:t>deposit-taking</w:t>
      </w:r>
      <w:proofErr w:type="gramEnd"/>
      <w:r w:rsidRPr="007A14E2">
        <w:t>, they provide their depositors a gateway for making payments to other depositors in the same bank or in another bank. Nevertheless, banks also provide certain payment services to individuals and businesses that do not hold deposits with them. Examples of the latter include bill and other service payments made in cash, or acceptance of payments made with payments cards issued by another entity.</w:t>
      </w:r>
    </w:p>
    <w:p w14:paraId="7E7508C0" w14:textId="57DA835B" w:rsidR="00742F32" w:rsidRPr="007A14E2" w:rsidRDefault="00742F32" w:rsidP="00C71E72">
      <w:pPr>
        <w:keepNext/>
        <w:keepLines/>
      </w:pPr>
      <w:r w:rsidRPr="007A14E2">
        <w:lastRenderedPageBreak/>
        <w:t>In recent years, non-banks have made a significant incursion into the retail payments market. Some of the elements that favo</w:t>
      </w:r>
      <w:r w:rsidR="00D1175E" w:rsidRPr="007A14E2">
        <w:t>u</w:t>
      </w:r>
      <w:r w:rsidRPr="007A14E2">
        <w:t xml:space="preserve">red this development include the range of technical and other innovations in payment </w:t>
      </w:r>
      <w:proofErr w:type="gramStart"/>
      <w:r w:rsidRPr="007A14E2">
        <w:t>methods,</w:t>
      </w:r>
      <w:proofErr w:type="gramEnd"/>
      <w:r w:rsidRPr="007A14E2">
        <w:t xml:space="preserve"> the emergence of new payment needs/changing payment habits and customer preferences, and several other market-driven factors. In addition, in some countries the regulatory environment has facilitated and promoted the incursion of non-banks in this field, while in others it has become a hurdle </w:t>
      </w:r>
      <w:r w:rsidR="009F4B19" w:rsidRPr="007A14E2">
        <w:t>or even an impediment.</w:t>
      </w:r>
    </w:p>
    <w:p w14:paraId="6ADDA4E2" w14:textId="21239FDE" w:rsidR="00742F32" w:rsidRPr="007A14E2" w:rsidRDefault="00742F32" w:rsidP="00742F32">
      <w:r w:rsidRPr="007A14E2">
        <w:t xml:space="preserve">For the purposes of this </w:t>
      </w:r>
      <w:r w:rsidR="00D209B0" w:rsidRPr="007A14E2">
        <w:t>Technical Report</w:t>
      </w:r>
      <w:r w:rsidRPr="007A14E2">
        <w:t xml:space="preserve">, it </w:t>
      </w:r>
      <w:proofErr w:type="gramStart"/>
      <w:r w:rsidRPr="007A14E2">
        <w:t>is deemed</w:t>
      </w:r>
      <w:proofErr w:type="gramEnd"/>
      <w:r w:rsidRPr="007A14E2">
        <w:t xml:space="preserve"> useful to have a working definition of </w:t>
      </w:r>
      <w:r w:rsidR="008548F2" w:rsidRPr="007A14E2">
        <w:t>"</w:t>
      </w:r>
      <w:r w:rsidRPr="007A14E2">
        <w:t>non-banks</w:t>
      </w:r>
      <w:r w:rsidR="008548F2" w:rsidRPr="007A14E2">
        <w:t>"</w:t>
      </w:r>
      <w:r w:rsidRPr="007A14E2">
        <w:t xml:space="preserve"> as regards their role in payments. In many jurisdictions, there is no specific legal definition of non-banks, or various definitions may apply depending on the functions that a non-bank performs. For reasons like these, it </w:t>
      </w:r>
      <w:proofErr w:type="gramStart"/>
      <w:r w:rsidRPr="007A14E2">
        <w:t>is proposed</w:t>
      </w:r>
      <w:proofErr w:type="gramEnd"/>
      <w:r w:rsidRPr="007A14E2">
        <w:t xml:space="preserve"> to adopt the functional definition of non-banks </w:t>
      </w:r>
      <w:r w:rsidR="0007532E" w:rsidRPr="007A14E2">
        <w:t xml:space="preserve">as </w:t>
      </w:r>
      <w:r w:rsidRPr="007A14E2">
        <w:t xml:space="preserve">stated in the CPMI 2014 report </w:t>
      </w:r>
      <w:r w:rsidR="008548F2" w:rsidRPr="007A14E2">
        <w:t>"</w:t>
      </w:r>
      <w:r w:rsidRPr="007A14E2">
        <w:t>Role of</w:t>
      </w:r>
      <w:r w:rsidR="009F4B19" w:rsidRPr="007A14E2">
        <w:t xml:space="preserve"> non-banks in retail payments</w:t>
      </w:r>
      <w:r w:rsidR="008548F2" w:rsidRPr="007A14E2">
        <w:t>"</w:t>
      </w:r>
      <w:r w:rsidR="009F4B19" w:rsidRPr="007A14E2">
        <w:t>:</w:t>
      </w:r>
    </w:p>
    <w:p w14:paraId="540B6B1C" w14:textId="25EE1EA1" w:rsidR="00742F32" w:rsidRPr="007A14E2" w:rsidRDefault="008548F2" w:rsidP="00742F32">
      <w:pPr>
        <w:rPr>
          <w:i/>
          <w:iCs/>
        </w:rPr>
      </w:pPr>
      <w:r w:rsidRPr="007A14E2">
        <w:t>"</w:t>
      </w:r>
      <w:proofErr w:type="gramStart"/>
      <w:r w:rsidR="00742F32" w:rsidRPr="007A14E2">
        <w:rPr>
          <w:i/>
          <w:iCs/>
        </w:rPr>
        <w:t>a</w:t>
      </w:r>
      <w:proofErr w:type="gramEnd"/>
      <w:r w:rsidR="00742F32" w:rsidRPr="007A14E2">
        <w:rPr>
          <w:i/>
          <w:iCs/>
        </w:rPr>
        <w:t xml:space="preserve"> non-bank is defined as: any entity involved in the provision of retail payment services whose main business is not related to taking deposits from the public and using these deposits to make loans.</w:t>
      </w:r>
      <w:r w:rsidR="007F7AD0" w:rsidRPr="007A14E2">
        <w:t>"</w:t>
      </w:r>
    </w:p>
    <w:p w14:paraId="5518F87F" w14:textId="77777777" w:rsidR="00742F32" w:rsidRPr="007A14E2" w:rsidRDefault="00742F32" w:rsidP="00742F32">
      <w:r w:rsidRPr="007A14E2">
        <w:t>Moreover, in the payments field non-banks (as well as banks) are involved in a number of activities, not all of which are directly affected by the regulatory environment surrounding the access to payment infrastructures (e.g. access policies, conditions, restrictions, etc.). For this reason, it is also useful to specify the payments-related activities t</w:t>
      </w:r>
      <w:r w:rsidR="009F4B19" w:rsidRPr="007A14E2">
        <w:t xml:space="preserve">hat </w:t>
      </w:r>
      <w:proofErr w:type="gramStart"/>
      <w:r w:rsidR="009F4B19" w:rsidRPr="007A14E2">
        <w:t>are covered</w:t>
      </w:r>
      <w:proofErr w:type="gramEnd"/>
      <w:r w:rsidR="009F4B19" w:rsidRPr="007A14E2">
        <w:t xml:space="preserve"> in this Technical Report.</w:t>
      </w:r>
    </w:p>
    <w:p w14:paraId="3A020C7C" w14:textId="77777777" w:rsidR="00742F32" w:rsidRPr="007A14E2" w:rsidRDefault="00742F32" w:rsidP="00742F32">
      <w:r w:rsidRPr="007A14E2">
        <w:t xml:space="preserve">Hence, following also CPMI (2014), non-banks involved in retail payments can be categorized as follows according to the stages of the payments chain in which they engage, the type of payment service provided </w:t>
      </w:r>
      <w:proofErr w:type="gramStart"/>
      <w:r w:rsidRPr="007A14E2">
        <w:t>and also</w:t>
      </w:r>
      <w:proofErr w:type="gramEnd"/>
      <w:r w:rsidRPr="007A14E2">
        <w:t xml:space="preserve"> their relationship with banks:</w:t>
      </w:r>
    </w:p>
    <w:p w14:paraId="7BA5BD8C" w14:textId="10B65EF8" w:rsidR="00742F32" w:rsidRPr="007A14E2" w:rsidRDefault="00742F32" w:rsidP="00742F32">
      <w:pPr>
        <w:pStyle w:val="enumlev1"/>
      </w:pPr>
      <w:r w:rsidRPr="007A14E2">
        <w:t>•</w:t>
      </w:r>
      <w:r w:rsidRPr="007A14E2">
        <w:tab/>
      </w:r>
      <w:proofErr w:type="gramStart"/>
      <w:r w:rsidR="00083AE5" w:rsidRPr="007A14E2">
        <w:t>front</w:t>
      </w:r>
      <w:r w:rsidRPr="007A14E2">
        <w:t>-end</w:t>
      </w:r>
      <w:proofErr w:type="gramEnd"/>
      <w:r w:rsidRPr="007A14E2">
        <w:t xml:space="preserve"> providers that provide services directly to end-users such as consumers and businesses/corporates</w:t>
      </w:r>
      <w:r w:rsidR="00083AE5" w:rsidRPr="007A14E2">
        <w:t>;</w:t>
      </w:r>
    </w:p>
    <w:p w14:paraId="20658F29" w14:textId="490559CE" w:rsidR="00742F32" w:rsidRPr="007A14E2" w:rsidRDefault="00742F32" w:rsidP="00742F32">
      <w:pPr>
        <w:pStyle w:val="enumlev1"/>
      </w:pPr>
      <w:r w:rsidRPr="007A14E2">
        <w:t>•</w:t>
      </w:r>
      <w:r w:rsidRPr="007A14E2">
        <w:tab/>
      </w:r>
      <w:proofErr w:type="gramStart"/>
      <w:r w:rsidR="00083AE5" w:rsidRPr="007A14E2">
        <w:t>back</w:t>
      </w:r>
      <w:r w:rsidRPr="007A14E2">
        <w:t>-end</w:t>
      </w:r>
      <w:proofErr w:type="gramEnd"/>
      <w:r w:rsidRPr="007A14E2">
        <w:t xml:space="preserve"> providers that typically provide services to banks</w:t>
      </w:r>
      <w:r w:rsidR="00083AE5" w:rsidRPr="007A14E2">
        <w:t>;</w:t>
      </w:r>
    </w:p>
    <w:p w14:paraId="7331CF90" w14:textId="6D53050E" w:rsidR="00742F32" w:rsidRPr="007A14E2" w:rsidRDefault="00742F32" w:rsidP="00742F32">
      <w:pPr>
        <w:pStyle w:val="enumlev1"/>
      </w:pPr>
      <w:r w:rsidRPr="007A14E2">
        <w:t>•</w:t>
      </w:r>
      <w:r w:rsidRPr="007A14E2">
        <w:tab/>
      </w:r>
      <w:proofErr w:type="gramStart"/>
      <w:r w:rsidR="00083AE5" w:rsidRPr="007A14E2">
        <w:t>operators</w:t>
      </w:r>
      <w:proofErr w:type="gramEnd"/>
      <w:r w:rsidR="00083AE5" w:rsidRPr="007A14E2">
        <w:t xml:space="preserve"> </w:t>
      </w:r>
      <w:r w:rsidRPr="007A14E2">
        <w:t>of retail payment infrastructures; and</w:t>
      </w:r>
    </w:p>
    <w:p w14:paraId="58F4C5F1" w14:textId="35DB1F45" w:rsidR="00742F32" w:rsidRPr="007A14E2" w:rsidRDefault="00742F32" w:rsidP="00742F32">
      <w:pPr>
        <w:pStyle w:val="enumlev1"/>
      </w:pPr>
      <w:r w:rsidRPr="007A14E2">
        <w:t>•</w:t>
      </w:r>
      <w:r w:rsidRPr="007A14E2">
        <w:tab/>
      </w:r>
      <w:proofErr w:type="gramStart"/>
      <w:r w:rsidR="00083AE5" w:rsidRPr="007A14E2">
        <w:t>end</w:t>
      </w:r>
      <w:r w:rsidRPr="007A14E2">
        <w:t>-to-end</w:t>
      </w:r>
      <w:proofErr w:type="gramEnd"/>
      <w:r w:rsidRPr="007A14E2">
        <w:t xml:space="preserve"> providers that combine front-end services to end users with cl</w:t>
      </w:r>
      <w:r w:rsidR="009F4B19" w:rsidRPr="007A14E2">
        <w:t>earing and settlement services.</w:t>
      </w:r>
    </w:p>
    <w:p w14:paraId="415A877E" w14:textId="2695A127" w:rsidR="00742F32" w:rsidRPr="007A14E2" w:rsidRDefault="00742F32" w:rsidP="00742F32">
      <w:r w:rsidRPr="007A14E2">
        <w:t xml:space="preserve">This </w:t>
      </w:r>
      <w:r w:rsidR="00D209B0" w:rsidRPr="007A14E2">
        <w:t>Technical Report</w:t>
      </w:r>
      <w:r w:rsidRPr="007A14E2">
        <w:t xml:space="preserve"> focus</w:t>
      </w:r>
      <w:r w:rsidR="005B7373" w:rsidRPr="007A14E2">
        <w:t>es</w:t>
      </w:r>
      <w:r w:rsidRPr="007A14E2">
        <w:t xml:space="preserve"> mainly on the first category, although it will also </w:t>
      </w:r>
      <w:r w:rsidR="005B7373" w:rsidRPr="007A14E2">
        <w:t>analyse</w:t>
      </w:r>
      <w:r w:rsidRPr="007A14E2">
        <w:t xml:space="preserve"> access to central bank-operated settlement systems for operators of retail payment infrastructures.</w:t>
      </w:r>
      <w:r w:rsidRPr="007A14E2">
        <w:rPr>
          <w:rStyle w:val="FootnoteReference"/>
          <w:szCs w:val="24"/>
        </w:rPr>
        <w:footnoteReference w:id="2"/>
      </w:r>
    </w:p>
    <w:p w14:paraId="490CB78D" w14:textId="4DE502DF" w:rsidR="00742F32" w:rsidRPr="007A14E2" w:rsidRDefault="005B7373" w:rsidP="00742F32">
      <w:r w:rsidRPr="007A14E2">
        <w:t>Finally, f</w:t>
      </w:r>
      <w:r w:rsidR="00742F32" w:rsidRPr="007A14E2">
        <w:t>or the purpose</w:t>
      </w:r>
      <w:r w:rsidRPr="007A14E2">
        <w:t>s</w:t>
      </w:r>
      <w:r w:rsidR="00742F32" w:rsidRPr="007A14E2">
        <w:t xml:space="preserve"> of this </w:t>
      </w:r>
      <w:r w:rsidR="00D209B0" w:rsidRPr="007A14E2">
        <w:t>Technical Report</w:t>
      </w:r>
      <w:r w:rsidR="00742F32" w:rsidRPr="007A14E2">
        <w:t xml:space="preserve">, banks and non-banks that provide services directly to end-users </w:t>
      </w:r>
      <w:proofErr w:type="gramStart"/>
      <w:r w:rsidR="00742F32" w:rsidRPr="007A14E2">
        <w:t>are referred</w:t>
      </w:r>
      <w:proofErr w:type="gramEnd"/>
      <w:r w:rsidR="00742F32" w:rsidRPr="007A14E2">
        <w:t xml:space="preserve"> to as </w:t>
      </w:r>
      <w:r w:rsidR="008548F2" w:rsidRPr="007A14E2">
        <w:t>"</w:t>
      </w:r>
      <w:r w:rsidR="00742F32" w:rsidRPr="007A14E2">
        <w:t>payment service providers</w:t>
      </w:r>
      <w:r w:rsidR="008548F2" w:rsidRPr="007A14E2">
        <w:t>"</w:t>
      </w:r>
      <w:r w:rsidR="00742F32" w:rsidRPr="007A14E2">
        <w:t xml:space="preserve"> or </w:t>
      </w:r>
      <w:r w:rsidR="008548F2" w:rsidRPr="007A14E2">
        <w:t>"</w:t>
      </w:r>
      <w:r w:rsidR="00742F32" w:rsidRPr="007A14E2">
        <w:t>PSPs</w:t>
      </w:r>
      <w:r w:rsidR="008548F2" w:rsidRPr="007A14E2">
        <w:t>"</w:t>
      </w:r>
      <w:r w:rsidR="00742F32" w:rsidRPr="007A14E2">
        <w:t>.</w:t>
      </w:r>
    </w:p>
    <w:p w14:paraId="4A58431F" w14:textId="690D4CED" w:rsidR="00742F32" w:rsidRPr="007A14E2" w:rsidRDefault="00C71E72" w:rsidP="00742F32">
      <w:pPr>
        <w:pStyle w:val="Heading1"/>
      </w:pPr>
      <w:bookmarkStart w:id="39" w:name="_Toc459225675"/>
      <w:bookmarkStart w:id="40" w:name="_Toc8394992"/>
      <w:bookmarkStart w:id="41" w:name="_Toc17730764"/>
      <w:r w:rsidRPr="007A14E2">
        <w:t>7</w:t>
      </w:r>
      <w:r w:rsidRPr="007A14E2">
        <w:tab/>
      </w:r>
      <w:r w:rsidR="00742F32" w:rsidRPr="007A14E2">
        <w:t>Payment infrastructures</w:t>
      </w:r>
      <w:r w:rsidR="00742F32" w:rsidRPr="007A14E2">
        <w:rPr>
          <w:rStyle w:val="FootnoteReference"/>
        </w:rPr>
        <w:footnoteReference w:id="3"/>
      </w:r>
      <w:bookmarkEnd w:id="39"/>
      <w:bookmarkEnd w:id="40"/>
      <w:bookmarkEnd w:id="41"/>
    </w:p>
    <w:p w14:paraId="3713CBE9" w14:textId="69083701" w:rsidR="00742F32" w:rsidRPr="007A14E2" w:rsidRDefault="00742F32" w:rsidP="00742F32">
      <w:proofErr w:type="gramStart"/>
      <w:r w:rsidRPr="007A14E2">
        <w:t xml:space="preserve">An individual that holds a transaction account with a bank or non-bank PSP can normally make payments using that transaction account to other individuals, business and government entities that also hold a transaction account with the same PSP (i.e. so-called </w:t>
      </w:r>
      <w:r w:rsidR="008548F2" w:rsidRPr="007A14E2">
        <w:t>"</w:t>
      </w:r>
      <w:r w:rsidRPr="007A14E2">
        <w:t>on us</w:t>
      </w:r>
      <w:r w:rsidR="008548F2" w:rsidRPr="007A14E2">
        <w:t>"</w:t>
      </w:r>
      <w:r w:rsidRPr="007A14E2">
        <w:t xml:space="preserve"> payments), or in some cases also to parties that hold a transaction account with a different PSP (i.e. </w:t>
      </w:r>
      <w:r w:rsidR="008548F2" w:rsidRPr="007A14E2">
        <w:t>"</w:t>
      </w:r>
      <w:r w:rsidRPr="007A14E2">
        <w:t>off us</w:t>
      </w:r>
      <w:r w:rsidR="008548F2" w:rsidRPr="007A14E2">
        <w:t>"</w:t>
      </w:r>
      <w:r w:rsidRPr="007A14E2">
        <w:t xml:space="preserve"> payments).</w:t>
      </w:r>
      <w:proofErr w:type="gramEnd"/>
    </w:p>
    <w:p w14:paraId="0D8286B5" w14:textId="6098E72A" w:rsidR="00742F32" w:rsidRPr="007A14E2" w:rsidRDefault="00742F32" w:rsidP="00742F32">
      <w:r w:rsidRPr="007A14E2">
        <w:t xml:space="preserve">For </w:t>
      </w:r>
      <w:r w:rsidR="008548F2" w:rsidRPr="007A14E2">
        <w:t>"</w:t>
      </w:r>
      <w:r w:rsidRPr="007A14E2">
        <w:t>on us</w:t>
      </w:r>
      <w:r w:rsidR="008548F2" w:rsidRPr="007A14E2">
        <w:t>"</w:t>
      </w:r>
      <w:r w:rsidRPr="007A14E2">
        <w:t xml:space="preserve"> payments, the PSP only needs to debit and credit, in its own books, </w:t>
      </w:r>
      <w:r w:rsidR="005B7373" w:rsidRPr="007A14E2">
        <w:t xml:space="preserve">both </w:t>
      </w:r>
      <w:r w:rsidRPr="007A14E2">
        <w:t xml:space="preserve">the account of the payer and the account of the beneficiary. While this </w:t>
      </w:r>
      <w:proofErr w:type="gramStart"/>
      <w:r w:rsidRPr="007A14E2">
        <w:t>can be done</w:t>
      </w:r>
      <w:proofErr w:type="gramEnd"/>
      <w:r w:rsidRPr="007A14E2">
        <w:t xml:space="preserve"> manually, modern PSPs have deployed an automated and centralized account management infrastructure within their so-called </w:t>
      </w:r>
      <w:r w:rsidR="008548F2" w:rsidRPr="007A14E2">
        <w:t>"</w:t>
      </w:r>
      <w:r w:rsidRPr="007A14E2">
        <w:t>core banking system</w:t>
      </w:r>
      <w:r w:rsidR="008548F2" w:rsidRPr="007A14E2">
        <w:t>"</w:t>
      </w:r>
      <w:r w:rsidRPr="007A14E2">
        <w:t xml:space="preserve"> (or equivalent).</w:t>
      </w:r>
    </w:p>
    <w:p w14:paraId="63769828" w14:textId="4C532C40" w:rsidR="00742F32" w:rsidRPr="007A14E2" w:rsidRDefault="00742F32" w:rsidP="00C71E72">
      <w:pPr>
        <w:keepNext/>
        <w:keepLines/>
      </w:pPr>
      <w:r w:rsidRPr="007A14E2">
        <w:lastRenderedPageBreak/>
        <w:t xml:space="preserve">The main payment infrastructures that support </w:t>
      </w:r>
      <w:r w:rsidR="008548F2" w:rsidRPr="007A14E2">
        <w:t>"</w:t>
      </w:r>
      <w:r w:rsidRPr="007A14E2">
        <w:t>off us</w:t>
      </w:r>
      <w:r w:rsidR="008548F2" w:rsidRPr="007A14E2">
        <w:t>"</w:t>
      </w:r>
      <w:r w:rsidRPr="007A14E2">
        <w:t xml:space="preserve"> payments are large-value settlement systems (e.g. a real-time gross settlement (RTGS) system), automated clearinghouses (ACH) for retail electronic funds transfers and/or for cheques, and payment card processing platforms (i.e. so-called payment card switches).</w:t>
      </w:r>
      <w:r w:rsidRPr="007A14E2">
        <w:rPr>
          <w:rStyle w:val="FootnoteReference"/>
          <w:szCs w:val="24"/>
        </w:rPr>
        <w:footnoteReference w:id="4"/>
      </w:r>
    </w:p>
    <w:p w14:paraId="57B81E88" w14:textId="20BD1D1F" w:rsidR="00742F32" w:rsidRPr="007A14E2" w:rsidRDefault="00742F32" w:rsidP="00742F32">
      <w:r w:rsidRPr="007A14E2">
        <w:t>RTGS systems are the backbone of a country</w:t>
      </w:r>
      <w:r w:rsidR="00AC4FEC" w:rsidRPr="007A14E2">
        <w:t>'</w:t>
      </w:r>
      <w:r w:rsidRPr="007A14E2">
        <w:t>s payment and settlement infrastructure and are owned and operated by central banks.</w:t>
      </w:r>
      <w:r w:rsidRPr="007A14E2">
        <w:rPr>
          <w:rStyle w:val="FootnoteReference"/>
          <w:szCs w:val="24"/>
        </w:rPr>
        <w:footnoteReference w:id="5"/>
      </w:r>
      <w:r w:rsidRPr="007A14E2">
        <w:t xml:space="preserve"> Retail payment services </w:t>
      </w:r>
      <w:proofErr w:type="gramStart"/>
      <w:r w:rsidRPr="007A14E2">
        <w:t>are typically not processed</w:t>
      </w:r>
      <w:proofErr w:type="gramEnd"/>
      <w:r w:rsidRPr="007A14E2">
        <w:t xml:space="preserve"> at a large scale directly through RTGS systems, although there are exceptions (e.g. SPEI in Mexico). Nevertheless, RTGS systems are a critical foundation for retail payments because many retail payment infrastructures rely on an RTGS system to settle their participants</w:t>
      </w:r>
      <w:r w:rsidR="00AC4FEC" w:rsidRPr="007A14E2">
        <w:t>'</w:t>
      </w:r>
      <w:r w:rsidRPr="007A14E2">
        <w:t xml:space="preserve"> final balances from each clearing cycle.</w:t>
      </w:r>
    </w:p>
    <w:p w14:paraId="4D7825BE" w14:textId="7B89C52E" w:rsidR="00742F32" w:rsidRPr="007A14E2" w:rsidRDefault="00742F32" w:rsidP="00742F32">
      <w:r w:rsidRPr="007A14E2">
        <w:t xml:space="preserve">ACHs </w:t>
      </w:r>
      <w:proofErr w:type="gramStart"/>
      <w:r w:rsidRPr="007A14E2">
        <w:t>are designed</w:t>
      </w:r>
      <w:proofErr w:type="gramEnd"/>
      <w:r w:rsidRPr="007A14E2">
        <w:t xml:space="preserve"> to centrally handle and process mass payments of an </w:t>
      </w:r>
      <w:r w:rsidR="008548F2" w:rsidRPr="007A14E2">
        <w:t>"</w:t>
      </w:r>
      <w:r w:rsidRPr="007A14E2">
        <w:t>off us</w:t>
      </w:r>
      <w:r w:rsidR="008548F2" w:rsidRPr="007A14E2">
        <w:t>"</w:t>
      </w:r>
      <w:r w:rsidRPr="007A14E2">
        <w:t xml:space="preserve"> nature. Some ACHs focus on cheque processing, others on </w:t>
      </w:r>
      <w:proofErr w:type="gramStart"/>
      <w:r w:rsidRPr="007A14E2">
        <w:t>fully electronic</w:t>
      </w:r>
      <w:proofErr w:type="gramEnd"/>
      <w:r w:rsidRPr="007A14E2">
        <w:t xml:space="preserve"> retail instruments like direct credit transfers and direct debit transfers, and some others process all </w:t>
      </w:r>
      <w:r w:rsidR="0095214F" w:rsidRPr="007A14E2">
        <w:t xml:space="preserve">of </w:t>
      </w:r>
      <w:r w:rsidRPr="007A14E2">
        <w:t>these instruments.</w:t>
      </w:r>
      <w:r w:rsidRPr="007A14E2">
        <w:rPr>
          <w:rStyle w:val="FootnoteReference"/>
          <w:szCs w:val="24"/>
        </w:rPr>
        <w:footnoteReference w:id="6"/>
      </w:r>
    </w:p>
    <w:p w14:paraId="154CB7CD" w14:textId="36137E4F" w:rsidR="00742F32" w:rsidRPr="007A14E2" w:rsidRDefault="00742F32" w:rsidP="00742F32">
      <w:r w:rsidRPr="007A14E2">
        <w:t xml:space="preserve">In practice, one of the effects of an ACH is that it </w:t>
      </w:r>
      <w:r w:rsidRPr="007A14E2">
        <w:rPr>
          <w:i/>
        </w:rPr>
        <w:t>enables the interoperability of its members for the payment instruments</w:t>
      </w:r>
      <w:r w:rsidR="0095214F" w:rsidRPr="007A14E2">
        <w:rPr>
          <w:i/>
        </w:rPr>
        <w:t xml:space="preserve"> that</w:t>
      </w:r>
      <w:r w:rsidRPr="007A14E2">
        <w:rPr>
          <w:i/>
        </w:rPr>
        <w:t xml:space="preserve"> it clears</w:t>
      </w:r>
      <w:r w:rsidRPr="007A14E2">
        <w:t xml:space="preserve">, and by this </w:t>
      </w:r>
      <w:proofErr w:type="gramStart"/>
      <w:r w:rsidRPr="007A14E2">
        <w:t>means</w:t>
      </w:r>
      <w:proofErr w:type="gramEnd"/>
      <w:r w:rsidRPr="007A14E2">
        <w:t xml:space="preserve"> it </w:t>
      </w:r>
      <w:r w:rsidR="008548F2" w:rsidRPr="007A14E2">
        <w:t>"</w:t>
      </w:r>
      <w:r w:rsidRPr="007A14E2">
        <w:t>increases</w:t>
      </w:r>
      <w:r w:rsidR="008548F2" w:rsidRPr="007A14E2">
        <w:t>"</w:t>
      </w:r>
      <w:r w:rsidRPr="007A14E2">
        <w:t xml:space="preserve"> the network size of service points for individual customers. This is because any branch (or in some cases also </w:t>
      </w:r>
      <w:r w:rsidR="005B7373" w:rsidRPr="007A14E2">
        <w:t>automated teller machines (</w:t>
      </w:r>
      <w:r w:rsidRPr="007A14E2">
        <w:t>ATMs</w:t>
      </w:r>
      <w:r w:rsidR="005B7373" w:rsidRPr="007A14E2">
        <w:t>)</w:t>
      </w:r>
      <w:r w:rsidRPr="007A14E2">
        <w:t xml:space="preserve"> and other service point types) of a PSP that is a member of that ACH can be used to initiate a funds transfer to a customer of any other PSP that is also a member. This supports nationwide reachability of PSPs, even if some of them do not have a l</w:t>
      </w:r>
      <w:r w:rsidR="009F4B19" w:rsidRPr="007A14E2">
        <w:t>arge network of service points.</w:t>
      </w:r>
    </w:p>
    <w:p w14:paraId="3B33FBC7" w14:textId="66ADB97A" w:rsidR="00742F32" w:rsidRPr="007A14E2" w:rsidRDefault="00742F32" w:rsidP="00742F32">
      <w:r w:rsidRPr="007A14E2">
        <w:t xml:space="preserve">ACHs have traditionally operated </w:t>
      </w:r>
      <w:proofErr w:type="gramStart"/>
      <w:r w:rsidRPr="007A14E2">
        <w:t>on the basis of</w:t>
      </w:r>
      <w:proofErr w:type="gramEnd"/>
      <w:r w:rsidRPr="007A14E2">
        <w:t xml:space="preserve"> a daily clearing and settlement cycle, although more recently many have incorporated two or more daily settlement cycles. During each cycle, ACH participants exchange payment instructions, which are then cleared and settled on net basis at the end of the cycle (i.e. so-called </w:t>
      </w:r>
      <w:r w:rsidR="008548F2" w:rsidRPr="007A14E2">
        <w:t>"</w:t>
      </w:r>
      <w:r w:rsidRPr="007A14E2">
        <w:t>deferred net settlement</w:t>
      </w:r>
      <w:r w:rsidR="008548F2" w:rsidRPr="007A14E2">
        <w:t>"</w:t>
      </w:r>
      <w:r w:rsidRPr="007A14E2">
        <w:t>). Final beneficiaries are often credited later on (e.g. one or two days)</w:t>
      </w:r>
      <w:proofErr w:type="gramStart"/>
      <w:r w:rsidRPr="007A14E2">
        <w:t>,</w:t>
      </w:r>
      <w:proofErr w:type="gramEnd"/>
      <w:r w:rsidRPr="007A14E2">
        <w:t xml:space="preserve"> although in some cases they may get credited even before the settlement cycle has been completed. In fact, some ACH operators around the world have launched so-called </w:t>
      </w:r>
      <w:r w:rsidR="008548F2" w:rsidRPr="007A14E2">
        <w:t>"</w:t>
      </w:r>
      <w:r w:rsidRPr="007A14E2">
        <w:t>instant payments</w:t>
      </w:r>
      <w:r w:rsidR="008548F2" w:rsidRPr="007A14E2">
        <w:t>"</w:t>
      </w:r>
      <w:r w:rsidRPr="007A14E2">
        <w:t>, by means of which the final beneficiary of a payment processed through the ACH is credited immediately after the payment instruction is approved, while the settlement between PSPs that participate in the ACH occurs at a later stage.</w:t>
      </w:r>
    </w:p>
    <w:p w14:paraId="544EE5FF" w14:textId="12616DD4" w:rsidR="00742F32" w:rsidRPr="007A14E2" w:rsidRDefault="00742F32" w:rsidP="00742F32">
      <w:r w:rsidRPr="007A14E2">
        <w:t xml:space="preserve">A payment card processing platform or switch is a mechanism that connects various payment card issuers and the payment card acceptance infrastructure deployed by card acquirers. Through the switch, payments initiated at a merchant via a point-of-sale </w:t>
      </w:r>
      <w:r w:rsidR="005B7373" w:rsidRPr="007A14E2">
        <w:t xml:space="preserve">(POS) </w:t>
      </w:r>
      <w:r w:rsidRPr="007A14E2">
        <w:t xml:space="preserve">terminal, at an ATM or other card acceptance device or channel (e.g. Internet, mobile phones) </w:t>
      </w:r>
      <w:proofErr w:type="gramStart"/>
      <w:r w:rsidRPr="007A14E2">
        <w:t>are routed</w:t>
      </w:r>
      <w:proofErr w:type="gramEnd"/>
      <w:r w:rsidRPr="007A14E2">
        <w:t xml:space="preserve"> to the issuer of the underlying payment card for approval.</w:t>
      </w:r>
      <w:r w:rsidRPr="007A14E2">
        <w:rPr>
          <w:vertAlign w:val="superscript"/>
        </w:rPr>
        <w:footnoteReference w:id="7"/>
      </w:r>
      <w:r w:rsidRPr="007A14E2">
        <w:t xml:space="preserve"> Approved transactions </w:t>
      </w:r>
      <w:proofErr w:type="gramStart"/>
      <w:r w:rsidRPr="007A14E2">
        <w:t>are then exchanged</w:t>
      </w:r>
      <w:proofErr w:type="gramEnd"/>
      <w:r w:rsidRPr="007A14E2">
        <w:t xml:space="preserve">, cleared and settled between PSPs, normally on a daily basis. Payees (typically merchants) </w:t>
      </w:r>
      <w:proofErr w:type="gramStart"/>
      <w:r w:rsidRPr="007A14E2">
        <w:t>are normally credited</w:t>
      </w:r>
      <w:proofErr w:type="gramEnd"/>
      <w:r w:rsidRPr="007A14E2">
        <w:t xml:space="preserve"> later on, from one day to a few days.</w:t>
      </w:r>
    </w:p>
    <w:p w14:paraId="71DA4645" w14:textId="77777777" w:rsidR="00742F32" w:rsidRPr="007A14E2" w:rsidRDefault="00742F32" w:rsidP="00F861AA">
      <w:pPr>
        <w:keepNext/>
        <w:keepLines/>
      </w:pPr>
      <w:r w:rsidRPr="007A14E2">
        <w:lastRenderedPageBreak/>
        <w:t xml:space="preserve">Similar to ACHs, card switches also increase the effective size of the network of service points/channel. This is because the switch enables processing transactions with cards issued by any member of that switch and that were made at any merchant affiliated to, or at an ATM belonging to, any acquirer that is also a member of the switch. In other words, </w:t>
      </w:r>
      <w:r w:rsidRPr="007A14E2">
        <w:rPr>
          <w:i/>
        </w:rPr>
        <w:t>card switches enable the interoperability of its members for the payment services it processes on their behalf</w:t>
      </w:r>
      <w:r w:rsidRPr="007A14E2">
        <w:t xml:space="preserve">. Higher levels of interconnectedness increase the positive network externalities to the benefit of customers, i.e. with the same payment </w:t>
      </w:r>
      <w:proofErr w:type="gramStart"/>
      <w:r w:rsidRPr="007A14E2">
        <w:t>card</w:t>
      </w:r>
      <w:proofErr w:type="gramEnd"/>
      <w:r w:rsidRPr="007A14E2">
        <w:t xml:space="preserve"> they are able to use the funds (or credit) in their account at numerous service points and channels</w:t>
      </w:r>
      <w:r w:rsidR="009F4B19" w:rsidRPr="007A14E2">
        <w:t>.</w:t>
      </w:r>
    </w:p>
    <w:p w14:paraId="5DC6AEB7" w14:textId="77777777" w:rsidR="00742F32" w:rsidRPr="007A14E2" w:rsidRDefault="00742F32" w:rsidP="00742F32">
      <w:r w:rsidRPr="007A14E2">
        <w:t xml:space="preserve">Moreover, in many cases a switch may be able to process transactions with payment cards from card issuers that are not members of the switch, and/or that </w:t>
      </w:r>
      <w:proofErr w:type="gramStart"/>
      <w:r w:rsidRPr="007A14E2">
        <w:t>were made</w:t>
      </w:r>
      <w:proofErr w:type="gramEnd"/>
      <w:r w:rsidRPr="007A14E2">
        <w:t xml:space="preserve"> at merchants affiliated to acquirers that are not members of that switch.</w:t>
      </w:r>
      <w:r w:rsidRPr="007A14E2">
        <w:rPr>
          <w:rStyle w:val="FootnoteReference"/>
          <w:rFonts w:cs="Arial"/>
          <w:szCs w:val="24"/>
        </w:rPr>
        <w:footnoteReference w:id="8"/>
      </w:r>
      <w:r w:rsidRPr="007A14E2">
        <w:t xml:space="preserve"> Typically, this is possible if these payment cards </w:t>
      </w:r>
      <w:proofErr w:type="gramStart"/>
      <w:r w:rsidRPr="007A14E2">
        <w:t>have been issued</w:t>
      </w:r>
      <w:proofErr w:type="gramEnd"/>
      <w:r w:rsidRPr="007A14E2">
        <w:t xml:space="preserve"> under - and the switch is enabled to process transactions made with - one or more of the payment card brands/schemes with nationwide or international acceptance (e.g. Visa and MasterCard, among others).</w:t>
      </w:r>
    </w:p>
    <w:p w14:paraId="153F9FB4" w14:textId="7BC01753" w:rsidR="00742F32" w:rsidRPr="007A14E2" w:rsidRDefault="00C71E72" w:rsidP="00742F32">
      <w:pPr>
        <w:pStyle w:val="Heading1"/>
      </w:pPr>
      <w:bookmarkStart w:id="42" w:name="_Toc8394993"/>
      <w:bookmarkStart w:id="43" w:name="_Toc17730765"/>
      <w:r w:rsidRPr="007A14E2">
        <w:t>8</w:t>
      </w:r>
      <w:r w:rsidRPr="007A14E2">
        <w:tab/>
      </w:r>
      <w:r w:rsidR="00742F32" w:rsidRPr="007A14E2">
        <w:t>Types of access to payment infrastructures</w:t>
      </w:r>
      <w:bookmarkEnd w:id="42"/>
      <w:bookmarkEnd w:id="43"/>
    </w:p>
    <w:p w14:paraId="44DE84B2" w14:textId="4DEE19F9" w:rsidR="00742F32" w:rsidRPr="007A14E2" w:rsidRDefault="00C71E72" w:rsidP="00976458">
      <w:pPr>
        <w:pStyle w:val="Headingb"/>
      </w:pPr>
      <w:bookmarkStart w:id="44" w:name="_Toc459225677"/>
      <w:bookmarkStart w:id="45" w:name="_Toc8394994"/>
      <w:bookmarkStart w:id="46" w:name="_Toc17730766"/>
      <w:r w:rsidRPr="007A14E2">
        <w:t>a)</w:t>
      </w:r>
      <w:r w:rsidRPr="007A14E2">
        <w:tab/>
      </w:r>
      <w:r w:rsidR="00742F32" w:rsidRPr="007A14E2">
        <w:t>Access for PSPs</w:t>
      </w:r>
      <w:bookmarkEnd w:id="38"/>
      <w:bookmarkEnd w:id="44"/>
      <w:bookmarkEnd w:id="45"/>
      <w:bookmarkEnd w:id="46"/>
    </w:p>
    <w:p w14:paraId="2795855F" w14:textId="51A4A9C9" w:rsidR="00742F32" w:rsidRPr="007A14E2" w:rsidRDefault="00742F32" w:rsidP="00742F32">
      <w:r w:rsidRPr="007A14E2">
        <w:t xml:space="preserve">To provide </w:t>
      </w:r>
      <w:r w:rsidR="008548F2" w:rsidRPr="007A14E2">
        <w:t>"</w:t>
      </w:r>
      <w:r w:rsidRPr="007A14E2">
        <w:t>off us</w:t>
      </w:r>
      <w:r w:rsidR="008548F2" w:rsidRPr="007A14E2">
        <w:t>"</w:t>
      </w:r>
      <w:r w:rsidRPr="007A14E2">
        <w:t xml:space="preserve"> payment services to end-users, a PSP will need to be able to make use of the domestic payment infrastructures. This is necessary for the PSP to be able to exchange customer payment orders with other </w:t>
      </w:r>
      <w:proofErr w:type="gramStart"/>
      <w:r w:rsidRPr="007A14E2">
        <w:t>PSPs,</w:t>
      </w:r>
      <w:proofErr w:type="gramEnd"/>
      <w:r w:rsidRPr="007A14E2">
        <w:t xml:space="preserve"> and on this basis proceed with the clearing and settlement of such payment orders. </w:t>
      </w:r>
    </w:p>
    <w:p w14:paraId="2E2A45C9" w14:textId="625E94A1" w:rsidR="00742F32" w:rsidRPr="007A14E2" w:rsidRDefault="00742F32" w:rsidP="00742F32">
      <w:r w:rsidRPr="007A14E2">
        <w:t xml:space="preserve">Access to payment infrastructures is generally considered as being of either a </w:t>
      </w:r>
      <w:r w:rsidR="008548F2" w:rsidRPr="007A14E2">
        <w:t>"</w:t>
      </w:r>
      <w:r w:rsidRPr="007A14E2">
        <w:t>direct</w:t>
      </w:r>
      <w:r w:rsidR="008548F2" w:rsidRPr="007A14E2">
        <w:t>"</w:t>
      </w:r>
      <w:r w:rsidRPr="007A14E2">
        <w:t xml:space="preserve"> or an </w:t>
      </w:r>
      <w:r w:rsidR="008548F2" w:rsidRPr="007A14E2">
        <w:t>"</w:t>
      </w:r>
      <w:r w:rsidRPr="007A14E2">
        <w:t>indirect</w:t>
      </w:r>
      <w:r w:rsidR="008548F2" w:rsidRPr="007A14E2">
        <w:t>"</w:t>
      </w:r>
      <w:r w:rsidRPr="007A14E2">
        <w:t xml:space="preserve"> nature. Nevertheless, there is also the possibility that direct access be obtained for some specific processes or sub-processes only, while others will need to be carried out through indirect access (i.e. through another direct participant). For example, some non-banks that are direct participants of an RTGS system may not be able to access some of the features of that system, like central bank intraday and/or overnight liquidity. Other possibilities (e.g. access for transaction switching only) </w:t>
      </w:r>
      <w:proofErr w:type="gramStart"/>
      <w:r w:rsidRPr="007A14E2">
        <w:t>are discussed</w:t>
      </w:r>
      <w:proofErr w:type="gramEnd"/>
      <w:r w:rsidRPr="007A14E2">
        <w:t xml:space="preserve"> </w:t>
      </w:r>
      <w:r w:rsidR="00D1175E" w:rsidRPr="007A14E2">
        <w:t>below</w:t>
      </w:r>
      <w:r w:rsidR="008136AF" w:rsidRPr="007A14E2">
        <w:t>,</w:t>
      </w:r>
      <w:r w:rsidR="00D1175E" w:rsidRPr="007A14E2">
        <w:t xml:space="preserve"> </w:t>
      </w:r>
      <w:r w:rsidRPr="007A14E2">
        <w:t xml:space="preserve">in </w:t>
      </w:r>
      <w:r w:rsidR="008136AF" w:rsidRPr="007A14E2">
        <w:t xml:space="preserve">Part </w:t>
      </w:r>
      <w:r w:rsidRPr="007A14E2">
        <w:t>b</w:t>
      </w:r>
      <w:r w:rsidR="00D1175E" w:rsidRPr="007A14E2">
        <w:t>)</w:t>
      </w:r>
      <w:r w:rsidRPr="007A14E2">
        <w:t>.</w:t>
      </w:r>
    </w:p>
    <w:p w14:paraId="26C3F34F" w14:textId="363D9E4B" w:rsidR="00742F32" w:rsidRPr="007A14E2" w:rsidRDefault="00742F32" w:rsidP="00742F32">
      <w:r w:rsidRPr="007A14E2">
        <w:t xml:space="preserve">In principle, both direct access and indirect access could be capable of providing PSPs with suitable payment services for the purposes they pursue. As discussed in the following paragraphs, advantages and disadvantages of direct access </w:t>
      </w:r>
      <w:r w:rsidRPr="007A14E2">
        <w:rPr>
          <w:i/>
        </w:rPr>
        <w:t>versus</w:t>
      </w:r>
      <w:r w:rsidRPr="007A14E2">
        <w:t xml:space="preserve"> indirect access vary according to specific circumstances.</w:t>
      </w:r>
    </w:p>
    <w:p w14:paraId="4659D585" w14:textId="77777777" w:rsidR="00742F32" w:rsidRPr="007A14E2" w:rsidRDefault="00742F32" w:rsidP="00742F32">
      <w:r w:rsidRPr="007A14E2">
        <w:t xml:space="preserve">In essence, </w:t>
      </w:r>
      <w:r w:rsidRPr="007A14E2">
        <w:rPr>
          <w:i/>
        </w:rPr>
        <w:t>direct access</w:t>
      </w:r>
      <w:r w:rsidRPr="007A14E2">
        <w:t xml:space="preserve"> means that a PSP is itself a direct participant in the system, submits its payment instructions directly to the system, and is responsible vis-à-vis the system and other direct participants for the settl</w:t>
      </w:r>
      <w:r w:rsidR="009F4B19" w:rsidRPr="007A14E2">
        <w:t>ement of its (debit) positions.</w:t>
      </w:r>
    </w:p>
    <w:p w14:paraId="7F613584" w14:textId="2CF951D4" w:rsidR="00742F32" w:rsidRPr="007A14E2" w:rsidRDefault="00742F32" w:rsidP="00742F32">
      <w:r w:rsidRPr="007A14E2">
        <w:t>Criteria for having direct access to a payments infrastructure includes technical and financial requirements, and in some cases other types of requirements. The latter often refer to aspects such as the need to have a specific legal or regulatory standin</w:t>
      </w:r>
      <w:r w:rsidR="00491C9F" w:rsidRPr="007A14E2">
        <w:t>g (e.g. having a specific licenc</w:t>
      </w:r>
      <w:r w:rsidRPr="007A14E2">
        <w:t>e, such as a banking licen</w:t>
      </w:r>
      <w:r w:rsidR="00491C9F" w:rsidRPr="007A14E2">
        <w:t>c</w:t>
      </w:r>
      <w:r w:rsidRPr="007A14E2">
        <w:t xml:space="preserve">e, or </w:t>
      </w:r>
      <w:proofErr w:type="gramStart"/>
      <w:r w:rsidRPr="007A14E2">
        <w:t>being regulated</w:t>
      </w:r>
      <w:proofErr w:type="gramEnd"/>
      <w:r w:rsidRPr="007A14E2">
        <w:t xml:space="preserve"> by the central bank or financial supervisor). Technical, financial and other access criteria </w:t>
      </w:r>
      <w:proofErr w:type="gramStart"/>
      <w:r w:rsidRPr="007A14E2">
        <w:t>are explained</w:t>
      </w:r>
      <w:proofErr w:type="gramEnd"/>
      <w:r w:rsidRPr="007A14E2">
        <w:t xml:space="preserve"> in further detail in </w:t>
      </w:r>
      <w:r w:rsidR="00491C9F" w:rsidRPr="007A14E2">
        <w:t>clause</w:t>
      </w:r>
      <w:r w:rsidRPr="007A14E2">
        <w:t xml:space="preserve"> </w:t>
      </w:r>
      <w:r w:rsidR="00491C9F" w:rsidRPr="007A14E2">
        <w:t>9</w:t>
      </w:r>
      <w:r w:rsidRPr="007A14E2">
        <w:t>.</w:t>
      </w:r>
    </w:p>
    <w:p w14:paraId="4F4EFFDD" w14:textId="4865FD51" w:rsidR="00742F32" w:rsidRPr="007A14E2" w:rsidRDefault="00742F32" w:rsidP="009C7677">
      <w:pPr>
        <w:keepNext/>
        <w:keepLines/>
      </w:pPr>
      <w:r w:rsidRPr="007A14E2">
        <w:lastRenderedPageBreak/>
        <w:t>Complying with such criteria, especially when it comes to the national clearing and settlement backbone (i.e. the RTGS system that is operated by the central bank), will normally entail substantial internal investments from the applicant.</w:t>
      </w:r>
      <w:r w:rsidRPr="007A14E2">
        <w:rPr>
          <w:rStyle w:val="FootnoteReference"/>
          <w:rFonts w:cs="Arial"/>
          <w:szCs w:val="24"/>
        </w:rPr>
        <w:footnoteReference w:id="9"/>
      </w:r>
      <w:r w:rsidRPr="007A14E2">
        <w:t xml:space="preserve"> This is because the RTGS system is </w:t>
      </w:r>
      <w:proofErr w:type="gramStart"/>
      <w:r w:rsidRPr="007A14E2">
        <w:t>almost always</w:t>
      </w:r>
      <w:proofErr w:type="gramEnd"/>
      <w:r w:rsidRPr="007A14E2">
        <w:t xml:space="preserve"> considered systemically important.</w:t>
      </w:r>
      <w:r w:rsidRPr="007A14E2">
        <w:rPr>
          <w:rStyle w:val="FootnoteReference"/>
          <w:rFonts w:cs="Arial"/>
          <w:szCs w:val="24"/>
        </w:rPr>
        <w:footnoteReference w:id="10"/>
      </w:r>
      <w:r w:rsidRPr="007A14E2">
        <w:t xml:space="preserve"> Hence, for some PSPs, direct access to an infrastructure like the RTGS system might be overly expensive and/or complex.</w:t>
      </w:r>
    </w:p>
    <w:p w14:paraId="24BAA551" w14:textId="77777777" w:rsidR="00742F32" w:rsidRPr="007A14E2" w:rsidRDefault="00742F32" w:rsidP="00FB06A8">
      <w:r w:rsidRPr="007A14E2">
        <w:t>From the technical and financial standpoints, the criteria for gaining direct access to payment systems like an ACH or a payment card switch are generally not as demanding as they are for the RTGS system operated by the central bank. However, ACHs and/or payment card switches still may have access criteria that can be difficult to meet, especially for smaller PSPs.</w:t>
      </w:r>
    </w:p>
    <w:p w14:paraId="2764DAB6" w14:textId="77777777" w:rsidR="00742F32" w:rsidRPr="007A14E2" w:rsidRDefault="00742F32" w:rsidP="00742F32">
      <w:r w:rsidRPr="007A14E2">
        <w:rPr>
          <w:i/>
        </w:rPr>
        <w:t>Indirect access</w:t>
      </w:r>
      <w:r w:rsidRPr="007A14E2">
        <w:t xml:space="preserve"> occurs when a PSP is not itself a direct participant in the system but instead uses another PSP, which is a direct participant, to act on its behalf—i.e., the first PSP is a customer of the second PSP. For some PSPs, indirect access may be a better option for using a given payments infrastructure, for example due to cost reasons</w:t>
      </w:r>
      <w:r w:rsidR="009F4B19" w:rsidRPr="007A14E2">
        <w:t xml:space="preserve"> and technological limitations.</w:t>
      </w:r>
    </w:p>
    <w:p w14:paraId="63273A21" w14:textId="77777777" w:rsidR="00742F32" w:rsidRPr="007A14E2" w:rsidRDefault="00742F32" w:rsidP="00742F32">
      <w:r w:rsidRPr="007A14E2">
        <w:t xml:space="preserve">It </w:t>
      </w:r>
      <w:proofErr w:type="gramStart"/>
      <w:r w:rsidRPr="007A14E2">
        <w:t>should be noted</w:t>
      </w:r>
      <w:proofErr w:type="gramEnd"/>
      <w:r w:rsidRPr="007A14E2">
        <w:t xml:space="preserve"> that PSPs as customers of other PSPs are operationally reliant on their chosen intermediary to make payments on their behalf, and incur credit risk where receipts of funds are held with the intermediary. In turn, intermediary PSPs incur risks on their customer PSPs where they provide them with any form of credit as part of the payment (and/or other) services provided.</w:t>
      </w:r>
    </w:p>
    <w:p w14:paraId="72EDDECC" w14:textId="49C8BECC" w:rsidR="00742F32" w:rsidRPr="007A14E2" w:rsidRDefault="00C71E72" w:rsidP="00976458">
      <w:pPr>
        <w:pStyle w:val="Headingb"/>
      </w:pPr>
      <w:bookmarkStart w:id="47" w:name="_Toc459225678"/>
      <w:bookmarkStart w:id="48" w:name="_Toc8394995"/>
      <w:bookmarkStart w:id="49" w:name="_Toc17730767"/>
      <w:r w:rsidRPr="007A14E2">
        <w:t>b)</w:t>
      </w:r>
      <w:r w:rsidRPr="007A14E2">
        <w:tab/>
      </w:r>
      <w:r w:rsidR="00742F32" w:rsidRPr="007A14E2">
        <w:t>Other variants of access to payment infrastructures for PSPs</w:t>
      </w:r>
      <w:bookmarkEnd w:id="47"/>
      <w:bookmarkEnd w:id="48"/>
      <w:bookmarkEnd w:id="49"/>
    </w:p>
    <w:p w14:paraId="2A893E02" w14:textId="2AACDEF2" w:rsidR="00742F32" w:rsidRPr="007A14E2" w:rsidRDefault="00742F32" w:rsidP="00742F32">
      <w:r w:rsidRPr="007A14E2">
        <w:t xml:space="preserve">In some cases – notably in the area of payment cards - some PSPs may opt out of the inter-PSP clearing and settlement process. </w:t>
      </w:r>
      <w:proofErr w:type="gramStart"/>
      <w:r w:rsidRPr="007A14E2">
        <w:t>These would normally be PSPs that are card issuers but that do not acquire transactions made with other cards, or that do not act as acquirers at all.</w:t>
      </w:r>
      <w:proofErr w:type="gramEnd"/>
      <w:r w:rsidRPr="007A14E2">
        <w:t xml:space="preserve"> Nevertheless, for their cards to be attractive to their customers</w:t>
      </w:r>
      <w:r w:rsidR="00491C9F" w:rsidRPr="007A14E2">
        <w:t>,</w:t>
      </w:r>
      <w:r w:rsidRPr="007A14E2">
        <w:t xml:space="preserve"> those cards must still be usable throughout the network of ATMs and/or POS terminals (or other merchant types), for which purpose the PSP card issuer will need access to the payments infrastructure for transaction switching. In this case, transactions </w:t>
      </w:r>
      <w:proofErr w:type="gramStart"/>
      <w:r w:rsidRPr="007A14E2">
        <w:t>are not exchanged</w:t>
      </w:r>
      <w:proofErr w:type="gramEnd"/>
      <w:r w:rsidRPr="007A14E2">
        <w:t xml:space="preserve"> among card issuers and acquirers; instead, the switch simply routes the transactions associated to the relevant PSP card issuer to him and excludes those transactions from the general clearing and settlement process. This PSP will then make payments directly to the me</w:t>
      </w:r>
      <w:r w:rsidR="009F4B19" w:rsidRPr="007A14E2">
        <w:t>rchants that accepted its card.</w:t>
      </w:r>
    </w:p>
    <w:p w14:paraId="6E1C9CFA" w14:textId="77777777" w:rsidR="00742F32" w:rsidRPr="007A14E2" w:rsidRDefault="00742F32" w:rsidP="00742F32">
      <w:r w:rsidRPr="007A14E2">
        <w:t xml:space="preserve">This type of access for switching purposes </w:t>
      </w:r>
      <w:r w:rsidR="00344A62" w:rsidRPr="007A14E2">
        <w:t>is only</w:t>
      </w:r>
      <w:r w:rsidRPr="007A14E2">
        <w:t xml:space="preserve"> likely to become popular also for i</w:t>
      </w:r>
      <w:r w:rsidR="009F4B19" w:rsidRPr="007A14E2">
        <w:t>nter-PSP mobile money payments.</w:t>
      </w:r>
    </w:p>
    <w:p w14:paraId="5ABF233F" w14:textId="3876BA5C" w:rsidR="00742F32" w:rsidRPr="007A14E2" w:rsidRDefault="00742F32" w:rsidP="00742F32">
      <w:r w:rsidRPr="007A14E2">
        <w:t xml:space="preserve">Yet in other cases, some PSPs that are direct participants are able to exchange payment transactions through the payments infrastructure but need to be </w:t>
      </w:r>
      <w:r w:rsidR="008548F2" w:rsidRPr="007A14E2">
        <w:t>"</w:t>
      </w:r>
      <w:r w:rsidRPr="007A14E2">
        <w:t>sponsored</w:t>
      </w:r>
      <w:r w:rsidR="008548F2" w:rsidRPr="007A14E2">
        <w:t>"</w:t>
      </w:r>
      <w:r w:rsidRPr="007A14E2">
        <w:t xml:space="preserve"> into clearing and settlement by another direct participant (i.e. the former PSPs cannot clear and settle with others on its own behalf, but need to do this through others).</w:t>
      </w:r>
      <w:r w:rsidRPr="007A14E2">
        <w:rPr>
          <w:rStyle w:val="FootnoteReference"/>
          <w:rFonts w:cs="Arial"/>
          <w:szCs w:val="24"/>
        </w:rPr>
        <w:footnoteReference w:id="11"/>
      </w:r>
    </w:p>
    <w:p w14:paraId="71B80E9C" w14:textId="4CFE150E" w:rsidR="00742F32" w:rsidRPr="007A14E2" w:rsidRDefault="00742F32" w:rsidP="00742F32">
      <w:r w:rsidRPr="007A14E2">
        <w:t xml:space="preserve">In summary, as noted in </w:t>
      </w:r>
      <w:r w:rsidR="008136AF" w:rsidRPr="007A14E2">
        <w:t xml:space="preserve">Part </w:t>
      </w:r>
      <w:r w:rsidRPr="007A14E2">
        <w:t>a</w:t>
      </w:r>
      <w:r w:rsidR="00D1175E" w:rsidRPr="007A14E2">
        <w:t>)</w:t>
      </w:r>
      <w:r w:rsidRPr="007A14E2">
        <w:t xml:space="preserve">, access to payment infrastructures can be either direct or indirect. However, in cases like the ones described above access may be a mix of the two: i.e. there may be </w:t>
      </w:r>
      <w:r w:rsidR="008548F2" w:rsidRPr="007A14E2">
        <w:t>"</w:t>
      </w:r>
      <w:r w:rsidRPr="007A14E2">
        <w:t>direct access</w:t>
      </w:r>
      <w:r w:rsidR="008548F2" w:rsidRPr="007A14E2">
        <w:t>"</w:t>
      </w:r>
      <w:r w:rsidRPr="007A14E2">
        <w:t xml:space="preserve"> when it comes to transaction switching/exchanges, but inter-PSP transaction clearing and settlement may occur under indirect access.</w:t>
      </w:r>
    </w:p>
    <w:p w14:paraId="3D157800" w14:textId="6B587739" w:rsidR="00742F32" w:rsidRPr="007A14E2" w:rsidRDefault="00833460" w:rsidP="00976458">
      <w:pPr>
        <w:pStyle w:val="Headingb"/>
      </w:pPr>
      <w:bookmarkStart w:id="50" w:name="_Toc459225679"/>
      <w:bookmarkStart w:id="51" w:name="_Toc8394996"/>
      <w:bookmarkStart w:id="52" w:name="_Toc17730768"/>
      <w:r w:rsidRPr="007A14E2">
        <w:lastRenderedPageBreak/>
        <w:t>c)</w:t>
      </w:r>
      <w:r w:rsidRPr="007A14E2">
        <w:tab/>
      </w:r>
      <w:r w:rsidR="00742F32" w:rsidRPr="007A14E2">
        <w:t>Access for operators of other payment systems</w:t>
      </w:r>
      <w:bookmarkEnd w:id="50"/>
      <w:bookmarkEnd w:id="51"/>
      <w:bookmarkEnd w:id="52"/>
    </w:p>
    <w:p w14:paraId="7BA95F41" w14:textId="77777777" w:rsidR="00742F32" w:rsidRPr="007A14E2" w:rsidRDefault="00742F32" w:rsidP="00916B16">
      <w:r w:rsidRPr="007A14E2">
        <w:t>Payment infrastructures like ACHs, payment card switches and others increasingly settle their final balances in an RTGS system operated by the central bank.</w:t>
      </w:r>
      <w:r w:rsidRPr="007A14E2">
        <w:rPr>
          <w:rStyle w:val="FootnoteReference"/>
          <w:rFonts w:cs="Arial"/>
          <w:szCs w:val="24"/>
        </w:rPr>
        <w:footnoteReference w:id="12"/>
      </w:r>
      <w:r w:rsidRPr="007A14E2">
        <w:t xml:space="preserve"> When this is the case, the operators of those infrastructures will need to have some form of access to the RTGS system.</w:t>
      </w:r>
    </w:p>
    <w:p w14:paraId="2BB836DA" w14:textId="77777777" w:rsidR="00742F32" w:rsidRPr="007A14E2" w:rsidRDefault="00742F32" w:rsidP="00363BCD">
      <w:pPr>
        <w:keepNext/>
        <w:keepLines/>
      </w:pPr>
      <w:proofErr w:type="gramStart"/>
      <w:r w:rsidRPr="007A14E2">
        <w:t>It should be noted that participation by a PSP and by an operator of another payment system are different in nature, and this is very often reflected in different access criteria for each of them and in the conditions under which they are allowed to operate in the RTGS system (e.g. the various system functionalities and serv</w:t>
      </w:r>
      <w:r w:rsidR="009F4B19" w:rsidRPr="007A14E2">
        <w:t>ices they will have access to).</w:t>
      </w:r>
      <w:proofErr w:type="gramEnd"/>
    </w:p>
    <w:p w14:paraId="551D14F2" w14:textId="77777777" w:rsidR="00742F32" w:rsidRPr="007A14E2" w:rsidRDefault="00742F32" w:rsidP="00916B16">
      <w:r w:rsidRPr="007A14E2">
        <w:t>For example, different from a PSP that settles vis-à-vis other PSPs, an operator of another payments system generally only settles in the RTGS system the final balances of their participants. Hence, on one hand an operator may only need discrete access to the RTGS system (e.g. to settle the balances of each settlement cycle, which may be one or few per day).</w:t>
      </w:r>
      <w:r w:rsidRPr="007A14E2">
        <w:rPr>
          <w:rStyle w:val="FootnoteReference"/>
          <w:rFonts w:cs="Arial"/>
          <w:szCs w:val="24"/>
        </w:rPr>
        <w:footnoteReference w:id="13"/>
      </w:r>
    </w:p>
    <w:p w14:paraId="57B97A41" w14:textId="77777777" w:rsidR="00742F32" w:rsidRPr="007A14E2" w:rsidRDefault="00742F32" w:rsidP="00916B16">
      <w:proofErr w:type="gramStart"/>
      <w:r w:rsidRPr="007A14E2">
        <w:t xml:space="preserve">In another example, an operator of a retail payments infrastructure will not normally undertake credit risks vis-à-vis its participants, and will only settle the outcome of a settlement cycle once it has received all </w:t>
      </w:r>
      <w:r w:rsidR="00344A62" w:rsidRPr="007A14E2">
        <w:t xml:space="preserve">of </w:t>
      </w:r>
      <w:r w:rsidRPr="007A14E2">
        <w:t>the necessary funds from participants with a debit position at the end of that cycle, in order to credit those funds to participants with a credit position at the end of the cycle.</w:t>
      </w:r>
      <w:proofErr w:type="gramEnd"/>
      <w:r w:rsidRPr="007A14E2">
        <w:t xml:space="preserve"> For this reason, an operator will only rarely need to use features of the RTGS system such as payment instruction queuing, or using intraday credit from the central bank.</w:t>
      </w:r>
    </w:p>
    <w:p w14:paraId="0193F080" w14:textId="299BAFD5" w:rsidR="00742F32" w:rsidRPr="007A14E2" w:rsidRDefault="00742F32" w:rsidP="00916B16">
      <w:r w:rsidRPr="007A14E2">
        <w:t xml:space="preserve">Worldwide trends on the issues described in this </w:t>
      </w:r>
      <w:r w:rsidR="00491C9F" w:rsidRPr="007A14E2">
        <w:t>clause</w:t>
      </w:r>
      <w:r w:rsidRPr="007A14E2">
        <w:t xml:space="preserve"> </w:t>
      </w:r>
      <w:proofErr w:type="gramStart"/>
      <w:r w:rsidRPr="007A14E2">
        <w:t>are explored</w:t>
      </w:r>
      <w:proofErr w:type="gramEnd"/>
      <w:r w:rsidRPr="007A14E2">
        <w:t xml:space="preserve"> in </w:t>
      </w:r>
      <w:r w:rsidR="00491C9F" w:rsidRPr="007A14E2">
        <w:t>clause 10</w:t>
      </w:r>
      <w:r w:rsidRPr="007A14E2">
        <w:t xml:space="preserve">. Likewise, these aspects </w:t>
      </w:r>
      <w:proofErr w:type="gramStart"/>
      <w:r w:rsidRPr="007A14E2">
        <w:t>are further illustrated</w:t>
      </w:r>
      <w:proofErr w:type="gramEnd"/>
      <w:r w:rsidRPr="007A14E2">
        <w:t xml:space="preserve"> with specific country cases in Annex I.</w:t>
      </w:r>
    </w:p>
    <w:p w14:paraId="237E0CA8" w14:textId="0A0E678D" w:rsidR="00916B16" w:rsidRPr="007A14E2" w:rsidRDefault="00833460" w:rsidP="00916B16">
      <w:pPr>
        <w:pStyle w:val="Heading1"/>
      </w:pPr>
      <w:bookmarkStart w:id="53" w:name="_Toc459225680"/>
      <w:bookmarkStart w:id="54" w:name="_Toc8394997"/>
      <w:bookmarkStart w:id="55" w:name="_Toc17730769"/>
      <w:r w:rsidRPr="007A14E2">
        <w:t>9</w:t>
      </w:r>
      <w:r w:rsidRPr="007A14E2">
        <w:tab/>
      </w:r>
      <w:r w:rsidR="00916B16" w:rsidRPr="007A14E2">
        <w:t xml:space="preserve">Legal </w:t>
      </w:r>
      <w:r w:rsidR="00344A62" w:rsidRPr="007A14E2">
        <w:t>and</w:t>
      </w:r>
      <w:r w:rsidR="00916B16" w:rsidRPr="007A14E2">
        <w:t xml:space="preserve"> regulatory, ownership and governance aspects</w:t>
      </w:r>
      <w:bookmarkEnd w:id="53"/>
      <w:bookmarkEnd w:id="54"/>
      <w:bookmarkEnd w:id="55"/>
    </w:p>
    <w:p w14:paraId="35B85EAD" w14:textId="77777777" w:rsidR="00916B16" w:rsidRPr="007A14E2" w:rsidRDefault="00916B16" w:rsidP="00916B16">
      <w:r w:rsidRPr="007A14E2">
        <w:t xml:space="preserve">Access to payment infrastructures </w:t>
      </w:r>
      <w:proofErr w:type="gramStart"/>
      <w:r w:rsidRPr="007A14E2">
        <w:t>is regulated</w:t>
      </w:r>
      <w:proofErr w:type="gramEnd"/>
      <w:r w:rsidRPr="007A14E2">
        <w:t xml:space="preserve"> in some form in the vast majority of countries. Access issues </w:t>
      </w:r>
      <w:proofErr w:type="gramStart"/>
      <w:r w:rsidRPr="007A14E2">
        <w:t>may be provided for</w:t>
      </w:r>
      <w:proofErr w:type="gramEnd"/>
      <w:r w:rsidRPr="007A14E2">
        <w:t xml:space="preserve"> in laws, general regulations and/or rules that are specific to the re</w:t>
      </w:r>
      <w:r w:rsidR="009F4B19" w:rsidRPr="007A14E2">
        <w:t>levant payments infrastructure.</w:t>
      </w:r>
    </w:p>
    <w:p w14:paraId="7D14E96D" w14:textId="77777777" w:rsidR="00916B16" w:rsidRPr="007A14E2" w:rsidRDefault="00916B16" w:rsidP="00916B16">
      <w:r w:rsidRPr="007A14E2">
        <w:t xml:space="preserve">The law(s) and/or regulation(s) that refers to access to a given payments infrastructure may state that access to that infrastructure is confined to banks only, or to banks and a limited set of licensed and regulated non-bank financial institutions (NBFIs). In some </w:t>
      </w:r>
      <w:proofErr w:type="gramStart"/>
      <w:r w:rsidRPr="007A14E2">
        <w:t>cases</w:t>
      </w:r>
      <w:proofErr w:type="gramEnd"/>
      <w:r w:rsidRPr="007A14E2">
        <w:t xml:space="preserve"> the applicable law(s) or regulation(s) will not limit access directly as such, but may require for a PSP that wishes to become a direct participant of a payments infrastructure to hold a settlement account at the national central bank. Access to a settlement account at the central bank may in turn be limited to banks only and to selected NBFIs. In other cases, central banks that operate a RTGS system </w:t>
      </w:r>
      <w:proofErr w:type="gramStart"/>
      <w:r w:rsidRPr="007A14E2">
        <w:t>may be forbidden</w:t>
      </w:r>
      <w:proofErr w:type="gramEnd"/>
      <w:r w:rsidRPr="007A14E2">
        <w:t xml:space="preserve"> by local laws to act as liquidity providers for unregulated financial entities.</w:t>
      </w:r>
      <w:r w:rsidRPr="007A14E2">
        <w:rPr>
          <w:rStyle w:val="FootnoteReference"/>
          <w:rFonts w:cs="Arial"/>
          <w:szCs w:val="24"/>
        </w:rPr>
        <w:footnoteReference w:id="14"/>
      </w:r>
    </w:p>
    <w:p w14:paraId="264BE333" w14:textId="4FFA03EB" w:rsidR="00916B16" w:rsidRPr="007A14E2" w:rsidRDefault="00916B16" w:rsidP="00916B16">
      <w:r w:rsidRPr="007A14E2">
        <w:t xml:space="preserve">The requirement to have a settlement account at the central bank is most common in the case of RTGS systems. All around the world, these systems settle in the accounts that system participants hold at the central bank (i.e. </w:t>
      </w:r>
      <w:r w:rsidR="008548F2" w:rsidRPr="007A14E2">
        <w:t>"</w:t>
      </w:r>
      <w:r w:rsidRPr="007A14E2">
        <w:t>central bank money</w:t>
      </w:r>
      <w:r w:rsidR="008548F2" w:rsidRPr="007A14E2">
        <w:t>"</w:t>
      </w:r>
      <w:r w:rsidRPr="007A14E2">
        <w:t>) as this is widely recognized as a safe practice for systemic</w:t>
      </w:r>
      <w:r w:rsidR="009F4B19" w:rsidRPr="007A14E2">
        <w:t>ally important payment systems.</w:t>
      </w:r>
    </w:p>
    <w:p w14:paraId="4857E4E2" w14:textId="77777777" w:rsidR="00916B16" w:rsidRPr="007A14E2" w:rsidRDefault="00916B16" w:rsidP="00916B16">
      <w:r w:rsidRPr="007A14E2">
        <w:lastRenderedPageBreak/>
        <w:t xml:space="preserve">Other payment infrastructures including ACHs and payment cards switches very often settle the final participant balances of each of their settlement cycles in central bank money as well. Hence, a PSP that does not have a settlement account at a central bank but that is a direct participant of the ACH or the card switch will most likely end up </w:t>
      </w:r>
      <w:proofErr w:type="gramStart"/>
      <w:r w:rsidRPr="007A14E2">
        <w:t>being sponsored</w:t>
      </w:r>
      <w:proofErr w:type="gramEnd"/>
      <w:r w:rsidRPr="007A14E2">
        <w:t xml:space="preserve"> into clearing and settlement. In other cases, direct participation in the ACH or switch of a PSP lacking such an account </w:t>
      </w:r>
      <w:proofErr w:type="gramStart"/>
      <w:r w:rsidRPr="007A14E2">
        <w:t>will simply not be allowed</w:t>
      </w:r>
      <w:proofErr w:type="gramEnd"/>
      <w:r w:rsidRPr="007A14E2">
        <w:t>.</w:t>
      </w:r>
    </w:p>
    <w:p w14:paraId="6EF48545" w14:textId="5ACF41A1" w:rsidR="00916B16" w:rsidRPr="007A14E2" w:rsidRDefault="00833460" w:rsidP="00976458">
      <w:pPr>
        <w:pStyle w:val="Headingb"/>
      </w:pPr>
      <w:bookmarkStart w:id="56" w:name="_Toc459225681"/>
      <w:bookmarkStart w:id="57" w:name="_Toc8394998"/>
      <w:bookmarkStart w:id="58" w:name="_Toc17730770"/>
      <w:r w:rsidRPr="007A14E2">
        <w:t>a)</w:t>
      </w:r>
      <w:r w:rsidRPr="007A14E2">
        <w:tab/>
      </w:r>
      <w:r w:rsidR="00916B16" w:rsidRPr="007A14E2">
        <w:t>System access rules</w:t>
      </w:r>
      <w:bookmarkEnd w:id="56"/>
      <w:bookmarkEnd w:id="57"/>
      <w:bookmarkEnd w:id="58"/>
    </w:p>
    <w:p w14:paraId="35A999BC" w14:textId="77777777" w:rsidR="00916B16" w:rsidRPr="007A14E2" w:rsidRDefault="00916B16" w:rsidP="00916B16">
      <w:r w:rsidRPr="007A14E2">
        <w:t xml:space="preserve">Payment infrastructures generally have rules that state the specific criteria to </w:t>
      </w:r>
      <w:proofErr w:type="gramStart"/>
      <w:r w:rsidRPr="007A14E2">
        <w:t>be met</w:t>
      </w:r>
      <w:proofErr w:type="gramEnd"/>
      <w:r w:rsidRPr="007A14E2">
        <w:t xml:space="preserve"> by any PSP that wishes to become a direct participant. Access criteria typically include technical, fi</w:t>
      </w:r>
      <w:r w:rsidR="009F4B19" w:rsidRPr="007A14E2">
        <w:t>nancial and other requirements.</w:t>
      </w:r>
    </w:p>
    <w:p w14:paraId="467B89E7" w14:textId="77777777" w:rsidR="00916B16" w:rsidRPr="007A14E2" w:rsidRDefault="00916B16" w:rsidP="00916B16">
      <w:r w:rsidRPr="007A14E2">
        <w:t>Technical requirements normally entail having a robust internal technological infrastructure to connect with the payments infrastructure, ensuring operational reliability and business continuity, adequate handling of anti-money laundering (AML) and combating the financing of terrorism (CFT) policies and procedures, availability of sufficient and capable staff that handle the interconnectio</w:t>
      </w:r>
      <w:r w:rsidR="009F4B19" w:rsidRPr="007A14E2">
        <w:t>n with the infrastructure, etc.</w:t>
      </w:r>
    </w:p>
    <w:p w14:paraId="0C663D23" w14:textId="77777777" w:rsidR="00916B16" w:rsidRPr="007A14E2" w:rsidRDefault="00916B16" w:rsidP="00916B16">
      <w:r w:rsidRPr="007A14E2">
        <w:t>Financial requirements generally refer to a PSP having appropriate indicators of creditworthiness (e.g. fulfilling a minimum capital requirement), and having sufficient financial resources for contributing to any pre-funded default arrangements (which are common in deferred net settlement systems such as ACHs and payment card switches).</w:t>
      </w:r>
    </w:p>
    <w:p w14:paraId="49440F80" w14:textId="77777777" w:rsidR="00916B16" w:rsidRPr="007A14E2" w:rsidRDefault="00916B16" w:rsidP="00916B16">
      <w:r w:rsidRPr="007A14E2">
        <w:t>Other requirements typically include being able to provide evidence on the good standing of the owners and managers of the PSP, on the qualifications of managers and staff (e.g. on risk management issues), etc. In addition, as earlier discussed, non-technical requirements may also include having a specific license type (e.g. a banking license) in order to become a direct participant, and/or that the applicant has a settlement account at the central bank.</w:t>
      </w:r>
    </w:p>
    <w:p w14:paraId="53138CA6" w14:textId="44628E18" w:rsidR="00916B16" w:rsidRPr="007A14E2" w:rsidRDefault="00833460" w:rsidP="00976458">
      <w:pPr>
        <w:pStyle w:val="Headingb"/>
      </w:pPr>
      <w:bookmarkStart w:id="59" w:name="_Toc8394999"/>
      <w:bookmarkStart w:id="60" w:name="_Toc17730771"/>
      <w:r w:rsidRPr="007A14E2">
        <w:t>b)</w:t>
      </w:r>
      <w:r w:rsidRPr="007A14E2">
        <w:tab/>
      </w:r>
      <w:r w:rsidR="00916B16" w:rsidRPr="007A14E2">
        <w:t>International standards and other guidance</w:t>
      </w:r>
      <w:bookmarkEnd w:id="59"/>
      <w:bookmarkEnd w:id="60"/>
    </w:p>
    <w:p w14:paraId="30078C68" w14:textId="6764E334" w:rsidR="00916B16" w:rsidRPr="007A14E2" w:rsidRDefault="00916B16" w:rsidP="00916B16">
      <w:r w:rsidRPr="007A14E2">
        <w:t>Access rules to payment infrastructures vary across countries and across the various infrastructures in each country, and keep evolving based on experience, market developments and other needs. Standards and other internationally recognized guidance for payments and other settlement systems provide general references or instructions on the features that a system</w:t>
      </w:r>
      <w:r w:rsidR="00AC4FEC" w:rsidRPr="007A14E2">
        <w:t>'</w:t>
      </w:r>
      <w:r w:rsidRPr="007A14E2">
        <w:t>s rules ought to include</w:t>
      </w:r>
      <w:r w:rsidR="009F4B19" w:rsidRPr="007A14E2">
        <w:t xml:space="preserve"> with regard to access aspects.</w:t>
      </w:r>
    </w:p>
    <w:p w14:paraId="2CA22BED" w14:textId="39EDB8CA" w:rsidR="00916B16" w:rsidRPr="007A14E2" w:rsidRDefault="00916B16" w:rsidP="00916B16">
      <w:r w:rsidRPr="007A14E2">
        <w:t xml:space="preserve">The CPMI-IOSCO </w:t>
      </w:r>
      <w:r w:rsidR="008548F2" w:rsidRPr="007A14E2">
        <w:t>"</w:t>
      </w:r>
      <w:r w:rsidRPr="007A14E2">
        <w:t>Principles for Financial Market Infrastructures</w:t>
      </w:r>
      <w:r w:rsidR="008548F2" w:rsidRPr="007A14E2">
        <w:t>"</w:t>
      </w:r>
      <w:r w:rsidRPr="007A14E2">
        <w:t xml:space="preserve"> (PFMIs) issued in 2012 are the most </w:t>
      </w:r>
      <w:proofErr w:type="gramStart"/>
      <w:r w:rsidRPr="007A14E2">
        <w:t>widely-recognized</w:t>
      </w:r>
      <w:proofErr w:type="gramEnd"/>
      <w:r w:rsidRPr="007A14E2">
        <w:t xml:space="preserve"> international standards for payment systems and other financial market infrastructures (FMIs).</w:t>
      </w:r>
      <w:r w:rsidRPr="007A14E2">
        <w:rPr>
          <w:rStyle w:val="FootnoteReference"/>
          <w:rFonts w:cs="Arial"/>
          <w:szCs w:val="24"/>
        </w:rPr>
        <w:footnoteReference w:id="15"/>
      </w:r>
      <w:r w:rsidRPr="007A14E2">
        <w:t xml:space="preserve"> Although the PFMIs were designed for being applicable to systemically important payment systems (and other FMIs), many central banks also apply the PFMIs, or a subset thereof, to the main retail payment systems in their jurisdiction.</w:t>
      </w:r>
    </w:p>
    <w:p w14:paraId="647BFB23" w14:textId="261908E5" w:rsidR="00916B16" w:rsidRPr="007A14E2" w:rsidRDefault="00916B16" w:rsidP="00916B16">
      <w:r w:rsidRPr="007A14E2">
        <w:t xml:space="preserve">The PFMIs contain a specific principle on the issue of access to the infrastructure. Principle 18 on </w:t>
      </w:r>
      <w:r w:rsidR="008548F2" w:rsidRPr="007A14E2">
        <w:t>"</w:t>
      </w:r>
      <w:r w:rsidRPr="007A14E2">
        <w:t>Access and participa</w:t>
      </w:r>
      <w:r w:rsidR="009F4B19" w:rsidRPr="007A14E2">
        <w:t>tion requirements</w:t>
      </w:r>
      <w:r w:rsidR="008548F2" w:rsidRPr="007A14E2">
        <w:t>"</w:t>
      </w:r>
      <w:r w:rsidR="009F4B19" w:rsidRPr="007A14E2">
        <w:t xml:space="preserve"> states that:</w:t>
      </w:r>
    </w:p>
    <w:p w14:paraId="035E57F8" w14:textId="77777777" w:rsidR="00916B16" w:rsidRPr="007A14E2" w:rsidRDefault="00916B16" w:rsidP="00916B16">
      <w:pPr>
        <w:rPr>
          <w:i/>
          <w:iCs/>
        </w:rPr>
      </w:pPr>
      <w:r w:rsidRPr="007A14E2">
        <w:rPr>
          <w:i/>
          <w:iCs/>
        </w:rPr>
        <w:t>An FMI should have objective, risk-based, and publicly disclosed criteria for participation, whi</w:t>
      </w:r>
      <w:r w:rsidR="009F4B19" w:rsidRPr="007A14E2">
        <w:rPr>
          <w:i/>
          <w:iCs/>
        </w:rPr>
        <w:t>ch permit fair and open access.</w:t>
      </w:r>
    </w:p>
    <w:p w14:paraId="556167EF" w14:textId="77777777" w:rsidR="00916B16" w:rsidRPr="007A14E2" w:rsidRDefault="00916B16" w:rsidP="00916B16">
      <w:r w:rsidRPr="007A14E2">
        <w:t xml:space="preserve">According to this principle, a payments system (and other FMIs) should allow for fair and open access to its services, based on reasonable risk-related participation requirements. In other words, a payments system should allow for fair and open access to its services, but at the same </w:t>
      </w:r>
      <w:proofErr w:type="gramStart"/>
      <w:r w:rsidRPr="007A14E2">
        <w:t>time</w:t>
      </w:r>
      <w:proofErr w:type="gramEnd"/>
      <w:r w:rsidRPr="007A14E2">
        <w:t xml:space="preserve"> it must control the risks to which it is exposed by its participants by setting the necessary risk-related requirements for </w:t>
      </w:r>
      <w:r w:rsidRPr="007A14E2">
        <w:lastRenderedPageBreak/>
        <w:t>participation in its services. The latter should have the least-restrictive impact on access and competition that circumstances permit.</w:t>
      </w:r>
    </w:p>
    <w:p w14:paraId="14DD276D" w14:textId="77777777" w:rsidR="00916B16" w:rsidRPr="007A14E2" w:rsidRDefault="00916B16" w:rsidP="00916B16">
      <w:r w:rsidRPr="007A14E2">
        <w:t>Moreover, the operator of a payments infrastructure must set robust risk management controls for day-to-day operations. The effectiveness of these controls may also mitigate the need for the operator to impose onerous participation requirements that limit access.</w:t>
      </w:r>
    </w:p>
    <w:p w14:paraId="033E2DC9" w14:textId="57E86E2A" w:rsidR="00916B16" w:rsidRPr="007A14E2" w:rsidRDefault="00916B16" w:rsidP="00916B16">
      <w:r w:rsidRPr="007A14E2">
        <w:t xml:space="preserve">More recently, in their 2016 </w:t>
      </w:r>
      <w:r w:rsidR="008548F2" w:rsidRPr="007A14E2">
        <w:t>"</w:t>
      </w:r>
      <w:r w:rsidRPr="007A14E2">
        <w:t>Payment Aspects of Financial Inclusion</w:t>
      </w:r>
      <w:r w:rsidR="008548F2" w:rsidRPr="007A14E2">
        <w:t>"</w:t>
      </w:r>
      <w:r w:rsidRPr="007A14E2">
        <w:t xml:space="preserve"> report the CPMI and the World Bank Group further recognize the importance for financial inclusion of appropriate access to infrastructures and their interoperability. For example, two of the key actions that relate to Guiding Principle 3</w:t>
      </w:r>
      <w:r w:rsidRPr="007A14E2">
        <w:rPr>
          <w:rStyle w:val="FootnoteReference"/>
          <w:rFonts w:cs="Arial"/>
          <w:szCs w:val="24"/>
        </w:rPr>
        <w:footnoteReference w:id="16"/>
      </w:r>
      <w:r w:rsidRPr="007A14E2">
        <w:t xml:space="preserve"> in t</w:t>
      </w:r>
      <w:r w:rsidR="009F4B19" w:rsidRPr="007A14E2">
        <w:t>hat report state the following:</w:t>
      </w:r>
    </w:p>
    <w:p w14:paraId="036F1971" w14:textId="77777777" w:rsidR="00916B16" w:rsidRPr="007A14E2" w:rsidRDefault="00916B16" w:rsidP="00916B16">
      <w:pPr>
        <w:pStyle w:val="enumlev1"/>
      </w:pPr>
      <w:r w:rsidRPr="007A14E2">
        <w:t>•</w:t>
      </w:r>
      <w:r w:rsidRPr="007A14E2">
        <w:tab/>
        <w:t>Payment infrastructures, including those operated by central banks, have objective, risk-based participation requirements that permit fair and open access to their services.</w:t>
      </w:r>
    </w:p>
    <w:p w14:paraId="582FB7FA" w14:textId="77777777" w:rsidR="00916B16" w:rsidRPr="007A14E2" w:rsidRDefault="00916B16" w:rsidP="00916B16">
      <w:pPr>
        <w:pStyle w:val="enumlev1"/>
      </w:pPr>
      <w:r w:rsidRPr="007A14E2">
        <w:t>•</w:t>
      </w:r>
      <w:r w:rsidRPr="007A14E2">
        <w:tab/>
        <w:t xml:space="preserve">Increased interoperability of and access to infrastructures supporting the switching, processing, clearing and settlement of payment instruments of the same kind </w:t>
      </w:r>
      <w:proofErr w:type="gramStart"/>
      <w:r w:rsidRPr="007A14E2">
        <w:t>are promoted</w:t>
      </w:r>
      <w:proofErr w:type="gramEnd"/>
      <w:r w:rsidRPr="007A14E2">
        <w:t>, where this could lead to material reductions in cost and to broader availability consistent with the local regulatory regime, in order to leverage the positive network externalities of transaction accounts.</w:t>
      </w:r>
    </w:p>
    <w:p w14:paraId="39B1DDEF" w14:textId="4EE8D4F0" w:rsidR="00916B16" w:rsidRPr="007A14E2" w:rsidRDefault="00833460" w:rsidP="00976458">
      <w:pPr>
        <w:pStyle w:val="Headingb"/>
      </w:pPr>
      <w:bookmarkStart w:id="61" w:name="_Toc459225683"/>
      <w:bookmarkStart w:id="62" w:name="_Toc8395000"/>
      <w:bookmarkStart w:id="63" w:name="_Toc17730772"/>
      <w:r w:rsidRPr="007A14E2">
        <w:t>c)</w:t>
      </w:r>
      <w:r w:rsidRPr="007A14E2">
        <w:tab/>
      </w:r>
      <w:r w:rsidR="00916B16" w:rsidRPr="007A14E2">
        <w:t>Ownership and governance of payments infrastructures</w:t>
      </w:r>
      <w:bookmarkEnd w:id="61"/>
      <w:bookmarkEnd w:id="62"/>
      <w:bookmarkEnd w:id="63"/>
    </w:p>
    <w:p w14:paraId="779BE87F" w14:textId="2B20C812" w:rsidR="00916B16" w:rsidRPr="007A14E2" w:rsidRDefault="00916B16" w:rsidP="00916B16">
      <w:r w:rsidRPr="007A14E2">
        <w:t xml:space="preserve">As mentioned in </w:t>
      </w:r>
      <w:r w:rsidR="00D1175E" w:rsidRPr="007A14E2">
        <w:t>clause 8</w:t>
      </w:r>
      <w:r w:rsidRPr="007A14E2">
        <w:t xml:space="preserve">, RTGS systems </w:t>
      </w:r>
      <w:proofErr w:type="gramStart"/>
      <w:r w:rsidRPr="007A14E2">
        <w:t>are owned</w:t>
      </w:r>
      <w:proofErr w:type="gramEnd"/>
      <w:r w:rsidRPr="007A14E2">
        <w:t xml:space="preserve"> by central banks </w:t>
      </w:r>
      <w:r w:rsidR="00023097" w:rsidRPr="007A14E2">
        <w:t>that</w:t>
      </w:r>
      <w:r w:rsidRPr="007A14E2">
        <w:t xml:space="preserve"> are very often bounded by their respective organic laws on the types of entities that can become direct participants of this and other payment systems they operate. Many central banks in their role as monetary and financial stability authorities also limit participation </w:t>
      </w:r>
      <w:proofErr w:type="gramStart"/>
      <w:r w:rsidRPr="007A14E2">
        <w:t>on the basis of</w:t>
      </w:r>
      <w:proofErr w:type="gramEnd"/>
      <w:r w:rsidRPr="007A14E2">
        <w:t xml:space="preserve"> concerns of potential negative implications of NBFIs and other entities becoming direct participants in the RTGS system.</w:t>
      </w:r>
      <w:r w:rsidRPr="007A14E2">
        <w:rPr>
          <w:rStyle w:val="FootnoteReference"/>
          <w:rFonts w:cs="Arial"/>
          <w:szCs w:val="24"/>
        </w:rPr>
        <w:footnoteReference w:id="17"/>
      </w:r>
    </w:p>
    <w:p w14:paraId="333345B3" w14:textId="77777777" w:rsidR="00916B16" w:rsidRPr="007A14E2" w:rsidRDefault="00916B16" w:rsidP="00916B16">
      <w:r w:rsidRPr="007A14E2">
        <w:t xml:space="preserve">Hence, direct participation in RTGS systems is often restricted to commercial banks and to some operators of other payment and settlement systems (e.g. retail payment systems, securities settlement systems, central counterparties, etc.). In some cases, other non-bank financial institutions that </w:t>
      </w:r>
      <w:proofErr w:type="gramStart"/>
      <w:r w:rsidRPr="007A14E2">
        <w:t>have been licensed</w:t>
      </w:r>
      <w:proofErr w:type="gramEnd"/>
      <w:r w:rsidRPr="007A14E2">
        <w:t xml:space="preserve"> and are supervised can also become direct participants.</w:t>
      </w:r>
    </w:p>
    <w:p w14:paraId="5105BDB7" w14:textId="77777777" w:rsidR="00916B16" w:rsidRPr="007A14E2" w:rsidRDefault="00916B16" w:rsidP="00916B16">
      <w:r w:rsidRPr="007A14E2">
        <w:t xml:space="preserve">ACHs </w:t>
      </w:r>
      <w:proofErr w:type="gramStart"/>
      <w:r w:rsidRPr="007A14E2">
        <w:t>can be owned</w:t>
      </w:r>
      <w:proofErr w:type="gramEnd"/>
      <w:r w:rsidRPr="007A14E2">
        <w:t xml:space="preserve"> by the central bank, by the private sector or have mixed ownership. For central bank-owned ACHs, it is common for direct participation to be restricted in the same way as for the RTGS system, often because in both cases participation is largely dependent on being able to have </w:t>
      </w:r>
      <w:r w:rsidR="009F4B19" w:rsidRPr="007A14E2">
        <w:t>an account at the central bank.</w:t>
      </w:r>
    </w:p>
    <w:p w14:paraId="644BFF94" w14:textId="0626C337" w:rsidR="00916B16" w:rsidRPr="007A14E2" w:rsidRDefault="00916B16" w:rsidP="00916B16">
      <w:r w:rsidRPr="007A14E2">
        <w:t xml:space="preserve">For privately operated ACHs two common scenarios are: 1) the ACH </w:t>
      </w:r>
      <w:proofErr w:type="gramStart"/>
      <w:r w:rsidRPr="007A14E2">
        <w:t>is owned</w:t>
      </w:r>
      <w:proofErr w:type="gramEnd"/>
      <w:r w:rsidRPr="007A14E2">
        <w:t xml:space="preserve"> by a consortium of banks and is operated as a cost </w:t>
      </w:r>
      <w:r w:rsidR="00023097" w:rsidRPr="007A14E2">
        <w:t>centre</w:t>
      </w:r>
      <w:r w:rsidRPr="007A14E2">
        <w:t xml:space="preserve"> rather than with a profit-maximizing objective; and, 2) the ACH is privately owned, with ownership being partly or largely independent from participation, and is a profit-maximizing venture. In the first scenario, direct participation tends to be limited to the banks that are also shareholders, or in some cases also to other banks as this allows the ACH to reach the whole banking sector. In the second case, direct participation tends to be open also to at least some types of non-bank </w:t>
      </w:r>
      <w:proofErr w:type="gramStart"/>
      <w:r w:rsidRPr="007A14E2">
        <w:t>PSPs as the ACH owner(s)</w:t>
      </w:r>
      <w:proofErr w:type="gramEnd"/>
      <w:r w:rsidRPr="007A14E2">
        <w:t xml:space="preserve"> will have an incentive to process the largest possible volume of transactions </w:t>
      </w:r>
      <w:r w:rsidR="00023097" w:rsidRPr="007A14E2">
        <w:t xml:space="preserve">to </w:t>
      </w:r>
      <w:r w:rsidRPr="007A14E2">
        <w:t>help it maximize total revenue and profits.</w:t>
      </w:r>
    </w:p>
    <w:p w14:paraId="5298B265" w14:textId="50C6D665" w:rsidR="00916B16" w:rsidRPr="007A14E2" w:rsidRDefault="00916B16" w:rsidP="00FB06A8">
      <w:pPr>
        <w:keepNext/>
        <w:keepLines/>
      </w:pPr>
      <w:r w:rsidRPr="007A14E2">
        <w:lastRenderedPageBreak/>
        <w:t xml:space="preserve">Similar considerations apply to payment card switches, which only rarely </w:t>
      </w:r>
      <w:proofErr w:type="gramStart"/>
      <w:r w:rsidRPr="007A14E2">
        <w:t>are owned</w:t>
      </w:r>
      <w:proofErr w:type="gramEnd"/>
      <w:r w:rsidRPr="007A14E2">
        <w:t xml:space="preserve"> by central banks. In these infrastructures, however, participation for the sole purpose of transaction routing/switching (see </w:t>
      </w:r>
      <w:r w:rsidR="00D1175E" w:rsidRPr="007A14E2">
        <w:t xml:space="preserve">clause 8, Part </w:t>
      </w:r>
      <w:r w:rsidRPr="007A14E2">
        <w:t>b</w:t>
      </w:r>
      <w:r w:rsidR="008136AF" w:rsidRPr="007A14E2">
        <w:t>)</w:t>
      </w:r>
      <w:r w:rsidRPr="007A14E2">
        <w:t>) is likely to be more open to non-banks PSPs that operate payment cards or other payment instruments that can be pro</w:t>
      </w:r>
      <w:r w:rsidR="009F4B19" w:rsidRPr="007A14E2">
        <w:t>cessed through the same switch.</w:t>
      </w:r>
    </w:p>
    <w:p w14:paraId="4700C088" w14:textId="77777777" w:rsidR="00916B16" w:rsidRPr="007A14E2" w:rsidRDefault="00916B16" w:rsidP="00916B16">
      <w:r w:rsidRPr="007A14E2">
        <w:t xml:space="preserve">The governance structure of a payments infrastructure also has a significant influence on its access policies. Infrastructures owned by bank consortia and whose governance structures are based solely or essentially on ownership (e.g. based on the percentage of company shares owned) will tend to preserve the status quo, i.e. limiting participation to owners and possibly a few other entities. </w:t>
      </w:r>
      <w:proofErr w:type="gramStart"/>
      <w:r w:rsidRPr="007A14E2">
        <w:t>Or</w:t>
      </w:r>
      <w:proofErr w:type="gramEnd"/>
      <w:r w:rsidRPr="007A14E2">
        <w:t>, even if other non-bank PSPs may access the infrastructure directly, the underlying terms and conditions might be disadvantageous relative to those that are applied to traditional participants in aspects like the initial subscription fee, monthly fee, per transaction fees, etc.</w:t>
      </w:r>
    </w:p>
    <w:p w14:paraId="02E6F435" w14:textId="6B63821D" w:rsidR="00916B16" w:rsidRPr="007A14E2" w:rsidRDefault="00916B16" w:rsidP="00916B16">
      <w:r w:rsidRPr="007A14E2">
        <w:t xml:space="preserve">In some </w:t>
      </w:r>
      <w:r w:rsidR="00023097" w:rsidRPr="007A14E2">
        <w:t>cases,</w:t>
      </w:r>
      <w:r w:rsidRPr="007A14E2">
        <w:t xml:space="preserve"> the central bank participates in the governance structure of these infrastructures, or is able to influence it through regulation and/or moral suasion so that all existing or potential participants </w:t>
      </w:r>
      <w:proofErr w:type="gramStart"/>
      <w:r w:rsidRPr="007A14E2">
        <w:t>are given</w:t>
      </w:r>
      <w:proofErr w:type="gramEnd"/>
      <w:r w:rsidRPr="007A14E2">
        <w:t xml:space="preserve"> fair access conditions.</w:t>
      </w:r>
    </w:p>
    <w:p w14:paraId="71333DB6" w14:textId="4DA61E72" w:rsidR="00916B16" w:rsidRPr="007A14E2" w:rsidRDefault="00833460" w:rsidP="00916B16">
      <w:pPr>
        <w:pStyle w:val="Heading1"/>
      </w:pPr>
      <w:bookmarkStart w:id="64" w:name="_Toc459225684"/>
      <w:bookmarkStart w:id="65" w:name="_Toc8395001"/>
      <w:bookmarkStart w:id="66" w:name="_Toc17730773"/>
      <w:r w:rsidRPr="007A14E2">
        <w:t>10</w:t>
      </w:r>
      <w:r w:rsidRPr="007A14E2">
        <w:tab/>
      </w:r>
      <w:r w:rsidR="00916B16" w:rsidRPr="007A14E2">
        <w:t>International evidence and trends</w:t>
      </w:r>
      <w:bookmarkEnd w:id="64"/>
      <w:bookmarkEnd w:id="65"/>
      <w:bookmarkEnd w:id="66"/>
    </w:p>
    <w:p w14:paraId="55D3729E" w14:textId="1F9C374D" w:rsidR="00916B16" w:rsidRPr="007A14E2" w:rsidRDefault="00916B16" w:rsidP="00916B16">
      <w:r w:rsidRPr="007A14E2">
        <w:t xml:space="preserve">The purpose of this </w:t>
      </w:r>
      <w:r w:rsidR="00277CD9" w:rsidRPr="007A14E2">
        <w:t>clause</w:t>
      </w:r>
      <w:r w:rsidRPr="007A14E2">
        <w:t xml:space="preserve"> is to show global data on access-to-payment infrastructures issues. A number of specific cases studies </w:t>
      </w:r>
      <w:proofErr w:type="gramStart"/>
      <w:r w:rsidRPr="007A14E2">
        <w:t>are then presented</w:t>
      </w:r>
      <w:proofErr w:type="gramEnd"/>
      <w:r w:rsidRPr="007A14E2">
        <w:t xml:space="preserve"> in Annex I.</w:t>
      </w:r>
    </w:p>
    <w:p w14:paraId="2BE0FFC6" w14:textId="67EFC054" w:rsidR="00916B16" w:rsidRPr="007A14E2" w:rsidRDefault="00916B16" w:rsidP="00916B16">
      <w:r w:rsidRPr="007A14E2">
        <w:t xml:space="preserve">The data shown in this </w:t>
      </w:r>
      <w:r w:rsidR="00277CD9" w:rsidRPr="007A14E2">
        <w:t>clause</w:t>
      </w:r>
      <w:r w:rsidRPr="007A14E2">
        <w:t xml:space="preserve"> </w:t>
      </w:r>
      <w:proofErr w:type="gramStart"/>
      <w:r w:rsidRPr="007A14E2">
        <w:t>have been obtained</w:t>
      </w:r>
      <w:proofErr w:type="gramEnd"/>
      <w:r w:rsidRPr="007A14E2">
        <w:t xml:space="preserve"> from the World Bank Group</w:t>
      </w:r>
      <w:r w:rsidR="00AC4FEC" w:rsidRPr="007A14E2">
        <w:t>'</w:t>
      </w:r>
      <w:r w:rsidRPr="007A14E2">
        <w:t xml:space="preserve">s Global Payment Systems Survey (GPSS). </w:t>
      </w:r>
      <w:r w:rsidR="005D565A" w:rsidRPr="007A14E2">
        <w:t>The m</w:t>
      </w:r>
      <w:r w:rsidRPr="007A14E2">
        <w:t xml:space="preserve">ost recent data </w:t>
      </w:r>
      <w:proofErr w:type="gramStart"/>
      <w:r w:rsidRPr="007A14E2">
        <w:t>was publicly released</w:t>
      </w:r>
      <w:proofErr w:type="gramEnd"/>
      <w:r w:rsidRPr="007A14E2">
        <w:t xml:space="preserve"> in 2014</w:t>
      </w:r>
      <w:r w:rsidR="005D565A" w:rsidRPr="007A14E2">
        <w:t xml:space="preserve"> and shows </w:t>
      </w:r>
      <w:r w:rsidRPr="007A14E2">
        <w:t xml:space="preserve">information as of end-2012, and is therefore referred to below as the </w:t>
      </w:r>
      <w:r w:rsidR="008548F2" w:rsidRPr="007A14E2">
        <w:t>"</w:t>
      </w:r>
      <w:r w:rsidRPr="007A14E2">
        <w:t>GPSS 2012</w:t>
      </w:r>
      <w:r w:rsidR="008548F2" w:rsidRPr="007A14E2">
        <w:t>"</w:t>
      </w:r>
      <w:r w:rsidRPr="007A14E2">
        <w:t>.</w:t>
      </w:r>
    </w:p>
    <w:p w14:paraId="71C129BD" w14:textId="7D15FA70" w:rsidR="00916B16" w:rsidRPr="007A14E2" w:rsidRDefault="00833460" w:rsidP="00976458">
      <w:pPr>
        <w:pStyle w:val="Headingb"/>
      </w:pPr>
      <w:bookmarkStart w:id="67" w:name="_Toc8395002"/>
      <w:bookmarkStart w:id="68" w:name="_Toc17730774"/>
      <w:r w:rsidRPr="007A14E2">
        <w:t>a)</w:t>
      </w:r>
      <w:r w:rsidRPr="007A14E2">
        <w:tab/>
      </w:r>
      <w:r w:rsidR="00916B16" w:rsidRPr="007A14E2">
        <w:t>Access to RTGS systems</w:t>
      </w:r>
      <w:bookmarkEnd w:id="67"/>
      <w:bookmarkEnd w:id="68"/>
    </w:p>
    <w:p w14:paraId="1A6B3D8F" w14:textId="0F4F5B43" w:rsidR="00742F32" w:rsidRPr="007A14E2" w:rsidRDefault="00742F32" w:rsidP="006A6704"/>
    <w:tbl>
      <w:tblPr>
        <w:tblW w:w="9683" w:type="dxa"/>
        <w:jc w:val="center"/>
        <w:tblLayout w:type="fixed"/>
        <w:tblLook w:val="04A0" w:firstRow="1" w:lastRow="0" w:firstColumn="1" w:lastColumn="0" w:noHBand="0" w:noVBand="1"/>
      </w:tblPr>
      <w:tblGrid>
        <w:gridCol w:w="2551"/>
        <w:gridCol w:w="1182"/>
        <w:gridCol w:w="1190"/>
        <w:gridCol w:w="1190"/>
        <w:gridCol w:w="1190"/>
        <w:gridCol w:w="1190"/>
        <w:gridCol w:w="1190"/>
      </w:tblGrid>
      <w:tr w:rsidR="006A6704" w:rsidRPr="007A14E2" w14:paraId="04F73B2D" w14:textId="77777777" w:rsidTr="006A6704">
        <w:trPr>
          <w:trHeight w:val="375"/>
          <w:tblHeader/>
          <w:jc w:val="center"/>
        </w:trPr>
        <w:tc>
          <w:tcPr>
            <w:tcW w:w="9683" w:type="dxa"/>
            <w:gridSpan w:val="7"/>
            <w:tcBorders>
              <w:bottom w:val="single" w:sz="4" w:space="0" w:color="000000"/>
            </w:tcBorders>
            <w:shd w:val="clear" w:color="auto" w:fill="auto"/>
            <w:noWrap/>
            <w:vAlign w:val="bottom"/>
          </w:tcPr>
          <w:p w14:paraId="52042B20" w14:textId="446C2528" w:rsidR="006A6704" w:rsidRPr="007A14E2" w:rsidRDefault="006A6704" w:rsidP="006A6704">
            <w:pPr>
              <w:pStyle w:val="TableNoTitle"/>
            </w:pPr>
            <w:bookmarkStart w:id="69" w:name="_Toc8393567"/>
            <w:bookmarkStart w:id="70" w:name="_Toc17731242"/>
            <w:r w:rsidRPr="007A14E2">
              <w:t>Table 1 – Access of non-bank institutions to the RTGS system</w:t>
            </w:r>
            <w:bookmarkEnd w:id="69"/>
            <w:bookmarkEnd w:id="70"/>
          </w:p>
        </w:tc>
      </w:tr>
      <w:tr w:rsidR="00916B16" w:rsidRPr="007A14E2" w14:paraId="29DA8CCF" w14:textId="77777777" w:rsidTr="006A6704">
        <w:trPr>
          <w:trHeight w:val="375"/>
          <w:tblHeader/>
          <w:jc w:val="center"/>
        </w:trPr>
        <w:tc>
          <w:tcPr>
            <w:tcW w:w="25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F256135" w14:textId="290E5D76" w:rsidR="00916B16" w:rsidRPr="007A14E2" w:rsidRDefault="00916B16" w:rsidP="00E7295E">
            <w:pPr>
              <w:pStyle w:val="Tablehead"/>
            </w:pPr>
          </w:p>
        </w:tc>
        <w:tc>
          <w:tcPr>
            <w:tcW w:w="23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0EE1F4" w14:textId="77777777" w:rsidR="00916B16" w:rsidRPr="007A14E2" w:rsidRDefault="00916B16" w:rsidP="00E7295E">
            <w:pPr>
              <w:pStyle w:val="Tablehead"/>
              <w:rPr>
                <w:bCs/>
              </w:rPr>
            </w:pPr>
            <w:r w:rsidRPr="007A14E2">
              <w:rPr>
                <w:bCs/>
              </w:rPr>
              <w:t>Supervised NBFIs</w:t>
            </w:r>
          </w:p>
        </w:tc>
        <w:tc>
          <w:tcPr>
            <w:tcW w:w="2380" w:type="dxa"/>
            <w:gridSpan w:val="2"/>
            <w:tcBorders>
              <w:top w:val="single" w:sz="4" w:space="0" w:color="auto"/>
              <w:left w:val="nil"/>
              <w:bottom w:val="single" w:sz="4" w:space="0" w:color="auto"/>
              <w:right w:val="single" w:sz="4" w:space="0" w:color="auto"/>
            </w:tcBorders>
            <w:shd w:val="clear" w:color="auto" w:fill="auto"/>
            <w:vAlign w:val="center"/>
          </w:tcPr>
          <w:p w14:paraId="6DFF3437" w14:textId="77777777" w:rsidR="00916B16" w:rsidRPr="007A14E2" w:rsidRDefault="00916B16" w:rsidP="00E7295E">
            <w:pPr>
              <w:pStyle w:val="Tablehead"/>
              <w:rPr>
                <w:bCs/>
              </w:rPr>
            </w:pPr>
            <w:r w:rsidRPr="007A14E2">
              <w:rPr>
                <w:bCs/>
              </w:rPr>
              <w:t>Unsupervised NBFIs</w:t>
            </w:r>
          </w:p>
        </w:tc>
        <w:tc>
          <w:tcPr>
            <w:tcW w:w="23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831571" w14:textId="11D26642" w:rsidR="00916B16" w:rsidRPr="007A14E2" w:rsidRDefault="00916B16" w:rsidP="00E7295E">
            <w:pPr>
              <w:pStyle w:val="Tablehead"/>
              <w:rPr>
                <w:bCs/>
              </w:rPr>
            </w:pPr>
            <w:r w:rsidRPr="007A14E2">
              <w:rPr>
                <w:bCs/>
              </w:rPr>
              <w:t xml:space="preserve">Non-financial institutions (other than Ministry of Finance </w:t>
            </w:r>
            <w:r w:rsidR="009E1B5A" w:rsidRPr="007A14E2">
              <w:rPr>
                <w:bCs/>
              </w:rPr>
              <w:br/>
            </w:r>
            <w:r w:rsidRPr="007A14E2">
              <w:rPr>
                <w:bCs/>
              </w:rPr>
              <w:t>or equivalent)</w:t>
            </w:r>
          </w:p>
        </w:tc>
      </w:tr>
      <w:tr w:rsidR="00916B16" w:rsidRPr="007A14E2" w14:paraId="1A2DB787" w14:textId="77777777" w:rsidTr="006A6704">
        <w:trPr>
          <w:trHeight w:val="1290"/>
          <w:tblHeader/>
          <w:jc w:val="center"/>
        </w:trPr>
        <w:tc>
          <w:tcPr>
            <w:tcW w:w="25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58A54F" w14:textId="77777777" w:rsidR="00916B16" w:rsidRPr="007A14E2" w:rsidRDefault="00916B16" w:rsidP="00E7295E">
            <w:pPr>
              <w:pStyle w:val="Tablehead"/>
            </w:pPr>
          </w:p>
        </w:tc>
        <w:tc>
          <w:tcPr>
            <w:tcW w:w="1182" w:type="dxa"/>
            <w:tcBorders>
              <w:top w:val="nil"/>
              <w:left w:val="nil"/>
              <w:bottom w:val="single" w:sz="4" w:space="0" w:color="auto"/>
              <w:right w:val="nil"/>
            </w:tcBorders>
            <w:shd w:val="clear" w:color="auto" w:fill="auto"/>
            <w:vAlign w:val="center"/>
            <w:hideMark/>
          </w:tcPr>
          <w:p w14:paraId="23CAA5D0" w14:textId="77777777" w:rsidR="00916B16" w:rsidRPr="007A14E2" w:rsidRDefault="00916B16" w:rsidP="00E7295E">
            <w:pPr>
              <w:pStyle w:val="Tablehead"/>
              <w:rPr>
                <w:bCs/>
              </w:rPr>
            </w:pPr>
            <w:r w:rsidRPr="007A14E2">
              <w:rPr>
                <w:bCs/>
              </w:rPr>
              <w:t>Direct access to settlement account and credit</w:t>
            </w:r>
          </w:p>
        </w:tc>
        <w:tc>
          <w:tcPr>
            <w:tcW w:w="1190" w:type="dxa"/>
            <w:tcBorders>
              <w:top w:val="nil"/>
              <w:left w:val="nil"/>
              <w:bottom w:val="single" w:sz="4" w:space="0" w:color="auto"/>
              <w:right w:val="single" w:sz="4" w:space="0" w:color="auto"/>
            </w:tcBorders>
            <w:shd w:val="clear" w:color="auto" w:fill="auto"/>
            <w:vAlign w:val="center"/>
          </w:tcPr>
          <w:p w14:paraId="3047D56F" w14:textId="77777777" w:rsidR="00916B16" w:rsidRPr="007A14E2" w:rsidRDefault="00916B16" w:rsidP="00E7295E">
            <w:pPr>
              <w:pStyle w:val="Tablehead"/>
              <w:rPr>
                <w:bCs/>
              </w:rPr>
            </w:pPr>
            <w:r w:rsidRPr="007A14E2">
              <w:rPr>
                <w:bCs/>
              </w:rPr>
              <w:t>Direct access to settlement account, NO credit</w:t>
            </w:r>
          </w:p>
        </w:tc>
        <w:tc>
          <w:tcPr>
            <w:tcW w:w="1190" w:type="dxa"/>
            <w:tcBorders>
              <w:top w:val="single" w:sz="4" w:space="0" w:color="auto"/>
              <w:left w:val="single" w:sz="4" w:space="0" w:color="auto"/>
              <w:bottom w:val="single" w:sz="4" w:space="0" w:color="auto"/>
            </w:tcBorders>
            <w:shd w:val="clear" w:color="auto" w:fill="auto"/>
            <w:vAlign w:val="center"/>
            <w:hideMark/>
          </w:tcPr>
          <w:p w14:paraId="4ED3D7FE" w14:textId="77777777" w:rsidR="00916B16" w:rsidRPr="007A14E2" w:rsidRDefault="00916B16" w:rsidP="00E7295E">
            <w:pPr>
              <w:pStyle w:val="Tablehead"/>
              <w:rPr>
                <w:bCs/>
              </w:rPr>
            </w:pPr>
            <w:r w:rsidRPr="007A14E2">
              <w:rPr>
                <w:bCs/>
              </w:rPr>
              <w:t>Direct access to settlement account and credit</w:t>
            </w:r>
          </w:p>
        </w:tc>
        <w:tc>
          <w:tcPr>
            <w:tcW w:w="1190" w:type="dxa"/>
            <w:tcBorders>
              <w:top w:val="single" w:sz="4" w:space="0" w:color="auto"/>
              <w:bottom w:val="single" w:sz="4" w:space="0" w:color="auto"/>
              <w:right w:val="single" w:sz="4" w:space="0" w:color="auto"/>
            </w:tcBorders>
            <w:shd w:val="clear" w:color="auto" w:fill="auto"/>
            <w:vAlign w:val="center"/>
          </w:tcPr>
          <w:p w14:paraId="30120EDB" w14:textId="77777777" w:rsidR="00916B16" w:rsidRPr="007A14E2" w:rsidRDefault="00916B16" w:rsidP="00E7295E">
            <w:pPr>
              <w:pStyle w:val="Tablehead"/>
              <w:rPr>
                <w:bCs/>
              </w:rPr>
            </w:pPr>
            <w:r w:rsidRPr="007A14E2">
              <w:rPr>
                <w:bCs/>
              </w:rPr>
              <w:t>Direct access to settlement account, NO credit</w:t>
            </w:r>
          </w:p>
        </w:tc>
        <w:tc>
          <w:tcPr>
            <w:tcW w:w="1190" w:type="dxa"/>
            <w:tcBorders>
              <w:top w:val="single" w:sz="4" w:space="0" w:color="auto"/>
              <w:left w:val="nil"/>
              <w:bottom w:val="single" w:sz="4" w:space="0" w:color="auto"/>
              <w:right w:val="nil"/>
            </w:tcBorders>
            <w:shd w:val="clear" w:color="auto" w:fill="auto"/>
            <w:vAlign w:val="center"/>
            <w:hideMark/>
          </w:tcPr>
          <w:p w14:paraId="3FD0AA65" w14:textId="77777777" w:rsidR="00916B16" w:rsidRPr="007A14E2" w:rsidRDefault="00916B16" w:rsidP="00E7295E">
            <w:pPr>
              <w:pStyle w:val="Tablehead"/>
              <w:rPr>
                <w:bCs/>
              </w:rPr>
            </w:pPr>
            <w:r w:rsidRPr="007A14E2">
              <w:rPr>
                <w:bCs/>
              </w:rPr>
              <w:t>Direct access to settlement account and credit</w:t>
            </w:r>
          </w:p>
        </w:tc>
        <w:tc>
          <w:tcPr>
            <w:tcW w:w="1190" w:type="dxa"/>
            <w:tcBorders>
              <w:top w:val="single" w:sz="4" w:space="0" w:color="auto"/>
              <w:left w:val="nil"/>
              <w:bottom w:val="single" w:sz="4" w:space="0" w:color="auto"/>
              <w:right w:val="single" w:sz="4" w:space="0" w:color="auto"/>
            </w:tcBorders>
            <w:shd w:val="clear" w:color="auto" w:fill="auto"/>
            <w:vAlign w:val="center"/>
          </w:tcPr>
          <w:p w14:paraId="4325BF6E" w14:textId="77777777" w:rsidR="00916B16" w:rsidRPr="007A14E2" w:rsidRDefault="00916B16" w:rsidP="00E7295E">
            <w:pPr>
              <w:pStyle w:val="Tablehead"/>
              <w:rPr>
                <w:bCs/>
              </w:rPr>
            </w:pPr>
            <w:r w:rsidRPr="007A14E2">
              <w:rPr>
                <w:bCs/>
              </w:rPr>
              <w:t>Direct access to settlement account, NO credit</w:t>
            </w:r>
          </w:p>
        </w:tc>
      </w:tr>
      <w:tr w:rsidR="00916B16" w:rsidRPr="007A14E2" w14:paraId="6CD2B2C9" w14:textId="77777777" w:rsidTr="00D30EF5">
        <w:trPr>
          <w:trHeight w:val="375"/>
          <w:jc w:val="cent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68457" w14:textId="77777777" w:rsidR="00916B16" w:rsidRPr="007A14E2" w:rsidRDefault="00916B16" w:rsidP="00E7295E">
            <w:pPr>
              <w:pStyle w:val="Tabletext"/>
              <w:rPr>
                <w:b/>
                <w:bCs/>
              </w:rPr>
            </w:pPr>
            <w:r w:rsidRPr="007A14E2">
              <w:rPr>
                <w:b/>
                <w:bCs/>
              </w:rPr>
              <w:t>Countries</w:t>
            </w:r>
          </w:p>
        </w:tc>
        <w:tc>
          <w:tcPr>
            <w:tcW w:w="1182" w:type="dxa"/>
            <w:tcBorders>
              <w:top w:val="nil"/>
              <w:left w:val="nil"/>
              <w:bottom w:val="single" w:sz="4" w:space="0" w:color="auto"/>
              <w:right w:val="nil"/>
            </w:tcBorders>
            <w:shd w:val="clear" w:color="auto" w:fill="auto"/>
            <w:noWrap/>
            <w:vAlign w:val="bottom"/>
            <w:hideMark/>
          </w:tcPr>
          <w:p w14:paraId="346FF6B1" w14:textId="77777777" w:rsidR="00916B16" w:rsidRPr="007A14E2" w:rsidRDefault="00916B16" w:rsidP="00E7295E">
            <w:pPr>
              <w:pStyle w:val="Tabletext"/>
              <w:jc w:val="center"/>
            </w:pPr>
            <w:r w:rsidRPr="007A14E2">
              <w:t>#</w:t>
            </w:r>
          </w:p>
        </w:tc>
        <w:tc>
          <w:tcPr>
            <w:tcW w:w="1190" w:type="dxa"/>
            <w:tcBorders>
              <w:top w:val="nil"/>
              <w:left w:val="nil"/>
              <w:bottom w:val="single" w:sz="4" w:space="0" w:color="auto"/>
              <w:right w:val="nil"/>
            </w:tcBorders>
            <w:shd w:val="clear" w:color="auto" w:fill="auto"/>
            <w:noWrap/>
            <w:vAlign w:val="bottom"/>
          </w:tcPr>
          <w:p w14:paraId="4657AC28" w14:textId="77777777" w:rsidR="00916B16" w:rsidRPr="007A14E2" w:rsidRDefault="00916B16" w:rsidP="00E7295E">
            <w:pPr>
              <w:pStyle w:val="Tabletext"/>
              <w:jc w:val="center"/>
            </w:pPr>
            <w:r w:rsidRPr="007A14E2">
              <w:t>#</w:t>
            </w:r>
          </w:p>
        </w:tc>
        <w:tc>
          <w:tcPr>
            <w:tcW w:w="1190" w:type="dxa"/>
            <w:tcBorders>
              <w:top w:val="nil"/>
              <w:left w:val="nil"/>
              <w:bottom w:val="single" w:sz="4" w:space="0" w:color="auto"/>
              <w:right w:val="nil"/>
            </w:tcBorders>
            <w:shd w:val="clear" w:color="auto" w:fill="auto"/>
            <w:noWrap/>
            <w:vAlign w:val="bottom"/>
            <w:hideMark/>
          </w:tcPr>
          <w:p w14:paraId="2C745BCA" w14:textId="77777777" w:rsidR="00916B16" w:rsidRPr="007A14E2" w:rsidRDefault="00916B16" w:rsidP="00E7295E">
            <w:pPr>
              <w:pStyle w:val="Tabletext"/>
              <w:jc w:val="center"/>
            </w:pPr>
            <w:r w:rsidRPr="007A14E2">
              <w:t>#</w:t>
            </w:r>
          </w:p>
        </w:tc>
        <w:tc>
          <w:tcPr>
            <w:tcW w:w="1190" w:type="dxa"/>
            <w:tcBorders>
              <w:top w:val="nil"/>
              <w:left w:val="nil"/>
              <w:bottom w:val="single" w:sz="4" w:space="0" w:color="auto"/>
              <w:right w:val="nil"/>
            </w:tcBorders>
            <w:shd w:val="clear" w:color="auto" w:fill="auto"/>
            <w:noWrap/>
            <w:vAlign w:val="bottom"/>
          </w:tcPr>
          <w:p w14:paraId="06F22562" w14:textId="77777777" w:rsidR="00916B16" w:rsidRPr="007A14E2" w:rsidRDefault="00916B16" w:rsidP="00E7295E">
            <w:pPr>
              <w:pStyle w:val="Tabletext"/>
              <w:jc w:val="center"/>
            </w:pPr>
            <w:r w:rsidRPr="007A14E2">
              <w:t>#</w:t>
            </w:r>
          </w:p>
        </w:tc>
        <w:tc>
          <w:tcPr>
            <w:tcW w:w="1190" w:type="dxa"/>
            <w:tcBorders>
              <w:top w:val="nil"/>
              <w:left w:val="nil"/>
              <w:bottom w:val="single" w:sz="4" w:space="0" w:color="auto"/>
              <w:right w:val="nil"/>
            </w:tcBorders>
            <w:shd w:val="clear" w:color="auto" w:fill="auto"/>
            <w:noWrap/>
            <w:vAlign w:val="bottom"/>
            <w:hideMark/>
          </w:tcPr>
          <w:p w14:paraId="1290E1A4" w14:textId="77777777" w:rsidR="00916B16" w:rsidRPr="007A14E2" w:rsidRDefault="00916B16" w:rsidP="00E7295E">
            <w:pPr>
              <w:pStyle w:val="Tabletext"/>
              <w:jc w:val="center"/>
            </w:pPr>
            <w:r w:rsidRPr="007A14E2">
              <w:t>#</w:t>
            </w:r>
          </w:p>
        </w:tc>
        <w:tc>
          <w:tcPr>
            <w:tcW w:w="1190" w:type="dxa"/>
            <w:tcBorders>
              <w:top w:val="nil"/>
              <w:left w:val="nil"/>
              <w:bottom w:val="single" w:sz="4" w:space="0" w:color="auto"/>
              <w:right w:val="single" w:sz="4" w:space="0" w:color="auto"/>
            </w:tcBorders>
            <w:shd w:val="clear" w:color="auto" w:fill="auto"/>
            <w:noWrap/>
            <w:vAlign w:val="bottom"/>
            <w:hideMark/>
          </w:tcPr>
          <w:p w14:paraId="5B2D1D87" w14:textId="77777777" w:rsidR="00916B16" w:rsidRPr="007A14E2" w:rsidRDefault="00916B16" w:rsidP="00E7295E">
            <w:pPr>
              <w:pStyle w:val="Tabletext"/>
              <w:jc w:val="center"/>
            </w:pPr>
            <w:r w:rsidRPr="007A14E2">
              <w:t>#</w:t>
            </w:r>
          </w:p>
        </w:tc>
      </w:tr>
      <w:tr w:rsidR="00916B16" w:rsidRPr="007A14E2" w14:paraId="5D9BF14E" w14:textId="77777777" w:rsidTr="00D30EF5">
        <w:trPr>
          <w:trHeight w:val="375"/>
          <w:jc w:val="center"/>
        </w:trPr>
        <w:tc>
          <w:tcPr>
            <w:tcW w:w="2551" w:type="dxa"/>
            <w:tcBorders>
              <w:top w:val="nil"/>
              <w:left w:val="single" w:sz="4" w:space="0" w:color="auto"/>
              <w:bottom w:val="nil"/>
              <w:right w:val="single" w:sz="4" w:space="0" w:color="auto"/>
            </w:tcBorders>
            <w:shd w:val="clear" w:color="auto" w:fill="auto"/>
            <w:noWrap/>
            <w:vAlign w:val="bottom"/>
            <w:hideMark/>
          </w:tcPr>
          <w:p w14:paraId="6A21B4B0" w14:textId="77777777" w:rsidR="00916B16" w:rsidRPr="007A14E2" w:rsidRDefault="00916B16" w:rsidP="00E7295E">
            <w:pPr>
              <w:pStyle w:val="Tabletext"/>
              <w:rPr>
                <w:b/>
                <w:bCs/>
              </w:rPr>
            </w:pPr>
            <w:r w:rsidRPr="007A14E2">
              <w:rPr>
                <w:b/>
                <w:bCs/>
              </w:rPr>
              <w:t>Total worldwide (117)</w:t>
            </w:r>
          </w:p>
        </w:tc>
        <w:tc>
          <w:tcPr>
            <w:tcW w:w="1182" w:type="dxa"/>
            <w:tcBorders>
              <w:top w:val="nil"/>
              <w:left w:val="nil"/>
              <w:bottom w:val="nil"/>
              <w:right w:val="nil"/>
            </w:tcBorders>
            <w:shd w:val="clear" w:color="auto" w:fill="auto"/>
            <w:noWrap/>
            <w:vAlign w:val="bottom"/>
            <w:hideMark/>
          </w:tcPr>
          <w:p w14:paraId="2A1DC4E4" w14:textId="77777777" w:rsidR="00916B16" w:rsidRPr="007A14E2" w:rsidRDefault="00916B16" w:rsidP="00E7295E">
            <w:pPr>
              <w:pStyle w:val="Tabletext"/>
              <w:jc w:val="center"/>
            </w:pPr>
            <w:r w:rsidRPr="007A14E2">
              <w:t>18</w:t>
            </w:r>
          </w:p>
        </w:tc>
        <w:tc>
          <w:tcPr>
            <w:tcW w:w="1190" w:type="dxa"/>
            <w:tcBorders>
              <w:top w:val="nil"/>
              <w:left w:val="nil"/>
              <w:bottom w:val="nil"/>
              <w:right w:val="single" w:sz="4" w:space="0" w:color="auto"/>
            </w:tcBorders>
            <w:shd w:val="clear" w:color="auto" w:fill="auto"/>
            <w:noWrap/>
            <w:vAlign w:val="bottom"/>
            <w:hideMark/>
          </w:tcPr>
          <w:p w14:paraId="53172975" w14:textId="77777777" w:rsidR="00916B16" w:rsidRPr="007A14E2" w:rsidRDefault="00916B16" w:rsidP="00E7295E">
            <w:pPr>
              <w:pStyle w:val="Tabletext"/>
              <w:jc w:val="center"/>
              <w:rPr>
                <w:i/>
                <w:iCs/>
              </w:rPr>
            </w:pPr>
            <w:r w:rsidRPr="007A14E2">
              <w:t>18</w:t>
            </w:r>
          </w:p>
        </w:tc>
        <w:tc>
          <w:tcPr>
            <w:tcW w:w="1190" w:type="dxa"/>
            <w:tcBorders>
              <w:top w:val="nil"/>
              <w:left w:val="single" w:sz="4" w:space="0" w:color="auto"/>
              <w:bottom w:val="nil"/>
              <w:right w:val="nil"/>
            </w:tcBorders>
            <w:shd w:val="clear" w:color="auto" w:fill="auto"/>
            <w:noWrap/>
            <w:vAlign w:val="bottom"/>
          </w:tcPr>
          <w:p w14:paraId="3A9E440C" w14:textId="77777777" w:rsidR="00916B16" w:rsidRPr="007A14E2" w:rsidRDefault="00916B16" w:rsidP="00E7295E">
            <w:pPr>
              <w:pStyle w:val="Tabletext"/>
              <w:jc w:val="center"/>
            </w:pPr>
            <w:r w:rsidRPr="007A14E2">
              <w:t>1</w:t>
            </w:r>
          </w:p>
        </w:tc>
        <w:tc>
          <w:tcPr>
            <w:tcW w:w="1190" w:type="dxa"/>
            <w:tcBorders>
              <w:top w:val="nil"/>
              <w:left w:val="nil"/>
              <w:bottom w:val="nil"/>
              <w:right w:val="single" w:sz="4" w:space="0" w:color="auto"/>
            </w:tcBorders>
            <w:shd w:val="clear" w:color="auto" w:fill="auto"/>
            <w:noWrap/>
            <w:vAlign w:val="bottom"/>
            <w:hideMark/>
          </w:tcPr>
          <w:p w14:paraId="64A55254" w14:textId="77777777" w:rsidR="00916B16" w:rsidRPr="007A14E2" w:rsidRDefault="00916B16" w:rsidP="00E7295E">
            <w:pPr>
              <w:pStyle w:val="Tabletext"/>
              <w:jc w:val="center"/>
              <w:rPr>
                <w:i/>
                <w:iCs/>
              </w:rPr>
            </w:pPr>
            <w:r w:rsidRPr="007A14E2">
              <w:t>5</w:t>
            </w:r>
          </w:p>
        </w:tc>
        <w:tc>
          <w:tcPr>
            <w:tcW w:w="1190" w:type="dxa"/>
            <w:tcBorders>
              <w:top w:val="nil"/>
              <w:left w:val="single" w:sz="4" w:space="0" w:color="auto"/>
              <w:bottom w:val="nil"/>
              <w:right w:val="nil"/>
            </w:tcBorders>
            <w:shd w:val="clear" w:color="auto" w:fill="auto"/>
            <w:noWrap/>
            <w:vAlign w:val="bottom"/>
            <w:hideMark/>
          </w:tcPr>
          <w:p w14:paraId="355455C8" w14:textId="77777777" w:rsidR="00916B16" w:rsidRPr="007A14E2" w:rsidRDefault="00916B16" w:rsidP="00E7295E">
            <w:pPr>
              <w:pStyle w:val="Tabletext"/>
              <w:jc w:val="center"/>
            </w:pPr>
            <w:r w:rsidRPr="007A14E2">
              <w:t>1</w:t>
            </w:r>
          </w:p>
        </w:tc>
        <w:tc>
          <w:tcPr>
            <w:tcW w:w="1190" w:type="dxa"/>
            <w:tcBorders>
              <w:top w:val="nil"/>
              <w:left w:val="nil"/>
              <w:bottom w:val="nil"/>
              <w:right w:val="single" w:sz="4" w:space="0" w:color="auto"/>
            </w:tcBorders>
            <w:shd w:val="clear" w:color="auto" w:fill="auto"/>
            <w:noWrap/>
            <w:vAlign w:val="bottom"/>
            <w:hideMark/>
          </w:tcPr>
          <w:p w14:paraId="7F6B9765" w14:textId="77777777" w:rsidR="00916B16" w:rsidRPr="007A14E2" w:rsidRDefault="00916B16" w:rsidP="00E7295E">
            <w:pPr>
              <w:pStyle w:val="Tabletext"/>
              <w:jc w:val="center"/>
              <w:rPr>
                <w:i/>
                <w:iCs/>
              </w:rPr>
            </w:pPr>
            <w:r w:rsidRPr="007A14E2">
              <w:t>9</w:t>
            </w:r>
          </w:p>
        </w:tc>
      </w:tr>
      <w:tr w:rsidR="00916B16" w:rsidRPr="007A14E2" w14:paraId="39148868" w14:textId="77777777" w:rsidTr="00D30EF5">
        <w:trPr>
          <w:trHeight w:val="375"/>
          <w:jc w:val="center"/>
        </w:trPr>
        <w:tc>
          <w:tcPr>
            <w:tcW w:w="2551" w:type="dxa"/>
            <w:tcBorders>
              <w:top w:val="nil"/>
              <w:left w:val="single" w:sz="4" w:space="0" w:color="auto"/>
              <w:bottom w:val="nil"/>
              <w:right w:val="single" w:sz="4" w:space="0" w:color="auto"/>
            </w:tcBorders>
            <w:shd w:val="clear" w:color="auto" w:fill="auto"/>
            <w:noWrap/>
            <w:vAlign w:val="bottom"/>
            <w:hideMark/>
          </w:tcPr>
          <w:p w14:paraId="428521AA" w14:textId="77777777" w:rsidR="00916B16" w:rsidRPr="007A14E2" w:rsidRDefault="00916B16" w:rsidP="00E7295E">
            <w:pPr>
              <w:pStyle w:val="Tabletext"/>
            </w:pPr>
          </w:p>
        </w:tc>
        <w:tc>
          <w:tcPr>
            <w:tcW w:w="1182" w:type="dxa"/>
            <w:tcBorders>
              <w:top w:val="nil"/>
              <w:left w:val="nil"/>
              <w:bottom w:val="nil"/>
              <w:right w:val="nil"/>
            </w:tcBorders>
            <w:shd w:val="clear" w:color="auto" w:fill="auto"/>
            <w:noWrap/>
            <w:vAlign w:val="bottom"/>
          </w:tcPr>
          <w:p w14:paraId="086958EB" w14:textId="77777777" w:rsidR="00916B16" w:rsidRPr="007A14E2" w:rsidRDefault="00916B16" w:rsidP="00E7295E">
            <w:pPr>
              <w:pStyle w:val="Tabletext"/>
              <w:jc w:val="center"/>
            </w:pPr>
          </w:p>
        </w:tc>
        <w:tc>
          <w:tcPr>
            <w:tcW w:w="1190" w:type="dxa"/>
            <w:tcBorders>
              <w:top w:val="nil"/>
              <w:left w:val="nil"/>
              <w:bottom w:val="nil"/>
              <w:right w:val="single" w:sz="4" w:space="0" w:color="auto"/>
            </w:tcBorders>
            <w:shd w:val="clear" w:color="auto" w:fill="auto"/>
            <w:noWrap/>
            <w:vAlign w:val="bottom"/>
          </w:tcPr>
          <w:p w14:paraId="4C84E0E6" w14:textId="77777777" w:rsidR="00916B16" w:rsidRPr="007A14E2" w:rsidRDefault="00916B16" w:rsidP="00E7295E">
            <w:pPr>
              <w:pStyle w:val="Tabletext"/>
              <w:jc w:val="center"/>
            </w:pPr>
          </w:p>
        </w:tc>
        <w:tc>
          <w:tcPr>
            <w:tcW w:w="1190" w:type="dxa"/>
            <w:tcBorders>
              <w:top w:val="nil"/>
              <w:left w:val="single" w:sz="4" w:space="0" w:color="auto"/>
              <w:bottom w:val="nil"/>
              <w:right w:val="nil"/>
            </w:tcBorders>
            <w:shd w:val="clear" w:color="auto" w:fill="auto"/>
            <w:noWrap/>
            <w:vAlign w:val="bottom"/>
          </w:tcPr>
          <w:p w14:paraId="20B4B3DE" w14:textId="77777777" w:rsidR="00916B16" w:rsidRPr="007A14E2" w:rsidRDefault="00916B16" w:rsidP="00E7295E">
            <w:pPr>
              <w:pStyle w:val="Tabletext"/>
              <w:jc w:val="center"/>
            </w:pPr>
          </w:p>
        </w:tc>
        <w:tc>
          <w:tcPr>
            <w:tcW w:w="1190" w:type="dxa"/>
            <w:tcBorders>
              <w:top w:val="nil"/>
              <w:left w:val="nil"/>
              <w:bottom w:val="nil"/>
              <w:right w:val="single" w:sz="4" w:space="0" w:color="auto"/>
            </w:tcBorders>
            <w:shd w:val="clear" w:color="auto" w:fill="auto"/>
            <w:noWrap/>
            <w:vAlign w:val="bottom"/>
          </w:tcPr>
          <w:p w14:paraId="4F651D18" w14:textId="77777777" w:rsidR="00916B16" w:rsidRPr="007A14E2" w:rsidRDefault="00916B16" w:rsidP="00E7295E">
            <w:pPr>
              <w:pStyle w:val="Tabletext"/>
              <w:jc w:val="center"/>
            </w:pPr>
          </w:p>
        </w:tc>
        <w:tc>
          <w:tcPr>
            <w:tcW w:w="1190" w:type="dxa"/>
            <w:tcBorders>
              <w:top w:val="nil"/>
              <w:left w:val="single" w:sz="4" w:space="0" w:color="auto"/>
              <w:bottom w:val="nil"/>
              <w:right w:val="nil"/>
            </w:tcBorders>
            <w:shd w:val="clear" w:color="auto" w:fill="auto"/>
            <w:noWrap/>
            <w:vAlign w:val="bottom"/>
          </w:tcPr>
          <w:p w14:paraId="751A0C90" w14:textId="77777777" w:rsidR="00916B16" w:rsidRPr="007A14E2" w:rsidRDefault="00916B16" w:rsidP="00E7295E">
            <w:pPr>
              <w:pStyle w:val="Tabletext"/>
              <w:jc w:val="center"/>
            </w:pPr>
          </w:p>
        </w:tc>
        <w:tc>
          <w:tcPr>
            <w:tcW w:w="1190" w:type="dxa"/>
            <w:tcBorders>
              <w:top w:val="nil"/>
              <w:left w:val="nil"/>
              <w:bottom w:val="nil"/>
              <w:right w:val="single" w:sz="4" w:space="0" w:color="auto"/>
            </w:tcBorders>
            <w:shd w:val="clear" w:color="auto" w:fill="auto"/>
            <w:noWrap/>
            <w:vAlign w:val="bottom"/>
            <w:hideMark/>
          </w:tcPr>
          <w:p w14:paraId="0360F145" w14:textId="77777777" w:rsidR="00916B16" w:rsidRPr="007A14E2" w:rsidRDefault="00916B16" w:rsidP="00E7295E">
            <w:pPr>
              <w:pStyle w:val="Tabletext"/>
              <w:jc w:val="center"/>
            </w:pPr>
          </w:p>
        </w:tc>
      </w:tr>
      <w:tr w:rsidR="00916B16" w:rsidRPr="007A14E2" w14:paraId="7EE3E78C" w14:textId="77777777" w:rsidTr="00D30EF5">
        <w:trPr>
          <w:trHeight w:val="375"/>
          <w:jc w:val="center"/>
        </w:trPr>
        <w:tc>
          <w:tcPr>
            <w:tcW w:w="2551" w:type="dxa"/>
            <w:tcBorders>
              <w:top w:val="nil"/>
              <w:left w:val="single" w:sz="4" w:space="0" w:color="auto"/>
              <w:bottom w:val="nil"/>
              <w:right w:val="single" w:sz="4" w:space="0" w:color="auto"/>
            </w:tcBorders>
            <w:shd w:val="clear" w:color="auto" w:fill="auto"/>
            <w:noWrap/>
            <w:vAlign w:val="bottom"/>
            <w:hideMark/>
          </w:tcPr>
          <w:p w14:paraId="63C1DB4A" w14:textId="77777777" w:rsidR="00916B16" w:rsidRPr="007A14E2" w:rsidRDefault="00916B16" w:rsidP="00E7295E">
            <w:pPr>
              <w:pStyle w:val="Tabletext"/>
              <w:rPr>
                <w:b/>
                <w:bCs/>
              </w:rPr>
            </w:pPr>
            <w:r w:rsidRPr="007A14E2">
              <w:rPr>
                <w:b/>
                <w:bCs/>
              </w:rPr>
              <w:t>By Region</w:t>
            </w:r>
          </w:p>
        </w:tc>
        <w:tc>
          <w:tcPr>
            <w:tcW w:w="1182" w:type="dxa"/>
            <w:tcBorders>
              <w:top w:val="nil"/>
              <w:left w:val="nil"/>
              <w:bottom w:val="nil"/>
              <w:right w:val="nil"/>
            </w:tcBorders>
            <w:shd w:val="clear" w:color="auto" w:fill="auto"/>
            <w:noWrap/>
            <w:vAlign w:val="bottom"/>
          </w:tcPr>
          <w:p w14:paraId="1F069A19" w14:textId="77777777" w:rsidR="00916B16" w:rsidRPr="007A14E2" w:rsidRDefault="00916B16" w:rsidP="00E7295E">
            <w:pPr>
              <w:pStyle w:val="Tabletext"/>
              <w:jc w:val="center"/>
            </w:pPr>
          </w:p>
        </w:tc>
        <w:tc>
          <w:tcPr>
            <w:tcW w:w="1190" w:type="dxa"/>
            <w:tcBorders>
              <w:top w:val="nil"/>
              <w:left w:val="nil"/>
              <w:bottom w:val="nil"/>
              <w:right w:val="single" w:sz="4" w:space="0" w:color="auto"/>
            </w:tcBorders>
            <w:shd w:val="clear" w:color="auto" w:fill="auto"/>
            <w:noWrap/>
            <w:vAlign w:val="bottom"/>
          </w:tcPr>
          <w:p w14:paraId="5B52805B" w14:textId="77777777" w:rsidR="00916B16" w:rsidRPr="007A14E2" w:rsidRDefault="00916B16" w:rsidP="00E7295E">
            <w:pPr>
              <w:pStyle w:val="Tabletext"/>
              <w:jc w:val="center"/>
            </w:pPr>
          </w:p>
        </w:tc>
        <w:tc>
          <w:tcPr>
            <w:tcW w:w="1190" w:type="dxa"/>
            <w:tcBorders>
              <w:top w:val="nil"/>
              <w:left w:val="single" w:sz="4" w:space="0" w:color="auto"/>
              <w:bottom w:val="nil"/>
              <w:right w:val="nil"/>
            </w:tcBorders>
            <w:shd w:val="clear" w:color="auto" w:fill="auto"/>
            <w:noWrap/>
            <w:vAlign w:val="bottom"/>
          </w:tcPr>
          <w:p w14:paraId="071303A5" w14:textId="77777777" w:rsidR="00916B16" w:rsidRPr="007A14E2" w:rsidRDefault="00916B16" w:rsidP="00E7295E">
            <w:pPr>
              <w:pStyle w:val="Tabletext"/>
              <w:jc w:val="center"/>
            </w:pPr>
          </w:p>
        </w:tc>
        <w:tc>
          <w:tcPr>
            <w:tcW w:w="1190" w:type="dxa"/>
            <w:tcBorders>
              <w:top w:val="nil"/>
              <w:left w:val="nil"/>
              <w:bottom w:val="nil"/>
              <w:right w:val="single" w:sz="4" w:space="0" w:color="auto"/>
            </w:tcBorders>
            <w:shd w:val="clear" w:color="auto" w:fill="auto"/>
            <w:noWrap/>
            <w:vAlign w:val="bottom"/>
          </w:tcPr>
          <w:p w14:paraId="7F7F8995" w14:textId="77777777" w:rsidR="00916B16" w:rsidRPr="007A14E2" w:rsidRDefault="00916B16" w:rsidP="00E7295E">
            <w:pPr>
              <w:pStyle w:val="Tabletext"/>
              <w:jc w:val="center"/>
            </w:pPr>
          </w:p>
        </w:tc>
        <w:tc>
          <w:tcPr>
            <w:tcW w:w="1190" w:type="dxa"/>
            <w:tcBorders>
              <w:top w:val="nil"/>
              <w:left w:val="single" w:sz="4" w:space="0" w:color="auto"/>
              <w:bottom w:val="nil"/>
              <w:right w:val="nil"/>
            </w:tcBorders>
            <w:shd w:val="clear" w:color="auto" w:fill="auto"/>
            <w:noWrap/>
            <w:vAlign w:val="bottom"/>
          </w:tcPr>
          <w:p w14:paraId="5ACE259E" w14:textId="77777777" w:rsidR="00916B16" w:rsidRPr="007A14E2" w:rsidRDefault="00916B16" w:rsidP="00E7295E">
            <w:pPr>
              <w:pStyle w:val="Tabletext"/>
              <w:jc w:val="center"/>
            </w:pPr>
          </w:p>
        </w:tc>
        <w:tc>
          <w:tcPr>
            <w:tcW w:w="1190" w:type="dxa"/>
            <w:tcBorders>
              <w:top w:val="nil"/>
              <w:left w:val="nil"/>
              <w:bottom w:val="nil"/>
              <w:right w:val="single" w:sz="4" w:space="0" w:color="auto"/>
            </w:tcBorders>
            <w:shd w:val="clear" w:color="auto" w:fill="auto"/>
            <w:noWrap/>
            <w:vAlign w:val="bottom"/>
            <w:hideMark/>
          </w:tcPr>
          <w:p w14:paraId="31860E6B" w14:textId="77777777" w:rsidR="00916B16" w:rsidRPr="007A14E2" w:rsidRDefault="00916B16" w:rsidP="00E7295E">
            <w:pPr>
              <w:pStyle w:val="Tabletext"/>
              <w:jc w:val="center"/>
            </w:pPr>
          </w:p>
        </w:tc>
      </w:tr>
      <w:tr w:rsidR="00916B16" w:rsidRPr="007A14E2" w14:paraId="3817A995" w14:textId="77777777" w:rsidTr="00D30EF5">
        <w:trPr>
          <w:trHeight w:val="375"/>
          <w:jc w:val="center"/>
        </w:trPr>
        <w:tc>
          <w:tcPr>
            <w:tcW w:w="2551" w:type="dxa"/>
            <w:tcBorders>
              <w:top w:val="nil"/>
              <w:left w:val="single" w:sz="4" w:space="0" w:color="auto"/>
              <w:bottom w:val="nil"/>
              <w:right w:val="single" w:sz="4" w:space="0" w:color="auto"/>
            </w:tcBorders>
            <w:shd w:val="clear" w:color="auto" w:fill="auto"/>
            <w:noWrap/>
            <w:vAlign w:val="bottom"/>
            <w:hideMark/>
          </w:tcPr>
          <w:p w14:paraId="0836ED69" w14:textId="77777777" w:rsidR="00916B16" w:rsidRPr="007A14E2" w:rsidRDefault="00916B16" w:rsidP="00E7295E">
            <w:pPr>
              <w:pStyle w:val="Tabletext"/>
            </w:pPr>
            <w:r w:rsidRPr="007A14E2">
              <w:t>East Asia and the Pacific (9)</w:t>
            </w:r>
          </w:p>
        </w:tc>
        <w:tc>
          <w:tcPr>
            <w:tcW w:w="1182" w:type="dxa"/>
            <w:tcBorders>
              <w:top w:val="nil"/>
              <w:left w:val="nil"/>
              <w:bottom w:val="nil"/>
              <w:right w:val="nil"/>
            </w:tcBorders>
            <w:shd w:val="clear" w:color="auto" w:fill="auto"/>
            <w:noWrap/>
            <w:vAlign w:val="bottom"/>
            <w:hideMark/>
          </w:tcPr>
          <w:p w14:paraId="3E3E78E3" w14:textId="77777777" w:rsidR="00916B16" w:rsidRPr="007A14E2" w:rsidRDefault="00916B16" w:rsidP="00E7295E">
            <w:pPr>
              <w:pStyle w:val="Tabletext"/>
              <w:jc w:val="center"/>
            </w:pPr>
            <w:r w:rsidRPr="007A14E2">
              <w:t>1</w:t>
            </w:r>
          </w:p>
        </w:tc>
        <w:tc>
          <w:tcPr>
            <w:tcW w:w="1190" w:type="dxa"/>
            <w:tcBorders>
              <w:top w:val="nil"/>
              <w:left w:val="nil"/>
              <w:bottom w:val="nil"/>
              <w:right w:val="single" w:sz="4" w:space="0" w:color="auto"/>
            </w:tcBorders>
            <w:shd w:val="clear" w:color="auto" w:fill="auto"/>
            <w:noWrap/>
            <w:vAlign w:val="bottom"/>
            <w:hideMark/>
          </w:tcPr>
          <w:p w14:paraId="7DB06897" w14:textId="77777777" w:rsidR="00916B16" w:rsidRPr="007A14E2" w:rsidRDefault="00916B16" w:rsidP="00E7295E">
            <w:pPr>
              <w:pStyle w:val="Tabletext"/>
              <w:jc w:val="center"/>
              <w:rPr>
                <w:i/>
                <w:iCs/>
              </w:rPr>
            </w:pPr>
            <w:r w:rsidRPr="007A14E2">
              <w:t>3</w:t>
            </w:r>
          </w:p>
        </w:tc>
        <w:tc>
          <w:tcPr>
            <w:tcW w:w="1190" w:type="dxa"/>
            <w:tcBorders>
              <w:top w:val="nil"/>
              <w:left w:val="single" w:sz="4" w:space="0" w:color="auto"/>
              <w:bottom w:val="nil"/>
              <w:right w:val="nil"/>
            </w:tcBorders>
            <w:shd w:val="clear" w:color="auto" w:fill="auto"/>
            <w:noWrap/>
            <w:vAlign w:val="bottom"/>
          </w:tcPr>
          <w:p w14:paraId="73A957AC" w14:textId="77777777" w:rsidR="00916B16" w:rsidRPr="007A14E2" w:rsidRDefault="00916B16" w:rsidP="00E7295E">
            <w:pPr>
              <w:pStyle w:val="Tabletext"/>
              <w:jc w:val="center"/>
            </w:pPr>
            <w:r w:rsidRPr="007A14E2">
              <w:t>0</w:t>
            </w:r>
          </w:p>
        </w:tc>
        <w:tc>
          <w:tcPr>
            <w:tcW w:w="1190" w:type="dxa"/>
            <w:tcBorders>
              <w:top w:val="nil"/>
              <w:left w:val="nil"/>
              <w:bottom w:val="nil"/>
              <w:right w:val="single" w:sz="4" w:space="0" w:color="auto"/>
            </w:tcBorders>
            <w:shd w:val="clear" w:color="auto" w:fill="auto"/>
            <w:noWrap/>
            <w:vAlign w:val="bottom"/>
            <w:hideMark/>
          </w:tcPr>
          <w:p w14:paraId="42955433" w14:textId="77777777" w:rsidR="00916B16" w:rsidRPr="007A14E2" w:rsidRDefault="00916B16" w:rsidP="00E7295E">
            <w:pPr>
              <w:pStyle w:val="Tabletext"/>
              <w:jc w:val="center"/>
              <w:rPr>
                <w:i/>
                <w:iCs/>
              </w:rPr>
            </w:pPr>
            <w:r w:rsidRPr="007A14E2">
              <w:t>2</w:t>
            </w:r>
          </w:p>
        </w:tc>
        <w:tc>
          <w:tcPr>
            <w:tcW w:w="1190" w:type="dxa"/>
            <w:tcBorders>
              <w:top w:val="nil"/>
              <w:left w:val="single" w:sz="4" w:space="0" w:color="auto"/>
              <w:bottom w:val="nil"/>
              <w:right w:val="nil"/>
            </w:tcBorders>
            <w:shd w:val="clear" w:color="auto" w:fill="auto"/>
            <w:noWrap/>
            <w:vAlign w:val="bottom"/>
            <w:hideMark/>
          </w:tcPr>
          <w:p w14:paraId="75CC05F6" w14:textId="77777777" w:rsidR="00916B16" w:rsidRPr="007A14E2" w:rsidRDefault="00916B16" w:rsidP="00E7295E">
            <w:pPr>
              <w:pStyle w:val="Tabletext"/>
              <w:jc w:val="center"/>
            </w:pPr>
            <w:r w:rsidRPr="007A14E2">
              <w:t>0</w:t>
            </w:r>
          </w:p>
        </w:tc>
        <w:tc>
          <w:tcPr>
            <w:tcW w:w="1190" w:type="dxa"/>
            <w:tcBorders>
              <w:top w:val="nil"/>
              <w:left w:val="nil"/>
              <w:bottom w:val="nil"/>
              <w:right w:val="single" w:sz="4" w:space="0" w:color="auto"/>
            </w:tcBorders>
            <w:shd w:val="clear" w:color="auto" w:fill="auto"/>
            <w:noWrap/>
            <w:vAlign w:val="bottom"/>
            <w:hideMark/>
          </w:tcPr>
          <w:p w14:paraId="2F0D9B9D" w14:textId="77777777" w:rsidR="00916B16" w:rsidRPr="007A14E2" w:rsidRDefault="00916B16" w:rsidP="00E7295E">
            <w:pPr>
              <w:pStyle w:val="Tabletext"/>
              <w:jc w:val="center"/>
              <w:rPr>
                <w:i/>
                <w:iCs/>
              </w:rPr>
            </w:pPr>
            <w:r w:rsidRPr="007A14E2">
              <w:t>1</w:t>
            </w:r>
          </w:p>
        </w:tc>
      </w:tr>
      <w:tr w:rsidR="00916B16" w:rsidRPr="007A14E2" w14:paraId="40203C30" w14:textId="77777777" w:rsidTr="00D30EF5">
        <w:trPr>
          <w:trHeight w:val="375"/>
          <w:jc w:val="center"/>
        </w:trPr>
        <w:tc>
          <w:tcPr>
            <w:tcW w:w="2551" w:type="dxa"/>
            <w:tcBorders>
              <w:top w:val="nil"/>
              <w:left w:val="single" w:sz="4" w:space="0" w:color="auto"/>
              <w:bottom w:val="nil"/>
              <w:right w:val="single" w:sz="4" w:space="0" w:color="auto"/>
            </w:tcBorders>
            <w:shd w:val="clear" w:color="auto" w:fill="auto"/>
            <w:noWrap/>
            <w:vAlign w:val="bottom"/>
            <w:hideMark/>
          </w:tcPr>
          <w:p w14:paraId="7ED180E8" w14:textId="77777777" w:rsidR="00916B16" w:rsidRPr="007A14E2" w:rsidRDefault="00916B16" w:rsidP="00E7295E">
            <w:pPr>
              <w:pStyle w:val="Tabletext"/>
            </w:pPr>
            <w:r w:rsidRPr="007A14E2">
              <w:t>Europe and Central Asia (13)</w:t>
            </w:r>
          </w:p>
        </w:tc>
        <w:tc>
          <w:tcPr>
            <w:tcW w:w="1182" w:type="dxa"/>
            <w:tcBorders>
              <w:top w:val="nil"/>
              <w:left w:val="nil"/>
              <w:bottom w:val="nil"/>
              <w:right w:val="nil"/>
            </w:tcBorders>
            <w:shd w:val="clear" w:color="auto" w:fill="auto"/>
            <w:noWrap/>
            <w:vAlign w:val="bottom"/>
            <w:hideMark/>
          </w:tcPr>
          <w:p w14:paraId="464B44EF" w14:textId="77777777" w:rsidR="00916B16" w:rsidRPr="007A14E2" w:rsidRDefault="00916B16" w:rsidP="00E7295E">
            <w:pPr>
              <w:pStyle w:val="Tabletext"/>
              <w:jc w:val="center"/>
            </w:pPr>
            <w:r w:rsidRPr="007A14E2">
              <w:t>1</w:t>
            </w:r>
          </w:p>
        </w:tc>
        <w:tc>
          <w:tcPr>
            <w:tcW w:w="1190" w:type="dxa"/>
            <w:tcBorders>
              <w:top w:val="nil"/>
              <w:left w:val="nil"/>
              <w:bottom w:val="nil"/>
              <w:right w:val="single" w:sz="4" w:space="0" w:color="auto"/>
            </w:tcBorders>
            <w:shd w:val="clear" w:color="auto" w:fill="auto"/>
            <w:noWrap/>
            <w:vAlign w:val="bottom"/>
            <w:hideMark/>
          </w:tcPr>
          <w:p w14:paraId="50A05A04" w14:textId="77777777" w:rsidR="00916B16" w:rsidRPr="007A14E2" w:rsidRDefault="00916B16" w:rsidP="00E7295E">
            <w:pPr>
              <w:pStyle w:val="Tabletext"/>
              <w:jc w:val="center"/>
              <w:rPr>
                <w:i/>
                <w:iCs/>
              </w:rPr>
            </w:pPr>
            <w:r w:rsidRPr="007A14E2">
              <w:t>2</w:t>
            </w:r>
          </w:p>
        </w:tc>
        <w:tc>
          <w:tcPr>
            <w:tcW w:w="1190" w:type="dxa"/>
            <w:tcBorders>
              <w:top w:val="nil"/>
              <w:left w:val="single" w:sz="4" w:space="0" w:color="auto"/>
              <w:bottom w:val="nil"/>
              <w:right w:val="nil"/>
            </w:tcBorders>
            <w:shd w:val="clear" w:color="auto" w:fill="auto"/>
            <w:noWrap/>
            <w:vAlign w:val="bottom"/>
          </w:tcPr>
          <w:p w14:paraId="32AA3973" w14:textId="77777777" w:rsidR="00916B16" w:rsidRPr="007A14E2" w:rsidRDefault="00916B16" w:rsidP="00E7295E">
            <w:pPr>
              <w:pStyle w:val="Tabletext"/>
              <w:jc w:val="center"/>
            </w:pPr>
            <w:r w:rsidRPr="007A14E2">
              <w:t>0</w:t>
            </w:r>
          </w:p>
        </w:tc>
        <w:tc>
          <w:tcPr>
            <w:tcW w:w="1190" w:type="dxa"/>
            <w:tcBorders>
              <w:top w:val="nil"/>
              <w:left w:val="nil"/>
              <w:bottom w:val="nil"/>
              <w:right w:val="single" w:sz="4" w:space="0" w:color="auto"/>
            </w:tcBorders>
            <w:shd w:val="clear" w:color="auto" w:fill="auto"/>
            <w:noWrap/>
            <w:vAlign w:val="bottom"/>
            <w:hideMark/>
          </w:tcPr>
          <w:p w14:paraId="476ABD21" w14:textId="77777777" w:rsidR="00916B16" w:rsidRPr="007A14E2" w:rsidRDefault="00916B16" w:rsidP="00E7295E">
            <w:pPr>
              <w:pStyle w:val="Tabletext"/>
              <w:jc w:val="center"/>
              <w:rPr>
                <w:i/>
                <w:iCs/>
              </w:rPr>
            </w:pPr>
            <w:r w:rsidRPr="007A14E2">
              <w:t>1</w:t>
            </w:r>
          </w:p>
        </w:tc>
        <w:tc>
          <w:tcPr>
            <w:tcW w:w="1190" w:type="dxa"/>
            <w:tcBorders>
              <w:top w:val="nil"/>
              <w:left w:val="single" w:sz="4" w:space="0" w:color="auto"/>
              <w:bottom w:val="nil"/>
              <w:right w:val="nil"/>
            </w:tcBorders>
            <w:shd w:val="clear" w:color="auto" w:fill="auto"/>
            <w:noWrap/>
            <w:vAlign w:val="bottom"/>
            <w:hideMark/>
          </w:tcPr>
          <w:p w14:paraId="64E67859" w14:textId="77777777" w:rsidR="00916B16" w:rsidRPr="007A14E2" w:rsidRDefault="00916B16" w:rsidP="00E7295E">
            <w:pPr>
              <w:pStyle w:val="Tabletext"/>
              <w:jc w:val="center"/>
            </w:pPr>
            <w:r w:rsidRPr="007A14E2">
              <w:t>1</w:t>
            </w:r>
          </w:p>
        </w:tc>
        <w:tc>
          <w:tcPr>
            <w:tcW w:w="1190" w:type="dxa"/>
            <w:tcBorders>
              <w:top w:val="nil"/>
              <w:left w:val="nil"/>
              <w:bottom w:val="nil"/>
              <w:right w:val="single" w:sz="4" w:space="0" w:color="auto"/>
            </w:tcBorders>
            <w:shd w:val="clear" w:color="auto" w:fill="auto"/>
            <w:noWrap/>
            <w:vAlign w:val="bottom"/>
            <w:hideMark/>
          </w:tcPr>
          <w:p w14:paraId="78A3D49B" w14:textId="77777777" w:rsidR="00916B16" w:rsidRPr="007A14E2" w:rsidRDefault="00916B16" w:rsidP="00E7295E">
            <w:pPr>
              <w:pStyle w:val="Tabletext"/>
              <w:jc w:val="center"/>
              <w:rPr>
                <w:i/>
                <w:iCs/>
              </w:rPr>
            </w:pPr>
            <w:r w:rsidRPr="007A14E2">
              <w:t>3</w:t>
            </w:r>
          </w:p>
        </w:tc>
      </w:tr>
      <w:tr w:rsidR="00916B16" w:rsidRPr="007A14E2" w14:paraId="1E83B040" w14:textId="77777777" w:rsidTr="00A463D3">
        <w:trPr>
          <w:trHeight w:val="375"/>
          <w:jc w:val="center"/>
        </w:trPr>
        <w:tc>
          <w:tcPr>
            <w:tcW w:w="2551" w:type="dxa"/>
            <w:tcBorders>
              <w:top w:val="nil"/>
              <w:left w:val="single" w:sz="4" w:space="0" w:color="auto"/>
              <w:right w:val="single" w:sz="4" w:space="0" w:color="auto"/>
            </w:tcBorders>
            <w:shd w:val="clear" w:color="auto" w:fill="auto"/>
            <w:noWrap/>
            <w:vAlign w:val="bottom"/>
            <w:hideMark/>
          </w:tcPr>
          <w:p w14:paraId="2FB1DD46" w14:textId="77777777" w:rsidR="00916B16" w:rsidRPr="007A14E2" w:rsidRDefault="00916B16" w:rsidP="00E7295E">
            <w:pPr>
              <w:pStyle w:val="Tabletext"/>
            </w:pPr>
            <w:r w:rsidRPr="007A14E2">
              <w:t>Latin America and the Caribbean (24)</w:t>
            </w:r>
          </w:p>
        </w:tc>
        <w:tc>
          <w:tcPr>
            <w:tcW w:w="1182" w:type="dxa"/>
            <w:tcBorders>
              <w:top w:val="nil"/>
              <w:left w:val="nil"/>
              <w:right w:val="nil"/>
            </w:tcBorders>
            <w:shd w:val="clear" w:color="auto" w:fill="auto"/>
            <w:noWrap/>
            <w:vAlign w:val="bottom"/>
            <w:hideMark/>
          </w:tcPr>
          <w:p w14:paraId="5582861E" w14:textId="77777777" w:rsidR="00916B16" w:rsidRPr="007A14E2" w:rsidRDefault="00916B16" w:rsidP="00E7295E">
            <w:pPr>
              <w:pStyle w:val="Tabletext"/>
              <w:jc w:val="center"/>
            </w:pPr>
            <w:r w:rsidRPr="007A14E2">
              <w:t>3</w:t>
            </w:r>
          </w:p>
        </w:tc>
        <w:tc>
          <w:tcPr>
            <w:tcW w:w="1190" w:type="dxa"/>
            <w:tcBorders>
              <w:top w:val="nil"/>
              <w:left w:val="nil"/>
              <w:right w:val="single" w:sz="4" w:space="0" w:color="auto"/>
            </w:tcBorders>
            <w:shd w:val="clear" w:color="auto" w:fill="auto"/>
            <w:noWrap/>
            <w:vAlign w:val="bottom"/>
            <w:hideMark/>
          </w:tcPr>
          <w:p w14:paraId="0B6015E0" w14:textId="77777777" w:rsidR="00916B16" w:rsidRPr="007A14E2" w:rsidRDefault="00916B16" w:rsidP="00E7295E">
            <w:pPr>
              <w:pStyle w:val="Tabletext"/>
              <w:jc w:val="center"/>
              <w:rPr>
                <w:i/>
                <w:iCs/>
              </w:rPr>
            </w:pPr>
            <w:r w:rsidRPr="007A14E2">
              <w:t>8</w:t>
            </w:r>
          </w:p>
        </w:tc>
        <w:tc>
          <w:tcPr>
            <w:tcW w:w="1190" w:type="dxa"/>
            <w:tcBorders>
              <w:top w:val="nil"/>
              <w:left w:val="single" w:sz="4" w:space="0" w:color="auto"/>
              <w:right w:val="nil"/>
            </w:tcBorders>
            <w:shd w:val="clear" w:color="auto" w:fill="auto"/>
            <w:noWrap/>
            <w:vAlign w:val="bottom"/>
          </w:tcPr>
          <w:p w14:paraId="0033F836" w14:textId="77777777" w:rsidR="00916B16" w:rsidRPr="007A14E2" w:rsidRDefault="00916B16" w:rsidP="00E7295E">
            <w:pPr>
              <w:pStyle w:val="Tabletext"/>
              <w:jc w:val="center"/>
            </w:pPr>
            <w:r w:rsidRPr="007A14E2">
              <w:t>0</w:t>
            </w:r>
          </w:p>
        </w:tc>
        <w:tc>
          <w:tcPr>
            <w:tcW w:w="1190" w:type="dxa"/>
            <w:tcBorders>
              <w:top w:val="nil"/>
              <w:left w:val="nil"/>
              <w:right w:val="single" w:sz="4" w:space="0" w:color="auto"/>
            </w:tcBorders>
            <w:shd w:val="clear" w:color="auto" w:fill="auto"/>
            <w:noWrap/>
            <w:vAlign w:val="bottom"/>
            <w:hideMark/>
          </w:tcPr>
          <w:p w14:paraId="64C5EE2E" w14:textId="77777777" w:rsidR="00916B16" w:rsidRPr="007A14E2" w:rsidRDefault="00916B16" w:rsidP="00E7295E">
            <w:pPr>
              <w:pStyle w:val="Tabletext"/>
              <w:jc w:val="center"/>
              <w:rPr>
                <w:i/>
                <w:iCs/>
              </w:rPr>
            </w:pPr>
            <w:r w:rsidRPr="007A14E2">
              <w:t>1</w:t>
            </w:r>
          </w:p>
        </w:tc>
        <w:tc>
          <w:tcPr>
            <w:tcW w:w="1190" w:type="dxa"/>
            <w:tcBorders>
              <w:top w:val="nil"/>
              <w:left w:val="single" w:sz="4" w:space="0" w:color="auto"/>
              <w:right w:val="nil"/>
            </w:tcBorders>
            <w:shd w:val="clear" w:color="auto" w:fill="auto"/>
            <w:noWrap/>
            <w:vAlign w:val="bottom"/>
            <w:hideMark/>
          </w:tcPr>
          <w:p w14:paraId="184F4E41" w14:textId="77777777" w:rsidR="00916B16" w:rsidRPr="007A14E2" w:rsidRDefault="00916B16" w:rsidP="00E7295E">
            <w:pPr>
              <w:pStyle w:val="Tabletext"/>
              <w:jc w:val="center"/>
            </w:pPr>
            <w:r w:rsidRPr="007A14E2">
              <w:t>0</w:t>
            </w:r>
          </w:p>
        </w:tc>
        <w:tc>
          <w:tcPr>
            <w:tcW w:w="1190" w:type="dxa"/>
            <w:tcBorders>
              <w:top w:val="nil"/>
              <w:left w:val="nil"/>
              <w:right w:val="single" w:sz="4" w:space="0" w:color="auto"/>
            </w:tcBorders>
            <w:shd w:val="clear" w:color="auto" w:fill="auto"/>
            <w:noWrap/>
            <w:vAlign w:val="bottom"/>
            <w:hideMark/>
          </w:tcPr>
          <w:p w14:paraId="3579D8EC" w14:textId="77777777" w:rsidR="00916B16" w:rsidRPr="007A14E2" w:rsidRDefault="00916B16" w:rsidP="00E7295E">
            <w:pPr>
              <w:pStyle w:val="Tabletext"/>
              <w:jc w:val="center"/>
              <w:rPr>
                <w:i/>
                <w:iCs/>
              </w:rPr>
            </w:pPr>
            <w:r w:rsidRPr="007A14E2">
              <w:t>3</w:t>
            </w:r>
          </w:p>
        </w:tc>
      </w:tr>
      <w:tr w:rsidR="00916B16" w:rsidRPr="007A14E2" w14:paraId="6D5F4C0D" w14:textId="77777777" w:rsidTr="00BB47E0">
        <w:trPr>
          <w:trHeight w:val="375"/>
          <w:jc w:val="center"/>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D0D4AE9" w14:textId="77777777" w:rsidR="00916B16" w:rsidRPr="007A14E2" w:rsidRDefault="00916B16" w:rsidP="00E7295E">
            <w:pPr>
              <w:pStyle w:val="Tabletext"/>
            </w:pPr>
            <w:r w:rsidRPr="007A14E2">
              <w:t>Middle East and North Africa (10)</w:t>
            </w:r>
          </w:p>
        </w:tc>
        <w:tc>
          <w:tcPr>
            <w:tcW w:w="1182" w:type="dxa"/>
            <w:tcBorders>
              <w:top w:val="nil"/>
              <w:left w:val="nil"/>
              <w:bottom w:val="single" w:sz="4" w:space="0" w:color="auto"/>
              <w:right w:val="nil"/>
            </w:tcBorders>
            <w:shd w:val="clear" w:color="auto" w:fill="auto"/>
            <w:noWrap/>
            <w:vAlign w:val="bottom"/>
            <w:hideMark/>
          </w:tcPr>
          <w:p w14:paraId="41FFA74F" w14:textId="77777777" w:rsidR="00916B16" w:rsidRPr="007A14E2" w:rsidRDefault="00916B16" w:rsidP="00E7295E">
            <w:pPr>
              <w:pStyle w:val="Tabletext"/>
              <w:jc w:val="center"/>
            </w:pPr>
            <w:r w:rsidRPr="007A14E2">
              <w:t>2</w:t>
            </w:r>
          </w:p>
        </w:tc>
        <w:tc>
          <w:tcPr>
            <w:tcW w:w="1190" w:type="dxa"/>
            <w:tcBorders>
              <w:top w:val="nil"/>
              <w:left w:val="nil"/>
              <w:bottom w:val="single" w:sz="4" w:space="0" w:color="auto"/>
              <w:right w:val="single" w:sz="4" w:space="0" w:color="auto"/>
            </w:tcBorders>
            <w:shd w:val="clear" w:color="auto" w:fill="auto"/>
            <w:noWrap/>
            <w:vAlign w:val="bottom"/>
            <w:hideMark/>
          </w:tcPr>
          <w:p w14:paraId="07C2534D" w14:textId="77777777" w:rsidR="00916B16" w:rsidRPr="007A14E2" w:rsidRDefault="00916B16" w:rsidP="00E7295E">
            <w:pPr>
              <w:pStyle w:val="Tabletext"/>
              <w:jc w:val="center"/>
              <w:rPr>
                <w:i/>
                <w:iCs/>
              </w:rPr>
            </w:pPr>
            <w:r w:rsidRPr="007A14E2">
              <w:t>0</w:t>
            </w:r>
          </w:p>
        </w:tc>
        <w:tc>
          <w:tcPr>
            <w:tcW w:w="1190" w:type="dxa"/>
            <w:tcBorders>
              <w:top w:val="nil"/>
              <w:left w:val="single" w:sz="4" w:space="0" w:color="auto"/>
              <w:bottom w:val="single" w:sz="4" w:space="0" w:color="auto"/>
              <w:right w:val="nil"/>
            </w:tcBorders>
            <w:shd w:val="clear" w:color="auto" w:fill="auto"/>
            <w:noWrap/>
            <w:vAlign w:val="bottom"/>
          </w:tcPr>
          <w:p w14:paraId="45025D08" w14:textId="77777777" w:rsidR="00916B16" w:rsidRPr="007A14E2" w:rsidRDefault="00916B16" w:rsidP="00E7295E">
            <w:pPr>
              <w:pStyle w:val="Tabletext"/>
              <w:jc w:val="center"/>
            </w:pPr>
            <w:r w:rsidRPr="007A14E2">
              <w:t>0</w:t>
            </w:r>
          </w:p>
        </w:tc>
        <w:tc>
          <w:tcPr>
            <w:tcW w:w="1190" w:type="dxa"/>
            <w:tcBorders>
              <w:top w:val="nil"/>
              <w:left w:val="nil"/>
              <w:bottom w:val="single" w:sz="4" w:space="0" w:color="auto"/>
              <w:right w:val="single" w:sz="4" w:space="0" w:color="auto"/>
            </w:tcBorders>
            <w:shd w:val="clear" w:color="auto" w:fill="auto"/>
            <w:noWrap/>
            <w:vAlign w:val="bottom"/>
            <w:hideMark/>
          </w:tcPr>
          <w:p w14:paraId="06B7CE42" w14:textId="77777777" w:rsidR="00916B16" w:rsidRPr="007A14E2" w:rsidRDefault="00916B16" w:rsidP="00E7295E">
            <w:pPr>
              <w:pStyle w:val="Tabletext"/>
              <w:jc w:val="center"/>
              <w:rPr>
                <w:i/>
                <w:iCs/>
              </w:rPr>
            </w:pPr>
            <w:r w:rsidRPr="007A14E2">
              <w:t>0</w:t>
            </w:r>
          </w:p>
        </w:tc>
        <w:tc>
          <w:tcPr>
            <w:tcW w:w="1190" w:type="dxa"/>
            <w:tcBorders>
              <w:top w:val="nil"/>
              <w:left w:val="single" w:sz="4" w:space="0" w:color="auto"/>
              <w:bottom w:val="single" w:sz="4" w:space="0" w:color="auto"/>
              <w:right w:val="nil"/>
            </w:tcBorders>
            <w:shd w:val="clear" w:color="auto" w:fill="auto"/>
            <w:noWrap/>
            <w:vAlign w:val="bottom"/>
            <w:hideMark/>
          </w:tcPr>
          <w:p w14:paraId="54705EFD" w14:textId="77777777" w:rsidR="00916B16" w:rsidRPr="007A14E2" w:rsidRDefault="00916B16" w:rsidP="00E7295E">
            <w:pPr>
              <w:pStyle w:val="Tabletext"/>
              <w:jc w:val="center"/>
            </w:pPr>
            <w:r w:rsidRPr="007A14E2">
              <w:t>0</w:t>
            </w:r>
          </w:p>
        </w:tc>
        <w:tc>
          <w:tcPr>
            <w:tcW w:w="1190" w:type="dxa"/>
            <w:tcBorders>
              <w:top w:val="nil"/>
              <w:left w:val="nil"/>
              <w:bottom w:val="single" w:sz="4" w:space="0" w:color="auto"/>
              <w:right w:val="single" w:sz="4" w:space="0" w:color="auto"/>
            </w:tcBorders>
            <w:shd w:val="clear" w:color="auto" w:fill="auto"/>
            <w:noWrap/>
            <w:vAlign w:val="bottom"/>
            <w:hideMark/>
          </w:tcPr>
          <w:p w14:paraId="75F905C5" w14:textId="77777777" w:rsidR="00916B16" w:rsidRPr="007A14E2" w:rsidRDefault="00916B16" w:rsidP="00E7295E">
            <w:pPr>
              <w:pStyle w:val="Tabletext"/>
              <w:jc w:val="center"/>
              <w:rPr>
                <w:i/>
                <w:iCs/>
              </w:rPr>
            </w:pPr>
            <w:r w:rsidRPr="007A14E2">
              <w:t>0</w:t>
            </w:r>
          </w:p>
        </w:tc>
      </w:tr>
      <w:tr w:rsidR="00916B16" w:rsidRPr="007A14E2" w14:paraId="554A344A" w14:textId="77777777" w:rsidTr="00BB47E0">
        <w:trPr>
          <w:trHeight w:val="375"/>
          <w:jc w:val="center"/>
        </w:trPr>
        <w:tc>
          <w:tcPr>
            <w:tcW w:w="2551" w:type="dxa"/>
            <w:tcBorders>
              <w:top w:val="single" w:sz="4" w:space="0" w:color="auto"/>
              <w:left w:val="single" w:sz="4" w:space="0" w:color="auto"/>
              <w:right w:val="single" w:sz="4" w:space="0" w:color="auto"/>
            </w:tcBorders>
            <w:shd w:val="clear" w:color="auto" w:fill="auto"/>
            <w:noWrap/>
            <w:vAlign w:val="bottom"/>
            <w:hideMark/>
          </w:tcPr>
          <w:p w14:paraId="7BF587BB" w14:textId="77777777" w:rsidR="00916B16" w:rsidRPr="007A14E2" w:rsidRDefault="00916B16" w:rsidP="00E7295E">
            <w:pPr>
              <w:pStyle w:val="Tabletext"/>
            </w:pPr>
            <w:r w:rsidRPr="007A14E2">
              <w:lastRenderedPageBreak/>
              <w:t>South Asia (3)</w:t>
            </w:r>
          </w:p>
        </w:tc>
        <w:tc>
          <w:tcPr>
            <w:tcW w:w="1182" w:type="dxa"/>
            <w:tcBorders>
              <w:top w:val="single" w:sz="4" w:space="0" w:color="auto"/>
              <w:left w:val="nil"/>
              <w:right w:val="nil"/>
            </w:tcBorders>
            <w:shd w:val="clear" w:color="auto" w:fill="auto"/>
            <w:noWrap/>
            <w:vAlign w:val="bottom"/>
            <w:hideMark/>
          </w:tcPr>
          <w:p w14:paraId="1564F843" w14:textId="77777777" w:rsidR="00916B16" w:rsidRPr="007A14E2" w:rsidRDefault="00916B16" w:rsidP="00E7295E">
            <w:pPr>
              <w:pStyle w:val="Tabletext"/>
              <w:jc w:val="center"/>
            </w:pPr>
            <w:r w:rsidRPr="007A14E2">
              <w:t>0</w:t>
            </w:r>
          </w:p>
        </w:tc>
        <w:tc>
          <w:tcPr>
            <w:tcW w:w="1190" w:type="dxa"/>
            <w:tcBorders>
              <w:top w:val="single" w:sz="4" w:space="0" w:color="auto"/>
              <w:left w:val="nil"/>
              <w:right w:val="single" w:sz="4" w:space="0" w:color="auto"/>
            </w:tcBorders>
            <w:shd w:val="clear" w:color="auto" w:fill="auto"/>
            <w:noWrap/>
            <w:vAlign w:val="bottom"/>
            <w:hideMark/>
          </w:tcPr>
          <w:p w14:paraId="5D94E865" w14:textId="77777777" w:rsidR="00916B16" w:rsidRPr="007A14E2" w:rsidRDefault="00916B16" w:rsidP="00E7295E">
            <w:pPr>
              <w:pStyle w:val="Tabletext"/>
              <w:jc w:val="center"/>
              <w:rPr>
                <w:i/>
                <w:iCs/>
              </w:rPr>
            </w:pPr>
            <w:r w:rsidRPr="007A14E2">
              <w:t>0</w:t>
            </w:r>
          </w:p>
        </w:tc>
        <w:tc>
          <w:tcPr>
            <w:tcW w:w="1190" w:type="dxa"/>
            <w:tcBorders>
              <w:top w:val="single" w:sz="4" w:space="0" w:color="auto"/>
              <w:left w:val="single" w:sz="4" w:space="0" w:color="auto"/>
              <w:right w:val="nil"/>
            </w:tcBorders>
            <w:shd w:val="clear" w:color="auto" w:fill="auto"/>
            <w:noWrap/>
            <w:vAlign w:val="bottom"/>
          </w:tcPr>
          <w:p w14:paraId="34A46487" w14:textId="77777777" w:rsidR="00916B16" w:rsidRPr="007A14E2" w:rsidRDefault="00916B16" w:rsidP="00E7295E">
            <w:pPr>
              <w:pStyle w:val="Tabletext"/>
              <w:jc w:val="center"/>
            </w:pPr>
            <w:r w:rsidRPr="007A14E2">
              <w:t>0</w:t>
            </w:r>
          </w:p>
        </w:tc>
        <w:tc>
          <w:tcPr>
            <w:tcW w:w="1190" w:type="dxa"/>
            <w:tcBorders>
              <w:top w:val="single" w:sz="4" w:space="0" w:color="auto"/>
              <w:left w:val="nil"/>
              <w:right w:val="single" w:sz="4" w:space="0" w:color="auto"/>
            </w:tcBorders>
            <w:shd w:val="clear" w:color="auto" w:fill="auto"/>
            <w:noWrap/>
            <w:vAlign w:val="bottom"/>
            <w:hideMark/>
          </w:tcPr>
          <w:p w14:paraId="21B14FDC" w14:textId="77777777" w:rsidR="00916B16" w:rsidRPr="007A14E2" w:rsidRDefault="00916B16" w:rsidP="00E7295E">
            <w:pPr>
              <w:pStyle w:val="Tabletext"/>
              <w:jc w:val="center"/>
              <w:rPr>
                <w:i/>
                <w:iCs/>
              </w:rPr>
            </w:pPr>
            <w:r w:rsidRPr="007A14E2">
              <w:t>0</w:t>
            </w:r>
          </w:p>
        </w:tc>
        <w:tc>
          <w:tcPr>
            <w:tcW w:w="1190" w:type="dxa"/>
            <w:tcBorders>
              <w:top w:val="single" w:sz="4" w:space="0" w:color="auto"/>
              <w:left w:val="single" w:sz="4" w:space="0" w:color="auto"/>
              <w:right w:val="nil"/>
            </w:tcBorders>
            <w:shd w:val="clear" w:color="auto" w:fill="auto"/>
            <w:noWrap/>
            <w:vAlign w:val="bottom"/>
            <w:hideMark/>
          </w:tcPr>
          <w:p w14:paraId="2A5162F8" w14:textId="77777777" w:rsidR="00916B16" w:rsidRPr="007A14E2" w:rsidRDefault="00916B16" w:rsidP="00E7295E">
            <w:pPr>
              <w:pStyle w:val="Tabletext"/>
              <w:jc w:val="center"/>
            </w:pPr>
            <w:r w:rsidRPr="007A14E2">
              <w:t>0</w:t>
            </w:r>
          </w:p>
        </w:tc>
        <w:tc>
          <w:tcPr>
            <w:tcW w:w="1190" w:type="dxa"/>
            <w:tcBorders>
              <w:top w:val="single" w:sz="4" w:space="0" w:color="auto"/>
              <w:left w:val="nil"/>
              <w:right w:val="single" w:sz="4" w:space="0" w:color="auto"/>
            </w:tcBorders>
            <w:shd w:val="clear" w:color="auto" w:fill="auto"/>
            <w:noWrap/>
            <w:vAlign w:val="bottom"/>
            <w:hideMark/>
          </w:tcPr>
          <w:p w14:paraId="0F4E98D7" w14:textId="77777777" w:rsidR="00916B16" w:rsidRPr="007A14E2" w:rsidRDefault="00916B16" w:rsidP="00E7295E">
            <w:pPr>
              <w:pStyle w:val="Tabletext"/>
              <w:jc w:val="center"/>
              <w:rPr>
                <w:i/>
                <w:iCs/>
              </w:rPr>
            </w:pPr>
            <w:r w:rsidRPr="007A14E2">
              <w:t>0</w:t>
            </w:r>
          </w:p>
        </w:tc>
      </w:tr>
      <w:tr w:rsidR="00916B16" w:rsidRPr="007A14E2" w14:paraId="426A0A0C" w14:textId="77777777" w:rsidTr="00BB47E0">
        <w:trPr>
          <w:trHeight w:val="375"/>
          <w:jc w:val="center"/>
        </w:trPr>
        <w:tc>
          <w:tcPr>
            <w:tcW w:w="2551" w:type="dxa"/>
            <w:tcBorders>
              <w:left w:val="single" w:sz="4" w:space="0" w:color="auto"/>
              <w:bottom w:val="nil"/>
              <w:right w:val="single" w:sz="4" w:space="0" w:color="auto"/>
            </w:tcBorders>
            <w:shd w:val="clear" w:color="auto" w:fill="auto"/>
            <w:noWrap/>
            <w:vAlign w:val="bottom"/>
            <w:hideMark/>
          </w:tcPr>
          <w:p w14:paraId="1AC4DFF7" w14:textId="77777777" w:rsidR="00916B16" w:rsidRPr="007A14E2" w:rsidRDefault="00916B16" w:rsidP="00E7295E">
            <w:pPr>
              <w:pStyle w:val="Tabletext"/>
            </w:pPr>
            <w:r w:rsidRPr="007A14E2">
              <w:t>Sub-Saharan Africa (19)</w:t>
            </w:r>
          </w:p>
        </w:tc>
        <w:tc>
          <w:tcPr>
            <w:tcW w:w="1182" w:type="dxa"/>
            <w:tcBorders>
              <w:left w:val="nil"/>
              <w:bottom w:val="nil"/>
              <w:right w:val="nil"/>
            </w:tcBorders>
            <w:shd w:val="clear" w:color="auto" w:fill="auto"/>
            <w:noWrap/>
            <w:vAlign w:val="bottom"/>
            <w:hideMark/>
          </w:tcPr>
          <w:p w14:paraId="0DD0BB7C" w14:textId="77777777" w:rsidR="00916B16" w:rsidRPr="007A14E2" w:rsidRDefault="00916B16" w:rsidP="00E7295E">
            <w:pPr>
              <w:pStyle w:val="Tabletext"/>
              <w:jc w:val="center"/>
            </w:pPr>
            <w:r w:rsidRPr="007A14E2">
              <w:t>0</w:t>
            </w:r>
          </w:p>
        </w:tc>
        <w:tc>
          <w:tcPr>
            <w:tcW w:w="1190" w:type="dxa"/>
            <w:tcBorders>
              <w:left w:val="nil"/>
              <w:bottom w:val="nil"/>
              <w:right w:val="single" w:sz="4" w:space="0" w:color="auto"/>
            </w:tcBorders>
            <w:shd w:val="clear" w:color="auto" w:fill="auto"/>
            <w:noWrap/>
            <w:vAlign w:val="bottom"/>
            <w:hideMark/>
          </w:tcPr>
          <w:p w14:paraId="1BB532BB" w14:textId="77777777" w:rsidR="00916B16" w:rsidRPr="007A14E2" w:rsidRDefault="00916B16" w:rsidP="00E7295E">
            <w:pPr>
              <w:pStyle w:val="Tabletext"/>
              <w:jc w:val="center"/>
              <w:rPr>
                <w:i/>
                <w:iCs/>
              </w:rPr>
            </w:pPr>
            <w:r w:rsidRPr="007A14E2">
              <w:t>1</w:t>
            </w:r>
          </w:p>
        </w:tc>
        <w:tc>
          <w:tcPr>
            <w:tcW w:w="1190" w:type="dxa"/>
            <w:tcBorders>
              <w:left w:val="single" w:sz="4" w:space="0" w:color="auto"/>
              <w:bottom w:val="nil"/>
              <w:right w:val="nil"/>
            </w:tcBorders>
            <w:shd w:val="clear" w:color="auto" w:fill="auto"/>
            <w:noWrap/>
            <w:vAlign w:val="bottom"/>
          </w:tcPr>
          <w:p w14:paraId="1167E9A2" w14:textId="77777777" w:rsidR="00916B16" w:rsidRPr="007A14E2" w:rsidRDefault="00916B16" w:rsidP="00E7295E">
            <w:pPr>
              <w:pStyle w:val="Tabletext"/>
              <w:jc w:val="center"/>
            </w:pPr>
            <w:r w:rsidRPr="007A14E2">
              <w:t>0</w:t>
            </w:r>
          </w:p>
        </w:tc>
        <w:tc>
          <w:tcPr>
            <w:tcW w:w="1190" w:type="dxa"/>
            <w:tcBorders>
              <w:left w:val="nil"/>
              <w:bottom w:val="nil"/>
              <w:right w:val="single" w:sz="4" w:space="0" w:color="auto"/>
            </w:tcBorders>
            <w:shd w:val="clear" w:color="auto" w:fill="auto"/>
            <w:noWrap/>
            <w:vAlign w:val="bottom"/>
            <w:hideMark/>
          </w:tcPr>
          <w:p w14:paraId="5A7A9A15" w14:textId="77777777" w:rsidR="00916B16" w:rsidRPr="007A14E2" w:rsidRDefault="00916B16" w:rsidP="00E7295E">
            <w:pPr>
              <w:pStyle w:val="Tabletext"/>
              <w:jc w:val="center"/>
              <w:rPr>
                <w:i/>
                <w:iCs/>
              </w:rPr>
            </w:pPr>
            <w:r w:rsidRPr="007A14E2">
              <w:t>0</w:t>
            </w:r>
          </w:p>
        </w:tc>
        <w:tc>
          <w:tcPr>
            <w:tcW w:w="1190" w:type="dxa"/>
            <w:tcBorders>
              <w:left w:val="single" w:sz="4" w:space="0" w:color="auto"/>
              <w:bottom w:val="nil"/>
              <w:right w:val="nil"/>
            </w:tcBorders>
            <w:shd w:val="clear" w:color="auto" w:fill="auto"/>
            <w:noWrap/>
            <w:vAlign w:val="bottom"/>
            <w:hideMark/>
          </w:tcPr>
          <w:p w14:paraId="2C75F43E" w14:textId="77777777" w:rsidR="00916B16" w:rsidRPr="007A14E2" w:rsidRDefault="00916B16" w:rsidP="00E7295E">
            <w:pPr>
              <w:pStyle w:val="Tabletext"/>
              <w:jc w:val="center"/>
            </w:pPr>
            <w:r w:rsidRPr="007A14E2">
              <w:t>0</w:t>
            </w:r>
          </w:p>
        </w:tc>
        <w:tc>
          <w:tcPr>
            <w:tcW w:w="1190" w:type="dxa"/>
            <w:tcBorders>
              <w:left w:val="nil"/>
              <w:bottom w:val="nil"/>
              <w:right w:val="single" w:sz="4" w:space="0" w:color="auto"/>
            </w:tcBorders>
            <w:shd w:val="clear" w:color="auto" w:fill="auto"/>
            <w:noWrap/>
            <w:vAlign w:val="bottom"/>
            <w:hideMark/>
          </w:tcPr>
          <w:p w14:paraId="4427B57B" w14:textId="77777777" w:rsidR="00916B16" w:rsidRPr="007A14E2" w:rsidRDefault="00916B16" w:rsidP="00E7295E">
            <w:pPr>
              <w:pStyle w:val="Tabletext"/>
              <w:jc w:val="center"/>
              <w:rPr>
                <w:i/>
                <w:iCs/>
              </w:rPr>
            </w:pPr>
            <w:r w:rsidRPr="007A14E2">
              <w:t>1</w:t>
            </w:r>
          </w:p>
        </w:tc>
      </w:tr>
      <w:tr w:rsidR="00916B16" w:rsidRPr="007A14E2" w14:paraId="19263173" w14:textId="77777777" w:rsidTr="00D30EF5">
        <w:trPr>
          <w:trHeight w:val="375"/>
          <w:jc w:val="center"/>
        </w:trPr>
        <w:tc>
          <w:tcPr>
            <w:tcW w:w="2551" w:type="dxa"/>
            <w:tcBorders>
              <w:top w:val="nil"/>
              <w:left w:val="single" w:sz="4" w:space="0" w:color="auto"/>
              <w:bottom w:val="nil"/>
              <w:right w:val="single" w:sz="4" w:space="0" w:color="auto"/>
            </w:tcBorders>
            <w:shd w:val="clear" w:color="auto" w:fill="auto"/>
            <w:noWrap/>
            <w:vAlign w:val="bottom"/>
            <w:hideMark/>
          </w:tcPr>
          <w:p w14:paraId="79104A71" w14:textId="77777777" w:rsidR="00916B16" w:rsidRPr="007A14E2" w:rsidRDefault="00916B16" w:rsidP="00E7295E">
            <w:pPr>
              <w:pStyle w:val="Tabletext"/>
            </w:pPr>
            <w:r w:rsidRPr="007A14E2">
              <w:t>Euro area (15)</w:t>
            </w:r>
          </w:p>
        </w:tc>
        <w:tc>
          <w:tcPr>
            <w:tcW w:w="1182" w:type="dxa"/>
            <w:tcBorders>
              <w:top w:val="nil"/>
              <w:left w:val="nil"/>
              <w:bottom w:val="nil"/>
              <w:right w:val="nil"/>
            </w:tcBorders>
            <w:shd w:val="clear" w:color="auto" w:fill="auto"/>
            <w:noWrap/>
            <w:vAlign w:val="bottom"/>
            <w:hideMark/>
          </w:tcPr>
          <w:p w14:paraId="0104DA53" w14:textId="77777777" w:rsidR="00916B16" w:rsidRPr="007A14E2" w:rsidRDefault="00916B16" w:rsidP="00E7295E">
            <w:pPr>
              <w:pStyle w:val="Tabletext"/>
              <w:jc w:val="center"/>
            </w:pPr>
            <w:r w:rsidRPr="007A14E2">
              <w:t>3</w:t>
            </w:r>
          </w:p>
        </w:tc>
        <w:tc>
          <w:tcPr>
            <w:tcW w:w="1190" w:type="dxa"/>
            <w:tcBorders>
              <w:top w:val="nil"/>
              <w:left w:val="nil"/>
              <w:bottom w:val="nil"/>
              <w:right w:val="single" w:sz="4" w:space="0" w:color="auto"/>
            </w:tcBorders>
            <w:shd w:val="clear" w:color="auto" w:fill="auto"/>
            <w:noWrap/>
            <w:vAlign w:val="bottom"/>
            <w:hideMark/>
          </w:tcPr>
          <w:p w14:paraId="32384CA3" w14:textId="77777777" w:rsidR="00916B16" w:rsidRPr="007A14E2" w:rsidRDefault="00916B16" w:rsidP="00E7295E">
            <w:pPr>
              <w:pStyle w:val="Tabletext"/>
              <w:jc w:val="center"/>
              <w:rPr>
                <w:i/>
                <w:iCs/>
              </w:rPr>
            </w:pPr>
            <w:r w:rsidRPr="007A14E2">
              <w:t>2</w:t>
            </w:r>
          </w:p>
        </w:tc>
        <w:tc>
          <w:tcPr>
            <w:tcW w:w="1190" w:type="dxa"/>
            <w:tcBorders>
              <w:top w:val="nil"/>
              <w:left w:val="single" w:sz="4" w:space="0" w:color="auto"/>
              <w:bottom w:val="nil"/>
              <w:right w:val="nil"/>
            </w:tcBorders>
            <w:shd w:val="clear" w:color="auto" w:fill="auto"/>
            <w:noWrap/>
            <w:vAlign w:val="bottom"/>
          </w:tcPr>
          <w:p w14:paraId="34E0E2AE" w14:textId="77777777" w:rsidR="00916B16" w:rsidRPr="007A14E2" w:rsidRDefault="00916B16" w:rsidP="00E7295E">
            <w:pPr>
              <w:pStyle w:val="Tabletext"/>
              <w:jc w:val="center"/>
            </w:pPr>
            <w:r w:rsidRPr="007A14E2">
              <w:t>0</w:t>
            </w:r>
          </w:p>
        </w:tc>
        <w:tc>
          <w:tcPr>
            <w:tcW w:w="1190" w:type="dxa"/>
            <w:tcBorders>
              <w:top w:val="nil"/>
              <w:left w:val="nil"/>
              <w:bottom w:val="nil"/>
              <w:right w:val="single" w:sz="4" w:space="0" w:color="auto"/>
            </w:tcBorders>
            <w:shd w:val="clear" w:color="auto" w:fill="auto"/>
            <w:noWrap/>
            <w:vAlign w:val="bottom"/>
            <w:hideMark/>
          </w:tcPr>
          <w:p w14:paraId="32650DE8" w14:textId="77777777" w:rsidR="00916B16" w:rsidRPr="007A14E2" w:rsidRDefault="00916B16" w:rsidP="00E7295E">
            <w:pPr>
              <w:pStyle w:val="Tabletext"/>
              <w:jc w:val="center"/>
              <w:rPr>
                <w:i/>
                <w:iCs/>
              </w:rPr>
            </w:pPr>
            <w:r w:rsidRPr="007A14E2">
              <w:t>1</w:t>
            </w:r>
          </w:p>
        </w:tc>
        <w:tc>
          <w:tcPr>
            <w:tcW w:w="1190" w:type="dxa"/>
            <w:tcBorders>
              <w:top w:val="nil"/>
              <w:left w:val="single" w:sz="4" w:space="0" w:color="auto"/>
              <w:bottom w:val="nil"/>
              <w:right w:val="nil"/>
            </w:tcBorders>
            <w:shd w:val="clear" w:color="auto" w:fill="auto"/>
            <w:noWrap/>
            <w:vAlign w:val="bottom"/>
            <w:hideMark/>
          </w:tcPr>
          <w:p w14:paraId="69D3538F" w14:textId="77777777" w:rsidR="00916B16" w:rsidRPr="007A14E2" w:rsidRDefault="00916B16" w:rsidP="00E7295E">
            <w:pPr>
              <w:pStyle w:val="Tabletext"/>
              <w:jc w:val="center"/>
            </w:pPr>
            <w:r w:rsidRPr="007A14E2">
              <w:t>0</w:t>
            </w:r>
          </w:p>
        </w:tc>
        <w:tc>
          <w:tcPr>
            <w:tcW w:w="1190" w:type="dxa"/>
            <w:tcBorders>
              <w:top w:val="nil"/>
              <w:left w:val="nil"/>
              <w:bottom w:val="nil"/>
              <w:right w:val="single" w:sz="4" w:space="0" w:color="auto"/>
            </w:tcBorders>
            <w:shd w:val="clear" w:color="auto" w:fill="auto"/>
            <w:noWrap/>
            <w:vAlign w:val="bottom"/>
            <w:hideMark/>
          </w:tcPr>
          <w:p w14:paraId="6B398813" w14:textId="77777777" w:rsidR="00916B16" w:rsidRPr="007A14E2" w:rsidRDefault="00916B16" w:rsidP="00E7295E">
            <w:pPr>
              <w:pStyle w:val="Tabletext"/>
              <w:jc w:val="center"/>
              <w:rPr>
                <w:i/>
                <w:iCs/>
              </w:rPr>
            </w:pPr>
            <w:r w:rsidRPr="007A14E2">
              <w:t>0</w:t>
            </w:r>
          </w:p>
        </w:tc>
      </w:tr>
      <w:tr w:rsidR="00916B16" w:rsidRPr="007A14E2" w14:paraId="1FB33C82" w14:textId="77777777" w:rsidTr="00D30EF5">
        <w:trPr>
          <w:trHeight w:val="375"/>
          <w:jc w:val="center"/>
        </w:trPr>
        <w:tc>
          <w:tcPr>
            <w:tcW w:w="2551" w:type="dxa"/>
            <w:tcBorders>
              <w:top w:val="nil"/>
              <w:left w:val="single" w:sz="4" w:space="0" w:color="auto"/>
              <w:bottom w:val="nil"/>
              <w:right w:val="single" w:sz="4" w:space="0" w:color="auto"/>
            </w:tcBorders>
            <w:shd w:val="clear" w:color="auto" w:fill="auto"/>
            <w:noWrap/>
            <w:vAlign w:val="bottom"/>
            <w:hideMark/>
          </w:tcPr>
          <w:p w14:paraId="6943B5A8" w14:textId="77777777" w:rsidR="00916B16" w:rsidRPr="007A14E2" w:rsidRDefault="00916B16" w:rsidP="00E7295E">
            <w:pPr>
              <w:pStyle w:val="Tabletext"/>
            </w:pPr>
            <w:r w:rsidRPr="007A14E2">
              <w:t>Other European Union members (11)</w:t>
            </w:r>
          </w:p>
        </w:tc>
        <w:tc>
          <w:tcPr>
            <w:tcW w:w="1182" w:type="dxa"/>
            <w:tcBorders>
              <w:top w:val="nil"/>
              <w:left w:val="nil"/>
              <w:bottom w:val="nil"/>
              <w:right w:val="nil"/>
            </w:tcBorders>
            <w:shd w:val="clear" w:color="auto" w:fill="auto"/>
            <w:noWrap/>
            <w:vAlign w:val="bottom"/>
            <w:hideMark/>
          </w:tcPr>
          <w:p w14:paraId="659CE6AA" w14:textId="77777777" w:rsidR="00916B16" w:rsidRPr="007A14E2" w:rsidRDefault="00916B16" w:rsidP="00E7295E">
            <w:pPr>
              <w:pStyle w:val="Tabletext"/>
              <w:jc w:val="center"/>
            </w:pPr>
            <w:r w:rsidRPr="007A14E2">
              <w:t>2</w:t>
            </w:r>
          </w:p>
        </w:tc>
        <w:tc>
          <w:tcPr>
            <w:tcW w:w="1190" w:type="dxa"/>
            <w:tcBorders>
              <w:top w:val="nil"/>
              <w:left w:val="nil"/>
              <w:bottom w:val="nil"/>
              <w:right w:val="single" w:sz="4" w:space="0" w:color="auto"/>
            </w:tcBorders>
            <w:shd w:val="clear" w:color="auto" w:fill="auto"/>
            <w:noWrap/>
            <w:vAlign w:val="bottom"/>
            <w:hideMark/>
          </w:tcPr>
          <w:p w14:paraId="4F49F288" w14:textId="77777777" w:rsidR="00916B16" w:rsidRPr="007A14E2" w:rsidRDefault="00916B16" w:rsidP="00E7295E">
            <w:pPr>
              <w:pStyle w:val="Tabletext"/>
              <w:jc w:val="center"/>
              <w:rPr>
                <w:i/>
                <w:iCs/>
              </w:rPr>
            </w:pPr>
            <w:r w:rsidRPr="007A14E2">
              <w:t>1</w:t>
            </w:r>
          </w:p>
        </w:tc>
        <w:tc>
          <w:tcPr>
            <w:tcW w:w="1190" w:type="dxa"/>
            <w:tcBorders>
              <w:top w:val="nil"/>
              <w:left w:val="single" w:sz="4" w:space="0" w:color="auto"/>
              <w:bottom w:val="nil"/>
              <w:right w:val="nil"/>
            </w:tcBorders>
            <w:shd w:val="clear" w:color="auto" w:fill="auto"/>
            <w:noWrap/>
            <w:vAlign w:val="bottom"/>
          </w:tcPr>
          <w:p w14:paraId="62EA1F06" w14:textId="77777777" w:rsidR="00916B16" w:rsidRPr="007A14E2" w:rsidRDefault="00916B16" w:rsidP="00E7295E">
            <w:pPr>
              <w:pStyle w:val="Tabletext"/>
              <w:jc w:val="center"/>
            </w:pPr>
            <w:r w:rsidRPr="007A14E2">
              <w:t>0</w:t>
            </w:r>
          </w:p>
        </w:tc>
        <w:tc>
          <w:tcPr>
            <w:tcW w:w="1190" w:type="dxa"/>
            <w:tcBorders>
              <w:top w:val="nil"/>
              <w:left w:val="nil"/>
              <w:bottom w:val="nil"/>
              <w:right w:val="single" w:sz="4" w:space="0" w:color="auto"/>
            </w:tcBorders>
            <w:shd w:val="clear" w:color="auto" w:fill="auto"/>
            <w:noWrap/>
            <w:vAlign w:val="bottom"/>
            <w:hideMark/>
          </w:tcPr>
          <w:p w14:paraId="4AB51E4B" w14:textId="77777777" w:rsidR="00916B16" w:rsidRPr="007A14E2" w:rsidRDefault="00916B16" w:rsidP="00E7295E">
            <w:pPr>
              <w:pStyle w:val="Tabletext"/>
              <w:jc w:val="center"/>
              <w:rPr>
                <w:i/>
                <w:iCs/>
              </w:rPr>
            </w:pPr>
            <w:r w:rsidRPr="007A14E2">
              <w:t>0</w:t>
            </w:r>
          </w:p>
        </w:tc>
        <w:tc>
          <w:tcPr>
            <w:tcW w:w="1190" w:type="dxa"/>
            <w:tcBorders>
              <w:top w:val="nil"/>
              <w:left w:val="single" w:sz="4" w:space="0" w:color="auto"/>
              <w:bottom w:val="nil"/>
              <w:right w:val="nil"/>
            </w:tcBorders>
            <w:shd w:val="clear" w:color="auto" w:fill="auto"/>
            <w:noWrap/>
            <w:vAlign w:val="bottom"/>
            <w:hideMark/>
          </w:tcPr>
          <w:p w14:paraId="2157F96A" w14:textId="77777777" w:rsidR="00916B16" w:rsidRPr="007A14E2" w:rsidRDefault="00916B16" w:rsidP="00E7295E">
            <w:pPr>
              <w:pStyle w:val="Tabletext"/>
              <w:jc w:val="center"/>
            </w:pPr>
            <w:r w:rsidRPr="007A14E2">
              <w:t>0</w:t>
            </w:r>
          </w:p>
        </w:tc>
        <w:tc>
          <w:tcPr>
            <w:tcW w:w="1190" w:type="dxa"/>
            <w:tcBorders>
              <w:top w:val="nil"/>
              <w:left w:val="nil"/>
              <w:bottom w:val="nil"/>
              <w:right w:val="single" w:sz="4" w:space="0" w:color="auto"/>
            </w:tcBorders>
            <w:shd w:val="clear" w:color="auto" w:fill="auto"/>
            <w:noWrap/>
            <w:vAlign w:val="bottom"/>
            <w:hideMark/>
          </w:tcPr>
          <w:p w14:paraId="47082D00" w14:textId="77777777" w:rsidR="00916B16" w:rsidRPr="007A14E2" w:rsidRDefault="00916B16" w:rsidP="00E7295E">
            <w:pPr>
              <w:pStyle w:val="Tabletext"/>
              <w:jc w:val="center"/>
              <w:rPr>
                <w:i/>
                <w:iCs/>
              </w:rPr>
            </w:pPr>
            <w:r w:rsidRPr="007A14E2">
              <w:t>1</w:t>
            </w:r>
          </w:p>
        </w:tc>
      </w:tr>
      <w:tr w:rsidR="00916B16" w:rsidRPr="007A14E2" w14:paraId="0D37B14E" w14:textId="77777777" w:rsidTr="000568D2">
        <w:trPr>
          <w:trHeight w:val="375"/>
          <w:jc w:val="center"/>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A250318" w14:textId="77777777" w:rsidR="00916B16" w:rsidRPr="007A14E2" w:rsidRDefault="00916B16" w:rsidP="00E7295E">
            <w:pPr>
              <w:pStyle w:val="Tabletext"/>
            </w:pPr>
            <w:r w:rsidRPr="007A14E2">
              <w:t>Other developed countries (13)</w:t>
            </w:r>
          </w:p>
        </w:tc>
        <w:tc>
          <w:tcPr>
            <w:tcW w:w="1182" w:type="dxa"/>
            <w:tcBorders>
              <w:top w:val="nil"/>
              <w:left w:val="nil"/>
              <w:bottom w:val="single" w:sz="4" w:space="0" w:color="auto"/>
              <w:right w:val="nil"/>
            </w:tcBorders>
            <w:shd w:val="clear" w:color="auto" w:fill="auto"/>
            <w:noWrap/>
            <w:vAlign w:val="bottom"/>
            <w:hideMark/>
          </w:tcPr>
          <w:p w14:paraId="38F48E94" w14:textId="77777777" w:rsidR="00916B16" w:rsidRPr="007A14E2" w:rsidRDefault="00916B16" w:rsidP="00E7295E">
            <w:pPr>
              <w:pStyle w:val="Tabletext"/>
              <w:jc w:val="center"/>
            </w:pPr>
            <w:r w:rsidRPr="007A14E2">
              <w:t>6</w:t>
            </w:r>
          </w:p>
        </w:tc>
        <w:tc>
          <w:tcPr>
            <w:tcW w:w="1190" w:type="dxa"/>
            <w:tcBorders>
              <w:top w:val="nil"/>
              <w:left w:val="nil"/>
              <w:bottom w:val="single" w:sz="4" w:space="0" w:color="auto"/>
              <w:right w:val="single" w:sz="4" w:space="0" w:color="auto"/>
            </w:tcBorders>
            <w:shd w:val="clear" w:color="auto" w:fill="auto"/>
            <w:noWrap/>
            <w:vAlign w:val="bottom"/>
            <w:hideMark/>
          </w:tcPr>
          <w:p w14:paraId="190E9BF5" w14:textId="77777777" w:rsidR="00916B16" w:rsidRPr="007A14E2" w:rsidRDefault="00916B16" w:rsidP="00E7295E">
            <w:pPr>
              <w:pStyle w:val="Tabletext"/>
              <w:jc w:val="center"/>
              <w:rPr>
                <w:i/>
                <w:iCs/>
              </w:rPr>
            </w:pPr>
            <w:r w:rsidRPr="007A14E2">
              <w:t>1</w:t>
            </w:r>
          </w:p>
        </w:tc>
        <w:tc>
          <w:tcPr>
            <w:tcW w:w="1190" w:type="dxa"/>
            <w:tcBorders>
              <w:top w:val="nil"/>
              <w:left w:val="single" w:sz="4" w:space="0" w:color="auto"/>
              <w:bottom w:val="single" w:sz="4" w:space="0" w:color="auto"/>
              <w:right w:val="nil"/>
            </w:tcBorders>
            <w:shd w:val="clear" w:color="auto" w:fill="auto"/>
            <w:noWrap/>
            <w:vAlign w:val="bottom"/>
          </w:tcPr>
          <w:p w14:paraId="6081D7D3" w14:textId="77777777" w:rsidR="00916B16" w:rsidRPr="007A14E2" w:rsidRDefault="00916B16" w:rsidP="00E7295E">
            <w:pPr>
              <w:pStyle w:val="Tabletext"/>
              <w:jc w:val="center"/>
            </w:pPr>
            <w:r w:rsidRPr="007A14E2">
              <w:t>1</w:t>
            </w:r>
          </w:p>
        </w:tc>
        <w:tc>
          <w:tcPr>
            <w:tcW w:w="1190" w:type="dxa"/>
            <w:tcBorders>
              <w:top w:val="nil"/>
              <w:left w:val="nil"/>
              <w:bottom w:val="single" w:sz="4" w:space="0" w:color="auto"/>
              <w:right w:val="single" w:sz="4" w:space="0" w:color="auto"/>
            </w:tcBorders>
            <w:shd w:val="clear" w:color="auto" w:fill="auto"/>
            <w:noWrap/>
            <w:vAlign w:val="bottom"/>
            <w:hideMark/>
          </w:tcPr>
          <w:p w14:paraId="7041A0FA" w14:textId="77777777" w:rsidR="00916B16" w:rsidRPr="007A14E2" w:rsidRDefault="00916B16" w:rsidP="00E7295E">
            <w:pPr>
              <w:pStyle w:val="Tabletext"/>
              <w:jc w:val="center"/>
              <w:rPr>
                <w:i/>
                <w:iCs/>
              </w:rPr>
            </w:pPr>
            <w:r w:rsidRPr="007A14E2">
              <w:t>0</w:t>
            </w:r>
          </w:p>
        </w:tc>
        <w:tc>
          <w:tcPr>
            <w:tcW w:w="1190" w:type="dxa"/>
            <w:tcBorders>
              <w:top w:val="nil"/>
              <w:left w:val="single" w:sz="4" w:space="0" w:color="auto"/>
              <w:bottom w:val="single" w:sz="4" w:space="0" w:color="auto"/>
              <w:right w:val="nil"/>
            </w:tcBorders>
            <w:shd w:val="clear" w:color="auto" w:fill="auto"/>
            <w:noWrap/>
            <w:vAlign w:val="bottom"/>
            <w:hideMark/>
          </w:tcPr>
          <w:p w14:paraId="20C9832B" w14:textId="77777777" w:rsidR="00916B16" w:rsidRPr="007A14E2" w:rsidRDefault="00916B16" w:rsidP="00E7295E">
            <w:pPr>
              <w:pStyle w:val="Tabletext"/>
              <w:jc w:val="center"/>
            </w:pPr>
            <w:r w:rsidRPr="007A14E2">
              <w:t>0</w:t>
            </w:r>
          </w:p>
        </w:tc>
        <w:tc>
          <w:tcPr>
            <w:tcW w:w="1190" w:type="dxa"/>
            <w:tcBorders>
              <w:top w:val="nil"/>
              <w:left w:val="nil"/>
              <w:bottom w:val="single" w:sz="4" w:space="0" w:color="auto"/>
              <w:right w:val="single" w:sz="4" w:space="0" w:color="auto"/>
            </w:tcBorders>
            <w:shd w:val="clear" w:color="auto" w:fill="auto"/>
            <w:noWrap/>
            <w:vAlign w:val="bottom"/>
            <w:hideMark/>
          </w:tcPr>
          <w:p w14:paraId="6DB9D545" w14:textId="77777777" w:rsidR="00916B16" w:rsidRPr="007A14E2" w:rsidRDefault="00916B16" w:rsidP="00E7295E">
            <w:pPr>
              <w:pStyle w:val="Tabletext"/>
              <w:jc w:val="center"/>
              <w:rPr>
                <w:i/>
                <w:iCs/>
              </w:rPr>
            </w:pPr>
            <w:r w:rsidRPr="007A14E2">
              <w:t>0</w:t>
            </w:r>
          </w:p>
        </w:tc>
      </w:tr>
      <w:tr w:rsidR="00E7295E" w:rsidRPr="007A14E2" w14:paraId="339DACA0" w14:textId="77777777" w:rsidTr="000568D2">
        <w:trPr>
          <w:trHeight w:val="375"/>
          <w:jc w:val="center"/>
        </w:trPr>
        <w:tc>
          <w:tcPr>
            <w:tcW w:w="96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B1FC0DE" w14:textId="1C553A6E" w:rsidR="00E7295E" w:rsidRPr="007A14E2" w:rsidRDefault="00E7295E" w:rsidP="006A6704">
            <w:pPr>
              <w:pStyle w:val="Tabletext"/>
              <w:ind w:left="284" w:hanging="284"/>
            </w:pPr>
            <w:r w:rsidRPr="007A14E2">
              <w:t>Notes:</w:t>
            </w:r>
          </w:p>
          <w:p w14:paraId="3C37011B" w14:textId="37570B0B" w:rsidR="00E7295E" w:rsidRPr="007A14E2" w:rsidRDefault="00E7295E" w:rsidP="006A6704">
            <w:pPr>
              <w:pStyle w:val="Tabletext"/>
              <w:ind w:left="284" w:hanging="284"/>
            </w:pPr>
            <w:r w:rsidRPr="007A14E2">
              <w:t>1</w:t>
            </w:r>
            <w:r w:rsidRPr="007A14E2">
              <w:tab/>
              <w:t>Source: World Bank Group, Global Payment Systems Survey 2012 (adaptation of Table IX.1).</w:t>
            </w:r>
          </w:p>
          <w:p w14:paraId="25323769" w14:textId="7F9F81FB" w:rsidR="00E7295E" w:rsidRPr="007A14E2" w:rsidRDefault="00E7295E" w:rsidP="006A6704">
            <w:pPr>
              <w:pStyle w:val="Tabletext"/>
              <w:ind w:left="284" w:hanging="284"/>
            </w:pPr>
            <w:r w:rsidRPr="007A14E2">
              <w:t>2</w:t>
            </w:r>
            <w:r w:rsidRPr="007A14E2">
              <w:tab/>
              <w:t xml:space="preserve">The "Total worldwide" figure of 117 represents the number of central banks that answered this section of the GPSS 2012. Some central banks represent more than one country (e.g. BCEAO, ECB, </w:t>
            </w:r>
            <w:proofErr w:type="gramStart"/>
            <w:r w:rsidRPr="007A14E2">
              <w:t>ECCB</w:t>
            </w:r>
            <w:proofErr w:type="gramEnd"/>
            <w:r w:rsidRPr="007A14E2">
              <w:t>).</w:t>
            </w:r>
          </w:p>
          <w:p w14:paraId="12847F61" w14:textId="37905F54" w:rsidR="00E7295E" w:rsidRPr="007A14E2" w:rsidRDefault="00E7295E" w:rsidP="006A6704">
            <w:pPr>
              <w:pStyle w:val="Tabletext"/>
              <w:ind w:left="284" w:hanging="284"/>
            </w:pPr>
            <w:r w:rsidRPr="007A14E2">
              <w:t>3</w:t>
            </w:r>
            <w:r w:rsidRPr="007A14E2">
              <w:tab/>
              <w:t>Numbers in the table represent the number of central banks that answered positively each question.</w:t>
            </w:r>
          </w:p>
          <w:p w14:paraId="263AAA22" w14:textId="1AB7FE01" w:rsidR="00E7295E" w:rsidRPr="007A14E2" w:rsidRDefault="00E7295E" w:rsidP="006A6704">
            <w:pPr>
              <w:pStyle w:val="Tabletext"/>
              <w:ind w:left="284" w:hanging="284"/>
            </w:pPr>
            <w:r w:rsidRPr="007A14E2">
              <w:t>4</w:t>
            </w:r>
            <w:r w:rsidRPr="007A14E2">
              <w:tab/>
              <w:t>"Other developed countries" refers to developed countries outside the European Union.</w:t>
            </w:r>
          </w:p>
        </w:tc>
      </w:tr>
    </w:tbl>
    <w:p w14:paraId="4E17CE6F" w14:textId="77777777" w:rsidR="00916B16" w:rsidRPr="007A14E2" w:rsidRDefault="00916B16" w:rsidP="006A6704">
      <w:r w:rsidRPr="007A14E2">
        <w:t xml:space="preserve">From Table 1 it </w:t>
      </w:r>
      <w:proofErr w:type="gramStart"/>
      <w:r w:rsidRPr="007A14E2">
        <w:t>may be observed</w:t>
      </w:r>
      <w:proofErr w:type="gramEnd"/>
      <w:r w:rsidRPr="007A14E2">
        <w:t xml:space="preserve"> that direct participation of entities other than commercial banks was relatively uncommon in RTGS systems worldwide at the time of the GPSS 2012. The non-bank type with the least restrictive figures were supervised NBFIs. Even for the latter, however, at the global level only 36 countries (about 30% of the total that answered the GPSS 2012) informed that supervised NBFIs were direct participants in their RTGS system. In only half of those </w:t>
      </w:r>
      <w:proofErr w:type="gramStart"/>
      <w:r w:rsidRPr="007A14E2">
        <w:t>cases</w:t>
      </w:r>
      <w:proofErr w:type="gramEnd"/>
      <w:r w:rsidRPr="007A14E2">
        <w:t xml:space="preserve"> an NBFI can access payment system-related central bank credit.</w:t>
      </w:r>
    </w:p>
    <w:p w14:paraId="02574488" w14:textId="3CCEB5BE" w:rsidR="00916B16" w:rsidRPr="007A14E2" w:rsidRDefault="00916B16" w:rsidP="00916B16">
      <w:r w:rsidRPr="007A14E2">
        <w:t xml:space="preserve">On the other hand, direct participation of unsupervised NBFIs and of non-financial institutions other than the Ministry of Finance (e.g. mobile network operators or </w:t>
      </w:r>
      <w:r w:rsidR="008548F2" w:rsidRPr="007A14E2">
        <w:t>"</w:t>
      </w:r>
      <w:r w:rsidRPr="007A14E2">
        <w:t>MNOs</w:t>
      </w:r>
      <w:r w:rsidR="008548F2" w:rsidRPr="007A14E2">
        <w:t>"</w:t>
      </w:r>
      <w:r w:rsidRPr="007A14E2">
        <w:t xml:space="preserve">) was practically inexistent. Only about 5% of countries informed that unsupervised NBFIs </w:t>
      </w:r>
      <w:proofErr w:type="gramStart"/>
      <w:r w:rsidRPr="007A14E2">
        <w:t>can</w:t>
      </w:r>
      <w:proofErr w:type="gramEnd"/>
      <w:r w:rsidRPr="007A14E2">
        <w:t xml:space="preserve"> become direct participants in their RTGS system. This number raises slightly to 9% for the case of non-financial institutions.</w:t>
      </w:r>
    </w:p>
    <w:p w14:paraId="68ECBE77" w14:textId="0C8F0CF1" w:rsidR="00916B16" w:rsidRPr="007A14E2" w:rsidRDefault="00916B16" w:rsidP="00916B16">
      <w:r w:rsidRPr="007A14E2">
        <w:t>From a regional perspective, direct access to the RTGS system by supervised NBFIs is more common in Latin America and the Caribbean and in developed countries outside the European Union. About 50% of the central banks in these two regions informed that they give NBFIs direct access to their RTGS system. In contrast, such access is zero or close to zero in South Asia and Sub-Saharan Africa.</w:t>
      </w:r>
    </w:p>
    <w:tbl>
      <w:tblPr>
        <w:tblW w:w="9639" w:type="dxa"/>
        <w:jc w:val="center"/>
        <w:tblLook w:val="04A0" w:firstRow="1" w:lastRow="0" w:firstColumn="1" w:lastColumn="0" w:noHBand="0" w:noVBand="1"/>
      </w:tblPr>
      <w:tblGrid>
        <w:gridCol w:w="4027"/>
        <w:gridCol w:w="1438"/>
        <w:gridCol w:w="1362"/>
        <w:gridCol w:w="1390"/>
        <w:gridCol w:w="1422"/>
      </w:tblGrid>
      <w:tr w:rsidR="006A6704" w:rsidRPr="007A14E2" w14:paraId="62FFA9DA" w14:textId="77777777" w:rsidTr="00A463D3">
        <w:trPr>
          <w:trHeight w:val="375"/>
          <w:jc w:val="center"/>
        </w:trPr>
        <w:tc>
          <w:tcPr>
            <w:tcW w:w="9639" w:type="dxa"/>
            <w:gridSpan w:val="5"/>
            <w:tcBorders>
              <w:bottom w:val="single" w:sz="4" w:space="0" w:color="000000"/>
            </w:tcBorders>
            <w:shd w:val="clear" w:color="auto" w:fill="auto"/>
            <w:noWrap/>
            <w:vAlign w:val="bottom"/>
          </w:tcPr>
          <w:p w14:paraId="510FB781" w14:textId="1DCE175B" w:rsidR="006A6704" w:rsidRPr="007A14E2" w:rsidRDefault="006A6704" w:rsidP="006A6704">
            <w:pPr>
              <w:pStyle w:val="TableNoTitle"/>
            </w:pPr>
            <w:bookmarkStart w:id="71" w:name="_Toc8393568"/>
            <w:bookmarkStart w:id="72" w:name="_Toc17731243"/>
            <w:r w:rsidRPr="007A14E2">
              <w:lastRenderedPageBreak/>
              <w:t>Table 2 – Access of payment system operators to the RTGS system</w:t>
            </w:r>
            <w:bookmarkEnd w:id="71"/>
            <w:bookmarkEnd w:id="72"/>
          </w:p>
        </w:tc>
      </w:tr>
      <w:tr w:rsidR="00916B16" w:rsidRPr="007A14E2" w14:paraId="74B1C07B" w14:textId="77777777" w:rsidTr="006A6704">
        <w:trPr>
          <w:trHeight w:val="375"/>
          <w:jc w:val="center"/>
        </w:trPr>
        <w:tc>
          <w:tcPr>
            <w:tcW w:w="402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26FB884" w14:textId="77777777" w:rsidR="00916B16" w:rsidRPr="007A14E2" w:rsidRDefault="00916B16" w:rsidP="009C7677">
            <w:pPr>
              <w:keepNext/>
              <w:keepLines/>
              <w:jc w:val="center"/>
              <w:rPr>
                <w:rFonts w:asciiTheme="minorHAnsi" w:hAnsiTheme="minorHAnsi" w:cs="Arial"/>
                <w:sz w:val="20"/>
              </w:rPr>
            </w:pPr>
            <w:r w:rsidRPr="007A14E2">
              <w:rPr>
                <w:rFonts w:asciiTheme="minorHAnsi" w:hAnsiTheme="minorHAnsi" w:cs="Arial"/>
                <w:sz w:val="20"/>
              </w:rPr>
              <w:t> </w:t>
            </w:r>
          </w:p>
        </w:tc>
        <w:tc>
          <w:tcPr>
            <w:tcW w:w="28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06A420" w14:textId="77777777" w:rsidR="00916B16" w:rsidRPr="007A14E2" w:rsidRDefault="00916B16" w:rsidP="009C7677">
            <w:pPr>
              <w:pStyle w:val="Tablehead"/>
              <w:keepLines/>
            </w:pPr>
            <w:r w:rsidRPr="007A14E2">
              <w:t>ACH Operators</w:t>
            </w:r>
          </w:p>
        </w:tc>
        <w:tc>
          <w:tcPr>
            <w:tcW w:w="2812" w:type="dxa"/>
            <w:gridSpan w:val="2"/>
            <w:tcBorders>
              <w:top w:val="single" w:sz="4" w:space="0" w:color="auto"/>
              <w:left w:val="nil"/>
              <w:bottom w:val="single" w:sz="4" w:space="0" w:color="auto"/>
              <w:right w:val="single" w:sz="4" w:space="0" w:color="auto"/>
            </w:tcBorders>
            <w:shd w:val="clear" w:color="auto" w:fill="auto"/>
            <w:vAlign w:val="center"/>
          </w:tcPr>
          <w:p w14:paraId="70D34959" w14:textId="4FA99F88" w:rsidR="00916B16" w:rsidRPr="007A14E2" w:rsidRDefault="00916B16" w:rsidP="009C7677">
            <w:pPr>
              <w:pStyle w:val="Tablehead"/>
              <w:keepLines/>
            </w:pPr>
            <w:r w:rsidRPr="007A14E2">
              <w:t xml:space="preserve">Payment Card </w:t>
            </w:r>
            <w:r w:rsidR="009E1B5A" w:rsidRPr="007A14E2">
              <w:br/>
            </w:r>
            <w:r w:rsidRPr="007A14E2">
              <w:t>Switch Operators</w:t>
            </w:r>
          </w:p>
        </w:tc>
      </w:tr>
      <w:tr w:rsidR="00916B16" w:rsidRPr="007A14E2" w14:paraId="54E82E0C" w14:textId="77777777" w:rsidTr="006A6704">
        <w:trPr>
          <w:trHeight w:val="1155"/>
          <w:jc w:val="center"/>
        </w:trPr>
        <w:tc>
          <w:tcPr>
            <w:tcW w:w="40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323747" w14:textId="77777777" w:rsidR="00916B16" w:rsidRPr="007A14E2" w:rsidRDefault="00916B16" w:rsidP="009C7677">
            <w:pPr>
              <w:keepNext/>
              <w:keepLines/>
              <w:rPr>
                <w:rFonts w:asciiTheme="minorHAnsi" w:hAnsiTheme="minorHAnsi" w:cs="Arial"/>
                <w:sz w:val="20"/>
              </w:rPr>
            </w:pPr>
          </w:p>
        </w:tc>
        <w:tc>
          <w:tcPr>
            <w:tcW w:w="1438" w:type="dxa"/>
            <w:tcBorders>
              <w:top w:val="nil"/>
              <w:left w:val="nil"/>
              <w:bottom w:val="single" w:sz="4" w:space="0" w:color="auto"/>
              <w:right w:val="single" w:sz="4" w:space="0" w:color="auto"/>
            </w:tcBorders>
            <w:shd w:val="clear" w:color="auto" w:fill="auto"/>
            <w:vAlign w:val="center"/>
            <w:hideMark/>
          </w:tcPr>
          <w:p w14:paraId="3B7F7DBA" w14:textId="77777777" w:rsidR="00916B16" w:rsidRPr="007A14E2" w:rsidRDefault="00916B16" w:rsidP="009C7677">
            <w:pPr>
              <w:pStyle w:val="Tablehead"/>
              <w:keepLines/>
            </w:pPr>
            <w:r w:rsidRPr="007A14E2">
              <w:t>Direct access to account and credit</w:t>
            </w:r>
          </w:p>
        </w:tc>
        <w:tc>
          <w:tcPr>
            <w:tcW w:w="1362" w:type="dxa"/>
            <w:tcBorders>
              <w:top w:val="nil"/>
              <w:left w:val="single" w:sz="4" w:space="0" w:color="auto"/>
              <w:bottom w:val="single" w:sz="4" w:space="0" w:color="auto"/>
              <w:right w:val="single" w:sz="4" w:space="0" w:color="auto"/>
            </w:tcBorders>
            <w:shd w:val="clear" w:color="auto" w:fill="auto"/>
            <w:vAlign w:val="center"/>
          </w:tcPr>
          <w:p w14:paraId="250727BB" w14:textId="37CF56D9" w:rsidR="00916B16" w:rsidRPr="007A14E2" w:rsidRDefault="00916B16" w:rsidP="009C7677">
            <w:pPr>
              <w:pStyle w:val="Tablehead"/>
              <w:keepLines/>
            </w:pPr>
            <w:r w:rsidRPr="007A14E2">
              <w:t xml:space="preserve">Direct access to account, </w:t>
            </w:r>
            <w:r w:rsidR="009E1B5A" w:rsidRPr="007A14E2">
              <w:br/>
            </w:r>
            <w:r w:rsidRPr="007A14E2">
              <w:t>no credit</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FEA3" w14:textId="4EFF6B97" w:rsidR="00916B16" w:rsidRPr="007A14E2" w:rsidRDefault="00916B16" w:rsidP="009C7677">
            <w:pPr>
              <w:pStyle w:val="Tablehead"/>
              <w:keepLines/>
            </w:pPr>
            <w:r w:rsidRPr="007A14E2">
              <w:t xml:space="preserve">Direct access to account </w:t>
            </w:r>
            <w:r w:rsidR="009E1B5A" w:rsidRPr="007A14E2">
              <w:br/>
            </w:r>
            <w:r w:rsidRPr="007A14E2">
              <w:t>and credit</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7BB4748D" w14:textId="395A0F08" w:rsidR="00916B16" w:rsidRPr="007A14E2" w:rsidRDefault="00916B16" w:rsidP="009C7677">
            <w:pPr>
              <w:pStyle w:val="Tablehead"/>
              <w:keepLines/>
            </w:pPr>
            <w:r w:rsidRPr="007A14E2">
              <w:t xml:space="preserve">Direct access to account, </w:t>
            </w:r>
            <w:r w:rsidR="009E1B5A" w:rsidRPr="007A14E2">
              <w:br/>
            </w:r>
            <w:r w:rsidRPr="007A14E2">
              <w:t>no credit</w:t>
            </w:r>
          </w:p>
        </w:tc>
      </w:tr>
      <w:tr w:rsidR="00916B16" w:rsidRPr="007A14E2" w14:paraId="6719EB0D" w14:textId="77777777" w:rsidTr="006A6704">
        <w:trPr>
          <w:trHeight w:val="375"/>
          <w:jc w:val="center"/>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B60B1" w14:textId="77777777" w:rsidR="00916B16" w:rsidRPr="007A14E2" w:rsidRDefault="00916B16" w:rsidP="009C7677">
            <w:pPr>
              <w:pStyle w:val="Tabletext"/>
              <w:keepNext/>
              <w:keepLines/>
              <w:rPr>
                <w:b/>
                <w:bCs/>
              </w:rPr>
            </w:pPr>
            <w:r w:rsidRPr="007A14E2">
              <w:rPr>
                <w:b/>
                <w:bCs/>
              </w:rPr>
              <w:t>Countries</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14:paraId="02F95A72" w14:textId="77777777" w:rsidR="00916B16" w:rsidRPr="007A14E2" w:rsidRDefault="00916B16" w:rsidP="009C7677">
            <w:pPr>
              <w:pStyle w:val="Tabletext"/>
              <w:keepNext/>
              <w:keepLines/>
              <w:jc w:val="center"/>
            </w:pPr>
            <w:r w:rsidRPr="007A14E2">
              <w:t>#</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F695C" w14:textId="77777777" w:rsidR="00916B16" w:rsidRPr="007A14E2" w:rsidRDefault="00916B16" w:rsidP="009C7677">
            <w:pPr>
              <w:pStyle w:val="Tabletext"/>
              <w:keepNext/>
              <w:keepLines/>
              <w:jc w:val="center"/>
            </w:pPr>
            <w:r w:rsidRPr="007A14E2">
              <w:t>#</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ACC3" w14:textId="77777777" w:rsidR="00916B16" w:rsidRPr="007A14E2" w:rsidRDefault="00916B16" w:rsidP="009C7677">
            <w:pPr>
              <w:pStyle w:val="Tabletext"/>
              <w:keepNext/>
              <w:keepLines/>
              <w:jc w:val="center"/>
            </w:pPr>
            <w:r w:rsidRPr="007A14E2">
              <w:t>#</w:t>
            </w:r>
          </w:p>
        </w:tc>
        <w:tc>
          <w:tcPr>
            <w:tcW w:w="1422" w:type="dxa"/>
            <w:tcBorders>
              <w:top w:val="nil"/>
              <w:left w:val="single" w:sz="4" w:space="0" w:color="auto"/>
              <w:bottom w:val="single" w:sz="4" w:space="0" w:color="auto"/>
              <w:right w:val="single" w:sz="4" w:space="0" w:color="auto"/>
            </w:tcBorders>
            <w:shd w:val="clear" w:color="auto" w:fill="auto"/>
            <w:noWrap/>
            <w:vAlign w:val="bottom"/>
          </w:tcPr>
          <w:p w14:paraId="3275AA7A" w14:textId="77777777" w:rsidR="00916B16" w:rsidRPr="007A14E2" w:rsidRDefault="00916B16" w:rsidP="009C7677">
            <w:pPr>
              <w:pStyle w:val="Tabletext"/>
              <w:keepNext/>
              <w:keepLines/>
              <w:jc w:val="center"/>
            </w:pPr>
            <w:r w:rsidRPr="007A14E2">
              <w:t>#</w:t>
            </w:r>
          </w:p>
        </w:tc>
      </w:tr>
      <w:tr w:rsidR="00916B16" w:rsidRPr="007A14E2" w14:paraId="544ADF45" w14:textId="77777777" w:rsidTr="006A6704">
        <w:trPr>
          <w:trHeight w:val="375"/>
          <w:jc w:val="center"/>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AB0B1" w14:textId="77777777" w:rsidR="00916B16" w:rsidRPr="007A14E2" w:rsidRDefault="00916B16" w:rsidP="009C7677">
            <w:pPr>
              <w:pStyle w:val="Tabletext"/>
              <w:keepNext/>
              <w:keepLines/>
              <w:rPr>
                <w:b/>
                <w:bCs/>
              </w:rPr>
            </w:pPr>
            <w:r w:rsidRPr="007A14E2">
              <w:rPr>
                <w:b/>
                <w:bCs/>
              </w:rPr>
              <w:t>Total worldwide (117)</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14:paraId="28796F9D" w14:textId="77777777" w:rsidR="00916B16" w:rsidRPr="007A14E2" w:rsidRDefault="00916B16" w:rsidP="009C7677">
            <w:pPr>
              <w:pStyle w:val="Tabletext"/>
              <w:keepNext/>
              <w:keepLines/>
              <w:jc w:val="center"/>
            </w:pPr>
            <w:r w:rsidRPr="007A14E2">
              <w:t>15</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B9082" w14:textId="77777777" w:rsidR="00916B16" w:rsidRPr="007A14E2" w:rsidRDefault="00916B16" w:rsidP="009C7677">
            <w:pPr>
              <w:pStyle w:val="Tabletext"/>
              <w:keepNext/>
              <w:keepLines/>
              <w:jc w:val="center"/>
            </w:pPr>
            <w:r w:rsidRPr="007A14E2">
              <w:t>44</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3A717" w14:textId="77777777" w:rsidR="00916B16" w:rsidRPr="007A14E2" w:rsidRDefault="00916B16" w:rsidP="009C7677">
            <w:pPr>
              <w:pStyle w:val="Tabletext"/>
              <w:keepNext/>
              <w:keepLines/>
              <w:jc w:val="center"/>
            </w:pPr>
            <w:r w:rsidRPr="007A14E2">
              <w:t>6</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DEB5A" w14:textId="77777777" w:rsidR="00916B16" w:rsidRPr="007A14E2" w:rsidRDefault="00916B16" w:rsidP="009C7677">
            <w:pPr>
              <w:pStyle w:val="Tabletext"/>
              <w:keepNext/>
              <w:keepLines/>
              <w:jc w:val="center"/>
            </w:pPr>
            <w:r w:rsidRPr="007A14E2">
              <w:t>22</w:t>
            </w:r>
          </w:p>
        </w:tc>
      </w:tr>
      <w:tr w:rsidR="006A6704" w:rsidRPr="007A14E2" w14:paraId="6EC3108D" w14:textId="77777777" w:rsidTr="00A463D3">
        <w:trPr>
          <w:trHeight w:val="375"/>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17D4B6A" w14:textId="0B5CF7BF" w:rsidR="006A6704" w:rsidRPr="007A14E2" w:rsidRDefault="006A6704" w:rsidP="006A6704">
            <w:pPr>
              <w:pStyle w:val="Tabletext"/>
              <w:keepNext/>
              <w:keepLines/>
            </w:pPr>
            <w:r w:rsidRPr="007A14E2">
              <w:t>Source: World Bank Group, Global Payment Systems Survey 2012 (adaptation of Table IX.1).</w:t>
            </w:r>
          </w:p>
        </w:tc>
      </w:tr>
    </w:tbl>
    <w:p w14:paraId="2FF944B8" w14:textId="77777777" w:rsidR="00916B16" w:rsidRPr="007A14E2" w:rsidRDefault="00916B16" w:rsidP="006A6704">
      <w:r w:rsidRPr="007A14E2">
        <w:t xml:space="preserve">Table 2 shows that direct participation of payment system operators in RTGS system is much more common, albeit still far from universal. Operators of ACHs have direct access to the RTGS system in 51% of the respondent countries. The corresponding figure for </w:t>
      </w:r>
      <w:proofErr w:type="gramStart"/>
      <w:r w:rsidRPr="007A14E2">
        <w:t>payment card switch operators</w:t>
      </w:r>
      <w:proofErr w:type="gramEnd"/>
      <w:r w:rsidRPr="007A14E2">
        <w:t xml:space="preserve"> is significantly lower, at 24%. Only </w:t>
      </w:r>
      <w:proofErr w:type="gramStart"/>
      <w:r w:rsidRPr="007A14E2">
        <w:t>a small fraction of ACH and payment card switch operators also have</w:t>
      </w:r>
      <w:proofErr w:type="gramEnd"/>
      <w:r w:rsidRPr="007A14E2">
        <w:t xml:space="preserve"> access to central bank credit.</w:t>
      </w:r>
    </w:p>
    <w:p w14:paraId="08CE0929" w14:textId="77777777" w:rsidR="00916B16" w:rsidRPr="007A14E2" w:rsidRDefault="00916B16" w:rsidP="00916B16">
      <w:r w:rsidRPr="007A14E2">
        <w:t xml:space="preserve">Additional relevant data from the GPSS 2012 shows that access criteria in RTGS systems was still largely institution-based: 107 respondents (91% of the total) mentioned that direct access </w:t>
      </w:r>
      <w:proofErr w:type="gramStart"/>
      <w:r w:rsidRPr="007A14E2">
        <w:t>is based</w:t>
      </w:r>
      <w:proofErr w:type="gramEnd"/>
      <w:r w:rsidRPr="007A14E2">
        <w:t xml:space="preserve"> on the type of license/authorization of the applicant or potential participant.</w:t>
      </w:r>
    </w:p>
    <w:p w14:paraId="634213DA" w14:textId="459D9842" w:rsidR="00742F32" w:rsidRPr="007A14E2" w:rsidRDefault="00E7295E" w:rsidP="000568D2">
      <w:pPr>
        <w:pStyle w:val="Headingb"/>
      </w:pPr>
      <w:bookmarkStart w:id="73" w:name="_Toc8395003"/>
      <w:bookmarkStart w:id="74" w:name="_Toc17730775"/>
      <w:r w:rsidRPr="007A14E2">
        <w:t>b)</w:t>
      </w:r>
      <w:r w:rsidRPr="007A14E2">
        <w:tab/>
      </w:r>
      <w:r w:rsidR="00916B16" w:rsidRPr="007A14E2">
        <w:t>Access to ACHs</w:t>
      </w:r>
      <w:bookmarkEnd w:id="73"/>
      <w:bookmarkEnd w:id="74"/>
    </w:p>
    <w:p w14:paraId="7900879B" w14:textId="645E5006" w:rsidR="00916B16" w:rsidRPr="007A14E2" w:rsidRDefault="00916B16" w:rsidP="006A6704"/>
    <w:tbl>
      <w:tblPr>
        <w:tblW w:w="9781" w:type="dxa"/>
        <w:jc w:val="center"/>
        <w:tblLook w:val="04A0" w:firstRow="1" w:lastRow="0" w:firstColumn="1" w:lastColumn="0" w:noHBand="0" w:noVBand="1"/>
      </w:tblPr>
      <w:tblGrid>
        <w:gridCol w:w="1413"/>
        <w:gridCol w:w="877"/>
        <w:gridCol w:w="836"/>
        <w:gridCol w:w="1451"/>
        <w:gridCol w:w="1514"/>
        <w:gridCol w:w="779"/>
        <w:gridCol w:w="999"/>
        <w:gridCol w:w="1133"/>
        <w:gridCol w:w="779"/>
      </w:tblGrid>
      <w:tr w:rsidR="006A6704" w:rsidRPr="007A14E2" w14:paraId="0FC1F29E" w14:textId="77777777" w:rsidTr="006A6704">
        <w:trPr>
          <w:trHeight w:val="822"/>
          <w:tblHeader/>
          <w:jc w:val="center"/>
        </w:trPr>
        <w:tc>
          <w:tcPr>
            <w:tcW w:w="9781" w:type="dxa"/>
            <w:gridSpan w:val="9"/>
            <w:tcBorders>
              <w:bottom w:val="single" w:sz="4" w:space="0" w:color="auto"/>
            </w:tcBorders>
            <w:shd w:val="clear" w:color="auto" w:fill="auto"/>
            <w:vAlign w:val="center"/>
          </w:tcPr>
          <w:p w14:paraId="30CEFCB8" w14:textId="41CFAEE8" w:rsidR="006A6704" w:rsidRPr="007A14E2" w:rsidRDefault="006A6704" w:rsidP="006A6704">
            <w:pPr>
              <w:pStyle w:val="TableNoTitle"/>
            </w:pPr>
            <w:bookmarkStart w:id="75" w:name="_Toc8393569"/>
            <w:bookmarkStart w:id="76" w:name="_Toc17731244"/>
            <w:r w:rsidRPr="007A14E2">
              <w:t>Table 3 – Direct access of non-bank institutions to ACHs</w:t>
            </w:r>
            <w:bookmarkEnd w:id="75"/>
            <w:bookmarkEnd w:id="76"/>
          </w:p>
        </w:tc>
      </w:tr>
      <w:tr w:rsidR="00916B16" w:rsidRPr="007A14E2" w14:paraId="261ECA05" w14:textId="77777777" w:rsidTr="006A6704">
        <w:trPr>
          <w:trHeight w:val="822"/>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F375A" w14:textId="77777777" w:rsidR="00916B16" w:rsidRPr="007A14E2" w:rsidRDefault="00916B16" w:rsidP="00E7295E">
            <w:pPr>
              <w:pStyle w:val="Tablehead"/>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73DB3CDA" w14:textId="77777777" w:rsidR="00916B16" w:rsidRPr="007A14E2" w:rsidRDefault="00916B16" w:rsidP="00E7295E">
            <w:pPr>
              <w:pStyle w:val="Tablehead"/>
              <w:rPr>
                <w:bCs/>
              </w:rPr>
            </w:pPr>
            <w:r w:rsidRPr="007A14E2">
              <w:rPr>
                <w:bCs/>
              </w:rPr>
              <w:t>Credit Unions</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3CBA6A23" w14:textId="77777777" w:rsidR="00916B16" w:rsidRPr="007A14E2" w:rsidRDefault="00916B16" w:rsidP="00E7295E">
            <w:pPr>
              <w:pStyle w:val="Tablehead"/>
              <w:rPr>
                <w:bCs/>
              </w:rPr>
            </w:pPr>
            <w:r w:rsidRPr="007A14E2">
              <w:rPr>
                <w:bCs/>
              </w:rPr>
              <w:t>MTOs</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56868CC4" w14:textId="77777777" w:rsidR="00916B16" w:rsidRPr="007A14E2" w:rsidRDefault="00916B16" w:rsidP="00E7295E">
            <w:pPr>
              <w:pStyle w:val="Tablehead"/>
              <w:rPr>
                <w:bCs/>
              </w:rPr>
            </w:pPr>
            <w:r w:rsidRPr="007A14E2">
              <w:rPr>
                <w:bCs/>
              </w:rPr>
              <w:t>Supervised Cooperatives</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2D3230F" w14:textId="77777777" w:rsidR="00916B16" w:rsidRPr="007A14E2" w:rsidRDefault="00916B16" w:rsidP="00E7295E">
            <w:pPr>
              <w:pStyle w:val="Tablehead"/>
              <w:rPr>
                <w:bCs/>
              </w:rPr>
            </w:pPr>
            <w:r w:rsidRPr="007A14E2">
              <w:rPr>
                <w:bCs/>
              </w:rPr>
              <w:t>Unsupervised Cooperatives</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8F4A07B" w14:textId="77777777" w:rsidR="00916B16" w:rsidRPr="007A14E2" w:rsidRDefault="00916B16" w:rsidP="00E7295E">
            <w:pPr>
              <w:pStyle w:val="Tablehead"/>
              <w:rPr>
                <w:bCs/>
              </w:rPr>
            </w:pPr>
            <w:r w:rsidRPr="007A14E2">
              <w:rPr>
                <w:bCs/>
              </w:rPr>
              <w:t>Other MFIs</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5BBD8B11" w14:textId="77777777" w:rsidR="00916B16" w:rsidRPr="007A14E2" w:rsidRDefault="00916B16" w:rsidP="00E7295E">
            <w:pPr>
              <w:pStyle w:val="Tablehead"/>
              <w:rPr>
                <w:bCs/>
              </w:rPr>
            </w:pPr>
            <w:r w:rsidRPr="007A14E2">
              <w:rPr>
                <w:bCs/>
              </w:rPr>
              <w:t>Postal network</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18CE9D0" w14:textId="77777777" w:rsidR="00916B16" w:rsidRPr="007A14E2" w:rsidRDefault="00916B16" w:rsidP="00E7295E">
            <w:pPr>
              <w:pStyle w:val="Tablehead"/>
              <w:rPr>
                <w:bCs/>
              </w:rPr>
            </w:pPr>
            <w:r w:rsidRPr="007A14E2">
              <w:rPr>
                <w:bCs/>
              </w:rPr>
              <w:t>Exchange bureaus</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5F293D9" w14:textId="77777777" w:rsidR="00916B16" w:rsidRPr="007A14E2" w:rsidRDefault="00916B16" w:rsidP="00E7295E">
            <w:pPr>
              <w:pStyle w:val="Tablehead"/>
              <w:rPr>
                <w:bCs/>
              </w:rPr>
            </w:pPr>
            <w:r w:rsidRPr="007A14E2">
              <w:rPr>
                <w:bCs/>
              </w:rPr>
              <w:t>Other</w:t>
            </w:r>
          </w:p>
        </w:tc>
      </w:tr>
      <w:tr w:rsidR="00916B16" w:rsidRPr="007A14E2" w14:paraId="68A6CCBD" w14:textId="77777777" w:rsidTr="006A6704">
        <w:trPr>
          <w:trHeight w:val="37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E1A9" w14:textId="77777777" w:rsidR="00916B16" w:rsidRPr="007A14E2" w:rsidRDefault="00916B16" w:rsidP="00B85F00">
            <w:pPr>
              <w:pStyle w:val="Tabletext"/>
              <w:rPr>
                <w:b/>
                <w:bCs/>
              </w:rPr>
            </w:pPr>
            <w:r w:rsidRPr="007A14E2">
              <w:rPr>
                <w:b/>
                <w:bCs/>
              </w:rPr>
              <w:t>Countries</w:t>
            </w:r>
          </w:p>
        </w:tc>
        <w:tc>
          <w:tcPr>
            <w:tcW w:w="877" w:type="dxa"/>
            <w:tcBorders>
              <w:top w:val="single" w:sz="4" w:space="0" w:color="auto"/>
              <w:left w:val="nil"/>
              <w:bottom w:val="single" w:sz="4" w:space="0" w:color="auto"/>
              <w:right w:val="nil"/>
            </w:tcBorders>
            <w:shd w:val="clear" w:color="auto" w:fill="auto"/>
            <w:noWrap/>
            <w:vAlign w:val="center"/>
            <w:hideMark/>
          </w:tcPr>
          <w:p w14:paraId="4F35BA94" w14:textId="77777777" w:rsidR="00916B16" w:rsidRPr="007A14E2" w:rsidRDefault="00916B16" w:rsidP="00F15B65">
            <w:pPr>
              <w:pStyle w:val="Tabletext"/>
              <w:jc w:val="center"/>
            </w:pPr>
            <w:r w:rsidRPr="007A14E2">
              <w:t>#</w:t>
            </w:r>
          </w:p>
        </w:tc>
        <w:tc>
          <w:tcPr>
            <w:tcW w:w="836" w:type="dxa"/>
            <w:tcBorders>
              <w:top w:val="single" w:sz="4" w:space="0" w:color="auto"/>
              <w:left w:val="nil"/>
              <w:bottom w:val="single" w:sz="4" w:space="0" w:color="auto"/>
              <w:right w:val="nil"/>
            </w:tcBorders>
            <w:shd w:val="clear" w:color="auto" w:fill="auto"/>
            <w:noWrap/>
            <w:vAlign w:val="center"/>
          </w:tcPr>
          <w:p w14:paraId="5B43A3B8" w14:textId="77777777" w:rsidR="00916B16" w:rsidRPr="007A14E2" w:rsidRDefault="00916B16" w:rsidP="00F15B65">
            <w:pPr>
              <w:pStyle w:val="Tabletext"/>
              <w:jc w:val="center"/>
            </w:pPr>
            <w:r w:rsidRPr="007A14E2">
              <w:t>#</w:t>
            </w:r>
          </w:p>
        </w:tc>
        <w:tc>
          <w:tcPr>
            <w:tcW w:w="1451" w:type="dxa"/>
            <w:tcBorders>
              <w:top w:val="single" w:sz="4" w:space="0" w:color="auto"/>
              <w:left w:val="nil"/>
              <w:bottom w:val="single" w:sz="4" w:space="0" w:color="auto"/>
              <w:right w:val="nil"/>
            </w:tcBorders>
            <w:vAlign w:val="center"/>
          </w:tcPr>
          <w:p w14:paraId="4CECAF85" w14:textId="77777777" w:rsidR="00916B16" w:rsidRPr="007A14E2" w:rsidRDefault="00916B16" w:rsidP="00F15B65">
            <w:pPr>
              <w:pStyle w:val="Tabletext"/>
              <w:jc w:val="center"/>
            </w:pPr>
            <w:r w:rsidRPr="007A14E2">
              <w:t>#</w:t>
            </w:r>
          </w:p>
        </w:tc>
        <w:tc>
          <w:tcPr>
            <w:tcW w:w="1514" w:type="dxa"/>
            <w:tcBorders>
              <w:top w:val="single" w:sz="4" w:space="0" w:color="auto"/>
              <w:left w:val="nil"/>
              <w:bottom w:val="single" w:sz="4" w:space="0" w:color="auto"/>
              <w:right w:val="nil"/>
            </w:tcBorders>
            <w:shd w:val="clear" w:color="auto" w:fill="auto"/>
            <w:noWrap/>
            <w:vAlign w:val="center"/>
            <w:hideMark/>
          </w:tcPr>
          <w:p w14:paraId="2F166DD0" w14:textId="77777777" w:rsidR="00916B16" w:rsidRPr="007A14E2" w:rsidRDefault="00916B16" w:rsidP="00F15B65">
            <w:pPr>
              <w:pStyle w:val="Tabletext"/>
              <w:jc w:val="center"/>
            </w:pPr>
            <w:r w:rsidRPr="007A14E2">
              <w:t>#</w:t>
            </w:r>
          </w:p>
        </w:tc>
        <w:tc>
          <w:tcPr>
            <w:tcW w:w="779" w:type="dxa"/>
            <w:tcBorders>
              <w:top w:val="single" w:sz="4" w:space="0" w:color="auto"/>
              <w:left w:val="nil"/>
              <w:bottom w:val="single" w:sz="4" w:space="0" w:color="auto"/>
              <w:right w:val="nil"/>
            </w:tcBorders>
            <w:vAlign w:val="center"/>
          </w:tcPr>
          <w:p w14:paraId="0A7F9F01" w14:textId="77777777" w:rsidR="00916B16" w:rsidRPr="007A14E2" w:rsidRDefault="00916B16" w:rsidP="00F15B65">
            <w:pPr>
              <w:pStyle w:val="Tabletext"/>
              <w:jc w:val="center"/>
            </w:pPr>
          </w:p>
        </w:tc>
        <w:tc>
          <w:tcPr>
            <w:tcW w:w="999" w:type="dxa"/>
            <w:tcBorders>
              <w:top w:val="single" w:sz="4" w:space="0" w:color="auto"/>
              <w:left w:val="nil"/>
              <w:bottom w:val="single" w:sz="4" w:space="0" w:color="auto"/>
              <w:right w:val="nil"/>
            </w:tcBorders>
            <w:vAlign w:val="center"/>
          </w:tcPr>
          <w:p w14:paraId="5D03A60E" w14:textId="77777777" w:rsidR="00916B16" w:rsidRPr="007A14E2" w:rsidRDefault="00916B16" w:rsidP="00F15B65">
            <w:pPr>
              <w:pStyle w:val="Tabletext"/>
              <w:jc w:val="center"/>
            </w:pPr>
            <w:r w:rsidRPr="007A14E2">
              <w:t>#</w:t>
            </w:r>
          </w:p>
        </w:tc>
        <w:tc>
          <w:tcPr>
            <w:tcW w:w="1133" w:type="dxa"/>
            <w:tcBorders>
              <w:top w:val="single" w:sz="4" w:space="0" w:color="auto"/>
              <w:left w:val="nil"/>
              <w:bottom w:val="single" w:sz="4" w:space="0" w:color="auto"/>
              <w:right w:val="nil"/>
            </w:tcBorders>
            <w:vAlign w:val="center"/>
          </w:tcPr>
          <w:p w14:paraId="700645DE" w14:textId="77777777" w:rsidR="00916B16" w:rsidRPr="007A14E2" w:rsidRDefault="00916B16" w:rsidP="00F15B65">
            <w:pPr>
              <w:pStyle w:val="Tabletext"/>
              <w:jc w:val="center"/>
            </w:pPr>
            <w:r w:rsidRPr="007A14E2">
              <w:t>#</w:t>
            </w:r>
          </w:p>
        </w:tc>
        <w:tc>
          <w:tcPr>
            <w:tcW w:w="779" w:type="dxa"/>
            <w:tcBorders>
              <w:top w:val="single" w:sz="4" w:space="0" w:color="auto"/>
              <w:left w:val="nil"/>
              <w:bottom w:val="single" w:sz="4" w:space="0" w:color="auto"/>
              <w:right w:val="single" w:sz="4" w:space="0" w:color="auto"/>
            </w:tcBorders>
            <w:vAlign w:val="center"/>
          </w:tcPr>
          <w:p w14:paraId="3BB34D3C" w14:textId="77777777" w:rsidR="00916B16" w:rsidRPr="007A14E2" w:rsidRDefault="00916B16" w:rsidP="00F15B65">
            <w:pPr>
              <w:pStyle w:val="Tabletext"/>
              <w:jc w:val="center"/>
            </w:pPr>
            <w:r w:rsidRPr="007A14E2">
              <w:t>#</w:t>
            </w:r>
          </w:p>
        </w:tc>
      </w:tr>
      <w:tr w:rsidR="00916B16" w:rsidRPr="007A14E2" w14:paraId="10738260" w14:textId="77777777" w:rsidTr="006A6704">
        <w:trPr>
          <w:trHeight w:val="375"/>
          <w:jc w:val="center"/>
        </w:trPr>
        <w:tc>
          <w:tcPr>
            <w:tcW w:w="1413" w:type="dxa"/>
            <w:tcBorders>
              <w:top w:val="nil"/>
              <w:left w:val="single" w:sz="4" w:space="0" w:color="auto"/>
              <w:bottom w:val="nil"/>
              <w:right w:val="single" w:sz="4" w:space="0" w:color="auto"/>
            </w:tcBorders>
            <w:shd w:val="clear" w:color="auto" w:fill="auto"/>
            <w:noWrap/>
            <w:vAlign w:val="center"/>
            <w:hideMark/>
          </w:tcPr>
          <w:p w14:paraId="6209559C" w14:textId="77777777" w:rsidR="00916B16" w:rsidRPr="007A14E2" w:rsidRDefault="00916B16" w:rsidP="00B85F00">
            <w:pPr>
              <w:pStyle w:val="Tabletext"/>
            </w:pPr>
            <w:r w:rsidRPr="007A14E2">
              <w:t> </w:t>
            </w:r>
          </w:p>
        </w:tc>
        <w:tc>
          <w:tcPr>
            <w:tcW w:w="877" w:type="dxa"/>
            <w:tcBorders>
              <w:top w:val="single" w:sz="4" w:space="0" w:color="auto"/>
              <w:left w:val="nil"/>
              <w:bottom w:val="nil"/>
              <w:right w:val="single" w:sz="4" w:space="0" w:color="auto"/>
            </w:tcBorders>
            <w:shd w:val="clear" w:color="auto" w:fill="auto"/>
            <w:noWrap/>
            <w:vAlign w:val="center"/>
            <w:hideMark/>
          </w:tcPr>
          <w:p w14:paraId="1B26318B" w14:textId="77777777" w:rsidR="00916B16" w:rsidRPr="007A14E2" w:rsidRDefault="00916B16" w:rsidP="00F15B65">
            <w:pPr>
              <w:pStyle w:val="Tabletext"/>
              <w:jc w:val="center"/>
            </w:pPr>
          </w:p>
        </w:tc>
        <w:tc>
          <w:tcPr>
            <w:tcW w:w="836" w:type="dxa"/>
            <w:tcBorders>
              <w:top w:val="single" w:sz="4" w:space="0" w:color="auto"/>
              <w:left w:val="single" w:sz="4" w:space="0" w:color="auto"/>
              <w:right w:val="single" w:sz="4" w:space="0" w:color="auto"/>
            </w:tcBorders>
            <w:shd w:val="clear" w:color="auto" w:fill="auto"/>
            <w:noWrap/>
            <w:vAlign w:val="center"/>
            <w:hideMark/>
          </w:tcPr>
          <w:p w14:paraId="23475C3E" w14:textId="77777777" w:rsidR="00916B16" w:rsidRPr="007A14E2" w:rsidRDefault="00916B16" w:rsidP="00F15B65">
            <w:pPr>
              <w:pStyle w:val="Tabletext"/>
              <w:jc w:val="center"/>
            </w:pPr>
          </w:p>
        </w:tc>
        <w:tc>
          <w:tcPr>
            <w:tcW w:w="1451" w:type="dxa"/>
            <w:tcBorders>
              <w:top w:val="single" w:sz="4" w:space="0" w:color="auto"/>
              <w:left w:val="single" w:sz="4" w:space="0" w:color="auto"/>
              <w:right w:val="single" w:sz="4" w:space="0" w:color="auto"/>
            </w:tcBorders>
            <w:vAlign w:val="center"/>
          </w:tcPr>
          <w:p w14:paraId="03AA7997" w14:textId="77777777" w:rsidR="00916B16" w:rsidRPr="007A14E2" w:rsidRDefault="00916B16" w:rsidP="00F15B65">
            <w:pPr>
              <w:pStyle w:val="Tabletext"/>
              <w:jc w:val="center"/>
            </w:pPr>
          </w:p>
        </w:tc>
        <w:tc>
          <w:tcPr>
            <w:tcW w:w="1514" w:type="dxa"/>
            <w:tcBorders>
              <w:top w:val="single" w:sz="4" w:space="0" w:color="auto"/>
              <w:left w:val="single" w:sz="4" w:space="0" w:color="auto"/>
              <w:bottom w:val="nil"/>
              <w:right w:val="single" w:sz="4" w:space="0" w:color="auto"/>
            </w:tcBorders>
            <w:shd w:val="clear" w:color="auto" w:fill="auto"/>
            <w:noWrap/>
            <w:vAlign w:val="center"/>
            <w:hideMark/>
          </w:tcPr>
          <w:p w14:paraId="3E0738C6" w14:textId="77777777" w:rsidR="00916B16" w:rsidRPr="007A14E2" w:rsidRDefault="00916B16" w:rsidP="00F15B65">
            <w:pPr>
              <w:pStyle w:val="Tabletext"/>
              <w:jc w:val="center"/>
            </w:pPr>
          </w:p>
        </w:tc>
        <w:tc>
          <w:tcPr>
            <w:tcW w:w="779" w:type="dxa"/>
            <w:tcBorders>
              <w:top w:val="single" w:sz="4" w:space="0" w:color="auto"/>
              <w:left w:val="single" w:sz="4" w:space="0" w:color="auto"/>
              <w:bottom w:val="nil"/>
              <w:right w:val="single" w:sz="4" w:space="0" w:color="auto"/>
            </w:tcBorders>
            <w:vAlign w:val="center"/>
          </w:tcPr>
          <w:p w14:paraId="3619D022" w14:textId="77777777" w:rsidR="00916B16" w:rsidRPr="007A14E2" w:rsidRDefault="00916B16" w:rsidP="00F15B65">
            <w:pPr>
              <w:pStyle w:val="Tabletext"/>
              <w:jc w:val="center"/>
            </w:pPr>
          </w:p>
        </w:tc>
        <w:tc>
          <w:tcPr>
            <w:tcW w:w="999" w:type="dxa"/>
            <w:tcBorders>
              <w:top w:val="single" w:sz="4" w:space="0" w:color="auto"/>
              <w:left w:val="single" w:sz="4" w:space="0" w:color="auto"/>
              <w:bottom w:val="nil"/>
              <w:right w:val="single" w:sz="4" w:space="0" w:color="auto"/>
            </w:tcBorders>
            <w:vAlign w:val="center"/>
          </w:tcPr>
          <w:p w14:paraId="175277C7" w14:textId="77777777" w:rsidR="00916B16" w:rsidRPr="007A14E2" w:rsidRDefault="00916B16" w:rsidP="00F15B65">
            <w:pPr>
              <w:pStyle w:val="Tabletext"/>
              <w:jc w:val="center"/>
            </w:pPr>
          </w:p>
        </w:tc>
        <w:tc>
          <w:tcPr>
            <w:tcW w:w="1133" w:type="dxa"/>
            <w:tcBorders>
              <w:top w:val="single" w:sz="4" w:space="0" w:color="auto"/>
              <w:left w:val="single" w:sz="4" w:space="0" w:color="auto"/>
              <w:bottom w:val="nil"/>
              <w:right w:val="single" w:sz="4" w:space="0" w:color="auto"/>
            </w:tcBorders>
            <w:vAlign w:val="center"/>
          </w:tcPr>
          <w:p w14:paraId="51C9D573" w14:textId="77777777" w:rsidR="00916B16" w:rsidRPr="007A14E2" w:rsidRDefault="00916B16" w:rsidP="00F15B65">
            <w:pPr>
              <w:pStyle w:val="Tabletext"/>
              <w:jc w:val="center"/>
            </w:pPr>
          </w:p>
        </w:tc>
        <w:tc>
          <w:tcPr>
            <w:tcW w:w="779" w:type="dxa"/>
            <w:tcBorders>
              <w:top w:val="single" w:sz="4" w:space="0" w:color="auto"/>
              <w:left w:val="single" w:sz="4" w:space="0" w:color="auto"/>
              <w:bottom w:val="nil"/>
              <w:right w:val="single" w:sz="4" w:space="0" w:color="auto"/>
            </w:tcBorders>
            <w:vAlign w:val="center"/>
          </w:tcPr>
          <w:p w14:paraId="470E738B" w14:textId="77777777" w:rsidR="00916B16" w:rsidRPr="007A14E2" w:rsidRDefault="00916B16" w:rsidP="00F15B65">
            <w:pPr>
              <w:pStyle w:val="Tabletext"/>
              <w:jc w:val="center"/>
            </w:pPr>
          </w:p>
        </w:tc>
      </w:tr>
      <w:tr w:rsidR="00916B16" w:rsidRPr="007A14E2" w14:paraId="7E558C2D" w14:textId="77777777" w:rsidTr="006A6704">
        <w:trPr>
          <w:trHeight w:val="375"/>
          <w:jc w:val="center"/>
        </w:trPr>
        <w:tc>
          <w:tcPr>
            <w:tcW w:w="1413" w:type="dxa"/>
            <w:tcBorders>
              <w:top w:val="nil"/>
              <w:left w:val="single" w:sz="4" w:space="0" w:color="auto"/>
              <w:bottom w:val="nil"/>
              <w:right w:val="single" w:sz="4" w:space="0" w:color="auto"/>
            </w:tcBorders>
            <w:shd w:val="clear" w:color="auto" w:fill="auto"/>
            <w:noWrap/>
            <w:vAlign w:val="center"/>
            <w:hideMark/>
          </w:tcPr>
          <w:p w14:paraId="3A5D5F69" w14:textId="77777777" w:rsidR="00916B16" w:rsidRPr="007A14E2" w:rsidRDefault="00916B16" w:rsidP="00B85F00">
            <w:pPr>
              <w:pStyle w:val="Tabletext"/>
              <w:rPr>
                <w:b/>
                <w:bCs/>
              </w:rPr>
            </w:pPr>
            <w:r w:rsidRPr="007A14E2">
              <w:rPr>
                <w:b/>
                <w:bCs/>
              </w:rPr>
              <w:t>Total worldwide (96)</w:t>
            </w:r>
          </w:p>
        </w:tc>
        <w:tc>
          <w:tcPr>
            <w:tcW w:w="877" w:type="dxa"/>
            <w:tcBorders>
              <w:top w:val="nil"/>
              <w:left w:val="nil"/>
              <w:bottom w:val="nil"/>
              <w:right w:val="single" w:sz="4" w:space="0" w:color="auto"/>
            </w:tcBorders>
            <w:shd w:val="clear" w:color="auto" w:fill="auto"/>
            <w:noWrap/>
            <w:vAlign w:val="center"/>
          </w:tcPr>
          <w:p w14:paraId="2B222460" w14:textId="77777777" w:rsidR="00916B16" w:rsidRPr="007A14E2" w:rsidRDefault="00916B16" w:rsidP="00F15B65">
            <w:pPr>
              <w:pStyle w:val="Tabletext"/>
              <w:jc w:val="center"/>
            </w:pPr>
            <w:r w:rsidRPr="007A14E2">
              <w:t>17</w:t>
            </w:r>
          </w:p>
        </w:tc>
        <w:tc>
          <w:tcPr>
            <w:tcW w:w="836" w:type="dxa"/>
            <w:tcBorders>
              <w:top w:val="nil"/>
              <w:left w:val="single" w:sz="4" w:space="0" w:color="auto"/>
              <w:bottom w:val="nil"/>
              <w:right w:val="single" w:sz="4" w:space="0" w:color="auto"/>
            </w:tcBorders>
            <w:shd w:val="clear" w:color="auto" w:fill="auto"/>
            <w:noWrap/>
            <w:vAlign w:val="center"/>
          </w:tcPr>
          <w:p w14:paraId="57DA398F" w14:textId="77777777" w:rsidR="00916B16" w:rsidRPr="007A14E2" w:rsidRDefault="00916B16" w:rsidP="00F15B65">
            <w:pPr>
              <w:pStyle w:val="Tabletext"/>
              <w:jc w:val="center"/>
            </w:pPr>
            <w:r w:rsidRPr="007A14E2">
              <w:t>7</w:t>
            </w:r>
          </w:p>
        </w:tc>
        <w:tc>
          <w:tcPr>
            <w:tcW w:w="1451" w:type="dxa"/>
            <w:tcBorders>
              <w:top w:val="nil"/>
              <w:left w:val="single" w:sz="4" w:space="0" w:color="auto"/>
              <w:bottom w:val="nil"/>
              <w:right w:val="single" w:sz="4" w:space="0" w:color="auto"/>
            </w:tcBorders>
            <w:vAlign w:val="center"/>
          </w:tcPr>
          <w:p w14:paraId="69DF161D" w14:textId="77777777" w:rsidR="00916B16" w:rsidRPr="007A14E2" w:rsidRDefault="00916B16" w:rsidP="00F15B65">
            <w:pPr>
              <w:pStyle w:val="Tabletext"/>
              <w:jc w:val="center"/>
            </w:pPr>
            <w:r w:rsidRPr="007A14E2">
              <w:t>14</w:t>
            </w:r>
          </w:p>
        </w:tc>
        <w:tc>
          <w:tcPr>
            <w:tcW w:w="1514" w:type="dxa"/>
            <w:tcBorders>
              <w:top w:val="nil"/>
              <w:left w:val="single" w:sz="4" w:space="0" w:color="auto"/>
              <w:bottom w:val="nil"/>
              <w:right w:val="single" w:sz="4" w:space="0" w:color="auto"/>
            </w:tcBorders>
            <w:shd w:val="clear" w:color="auto" w:fill="auto"/>
            <w:noWrap/>
            <w:vAlign w:val="center"/>
          </w:tcPr>
          <w:p w14:paraId="2E603758" w14:textId="77777777" w:rsidR="00916B16" w:rsidRPr="007A14E2" w:rsidRDefault="00916B16" w:rsidP="00F15B65">
            <w:pPr>
              <w:pStyle w:val="Tabletext"/>
              <w:jc w:val="center"/>
            </w:pPr>
            <w:r w:rsidRPr="007A14E2">
              <w:t>2</w:t>
            </w:r>
          </w:p>
        </w:tc>
        <w:tc>
          <w:tcPr>
            <w:tcW w:w="779" w:type="dxa"/>
            <w:tcBorders>
              <w:top w:val="nil"/>
              <w:left w:val="single" w:sz="4" w:space="0" w:color="auto"/>
              <w:bottom w:val="nil"/>
              <w:right w:val="single" w:sz="4" w:space="0" w:color="auto"/>
            </w:tcBorders>
            <w:vAlign w:val="center"/>
          </w:tcPr>
          <w:p w14:paraId="3C37F885" w14:textId="77777777" w:rsidR="00916B16" w:rsidRPr="007A14E2" w:rsidRDefault="00916B16" w:rsidP="00F15B65">
            <w:pPr>
              <w:pStyle w:val="Tabletext"/>
              <w:jc w:val="center"/>
            </w:pPr>
            <w:r w:rsidRPr="007A14E2">
              <w:t>11</w:t>
            </w:r>
          </w:p>
        </w:tc>
        <w:tc>
          <w:tcPr>
            <w:tcW w:w="999" w:type="dxa"/>
            <w:tcBorders>
              <w:top w:val="nil"/>
              <w:left w:val="single" w:sz="4" w:space="0" w:color="auto"/>
              <w:bottom w:val="nil"/>
              <w:right w:val="single" w:sz="4" w:space="0" w:color="auto"/>
            </w:tcBorders>
            <w:vAlign w:val="center"/>
          </w:tcPr>
          <w:p w14:paraId="4A45E015" w14:textId="77777777" w:rsidR="00916B16" w:rsidRPr="007A14E2" w:rsidRDefault="00916B16" w:rsidP="00F15B65">
            <w:pPr>
              <w:pStyle w:val="Tabletext"/>
              <w:jc w:val="center"/>
            </w:pPr>
            <w:r w:rsidRPr="007A14E2">
              <w:t>14</w:t>
            </w:r>
          </w:p>
        </w:tc>
        <w:tc>
          <w:tcPr>
            <w:tcW w:w="1133" w:type="dxa"/>
            <w:tcBorders>
              <w:top w:val="nil"/>
              <w:left w:val="single" w:sz="4" w:space="0" w:color="auto"/>
              <w:bottom w:val="nil"/>
              <w:right w:val="single" w:sz="4" w:space="0" w:color="auto"/>
            </w:tcBorders>
            <w:vAlign w:val="center"/>
          </w:tcPr>
          <w:p w14:paraId="75B25054" w14:textId="77777777" w:rsidR="00916B16" w:rsidRPr="007A14E2" w:rsidRDefault="00916B16" w:rsidP="00F15B65">
            <w:pPr>
              <w:pStyle w:val="Tabletext"/>
              <w:jc w:val="center"/>
            </w:pPr>
            <w:r w:rsidRPr="007A14E2">
              <w:t>3</w:t>
            </w:r>
          </w:p>
        </w:tc>
        <w:tc>
          <w:tcPr>
            <w:tcW w:w="779" w:type="dxa"/>
            <w:tcBorders>
              <w:top w:val="nil"/>
              <w:left w:val="single" w:sz="4" w:space="0" w:color="auto"/>
              <w:bottom w:val="nil"/>
              <w:right w:val="single" w:sz="4" w:space="0" w:color="auto"/>
            </w:tcBorders>
            <w:vAlign w:val="center"/>
          </w:tcPr>
          <w:p w14:paraId="54C0AA63" w14:textId="77777777" w:rsidR="00916B16" w:rsidRPr="007A14E2" w:rsidRDefault="00916B16" w:rsidP="00F15B65">
            <w:pPr>
              <w:pStyle w:val="Tabletext"/>
              <w:jc w:val="center"/>
            </w:pPr>
            <w:r w:rsidRPr="007A14E2">
              <w:t>9</w:t>
            </w:r>
          </w:p>
        </w:tc>
      </w:tr>
      <w:tr w:rsidR="00916B16" w:rsidRPr="007A14E2" w14:paraId="36117C60" w14:textId="77777777" w:rsidTr="006A6704">
        <w:trPr>
          <w:trHeight w:val="375"/>
          <w:jc w:val="center"/>
        </w:trPr>
        <w:tc>
          <w:tcPr>
            <w:tcW w:w="1413" w:type="dxa"/>
            <w:tcBorders>
              <w:top w:val="nil"/>
              <w:left w:val="single" w:sz="4" w:space="0" w:color="auto"/>
              <w:bottom w:val="nil"/>
              <w:right w:val="single" w:sz="4" w:space="0" w:color="auto"/>
            </w:tcBorders>
            <w:shd w:val="clear" w:color="auto" w:fill="auto"/>
            <w:noWrap/>
            <w:vAlign w:val="center"/>
            <w:hideMark/>
          </w:tcPr>
          <w:p w14:paraId="32EF8FFC" w14:textId="77777777" w:rsidR="00916B16" w:rsidRPr="007A14E2" w:rsidRDefault="00916B16" w:rsidP="00B85F00">
            <w:pPr>
              <w:pStyle w:val="Tabletext"/>
            </w:pPr>
            <w:r w:rsidRPr="007A14E2">
              <w:t> </w:t>
            </w:r>
          </w:p>
        </w:tc>
        <w:tc>
          <w:tcPr>
            <w:tcW w:w="877" w:type="dxa"/>
            <w:tcBorders>
              <w:top w:val="nil"/>
              <w:left w:val="nil"/>
              <w:bottom w:val="nil"/>
              <w:right w:val="single" w:sz="4" w:space="0" w:color="auto"/>
            </w:tcBorders>
            <w:shd w:val="clear" w:color="auto" w:fill="auto"/>
            <w:noWrap/>
            <w:vAlign w:val="center"/>
          </w:tcPr>
          <w:p w14:paraId="2B739748" w14:textId="77777777" w:rsidR="00916B16" w:rsidRPr="007A14E2" w:rsidRDefault="00916B16" w:rsidP="00F15B65">
            <w:pPr>
              <w:pStyle w:val="Tabletext"/>
              <w:jc w:val="center"/>
            </w:pPr>
          </w:p>
        </w:tc>
        <w:tc>
          <w:tcPr>
            <w:tcW w:w="836" w:type="dxa"/>
            <w:tcBorders>
              <w:top w:val="nil"/>
              <w:left w:val="single" w:sz="4" w:space="0" w:color="auto"/>
              <w:bottom w:val="nil"/>
              <w:right w:val="single" w:sz="4" w:space="0" w:color="auto"/>
            </w:tcBorders>
            <w:shd w:val="clear" w:color="auto" w:fill="auto"/>
            <w:noWrap/>
            <w:vAlign w:val="center"/>
          </w:tcPr>
          <w:p w14:paraId="0C7F6BBE" w14:textId="77777777" w:rsidR="00916B16" w:rsidRPr="007A14E2" w:rsidRDefault="00916B16" w:rsidP="00F15B65">
            <w:pPr>
              <w:pStyle w:val="Tabletext"/>
              <w:jc w:val="center"/>
            </w:pPr>
          </w:p>
        </w:tc>
        <w:tc>
          <w:tcPr>
            <w:tcW w:w="1451" w:type="dxa"/>
            <w:tcBorders>
              <w:top w:val="nil"/>
              <w:left w:val="single" w:sz="4" w:space="0" w:color="auto"/>
              <w:bottom w:val="nil"/>
              <w:right w:val="single" w:sz="4" w:space="0" w:color="auto"/>
            </w:tcBorders>
            <w:vAlign w:val="center"/>
          </w:tcPr>
          <w:p w14:paraId="0F550F8C" w14:textId="77777777" w:rsidR="00916B16" w:rsidRPr="007A14E2" w:rsidRDefault="00916B16" w:rsidP="00F15B65">
            <w:pPr>
              <w:pStyle w:val="Tabletext"/>
              <w:jc w:val="center"/>
            </w:pPr>
          </w:p>
        </w:tc>
        <w:tc>
          <w:tcPr>
            <w:tcW w:w="1514" w:type="dxa"/>
            <w:tcBorders>
              <w:top w:val="nil"/>
              <w:left w:val="single" w:sz="4" w:space="0" w:color="auto"/>
              <w:bottom w:val="nil"/>
              <w:right w:val="single" w:sz="4" w:space="0" w:color="auto"/>
            </w:tcBorders>
            <w:shd w:val="clear" w:color="auto" w:fill="auto"/>
            <w:noWrap/>
            <w:vAlign w:val="center"/>
          </w:tcPr>
          <w:p w14:paraId="4D423830" w14:textId="77777777" w:rsidR="00916B16" w:rsidRPr="007A14E2" w:rsidRDefault="00916B16" w:rsidP="00F15B65">
            <w:pPr>
              <w:pStyle w:val="Tabletext"/>
              <w:jc w:val="center"/>
            </w:pPr>
          </w:p>
        </w:tc>
        <w:tc>
          <w:tcPr>
            <w:tcW w:w="779" w:type="dxa"/>
            <w:tcBorders>
              <w:top w:val="nil"/>
              <w:left w:val="single" w:sz="4" w:space="0" w:color="auto"/>
              <w:bottom w:val="nil"/>
              <w:right w:val="single" w:sz="4" w:space="0" w:color="auto"/>
            </w:tcBorders>
            <w:vAlign w:val="center"/>
          </w:tcPr>
          <w:p w14:paraId="00726A79" w14:textId="77777777" w:rsidR="00916B16" w:rsidRPr="007A14E2" w:rsidRDefault="00916B16" w:rsidP="00F15B65">
            <w:pPr>
              <w:pStyle w:val="Tabletext"/>
              <w:jc w:val="center"/>
            </w:pPr>
          </w:p>
        </w:tc>
        <w:tc>
          <w:tcPr>
            <w:tcW w:w="999" w:type="dxa"/>
            <w:tcBorders>
              <w:top w:val="nil"/>
              <w:left w:val="single" w:sz="4" w:space="0" w:color="auto"/>
              <w:bottom w:val="nil"/>
              <w:right w:val="single" w:sz="4" w:space="0" w:color="auto"/>
            </w:tcBorders>
            <w:vAlign w:val="center"/>
          </w:tcPr>
          <w:p w14:paraId="406B600D" w14:textId="77777777" w:rsidR="00916B16" w:rsidRPr="007A14E2" w:rsidRDefault="00916B16" w:rsidP="00F15B65">
            <w:pPr>
              <w:pStyle w:val="Tabletext"/>
              <w:jc w:val="center"/>
            </w:pPr>
          </w:p>
        </w:tc>
        <w:tc>
          <w:tcPr>
            <w:tcW w:w="1133" w:type="dxa"/>
            <w:tcBorders>
              <w:top w:val="nil"/>
              <w:left w:val="single" w:sz="4" w:space="0" w:color="auto"/>
              <w:bottom w:val="nil"/>
              <w:right w:val="single" w:sz="4" w:space="0" w:color="auto"/>
            </w:tcBorders>
            <w:vAlign w:val="center"/>
          </w:tcPr>
          <w:p w14:paraId="7250A01F" w14:textId="77777777" w:rsidR="00916B16" w:rsidRPr="007A14E2" w:rsidRDefault="00916B16" w:rsidP="00F15B65">
            <w:pPr>
              <w:pStyle w:val="Tabletext"/>
              <w:jc w:val="center"/>
            </w:pPr>
          </w:p>
        </w:tc>
        <w:tc>
          <w:tcPr>
            <w:tcW w:w="779" w:type="dxa"/>
            <w:tcBorders>
              <w:top w:val="nil"/>
              <w:left w:val="single" w:sz="4" w:space="0" w:color="auto"/>
              <w:bottom w:val="nil"/>
              <w:right w:val="single" w:sz="4" w:space="0" w:color="auto"/>
            </w:tcBorders>
            <w:vAlign w:val="center"/>
          </w:tcPr>
          <w:p w14:paraId="1A1BC2EB" w14:textId="77777777" w:rsidR="00916B16" w:rsidRPr="007A14E2" w:rsidRDefault="00916B16" w:rsidP="00F15B65">
            <w:pPr>
              <w:pStyle w:val="Tabletext"/>
              <w:jc w:val="center"/>
            </w:pPr>
          </w:p>
        </w:tc>
      </w:tr>
      <w:tr w:rsidR="00916B16" w:rsidRPr="007A14E2" w14:paraId="2152CEC5" w14:textId="77777777" w:rsidTr="006A6704">
        <w:trPr>
          <w:trHeight w:val="375"/>
          <w:jc w:val="center"/>
        </w:trPr>
        <w:tc>
          <w:tcPr>
            <w:tcW w:w="1413" w:type="dxa"/>
            <w:tcBorders>
              <w:top w:val="nil"/>
              <w:left w:val="single" w:sz="4" w:space="0" w:color="auto"/>
              <w:bottom w:val="nil"/>
              <w:right w:val="single" w:sz="4" w:space="0" w:color="auto"/>
            </w:tcBorders>
            <w:shd w:val="clear" w:color="auto" w:fill="auto"/>
            <w:noWrap/>
            <w:vAlign w:val="center"/>
            <w:hideMark/>
          </w:tcPr>
          <w:p w14:paraId="57DD41E5" w14:textId="77777777" w:rsidR="00916B16" w:rsidRPr="007A14E2" w:rsidRDefault="00916B16" w:rsidP="00B85F00">
            <w:pPr>
              <w:pStyle w:val="Tabletext"/>
              <w:rPr>
                <w:b/>
                <w:bCs/>
              </w:rPr>
            </w:pPr>
            <w:r w:rsidRPr="007A14E2">
              <w:rPr>
                <w:b/>
                <w:bCs/>
              </w:rPr>
              <w:t>By Region</w:t>
            </w:r>
          </w:p>
        </w:tc>
        <w:tc>
          <w:tcPr>
            <w:tcW w:w="877" w:type="dxa"/>
            <w:tcBorders>
              <w:top w:val="nil"/>
              <w:left w:val="nil"/>
              <w:bottom w:val="nil"/>
              <w:right w:val="single" w:sz="4" w:space="0" w:color="auto"/>
            </w:tcBorders>
            <w:shd w:val="clear" w:color="auto" w:fill="auto"/>
            <w:noWrap/>
            <w:vAlign w:val="center"/>
          </w:tcPr>
          <w:p w14:paraId="5E35D1EB" w14:textId="77777777" w:rsidR="00916B16" w:rsidRPr="007A14E2" w:rsidRDefault="00916B16" w:rsidP="00F15B65">
            <w:pPr>
              <w:pStyle w:val="Tabletext"/>
              <w:jc w:val="center"/>
            </w:pPr>
          </w:p>
        </w:tc>
        <w:tc>
          <w:tcPr>
            <w:tcW w:w="836" w:type="dxa"/>
            <w:tcBorders>
              <w:top w:val="nil"/>
              <w:left w:val="single" w:sz="4" w:space="0" w:color="auto"/>
              <w:bottom w:val="nil"/>
              <w:right w:val="single" w:sz="4" w:space="0" w:color="auto"/>
            </w:tcBorders>
            <w:shd w:val="clear" w:color="auto" w:fill="auto"/>
            <w:noWrap/>
            <w:vAlign w:val="center"/>
          </w:tcPr>
          <w:p w14:paraId="51C31B82" w14:textId="77777777" w:rsidR="00916B16" w:rsidRPr="007A14E2" w:rsidRDefault="00916B16" w:rsidP="00F15B65">
            <w:pPr>
              <w:pStyle w:val="Tabletext"/>
              <w:jc w:val="center"/>
            </w:pPr>
          </w:p>
        </w:tc>
        <w:tc>
          <w:tcPr>
            <w:tcW w:w="1451" w:type="dxa"/>
            <w:tcBorders>
              <w:top w:val="nil"/>
              <w:left w:val="single" w:sz="4" w:space="0" w:color="auto"/>
              <w:bottom w:val="nil"/>
              <w:right w:val="single" w:sz="4" w:space="0" w:color="auto"/>
            </w:tcBorders>
            <w:vAlign w:val="center"/>
          </w:tcPr>
          <w:p w14:paraId="45031CB9" w14:textId="77777777" w:rsidR="00916B16" w:rsidRPr="007A14E2" w:rsidRDefault="00916B16" w:rsidP="00F15B65">
            <w:pPr>
              <w:pStyle w:val="Tabletext"/>
              <w:jc w:val="center"/>
            </w:pPr>
          </w:p>
        </w:tc>
        <w:tc>
          <w:tcPr>
            <w:tcW w:w="1514" w:type="dxa"/>
            <w:tcBorders>
              <w:top w:val="nil"/>
              <w:left w:val="single" w:sz="4" w:space="0" w:color="auto"/>
              <w:bottom w:val="nil"/>
              <w:right w:val="single" w:sz="4" w:space="0" w:color="auto"/>
            </w:tcBorders>
            <w:shd w:val="clear" w:color="auto" w:fill="auto"/>
            <w:noWrap/>
            <w:vAlign w:val="center"/>
          </w:tcPr>
          <w:p w14:paraId="2371BE86" w14:textId="77777777" w:rsidR="00916B16" w:rsidRPr="007A14E2" w:rsidRDefault="00916B16" w:rsidP="00F15B65">
            <w:pPr>
              <w:pStyle w:val="Tabletext"/>
              <w:jc w:val="center"/>
            </w:pPr>
          </w:p>
        </w:tc>
        <w:tc>
          <w:tcPr>
            <w:tcW w:w="779" w:type="dxa"/>
            <w:tcBorders>
              <w:top w:val="nil"/>
              <w:left w:val="single" w:sz="4" w:space="0" w:color="auto"/>
              <w:bottom w:val="nil"/>
              <w:right w:val="single" w:sz="4" w:space="0" w:color="auto"/>
            </w:tcBorders>
            <w:vAlign w:val="center"/>
          </w:tcPr>
          <w:p w14:paraId="5DA6E1EF" w14:textId="77777777" w:rsidR="00916B16" w:rsidRPr="007A14E2" w:rsidRDefault="00916B16" w:rsidP="00F15B65">
            <w:pPr>
              <w:pStyle w:val="Tabletext"/>
              <w:jc w:val="center"/>
            </w:pPr>
          </w:p>
        </w:tc>
        <w:tc>
          <w:tcPr>
            <w:tcW w:w="999" w:type="dxa"/>
            <w:tcBorders>
              <w:top w:val="nil"/>
              <w:left w:val="single" w:sz="4" w:space="0" w:color="auto"/>
              <w:bottom w:val="nil"/>
              <w:right w:val="single" w:sz="4" w:space="0" w:color="auto"/>
            </w:tcBorders>
            <w:vAlign w:val="center"/>
          </w:tcPr>
          <w:p w14:paraId="6636840F" w14:textId="77777777" w:rsidR="00916B16" w:rsidRPr="007A14E2" w:rsidRDefault="00916B16" w:rsidP="00F15B65">
            <w:pPr>
              <w:pStyle w:val="Tabletext"/>
              <w:jc w:val="center"/>
            </w:pPr>
          </w:p>
        </w:tc>
        <w:tc>
          <w:tcPr>
            <w:tcW w:w="1133" w:type="dxa"/>
            <w:tcBorders>
              <w:top w:val="nil"/>
              <w:left w:val="single" w:sz="4" w:space="0" w:color="auto"/>
              <w:bottom w:val="nil"/>
              <w:right w:val="single" w:sz="4" w:space="0" w:color="auto"/>
            </w:tcBorders>
            <w:vAlign w:val="center"/>
          </w:tcPr>
          <w:p w14:paraId="5475256A" w14:textId="77777777" w:rsidR="00916B16" w:rsidRPr="007A14E2" w:rsidRDefault="00916B16" w:rsidP="00F15B65">
            <w:pPr>
              <w:pStyle w:val="Tabletext"/>
              <w:jc w:val="center"/>
            </w:pPr>
          </w:p>
        </w:tc>
        <w:tc>
          <w:tcPr>
            <w:tcW w:w="779" w:type="dxa"/>
            <w:tcBorders>
              <w:top w:val="nil"/>
              <w:left w:val="single" w:sz="4" w:space="0" w:color="auto"/>
              <w:bottom w:val="nil"/>
              <w:right w:val="single" w:sz="4" w:space="0" w:color="auto"/>
            </w:tcBorders>
            <w:vAlign w:val="center"/>
          </w:tcPr>
          <w:p w14:paraId="2D2937EA" w14:textId="77777777" w:rsidR="00916B16" w:rsidRPr="007A14E2" w:rsidRDefault="00916B16" w:rsidP="00F15B65">
            <w:pPr>
              <w:pStyle w:val="Tabletext"/>
              <w:jc w:val="center"/>
            </w:pPr>
          </w:p>
        </w:tc>
      </w:tr>
      <w:tr w:rsidR="00916B16" w:rsidRPr="007A14E2" w14:paraId="238ECE7A" w14:textId="77777777" w:rsidTr="006A6704">
        <w:trPr>
          <w:trHeight w:val="375"/>
          <w:jc w:val="center"/>
        </w:trPr>
        <w:tc>
          <w:tcPr>
            <w:tcW w:w="1413" w:type="dxa"/>
            <w:tcBorders>
              <w:top w:val="nil"/>
              <w:left w:val="single" w:sz="4" w:space="0" w:color="auto"/>
              <w:bottom w:val="nil"/>
              <w:right w:val="single" w:sz="4" w:space="0" w:color="auto"/>
            </w:tcBorders>
            <w:shd w:val="clear" w:color="auto" w:fill="auto"/>
            <w:noWrap/>
            <w:vAlign w:val="center"/>
          </w:tcPr>
          <w:p w14:paraId="00D32F57" w14:textId="77777777" w:rsidR="00916B16" w:rsidRPr="007A14E2" w:rsidRDefault="00916B16" w:rsidP="00B85F00">
            <w:pPr>
              <w:pStyle w:val="Tabletext"/>
            </w:pPr>
            <w:r w:rsidRPr="007A14E2">
              <w:t>East Asia and the Pacific (8)</w:t>
            </w:r>
          </w:p>
        </w:tc>
        <w:tc>
          <w:tcPr>
            <w:tcW w:w="877" w:type="dxa"/>
            <w:tcBorders>
              <w:top w:val="nil"/>
              <w:left w:val="nil"/>
              <w:bottom w:val="nil"/>
              <w:right w:val="single" w:sz="4" w:space="0" w:color="auto"/>
            </w:tcBorders>
            <w:shd w:val="clear" w:color="auto" w:fill="auto"/>
            <w:noWrap/>
            <w:vAlign w:val="center"/>
          </w:tcPr>
          <w:p w14:paraId="40CBD2EE" w14:textId="77777777" w:rsidR="00916B16" w:rsidRPr="007A14E2" w:rsidRDefault="00916B16" w:rsidP="00F15B65">
            <w:pPr>
              <w:pStyle w:val="Tabletext"/>
              <w:jc w:val="center"/>
            </w:pPr>
            <w:r w:rsidRPr="007A14E2">
              <w:t>1</w:t>
            </w:r>
          </w:p>
        </w:tc>
        <w:tc>
          <w:tcPr>
            <w:tcW w:w="836" w:type="dxa"/>
            <w:tcBorders>
              <w:top w:val="nil"/>
              <w:left w:val="single" w:sz="4" w:space="0" w:color="auto"/>
              <w:bottom w:val="nil"/>
              <w:right w:val="single" w:sz="4" w:space="0" w:color="auto"/>
            </w:tcBorders>
            <w:shd w:val="clear" w:color="auto" w:fill="auto"/>
            <w:noWrap/>
            <w:vAlign w:val="center"/>
          </w:tcPr>
          <w:p w14:paraId="6667C263" w14:textId="77777777" w:rsidR="00916B16" w:rsidRPr="007A14E2" w:rsidRDefault="00916B16" w:rsidP="00F15B65">
            <w:pPr>
              <w:pStyle w:val="Tabletext"/>
              <w:jc w:val="center"/>
            </w:pPr>
            <w:r w:rsidRPr="007A14E2">
              <w:t>0</w:t>
            </w:r>
          </w:p>
        </w:tc>
        <w:tc>
          <w:tcPr>
            <w:tcW w:w="1451" w:type="dxa"/>
            <w:tcBorders>
              <w:top w:val="nil"/>
              <w:left w:val="single" w:sz="4" w:space="0" w:color="auto"/>
              <w:bottom w:val="nil"/>
              <w:right w:val="single" w:sz="4" w:space="0" w:color="auto"/>
            </w:tcBorders>
            <w:vAlign w:val="center"/>
          </w:tcPr>
          <w:p w14:paraId="359931AC" w14:textId="77777777" w:rsidR="00916B16" w:rsidRPr="007A14E2" w:rsidRDefault="00916B16" w:rsidP="00F15B65">
            <w:pPr>
              <w:pStyle w:val="Tabletext"/>
              <w:jc w:val="center"/>
            </w:pPr>
            <w:r w:rsidRPr="007A14E2">
              <w:t>0</w:t>
            </w:r>
          </w:p>
        </w:tc>
        <w:tc>
          <w:tcPr>
            <w:tcW w:w="1514" w:type="dxa"/>
            <w:tcBorders>
              <w:top w:val="nil"/>
              <w:left w:val="single" w:sz="4" w:space="0" w:color="auto"/>
              <w:bottom w:val="nil"/>
              <w:right w:val="single" w:sz="4" w:space="0" w:color="auto"/>
            </w:tcBorders>
            <w:shd w:val="clear" w:color="auto" w:fill="auto"/>
            <w:noWrap/>
            <w:vAlign w:val="center"/>
          </w:tcPr>
          <w:p w14:paraId="511367EE" w14:textId="77777777" w:rsidR="00916B16" w:rsidRPr="007A14E2" w:rsidRDefault="00916B16" w:rsidP="00F15B65">
            <w:pPr>
              <w:pStyle w:val="Tabletext"/>
              <w:jc w:val="center"/>
            </w:pPr>
            <w:r w:rsidRPr="007A14E2">
              <w:t>0</w:t>
            </w:r>
          </w:p>
        </w:tc>
        <w:tc>
          <w:tcPr>
            <w:tcW w:w="779" w:type="dxa"/>
            <w:tcBorders>
              <w:top w:val="nil"/>
              <w:left w:val="single" w:sz="4" w:space="0" w:color="auto"/>
              <w:bottom w:val="nil"/>
              <w:right w:val="single" w:sz="4" w:space="0" w:color="auto"/>
            </w:tcBorders>
            <w:vAlign w:val="center"/>
          </w:tcPr>
          <w:p w14:paraId="7086E422" w14:textId="77777777" w:rsidR="00916B16" w:rsidRPr="007A14E2" w:rsidRDefault="00916B16" w:rsidP="00F15B65">
            <w:pPr>
              <w:pStyle w:val="Tabletext"/>
              <w:jc w:val="center"/>
            </w:pPr>
            <w:r w:rsidRPr="007A14E2">
              <w:t>0</w:t>
            </w:r>
          </w:p>
        </w:tc>
        <w:tc>
          <w:tcPr>
            <w:tcW w:w="999" w:type="dxa"/>
            <w:tcBorders>
              <w:top w:val="nil"/>
              <w:left w:val="single" w:sz="4" w:space="0" w:color="auto"/>
              <w:bottom w:val="nil"/>
              <w:right w:val="single" w:sz="4" w:space="0" w:color="auto"/>
            </w:tcBorders>
            <w:vAlign w:val="center"/>
          </w:tcPr>
          <w:p w14:paraId="01EAE1EB" w14:textId="77777777" w:rsidR="00916B16" w:rsidRPr="007A14E2" w:rsidRDefault="00916B16" w:rsidP="00F15B65">
            <w:pPr>
              <w:pStyle w:val="Tabletext"/>
              <w:jc w:val="center"/>
            </w:pPr>
            <w:r w:rsidRPr="007A14E2">
              <w:t>0</w:t>
            </w:r>
          </w:p>
        </w:tc>
        <w:tc>
          <w:tcPr>
            <w:tcW w:w="1133" w:type="dxa"/>
            <w:tcBorders>
              <w:top w:val="nil"/>
              <w:left w:val="single" w:sz="4" w:space="0" w:color="auto"/>
              <w:bottom w:val="nil"/>
              <w:right w:val="single" w:sz="4" w:space="0" w:color="auto"/>
            </w:tcBorders>
            <w:vAlign w:val="center"/>
          </w:tcPr>
          <w:p w14:paraId="2AE9A7B3" w14:textId="77777777" w:rsidR="00916B16" w:rsidRPr="007A14E2" w:rsidRDefault="00916B16" w:rsidP="00F15B65">
            <w:pPr>
              <w:pStyle w:val="Tabletext"/>
              <w:jc w:val="center"/>
            </w:pPr>
            <w:r w:rsidRPr="007A14E2">
              <w:t>0</w:t>
            </w:r>
          </w:p>
        </w:tc>
        <w:tc>
          <w:tcPr>
            <w:tcW w:w="779" w:type="dxa"/>
            <w:tcBorders>
              <w:top w:val="nil"/>
              <w:left w:val="single" w:sz="4" w:space="0" w:color="auto"/>
              <w:bottom w:val="nil"/>
              <w:right w:val="single" w:sz="4" w:space="0" w:color="auto"/>
            </w:tcBorders>
            <w:vAlign w:val="center"/>
          </w:tcPr>
          <w:p w14:paraId="60D341C3" w14:textId="77777777" w:rsidR="00916B16" w:rsidRPr="007A14E2" w:rsidRDefault="00916B16" w:rsidP="00F15B65">
            <w:pPr>
              <w:pStyle w:val="Tabletext"/>
              <w:jc w:val="center"/>
            </w:pPr>
            <w:r w:rsidRPr="007A14E2">
              <w:t>0</w:t>
            </w:r>
          </w:p>
        </w:tc>
      </w:tr>
      <w:tr w:rsidR="00916B16" w:rsidRPr="007A14E2" w14:paraId="03AB68CF" w14:textId="77777777" w:rsidTr="006A6704">
        <w:trPr>
          <w:trHeight w:val="375"/>
          <w:jc w:val="center"/>
        </w:trPr>
        <w:tc>
          <w:tcPr>
            <w:tcW w:w="1413" w:type="dxa"/>
            <w:tcBorders>
              <w:top w:val="nil"/>
              <w:left w:val="single" w:sz="4" w:space="0" w:color="auto"/>
              <w:right w:val="single" w:sz="4" w:space="0" w:color="auto"/>
            </w:tcBorders>
            <w:shd w:val="clear" w:color="auto" w:fill="auto"/>
            <w:noWrap/>
            <w:vAlign w:val="center"/>
            <w:hideMark/>
          </w:tcPr>
          <w:p w14:paraId="3893E2BB" w14:textId="77777777" w:rsidR="00916B16" w:rsidRPr="007A14E2" w:rsidRDefault="00916B16" w:rsidP="00B85F00">
            <w:pPr>
              <w:pStyle w:val="Tabletext"/>
            </w:pPr>
            <w:r w:rsidRPr="007A14E2">
              <w:t>Europe and Central Asia (8)</w:t>
            </w:r>
          </w:p>
        </w:tc>
        <w:tc>
          <w:tcPr>
            <w:tcW w:w="877" w:type="dxa"/>
            <w:tcBorders>
              <w:top w:val="nil"/>
              <w:left w:val="nil"/>
              <w:right w:val="single" w:sz="4" w:space="0" w:color="auto"/>
            </w:tcBorders>
            <w:shd w:val="clear" w:color="auto" w:fill="auto"/>
            <w:noWrap/>
            <w:vAlign w:val="center"/>
          </w:tcPr>
          <w:p w14:paraId="1C6DF38E" w14:textId="77777777" w:rsidR="00916B16" w:rsidRPr="007A14E2" w:rsidRDefault="00916B16" w:rsidP="00F15B65">
            <w:pPr>
              <w:pStyle w:val="Tabletext"/>
              <w:jc w:val="center"/>
            </w:pPr>
            <w:r w:rsidRPr="007A14E2">
              <w:t>0</w:t>
            </w:r>
          </w:p>
        </w:tc>
        <w:tc>
          <w:tcPr>
            <w:tcW w:w="836" w:type="dxa"/>
            <w:tcBorders>
              <w:top w:val="nil"/>
              <w:left w:val="single" w:sz="4" w:space="0" w:color="auto"/>
              <w:right w:val="single" w:sz="4" w:space="0" w:color="auto"/>
            </w:tcBorders>
            <w:shd w:val="clear" w:color="auto" w:fill="auto"/>
            <w:noWrap/>
            <w:vAlign w:val="center"/>
          </w:tcPr>
          <w:p w14:paraId="41255D56" w14:textId="77777777" w:rsidR="00916B16" w:rsidRPr="007A14E2" w:rsidRDefault="00916B16" w:rsidP="00F15B65">
            <w:pPr>
              <w:pStyle w:val="Tabletext"/>
              <w:jc w:val="center"/>
            </w:pPr>
            <w:r w:rsidRPr="007A14E2">
              <w:t>0</w:t>
            </w:r>
          </w:p>
        </w:tc>
        <w:tc>
          <w:tcPr>
            <w:tcW w:w="1451" w:type="dxa"/>
            <w:tcBorders>
              <w:top w:val="nil"/>
              <w:left w:val="single" w:sz="4" w:space="0" w:color="auto"/>
              <w:right w:val="single" w:sz="4" w:space="0" w:color="auto"/>
            </w:tcBorders>
            <w:vAlign w:val="center"/>
          </w:tcPr>
          <w:p w14:paraId="517A8269" w14:textId="77777777" w:rsidR="00916B16" w:rsidRPr="007A14E2" w:rsidRDefault="00916B16" w:rsidP="00F15B65">
            <w:pPr>
              <w:pStyle w:val="Tabletext"/>
              <w:jc w:val="center"/>
            </w:pPr>
            <w:r w:rsidRPr="007A14E2">
              <w:t>0</w:t>
            </w:r>
          </w:p>
        </w:tc>
        <w:tc>
          <w:tcPr>
            <w:tcW w:w="1514" w:type="dxa"/>
            <w:tcBorders>
              <w:top w:val="nil"/>
              <w:left w:val="single" w:sz="4" w:space="0" w:color="auto"/>
              <w:right w:val="single" w:sz="4" w:space="0" w:color="auto"/>
            </w:tcBorders>
            <w:shd w:val="clear" w:color="auto" w:fill="auto"/>
            <w:noWrap/>
            <w:vAlign w:val="center"/>
          </w:tcPr>
          <w:p w14:paraId="63E9CBA3" w14:textId="77777777" w:rsidR="00916B16" w:rsidRPr="007A14E2" w:rsidRDefault="00916B16" w:rsidP="00F15B65">
            <w:pPr>
              <w:pStyle w:val="Tabletext"/>
              <w:jc w:val="center"/>
            </w:pPr>
            <w:r w:rsidRPr="007A14E2">
              <w:t>0</w:t>
            </w:r>
          </w:p>
        </w:tc>
        <w:tc>
          <w:tcPr>
            <w:tcW w:w="779" w:type="dxa"/>
            <w:tcBorders>
              <w:top w:val="nil"/>
              <w:left w:val="single" w:sz="4" w:space="0" w:color="auto"/>
              <w:right w:val="single" w:sz="4" w:space="0" w:color="auto"/>
            </w:tcBorders>
            <w:vAlign w:val="center"/>
          </w:tcPr>
          <w:p w14:paraId="1B360FB9" w14:textId="77777777" w:rsidR="00916B16" w:rsidRPr="007A14E2" w:rsidRDefault="00916B16" w:rsidP="00F15B65">
            <w:pPr>
              <w:pStyle w:val="Tabletext"/>
              <w:jc w:val="center"/>
            </w:pPr>
            <w:r w:rsidRPr="007A14E2">
              <w:t>1</w:t>
            </w:r>
          </w:p>
        </w:tc>
        <w:tc>
          <w:tcPr>
            <w:tcW w:w="999" w:type="dxa"/>
            <w:tcBorders>
              <w:top w:val="nil"/>
              <w:left w:val="single" w:sz="4" w:space="0" w:color="auto"/>
              <w:right w:val="single" w:sz="4" w:space="0" w:color="auto"/>
            </w:tcBorders>
            <w:vAlign w:val="center"/>
          </w:tcPr>
          <w:p w14:paraId="0405E814" w14:textId="77777777" w:rsidR="00916B16" w:rsidRPr="007A14E2" w:rsidRDefault="00916B16" w:rsidP="00F15B65">
            <w:pPr>
              <w:pStyle w:val="Tabletext"/>
              <w:jc w:val="center"/>
            </w:pPr>
            <w:r w:rsidRPr="007A14E2">
              <w:t>2</w:t>
            </w:r>
          </w:p>
        </w:tc>
        <w:tc>
          <w:tcPr>
            <w:tcW w:w="1133" w:type="dxa"/>
            <w:tcBorders>
              <w:top w:val="nil"/>
              <w:left w:val="single" w:sz="4" w:space="0" w:color="auto"/>
              <w:right w:val="single" w:sz="4" w:space="0" w:color="auto"/>
            </w:tcBorders>
            <w:vAlign w:val="center"/>
          </w:tcPr>
          <w:p w14:paraId="71A4FFC2" w14:textId="77777777" w:rsidR="00916B16" w:rsidRPr="007A14E2" w:rsidRDefault="00916B16" w:rsidP="00F15B65">
            <w:pPr>
              <w:pStyle w:val="Tabletext"/>
              <w:jc w:val="center"/>
            </w:pPr>
            <w:r w:rsidRPr="007A14E2">
              <w:t>0</w:t>
            </w:r>
          </w:p>
        </w:tc>
        <w:tc>
          <w:tcPr>
            <w:tcW w:w="779" w:type="dxa"/>
            <w:tcBorders>
              <w:top w:val="nil"/>
              <w:left w:val="single" w:sz="4" w:space="0" w:color="auto"/>
              <w:right w:val="single" w:sz="4" w:space="0" w:color="auto"/>
            </w:tcBorders>
            <w:vAlign w:val="center"/>
          </w:tcPr>
          <w:p w14:paraId="61F4B407" w14:textId="77777777" w:rsidR="00916B16" w:rsidRPr="007A14E2" w:rsidRDefault="00916B16" w:rsidP="00F15B65">
            <w:pPr>
              <w:pStyle w:val="Tabletext"/>
              <w:jc w:val="center"/>
            </w:pPr>
            <w:r w:rsidRPr="007A14E2">
              <w:t>0</w:t>
            </w:r>
          </w:p>
        </w:tc>
      </w:tr>
      <w:tr w:rsidR="00916B16" w:rsidRPr="007A14E2" w14:paraId="517342E0" w14:textId="77777777" w:rsidTr="006A6704">
        <w:trPr>
          <w:trHeight w:val="37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E06EC4" w14:textId="77777777" w:rsidR="00916B16" w:rsidRPr="007A14E2" w:rsidRDefault="00916B16" w:rsidP="00B85F00">
            <w:pPr>
              <w:pStyle w:val="Tabletext"/>
            </w:pPr>
            <w:r w:rsidRPr="007A14E2">
              <w:t>Latin America and the Caribbean (22)</w:t>
            </w:r>
          </w:p>
        </w:tc>
        <w:tc>
          <w:tcPr>
            <w:tcW w:w="877" w:type="dxa"/>
            <w:tcBorders>
              <w:top w:val="nil"/>
              <w:left w:val="nil"/>
              <w:bottom w:val="single" w:sz="4" w:space="0" w:color="auto"/>
              <w:right w:val="single" w:sz="4" w:space="0" w:color="auto"/>
            </w:tcBorders>
            <w:shd w:val="clear" w:color="auto" w:fill="auto"/>
            <w:noWrap/>
            <w:vAlign w:val="center"/>
          </w:tcPr>
          <w:p w14:paraId="7A063D6D" w14:textId="77777777" w:rsidR="00916B16" w:rsidRPr="007A14E2" w:rsidRDefault="00916B16" w:rsidP="00F15B65">
            <w:pPr>
              <w:pStyle w:val="Tabletext"/>
              <w:jc w:val="center"/>
            </w:pPr>
            <w:r w:rsidRPr="007A14E2">
              <w:t>7</w:t>
            </w:r>
          </w:p>
        </w:tc>
        <w:tc>
          <w:tcPr>
            <w:tcW w:w="836" w:type="dxa"/>
            <w:tcBorders>
              <w:top w:val="nil"/>
              <w:left w:val="single" w:sz="4" w:space="0" w:color="auto"/>
              <w:bottom w:val="single" w:sz="4" w:space="0" w:color="auto"/>
              <w:right w:val="single" w:sz="4" w:space="0" w:color="auto"/>
            </w:tcBorders>
            <w:shd w:val="clear" w:color="auto" w:fill="auto"/>
            <w:noWrap/>
            <w:vAlign w:val="center"/>
          </w:tcPr>
          <w:p w14:paraId="5C6F71D6" w14:textId="77777777" w:rsidR="00916B16" w:rsidRPr="007A14E2" w:rsidRDefault="00916B16" w:rsidP="00F15B65">
            <w:pPr>
              <w:pStyle w:val="Tabletext"/>
              <w:jc w:val="center"/>
            </w:pPr>
            <w:r w:rsidRPr="007A14E2">
              <w:t>2</w:t>
            </w:r>
          </w:p>
        </w:tc>
        <w:tc>
          <w:tcPr>
            <w:tcW w:w="1451" w:type="dxa"/>
            <w:tcBorders>
              <w:top w:val="nil"/>
              <w:left w:val="single" w:sz="4" w:space="0" w:color="auto"/>
              <w:bottom w:val="single" w:sz="4" w:space="0" w:color="auto"/>
              <w:right w:val="single" w:sz="4" w:space="0" w:color="auto"/>
            </w:tcBorders>
            <w:vAlign w:val="center"/>
          </w:tcPr>
          <w:p w14:paraId="3A6F06AB" w14:textId="77777777" w:rsidR="00916B16" w:rsidRPr="007A14E2" w:rsidRDefault="00916B16" w:rsidP="00F15B65">
            <w:pPr>
              <w:pStyle w:val="Tabletext"/>
              <w:jc w:val="center"/>
            </w:pPr>
            <w:r w:rsidRPr="007A14E2">
              <w:t>5</w:t>
            </w:r>
          </w:p>
        </w:tc>
        <w:tc>
          <w:tcPr>
            <w:tcW w:w="1514" w:type="dxa"/>
            <w:tcBorders>
              <w:top w:val="nil"/>
              <w:left w:val="single" w:sz="4" w:space="0" w:color="auto"/>
              <w:bottom w:val="single" w:sz="4" w:space="0" w:color="auto"/>
              <w:right w:val="single" w:sz="4" w:space="0" w:color="auto"/>
            </w:tcBorders>
            <w:shd w:val="clear" w:color="auto" w:fill="auto"/>
            <w:noWrap/>
            <w:vAlign w:val="center"/>
          </w:tcPr>
          <w:p w14:paraId="505FA57D" w14:textId="77777777" w:rsidR="00916B16" w:rsidRPr="007A14E2" w:rsidRDefault="00916B16" w:rsidP="00F15B65">
            <w:pPr>
              <w:pStyle w:val="Tabletext"/>
              <w:jc w:val="center"/>
            </w:pPr>
            <w:r w:rsidRPr="007A14E2">
              <w:t>1</w:t>
            </w:r>
          </w:p>
        </w:tc>
        <w:tc>
          <w:tcPr>
            <w:tcW w:w="779" w:type="dxa"/>
            <w:tcBorders>
              <w:top w:val="nil"/>
              <w:left w:val="single" w:sz="4" w:space="0" w:color="auto"/>
              <w:bottom w:val="single" w:sz="4" w:space="0" w:color="auto"/>
              <w:right w:val="single" w:sz="4" w:space="0" w:color="auto"/>
            </w:tcBorders>
            <w:vAlign w:val="center"/>
          </w:tcPr>
          <w:p w14:paraId="005C7E50" w14:textId="77777777" w:rsidR="00916B16" w:rsidRPr="007A14E2" w:rsidRDefault="00916B16" w:rsidP="00F15B65">
            <w:pPr>
              <w:pStyle w:val="Tabletext"/>
              <w:jc w:val="center"/>
            </w:pPr>
            <w:r w:rsidRPr="007A14E2">
              <w:t>2</w:t>
            </w:r>
          </w:p>
        </w:tc>
        <w:tc>
          <w:tcPr>
            <w:tcW w:w="999" w:type="dxa"/>
            <w:tcBorders>
              <w:top w:val="nil"/>
              <w:left w:val="single" w:sz="4" w:space="0" w:color="auto"/>
              <w:bottom w:val="single" w:sz="4" w:space="0" w:color="auto"/>
              <w:right w:val="single" w:sz="4" w:space="0" w:color="auto"/>
            </w:tcBorders>
            <w:vAlign w:val="center"/>
          </w:tcPr>
          <w:p w14:paraId="776664A1" w14:textId="77777777" w:rsidR="00916B16" w:rsidRPr="007A14E2" w:rsidRDefault="00916B16" w:rsidP="00F15B65">
            <w:pPr>
              <w:pStyle w:val="Tabletext"/>
              <w:jc w:val="center"/>
            </w:pPr>
            <w:r w:rsidRPr="007A14E2">
              <w:t>1</w:t>
            </w:r>
          </w:p>
        </w:tc>
        <w:tc>
          <w:tcPr>
            <w:tcW w:w="1133" w:type="dxa"/>
            <w:tcBorders>
              <w:top w:val="nil"/>
              <w:left w:val="single" w:sz="4" w:space="0" w:color="auto"/>
              <w:bottom w:val="single" w:sz="4" w:space="0" w:color="auto"/>
              <w:right w:val="single" w:sz="4" w:space="0" w:color="auto"/>
            </w:tcBorders>
            <w:vAlign w:val="center"/>
          </w:tcPr>
          <w:p w14:paraId="2E2F5CB7" w14:textId="77777777" w:rsidR="00916B16" w:rsidRPr="007A14E2" w:rsidRDefault="00916B16" w:rsidP="00F15B65">
            <w:pPr>
              <w:pStyle w:val="Tabletext"/>
              <w:jc w:val="center"/>
            </w:pPr>
            <w:r w:rsidRPr="007A14E2">
              <w:t>1</w:t>
            </w:r>
          </w:p>
        </w:tc>
        <w:tc>
          <w:tcPr>
            <w:tcW w:w="779" w:type="dxa"/>
            <w:tcBorders>
              <w:top w:val="nil"/>
              <w:left w:val="single" w:sz="4" w:space="0" w:color="auto"/>
              <w:bottom w:val="single" w:sz="4" w:space="0" w:color="auto"/>
              <w:right w:val="single" w:sz="4" w:space="0" w:color="auto"/>
            </w:tcBorders>
            <w:vAlign w:val="center"/>
          </w:tcPr>
          <w:p w14:paraId="6A04B3D1" w14:textId="77777777" w:rsidR="00916B16" w:rsidRPr="007A14E2" w:rsidRDefault="00916B16" w:rsidP="00F15B65">
            <w:pPr>
              <w:pStyle w:val="Tabletext"/>
              <w:jc w:val="center"/>
            </w:pPr>
            <w:r w:rsidRPr="007A14E2">
              <w:t>1</w:t>
            </w:r>
          </w:p>
        </w:tc>
      </w:tr>
      <w:tr w:rsidR="00916B16" w:rsidRPr="007A14E2" w14:paraId="4A92E98C" w14:textId="77777777" w:rsidTr="006A6704">
        <w:trPr>
          <w:trHeight w:val="375"/>
          <w:jc w:val="center"/>
        </w:trPr>
        <w:tc>
          <w:tcPr>
            <w:tcW w:w="1413" w:type="dxa"/>
            <w:tcBorders>
              <w:top w:val="single" w:sz="4" w:space="0" w:color="auto"/>
              <w:left w:val="single" w:sz="4" w:space="0" w:color="auto"/>
              <w:bottom w:val="nil"/>
              <w:right w:val="single" w:sz="4" w:space="0" w:color="auto"/>
            </w:tcBorders>
            <w:shd w:val="clear" w:color="auto" w:fill="auto"/>
            <w:noWrap/>
            <w:vAlign w:val="center"/>
            <w:hideMark/>
          </w:tcPr>
          <w:p w14:paraId="4DD95F12" w14:textId="77777777" w:rsidR="00916B16" w:rsidRPr="007A14E2" w:rsidRDefault="00916B16" w:rsidP="00B85F00">
            <w:pPr>
              <w:pStyle w:val="Tabletext"/>
            </w:pPr>
            <w:r w:rsidRPr="007A14E2">
              <w:lastRenderedPageBreak/>
              <w:t>Middle East and North Africa (6)</w:t>
            </w:r>
          </w:p>
        </w:tc>
        <w:tc>
          <w:tcPr>
            <w:tcW w:w="877" w:type="dxa"/>
            <w:tcBorders>
              <w:top w:val="single" w:sz="4" w:space="0" w:color="auto"/>
              <w:left w:val="nil"/>
              <w:bottom w:val="nil"/>
              <w:right w:val="single" w:sz="4" w:space="0" w:color="auto"/>
            </w:tcBorders>
            <w:shd w:val="clear" w:color="auto" w:fill="auto"/>
            <w:noWrap/>
            <w:vAlign w:val="center"/>
          </w:tcPr>
          <w:p w14:paraId="27210B42" w14:textId="77777777" w:rsidR="00916B16" w:rsidRPr="007A14E2" w:rsidRDefault="00916B16" w:rsidP="00F15B65">
            <w:pPr>
              <w:pStyle w:val="Tabletext"/>
              <w:jc w:val="center"/>
            </w:pPr>
            <w:r w:rsidRPr="007A14E2">
              <w:t>0</w:t>
            </w:r>
          </w:p>
        </w:tc>
        <w:tc>
          <w:tcPr>
            <w:tcW w:w="836" w:type="dxa"/>
            <w:tcBorders>
              <w:top w:val="single" w:sz="4" w:space="0" w:color="auto"/>
              <w:left w:val="single" w:sz="4" w:space="0" w:color="auto"/>
              <w:bottom w:val="nil"/>
              <w:right w:val="single" w:sz="4" w:space="0" w:color="auto"/>
            </w:tcBorders>
            <w:shd w:val="clear" w:color="auto" w:fill="auto"/>
            <w:noWrap/>
            <w:vAlign w:val="center"/>
          </w:tcPr>
          <w:p w14:paraId="39B9B506" w14:textId="77777777" w:rsidR="00916B16" w:rsidRPr="007A14E2" w:rsidRDefault="00916B16" w:rsidP="00F15B65">
            <w:pPr>
              <w:pStyle w:val="Tabletext"/>
              <w:jc w:val="center"/>
            </w:pPr>
            <w:r w:rsidRPr="007A14E2">
              <w:t>0</w:t>
            </w:r>
          </w:p>
        </w:tc>
        <w:tc>
          <w:tcPr>
            <w:tcW w:w="1451" w:type="dxa"/>
            <w:tcBorders>
              <w:top w:val="single" w:sz="4" w:space="0" w:color="auto"/>
              <w:left w:val="single" w:sz="4" w:space="0" w:color="auto"/>
              <w:bottom w:val="nil"/>
              <w:right w:val="single" w:sz="4" w:space="0" w:color="auto"/>
            </w:tcBorders>
            <w:vAlign w:val="center"/>
          </w:tcPr>
          <w:p w14:paraId="24627D0D" w14:textId="77777777" w:rsidR="00916B16" w:rsidRPr="007A14E2" w:rsidRDefault="00916B16" w:rsidP="00F15B65">
            <w:pPr>
              <w:pStyle w:val="Tabletext"/>
              <w:jc w:val="center"/>
            </w:pPr>
            <w:r w:rsidRPr="007A14E2">
              <w:t>0</w:t>
            </w:r>
          </w:p>
        </w:tc>
        <w:tc>
          <w:tcPr>
            <w:tcW w:w="1514" w:type="dxa"/>
            <w:tcBorders>
              <w:top w:val="single" w:sz="4" w:space="0" w:color="auto"/>
              <w:left w:val="single" w:sz="4" w:space="0" w:color="auto"/>
              <w:bottom w:val="nil"/>
              <w:right w:val="single" w:sz="4" w:space="0" w:color="auto"/>
            </w:tcBorders>
            <w:shd w:val="clear" w:color="auto" w:fill="auto"/>
            <w:noWrap/>
            <w:vAlign w:val="center"/>
          </w:tcPr>
          <w:p w14:paraId="71641557" w14:textId="77777777" w:rsidR="00916B16" w:rsidRPr="007A14E2" w:rsidRDefault="00916B16" w:rsidP="00F15B65">
            <w:pPr>
              <w:pStyle w:val="Tabletext"/>
              <w:jc w:val="center"/>
            </w:pPr>
            <w:r w:rsidRPr="007A14E2">
              <w:t>0</w:t>
            </w:r>
          </w:p>
        </w:tc>
        <w:tc>
          <w:tcPr>
            <w:tcW w:w="779" w:type="dxa"/>
            <w:tcBorders>
              <w:top w:val="single" w:sz="4" w:space="0" w:color="auto"/>
              <w:left w:val="single" w:sz="4" w:space="0" w:color="auto"/>
              <w:bottom w:val="nil"/>
              <w:right w:val="single" w:sz="4" w:space="0" w:color="auto"/>
            </w:tcBorders>
            <w:vAlign w:val="center"/>
          </w:tcPr>
          <w:p w14:paraId="27939E99" w14:textId="77777777" w:rsidR="00916B16" w:rsidRPr="007A14E2" w:rsidRDefault="00916B16" w:rsidP="00F15B65">
            <w:pPr>
              <w:pStyle w:val="Tabletext"/>
              <w:jc w:val="center"/>
            </w:pPr>
            <w:r w:rsidRPr="007A14E2">
              <w:t>0</w:t>
            </w:r>
          </w:p>
        </w:tc>
        <w:tc>
          <w:tcPr>
            <w:tcW w:w="999" w:type="dxa"/>
            <w:tcBorders>
              <w:top w:val="single" w:sz="4" w:space="0" w:color="auto"/>
              <w:left w:val="single" w:sz="4" w:space="0" w:color="auto"/>
              <w:bottom w:val="nil"/>
              <w:right w:val="single" w:sz="4" w:space="0" w:color="auto"/>
            </w:tcBorders>
            <w:vAlign w:val="center"/>
          </w:tcPr>
          <w:p w14:paraId="65380DF3" w14:textId="77777777" w:rsidR="00916B16" w:rsidRPr="007A14E2" w:rsidRDefault="00916B16" w:rsidP="00F15B65">
            <w:pPr>
              <w:pStyle w:val="Tabletext"/>
              <w:jc w:val="center"/>
            </w:pPr>
            <w:r w:rsidRPr="007A14E2">
              <w:t>2</w:t>
            </w:r>
          </w:p>
        </w:tc>
        <w:tc>
          <w:tcPr>
            <w:tcW w:w="1133" w:type="dxa"/>
            <w:tcBorders>
              <w:top w:val="single" w:sz="4" w:space="0" w:color="auto"/>
              <w:left w:val="single" w:sz="4" w:space="0" w:color="auto"/>
              <w:bottom w:val="nil"/>
              <w:right w:val="single" w:sz="4" w:space="0" w:color="auto"/>
            </w:tcBorders>
            <w:vAlign w:val="center"/>
          </w:tcPr>
          <w:p w14:paraId="327C1039" w14:textId="77777777" w:rsidR="00916B16" w:rsidRPr="007A14E2" w:rsidRDefault="00916B16" w:rsidP="00F15B65">
            <w:pPr>
              <w:pStyle w:val="Tabletext"/>
              <w:jc w:val="center"/>
            </w:pPr>
            <w:r w:rsidRPr="007A14E2">
              <w:t>0</w:t>
            </w:r>
          </w:p>
        </w:tc>
        <w:tc>
          <w:tcPr>
            <w:tcW w:w="779" w:type="dxa"/>
            <w:tcBorders>
              <w:top w:val="single" w:sz="4" w:space="0" w:color="auto"/>
              <w:left w:val="single" w:sz="4" w:space="0" w:color="auto"/>
              <w:bottom w:val="nil"/>
              <w:right w:val="single" w:sz="4" w:space="0" w:color="auto"/>
            </w:tcBorders>
            <w:vAlign w:val="center"/>
          </w:tcPr>
          <w:p w14:paraId="5C873897" w14:textId="77777777" w:rsidR="00916B16" w:rsidRPr="007A14E2" w:rsidRDefault="00916B16" w:rsidP="00F15B65">
            <w:pPr>
              <w:pStyle w:val="Tabletext"/>
              <w:jc w:val="center"/>
            </w:pPr>
            <w:r w:rsidRPr="007A14E2">
              <w:t>0</w:t>
            </w:r>
          </w:p>
        </w:tc>
      </w:tr>
      <w:tr w:rsidR="00916B16" w:rsidRPr="007A14E2" w14:paraId="348A9100" w14:textId="77777777" w:rsidTr="006A6704">
        <w:trPr>
          <w:trHeight w:val="375"/>
          <w:jc w:val="center"/>
        </w:trPr>
        <w:tc>
          <w:tcPr>
            <w:tcW w:w="1413" w:type="dxa"/>
            <w:tcBorders>
              <w:top w:val="nil"/>
              <w:left w:val="single" w:sz="4" w:space="0" w:color="auto"/>
              <w:bottom w:val="nil"/>
              <w:right w:val="single" w:sz="4" w:space="0" w:color="auto"/>
            </w:tcBorders>
            <w:shd w:val="clear" w:color="auto" w:fill="auto"/>
            <w:noWrap/>
            <w:vAlign w:val="center"/>
            <w:hideMark/>
          </w:tcPr>
          <w:p w14:paraId="011680E5" w14:textId="77777777" w:rsidR="00916B16" w:rsidRPr="007A14E2" w:rsidRDefault="00916B16" w:rsidP="00B85F00">
            <w:pPr>
              <w:pStyle w:val="Tabletext"/>
            </w:pPr>
            <w:r w:rsidRPr="007A14E2">
              <w:t>South Asia (4)</w:t>
            </w:r>
          </w:p>
        </w:tc>
        <w:tc>
          <w:tcPr>
            <w:tcW w:w="877" w:type="dxa"/>
            <w:tcBorders>
              <w:top w:val="nil"/>
              <w:left w:val="nil"/>
              <w:bottom w:val="nil"/>
              <w:right w:val="single" w:sz="4" w:space="0" w:color="auto"/>
            </w:tcBorders>
            <w:shd w:val="clear" w:color="auto" w:fill="auto"/>
            <w:noWrap/>
            <w:vAlign w:val="center"/>
          </w:tcPr>
          <w:p w14:paraId="575B8D48" w14:textId="77777777" w:rsidR="00916B16" w:rsidRPr="007A14E2" w:rsidRDefault="00916B16" w:rsidP="00F15B65">
            <w:pPr>
              <w:pStyle w:val="Tabletext"/>
              <w:jc w:val="center"/>
            </w:pPr>
            <w:r w:rsidRPr="007A14E2">
              <w:t>0</w:t>
            </w:r>
          </w:p>
        </w:tc>
        <w:tc>
          <w:tcPr>
            <w:tcW w:w="836" w:type="dxa"/>
            <w:tcBorders>
              <w:top w:val="nil"/>
              <w:left w:val="single" w:sz="4" w:space="0" w:color="auto"/>
              <w:bottom w:val="nil"/>
              <w:right w:val="single" w:sz="4" w:space="0" w:color="auto"/>
            </w:tcBorders>
            <w:shd w:val="clear" w:color="auto" w:fill="auto"/>
            <w:noWrap/>
            <w:vAlign w:val="center"/>
          </w:tcPr>
          <w:p w14:paraId="6E47F6EB" w14:textId="77777777" w:rsidR="00916B16" w:rsidRPr="007A14E2" w:rsidRDefault="00916B16" w:rsidP="00F15B65">
            <w:pPr>
              <w:pStyle w:val="Tabletext"/>
              <w:jc w:val="center"/>
            </w:pPr>
            <w:r w:rsidRPr="007A14E2">
              <w:t>0</w:t>
            </w:r>
          </w:p>
        </w:tc>
        <w:tc>
          <w:tcPr>
            <w:tcW w:w="1451" w:type="dxa"/>
            <w:tcBorders>
              <w:top w:val="nil"/>
              <w:left w:val="single" w:sz="4" w:space="0" w:color="auto"/>
              <w:bottom w:val="nil"/>
              <w:right w:val="single" w:sz="4" w:space="0" w:color="auto"/>
            </w:tcBorders>
            <w:vAlign w:val="center"/>
          </w:tcPr>
          <w:p w14:paraId="59D89306" w14:textId="77777777" w:rsidR="00916B16" w:rsidRPr="007A14E2" w:rsidRDefault="00916B16" w:rsidP="00F15B65">
            <w:pPr>
              <w:pStyle w:val="Tabletext"/>
              <w:jc w:val="center"/>
            </w:pPr>
            <w:r w:rsidRPr="007A14E2">
              <w:t>1</w:t>
            </w:r>
          </w:p>
        </w:tc>
        <w:tc>
          <w:tcPr>
            <w:tcW w:w="1514" w:type="dxa"/>
            <w:tcBorders>
              <w:top w:val="nil"/>
              <w:left w:val="single" w:sz="4" w:space="0" w:color="auto"/>
              <w:bottom w:val="nil"/>
              <w:right w:val="single" w:sz="4" w:space="0" w:color="auto"/>
            </w:tcBorders>
            <w:shd w:val="clear" w:color="auto" w:fill="auto"/>
            <w:noWrap/>
            <w:vAlign w:val="center"/>
          </w:tcPr>
          <w:p w14:paraId="648D3E8B" w14:textId="77777777" w:rsidR="00916B16" w:rsidRPr="007A14E2" w:rsidRDefault="00916B16" w:rsidP="00F15B65">
            <w:pPr>
              <w:pStyle w:val="Tabletext"/>
              <w:jc w:val="center"/>
            </w:pPr>
            <w:r w:rsidRPr="007A14E2">
              <w:t>0</w:t>
            </w:r>
          </w:p>
        </w:tc>
        <w:tc>
          <w:tcPr>
            <w:tcW w:w="779" w:type="dxa"/>
            <w:tcBorders>
              <w:top w:val="nil"/>
              <w:left w:val="single" w:sz="4" w:space="0" w:color="auto"/>
              <w:bottom w:val="nil"/>
              <w:right w:val="single" w:sz="4" w:space="0" w:color="auto"/>
            </w:tcBorders>
            <w:vAlign w:val="center"/>
          </w:tcPr>
          <w:p w14:paraId="19A553E2" w14:textId="77777777" w:rsidR="00916B16" w:rsidRPr="007A14E2" w:rsidRDefault="00916B16" w:rsidP="00F15B65">
            <w:pPr>
              <w:pStyle w:val="Tabletext"/>
              <w:jc w:val="center"/>
            </w:pPr>
            <w:r w:rsidRPr="007A14E2">
              <w:t>1</w:t>
            </w:r>
          </w:p>
        </w:tc>
        <w:tc>
          <w:tcPr>
            <w:tcW w:w="999" w:type="dxa"/>
            <w:tcBorders>
              <w:top w:val="nil"/>
              <w:left w:val="single" w:sz="4" w:space="0" w:color="auto"/>
              <w:bottom w:val="nil"/>
              <w:right w:val="single" w:sz="4" w:space="0" w:color="auto"/>
            </w:tcBorders>
            <w:vAlign w:val="center"/>
          </w:tcPr>
          <w:p w14:paraId="768FC277" w14:textId="77777777" w:rsidR="00916B16" w:rsidRPr="007A14E2" w:rsidRDefault="00916B16" w:rsidP="00F15B65">
            <w:pPr>
              <w:pStyle w:val="Tabletext"/>
              <w:jc w:val="center"/>
            </w:pPr>
            <w:r w:rsidRPr="007A14E2">
              <w:t>1</w:t>
            </w:r>
          </w:p>
        </w:tc>
        <w:tc>
          <w:tcPr>
            <w:tcW w:w="1133" w:type="dxa"/>
            <w:tcBorders>
              <w:top w:val="nil"/>
              <w:left w:val="single" w:sz="4" w:space="0" w:color="auto"/>
              <w:bottom w:val="nil"/>
              <w:right w:val="single" w:sz="4" w:space="0" w:color="auto"/>
            </w:tcBorders>
            <w:vAlign w:val="center"/>
          </w:tcPr>
          <w:p w14:paraId="0424465F" w14:textId="77777777" w:rsidR="00916B16" w:rsidRPr="007A14E2" w:rsidRDefault="00916B16" w:rsidP="00F15B65">
            <w:pPr>
              <w:pStyle w:val="Tabletext"/>
              <w:jc w:val="center"/>
            </w:pPr>
            <w:r w:rsidRPr="007A14E2">
              <w:t>0</w:t>
            </w:r>
          </w:p>
        </w:tc>
        <w:tc>
          <w:tcPr>
            <w:tcW w:w="779" w:type="dxa"/>
            <w:tcBorders>
              <w:top w:val="nil"/>
              <w:left w:val="single" w:sz="4" w:space="0" w:color="auto"/>
              <w:bottom w:val="nil"/>
              <w:right w:val="single" w:sz="4" w:space="0" w:color="auto"/>
            </w:tcBorders>
            <w:vAlign w:val="center"/>
          </w:tcPr>
          <w:p w14:paraId="7EAC56CA" w14:textId="77777777" w:rsidR="00916B16" w:rsidRPr="007A14E2" w:rsidRDefault="00916B16" w:rsidP="00F15B65">
            <w:pPr>
              <w:pStyle w:val="Tabletext"/>
              <w:jc w:val="center"/>
            </w:pPr>
            <w:r w:rsidRPr="007A14E2">
              <w:t>0</w:t>
            </w:r>
          </w:p>
        </w:tc>
      </w:tr>
      <w:tr w:rsidR="00916B16" w:rsidRPr="007A14E2" w14:paraId="76A21AD0" w14:textId="77777777" w:rsidTr="006A6704">
        <w:trPr>
          <w:trHeight w:val="375"/>
          <w:jc w:val="center"/>
        </w:trPr>
        <w:tc>
          <w:tcPr>
            <w:tcW w:w="1413" w:type="dxa"/>
            <w:tcBorders>
              <w:top w:val="nil"/>
              <w:left w:val="single" w:sz="4" w:space="0" w:color="auto"/>
              <w:bottom w:val="nil"/>
              <w:right w:val="single" w:sz="4" w:space="0" w:color="auto"/>
            </w:tcBorders>
            <w:shd w:val="clear" w:color="auto" w:fill="auto"/>
            <w:noWrap/>
            <w:vAlign w:val="center"/>
            <w:hideMark/>
          </w:tcPr>
          <w:p w14:paraId="42E96C2A" w14:textId="77777777" w:rsidR="00916B16" w:rsidRPr="007A14E2" w:rsidRDefault="00916B16" w:rsidP="00B85F00">
            <w:pPr>
              <w:pStyle w:val="Tabletext"/>
            </w:pPr>
            <w:r w:rsidRPr="007A14E2">
              <w:t>Sub-Saharan Africa (19)</w:t>
            </w:r>
          </w:p>
        </w:tc>
        <w:tc>
          <w:tcPr>
            <w:tcW w:w="877" w:type="dxa"/>
            <w:tcBorders>
              <w:top w:val="nil"/>
              <w:left w:val="nil"/>
              <w:bottom w:val="nil"/>
              <w:right w:val="single" w:sz="4" w:space="0" w:color="auto"/>
            </w:tcBorders>
            <w:shd w:val="clear" w:color="auto" w:fill="auto"/>
            <w:noWrap/>
            <w:vAlign w:val="center"/>
          </w:tcPr>
          <w:p w14:paraId="0FE765D2" w14:textId="77777777" w:rsidR="00916B16" w:rsidRPr="007A14E2" w:rsidRDefault="00916B16" w:rsidP="00F15B65">
            <w:pPr>
              <w:pStyle w:val="Tabletext"/>
              <w:jc w:val="center"/>
            </w:pPr>
            <w:r w:rsidRPr="007A14E2">
              <w:t>1</w:t>
            </w:r>
          </w:p>
        </w:tc>
        <w:tc>
          <w:tcPr>
            <w:tcW w:w="836" w:type="dxa"/>
            <w:tcBorders>
              <w:top w:val="nil"/>
              <w:left w:val="single" w:sz="4" w:space="0" w:color="auto"/>
              <w:bottom w:val="nil"/>
              <w:right w:val="single" w:sz="4" w:space="0" w:color="auto"/>
            </w:tcBorders>
            <w:shd w:val="clear" w:color="auto" w:fill="auto"/>
            <w:noWrap/>
            <w:vAlign w:val="center"/>
          </w:tcPr>
          <w:p w14:paraId="3B39E59B" w14:textId="77777777" w:rsidR="00916B16" w:rsidRPr="007A14E2" w:rsidRDefault="00916B16" w:rsidP="00F15B65">
            <w:pPr>
              <w:pStyle w:val="Tabletext"/>
              <w:jc w:val="center"/>
            </w:pPr>
            <w:r w:rsidRPr="007A14E2">
              <w:t>0</w:t>
            </w:r>
          </w:p>
        </w:tc>
        <w:tc>
          <w:tcPr>
            <w:tcW w:w="1451" w:type="dxa"/>
            <w:tcBorders>
              <w:top w:val="nil"/>
              <w:left w:val="single" w:sz="4" w:space="0" w:color="auto"/>
              <w:bottom w:val="nil"/>
              <w:right w:val="single" w:sz="4" w:space="0" w:color="auto"/>
            </w:tcBorders>
            <w:vAlign w:val="center"/>
          </w:tcPr>
          <w:p w14:paraId="372A4D9E" w14:textId="77777777" w:rsidR="00916B16" w:rsidRPr="007A14E2" w:rsidRDefault="00916B16" w:rsidP="00F15B65">
            <w:pPr>
              <w:pStyle w:val="Tabletext"/>
              <w:jc w:val="center"/>
            </w:pPr>
            <w:r w:rsidRPr="007A14E2">
              <w:t>2</w:t>
            </w:r>
          </w:p>
        </w:tc>
        <w:tc>
          <w:tcPr>
            <w:tcW w:w="1514" w:type="dxa"/>
            <w:tcBorders>
              <w:top w:val="nil"/>
              <w:left w:val="single" w:sz="4" w:space="0" w:color="auto"/>
              <w:bottom w:val="nil"/>
              <w:right w:val="single" w:sz="4" w:space="0" w:color="auto"/>
            </w:tcBorders>
            <w:shd w:val="clear" w:color="auto" w:fill="auto"/>
            <w:noWrap/>
            <w:vAlign w:val="center"/>
          </w:tcPr>
          <w:p w14:paraId="6CF065DC" w14:textId="77777777" w:rsidR="00916B16" w:rsidRPr="007A14E2" w:rsidRDefault="00916B16" w:rsidP="00F15B65">
            <w:pPr>
              <w:pStyle w:val="Tabletext"/>
              <w:jc w:val="center"/>
            </w:pPr>
            <w:r w:rsidRPr="007A14E2">
              <w:t>0</w:t>
            </w:r>
          </w:p>
        </w:tc>
        <w:tc>
          <w:tcPr>
            <w:tcW w:w="779" w:type="dxa"/>
            <w:tcBorders>
              <w:top w:val="nil"/>
              <w:left w:val="single" w:sz="4" w:space="0" w:color="auto"/>
              <w:bottom w:val="nil"/>
              <w:right w:val="single" w:sz="4" w:space="0" w:color="auto"/>
            </w:tcBorders>
            <w:vAlign w:val="center"/>
          </w:tcPr>
          <w:p w14:paraId="5D80A35A" w14:textId="77777777" w:rsidR="00916B16" w:rsidRPr="007A14E2" w:rsidRDefault="00916B16" w:rsidP="00F15B65">
            <w:pPr>
              <w:pStyle w:val="Tabletext"/>
              <w:jc w:val="center"/>
            </w:pPr>
            <w:r w:rsidRPr="007A14E2">
              <w:t>0</w:t>
            </w:r>
          </w:p>
        </w:tc>
        <w:tc>
          <w:tcPr>
            <w:tcW w:w="999" w:type="dxa"/>
            <w:tcBorders>
              <w:top w:val="nil"/>
              <w:left w:val="single" w:sz="4" w:space="0" w:color="auto"/>
              <w:bottom w:val="nil"/>
              <w:right w:val="single" w:sz="4" w:space="0" w:color="auto"/>
            </w:tcBorders>
            <w:vAlign w:val="center"/>
          </w:tcPr>
          <w:p w14:paraId="2B07AC68" w14:textId="77777777" w:rsidR="00916B16" w:rsidRPr="007A14E2" w:rsidRDefault="00916B16" w:rsidP="00F15B65">
            <w:pPr>
              <w:pStyle w:val="Tabletext"/>
              <w:jc w:val="center"/>
            </w:pPr>
            <w:r w:rsidRPr="007A14E2">
              <w:t>1</w:t>
            </w:r>
          </w:p>
        </w:tc>
        <w:tc>
          <w:tcPr>
            <w:tcW w:w="1133" w:type="dxa"/>
            <w:tcBorders>
              <w:top w:val="nil"/>
              <w:left w:val="single" w:sz="4" w:space="0" w:color="auto"/>
              <w:bottom w:val="nil"/>
              <w:right w:val="single" w:sz="4" w:space="0" w:color="auto"/>
            </w:tcBorders>
            <w:vAlign w:val="center"/>
          </w:tcPr>
          <w:p w14:paraId="606DDD28" w14:textId="77777777" w:rsidR="00916B16" w:rsidRPr="007A14E2" w:rsidRDefault="00916B16" w:rsidP="00F15B65">
            <w:pPr>
              <w:pStyle w:val="Tabletext"/>
              <w:jc w:val="center"/>
            </w:pPr>
            <w:r w:rsidRPr="007A14E2">
              <w:t>0</w:t>
            </w:r>
          </w:p>
        </w:tc>
        <w:tc>
          <w:tcPr>
            <w:tcW w:w="779" w:type="dxa"/>
            <w:tcBorders>
              <w:top w:val="nil"/>
              <w:left w:val="single" w:sz="4" w:space="0" w:color="auto"/>
              <w:bottom w:val="nil"/>
              <w:right w:val="single" w:sz="4" w:space="0" w:color="auto"/>
            </w:tcBorders>
            <w:vAlign w:val="center"/>
          </w:tcPr>
          <w:p w14:paraId="71CA3D64" w14:textId="77777777" w:rsidR="00916B16" w:rsidRPr="007A14E2" w:rsidRDefault="00916B16" w:rsidP="00F15B65">
            <w:pPr>
              <w:pStyle w:val="Tabletext"/>
              <w:jc w:val="center"/>
            </w:pPr>
            <w:r w:rsidRPr="007A14E2">
              <w:t>4</w:t>
            </w:r>
          </w:p>
        </w:tc>
      </w:tr>
      <w:tr w:rsidR="00916B16" w:rsidRPr="007A14E2" w14:paraId="2232F58A" w14:textId="77777777" w:rsidTr="006A6704">
        <w:trPr>
          <w:trHeight w:val="375"/>
          <w:jc w:val="center"/>
        </w:trPr>
        <w:tc>
          <w:tcPr>
            <w:tcW w:w="1413" w:type="dxa"/>
            <w:tcBorders>
              <w:top w:val="nil"/>
              <w:left w:val="single" w:sz="4" w:space="0" w:color="auto"/>
              <w:bottom w:val="nil"/>
              <w:right w:val="single" w:sz="4" w:space="0" w:color="auto"/>
            </w:tcBorders>
            <w:shd w:val="clear" w:color="auto" w:fill="auto"/>
            <w:noWrap/>
            <w:vAlign w:val="center"/>
            <w:hideMark/>
          </w:tcPr>
          <w:p w14:paraId="43EB9692" w14:textId="77777777" w:rsidR="00916B16" w:rsidRPr="007A14E2" w:rsidRDefault="00916B16" w:rsidP="00B85F00">
            <w:pPr>
              <w:pStyle w:val="Tabletext"/>
            </w:pPr>
            <w:r w:rsidRPr="007A14E2">
              <w:t>Euro area (10)</w:t>
            </w:r>
          </w:p>
        </w:tc>
        <w:tc>
          <w:tcPr>
            <w:tcW w:w="877" w:type="dxa"/>
            <w:tcBorders>
              <w:top w:val="nil"/>
              <w:left w:val="nil"/>
              <w:bottom w:val="nil"/>
              <w:right w:val="single" w:sz="4" w:space="0" w:color="auto"/>
            </w:tcBorders>
            <w:shd w:val="clear" w:color="auto" w:fill="auto"/>
            <w:noWrap/>
            <w:vAlign w:val="center"/>
          </w:tcPr>
          <w:p w14:paraId="3FFC465E" w14:textId="77777777" w:rsidR="00916B16" w:rsidRPr="007A14E2" w:rsidRDefault="00916B16" w:rsidP="00F15B65">
            <w:pPr>
              <w:pStyle w:val="Tabletext"/>
              <w:jc w:val="center"/>
            </w:pPr>
            <w:r w:rsidRPr="007A14E2">
              <w:t>3</w:t>
            </w:r>
          </w:p>
        </w:tc>
        <w:tc>
          <w:tcPr>
            <w:tcW w:w="836" w:type="dxa"/>
            <w:tcBorders>
              <w:top w:val="nil"/>
              <w:left w:val="single" w:sz="4" w:space="0" w:color="auto"/>
              <w:bottom w:val="nil"/>
              <w:right w:val="single" w:sz="4" w:space="0" w:color="auto"/>
            </w:tcBorders>
            <w:shd w:val="clear" w:color="auto" w:fill="auto"/>
            <w:noWrap/>
            <w:vAlign w:val="center"/>
          </w:tcPr>
          <w:p w14:paraId="4C244A22" w14:textId="77777777" w:rsidR="00916B16" w:rsidRPr="007A14E2" w:rsidRDefault="00916B16" w:rsidP="00F15B65">
            <w:pPr>
              <w:pStyle w:val="Tabletext"/>
              <w:jc w:val="center"/>
            </w:pPr>
            <w:r w:rsidRPr="007A14E2">
              <w:t>2</w:t>
            </w:r>
          </w:p>
        </w:tc>
        <w:tc>
          <w:tcPr>
            <w:tcW w:w="1451" w:type="dxa"/>
            <w:tcBorders>
              <w:top w:val="nil"/>
              <w:left w:val="single" w:sz="4" w:space="0" w:color="auto"/>
              <w:bottom w:val="nil"/>
              <w:right w:val="single" w:sz="4" w:space="0" w:color="auto"/>
            </w:tcBorders>
            <w:vAlign w:val="center"/>
          </w:tcPr>
          <w:p w14:paraId="273CC6DB" w14:textId="77777777" w:rsidR="00916B16" w:rsidRPr="007A14E2" w:rsidRDefault="00916B16" w:rsidP="00F15B65">
            <w:pPr>
              <w:pStyle w:val="Tabletext"/>
              <w:jc w:val="center"/>
            </w:pPr>
            <w:r w:rsidRPr="007A14E2">
              <w:t>3</w:t>
            </w:r>
          </w:p>
        </w:tc>
        <w:tc>
          <w:tcPr>
            <w:tcW w:w="1514" w:type="dxa"/>
            <w:tcBorders>
              <w:top w:val="nil"/>
              <w:left w:val="single" w:sz="4" w:space="0" w:color="auto"/>
              <w:bottom w:val="nil"/>
              <w:right w:val="single" w:sz="4" w:space="0" w:color="auto"/>
            </w:tcBorders>
            <w:shd w:val="clear" w:color="auto" w:fill="auto"/>
            <w:noWrap/>
            <w:vAlign w:val="center"/>
          </w:tcPr>
          <w:p w14:paraId="61A5847E" w14:textId="77777777" w:rsidR="00916B16" w:rsidRPr="007A14E2" w:rsidRDefault="00916B16" w:rsidP="00F15B65">
            <w:pPr>
              <w:pStyle w:val="Tabletext"/>
              <w:jc w:val="center"/>
            </w:pPr>
            <w:r w:rsidRPr="007A14E2">
              <w:t>0</w:t>
            </w:r>
          </w:p>
        </w:tc>
        <w:tc>
          <w:tcPr>
            <w:tcW w:w="779" w:type="dxa"/>
            <w:tcBorders>
              <w:top w:val="nil"/>
              <w:left w:val="single" w:sz="4" w:space="0" w:color="auto"/>
              <w:bottom w:val="nil"/>
              <w:right w:val="single" w:sz="4" w:space="0" w:color="auto"/>
            </w:tcBorders>
            <w:vAlign w:val="center"/>
          </w:tcPr>
          <w:p w14:paraId="25D8B3CF" w14:textId="77777777" w:rsidR="00916B16" w:rsidRPr="007A14E2" w:rsidRDefault="00916B16" w:rsidP="00F15B65">
            <w:pPr>
              <w:pStyle w:val="Tabletext"/>
              <w:jc w:val="center"/>
            </w:pPr>
            <w:r w:rsidRPr="007A14E2">
              <w:t>4</w:t>
            </w:r>
          </w:p>
        </w:tc>
        <w:tc>
          <w:tcPr>
            <w:tcW w:w="999" w:type="dxa"/>
            <w:tcBorders>
              <w:top w:val="nil"/>
              <w:left w:val="single" w:sz="4" w:space="0" w:color="auto"/>
              <w:bottom w:val="nil"/>
              <w:right w:val="single" w:sz="4" w:space="0" w:color="auto"/>
            </w:tcBorders>
            <w:vAlign w:val="center"/>
          </w:tcPr>
          <w:p w14:paraId="0576E478" w14:textId="77777777" w:rsidR="00916B16" w:rsidRPr="007A14E2" w:rsidRDefault="00916B16" w:rsidP="00F15B65">
            <w:pPr>
              <w:pStyle w:val="Tabletext"/>
              <w:jc w:val="center"/>
            </w:pPr>
            <w:r w:rsidRPr="007A14E2">
              <w:t>2</w:t>
            </w:r>
          </w:p>
        </w:tc>
        <w:tc>
          <w:tcPr>
            <w:tcW w:w="1133" w:type="dxa"/>
            <w:tcBorders>
              <w:top w:val="nil"/>
              <w:left w:val="single" w:sz="4" w:space="0" w:color="auto"/>
              <w:bottom w:val="nil"/>
              <w:right w:val="single" w:sz="4" w:space="0" w:color="auto"/>
            </w:tcBorders>
            <w:vAlign w:val="center"/>
          </w:tcPr>
          <w:p w14:paraId="3D278205" w14:textId="77777777" w:rsidR="00916B16" w:rsidRPr="007A14E2" w:rsidRDefault="00916B16" w:rsidP="00F15B65">
            <w:pPr>
              <w:pStyle w:val="Tabletext"/>
              <w:jc w:val="center"/>
            </w:pPr>
            <w:r w:rsidRPr="007A14E2">
              <w:t>1</w:t>
            </w:r>
          </w:p>
        </w:tc>
        <w:tc>
          <w:tcPr>
            <w:tcW w:w="779" w:type="dxa"/>
            <w:tcBorders>
              <w:top w:val="nil"/>
              <w:left w:val="single" w:sz="4" w:space="0" w:color="auto"/>
              <w:bottom w:val="nil"/>
              <w:right w:val="single" w:sz="4" w:space="0" w:color="auto"/>
            </w:tcBorders>
            <w:vAlign w:val="center"/>
          </w:tcPr>
          <w:p w14:paraId="2FB3DD06" w14:textId="77777777" w:rsidR="00916B16" w:rsidRPr="007A14E2" w:rsidRDefault="00916B16" w:rsidP="00F15B65">
            <w:pPr>
              <w:pStyle w:val="Tabletext"/>
              <w:jc w:val="center"/>
            </w:pPr>
            <w:r w:rsidRPr="007A14E2">
              <w:t>0</w:t>
            </w:r>
          </w:p>
        </w:tc>
      </w:tr>
      <w:tr w:rsidR="00916B16" w:rsidRPr="007A14E2" w14:paraId="0037E5E7" w14:textId="77777777" w:rsidTr="006A6704">
        <w:trPr>
          <w:trHeight w:val="375"/>
          <w:jc w:val="center"/>
        </w:trPr>
        <w:tc>
          <w:tcPr>
            <w:tcW w:w="1413" w:type="dxa"/>
            <w:tcBorders>
              <w:top w:val="nil"/>
              <w:left w:val="single" w:sz="4" w:space="0" w:color="auto"/>
              <w:bottom w:val="nil"/>
              <w:right w:val="single" w:sz="4" w:space="0" w:color="auto"/>
            </w:tcBorders>
            <w:shd w:val="clear" w:color="auto" w:fill="auto"/>
            <w:noWrap/>
            <w:vAlign w:val="center"/>
            <w:hideMark/>
          </w:tcPr>
          <w:p w14:paraId="1802781E" w14:textId="77777777" w:rsidR="00916B16" w:rsidRPr="007A14E2" w:rsidRDefault="00916B16" w:rsidP="00B85F00">
            <w:pPr>
              <w:pStyle w:val="Tabletext"/>
            </w:pPr>
            <w:r w:rsidRPr="007A14E2">
              <w:t>Other European Union members (10)</w:t>
            </w:r>
          </w:p>
        </w:tc>
        <w:tc>
          <w:tcPr>
            <w:tcW w:w="877" w:type="dxa"/>
            <w:tcBorders>
              <w:top w:val="nil"/>
              <w:left w:val="nil"/>
              <w:bottom w:val="nil"/>
              <w:right w:val="single" w:sz="4" w:space="0" w:color="auto"/>
            </w:tcBorders>
            <w:shd w:val="clear" w:color="auto" w:fill="auto"/>
            <w:noWrap/>
            <w:vAlign w:val="center"/>
          </w:tcPr>
          <w:p w14:paraId="31C6C73A" w14:textId="77777777" w:rsidR="00916B16" w:rsidRPr="007A14E2" w:rsidRDefault="00916B16" w:rsidP="00F15B65">
            <w:pPr>
              <w:pStyle w:val="Tabletext"/>
              <w:jc w:val="center"/>
            </w:pPr>
            <w:r w:rsidRPr="007A14E2">
              <w:t>1</w:t>
            </w:r>
          </w:p>
        </w:tc>
        <w:tc>
          <w:tcPr>
            <w:tcW w:w="836" w:type="dxa"/>
            <w:tcBorders>
              <w:top w:val="nil"/>
              <w:left w:val="single" w:sz="4" w:space="0" w:color="auto"/>
              <w:bottom w:val="nil"/>
              <w:right w:val="single" w:sz="4" w:space="0" w:color="auto"/>
            </w:tcBorders>
            <w:shd w:val="clear" w:color="auto" w:fill="auto"/>
            <w:noWrap/>
            <w:vAlign w:val="center"/>
          </w:tcPr>
          <w:p w14:paraId="31D5DBFB" w14:textId="77777777" w:rsidR="00916B16" w:rsidRPr="007A14E2" w:rsidRDefault="00916B16" w:rsidP="00F15B65">
            <w:pPr>
              <w:pStyle w:val="Tabletext"/>
              <w:jc w:val="center"/>
            </w:pPr>
            <w:r w:rsidRPr="007A14E2">
              <w:t>1</w:t>
            </w:r>
          </w:p>
        </w:tc>
        <w:tc>
          <w:tcPr>
            <w:tcW w:w="1451" w:type="dxa"/>
            <w:tcBorders>
              <w:top w:val="nil"/>
              <w:left w:val="single" w:sz="4" w:space="0" w:color="auto"/>
              <w:bottom w:val="nil"/>
              <w:right w:val="single" w:sz="4" w:space="0" w:color="auto"/>
            </w:tcBorders>
            <w:vAlign w:val="center"/>
          </w:tcPr>
          <w:p w14:paraId="7464F2D7" w14:textId="77777777" w:rsidR="00916B16" w:rsidRPr="007A14E2" w:rsidRDefault="00916B16" w:rsidP="00F15B65">
            <w:pPr>
              <w:pStyle w:val="Tabletext"/>
              <w:jc w:val="center"/>
            </w:pPr>
            <w:r w:rsidRPr="007A14E2">
              <w:t>1</w:t>
            </w:r>
          </w:p>
        </w:tc>
        <w:tc>
          <w:tcPr>
            <w:tcW w:w="1514" w:type="dxa"/>
            <w:tcBorders>
              <w:top w:val="nil"/>
              <w:left w:val="single" w:sz="4" w:space="0" w:color="auto"/>
              <w:bottom w:val="nil"/>
              <w:right w:val="single" w:sz="4" w:space="0" w:color="auto"/>
            </w:tcBorders>
            <w:shd w:val="clear" w:color="auto" w:fill="auto"/>
            <w:noWrap/>
            <w:vAlign w:val="center"/>
          </w:tcPr>
          <w:p w14:paraId="5FC506F5" w14:textId="77777777" w:rsidR="00916B16" w:rsidRPr="007A14E2" w:rsidRDefault="00916B16" w:rsidP="00F15B65">
            <w:pPr>
              <w:pStyle w:val="Tabletext"/>
              <w:jc w:val="center"/>
            </w:pPr>
            <w:r w:rsidRPr="007A14E2">
              <w:t>0</w:t>
            </w:r>
          </w:p>
        </w:tc>
        <w:tc>
          <w:tcPr>
            <w:tcW w:w="779" w:type="dxa"/>
            <w:tcBorders>
              <w:top w:val="nil"/>
              <w:left w:val="single" w:sz="4" w:space="0" w:color="auto"/>
              <w:bottom w:val="nil"/>
              <w:right w:val="single" w:sz="4" w:space="0" w:color="auto"/>
            </w:tcBorders>
            <w:vAlign w:val="center"/>
          </w:tcPr>
          <w:p w14:paraId="24A8D1BA" w14:textId="77777777" w:rsidR="00916B16" w:rsidRPr="007A14E2" w:rsidRDefault="00916B16" w:rsidP="00F15B65">
            <w:pPr>
              <w:pStyle w:val="Tabletext"/>
              <w:jc w:val="center"/>
            </w:pPr>
            <w:r w:rsidRPr="007A14E2">
              <w:t>2</w:t>
            </w:r>
          </w:p>
        </w:tc>
        <w:tc>
          <w:tcPr>
            <w:tcW w:w="999" w:type="dxa"/>
            <w:tcBorders>
              <w:top w:val="nil"/>
              <w:left w:val="single" w:sz="4" w:space="0" w:color="auto"/>
              <w:bottom w:val="nil"/>
              <w:right w:val="single" w:sz="4" w:space="0" w:color="auto"/>
            </w:tcBorders>
            <w:vAlign w:val="center"/>
          </w:tcPr>
          <w:p w14:paraId="7B82958C" w14:textId="77777777" w:rsidR="00916B16" w:rsidRPr="007A14E2" w:rsidRDefault="00916B16" w:rsidP="00F15B65">
            <w:pPr>
              <w:pStyle w:val="Tabletext"/>
              <w:jc w:val="center"/>
            </w:pPr>
            <w:r w:rsidRPr="007A14E2">
              <w:t>1</w:t>
            </w:r>
          </w:p>
        </w:tc>
        <w:tc>
          <w:tcPr>
            <w:tcW w:w="1133" w:type="dxa"/>
            <w:tcBorders>
              <w:top w:val="nil"/>
              <w:left w:val="single" w:sz="4" w:space="0" w:color="auto"/>
              <w:bottom w:val="nil"/>
              <w:right w:val="single" w:sz="4" w:space="0" w:color="auto"/>
            </w:tcBorders>
            <w:vAlign w:val="center"/>
          </w:tcPr>
          <w:p w14:paraId="5BB018EA" w14:textId="77777777" w:rsidR="00916B16" w:rsidRPr="007A14E2" w:rsidRDefault="00916B16" w:rsidP="00F15B65">
            <w:pPr>
              <w:pStyle w:val="Tabletext"/>
              <w:jc w:val="center"/>
            </w:pPr>
            <w:r w:rsidRPr="007A14E2">
              <w:t>0</w:t>
            </w:r>
          </w:p>
        </w:tc>
        <w:tc>
          <w:tcPr>
            <w:tcW w:w="779" w:type="dxa"/>
            <w:tcBorders>
              <w:top w:val="nil"/>
              <w:left w:val="single" w:sz="4" w:space="0" w:color="auto"/>
              <w:bottom w:val="nil"/>
              <w:right w:val="single" w:sz="4" w:space="0" w:color="auto"/>
            </w:tcBorders>
            <w:vAlign w:val="center"/>
          </w:tcPr>
          <w:p w14:paraId="0DB8A8FF" w14:textId="77777777" w:rsidR="00916B16" w:rsidRPr="007A14E2" w:rsidRDefault="00916B16" w:rsidP="00F15B65">
            <w:pPr>
              <w:pStyle w:val="Tabletext"/>
              <w:jc w:val="center"/>
            </w:pPr>
            <w:r w:rsidRPr="007A14E2">
              <w:t>1</w:t>
            </w:r>
          </w:p>
        </w:tc>
      </w:tr>
      <w:tr w:rsidR="00F15B65" w:rsidRPr="007A14E2" w14:paraId="60AF24F7" w14:textId="77777777" w:rsidTr="006A6704">
        <w:trPr>
          <w:trHeight w:val="37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B7B8949" w14:textId="77777777" w:rsidR="00916B16" w:rsidRPr="007A14E2" w:rsidRDefault="00916B16" w:rsidP="00B85F00">
            <w:pPr>
              <w:pStyle w:val="Tabletext"/>
            </w:pPr>
            <w:r w:rsidRPr="007A14E2">
              <w:t>Other developed countries (9)</w:t>
            </w:r>
          </w:p>
        </w:tc>
        <w:tc>
          <w:tcPr>
            <w:tcW w:w="877" w:type="dxa"/>
            <w:tcBorders>
              <w:top w:val="nil"/>
              <w:left w:val="nil"/>
              <w:bottom w:val="single" w:sz="4" w:space="0" w:color="auto"/>
              <w:right w:val="single" w:sz="4" w:space="0" w:color="auto"/>
            </w:tcBorders>
            <w:shd w:val="clear" w:color="auto" w:fill="auto"/>
            <w:noWrap/>
            <w:vAlign w:val="center"/>
          </w:tcPr>
          <w:p w14:paraId="4D4EA277" w14:textId="77777777" w:rsidR="00916B16" w:rsidRPr="007A14E2" w:rsidRDefault="00916B16" w:rsidP="00F15B65">
            <w:pPr>
              <w:pStyle w:val="Tabletext"/>
              <w:jc w:val="center"/>
            </w:pPr>
            <w:r w:rsidRPr="007A14E2">
              <w:t>4</w:t>
            </w:r>
          </w:p>
        </w:tc>
        <w:tc>
          <w:tcPr>
            <w:tcW w:w="836" w:type="dxa"/>
            <w:tcBorders>
              <w:top w:val="nil"/>
              <w:left w:val="single" w:sz="4" w:space="0" w:color="auto"/>
              <w:bottom w:val="single" w:sz="4" w:space="0" w:color="auto"/>
              <w:right w:val="single" w:sz="4" w:space="0" w:color="auto"/>
            </w:tcBorders>
            <w:shd w:val="clear" w:color="auto" w:fill="auto"/>
            <w:noWrap/>
            <w:vAlign w:val="center"/>
          </w:tcPr>
          <w:p w14:paraId="5CBB9B80" w14:textId="77777777" w:rsidR="00916B16" w:rsidRPr="007A14E2" w:rsidRDefault="00916B16" w:rsidP="00F15B65">
            <w:pPr>
              <w:pStyle w:val="Tabletext"/>
              <w:jc w:val="center"/>
            </w:pPr>
            <w:r w:rsidRPr="007A14E2">
              <w:t>2</w:t>
            </w:r>
          </w:p>
        </w:tc>
        <w:tc>
          <w:tcPr>
            <w:tcW w:w="1451" w:type="dxa"/>
            <w:tcBorders>
              <w:top w:val="nil"/>
              <w:left w:val="single" w:sz="4" w:space="0" w:color="auto"/>
              <w:bottom w:val="single" w:sz="4" w:space="0" w:color="auto"/>
              <w:right w:val="single" w:sz="4" w:space="0" w:color="auto"/>
            </w:tcBorders>
            <w:vAlign w:val="center"/>
          </w:tcPr>
          <w:p w14:paraId="24496966" w14:textId="77777777" w:rsidR="00916B16" w:rsidRPr="007A14E2" w:rsidRDefault="00916B16" w:rsidP="00F15B65">
            <w:pPr>
              <w:pStyle w:val="Tabletext"/>
              <w:jc w:val="center"/>
            </w:pPr>
            <w:r w:rsidRPr="007A14E2">
              <w:t>2</w:t>
            </w:r>
          </w:p>
        </w:tc>
        <w:tc>
          <w:tcPr>
            <w:tcW w:w="1514" w:type="dxa"/>
            <w:tcBorders>
              <w:top w:val="nil"/>
              <w:left w:val="single" w:sz="4" w:space="0" w:color="auto"/>
              <w:bottom w:val="single" w:sz="4" w:space="0" w:color="auto"/>
              <w:right w:val="single" w:sz="4" w:space="0" w:color="auto"/>
            </w:tcBorders>
            <w:shd w:val="clear" w:color="auto" w:fill="auto"/>
            <w:noWrap/>
            <w:vAlign w:val="center"/>
          </w:tcPr>
          <w:p w14:paraId="2F5D371C" w14:textId="77777777" w:rsidR="00916B16" w:rsidRPr="007A14E2" w:rsidRDefault="00916B16" w:rsidP="00F15B65">
            <w:pPr>
              <w:pStyle w:val="Tabletext"/>
              <w:jc w:val="center"/>
            </w:pPr>
            <w:r w:rsidRPr="007A14E2">
              <w:t>1</w:t>
            </w:r>
          </w:p>
        </w:tc>
        <w:tc>
          <w:tcPr>
            <w:tcW w:w="779" w:type="dxa"/>
            <w:tcBorders>
              <w:top w:val="nil"/>
              <w:left w:val="single" w:sz="4" w:space="0" w:color="auto"/>
              <w:bottom w:val="single" w:sz="4" w:space="0" w:color="auto"/>
              <w:right w:val="single" w:sz="4" w:space="0" w:color="auto"/>
            </w:tcBorders>
            <w:vAlign w:val="center"/>
          </w:tcPr>
          <w:p w14:paraId="26180AD6" w14:textId="77777777" w:rsidR="00916B16" w:rsidRPr="007A14E2" w:rsidRDefault="00916B16" w:rsidP="00F15B65">
            <w:pPr>
              <w:pStyle w:val="Tabletext"/>
              <w:jc w:val="center"/>
            </w:pPr>
            <w:r w:rsidRPr="007A14E2">
              <w:t>1</w:t>
            </w:r>
          </w:p>
        </w:tc>
        <w:tc>
          <w:tcPr>
            <w:tcW w:w="999" w:type="dxa"/>
            <w:tcBorders>
              <w:top w:val="nil"/>
              <w:left w:val="single" w:sz="4" w:space="0" w:color="auto"/>
              <w:bottom w:val="single" w:sz="4" w:space="0" w:color="auto"/>
              <w:right w:val="single" w:sz="4" w:space="0" w:color="auto"/>
            </w:tcBorders>
            <w:vAlign w:val="center"/>
          </w:tcPr>
          <w:p w14:paraId="0364692C" w14:textId="77777777" w:rsidR="00916B16" w:rsidRPr="007A14E2" w:rsidRDefault="00916B16" w:rsidP="00F15B65">
            <w:pPr>
              <w:pStyle w:val="Tabletext"/>
              <w:jc w:val="center"/>
            </w:pPr>
            <w:r w:rsidRPr="007A14E2">
              <w:t>4</w:t>
            </w:r>
          </w:p>
        </w:tc>
        <w:tc>
          <w:tcPr>
            <w:tcW w:w="1133" w:type="dxa"/>
            <w:tcBorders>
              <w:top w:val="nil"/>
              <w:left w:val="single" w:sz="4" w:space="0" w:color="auto"/>
              <w:bottom w:val="single" w:sz="4" w:space="0" w:color="auto"/>
              <w:right w:val="single" w:sz="4" w:space="0" w:color="auto"/>
            </w:tcBorders>
            <w:vAlign w:val="center"/>
          </w:tcPr>
          <w:p w14:paraId="3E235DA7" w14:textId="77777777" w:rsidR="00916B16" w:rsidRPr="007A14E2" w:rsidRDefault="00916B16" w:rsidP="00F15B65">
            <w:pPr>
              <w:pStyle w:val="Tabletext"/>
              <w:jc w:val="center"/>
            </w:pPr>
            <w:r w:rsidRPr="007A14E2">
              <w:t>1</w:t>
            </w:r>
          </w:p>
        </w:tc>
        <w:tc>
          <w:tcPr>
            <w:tcW w:w="779" w:type="dxa"/>
            <w:tcBorders>
              <w:top w:val="nil"/>
              <w:left w:val="single" w:sz="4" w:space="0" w:color="auto"/>
              <w:bottom w:val="single" w:sz="4" w:space="0" w:color="auto"/>
              <w:right w:val="single" w:sz="4" w:space="0" w:color="auto"/>
            </w:tcBorders>
            <w:vAlign w:val="center"/>
          </w:tcPr>
          <w:p w14:paraId="6DCCB0FF" w14:textId="77777777" w:rsidR="00916B16" w:rsidRPr="007A14E2" w:rsidRDefault="00916B16" w:rsidP="00F15B65">
            <w:pPr>
              <w:pStyle w:val="Tabletext"/>
              <w:jc w:val="center"/>
            </w:pPr>
            <w:r w:rsidRPr="007A14E2">
              <w:t>3</w:t>
            </w:r>
          </w:p>
        </w:tc>
      </w:tr>
      <w:tr w:rsidR="00F15B65" w:rsidRPr="007A14E2" w14:paraId="7DF48397" w14:textId="77777777" w:rsidTr="006A6704">
        <w:trPr>
          <w:trHeight w:val="375"/>
          <w:jc w:val="center"/>
        </w:trPr>
        <w:tc>
          <w:tcPr>
            <w:tcW w:w="978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DD143BB" w14:textId="4E2E6DC6" w:rsidR="00F15B65" w:rsidRPr="007A14E2" w:rsidRDefault="00F15B65" w:rsidP="00F15B65">
            <w:pPr>
              <w:pStyle w:val="Tablelegend"/>
            </w:pPr>
            <w:r w:rsidRPr="007A14E2">
              <w:t>Notes:</w:t>
            </w:r>
          </w:p>
          <w:p w14:paraId="6020460E" w14:textId="3D4BD00D" w:rsidR="00F15B65" w:rsidRPr="007A14E2" w:rsidRDefault="00F15B65" w:rsidP="00F15B65">
            <w:pPr>
              <w:pStyle w:val="Tablelegend"/>
            </w:pPr>
            <w:r w:rsidRPr="007A14E2">
              <w:t>1</w:t>
            </w:r>
            <w:r w:rsidRPr="007A14E2">
              <w:tab/>
              <w:t>Source: World Bank Group, Global Payment Systems Survey 2012 (adaptation of Table IX.3).</w:t>
            </w:r>
          </w:p>
          <w:p w14:paraId="512C814B" w14:textId="69C9FE87" w:rsidR="00F15B65" w:rsidRPr="007A14E2" w:rsidRDefault="00F15B65" w:rsidP="000568D2">
            <w:pPr>
              <w:pStyle w:val="Tablelegend"/>
              <w:ind w:left="284" w:hanging="284"/>
            </w:pPr>
            <w:r w:rsidRPr="007A14E2">
              <w:t>2</w:t>
            </w:r>
            <w:r w:rsidRPr="007A14E2">
              <w:tab/>
              <w:t xml:space="preserve">The "Total worldwide" figure of 96 represents the number of central banks that answered this section of the GPSS 2012. Some central banks represent more than one country (e.g. BCEAO, ECB, </w:t>
            </w:r>
            <w:proofErr w:type="gramStart"/>
            <w:r w:rsidRPr="007A14E2">
              <w:t>ECCB</w:t>
            </w:r>
            <w:proofErr w:type="gramEnd"/>
            <w:r w:rsidRPr="007A14E2">
              <w:t>).</w:t>
            </w:r>
          </w:p>
          <w:p w14:paraId="3368FDE7" w14:textId="13A226BF" w:rsidR="00F15B65" w:rsidRPr="007A14E2" w:rsidRDefault="00F15B65" w:rsidP="00F15B65">
            <w:pPr>
              <w:pStyle w:val="Tablelegend"/>
            </w:pPr>
            <w:r w:rsidRPr="007A14E2">
              <w:t>3</w:t>
            </w:r>
            <w:r w:rsidRPr="007A14E2">
              <w:tab/>
              <w:t>Numbers in the table represent the number of central banks that answered positively each question.</w:t>
            </w:r>
          </w:p>
          <w:p w14:paraId="1EDC2141" w14:textId="18D10C65" w:rsidR="00F15B65" w:rsidRPr="007A14E2" w:rsidRDefault="00F15B65" w:rsidP="00F15B65">
            <w:pPr>
              <w:pStyle w:val="Tablelegend"/>
            </w:pPr>
            <w:r w:rsidRPr="007A14E2">
              <w:t>4</w:t>
            </w:r>
            <w:r w:rsidRPr="007A14E2">
              <w:tab/>
              <w:t>"Other developed countries" refers to developed countries outside the European Union.</w:t>
            </w:r>
          </w:p>
        </w:tc>
      </w:tr>
    </w:tbl>
    <w:p w14:paraId="54B8A38D" w14:textId="1E667857" w:rsidR="00916B16" w:rsidRPr="007A14E2" w:rsidRDefault="00916B16" w:rsidP="006A6704">
      <w:r w:rsidRPr="007A14E2">
        <w:t xml:space="preserve">With regard to direct access of non-banks to ACHs, the numbers are not very different from those discussed in the previous </w:t>
      </w:r>
      <w:proofErr w:type="spellStart"/>
      <w:r w:rsidRPr="007A14E2">
        <w:t>sub</w:t>
      </w:r>
      <w:r w:rsidR="00277CD9" w:rsidRPr="007A14E2">
        <w:t>clause</w:t>
      </w:r>
      <w:proofErr w:type="spellEnd"/>
      <w:r w:rsidR="009F4B19" w:rsidRPr="007A14E2">
        <w:t xml:space="preserve"> on access to RTGS systems.</w:t>
      </w:r>
    </w:p>
    <w:p w14:paraId="4A6739C7" w14:textId="77777777" w:rsidR="00916B16" w:rsidRPr="007A14E2" w:rsidRDefault="00916B16" w:rsidP="00916B16">
      <w:r w:rsidRPr="007A14E2">
        <w:t>Credit unions, supervised cooperatives and postal networks are the non-bank types with better direct access to ACHs. However, in none of these cases the share of countries where these entities enjoy direct access to ACHs exceeds 20%. Exchange bureaus and, unsurprisingly, unsupervised cooperatives show lower access figures than other non-banks.</w:t>
      </w:r>
    </w:p>
    <w:p w14:paraId="75207429" w14:textId="61132EFF" w:rsidR="00916B16" w:rsidRPr="007A14E2" w:rsidRDefault="00916B16" w:rsidP="00916B16">
      <w:r w:rsidRPr="007A14E2">
        <w:t>Direct access to ACHs is more common in Latin America and the Caribbean region, Euro area</w:t>
      </w:r>
      <w:r w:rsidR="009E1B5A" w:rsidRPr="007A14E2">
        <w:noBreakHyphen/>
      </w:r>
      <w:r w:rsidRPr="007A14E2">
        <w:t>countries and developed countries outside the EU. Direct access of credit unions is stronger i</w:t>
      </w:r>
      <w:r w:rsidR="009F4B19" w:rsidRPr="007A14E2">
        <w:t>n these regions than in others.</w:t>
      </w:r>
    </w:p>
    <w:p w14:paraId="7915462C" w14:textId="4434ABC9" w:rsidR="00916B16" w:rsidRPr="007A14E2" w:rsidRDefault="00916B16" w:rsidP="00916B16">
      <w:r w:rsidRPr="007A14E2">
        <w:t>Direct access of postal networks is especially strong in developed countries outside the EU (44% of the cases). Interestingly, the Middle East and North Africa region postal networks are the only non-banks with direct access to ACHs, in 2 out of 6 countries (33% of the cases) that responded the GPSS</w:t>
      </w:r>
      <w:r w:rsidR="009E1B5A" w:rsidRPr="007A14E2">
        <w:t> </w:t>
      </w:r>
      <w:r w:rsidRPr="007A14E2">
        <w:t>2012.</w:t>
      </w:r>
    </w:p>
    <w:p w14:paraId="4031FACC" w14:textId="1C64F254" w:rsidR="00916B16" w:rsidRPr="007A14E2" w:rsidRDefault="00F15B65" w:rsidP="00916B16">
      <w:pPr>
        <w:pStyle w:val="Heading1"/>
      </w:pPr>
      <w:bookmarkStart w:id="77" w:name="_Toc8395004"/>
      <w:bookmarkStart w:id="78" w:name="_Toc17730776"/>
      <w:r w:rsidRPr="007A14E2">
        <w:t>11</w:t>
      </w:r>
      <w:r w:rsidRPr="007A14E2">
        <w:tab/>
      </w:r>
      <w:r w:rsidR="00916B16" w:rsidRPr="007A14E2">
        <w:t>Insights and conclusions</w:t>
      </w:r>
      <w:bookmarkEnd w:id="77"/>
      <w:bookmarkEnd w:id="78"/>
    </w:p>
    <w:p w14:paraId="586F44D7" w14:textId="1822796C" w:rsidR="00916B16" w:rsidRPr="007A14E2" w:rsidRDefault="00F15B65" w:rsidP="000568D2">
      <w:pPr>
        <w:pStyle w:val="Headingb"/>
      </w:pPr>
      <w:bookmarkStart w:id="79" w:name="_Toc8395005"/>
      <w:bookmarkStart w:id="80" w:name="_Toc17730777"/>
      <w:r w:rsidRPr="007A14E2">
        <w:t>a)</w:t>
      </w:r>
      <w:r w:rsidRPr="007A14E2">
        <w:tab/>
      </w:r>
      <w:r w:rsidR="00916B16" w:rsidRPr="007A14E2">
        <w:t>Implications for operators, banks and non-banks</w:t>
      </w:r>
      <w:bookmarkEnd w:id="79"/>
      <w:bookmarkEnd w:id="80"/>
    </w:p>
    <w:p w14:paraId="3FB0D90D" w14:textId="77777777" w:rsidR="00916B16" w:rsidRPr="007A14E2" w:rsidRDefault="00916B16" w:rsidP="00916B16">
      <w:r w:rsidRPr="007A14E2">
        <w:t xml:space="preserve">Being able to make use of key payment infrastructures at a reasonable cost and with appropriate service levels is an important element underlying a competitive payments market. In addition, by </w:t>
      </w:r>
      <w:r w:rsidRPr="007A14E2">
        <w:lastRenderedPageBreak/>
        <w:t>further enabling interoperability of PSPs, fair and open access to payment infrastructures promotes efficient</w:t>
      </w:r>
      <w:r w:rsidR="009F4B19" w:rsidRPr="007A14E2">
        <w:t xml:space="preserve"> and low-cost payment services.</w:t>
      </w:r>
    </w:p>
    <w:p w14:paraId="7E83A59B" w14:textId="30B3C61D" w:rsidR="00916B16" w:rsidRPr="007A14E2" w:rsidRDefault="00916B16" w:rsidP="00916B16">
      <w:r w:rsidRPr="007A14E2">
        <w:t xml:space="preserve">As mentioned in </w:t>
      </w:r>
      <w:r w:rsidR="00D1175E" w:rsidRPr="007A14E2">
        <w:t>clause 8, Part a</w:t>
      </w:r>
      <w:r w:rsidR="008136AF" w:rsidRPr="007A14E2">
        <w:t>)</w:t>
      </w:r>
      <w:r w:rsidR="00D1175E" w:rsidRPr="007A14E2">
        <w:t>,</w:t>
      </w:r>
      <w:r w:rsidRPr="007A14E2">
        <w:t xml:space="preserve"> both direct access and indirect access mechanisms to payment infrastructures could, </w:t>
      </w:r>
      <w:r w:rsidRPr="007A14E2">
        <w:rPr>
          <w:i/>
        </w:rPr>
        <w:t>in principle</w:t>
      </w:r>
      <w:r w:rsidRPr="007A14E2">
        <w:t>, be capable of providing PSPs with suitable payment services. However, in certain cases indirect access may not be as effective for many customer PSPs. This could occur because customer PSPs are often direct competitors of the PSP(s) that provides them access to the payments infrastructure (i.e</w:t>
      </w:r>
      <w:r w:rsidR="009F4B19" w:rsidRPr="007A14E2">
        <w:t>. the PSP acting as principal).</w:t>
      </w:r>
    </w:p>
    <w:p w14:paraId="1B751C01" w14:textId="77777777" w:rsidR="00916B16" w:rsidRPr="007A14E2" w:rsidRDefault="00916B16" w:rsidP="00916B16">
      <w:r w:rsidRPr="007A14E2">
        <w:t xml:space="preserve">For example, charges applied by the latter PSP may be significantly higher than the ones it itself faces as a direct participant of the relevant payments infrastructure, even after due consideration of the amortization of the investments needed to gain such direct access. Naturally, this would place customer PSPs at a disadvantage if they </w:t>
      </w:r>
      <w:proofErr w:type="gramStart"/>
      <w:r w:rsidRPr="007A14E2">
        <w:t>are</w:t>
      </w:r>
      <w:proofErr w:type="gramEnd"/>
      <w:r w:rsidRPr="007A14E2">
        <w:t xml:space="preserve"> serving the same mark</w:t>
      </w:r>
      <w:r w:rsidR="009F4B19" w:rsidRPr="007A14E2">
        <w:t>et segment as their principals.</w:t>
      </w:r>
    </w:p>
    <w:p w14:paraId="76C00D07" w14:textId="77777777" w:rsidR="00916B16" w:rsidRPr="007A14E2" w:rsidRDefault="00916B16" w:rsidP="00916B16">
      <w:r w:rsidRPr="007A14E2">
        <w:t xml:space="preserve">In other cases, the principal may set disproportionate criteria for opening accounts and providing payment services to customer PSPs – or may even decide not to provide such services at all. This </w:t>
      </w:r>
      <w:proofErr w:type="gramStart"/>
      <w:r w:rsidRPr="007A14E2">
        <w:t>is currently being observed</w:t>
      </w:r>
      <w:proofErr w:type="gramEnd"/>
      <w:r w:rsidRPr="007A14E2">
        <w:t xml:space="preserve"> in several markets worldwide.</w:t>
      </w:r>
      <w:r w:rsidRPr="007A14E2">
        <w:rPr>
          <w:rStyle w:val="FootnoteReference"/>
          <w:rFonts w:cs="Arial"/>
          <w:szCs w:val="24"/>
        </w:rPr>
        <w:footnoteReference w:id="18"/>
      </w:r>
    </w:p>
    <w:p w14:paraId="40C0CE5D" w14:textId="77777777" w:rsidR="00916B16" w:rsidRPr="007A14E2" w:rsidRDefault="00916B16" w:rsidP="00916B16">
      <w:r w:rsidRPr="007A14E2">
        <w:t xml:space="preserve">On the other hand, it </w:t>
      </w:r>
      <w:proofErr w:type="gramStart"/>
      <w:r w:rsidRPr="007A14E2">
        <w:t>must be recognized</w:t>
      </w:r>
      <w:proofErr w:type="gramEnd"/>
      <w:r w:rsidRPr="007A14E2">
        <w:t xml:space="preserve"> that for a (probably large) share of non-bank PSPs, gaining direct access to a payments infrastructure may not be cost effective. </w:t>
      </w:r>
      <w:proofErr w:type="gramStart"/>
      <w:r w:rsidRPr="007A14E2">
        <w:t>This could be the case for many smaller and newer non-bank PSPs that process a relatively small volume of transactions.</w:t>
      </w:r>
      <w:proofErr w:type="gramEnd"/>
      <w:r w:rsidRPr="007A14E2">
        <w:t xml:space="preserve"> For them, the costs of joining a payments infrastructure as direct participants (e.g. initial and monthly membership fees, internal IT and other investments to meet the essential system access criteria, etc.) could be greater than if they were operating as customer PSPs through another direct participant PSP.</w:t>
      </w:r>
    </w:p>
    <w:p w14:paraId="3FB99356" w14:textId="7FC87A0E" w:rsidR="00916B16" w:rsidRPr="007A14E2" w:rsidRDefault="00916B16" w:rsidP="00916B16">
      <w:r w:rsidRPr="007A14E2">
        <w:t xml:space="preserve">Best practice for payment system operators would therefore be adhering strictly to the spirit of international standards and other relevant international guidance. As per the discussion in </w:t>
      </w:r>
      <w:r w:rsidR="00277CD9" w:rsidRPr="007A14E2">
        <w:t xml:space="preserve">clause 9, Part </w:t>
      </w:r>
      <w:r w:rsidRPr="007A14E2">
        <w:t>b</w:t>
      </w:r>
      <w:r w:rsidR="00277CD9" w:rsidRPr="007A14E2">
        <w:t>)</w:t>
      </w:r>
      <w:r w:rsidRPr="007A14E2">
        <w:t>, this would entail establishing risk-based and objective access criteria and ensuring that any PSP that wishes to gain direct access and meets such criteria is able to join the system as a direct participant. Operators must nevertheless also ensure that the risk-based criteria they set also consider the potential risks that a participant may bring into the payments infrastructure through its direct participation, and that such criteria are cl</w:t>
      </w:r>
      <w:r w:rsidR="009F4B19" w:rsidRPr="007A14E2">
        <w:t>ear and are publicly available.</w:t>
      </w:r>
    </w:p>
    <w:p w14:paraId="4D562401" w14:textId="5AEB8007" w:rsidR="00916B16" w:rsidRPr="007A14E2" w:rsidRDefault="005D565A" w:rsidP="00916B16">
      <w:r w:rsidRPr="007A14E2">
        <w:t>Finally</w:t>
      </w:r>
      <w:r w:rsidR="00916B16" w:rsidRPr="007A14E2">
        <w:t xml:space="preserve">, in a related though at the same time different matter, in some markets it </w:t>
      </w:r>
      <w:proofErr w:type="gramStart"/>
      <w:r w:rsidR="00916B16" w:rsidRPr="007A14E2">
        <w:t>has been observed</w:t>
      </w:r>
      <w:proofErr w:type="gramEnd"/>
      <w:r w:rsidR="00916B16" w:rsidRPr="007A14E2">
        <w:t xml:space="preserve"> that certain MNOs that are also involved in the payments business as PSPs for mobile payments have restricted access to the mobile telecommunication network that they themselves operate to other PSPs. Although different from restricting access to clearing and settlement infrastructures, restricting access to the mobile telecommunication network is likely to have similar overall effects in terms of limiting interoperability and competition i</w:t>
      </w:r>
      <w:r w:rsidR="009F4B19" w:rsidRPr="007A14E2">
        <w:t>n the market place</w:t>
      </w:r>
    </w:p>
    <w:p w14:paraId="7CB02B6D" w14:textId="7F1505AB" w:rsidR="00916B16" w:rsidRPr="007A14E2" w:rsidRDefault="00F15B65" w:rsidP="000568D2">
      <w:pPr>
        <w:pStyle w:val="Headingb"/>
      </w:pPr>
      <w:bookmarkStart w:id="81" w:name="_Toc8395006"/>
      <w:bookmarkStart w:id="82" w:name="_Toc17730778"/>
      <w:r w:rsidRPr="007A14E2">
        <w:t>b)</w:t>
      </w:r>
      <w:r w:rsidRPr="007A14E2">
        <w:tab/>
      </w:r>
      <w:r w:rsidR="00916B16" w:rsidRPr="007A14E2">
        <w:t>Implications for central banks and other authorities</w:t>
      </w:r>
      <w:bookmarkEnd w:id="81"/>
      <w:bookmarkEnd w:id="82"/>
    </w:p>
    <w:p w14:paraId="0D7EF87A" w14:textId="77777777" w:rsidR="00916B16" w:rsidRPr="007A14E2" w:rsidRDefault="00916B16" w:rsidP="00916B16">
      <w:r w:rsidRPr="007A14E2">
        <w:t>Several institutions around the world have called upon payment system regulators, in particular the central bank in its role as payment system overseer, to ensure that all PSPs are able to gain fair access to payment services.</w:t>
      </w:r>
    </w:p>
    <w:p w14:paraId="5B0F07CE" w14:textId="2ED6AD1B" w:rsidR="00916B16" w:rsidRPr="007A14E2" w:rsidRDefault="005D565A" w:rsidP="00916B16">
      <w:r w:rsidRPr="007A14E2">
        <w:t>Regarding</w:t>
      </w:r>
      <w:r w:rsidR="00916B16" w:rsidRPr="007A14E2">
        <w:t xml:space="preserve"> direct participation, as already mentioned</w:t>
      </w:r>
      <w:r w:rsidRPr="007A14E2">
        <w:t>,</w:t>
      </w:r>
      <w:r w:rsidR="00916B16" w:rsidRPr="007A14E2">
        <w:t xml:space="preserve"> international standards require central banks to ensure that a payment system</w:t>
      </w:r>
      <w:r w:rsidR="00AC4FEC" w:rsidRPr="007A14E2">
        <w:t>'</w:t>
      </w:r>
      <w:r w:rsidR="00916B16" w:rsidRPr="007A14E2">
        <w:t>s participation requirements allow for fair and open access. This applies both to infrastructures operated by the central bank as well as to those operated by other parties.</w:t>
      </w:r>
    </w:p>
    <w:p w14:paraId="6AAB5F79" w14:textId="77777777" w:rsidR="00916B16" w:rsidRPr="007A14E2" w:rsidRDefault="00916B16" w:rsidP="00916B16">
      <w:r w:rsidRPr="007A14E2">
        <w:t xml:space="preserve">However, emphasis </w:t>
      </w:r>
      <w:proofErr w:type="gramStart"/>
      <w:r w:rsidRPr="007A14E2">
        <w:t>has also been placed</w:t>
      </w:r>
      <w:proofErr w:type="gramEnd"/>
      <w:r w:rsidRPr="007A14E2">
        <w:t xml:space="preserve"> on ensuring effective access to payment </w:t>
      </w:r>
      <w:r w:rsidRPr="007A14E2">
        <w:rPr>
          <w:i/>
        </w:rPr>
        <w:t>services</w:t>
      </w:r>
      <w:r w:rsidRPr="007A14E2">
        <w:t xml:space="preserve"> for PSPs for which direct access is not a possibility based on overall cost-benefit considerations.</w:t>
      </w:r>
    </w:p>
    <w:p w14:paraId="4B7A858A" w14:textId="3D847C5B" w:rsidR="00916B16" w:rsidRPr="007A14E2" w:rsidRDefault="00916B16" w:rsidP="00916B16">
      <w:r w:rsidRPr="007A14E2">
        <w:lastRenderedPageBreak/>
        <w:t xml:space="preserve">In this last regard, for example, the CPMI-World Bank </w:t>
      </w:r>
      <w:r w:rsidR="008548F2" w:rsidRPr="007A14E2">
        <w:t>"</w:t>
      </w:r>
      <w:r w:rsidRPr="007A14E2">
        <w:t>General Principles for International Remittance Services</w:t>
      </w:r>
      <w:r w:rsidR="008548F2" w:rsidRPr="007A14E2">
        <w:t>"</w:t>
      </w:r>
      <w:r w:rsidRPr="007A14E2">
        <w:t xml:space="preserve"> state, as part of the possible actions to implement the principles, in particular General Principle 4, that</w:t>
      </w:r>
      <w:r w:rsidR="005D565A" w:rsidRPr="007A14E2">
        <w:t xml:space="preserve"> reads</w:t>
      </w:r>
      <w:r w:rsidRPr="007A14E2">
        <w:t>:</w:t>
      </w:r>
    </w:p>
    <w:p w14:paraId="3661DE25" w14:textId="37FEC85A" w:rsidR="00916B16" w:rsidRPr="007A14E2" w:rsidRDefault="008548F2" w:rsidP="00916B16">
      <w:r w:rsidRPr="007A14E2">
        <w:t>"</w:t>
      </w:r>
      <w:r w:rsidR="00916B16" w:rsidRPr="007A14E2">
        <w:rPr>
          <w:i/>
        </w:rPr>
        <w:t>The relevant authorities may want to check that RSPs without direct access to core payment systems can obtain fair indirect access. Institutions with direct access should be encouraged to provide relevant payment services, including foreign exchange services, on an equitable basis to RSPs.</w:t>
      </w:r>
      <w:r w:rsidRPr="007A14E2">
        <w:t>"</w:t>
      </w:r>
      <w:r w:rsidR="00916B16" w:rsidRPr="007A14E2">
        <w:rPr>
          <w:vertAlign w:val="superscript"/>
        </w:rPr>
        <w:t xml:space="preserve"> </w:t>
      </w:r>
      <w:r w:rsidR="00916B16" w:rsidRPr="007A14E2">
        <w:rPr>
          <w:rStyle w:val="FootnoteReference"/>
          <w:rFonts w:cs="Arial"/>
          <w:szCs w:val="24"/>
        </w:rPr>
        <w:footnoteReference w:id="19"/>
      </w:r>
    </w:p>
    <w:p w14:paraId="6393F134" w14:textId="77777777" w:rsidR="00916B16" w:rsidRPr="007A14E2" w:rsidRDefault="00916B16" w:rsidP="00916B16">
      <w:r w:rsidRPr="007A14E2">
        <w:t xml:space="preserve">Other entities have specifically stressed the risk that certain requirements, like those associated </w:t>
      </w:r>
      <w:r w:rsidR="005644F4" w:rsidRPr="007A14E2">
        <w:t>with</w:t>
      </w:r>
      <w:r w:rsidRPr="007A14E2">
        <w:t xml:space="preserve"> AML/CFT, be used inappropriately by PSPs acting as principals (i.e. they have direct access to payment infrastructures) to discriminate against other PSPs when prov</w:t>
      </w:r>
      <w:r w:rsidR="009F4B19" w:rsidRPr="007A14E2">
        <w:t>iding payment services to them.</w:t>
      </w:r>
    </w:p>
    <w:p w14:paraId="3D9947D5" w14:textId="77777777" w:rsidR="00916B16" w:rsidRPr="007A14E2" w:rsidRDefault="00916B16">
      <w:pPr>
        <w:spacing w:before="0"/>
        <w:rPr>
          <w:lang w:eastAsia="ja-JP"/>
        </w:rPr>
      </w:pPr>
      <w:r w:rsidRPr="007A14E2">
        <w:rPr>
          <w:lang w:eastAsia="ja-JP"/>
        </w:rPr>
        <w:br w:type="page"/>
      </w:r>
    </w:p>
    <w:p w14:paraId="3C659E74" w14:textId="77777777" w:rsidR="00916B16" w:rsidRPr="007A14E2" w:rsidRDefault="00916B16" w:rsidP="00BC69C7">
      <w:pPr>
        <w:pStyle w:val="AnnexNoTitle"/>
      </w:pPr>
      <w:bookmarkStart w:id="83" w:name="_Toc8395007"/>
      <w:bookmarkStart w:id="84" w:name="_Toc17730779"/>
      <w:r w:rsidRPr="007A14E2">
        <w:lastRenderedPageBreak/>
        <w:t xml:space="preserve">Annex I </w:t>
      </w:r>
      <w:r w:rsidRPr="007A14E2">
        <w:br/>
      </w:r>
      <w:r w:rsidRPr="007A14E2">
        <w:br/>
        <w:t>Case studies</w:t>
      </w:r>
      <w:bookmarkEnd w:id="83"/>
      <w:bookmarkEnd w:id="84"/>
    </w:p>
    <w:p w14:paraId="217CAD72" w14:textId="77777777" w:rsidR="00916B16" w:rsidRPr="007A14E2" w:rsidRDefault="00916B16" w:rsidP="00BC69C7">
      <w:pPr>
        <w:pStyle w:val="Headingb"/>
      </w:pPr>
      <w:r w:rsidRPr="007A14E2">
        <w:t>Egypt</w:t>
      </w:r>
    </w:p>
    <w:p w14:paraId="4716B812" w14:textId="77777777" w:rsidR="00916B16" w:rsidRPr="007A14E2" w:rsidRDefault="00916B16" w:rsidP="00BE2F82">
      <w:r w:rsidRPr="007A14E2">
        <w:t xml:space="preserve">The introduction of the Automated Clearing House (ACH-EG) in 2010 enabled interoperability across banks by allowing the exchange and clearing of transactions among participating financial institutions. Mobile payments entered the ecosystem in 2013. It </w:t>
      </w:r>
      <w:proofErr w:type="gramStart"/>
      <w:r w:rsidRPr="007A14E2">
        <w:t>is expected</w:t>
      </w:r>
      <w:proofErr w:type="gramEnd"/>
      <w:r w:rsidRPr="007A14E2">
        <w:t xml:space="preserve"> that mobile payment interoperability will also be achieved by layering it on the ACH-EG via a mobile payments gateway solution, i.e. a mobile payments switch.</w:t>
      </w:r>
    </w:p>
    <w:p w14:paraId="4DA05338" w14:textId="7A3D94BE" w:rsidR="00916B16" w:rsidRPr="007A14E2" w:rsidRDefault="00916B16" w:rsidP="00BE2F82">
      <w:r w:rsidRPr="007A14E2">
        <w:t xml:space="preserve">As of now, only one MNO e-wallet service is equipped with a function that allows funds transfers to other e-wallets. This is due to close integration of the MNO that operates this e-wallet service with the banking infrastructure (due to mobile money regulations in Egypt, MNOs are required to contract with a bank). Once the mobile payments switch in ACH-EG </w:t>
      </w:r>
      <w:proofErr w:type="gramStart"/>
      <w:r w:rsidRPr="007A14E2">
        <w:t>is released</w:t>
      </w:r>
      <w:proofErr w:type="gramEnd"/>
      <w:r w:rsidRPr="007A14E2">
        <w:t xml:space="preserve"> for production, which </w:t>
      </w:r>
      <w:r w:rsidR="005D565A" w:rsidRPr="007A14E2">
        <w:t>was</w:t>
      </w:r>
      <w:r w:rsidRPr="007A14E2">
        <w:t xml:space="preserve"> expected for late 2016, mobile payments would flow seamlessly between e-wallets of different issuers, and between </w:t>
      </w:r>
      <w:r w:rsidR="009F4B19" w:rsidRPr="007A14E2">
        <w:t>e-wallets and any bank account.</w:t>
      </w:r>
    </w:p>
    <w:p w14:paraId="1AA56C87" w14:textId="77777777" w:rsidR="00916B16" w:rsidRPr="007A14E2" w:rsidRDefault="00916B16" w:rsidP="00BE2F82">
      <w:r w:rsidRPr="007A14E2">
        <w:t xml:space="preserve">Among other responsibilities, ACH EG will be responsible for clearing, and settlement </w:t>
      </w:r>
      <w:proofErr w:type="gramStart"/>
      <w:r w:rsidRPr="007A14E2">
        <w:t>will be done</w:t>
      </w:r>
      <w:proofErr w:type="gramEnd"/>
      <w:r w:rsidRPr="007A14E2">
        <w:t xml:space="preserve"> at the RTGS system operated by the Central Bank of Egypt. As only banks </w:t>
      </w:r>
      <w:proofErr w:type="gramStart"/>
      <w:r w:rsidRPr="007A14E2">
        <w:t>are allowed</w:t>
      </w:r>
      <w:proofErr w:type="gramEnd"/>
      <w:r w:rsidRPr="007A14E2">
        <w:t xml:space="preserve"> as direct participants in this RTGS system, non-banks participating in the switch will have to be sponsored into settlement, most likely through the same bank that they will have contracted for providing the e-wallet service.</w:t>
      </w:r>
    </w:p>
    <w:p w14:paraId="57414112" w14:textId="77777777" w:rsidR="00916B16" w:rsidRPr="007A14E2" w:rsidRDefault="00916B16" w:rsidP="00BC69C7">
      <w:pPr>
        <w:pStyle w:val="Headingb"/>
      </w:pPr>
      <w:r w:rsidRPr="007A14E2">
        <w:t>Jordan</w:t>
      </w:r>
    </w:p>
    <w:p w14:paraId="7D6A3B0F" w14:textId="77777777" w:rsidR="00916B16" w:rsidRPr="007A14E2" w:rsidRDefault="00916B16" w:rsidP="00BE2F82">
      <w:r w:rsidRPr="007A14E2">
        <w:t>The National Mobile Payment Switch (</w:t>
      </w:r>
      <w:proofErr w:type="spellStart"/>
      <w:r w:rsidRPr="007A14E2">
        <w:t>JoMoPay</w:t>
      </w:r>
      <w:proofErr w:type="spellEnd"/>
      <w:r w:rsidRPr="007A14E2">
        <w:t>) was developed and built following an initiative of the Central Bank of Jordan (CBJ) for the purposes of exchanging "on us" and "off us" payments among PSPs, including banks a</w:t>
      </w:r>
      <w:r w:rsidR="009F4B19" w:rsidRPr="007A14E2">
        <w:t>nd MNOs that operate e-wallets.</w:t>
      </w:r>
    </w:p>
    <w:p w14:paraId="6F68A163" w14:textId="00FD2278" w:rsidR="00916B16" w:rsidRPr="007A14E2" w:rsidRDefault="00916B16" w:rsidP="00BE2F82">
      <w:r w:rsidRPr="007A14E2">
        <w:t>MNOs need to open account at a commercial bank in order to be able to settle transactions in the country</w:t>
      </w:r>
      <w:r w:rsidR="00AC4FEC" w:rsidRPr="007A14E2">
        <w:t>'</w:t>
      </w:r>
      <w:r w:rsidRPr="007A14E2">
        <w:t xml:space="preserve">s RTGS system (the </w:t>
      </w:r>
      <w:r w:rsidR="008548F2" w:rsidRPr="007A14E2">
        <w:t>"</w:t>
      </w:r>
      <w:r w:rsidRPr="007A14E2">
        <w:t>RTGS-JO</w:t>
      </w:r>
      <w:r w:rsidR="008548F2" w:rsidRPr="007A14E2">
        <w:t>"</w:t>
      </w:r>
      <w:r w:rsidRPr="007A14E2">
        <w:t xml:space="preserve">, operated by the CBJ). In other words, MNOs are direct participants in </w:t>
      </w:r>
      <w:proofErr w:type="spellStart"/>
      <w:r w:rsidRPr="007A14E2">
        <w:t>JoMoPay</w:t>
      </w:r>
      <w:proofErr w:type="spellEnd"/>
      <w:r w:rsidRPr="007A14E2">
        <w:t xml:space="preserve"> which allows them to exchange payment transactions directly, but need to be sponsored into settlement in the RTGS-JO by a direct participant of the latter (i.e. a commercial bank).</w:t>
      </w:r>
    </w:p>
    <w:p w14:paraId="1C044562" w14:textId="77777777" w:rsidR="00916B16" w:rsidRPr="007A14E2" w:rsidRDefault="00916B16" w:rsidP="00BE2F82">
      <w:r w:rsidRPr="007A14E2">
        <w:t xml:space="preserve">In parallel, the CBJ issued the Mobile Payment Instructions and Operational Framework that set the technical, financial and other requirements for MNOs to connect to </w:t>
      </w:r>
      <w:proofErr w:type="spellStart"/>
      <w:r w:rsidRPr="007A14E2">
        <w:t>JoMoPay</w:t>
      </w:r>
      <w:proofErr w:type="spellEnd"/>
      <w:r w:rsidRPr="007A14E2">
        <w:t xml:space="preserve">, which is compulsory in order to ensure all levels of interoperability among all PSPs and PSOs involved in mobile payments throughout the Kingdom. For example, in terms of the technical requirements, MNOs cannot connect to </w:t>
      </w:r>
      <w:proofErr w:type="spellStart"/>
      <w:r w:rsidRPr="007A14E2">
        <w:t>JoMoPay</w:t>
      </w:r>
      <w:proofErr w:type="spellEnd"/>
      <w:r w:rsidRPr="007A14E2">
        <w:t xml:space="preserve"> unless they have the certification and approval from CBJ. As for financial requirements, a minimum capital of JOD 1.5 Million </w:t>
      </w:r>
      <w:proofErr w:type="gramStart"/>
      <w:r w:rsidRPr="007A14E2">
        <w:t>has been established</w:t>
      </w:r>
      <w:proofErr w:type="gramEnd"/>
      <w:r w:rsidRPr="007A14E2">
        <w:t>. The Mobile Payment Instructions and Operational Framework also empowers the CBJ to oversee MNOs with regard to their role as P</w:t>
      </w:r>
      <w:r w:rsidR="009F4B19" w:rsidRPr="007A14E2">
        <w:t>SPs.</w:t>
      </w:r>
    </w:p>
    <w:p w14:paraId="6AE68229" w14:textId="77777777" w:rsidR="00916B16" w:rsidRPr="007A14E2" w:rsidRDefault="00916B16" w:rsidP="00BE2F82">
      <w:r w:rsidRPr="007A14E2">
        <w:t xml:space="preserve">The CBJ has made available access to </w:t>
      </w:r>
      <w:proofErr w:type="spellStart"/>
      <w:r w:rsidRPr="007A14E2">
        <w:t>JoMoPay</w:t>
      </w:r>
      <w:proofErr w:type="spellEnd"/>
      <w:r w:rsidRPr="007A14E2">
        <w:t xml:space="preserve"> without collecting the testing fees and annual infrastructure fees from PSPs for the first two years in order to facilitate that mobile payments customers receive the lowest price possible and increase financial inclusion levels in the country.</w:t>
      </w:r>
    </w:p>
    <w:p w14:paraId="281C5CA0" w14:textId="77777777" w:rsidR="00916B16" w:rsidRPr="007A14E2" w:rsidRDefault="00916B16" w:rsidP="00BC69C7">
      <w:pPr>
        <w:pStyle w:val="Headingb"/>
      </w:pPr>
      <w:r w:rsidRPr="007A14E2">
        <w:t>Mexico</w:t>
      </w:r>
    </w:p>
    <w:p w14:paraId="631A382B" w14:textId="18FF890C" w:rsidR="00916B16" w:rsidRPr="007A14E2" w:rsidRDefault="00916B16" w:rsidP="00BE2F82">
      <w:r w:rsidRPr="007A14E2">
        <w:t xml:space="preserve">Banco de México regulates mobile payment services to achieve mobile payments adoption, foster competition among mobile payments PSPs, and reduce the associated costs. The mobile payments regulation has focused on achieving interoperability among PSPs. The regulation establishes that transactions across ecosystems must be settled through the RTGS system operated by Banco de México (i.e. SPEI) for </w:t>
      </w:r>
      <w:r w:rsidR="008548F2" w:rsidRPr="007A14E2">
        <w:t>"</w:t>
      </w:r>
      <w:r w:rsidRPr="007A14E2">
        <w:t>off us</w:t>
      </w:r>
      <w:r w:rsidR="008548F2" w:rsidRPr="007A14E2">
        <w:t>"</w:t>
      </w:r>
      <w:r w:rsidRPr="007A14E2">
        <w:t xml:space="preserve"> mobile payments, either directly by the paying and payee mobile payments PSPs, or through a connected clearinghouse (see below).</w:t>
      </w:r>
    </w:p>
    <w:p w14:paraId="7FE9C5D9" w14:textId="717645A6" w:rsidR="00916B16" w:rsidRPr="007A14E2" w:rsidRDefault="00916B16" w:rsidP="00BE2F82">
      <w:r w:rsidRPr="007A14E2">
        <w:lastRenderedPageBreak/>
        <w:t xml:space="preserve">Mobile payments are bank-led, in association with MNOs. It is compulsory to provide mobile payment services </w:t>
      </w:r>
      <w:r w:rsidR="008548F2" w:rsidRPr="007A14E2">
        <w:t>"</w:t>
      </w:r>
      <w:r w:rsidRPr="007A14E2">
        <w:t>on us</w:t>
      </w:r>
      <w:r w:rsidR="008548F2" w:rsidRPr="007A14E2">
        <w:t>"</w:t>
      </w:r>
      <w:r w:rsidRPr="007A14E2">
        <w:t xml:space="preserve"> and </w:t>
      </w:r>
      <w:r w:rsidR="008548F2" w:rsidRPr="007A14E2">
        <w:t>"</w:t>
      </w:r>
      <w:r w:rsidRPr="007A14E2">
        <w:t>off us</w:t>
      </w:r>
      <w:r w:rsidR="008548F2" w:rsidRPr="007A14E2">
        <w:t>"</w:t>
      </w:r>
      <w:r w:rsidRPr="007A14E2">
        <w:t xml:space="preserve"> in similar conditions regarding hours of service, times of processing and costs. In the case of </w:t>
      </w:r>
      <w:r w:rsidR="008548F2" w:rsidRPr="007A14E2">
        <w:t>"</w:t>
      </w:r>
      <w:r w:rsidRPr="007A14E2">
        <w:t>off us</w:t>
      </w:r>
      <w:r w:rsidR="008548F2" w:rsidRPr="007A14E2">
        <w:t>"</w:t>
      </w:r>
      <w:r w:rsidRPr="007A14E2">
        <w:t xml:space="preserve"> transactions, banks can </w:t>
      </w:r>
      <w:r w:rsidR="009F4B19" w:rsidRPr="007A14E2">
        <w:t>additionally charge SPEI costs.</w:t>
      </w:r>
    </w:p>
    <w:p w14:paraId="46581C2E" w14:textId="06E3ED6D" w:rsidR="00916B16" w:rsidRPr="007A14E2" w:rsidRDefault="00916B16" w:rsidP="00BE2F82">
      <w:r w:rsidRPr="007A14E2">
        <w:t>In 2014, Banco de México issued rules for the creation and operation of mobile payments clearinghouses. Such entities need Banco de Mexico</w:t>
      </w:r>
      <w:r w:rsidR="00AC4FEC" w:rsidRPr="007A14E2">
        <w:t>'</w:t>
      </w:r>
      <w:r w:rsidRPr="007A14E2">
        <w:t xml:space="preserve">s authorization to operate and </w:t>
      </w:r>
      <w:proofErr w:type="gramStart"/>
      <w:r w:rsidRPr="007A14E2">
        <w:t>are allowed</w:t>
      </w:r>
      <w:proofErr w:type="gramEnd"/>
      <w:r w:rsidRPr="007A14E2">
        <w:t xml:space="preserve"> to beco</w:t>
      </w:r>
      <w:r w:rsidR="009F4B19" w:rsidRPr="007A14E2">
        <w:t>me direct participants in SPEI.</w:t>
      </w:r>
    </w:p>
    <w:p w14:paraId="3D3DDE69" w14:textId="750D46B8" w:rsidR="00916B16" w:rsidRPr="007A14E2" w:rsidRDefault="00916B16" w:rsidP="00BE2F82">
      <w:proofErr w:type="gramStart"/>
      <w:r w:rsidRPr="007A14E2">
        <w:t>As a result</w:t>
      </w:r>
      <w:proofErr w:type="gramEnd"/>
      <w:r w:rsidRPr="007A14E2">
        <w:t xml:space="preserve"> of the measures taken so far, the processing costs and processing time of </w:t>
      </w:r>
      <w:r w:rsidR="008548F2" w:rsidRPr="007A14E2">
        <w:t>"</w:t>
      </w:r>
      <w:r w:rsidRPr="007A14E2">
        <w:t>off us</w:t>
      </w:r>
      <w:r w:rsidR="008548F2" w:rsidRPr="007A14E2">
        <w:t>"</w:t>
      </w:r>
      <w:r w:rsidRPr="007A14E2">
        <w:t xml:space="preserve"> mobile payments have been reduced.</w:t>
      </w:r>
    </w:p>
    <w:p w14:paraId="098A49D9" w14:textId="77777777" w:rsidR="00916B16" w:rsidRPr="007A14E2" w:rsidRDefault="00916B16" w:rsidP="00BC69C7">
      <w:pPr>
        <w:pStyle w:val="Headingb"/>
      </w:pPr>
      <w:r w:rsidRPr="007A14E2">
        <w:t>Nigeria</w:t>
      </w:r>
    </w:p>
    <w:p w14:paraId="193FCC4C" w14:textId="47FAFC53" w:rsidR="00916B16" w:rsidRPr="007A14E2" w:rsidRDefault="00916B16" w:rsidP="00BE2F82">
      <w:r w:rsidRPr="007A14E2">
        <w:t xml:space="preserve">Twenty-one MNOs (known locally as </w:t>
      </w:r>
      <w:r w:rsidR="008548F2" w:rsidRPr="007A14E2">
        <w:t>"</w:t>
      </w:r>
      <w:r w:rsidRPr="007A14E2">
        <w:t>Mobile Money Operators</w:t>
      </w:r>
      <w:r w:rsidR="008548F2" w:rsidRPr="007A14E2">
        <w:t>"</w:t>
      </w:r>
      <w:r w:rsidRPr="007A14E2">
        <w:t xml:space="preserve"> or </w:t>
      </w:r>
      <w:r w:rsidR="008548F2" w:rsidRPr="007A14E2">
        <w:t>"</w:t>
      </w:r>
      <w:r w:rsidRPr="007A14E2">
        <w:t>MMOs</w:t>
      </w:r>
      <w:r w:rsidR="008548F2" w:rsidRPr="007A14E2">
        <w:t>"</w:t>
      </w:r>
      <w:r w:rsidRPr="007A14E2">
        <w:t xml:space="preserve">) </w:t>
      </w:r>
      <w:proofErr w:type="gramStart"/>
      <w:r w:rsidRPr="007A14E2">
        <w:t>have been licensed</w:t>
      </w:r>
      <w:proofErr w:type="gramEnd"/>
      <w:r w:rsidRPr="007A14E2">
        <w:t xml:space="preserve"> by the Central Bank of Nigeria (CBN), and they are all required to connect to the Nigeria Central Switch operated by the Nigeria Inter-Bank Settlement System Plc (NIBSS) to achieve interoperability among MMOs, and between MMOs and the bankers</w:t>
      </w:r>
      <w:r w:rsidR="00AC4FEC" w:rsidRPr="007A14E2">
        <w:t>'</w:t>
      </w:r>
      <w:r w:rsidRPr="007A14E2">
        <w:t xml:space="preserve"> clearing system. Some of the MMO licensees are banks, while others are </w:t>
      </w:r>
      <w:proofErr w:type="spellStart"/>
      <w:r w:rsidRPr="007A14E2">
        <w:t>fintech</w:t>
      </w:r>
      <w:proofErr w:type="spellEnd"/>
      <w:r w:rsidRPr="007A14E2">
        <w:t xml:space="preserve"> companies.</w:t>
      </w:r>
    </w:p>
    <w:p w14:paraId="3F8D3782" w14:textId="0A53EBEE" w:rsidR="00916B16" w:rsidRPr="007A14E2" w:rsidRDefault="00916B16" w:rsidP="00BE2F82">
      <w:r w:rsidRPr="007A14E2">
        <w:t xml:space="preserve">Every </w:t>
      </w:r>
      <w:proofErr w:type="spellStart"/>
      <w:r w:rsidRPr="007A14E2">
        <w:t>fintech</w:t>
      </w:r>
      <w:proofErr w:type="spellEnd"/>
      <w:r w:rsidRPr="007A14E2">
        <w:t>-owned MMO is required to enter into an agreement with a commercial bank of its choice for the latter to act as its settlement agent. MMOs</w:t>
      </w:r>
      <w:r w:rsidR="00AC4FEC" w:rsidRPr="007A14E2">
        <w:t>'</w:t>
      </w:r>
      <w:r w:rsidRPr="007A14E2">
        <w:t xml:space="preserve"> access to the RTGS system operated by the CBN </w:t>
      </w:r>
      <w:proofErr w:type="gramStart"/>
      <w:r w:rsidRPr="007A14E2">
        <w:t>is made</w:t>
      </w:r>
      <w:proofErr w:type="gramEnd"/>
      <w:r w:rsidRPr="007A14E2">
        <w:t xml:space="preserve"> possible by this settlement arrangement. There is a back-to-back clearing collateral mechanism in place to protect the entire system against settlement risks. As part of this </w:t>
      </w:r>
      <w:proofErr w:type="gramStart"/>
      <w:r w:rsidRPr="007A14E2">
        <w:t>mechanism</w:t>
      </w:r>
      <w:proofErr w:type="gramEnd"/>
      <w:r w:rsidRPr="007A14E2">
        <w:t xml:space="preserve"> banks pledge collateral to the CBN, while individual MMOs pledge collateral to their settlement bank.</w:t>
      </w:r>
    </w:p>
    <w:p w14:paraId="27973D09" w14:textId="0E2FB4A7" w:rsidR="00916B16" w:rsidRPr="007A14E2" w:rsidRDefault="00916B16" w:rsidP="00BE2F82">
      <w:r w:rsidRPr="007A14E2">
        <w:t xml:space="preserve">Recently, the CBN began to issue </w:t>
      </w:r>
      <w:r w:rsidR="008548F2" w:rsidRPr="007A14E2">
        <w:t>"</w:t>
      </w:r>
      <w:r w:rsidRPr="007A14E2">
        <w:t>Payments Solution Service Provider</w:t>
      </w:r>
      <w:r w:rsidR="008548F2" w:rsidRPr="007A14E2">
        <w:t>"</w:t>
      </w:r>
      <w:r w:rsidRPr="007A14E2">
        <w:t xml:space="preserve"> licenses to </w:t>
      </w:r>
      <w:proofErr w:type="spellStart"/>
      <w:r w:rsidRPr="007A14E2">
        <w:t>fintechs</w:t>
      </w:r>
      <w:proofErr w:type="spellEnd"/>
      <w:r w:rsidRPr="007A14E2">
        <w:t xml:space="preserve"> who want to specialize in the provision of payment services. These specialized PSPs have access to the bankers</w:t>
      </w:r>
      <w:r w:rsidR="00AC4FEC" w:rsidRPr="007A14E2">
        <w:t>'</w:t>
      </w:r>
      <w:r w:rsidRPr="007A14E2">
        <w:t xml:space="preserve"> clearing system through settlement banks, like the MMOs, and </w:t>
      </w:r>
      <w:proofErr w:type="gramStart"/>
      <w:r w:rsidRPr="007A14E2">
        <w:t>they also</w:t>
      </w:r>
      <w:proofErr w:type="gramEnd"/>
      <w:r w:rsidRPr="007A14E2">
        <w:t xml:space="preserve"> connect to the Nigeria Central Switch. Through this means, they are able to reach the bank accounts of their respective </w:t>
      </w:r>
      <w:r w:rsidR="009F4B19" w:rsidRPr="007A14E2">
        <w:t>subscribers.</w:t>
      </w:r>
    </w:p>
    <w:p w14:paraId="700D4EB2" w14:textId="77777777" w:rsidR="00916B16" w:rsidRPr="007A14E2" w:rsidRDefault="00916B16" w:rsidP="00BE2F82">
      <w:r w:rsidRPr="007A14E2">
        <w:t xml:space="preserve">In parallel, the CBN, working with </w:t>
      </w:r>
      <w:proofErr w:type="gramStart"/>
      <w:r w:rsidRPr="007A14E2">
        <w:t>payment system industry players</w:t>
      </w:r>
      <w:proofErr w:type="gramEnd"/>
      <w:r w:rsidRPr="007A14E2">
        <w:t xml:space="preserve">, commenced the process of benchmarking the Nigerian payments system against the PFMIs in 2015. The gaps that exist </w:t>
      </w:r>
      <w:proofErr w:type="gramStart"/>
      <w:r w:rsidRPr="007A14E2">
        <w:t>have been documented</w:t>
      </w:r>
      <w:proofErr w:type="gramEnd"/>
      <w:r w:rsidRPr="007A14E2">
        <w:t xml:space="preserve"> and there are ongoing initiatives to bridge the gaps.</w:t>
      </w:r>
    </w:p>
    <w:p w14:paraId="4990E6FE" w14:textId="77777777" w:rsidR="00916B16" w:rsidRPr="007A14E2" w:rsidRDefault="00916B16" w:rsidP="00B825B6">
      <w:pPr>
        <w:pStyle w:val="Headingb"/>
        <w:keepLines/>
      </w:pPr>
      <w:r w:rsidRPr="007A14E2">
        <w:t>Pakistan</w:t>
      </w:r>
    </w:p>
    <w:p w14:paraId="56FA8081" w14:textId="4C4BFA76" w:rsidR="00916B16" w:rsidRPr="007A14E2" w:rsidRDefault="00916B16" w:rsidP="00BE2F82">
      <w:r w:rsidRPr="007A14E2">
        <w:t xml:space="preserve">In Pakistan, interoperability of mobile money services/e-wallets has been live since 2014 and </w:t>
      </w:r>
      <w:proofErr w:type="gramStart"/>
      <w:r w:rsidRPr="007A14E2">
        <w:t>is enabled</w:t>
      </w:r>
      <w:proofErr w:type="gramEnd"/>
      <w:r w:rsidRPr="007A14E2">
        <w:t xml:space="preserve"> through </w:t>
      </w:r>
      <w:r w:rsidR="008548F2" w:rsidRPr="007A14E2">
        <w:t>"</w:t>
      </w:r>
      <w:r w:rsidRPr="007A14E2">
        <w:t>1LINK</w:t>
      </w:r>
      <w:r w:rsidR="008548F2" w:rsidRPr="007A14E2">
        <w:t>"</w:t>
      </w:r>
      <w:r w:rsidRPr="007A14E2">
        <w:t>, a commercial interbank switch. Interoperability allows for funds transfers from e-wallet to e-wallet, e-wallet to bank account and bank account to e-wallet.</w:t>
      </w:r>
    </w:p>
    <w:p w14:paraId="6320B3B8" w14:textId="36C439BF" w:rsidR="00916B16" w:rsidRPr="007A14E2" w:rsidRDefault="00916B16" w:rsidP="00BE2F82">
      <w:r w:rsidRPr="007A14E2">
        <w:t xml:space="preserve">It is important to note that </w:t>
      </w:r>
      <w:proofErr w:type="gramStart"/>
      <w:r w:rsidRPr="007A14E2">
        <w:t xml:space="preserve">interoperability between mobile money services was not mandated by the central bank (i.e. the State Bank of Pakistan, </w:t>
      </w:r>
      <w:r w:rsidR="008548F2" w:rsidRPr="007A14E2">
        <w:t>"</w:t>
      </w:r>
      <w:r w:rsidRPr="007A14E2">
        <w:t>SPB</w:t>
      </w:r>
      <w:r w:rsidR="008548F2" w:rsidRPr="007A14E2">
        <w:t>"</w:t>
      </w:r>
      <w:r w:rsidRPr="007A14E2">
        <w:t>) or other regulators</w:t>
      </w:r>
      <w:proofErr w:type="gramEnd"/>
      <w:r w:rsidRPr="007A14E2">
        <w:t xml:space="preserve">. The decision to interoperate </w:t>
      </w:r>
      <w:proofErr w:type="gramStart"/>
      <w:r w:rsidRPr="007A14E2">
        <w:t>was reached</w:t>
      </w:r>
      <w:proofErr w:type="gramEnd"/>
      <w:r w:rsidRPr="007A14E2">
        <w:t xml:space="preserve"> purely on market situation. In this regard, Pakistan</w:t>
      </w:r>
      <w:r w:rsidR="00AC4FEC" w:rsidRPr="007A14E2">
        <w:t>'</w:t>
      </w:r>
      <w:r w:rsidRPr="007A14E2">
        <w:t xml:space="preserve">s mobile money model is bank-led (run jointly by a MNO and a bank), so PSPs providing mobile payment services were in general already familiar with an interbank switch: banks </w:t>
      </w:r>
      <w:proofErr w:type="gramStart"/>
      <w:r w:rsidRPr="007A14E2">
        <w:t>were already connected</w:t>
      </w:r>
      <w:proofErr w:type="gramEnd"/>
      <w:r w:rsidRPr="007A14E2">
        <w:t xml:space="preserve"> to 1LINK, so they only had to also integrate their mobile money platforms to the switch.</w:t>
      </w:r>
    </w:p>
    <w:p w14:paraId="789B9865" w14:textId="2822DBE6" w:rsidR="00916B16" w:rsidRPr="007A14E2" w:rsidRDefault="00916B16" w:rsidP="00BE2F82">
      <w:r w:rsidRPr="007A14E2">
        <w:t xml:space="preserve">Recently, the SBP and the telecom regulator Pakistan Telecommunication Authority (PTA) issued joint regulations on the technical implementation and interoperability of mobile/branchless banking. Under these regulations, PTA licenses Third Party Service Providers (TPSPs) under class value added services, while the SBP provides authorization for what concerns payment services and operations. The TPSP model </w:t>
      </w:r>
      <w:proofErr w:type="gramStart"/>
      <w:r w:rsidRPr="007A14E2">
        <w:t>is expected</w:t>
      </w:r>
      <w:proofErr w:type="gramEnd"/>
      <w:r w:rsidRPr="007A14E2">
        <w:t xml:space="preserve"> to offer maximum outreach and connectivity, whereby all banks and all MNOs will be able to entertain each other</w:t>
      </w:r>
      <w:r w:rsidR="00AC4FEC" w:rsidRPr="007A14E2">
        <w:t>'</w:t>
      </w:r>
      <w:r w:rsidRPr="007A14E2">
        <w:t>s customers.</w:t>
      </w:r>
    </w:p>
    <w:p w14:paraId="043252E1" w14:textId="77777777" w:rsidR="00916B16" w:rsidRPr="007A14E2" w:rsidRDefault="00916B16" w:rsidP="00BC69C7">
      <w:pPr>
        <w:pStyle w:val="Headingb"/>
        <w:keepLines/>
      </w:pPr>
      <w:r w:rsidRPr="007A14E2">
        <w:lastRenderedPageBreak/>
        <w:t>Peru</w:t>
      </w:r>
    </w:p>
    <w:p w14:paraId="19A242B4" w14:textId="0508E6D8" w:rsidR="00916B16" w:rsidRPr="007A14E2" w:rsidRDefault="00916B16" w:rsidP="00BC69C7">
      <w:pPr>
        <w:keepNext/>
        <w:keepLines/>
      </w:pPr>
      <w:r w:rsidRPr="007A14E2">
        <w:t xml:space="preserve">Peru´s shared mobile payments platform/switch became operational in February 2016. Known as </w:t>
      </w:r>
      <w:r w:rsidR="008548F2" w:rsidRPr="007A14E2">
        <w:t>"</w:t>
      </w:r>
      <w:proofErr w:type="spellStart"/>
      <w:r w:rsidRPr="007A14E2">
        <w:t>BiM</w:t>
      </w:r>
      <w:proofErr w:type="spellEnd"/>
      <w:r w:rsidR="008548F2" w:rsidRPr="007A14E2">
        <w:t>"</w:t>
      </w:r>
      <w:r w:rsidRPr="007A14E2">
        <w:t xml:space="preserve"> (which stands for </w:t>
      </w:r>
      <w:r w:rsidR="008548F2" w:rsidRPr="007A14E2">
        <w:t>"</w:t>
      </w:r>
      <w:proofErr w:type="spellStart"/>
      <w:r w:rsidRPr="007A14E2">
        <w:rPr>
          <w:i/>
        </w:rPr>
        <w:t>billetera</w:t>
      </w:r>
      <w:proofErr w:type="spellEnd"/>
      <w:r w:rsidRPr="007A14E2">
        <w:rPr>
          <w:i/>
        </w:rPr>
        <w:t xml:space="preserve"> </w:t>
      </w:r>
      <w:proofErr w:type="spellStart"/>
      <w:r w:rsidRPr="007A14E2">
        <w:rPr>
          <w:i/>
        </w:rPr>
        <w:t>móvil</w:t>
      </w:r>
      <w:proofErr w:type="spellEnd"/>
      <w:r w:rsidR="008548F2" w:rsidRPr="007A14E2">
        <w:t>"</w:t>
      </w:r>
      <w:r w:rsidRPr="007A14E2">
        <w:t xml:space="preserve"> or </w:t>
      </w:r>
      <w:r w:rsidR="008548F2" w:rsidRPr="007A14E2">
        <w:t>"</w:t>
      </w:r>
      <w:r w:rsidRPr="007A14E2">
        <w:t>mobile wallet</w:t>
      </w:r>
      <w:r w:rsidR="008548F2" w:rsidRPr="007A14E2">
        <w:t>"</w:t>
      </w:r>
      <w:r w:rsidRPr="007A14E2">
        <w:t>), it is the result of a partnership formed by the country</w:t>
      </w:r>
      <w:r w:rsidR="00AC4FEC" w:rsidRPr="007A14E2">
        <w:t>'</w:t>
      </w:r>
      <w:r w:rsidRPr="007A14E2">
        <w:t>s financial institutions, government, telecommunication companie</w:t>
      </w:r>
      <w:r w:rsidR="009F4B19" w:rsidRPr="007A14E2">
        <w:t>s, and large payers and payees.</w:t>
      </w:r>
    </w:p>
    <w:p w14:paraId="00E5B961" w14:textId="77777777" w:rsidR="00916B16" w:rsidRPr="007A14E2" w:rsidRDefault="00916B16" w:rsidP="00BE2F82">
      <w:r w:rsidRPr="007A14E2">
        <w:t xml:space="preserve">The ultimate goal of this effort is to achieve interoperability in mobile payments between banks and other approved entities, across telecommunication networks, while making use of existing financial infrastructure (i.e. banks, branches, agents, ATMs, online channels) so that a payment </w:t>
      </w:r>
      <w:proofErr w:type="gramStart"/>
      <w:r w:rsidRPr="007A14E2">
        <w:t>can be accepted</w:t>
      </w:r>
      <w:proofErr w:type="gramEnd"/>
      <w:r w:rsidRPr="007A14E2">
        <w:t xml:space="preserve"> by anyone.</w:t>
      </w:r>
    </w:p>
    <w:p w14:paraId="08056461" w14:textId="49234CA2" w:rsidR="008459E4" w:rsidRPr="007A14E2" w:rsidRDefault="00916B16" w:rsidP="00BE2F82">
      <w:r w:rsidRPr="007A14E2">
        <w:t xml:space="preserve">Circular No. 013-2016 of the Central Bank of Peru (BCRP) regulates e-money payment agreements (known as </w:t>
      </w:r>
      <w:r w:rsidR="008548F2" w:rsidRPr="007A14E2">
        <w:t>"</w:t>
      </w:r>
      <w:r w:rsidRPr="007A14E2">
        <w:t>APDE</w:t>
      </w:r>
      <w:r w:rsidR="008548F2" w:rsidRPr="007A14E2">
        <w:t>"</w:t>
      </w:r>
      <w:r w:rsidRPr="007A14E2">
        <w:t xml:space="preserve">). </w:t>
      </w:r>
      <w:proofErr w:type="spellStart"/>
      <w:r w:rsidRPr="007A14E2">
        <w:t>BiM</w:t>
      </w:r>
      <w:proofErr w:type="spellEnd"/>
      <w:r w:rsidRPr="007A14E2">
        <w:t xml:space="preserve"> </w:t>
      </w:r>
      <w:proofErr w:type="gramStart"/>
      <w:r w:rsidRPr="007A14E2">
        <w:t>is regarded</w:t>
      </w:r>
      <w:proofErr w:type="gramEnd"/>
      <w:r w:rsidRPr="007A14E2">
        <w:t xml:space="preserve"> as an APDE. </w:t>
      </w:r>
      <w:proofErr w:type="spellStart"/>
      <w:r w:rsidRPr="007A14E2">
        <w:rPr>
          <w:i/>
        </w:rPr>
        <w:t>Pagos</w:t>
      </w:r>
      <w:proofErr w:type="spellEnd"/>
      <w:r w:rsidRPr="007A14E2">
        <w:rPr>
          <w:i/>
        </w:rPr>
        <w:t xml:space="preserve"> </w:t>
      </w:r>
      <w:proofErr w:type="spellStart"/>
      <w:r w:rsidRPr="007A14E2">
        <w:rPr>
          <w:i/>
        </w:rPr>
        <w:t>Digitales</w:t>
      </w:r>
      <w:proofErr w:type="spellEnd"/>
      <w:r w:rsidRPr="007A14E2">
        <w:rPr>
          <w:i/>
        </w:rPr>
        <w:t xml:space="preserve"> </w:t>
      </w:r>
      <w:proofErr w:type="spellStart"/>
      <w:r w:rsidRPr="007A14E2">
        <w:rPr>
          <w:i/>
        </w:rPr>
        <w:t>Peruanos</w:t>
      </w:r>
      <w:proofErr w:type="spellEnd"/>
      <w:r w:rsidRPr="007A14E2">
        <w:t xml:space="preserve">, which is the administrator of </w:t>
      </w:r>
      <w:proofErr w:type="spellStart"/>
      <w:r w:rsidRPr="007A14E2">
        <w:t>BiM</w:t>
      </w:r>
      <w:proofErr w:type="spellEnd"/>
      <w:r w:rsidRPr="007A14E2">
        <w:t xml:space="preserve">, clears payment transactions and calculates inter-participant positions </w:t>
      </w:r>
      <w:proofErr w:type="gramStart"/>
      <w:r w:rsidRPr="007A14E2">
        <w:t>on the basis of</w:t>
      </w:r>
      <w:proofErr w:type="gramEnd"/>
      <w:r w:rsidRPr="007A14E2">
        <w:t xml:space="preserve"> multilateral netting at the end of each day. </w:t>
      </w:r>
      <w:proofErr w:type="spellStart"/>
      <w:r w:rsidRPr="007A14E2">
        <w:t>BiM</w:t>
      </w:r>
      <w:proofErr w:type="spellEnd"/>
      <w:r w:rsidRPr="007A14E2">
        <w:t xml:space="preserve"> participants that have direct access to the BCRP</w:t>
      </w:r>
      <w:r w:rsidR="00AC4FEC" w:rsidRPr="007A14E2">
        <w:t>'</w:t>
      </w:r>
      <w:r w:rsidRPr="007A14E2">
        <w:t xml:space="preserve">s RTGS system settle their positions directly in this system, while </w:t>
      </w:r>
      <w:proofErr w:type="gramStart"/>
      <w:r w:rsidRPr="007A14E2">
        <w:t xml:space="preserve">other </w:t>
      </w:r>
      <w:proofErr w:type="spellStart"/>
      <w:r w:rsidRPr="007A14E2">
        <w:t>BiM</w:t>
      </w:r>
      <w:proofErr w:type="spellEnd"/>
      <w:r w:rsidRPr="007A14E2">
        <w:t xml:space="preserve"> participants must be sponsored into settlement by a direct participant of the RTGS system</w:t>
      </w:r>
      <w:proofErr w:type="gramEnd"/>
      <w:r w:rsidRPr="007A14E2">
        <w:t>.</w:t>
      </w:r>
    </w:p>
    <w:p w14:paraId="51E8A22C" w14:textId="77777777" w:rsidR="008459E4" w:rsidRPr="007A14E2" w:rsidRDefault="008459E4">
      <w:pPr>
        <w:spacing w:before="0"/>
      </w:pPr>
      <w:r w:rsidRPr="007A14E2">
        <w:br w:type="page"/>
      </w:r>
    </w:p>
    <w:p w14:paraId="64A25B85" w14:textId="77777777" w:rsidR="008459E4" w:rsidRPr="007A14E2" w:rsidRDefault="008459E4" w:rsidP="009E1B5A">
      <w:pPr>
        <w:pStyle w:val="AppendixNoTitle"/>
        <w:spacing w:after="480"/>
        <w:rPr>
          <w:szCs w:val="28"/>
        </w:rPr>
      </w:pPr>
      <w:bookmarkStart w:id="85" w:name="_Toc8395008"/>
      <w:bookmarkStart w:id="86" w:name="_Toc17730780"/>
      <w:r w:rsidRPr="007A14E2">
        <w:lastRenderedPageBreak/>
        <w:t>Bibliography</w:t>
      </w:r>
      <w:bookmarkEnd w:id="85"/>
      <w:bookmarkEnd w:id="86"/>
    </w:p>
    <w:p w14:paraId="439DE445" w14:textId="5B015F2E" w:rsidR="008459E4" w:rsidRPr="007A14E2" w:rsidRDefault="008459E4" w:rsidP="008459E4">
      <w:pPr>
        <w:pStyle w:val="Reftext"/>
      </w:pPr>
      <w:r w:rsidRPr="007A14E2">
        <w:t>[1]</w:t>
      </w:r>
      <w:r w:rsidRPr="007A14E2">
        <w:tab/>
        <w:t xml:space="preserve">CPSS (2003), </w:t>
      </w:r>
      <w:r w:rsidR="008548F2" w:rsidRPr="007A14E2">
        <w:t>"</w:t>
      </w:r>
      <w:r w:rsidRPr="007A14E2">
        <w:t>The role of central bank money in payment systems</w:t>
      </w:r>
      <w:r w:rsidR="008548F2" w:rsidRPr="007A14E2">
        <w:t>"</w:t>
      </w:r>
      <w:r w:rsidRPr="007A14E2">
        <w:t xml:space="preserve">, Bank for International Settlements, Basel. </w:t>
      </w:r>
      <w:hyperlink r:id="rId15" w:history="1">
        <w:r w:rsidRPr="007A14E2">
          <w:rPr>
            <w:rStyle w:val="Hyperlink"/>
            <w:szCs w:val="24"/>
          </w:rPr>
          <w:t>http://www.bis.org/cpmi/publ/d55.pdf</w:t>
        </w:r>
      </w:hyperlink>
    </w:p>
    <w:p w14:paraId="1B4AF493" w14:textId="37961172" w:rsidR="008459E4" w:rsidRPr="007A14E2" w:rsidRDefault="008459E4" w:rsidP="008459E4">
      <w:pPr>
        <w:pStyle w:val="Reftext"/>
      </w:pPr>
      <w:r w:rsidRPr="007A14E2">
        <w:t>[2]</w:t>
      </w:r>
      <w:r w:rsidRPr="007A14E2">
        <w:tab/>
        <w:t xml:space="preserve">CPSS and the World Bank (2007), </w:t>
      </w:r>
      <w:r w:rsidR="008548F2" w:rsidRPr="007A14E2">
        <w:t>"</w:t>
      </w:r>
      <w:r w:rsidRPr="007A14E2">
        <w:t>General principles for international remittance services</w:t>
      </w:r>
      <w:r w:rsidR="008548F2" w:rsidRPr="007A14E2">
        <w:t>"</w:t>
      </w:r>
      <w:r w:rsidRPr="007A14E2">
        <w:t xml:space="preserve">, Bank for International Settlements, Basel. </w:t>
      </w:r>
      <w:hyperlink r:id="rId16" w:history="1">
        <w:r w:rsidRPr="007A14E2">
          <w:rPr>
            <w:rStyle w:val="Hyperlink"/>
            <w:szCs w:val="24"/>
          </w:rPr>
          <w:t>http://www.bis.org/cpmi/publ/d76.pdf</w:t>
        </w:r>
      </w:hyperlink>
    </w:p>
    <w:p w14:paraId="25956626" w14:textId="0668E8ED" w:rsidR="008459E4" w:rsidRPr="007A14E2" w:rsidRDefault="008459E4" w:rsidP="008459E4">
      <w:pPr>
        <w:pStyle w:val="Reftext"/>
      </w:pPr>
      <w:r w:rsidRPr="007A14E2">
        <w:t>[3]</w:t>
      </w:r>
      <w:r w:rsidRPr="007A14E2">
        <w:tab/>
        <w:t xml:space="preserve">CPMI-IOSCO (2012), </w:t>
      </w:r>
      <w:r w:rsidR="008548F2" w:rsidRPr="007A14E2">
        <w:t>"</w:t>
      </w:r>
      <w:r w:rsidRPr="007A14E2">
        <w:t>Principles for financial market infrastructures</w:t>
      </w:r>
      <w:r w:rsidR="008548F2" w:rsidRPr="007A14E2">
        <w:t>"</w:t>
      </w:r>
      <w:r w:rsidRPr="007A14E2">
        <w:t xml:space="preserve">, Bank for International Settlements, Basel. </w:t>
      </w:r>
      <w:hyperlink r:id="rId17" w:history="1">
        <w:r w:rsidRPr="007A14E2">
          <w:rPr>
            <w:rStyle w:val="Hyperlink"/>
            <w:szCs w:val="24"/>
          </w:rPr>
          <w:t>http://www.bis.org/cpmi/publ/d101a.pdf</w:t>
        </w:r>
      </w:hyperlink>
    </w:p>
    <w:p w14:paraId="6F7C82DD" w14:textId="35F00DAA" w:rsidR="008459E4" w:rsidRPr="007A14E2" w:rsidRDefault="008459E4" w:rsidP="008459E4">
      <w:pPr>
        <w:pStyle w:val="Reftext"/>
      </w:pPr>
      <w:r w:rsidRPr="007A14E2">
        <w:t>[4]</w:t>
      </w:r>
      <w:r w:rsidRPr="007A14E2">
        <w:tab/>
        <w:t xml:space="preserve">CPMI (2014), </w:t>
      </w:r>
      <w:r w:rsidR="008548F2" w:rsidRPr="007A14E2">
        <w:t>"</w:t>
      </w:r>
      <w:r w:rsidRPr="007A14E2">
        <w:t>The role of non-banks in retail payments</w:t>
      </w:r>
      <w:r w:rsidR="008548F2" w:rsidRPr="007A14E2">
        <w:t>"</w:t>
      </w:r>
      <w:r w:rsidRPr="007A14E2">
        <w:t xml:space="preserve">, Bank for International Settlements, Basel. </w:t>
      </w:r>
      <w:hyperlink r:id="rId18" w:history="1">
        <w:r w:rsidRPr="007A14E2">
          <w:rPr>
            <w:rStyle w:val="Hyperlink"/>
            <w:szCs w:val="24"/>
          </w:rPr>
          <w:t>http://www.bis.org/cpmi/publ/d118.pdf</w:t>
        </w:r>
      </w:hyperlink>
    </w:p>
    <w:p w14:paraId="16B547EE" w14:textId="6C250CE5" w:rsidR="008459E4" w:rsidRPr="007A14E2" w:rsidRDefault="008459E4" w:rsidP="008459E4">
      <w:pPr>
        <w:pStyle w:val="Reftext"/>
      </w:pPr>
      <w:r w:rsidRPr="007A14E2">
        <w:t>[5]</w:t>
      </w:r>
      <w:r w:rsidRPr="007A14E2">
        <w:tab/>
        <w:t xml:space="preserve">CPMI (2016), </w:t>
      </w:r>
      <w:r w:rsidR="008548F2" w:rsidRPr="007A14E2">
        <w:t>"</w:t>
      </w:r>
      <w:r w:rsidRPr="007A14E2">
        <w:t>Correspondent banking</w:t>
      </w:r>
      <w:r w:rsidR="008548F2" w:rsidRPr="007A14E2">
        <w:t>"</w:t>
      </w:r>
      <w:r w:rsidRPr="007A14E2">
        <w:t xml:space="preserve">, Bank for International Settlements, </w:t>
      </w:r>
      <w:hyperlink r:id="rId19" w:history="1">
        <w:r w:rsidRPr="007A14E2">
          <w:rPr>
            <w:rStyle w:val="Hyperlink"/>
            <w:szCs w:val="24"/>
          </w:rPr>
          <w:t>http://www.bis.org/cpmi/publ/d147.pdf</w:t>
        </w:r>
      </w:hyperlink>
    </w:p>
    <w:p w14:paraId="439541D0" w14:textId="37957567" w:rsidR="008459E4" w:rsidRPr="007A14E2" w:rsidRDefault="008459E4" w:rsidP="008459E4">
      <w:pPr>
        <w:pStyle w:val="Reftext"/>
      </w:pPr>
      <w:r w:rsidRPr="007A14E2">
        <w:t>[6]</w:t>
      </w:r>
      <w:r w:rsidRPr="007A14E2">
        <w:tab/>
        <w:t xml:space="preserve">CPMI and the World Bank Group (2016), </w:t>
      </w:r>
      <w:r w:rsidR="008548F2" w:rsidRPr="007A14E2">
        <w:t>"</w:t>
      </w:r>
      <w:r w:rsidRPr="007A14E2">
        <w:t>Payment aspects of financial inclusion</w:t>
      </w:r>
      <w:r w:rsidR="008548F2" w:rsidRPr="007A14E2">
        <w:t>"</w:t>
      </w:r>
      <w:r w:rsidRPr="007A14E2">
        <w:t xml:space="preserve">, Bank for International Settlements, Basel. </w:t>
      </w:r>
      <w:hyperlink r:id="rId20" w:history="1">
        <w:r w:rsidRPr="007A14E2">
          <w:rPr>
            <w:rStyle w:val="Hyperlink"/>
            <w:szCs w:val="24"/>
          </w:rPr>
          <w:t>http://www.bis.org/cpmi/publ/d144.htm</w:t>
        </w:r>
      </w:hyperlink>
    </w:p>
    <w:p w14:paraId="500AA5EC" w14:textId="6D603DFC" w:rsidR="008459E4" w:rsidRPr="007A14E2" w:rsidRDefault="008459E4" w:rsidP="008459E4">
      <w:pPr>
        <w:pStyle w:val="Reftext"/>
      </w:pPr>
      <w:r w:rsidRPr="007A14E2">
        <w:t>[7]</w:t>
      </w:r>
      <w:r w:rsidRPr="007A14E2">
        <w:tab/>
        <w:t xml:space="preserve">The World Bank (2011), </w:t>
      </w:r>
      <w:r w:rsidR="008548F2" w:rsidRPr="007A14E2">
        <w:t>"</w:t>
      </w:r>
      <w:r w:rsidRPr="007A14E2">
        <w:t>Payment Systems Worldwide: A Snapshot. Outcomes of the Global Payment Systems Survey 2010</w:t>
      </w:r>
      <w:r w:rsidR="008548F2" w:rsidRPr="007A14E2">
        <w:t>"</w:t>
      </w:r>
      <w:r w:rsidRPr="007A14E2">
        <w:t xml:space="preserve">, </w:t>
      </w:r>
      <w:r w:rsidRPr="007A14E2">
        <w:rPr>
          <w:i/>
        </w:rPr>
        <w:t>Financial Infrastructure Series, Payment Systems Policy and Research</w:t>
      </w:r>
      <w:r w:rsidRPr="007A14E2">
        <w:t xml:space="preserve">, Washington DC. </w:t>
      </w:r>
      <w:hyperlink r:id="rId21" w:history="1">
        <w:r w:rsidRPr="007A14E2">
          <w:rPr>
            <w:rStyle w:val="Hyperlink"/>
            <w:szCs w:val="24"/>
          </w:rPr>
          <w:t>http://documents.worldbank.org/curated/en/2011/01/16422496/payment-systems-worldwide-snapshot-outcomes-global-payment-systems-survey-2010</w:t>
        </w:r>
      </w:hyperlink>
    </w:p>
    <w:p w14:paraId="438C3503" w14:textId="53A2B09F" w:rsidR="008459E4" w:rsidRPr="007A14E2" w:rsidRDefault="008459E4" w:rsidP="008459E4">
      <w:pPr>
        <w:pStyle w:val="Reftext"/>
      </w:pPr>
      <w:r w:rsidRPr="007A14E2">
        <w:t>[8]</w:t>
      </w:r>
      <w:r w:rsidRPr="007A14E2">
        <w:tab/>
        <w:t xml:space="preserve">The World Bank (2014), Tables of the Global Payment Systems Survey 2012, available at </w:t>
      </w:r>
      <w:hyperlink r:id="rId22" w:history="1">
        <w:r w:rsidRPr="007A14E2">
          <w:rPr>
            <w:rStyle w:val="Hyperlink"/>
            <w:szCs w:val="24"/>
          </w:rPr>
          <w:t>http://www.worldbank.org/en/topic/paymentsystemsremittances/brief/gpss</w:t>
        </w:r>
      </w:hyperlink>
      <w:r w:rsidRPr="007A14E2">
        <w:t>, consulted on July 19,</w:t>
      </w:r>
      <w:r w:rsidR="00B665A8" w:rsidRPr="007A14E2">
        <w:t xml:space="preserve"> </w:t>
      </w:r>
      <w:r w:rsidRPr="007A14E2">
        <w:t>2016.</w:t>
      </w:r>
    </w:p>
    <w:p w14:paraId="74DA8B9A" w14:textId="08613A4A" w:rsidR="008459E4" w:rsidRPr="007A14E2" w:rsidRDefault="008459E4" w:rsidP="00B665A8">
      <w:pPr>
        <w:pStyle w:val="Reftext"/>
        <w:ind w:right="992"/>
      </w:pPr>
      <w:r w:rsidRPr="007A14E2">
        <w:t>[9]</w:t>
      </w:r>
      <w:r w:rsidRPr="007A14E2">
        <w:tab/>
        <w:t>The</w:t>
      </w:r>
      <w:r w:rsidR="00B665A8" w:rsidRPr="007A14E2">
        <w:tab/>
      </w:r>
      <w:r w:rsidRPr="007A14E2">
        <w:t>World</w:t>
      </w:r>
      <w:r w:rsidR="00B665A8" w:rsidRPr="007A14E2">
        <w:t xml:space="preserve"> </w:t>
      </w:r>
      <w:r w:rsidRPr="007A14E2">
        <w:t>Bank</w:t>
      </w:r>
      <w:r w:rsidR="00B665A8" w:rsidRPr="007A14E2">
        <w:t xml:space="preserve"> </w:t>
      </w:r>
      <w:r w:rsidRPr="007A14E2">
        <w:t>(2015),</w:t>
      </w:r>
      <w:r w:rsidR="00B665A8" w:rsidRPr="007A14E2">
        <w:t xml:space="preserve"> </w:t>
      </w:r>
      <w:r w:rsidR="008548F2" w:rsidRPr="007A14E2">
        <w:t>"</w:t>
      </w:r>
      <w:r w:rsidRPr="007A14E2">
        <w:t>Withdrawal</w:t>
      </w:r>
      <w:r w:rsidR="00B665A8" w:rsidRPr="007A14E2">
        <w:t xml:space="preserve"> </w:t>
      </w:r>
      <w:r w:rsidRPr="007A14E2">
        <w:t>from</w:t>
      </w:r>
      <w:r w:rsidR="00B665A8" w:rsidRPr="007A14E2">
        <w:t xml:space="preserve"> </w:t>
      </w:r>
      <w:r w:rsidRPr="007A14E2">
        <w:t>Correspondent</w:t>
      </w:r>
      <w:r w:rsidR="00B665A8" w:rsidRPr="007A14E2">
        <w:t xml:space="preserve"> </w:t>
      </w:r>
      <w:r w:rsidRPr="007A14E2">
        <w:t>Banking:</w:t>
      </w:r>
      <w:r w:rsidR="00B665A8" w:rsidRPr="007A14E2">
        <w:t xml:space="preserve"> </w:t>
      </w:r>
      <w:r w:rsidRPr="007A14E2">
        <w:t>Where,</w:t>
      </w:r>
      <w:r w:rsidR="00B665A8" w:rsidRPr="007A14E2">
        <w:t xml:space="preserve"> </w:t>
      </w:r>
      <w:r w:rsidRPr="007A14E2">
        <w:t>why</w:t>
      </w:r>
      <w:r w:rsidR="00B665A8" w:rsidRPr="007A14E2">
        <w:t xml:space="preserve"> </w:t>
      </w:r>
      <w:r w:rsidRPr="007A14E2">
        <w:t>and</w:t>
      </w:r>
      <w:r w:rsidR="00B665A8" w:rsidRPr="007A14E2">
        <w:t xml:space="preserve"> </w:t>
      </w:r>
      <w:r w:rsidRPr="007A14E2">
        <w:t>what</w:t>
      </w:r>
      <w:r w:rsidR="00B665A8" w:rsidRPr="007A14E2">
        <w:t xml:space="preserve"> </w:t>
      </w:r>
      <w:r w:rsidRPr="007A14E2">
        <w:t>to</w:t>
      </w:r>
      <w:r w:rsidR="00B665A8" w:rsidRPr="007A14E2">
        <w:t xml:space="preserve"> </w:t>
      </w:r>
      <w:r w:rsidRPr="007A14E2">
        <w:t>do</w:t>
      </w:r>
      <w:r w:rsidR="00B665A8" w:rsidRPr="007A14E2">
        <w:t xml:space="preserve"> </w:t>
      </w:r>
      <w:r w:rsidRPr="007A14E2">
        <w:t>about</w:t>
      </w:r>
      <w:r w:rsidR="00B665A8" w:rsidRPr="007A14E2">
        <w:t xml:space="preserve"> </w:t>
      </w:r>
      <w:r w:rsidRPr="007A14E2">
        <w:t>it</w:t>
      </w:r>
      <w:r w:rsidR="008548F2" w:rsidRPr="007A14E2">
        <w:t>"</w:t>
      </w:r>
      <w:r w:rsidRPr="007A14E2">
        <w:t>,</w:t>
      </w:r>
      <w:r w:rsidR="00B665A8" w:rsidRPr="007A14E2">
        <w:t xml:space="preserve"> </w:t>
      </w:r>
      <w:r w:rsidRPr="007A14E2">
        <w:t>Washington</w:t>
      </w:r>
      <w:r w:rsidR="00B665A8" w:rsidRPr="007A14E2">
        <w:t xml:space="preserve"> </w:t>
      </w:r>
      <w:r w:rsidRPr="007A14E2">
        <w:t>DC.</w:t>
      </w:r>
      <w:r w:rsidR="00B665A8" w:rsidRPr="007A14E2">
        <w:t xml:space="preserve"> </w:t>
      </w:r>
      <w:hyperlink r:id="rId23" w:history="1">
        <w:r w:rsidRPr="007A14E2">
          <w:rPr>
            <w:rStyle w:val="Hyperlink"/>
            <w:szCs w:val="24"/>
          </w:rPr>
          <w:t>http://documents.worldbank.org/curated/en/2015/11/25481335/withdraw-correspondent-banking</w:t>
        </w:r>
      </w:hyperlink>
    </w:p>
    <w:p w14:paraId="1E817479" w14:textId="77777777" w:rsidR="00B665A8" w:rsidRPr="007A14E2" w:rsidRDefault="00B665A8">
      <w:pPr>
        <w:jc w:val="center"/>
      </w:pPr>
      <w:r w:rsidRPr="007A14E2">
        <w:t>______________</w:t>
      </w:r>
    </w:p>
    <w:sectPr w:rsidR="00B665A8" w:rsidRPr="007A14E2" w:rsidSect="00976458">
      <w:headerReference w:type="first" r:id="rId24"/>
      <w:footerReference w:type="first" r:id="rId25"/>
      <w:type w:val="oddPage"/>
      <w:pgSz w:w="11907" w:h="16840" w:code="9"/>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45177" w14:textId="77777777" w:rsidR="00BE6D8C" w:rsidRDefault="00BE6D8C">
      <w:r>
        <w:separator/>
      </w:r>
    </w:p>
  </w:endnote>
  <w:endnote w:type="continuationSeparator" w:id="0">
    <w:p w14:paraId="35C77646" w14:textId="77777777" w:rsidR="00BE6D8C" w:rsidRDefault="00BE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Next Medium">
    <w:altName w:val="Times New Roman"/>
    <w:charset w:val="00"/>
    <w:family w:val="auto"/>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5A3D3" w14:textId="19DE9288" w:rsidR="00D1175E" w:rsidRPr="00976458" w:rsidRDefault="00D1175E" w:rsidP="00976458">
    <w:pPr>
      <w:tabs>
        <w:tab w:val="clear" w:pos="794"/>
        <w:tab w:val="clear" w:pos="1191"/>
        <w:tab w:val="left" w:pos="851"/>
        <w:tab w:val="left" w:pos="1276"/>
        <w:tab w:val="left" w:pos="1418"/>
      </w:tabs>
      <w:rPr>
        <w:b/>
        <w:sz w:val="20"/>
      </w:rPr>
    </w:pPr>
    <w:r w:rsidRPr="00B72F51">
      <w:rPr>
        <w:b/>
        <w:sz w:val="20"/>
      </w:rPr>
      <w:fldChar w:fldCharType="begin"/>
    </w:r>
    <w:r w:rsidRPr="00B72F51">
      <w:rPr>
        <w:b/>
        <w:sz w:val="20"/>
      </w:rPr>
      <w:instrText xml:space="preserve"> PAGE  \* MERGEFORMAT </w:instrText>
    </w:r>
    <w:r w:rsidRPr="00B72F51">
      <w:rPr>
        <w:b/>
        <w:sz w:val="20"/>
      </w:rPr>
      <w:fldChar w:fldCharType="separate"/>
    </w:r>
    <w:r w:rsidR="003904D0">
      <w:rPr>
        <w:b/>
        <w:noProof/>
        <w:sz w:val="20"/>
      </w:rPr>
      <w:t>4</w:t>
    </w:r>
    <w:r w:rsidRPr="00B72F51">
      <w:rPr>
        <w:b/>
        <w:sz w:val="20"/>
      </w:rPr>
      <w:fldChar w:fldCharType="end"/>
    </w:r>
    <w:r w:rsidRPr="00B72F51">
      <w:rPr>
        <w:b/>
        <w:sz w:val="20"/>
      </w:rPr>
      <w:tab/>
    </w:r>
    <w:r w:rsidRPr="001D1DA8">
      <w:rPr>
        <w:b/>
        <w:sz w:val="20"/>
      </w:rPr>
      <w:t>DSTR-DFSPI</w:t>
    </w:r>
    <w:r w:rsidRPr="00B72F51">
      <w:rPr>
        <w:b/>
        <w:sz w:val="20"/>
      </w:rPr>
      <w:t xml:space="preserve"> </w:t>
    </w:r>
    <w:r w:rsidRPr="0084023B">
      <w:rPr>
        <w:b/>
        <w:sz w:val="20"/>
      </w:rPr>
      <w:t>(</w:t>
    </w:r>
    <w:r>
      <w:rPr>
        <w:b/>
        <w:sz w:val="20"/>
      </w:rPr>
      <w:t>2019</w:t>
    </w:r>
    <w:r w:rsidRPr="0084023B">
      <w:rPr>
        <w:b/>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C1B1" w14:textId="28D40984" w:rsidR="00D1175E" w:rsidRPr="00B22DA4" w:rsidRDefault="00D1175E" w:rsidP="001C0BC3">
    <w:pPr>
      <w:tabs>
        <w:tab w:val="clear" w:pos="1985"/>
        <w:tab w:val="left" w:pos="2835"/>
        <w:tab w:val="left" w:pos="5670"/>
      </w:tabs>
      <w:jc w:val="right"/>
      <w:rPr>
        <w:b/>
        <w:sz w:val="20"/>
      </w:rPr>
    </w:pPr>
    <w:r w:rsidRPr="001D1DA8">
      <w:rPr>
        <w:b/>
        <w:sz w:val="20"/>
      </w:rPr>
      <w:t>DSTR-DFSPI</w:t>
    </w:r>
    <w:r w:rsidRPr="0084023B">
      <w:rPr>
        <w:sz w:val="20"/>
      </w:rPr>
      <w:t xml:space="preserve"> </w:t>
    </w:r>
    <w:r w:rsidRPr="0084023B">
      <w:rPr>
        <w:b/>
        <w:sz w:val="20"/>
      </w:rPr>
      <w:t>(</w:t>
    </w:r>
    <w:r>
      <w:rPr>
        <w:b/>
        <w:sz w:val="20"/>
      </w:rPr>
      <w:t>2019</w:t>
    </w:r>
    <w:r w:rsidRPr="0084023B">
      <w:rPr>
        <w:b/>
        <w:sz w:val="20"/>
      </w:rPr>
      <w:t>)</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3904D0">
      <w:rPr>
        <w:rStyle w:val="PageNumber"/>
        <w:rFonts w:ascii="Times New Roman Bold" w:hAnsi="Times New Roman Bold"/>
        <w:b/>
        <w:bCs/>
        <w:noProof/>
        <w:sz w:val="20"/>
      </w:rPr>
      <w:t>3</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F12E" w14:textId="2CEF3574" w:rsidR="00D1175E" w:rsidRPr="00B22DA4" w:rsidRDefault="00D1175E" w:rsidP="004E54C6">
    <w:pPr>
      <w:spacing w:before="0"/>
      <w:jc w:val="left"/>
      <w:rPr>
        <w:b/>
        <w:sz w:val="20"/>
      </w:rPr>
    </w:pPr>
    <w:r>
      <w:rPr>
        <w:noProof/>
        <w:lang w:eastAsia="en-GB"/>
      </w:rPr>
      <w:drawing>
        <wp:anchor distT="0" distB="0" distL="114300" distR="114300" simplePos="0" relativeHeight="251658240" behindDoc="0" locked="0" layoutInCell="1" allowOverlap="1" wp14:anchorId="1CB02EA9" wp14:editId="0155B518">
          <wp:simplePos x="0" y="0"/>
          <wp:positionH relativeFrom="column">
            <wp:posOffset>5626735</wp:posOffset>
          </wp:positionH>
          <wp:positionV relativeFrom="paragraph">
            <wp:posOffset>-766445</wp:posOffset>
          </wp:positionV>
          <wp:extent cx="692785" cy="77978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2785" cy="77978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9ABA" w14:textId="47316986" w:rsidR="00D1175E" w:rsidRPr="00B22DA4" w:rsidRDefault="00D1175E" w:rsidP="00976458">
    <w:pPr>
      <w:tabs>
        <w:tab w:val="clear" w:pos="794"/>
        <w:tab w:val="clear" w:pos="1191"/>
        <w:tab w:val="clear" w:pos="1588"/>
        <w:tab w:val="clear" w:pos="1985"/>
        <w:tab w:val="left" w:pos="851"/>
        <w:tab w:val="right" w:pos="8505"/>
        <w:tab w:val="right" w:pos="9639"/>
      </w:tabs>
      <w:jc w:val="left"/>
      <w:rPr>
        <w:b/>
        <w:sz w:val="20"/>
      </w:rPr>
    </w:pPr>
    <w:r>
      <w:rPr>
        <w:b/>
        <w:sz w:val="20"/>
      </w:rPr>
      <w:tab/>
    </w:r>
    <w:r>
      <w:rPr>
        <w:b/>
        <w:sz w:val="20"/>
      </w:rPr>
      <w:tab/>
    </w:r>
    <w:r w:rsidRPr="001D1DA8">
      <w:rPr>
        <w:b/>
        <w:sz w:val="20"/>
      </w:rPr>
      <w:t>DSTR-DFSPI</w:t>
    </w:r>
    <w:r w:rsidRPr="0084023B">
      <w:rPr>
        <w:sz w:val="20"/>
      </w:rPr>
      <w:t xml:space="preserve"> </w:t>
    </w:r>
    <w:r w:rsidRPr="0084023B">
      <w:rPr>
        <w:b/>
        <w:sz w:val="20"/>
      </w:rPr>
      <w:t>(</w:t>
    </w:r>
    <w:r>
      <w:rPr>
        <w:b/>
        <w:sz w:val="20"/>
      </w:rPr>
      <w:t>2019</w:t>
    </w:r>
    <w:r w:rsidRPr="0084023B">
      <w:rPr>
        <w:b/>
        <w:sz w:val="20"/>
      </w:rPr>
      <w:t>)</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3904D0">
      <w:rPr>
        <w:rStyle w:val="PageNumber"/>
        <w:rFonts w:ascii="Times New Roman Bold" w:hAnsi="Times New Roman Bold"/>
        <w:b/>
        <w:bCs/>
        <w:noProof/>
        <w:sz w:val="20"/>
      </w:rPr>
      <w:t>1</w:t>
    </w:r>
    <w:r w:rsidRPr="0084023B">
      <w:rPr>
        <w:rStyle w:val="PageNumber"/>
        <w:rFonts w:ascii="Times New Roman Bold" w:hAnsi="Times New Roman Bold"/>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D2564" w14:textId="77777777" w:rsidR="00BE6D8C" w:rsidRDefault="00BE6D8C">
      <w:r>
        <w:separator/>
      </w:r>
    </w:p>
  </w:footnote>
  <w:footnote w:type="continuationSeparator" w:id="0">
    <w:p w14:paraId="520354DF" w14:textId="77777777" w:rsidR="00BE6D8C" w:rsidRDefault="00BE6D8C">
      <w:r>
        <w:continuationSeparator/>
      </w:r>
    </w:p>
  </w:footnote>
  <w:footnote w:id="1">
    <w:p w14:paraId="14D5435E" w14:textId="27A3F813" w:rsidR="00D1175E" w:rsidRPr="00083AE5" w:rsidRDefault="00D1175E" w:rsidP="00976458">
      <w:pPr>
        <w:tabs>
          <w:tab w:val="left" w:pos="284"/>
        </w:tabs>
        <w:ind w:left="284" w:hanging="284"/>
        <w:jc w:val="left"/>
      </w:pPr>
      <w:r w:rsidRPr="00083AE5">
        <w:rPr>
          <w:rStyle w:val="FootnoteReference"/>
          <w:szCs w:val="24"/>
        </w:rPr>
        <w:footnoteRef/>
      </w:r>
      <w:r w:rsidRPr="00083AE5">
        <w:tab/>
      </w:r>
      <w:r w:rsidRPr="001C0BC3">
        <w:rPr>
          <w:rStyle w:val="FootnoteTextChar"/>
          <w:szCs w:val="22"/>
        </w:rPr>
        <w:t xml:space="preserve">"Direct participation" and other relevant terms in the context of access to payment infrastructures </w:t>
      </w:r>
      <w:proofErr w:type="gramStart"/>
      <w:r w:rsidRPr="001C0BC3">
        <w:rPr>
          <w:rStyle w:val="FootnoteTextChar"/>
          <w:szCs w:val="22"/>
        </w:rPr>
        <w:t>are described</w:t>
      </w:r>
      <w:proofErr w:type="gramEnd"/>
      <w:r w:rsidRPr="001C0BC3">
        <w:rPr>
          <w:rStyle w:val="FootnoteTextChar"/>
          <w:szCs w:val="22"/>
        </w:rPr>
        <w:t xml:space="preserve"> in detail in </w:t>
      </w:r>
      <w:r w:rsidR="008136AF">
        <w:rPr>
          <w:rStyle w:val="FootnoteTextChar"/>
          <w:szCs w:val="22"/>
        </w:rPr>
        <w:t>clause 8</w:t>
      </w:r>
      <w:r w:rsidRPr="001C0BC3">
        <w:rPr>
          <w:rStyle w:val="FootnoteTextChar"/>
          <w:szCs w:val="22"/>
        </w:rPr>
        <w:t xml:space="preserve"> of this document.</w:t>
      </w:r>
    </w:p>
  </w:footnote>
  <w:footnote w:id="2">
    <w:p w14:paraId="548624D2" w14:textId="3FFA13B8" w:rsidR="00D1175E" w:rsidRPr="001C0BC3" w:rsidRDefault="00D1175E" w:rsidP="00976458">
      <w:pPr>
        <w:tabs>
          <w:tab w:val="left" w:pos="284"/>
        </w:tabs>
        <w:ind w:left="284" w:hanging="284"/>
        <w:rPr>
          <w:rStyle w:val="FootnoteTextChar"/>
          <w:szCs w:val="22"/>
        </w:rPr>
      </w:pPr>
      <w:r w:rsidRPr="00083AE5">
        <w:rPr>
          <w:rStyle w:val="FootnoteReference"/>
        </w:rPr>
        <w:footnoteRef/>
      </w:r>
      <w:r>
        <w:tab/>
      </w:r>
      <w:r w:rsidRPr="001C0BC3">
        <w:rPr>
          <w:rStyle w:val="FootnoteTextChar"/>
          <w:szCs w:val="22"/>
        </w:rPr>
        <w:t xml:space="preserve">Non-banks in the fourth category also provide clearing and settlement services, even if only for a limited number of participants. For determining access to the core payment and settlement infrastructures in their respective jurisdiction, the non-banks in this category </w:t>
      </w:r>
      <w:proofErr w:type="gramStart"/>
      <w:r w:rsidRPr="001C0BC3">
        <w:rPr>
          <w:rStyle w:val="FootnoteTextChar"/>
          <w:szCs w:val="22"/>
        </w:rPr>
        <w:t>would also be regarded</w:t>
      </w:r>
      <w:proofErr w:type="gramEnd"/>
      <w:r w:rsidRPr="001C0BC3">
        <w:rPr>
          <w:rStyle w:val="FootnoteTextChar"/>
          <w:szCs w:val="22"/>
        </w:rPr>
        <w:t xml:space="preserve"> as operators of retail payment infrastructures.</w:t>
      </w:r>
    </w:p>
  </w:footnote>
  <w:footnote w:id="3">
    <w:p w14:paraId="393F648E" w14:textId="1D6914F5" w:rsidR="00D1175E" w:rsidRPr="00E052C7" w:rsidRDefault="00D1175E" w:rsidP="00083AE5">
      <w:pPr>
        <w:tabs>
          <w:tab w:val="left" w:pos="284"/>
        </w:tabs>
        <w:rPr>
          <w:caps/>
        </w:rPr>
      </w:pPr>
      <w:r w:rsidRPr="00083AE5">
        <w:rPr>
          <w:rStyle w:val="FootnoteReference"/>
        </w:rPr>
        <w:footnoteRef/>
      </w:r>
      <w:r>
        <w:tab/>
      </w:r>
      <w:r w:rsidRPr="001C0BC3">
        <w:rPr>
          <w:rStyle w:val="FootnoteTextChar"/>
          <w:szCs w:val="22"/>
        </w:rPr>
        <w:t xml:space="preserve">This </w:t>
      </w:r>
      <w:r w:rsidR="005B7373">
        <w:rPr>
          <w:rStyle w:val="FootnoteTextChar"/>
          <w:szCs w:val="22"/>
        </w:rPr>
        <w:t>clause</w:t>
      </w:r>
      <w:r w:rsidRPr="001C0BC3">
        <w:rPr>
          <w:rStyle w:val="FootnoteTextChar"/>
          <w:szCs w:val="22"/>
        </w:rPr>
        <w:t xml:space="preserve"> draws largely on CPMI and the World Bank Group (2016), Section 3.1.3.1.</w:t>
      </w:r>
    </w:p>
  </w:footnote>
  <w:footnote w:id="4">
    <w:p w14:paraId="50017460" w14:textId="70BB8FB4" w:rsidR="00D1175E" w:rsidRPr="000B5E98" w:rsidRDefault="00D1175E" w:rsidP="00976458">
      <w:pPr>
        <w:tabs>
          <w:tab w:val="left" w:pos="284"/>
        </w:tabs>
        <w:ind w:left="284" w:hanging="284"/>
        <w:rPr>
          <w:rStyle w:val="FootnoteTextChar"/>
          <w:szCs w:val="22"/>
        </w:rPr>
      </w:pPr>
      <w:r w:rsidRPr="00363BCD">
        <w:rPr>
          <w:rStyle w:val="FootnoteReference"/>
        </w:rPr>
        <w:footnoteRef/>
      </w:r>
      <w:r>
        <w:tab/>
      </w:r>
      <w:r w:rsidRPr="000B5E98">
        <w:rPr>
          <w:rStyle w:val="FootnoteTextChar"/>
          <w:szCs w:val="22"/>
        </w:rPr>
        <w:t>As noted by CPMI and the World Bank Group (2016), "absence of any of these infrastructure components hinders the national payment system in exploiting the potential benefits of modern payment instruments, and therefore adversely affects financial inclusion".</w:t>
      </w:r>
    </w:p>
  </w:footnote>
  <w:footnote w:id="5">
    <w:p w14:paraId="62DA6A14" w14:textId="24933D8C" w:rsidR="00D1175E" w:rsidRPr="000B5E98" w:rsidRDefault="00D1175E" w:rsidP="00976458">
      <w:pPr>
        <w:tabs>
          <w:tab w:val="left" w:pos="284"/>
        </w:tabs>
        <w:ind w:left="284" w:hanging="284"/>
        <w:rPr>
          <w:rStyle w:val="FootnoteTextChar"/>
          <w:szCs w:val="22"/>
        </w:rPr>
      </w:pPr>
      <w:r w:rsidRPr="00363BCD">
        <w:rPr>
          <w:rStyle w:val="FootnoteReference"/>
        </w:rPr>
        <w:footnoteRef/>
      </w:r>
      <w:r>
        <w:tab/>
      </w:r>
      <w:r w:rsidRPr="000B5E98">
        <w:rPr>
          <w:rStyle w:val="FootnoteTextChar"/>
          <w:szCs w:val="22"/>
        </w:rPr>
        <w:t xml:space="preserve">The World Bank's Global Payment System Survey 2012 shows that RTGS systems are operating in 127 countries. </w:t>
      </w:r>
      <w:proofErr w:type="gramStart"/>
      <w:r w:rsidRPr="000B5E98">
        <w:rPr>
          <w:rStyle w:val="FootnoteTextChar"/>
          <w:szCs w:val="22"/>
        </w:rPr>
        <w:t>There are only two cases in which the operator is not the central bank: Canada and Switzerland.</w:t>
      </w:r>
      <w:proofErr w:type="gramEnd"/>
    </w:p>
  </w:footnote>
  <w:footnote w:id="6">
    <w:p w14:paraId="70246DFC" w14:textId="1AABA2EA" w:rsidR="00D1175E" w:rsidRPr="000B5E98" w:rsidRDefault="00D1175E" w:rsidP="00976458">
      <w:pPr>
        <w:tabs>
          <w:tab w:val="left" w:pos="284"/>
        </w:tabs>
        <w:ind w:left="284" w:hanging="284"/>
        <w:rPr>
          <w:rStyle w:val="FootnoteTextChar"/>
          <w:szCs w:val="22"/>
        </w:rPr>
      </w:pPr>
      <w:r w:rsidRPr="00363BCD">
        <w:rPr>
          <w:rStyle w:val="FootnoteReference"/>
        </w:rPr>
        <w:footnoteRef/>
      </w:r>
      <w:r>
        <w:tab/>
      </w:r>
      <w:r w:rsidRPr="000B5E98">
        <w:rPr>
          <w:rStyle w:val="FootnoteTextChar"/>
          <w:szCs w:val="22"/>
        </w:rPr>
        <w:t xml:space="preserve">Due to the focus of this report being on digital financial services, only ACHs that handle electronic payment instruments </w:t>
      </w:r>
      <w:proofErr w:type="gramStart"/>
      <w:r w:rsidRPr="000B5E98">
        <w:rPr>
          <w:rStyle w:val="FootnoteTextChar"/>
          <w:szCs w:val="22"/>
        </w:rPr>
        <w:t>are discussed</w:t>
      </w:r>
      <w:proofErr w:type="gramEnd"/>
      <w:r w:rsidRPr="000B5E98">
        <w:rPr>
          <w:rStyle w:val="FootnoteTextChar"/>
          <w:szCs w:val="22"/>
        </w:rPr>
        <w:t>.</w:t>
      </w:r>
    </w:p>
  </w:footnote>
  <w:footnote w:id="7">
    <w:p w14:paraId="409C4BE4" w14:textId="5217034E" w:rsidR="00D1175E" w:rsidRPr="000B5E98" w:rsidRDefault="00D1175E" w:rsidP="00976458">
      <w:pPr>
        <w:tabs>
          <w:tab w:val="left" w:pos="284"/>
        </w:tabs>
        <w:ind w:left="284" w:hanging="284"/>
        <w:rPr>
          <w:rStyle w:val="FootnoteTextChar"/>
          <w:szCs w:val="22"/>
        </w:rPr>
      </w:pPr>
      <w:r w:rsidRPr="00363BCD">
        <w:rPr>
          <w:rStyle w:val="FootnoteReference"/>
        </w:rPr>
        <w:footnoteRef/>
      </w:r>
      <w:r>
        <w:tab/>
      </w:r>
      <w:r w:rsidRPr="000B5E98">
        <w:rPr>
          <w:rStyle w:val="FootnoteTextChar"/>
          <w:szCs w:val="22"/>
        </w:rPr>
        <w:t xml:space="preserve">Only transactions with cards issued by a member of the switch and that </w:t>
      </w:r>
      <w:proofErr w:type="gramStart"/>
      <w:r w:rsidRPr="000B5E98">
        <w:rPr>
          <w:rStyle w:val="FootnoteTextChar"/>
          <w:szCs w:val="22"/>
        </w:rPr>
        <w:t>were made</w:t>
      </w:r>
      <w:proofErr w:type="gramEnd"/>
      <w:r w:rsidRPr="000B5E98">
        <w:rPr>
          <w:rStyle w:val="FootnoteTextChar"/>
          <w:szCs w:val="22"/>
        </w:rPr>
        <w:t xml:space="preserve"> at merchants affiliated to (or ATMs belonging to) an acquirer that is also a member can be exchanged, cleared and settled through the platform.</w:t>
      </w:r>
    </w:p>
  </w:footnote>
  <w:footnote w:id="8">
    <w:p w14:paraId="471840AB" w14:textId="6B43F46D" w:rsidR="00D1175E" w:rsidRPr="00F861AA" w:rsidRDefault="00D1175E" w:rsidP="00976458">
      <w:pPr>
        <w:tabs>
          <w:tab w:val="left" w:pos="284"/>
        </w:tabs>
        <w:ind w:left="284" w:hanging="284"/>
        <w:rPr>
          <w:rStyle w:val="FootnoteTextChar"/>
          <w:szCs w:val="22"/>
        </w:rPr>
      </w:pPr>
      <w:r w:rsidRPr="00363BCD">
        <w:rPr>
          <w:rStyle w:val="FootnoteReference"/>
          <w:rFonts w:cs="Arial"/>
          <w:szCs w:val="24"/>
        </w:rPr>
        <w:footnoteRef/>
      </w:r>
      <w:r>
        <w:tab/>
      </w:r>
      <w:r w:rsidRPr="00F861AA">
        <w:rPr>
          <w:rStyle w:val="FootnoteTextChar"/>
          <w:szCs w:val="22"/>
        </w:rPr>
        <w:t>This is relevant, for example, when payment card switch only have regional rather than national coverage, or for payment card transactions made in a foreign country.</w:t>
      </w:r>
    </w:p>
  </w:footnote>
  <w:footnote w:id="9">
    <w:p w14:paraId="0875CDF8" w14:textId="43646D65" w:rsidR="00D1175E" w:rsidRPr="00F861AA" w:rsidRDefault="00D1175E" w:rsidP="00976458">
      <w:pPr>
        <w:tabs>
          <w:tab w:val="left" w:pos="284"/>
        </w:tabs>
        <w:ind w:left="284" w:hanging="284"/>
        <w:rPr>
          <w:rStyle w:val="FootnoteTextChar"/>
          <w:szCs w:val="22"/>
        </w:rPr>
      </w:pPr>
      <w:r w:rsidRPr="00363BCD">
        <w:rPr>
          <w:rStyle w:val="FootnoteReference"/>
          <w:rFonts w:cs="Arial"/>
          <w:szCs w:val="24"/>
        </w:rPr>
        <w:footnoteRef/>
      </w:r>
      <w:r>
        <w:tab/>
      </w:r>
      <w:r w:rsidRPr="00F861AA">
        <w:rPr>
          <w:rStyle w:val="FootnoteTextChar"/>
          <w:szCs w:val="22"/>
        </w:rPr>
        <w:t>These investments are in addition to the initial, per transaction and maintenance fees usually required by the operator of the payments system.</w:t>
      </w:r>
    </w:p>
  </w:footnote>
  <w:footnote w:id="10">
    <w:p w14:paraId="2A6B6183" w14:textId="5C5B44A9" w:rsidR="00D1175E" w:rsidRPr="00F861AA" w:rsidRDefault="00D1175E" w:rsidP="00976458">
      <w:pPr>
        <w:tabs>
          <w:tab w:val="left" w:pos="284"/>
        </w:tabs>
        <w:ind w:left="284" w:hanging="284"/>
        <w:rPr>
          <w:rStyle w:val="FootnoteTextChar"/>
          <w:szCs w:val="22"/>
        </w:rPr>
      </w:pPr>
      <w:r w:rsidRPr="00363BCD">
        <w:rPr>
          <w:rStyle w:val="FootnoteReference"/>
          <w:rFonts w:cs="Arial"/>
          <w:szCs w:val="24"/>
        </w:rPr>
        <w:footnoteRef/>
      </w:r>
      <w:r>
        <w:tab/>
      </w:r>
      <w:r w:rsidRPr="00F861AA">
        <w:rPr>
          <w:rStyle w:val="FootnoteTextChar"/>
          <w:szCs w:val="22"/>
        </w:rPr>
        <w:t xml:space="preserve">ACHs and payment card switches </w:t>
      </w:r>
      <w:proofErr w:type="gramStart"/>
      <w:r w:rsidRPr="00F861AA">
        <w:rPr>
          <w:rStyle w:val="FootnoteTextChar"/>
          <w:szCs w:val="22"/>
        </w:rPr>
        <w:t>are only rarely considered</w:t>
      </w:r>
      <w:proofErr w:type="gramEnd"/>
      <w:r w:rsidRPr="00F861AA">
        <w:rPr>
          <w:rStyle w:val="FootnoteTextChar"/>
          <w:szCs w:val="22"/>
        </w:rPr>
        <w:t xml:space="preserve"> systemically important. Nevertheless, in an increasing number of countries these infrastructures are being considered as "system wide important payment systems" (or similar term), based on their importance for the real economy and the confidence in the domestic currency.</w:t>
      </w:r>
    </w:p>
  </w:footnote>
  <w:footnote w:id="11">
    <w:p w14:paraId="74889DD4" w14:textId="617A800B" w:rsidR="00D1175E" w:rsidRPr="00F861AA" w:rsidRDefault="00D1175E" w:rsidP="00976458">
      <w:pPr>
        <w:tabs>
          <w:tab w:val="left" w:pos="284"/>
        </w:tabs>
        <w:ind w:left="284" w:hanging="284"/>
        <w:rPr>
          <w:rStyle w:val="FootnoteTextChar"/>
          <w:szCs w:val="22"/>
        </w:rPr>
      </w:pPr>
      <w:r w:rsidRPr="00BB7F7F">
        <w:rPr>
          <w:rStyle w:val="FootnoteReference"/>
          <w:rFonts w:cs="Arial"/>
          <w:szCs w:val="24"/>
        </w:rPr>
        <w:footnoteRef/>
      </w:r>
      <w:r>
        <w:tab/>
      </w:r>
      <w:r w:rsidRPr="00F861AA">
        <w:rPr>
          <w:rStyle w:val="FootnoteTextChar"/>
          <w:szCs w:val="22"/>
        </w:rPr>
        <w:t xml:space="preserve">This normally occurs when having an account at the central bank is a condition for becoming part of the clearing and settlement mechanism. This requirement </w:t>
      </w:r>
      <w:proofErr w:type="gramStart"/>
      <w:r w:rsidRPr="00F861AA">
        <w:rPr>
          <w:rStyle w:val="FootnoteTextChar"/>
          <w:szCs w:val="22"/>
        </w:rPr>
        <w:t>is discussed</w:t>
      </w:r>
      <w:proofErr w:type="gramEnd"/>
      <w:r w:rsidRPr="00F861AA">
        <w:rPr>
          <w:rStyle w:val="FootnoteTextChar"/>
          <w:szCs w:val="22"/>
        </w:rPr>
        <w:t xml:space="preserve"> in detail in </w:t>
      </w:r>
      <w:r w:rsidR="00277CD9">
        <w:rPr>
          <w:rStyle w:val="FootnoteTextChar"/>
          <w:szCs w:val="22"/>
        </w:rPr>
        <w:t>clause 9</w:t>
      </w:r>
      <w:r w:rsidRPr="00F861AA">
        <w:rPr>
          <w:rStyle w:val="FootnoteTextChar"/>
          <w:szCs w:val="22"/>
        </w:rPr>
        <w:t xml:space="preserve"> of this document.</w:t>
      </w:r>
    </w:p>
  </w:footnote>
  <w:footnote w:id="12">
    <w:p w14:paraId="381BB38B" w14:textId="0B69DB11" w:rsidR="00D1175E" w:rsidRPr="00F861AA" w:rsidRDefault="00D1175E" w:rsidP="00976458">
      <w:pPr>
        <w:tabs>
          <w:tab w:val="left" w:pos="284"/>
        </w:tabs>
        <w:ind w:left="284" w:hanging="284"/>
        <w:rPr>
          <w:rStyle w:val="FootnoteTextChar"/>
          <w:szCs w:val="22"/>
        </w:rPr>
      </w:pPr>
      <w:r w:rsidRPr="00BB7F7F">
        <w:rPr>
          <w:rStyle w:val="FootnoteReference"/>
          <w:rFonts w:cs="Arial"/>
          <w:szCs w:val="24"/>
        </w:rPr>
        <w:footnoteRef/>
      </w:r>
      <w:r>
        <w:tab/>
      </w:r>
      <w:r w:rsidRPr="00F861AA">
        <w:rPr>
          <w:rStyle w:val="FootnoteTextChar"/>
          <w:szCs w:val="22"/>
        </w:rPr>
        <w:t xml:space="preserve">Some ACHs and/or switches settle in the accounts of a bank </w:t>
      </w:r>
      <w:r w:rsidR="00491C9F">
        <w:rPr>
          <w:rStyle w:val="FootnoteTextChar"/>
          <w:szCs w:val="22"/>
        </w:rPr>
        <w:t>that</w:t>
      </w:r>
      <w:r w:rsidRPr="00F861AA">
        <w:rPr>
          <w:rStyle w:val="FootnoteTextChar"/>
          <w:szCs w:val="22"/>
        </w:rPr>
        <w:t xml:space="preserve"> is one of its participants. As discussed in </w:t>
      </w:r>
      <w:r w:rsidR="00491C9F">
        <w:rPr>
          <w:rStyle w:val="FootnoteTextChar"/>
          <w:szCs w:val="22"/>
        </w:rPr>
        <w:t>clause 9</w:t>
      </w:r>
      <w:r w:rsidRPr="00F861AA">
        <w:rPr>
          <w:rStyle w:val="FootnoteTextChar"/>
          <w:szCs w:val="22"/>
        </w:rPr>
        <w:t xml:space="preserve">, RTGS systems settles in the accounts held at the relevant central bank. This practice </w:t>
      </w:r>
      <w:proofErr w:type="gramStart"/>
      <w:r w:rsidRPr="00F861AA">
        <w:rPr>
          <w:rStyle w:val="FootnoteTextChar"/>
          <w:szCs w:val="22"/>
        </w:rPr>
        <w:t>is generally considered</w:t>
      </w:r>
      <w:proofErr w:type="gramEnd"/>
      <w:r w:rsidRPr="00F861AA">
        <w:rPr>
          <w:rStyle w:val="FootnoteTextChar"/>
          <w:szCs w:val="22"/>
        </w:rPr>
        <w:t xml:space="preserve"> safer than settling through the books of a commercial bank.</w:t>
      </w:r>
    </w:p>
  </w:footnote>
  <w:footnote w:id="13">
    <w:p w14:paraId="19C3BA22" w14:textId="14DDCAF4" w:rsidR="00D1175E" w:rsidRPr="00F861AA" w:rsidRDefault="00D1175E" w:rsidP="00976458">
      <w:pPr>
        <w:tabs>
          <w:tab w:val="left" w:pos="284"/>
        </w:tabs>
        <w:ind w:left="284" w:hanging="284"/>
        <w:rPr>
          <w:rStyle w:val="FootnoteTextChar"/>
          <w:szCs w:val="22"/>
        </w:rPr>
      </w:pPr>
      <w:r w:rsidRPr="00BB7F7F">
        <w:rPr>
          <w:rStyle w:val="FootnoteReference"/>
          <w:rFonts w:cs="Arial"/>
          <w:szCs w:val="24"/>
        </w:rPr>
        <w:footnoteRef/>
      </w:r>
      <w:r>
        <w:tab/>
      </w:r>
      <w:r w:rsidRPr="00F861AA">
        <w:rPr>
          <w:rStyle w:val="FootnoteTextChar"/>
          <w:szCs w:val="22"/>
        </w:rPr>
        <w:t>In some systems, however, the operator may need more continuous access to the RTGS system to, for example, manage collateral in cash posted by its participants and which is deposited at their account with the central bank.</w:t>
      </w:r>
    </w:p>
  </w:footnote>
  <w:footnote w:id="14">
    <w:p w14:paraId="04C86DA4" w14:textId="7137BDC9" w:rsidR="00D1175E" w:rsidRPr="00F861AA" w:rsidRDefault="00D1175E" w:rsidP="00976458">
      <w:pPr>
        <w:tabs>
          <w:tab w:val="left" w:pos="284"/>
        </w:tabs>
        <w:ind w:left="284" w:hanging="284"/>
        <w:rPr>
          <w:rStyle w:val="FootnoteTextChar"/>
          <w:szCs w:val="22"/>
        </w:rPr>
      </w:pPr>
      <w:r w:rsidRPr="00BB7F7F">
        <w:rPr>
          <w:rStyle w:val="FootnoteReference"/>
          <w:rFonts w:cs="Arial"/>
          <w:szCs w:val="24"/>
        </w:rPr>
        <w:footnoteRef/>
      </w:r>
      <w:r>
        <w:tab/>
      </w:r>
      <w:r w:rsidRPr="00F861AA">
        <w:rPr>
          <w:rStyle w:val="FootnoteTextChar"/>
          <w:szCs w:val="22"/>
        </w:rPr>
        <w:t>Depending on the specific system and its design, this may make the participation of such entities impossible from a practical perspective.</w:t>
      </w:r>
    </w:p>
  </w:footnote>
  <w:footnote w:id="15">
    <w:p w14:paraId="1822E467" w14:textId="1C8B05E6" w:rsidR="00D1175E" w:rsidRPr="00BB7F7F" w:rsidRDefault="00D1175E" w:rsidP="00976458">
      <w:pPr>
        <w:tabs>
          <w:tab w:val="left" w:pos="284"/>
        </w:tabs>
        <w:ind w:left="284" w:hanging="284"/>
        <w:rPr>
          <w:sz w:val="22"/>
          <w:szCs w:val="22"/>
        </w:rPr>
      </w:pPr>
      <w:r w:rsidRPr="00BB7F7F">
        <w:rPr>
          <w:rStyle w:val="FootnoteReference"/>
          <w:rFonts w:cs="Arial"/>
          <w:szCs w:val="24"/>
        </w:rPr>
        <w:footnoteRef/>
      </w:r>
      <w:r>
        <w:tab/>
      </w:r>
      <w:r w:rsidRPr="00F861AA">
        <w:rPr>
          <w:rStyle w:val="FootnoteTextChar"/>
          <w:szCs w:val="22"/>
        </w:rPr>
        <w:t>Other FMIs include central securities depositories, securities settlement systems, central counterparties and trade repositories.</w:t>
      </w:r>
    </w:p>
  </w:footnote>
  <w:footnote w:id="16">
    <w:p w14:paraId="0DA10343" w14:textId="60C80F50" w:rsidR="00D1175E" w:rsidRPr="0072620A" w:rsidRDefault="00D1175E" w:rsidP="00976458">
      <w:pPr>
        <w:tabs>
          <w:tab w:val="left" w:pos="284"/>
        </w:tabs>
        <w:ind w:left="284" w:hanging="284"/>
        <w:rPr>
          <w:rStyle w:val="FootnoteTextChar"/>
          <w:szCs w:val="22"/>
        </w:rPr>
      </w:pPr>
      <w:r w:rsidRPr="002164E7">
        <w:rPr>
          <w:rStyle w:val="FootnoteReference"/>
          <w:rFonts w:cs="Arial"/>
          <w:szCs w:val="24"/>
        </w:rPr>
        <w:footnoteRef/>
      </w:r>
      <w:r>
        <w:tab/>
      </w:r>
      <w:r w:rsidRPr="0072620A">
        <w:rPr>
          <w:rStyle w:val="FootnoteTextChar"/>
          <w:szCs w:val="22"/>
        </w:rPr>
        <w:t>Guiding principle 3 on Financial and ICT infrastructures: "Robust, safe, efficient and widely reachable financial and ICT infrastructures are effective for the provision of transaction accounts services, and also support the provision of broader financial services".</w:t>
      </w:r>
    </w:p>
  </w:footnote>
  <w:footnote w:id="17">
    <w:p w14:paraId="7506CB86" w14:textId="55A6723D" w:rsidR="00D1175E" w:rsidRPr="0072620A" w:rsidRDefault="00D1175E" w:rsidP="00976458">
      <w:pPr>
        <w:tabs>
          <w:tab w:val="left" w:pos="284"/>
        </w:tabs>
        <w:ind w:left="284" w:hanging="284"/>
        <w:rPr>
          <w:rStyle w:val="FootnoteTextChar"/>
          <w:szCs w:val="22"/>
        </w:rPr>
      </w:pPr>
      <w:r w:rsidRPr="002164E7">
        <w:rPr>
          <w:rStyle w:val="FootnoteReference"/>
          <w:rFonts w:cs="Arial"/>
          <w:szCs w:val="24"/>
        </w:rPr>
        <w:footnoteRef/>
      </w:r>
      <w:r w:rsidRPr="002164E7">
        <w:rPr>
          <w:sz w:val="22"/>
          <w:szCs w:val="22"/>
        </w:rPr>
        <w:tab/>
      </w:r>
      <w:r w:rsidRPr="0072620A">
        <w:rPr>
          <w:rStyle w:val="FootnoteTextChar"/>
          <w:szCs w:val="22"/>
        </w:rPr>
        <w:t xml:space="preserve">For example, there may be concerns that such other entities, once they join the system, </w:t>
      </w:r>
      <w:proofErr w:type="gramStart"/>
      <w:r w:rsidRPr="0072620A">
        <w:rPr>
          <w:rStyle w:val="FootnoteTextChar"/>
          <w:szCs w:val="22"/>
        </w:rPr>
        <w:t>may be seen</w:t>
      </w:r>
      <w:proofErr w:type="gramEnd"/>
      <w:r w:rsidRPr="0072620A">
        <w:rPr>
          <w:rStyle w:val="FootnoteTextChar"/>
          <w:szCs w:val="22"/>
        </w:rPr>
        <w:t xml:space="preserve"> as being under the general regulatory purview of the central bank and being covered by "safety net" mechanisms.</w:t>
      </w:r>
    </w:p>
  </w:footnote>
  <w:footnote w:id="18">
    <w:p w14:paraId="20BAB7A3" w14:textId="5FD3B917" w:rsidR="00D1175E" w:rsidRPr="00FF2387" w:rsidRDefault="00D1175E" w:rsidP="000568D2">
      <w:pPr>
        <w:tabs>
          <w:tab w:val="left" w:pos="284"/>
        </w:tabs>
        <w:ind w:left="284" w:hanging="284"/>
        <w:rPr>
          <w:rStyle w:val="FootnoteTextChar"/>
          <w:szCs w:val="22"/>
        </w:rPr>
      </w:pPr>
      <w:r w:rsidRPr="00F15B65">
        <w:rPr>
          <w:rStyle w:val="FootnoteReference"/>
          <w:rFonts w:cs="Arial"/>
          <w:szCs w:val="24"/>
        </w:rPr>
        <w:footnoteRef/>
      </w:r>
      <w:r>
        <w:tab/>
      </w:r>
      <w:r w:rsidRPr="00FF2387">
        <w:rPr>
          <w:rStyle w:val="FootnoteTextChar"/>
          <w:szCs w:val="22"/>
        </w:rPr>
        <w:t xml:space="preserve">As part of the so-called "de-risking" trend, many banks that are cancelling or denying these services to PSPs such as non-bank remittance service providers (RSPs), especially at the cross-border level. Some large global banks are even denying these services to foreign banks </w:t>
      </w:r>
      <w:r w:rsidR="005D565A">
        <w:rPr>
          <w:rStyle w:val="FootnoteTextChar"/>
          <w:szCs w:val="22"/>
        </w:rPr>
        <w:t>that</w:t>
      </w:r>
      <w:r w:rsidRPr="00FF2387">
        <w:rPr>
          <w:rStyle w:val="FootnoteTextChar"/>
          <w:szCs w:val="22"/>
        </w:rPr>
        <w:t xml:space="preserve"> depend on the former for all sorts of cross-border transactions. For more </w:t>
      </w:r>
      <w:r w:rsidR="005D565A" w:rsidRPr="00FF2387">
        <w:rPr>
          <w:rStyle w:val="FootnoteTextChar"/>
          <w:szCs w:val="22"/>
        </w:rPr>
        <w:t>information,</w:t>
      </w:r>
      <w:r w:rsidRPr="00FF2387">
        <w:rPr>
          <w:rStyle w:val="FootnoteTextChar"/>
          <w:szCs w:val="22"/>
        </w:rPr>
        <w:t xml:space="preserve"> see CPMI (2016) and The World Bank (2015).</w:t>
      </w:r>
    </w:p>
  </w:footnote>
  <w:footnote w:id="19">
    <w:p w14:paraId="3623A7AE" w14:textId="74B2B935" w:rsidR="00D1175E" w:rsidRPr="00FF2387" w:rsidRDefault="00D1175E" w:rsidP="000568D2">
      <w:pPr>
        <w:tabs>
          <w:tab w:val="left" w:pos="284"/>
        </w:tabs>
        <w:ind w:left="284" w:hanging="284"/>
        <w:rPr>
          <w:rStyle w:val="FootnoteTextChar"/>
          <w:szCs w:val="22"/>
        </w:rPr>
      </w:pPr>
      <w:r w:rsidRPr="00F15B65">
        <w:rPr>
          <w:rStyle w:val="FootnoteReference"/>
          <w:rFonts w:cs="Arial"/>
          <w:szCs w:val="24"/>
        </w:rPr>
        <w:footnoteRef/>
      </w:r>
      <w:r>
        <w:tab/>
      </w:r>
      <w:r w:rsidRPr="00FF2387">
        <w:rPr>
          <w:rStyle w:val="FootnoteTextChar"/>
          <w:szCs w:val="22"/>
        </w:rPr>
        <w:t>Moreover, with regard to direct access CPMI and the World Bank (2007) state "Payment system operators and their overseers may want to check whether their direct access requirements are consistent with international principles to ensure payment system safety and soundness. Access criteria should be clear, well defined and fair; and access should be granted to all entities, including RSPs, which comply with such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09800" w14:textId="1011DFD9" w:rsidR="00D1175E" w:rsidRDefault="00D11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3438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14A0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6431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BC4A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1252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2A9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2804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601B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749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21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E4FB9"/>
    <w:multiLevelType w:val="hybridMultilevel"/>
    <w:tmpl w:val="5B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81204"/>
    <w:multiLevelType w:val="hybridMultilevel"/>
    <w:tmpl w:val="C338C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D70FE"/>
    <w:multiLevelType w:val="hybridMultilevel"/>
    <w:tmpl w:val="13F4FCDE"/>
    <w:lvl w:ilvl="0" w:tplc="6F78BE58">
      <w:start w:val="1"/>
      <w:numFmt w:val="bullet"/>
      <w:lvlText w:val=""/>
      <w:lvlJc w:val="left"/>
      <w:pPr>
        <w:ind w:left="177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673CE4"/>
    <w:multiLevelType w:val="hybridMultilevel"/>
    <w:tmpl w:val="9EB617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F4E14"/>
    <w:multiLevelType w:val="hybridMultilevel"/>
    <w:tmpl w:val="928A2EAA"/>
    <w:lvl w:ilvl="0" w:tplc="A844E870">
      <w:start w:val="1"/>
      <w:numFmt w:val="decimal"/>
      <w:lvlText w:val="%1."/>
      <w:lvlJc w:val="left"/>
      <w:pPr>
        <w:ind w:left="907" w:hanging="360"/>
      </w:pPr>
      <w:rPr>
        <w:rFonts w:asciiTheme="minorHAnsi" w:eastAsia="MS Mincho" w:hAnsiTheme="minorHAnsi" w:cs="Arial"/>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15:restartNumberingAfterBreak="0">
    <w:nsid w:val="305F57D2"/>
    <w:multiLevelType w:val="hybridMultilevel"/>
    <w:tmpl w:val="9A7A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01BD1"/>
    <w:multiLevelType w:val="hybridMultilevel"/>
    <w:tmpl w:val="7B12DE06"/>
    <w:lvl w:ilvl="0" w:tplc="84F64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71CB2"/>
    <w:multiLevelType w:val="hybridMultilevel"/>
    <w:tmpl w:val="0B5AF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FEF65D1"/>
    <w:multiLevelType w:val="hybridMultilevel"/>
    <w:tmpl w:val="6DE09634"/>
    <w:lvl w:ilvl="0" w:tplc="F2A2F43A">
      <w:start w:val="1"/>
      <w:numFmt w:val="bullet"/>
      <w:lvlText w:val=""/>
      <w:lvlJc w:val="left"/>
      <w:pPr>
        <w:ind w:left="720" w:hanging="360"/>
      </w:pPr>
      <w:rPr>
        <w:rFonts w:ascii="Symbol" w:hAnsi="Symbol" w:hint="default"/>
      </w:rPr>
    </w:lvl>
    <w:lvl w:ilvl="1" w:tplc="A852F8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F268B"/>
    <w:multiLevelType w:val="hybridMultilevel"/>
    <w:tmpl w:val="74D8F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A5AEC"/>
    <w:multiLevelType w:val="hybridMultilevel"/>
    <w:tmpl w:val="83E4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22423"/>
    <w:multiLevelType w:val="hybridMultilevel"/>
    <w:tmpl w:val="2FE48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D78DC"/>
    <w:multiLevelType w:val="hybridMultilevel"/>
    <w:tmpl w:val="2CB47320"/>
    <w:lvl w:ilvl="0" w:tplc="F91A0A9A">
      <w:start w:val="1"/>
      <w:numFmt w:val="lowerRoman"/>
      <w:lvlText w:val="%1)"/>
      <w:lvlJc w:val="left"/>
      <w:pPr>
        <w:ind w:left="1260" w:hanging="720"/>
      </w:pPr>
      <w:rPr>
        <w:rFonts w:hint="default"/>
      </w:rPr>
    </w:lvl>
    <w:lvl w:ilvl="1" w:tplc="20090019" w:tentative="1">
      <w:start w:val="1"/>
      <w:numFmt w:val="lowerLetter"/>
      <w:lvlText w:val="%2."/>
      <w:lvlJc w:val="left"/>
      <w:pPr>
        <w:ind w:left="1620" w:hanging="360"/>
      </w:pPr>
    </w:lvl>
    <w:lvl w:ilvl="2" w:tplc="2009001B" w:tentative="1">
      <w:start w:val="1"/>
      <w:numFmt w:val="lowerRoman"/>
      <w:lvlText w:val="%3."/>
      <w:lvlJc w:val="right"/>
      <w:pPr>
        <w:ind w:left="2340" w:hanging="180"/>
      </w:pPr>
    </w:lvl>
    <w:lvl w:ilvl="3" w:tplc="2009000F" w:tentative="1">
      <w:start w:val="1"/>
      <w:numFmt w:val="decimal"/>
      <w:lvlText w:val="%4."/>
      <w:lvlJc w:val="left"/>
      <w:pPr>
        <w:ind w:left="3060" w:hanging="360"/>
      </w:pPr>
    </w:lvl>
    <w:lvl w:ilvl="4" w:tplc="20090019" w:tentative="1">
      <w:start w:val="1"/>
      <w:numFmt w:val="lowerLetter"/>
      <w:lvlText w:val="%5."/>
      <w:lvlJc w:val="left"/>
      <w:pPr>
        <w:ind w:left="3780" w:hanging="360"/>
      </w:pPr>
    </w:lvl>
    <w:lvl w:ilvl="5" w:tplc="2009001B" w:tentative="1">
      <w:start w:val="1"/>
      <w:numFmt w:val="lowerRoman"/>
      <w:lvlText w:val="%6."/>
      <w:lvlJc w:val="right"/>
      <w:pPr>
        <w:ind w:left="4500" w:hanging="180"/>
      </w:pPr>
    </w:lvl>
    <w:lvl w:ilvl="6" w:tplc="2009000F" w:tentative="1">
      <w:start w:val="1"/>
      <w:numFmt w:val="decimal"/>
      <w:lvlText w:val="%7."/>
      <w:lvlJc w:val="left"/>
      <w:pPr>
        <w:ind w:left="5220" w:hanging="360"/>
      </w:pPr>
    </w:lvl>
    <w:lvl w:ilvl="7" w:tplc="20090019" w:tentative="1">
      <w:start w:val="1"/>
      <w:numFmt w:val="lowerLetter"/>
      <w:lvlText w:val="%8."/>
      <w:lvlJc w:val="left"/>
      <w:pPr>
        <w:ind w:left="5940" w:hanging="360"/>
      </w:pPr>
    </w:lvl>
    <w:lvl w:ilvl="8" w:tplc="2009001B" w:tentative="1">
      <w:start w:val="1"/>
      <w:numFmt w:val="lowerRoman"/>
      <w:lvlText w:val="%9."/>
      <w:lvlJc w:val="right"/>
      <w:pPr>
        <w:ind w:left="6660" w:hanging="180"/>
      </w:pPr>
    </w:lvl>
  </w:abstractNum>
  <w:abstractNum w:abstractNumId="23" w15:restartNumberingAfterBreak="0">
    <w:nsid w:val="581B51A0"/>
    <w:multiLevelType w:val="hybridMultilevel"/>
    <w:tmpl w:val="462EAAB2"/>
    <w:lvl w:ilvl="0" w:tplc="6F546D0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5FBB6008"/>
    <w:multiLevelType w:val="hybridMultilevel"/>
    <w:tmpl w:val="403CABEA"/>
    <w:lvl w:ilvl="0" w:tplc="B4E0A286">
      <w:start w:val="1"/>
      <w:numFmt w:val="bulle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3D308E"/>
    <w:multiLevelType w:val="hybridMultilevel"/>
    <w:tmpl w:val="A340738A"/>
    <w:lvl w:ilvl="0" w:tplc="EB8E2D4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DF1AEE"/>
    <w:multiLevelType w:val="hybridMultilevel"/>
    <w:tmpl w:val="AB964114"/>
    <w:lvl w:ilvl="0" w:tplc="C79A12E2">
      <w:start w:val="1"/>
      <w:numFmt w:val="bullet"/>
      <w:lvlText w:val=""/>
      <w:lvlJc w:val="left"/>
      <w:pPr>
        <w:ind w:left="720" w:hanging="360"/>
      </w:pPr>
      <w:rPr>
        <w:rFonts w:ascii="Symbol" w:hAnsi="Symbol" w:hint="default"/>
      </w:rPr>
    </w:lvl>
    <w:lvl w:ilvl="1" w:tplc="28269FDC">
      <w:start w:val="1"/>
      <w:numFmt w:val="bullet"/>
      <w:lvlText w:val="-"/>
      <w:lvlJc w:val="left"/>
      <w:pPr>
        <w:ind w:left="1440" w:hanging="360"/>
      </w:pPr>
      <w:rPr>
        <w:rFonts w:ascii="Avenir Next Medium" w:hAnsi="Avenir Next Medium"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12"/>
  </w:num>
  <w:num w:numId="3">
    <w:abstractNumId w:val="26"/>
  </w:num>
  <w:num w:numId="4">
    <w:abstractNumId w:val="18"/>
  </w:num>
  <w:num w:numId="5">
    <w:abstractNumId w:val="15"/>
  </w:num>
  <w:num w:numId="6">
    <w:abstractNumId w:val="27"/>
  </w:num>
  <w:num w:numId="7">
    <w:abstractNumId w:val="13"/>
  </w:num>
  <w:num w:numId="8">
    <w:abstractNumId w:val="27"/>
  </w:num>
  <w:num w:numId="9">
    <w:abstractNumId w:val="27"/>
  </w:num>
  <w:num w:numId="10">
    <w:abstractNumId w:val="22"/>
  </w:num>
  <w:num w:numId="11">
    <w:abstractNumId w:val="27"/>
  </w:num>
  <w:num w:numId="12">
    <w:abstractNumId w:val="27"/>
  </w:num>
  <w:num w:numId="13">
    <w:abstractNumId w:val="27"/>
  </w:num>
  <w:num w:numId="14">
    <w:abstractNumId w:val="27"/>
  </w:num>
  <w:num w:numId="15">
    <w:abstractNumId w:val="27"/>
  </w:num>
  <w:num w:numId="16">
    <w:abstractNumId w:val="27"/>
  </w:num>
  <w:num w:numId="17">
    <w:abstractNumId w:val="27"/>
  </w:num>
  <w:num w:numId="18">
    <w:abstractNumId w:val="27"/>
  </w:num>
  <w:num w:numId="19">
    <w:abstractNumId w:val="16"/>
  </w:num>
  <w:num w:numId="20">
    <w:abstractNumId w:val="27"/>
  </w:num>
  <w:num w:numId="21">
    <w:abstractNumId w:val="27"/>
  </w:num>
  <w:num w:numId="22">
    <w:abstractNumId w:val="24"/>
  </w:num>
  <w:num w:numId="23">
    <w:abstractNumId w:val="17"/>
  </w:num>
  <w:num w:numId="24">
    <w:abstractNumId w:val="19"/>
  </w:num>
  <w:num w:numId="25">
    <w:abstractNumId w:val="20"/>
  </w:num>
  <w:num w:numId="26">
    <w:abstractNumId w:val="11"/>
  </w:num>
  <w:num w:numId="27">
    <w:abstractNumId w:val="14"/>
  </w:num>
  <w:num w:numId="28">
    <w:abstractNumId w:val="23"/>
  </w:num>
  <w:num w:numId="29">
    <w:abstractNumId w:val="21"/>
  </w:num>
  <w:num w:numId="30">
    <w:abstractNumId w:val="25"/>
  </w:num>
  <w:num w:numId="31">
    <w:abstractNumId w:val="10"/>
  </w:num>
  <w:num w:numId="32">
    <w:abstractNumId w:val="27"/>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CB"/>
    <w:rsid w:val="00003CAA"/>
    <w:rsid w:val="00004356"/>
    <w:rsid w:val="00004A38"/>
    <w:rsid w:val="00004C0C"/>
    <w:rsid w:val="00006FD8"/>
    <w:rsid w:val="00010919"/>
    <w:rsid w:val="00020A1E"/>
    <w:rsid w:val="00023097"/>
    <w:rsid w:val="0003282B"/>
    <w:rsid w:val="00041CEE"/>
    <w:rsid w:val="00053924"/>
    <w:rsid w:val="000568D2"/>
    <w:rsid w:val="00060CEF"/>
    <w:rsid w:val="00067382"/>
    <w:rsid w:val="00072CF3"/>
    <w:rsid w:val="0007532E"/>
    <w:rsid w:val="00080991"/>
    <w:rsid w:val="00083AE5"/>
    <w:rsid w:val="00087100"/>
    <w:rsid w:val="000943CC"/>
    <w:rsid w:val="00095081"/>
    <w:rsid w:val="000A3E15"/>
    <w:rsid w:val="000B240A"/>
    <w:rsid w:val="000B48B5"/>
    <w:rsid w:val="000B4904"/>
    <w:rsid w:val="000B5E98"/>
    <w:rsid w:val="000C35B0"/>
    <w:rsid w:val="000D395A"/>
    <w:rsid w:val="001010EC"/>
    <w:rsid w:val="001021C1"/>
    <w:rsid w:val="00107B74"/>
    <w:rsid w:val="001224A9"/>
    <w:rsid w:val="0012413B"/>
    <w:rsid w:val="00127CDE"/>
    <w:rsid w:val="00133E4A"/>
    <w:rsid w:val="00146A98"/>
    <w:rsid w:val="00152C27"/>
    <w:rsid w:val="00163B1D"/>
    <w:rsid w:val="0017136C"/>
    <w:rsid w:val="001777B3"/>
    <w:rsid w:val="001866DC"/>
    <w:rsid w:val="00190A2B"/>
    <w:rsid w:val="00194D55"/>
    <w:rsid w:val="001B4A81"/>
    <w:rsid w:val="001C0BC3"/>
    <w:rsid w:val="001C1902"/>
    <w:rsid w:val="001D1DA8"/>
    <w:rsid w:val="001E0A1C"/>
    <w:rsid w:val="001E3974"/>
    <w:rsid w:val="00210FBF"/>
    <w:rsid w:val="00212D92"/>
    <w:rsid w:val="00214B7B"/>
    <w:rsid w:val="00216074"/>
    <w:rsid w:val="002164E7"/>
    <w:rsid w:val="00223588"/>
    <w:rsid w:val="00223A12"/>
    <w:rsid w:val="002240A7"/>
    <w:rsid w:val="002378FD"/>
    <w:rsid w:val="002506D1"/>
    <w:rsid w:val="00263A2C"/>
    <w:rsid w:val="00277CD9"/>
    <w:rsid w:val="00291042"/>
    <w:rsid w:val="0029185B"/>
    <w:rsid w:val="002A45A6"/>
    <w:rsid w:val="002B0E11"/>
    <w:rsid w:val="002B6993"/>
    <w:rsid w:val="002C1A6F"/>
    <w:rsid w:val="002C67BB"/>
    <w:rsid w:val="002D41EB"/>
    <w:rsid w:val="002F4A28"/>
    <w:rsid w:val="0030222D"/>
    <w:rsid w:val="003076FB"/>
    <w:rsid w:val="0031361B"/>
    <w:rsid w:val="00320C88"/>
    <w:rsid w:val="003233ED"/>
    <w:rsid w:val="00344A62"/>
    <w:rsid w:val="00346C7A"/>
    <w:rsid w:val="00355736"/>
    <w:rsid w:val="00360F00"/>
    <w:rsid w:val="00363BCD"/>
    <w:rsid w:val="003859FC"/>
    <w:rsid w:val="003904D0"/>
    <w:rsid w:val="003A4716"/>
    <w:rsid w:val="003A73E5"/>
    <w:rsid w:val="003B5C40"/>
    <w:rsid w:val="003D6ABF"/>
    <w:rsid w:val="003E1CC9"/>
    <w:rsid w:val="003E2131"/>
    <w:rsid w:val="003E4AF9"/>
    <w:rsid w:val="003E5182"/>
    <w:rsid w:val="003F03EC"/>
    <w:rsid w:val="003F08B8"/>
    <w:rsid w:val="003F6215"/>
    <w:rsid w:val="00402E35"/>
    <w:rsid w:val="0040365C"/>
    <w:rsid w:val="0040627C"/>
    <w:rsid w:val="00412492"/>
    <w:rsid w:val="004177FD"/>
    <w:rsid w:val="004474AD"/>
    <w:rsid w:val="00467172"/>
    <w:rsid w:val="00467B14"/>
    <w:rsid w:val="00491C9F"/>
    <w:rsid w:val="00492BA3"/>
    <w:rsid w:val="00495B26"/>
    <w:rsid w:val="004A48C5"/>
    <w:rsid w:val="004B03B0"/>
    <w:rsid w:val="004B39E2"/>
    <w:rsid w:val="004C062A"/>
    <w:rsid w:val="004C46CD"/>
    <w:rsid w:val="004D2D37"/>
    <w:rsid w:val="004D73CD"/>
    <w:rsid w:val="004E54C6"/>
    <w:rsid w:val="004E7A0B"/>
    <w:rsid w:val="00501210"/>
    <w:rsid w:val="00501B49"/>
    <w:rsid w:val="00512F90"/>
    <w:rsid w:val="005415F4"/>
    <w:rsid w:val="005416F0"/>
    <w:rsid w:val="005440B4"/>
    <w:rsid w:val="005569A4"/>
    <w:rsid w:val="0056321D"/>
    <w:rsid w:val="005644F4"/>
    <w:rsid w:val="00575315"/>
    <w:rsid w:val="005A14F2"/>
    <w:rsid w:val="005A5E9D"/>
    <w:rsid w:val="005B035A"/>
    <w:rsid w:val="005B7373"/>
    <w:rsid w:val="005C712C"/>
    <w:rsid w:val="005D565A"/>
    <w:rsid w:val="00601438"/>
    <w:rsid w:val="00601FE4"/>
    <w:rsid w:val="0060241A"/>
    <w:rsid w:val="00614441"/>
    <w:rsid w:val="00633928"/>
    <w:rsid w:val="0064792C"/>
    <w:rsid w:val="0065018E"/>
    <w:rsid w:val="00665E46"/>
    <w:rsid w:val="006727AE"/>
    <w:rsid w:val="00675621"/>
    <w:rsid w:val="006935CA"/>
    <w:rsid w:val="006A6704"/>
    <w:rsid w:val="006E4973"/>
    <w:rsid w:val="006F3415"/>
    <w:rsid w:val="0072620A"/>
    <w:rsid w:val="00737170"/>
    <w:rsid w:val="00742F32"/>
    <w:rsid w:val="00744C3F"/>
    <w:rsid w:val="00774747"/>
    <w:rsid w:val="00783519"/>
    <w:rsid w:val="00785779"/>
    <w:rsid w:val="0078796F"/>
    <w:rsid w:val="0079131F"/>
    <w:rsid w:val="007A14E2"/>
    <w:rsid w:val="007B3553"/>
    <w:rsid w:val="007B5718"/>
    <w:rsid w:val="007B5E84"/>
    <w:rsid w:val="007B70EE"/>
    <w:rsid w:val="007D2226"/>
    <w:rsid w:val="007D3C14"/>
    <w:rsid w:val="007D3C5D"/>
    <w:rsid w:val="007D6B0C"/>
    <w:rsid w:val="007E1AC8"/>
    <w:rsid w:val="007E282D"/>
    <w:rsid w:val="007F08EB"/>
    <w:rsid w:val="007F3528"/>
    <w:rsid w:val="007F417E"/>
    <w:rsid w:val="007F7AD0"/>
    <w:rsid w:val="008041A1"/>
    <w:rsid w:val="008136AF"/>
    <w:rsid w:val="0083023F"/>
    <w:rsid w:val="0083155E"/>
    <w:rsid w:val="00833460"/>
    <w:rsid w:val="00833C4C"/>
    <w:rsid w:val="0084023B"/>
    <w:rsid w:val="00844F16"/>
    <w:rsid w:val="008459E4"/>
    <w:rsid w:val="008548F2"/>
    <w:rsid w:val="00887D58"/>
    <w:rsid w:val="008A4511"/>
    <w:rsid w:val="008A693C"/>
    <w:rsid w:val="008B001E"/>
    <w:rsid w:val="008B1E5B"/>
    <w:rsid w:val="008C2F1C"/>
    <w:rsid w:val="008D24BE"/>
    <w:rsid w:val="008E6D55"/>
    <w:rsid w:val="008F32D1"/>
    <w:rsid w:val="009006EC"/>
    <w:rsid w:val="0090733E"/>
    <w:rsid w:val="00907B6B"/>
    <w:rsid w:val="00911869"/>
    <w:rsid w:val="0091529C"/>
    <w:rsid w:val="00916B16"/>
    <w:rsid w:val="0095214F"/>
    <w:rsid w:val="0095330F"/>
    <w:rsid w:val="00960647"/>
    <w:rsid w:val="00962424"/>
    <w:rsid w:val="00962725"/>
    <w:rsid w:val="009635CB"/>
    <w:rsid w:val="00967BF3"/>
    <w:rsid w:val="00976458"/>
    <w:rsid w:val="00977A0F"/>
    <w:rsid w:val="00981C2C"/>
    <w:rsid w:val="009849B5"/>
    <w:rsid w:val="009A09E1"/>
    <w:rsid w:val="009A4898"/>
    <w:rsid w:val="009A4F98"/>
    <w:rsid w:val="009B1F05"/>
    <w:rsid w:val="009C01D1"/>
    <w:rsid w:val="009C46D8"/>
    <w:rsid w:val="009C7677"/>
    <w:rsid w:val="009D1EA8"/>
    <w:rsid w:val="009D26EB"/>
    <w:rsid w:val="009E0242"/>
    <w:rsid w:val="009E0E9F"/>
    <w:rsid w:val="009E1B5A"/>
    <w:rsid w:val="009F4B19"/>
    <w:rsid w:val="00A01C5E"/>
    <w:rsid w:val="00A2356F"/>
    <w:rsid w:val="00A35B63"/>
    <w:rsid w:val="00A36E26"/>
    <w:rsid w:val="00A463D3"/>
    <w:rsid w:val="00A51DCB"/>
    <w:rsid w:val="00A55E4F"/>
    <w:rsid w:val="00A561C6"/>
    <w:rsid w:val="00A7792D"/>
    <w:rsid w:val="00A90B48"/>
    <w:rsid w:val="00A9295B"/>
    <w:rsid w:val="00A93B35"/>
    <w:rsid w:val="00AA29AB"/>
    <w:rsid w:val="00AA4884"/>
    <w:rsid w:val="00AC4FEC"/>
    <w:rsid w:val="00AD4710"/>
    <w:rsid w:val="00AE19F0"/>
    <w:rsid w:val="00AF0764"/>
    <w:rsid w:val="00AF3A7B"/>
    <w:rsid w:val="00B05E47"/>
    <w:rsid w:val="00B13A0D"/>
    <w:rsid w:val="00B2091A"/>
    <w:rsid w:val="00B22DA4"/>
    <w:rsid w:val="00B33670"/>
    <w:rsid w:val="00B42735"/>
    <w:rsid w:val="00B45E97"/>
    <w:rsid w:val="00B51CCD"/>
    <w:rsid w:val="00B60E2E"/>
    <w:rsid w:val="00B6296C"/>
    <w:rsid w:val="00B639E4"/>
    <w:rsid w:val="00B665A8"/>
    <w:rsid w:val="00B72F51"/>
    <w:rsid w:val="00B825B6"/>
    <w:rsid w:val="00B847E7"/>
    <w:rsid w:val="00B85F00"/>
    <w:rsid w:val="00B87323"/>
    <w:rsid w:val="00B93849"/>
    <w:rsid w:val="00BA27CD"/>
    <w:rsid w:val="00BB47E0"/>
    <w:rsid w:val="00BB7441"/>
    <w:rsid w:val="00BB7F7F"/>
    <w:rsid w:val="00BC1E2E"/>
    <w:rsid w:val="00BC69C7"/>
    <w:rsid w:val="00BD1A26"/>
    <w:rsid w:val="00BD6371"/>
    <w:rsid w:val="00BE2F82"/>
    <w:rsid w:val="00BE31B6"/>
    <w:rsid w:val="00BE68AA"/>
    <w:rsid w:val="00BE6D8C"/>
    <w:rsid w:val="00BF6782"/>
    <w:rsid w:val="00BF6DB7"/>
    <w:rsid w:val="00C066A8"/>
    <w:rsid w:val="00C1062C"/>
    <w:rsid w:val="00C15D2C"/>
    <w:rsid w:val="00C25F67"/>
    <w:rsid w:val="00C26533"/>
    <w:rsid w:val="00C273C0"/>
    <w:rsid w:val="00C34BDB"/>
    <w:rsid w:val="00C37DF4"/>
    <w:rsid w:val="00C42501"/>
    <w:rsid w:val="00C46920"/>
    <w:rsid w:val="00C46E1C"/>
    <w:rsid w:val="00C71E72"/>
    <w:rsid w:val="00C7278E"/>
    <w:rsid w:val="00C80C5B"/>
    <w:rsid w:val="00C8520A"/>
    <w:rsid w:val="00C87A67"/>
    <w:rsid w:val="00C932B1"/>
    <w:rsid w:val="00C95582"/>
    <w:rsid w:val="00CA3F8B"/>
    <w:rsid w:val="00CA6A4B"/>
    <w:rsid w:val="00CA7EB6"/>
    <w:rsid w:val="00CC5EE1"/>
    <w:rsid w:val="00CD2C6D"/>
    <w:rsid w:val="00CD5968"/>
    <w:rsid w:val="00CD779B"/>
    <w:rsid w:val="00CE13DE"/>
    <w:rsid w:val="00CE189D"/>
    <w:rsid w:val="00CE1B40"/>
    <w:rsid w:val="00CE5DD9"/>
    <w:rsid w:val="00CF0849"/>
    <w:rsid w:val="00CF105D"/>
    <w:rsid w:val="00CF30DA"/>
    <w:rsid w:val="00CF436A"/>
    <w:rsid w:val="00CF7A6A"/>
    <w:rsid w:val="00D03B03"/>
    <w:rsid w:val="00D04E73"/>
    <w:rsid w:val="00D1175E"/>
    <w:rsid w:val="00D13E0E"/>
    <w:rsid w:val="00D209B0"/>
    <w:rsid w:val="00D23363"/>
    <w:rsid w:val="00D30EF5"/>
    <w:rsid w:val="00D375F0"/>
    <w:rsid w:val="00D40FB2"/>
    <w:rsid w:val="00D42441"/>
    <w:rsid w:val="00D46926"/>
    <w:rsid w:val="00D509D0"/>
    <w:rsid w:val="00D8104A"/>
    <w:rsid w:val="00D9069A"/>
    <w:rsid w:val="00D966AD"/>
    <w:rsid w:val="00DC3C3D"/>
    <w:rsid w:val="00DD3B79"/>
    <w:rsid w:val="00DF41E8"/>
    <w:rsid w:val="00DF5D5A"/>
    <w:rsid w:val="00DF680F"/>
    <w:rsid w:val="00E02690"/>
    <w:rsid w:val="00E052C7"/>
    <w:rsid w:val="00E10B31"/>
    <w:rsid w:val="00E258F9"/>
    <w:rsid w:val="00E27A8C"/>
    <w:rsid w:val="00E41D57"/>
    <w:rsid w:val="00E42965"/>
    <w:rsid w:val="00E46AC6"/>
    <w:rsid w:val="00E53F95"/>
    <w:rsid w:val="00E56A41"/>
    <w:rsid w:val="00E7295E"/>
    <w:rsid w:val="00E744D9"/>
    <w:rsid w:val="00E76879"/>
    <w:rsid w:val="00EA7F42"/>
    <w:rsid w:val="00EB37FA"/>
    <w:rsid w:val="00EC0914"/>
    <w:rsid w:val="00EE19A7"/>
    <w:rsid w:val="00EE1D07"/>
    <w:rsid w:val="00EF289D"/>
    <w:rsid w:val="00EF4107"/>
    <w:rsid w:val="00F014D0"/>
    <w:rsid w:val="00F040F0"/>
    <w:rsid w:val="00F05ED5"/>
    <w:rsid w:val="00F07D06"/>
    <w:rsid w:val="00F12B8C"/>
    <w:rsid w:val="00F14A92"/>
    <w:rsid w:val="00F15B65"/>
    <w:rsid w:val="00F22454"/>
    <w:rsid w:val="00F2505C"/>
    <w:rsid w:val="00F55A03"/>
    <w:rsid w:val="00F62345"/>
    <w:rsid w:val="00F63457"/>
    <w:rsid w:val="00F63D15"/>
    <w:rsid w:val="00F646E3"/>
    <w:rsid w:val="00F861AA"/>
    <w:rsid w:val="00FA01C6"/>
    <w:rsid w:val="00FA0911"/>
    <w:rsid w:val="00FB0643"/>
    <w:rsid w:val="00FB06A8"/>
    <w:rsid w:val="00FB6709"/>
    <w:rsid w:val="00FC1669"/>
    <w:rsid w:val="00FC331F"/>
    <w:rsid w:val="00FC51E5"/>
    <w:rsid w:val="00FD181F"/>
    <w:rsid w:val="00FD37E5"/>
    <w:rsid w:val="00FD7800"/>
    <w:rsid w:val="00FE3E6E"/>
    <w:rsid w:val="00FE73BE"/>
    <w:rsid w:val="00FF23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16AE7F"/>
  <w15:docId w15:val="{9EEE4540-36D6-4E57-80A8-C3429CBD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58"/>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976458"/>
    <w:pPr>
      <w:keepNext/>
      <w:keepLines/>
      <w:spacing w:before="360"/>
      <w:ind w:left="794" w:hanging="794"/>
      <w:jc w:val="left"/>
      <w:outlineLvl w:val="0"/>
    </w:pPr>
    <w:rPr>
      <w:b/>
    </w:rPr>
  </w:style>
  <w:style w:type="paragraph" w:styleId="Heading2">
    <w:name w:val="heading 2"/>
    <w:basedOn w:val="Heading1"/>
    <w:next w:val="Normal"/>
    <w:qFormat/>
    <w:rsid w:val="00976458"/>
    <w:pPr>
      <w:spacing w:before="240"/>
      <w:outlineLvl w:val="1"/>
    </w:pPr>
  </w:style>
  <w:style w:type="paragraph" w:styleId="Heading3">
    <w:name w:val="heading 3"/>
    <w:basedOn w:val="Heading1"/>
    <w:next w:val="Normal"/>
    <w:qFormat/>
    <w:rsid w:val="00976458"/>
    <w:pPr>
      <w:spacing w:before="160"/>
      <w:outlineLvl w:val="2"/>
    </w:pPr>
  </w:style>
  <w:style w:type="paragraph" w:styleId="Heading4">
    <w:name w:val="heading 4"/>
    <w:basedOn w:val="Heading3"/>
    <w:next w:val="Normal"/>
    <w:qFormat/>
    <w:rsid w:val="00976458"/>
    <w:pPr>
      <w:tabs>
        <w:tab w:val="clear" w:pos="794"/>
        <w:tab w:val="left" w:pos="1021"/>
      </w:tabs>
      <w:ind w:left="1021" w:hanging="1021"/>
      <w:outlineLvl w:val="3"/>
    </w:pPr>
  </w:style>
  <w:style w:type="paragraph" w:styleId="Heading5">
    <w:name w:val="heading 5"/>
    <w:basedOn w:val="Heading4"/>
    <w:next w:val="Normal"/>
    <w:qFormat/>
    <w:rsid w:val="00976458"/>
    <w:pPr>
      <w:outlineLvl w:val="4"/>
    </w:pPr>
  </w:style>
  <w:style w:type="paragraph" w:styleId="Heading6">
    <w:name w:val="heading 6"/>
    <w:basedOn w:val="Heading4"/>
    <w:next w:val="Normal"/>
    <w:qFormat/>
    <w:rsid w:val="00976458"/>
    <w:pPr>
      <w:tabs>
        <w:tab w:val="clear" w:pos="1021"/>
        <w:tab w:val="clear" w:pos="1191"/>
      </w:tabs>
      <w:ind w:left="1588" w:hanging="1588"/>
      <w:outlineLvl w:val="5"/>
    </w:pPr>
  </w:style>
  <w:style w:type="paragraph" w:styleId="Heading7">
    <w:name w:val="heading 7"/>
    <w:basedOn w:val="Heading6"/>
    <w:next w:val="Normal"/>
    <w:qFormat/>
    <w:rsid w:val="00976458"/>
    <w:pPr>
      <w:outlineLvl w:val="6"/>
    </w:pPr>
  </w:style>
  <w:style w:type="paragraph" w:styleId="Heading8">
    <w:name w:val="heading 8"/>
    <w:basedOn w:val="Heading6"/>
    <w:next w:val="Normal"/>
    <w:qFormat/>
    <w:rsid w:val="00976458"/>
    <w:pPr>
      <w:outlineLvl w:val="7"/>
    </w:pPr>
  </w:style>
  <w:style w:type="paragraph" w:styleId="Heading9">
    <w:name w:val="heading 9"/>
    <w:basedOn w:val="Heading6"/>
    <w:next w:val="Normal"/>
    <w:qFormat/>
    <w:rsid w:val="0097645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6458"/>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rsid w:val="00976458"/>
    <w:pPr>
      <w:keepLines/>
      <w:tabs>
        <w:tab w:val="left" w:pos="255"/>
      </w:tabs>
      <w:ind w:left="255" w:hanging="255"/>
    </w:pPr>
  </w:style>
  <w:style w:type="character" w:styleId="PageNumber">
    <w:name w:val="page number"/>
    <w:basedOn w:val="DefaultParagraphFont"/>
    <w:rsid w:val="00976458"/>
  </w:style>
  <w:style w:type="paragraph" w:customStyle="1" w:styleId="ASN1">
    <w:name w:val="ASN.1"/>
    <w:rsid w:val="0097645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character" w:customStyle="1" w:styleId="FootnoteTextChar">
    <w:name w:val="Footnote Text Char"/>
    <w:basedOn w:val="DefaultParagraphFont"/>
    <w:link w:val="FootnoteText"/>
    <w:rsid w:val="001C0BC3"/>
    <w:rPr>
      <w:rFonts w:eastAsia="Times New Roman"/>
      <w:sz w:val="22"/>
      <w:lang w:val="en-GB" w:eastAsia="en-US"/>
    </w:rPr>
  </w:style>
  <w:style w:type="paragraph" w:styleId="TOC1">
    <w:name w:val="toc 1"/>
    <w:basedOn w:val="Normal"/>
    <w:rsid w:val="00976458"/>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rsid w:val="00976458"/>
    <w:pPr>
      <w:spacing w:before="80"/>
      <w:ind w:left="1531" w:hanging="851"/>
    </w:pPr>
  </w:style>
  <w:style w:type="paragraph" w:styleId="TOC3">
    <w:name w:val="toc 3"/>
    <w:basedOn w:val="TOC2"/>
    <w:rsid w:val="00976458"/>
  </w:style>
  <w:style w:type="character" w:styleId="Hyperlink">
    <w:name w:val="Hyperlink"/>
    <w:basedOn w:val="DefaultParagraphFont"/>
    <w:rsid w:val="00976458"/>
    <w:rPr>
      <w:color w:val="0000FF"/>
      <w:u w:val="single"/>
    </w:rPr>
  </w:style>
  <w:style w:type="paragraph" w:styleId="CommentText">
    <w:name w:val="annotation text"/>
    <w:basedOn w:val="Normal"/>
    <w:semiHidden/>
    <w:rsid w:val="00976458"/>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Figurelegend">
    <w:name w:val="Figure_legend"/>
    <w:basedOn w:val="Normal"/>
    <w:rsid w:val="00976458"/>
    <w:pPr>
      <w:keepNext/>
      <w:keepLines/>
      <w:tabs>
        <w:tab w:val="clear" w:pos="794"/>
        <w:tab w:val="clear" w:pos="1191"/>
        <w:tab w:val="clear" w:pos="1588"/>
        <w:tab w:val="clear" w:pos="1985"/>
      </w:tabs>
      <w:spacing w:before="20" w:after="20"/>
      <w:jc w:val="left"/>
    </w:pPr>
    <w:rPr>
      <w:sz w:val="18"/>
    </w:rPr>
  </w:style>
  <w:style w:type="character" w:styleId="CommentReference">
    <w:name w:val="annotation reference"/>
    <w:basedOn w:val="DefaultParagraphFont"/>
    <w:semiHidden/>
    <w:rsid w:val="00976458"/>
    <w:rPr>
      <w:sz w:val="16"/>
      <w:szCs w:val="16"/>
    </w:rPr>
  </w:style>
  <w:style w:type="paragraph" w:customStyle="1" w:styleId="Normalaftertitle">
    <w:name w:val="Normal_after_title"/>
    <w:basedOn w:val="Normal"/>
    <w:next w:val="Normal"/>
    <w:rsid w:val="00976458"/>
    <w:pPr>
      <w:spacing w:before="360"/>
    </w:pPr>
  </w:style>
  <w:style w:type="paragraph" w:customStyle="1" w:styleId="Rectitle">
    <w:name w:val="Rec_title"/>
    <w:basedOn w:val="Normal"/>
    <w:next w:val="Normalaftertitle"/>
    <w:rsid w:val="00976458"/>
    <w:pPr>
      <w:keepNext/>
      <w:keepLines/>
      <w:spacing w:before="360"/>
      <w:jc w:val="center"/>
    </w:pPr>
    <w:rPr>
      <w:b/>
      <w:sz w:val="28"/>
    </w:rPr>
  </w:style>
  <w:style w:type="paragraph" w:customStyle="1" w:styleId="RecNo">
    <w:name w:val="Rec_No"/>
    <w:basedOn w:val="Normal"/>
    <w:next w:val="Rectitle"/>
    <w:rsid w:val="00976458"/>
    <w:pPr>
      <w:keepNext/>
      <w:keepLines/>
      <w:spacing w:before="0"/>
      <w:jc w:val="left"/>
    </w:pPr>
    <w:rPr>
      <w:b/>
      <w:sz w:val="28"/>
    </w:rPr>
  </w:style>
  <w:style w:type="paragraph" w:styleId="TOC4">
    <w:name w:val="toc 4"/>
    <w:basedOn w:val="TOC3"/>
    <w:semiHidden/>
    <w:rsid w:val="00976458"/>
  </w:style>
  <w:style w:type="paragraph" w:styleId="TOC5">
    <w:name w:val="toc 5"/>
    <w:basedOn w:val="TOC4"/>
    <w:semiHidden/>
    <w:rsid w:val="00976458"/>
  </w:style>
  <w:style w:type="paragraph" w:styleId="TOC6">
    <w:name w:val="toc 6"/>
    <w:basedOn w:val="TOC4"/>
    <w:semiHidden/>
    <w:rsid w:val="00976458"/>
  </w:style>
  <w:style w:type="paragraph" w:styleId="TOC7">
    <w:name w:val="toc 7"/>
    <w:basedOn w:val="TOC4"/>
    <w:semiHidden/>
    <w:rsid w:val="00976458"/>
  </w:style>
  <w:style w:type="paragraph" w:styleId="TOC8">
    <w:name w:val="toc 8"/>
    <w:basedOn w:val="TOC4"/>
    <w:semiHidden/>
    <w:rsid w:val="00976458"/>
  </w:style>
  <w:style w:type="paragraph" w:styleId="TOC9">
    <w:name w:val="toc 9"/>
    <w:basedOn w:val="TOC3"/>
    <w:semiHidden/>
    <w:rsid w:val="00976458"/>
  </w:style>
  <w:style w:type="paragraph" w:styleId="BalloonText">
    <w:name w:val="Balloon Text"/>
    <w:basedOn w:val="Normal"/>
    <w:link w:val="BalloonTextChar"/>
    <w:rsid w:val="00976458"/>
    <w:pPr>
      <w:spacing w:before="0"/>
    </w:pPr>
    <w:rPr>
      <w:rFonts w:ascii="Tahoma" w:hAnsi="Tahoma" w:cs="Tahoma"/>
      <w:sz w:val="16"/>
      <w:szCs w:val="16"/>
    </w:rPr>
  </w:style>
  <w:style w:type="paragraph" w:customStyle="1" w:styleId="Equation">
    <w:name w:val="Equation"/>
    <w:basedOn w:val="Normal"/>
    <w:rsid w:val="00976458"/>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976458"/>
    <w:pPr>
      <w:keepNext/>
      <w:spacing w:before="160"/>
      <w:jc w:val="left"/>
    </w:pPr>
    <w:rPr>
      <w:b/>
    </w:rPr>
  </w:style>
  <w:style w:type="paragraph" w:customStyle="1" w:styleId="Headingi">
    <w:name w:val="Heading_i"/>
    <w:basedOn w:val="Normal"/>
    <w:next w:val="Normal"/>
    <w:rsid w:val="00976458"/>
    <w:pPr>
      <w:keepNext/>
      <w:spacing w:before="160"/>
      <w:jc w:val="left"/>
    </w:pPr>
    <w:rPr>
      <w:i/>
    </w:rPr>
  </w:style>
  <w:style w:type="paragraph" w:customStyle="1" w:styleId="Tablehead">
    <w:name w:val="Table_head"/>
    <w:basedOn w:val="Normal"/>
    <w:next w:val="Tabletext"/>
    <w:rsid w:val="009764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764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FigureNoTitle"/>
    <w:rsid w:val="00976458"/>
    <w:pPr>
      <w:keepNext/>
      <w:keepLines/>
      <w:spacing w:before="240" w:after="120"/>
      <w:jc w:val="center"/>
    </w:pPr>
  </w:style>
  <w:style w:type="paragraph" w:customStyle="1" w:styleId="toc0">
    <w:name w:val="toc 0"/>
    <w:basedOn w:val="Normal"/>
    <w:next w:val="TOC1"/>
    <w:rsid w:val="00976458"/>
    <w:pPr>
      <w:keepLines/>
      <w:tabs>
        <w:tab w:val="clear" w:pos="794"/>
        <w:tab w:val="clear" w:pos="1191"/>
        <w:tab w:val="clear" w:pos="1588"/>
        <w:tab w:val="clear" w:pos="1985"/>
        <w:tab w:val="right" w:pos="9639"/>
      </w:tabs>
      <w:jc w:val="left"/>
    </w:pPr>
    <w:rPr>
      <w:b/>
    </w:rPr>
  </w:style>
  <w:style w:type="paragraph" w:customStyle="1" w:styleId="Tablelegend">
    <w:name w:val="Table_legend"/>
    <w:basedOn w:val="Normal"/>
    <w:rsid w:val="009764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paragraph" w:customStyle="1" w:styleId="enumlev1">
    <w:name w:val="enumlev1"/>
    <w:basedOn w:val="Normal"/>
    <w:rsid w:val="00976458"/>
    <w:pPr>
      <w:spacing w:before="80"/>
      <w:ind w:left="794" w:hanging="794"/>
    </w:pPr>
  </w:style>
  <w:style w:type="paragraph" w:customStyle="1" w:styleId="enumlev2">
    <w:name w:val="enumlev2"/>
    <w:basedOn w:val="enumlev1"/>
    <w:rsid w:val="00976458"/>
    <w:pPr>
      <w:ind w:left="1191" w:hanging="397"/>
    </w:pPr>
  </w:style>
  <w:style w:type="paragraph" w:customStyle="1" w:styleId="Note">
    <w:name w:val="Note"/>
    <w:basedOn w:val="Normal"/>
    <w:rsid w:val="00976458"/>
    <w:pPr>
      <w:spacing w:before="80"/>
    </w:pPr>
    <w:rPr>
      <w:sz w:val="22"/>
    </w:rPr>
  </w:style>
  <w:style w:type="character" w:styleId="FootnoteReference">
    <w:name w:val="footnote reference"/>
    <w:aliases w:val="Char Char,ftref,BVI fnr,16 Point,Superscript 6 Point,Ref,de nota al pie,fr,Used by Word for Help footnote symbols,Car Car Char Car Char Car Car Char Car Char Char,SUPERS,BVI f,Car Car Char Car Char Car Car Char Car Char Cha,number,R"/>
    <w:basedOn w:val="DefaultParagraphFont"/>
    <w:rsid w:val="00976458"/>
    <w:rPr>
      <w:position w:val="6"/>
      <w:sz w:val="18"/>
    </w:rPr>
  </w:style>
  <w:style w:type="paragraph" w:customStyle="1" w:styleId="Reftext">
    <w:name w:val="Ref_text"/>
    <w:basedOn w:val="Normal"/>
    <w:rsid w:val="00976458"/>
    <w:pPr>
      <w:ind w:left="794" w:hanging="794"/>
      <w:jc w:val="left"/>
    </w:pPr>
  </w:style>
  <w:style w:type="paragraph" w:customStyle="1" w:styleId="enumlev3">
    <w:name w:val="enumlev3"/>
    <w:basedOn w:val="enumlev2"/>
    <w:rsid w:val="00976458"/>
    <w:pPr>
      <w:ind w:left="1588"/>
    </w:pPr>
  </w:style>
  <w:style w:type="paragraph" w:customStyle="1" w:styleId="Chaptitle">
    <w:name w:val="Chap_title"/>
    <w:basedOn w:val="Normal"/>
    <w:next w:val="Normalaftertitle"/>
    <w:rsid w:val="00976458"/>
    <w:pPr>
      <w:keepNext/>
      <w:keepLines/>
      <w:spacing w:before="240"/>
      <w:jc w:val="center"/>
    </w:pPr>
    <w:rPr>
      <w:b/>
      <w:sz w:val="28"/>
    </w:rPr>
  </w:style>
  <w:style w:type="paragraph" w:styleId="Index1">
    <w:name w:val="index 1"/>
    <w:basedOn w:val="Normal"/>
    <w:next w:val="Normal"/>
    <w:semiHidden/>
    <w:rsid w:val="00976458"/>
    <w:pPr>
      <w:jc w:val="left"/>
    </w:pPr>
  </w:style>
  <w:style w:type="paragraph" w:customStyle="1" w:styleId="AnnexNoTitle">
    <w:name w:val="Annex_NoTitle"/>
    <w:basedOn w:val="Normal"/>
    <w:next w:val="Normalaftertitle"/>
    <w:rsid w:val="00976458"/>
    <w:pPr>
      <w:keepNext/>
      <w:keepLines/>
      <w:spacing w:before="720"/>
      <w:jc w:val="center"/>
      <w:outlineLvl w:val="0"/>
    </w:pPr>
    <w:rPr>
      <w:b/>
      <w:sz w:val="28"/>
    </w:rPr>
  </w:style>
  <w:style w:type="character" w:customStyle="1" w:styleId="Appdef">
    <w:name w:val="App_def"/>
    <w:basedOn w:val="DefaultParagraphFont"/>
    <w:rsid w:val="00976458"/>
    <w:rPr>
      <w:rFonts w:ascii="Times New Roman" w:hAnsi="Times New Roman"/>
      <w:b/>
    </w:rPr>
  </w:style>
  <w:style w:type="character" w:customStyle="1" w:styleId="Appref">
    <w:name w:val="App_ref"/>
    <w:basedOn w:val="DefaultParagraphFont"/>
    <w:rsid w:val="00976458"/>
  </w:style>
  <w:style w:type="paragraph" w:customStyle="1" w:styleId="AppendixNoTitle">
    <w:name w:val="Appendix_NoTitle"/>
    <w:basedOn w:val="AnnexNoTitle"/>
    <w:next w:val="Normalaftertitle"/>
    <w:rsid w:val="00976458"/>
  </w:style>
  <w:style w:type="character" w:customStyle="1" w:styleId="Artdef">
    <w:name w:val="Art_def"/>
    <w:basedOn w:val="DefaultParagraphFont"/>
    <w:rsid w:val="00976458"/>
    <w:rPr>
      <w:rFonts w:ascii="Times New Roman" w:hAnsi="Times New Roman"/>
      <w:b/>
    </w:rPr>
  </w:style>
  <w:style w:type="paragraph" w:customStyle="1" w:styleId="Reftitle">
    <w:name w:val="Ref_title"/>
    <w:basedOn w:val="Normal"/>
    <w:next w:val="Reftext"/>
    <w:rsid w:val="00976458"/>
    <w:pPr>
      <w:spacing w:before="480"/>
      <w:jc w:val="center"/>
    </w:pPr>
    <w:rPr>
      <w:b/>
    </w:rPr>
  </w:style>
  <w:style w:type="paragraph" w:customStyle="1" w:styleId="ArtNo">
    <w:name w:val="Art_No"/>
    <w:basedOn w:val="Normal"/>
    <w:next w:val="Arttitle"/>
    <w:rsid w:val="00976458"/>
    <w:pPr>
      <w:keepNext/>
      <w:keepLines/>
      <w:spacing w:before="480"/>
      <w:jc w:val="center"/>
    </w:pPr>
    <w:rPr>
      <w:caps/>
      <w:sz w:val="28"/>
    </w:rPr>
  </w:style>
  <w:style w:type="paragraph" w:customStyle="1" w:styleId="Arttitle">
    <w:name w:val="Art_title"/>
    <w:basedOn w:val="Normal"/>
    <w:next w:val="Normalaftertitle"/>
    <w:rsid w:val="00976458"/>
    <w:pPr>
      <w:keepNext/>
      <w:keepLines/>
      <w:spacing w:before="240"/>
      <w:jc w:val="center"/>
    </w:pPr>
    <w:rPr>
      <w:b/>
      <w:sz w:val="28"/>
    </w:rPr>
  </w:style>
  <w:style w:type="character" w:customStyle="1" w:styleId="Artref">
    <w:name w:val="Art_ref"/>
    <w:basedOn w:val="DefaultParagraphFont"/>
    <w:rsid w:val="00976458"/>
  </w:style>
  <w:style w:type="paragraph" w:customStyle="1" w:styleId="Call">
    <w:name w:val="Call"/>
    <w:basedOn w:val="Normal"/>
    <w:next w:val="Normal"/>
    <w:rsid w:val="00976458"/>
    <w:pPr>
      <w:keepNext/>
      <w:keepLines/>
      <w:spacing w:before="160"/>
      <w:ind w:left="794"/>
      <w:jc w:val="left"/>
    </w:pPr>
    <w:rPr>
      <w:i/>
    </w:rPr>
  </w:style>
  <w:style w:type="paragraph" w:customStyle="1" w:styleId="ChapNo">
    <w:name w:val="Chap_No"/>
    <w:basedOn w:val="Normal"/>
    <w:next w:val="Chaptitle"/>
    <w:rsid w:val="00976458"/>
    <w:pPr>
      <w:keepNext/>
      <w:keepLines/>
      <w:spacing w:before="480"/>
      <w:jc w:val="center"/>
    </w:pPr>
    <w:rPr>
      <w:b/>
      <w:caps/>
      <w:sz w:val="28"/>
    </w:rPr>
  </w:style>
  <w:style w:type="paragraph" w:customStyle="1" w:styleId="Equationlegend">
    <w:name w:val="Equation_legend"/>
    <w:basedOn w:val="Normal"/>
    <w:rsid w:val="00976458"/>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976458"/>
    <w:pPr>
      <w:keepLines/>
      <w:spacing w:before="240" w:after="120"/>
      <w:jc w:val="center"/>
    </w:pPr>
    <w:rPr>
      <w:b/>
    </w:rPr>
  </w:style>
  <w:style w:type="paragraph" w:customStyle="1" w:styleId="Figurewithouttitle">
    <w:name w:val="Figure_without_title"/>
    <w:basedOn w:val="Normal"/>
    <w:next w:val="Normalaftertitle"/>
    <w:rsid w:val="00976458"/>
    <w:pPr>
      <w:keepLines/>
      <w:spacing w:before="240" w:after="120"/>
      <w:jc w:val="center"/>
    </w:pPr>
  </w:style>
  <w:style w:type="paragraph" w:customStyle="1" w:styleId="FooterQP">
    <w:name w:val="Footer_QP"/>
    <w:basedOn w:val="Normal"/>
    <w:rsid w:val="00976458"/>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76458"/>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76458"/>
    <w:rPr>
      <w:b w:val="0"/>
    </w:rPr>
  </w:style>
  <w:style w:type="paragraph" w:styleId="Index2">
    <w:name w:val="index 2"/>
    <w:basedOn w:val="Normal"/>
    <w:next w:val="Normal"/>
    <w:semiHidden/>
    <w:rsid w:val="00976458"/>
    <w:pPr>
      <w:ind w:left="284"/>
      <w:jc w:val="left"/>
    </w:pPr>
  </w:style>
  <w:style w:type="paragraph" w:styleId="Index3">
    <w:name w:val="index 3"/>
    <w:basedOn w:val="Normal"/>
    <w:next w:val="Normal"/>
    <w:semiHidden/>
    <w:rsid w:val="00976458"/>
    <w:pPr>
      <w:ind w:left="567"/>
      <w:jc w:val="left"/>
    </w:pPr>
  </w:style>
  <w:style w:type="paragraph" w:customStyle="1" w:styleId="PartNo">
    <w:name w:val="Part_No"/>
    <w:basedOn w:val="Normal"/>
    <w:next w:val="Partref"/>
    <w:rsid w:val="00976458"/>
    <w:pPr>
      <w:keepNext/>
      <w:keepLines/>
      <w:spacing w:before="480" w:after="80"/>
      <w:jc w:val="center"/>
    </w:pPr>
    <w:rPr>
      <w:caps/>
      <w:sz w:val="28"/>
    </w:rPr>
  </w:style>
  <w:style w:type="paragraph" w:customStyle="1" w:styleId="Partref">
    <w:name w:val="Part_ref"/>
    <w:basedOn w:val="Normal"/>
    <w:next w:val="Parttitle"/>
    <w:rsid w:val="00976458"/>
    <w:pPr>
      <w:keepNext/>
      <w:keepLines/>
      <w:spacing w:before="280"/>
      <w:jc w:val="center"/>
    </w:pPr>
  </w:style>
  <w:style w:type="paragraph" w:customStyle="1" w:styleId="Parttitle">
    <w:name w:val="Part_title"/>
    <w:basedOn w:val="Normal"/>
    <w:next w:val="Normalaftertitle"/>
    <w:rsid w:val="00976458"/>
    <w:pPr>
      <w:keepNext/>
      <w:keepLines/>
      <w:spacing w:before="240" w:after="280"/>
      <w:jc w:val="center"/>
    </w:pPr>
    <w:rPr>
      <w:b/>
      <w:sz w:val="28"/>
    </w:rPr>
  </w:style>
  <w:style w:type="paragraph" w:customStyle="1" w:styleId="Recdate">
    <w:name w:val="Rec_date"/>
    <w:basedOn w:val="Normal"/>
    <w:next w:val="Normalaftertitle"/>
    <w:rsid w:val="0097645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76458"/>
  </w:style>
  <w:style w:type="paragraph" w:customStyle="1" w:styleId="QuestionNo">
    <w:name w:val="Question_No"/>
    <w:basedOn w:val="RecNo"/>
    <w:next w:val="Questiontitle"/>
    <w:rsid w:val="00976458"/>
  </w:style>
  <w:style w:type="paragraph" w:customStyle="1" w:styleId="Recref">
    <w:name w:val="Rec_ref"/>
    <w:basedOn w:val="Normal"/>
    <w:next w:val="Recdate"/>
    <w:rsid w:val="0097645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76458"/>
  </w:style>
  <w:style w:type="paragraph" w:customStyle="1" w:styleId="Questiontitle">
    <w:name w:val="Question_title"/>
    <w:basedOn w:val="Rectitle"/>
    <w:next w:val="Questionref"/>
    <w:rsid w:val="00976458"/>
  </w:style>
  <w:style w:type="paragraph" w:customStyle="1" w:styleId="Repdate">
    <w:name w:val="Rep_date"/>
    <w:basedOn w:val="Recdate"/>
    <w:next w:val="Normalaftertitle"/>
    <w:rsid w:val="00976458"/>
  </w:style>
  <w:style w:type="paragraph" w:customStyle="1" w:styleId="RepNo">
    <w:name w:val="Rep_No"/>
    <w:basedOn w:val="RecNo"/>
    <w:next w:val="Reptitle"/>
    <w:rsid w:val="00976458"/>
  </w:style>
  <w:style w:type="paragraph" w:customStyle="1" w:styleId="Repref">
    <w:name w:val="Rep_ref"/>
    <w:basedOn w:val="Recref"/>
    <w:next w:val="Repdate"/>
    <w:rsid w:val="00976458"/>
  </w:style>
  <w:style w:type="paragraph" w:customStyle="1" w:styleId="Reptitle">
    <w:name w:val="Rep_title"/>
    <w:basedOn w:val="Rectitle"/>
    <w:next w:val="Repref"/>
    <w:rsid w:val="00976458"/>
  </w:style>
  <w:style w:type="paragraph" w:customStyle="1" w:styleId="Resdate">
    <w:name w:val="Res_date"/>
    <w:basedOn w:val="Recdate"/>
    <w:next w:val="Normalaftertitle"/>
    <w:rsid w:val="00976458"/>
  </w:style>
  <w:style w:type="character" w:customStyle="1" w:styleId="Resdef">
    <w:name w:val="Res_def"/>
    <w:basedOn w:val="DefaultParagraphFont"/>
    <w:rsid w:val="00976458"/>
    <w:rPr>
      <w:rFonts w:ascii="Times New Roman" w:hAnsi="Times New Roman"/>
      <w:b/>
    </w:rPr>
  </w:style>
  <w:style w:type="paragraph" w:customStyle="1" w:styleId="ResNo">
    <w:name w:val="Res_No"/>
    <w:basedOn w:val="RecNo"/>
    <w:next w:val="Restitle"/>
    <w:rsid w:val="00976458"/>
  </w:style>
  <w:style w:type="paragraph" w:customStyle="1" w:styleId="Resref">
    <w:name w:val="Res_ref"/>
    <w:basedOn w:val="Recref"/>
    <w:next w:val="Resdate"/>
    <w:rsid w:val="00976458"/>
  </w:style>
  <w:style w:type="paragraph" w:customStyle="1" w:styleId="Restitle">
    <w:name w:val="Res_title"/>
    <w:basedOn w:val="Rectitle"/>
    <w:next w:val="Resref"/>
    <w:rsid w:val="00976458"/>
  </w:style>
  <w:style w:type="paragraph" w:customStyle="1" w:styleId="Section1">
    <w:name w:val="Section_1"/>
    <w:basedOn w:val="Normal"/>
    <w:next w:val="Normal"/>
    <w:rsid w:val="0097645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76458"/>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76458"/>
    <w:pPr>
      <w:keepNext/>
      <w:keepLines/>
      <w:spacing w:before="480" w:after="80"/>
      <w:jc w:val="center"/>
    </w:pPr>
    <w:rPr>
      <w:caps/>
      <w:sz w:val="28"/>
    </w:rPr>
  </w:style>
  <w:style w:type="paragraph" w:customStyle="1" w:styleId="Sectiontitle">
    <w:name w:val="Section_title"/>
    <w:basedOn w:val="Normal"/>
    <w:next w:val="Normalaftertitle"/>
    <w:rsid w:val="00976458"/>
    <w:pPr>
      <w:keepNext/>
      <w:keepLines/>
      <w:spacing w:before="480" w:after="280"/>
      <w:jc w:val="center"/>
    </w:pPr>
    <w:rPr>
      <w:b/>
      <w:sz w:val="28"/>
    </w:rPr>
  </w:style>
  <w:style w:type="paragraph" w:customStyle="1" w:styleId="Source">
    <w:name w:val="Source"/>
    <w:basedOn w:val="Normal"/>
    <w:next w:val="Normalaftertitle"/>
    <w:rsid w:val="00976458"/>
    <w:pPr>
      <w:spacing w:before="840" w:after="200"/>
      <w:jc w:val="center"/>
    </w:pPr>
    <w:rPr>
      <w:b/>
      <w:sz w:val="28"/>
    </w:rPr>
  </w:style>
  <w:style w:type="paragraph" w:customStyle="1" w:styleId="SpecialFooter">
    <w:name w:val="Special Footer"/>
    <w:basedOn w:val="Footer"/>
    <w:rsid w:val="00976458"/>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76458"/>
    <w:rPr>
      <w:b/>
      <w:color w:val="auto"/>
    </w:rPr>
  </w:style>
  <w:style w:type="paragraph" w:customStyle="1" w:styleId="TableNoTitle">
    <w:name w:val="Table_NoTitle"/>
    <w:basedOn w:val="Normal"/>
    <w:next w:val="Tablehead"/>
    <w:rsid w:val="00976458"/>
    <w:pPr>
      <w:keepNext/>
      <w:keepLines/>
      <w:spacing w:before="360" w:after="120"/>
      <w:jc w:val="center"/>
    </w:pPr>
    <w:rPr>
      <w:b/>
    </w:rPr>
  </w:style>
  <w:style w:type="paragraph" w:customStyle="1" w:styleId="Title1">
    <w:name w:val="Title 1"/>
    <w:basedOn w:val="Source"/>
    <w:next w:val="Title2"/>
    <w:rsid w:val="0097645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76458"/>
  </w:style>
  <w:style w:type="paragraph" w:customStyle="1" w:styleId="Title3">
    <w:name w:val="Title 3"/>
    <w:basedOn w:val="Title2"/>
    <w:next w:val="Title4"/>
    <w:rsid w:val="00976458"/>
    <w:rPr>
      <w:caps w:val="0"/>
    </w:rPr>
  </w:style>
  <w:style w:type="paragraph" w:customStyle="1" w:styleId="Title4">
    <w:name w:val="Title 4"/>
    <w:basedOn w:val="Title3"/>
    <w:next w:val="Heading1"/>
    <w:rsid w:val="00976458"/>
    <w:rPr>
      <w:b/>
    </w:rPr>
  </w:style>
  <w:style w:type="paragraph" w:customStyle="1" w:styleId="Artheading">
    <w:name w:val="Art_heading"/>
    <w:basedOn w:val="Normal"/>
    <w:next w:val="Normalaftertitle"/>
    <w:rsid w:val="00976458"/>
    <w:pPr>
      <w:spacing w:before="480"/>
      <w:jc w:val="center"/>
    </w:pPr>
    <w:rPr>
      <w:b/>
      <w:sz w:val="28"/>
    </w:rPr>
  </w:style>
  <w:style w:type="character" w:customStyle="1" w:styleId="BalloonTextChar">
    <w:name w:val="Balloon Text Char"/>
    <w:basedOn w:val="DefaultParagraphFont"/>
    <w:link w:val="BalloonText"/>
    <w:rsid w:val="00976458"/>
    <w:rPr>
      <w:rFonts w:ascii="Tahoma" w:eastAsia="Times New Roman" w:hAnsi="Tahoma" w:cs="Tahoma"/>
      <w:sz w:val="16"/>
      <w:szCs w:val="16"/>
      <w:lang w:val="en-GB" w:eastAsia="en-US"/>
    </w:rPr>
  </w:style>
  <w:style w:type="paragraph" w:styleId="Footer">
    <w:name w:val="footer"/>
    <w:basedOn w:val="Normal"/>
    <w:link w:val="FooterChar"/>
    <w:rsid w:val="00976458"/>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Pr>
      <w:rFonts w:eastAsia="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bis.org/cpmi/publ/d118.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ocuments.worldbank.org/curated/en/2011/01/16422496/payment-systems-worldwide-snapshot-outcomes-global-payment-systems-survey-201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is.org/cpmi/publ/d101a.pdf"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bis.org/cpmi/publ/d76.pdf" TargetMode="External"/><Relationship Id="rId20" Type="http://schemas.openxmlformats.org/officeDocument/2006/relationships/hyperlink" Target="http://www.bis.org/cpmi/publ/d144.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is.org/cpmi/publ/d55.pdf" TargetMode="External"/><Relationship Id="rId23" Type="http://schemas.openxmlformats.org/officeDocument/2006/relationships/hyperlink" Target="http://documents.worldbank.org/curated/en/2015/11/25481335/withdraw-correspondent-banking" TargetMode="External"/><Relationship Id="rId10" Type="http://schemas.openxmlformats.org/officeDocument/2006/relationships/endnotes" Target="endnotes.xml"/><Relationship Id="rId19" Type="http://schemas.openxmlformats.org/officeDocument/2006/relationships/hyperlink" Target="http://www.bis.org/cpmi/publ/d14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worldbank.org/en/topic/paymentsystemsremittances/brief/gpss"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0E1485F74E9F4F9B7D2D3E37BF4067" ma:contentTypeVersion="2" ma:contentTypeDescription="Create a new document." ma:contentTypeScope="" ma:versionID="c34449c05f2560466ffaf715ba998df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2.xml><?xml version="1.0" encoding="utf-8"?>
<ds:datastoreItem xmlns:ds="http://schemas.openxmlformats.org/officeDocument/2006/customXml" ds:itemID="{CBF1E9C3-D7E9-4EC2-9A3B-A205A2DBD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81F8F9-A3C5-4EF1-84F2-9C5D78FE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66</TotalTime>
  <Pages>1</Pages>
  <Words>9095</Words>
  <Characters>51847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Technical Report</vt:lpstr>
    </vt:vector>
  </TitlesOfParts>
  <Manager>ITU-T</Manager>
  <Company>International Telecommunication Union (ITU)</Company>
  <LinksUpToDate>false</LinksUpToDate>
  <CharactersWithSpaces>60821</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c:title>
  <dc:creator>Simão Campos-Neto</dc:creator>
  <dc:description>Template updated 2014-10-15</dc:description>
  <cp:lastModifiedBy>TSB-AC</cp:lastModifiedBy>
  <cp:revision>15</cp:revision>
  <cp:lastPrinted>2019-08-29T12:38:00Z</cp:lastPrinted>
  <dcterms:created xsi:type="dcterms:W3CDTF">2019-08-29T09:09:00Z</dcterms:created>
  <dcterms:modified xsi:type="dcterms:W3CDTF">2019-08-29T12:39:00Z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0x0101003B0E1485F74E9F4F9B7D2D3E37BF4067</vt:lpwstr>
  </property>
</Properties>
</file>