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AF7F4B" w:rsidRPr="007A3793" w14:paraId="71C92812" w14:textId="77777777" w:rsidTr="00A6719D">
        <w:trPr>
          <w:trHeight w:hRule="exact" w:val="1418"/>
        </w:trPr>
        <w:tc>
          <w:tcPr>
            <w:tcW w:w="1428" w:type="dxa"/>
            <w:gridSpan w:val="2"/>
          </w:tcPr>
          <w:p w14:paraId="71C9280E" w14:textId="77777777" w:rsidR="00AF7F4B" w:rsidRPr="007A3793" w:rsidRDefault="00AF7F4B" w:rsidP="00A6719D">
            <w:pPr>
              <w:rPr>
                <w:lang w:val="en-GB"/>
              </w:rPr>
            </w:pPr>
            <w:bookmarkStart w:id="0" w:name="_Toc44995568"/>
          </w:p>
          <w:p w14:paraId="71C9280F" w14:textId="77777777" w:rsidR="00AF7F4B" w:rsidRPr="007A3793" w:rsidRDefault="00AF7F4B" w:rsidP="00A6719D">
            <w:pPr>
              <w:spacing w:before="0"/>
              <w:rPr>
                <w:b/>
                <w:sz w:val="16"/>
                <w:lang w:val="en-GB"/>
              </w:rPr>
            </w:pPr>
          </w:p>
        </w:tc>
        <w:tc>
          <w:tcPr>
            <w:tcW w:w="8520" w:type="dxa"/>
            <w:gridSpan w:val="3"/>
          </w:tcPr>
          <w:p w14:paraId="71C92810" w14:textId="77777777" w:rsidR="00AF7F4B" w:rsidRPr="007A3793" w:rsidRDefault="00AF7F4B" w:rsidP="00A6719D">
            <w:pPr>
              <w:spacing w:before="0"/>
              <w:rPr>
                <w:rFonts w:ascii="Arial" w:hAnsi="Arial" w:cs="Arial"/>
                <w:lang w:val="en-GB"/>
              </w:rPr>
            </w:pPr>
          </w:p>
          <w:p w14:paraId="71C92811" w14:textId="77777777" w:rsidR="00AF7F4B" w:rsidRPr="007A3793" w:rsidRDefault="00AF7F4B" w:rsidP="00A6719D">
            <w:pPr>
              <w:spacing w:before="284"/>
              <w:rPr>
                <w:rFonts w:ascii="Arial" w:hAnsi="Arial" w:cs="Arial"/>
                <w:b/>
                <w:bCs/>
                <w:sz w:val="18"/>
                <w:lang w:val="en-GB"/>
              </w:rPr>
            </w:pPr>
            <w:r w:rsidRPr="007A3793">
              <w:rPr>
                <w:rFonts w:ascii="Arial" w:hAnsi="Arial" w:cs="Arial"/>
                <w:b/>
                <w:bCs/>
                <w:color w:val="808080"/>
                <w:spacing w:val="100"/>
                <w:lang w:val="en-GB"/>
              </w:rPr>
              <w:t>International Telecommunication Union</w:t>
            </w:r>
          </w:p>
        </w:tc>
      </w:tr>
      <w:tr w:rsidR="00AF7F4B" w:rsidRPr="007A3793" w14:paraId="71C92815" w14:textId="77777777" w:rsidTr="00A6719D">
        <w:trPr>
          <w:trHeight w:hRule="exact" w:val="992"/>
        </w:trPr>
        <w:tc>
          <w:tcPr>
            <w:tcW w:w="1428" w:type="dxa"/>
            <w:gridSpan w:val="2"/>
          </w:tcPr>
          <w:p w14:paraId="71C92813" w14:textId="77777777" w:rsidR="00AF7F4B" w:rsidRPr="007A3793" w:rsidRDefault="00AF7F4B" w:rsidP="00A6719D">
            <w:pPr>
              <w:spacing w:before="0"/>
              <w:rPr>
                <w:lang w:val="en-GB"/>
              </w:rPr>
            </w:pPr>
          </w:p>
        </w:tc>
        <w:tc>
          <w:tcPr>
            <w:tcW w:w="8520" w:type="dxa"/>
            <w:gridSpan w:val="3"/>
          </w:tcPr>
          <w:p w14:paraId="71C92814" w14:textId="77777777" w:rsidR="00AF7F4B" w:rsidRPr="007A3793" w:rsidRDefault="00AF7F4B" w:rsidP="00A6719D">
            <w:pPr>
              <w:rPr>
                <w:lang w:val="en-GB"/>
              </w:rPr>
            </w:pPr>
          </w:p>
        </w:tc>
      </w:tr>
      <w:tr w:rsidR="00AF7F4B" w:rsidRPr="007A3793" w14:paraId="71C92818" w14:textId="77777777" w:rsidTr="00A6719D">
        <w:tblPrEx>
          <w:tblCellMar>
            <w:left w:w="85" w:type="dxa"/>
            <w:right w:w="85" w:type="dxa"/>
          </w:tblCellMar>
        </w:tblPrEx>
        <w:trPr>
          <w:gridBefore w:val="2"/>
          <w:wBefore w:w="1428" w:type="dxa"/>
        </w:trPr>
        <w:tc>
          <w:tcPr>
            <w:tcW w:w="2520" w:type="dxa"/>
          </w:tcPr>
          <w:p w14:paraId="71C92816" w14:textId="77777777" w:rsidR="00AF7F4B" w:rsidRPr="007A3793" w:rsidRDefault="00AF7F4B" w:rsidP="00A6719D">
            <w:pPr>
              <w:rPr>
                <w:b/>
                <w:sz w:val="18"/>
                <w:lang w:val="en-GB"/>
              </w:rPr>
            </w:pPr>
            <w:r w:rsidRPr="007A3793">
              <w:rPr>
                <w:rFonts w:ascii="Arial" w:hAnsi="Arial"/>
                <w:b/>
                <w:spacing w:val="40"/>
                <w:sz w:val="72"/>
                <w:lang w:val="en-GB"/>
              </w:rPr>
              <w:t>ITU-T</w:t>
            </w:r>
          </w:p>
        </w:tc>
        <w:tc>
          <w:tcPr>
            <w:tcW w:w="6000" w:type="dxa"/>
            <w:gridSpan w:val="2"/>
          </w:tcPr>
          <w:p w14:paraId="71C92817" w14:textId="396CDE3B" w:rsidR="00AF7F4B" w:rsidRPr="007A3793" w:rsidRDefault="00AF7F4B" w:rsidP="00A6719D">
            <w:pPr>
              <w:spacing w:before="240"/>
              <w:jc w:val="right"/>
              <w:rPr>
                <w:rFonts w:ascii="Arial" w:hAnsi="Arial" w:cs="Arial"/>
                <w:b/>
                <w:sz w:val="52"/>
                <w:lang w:val="en-GB"/>
              </w:rPr>
            </w:pPr>
            <w:r w:rsidRPr="007A3793">
              <w:rPr>
                <w:rFonts w:ascii="Arial" w:hAnsi="Arial"/>
                <w:b/>
                <w:sz w:val="52"/>
                <w:lang w:val="en-GB"/>
              </w:rPr>
              <w:t xml:space="preserve">Technical </w:t>
            </w:r>
            <w:r w:rsidR="00D24F44" w:rsidRPr="007A3793">
              <w:rPr>
                <w:rFonts w:ascii="Arial" w:hAnsi="Arial"/>
                <w:b/>
                <w:sz w:val="52"/>
                <w:lang w:val="en-GB"/>
              </w:rPr>
              <w:t>Paper</w:t>
            </w:r>
          </w:p>
        </w:tc>
      </w:tr>
      <w:tr w:rsidR="00AF7F4B" w:rsidRPr="007A3793" w14:paraId="71C9281B" w14:textId="77777777" w:rsidTr="00A6719D">
        <w:tblPrEx>
          <w:tblCellMar>
            <w:left w:w="85" w:type="dxa"/>
            <w:right w:w="85" w:type="dxa"/>
          </w:tblCellMar>
        </w:tblPrEx>
        <w:trPr>
          <w:gridBefore w:val="2"/>
          <w:wBefore w:w="1428" w:type="dxa"/>
          <w:trHeight w:val="974"/>
        </w:trPr>
        <w:tc>
          <w:tcPr>
            <w:tcW w:w="4549" w:type="dxa"/>
            <w:gridSpan w:val="2"/>
          </w:tcPr>
          <w:p w14:paraId="71C92819" w14:textId="77777777" w:rsidR="00AF7F4B" w:rsidRPr="007A3793" w:rsidRDefault="00AF7F4B" w:rsidP="00A6719D">
            <w:pPr>
              <w:rPr>
                <w:b/>
                <w:lang w:val="en-GB"/>
              </w:rPr>
            </w:pPr>
            <w:r w:rsidRPr="007A3793">
              <w:rPr>
                <w:rFonts w:ascii="Arial" w:hAnsi="Arial"/>
                <w:lang w:val="en-GB"/>
              </w:rPr>
              <w:t>TELECOMMUNICATION</w:t>
            </w:r>
            <w:r w:rsidRPr="007A3793">
              <w:rPr>
                <w:rFonts w:ascii="Arial" w:hAnsi="Arial"/>
                <w:lang w:val="en-GB"/>
              </w:rPr>
              <w:br/>
            </w:r>
            <w:proofErr w:type="gramStart"/>
            <w:r w:rsidRPr="007A3793">
              <w:rPr>
                <w:rFonts w:ascii="Arial" w:hAnsi="Arial"/>
                <w:lang w:val="en-GB"/>
              </w:rPr>
              <w:t>STANDARDIZATION  SECTOR</w:t>
            </w:r>
            <w:proofErr w:type="gramEnd"/>
            <w:r w:rsidRPr="007A3793">
              <w:rPr>
                <w:rFonts w:ascii="Arial" w:hAnsi="Arial"/>
                <w:lang w:val="en-GB"/>
              </w:rPr>
              <w:br/>
              <w:t>OF  ITU</w:t>
            </w:r>
          </w:p>
        </w:tc>
        <w:tc>
          <w:tcPr>
            <w:tcW w:w="3971" w:type="dxa"/>
          </w:tcPr>
          <w:p w14:paraId="71C9281A" w14:textId="209653AE" w:rsidR="00AF7F4B" w:rsidRPr="007A3793" w:rsidRDefault="00AF7F4B" w:rsidP="00A6719D">
            <w:pPr>
              <w:wordWrap w:val="0"/>
              <w:spacing w:before="284"/>
              <w:jc w:val="right"/>
              <w:rPr>
                <w:rFonts w:ascii="Arial" w:hAnsi="Arial"/>
                <w:sz w:val="28"/>
                <w:lang w:val="en-GB"/>
              </w:rPr>
            </w:pPr>
            <w:r w:rsidRPr="007A3793">
              <w:rPr>
                <w:rFonts w:ascii="Arial" w:hAnsi="Arial"/>
                <w:sz w:val="28"/>
                <w:lang w:val="en-GB"/>
              </w:rPr>
              <w:t>(</w:t>
            </w:r>
            <w:r w:rsidR="00D24F44" w:rsidRPr="007A3793">
              <w:rPr>
                <w:rFonts w:ascii="Arial" w:hAnsi="Arial"/>
                <w:sz w:val="28"/>
                <w:lang w:val="en-GB"/>
              </w:rPr>
              <w:t>17 October</w:t>
            </w:r>
            <w:r w:rsidRPr="007A3793">
              <w:rPr>
                <w:rFonts w:ascii="Arial" w:hAnsi="Arial"/>
                <w:sz w:val="28"/>
                <w:lang w:val="en-GB"/>
              </w:rPr>
              <w:t xml:space="preserve"> 2019)</w:t>
            </w:r>
          </w:p>
        </w:tc>
      </w:tr>
      <w:tr w:rsidR="00AF7F4B" w:rsidRPr="007A3793" w14:paraId="71C9281E" w14:textId="77777777" w:rsidTr="00A6719D">
        <w:trPr>
          <w:cantSplit/>
          <w:trHeight w:hRule="exact" w:val="3402"/>
        </w:trPr>
        <w:tc>
          <w:tcPr>
            <w:tcW w:w="1418" w:type="dxa"/>
          </w:tcPr>
          <w:p w14:paraId="71C9281C" w14:textId="77777777" w:rsidR="00AF7F4B" w:rsidRPr="007A3793" w:rsidRDefault="00AF7F4B" w:rsidP="00A6719D">
            <w:pPr>
              <w:tabs>
                <w:tab w:val="right" w:pos="9639"/>
              </w:tabs>
              <w:rPr>
                <w:rFonts w:ascii="Arial" w:hAnsi="Arial"/>
                <w:sz w:val="18"/>
                <w:lang w:val="en-GB"/>
              </w:rPr>
            </w:pPr>
          </w:p>
        </w:tc>
        <w:tc>
          <w:tcPr>
            <w:tcW w:w="8530" w:type="dxa"/>
            <w:gridSpan w:val="4"/>
            <w:tcBorders>
              <w:bottom w:val="single" w:sz="12" w:space="0" w:color="auto"/>
            </w:tcBorders>
            <w:vAlign w:val="bottom"/>
          </w:tcPr>
          <w:p w14:paraId="71C9281D" w14:textId="0FBDC908" w:rsidR="00AF7F4B" w:rsidRPr="007A3793" w:rsidRDefault="00AF7F4B" w:rsidP="00A6719D">
            <w:pPr>
              <w:tabs>
                <w:tab w:val="left" w:pos="0"/>
                <w:tab w:val="left" w:pos="1191"/>
                <w:tab w:val="left" w:pos="1588"/>
                <w:tab w:val="left" w:pos="1985"/>
                <w:tab w:val="right" w:pos="9639"/>
              </w:tabs>
              <w:overflowPunct w:val="0"/>
              <w:autoSpaceDE w:val="0"/>
              <w:autoSpaceDN w:val="0"/>
              <w:adjustRightInd w:val="0"/>
              <w:spacing w:after="160" w:line="256" w:lineRule="auto"/>
              <w:rPr>
                <w:rFonts w:ascii="Arial" w:eastAsia="Batang" w:hAnsi="Arial" w:cs="Arial"/>
                <w:sz w:val="32"/>
                <w:szCs w:val="32"/>
                <w:lang w:val="en-GB" w:eastAsia="en-US"/>
              </w:rPr>
            </w:pPr>
          </w:p>
        </w:tc>
      </w:tr>
      <w:tr w:rsidR="00AF7F4B" w:rsidRPr="007A3793" w14:paraId="71C92822" w14:textId="77777777" w:rsidTr="00A6719D">
        <w:trPr>
          <w:cantSplit/>
          <w:trHeight w:hRule="exact" w:val="4536"/>
        </w:trPr>
        <w:tc>
          <w:tcPr>
            <w:tcW w:w="1418" w:type="dxa"/>
          </w:tcPr>
          <w:p w14:paraId="71C9281F" w14:textId="77777777" w:rsidR="00AF7F4B" w:rsidRPr="007A3793" w:rsidRDefault="00AF7F4B" w:rsidP="00A6719D">
            <w:pPr>
              <w:tabs>
                <w:tab w:val="right" w:pos="9639"/>
              </w:tabs>
              <w:rPr>
                <w:rFonts w:ascii="Arial" w:hAnsi="Arial"/>
                <w:sz w:val="18"/>
                <w:lang w:val="en-GB"/>
              </w:rPr>
            </w:pPr>
          </w:p>
        </w:tc>
        <w:tc>
          <w:tcPr>
            <w:tcW w:w="8530" w:type="dxa"/>
            <w:gridSpan w:val="4"/>
          </w:tcPr>
          <w:p w14:paraId="71C92820" w14:textId="5AEA94ED" w:rsidR="00AF7F4B" w:rsidRPr="007A3793" w:rsidRDefault="00AF7F4B" w:rsidP="00A6719D">
            <w:pPr>
              <w:tabs>
                <w:tab w:val="right" w:pos="9639"/>
              </w:tabs>
              <w:rPr>
                <w:rFonts w:ascii="Arial" w:hAnsi="Arial" w:cs="Arial"/>
                <w:b/>
                <w:bCs/>
                <w:sz w:val="36"/>
                <w:szCs w:val="36"/>
                <w:lang w:val="en-GB"/>
              </w:rPr>
            </w:pPr>
            <w:r w:rsidRPr="007A3793">
              <w:rPr>
                <w:rFonts w:ascii="Arial" w:hAnsi="Arial" w:cs="Arial"/>
                <w:b/>
                <w:bCs/>
                <w:sz w:val="36"/>
                <w:szCs w:val="36"/>
                <w:lang w:val="en-GB"/>
              </w:rPr>
              <w:t xml:space="preserve">Technical </w:t>
            </w:r>
            <w:r w:rsidR="00D24F44" w:rsidRPr="007A3793">
              <w:rPr>
                <w:rFonts w:ascii="Arial" w:hAnsi="Arial" w:cs="Arial"/>
                <w:b/>
                <w:bCs/>
                <w:sz w:val="36"/>
                <w:szCs w:val="36"/>
                <w:lang w:val="en-GB"/>
              </w:rPr>
              <w:t>Paper</w:t>
            </w:r>
            <w:r w:rsidRPr="007A3793">
              <w:rPr>
                <w:rFonts w:ascii="Arial" w:hAnsi="Arial" w:cs="Arial"/>
                <w:b/>
                <w:bCs/>
                <w:sz w:val="36"/>
                <w:szCs w:val="36"/>
                <w:lang w:val="en-GB"/>
              </w:rPr>
              <w:t xml:space="preserve"> </w:t>
            </w:r>
            <w:r w:rsidR="00D24F44" w:rsidRPr="007A3793">
              <w:rPr>
                <w:rFonts w:ascii="Arial" w:hAnsi="Arial" w:cs="Arial"/>
                <w:b/>
                <w:bCs/>
                <w:sz w:val="36"/>
                <w:lang w:val="en-GB"/>
              </w:rPr>
              <w:t>HSTP.DLT-RF</w:t>
            </w:r>
          </w:p>
          <w:p w14:paraId="71C92821" w14:textId="13975614" w:rsidR="00AF7F4B" w:rsidRPr="007A3793" w:rsidRDefault="00AF7F4B" w:rsidP="00A6719D">
            <w:pPr>
              <w:tabs>
                <w:tab w:val="right" w:pos="9639"/>
              </w:tabs>
              <w:rPr>
                <w:rFonts w:ascii="Arial" w:hAnsi="Arial" w:cs="Arial"/>
                <w:b/>
                <w:bCs/>
                <w:sz w:val="36"/>
                <w:lang w:val="en-GB"/>
              </w:rPr>
            </w:pPr>
            <w:bookmarkStart w:id="1" w:name="_Hlk23446448"/>
            <w:r w:rsidRPr="007A3793">
              <w:rPr>
                <w:rFonts w:ascii="Arial" w:hAnsi="Arial" w:cs="Arial"/>
                <w:b/>
                <w:bCs/>
                <w:sz w:val="36"/>
                <w:szCs w:val="36"/>
                <w:lang w:val="en-GB"/>
              </w:rPr>
              <w:t>Distributed ledger technology</w:t>
            </w:r>
            <w:r w:rsidR="007A3793" w:rsidRPr="007A3793">
              <w:rPr>
                <w:rFonts w:ascii="Arial" w:hAnsi="Arial" w:cs="Arial"/>
                <w:b/>
                <w:bCs/>
                <w:sz w:val="36"/>
                <w:szCs w:val="36"/>
                <w:lang w:val="en-GB"/>
              </w:rPr>
              <w:t>:</w:t>
            </w:r>
            <w:r w:rsidRPr="007A3793">
              <w:rPr>
                <w:rFonts w:ascii="Arial" w:hAnsi="Arial" w:cs="Arial"/>
                <w:b/>
                <w:bCs/>
                <w:sz w:val="36"/>
                <w:szCs w:val="36"/>
                <w:lang w:val="en-GB"/>
              </w:rPr>
              <w:t xml:space="preserve"> </w:t>
            </w:r>
            <w:r w:rsidR="007A3793" w:rsidRPr="007A3793">
              <w:rPr>
                <w:rFonts w:ascii="Arial" w:hAnsi="Arial" w:cs="Arial"/>
                <w:b/>
                <w:bCs/>
                <w:sz w:val="36"/>
                <w:szCs w:val="36"/>
                <w:lang w:val="en-GB"/>
              </w:rPr>
              <w:t xml:space="preserve">Regulatory </w:t>
            </w:r>
            <w:r w:rsidRPr="007A3793">
              <w:rPr>
                <w:rFonts w:ascii="Arial" w:hAnsi="Arial" w:cs="Arial"/>
                <w:b/>
                <w:bCs/>
                <w:sz w:val="36"/>
                <w:szCs w:val="36"/>
                <w:lang w:val="en-GB"/>
              </w:rPr>
              <w:t>framework</w:t>
            </w:r>
            <w:bookmarkEnd w:id="1"/>
          </w:p>
        </w:tc>
      </w:tr>
      <w:tr w:rsidR="00AF7F4B" w:rsidRPr="007A3793" w14:paraId="71C92825" w14:textId="77777777" w:rsidTr="00A6719D">
        <w:trPr>
          <w:cantSplit/>
          <w:trHeight w:hRule="exact" w:val="1418"/>
        </w:trPr>
        <w:tc>
          <w:tcPr>
            <w:tcW w:w="1418" w:type="dxa"/>
          </w:tcPr>
          <w:p w14:paraId="71C92823" w14:textId="77777777" w:rsidR="00AF7F4B" w:rsidRPr="007A3793" w:rsidRDefault="00AF7F4B" w:rsidP="00A6719D">
            <w:pPr>
              <w:tabs>
                <w:tab w:val="right" w:pos="9639"/>
              </w:tabs>
              <w:rPr>
                <w:rFonts w:ascii="Arial" w:hAnsi="Arial"/>
                <w:sz w:val="18"/>
                <w:lang w:val="en-GB"/>
              </w:rPr>
            </w:pPr>
          </w:p>
        </w:tc>
        <w:tc>
          <w:tcPr>
            <w:tcW w:w="8530" w:type="dxa"/>
            <w:gridSpan w:val="4"/>
            <w:vAlign w:val="bottom"/>
          </w:tcPr>
          <w:p w14:paraId="71C92824" w14:textId="77777777" w:rsidR="00AF7F4B" w:rsidRPr="007A3793" w:rsidRDefault="00AF7F4B" w:rsidP="00A6719D">
            <w:pPr>
              <w:tabs>
                <w:tab w:val="right" w:pos="9639"/>
              </w:tabs>
              <w:spacing w:before="60"/>
              <w:jc w:val="right"/>
              <w:rPr>
                <w:rFonts w:ascii="Arial" w:hAnsi="Arial" w:cs="Arial"/>
                <w:sz w:val="32"/>
                <w:lang w:val="en-GB"/>
              </w:rPr>
            </w:pPr>
          </w:p>
        </w:tc>
      </w:tr>
    </w:tbl>
    <w:p w14:paraId="71C92826" w14:textId="18D10046" w:rsidR="002B6ABE" w:rsidRPr="007A3793" w:rsidRDefault="002B6ABE">
      <w:pPr>
        <w:spacing w:before="0"/>
        <w:rPr>
          <w:rFonts w:eastAsia="Batang"/>
          <w:sz w:val="22"/>
          <w:lang w:val="en-GB" w:eastAsia="en-US"/>
        </w:rPr>
      </w:pPr>
    </w:p>
    <w:p w14:paraId="71C92860" w14:textId="77777777" w:rsidR="002B6ABE" w:rsidRPr="007A3793" w:rsidRDefault="002B6ABE" w:rsidP="007A3793">
      <w:pPr>
        <w:spacing w:before="0"/>
        <w:rPr>
          <w:b/>
          <w:lang w:val="en-GB"/>
        </w:rPr>
        <w:sectPr w:rsidR="002B6ABE" w:rsidRPr="007A3793" w:rsidSect="00AF7F4B">
          <w:headerReference w:type="default" r:id="rId11"/>
          <w:footerReference w:type="even" r:id="rId12"/>
          <w:footerReference w:type="default" r:id="rId13"/>
          <w:footerReference w:type="first" r:id="rId14"/>
          <w:pgSz w:w="11907" w:h="16840" w:code="9"/>
          <w:pgMar w:top="1225" w:right="1281" w:bottom="1440" w:left="1140" w:header="720" w:footer="720" w:gutter="0"/>
          <w:pgNumType w:fmt="lowerRoman" w:start="1"/>
          <w:cols w:space="720"/>
          <w:docGrid w:linePitch="326"/>
        </w:sectPr>
      </w:pPr>
    </w:p>
    <w:p w14:paraId="71C92863" w14:textId="77777777" w:rsidR="004B39E2" w:rsidRPr="00CD1179" w:rsidRDefault="004B39E2" w:rsidP="00CD1179">
      <w:pPr>
        <w:pStyle w:val="Headingb"/>
      </w:pPr>
      <w:r w:rsidRPr="00CD1179">
        <w:lastRenderedPageBreak/>
        <w:t>Summary</w:t>
      </w:r>
    </w:p>
    <w:bookmarkEnd w:id="0"/>
    <w:p w14:paraId="71C92865" w14:textId="7B0C81CA" w:rsidR="004B39E2" w:rsidRPr="007A3793" w:rsidRDefault="007A3793" w:rsidP="00CD1179">
      <w:pPr>
        <w:rPr>
          <w:lang w:val="en-GB" w:bidi="ar-DZ"/>
        </w:rPr>
      </w:pPr>
      <w:r w:rsidRPr="007A3793">
        <w:rPr>
          <w:lang w:val="en-GB" w:bidi="ar-DZ"/>
        </w:rPr>
        <w:t xml:space="preserve">This technical paper </w:t>
      </w:r>
      <w:r w:rsidR="009E21A6" w:rsidRPr="007A3793">
        <w:rPr>
          <w:lang w:val="en-GB" w:bidi="ar-DZ"/>
        </w:rPr>
        <w:t xml:space="preserve">considers the key properties of distributed ledger technology (DLT) that are common among the diverse approaches. It brings into focus the topics that are of concern to regulators and supplies practical recommendations for users, regulators, and technologists, </w:t>
      </w:r>
      <w:r w:rsidR="008063FC">
        <w:rPr>
          <w:lang w:val="en-GB" w:bidi="ar-DZ"/>
        </w:rPr>
        <w:t>which are</w:t>
      </w:r>
      <w:r w:rsidR="009E21A6" w:rsidRPr="007A3793">
        <w:rPr>
          <w:lang w:val="en-GB" w:bidi="ar-DZ"/>
        </w:rPr>
        <w:t xml:space="preserve"> hope</w:t>
      </w:r>
      <w:r w:rsidR="008063FC">
        <w:rPr>
          <w:lang w:val="en-GB" w:bidi="ar-DZ"/>
        </w:rPr>
        <w:t>d</w:t>
      </w:r>
      <w:r w:rsidR="009E21A6" w:rsidRPr="007A3793">
        <w:rPr>
          <w:lang w:val="en-GB" w:bidi="ar-DZ"/>
        </w:rPr>
        <w:t xml:space="preserve"> to mitigate the risks of potential harms.</w:t>
      </w:r>
    </w:p>
    <w:p w14:paraId="517EC9C5" w14:textId="60E97097" w:rsidR="007A3793" w:rsidRDefault="007A3793" w:rsidP="00CD1179">
      <w:pPr>
        <w:rPr>
          <w:lang w:val="en-GB" w:bidi="ar-DZ"/>
        </w:rPr>
      </w:pPr>
      <w:r w:rsidRPr="007A3793">
        <w:rPr>
          <w:lang w:val="en-GB" w:bidi="ar-DZ"/>
        </w:rPr>
        <w:t xml:space="preserve">This technical paper was initially developed </w:t>
      </w:r>
      <w:r w:rsidR="00541369">
        <w:rPr>
          <w:lang w:val="en-GB" w:bidi="ar-DZ"/>
        </w:rPr>
        <w:t>the following</w:t>
      </w:r>
      <w:r w:rsidRPr="007A3793">
        <w:rPr>
          <w:lang w:val="en-GB" w:bidi="ar-DZ"/>
        </w:rPr>
        <w:t xml:space="preserve"> deliverable of the ITU-T Focus Group on Application of Distributed Ledger Technology (FG DLT)</w:t>
      </w:r>
      <w:r w:rsidR="00541369">
        <w:rPr>
          <w:lang w:val="en-GB" w:bidi="ar-DZ"/>
        </w:rPr>
        <w:t>:</w:t>
      </w:r>
    </w:p>
    <w:p w14:paraId="76912F7D" w14:textId="0C863081" w:rsidR="00541369" w:rsidRPr="007A3793" w:rsidRDefault="00541369" w:rsidP="00541369">
      <w:pPr>
        <w:numPr>
          <w:ilvl w:val="0"/>
          <w:numId w:val="29"/>
        </w:numPr>
        <w:overflowPunct w:val="0"/>
        <w:autoSpaceDE w:val="0"/>
        <w:autoSpaceDN w:val="0"/>
        <w:adjustRightInd w:val="0"/>
        <w:ind w:left="567" w:hanging="567"/>
        <w:textAlignment w:val="baseline"/>
        <w:rPr>
          <w:lang w:val="en-GB" w:bidi="ar-DZ"/>
        </w:rPr>
      </w:pPr>
      <w:r w:rsidRPr="00541369">
        <w:rPr>
          <w:lang w:val="en-GB" w:bidi="ar-DZ"/>
        </w:rPr>
        <w:t>Technical Report FG DLT D4.1</w:t>
      </w:r>
      <w:r>
        <w:rPr>
          <w:lang w:val="en-GB" w:bidi="ar-DZ"/>
        </w:rPr>
        <w:t xml:space="preserve"> </w:t>
      </w:r>
      <w:r w:rsidR="001122ED">
        <w:rPr>
          <w:lang w:val="en-GB" w:bidi="ar-DZ"/>
        </w:rPr>
        <w:t>"</w:t>
      </w:r>
      <w:r w:rsidRPr="00541369">
        <w:rPr>
          <w:lang w:val="en-GB" w:bidi="ar-DZ"/>
        </w:rPr>
        <w:t>Distributed ledger technology regulatory framework</w:t>
      </w:r>
      <w:r w:rsidR="001122ED">
        <w:rPr>
          <w:lang w:val="en-GB" w:bidi="ar-DZ"/>
        </w:rPr>
        <w:t>"</w:t>
      </w:r>
      <w:r w:rsidR="00397F9F">
        <w:rPr>
          <w:lang w:val="en-GB" w:bidi="ar-DZ"/>
        </w:rPr>
        <w:br/>
      </w:r>
      <w:hyperlink r:id="rId15" w:history="1">
        <w:r w:rsidR="00C04FE7">
          <w:rPr>
            <w:rStyle w:val="Hyperlink"/>
            <w:rFonts w:ascii="Arial" w:hAnsi="Arial" w:cs="Arial"/>
            <w:sz w:val="18"/>
            <w:szCs w:val="18"/>
            <w:lang w:val="en-GB" w:bidi="ar-DZ"/>
          </w:rPr>
          <w:t>https://www.itu.int/en/ITU-T/focusgroups/dlt/Documents/d41.pdf</w:t>
        </w:r>
      </w:hyperlink>
    </w:p>
    <w:p w14:paraId="6C388DE4" w14:textId="793C38BB" w:rsidR="007A3793" w:rsidRDefault="00CD1179" w:rsidP="00CD1179">
      <w:pPr>
        <w:rPr>
          <w:lang w:val="en-GB" w:bidi="ar-DZ"/>
        </w:rPr>
      </w:pPr>
      <w:r w:rsidRPr="00CD1179">
        <w:rPr>
          <w:lang w:val="en-GB" w:bidi="ar-DZ"/>
        </w:rPr>
        <w:t xml:space="preserve">Information for this technical paper </w:t>
      </w:r>
      <w:r>
        <w:rPr>
          <w:lang w:val="en-GB" w:bidi="ar-DZ"/>
        </w:rPr>
        <w:t>has</w:t>
      </w:r>
      <w:r w:rsidRPr="00CD1179">
        <w:rPr>
          <w:lang w:val="en-GB" w:bidi="ar-DZ"/>
        </w:rPr>
        <w:t xml:space="preserve"> been gathered from a substantial number of sources, including in-person interviews and desktop research for many jurisdictions. While every reasonable effort has been made to verify the source and accuracy of the data collected, the research team cannot exclude potential errors and omissions. This document should not be considered to provide legal or investment advice. Opinions expressed in this document reflect those of the authors and not necessarily those of their respective institutions. Some contents of this deliverable may involve patents.</w:t>
      </w:r>
    </w:p>
    <w:p w14:paraId="3E5669AB" w14:textId="77777777" w:rsidR="00CD1179" w:rsidRPr="007A3793" w:rsidRDefault="00CD1179" w:rsidP="00CD1179">
      <w:pPr>
        <w:rPr>
          <w:lang w:val="en-GB" w:bidi="ar-DZ"/>
        </w:rPr>
      </w:pPr>
    </w:p>
    <w:p w14:paraId="71C92866" w14:textId="77777777" w:rsidR="008B4D8B" w:rsidRPr="00CD1179" w:rsidRDefault="008B4D8B" w:rsidP="00CD1179">
      <w:pPr>
        <w:pStyle w:val="Headingb"/>
      </w:pPr>
      <w:r w:rsidRPr="00CD1179">
        <w:t>Keywords</w:t>
      </w:r>
    </w:p>
    <w:p w14:paraId="71C92867" w14:textId="50A847C8" w:rsidR="00B847E7" w:rsidRPr="007A3793" w:rsidRDefault="005D49B7" w:rsidP="00CD1179">
      <w:pPr>
        <w:rPr>
          <w:lang w:val="en-GB" w:bidi="ar-DZ"/>
        </w:rPr>
      </w:pPr>
      <w:r w:rsidRPr="007A3793">
        <w:rPr>
          <w:lang w:val="en-GB" w:bidi="ar-DZ"/>
        </w:rPr>
        <w:t xml:space="preserve">DLT; distributed ledger technology; ledger; blockchain; </w:t>
      </w:r>
      <w:r w:rsidR="009E21A6" w:rsidRPr="007A3793">
        <w:rPr>
          <w:lang w:val="en-GB" w:bidi="ar-DZ"/>
        </w:rPr>
        <w:t>framework</w:t>
      </w:r>
      <w:r w:rsidR="00FF5D35" w:rsidRPr="007A3793">
        <w:rPr>
          <w:lang w:val="en-GB" w:bidi="ar-DZ"/>
        </w:rPr>
        <w:t xml:space="preserve">; </w:t>
      </w:r>
      <w:r w:rsidR="009E21A6" w:rsidRPr="007A3793">
        <w:rPr>
          <w:lang w:val="en-GB" w:bidi="ar-DZ"/>
        </w:rPr>
        <w:t>regulation</w:t>
      </w:r>
      <w:r w:rsidR="003A174D" w:rsidRPr="007A3793">
        <w:rPr>
          <w:lang w:val="en-GB" w:bidi="ar-DZ"/>
        </w:rPr>
        <w:t xml:space="preserve">; </w:t>
      </w:r>
      <w:r w:rsidR="009E21A6" w:rsidRPr="007A3793">
        <w:rPr>
          <w:lang w:val="en-GB" w:bidi="ar-DZ"/>
        </w:rPr>
        <w:t>policy</w:t>
      </w:r>
    </w:p>
    <w:p w14:paraId="62D6A97B" w14:textId="6030CE1D" w:rsidR="007A3793" w:rsidRPr="007A3793" w:rsidRDefault="007A3793" w:rsidP="00CD1179">
      <w:pPr>
        <w:rPr>
          <w:lang w:val="en-GB" w:bidi="ar-DZ"/>
        </w:rPr>
      </w:pPr>
    </w:p>
    <w:p w14:paraId="41D5C6CE" w14:textId="77777777" w:rsidR="007A3793" w:rsidRPr="00CD1179" w:rsidRDefault="007A3793" w:rsidP="00CD1179">
      <w:pPr>
        <w:pStyle w:val="Headingb"/>
      </w:pPr>
      <w:r w:rsidRPr="00CD1179">
        <w:t>Change Log</w:t>
      </w:r>
    </w:p>
    <w:p w14:paraId="54DE952C" w14:textId="19669C05" w:rsidR="007A3793" w:rsidRPr="007A3793" w:rsidRDefault="007A3793" w:rsidP="00CD1179">
      <w:pPr>
        <w:rPr>
          <w:lang w:val="en-GB"/>
        </w:rPr>
      </w:pPr>
      <w:r w:rsidRPr="007A3793">
        <w:rPr>
          <w:lang w:val="en-GB"/>
        </w:rPr>
        <w:t xml:space="preserve">This document contains Version 1 of the ITU-T Technical Paper on </w:t>
      </w:r>
      <w:r w:rsidR="001122ED">
        <w:rPr>
          <w:lang w:val="en-GB"/>
        </w:rPr>
        <w:t>"</w:t>
      </w:r>
      <w:r w:rsidRPr="007A3793">
        <w:rPr>
          <w:i/>
          <w:iCs/>
          <w:lang w:val="en-GB"/>
        </w:rPr>
        <w:t>Distributed ledger technology: Regulatory framework</w:t>
      </w:r>
      <w:r w:rsidR="001122ED">
        <w:rPr>
          <w:lang w:val="en-GB"/>
        </w:rPr>
        <w:t>"</w:t>
      </w:r>
      <w:r w:rsidRPr="007A3793">
        <w:rPr>
          <w:lang w:val="en-GB"/>
        </w:rPr>
        <w:t xml:space="preserve"> approved at the ITU-T Study Group 16 meeting held in Geneva, 7-17 October 2019.</w:t>
      </w:r>
    </w:p>
    <w:p w14:paraId="08D5AAB5" w14:textId="080F7A97" w:rsidR="007A3793" w:rsidRPr="007A3793" w:rsidRDefault="007A3793" w:rsidP="007A3793">
      <w:pPr>
        <w:rPr>
          <w:lang w:val="en-GB"/>
        </w:rPr>
      </w:pPr>
    </w:p>
    <w:tbl>
      <w:tblPr>
        <w:tblW w:w="9923" w:type="dxa"/>
        <w:jc w:val="center"/>
        <w:tblLayout w:type="fixed"/>
        <w:tblCellMar>
          <w:left w:w="57" w:type="dxa"/>
          <w:right w:w="57" w:type="dxa"/>
        </w:tblCellMar>
        <w:tblLook w:val="0000" w:firstRow="0" w:lastRow="0" w:firstColumn="0" w:lastColumn="0" w:noHBand="0" w:noVBand="0"/>
      </w:tblPr>
      <w:tblGrid>
        <w:gridCol w:w="1617"/>
        <w:gridCol w:w="3486"/>
        <w:gridCol w:w="4820"/>
      </w:tblGrid>
      <w:tr w:rsidR="00541369" w:rsidRPr="007A3793" w14:paraId="4078D541" w14:textId="77777777" w:rsidTr="001122ED">
        <w:trPr>
          <w:cantSplit/>
          <w:trHeight w:val="204"/>
          <w:jc w:val="center"/>
        </w:trPr>
        <w:tc>
          <w:tcPr>
            <w:tcW w:w="1617" w:type="dxa"/>
          </w:tcPr>
          <w:p w14:paraId="08029801" w14:textId="77777777" w:rsidR="00541369" w:rsidRPr="007A3793" w:rsidRDefault="00541369" w:rsidP="00541369">
            <w:pPr>
              <w:ind w:left="567" w:hanging="567"/>
              <w:rPr>
                <w:b/>
                <w:bCs/>
                <w:lang w:val="en-GB"/>
              </w:rPr>
            </w:pPr>
            <w:r w:rsidRPr="007A3793">
              <w:rPr>
                <w:b/>
                <w:bCs/>
                <w:lang w:val="en-GB"/>
              </w:rPr>
              <w:t>Editor:</w:t>
            </w:r>
          </w:p>
        </w:tc>
        <w:tc>
          <w:tcPr>
            <w:tcW w:w="3486" w:type="dxa"/>
          </w:tcPr>
          <w:p w14:paraId="668E2551" w14:textId="21A26902" w:rsidR="00541369" w:rsidRPr="00541369" w:rsidRDefault="00541369" w:rsidP="00541369">
            <w:pPr>
              <w:rPr>
                <w:lang w:val="en-GB"/>
              </w:rPr>
            </w:pPr>
            <w:r w:rsidRPr="00541369">
              <w:rPr>
                <w:lang w:val="en-GB" w:eastAsia="en-US"/>
              </w:rPr>
              <w:t xml:space="preserve">Alexander </w:t>
            </w:r>
            <w:proofErr w:type="spellStart"/>
            <w:r w:rsidRPr="00541369">
              <w:rPr>
                <w:lang w:val="en-GB" w:eastAsia="en-US"/>
              </w:rPr>
              <w:t>Chuburkov</w:t>
            </w:r>
            <w:proofErr w:type="spellEnd"/>
            <w:r w:rsidRPr="00541369">
              <w:rPr>
                <w:lang w:val="en-GB" w:eastAsia="en-US"/>
              </w:rPr>
              <w:br/>
              <w:t>Association for Development of Financial Technologies</w:t>
            </w:r>
            <w:r w:rsidRPr="00541369">
              <w:rPr>
                <w:lang w:val="en-GB" w:eastAsia="en-US"/>
              </w:rPr>
              <w:br/>
            </w:r>
            <w:r w:rsidRPr="00541369">
              <w:rPr>
                <w:rFonts w:eastAsia="Batang"/>
                <w:lang w:val="en-GB" w:eastAsia="en-US"/>
              </w:rPr>
              <w:t>Russian Federation</w:t>
            </w:r>
          </w:p>
        </w:tc>
        <w:tc>
          <w:tcPr>
            <w:tcW w:w="4820" w:type="dxa"/>
          </w:tcPr>
          <w:p w14:paraId="763A9526" w14:textId="43C7A476" w:rsidR="00541369" w:rsidRPr="00541369" w:rsidRDefault="00541369" w:rsidP="001122ED">
            <w:pPr>
              <w:tabs>
                <w:tab w:val="left" w:pos="941"/>
              </w:tabs>
              <w:rPr>
                <w:lang w:val="en-GB"/>
              </w:rPr>
            </w:pPr>
            <w:r w:rsidRPr="00541369">
              <w:rPr>
                <w:lang w:val="en-GB"/>
              </w:rPr>
              <w:t>E-mail:</w:t>
            </w:r>
            <w:r w:rsidR="001122ED">
              <w:rPr>
                <w:lang w:val="en-GB"/>
              </w:rPr>
              <w:tab/>
            </w:r>
            <w:hyperlink r:id="rId16" w:history="1">
              <w:r w:rsidRPr="00541369">
                <w:rPr>
                  <w:rStyle w:val="Hyperlink"/>
                  <w:lang w:val="en-GB"/>
                </w:rPr>
                <w:t>chuburkovalex@gmail.com</w:t>
              </w:r>
            </w:hyperlink>
            <w:r w:rsidRPr="00541369">
              <w:rPr>
                <w:lang w:val="en-GB"/>
              </w:rPr>
              <w:t xml:space="preserve">, </w:t>
            </w:r>
            <w:r w:rsidR="001122ED">
              <w:rPr>
                <w:lang w:val="en-GB"/>
              </w:rPr>
              <w:tab/>
            </w:r>
            <w:hyperlink r:id="rId17" w:history="1">
              <w:r w:rsidR="001122ED" w:rsidRPr="00475118">
                <w:rPr>
                  <w:rStyle w:val="Hyperlink"/>
                  <w:lang w:val="en-GB"/>
                </w:rPr>
                <w:t>alexander.chuburkov@fintechru.org</w:t>
              </w:r>
            </w:hyperlink>
            <w:r w:rsidRPr="00541369">
              <w:rPr>
                <w:lang w:val="en-GB"/>
              </w:rPr>
              <w:t xml:space="preserve">  </w:t>
            </w:r>
          </w:p>
        </w:tc>
      </w:tr>
    </w:tbl>
    <w:p w14:paraId="4B602718" w14:textId="42C8A786" w:rsidR="007A3793" w:rsidRPr="007A3793" w:rsidRDefault="007A3793" w:rsidP="00CD1179">
      <w:pPr>
        <w:rPr>
          <w:lang w:val="en-GB" w:bidi="ar-DZ"/>
        </w:rPr>
      </w:pPr>
    </w:p>
    <w:p w14:paraId="71C928B5" w14:textId="77777777" w:rsidR="004B39E2" w:rsidRPr="007A3793" w:rsidRDefault="004B39E2" w:rsidP="007A3793">
      <w:pPr>
        <w:ind w:left="567" w:hanging="567"/>
        <w:jc w:val="center"/>
        <w:rPr>
          <w:lang w:val="en-GB"/>
        </w:rPr>
      </w:pPr>
      <w:r w:rsidRPr="007A3793">
        <w:rPr>
          <w:lang w:val="en-GB"/>
        </w:rPr>
        <w:br w:type="page"/>
      </w:r>
    </w:p>
    <w:p w14:paraId="71C928B6" w14:textId="77777777" w:rsidR="009635CB" w:rsidRPr="007A3793" w:rsidRDefault="009635CB" w:rsidP="00CD1179">
      <w:pPr>
        <w:jc w:val="center"/>
        <w:rPr>
          <w:b/>
          <w:bCs/>
          <w:lang w:val="en-GB"/>
        </w:rPr>
      </w:pPr>
      <w:r w:rsidRPr="007A3793">
        <w:rPr>
          <w:b/>
          <w:bCs/>
          <w:lang w:val="en-GB"/>
        </w:rPr>
        <w:lastRenderedPageBreak/>
        <w:t>CONTENTS</w:t>
      </w:r>
    </w:p>
    <w:tbl>
      <w:tblPr>
        <w:tblW w:w="9889" w:type="dxa"/>
        <w:tblLayout w:type="fixed"/>
        <w:tblLook w:val="04A0" w:firstRow="1" w:lastRow="0" w:firstColumn="1" w:lastColumn="0" w:noHBand="0" w:noVBand="1"/>
      </w:tblPr>
      <w:tblGrid>
        <w:gridCol w:w="9889"/>
      </w:tblGrid>
      <w:tr w:rsidR="009635CB" w:rsidRPr="007A3793" w14:paraId="71C928B8" w14:textId="77777777" w:rsidTr="006717D3">
        <w:trPr>
          <w:tblHeader/>
        </w:trPr>
        <w:tc>
          <w:tcPr>
            <w:tcW w:w="9889" w:type="dxa"/>
          </w:tcPr>
          <w:p w14:paraId="71C928B7" w14:textId="77777777" w:rsidR="009635CB" w:rsidRPr="007A3793" w:rsidRDefault="009635CB" w:rsidP="007A3793">
            <w:pPr>
              <w:pStyle w:val="toc0"/>
              <w:ind w:left="567" w:hanging="567"/>
            </w:pPr>
            <w:r w:rsidRPr="007A3793">
              <w:tab/>
              <w:t>Page</w:t>
            </w:r>
          </w:p>
        </w:tc>
      </w:tr>
      <w:tr w:rsidR="00CD1179" w:rsidRPr="00977275" w14:paraId="74AF6CB9" w14:textId="77777777" w:rsidTr="00397F9F">
        <w:tc>
          <w:tcPr>
            <w:tcW w:w="9889" w:type="dxa"/>
          </w:tcPr>
          <w:p w14:paraId="67AF70D2" w14:textId="1519BC92" w:rsidR="00250660" w:rsidRDefault="00CD1179">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r w:rsidRPr="00977275">
              <w:rPr>
                <w:noProof/>
                <w:szCs w:val="20"/>
                <w:lang w:val="en-GB" w:eastAsia="en-US"/>
              </w:rPr>
              <w:fldChar w:fldCharType="begin"/>
            </w:r>
            <w:r w:rsidRPr="00977275">
              <w:rPr>
                <w:lang w:val="en-GB"/>
              </w:rPr>
              <w:instrText xml:space="preserve"> TOC \o "1-3" \h \z \t "Annex_NoTitle,1,Appendix_NoTitle,1,Annex_No &amp; title,1,Appendix_No &amp; title,1" </w:instrText>
            </w:r>
            <w:r w:rsidRPr="00977275">
              <w:rPr>
                <w:noProof/>
                <w:szCs w:val="20"/>
                <w:lang w:val="en-GB" w:eastAsia="en-US"/>
              </w:rPr>
              <w:fldChar w:fldCharType="separate"/>
            </w:r>
            <w:hyperlink w:anchor="_Toc23767522" w:history="1">
              <w:r w:rsidR="00250660" w:rsidRPr="007869AC">
                <w:rPr>
                  <w:rStyle w:val="Hyperlink"/>
                  <w:noProof/>
                  <w:lang w:bidi="en-GB"/>
                </w:rPr>
                <w:t>1</w:t>
              </w:r>
              <w:r w:rsidR="00250660">
                <w:rPr>
                  <w:rFonts w:asciiTheme="minorHAnsi" w:eastAsiaTheme="minorEastAsia" w:hAnsiTheme="minorHAnsi" w:cstheme="minorBidi"/>
                  <w:b w:val="0"/>
                  <w:bCs w:val="0"/>
                  <w:caps w:val="0"/>
                  <w:noProof/>
                  <w:sz w:val="22"/>
                  <w:szCs w:val="22"/>
                  <w:lang w:val="en-GB" w:eastAsia="en-GB"/>
                </w:rPr>
                <w:tab/>
              </w:r>
              <w:r w:rsidR="00250660" w:rsidRPr="007869AC">
                <w:rPr>
                  <w:rStyle w:val="Hyperlink"/>
                  <w:noProof/>
                  <w:lang w:bidi="en-GB"/>
                </w:rPr>
                <w:t>Scope</w:t>
              </w:r>
              <w:r w:rsidR="00250660">
                <w:rPr>
                  <w:noProof/>
                  <w:webHidden/>
                </w:rPr>
                <w:tab/>
              </w:r>
              <w:r w:rsidR="00250660">
                <w:rPr>
                  <w:noProof/>
                  <w:webHidden/>
                </w:rPr>
                <w:fldChar w:fldCharType="begin"/>
              </w:r>
              <w:r w:rsidR="00250660">
                <w:rPr>
                  <w:noProof/>
                  <w:webHidden/>
                </w:rPr>
                <w:instrText xml:space="preserve"> PAGEREF _Toc23767522 \h </w:instrText>
              </w:r>
              <w:r w:rsidR="00250660">
                <w:rPr>
                  <w:noProof/>
                  <w:webHidden/>
                </w:rPr>
              </w:r>
              <w:r w:rsidR="00250660">
                <w:rPr>
                  <w:noProof/>
                  <w:webHidden/>
                </w:rPr>
                <w:fldChar w:fldCharType="separate"/>
              </w:r>
              <w:r w:rsidR="007146F8">
                <w:rPr>
                  <w:noProof/>
                  <w:webHidden/>
                </w:rPr>
                <w:t>1</w:t>
              </w:r>
              <w:r w:rsidR="00250660">
                <w:rPr>
                  <w:noProof/>
                  <w:webHidden/>
                </w:rPr>
                <w:fldChar w:fldCharType="end"/>
              </w:r>
            </w:hyperlink>
          </w:p>
          <w:p w14:paraId="50881E4D" w14:textId="32DBFE3C" w:rsidR="00250660" w:rsidRDefault="00250660">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23767523" w:history="1">
              <w:r w:rsidRPr="007869AC">
                <w:rPr>
                  <w:rStyle w:val="Hyperlink"/>
                  <w:noProof/>
                  <w:lang w:bidi="en-GB"/>
                </w:rPr>
                <w:t>2</w:t>
              </w:r>
              <w:r>
                <w:rPr>
                  <w:rFonts w:asciiTheme="minorHAnsi" w:eastAsiaTheme="minorEastAsia" w:hAnsiTheme="minorHAnsi" w:cstheme="minorBidi"/>
                  <w:b w:val="0"/>
                  <w:bCs w:val="0"/>
                  <w:caps w:val="0"/>
                  <w:noProof/>
                  <w:sz w:val="22"/>
                  <w:szCs w:val="22"/>
                  <w:lang w:val="en-GB" w:eastAsia="en-GB"/>
                </w:rPr>
                <w:tab/>
              </w:r>
              <w:r w:rsidRPr="007869AC">
                <w:rPr>
                  <w:rStyle w:val="Hyperlink"/>
                  <w:noProof/>
                  <w:lang w:bidi="en-GB"/>
                </w:rPr>
                <w:t>References</w:t>
              </w:r>
              <w:r>
                <w:rPr>
                  <w:noProof/>
                  <w:webHidden/>
                </w:rPr>
                <w:tab/>
              </w:r>
              <w:r>
                <w:rPr>
                  <w:noProof/>
                  <w:webHidden/>
                </w:rPr>
                <w:fldChar w:fldCharType="begin"/>
              </w:r>
              <w:r>
                <w:rPr>
                  <w:noProof/>
                  <w:webHidden/>
                </w:rPr>
                <w:instrText xml:space="preserve"> PAGEREF _Toc23767523 \h </w:instrText>
              </w:r>
              <w:r>
                <w:rPr>
                  <w:noProof/>
                  <w:webHidden/>
                </w:rPr>
              </w:r>
              <w:r>
                <w:rPr>
                  <w:noProof/>
                  <w:webHidden/>
                </w:rPr>
                <w:fldChar w:fldCharType="separate"/>
              </w:r>
              <w:r w:rsidR="007146F8">
                <w:rPr>
                  <w:noProof/>
                  <w:webHidden/>
                </w:rPr>
                <w:t>1</w:t>
              </w:r>
              <w:r>
                <w:rPr>
                  <w:noProof/>
                  <w:webHidden/>
                </w:rPr>
                <w:fldChar w:fldCharType="end"/>
              </w:r>
            </w:hyperlink>
          </w:p>
          <w:p w14:paraId="10FF4D09" w14:textId="093F1EE9" w:rsidR="00250660" w:rsidRDefault="00250660">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23767524" w:history="1">
              <w:r w:rsidRPr="007869AC">
                <w:rPr>
                  <w:rStyle w:val="Hyperlink"/>
                  <w:noProof/>
                  <w:lang w:bidi="en-GB"/>
                </w:rPr>
                <w:t>3</w:t>
              </w:r>
              <w:r>
                <w:rPr>
                  <w:rFonts w:asciiTheme="minorHAnsi" w:eastAsiaTheme="minorEastAsia" w:hAnsiTheme="minorHAnsi" w:cstheme="minorBidi"/>
                  <w:b w:val="0"/>
                  <w:bCs w:val="0"/>
                  <w:caps w:val="0"/>
                  <w:noProof/>
                  <w:sz w:val="22"/>
                  <w:szCs w:val="22"/>
                  <w:lang w:val="en-GB" w:eastAsia="en-GB"/>
                </w:rPr>
                <w:tab/>
              </w:r>
              <w:r w:rsidRPr="007869AC">
                <w:rPr>
                  <w:rStyle w:val="Hyperlink"/>
                  <w:noProof/>
                  <w:lang w:bidi="en-GB"/>
                </w:rPr>
                <w:t>Terms and definitions</w:t>
              </w:r>
              <w:r>
                <w:rPr>
                  <w:noProof/>
                  <w:webHidden/>
                </w:rPr>
                <w:tab/>
              </w:r>
              <w:r>
                <w:rPr>
                  <w:noProof/>
                  <w:webHidden/>
                </w:rPr>
                <w:fldChar w:fldCharType="begin"/>
              </w:r>
              <w:r>
                <w:rPr>
                  <w:noProof/>
                  <w:webHidden/>
                </w:rPr>
                <w:instrText xml:space="preserve"> PAGEREF _Toc23767524 \h </w:instrText>
              </w:r>
              <w:r>
                <w:rPr>
                  <w:noProof/>
                  <w:webHidden/>
                </w:rPr>
              </w:r>
              <w:r>
                <w:rPr>
                  <w:noProof/>
                  <w:webHidden/>
                </w:rPr>
                <w:fldChar w:fldCharType="separate"/>
              </w:r>
              <w:r w:rsidR="007146F8">
                <w:rPr>
                  <w:noProof/>
                  <w:webHidden/>
                </w:rPr>
                <w:t>1</w:t>
              </w:r>
              <w:r>
                <w:rPr>
                  <w:noProof/>
                  <w:webHidden/>
                </w:rPr>
                <w:fldChar w:fldCharType="end"/>
              </w:r>
            </w:hyperlink>
          </w:p>
          <w:p w14:paraId="2D3B1CAD" w14:textId="4B2763B1" w:rsidR="00250660" w:rsidRDefault="00250660">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23767525" w:history="1">
              <w:r w:rsidRPr="007869AC">
                <w:rPr>
                  <w:rStyle w:val="Hyperlink"/>
                  <w:noProof/>
                  <w:lang w:bidi="en-GB"/>
                </w:rPr>
                <w:t>4</w:t>
              </w:r>
              <w:r>
                <w:rPr>
                  <w:rFonts w:asciiTheme="minorHAnsi" w:eastAsiaTheme="minorEastAsia" w:hAnsiTheme="minorHAnsi" w:cstheme="minorBidi"/>
                  <w:b w:val="0"/>
                  <w:bCs w:val="0"/>
                  <w:caps w:val="0"/>
                  <w:noProof/>
                  <w:sz w:val="22"/>
                  <w:szCs w:val="22"/>
                  <w:lang w:val="en-GB" w:eastAsia="en-GB"/>
                </w:rPr>
                <w:tab/>
              </w:r>
              <w:r w:rsidRPr="007869AC">
                <w:rPr>
                  <w:rStyle w:val="Hyperlink"/>
                  <w:noProof/>
                  <w:lang w:bidi="en-GB"/>
                </w:rPr>
                <w:t>Abbreviations</w:t>
              </w:r>
              <w:r>
                <w:rPr>
                  <w:noProof/>
                  <w:webHidden/>
                </w:rPr>
                <w:tab/>
              </w:r>
              <w:r>
                <w:rPr>
                  <w:noProof/>
                  <w:webHidden/>
                </w:rPr>
                <w:fldChar w:fldCharType="begin"/>
              </w:r>
              <w:r>
                <w:rPr>
                  <w:noProof/>
                  <w:webHidden/>
                </w:rPr>
                <w:instrText xml:space="preserve"> PAGEREF _Toc23767525 \h </w:instrText>
              </w:r>
              <w:r>
                <w:rPr>
                  <w:noProof/>
                  <w:webHidden/>
                </w:rPr>
              </w:r>
              <w:r>
                <w:rPr>
                  <w:noProof/>
                  <w:webHidden/>
                </w:rPr>
                <w:fldChar w:fldCharType="separate"/>
              </w:r>
              <w:r w:rsidR="007146F8">
                <w:rPr>
                  <w:noProof/>
                  <w:webHidden/>
                </w:rPr>
                <w:t>1</w:t>
              </w:r>
              <w:r>
                <w:rPr>
                  <w:noProof/>
                  <w:webHidden/>
                </w:rPr>
                <w:fldChar w:fldCharType="end"/>
              </w:r>
            </w:hyperlink>
          </w:p>
          <w:p w14:paraId="4FC7DA7C" w14:textId="437B9390" w:rsidR="00250660" w:rsidRDefault="00250660">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23767526" w:history="1">
              <w:r w:rsidRPr="007869AC">
                <w:rPr>
                  <w:rStyle w:val="Hyperlink"/>
                  <w:noProof/>
                  <w:lang w:bidi="en-GB"/>
                </w:rPr>
                <w:t>5</w:t>
              </w:r>
              <w:r>
                <w:rPr>
                  <w:rFonts w:asciiTheme="minorHAnsi" w:eastAsiaTheme="minorEastAsia" w:hAnsiTheme="minorHAnsi" w:cstheme="minorBidi"/>
                  <w:b w:val="0"/>
                  <w:bCs w:val="0"/>
                  <w:caps w:val="0"/>
                  <w:noProof/>
                  <w:sz w:val="22"/>
                  <w:szCs w:val="22"/>
                  <w:lang w:val="en-GB" w:eastAsia="en-GB"/>
                </w:rPr>
                <w:tab/>
              </w:r>
              <w:r w:rsidRPr="007869AC">
                <w:rPr>
                  <w:rStyle w:val="Hyperlink"/>
                  <w:noProof/>
                  <w:lang w:bidi="en-GB"/>
                </w:rPr>
                <w:t>Introduction</w:t>
              </w:r>
              <w:r>
                <w:rPr>
                  <w:noProof/>
                  <w:webHidden/>
                </w:rPr>
                <w:tab/>
              </w:r>
              <w:r>
                <w:rPr>
                  <w:noProof/>
                  <w:webHidden/>
                </w:rPr>
                <w:fldChar w:fldCharType="begin"/>
              </w:r>
              <w:r>
                <w:rPr>
                  <w:noProof/>
                  <w:webHidden/>
                </w:rPr>
                <w:instrText xml:space="preserve"> PAGEREF _Toc23767526 \h </w:instrText>
              </w:r>
              <w:r>
                <w:rPr>
                  <w:noProof/>
                  <w:webHidden/>
                </w:rPr>
              </w:r>
              <w:r>
                <w:rPr>
                  <w:noProof/>
                  <w:webHidden/>
                </w:rPr>
                <w:fldChar w:fldCharType="separate"/>
              </w:r>
              <w:r w:rsidR="007146F8">
                <w:rPr>
                  <w:noProof/>
                  <w:webHidden/>
                </w:rPr>
                <w:t>2</w:t>
              </w:r>
              <w:r>
                <w:rPr>
                  <w:noProof/>
                  <w:webHidden/>
                </w:rPr>
                <w:fldChar w:fldCharType="end"/>
              </w:r>
            </w:hyperlink>
          </w:p>
          <w:p w14:paraId="4115A562" w14:textId="748AAC76" w:rsidR="00250660" w:rsidRDefault="00250660">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23767527" w:history="1">
              <w:r w:rsidRPr="007869AC">
                <w:rPr>
                  <w:rStyle w:val="Hyperlink"/>
                  <w:noProof/>
                  <w:lang w:bidi="en-GB"/>
                </w:rPr>
                <w:t>6</w:t>
              </w:r>
              <w:r>
                <w:rPr>
                  <w:rFonts w:asciiTheme="minorHAnsi" w:eastAsiaTheme="minorEastAsia" w:hAnsiTheme="minorHAnsi" w:cstheme="minorBidi"/>
                  <w:b w:val="0"/>
                  <w:bCs w:val="0"/>
                  <w:caps w:val="0"/>
                  <w:noProof/>
                  <w:sz w:val="22"/>
                  <w:szCs w:val="22"/>
                  <w:lang w:val="en-GB" w:eastAsia="en-GB"/>
                </w:rPr>
                <w:tab/>
              </w:r>
              <w:r w:rsidRPr="007869AC">
                <w:rPr>
                  <w:rStyle w:val="Hyperlink"/>
                  <w:noProof/>
                  <w:lang w:bidi="en-GB"/>
                </w:rPr>
                <w:t>DLT regulatory issues</w:t>
              </w:r>
              <w:r>
                <w:rPr>
                  <w:noProof/>
                  <w:webHidden/>
                </w:rPr>
                <w:tab/>
              </w:r>
              <w:r>
                <w:rPr>
                  <w:noProof/>
                  <w:webHidden/>
                </w:rPr>
                <w:fldChar w:fldCharType="begin"/>
              </w:r>
              <w:r>
                <w:rPr>
                  <w:noProof/>
                  <w:webHidden/>
                </w:rPr>
                <w:instrText xml:space="preserve"> PAGEREF _Toc23767527 \h </w:instrText>
              </w:r>
              <w:r>
                <w:rPr>
                  <w:noProof/>
                  <w:webHidden/>
                </w:rPr>
              </w:r>
              <w:r>
                <w:rPr>
                  <w:noProof/>
                  <w:webHidden/>
                </w:rPr>
                <w:fldChar w:fldCharType="separate"/>
              </w:r>
              <w:r w:rsidR="007146F8">
                <w:rPr>
                  <w:noProof/>
                  <w:webHidden/>
                </w:rPr>
                <w:t>3</w:t>
              </w:r>
              <w:r>
                <w:rPr>
                  <w:noProof/>
                  <w:webHidden/>
                </w:rPr>
                <w:fldChar w:fldCharType="end"/>
              </w:r>
            </w:hyperlink>
          </w:p>
          <w:p w14:paraId="76766E60" w14:textId="38992876" w:rsidR="00250660" w:rsidRDefault="00250660">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23767528" w:history="1">
              <w:r w:rsidRPr="007869AC">
                <w:rPr>
                  <w:rStyle w:val="Hyperlink"/>
                  <w:noProof/>
                </w:rPr>
                <w:t>6.1</w:t>
              </w:r>
              <w:r>
                <w:rPr>
                  <w:rFonts w:asciiTheme="minorHAnsi" w:eastAsiaTheme="minorEastAsia" w:hAnsiTheme="minorHAnsi" w:cstheme="minorBidi"/>
                  <w:smallCaps w:val="0"/>
                  <w:noProof/>
                  <w:sz w:val="22"/>
                  <w:szCs w:val="22"/>
                  <w:lang w:val="en-GB" w:eastAsia="en-GB"/>
                </w:rPr>
                <w:tab/>
              </w:r>
              <w:r w:rsidRPr="007869AC">
                <w:rPr>
                  <w:rStyle w:val="Hyperlink"/>
                  <w:noProof/>
                </w:rPr>
                <w:t>Property 1: Distribution and ledger sharing</w:t>
              </w:r>
              <w:r>
                <w:rPr>
                  <w:noProof/>
                  <w:webHidden/>
                </w:rPr>
                <w:tab/>
              </w:r>
              <w:r>
                <w:rPr>
                  <w:noProof/>
                  <w:webHidden/>
                </w:rPr>
                <w:fldChar w:fldCharType="begin"/>
              </w:r>
              <w:r>
                <w:rPr>
                  <w:noProof/>
                  <w:webHidden/>
                </w:rPr>
                <w:instrText xml:space="preserve"> PAGEREF _Toc23767528 \h </w:instrText>
              </w:r>
              <w:r>
                <w:rPr>
                  <w:noProof/>
                  <w:webHidden/>
                </w:rPr>
              </w:r>
              <w:r>
                <w:rPr>
                  <w:noProof/>
                  <w:webHidden/>
                </w:rPr>
                <w:fldChar w:fldCharType="separate"/>
              </w:r>
              <w:r w:rsidR="007146F8">
                <w:rPr>
                  <w:noProof/>
                  <w:webHidden/>
                </w:rPr>
                <w:t>4</w:t>
              </w:r>
              <w:r>
                <w:rPr>
                  <w:noProof/>
                  <w:webHidden/>
                </w:rPr>
                <w:fldChar w:fldCharType="end"/>
              </w:r>
            </w:hyperlink>
          </w:p>
          <w:p w14:paraId="3875478B" w14:textId="552704BB"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29" w:history="1">
              <w:r w:rsidRPr="007869AC">
                <w:rPr>
                  <w:rStyle w:val="Hyperlink"/>
                  <w:noProof/>
                </w:rPr>
                <w:t>6.1.1</w:t>
              </w:r>
              <w:r>
                <w:rPr>
                  <w:rFonts w:asciiTheme="minorHAnsi" w:eastAsiaTheme="minorEastAsia" w:hAnsiTheme="minorHAnsi" w:cstheme="minorBidi"/>
                  <w:i w:val="0"/>
                  <w:iCs w:val="0"/>
                  <w:noProof/>
                  <w:sz w:val="22"/>
                  <w:szCs w:val="22"/>
                  <w:lang w:val="en-GB" w:eastAsia="en-GB"/>
                </w:rPr>
                <w:tab/>
              </w:r>
              <w:r w:rsidRPr="007869AC">
                <w:rPr>
                  <w:rStyle w:val="Hyperlink"/>
                  <w:noProof/>
                </w:rPr>
                <w:t>Introduction of the property</w:t>
              </w:r>
              <w:r>
                <w:rPr>
                  <w:noProof/>
                  <w:webHidden/>
                </w:rPr>
                <w:tab/>
              </w:r>
              <w:r>
                <w:rPr>
                  <w:noProof/>
                  <w:webHidden/>
                </w:rPr>
                <w:fldChar w:fldCharType="begin"/>
              </w:r>
              <w:r>
                <w:rPr>
                  <w:noProof/>
                  <w:webHidden/>
                </w:rPr>
                <w:instrText xml:space="preserve"> PAGEREF _Toc23767529 \h </w:instrText>
              </w:r>
              <w:r>
                <w:rPr>
                  <w:noProof/>
                  <w:webHidden/>
                </w:rPr>
              </w:r>
              <w:r>
                <w:rPr>
                  <w:noProof/>
                  <w:webHidden/>
                </w:rPr>
                <w:fldChar w:fldCharType="separate"/>
              </w:r>
              <w:r w:rsidR="007146F8">
                <w:rPr>
                  <w:noProof/>
                  <w:webHidden/>
                </w:rPr>
                <w:t>5</w:t>
              </w:r>
              <w:r>
                <w:rPr>
                  <w:noProof/>
                  <w:webHidden/>
                </w:rPr>
                <w:fldChar w:fldCharType="end"/>
              </w:r>
            </w:hyperlink>
          </w:p>
          <w:p w14:paraId="06468447" w14:textId="31826FC8"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0" w:history="1">
              <w:r w:rsidRPr="007869AC">
                <w:rPr>
                  <w:rStyle w:val="Hyperlink"/>
                  <w:noProof/>
                  <w:lang w:bidi="en-GB"/>
                </w:rPr>
                <w:t>6.1.2</w:t>
              </w:r>
              <w:r>
                <w:rPr>
                  <w:rFonts w:asciiTheme="minorHAnsi" w:eastAsiaTheme="minorEastAsia" w:hAnsiTheme="minorHAnsi" w:cstheme="minorBidi"/>
                  <w:i w:val="0"/>
                  <w:iCs w:val="0"/>
                  <w:noProof/>
                  <w:sz w:val="22"/>
                  <w:szCs w:val="22"/>
                  <w:lang w:val="en-GB" w:eastAsia="en-GB"/>
                </w:rPr>
                <w:tab/>
              </w:r>
              <w:r w:rsidRPr="007869AC">
                <w:rPr>
                  <w:rStyle w:val="Hyperlink"/>
                  <w:noProof/>
                  <w:lang w:bidi="en-GB"/>
                </w:rPr>
                <w:t>Approaches and/or recommendations</w:t>
              </w:r>
              <w:r>
                <w:rPr>
                  <w:noProof/>
                  <w:webHidden/>
                </w:rPr>
                <w:tab/>
              </w:r>
              <w:r>
                <w:rPr>
                  <w:noProof/>
                  <w:webHidden/>
                </w:rPr>
                <w:fldChar w:fldCharType="begin"/>
              </w:r>
              <w:r>
                <w:rPr>
                  <w:noProof/>
                  <w:webHidden/>
                </w:rPr>
                <w:instrText xml:space="preserve"> PAGEREF _Toc23767530 \h </w:instrText>
              </w:r>
              <w:r>
                <w:rPr>
                  <w:noProof/>
                  <w:webHidden/>
                </w:rPr>
              </w:r>
              <w:r>
                <w:rPr>
                  <w:noProof/>
                  <w:webHidden/>
                </w:rPr>
                <w:fldChar w:fldCharType="separate"/>
              </w:r>
              <w:r w:rsidR="007146F8">
                <w:rPr>
                  <w:noProof/>
                  <w:webHidden/>
                </w:rPr>
                <w:t>7</w:t>
              </w:r>
              <w:r>
                <w:rPr>
                  <w:noProof/>
                  <w:webHidden/>
                </w:rPr>
                <w:fldChar w:fldCharType="end"/>
              </w:r>
            </w:hyperlink>
          </w:p>
          <w:p w14:paraId="5A4D5708" w14:textId="4F72FF1D" w:rsidR="00250660" w:rsidRDefault="00250660">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23767531" w:history="1">
              <w:r w:rsidRPr="007869AC">
                <w:rPr>
                  <w:rStyle w:val="Hyperlink"/>
                  <w:noProof/>
                </w:rPr>
                <w:t>6.2</w:t>
              </w:r>
              <w:r>
                <w:rPr>
                  <w:rFonts w:asciiTheme="minorHAnsi" w:eastAsiaTheme="minorEastAsia" w:hAnsiTheme="minorHAnsi" w:cstheme="minorBidi"/>
                  <w:smallCaps w:val="0"/>
                  <w:noProof/>
                  <w:sz w:val="22"/>
                  <w:szCs w:val="22"/>
                  <w:lang w:val="en-GB" w:eastAsia="en-GB"/>
                </w:rPr>
                <w:tab/>
              </w:r>
              <w:r w:rsidRPr="007869AC">
                <w:rPr>
                  <w:rStyle w:val="Hyperlink"/>
                  <w:noProof/>
                </w:rPr>
                <w:t>Property 2: Autonomy and responsibility</w:t>
              </w:r>
              <w:r>
                <w:rPr>
                  <w:noProof/>
                  <w:webHidden/>
                </w:rPr>
                <w:tab/>
              </w:r>
              <w:r>
                <w:rPr>
                  <w:noProof/>
                  <w:webHidden/>
                </w:rPr>
                <w:fldChar w:fldCharType="begin"/>
              </w:r>
              <w:r>
                <w:rPr>
                  <w:noProof/>
                  <w:webHidden/>
                </w:rPr>
                <w:instrText xml:space="preserve"> PAGEREF _Toc23767531 \h </w:instrText>
              </w:r>
              <w:r>
                <w:rPr>
                  <w:noProof/>
                  <w:webHidden/>
                </w:rPr>
              </w:r>
              <w:r>
                <w:rPr>
                  <w:noProof/>
                  <w:webHidden/>
                </w:rPr>
                <w:fldChar w:fldCharType="separate"/>
              </w:r>
              <w:r w:rsidR="007146F8">
                <w:rPr>
                  <w:noProof/>
                  <w:webHidden/>
                </w:rPr>
                <w:t>8</w:t>
              </w:r>
              <w:r>
                <w:rPr>
                  <w:noProof/>
                  <w:webHidden/>
                </w:rPr>
                <w:fldChar w:fldCharType="end"/>
              </w:r>
            </w:hyperlink>
          </w:p>
          <w:p w14:paraId="6410B36F" w14:textId="057EDF1F"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2" w:history="1">
              <w:r w:rsidRPr="007869AC">
                <w:rPr>
                  <w:rStyle w:val="Hyperlink"/>
                  <w:noProof/>
                </w:rPr>
                <w:t>6.2.1</w:t>
              </w:r>
              <w:r>
                <w:rPr>
                  <w:rFonts w:asciiTheme="minorHAnsi" w:eastAsiaTheme="minorEastAsia" w:hAnsiTheme="minorHAnsi" w:cstheme="minorBidi"/>
                  <w:i w:val="0"/>
                  <w:iCs w:val="0"/>
                  <w:noProof/>
                  <w:sz w:val="22"/>
                  <w:szCs w:val="22"/>
                  <w:lang w:val="en-GB" w:eastAsia="en-GB"/>
                </w:rPr>
                <w:tab/>
              </w:r>
              <w:r w:rsidRPr="007869AC">
                <w:rPr>
                  <w:rStyle w:val="Hyperlink"/>
                  <w:noProof/>
                </w:rPr>
                <w:t>Introduction of the property</w:t>
              </w:r>
              <w:r>
                <w:rPr>
                  <w:noProof/>
                  <w:webHidden/>
                </w:rPr>
                <w:tab/>
              </w:r>
              <w:r>
                <w:rPr>
                  <w:noProof/>
                  <w:webHidden/>
                </w:rPr>
                <w:fldChar w:fldCharType="begin"/>
              </w:r>
              <w:r>
                <w:rPr>
                  <w:noProof/>
                  <w:webHidden/>
                </w:rPr>
                <w:instrText xml:space="preserve"> PAGEREF _Toc23767532 \h </w:instrText>
              </w:r>
              <w:r>
                <w:rPr>
                  <w:noProof/>
                  <w:webHidden/>
                </w:rPr>
              </w:r>
              <w:r>
                <w:rPr>
                  <w:noProof/>
                  <w:webHidden/>
                </w:rPr>
                <w:fldChar w:fldCharType="separate"/>
              </w:r>
              <w:r w:rsidR="007146F8">
                <w:rPr>
                  <w:noProof/>
                  <w:webHidden/>
                </w:rPr>
                <w:t>8</w:t>
              </w:r>
              <w:r>
                <w:rPr>
                  <w:noProof/>
                  <w:webHidden/>
                </w:rPr>
                <w:fldChar w:fldCharType="end"/>
              </w:r>
            </w:hyperlink>
          </w:p>
          <w:p w14:paraId="6FC087E2" w14:textId="5F6A3778"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3" w:history="1">
              <w:r w:rsidRPr="007869AC">
                <w:rPr>
                  <w:rStyle w:val="Hyperlink"/>
                  <w:noProof/>
                </w:rPr>
                <w:t>6.2.2</w:t>
              </w:r>
              <w:r>
                <w:rPr>
                  <w:rFonts w:asciiTheme="minorHAnsi" w:eastAsiaTheme="minorEastAsia" w:hAnsiTheme="minorHAnsi" w:cstheme="minorBidi"/>
                  <w:i w:val="0"/>
                  <w:iCs w:val="0"/>
                  <w:noProof/>
                  <w:sz w:val="22"/>
                  <w:szCs w:val="22"/>
                  <w:lang w:val="en-GB" w:eastAsia="en-GB"/>
                </w:rPr>
                <w:tab/>
              </w:r>
              <w:r w:rsidRPr="007869AC">
                <w:rPr>
                  <w:rStyle w:val="Hyperlink"/>
                  <w:noProof/>
                </w:rPr>
                <w:t>Challenges associated with this property</w:t>
              </w:r>
              <w:r>
                <w:rPr>
                  <w:noProof/>
                  <w:webHidden/>
                </w:rPr>
                <w:tab/>
              </w:r>
              <w:r>
                <w:rPr>
                  <w:noProof/>
                  <w:webHidden/>
                </w:rPr>
                <w:fldChar w:fldCharType="begin"/>
              </w:r>
              <w:r>
                <w:rPr>
                  <w:noProof/>
                  <w:webHidden/>
                </w:rPr>
                <w:instrText xml:space="preserve"> PAGEREF _Toc23767533 \h </w:instrText>
              </w:r>
              <w:r>
                <w:rPr>
                  <w:noProof/>
                  <w:webHidden/>
                </w:rPr>
              </w:r>
              <w:r>
                <w:rPr>
                  <w:noProof/>
                  <w:webHidden/>
                </w:rPr>
                <w:fldChar w:fldCharType="separate"/>
              </w:r>
              <w:r w:rsidR="007146F8">
                <w:rPr>
                  <w:noProof/>
                  <w:webHidden/>
                </w:rPr>
                <w:t>8</w:t>
              </w:r>
              <w:r>
                <w:rPr>
                  <w:noProof/>
                  <w:webHidden/>
                </w:rPr>
                <w:fldChar w:fldCharType="end"/>
              </w:r>
            </w:hyperlink>
          </w:p>
          <w:p w14:paraId="4829CBC8" w14:textId="6967678B"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4" w:history="1">
              <w:r w:rsidRPr="007869AC">
                <w:rPr>
                  <w:rStyle w:val="Hyperlink"/>
                  <w:noProof/>
                </w:rPr>
                <w:t>6.2.3</w:t>
              </w:r>
              <w:r>
                <w:rPr>
                  <w:rFonts w:asciiTheme="minorHAnsi" w:eastAsiaTheme="minorEastAsia" w:hAnsiTheme="minorHAnsi" w:cstheme="minorBidi"/>
                  <w:i w:val="0"/>
                  <w:iCs w:val="0"/>
                  <w:noProof/>
                  <w:sz w:val="22"/>
                  <w:szCs w:val="22"/>
                  <w:lang w:val="en-GB" w:eastAsia="en-GB"/>
                </w:rPr>
                <w:tab/>
              </w:r>
              <w:r w:rsidRPr="007869AC">
                <w:rPr>
                  <w:rStyle w:val="Hyperlink"/>
                  <w:noProof/>
                </w:rPr>
                <w:t>Regulatory challenges</w:t>
              </w:r>
              <w:r>
                <w:rPr>
                  <w:noProof/>
                  <w:webHidden/>
                </w:rPr>
                <w:tab/>
              </w:r>
              <w:r>
                <w:rPr>
                  <w:noProof/>
                  <w:webHidden/>
                </w:rPr>
                <w:fldChar w:fldCharType="begin"/>
              </w:r>
              <w:r>
                <w:rPr>
                  <w:noProof/>
                  <w:webHidden/>
                </w:rPr>
                <w:instrText xml:space="preserve"> PAGEREF _Toc23767534 \h </w:instrText>
              </w:r>
              <w:r>
                <w:rPr>
                  <w:noProof/>
                  <w:webHidden/>
                </w:rPr>
              </w:r>
              <w:r>
                <w:rPr>
                  <w:noProof/>
                  <w:webHidden/>
                </w:rPr>
                <w:fldChar w:fldCharType="separate"/>
              </w:r>
              <w:r w:rsidR="007146F8">
                <w:rPr>
                  <w:noProof/>
                  <w:webHidden/>
                </w:rPr>
                <w:t>9</w:t>
              </w:r>
              <w:r>
                <w:rPr>
                  <w:noProof/>
                  <w:webHidden/>
                </w:rPr>
                <w:fldChar w:fldCharType="end"/>
              </w:r>
            </w:hyperlink>
          </w:p>
          <w:p w14:paraId="067B9A0A" w14:textId="6A6FF260"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5" w:history="1">
              <w:r w:rsidRPr="007869AC">
                <w:rPr>
                  <w:rStyle w:val="Hyperlink"/>
                  <w:noProof/>
                </w:rPr>
                <w:t>6.2.4</w:t>
              </w:r>
              <w:r>
                <w:rPr>
                  <w:rFonts w:asciiTheme="minorHAnsi" w:eastAsiaTheme="minorEastAsia" w:hAnsiTheme="minorHAnsi" w:cstheme="minorBidi"/>
                  <w:i w:val="0"/>
                  <w:iCs w:val="0"/>
                  <w:noProof/>
                  <w:sz w:val="22"/>
                  <w:szCs w:val="22"/>
                  <w:lang w:val="en-GB" w:eastAsia="en-GB"/>
                </w:rPr>
                <w:tab/>
              </w:r>
              <w:r w:rsidRPr="007869AC">
                <w:rPr>
                  <w:rStyle w:val="Hyperlink"/>
                  <w:noProof/>
                </w:rPr>
                <w:t>Approaches and/or recommendations</w:t>
              </w:r>
              <w:r>
                <w:rPr>
                  <w:noProof/>
                  <w:webHidden/>
                </w:rPr>
                <w:tab/>
              </w:r>
              <w:r>
                <w:rPr>
                  <w:noProof/>
                  <w:webHidden/>
                </w:rPr>
                <w:fldChar w:fldCharType="begin"/>
              </w:r>
              <w:r>
                <w:rPr>
                  <w:noProof/>
                  <w:webHidden/>
                </w:rPr>
                <w:instrText xml:space="preserve"> PAGEREF _Toc23767535 \h </w:instrText>
              </w:r>
              <w:r>
                <w:rPr>
                  <w:noProof/>
                  <w:webHidden/>
                </w:rPr>
              </w:r>
              <w:r>
                <w:rPr>
                  <w:noProof/>
                  <w:webHidden/>
                </w:rPr>
                <w:fldChar w:fldCharType="separate"/>
              </w:r>
              <w:r w:rsidR="007146F8">
                <w:rPr>
                  <w:noProof/>
                  <w:webHidden/>
                </w:rPr>
                <w:t>11</w:t>
              </w:r>
              <w:r>
                <w:rPr>
                  <w:noProof/>
                  <w:webHidden/>
                </w:rPr>
                <w:fldChar w:fldCharType="end"/>
              </w:r>
            </w:hyperlink>
          </w:p>
          <w:p w14:paraId="4ED13811" w14:textId="4707EF2F" w:rsidR="00250660" w:rsidRDefault="00250660">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23767536" w:history="1">
              <w:r w:rsidRPr="007869AC">
                <w:rPr>
                  <w:rStyle w:val="Hyperlink"/>
                  <w:noProof/>
                </w:rPr>
                <w:t>6.3</w:t>
              </w:r>
              <w:r>
                <w:rPr>
                  <w:rFonts w:asciiTheme="minorHAnsi" w:eastAsiaTheme="minorEastAsia" w:hAnsiTheme="minorHAnsi" w:cstheme="minorBidi"/>
                  <w:smallCaps w:val="0"/>
                  <w:noProof/>
                  <w:sz w:val="22"/>
                  <w:szCs w:val="22"/>
                  <w:lang w:val="en-GB" w:eastAsia="en-GB"/>
                </w:rPr>
                <w:tab/>
              </w:r>
              <w:r w:rsidRPr="007869AC">
                <w:rPr>
                  <w:rStyle w:val="Hyperlink"/>
                  <w:noProof/>
                </w:rPr>
                <w:t>Property 3: Tamper evidence and resistance</w:t>
              </w:r>
              <w:r>
                <w:rPr>
                  <w:noProof/>
                  <w:webHidden/>
                </w:rPr>
                <w:tab/>
              </w:r>
              <w:r>
                <w:rPr>
                  <w:noProof/>
                  <w:webHidden/>
                </w:rPr>
                <w:fldChar w:fldCharType="begin"/>
              </w:r>
              <w:r>
                <w:rPr>
                  <w:noProof/>
                  <w:webHidden/>
                </w:rPr>
                <w:instrText xml:space="preserve"> PAGEREF _Toc23767536 \h </w:instrText>
              </w:r>
              <w:r>
                <w:rPr>
                  <w:noProof/>
                  <w:webHidden/>
                </w:rPr>
              </w:r>
              <w:r>
                <w:rPr>
                  <w:noProof/>
                  <w:webHidden/>
                </w:rPr>
                <w:fldChar w:fldCharType="separate"/>
              </w:r>
              <w:r w:rsidR="007146F8">
                <w:rPr>
                  <w:noProof/>
                  <w:webHidden/>
                </w:rPr>
                <w:t>12</w:t>
              </w:r>
              <w:r>
                <w:rPr>
                  <w:noProof/>
                  <w:webHidden/>
                </w:rPr>
                <w:fldChar w:fldCharType="end"/>
              </w:r>
            </w:hyperlink>
          </w:p>
          <w:p w14:paraId="4B60B420" w14:textId="56822298"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7" w:history="1">
              <w:r w:rsidRPr="007869AC">
                <w:rPr>
                  <w:rStyle w:val="Hyperlink"/>
                  <w:noProof/>
                </w:rPr>
                <w:t>6.3.1</w:t>
              </w:r>
              <w:r>
                <w:rPr>
                  <w:rFonts w:asciiTheme="minorHAnsi" w:eastAsiaTheme="minorEastAsia" w:hAnsiTheme="minorHAnsi" w:cstheme="minorBidi"/>
                  <w:i w:val="0"/>
                  <w:iCs w:val="0"/>
                  <w:noProof/>
                  <w:sz w:val="22"/>
                  <w:szCs w:val="22"/>
                  <w:lang w:val="en-GB" w:eastAsia="en-GB"/>
                </w:rPr>
                <w:tab/>
              </w:r>
              <w:r w:rsidRPr="007869AC">
                <w:rPr>
                  <w:rStyle w:val="Hyperlink"/>
                  <w:noProof/>
                </w:rPr>
                <w:t>Introduction of the property</w:t>
              </w:r>
              <w:r>
                <w:rPr>
                  <w:noProof/>
                  <w:webHidden/>
                </w:rPr>
                <w:tab/>
              </w:r>
              <w:r>
                <w:rPr>
                  <w:noProof/>
                  <w:webHidden/>
                </w:rPr>
                <w:fldChar w:fldCharType="begin"/>
              </w:r>
              <w:r>
                <w:rPr>
                  <w:noProof/>
                  <w:webHidden/>
                </w:rPr>
                <w:instrText xml:space="preserve"> PAGEREF _Toc23767537 \h </w:instrText>
              </w:r>
              <w:r>
                <w:rPr>
                  <w:noProof/>
                  <w:webHidden/>
                </w:rPr>
              </w:r>
              <w:r>
                <w:rPr>
                  <w:noProof/>
                  <w:webHidden/>
                </w:rPr>
                <w:fldChar w:fldCharType="separate"/>
              </w:r>
              <w:r w:rsidR="007146F8">
                <w:rPr>
                  <w:noProof/>
                  <w:webHidden/>
                </w:rPr>
                <w:t>12</w:t>
              </w:r>
              <w:r>
                <w:rPr>
                  <w:noProof/>
                  <w:webHidden/>
                </w:rPr>
                <w:fldChar w:fldCharType="end"/>
              </w:r>
            </w:hyperlink>
          </w:p>
          <w:p w14:paraId="57EB0232" w14:textId="1E94BB78"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8" w:history="1">
              <w:r w:rsidRPr="007869AC">
                <w:rPr>
                  <w:rStyle w:val="Hyperlink"/>
                  <w:noProof/>
                </w:rPr>
                <w:t>6.3.2</w:t>
              </w:r>
              <w:r>
                <w:rPr>
                  <w:rFonts w:asciiTheme="minorHAnsi" w:eastAsiaTheme="minorEastAsia" w:hAnsiTheme="minorHAnsi" w:cstheme="minorBidi"/>
                  <w:i w:val="0"/>
                  <w:iCs w:val="0"/>
                  <w:noProof/>
                  <w:sz w:val="22"/>
                  <w:szCs w:val="22"/>
                  <w:lang w:val="en-GB" w:eastAsia="en-GB"/>
                </w:rPr>
                <w:tab/>
              </w:r>
              <w:r w:rsidRPr="007869AC">
                <w:rPr>
                  <w:rStyle w:val="Hyperlink"/>
                  <w:noProof/>
                </w:rPr>
                <w:t>Regulatory challenges</w:t>
              </w:r>
              <w:r>
                <w:rPr>
                  <w:noProof/>
                  <w:webHidden/>
                </w:rPr>
                <w:tab/>
              </w:r>
              <w:r>
                <w:rPr>
                  <w:noProof/>
                  <w:webHidden/>
                </w:rPr>
                <w:fldChar w:fldCharType="begin"/>
              </w:r>
              <w:r>
                <w:rPr>
                  <w:noProof/>
                  <w:webHidden/>
                </w:rPr>
                <w:instrText xml:space="preserve"> PAGEREF _Toc23767538 \h </w:instrText>
              </w:r>
              <w:r>
                <w:rPr>
                  <w:noProof/>
                  <w:webHidden/>
                </w:rPr>
              </w:r>
              <w:r>
                <w:rPr>
                  <w:noProof/>
                  <w:webHidden/>
                </w:rPr>
                <w:fldChar w:fldCharType="separate"/>
              </w:r>
              <w:r w:rsidR="007146F8">
                <w:rPr>
                  <w:noProof/>
                  <w:webHidden/>
                </w:rPr>
                <w:t>15</w:t>
              </w:r>
              <w:r>
                <w:rPr>
                  <w:noProof/>
                  <w:webHidden/>
                </w:rPr>
                <w:fldChar w:fldCharType="end"/>
              </w:r>
            </w:hyperlink>
          </w:p>
          <w:p w14:paraId="6DC01872" w14:textId="59B72231"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39" w:history="1">
              <w:r w:rsidRPr="007869AC">
                <w:rPr>
                  <w:rStyle w:val="Hyperlink"/>
                  <w:noProof/>
                </w:rPr>
                <w:t>6.3.3</w:t>
              </w:r>
              <w:r>
                <w:rPr>
                  <w:rFonts w:asciiTheme="minorHAnsi" w:eastAsiaTheme="minorEastAsia" w:hAnsiTheme="minorHAnsi" w:cstheme="minorBidi"/>
                  <w:i w:val="0"/>
                  <w:iCs w:val="0"/>
                  <w:noProof/>
                  <w:sz w:val="22"/>
                  <w:szCs w:val="22"/>
                  <w:lang w:val="en-GB" w:eastAsia="en-GB"/>
                </w:rPr>
                <w:tab/>
              </w:r>
              <w:r w:rsidRPr="007869AC">
                <w:rPr>
                  <w:rStyle w:val="Hyperlink"/>
                  <w:noProof/>
                </w:rPr>
                <w:t>Approaches and/or recommendations</w:t>
              </w:r>
              <w:r>
                <w:rPr>
                  <w:noProof/>
                  <w:webHidden/>
                </w:rPr>
                <w:tab/>
              </w:r>
              <w:r>
                <w:rPr>
                  <w:noProof/>
                  <w:webHidden/>
                </w:rPr>
                <w:fldChar w:fldCharType="begin"/>
              </w:r>
              <w:r>
                <w:rPr>
                  <w:noProof/>
                  <w:webHidden/>
                </w:rPr>
                <w:instrText xml:space="preserve"> PAGEREF _Toc23767539 \h </w:instrText>
              </w:r>
              <w:r>
                <w:rPr>
                  <w:noProof/>
                  <w:webHidden/>
                </w:rPr>
              </w:r>
              <w:r>
                <w:rPr>
                  <w:noProof/>
                  <w:webHidden/>
                </w:rPr>
                <w:fldChar w:fldCharType="separate"/>
              </w:r>
              <w:r w:rsidR="007146F8">
                <w:rPr>
                  <w:noProof/>
                  <w:webHidden/>
                </w:rPr>
                <w:t>17</w:t>
              </w:r>
              <w:r>
                <w:rPr>
                  <w:noProof/>
                  <w:webHidden/>
                </w:rPr>
                <w:fldChar w:fldCharType="end"/>
              </w:r>
            </w:hyperlink>
          </w:p>
          <w:p w14:paraId="7D76B6E9" w14:textId="7587CE85" w:rsidR="00250660" w:rsidRDefault="00250660">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23767540" w:history="1">
              <w:r w:rsidRPr="007869AC">
                <w:rPr>
                  <w:rStyle w:val="Hyperlink"/>
                  <w:noProof/>
                </w:rPr>
                <w:t>6.4</w:t>
              </w:r>
              <w:r>
                <w:rPr>
                  <w:rFonts w:asciiTheme="minorHAnsi" w:eastAsiaTheme="minorEastAsia" w:hAnsiTheme="minorHAnsi" w:cstheme="minorBidi"/>
                  <w:smallCaps w:val="0"/>
                  <w:noProof/>
                  <w:sz w:val="22"/>
                  <w:szCs w:val="22"/>
                  <w:lang w:val="en-GB" w:eastAsia="en-GB"/>
                </w:rPr>
                <w:tab/>
              </w:r>
              <w:r w:rsidRPr="007869AC">
                <w:rPr>
                  <w:rStyle w:val="Hyperlink"/>
                  <w:noProof/>
                </w:rPr>
                <w:t>Property 4: Incentive mechanism and digital assets</w:t>
              </w:r>
              <w:r>
                <w:rPr>
                  <w:noProof/>
                  <w:webHidden/>
                </w:rPr>
                <w:tab/>
              </w:r>
              <w:r>
                <w:rPr>
                  <w:noProof/>
                  <w:webHidden/>
                </w:rPr>
                <w:fldChar w:fldCharType="begin"/>
              </w:r>
              <w:r>
                <w:rPr>
                  <w:noProof/>
                  <w:webHidden/>
                </w:rPr>
                <w:instrText xml:space="preserve"> PAGEREF _Toc23767540 \h </w:instrText>
              </w:r>
              <w:r>
                <w:rPr>
                  <w:noProof/>
                  <w:webHidden/>
                </w:rPr>
              </w:r>
              <w:r>
                <w:rPr>
                  <w:noProof/>
                  <w:webHidden/>
                </w:rPr>
                <w:fldChar w:fldCharType="separate"/>
              </w:r>
              <w:r w:rsidR="007146F8">
                <w:rPr>
                  <w:noProof/>
                  <w:webHidden/>
                </w:rPr>
                <w:t>18</w:t>
              </w:r>
              <w:r>
                <w:rPr>
                  <w:noProof/>
                  <w:webHidden/>
                </w:rPr>
                <w:fldChar w:fldCharType="end"/>
              </w:r>
            </w:hyperlink>
          </w:p>
          <w:p w14:paraId="4E53FF41" w14:textId="15CBB7F2"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41" w:history="1">
              <w:r w:rsidRPr="007869AC">
                <w:rPr>
                  <w:rStyle w:val="Hyperlink"/>
                  <w:noProof/>
                </w:rPr>
                <w:t>6.4.1</w:t>
              </w:r>
              <w:r>
                <w:rPr>
                  <w:rFonts w:asciiTheme="minorHAnsi" w:eastAsiaTheme="minorEastAsia" w:hAnsiTheme="minorHAnsi" w:cstheme="minorBidi"/>
                  <w:i w:val="0"/>
                  <w:iCs w:val="0"/>
                  <w:noProof/>
                  <w:sz w:val="22"/>
                  <w:szCs w:val="22"/>
                  <w:lang w:val="en-GB" w:eastAsia="en-GB"/>
                </w:rPr>
                <w:tab/>
              </w:r>
              <w:r w:rsidRPr="007869AC">
                <w:rPr>
                  <w:rStyle w:val="Hyperlink"/>
                  <w:noProof/>
                </w:rPr>
                <w:t>Introduction of the property</w:t>
              </w:r>
              <w:r>
                <w:rPr>
                  <w:noProof/>
                  <w:webHidden/>
                </w:rPr>
                <w:tab/>
              </w:r>
              <w:r>
                <w:rPr>
                  <w:noProof/>
                  <w:webHidden/>
                </w:rPr>
                <w:fldChar w:fldCharType="begin"/>
              </w:r>
              <w:r>
                <w:rPr>
                  <w:noProof/>
                  <w:webHidden/>
                </w:rPr>
                <w:instrText xml:space="preserve"> PAGEREF _Toc23767541 \h </w:instrText>
              </w:r>
              <w:r>
                <w:rPr>
                  <w:noProof/>
                  <w:webHidden/>
                </w:rPr>
              </w:r>
              <w:r>
                <w:rPr>
                  <w:noProof/>
                  <w:webHidden/>
                </w:rPr>
                <w:fldChar w:fldCharType="separate"/>
              </w:r>
              <w:r w:rsidR="007146F8">
                <w:rPr>
                  <w:noProof/>
                  <w:webHidden/>
                </w:rPr>
                <w:t>18</w:t>
              </w:r>
              <w:r>
                <w:rPr>
                  <w:noProof/>
                  <w:webHidden/>
                </w:rPr>
                <w:fldChar w:fldCharType="end"/>
              </w:r>
            </w:hyperlink>
          </w:p>
          <w:p w14:paraId="07744F23" w14:textId="4EE1DDE0"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42" w:history="1">
              <w:r w:rsidRPr="007869AC">
                <w:rPr>
                  <w:rStyle w:val="Hyperlink"/>
                  <w:noProof/>
                </w:rPr>
                <w:t>6.4.2</w:t>
              </w:r>
              <w:r>
                <w:rPr>
                  <w:rFonts w:asciiTheme="minorHAnsi" w:eastAsiaTheme="minorEastAsia" w:hAnsiTheme="minorHAnsi" w:cstheme="minorBidi"/>
                  <w:i w:val="0"/>
                  <w:iCs w:val="0"/>
                  <w:noProof/>
                  <w:sz w:val="22"/>
                  <w:szCs w:val="22"/>
                  <w:lang w:val="en-GB" w:eastAsia="en-GB"/>
                </w:rPr>
                <w:tab/>
              </w:r>
              <w:r w:rsidRPr="007869AC">
                <w:rPr>
                  <w:rStyle w:val="Hyperlink"/>
                  <w:noProof/>
                </w:rPr>
                <w:t>Regulatory challenges</w:t>
              </w:r>
              <w:r>
                <w:rPr>
                  <w:noProof/>
                  <w:webHidden/>
                </w:rPr>
                <w:tab/>
              </w:r>
              <w:r>
                <w:rPr>
                  <w:noProof/>
                  <w:webHidden/>
                </w:rPr>
                <w:fldChar w:fldCharType="begin"/>
              </w:r>
              <w:r>
                <w:rPr>
                  <w:noProof/>
                  <w:webHidden/>
                </w:rPr>
                <w:instrText xml:space="preserve"> PAGEREF _Toc23767542 \h </w:instrText>
              </w:r>
              <w:r>
                <w:rPr>
                  <w:noProof/>
                  <w:webHidden/>
                </w:rPr>
              </w:r>
              <w:r>
                <w:rPr>
                  <w:noProof/>
                  <w:webHidden/>
                </w:rPr>
                <w:fldChar w:fldCharType="separate"/>
              </w:r>
              <w:r w:rsidR="007146F8">
                <w:rPr>
                  <w:noProof/>
                  <w:webHidden/>
                </w:rPr>
                <w:t>19</w:t>
              </w:r>
              <w:r>
                <w:rPr>
                  <w:noProof/>
                  <w:webHidden/>
                </w:rPr>
                <w:fldChar w:fldCharType="end"/>
              </w:r>
            </w:hyperlink>
          </w:p>
          <w:p w14:paraId="140CA21F" w14:textId="72FCE082"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43" w:history="1">
              <w:r w:rsidRPr="007869AC">
                <w:rPr>
                  <w:rStyle w:val="Hyperlink"/>
                  <w:noProof/>
                </w:rPr>
                <w:t>6.4.3</w:t>
              </w:r>
              <w:r>
                <w:rPr>
                  <w:rFonts w:asciiTheme="minorHAnsi" w:eastAsiaTheme="minorEastAsia" w:hAnsiTheme="minorHAnsi" w:cstheme="minorBidi"/>
                  <w:i w:val="0"/>
                  <w:iCs w:val="0"/>
                  <w:noProof/>
                  <w:sz w:val="22"/>
                  <w:szCs w:val="22"/>
                  <w:lang w:val="en-GB" w:eastAsia="en-GB"/>
                </w:rPr>
                <w:tab/>
              </w:r>
              <w:r w:rsidRPr="007869AC">
                <w:rPr>
                  <w:rStyle w:val="Hyperlink"/>
                  <w:noProof/>
                </w:rPr>
                <w:t>Approaches and/or recommendations – Interoperability</w:t>
              </w:r>
              <w:r>
                <w:rPr>
                  <w:noProof/>
                  <w:webHidden/>
                </w:rPr>
                <w:tab/>
              </w:r>
              <w:r>
                <w:rPr>
                  <w:noProof/>
                  <w:webHidden/>
                </w:rPr>
                <w:fldChar w:fldCharType="begin"/>
              </w:r>
              <w:r>
                <w:rPr>
                  <w:noProof/>
                  <w:webHidden/>
                </w:rPr>
                <w:instrText xml:space="preserve"> PAGEREF _Toc23767543 \h </w:instrText>
              </w:r>
              <w:r>
                <w:rPr>
                  <w:noProof/>
                  <w:webHidden/>
                </w:rPr>
              </w:r>
              <w:r>
                <w:rPr>
                  <w:noProof/>
                  <w:webHidden/>
                </w:rPr>
                <w:fldChar w:fldCharType="separate"/>
              </w:r>
              <w:r w:rsidR="007146F8">
                <w:rPr>
                  <w:noProof/>
                  <w:webHidden/>
                </w:rPr>
                <w:t>20</w:t>
              </w:r>
              <w:r>
                <w:rPr>
                  <w:noProof/>
                  <w:webHidden/>
                </w:rPr>
                <w:fldChar w:fldCharType="end"/>
              </w:r>
            </w:hyperlink>
          </w:p>
          <w:p w14:paraId="43B43FC6" w14:textId="629C16C2" w:rsidR="00250660" w:rsidRDefault="00250660">
            <w:pPr>
              <w:pStyle w:val="TOC2"/>
              <w:tabs>
                <w:tab w:val="left" w:pos="720"/>
                <w:tab w:val="right" w:leader="dot" w:pos="9629"/>
              </w:tabs>
              <w:rPr>
                <w:rFonts w:asciiTheme="minorHAnsi" w:eastAsiaTheme="minorEastAsia" w:hAnsiTheme="minorHAnsi" w:cstheme="minorBidi"/>
                <w:smallCaps w:val="0"/>
                <w:noProof/>
                <w:sz w:val="22"/>
                <w:szCs w:val="22"/>
                <w:lang w:val="en-GB" w:eastAsia="en-GB"/>
              </w:rPr>
            </w:pPr>
            <w:hyperlink w:anchor="_Toc23767544" w:history="1">
              <w:r w:rsidRPr="007869AC">
                <w:rPr>
                  <w:rStyle w:val="Hyperlink"/>
                  <w:noProof/>
                </w:rPr>
                <w:t>6.5</w:t>
              </w:r>
              <w:r>
                <w:rPr>
                  <w:rFonts w:asciiTheme="minorHAnsi" w:eastAsiaTheme="minorEastAsia" w:hAnsiTheme="minorHAnsi" w:cstheme="minorBidi"/>
                  <w:smallCaps w:val="0"/>
                  <w:noProof/>
                  <w:sz w:val="22"/>
                  <w:szCs w:val="22"/>
                  <w:lang w:val="en-GB" w:eastAsia="en-GB"/>
                </w:rPr>
                <w:tab/>
              </w:r>
              <w:r w:rsidRPr="007869AC">
                <w:rPr>
                  <w:rStyle w:val="Hyperlink"/>
                  <w:noProof/>
                </w:rPr>
                <w:t>Property 5: Openness, transparency and anonymity</w:t>
              </w:r>
              <w:r>
                <w:rPr>
                  <w:noProof/>
                  <w:webHidden/>
                </w:rPr>
                <w:tab/>
              </w:r>
              <w:r>
                <w:rPr>
                  <w:noProof/>
                  <w:webHidden/>
                </w:rPr>
                <w:fldChar w:fldCharType="begin"/>
              </w:r>
              <w:r>
                <w:rPr>
                  <w:noProof/>
                  <w:webHidden/>
                </w:rPr>
                <w:instrText xml:space="preserve"> PAGEREF _Toc23767544 \h </w:instrText>
              </w:r>
              <w:r>
                <w:rPr>
                  <w:noProof/>
                  <w:webHidden/>
                </w:rPr>
              </w:r>
              <w:r>
                <w:rPr>
                  <w:noProof/>
                  <w:webHidden/>
                </w:rPr>
                <w:fldChar w:fldCharType="separate"/>
              </w:r>
              <w:r w:rsidR="007146F8">
                <w:rPr>
                  <w:noProof/>
                  <w:webHidden/>
                </w:rPr>
                <w:t>20</w:t>
              </w:r>
              <w:r>
                <w:rPr>
                  <w:noProof/>
                  <w:webHidden/>
                </w:rPr>
                <w:fldChar w:fldCharType="end"/>
              </w:r>
            </w:hyperlink>
          </w:p>
          <w:p w14:paraId="74FF77D4" w14:textId="467747F7"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45" w:history="1">
              <w:r w:rsidRPr="007869AC">
                <w:rPr>
                  <w:rStyle w:val="Hyperlink"/>
                  <w:noProof/>
                </w:rPr>
                <w:t>6.5.1</w:t>
              </w:r>
              <w:r>
                <w:rPr>
                  <w:rFonts w:asciiTheme="minorHAnsi" w:eastAsiaTheme="minorEastAsia" w:hAnsiTheme="minorHAnsi" w:cstheme="minorBidi"/>
                  <w:i w:val="0"/>
                  <w:iCs w:val="0"/>
                  <w:noProof/>
                  <w:sz w:val="22"/>
                  <w:szCs w:val="22"/>
                  <w:lang w:val="en-GB" w:eastAsia="en-GB"/>
                </w:rPr>
                <w:tab/>
              </w:r>
              <w:r w:rsidRPr="007869AC">
                <w:rPr>
                  <w:rStyle w:val="Hyperlink"/>
                  <w:noProof/>
                </w:rPr>
                <w:t>Introduction of the property</w:t>
              </w:r>
              <w:r>
                <w:rPr>
                  <w:noProof/>
                  <w:webHidden/>
                </w:rPr>
                <w:tab/>
              </w:r>
              <w:r>
                <w:rPr>
                  <w:noProof/>
                  <w:webHidden/>
                </w:rPr>
                <w:fldChar w:fldCharType="begin"/>
              </w:r>
              <w:r>
                <w:rPr>
                  <w:noProof/>
                  <w:webHidden/>
                </w:rPr>
                <w:instrText xml:space="preserve"> PAGEREF _Toc23767545 \h </w:instrText>
              </w:r>
              <w:r>
                <w:rPr>
                  <w:noProof/>
                  <w:webHidden/>
                </w:rPr>
              </w:r>
              <w:r>
                <w:rPr>
                  <w:noProof/>
                  <w:webHidden/>
                </w:rPr>
                <w:fldChar w:fldCharType="separate"/>
              </w:r>
              <w:r w:rsidR="007146F8">
                <w:rPr>
                  <w:noProof/>
                  <w:webHidden/>
                </w:rPr>
                <w:t>20</w:t>
              </w:r>
              <w:r>
                <w:rPr>
                  <w:noProof/>
                  <w:webHidden/>
                </w:rPr>
                <w:fldChar w:fldCharType="end"/>
              </w:r>
            </w:hyperlink>
          </w:p>
          <w:p w14:paraId="07A4E53F" w14:textId="4189BEE8"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46" w:history="1">
              <w:r w:rsidRPr="007869AC">
                <w:rPr>
                  <w:rStyle w:val="Hyperlink"/>
                  <w:noProof/>
                </w:rPr>
                <w:t>6.5.2</w:t>
              </w:r>
              <w:r>
                <w:rPr>
                  <w:rFonts w:asciiTheme="minorHAnsi" w:eastAsiaTheme="minorEastAsia" w:hAnsiTheme="minorHAnsi" w:cstheme="minorBidi"/>
                  <w:i w:val="0"/>
                  <w:iCs w:val="0"/>
                  <w:noProof/>
                  <w:sz w:val="22"/>
                  <w:szCs w:val="22"/>
                  <w:lang w:val="en-GB" w:eastAsia="en-GB"/>
                </w:rPr>
                <w:tab/>
              </w:r>
              <w:r w:rsidRPr="007869AC">
                <w:rPr>
                  <w:rStyle w:val="Hyperlink"/>
                  <w:noProof/>
                </w:rPr>
                <w:t>The concepts</w:t>
              </w:r>
              <w:r>
                <w:rPr>
                  <w:noProof/>
                  <w:webHidden/>
                </w:rPr>
                <w:tab/>
              </w:r>
              <w:r>
                <w:rPr>
                  <w:noProof/>
                  <w:webHidden/>
                </w:rPr>
                <w:fldChar w:fldCharType="begin"/>
              </w:r>
              <w:r>
                <w:rPr>
                  <w:noProof/>
                  <w:webHidden/>
                </w:rPr>
                <w:instrText xml:space="preserve"> PAGEREF _Toc23767546 \h </w:instrText>
              </w:r>
              <w:r>
                <w:rPr>
                  <w:noProof/>
                  <w:webHidden/>
                </w:rPr>
              </w:r>
              <w:r>
                <w:rPr>
                  <w:noProof/>
                  <w:webHidden/>
                </w:rPr>
                <w:fldChar w:fldCharType="separate"/>
              </w:r>
              <w:r w:rsidR="007146F8">
                <w:rPr>
                  <w:noProof/>
                  <w:webHidden/>
                </w:rPr>
                <w:t>21</w:t>
              </w:r>
              <w:r>
                <w:rPr>
                  <w:noProof/>
                  <w:webHidden/>
                </w:rPr>
                <w:fldChar w:fldCharType="end"/>
              </w:r>
            </w:hyperlink>
          </w:p>
          <w:p w14:paraId="5BFB64A5" w14:textId="749FF20B"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47" w:history="1">
              <w:r w:rsidRPr="007869AC">
                <w:rPr>
                  <w:rStyle w:val="Hyperlink"/>
                  <w:noProof/>
                </w:rPr>
                <w:t>6.5.3</w:t>
              </w:r>
              <w:r>
                <w:rPr>
                  <w:rFonts w:asciiTheme="minorHAnsi" w:eastAsiaTheme="minorEastAsia" w:hAnsiTheme="minorHAnsi" w:cstheme="minorBidi"/>
                  <w:i w:val="0"/>
                  <w:iCs w:val="0"/>
                  <w:noProof/>
                  <w:sz w:val="22"/>
                  <w:szCs w:val="22"/>
                  <w:lang w:val="en-GB" w:eastAsia="en-GB"/>
                </w:rPr>
                <w:tab/>
              </w:r>
              <w:r w:rsidRPr="007869AC">
                <w:rPr>
                  <w:rStyle w:val="Hyperlink"/>
                  <w:noProof/>
                </w:rPr>
                <w:t>Regulatory challenges</w:t>
              </w:r>
              <w:r>
                <w:rPr>
                  <w:noProof/>
                  <w:webHidden/>
                </w:rPr>
                <w:tab/>
              </w:r>
              <w:r>
                <w:rPr>
                  <w:noProof/>
                  <w:webHidden/>
                </w:rPr>
                <w:fldChar w:fldCharType="begin"/>
              </w:r>
              <w:r>
                <w:rPr>
                  <w:noProof/>
                  <w:webHidden/>
                </w:rPr>
                <w:instrText xml:space="preserve"> PAGEREF _Toc23767547 \h </w:instrText>
              </w:r>
              <w:r>
                <w:rPr>
                  <w:noProof/>
                  <w:webHidden/>
                </w:rPr>
              </w:r>
              <w:r>
                <w:rPr>
                  <w:noProof/>
                  <w:webHidden/>
                </w:rPr>
                <w:fldChar w:fldCharType="separate"/>
              </w:r>
              <w:r w:rsidR="007146F8">
                <w:rPr>
                  <w:noProof/>
                  <w:webHidden/>
                </w:rPr>
                <w:t>22</w:t>
              </w:r>
              <w:r>
                <w:rPr>
                  <w:noProof/>
                  <w:webHidden/>
                </w:rPr>
                <w:fldChar w:fldCharType="end"/>
              </w:r>
            </w:hyperlink>
          </w:p>
          <w:p w14:paraId="56510813" w14:textId="50B16D34" w:rsidR="00250660" w:rsidRDefault="00250660">
            <w:pPr>
              <w:pStyle w:val="TOC3"/>
              <w:tabs>
                <w:tab w:val="left" w:pos="1200"/>
                <w:tab w:val="right" w:leader="dot" w:pos="9629"/>
              </w:tabs>
              <w:rPr>
                <w:rFonts w:asciiTheme="minorHAnsi" w:eastAsiaTheme="minorEastAsia" w:hAnsiTheme="minorHAnsi" w:cstheme="minorBidi"/>
                <w:i w:val="0"/>
                <w:iCs w:val="0"/>
                <w:noProof/>
                <w:sz w:val="22"/>
                <w:szCs w:val="22"/>
                <w:lang w:val="en-GB" w:eastAsia="en-GB"/>
              </w:rPr>
            </w:pPr>
            <w:hyperlink w:anchor="_Toc23767548" w:history="1">
              <w:r w:rsidRPr="007869AC">
                <w:rPr>
                  <w:rStyle w:val="Hyperlink"/>
                  <w:noProof/>
                </w:rPr>
                <w:t>6.5.4</w:t>
              </w:r>
              <w:r>
                <w:rPr>
                  <w:rFonts w:asciiTheme="minorHAnsi" w:eastAsiaTheme="minorEastAsia" w:hAnsiTheme="minorHAnsi" w:cstheme="minorBidi"/>
                  <w:i w:val="0"/>
                  <w:iCs w:val="0"/>
                  <w:noProof/>
                  <w:sz w:val="22"/>
                  <w:szCs w:val="22"/>
                  <w:lang w:val="en-GB" w:eastAsia="en-GB"/>
                </w:rPr>
                <w:tab/>
              </w:r>
              <w:r w:rsidRPr="007869AC">
                <w:rPr>
                  <w:rStyle w:val="Hyperlink"/>
                  <w:noProof/>
                </w:rPr>
                <w:t>Approaches and/or recommendations</w:t>
              </w:r>
              <w:r>
                <w:rPr>
                  <w:noProof/>
                  <w:webHidden/>
                </w:rPr>
                <w:tab/>
              </w:r>
              <w:r>
                <w:rPr>
                  <w:noProof/>
                  <w:webHidden/>
                </w:rPr>
                <w:fldChar w:fldCharType="begin"/>
              </w:r>
              <w:r>
                <w:rPr>
                  <w:noProof/>
                  <w:webHidden/>
                </w:rPr>
                <w:instrText xml:space="preserve"> PAGEREF _Toc23767548 \h </w:instrText>
              </w:r>
              <w:r>
                <w:rPr>
                  <w:noProof/>
                  <w:webHidden/>
                </w:rPr>
              </w:r>
              <w:r>
                <w:rPr>
                  <w:noProof/>
                  <w:webHidden/>
                </w:rPr>
                <w:fldChar w:fldCharType="separate"/>
              </w:r>
              <w:r w:rsidR="007146F8">
                <w:rPr>
                  <w:noProof/>
                  <w:webHidden/>
                </w:rPr>
                <w:t>22</w:t>
              </w:r>
              <w:r>
                <w:rPr>
                  <w:noProof/>
                  <w:webHidden/>
                </w:rPr>
                <w:fldChar w:fldCharType="end"/>
              </w:r>
            </w:hyperlink>
          </w:p>
          <w:p w14:paraId="7DAF9D96" w14:textId="2E0A1DA2" w:rsidR="00250660" w:rsidRDefault="00250660">
            <w:pPr>
              <w:pStyle w:val="TOC1"/>
              <w:tabs>
                <w:tab w:val="left" w:pos="480"/>
                <w:tab w:val="right" w:leader="dot" w:pos="9629"/>
              </w:tabs>
              <w:rPr>
                <w:rFonts w:asciiTheme="minorHAnsi" w:eastAsiaTheme="minorEastAsia" w:hAnsiTheme="minorHAnsi" w:cstheme="minorBidi"/>
                <w:b w:val="0"/>
                <w:bCs w:val="0"/>
                <w:caps w:val="0"/>
                <w:noProof/>
                <w:sz w:val="22"/>
                <w:szCs w:val="22"/>
                <w:lang w:val="en-GB" w:eastAsia="en-GB"/>
              </w:rPr>
            </w:pPr>
            <w:hyperlink w:anchor="_Toc23767549" w:history="1">
              <w:r w:rsidRPr="007869AC">
                <w:rPr>
                  <w:rStyle w:val="Hyperlink"/>
                  <w:noProof/>
                  <w:lang w:bidi="en-GB"/>
                </w:rPr>
                <w:t>7</w:t>
              </w:r>
              <w:r>
                <w:rPr>
                  <w:rFonts w:asciiTheme="minorHAnsi" w:eastAsiaTheme="minorEastAsia" w:hAnsiTheme="minorHAnsi" w:cstheme="minorBidi"/>
                  <w:b w:val="0"/>
                  <w:bCs w:val="0"/>
                  <w:caps w:val="0"/>
                  <w:noProof/>
                  <w:sz w:val="22"/>
                  <w:szCs w:val="22"/>
                  <w:lang w:val="en-GB" w:eastAsia="en-GB"/>
                </w:rPr>
                <w:tab/>
              </w:r>
              <w:r w:rsidRPr="007869AC">
                <w:rPr>
                  <w:rStyle w:val="Hyperlink"/>
                  <w:noProof/>
                  <w:lang w:bidi="en-GB"/>
                </w:rPr>
                <w:t>Conclusion</w:t>
              </w:r>
              <w:r>
                <w:rPr>
                  <w:noProof/>
                  <w:webHidden/>
                </w:rPr>
                <w:tab/>
              </w:r>
              <w:r>
                <w:rPr>
                  <w:noProof/>
                  <w:webHidden/>
                </w:rPr>
                <w:fldChar w:fldCharType="begin"/>
              </w:r>
              <w:r>
                <w:rPr>
                  <w:noProof/>
                  <w:webHidden/>
                </w:rPr>
                <w:instrText xml:space="preserve"> PAGEREF _Toc23767549 \h </w:instrText>
              </w:r>
              <w:r>
                <w:rPr>
                  <w:noProof/>
                  <w:webHidden/>
                </w:rPr>
              </w:r>
              <w:r>
                <w:rPr>
                  <w:noProof/>
                  <w:webHidden/>
                </w:rPr>
                <w:fldChar w:fldCharType="separate"/>
              </w:r>
              <w:r w:rsidR="007146F8">
                <w:rPr>
                  <w:noProof/>
                  <w:webHidden/>
                </w:rPr>
                <w:t>24</w:t>
              </w:r>
              <w:r>
                <w:rPr>
                  <w:noProof/>
                  <w:webHidden/>
                </w:rPr>
                <w:fldChar w:fldCharType="end"/>
              </w:r>
            </w:hyperlink>
          </w:p>
          <w:p w14:paraId="553D77C8" w14:textId="37F7BCEB" w:rsidR="00250660" w:rsidRDefault="00250660">
            <w:pPr>
              <w:pStyle w:val="TOC1"/>
              <w:tabs>
                <w:tab w:val="right" w:leader="dot" w:pos="9629"/>
              </w:tabs>
              <w:rPr>
                <w:rFonts w:asciiTheme="minorHAnsi" w:eastAsiaTheme="minorEastAsia" w:hAnsiTheme="minorHAnsi" w:cstheme="minorBidi"/>
                <w:b w:val="0"/>
                <w:bCs w:val="0"/>
                <w:caps w:val="0"/>
                <w:noProof/>
                <w:sz w:val="22"/>
                <w:szCs w:val="22"/>
                <w:lang w:val="en-GB" w:eastAsia="en-GB"/>
              </w:rPr>
            </w:pPr>
            <w:hyperlink w:anchor="_Toc23767550" w:history="1">
              <w:r w:rsidRPr="007869AC">
                <w:rPr>
                  <w:rStyle w:val="Hyperlink"/>
                  <w:noProof/>
                </w:rPr>
                <w:t>Bibliography</w:t>
              </w:r>
              <w:r>
                <w:rPr>
                  <w:noProof/>
                  <w:webHidden/>
                </w:rPr>
                <w:tab/>
              </w:r>
              <w:r>
                <w:rPr>
                  <w:noProof/>
                  <w:webHidden/>
                </w:rPr>
                <w:fldChar w:fldCharType="begin"/>
              </w:r>
              <w:r>
                <w:rPr>
                  <w:noProof/>
                  <w:webHidden/>
                </w:rPr>
                <w:instrText xml:space="preserve"> PAGEREF _Toc23767550 \h </w:instrText>
              </w:r>
              <w:r>
                <w:rPr>
                  <w:noProof/>
                  <w:webHidden/>
                </w:rPr>
              </w:r>
              <w:r>
                <w:rPr>
                  <w:noProof/>
                  <w:webHidden/>
                </w:rPr>
                <w:fldChar w:fldCharType="separate"/>
              </w:r>
              <w:r w:rsidR="007146F8">
                <w:rPr>
                  <w:noProof/>
                  <w:webHidden/>
                </w:rPr>
                <w:t>25</w:t>
              </w:r>
              <w:r>
                <w:rPr>
                  <w:noProof/>
                  <w:webHidden/>
                </w:rPr>
                <w:fldChar w:fldCharType="end"/>
              </w:r>
            </w:hyperlink>
          </w:p>
          <w:p w14:paraId="09253D5A" w14:textId="322909E6" w:rsidR="00CD1179" w:rsidRPr="00977275" w:rsidRDefault="00CD1179" w:rsidP="00397F9F">
            <w:pPr>
              <w:pStyle w:val="TableofFigures"/>
              <w:rPr>
                <w:rFonts w:eastAsia="Times New Roman"/>
              </w:rPr>
            </w:pPr>
            <w:r w:rsidRPr="00977275">
              <w:rPr>
                <w:rFonts w:eastAsia="Batang"/>
              </w:rPr>
              <w:fldChar w:fldCharType="end"/>
            </w:r>
          </w:p>
        </w:tc>
      </w:tr>
    </w:tbl>
    <w:p w14:paraId="08EAFCE8" w14:textId="77777777" w:rsidR="00CD1179" w:rsidRPr="00977275" w:rsidRDefault="00CD1179" w:rsidP="00CD1179">
      <w:pPr>
        <w:rPr>
          <w:lang w:val="en-GB"/>
        </w:rPr>
      </w:pPr>
    </w:p>
    <w:p w14:paraId="39F501F6" w14:textId="77777777" w:rsidR="00CD1179" w:rsidRPr="00977275" w:rsidRDefault="00CD1179" w:rsidP="00CD1179">
      <w:pPr>
        <w:keepNext/>
        <w:jc w:val="center"/>
        <w:rPr>
          <w:b/>
          <w:bCs/>
          <w:lang w:val="en-GB"/>
        </w:rPr>
      </w:pPr>
      <w:r w:rsidRPr="00977275">
        <w:rPr>
          <w:b/>
          <w:bCs/>
          <w:lang w:val="en-GB"/>
        </w:rPr>
        <w:t>List of Tables</w:t>
      </w:r>
    </w:p>
    <w:tbl>
      <w:tblPr>
        <w:tblW w:w="9889" w:type="dxa"/>
        <w:tblLayout w:type="fixed"/>
        <w:tblLook w:val="04A0" w:firstRow="1" w:lastRow="0" w:firstColumn="1" w:lastColumn="0" w:noHBand="0" w:noVBand="1"/>
      </w:tblPr>
      <w:tblGrid>
        <w:gridCol w:w="9889"/>
      </w:tblGrid>
      <w:tr w:rsidR="00CD1179" w:rsidRPr="00977275" w14:paraId="7C1ECCD1" w14:textId="77777777" w:rsidTr="00397F9F">
        <w:trPr>
          <w:tblHeader/>
        </w:trPr>
        <w:tc>
          <w:tcPr>
            <w:tcW w:w="9889" w:type="dxa"/>
          </w:tcPr>
          <w:p w14:paraId="0758FE42" w14:textId="77777777" w:rsidR="00CD1179" w:rsidRPr="00977275" w:rsidRDefault="00CD1179" w:rsidP="00397F9F">
            <w:pPr>
              <w:pStyle w:val="toc0"/>
              <w:keepNext/>
            </w:pPr>
            <w:r w:rsidRPr="00977275">
              <w:tab/>
              <w:t>Page</w:t>
            </w:r>
          </w:p>
        </w:tc>
      </w:tr>
      <w:tr w:rsidR="00CD1179" w:rsidRPr="00977275" w14:paraId="700B3D39" w14:textId="77777777" w:rsidTr="00397F9F">
        <w:tc>
          <w:tcPr>
            <w:tcW w:w="9889" w:type="dxa"/>
          </w:tcPr>
          <w:p w14:paraId="62F83916" w14:textId="6046DFEB" w:rsidR="00250660" w:rsidRDefault="00CD1179">
            <w:pPr>
              <w:pStyle w:val="TableofFigures"/>
              <w:rPr>
                <w:rFonts w:asciiTheme="minorHAnsi" w:eastAsiaTheme="minorEastAsia" w:hAnsiTheme="minorHAnsi" w:cstheme="minorBidi"/>
                <w:smallCaps w:val="0"/>
                <w:noProof/>
                <w:sz w:val="22"/>
                <w:szCs w:val="22"/>
                <w:lang w:eastAsia="en-GB"/>
              </w:rPr>
            </w:pPr>
            <w:r w:rsidRPr="00977275">
              <w:rPr>
                <w:rFonts w:eastAsia="Times New Roman"/>
              </w:rPr>
              <w:fldChar w:fldCharType="begin"/>
            </w:r>
            <w:r w:rsidRPr="00977275">
              <w:rPr>
                <w:rFonts w:eastAsia="Times New Roman"/>
              </w:rPr>
              <w:instrText xml:space="preserve"> TOC \h \z \t "Table_No &amp; title" \c </w:instrText>
            </w:r>
            <w:r w:rsidRPr="00977275">
              <w:rPr>
                <w:rFonts w:eastAsia="Times New Roman"/>
              </w:rPr>
              <w:fldChar w:fldCharType="separate"/>
            </w:r>
            <w:hyperlink w:anchor="_Toc23767551" w:history="1">
              <w:r w:rsidR="00250660" w:rsidRPr="009B170B">
                <w:rPr>
                  <w:rStyle w:val="Hyperlink"/>
                  <w:rFonts w:eastAsia="SimSun"/>
                  <w:noProof/>
                </w:rPr>
                <w:t>T</w:t>
              </w:r>
              <w:r w:rsidR="00250660" w:rsidRPr="009B170B">
                <w:rPr>
                  <w:rStyle w:val="Hyperlink"/>
                  <w:rFonts w:eastAsia="Malgun Gothic"/>
                  <w:noProof/>
                </w:rPr>
                <w:t>able 1 –</w:t>
              </w:r>
              <w:r w:rsidR="00250660" w:rsidRPr="009B170B">
                <w:rPr>
                  <w:rStyle w:val="Hyperlink"/>
                  <w:rFonts w:eastAsia="SimSun"/>
                  <w:noProof/>
                </w:rPr>
                <w:t xml:space="preserve"> </w:t>
              </w:r>
              <w:r w:rsidR="00250660" w:rsidRPr="009B170B">
                <w:rPr>
                  <w:rStyle w:val="Hyperlink"/>
                  <w:noProof/>
                </w:rPr>
                <w:t>DLT features and regulatory challenges</w:t>
              </w:r>
              <w:r w:rsidR="00250660">
                <w:rPr>
                  <w:noProof/>
                  <w:webHidden/>
                </w:rPr>
                <w:tab/>
              </w:r>
              <w:r w:rsidR="00250660">
                <w:rPr>
                  <w:noProof/>
                  <w:webHidden/>
                </w:rPr>
                <w:fldChar w:fldCharType="begin"/>
              </w:r>
              <w:r w:rsidR="00250660">
                <w:rPr>
                  <w:noProof/>
                  <w:webHidden/>
                </w:rPr>
                <w:instrText xml:space="preserve"> PAGEREF _Toc23767551 \h </w:instrText>
              </w:r>
              <w:r w:rsidR="00250660">
                <w:rPr>
                  <w:noProof/>
                  <w:webHidden/>
                </w:rPr>
              </w:r>
              <w:r w:rsidR="00250660">
                <w:rPr>
                  <w:noProof/>
                  <w:webHidden/>
                </w:rPr>
                <w:fldChar w:fldCharType="separate"/>
              </w:r>
              <w:r w:rsidR="007146F8">
                <w:rPr>
                  <w:noProof/>
                  <w:webHidden/>
                </w:rPr>
                <w:t>3</w:t>
              </w:r>
              <w:r w:rsidR="00250660">
                <w:rPr>
                  <w:noProof/>
                  <w:webHidden/>
                </w:rPr>
                <w:fldChar w:fldCharType="end"/>
              </w:r>
            </w:hyperlink>
          </w:p>
          <w:p w14:paraId="67B2D9DB" w14:textId="6A9DFEAC" w:rsidR="00250660" w:rsidRDefault="00250660">
            <w:pPr>
              <w:pStyle w:val="TableofFigures"/>
              <w:rPr>
                <w:rFonts w:asciiTheme="minorHAnsi" w:eastAsiaTheme="minorEastAsia" w:hAnsiTheme="minorHAnsi" w:cstheme="minorBidi"/>
                <w:smallCaps w:val="0"/>
                <w:noProof/>
                <w:sz w:val="22"/>
                <w:szCs w:val="22"/>
                <w:lang w:eastAsia="en-GB"/>
              </w:rPr>
            </w:pPr>
            <w:hyperlink w:anchor="_Toc23767552" w:history="1">
              <w:r w:rsidRPr="009B170B">
                <w:rPr>
                  <w:rStyle w:val="Hyperlink"/>
                  <w:noProof/>
                </w:rPr>
                <w:t xml:space="preserve">Table 2 – </w:t>
              </w:r>
              <w:r w:rsidRPr="009B170B">
                <w:rPr>
                  <w:rStyle w:val="Hyperlink"/>
                  <w:rFonts w:ascii="Times New Roman Bold" w:hAnsi="Times New Roman Bold"/>
                  <w:noProof/>
                  <w:spacing w:val="-6"/>
                </w:rPr>
                <w:t>Partial list of protocol governance models/governance decision-making process models</w:t>
              </w:r>
              <w:r>
                <w:rPr>
                  <w:noProof/>
                  <w:webHidden/>
                </w:rPr>
                <w:tab/>
              </w:r>
              <w:r>
                <w:rPr>
                  <w:noProof/>
                  <w:webHidden/>
                </w:rPr>
                <w:fldChar w:fldCharType="begin"/>
              </w:r>
              <w:r>
                <w:rPr>
                  <w:noProof/>
                  <w:webHidden/>
                </w:rPr>
                <w:instrText xml:space="preserve"> PAGEREF _Toc23767552 \h </w:instrText>
              </w:r>
              <w:r>
                <w:rPr>
                  <w:noProof/>
                  <w:webHidden/>
                </w:rPr>
              </w:r>
              <w:r>
                <w:rPr>
                  <w:noProof/>
                  <w:webHidden/>
                </w:rPr>
                <w:fldChar w:fldCharType="separate"/>
              </w:r>
              <w:r w:rsidR="007146F8">
                <w:rPr>
                  <w:noProof/>
                  <w:webHidden/>
                </w:rPr>
                <w:t>5</w:t>
              </w:r>
              <w:r>
                <w:rPr>
                  <w:noProof/>
                  <w:webHidden/>
                </w:rPr>
                <w:fldChar w:fldCharType="end"/>
              </w:r>
            </w:hyperlink>
          </w:p>
          <w:p w14:paraId="44A45986" w14:textId="535C90BB" w:rsidR="00CD1179" w:rsidRPr="00977275" w:rsidRDefault="00CD1179" w:rsidP="00397F9F">
            <w:pPr>
              <w:pStyle w:val="TableofFigures"/>
              <w:rPr>
                <w:rFonts w:eastAsia="Times New Roman"/>
              </w:rPr>
            </w:pPr>
            <w:r w:rsidRPr="00977275">
              <w:rPr>
                <w:rFonts w:eastAsia="Times New Roman"/>
              </w:rPr>
              <w:fldChar w:fldCharType="end"/>
            </w:r>
          </w:p>
        </w:tc>
      </w:tr>
    </w:tbl>
    <w:p w14:paraId="7A38A1D9" w14:textId="77777777" w:rsidR="00CD1179" w:rsidRPr="00977275" w:rsidRDefault="00CD1179" w:rsidP="00CD1179">
      <w:pPr>
        <w:rPr>
          <w:lang w:val="en-GB"/>
        </w:rPr>
      </w:pPr>
    </w:p>
    <w:p w14:paraId="69A602A2" w14:textId="77777777" w:rsidR="00CD1179" w:rsidRPr="00977275" w:rsidRDefault="00CD1179" w:rsidP="00CD1179">
      <w:pPr>
        <w:keepNext/>
        <w:jc w:val="center"/>
        <w:rPr>
          <w:b/>
          <w:bCs/>
          <w:lang w:val="en-GB"/>
        </w:rPr>
      </w:pPr>
      <w:r w:rsidRPr="00977275">
        <w:rPr>
          <w:b/>
          <w:bCs/>
          <w:lang w:val="en-GB"/>
        </w:rPr>
        <w:t>List of Figures</w:t>
      </w:r>
    </w:p>
    <w:tbl>
      <w:tblPr>
        <w:tblW w:w="9889" w:type="dxa"/>
        <w:tblLayout w:type="fixed"/>
        <w:tblLook w:val="04A0" w:firstRow="1" w:lastRow="0" w:firstColumn="1" w:lastColumn="0" w:noHBand="0" w:noVBand="1"/>
      </w:tblPr>
      <w:tblGrid>
        <w:gridCol w:w="9889"/>
      </w:tblGrid>
      <w:tr w:rsidR="00CD1179" w:rsidRPr="00977275" w14:paraId="7C99F9EF" w14:textId="77777777" w:rsidTr="00397F9F">
        <w:trPr>
          <w:tblHeader/>
        </w:trPr>
        <w:tc>
          <w:tcPr>
            <w:tcW w:w="9889" w:type="dxa"/>
          </w:tcPr>
          <w:p w14:paraId="20BFE3FC" w14:textId="77777777" w:rsidR="00CD1179" w:rsidRPr="00977275" w:rsidRDefault="00CD1179" w:rsidP="00397F9F">
            <w:pPr>
              <w:pStyle w:val="toc0"/>
              <w:keepNext/>
            </w:pPr>
            <w:r w:rsidRPr="00977275">
              <w:tab/>
              <w:t>Page</w:t>
            </w:r>
          </w:p>
        </w:tc>
      </w:tr>
      <w:tr w:rsidR="00CD1179" w:rsidRPr="00977275" w14:paraId="55B4B457" w14:textId="77777777" w:rsidTr="00397F9F">
        <w:tc>
          <w:tcPr>
            <w:tcW w:w="9889" w:type="dxa"/>
          </w:tcPr>
          <w:p w14:paraId="70447033" w14:textId="15563792" w:rsidR="00250660" w:rsidRDefault="00CD1179">
            <w:pPr>
              <w:pStyle w:val="TableofFigures"/>
              <w:rPr>
                <w:rFonts w:asciiTheme="minorHAnsi" w:eastAsiaTheme="minorEastAsia" w:hAnsiTheme="minorHAnsi" w:cstheme="minorBidi"/>
                <w:smallCaps w:val="0"/>
                <w:noProof/>
                <w:sz w:val="22"/>
                <w:szCs w:val="22"/>
                <w:lang w:eastAsia="en-GB"/>
              </w:rPr>
            </w:pPr>
            <w:r w:rsidRPr="00977275">
              <w:rPr>
                <w:rFonts w:eastAsia="Times New Roman"/>
              </w:rPr>
              <w:fldChar w:fldCharType="begin"/>
            </w:r>
            <w:r w:rsidRPr="00977275">
              <w:rPr>
                <w:rFonts w:eastAsia="Times New Roman"/>
              </w:rPr>
              <w:instrText xml:space="preserve"> TOC \h \z \t "Figure_No &amp; title" \c </w:instrText>
            </w:r>
            <w:r w:rsidRPr="00977275">
              <w:rPr>
                <w:rFonts w:eastAsia="Times New Roman"/>
              </w:rPr>
              <w:fldChar w:fldCharType="separate"/>
            </w:r>
            <w:r w:rsidR="00250660" w:rsidRPr="00F10B6B">
              <w:rPr>
                <w:rStyle w:val="Hyperlink"/>
                <w:noProof/>
              </w:rPr>
              <w:fldChar w:fldCharType="begin"/>
            </w:r>
            <w:r w:rsidR="00250660" w:rsidRPr="00F10B6B">
              <w:rPr>
                <w:rStyle w:val="Hyperlink"/>
                <w:noProof/>
              </w:rPr>
              <w:instrText xml:space="preserve"> </w:instrText>
            </w:r>
            <w:r w:rsidR="00250660">
              <w:rPr>
                <w:noProof/>
              </w:rPr>
              <w:instrText>HYPERLINK \l "_Toc23767553"</w:instrText>
            </w:r>
            <w:r w:rsidR="00250660" w:rsidRPr="00F10B6B">
              <w:rPr>
                <w:rStyle w:val="Hyperlink"/>
                <w:noProof/>
              </w:rPr>
              <w:instrText xml:space="preserve"> </w:instrText>
            </w:r>
            <w:r w:rsidR="00250660" w:rsidRPr="00F10B6B">
              <w:rPr>
                <w:rStyle w:val="Hyperlink"/>
                <w:noProof/>
              </w:rPr>
            </w:r>
            <w:r w:rsidR="00250660" w:rsidRPr="00F10B6B">
              <w:rPr>
                <w:rStyle w:val="Hyperlink"/>
                <w:noProof/>
              </w:rPr>
              <w:fldChar w:fldCharType="separate"/>
            </w:r>
            <w:r w:rsidR="00250660" w:rsidRPr="00F10B6B">
              <w:rPr>
                <w:rStyle w:val="Hyperlink"/>
                <w:noProof/>
              </w:rPr>
              <w:t>Figure 1 – EIF model</w:t>
            </w:r>
            <w:r w:rsidR="00250660">
              <w:rPr>
                <w:noProof/>
                <w:webHidden/>
              </w:rPr>
              <w:tab/>
            </w:r>
            <w:r w:rsidR="00250660">
              <w:rPr>
                <w:noProof/>
                <w:webHidden/>
              </w:rPr>
              <w:fldChar w:fldCharType="begin"/>
            </w:r>
            <w:r w:rsidR="00250660">
              <w:rPr>
                <w:noProof/>
                <w:webHidden/>
              </w:rPr>
              <w:instrText xml:space="preserve"> PAGEREF _Toc23767553 \h </w:instrText>
            </w:r>
            <w:r w:rsidR="00250660">
              <w:rPr>
                <w:noProof/>
                <w:webHidden/>
              </w:rPr>
            </w:r>
            <w:r w:rsidR="00250660">
              <w:rPr>
                <w:noProof/>
                <w:webHidden/>
              </w:rPr>
              <w:fldChar w:fldCharType="separate"/>
            </w:r>
            <w:r w:rsidR="007146F8">
              <w:rPr>
                <w:noProof/>
                <w:webHidden/>
              </w:rPr>
              <w:t>20</w:t>
            </w:r>
            <w:r w:rsidR="00250660">
              <w:rPr>
                <w:noProof/>
                <w:webHidden/>
              </w:rPr>
              <w:fldChar w:fldCharType="end"/>
            </w:r>
            <w:r w:rsidR="00250660" w:rsidRPr="00F10B6B">
              <w:rPr>
                <w:rStyle w:val="Hyperlink"/>
                <w:noProof/>
              </w:rPr>
              <w:fldChar w:fldCharType="end"/>
            </w:r>
          </w:p>
          <w:p w14:paraId="09607D54" w14:textId="0C91411A" w:rsidR="00CD1179" w:rsidRPr="00977275" w:rsidRDefault="00CD1179" w:rsidP="00397F9F">
            <w:pPr>
              <w:pStyle w:val="TableofFigures"/>
              <w:rPr>
                <w:rFonts w:eastAsia="Times New Roman"/>
              </w:rPr>
            </w:pPr>
            <w:r w:rsidRPr="00977275">
              <w:rPr>
                <w:rFonts w:eastAsia="Times New Roman"/>
              </w:rPr>
              <w:fldChar w:fldCharType="end"/>
            </w:r>
          </w:p>
        </w:tc>
      </w:tr>
    </w:tbl>
    <w:p w14:paraId="66A39309" w14:textId="6979A509" w:rsidR="00CD1179" w:rsidRDefault="00CD1179" w:rsidP="00CD1179">
      <w:pPr>
        <w:rPr>
          <w:lang w:val="en-GB"/>
        </w:rPr>
      </w:pPr>
    </w:p>
    <w:p w14:paraId="7ABD2F32" w14:textId="77777777" w:rsidR="00CD1179" w:rsidRPr="007A3793" w:rsidRDefault="00CD1179" w:rsidP="00CD1179">
      <w:pPr>
        <w:rPr>
          <w:lang w:val="en-GB"/>
        </w:rPr>
      </w:pPr>
    </w:p>
    <w:p w14:paraId="71C928D8" w14:textId="77777777" w:rsidR="00F14A92" w:rsidRPr="007A3793" w:rsidRDefault="00F14A92" w:rsidP="00F14A92">
      <w:pPr>
        <w:rPr>
          <w:lang w:val="en-GB"/>
        </w:rPr>
        <w:sectPr w:rsidR="00F14A92" w:rsidRPr="007A3793" w:rsidSect="002B6ABE">
          <w:headerReference w:type="default" r:id="rId18"/>
          <w:footerReference w:type="even" r:id="rId19"/>
          <w:footerReference w:type="default" r:id="rId20"/>
          <w:type w:val="continuous"/>
          <w:pgSz w:w="11907" w:h="16840" w:code="9"/>
          <w:pgMar w:top="851" w:right="1134" w:bottom="851" w:left="1134" w:header="567" w:footer="567" w:gutter="0"/>
          <w:pgNumType w:fmt="lowerRoman" w:start="1"/>
          <w:cols w:space="720"/>
          <w:docGrid w:linePitch="326"/>
        </w:sectPr>
      </w:pPr>
    </w:p>
    <w:p w14:paraId="71C928D9" w14:textId="1F7AC375" w:rsidR="00FF5D35" w:rsidRPr="00CD1179" w:rsidRDefault="00FF5D35" w:rsidP="00CD1179">
      <w:pPr>
        <w:pStyle w:val="RecNo"/>
      </w:pPr>
      <w:r w:rsidRPr="007A3793">
        <w:lastRenderedPageBreak/>
        <w:t xml:space="preserve">Technical </w:t>
      </w:r>
      <w:r w:rsidR="00D24F44" w:rsidRPr="007A3793">
        <w:t>Paper HSTP.DLT-RF</w:t>
      </w:r>
    </w:p>
    <w:p w14:paraId="71C928DA" w14:textId="4ACCF889" w:rsidR="006717D3" w:rsidRPr="00CD1179" w:rsidRDefault="00FF5D35" w:rsidP="00CD1179">
      <w:pPr>
        <w:pStyle w:val="Rectitle"/>
      </w:pPr>
      <w:r w:rsidRPr="007A3793">
        <w:t>Distributed ledger technology</w:t>
      </w:r>
      <w:r w:rsidR="007A3793" w:rsidRPr="007A3793">
        <w:t>:</w:t>
      </w:r>
      <w:r w:rsidRPr="007A3793">
        <w:t xml:space="preserve"> </w:t>
      </w:r>
      <w:r w:rsidR="007A3793" w:rsidRPr="007A3793">
        <w:t xml:space="preserve">Regulatory </w:t>
      </w:r>
      <w:r w:rsidR="00D332A3" w:rsidRPr="007A3793">
        <w:t>framework</w:t>
      </w:r>
    </w:p>
    <w:p w14:paraId="71C928DB" w14:textId="77777777" w:rsidR="006C7B06" w:rsidRPr="007A3793" w:rsidRDefault="006C7B06" w:rsidP="007A3793">
      <w:pPr>
        <w:pStyle w:val="Heading1"/>
        <w:ind w:left="567" w:hanging="567"/>
        <w:rPr>
          <w:lang w:bidi="en-GB"/>
        </w:rPr>
      </w:pPr>
      <w:bookmarkStart w:id="2" w:name="_Toc16243478"/>
      <w:bookmarkStart w:id="3" w:name="_Toc23447183"/>
      <w:bookmarkStart w:id="4" w:name="_Toc14188458"/>
      <w:bookmarkStart w:id="5" w:name="_Toc23767522"/>
      <w:r w:rsidRPr="007A3793">
        <w:rPr>
          <w:lang w:bidi="en-GB"/>
        </w:rPr>
        <w:t>Scope</w:t>
      </w:r>
      <w:bookmarkEnd w:id="2"/>
      <w:bookmarkEnd w:id="3"/>
      <w:bookmarkEnd w:id="5"/>
    </w:p>
    <w:p w14:paraId="7E45A5AA" w14:textId="7BA30865" w:rsidR="007A3793" w:rsidRPr="007A3793" w:rsidRDefault="006C7B06" w:rsidP="00CD1179">
      <w:pPr>
        <w:rPr>
          <w:lang w:val="en-GB" w:eastAsia="en-US"/>
        </w:rPr>
      </w:pPr>
      <w:r w:rsidRPr="007A3793">
        <w:rPr>
          <w:lang w:val="en-GB" w:eastAsia="en-US"/>
        </w:rPr>
        <w:t xml:space="preserve">This technical </w:t>
      </w:r>
      <w:r w:rsidR="00D24F44" w:rsidRPr="007A3793">
        <w:rPr>
          <w:lang w:val="en-GB" w:eastAsia="en-US"/>
        </w:rPr>
        <w:t xml:space="preserve">paper </w:t>
      </w:r>
      <w:r w:rsidRPr="007A3793">
        <w:rPr>
          <w:lang w:val="en-GB" w:eastAsia="en-US"/>
        </w:rPr>
        <w:t>discusses key features of distributed ledger technology (for the purposes of th</w:t>
      </w:r>
      <w:r w:rsidR="00D24F44" w:rsidRPr="007A3793">
        <w:rPr>
          <w:lang w:val="en-GB" w:eastAsia="en-US"/>
        </w:rPr>
        <w:t>is</w:t>
      </w:r>
      <w:r w:rsidRPr="007A3793">
        <w:rPr>
          <w:lang w:val="en-GB" w:eastAsia="en-US"/>
        </w:rPr>
        <w:t xml:space="preserve"> </w:t>
      </w:r>
      <w:r w:rsidR="00D24F44" w:rsidRPr="007A3793">
        <w:rPr>
          <w:lang w:val="en-GB" w:eastAsia="en-US"/>
        </w:rPr>
        <w:t>document</w:t>
      </w:r>
      <w:r w:rsidRPr="007A3793">
        <w:rPr>
          <w:lang w:val="en-GB" w:eastAsia="en-US"/>
        </w:rPr>
        <w:t xml:space="preserve">, the word </w:t>
      </w:r>
      <w:r w:rsidR="001122ED">
        <w:rPr>
          <w:lang w:val="en-GB" w:eastAsia="en-US"/>
        </w:rPr>
        <w:t>"</w:t>
      </w:r>
      <w:r w:rsidRPr="007A3793">
        <w:rPr>
          <w:lang w:val="en-GB" w:eastAsia="en-US"/>
        </w:rPr>
        <w:t>Blockchain</w:t>
      </w:r>
      <w:r w:rsidR="001122ED">
        <w:rPr>
          <w:lang w:val="en-GB" w:eastAsia="en-US"/>
        </w:rPr>
        <w:t>"</w:t>
      </w:r>
      <w:r w:rsidRPr="007A3793">
        <w:rPr>
          <w:lang w:val="en-GB" w:eastAsia="en-US"/>
        </w:rPr>
        <w:t xml:space="preserve"> construes distributed ledger technology, or DLT) and its associated regulatory challenges. Examples of approaches that users, regulators and solution providers could use to address the regulatory challenges facing DLT are also discussed.</w:t>
      </w:r>
    </w:p>
    <w:p w14:paraId="79851423" w14:textId="3E5F7DDA" w:rsidR="00CD1179" w:rsidRDefault="00CD1179" w:rsidP="00CD1179">
      <w:pPr>
        <w:rPr>
          <w:lang w:val="en-GB" w:bidi="ar-DZ"/>
        </w:rPr>
      </w:pPr>
      <w:bookmarkStart w:id="6" w:name="_Toc16243194"/>
      <w:bookmarkStart w:id="7" w:name="_Toc16243480"/>
      <w:bookmarkStart w:id="8" w:name="_Toc16243481"/>
      <w:bookmarkStart w:id="9" w:name="_Toc23447184"/>
      <w:bookmarkEnd w:id="6"/>
      <w:bookmarkEnd w:id="7"/>
      <w:r>
        <w:rPr>
          <w:lang w:val="en-GB" w:bidi="ar-DZ"/>
        </w:rPr>
        <w:t xml:space="preserve">NOTE – </w:t>
      </w:r>
      <w:r w:rsidRPr="00CD1179">
        <w:rPr>
          <w:lang w:val="en-GB" w:bidi="ar-DZ"/>
        </w:rPr>
        <w:t xml:space="preserve">Information for this technical paper </w:t>
      </w:r>
      <w:r>
        <w:rPr>
          <w:lang w:val="en-GB" w:bidi="ar-DZ"/>
        </w:rPr>
        <w:t>has</w:t>
      </w:r>
      <w:r w:rsidRPr="00CD1179">
        <w:rPr>
          <w:lang w:val="en-GB" w:bidi="ar-DZ"/>
        </w:rPr>
        <w:t xml:space="preserve"> been gathered from a substantial number of sources, including in-person interviews and desktop research for many jurisdictions. While every reasonable effort has been made to verify the source and accuracy of the data collected, the research team cannot exclude potential errors and omissions. This document should not be considered to provide legal or investment advice. Opinions expressed in this document reflect those of the authors and not necessarily those of their respective institutions. Some contents of this deliverable may involve patents.</w:t>
      </w:r>
    </w:p>
    <w:p w14:paraId="5C166F01" w14:textId="24DBA0E5" w:rsidR="008063FC" w:rsidRDefault="008063FC" w:rsidP="007A3793">
      <w:pPr>
        <w:pStyle w:val="Heading1"/>
        <w:ind w:left="567" w:hanging="567"/>
        <w:rPr>
          <w:lang w:bidi="en-GB"/>
        </w:rPr>
      </w:pPr>
      <w:bookmarkStart w:id="10" w:name="_Toc23767523"/>
      <w:r>
        <w:rPr>
          <w:lang w:bidi="en-GB"/>
        </w:rPr>
        <w:t>References</w:t>
      </w:r>
      <w:bookmarkEnd w:id="10"/>
    </w:p>
    <w:p w14:paraId="18B8468A" w14:textId="01831800" w:rsidR="008063FC" w:rsidRPr="008063FC" w:rsidRDefault="008063FC" w:rsidP="008063FC">
      <w:pPr>
        <w:rPr>
          <w:lang w:val="en-GB" w:eastAsia="ja-JP" w:bidi="en-GB"/>
        </w:rPr>
      </w:pPr>
      <w:bookmarkStart w:id="11" w:name="_Hlk23763595"/>
      <w:r>
        <w:rPr>
          <w:lang w:val="en-GB" w:eastAsia="ja-JP" w:bidi="en-GB"/>
        </w:rPr>
        <w:t>All references relevant to this publication are found in the Bibliography hereinafter.</w:t>
      </w:r>
    </w:p>
    <w:p w14:paraId="71C928DD" w14:textId="7980C51A" w:rsidR="006C7B06" w:rsidRPr="007A3793" w:rsidRDefault="006C7B06" w:rsidP="007A3793">
      <w:pPr>
        <w:pStyle w:val="Heading1"/>
        <w:ind w:left="567" w:hanging="567"/>
        <w:rPr>
          <w:lang w:bidi="en-GB"/>
        </w:rPr>
      </w:pPr>
      <w:bookmarkStart w:id="12" w:name="_Toc23767524"/>
      <w:bookmarkEnd w:id="11"/>
      <w:r w:rsidRPr="007A3793">
        <w:rPr>
          <w:lang w:bidi="en-GB"/>
        </w:rPr>
        <w:t>Terms and definitions</w:t>
      </w:r>
      <w:bookmarkEnd w:id="8"/>
      <w:bookmarkEnd w:id="9"/>
      <w:bookmarkEnd w:id="12"/>
    </w:p>
    <w:p w14:paraId="71C928DE" w14:textId="291F2954" w:rsidR="006C7B06" w:rsidRPr="007A3793" w:rsidRDefault="006C7B06" w:rsidP="00CD1179">
      <w:pPr>
        <w:rPr>
          <w:lang w:val="en-GB"/>
        </w:rPr>
      </w:pPr>
      <w:r w:rsidRPr="007A3793">
        <w:rPr>
          <w:lang w:val="en-GB"/>
        </w:rPr>
        <w:t>This document uses DLT related terms defined in ITU-T Technical Specification FG DLT D1.1 [</w:t>
      </w:r>
      <w:hyperlink w:anchor="fgdlt11" w:history="1">
        <w:r w:rsidR="00CD1179">
          <w:rPr>
            <w:rStyle w:val="Hyperlink"/>
            <w:lang w:val="en-GB"/>
          </w:rPr>
          <w:t>b</w:t>
        </w:r>
        <w:r w:rsidR="00CD1179">
          <w:rPr>
            <w:rStyle w:val="Hyperlink"/>
            <w:lang w:val="en-GB"/>
          </w:rPr>
          <w:noBreakHyphen/>
        </w:r>
        <w:r w:rsidR="00C073BD" w:rsidRPr="007A3793">
          <w:rPr>
            <w:rStyle w:val="Hyperlink"/>
            <w:lang w:val="en-GB"/>
          </w:rPr>
          <w:t>DLT D1.1</w:t>
        </w:r>
      </w:hyperlink>
      <w:r w:rsidRPr="007A3793">
        <w:rPr>
          <w:lang w:val="en-GB"/>
        </w:rPr>
        <w:t>].</w:t>
      </w:r>
    </w:p>
    <w:p w14:paraId="71C928DF" w14:textId="77777777" w:rsidR="006C7B06" w:rsidRPr="007A3793" w:rsidRDefault="006C7B06" w:rsidP="007A3793">
      <w:pPr>
        <w:pStyle w:val="Heading1"/>
        <w:ind w:left="567" w:hanging="567"/>
        <w:rPr>
          <w:lang w:bidi="en-GB"/>
        </w:rPr>
      </w:pPr>
      <w:bookmarkStart w:id="13" w:name="_Toc16243197"/>
      <w:bookmarkStart w:id="14" w:name="_Toc16243483"/>
      <w:bookmarkStart w:id="15" w:name="_Toc16243485"/>
      <w:bookmarkStart w:id="16" w:name="_Toc23447185"/>
      <w:bookmarkStart w:id="17" w:name="_Toc23767525"/>
      <w:bookmarkEnd w:id="13"/>
      <w:bookmarkEnd w:id="14"/>
      <w:r w:rsidRPr="007A3793">
        <w:rPr>
          <w:lang w:bidi="en-GB"/>
        </w:rPr>
        <w:t>Abbreviations</w:t>
      </w:r>
      <w:bookmarkEnd w:id="15"/>
      <w:bookmarkEnd w:id="16"/>
      <w:bookmarkEnd w:id="17"/>
    </w:p>
    <w:tbl>
      <w:tblPr>
        <w:tblW w:w="0" w:type="auto"/>
        <w:tblInd w:w="-108" w:type="dxa"/>
        <w:tblLook w:val="04A0" w:firstRow="1" w:lastRow="0" w:firstColumn="1" w:lastColumn="0" w:noHBand="0" w:noVBand="1"/>
      </w:tblPr>
      <w:tblGrid>
        <w:gridCol w:w="1402"/>
        <w:gridCol w:w="7354"/>
      </w:tblGrid>
      <w:tr w:rsidR="006C7B06" w:rsidRPr="007A3793" w14:paraId="71C928E2" w14:textId="77777777" w:rsidTr="00325CA1">
        <w:tc>
          <w:tcPr>
            <w:tcW w:w="1402" w:type="dxa"/>
          </w:tcPr>
          <w:p w14:paraId="71C928E0" w14:textId="77777777" w:rsidR="006C7B06" w:rsidRPr="007A3793" w:rsidRDefault="006C7B06" w:rsidP="00CD1179">
            <w:pPr>
              <w:rPr>
                <w:lang w:val="en-GB"/>
              </w:rPr>
            </w:pPr>
            <w:r w:rsidRPr="007A3793">
              <w:rPr>
                <w:lang w:val="en-GB"/>
              </w:rPr>
              <w:t>AI</w:t>
            </w:r>
          </w:p>
        </w:tc>
        <w:tc>
          <w:tcPr>
            <w:tcW w:w="7354" w:type="dxa"/>
          </w:tcPr>
          <w:p w14:paraId="71C928E1" w14:textId="311C62B2" w:rsidR="006C7B06" w:rsidRPr="007A3793" w:rsidRDefault="008063FC" w:rsidP="00CD1179">
            <w:pPr>
              <w:rPr>
                <w:lang w:val="en-GB"/>
              </w:rPr>
            </w:pPr>
            <w:r w:rsidRPr="007A3793">
              <w:rPr>
                <w:lang w:val="en-GB"/>
              </w:rPr>
              <w:t>Artificial intelligence</w:t>
            </w:r>
          </w:p>
        </w:tc>
      </w:tr>
      <w:tr w:rsidR="006C7B06" w:rsidRPr="007A3793" w14:paraId="71C928E5" w14:textId="77777777" w:rsidTr="00325CA1">
        <w:tc>
          <w:tcPr>
            <w:tcW w:w="1402" w:type="dxa"/>
          </w:tcPr>
          <w:p w14:paraId="71C928E3" w14:textId="77777777" w:rsidR="006C7B06" w:rsidRPr="007A3793" w:rsidRDefault="006C7B06" w:rsidP="00CD1179">
            <w:pPr>
              <w:rPr>
                <w:lang w:val="en-GB"/>
              </w:rPr>
            </w:pPr>
            <w:r w:rsidRPr="007A3793">
              <w:rPr>
                <w:lang w:val="en-GB"/>
              </w:rPr>
              <w:t>AML</w:t>
            </w:r>
          </w:p>
        </w:tc>
        <w:tc>
          <w:tcPr>
            <w:tcW w:w="7354" w:type="dxa"/>
          </w:tcPr>
          <w:p w14:paraId="71C928E4" w14:textId="743E61EC" w:rsidR="006C7B06" w:rsidRPr="007A3793" w:rsidRDefault="008063FC" w:rsidP="00CD1179">
            <w:pPr>
              <w:rPr>
                <w:lang w:val="en-GB"/>
              </w:rPr>
            </w:pPr>
            <w:r w:rsidRPr="007A3793">
              <w:rPr>
                <w:lang w:val="en-GB"/>
              </w:rPr>
              <w:t>Anti-money laundering</w:t>
            </w:r>
          </w:p>
        </w:tc>
      </w:tr>
      <w:tr w:rsidR="006C7B06" w:rsidRPr="007A3793" w14:paraId="71C928E8" w14:textId="77777777" w:rsidTr="00325CA1">
        <w:tc>
          <w:tcPr>
            <w:tcW w:w="1402" w:type="dxa"/>
          </w:tcPr>
          <w:p w14:paraId="71C928E6" w14:textId="77777777" w:rsidR="006C7B06" w:rsidRPr="007A3793" w:rsidRDefault="006C7B06" w:rsidP="00CD1179">
            <w:pPr>
              <w:rPr>
                <w:lang w:val="en-GB"/>
              </w:rPr>
            </w:pPr>
            <w:r w:rsidRPr="007A3793">
              <w:rPr>
                <w:lang w:val="en-GB"/>
              </w:rPr>
              <w:t>CA</w:t>
            </w:r>
          </w:p>
        </w:tc>
        <w:tc>
          <w:tcPr>
            <w:tcW w:w="7354" w:type="dxa"/>
          </w:tcPr>
          <w:p w14:paraId="71C928E7" w14:textId="58718A21" w:rsidR="006C7B06" w:rsidRPr="007A3793" w:rsidRDefault="008063FC" w:rsidP="00CD1179">
            <w:pPr>
              <w:rPr>
                <w:lang w:val="en-GB"/>
              </w:rPr>
            </w:pPr>
            <w:r w:rsidRPr="007A3793">
              <w:rPr>
                <w:lang w:val="en-GB"/>
              </w:rPr>
              <w:t>Certificate authority</w:t>
            </w:r>
          </w:p>
        </w:tc>
      </w:tr>
      <w:tr w:rsidR="006C7B06" w:rsidRPr="007A3793" w14:paraId="71C928EB" w14:textId="77777777" w:rsidTr="00325CA1">
        <w:tc>
          <w:tcPr>
            <w:tcW w:w="1402" w:type="dxa"/>
          </w:tcPr>
          <w:p w14:paraId="71C928E9" w14:textId="77777777" w:rsidR="006C7B06" w:rsidRPr="007A3793" w:rsidRDefault="006C7B06" w:rsidP="00CD1179">
            <w:pPr>
              <w:rPr>
                <w:lang w:val="en-GB"/>
              </w:rPr>
            </w:pPr>
            <w:r w:rsidRPr="007A3793">
              <w:rPr>
                <w:lang w:val="en-GB"/>
              </w:rPr>
              <w:t>CADES</w:t>
            </w:r>
          </w:p>
        </w:tc>
        <w:tc>
          <w:tcPr>
            <w:tcW w:w="7354" w:type="dxa"/>
          </w:tcPr>
          <w:p w14:paraId="71C928EA" w14:textId="77777777" w:rsidR="006C7B06" w:rsidRPr="007A3793" w:rsidRDefault="006C7B06" w:rsidP="00CD1179">
            <w:pPr>
              <w:rPr>
                <w:lang w:val="en-GB"/>
              </w:rPr>
            </w:pPr>
            <w:r w:rsidRPr="007A3793">
              <w:rPr>
                <w:lang w:val="en-GB"/>
              </w:rPr>
              <w:t>CMS Advanced Electronic Signatures</w:t>
            </w:r>
          </w:p>
        </w:tc>
      </w:tr>
      <w:tr w:rsidR="006C7B06" w:rsidRPr="007A3793" w14:paraId="71C928F1" w14:textId="77777777" w:rsidTr="00325CA1">
        <w:tc>
          <w:tcPr>
            <w:tcW w:w="1402" w:type="dxa"/>
          </w:tcPr>
          <w:p w14:paraId="71C928EF" w14:textId="77777777" w:rsidR="006C7B06" w:rsidRPr="007A3793" w:rsidRDefault="006C7B06" w:rsidP="00CD1179">
            <w:pPr>
              <w:rPr>
                <w:lang w:val="en-GB"/>
              </w:rPr>
            </w:pPr>
            <w:r w:rsidRPr="007A3793">
              <w:rPr>
                <w:lang w:val="en-GB"/>
              </w:rPr>
              <w:t>CRL</w:t>
            </w:r>
          </w:p>
        </w:tc>
        <w:tc>
          <w:tcPr>
            <w:tcW w:w="7354" w:type="dxa"/>
          </w:tcPr>
          <w:p w14:paraId="71C928F0" w14:textId="4EEC4E44" w:rsidR="006C7B06" w:rsidRPr="007A3793" w:rsidRDefault="008063FC" w:rsidP="00CD1179">
            <w:pPr>
              <w:rPr>
                <w:lang w:val="en-GB"/>
              </w:rPr>
            </w:pPr>
            <w:r w:rsidRPr="007A3793">
              <w:rPr>
                <w:lang w:val="en-GB"/>
              </w:rPr>
              <w:t>Certificate revocation list</w:t>
            </w:r>
          </w:p>
        </w:tc>
      </w:tr>
      <w:tr w:rsidR="006C7B06" w:rsidRPr="007A3793" w14:paraId="71C928F4" w14:textId="77777777" w:rsidTr="00325CA1">
        <w:tc>
          <w:tcPr>
            <w:tcW w:w="1402" w:type="dxa"/>
          </w:tcPr>
          <w:p w14:paraId="71C928F2" w14:textId="77777777" w:rsidR="006C7B06" w:rsidRPr="007A3793" w:rsidRDefault="006C7B06" w:rsidP="00CD1179">
            <w:pPr>
              <w:rPr>
                <w:lang w:val="en-GB"/>
              </w:rPr>
            </w:pPr>
            <w:r w:rsidRPr="007A3793">
              <w:rPr>
                <w:lang w:val="en-GB"/>
              </w:rPr>
              <w:t>DAO</w:t>
            </w:r>
          </w:p>
        </w:tc>
        <w:tc>
          <w:tcPr>
            <w:tcW w:w="7354" w:type="dxa"/>
          </w:tcPr>
          <w:p w14:paraId="71C928F3" w14:textId="0E38B265" w:rsidR="006C7B06" w:rsidRPr="007A3793" w:rsidRDefault="008063FC" w:rsidP="00CD1179">
            <w:pPr>
              <w:rPr>
                <w:lang w:val="en-GB"/>
              </w:rPr>
            </w:pPr>
            <w:r w:rsidRPr="007A3793">
              <w:rPr>
                <w:lang w:val="en-GB"/>
              </w:rPr>
              <w:t>Decentralized autono</w:t>
            </w:r>
            <w:r w:rsidR="006C7B06" w:rsidRPr="007A3793">
              <w:rPr>
                <w:lang w:val="en-GB"/>
              </w:rPr>
              <w:t xml:space="preserve">mous </w:t>
            </w:r>
            <w:r w:rsidRPr="007A3793">
              <w:rPr>
                <w:lang w:val="en-GB"/>
              </w:rPr>
              <w:t>organizations</w:t>
            </w:r>
          </w:p>
        </w:tc>
      </w:tr>
      <w:tr w:rsidR="006C7B06" w:rsidRPr="007A3793" w14:paraId="71C928F7" w14:textId="77777777" w:rsidTr="00325CA1">
        <w:tc>
          <w:tcPr>
            <w:tcW w:w="1402" w:type="dxa"/>
          </w:tcPr>
          <w:p w14:paraId="71C928F5" w14:textId="77777777" w:rsidR="006C7B06" w:rsidRPr="007A3793" w:rsidRDefault="006C7B06" w:rsidP="00CD1179">
            <w:pPr>
              <w:rPr>
                <w:lang w:val="en-GB"/>
              </w:rPr>
            </w:pPr>
            <w:r w:rsidRPr="007A3793">
              <w:rPr>
                <w:lang w:val="en-GB"/>
              </w:rPr>
              <w:t>DPIA</w:t>
            </w:r>
          </w:p>
        </w:tc>
        <w:tc>
          <w:tcPr>
            <w:tcW w:w="7354" w:type="dxa"/>
          </w:tcPr>
          <w:p w14:paraId="71C928F6" w14:textId="6A603D9A" w:rsidR="006C7B06" w:rsidRPr="007A3793" w:rsidRDefault="008063FC" w:rsidP="00CD1179">
            <w:pPr>
              <w:rPr>
                <w:lang w:val="en-GB"/>
              </w:rPr>
            </w:pPr>
            <w:r w:rsidRPr="007A3793">
              <w:rPr>
                <w:lang w:val="en-GB"/>
              </w:rPr>
              <w:t>Data protection impact analysis</w:t>
            </w:r>
          </w:p>
        </w:tc>
      </w:tr>
      <w:tr w:rsidR="006C7B06" w:rsidRPr="007A3793" w14:paraId="71C928FA" w14:textId="77777777" w:rsidTr="00325CA1">
        <w:tc>
          <w:tcPr>
            <w:tcW w:w="1402" w:type="dxa"/>
          </w:tcPr>
          <w:p w14:paraId="71C928F8" w14:textId="77777777" w:rsidR="006C7B06" w:rsidRPr="007A3793" w:rsidRDefault="006C7B06" w:rsidP="00CD1179">
            <w:pPr>
              <w:rPr>
                <w:lang w:val="en-GB"/>
              </w:rPr>
            </w:pPr>
            <w:r w:rsidRPr="007A3793">
              <w:rPr>
                <w:lang w:val="en-GB"/>
              </w:rPr>
              <w:t>ECC</w:t>
            </w:r>
          </w:p>
        </w:tc>
        <w:tc>
          <w:tcPr>
            <w:tcW w:w="7354" w:type="dxa"/>
          </w:tcPr>
          <w:p w14:paraId="71C928F9" w14:textId="63801D5C" w:rsidR="006C7B06" w:rsidRPr="007A3793" w:rsidRDefault="008063FC" w:rsidP="00CD1179">
            <w:pPr>
              <w:rPr>
                <w:lang w:val="en-GB"/>
              </w:rPr>
            </w:pPr>
            <w:r w:rsidRPr="007A3793">
              <w:rPr>
                <w:lang w:val="en-GB"/>
              </w:rPr>
              <w:t>Excise control code</w:t>
            </w:r>
          </w:p>
        </w:tc>
      </w:tr>
      <w:tr w:rsidR="006C7B06" w:rsidRPr="007A3793" w14:paraId="71C928FD" w14:textId="77777777" w:rsidTr="00325CA1">
        <w:tc>
          <w:tcPr>
            <w:tcW w:w="1402" w:type="dxa"/>
          </w:tcPr>
          <w:p w14:paraId="71C928FB" w14:textId="77777777" w:rsidR="006C7B06" w:rsidRPr="007A3793" w:rsidRDefault="006C7B06" w:rsidP="00CD1179">
            <w:pPr>
              <w:rPr>
                <w:lang w:val="en-GB"/>
              </w:rPr>
            </w:pPr>
            <w:proofErr w:type="spellStart"/>
            <w:r w:rsidRPr="007A3793">
              <w:rPr>
                <w:lang w:val="en-GB"/>
              </w:rPr>
              <w:t>EdDSA</w:t>
            </w:r>
            <w:proofErr w:type="spellEnd"/>
          </w:p>
        </w:tc>
        <w:tc>
          <w:tcPr>
            <w:tcW w:w="7354" w:type="dxa"/>
          </w:tcPr>
          <w:p w14:paraId="71C928FC" w14:textId="71280BB3" w:rsidR="006C7B06" w:rsidRPr="007A3793" w:rsidRDefault="006C7B06" w:rsidP="00CD1179">
            <w:pPr>
              <w:rPr>
                <w:lang w:val="en-GB"/>
              </w:rPr>
            </w:pPr>
            <w:r w:rsidRPr="007A3793">
              <w:rPr>
                <w:lang w:val="en-GB"/>
              </w:rPr>
              <w:t xml:space="preserve">Edwards-curve </w:t>
            </w:r>
            <w:r w:rsidR="00C04FE7" w:rsidRPr="007A3793">
              <w:rPr>
                <w:lang w:val="en-GB"/>
              </w:rPr>
              <w:t>digital signature algorithm</w:t>
            </w:r>
          </w:p>
        </w:tc>
      </w:tr>
      <w:tr w:rsidR="006C7B06" w:rsidRPr="007A3793" w14:paraId="71C92900" w14:textId="77777777" w:rsidTr="00325CA1">
        <w:tc>
          <w:tcPr>
            <w:tcW w:w="1402" w:type="dxa"/>
          </w:tcPr>
          <w:p w14:paraId="71C928FE" w14:textId="77777777" w:rsidR="006C7B06" w:rsidRPr="007A3793" w:rsidRDefault="006C7B06" w:rsidP="00CD1179">
            <w:pPr>
              <w:rPr>
                <w:lang w:val="en-GB"/>
              </w:rPr>
            </w:pPr>
            <w:proofErr w:type="spellStart"/>
            <w:r w:rsidRPr="007A3793">
              <w:rPr>
                <w:lang w:val="en-GB"/>
              </w:rPr>
              <w:t>eIDAS</w:t>
            </w:r>
            <w:proofErr w:type="spellEnd"/>
          </w:p>
        </w:tc>
        <w:tc>
          <w:tcPr>
            <w:tcW w:w="7354" w:type="dxa"/>
          </w:tcPr>
          <w:p w14:paraId="71C928FF" w14:textId="0187586C" w:rsidR="006C7B06" w:rsidRPr="007A3793" w:rsidRDefault="00C04FE7" w:rsidP="00CD1179">
            <w:pPr>
              <w:rPr>
                <w:lang w:val="en-GB"/>
              </w:rPr>
            </w:pPr>
            <w:r w:rsidRPr="007A3793">
              <w:rPr>
                <w:lang w:val="en-GB"/>
              </w:rPr>
              <w:t>Electronic identification, authentication and trust services</w:t>
            </w:r>
          </w:p>
        </w:tc>
      </w:tr>
      <w:tr w:rsidR="006C7B06" w:rsidRPr="007A3793" w14:paraId="71C92903" w14:textId="77777777" w:rsidTr="00325CA1">
        <w:tc>
          <w:tcPr>
            <w:tcW w:w="1402" w:type="dxa"/>
          </w:tcPr>
          <w:p w14:paraId="71C92901" w14:textId="77777777" w:rsidR="006C7B06" w:rsidRPr="007A3793" w:rsidRDefault="006C7B06" w:rsidP="00CD1179">
            <w:pPr>
              <w:rPr>
                <w:lang w:val="en-GB"/>
              </w:rPr>
            </w:pPr>
            <w:r w:rsidRPr="007A3793">
              <w:rPr>
                <w:lang w:val="en-GB"/>
              </w:rPr>
              <w:t>EIF</w:t>
            </w:r>
          </w:p>
        </w:tc>
        <w:tc>
          <w:tcPr>
            <w:tcW w:w="7354" w:type="dxa"/>
          </w:tcPr>
          <w:p w14:paraId="71C92902" w14:textId="435FB0B2" w:rsidR="006C7B06" w:rsidRPr="007A3793" w:rsidRDefault="008063FC" w:rsidP="00CD1179">
            <w:pPr>
              <w:rPr>
                <w:lang w:val="en-GB"/>
              </w:rPr>
            </w:pPr>
            <w:r w:rsidRPr="007A3793">
              <w:rPr>
                <w:lang w:val="en-GB"/>
              </w:rPr>
              <w:t>European interoperability framework</w:t>
            </w:r>
          </w:p>
        </w:tc>
      </w:tr>
      <w:tr w:rsidR="006C7B06" w:rsidRPr="007A3793" w14:paraId="71C92906" w14:textId="77777777" w:rsidTr="00325CA1">
        <w:tc>
          <w:tcPr>
            <w:tcW w:w="1402" w:type="dxa"/>
          </w:tcPr>
          <w:p w14:paraId="71C92904" w14:textId="77777777" w:rsidR="006C7B06" w:rsidRPr="007A3793" w:rsidRDefault="006C7B06" w:rsidP="00CD1179">
            <w:pPr>
              <w:rPr>
                <w:lang w:val="en-GB"/>
              </w:rPr>
            </w:pPr>
            <w:r w:rsidRPr="007A3793">
              <w:rPr>
                <w:lang w:val="en-GB"/>
              </w:rPr>
              <w:t>GDPR</w:t>
            </w:r>
          </w:p>
        </w:tc>
        <w:tc>
          <w:tcPr>
            <w:tcW w:w="7354" w:type="dxa"/>
          </w:tcPr>
          <w:p w14:paraId="71C92905" w14:textId="58F69697" w:rsidR="006C7B06" w:rsidRPr="007A3793" w:rsidRDefault="008063FC" w:rsidP="00CD1179">
            <w:pPr>
              <w:rPr>
                <w:lang w:val="en-GB"/>
              </w:rPr>
            </w:pPr>
            <w:r w:rsidRPr="007A3793">
              <w:rPr>
                <w:lang w:val="en-GB"/>
              </w:rPr>
              <w:t xml:space="preserve">General data protection regulation </w:t>
            </w:r>
          </w:p>
        </w:tc>
      </w:tr>
      <w:tr w:rsidR="006C7B06" w:rsidRPr="007A3793" w14:paraId="71C92909" w14:textId="77777777" w:rsidTr="00325CA1">
        <w:tc>
          <w:tcPr>
            <w:tcW w:w="1402" w:type="dxa"/>
          </w:tcPr>
          <w:p w14:paraId="71C92907" w14:textId="77777777" w:rsidR="006C7B06" w:rsidRPr="007A3793" w:rsidRDefault="006C7B06" w:rsidP="00CD1179">
            <w:pPr>
              <w:rPr>
                <w:lang w:val="en-GB"/>
              </w:rPr>
            </w:pPr>
            <w:r w:rsidRPr="007A3793">
              <w:rPr>
                <w:lang w:val="en-GB"/>
              </w:rPr>
              <w:t>ICO</w:t>
            </w:r>
          </w:p>
        </w:tc>
        <w:tc>
          <w:tcPr>
            <w:tcW w:w="7354" w:type="dxa"/>
          </w:tcPr>
          <w:p w14:paraId="71C92908" w14:textId="0BA8D487" w:rsidR="006C7B06" w:rsidRPr="007A3793" w:rsidRDefault="008063FC" w:rsidP="00CD1179">
            <w:pPr>
              <w:rPr>
                <w:lang w:val="en-GB"/>
              </w:rPr>
            </w:pPr>
            <w:r w:rsidRPr="007A3793">
              <w:rPr>
                <w:lang w:val="en-GB"/>
              </w:rPr>
              <w:t>Initial coin offering</w:t>
            </w:r>
          </w:p>
        </w:tc>
      </w:tr>
      <w:tr w:rsidR="006C7B06" w:rsidRPr="007A3793" w14:paraId="71C9290C" w14:textId="77777777" w:rsidTr="00325CA1">
        <w:tc>
          <w:tcPr>
            <w:tcW w:w="1402" w:type="dxa"/>
          </w:tcPr>
          <w:p w14:paraId="71C9290A" w14:textId="77777777" w:rsidR="006C7B06" w:rsidRPr="007A3793" w:rsidRDefault="006C7B06" w:rsidP="00CD1179">
            <w:pPr>
              <w:rPr>
                <w:lang w:val="en-GB"/>
              </w:rPr>
            </w:pPr>
            <w:r w:rsidRPr="007A3793">
              <w:rPr>
                <w:lang w:val="en-GB"/>
              </w:rPr>
              <w:t>IETF</w:t>
            </w:r>
          </w:p>
        </w:tc>
        <w:tc>
          <w:tcPr>
            <w:tcW w:w="7354" w:type="dxa"/>
          </w:tcPr>
          <w:p w14:paraId="71C9290B" w14:textId="77777777" w:rsidR="006C7B06" w:rsidRPr="007A3793" w:rsidRDefault="006C7B06" w:rsidP="00CD1179">
            <w:pPr>
              <w:rPr>
                <w:lang w:val="en-GB"/>
              </w:rPr>
            </w:pPr>
            <w:r w:rsidRPr="007A3793">
              <w:rPr>
                <w:lang w:val="en-GB"/>
              </w:rPr>
              <w:t>Internet Engineering Task Force</w:t>
            </w:r>
          </w:p>
        </w:tc>
      </w:tr>
      <w:tr w:rsidR="006C7B06" w:rsidRPr="007A3793" w14:paraId="71C9290F" w14:textId="77777777" w:rsidTr="00325CA1">
        <w:tc>
          <w:tcPr>
            <w:tcW w:w="1402" w:type="dxa"/>
          </w:tcPr>
          <w:p w14:paraId="71C9290D" w14:textId="77777777" w:rsidR="006C7B06" w:rsidRPr="007A3793" w:rsidRDefault="006C7B06" w:rsidP="00CD1179">
            <w:pPr>
              <w:rPr>
                <w:lang w:val="en-GB"/>
              </w:rPr>
            </w:pPr>
            <w:r w:rsidRPr="007A3793">
              <w:rPr>
                <w:lang w:val="en-GB"/>
              </w:rPr>
              <w:t>IoT</w:t>
            </w:r>
          </w:p>
        </w:tc>
        <w:tc>
          <w:tcPr>
            <w:tcW w:w="7354" w:type="dxa"/>
          </w:tcPr>
          <w:p w14:paraId="71C9290E" w14:textId="77777777" w:rsidR="006C7B06" w:rsidRPr="007A3793" w:rsidRDefault="006C7B06" w:rsidP="00CD1179">
            <w:pPr>
              <w:rPr>
                <w:lang w:val="en-GB"/>
              </w:rPr>
            </w:pPr>
            <w:r w:rsidRPr="007A3793">
              <w:rPr>
                <w:lang w:val="en-GB"/>
              </w:rPr>
              <w:t>Internet of Things</w:t>
            </w:r>
          </w:p>
        </w:tc>
      </w:tr>
      <w:tr w:rsidR="006C7B06" w:rsidRPr="007A3793" w14:paraId="71C92912" w14:textId="77777777" w:rsidTr="00325CA1">
        <w:tc>
          <w:tcPr>
            <w:tcW w:w="1402" w:type="dxa"/>
          </w:tcPr>
          <w:p w14:paraId="71C92910" w14:textId="77777777" w:rsidR="006C7B06" w:rsidRPr="007A3793" w:rsidRDefault="006C7B06" w:rsidP="00CD1179">
            <w:pPr>
              <w:rPr>
                <w:lang w:val="en-GB"/>
              </w:rPr>
            </w:pPr>
            <w:r w:rsidRPr="007A3793">
              <w:rPr>
                <w:lang w:val="en-GB"/>
              </w:rPr>
              <w:t>IP</w:t>
            </w:r>
          </w:p>
        </w:tc>
        <w:tc>
          <w:tcPr>
            <w:tcW w:w="7354" w:type="dxa"/>
          </w:tcPr>
          <w:p w14:paraId="71C92911" w14:textId="544689EA" w:rsidR="006C7B06" w:rsidRPr="007A3793" w:rsidRDefault="008063FC" w:rsidP="00CD1179">
            <w:pPr>
              <w:rPr>
                <w:lang w:val="en-GB"/>
              </w:rPr>
            </w:pPr>
            <w:r w:rsidRPr="007A3793">
              <w:rPr>
                <w:lang w:val="en-GB"/>
              </w:rPr>
              <w:t>Intellectual property</w:t>
            </w:r>
          </w:p>
        </w:tc>
      </w:tr>
      <w:tr w:rsidR="006C7B06" w:rsidRPr="007A3793" w14:paraId="71C92915" w14:textId="77777777" w:rsidTr="00325CA1">
        <w:tc>
          <w:tcPr>
            <w:tcW w:w="1402" w:type="dxa"/>
          </w:tcPr>
          <w:p w14:paraId="71C92913" w14:textId="77777777" w:rsidR="006C7B06" w:rsidRPr="007A3793" w:rsidRDefault="006C7B06" w:rsidP="00CD1179">
            <w:pPr>
              <w:rPr>
                <w:lang w:val="en-GB"/>
              </w:rPr>
            </w:pPr>
            <w:r w:rsidRPr="007A3793">
              <w:rPr>
                <w:lang w:val="en-GB"/>
              </w:rPr>
              <w:lastRenderedPageBreak/>
              <w:t>IPO</w:t>
            </w:r>
          </w:p>
        </w:tc>
        <w:tc>
          <w:tcPr>
            <w:tcW w:w="7354" w:type="dxa"/>
          </w:tcPr>
          <w:p w14:paraId="71C92914" w14:textId="0FD7927D" w:rsidR="006C7B06" w:rsidRPr="007A3793" w:rsidRDefault="008063FC" w:rsidP="00CD1179">
            <w:pPr>
              <w:rPr>
                <w:lang w:val="en-GB"/>
              </w:rPr>
            </w:pPr>
            <w:r w:rsidRPr="007A3793">
              <w:rPr>
                <w:lang w:val="en-GB"/>
              </w:rPr>
              <w:t>Initial public offering</w:t>
            </w:r>
          </w:p>
        </w:tc>
      </w:tr>
      <w:tr w:rsidR="006C7B06" w:rsidRPr="007A3793" w14:paraId="71C92918" w14:textId="77777777" w:rsidTr="00325CA1">
        <w:tc>
          <w:tcPr>
            <w:tcW w:w="1402" w:type="dxa"/>
          </w:tcPr>
          <w:p w14:paraId="71C92916" w14:textId="77777777" w:rsidR="006C7B06" w:rsidRPr="007A3793" w:rsidRDefault="006C7B06" w:rsidP="00CD1179">
            <w:pPr>
              <w:rPr>
                <w:lang w:val="en-GB"/>
              </w:rPr>
            </w:pPr>
            <w:r w:rsidRPr="007A3793">
              <w:rPr>
                <w:lang w:val="en-GB"/>
              </w:rPr>
              <w:t>KYC</w:t>
            </w:r>
          </w:p>
        </w:tc>
        <w:tc>
          <w:tcPr>
            <w:tcW w:w="7354" w:type="dxa"/>
          </w:tcPr>
          <w:p w14:paraId="71C92917" w14:textId="2435F6EF" w:rsidR="006C7B06" w:rsidRPr="007A3793" w:rsidRDefault="008063FC" w:rsidP="00CD1179">
            <w:pPr>
              <w:rPr>
                <w:lang w:val="en-GB"/>
              </w:rPr>
            </w:pPr>
            <w:r w:rsidRPr="007A3793">
              <w:rPr>
                <w:lang w:val="en-GB"/>
              </w:rPr>
              <w:t xml:space="preserve">Know your customer </w:t>
            </w:r>
          </w:p>
        </w:tc>
      </w:tr>
      <w:tr w:rsidR="006C7B06" w:rsidRPr="007A3793" w14:paraId="71C9291B" w14:textId="77777777" w:rsidTr="00325CA1">
        <w:tc>
          <w:tcPr>
            <w:tcW w:w="1402" w:type="dxa"/>
          </w:tcPr>
          <w:p w14:paraId="71C92919" w14:textId="77777777" w:rsidR="006C7B06" w:rsidRPr="007A3793" w:rsidRDefault="006C7B06" w:rsidP="00CD1179">
            <w:pPr>
              <w:rPr>
                <w:lang w:val="en-GB"/>
              </w:rPr>
            </w:pPr>
            <w:r w:rsidRPr="007A3793">
              <w:rPr>
                <w:lang w:val="en-GB"/>
              </w:rPr>
              <w:t>P2P</w:t>
            </w:r>
          </w:p>
        </w:tc>
        <w:tc>
          <w:tcPr>
            <w:tcW w:w="7354" w:type="dxa"/>
          </w:tcPr>
          <w:p w14:paraId="71C9291A" w14:textId="7FFBA23E" w:rsidR="006C7B06" w:rsidRPr="007A3793" w:rsidRDefault="008063FC" w:rsidP="00CD1179">
            <w:pPr>
              <w:rPr>
                <w:lang w:val="en-GB"/>
              </w:rPr>
            </w:pPr>
            <w:r w:rsidRPr="007A3793">
              <w:rPr>
                <w:lang w:val="en-GB"/>
              </w:rPr>
              <w:t>Peer-to-peer</w:t>
            </w:r>
          </w:p>
        </w:tc>
      </w:tr>
      <w:tr w:rsidR="006C7B06" w:rsidRPr="007A3793" w14:paraId="71C9291E" w14:textId="77777777" w:rsidTr="00325CA1">
        <w:tc>
          <w:tcPr>
            <w:tcW w:w="1402" w:type="dxa"/>
          </w:tcPr>
          <w:p w14:paraId="71C9291C" w14:textId="77777777" w:rsidR="006C7B06" w:rsidRPr="007A3793" w:rsidRDefault="006C7B06" w:rsidP="00CD1179">
            <w:pPr>
              <w:rPr>
                <w:lang w:val="en-GB"/>
              </w:rPr>
            </w:pPr>
            <w:r w:rsidRPr="007A3793">
              <w:rPr>
                <w:lang w:val="en-GB"/>
              </w:rPr>
              <w:t>PII</w:t>
            </w:r>
          </w:p>
        </w:tc>
        <w:tc>
          <w:tcPr>
            <w:tcW w:w="7354" w:type="dxa"/>
          </w:tcPr>
          <w:p w14:paraId="71C9291D" w14:textId="77777777" w:rsidR="006C7B06" w:rsidRPr="007A3793" w:rsidRDefault="006C7B06" w:rsidP="00CD1179">
            <w:pPr>
              <w:rPr>
                <w:lang w:val="en-GB"/>
              </w:rPr>
            </w:pPr>
            <w:proofErr w:type="gramStart"/>
            <w:r w:rsidRPr="007A3793">
              <w:rPr>
                <w:lang w:val="en-GB"/>
              </w:rPr>
              <w:t>Personally</w:t>
            </w:r>
            <w:proofErr w:type="gramEnd"/>
            <w:r w:rsidRPr="007A3793">
              <w:rPr>
                <w:lang w:val="en-GB"/>
              </w:rPr>
              <w:t xml:space="preserve"> identifiable information</w:t>
            </w:r>
          </w:p>
        </w:tc>
      </w:tr>
      <w:tr w:rsidR="006C7B06" w:rsidRPr="007A3793" w14:paraId="71C92921" w14:textId="77777777" w:rsidTr="00325CA1">
        <w:tc>
          <w:tcPr>
            <w:tcW w:w="1402" w:type="dxa"/>
          </w:tcPr>
          <w:p w14:paraId="71C9291F" w14:textId="77777777" w:rsidR="006C7B06" w:rsidRPr="007A3793" w:rsidRDefault="006C7B06" w:rsidP="00CD1179">
            <w:pPr>
              <w:rPr>
                <w:lang w:val="en-GB"/>
              </w:rPr>
            </w:pPr>
            <w:r w:rsidRPr="007A3793">
              <w:rPr>
                <w:lang w:val="en-GB"/>
              </w:rPr>
              <w:t>PKI</w:t>
            </w:r>
          </w:p>
        </w:tc>
        <w:tc>
          <w:tcPr>
            <w:tcW w:w="7354" w:type="dxa"/>
          </w:tcPr>
          <w:p w14:paraId="71C92920" w14:textId="61B1CD98" w:rsidR="006C7B06" w:rsidRPr="007A3793" w:rsidRDefault="008063FC" w:rsidP="00CD1179">
            <w:pPr>
              <w:rPr>
                <w:lang w:val="en-GB"/>
              </w:rPr>
            </w:pPr>
            <w:r w:rsidRPr="007A3793">
              <w:rPr>
                <w:lang w:val="en-GB"/>
              </w:rPr>
              <w:t>Public key infrastructure</w:t>
            </w:r>
          </w:p>
        </w:tc>
      </w:tr>
      <w:tr w:rsidR="006C7B06" w:rsidRPr="007A3793" w14:paraId="71C92924" w14:textId="77777777" w:rsidTr="00325CA1">
        <w:tc>
          <w:tcPr>
            <w:tcW w:w="1402" w:type="dxa"/>
          </w:tcPr>
          <w:p w14:paraId="71C92922" w14:textId="77777777" w:rsidR="006C7B06" w:rsidRPr="007A3793" w:rsidRDefault="006C7B06" w:rsidP="00CD1179">
            <w:pPr>
              <w:rPr>
                <w:lang w:val="en-GB"/>
              </w:rPr>
            </w:pPr>
            <w:r w:rsidRPr="007A3793">
              <w:rPr>
                <w:lang w:val="en-GB"/>
              </w:rPr>
              <w:t>PKIX</w:t>
            </w:r>
          </w:p>
        </w:tc>
        <w:tc>
          <w:tcPr>
            <w:tcW w:w="7354" w:type="dxa"/>
          </w:tcPr>
          <w:p w14:paraId="71C92923" w14:textId="40ECFF0D" w:rsidR="006C7B06" w:rsidRPr="007A3793" w:rsidRDefault="008063FC" w:rsidP="00CD1179">
            <w:pPr>
              <w:rPr>
                <w:lang w:val="en-GB"/>
              </w:rPr>
            </w:pPr>
            <w:r w:rsidRPr="007A3793">
              <w:rPr>
                <w:lang w:val="en-GB"/>
              </w:rPr>
              <w:t>Public key infrastructure (X.509)</w:t>
            </w:r>
          </w:p>
        </w:tc>
      </w:tr>
      <w:tr w:rsidR="006C7B06" w:rsidRPr="007A3793" w14:paraId="71C92927" w14:textId="77777777" w:rsidTr="00325CA1">
        <w:tc>
          <w:tcPr>
            <w:tcW w:w="1402" w:type="dxa"/>
          </w:tcPr>
          <w:p w14:paraId="71C92925" w14:textId="77777777" w:rsidR="006C7B06" w:rsidRPr="007A3793" w:rsidRDefault="006C7B06" w:rsidP="00CD1179">
            <w:pPr>
              <w:rPr>
                <w:lang w:val="en-GB"/>
              </w:rPr>
            </w:pPr>
            <w:proofErr w:type="spellStart"/>
            <w:r w:rsidRPr="007A3793">
              <w:rPr>
                <w:lang w:val="en-GB"/>
              </w:rPr>
              <w:t>PoA</w:t>
            </w:r>
            <w:proofErr w:type="spellEnd"/>
          </w:p>
        </w:tc>
        <w:tc>
          <w:tcPr>
            <w:tcW w:w="7354" w:type="dxa"/>
          </w:tcPr>
          <w:p w14:paraId="71C92926" w14:textId="561EAD9A" w:rsidR="006C7B06" w:rsidRPr="007A3793" w:rsidRDefault="006C7B06" w:rsidP="00CD1179">
            <w:pPr>
              <w:rPr>
                <w:lang w:val="en-GB"/>
              </w:rPr>
            </w:pPr>
            <w:r w:rsidRPr="007A3793">
              <w:rPr>
                <w:lang w:val="en-GB"/>
              </w:rPr>
              <w:t xml:space="preserve">Proof of </w:t>
            </w:r>
            <w:r w:rsidR="008063FC" w:rsidRPr="007A3793">
              <w:rPr>
                <w:lang w:val="en-GB"/>
              </w:rPr>
              <w:t>authority</w:t>
            </w:r>
          </w:p>
        </w:tc>
      </w:tr>
      <w:tr w:rsidR="006C7B06" w:rsidRPr="007A3793" w14:paraId="71C9292A" w14:textId="77777777" w:rsidTr="00325CA1">
        <w:tc>
          <w:tcPr>
            <w:tcW w:w="1402" w:type="dxa"/>
          </w:tcPr>
          <w:p w14:paraId="71C92928" w14:textId="77777777" w:rsidR="006C7B06" w:rsidRPr="007A3793" w:rsidRDefault="006C7B06" w:rsidP="00CD1179">
            <w:pPr>
              <w:rPr>
                <w:lang w:val="en-GB"/>
              </w:rPr>
            </w:pPr>
            <w:r w:rsidRPr="007A3793">
              <w:rPr>
                <w:lang w:val="en-GB"/>
              </w:rPr>
              <w:t>SC</w:t>
            </w:r>
          </w:p>
        </w:tc>
        <w:tc>
          <w:tcPr>
            <w:tcW w:w="7354" w:type="dxa"/>
          </w:tcPr>
          <w:p w14:paraId="71C92929" w14:textId="61E0BA80" w:rsidR="006C7B06" w:rsidRPr="007A3793" w:rsidRDefault="008063FC" w:rsidP="00CD1179">
            <w:pPr>
              <w:rPr>
                <w:lang w:val="en-GB"/>
              </w:rPr>
            </w:pPr>
            <w:r w:rsidRPr="007A3793">
              <w:rPr>
                <w:lang w:val="en-GB"/>
              </w:rPr>
              <w:t>Smart contract</w:t>
            </w:r>
          </w:p>
        </w:tc>
      </w:tr>
      <w:tr w:rsidR="006C7B06" w:rsidRPr="007A3793" w14:paraId="71C9292D" w14:textId="77777777" w:rsidTr="00325CA1">
        <w:tc>
          <w:tcPr>
            <w:tcW w:w="1402" w:type="dxa"/>
          </w:tcPr>
          <w:p w14:paraId="71C9292B" w14:textId="77777777" w:rsidR="006C7B06" w:rsidRPr="007A3793" w:rsidRDefault="006C7B06" w:rsidP="00CD1179">
            <w:pPr>
              <w:rPr>
                <w:lang w:val="en-GB"/>
              </w:rPr>
            </w:pPr>
            <w:r w:rsidRPr="007A3793">
              <w:rPr>
                <w:lang w:val="en-GB"/>
              </w:rPr>
              <w:t>SDG</w:t>
            </w:r>
          </w:p>
        </w:tc>
        <w:tc>
          <w:tcPr>
            <w:tcW w:w="7354" w:type="dxa"/>
          </w:tcPr>
          <w:p w14:paraId="71C9292C" w14:textId="77777777" w:rsidR="006C7B06" w:rsidRPr="007A3793" w:rsidRDefault="006C7B06" w:rsidP="00CD1179">
            <w:pPr>
              <w:rPr>
                <w:lang w:val="en-GB"/>
              </w:rPr>
            </w:pPr>
            <w:r w:rsidRPr="007A3793">
              <w:rPr>
                <w:lang w:val="en-GB"/>
              </w:rPr>
              <w:t xml:space="preserve">Sustainable Development Goal </w:t>
            </w:r>
          </w:p>
        </w:tc>
      </w:tr>
      <w:tr w:rsidR="006C7B06" w:rsidRPr="007A3793" w14:paraId="71C92930" w14:textId="77777777" w:rsidTr="00325CA1">
        <w:tc>
          <w:tcPr>
            <w:tcW w:w="1402" w:type="dxa"/>
          </w:tcPr>
          <w:p w14:paraId="71C9292E" w14:textId="77777777" w:rsidR="006C7B06" w:rsidRPr="007A3793" w:rsidRDefault="006C7B06" w:rsidP="00CD1179">
            <w:pPr>
              <w:rPr>
                <w:lang w:val="en-GB"/>
              </w:rPr>
            </w:pPr>
            <w:r w:rsidRPr="007A3793">
              <w:rPr>
                <w:lang w:val="en-GB"/>
              </w:rPr>
              <w:t>SEC</w:t>
            </w:r>
          </w:p>
        </w:tc>
        <w:tc>
          <w:tcPr>
            <w:tcW w:w="7354" w:type="dxa"/>
          </w:tcPr>
          <w:p w14:paraId="71C9292F" w14:textId="77777777" w:rsidR="006C7B06" w:rsidRPr="007A3793" w:rsidRDefault="006C7B06" w:rsidP="00CD1179">
            <w:pPr>
              <w:rPr>
                <w:lang w:val="en-GB"/>
              </w:rPr>
            </w:pPr>
            <w:r w:rsidRPr="007A3793">
              <w:rPr>
                <w:lang w:val="en-GB"/>
              </w:rPr>
              <w:t>Securities Exchange Commission</w:t>
            </w:r>
          </w:p>
        </w:tc>
      </w:tr>
      <w:tr w:rsidR="006C7B06" w:rsidRPr="007A3793" w14:paraId="71C92933" w14:textId="77777777" w:rsidTr="00325CA1">
        <w:tc>
          <w:tcPr>
            <w:tcW w:w="1402" w:type="dxa"/>
          </w:tcPr>
          <w:p w14:paraId="71C92931" w14:textId="77777777" w:rsidR="006C7B06" w:rsidRPr="007A3793" w:rsidRDefault="006C7B06" w:rsidP="00CD1179">
            <w:pPr>
              <w:rPr>
                <w:lang w:val="en-GB"/>
              </w:rPr>
            </w:pPr>
            <w:r w:rsidRPr="007A3793">
              <w:rPr>
                <w:lang w:val="en-GB"/>
              </w:rPr>
              <w:t>SSI</w:t>
            </w:r>
          </w:p>
        </w:tc>
        <w:tc>
          <w:tcPr>
            <w:tcW w:w="7354" w:type="dxa"/>
          </w:tcPr>
          <w:p w14:paraId="71C92932" w14:textId="2D4293E0" w:rsidR="006C7B06" w:rsidRPr="007A3793" w:rsidRDefault="008063FC" w:rsidP="00CD1179">
            <w:pPr>
              <w:rPr>
                <w:lang w:val="en-GB"/>
              </w:rPr>
            </w:pPr>
            <w:r w:rsidRPr="007A3793">
              <w:rPr>
                <w:lang w:val="en-GB"/>
              </w:rPr>
              <w:t>Self-sovereign id</w:t>
            </w:r>
            <w:bookmarkStart w:id="18" w:name="_GoBack"/>
            <w:bookmarkEnd w:id="18"/>
            <w:r w:rsidRPr="007A3793">
              <w:rPr>
                <w:lang w:val="en-GB"/>
              </w:rPr>
              <w:t xml:space="preserve">entity </w:t>
            </w:r>
          </w:p>
        </w:tc>
      </w:tr>
      <w:tr w:rsidR="006C7B06" w:rsidRPr="007A3793" w14:paraId="71C92936" w14:textId="77777777" w:rsidTr="00325CA1">
        <w:tc>
          <w:tcPr>
            <w:tcW w:w="1402" w:type="dxa"/>
          </w:tcPr>
          <w:p w14:paraId="71C92934" w14:textId="77777777" w:rsidR="006C7B06" w:rsidRPr="007A3793" w:rsidRDefault="006C7B06" w:rsidP="00CD1179">
            <w:pPr>
              <w:rPr>
                <w:lang w:val="en-GB"/>
              </w:rPr>
            </w:pPr>
            <w:r w:rsidRPr="007A3793">
              <w:rPr>
                <w:lang w:val="en-GB"/>
              </w:rPr>
              <w:t>STO</w:t>
            </w:r>
          </w:p>
        </w:tc>
        <w:tc>
          <w:tcPr>
            <w:tcW w:w="7354" w:type="dxa"/>
          </w:tcPr>
          <w:p w14:paraId="71C92935" w14:textId="3BAEB902" w:rsidR="006C7B06" w:rsidRPr="007A3793" w:rsidRDefault="008063FC" w:rsidP="00CD1179">
            <w:pPr>
              <w:rPr>
                <w:lang w:val="en-GB"/>
              </w:rPr>
            </w:pPr>
            <w:r w:rsidRPr="007A3793">
              <w:rPr>
                <w:lang w:val="en-GB"/>
              </w:rPr>
              <w:t>Security token offering</w:t>
            </w:r>
          </w:p>
        </w:tc>
      </w:tr>
      <w:tr w:rsidR="006C7B06" w:rsidRPr="007A3793" w14:paraId="71C92939" w14:textId="77777777" w:rsidTr="00325CA1">
        <w:tc>
          <w:tcPr>
            <w:tcW w:w="1402" w:type="dxa"/>
          </w:tcPr>
          <w:p w14:paraId="71C92937" w14:textId="77777777" w:rsidR="006C7B06" w:rsidRPr="007A3793" w:rsidRDefault="006C7B06" w:rsidP="00CD1179">
            <w:pPr>
              <w:rPr>
                <w:lang w:val="en-GB"/>
              </w:rPr>
            </w:pPr>
            <w:r w:rsidRPr="007A3793">
              <w:rPr>
                <w:lang w:val="en-GB"/>
              </w:rPr>
              <w:t>TCP/IP</w:t>
            </w:r>
          </w:p>
        </w:tc>
        <w:tc>
          <w:tcPr>
            <w:tcW w:w="7354" w:type="dxa"/>
          </w:tcPr>
          <w:p w14:paraId="71C92938" w14:textId="412CBF8F" w:rsidR="006C7B06" w:rsidRPr="007A3793" w:rsidRDefault="006C7B06" w:rsidP="00CD1179">
            <w:pPr>
              <w:rPr>
                <w:lang w:val="en-GB"/>
              </w:rPr>
            </w:pPr>
            <w:r w:rsidRPr="007A3793">
              <w:rPr>
                <w:lang w:val="en-GB"/>
              </w:rPr>
              <w:t>Transm</w:t>
            </w:r>
            <w:r w:rsidR="008063FC" w:rsidRPr="007A3793">
              <w:rPr>
                <w:lang w:val="en-GB"/>
              </w:rPr>
              <w:t>ission control protocol/internet protocol</w:t>
            </w:r>
          </w:p>
        </w:tc>
      </w:tr>
      <w:tr w:rsidR="006C7B06" w:rsidRPr="007A3793" w14:paraId="71C9293C" w14:textId="77777777" w:rsidTr="00325CA1">
        <w:tc>
          <w:tcPr>
            <w:tcW w:w="1402" w:type="dxa"/>
          </w:tcPr>
          <w:p w14:paraId="71C9293A" w14:textId="77777777" w:rsidR="006C7B06" w:rsidRPr="007A3793" w:rsidRDefault="006C7B06" w:rsidP="00CD1179">
            <w:pPr>
              <w:rPr>
                <w:lang w:val="en-GB"/>
              </w:rPr>
            </w:pPr>
            <w:r w:rsidRPr="007A3793">
              <w:rPr>
                <w:lang w:val="en-GB"/>
              </w:rPr>
              <w:t>TGE</w:t>
            </w:r>
          </w:p>
        </w:tc>
        <w:tc>
          <w:tcPr>
            <w:tcW w:w="7354" w:type="dxa"/>
          </w:tcPr>
          <w:p w14:paraId="71C9293B" w14:textId="43AF94A8" w:rsidR="006C7B06" w:rsidRPr="007A3793" w:rsidRDefault="008063FC" w:rsidP="00CD1179">
            <w:pPr>
              <w:rPr>
                <w:lang w:val="en-GB"/>
              </w:rPr>
            </w:pPr>
            <w:r w:rsidRPr="007A3793">
              <w:rPr>
                <w:lang w:val="en-GB"/>
              </w:rPr>
              <w:t>Token generation event</w:t>
            </w:r>
          </w:p>
        </w:tc>
      </w:tr>
      <w:tr w:rsidR="006C7B06" w:rsidRPr="007A3793" w14:paraId="71C9293F" w14:textId="77777777" w:rsidTr="00325CA1">
        <w:tc>
          <w:tcPr>
            <w:tcW w:w="1402" w:type="dxa"/>
          </w:tcPr>
          <w:p w14:paraId="71C9293D" w14:textId="77777777" w:rsidR="006C7B06" w:rsidRPr="007A3793" w:rsidRDefault="006C7B06" w:rsidP="00CD1179">
            <w:pPr>
              <w:rPr>
                <w:lang w:val="en-GB"/>
              </w:rPr>
            </w:pPr>
            <w:r w:rsidRPr="007A3793">
              <w:rPr>
                <w:lang w:val="en-GB"/>
              </w:rPr>
              <w:t>TLS</w:t>
            </w:r>
          </w:p>
        </w:tc>
        <w:tc>
          <w:tcPr>
            <w:tcW w:w="7354" w:type="dxa"/>
          </w:tcPr>
          <w:p w14:paraId="71C9293E" w14:textId="4FF00870" w:rsidR="006C7B06" w:rsidRPr="007A3793" w:rsidRDefault="008063FC" w:rsidP="00CD1179">
            <w:pPr>
              <w:rPr>
                <w:lang w:val="en-GB"/>
              </w:rPr>
            </w:pPr>
            <w:r w:rsidRPr="007A3793">
              <w:rPr>
                <w:lang w:val="en-GB"/>
              </w:rPr>
              <w:t>Transport layer security</w:t>
            </w:r>
          </w:p>
        </w:tc>
      </w:tr>
      <w:tr w:rsidR="006C7B06" w:rsidRPr="007A3793" w14:paraId="71C92942" w14:textId="77777777" w:rsidTr="00325CA1">
        <w:tc>
          <w:tcPr>
            <w:tcW w:w="1402" w:type="dxa"/>
          </w:tcPr>
          <w:p w14:paraId="71C92940" w14:textId="77777777" w:rsidR="006C7B06" w:rsidRPr="007A3793" w:rsidRDefault="006C7B06" w:rsidP="00CD1179">
            <w:pPr>
              <w:rPr>
                <w:lang w:val="en-GB"/>
              </w:rPr>
            </w:pPr>
            <w:r w:rsidRPr="007A3793">
              <w:rPr>
                <w:lang w:val="en-GB"/>
              </w:rPr>
              <w:t>TTP</w:t>
            </w:r>
          </w:p>
        </w:tc>
        <w:tc>
          <w:tcPr>
            <w:tcW w:w="7354" w:type="dxa"/>
          </w:tcPr>
          <w:p w14:paraId="71C92941" w14:textId="4F404CD5" w:rsidR="006C7B06" w:rsidRPr="007A3793" w:rsidRDefault="008063FC" w:rsidP="00CD1179">
            <w:pPr>
              <w:rPr>
                <w:lang w:val="en-GB"/>
              </w:rPr>
            </w:pPr>
            <w:r w:rsidRPr="007A3793">
              <w:rPr>
                <w:lang w:val="en-GB"/>
              </w:rPr>
              <w:t>Trusted third party</w:t>
            </w:r>
          </w:p>
        </w:tc>
      </w:tr>
      <w:tr w:rsidR="006C7B06" w:rsidRPr="007A3793" w14:paraId="71C92945" w14:textId="77777777" w:rsidTr="008063FC">
        <w:trPr>
          <w:trHeight w:val="80"/>
        </w:trPr>
        <w:tc>
          <w:tcPr>
            <w:tcW w:w="1402" w:type="dxa"/>
          </w:tcPr>
          <w:p w14:paraId="71C92943" w14:textId="77777777" w:rsidR="006C7B06" w:rsidRPr="007A3793" w:rsidRDefault="006C7B06" w:rsidP="00CD1179">
            <w:pPr>
              <w:rPr>
                <w:lang w:val="en-GB"/>
              </w:rPr>
            </w:pPr>
            <w:r w:rsidRPr="007A3793">
              <w:rPr>
                <w:lang w:val="en-GB"/>
              </w:rPr>
              <w:t>ZKP</w:t>
            </w:r>
          </w:p>
        </w:tc>
        <w:tc>
          <w:tcPr>
            <w:tcW w:w="7354" w:type="dxa"/>
          </w:tcPr>
          <w:p w14:paraId="71C92944" w14:textId="04487D5E" w:rsidR="006C7B06" w:rsidRPr="007A3793" w:rsidRDefault="008063FC" w:rsidP="00CD1179">
            <w:pPr>
              <w:rPr>
                <w:lang w:val="en-GB"/>
              </w:rPr>
            </w:pPr>
            <w:r w:rsidRPr="007A3793">
              <w:rPr>
                <w:lang w:val="en-GB"/>
              </w:rPr>
              <w:t>Zero-knowledge proof</w:t>
            </w:r>
          </w:p>
        </w:tc>
      </w:tr>
    </w:tbl>
    <w:p w14:paraId="3469AD6C" w14:textId="77777777" w:rsidR="00C04FE7" w:rsidRDefault="00C04FE7" w:rsidP="00C04FE7">
      <w:pPr>
        <w:rPr>
          <w:lang w:bidi="en-GB"/>
        </w:rPr>
      </w:pPr>
      <w:bookmarkStart w:id="19" w:name="_Toc16243200"/>
      <w:bookmarkStart w:id="20" w:name="_Toc16243486"/>
      <w:bookmarkStart w:id="21" w:name="_Toc16243487"/>
      <w:bookmarkStart w:id="22" w:name="_Toc23447186"/>
      <w:bookmarkEnd w:id="19"/>
      <w:bookmarkEnd w:id="20"/>
    </w:p>
    <w:p w14:paraId="71C92948" w14:textId="0D453E0A" w:rsidR="006C7B06" w:rsidRPr="007A3793" w:rsidRDefault="006C7B06" w:rsidP="007A3793">
      <w:pPr>
        <w:pStyle w:val="Heading1"/>
        <w:ind w:left="567" w:hanging="567"/>
        <w:rPr>
          <w:lang w:bidi="en-GB"/>
        </w:rPr>
      </w:pPr>
      <w:bookmarkStart w:id="23" w:name="_Toc23767526"/>
      <w:r w:rsidRPr="007A3793">
        <w:rPr>
          <w:lang w:bidi="en-GB"/>
        </w:rPr>
        <w:t>Introduction</w:t>
      </w:r>
      <w:bookmarkEnd w:id="4"/>
      <w:bookmarkEnd w:id="21"/>
      <w:bookmarkEnd w:id="22"/>
      <w:bookmarkEnd w:id="23"/>
    </w:p>
    <w:p w14:paraId="71C92949" w14:textId="15C4DD7F" w:rsidR="006C7B06" w:rsidRPr="007A3793" w:rsidRDefault="006C7B06" w:rsidP="00CD1179">
      <w:pPr>
        <w:rPr>
          <w:lang w:val="en-GB" w:eastAsia="ko-KR"/>
        </w:rPr>
      </w:pPr>
      <w:r w:rsidRPr="007A3793">
        <w:rPr>
          <w:lang w:val="en-GB" w:eastAsia="ko-KR"/>
        </w:rPr>
        <w:t xml:space="preserve">This </w:t>
      </w:r>
      <w:r w:rsidR="00D24F44" w:rsidRPr="007A3793">
        <w:rPr>
          <w:lang w:val="en-GB" w:eastAsia="ko-KR"/>
        </w:rPr>
        <w:t xml:space="preserve">document </w:t>
      </w:r>
      <w:r w:rsidRPr="007A3793">
        <w:rPr>
          <w:lang w:val="en-GB" w:eastAsia="ko-KR"/>
        </w:rPr>
        <w:t>considers key properties of DLT that are common amongst the diverse approaches to DLT. It aims to bring into focus the topics concerning DLT regulation. By supplying practical recommendations to users, regulators and technologists, this document seeks to aid in the mitigation of potential risks associated with DLT.</w:t>
      </w:r>
    </w:p>
    <w:p w14:paraId="71C9294A" w14:textId="0A72DB6E" w:rsidR="003604AA" w:rsidRPr="007A3793" w:rsidRDefault="003604AA" w:rsidP="00CD1179">
      <w:pPr>
        <w:rPr>
          <w:lang w:val="en-GB" w:eastAsia="ko-KR"/>
        </w:rPr>
      </w:pPr>
      <w:r w:rsidRPr="007A3793">
        <w:rPr>
          <w:lang w:val="en-GB" w:eastAsia="ko-KR"/>
        </w:rPr>
        <w:t xml:space="preserve">Clause </w:t>
      </w:r>
      <w:r w:rsidR="008063FC">
        <w:rPr>
          <w:lang w:val="en-GB" w:eastAsia="ko-KR"/>
        </w:rPr>
        <w:fldChar w:fldCharType="begin"/>
      </w:r>
      <w:r w:rsidR="008063FC">
        <w:rPr>
          <w:lang w:val="en-GB" w:eastAsia="ko-KR"/>
        </w:rPr>
        <w:instrText xml:space="preserve"> REF _Ref23760239 \r \h </w:instrText>
      </w:r>
      <w:r w:rsidR="008063FC">
        <w:rPr>
          <w:lang w:val="en-GB" w:eastAsia="ko-KR"/>
        </w:rPr>
      </w:r>
      <w:r w:rsidR="008063FC">
        <w:rPr>
          <w:lang w:val="en-GB" w:eastAsia="ko-KR"/>
        </w:rPr>
        <w:fldChar w:fldCharType="separate"/>
      </w:r>
      <w:r w:rsidR="007146F8">
        <w:rPr>
          <w:lang w:val="en-GB" w:eastAsia="ko-KR"/>
        </w:rPr>
        <w:t>6</w:t>
      </w:r>
      <w:r w:rsidR="008063FC">
        <w:rPr>
          <w:lang w:val="en-GB" w:eastAsia="ko-KR"/>
        </w:rPr>
        <w:fldChar w:fldCharType="end"/>
      </w:r>
      <w:r w:rsidRPr="007A3793">
        <w:rPr>
          <w:lang w:val="en-GB" w:eastAsia="ko-KR"/>
        </w:rPr>
        <w:t xml:space="preserve"> outlines DLT features and regulatory challenges. Each su</w:t>
      </w:r>
      <w:r w:rsidR="00CD1179">
        <w:rPr>
          <w:lang w:val="en-GB" w:eastAsia="ko-KR"/>
        </w:rPr>
        <w:t>b</w:t>
      </w:r>
      <w:r w:rsidR="00CD1179">
        <w:rPr>
          <w:lang w:val="en-GB" w:eastAsia="ko-KR"/>
        </w:rPr>
        <w:noBreakHyphen/>
      </w:r>
      <w:r w:rsidRPr="007A3793">
        <w:rPr>
          <w:lang w:val="en-GB" w:eastAsia="ko-KR"/>
        </w:rPr>
        <w:t>clause corresponds to an essential feature of DLT, describes specific problems and risks as well as recommendations on how stakeholders might address them</w:t>
      </w:r>
    </w:p>
    <w:p w14:paraId="71C9294B" w14:textId="77777777" w:rsidR="006C7B06" w:rsidRPr="007A3793" w:rsidRDefault="006C7B06" w:rsidP="00CD1179">
      <w:pPr>
        <w:rPr>
          <w:lang w:val="en-GB"/>
        </w:rPr>
      </w:pPr>
      <w:r w:rsidRPr="007A3793">
        <w:rPr>
          <w:lang w:val="en-GB"/>
        </w:rPr>
        <w:t>This document contains the DLT Regulatory Framework,</w:t>
      </w:r>
      <w:r w:rsidRPr="007A3793">
        <w:rPr>
          <w:rFonts w:eastAsia="Malgun Gothic"/>
          <w:lang w:val="en-GB" w:eastAsia="ko-KR"/>
        </w:rPr>
        <w:t xml:space="preserve"> the key properties of DLT and regulatory challenges (see </w:t>
      </w:r>
      <w:r w:rsidR="005A6F89" w:rsidRPr="007A3793">
        <w:rPr>
          <w:rFonts w:eastAsia="Malgun Gothic"/>
          <w:lang w:val="en-GB" w:eastAsia="ko-KR"/>
        </w:rPr>
        <w:t>T</w:t>
      </w:r>
      <w:r w:rsidRPr="007A3793">
        <w:rPr>
          <w:rFonts w:eastAsia="Malgun Gothic"/>
          <w:lang w:val="en-GB" w:eastAsia="ko-KR"/>
        </w:rPr>
        <w:t>able 1) and</w:t>
      </w:r>
      <w:r w:rsidRPr="007A3793">
        <w:rPr>
          <w:lang w:val="en-GB"/>
        </w:rPr>
        <w:t xml:space="preserve"> r</w:t>
      </w:r>
      <w:r w:rsidRPr="007A3793">
        <w:rPr>
          <w:rFonts w:eastAsia="SimSun"/>
          <w:lang w:val="en-GB"/>
        </w:rPr>
        <w:t>ecommendations</w:t>
      </w:r>
      <w:r w:rsidRPr="007A3793">
        <w:rPr>
          <w:lang w:val="en-GB"/>
        </w:rPr>
        <w:t xml:space="preserve"> for users and regulators.</w:t>
      </w:r>
    </w:p>
    <w:p w14:paraId="716BA6ED" w14:textId="7ACFE575" w:rsidR="007A3793" w:rsidRPr="007A3793" w:rsidRDefault="008063FC" w:rsidP="00CD1179">
      <w:pPr>
        <w:rPr>
          <w:lang w:val="en-GB" w:eastAsia="ko-KR"/>
        </w:rPr>
      </w:pPr>
      <w:r>
        <w:rPr>
          <w:lang w:val="en-GB" w:eastAsia="ko-KR"/>
        </w:rPr>
        <w:t xml:space="preserve">This document is </w:t>
      </w:r>
      <w:r w:rsidR="006C7B06" w:rsidRPr="007A3793">
        <w:rPr>
          <w:lang w:val="en-GB" w:eastAsia="ko-KR"/>
        </w:rPr>
        <w:t>mean</w:t>
      </w:r>
      <w:r>
        <w:rPr>
          <w:lang w:val="en-GB" w:eastAsia="ko-KR"/>
        </w:rPr>
        <w:t>t</w:t>
      </w:r>
      <w:r w:rsidR="006C7B06" w:rsidRPr="007A3793">
        <w:rPr>
          <w:lang w:val="en-GB" w:eastAsia="ko-KR"/>
        </w:rPr>
        <w:t xml:space="preserve"> to indicate governance (strategic guidance) and regulatory (legal and compliance) issues that could arise in early adopted use-case implementations of DLT. The technical properties of digital entities/objects are crucial for enforcement of the rule of law (governance, liability, intent, attestation of accuracy and chain-of-custody).</w:t>
      </w:r>
    </w:p>
    <w:p w14:paraId="71C9294D" w14:textId="296DB954" w:rsidR="006C7B06" w:rsidRPr="007A3793" w:rsidRDefault="006C7B06" w:rsidP="007A3793">
      <w:pPr>
        <w:pStyle w:val="Heading1"/>
        <w:ind w:left="567" w:hanging="567"/>
        <w:rPr>
          <w:lang w:bidi="en-GB"/>
        </w:rPr>
      </w:pPr>
      <w:bookmarkStart w:id="24" w:name="_Toc14188459"/>
      <w:bookmarkStart w:id="25" w:name="_Toc16243488"/>
      <w:bookmarkStart w:id="26" w:name="_Toc23447187"/>
      <w:bookmarkStart w:id="27" w:name="_Ref23760239"/>
      <w:bookmarkStart w:id="28" w:name="_Toc23767527"/>
      <w:r w:rsidRPr="007A3793">
        <w:rPr>
          <w:lang w:bidi="en-GB"/>
        </w:rPr>
        <w:lastRenderedPageBreak/>
        <w:t>DLT regulatory issues</w:t>
      </w:r>
      <w:bookmarkEnd w:id="24"/>
      <w:bookmarkEnd w:id="25"/>
      <w:bookmarkEnd w:id="26"/>
      <w:bookmarkEnd w:id="27"/>
      <w:bookmarkEnd w:id="28"/>
    </w:p>
    <w:p w14:paraId="71C9294E" w14:textId="54C8CC68" w:rsidR="006C7B06" w:rsidRPr="007A3793" w:rsidRDefault="006C7B06" w:rsidP="00C04FE7">
      <w:pPr>
        <w:keepNext/>
        <w:rPr>
          <w:lang w:val="en-GB" w:eastAsia="ko-KR"/>
        </w:rPr>
      </w:pPr>
      <w:r w:rsidRPr="007A3793">
        <w:rPr>
          <w:lang w:val="en-GB" w:eastAsia="ko-KR"/>
        </w:rPr>
        <w:t>In scope, are the concerns from the analysis of the properties of DLT</w:t>
      </w:r>
      <w:r w:rsidR="00CD1179">
        <w:rPr>
          <w:lang w:val="en-GB" w:eastAsia="ko-KR"/>
        </w:rPr>
        <w:t xml:space="preserve"> indicated in Table 1.</w:t>
      </w:r>
    </w:p>
    <w:p w14:paraId="71C9294F" w14:textId="77777777" w:rsidR="006C7B06" w:rsidRPr="00CD1179" w:rsidRDefault="006C7B06" w:rsidP="00CD1179">
      <w:pPr>
        <w:pStyle w:val="TableNotitle"/>
      </w:pPr>
      <w:bookmarkStart w:id="29" w:name="_Toc23767551"/>
      <w:r w:rsidRPr="00CD1179">
        <w:rPr>
          <w:rFonts w:eastAsia="SimSun"/>
        </w:rPr>
        <w:t>T</w:t>
      </w:r>
      <w:r w:rsidR="000D025C" w:rsidRPr="00CD1179">
        <w:rPr>
          <w:rFonts w:eastAsia="Malgun Gothic"/>
        </w:rPr>
        <w:t>able 1 –</w:t>
      </w:r>
      <w:r w:rsidRPr="00CD1179">
        <w:rPr>
          <w:rFonts w:eastAsia="SimSun"/>
        </w:rPr>
        <w:t xml:space="preserve"> </w:t>
      </w:r>
      <w:r w:rsidR="005E5D38" w:rsidRPr="00CD1179">
        <w:t>DLT features and regulatory</w:t>
      </w:r>
      <w:r w:rsidRPr="00CD1179">
        <w:t xml:space="preserve"> challenges</w:t>
      </w:r>
      <w:bookmarkEnd w:id="29"/>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789"/>
      </w:tblGrid>
      <w:tr w:rsidR="006C7B06" w:rsidRPr="007A3793" w14:paraId="71C92952" w14:textId="77777777" w:rsidTr="00CE6983">
        <w:trPr>
          <w:jc w:val="center"/>
        </w:trPr>
        <w:tc>
          <w:tcPr>
            <w:tcW w:w="1980" w:type="dxa"/>
          </w:tcPr>
          <w:p w14:paraId="71C92950" w14:textId="77777777" w:rsidR="006C7B06" w:rsidRPr="00CD1179" w:rsidRDefault="006C7B06" w:rsidP="00CD1179">
            <w:pPr>
              <w:pStyle w:val="Tablehead"/>
            </w:pPr>
            <w:r w:rsidRPr="00CD1179">
              <w:t>Feature</w:t>
            </w:r>
          </w:p>
        </w:tc>
        <w:tc>
          <w:tcPr>
            <w:tcW w:w="7789" w:type="dxa"/>
          </w:tcPr>
          <w:p w14:paraId="71C92951" w14:textId="77777777" w:rsidR="006C7B06" w:rsidRPr="00CD1179" w:rsidRDefault="006C7B06" w:rsidP="00CD1179">
            <w:pPr>
              <w:pStyle w:val="Tablehead"/>
            </w:pPr>
            <w:r w:rsidRPr="00CD1179">
              <w:t>Examples of regulatory challenges</w:t>
            </w:r>
          </w:p>
        </w:tc>
      </w:tr>
      <w:tr w:rsidR="006C7B06" w:rsidRPr="007A3793" w14:paraId="71C9295A" w14:textId="77777777" w:rsidTr="00CE6983">
        <w:trPr>
          <w:jc w:val="center"/>
        </w:trPr>
        <w:tc>
          <w:tcPr>
            <w:tcW w:w="1980" w:type="dxa"/>
          </w:tcPr>
          <w:p w14:paraId="71C92954" w14:textId="269C77F3" w:rsidR="006C7B06" w:rsidRPr="00CD1179" w:rsidRDefault="006C7B06" w:rsidP="00C04FE7">
            <w:pPr>
              <w:pStyle w:val="Tabletext"/>
              <w:keepNext/>
              <w:rPr>
                <w:sz w:val="24"/>
              </w:rPr>
            </w:pPr>
            <w:r w:rsidRPr="00CD1179">
              <w:rPr>
                <w:b/>
                <w:bCs/>
              </w:rPr>
              <w:t>Distribution, shared ledger</w:t>
            </w:r>
            <w:r w:rsidRPr="00CD1179">
              <w:t xml:space="preserve"> (no central repository) [</w:t>
            </w:r>
            <w:hyperlink w:anchor="yaga" w:history="1">
              <w:r w:rsidR="00CD1179" w:rsidRPr="00CD1179">
                <w:rPr>
                  <w:rStyle w:val="Hyperlink"/>
                </w:rPr>
                <w:t>b</w:t>
              </w:r>
              <w:r w:rsidR="00CD1179" w:rsidRPr="00CD1179">
                <w:rPr>
                  <w:rStyle w:val="Hyperlink"/>
                </w:rPr>
                <w:noBreakHyphen/>
              </w:r>
              <w:proofErr w:type="spellStart"/>
              <w:r w:rsidRPr="00CD1179">
                <w:rPr>
                  <w:rStyle w:val="Hyperlink"/>
                </w:rPr>
                <w:t>Yaga</w:t>
              </w:r>
              <w:proofErr w:type="spellEnd"/>
            </w:hyperlink>
            <w:r w:rsidRPr="00CD1179">
              <w:t>]</w:t>
            </w:r>
          </w:p>
        </w:tc>
        <w:tc>
          <w:tcPr>
            <w:tcW w:w="7789" w:type="dxa"/>
          </w:tcPr>
          <w:p w14:paraId="71C92955" w14:textId="77777777" w:rsidR="006C7B06" w:rsidRPr="00CD1179" w:rsidRDefault="006C7B06" w:rsidP="00C04FE7">
            <w:pPr>
              <w:pStyle w:val="Tabletext"/>
              <w:keepNext/>
            </w:pPr>
            <w:r w:rsidRPr="00CD1179">
              <w:t>1) Applicable law with respect to nodes established in different states;</w:t>
            </w:r>
          </w:p>
          <w:p w14:paraId="71C92956" w14:textId="77777777" w:rsidR="006C7B06" w:rsidRPr="00CD1179" w:rsidRDefault="006C7B06" w:rsidP="00C04FE7">
            <w:pPr>
              <w:pStyle w:val="Tabletext"/>
              <w:keepNext/>
            </w:pPr>
            <w:r w:rsidRPr="00CD1179">
              <w:t>2) Legal subjects in multiple jurisdictions;</w:t>
            </w:r>
          </w:p>
          <w:p w14:paraId="71C92957" w14:textId="77777777" w:rsidR="006C7B06" w:rsidRPr="00CD1179" w:rsidRDefault="006C7B06" w:rsidP="00C04FE7">
            <w:pPr>
              <w:pStyle w:val="Tabletext"/>
              <w:keepNext/>
            </w:pPr>
            <w:r w:rsidRPr="00CD1179">
              <w:t>3) Distributed storage solutions to meet the requirements of production environments;</w:t>
            </w:r>
          </w:p>
          <w:p w14:paraId="71C92958" w14:textId="77777777" w:rsidR="006C7B06" w:rsidRPr="00CD1179" w:rsidRDefault="006C7B06" w:rsidP="00C04FE7">
            <w:pPr>
              <w:pStyle w:val="Tabletext"/>
              <w:keepNext/>
            </w:pPr>
            <w:r w:rsidRPr="00CD1179">
              <w:t>4) Interoperability requirements;</w:t>
            </w:r>
          </w:p>
          <w:p w14:paraId="71C92959" w14:textId="77777777" w:rsidR="006C7B06" w:rsidRPr="00CD1179" w:rsidRDefault="006C7B06" w:rsidP="00C04FE7">
            <w:pPr>
              <w:pStyle w:val="Tabletext"/>
              <w:keepNext/>
            </w:pPr>
            <w:r w:rsidRPr="00CD1179">
              <w:t>5) New civil or commercial-law forms, organizations and contracting;</w:t>
            </w:r>
            <w:r w:rsidRPr="00CD1179">
              <w:br/>
              <w:t>6) Protection of secrecy in open environments.</w:t>
            </w:r>
          </w:p>
        </w:tc>
      </w:tr>
      <w:tr w:rsidR="006C7B06" w:rsidRPr="007A3793" w14:paraId="71C9295D" w14:textId="77777777" w:rsidTr="00CE6983">
        <w:trPr>
          <w:trHeight w:val="294"/>
          <w:jc w:val="center"/>
        </w:trPr>
        <w:tc>
          <w:tcPr>
            <w:tcW w:w="1980" w:type="dxa"/>
          </w:tcPr>
          <w:p w14:paraId="71C9295B" w14:textId="77777777" w:rsidR="006C7B06" w:rsidRPr="00CD1179" w:rsidRDefault="006C7B06" w:rsidP="00CD1179">
            <w:pPr>
              <w:pStyle w:val="Tabletext"/>
              <w:rPr>
                <w:b/>
                <w:bCs/>
              </w:rPr>
            </w:pPr>
            <w:r w:rsidRPr="00CD1179">
              <w:rPr>
                <w:b/>
                <w:bCs/>
              </w:rPr>
              <w:t xml:space="preserve">Autonomy and responsibility </w:t>
            </w:r>
          </w:p>
        </w:tc>
        <w:tc>
          <w:tcPr>
            <w:tcW w:w="7789" w:type="dxa"/>
          </w:tcPr>
          <w:p w14:paraId="71C9295C" w14:textId="77777777" w:rsidR="006C7B06" w:rsidRPr="00CD1179" w:rsidRDefault="006C7B06" w:rsidP="00CD1179">
            <w:pPr>
              <w:pStyle w:val="Tabletext"/>
            </w:pPr>
            <w:r w:rsidRPr="00CD1179">
              <w:t>1) Legal smart contract definition and enforceability (valid source code execution);</w:t>
            </w:r>
            <w:r w:rsidRPr="00CD1179">
              <w:br/>
              <w:t>2) Boundaries of anonymity;</w:t>
            </w:r>
            <w:r w:rsidRPr="00CD1179">
              <w:br/>
              <w:t>3) Applicable law;</w:t>
            </w:r>
            <w:r w:rsidRPr="00CD1179">
              <w:br/>
              <w:t>4) Liability of smart contract managers (SC layer governance);</w:t>
            </w:r>
            <w:r w:rsidRPr="00CD1179">
              <w:br/>
              <w:t>5) Intellectual property of code.</w:t>
            </w:r>
          </w:p>
        </w:tc>
      </w:tr>
      <w:tr w:rsidR="00225236" w:rsidRPr="007A3793" w14:paraId="71C92963" w14:textId="77777777" w:rsidTr="007A3793">
        <w:trPr>
          <w:trHeight w:val="887"/>
          <w:jc w:val="center"/>
        </w:trPr>
        <w:tc>
          <w:tcPr>
            <w:tcW w:w="1980" w:type="dxa"/>
          </w:tcPr>
          <w:p w14:paraId="71C9295E" w14:textId="77777777" w:rsidR="00225236" w:rsidRPr="00CD1179" w:rsidRDefault="00225236" w:rsidP="00CD1179">
            <w:pPr>
              <w:pStyle w:val="Tabletext"/>
              <w:rPr>
                <w:b/>
                <w:bCs/>
              </w:rPr>
            </w:pPr>
            <w:r w:rsidRPr="00CD1179">
              <w:rPr>
                <w:b/>
                <w:bCs/>
              </w:rPr>
              <w:t>Tamper evidence and resistance</w:t>
            </w:r>
          </w:p>
        </w:tc>
        <w:tc>
          <w:tcPr>
            <w:tcW w:w="7789" w:type="dxa"/>
          </w:tcPr>
          <w:p w14:paraId="71C9295F" w14:textId="77777777" w:rsidR="00225236" w:rsidRPr="00CD1179" w:rsidRDefault="00225236" w:rsidP="00CD1179">
            <w:pPr>
              <w:pStyle w:val="Tabletext"/>
            </w:pPr>
            <w:r w:rsidRPr="00CD1179">
              <w:t>Regulation that requires the correction or removal of data in the ledger, for example:</w:t>
            </w:r>
          </w:p>
          <w:p w14:paraId="71C92960" w14:textId="77777777" w:rsidR="00225236" w:rsidRPr="00CD1179" w:rsidRDefault="00225236" w:rsidP="00CD1179">
            <w:pPr>
              <w:pStyle w:val="Tabletext"/>
            </w:pPr>
            <w:r w:rsidRPr="00CD1179">
              <w:t>1) data protection laws / right to be forgotten;</w:t>
            </w:r>
          </w:p>
          <w:p w14:paraId="71C92961" w14:textId="4B3A020B" w:rsidR="00225236" w:rsidRPr="00CD1179" w:rsidRDefault="00225236" w:rsidP="00CD1179">
            <w:pPr>
              <w:pStyle w:val="Tabletext"/>
            </w:pPr>
            <w:r w:rsidRPr="00CD1179">
              <w:t>2) content that infringes on third parties</w:t>
            </w:r>
            <w:r w:rsidR="001122ED">
              <w:t>'</w:t>
            </w:r>
            <w:r w:rsidRPr="00CD1179">
              <w:t xml:space="preserve"> rights (e.g. copyright, trademark etc.);</w:t>
            </w:r>
          </w:p>
          <w:p w14:paraId="71C92962" w14:textId="77777777" w:rsidR="00225236" w:rsidRPr="00CD1179" w:rsidRDefault="00225236" w:rsidP="00CD1179">
            <w:pPr>
              <w:pStyle w:val="Tabletext"/>
            </w:pPr>
            <w:r w:rsidRPr="00CD1179">
              <w:t>3) illegal content.</w:t>
            </w:r>
          </w:p>
        </w:tc>
      </w:tr>
      <w:tr w:rsidR="006C7B06" w:rsidRPr="007A3793" w14:paraId="71C9296B" w14:textId="77777777" w:rsidTr="00CE6983">
        <w:trPr>
          <w:jc w:val="center"/>
        </w:trPr>
        <w:tc>
          <w:tcPr>
            <w:tcW w:w="1980" w:type="dxa"/>
          </w:tcPr>
          <w:p w14:paraId="71C92966" w14:textId="68F75CC0" w:rsidR="006C7B06" w:rsidRPr="007A3793" w:rsidRDefault="006C7B06" w:rsidP="00CD1179">
            <w:pPr>
              <w:pStyle w:val="Tabletext"/>
              <w:rPr>
                <w:color w:val="000000" w:themeColor="text1"/>
              </w:rPr>
            </w:pPr>
            <w:r w:rsidRPr="00CD1179">
              <w:rPr>
                <w:b/>
                <w:bCs/>
              </w:rPr>
              <w:t>Incentive mechanism</w:t>
            </w:r>
            <w:r w:rsidRPr="00CD1179">
              <w:rPr>
                <w:rFonts w:eastAsia="SimSun"/>
                <w:b/>
                <w:bCs/>
              </w:rPr>
              <w:t xml:space="preserve"> and d</w:t>
            </w:r>
            <w:r w:rsidRPr="00CD1179">
              <w:rPr>
                <w:b/>
                <w:bCs/>
              </w:rPr>
              <w:t>igital assets</w:t>
            </w:r>
            <w:r w:rsidR="00CD1179" w:rsidRPr="00CD1179">
              <w:rPr>
                <w:b/>
                <w:bCs/>
              </w:rPr>
              <w:t xml:space="preserve"> </w:t>
            </w:r>
            <w:r w:rsidRPr="00CD1179">
              <w:t>[</w:t>
            </w:r>
            <w:hyperlink w:anchor="finra" w:history="1">
              <w:r w:rsidR="00CD1179" w:rsidRPr="00CD1179">
                <w:rPr>
                  <w:rStyle w:val="Hyperlink"/>
                </w:rPr>
                <w:t>b</w:t>
              </w:r>
              <w:r w:rsidR="00CD1179" w:rsidRPr="00CD1179">
                <w:rPr>
                  <w:rStyle w:val="Hyperlink"/>
                </w:rPr>
                <w:noBreakHyphen/>
              </w:r>
              <w:r w:rsidRPr="00CD1179">
                <w:rPr>
                  <w:rStyle w:val="Hyperlink"/>
                </w:rPr>
                <w:t>FINRA</w:t>
              </w:r>
            </w:hyperlink>
            <w:r w:rsidRPr="00CD1179">
              <w:t xml:space="preserve">, </w:t>
            </w:r>
            <w:hyperlink w:anchor="yaga" w:history="1">
              <w:r w:rsidR="00CD1179" w:rsidRPr="00CD1179">
                <w:rPr>
                  <w:rStyle w:val="Hyperlink"/>
                </w:rPr>
                <w:t>b</w:t>
              </w:r>
              <w:r w:rsidR="00CD1179" w:rsidRPr="00CD1179">
                <w:rPr>
                  <w:rStyle w:val="Hyperlink"/>
                </w:rPr>
                <w:noBreakHyphen/>
              </w:r>
              <w:proofErr w:type="spellStart"/>
              <w:r w:rsidRPr="00CD1179">
                <w:rPr>
                  <w:rStyle w:val="Hyperlink"/>
                </w:rPr>
                <w:t>Yaga</w:t>
              </w:r>
              <w:proofErr w:type="spellEnd"/>
            </w:hyperlink>
            <w:r w:rsidRPr="00CD1179">
              <w:t>]</w:t>
            </w:r>
          </w:p>
        </w:tc>
        <w:tc>
          <w:tcPr>
            <w:tcW w:w="7789" w:type="dxa"/>
          </w:tcPr>
          <w:p w14:paraId="15E574C5" w14:textId="77777777" w:rsidR="007A3793" w:rsidRPr="00CD1179" w:rsidRDefault="006C7B06" w:rsidP="00CD1179">
            <w:pPr>
              <w:pStyle w:val="Tabletext"/>
            </w:pPr>
            <w:r w:rsidRPr="00CD1179">
              <w:t>1) Coin, token, tokenization legal common (UNCITRAL) definition;</w:t>
            </w:r>
          </w:p>
          <w:p w14:paraId="62C6B3BC" w14:textId="77777777" w:rsidR="007A3793" w:rsidRPr="00CD1179" w:rsidRDefault="006C7B06" w:rsidP="00CD1179">
            <w:pPr>
              <w:pStyle w:val="Tabletext"/>
            </w:pPr>
            <w:r w:rsidRPr="00CD1179">
              <w:t>2) ICO definition and minimal requirements for investor protection;</w:t>
            </w:r>
          </w:p>
          <w:p w14:paraId="71C92969" w14:textId="1EBD648A" w:rsidR="006C7B06" w:rsidRPr="00CD1179" w:rsidRDefault="006C7B06" w:rsidP="00CD1179">
            <w:pPr>
              <w:pStyle w:val="Tabletext"/>
            </w:pPr>
            <w:r w:rsidRPr="00CD1179">
              <w:t>3) Crypto asset/token financial system: legal concept and boundaries;</w:t>
            </w:r>
          </w:p>
          <w:p w14:paraId="71C9296A" w14:textId="74AE2330" w:rsidR="006C7B06" w:rsidRPr="00CD1179" w:rsidRDefault="006C7B06" w:rsidP="00CD1179">
            <w:pPr>
              <w:pStyle w:val="Tabletext"/>
            </w:pPr>
            <w:r w:rsidRPr="00CD1179">
              <w:t>4) Supervisory policies and procedures in accordance with applicable rules [</w:t>
            </w:r>
            <w:hyperlink w:anchor="finra" w:history="1">
              <w:r w:rsidR="00CD1179" w:rsidRPr="00CD1179">
                <w:rPr>
                  <w:rStyle w:val="Hyperlink"/>
                </w:rPr>
                <w:t>b</w:t>
              </w:r>
              <w:r w:rsidR="00CD1179" w:rsidRPr="00CD1179">
                <w:rPr>
                  <w:rStyle w:val="Hyperlink"/>
                </w:rPr>
                <w:noBreakHyphen/>
              </w:r>
              <w:r w:rsidRPr="00CD1179">
                <w:rPr>
                  <w:rStyle w:val="Hyperlink"/>
                </w:rPr>
                <w:t>FINRA</w:t>
              </w:r>
            </w:hyperlink>
            <w:r w:rsidRPr="00CD1179">
              <w:t>].</w:t>
            </w:r>
            <w:r w:rsidRPr="00CD1179" w:rsidDel="00EB19CE">
              <w:t xml:space="preserve"> </w:t>
            </w:r>
          </w:p>
        </w:tc>
      </w:tr>
      <w:tr w:rsidR="006C7B06" w:rsidRPr="007A3793" w14:paraId="71C92970" w14:textId="77777777" w:rsidTr="00CE6983">
        <w:trPr>
          <w:trHeight w:val="887"/>
          <w:jc w:val="center"/>
        </w:trPr>
        <w:tc>
          <w:tcPr>
            <w:tcW w:w="1980" w:type="dxa"/>
          </w:tcPr>
          <w:p w14:paraId="71C9296D" w14:textId="56E84F91" w:rsidR="006C7B06" w:rsidRPr="007A3793" w:rsidRDefault="006C7B06" w:rsidP="00CD1179">
            <w:pPr>
              <w:pStyle w:val="Tabletext"/>
              <w:rPr>
                <w:sz w:val="24"/>
              </w:rPr>
            </w:pPr>
            <w:r w:rsidRPr="00CD1179">
              <w:rPr>
                <w:b/>
                <w:bCs/>
              </w:rPr>
              <w:t>Openness and transparency/</w:t>
            </w:r>
            <w:r w:rsidR="00CD1179" w:rsidRPr="00CD1179">
              <w:rPr>
                <w:b/>
                <w:bCs/>
              </w:rPr>
              <w:t>‌</w:t>
            </w:r>
            <w:r w:rsidRPr="00CD1179">
              <w:rPr>
                <w:b/>
                <w:bCs/>
              </w:rPr>
              <w:t>anonymity</w:t>
            </w:r>
          </w:p>
        </w:tc>
        <w:tc>
          <w:tcPr>
            <w:tcW w:w="7789" w:type="dxa"/>
          </w:tcPr>
          <w:p w14:paraId="71C9296E" w14:textId="5788E8CA" w:rsidR="006C7B06" w:rsidRPr="00CD1179" w:rsidRDefault="006C7B06" w:rsidP="00CD1179">
            <w:pPr>
              <w:pStyle w:val="Tabletext"/>
            </w:pPr>
            <w:r w:rsidRPr="00CD1179">
              <w:t>1) AML issues, secrecy leaks, personal security [</w:t>
            </w:r>
            <w:hyperlink w:anchor="finra" w:history="1">
              <w:r w:rsidR="00CD1179" w:rsidRPr="00CD1179">
                <w:rPr>
                  <w:rStyle w:val="Hyperlink"/>
                </w:rPr>
                <w:t>b</w:t>
              </w:r>
              <w:r w:rsidR="00CD1179" w:rsidRPr="00CD1179">
                <w:rPr>
                  <w:rStyle w:val="Hyperlink"/>
                </w:rPr>
                <w:noBreakHyphen/>
              </w:r>
              <w:r w:rsidRPr="00CD1179">
                <w:rPr>
                  <w:rStyle w:val="Hyperlink"/>
                </w:rPr>
                <w:t>FINRA</w:t>
              </w:r>
            </w:hyperlink>
            <w:r w:rsidRPr="00CD1179">
              <w:t>];</w:t>
            </w:r>
          </w:p>
          <w:p w14:paraId="71C9296F" w14:textId="3A576D11" w:rsidR="006C7B06" w:rsidRPr="00CD1179" w:rsidRDefault="006C7B06" w:rsidP="00CD1179">
            <w:pPr>
              <w:pStyle w:val="Tabletext"/>
            </w:pPr>
            <w:r w:rsidRPr="00CD1179">
              <w:t>2) Anonymization (no name/encrypted users vs KYC) and pseudonymization [</w:t>
            </w:r>
            <w:hyperlink w:anchor="eua" w:history="1">
              <w:r w:rsidR="00CD1179" w:rsidRPr="00CD1179">
                <w:rPr>
                  <w:rStyle w:val="Hyperlink"/>
                </w:rPr>
                <w:t>b</w:t>
              </w:r>
              <w:r w:rsidR="00CD1179" w:rsidRPr="00CD1179">
                <w:rPr>
                  <w:rStyle w:val="Hyperlink"/>
                </w:rPr>
                <w:noBreakHyphen/>
              </w:r>
              <w:r w:rsidRPr="00CD1179">
                <w:rPr>
                  <w:rStyle w:val="Hyperlink"/>
                </w:rPr>
                <w:t>EU</w:t>
              </w:r>
              <w:r w:rsidR="00CD1179">
                <w:rPr>
                  <w:rStyle w:val="Hyperlink"/>
                </w:rPr>
                <w:noBreakHyphen/>
              </w:r>
              <w:r w:rsidRPr="00CD1179">
                <w:rPr>
                  <w:rStyle w:val="Hyperlink"/>
                </w:rPr>
                <w:t>a</w:t>
              </w:r>
            </w:hyperlink>
            <w:r w:rsidRPr="00CD1179">
              <w:t>].</w:t>
            </w:r>
          </w:p>
        </w:tc>
      </w:tr>
    </w:tbl>
    <w:p w14:paraId="71C92973" w14:textId="77777777" w:rsidR="006C7B06" w:rsidRPr="007A3793" w:rsidRDefault="006C7B06" w:rsidP="00CD1179">
      <w:pPr>
        <w:rPr>
          <w:lang w:val="en-GB"/>
        </w:rPr>
      </w:pPr>
      <w:bookmarkStart w:id="30" w:name="_Toc14188460"/>
      <w:r w:rsidRPr="007A3793">
        <w:rPr>
          <w:lang w:val="en-GB"/>
        </w:rPr>
        <w:t>There are five categories of laws addressing DLT systems:</w:t>
      </w:r>
    </w:p>
    <w:p w14:paraId="71C92974" w14:textId="77777777" w:rsidR="006C7B06" w:rsidRPr="007A3793" w:rsidRDefault="006C7B06" w:rsidP="007A3793">
      <w:pPr>
        <w:numPr>
          <w:ilvl w:val="0"/>
          <w:numId w:val="22"/>
        </w:numPr>
        <w:ind w:left="567" w:hanging="567"/>
        <w:rPr>
          <w:lang w:val="en-GB"/>
        </w:rPr>
      </w:pPr>
      <w:r w:rsidRPr="007A3793">
        <w:rPr>
          <w:lang w:val="en-GB"/>
        </w:rPr>
        <w:t>Laws that address the DLT systems themselves, like intellectual property (IP) (patent, copyright) of software code, communications laws and laws that regulate the mining for a DLT system.</w:t>
      </w:r>
    </w:p>
    <w:p w14:paraId="71C92975" w14:textId="77777777" w:rsidR="006C7B06" w:rsidRPr="007A3793" w:rsidRDefault="006C7B06" w:rsidP="007A3793">
      <w:pPr>
        <w:numPr>
          <w:ilvl w:val="0"/>
          <w:numId w:val="22"/>
        </w:numPr>
        <w:ind w:left="567" w:hanging="567"/>
        <w:rPr>
          <w:lang w:val="en-GB"/>
        </w:rPr>
      </w:pPr>
      <w:r w:rsidRPr="007A3793">
        <w:rPr>
          <w:lang w:val="en-GB"/>
        </w:rPr>
        <w:t>Laws that address the governance of DLT systems. This includes, for example, the recognition of DLT governance, conflict of laws, liability and enforcement of decisions on a DLT system.</w:t>
      </w:r>
    </w:p>
    <w:p w14:paraId="71C92976" w14:textId="77777777" w:rsidR="006C7B06" w:rsidRPr="007A3793" w:rsidRDefault="006C7B06" w:rsidP="007A3793">
      <w:pPr>
        <w:numPr>
          <w:ilvl w:val="0"/>
          <w:numId w:val="22"/>
        </w:numPr>
        <w:ind w:left="567" w:hanging="567"/>
        <w:rPr>
          <w:lang w:val="en-GB"/>
        </w:rPr>
      </w:pPr>
      <w:r w:rsidRPr="007A3793">
        <w:rPr>
          <w:lang w:val="en-GB"/>
        </w:rPr>
        <w:t>Laws that affects some or many use-cases of DLT. This includes crypto regulation and token-economy laws, anti-money-laundering and privacy laws, consumer law protection regimes, and anti-fraud laws as well as laws allowing law enforcement to carry out certain measures or use certain tools in a digital environment.</w:t>
      </w:r>
    </w:p>
    <w:p w14:paraId="71C92977" w14:textId="77777777" w:rsidR="006C7B06" w:rsidRPr="007A3793" w:rsidRDefault="006C7B06" w:rsidP="007A3793">
      <w:pPr>
        <w:numPr>
          <w:ilvl w:val="0"/>
          <w:numId w:val="22"/>
        </w:numPr>
        <w:ind w:left="567" w:hanging="567"/>
        <w:rPr>
          <w:lang w:val="en-GB"/>
        </w:rPr>
      </w:pPr>
      <w:r w:rsidRPr="007A3793">
        <w:rPr>
          <w:lang w:val="en-GB"/>
        </w:rPr>
        <w:t>Laws affecting civil liability and the law form of consortia governing the DLT, which is essential for the optimal governance of permissioned systems</w:t>
      </w:r>
    </w:p>
    <w:p w14:paraId="71C92978" w14:textId="77777777" w:rsidR="006C7B06" w:rsidRPr="007A3793" w:rsidRDefault="006C7B06" w:rsidP="007A3793">
      <w:pPr>
        <w:numPr>
          <w:ilvl w:val="0"/>
          <w:numId w:val="22"/>
        </w:numPr>
        <w:ind w:left="567" w:hanging="567"/>
        <w:rPr>
          <w:lang w:val="en-GB"/>
        </w:rPr>
      </w:pPr>
      <w:r w:rsidRPr="007A3793">
        <w:rPr>
          <w:lang w:val="en-GB"/>
        </w:rPr>
        <w:t xml:space="preserve">Laws affecting the issues concerning different layers within the DLT structures, such as EU </w:t>
      </w:r>
      <w:proofErr w:type="spellStart"/>
      <w:r w:rsidRPr="007A3793">
        <w:rPr>
          <w:lang w:val="en-GB"/>
        </w:rPr>
        <w:t>eIDAS</w:t>
      </w:r>
      <w:proofErr w:type="spellEnd"/>
      <w:r w:rsidRPr="007A3793">
        <w:rPr>
          <w:lang w:val="en-GB"/>
        </w:rPr>
        <w:t xml:space="preserve"> Regulation and similar currently enforceable laws on electronic signatures worldwide; laws on software IP; laws on DLT-components technical specifications.</w:t>
      </w:r>
    </w:p>
    <w:p w14:paraId="71C92979" w14:textId="77777777" w:rsidR="006C7B06" w:rsidRPr="007A3793" w:rsidRDefault="006C7B06" w:rsidP="00C04FE7">
      <w:pPr>
        <w:keepNext/>
        <w:rPr>
          <w:lang w:val="en-GB"/>
        </w:rPr>
      </w:pPr>
      <w:r w:rsidRPr="007A3793">
        <w:rPr>
          <w:lang w:val="en-GB"/>
        </w:rPr>
        <w:lastRenderedPageBreak/>
        <w:t>The correspondent challenges refer to matters such as:</w:t>
      </w:r>
    </w:p>
    <w:p w14:paraId="71C9297A" w14:textId="45FAC865" w:rsidR="006C7B06" w:rsidRPr="007A3793" w:rsidRDefault="006C7B06" w:rsidP="00CD1179">
      <w:pPr>
        <w:numPr>
          <w:ilvl w:val="0"/>
          <w:numId w:val="28"/>
        </w:numPr>
        <w:overflowPunct w:val="0"/>
        <w:autoSpaceDE w:val="0"/>
        <w:autoSpaceDN w:val="0"/>
        <w:adjustRightInd w:val="0"/>
        <w:ind w:left="567" w:hanging="567"/>
        <w:textAlignment w:val="baseline"/>
        <w:rPr>
          <w:lang w:val="en-GB"/>
        </w:rPr>
      </w:pPr>
      <w:r w:rsidRPr="007A3793">
        <w:rPr>
          <w:lang w:val="en-GB"/>
        </w:rPr>
        <w:t>Civil and criminal liability in the blockchain network control, and other sources of responsibility from a public-law perspective (e</w:t>
      </w:r>
      <w:r w:rsidR="001122ED">
        <w:rPr>
          <w:lang w:val="en-GB"/>
        </w:rPr>
        <w:t>.</w:t>
      </w:r>
      <w:r w:rsidRPr="007A3793">
        <w:rPr>
          <w:lang w:val="en-GB"/>
        </w:rPr>
        <w:t>g. administrative compliance taxation and even constitutional</w:t>
      </w:r>
      <w:r w:rsidR="001122ED">
        <w:rPr>
          <w:lang w:val="en-GB"/>
        </w:rPr>
        <w:t xml:space="preserve"> </w:t>
      </w:r>
      <w:r w:rsidRPr="007A3793">
        <w:rPr>
          <w:lang w:val="en-GB"/>
        </w:rPr>
        <w:t>law related issues)</w:t>
      </w:r>
    </w:p>
    <w:p w14:paraId="10378C0D" w14:textId="77777777" w:rsidR="007A3793" w:rsidRPr="007A3793" w:rsidRDefault="006C7B06" w:rsidP="00CD1179">
      <w:pPr>
        <w:numPr>
          <w:ilvl w:val="0"/>
          <w:numId w:val="28"/>
        </w:numPr>
        <w:overflowPunct w:val="0"/>
        <w:autoSpaceDE w:val="0"/>
        <w:autoSpaceDN w:val="0"/>
        <w:adjustRightInd w:val="0"/>
        <w:ind w:left="567" w:hanging="567"/>
        <w:textAlignment w:val="baseline"/>
        <w:rPr>
          <w:lang w:val="en-GB"/>
        </w:rPr>
      </w:pPr>
      <w:r w:rsidRPr="007A3793">
        <w:rPr>
          <w:lang w:val="en-GB"/>
        </w:rPr>
        <w:t>The control management supervision of the network participants s (human or not), including developers administrators, consortia/community managers and legal persons involved within.</w:t>
      </w:r>
    </w:p>
    <w:p w14:paraId="336B4ED5" w14:textId="2E5F11B8" w:rsidR="007A3793" w:rsidRPr="007A3793" w:rsidRDefault="006C7B06" w:rsidP="00CD1179">
      <w:pPr>
        <w:numPr>
          <w:ilvl w:val="0"/>
          <w:numId w:val="28"/>
        </w:numPr>
        <w:overflowPunct w:val="0"/>
        <w:autoSpaceDE w:val="0"/>
        <w:autoSpaceDN w:val="0"/>
        <w:adjustRightInd w:val="0"/>
        <w:ind w:left="567" w:hanging="567"/>
        <w:textAlignment w:val="baseline"/>
        <w:rPr>
          <w:lang w:val="en-GB"/>
        </w:rPr>
      </w:pPr>
      <w:r w:rsidRPr="007A3793">
        <w:rPr>
          <w:lang w:val="en-GB"/>
        </w:rPr>
        <w:t>Authoritative sources of records and data;</w:t>
      </w:r>
    </w:p>
    <w:p w14:paraId="71C9297D" w14:textId="2F10D294" w:rsidR="006C7B06" w:rsidRPr="007A3793" w:rsidRDefault="006C7B06" w:rsidP="00CD1179">
      <w:pPr>
        <w:numPr>
          <w:ilvl w:val="0"/>
          <w:numId w:val="28"/>
        </w:numPr>
        <w:overflowPunct w:val="0"/>
        <w:autoSpaceDE w:val="0"/>
        <w:autoSpaceDN w:val="0"/>
        <w:adjustRightInd w:val="0"/>
        <w:ind w:left="567" w:hanging="567"/>
        <w:textAlignment w:val="baseline"/>
        <w:rPr>
          <w:lang w:val="en-GB"/>
        </w:rPr>
      </w:pPr>
      <w:r w:rsidRPr="007A3793">
        <w:rPr>
          <w:lang w:val="en-GB"/>
        </w:rPr>
        <w:t>DLT-record legal proof;</w:t>
      </w:r>
    </w:p>
    <w:p w14:paraId="71C9297E" w14:textId="77777777" w:rsidR="006C7B06" w:rsidRPr="007A3793" w:rsidRDefault="006C7B06" w:rsidP="00CD1179">
      <w:pPr>
        <w:numPr>
          <w:ilvl w:val="0"/>
          <w:numId w:val="28"/>
        </w:numPr>
        <w:overflowPunct w:val="0"/>
        <w:autoSpaceDE w:val="0"/>
        <w:autoSpaceDN w:val="0"/>
        <w:adjustRightInd w:val="0"/>
        <w:ind w:left="567" w:hanging="567"/>
        <w:textAlignment w:val="baseline"/>
        <w:rPr>
          <w:lang w:val="en-GB"/>
        </w:rPr>
      </w:pPr>
      <w:r w:rsidRPr="007A3793">
        <w:rPr>
          <w:lang w:val="en-GB"/>
        </w:rPr>
        <w:t>Personal data protection compatible with existing regulations.</w:t>
      </w:r>
    </w:p>
    <w:p w14:paraId="69CEC09E" w14:textId="77777777" w:rsidR="007A3793" w:rsidRPr="007A3793" w:rsidRDefault="006C7B06" w:rsidP="007A3793">
      <w:pPr>
        <w:pStyle w:val="Heading2"/>
        <w:ind w:left="567" w:hanging="567"/>
      </w:pPr>
      <w:bookmarkStart w:id="31" w:name="_Toc16243489"/>
      <w:bookmarkStart w:id="32" w:name="_Toc23447188"/>
      <w:bookmarkStart w:id="33" w:name="_Toc23767528"/>
      <w:r w:rsidRPr="007A3793">
        <w:t xml:space="preserve">Property 1: Distribution </w:t>
      </w:r>
      <w:r w:rsidR="00325CA1" w:rsidRPr="007A3793">
        <w:t>and</w:t>
      </w:r>
      <w:r w:rsidRPr="007A3793">
        <w:t xml:space="preserve"> ledger sharing</w:t>
      </w:r>
      <w:bookmarkEnd w:id="31"/>
      <w:bookmarkEnd w:id="32"/>
      <w:bookmarkEnd w:id="33"/>
    </w:p>
    <w:p w14:paraId="5C682A96" w14:textId="47E65C39" w:rsidR="007A3793" w:rsidRPr="007A3793" w:rsidRDefault="006C7B06" w:rsidP="00CD1179">
      <w:pPr>
        <w:rPr>
          <w:lang w:val="en-GB"/>
        </w:rPr>
      </w:pPr>
      <w:r w:rsidRPr="007A3793">
        <w:rPr>
          <w:lang w:val="en-GB"/>
        </w:rPr>
        <w:t xml:space="preserve">Distribution is a network configuration where every participant can communicate with one another without going through a centralized point. Since there are multiple pathways for communication, the loss of any participant will not prevent communication. This is also known as </w:t>
      </w:r>
      <w:r w:rsidRPr="007A3793">
        <w:rPr>
          <w:i/>
          <w:iCs/>
          <w:lang w:val="en-GB"/>
        </w:rPr>
        <w:t xml:space="preserve">peer-to-peer (P2P) </w:t>
      </w:r>
      <w:r w:rsidRPr="00CD1179">
        <w:rPr>
          <w:b/>
          <w:bCs/>
        </w:rPr>
        <w:t>distribution</w:t>
      </w:r>
      <w:r w:rsidRPr="00CD1179">
        <w:t xml:space="preserve"> which implies operation without a central data repository. The characteristic of the term </w:t>
      </w:r>
      <w:r w:rsidR="001122ED">
        <w:t>"</w:t>
      </w:r>
      <w:r w:rsidRPr="00CD1179">
        <w:t>distributed</w:t>
      </w:r>
      <w:r w:rsidR="001122ED">
        <w:t>"</w:t>
      </w:r>
      <w:r w:rsidRPr="00CD1179">
        <w:t xml:space="preserve"> in a DLT context is based on data sharing among multiple systems that are set in different locations. </w:t>
      </w:r>
      <w:r w:rsidRPr="00CD1179">
        <w:rPr>
          <w:b/>
          <w:bCs/>
        </w:rPr>
        <w:t xml:space="preserve">Distribution </w:t>
      </w:r>
      <w:r w:rsidRPr="00CD1179">
        <w:t>entails</w:t>
      </w:r>
      <w:r w:rsidRPr="00CD1179">
        <w:rPr>
          <w:b/>
          <w:bCs/>
        </w:rPr>
        <w:t xml:space="preserve"> </w:t>
      </w:r>
      <w:r w:rsidRPr="007A3793">
        <w:rPr>
          <w:lang w:val="en-GB"/>
        </w:rPr>
        <w:t>P2P interaction and its corresponding contractual or extra contractual liability</w:t>
      </w:r>
    </w:p>
    <w:p w14:paraId="71C92982" w14:textId="3BC05420" w:rsidR="006C7B06" w:rsidRPr="007A3793" w:rsidRDefault="006C7B06" w:rsidP="00CD1179">
      <w:pPr>
        <w:rPr>
          <w:lang w:val="en-GB"/>
        </w:rPr>
      </w:pPr>
      <w:r w:rsidRPr="007A3793">
        <w:rPr>
          <w:lang w:val="en-GB"/>
        </w:rPr>
        <w:t>The anatomy of a DLT system could be described as a system of layers consisting of protocol, orchestration, business, data and network layers. Two global standards define orchestration among various elements in various layers.</w:t>
      </w:r>
    </w:p>
    <w:p w14:paraId="03232AAC" w14:textId="77777777" w:rsidR="007A3793" w:rsidRPr="007A3793" w:rsidRDefault="006C7B06" w:rsidP="00CD1179">
      <w:pPr>
        <w:rPr>
          <w:lang w:val="en-GB"/>
        </w:rPr>
      </w:pPr>
      <w:r w:rsidRPr="007A3793">
        <w:rPr>
          <w:lang w:val="en-GB"/>
        </w:rPr>
        <w:t>A distributed process occurs across multiple nodes interacting in a P2P mode. In this context, decentralization means that there is no central responsible unit coordinating the inter-node action or contracting; thus, there is no central supervision or authority, though there may be several responsible units within a permissioned DLT context.</w:t>
      </w:r>
    </w:p>
    <w:p w14:paraId="6FD9A863" w14:textId="77777777" w:rsidR="007A3793" w:rsidRPr="007A3793" w:rsidRDefault="006C7B06" w:rsidP="00CD1179">
      <w:pPr>
        <w:rPr>
          <w:lang w:val="en-GB"/>
        </w:rPr>
      </w:pPr>
      <w:r w:rsidRPr="007A3793">
        <w:rPr>
          <w:lang w:val="en-GB"/>
        </w:rPr>
        <w:t xml:space="preserve">Decentralization can mean that different types of nodes with different powers and attributions may decide differently. All nodes share the same data and execute the same smart </w:t>
      </w:r>
      <w:proofErr w:type="gramStart"/>
      <w:r w:rsidRPr="007A3793">
        <w:rPr>
          <w:lang w:val="en-GB"/>
        </w:rPr>
        <w:t>contracts</w:t>
      </w:r>
      <w:proofErr w:type="gramEnd"/>
      <w:r w:rsidRPr="007A3793">
        <w:rPr>
          <w:lang w:val="en-GB"/>
        </w:rPr>
        <w:t xml:space="preserve"> but the instantiation and execution of P2P transactions comes from eventually responsible nodes or represented persons in enforceable contracts, thus generating contractual responsibility.</w:t>
      </w:r>
    </w:p>
    <w:p w14:paraId="6C2F5F6C" w14:textId="4DF0DA48" w:rsidR="007A3793" w:rsidRPr="007A3793" w:rsidRDefault="006C7B06" w:rsidP="00CD1179">
      <w:pPr>
        <w:rPr>
          <w:lang w:val="en-GB" w:eastAsia="en-US"/>
        </w:rPr>
      </w:pPr>
      <w:r w:rsidRPr="007A3793">
        <w:rPr>
          <w:b/>
          <w:bCs/>
          <w:lang w:val="en-GB" w:eastAsia="en-US"/>
        </w:rPr>
        <w:t xml:space="preserve">Ledger sharing </w:t>
      </w:r>
      <w:r w:rsidRPr="007A3793">
        <w:rPr>
          <w:lang w:val="en-GB" w:eastAsia="en-US"/>
        </w:rPr>
        <w:t>implies a methodology for data storage and retrieval in a manner that protects the sequence and fidelity of the stored data from any alteration whatsoever prior to its retrieval. Data protection and constitutionally protected related rights (</w:t>
      </w:r>
      <w:r w:rsidR="00CD1179" w:rsidRPr="007A3793">
        <w:rPr>
          <w:lang w:val="en-GB" w:eastAsia="en-US"/>
        </w:rPr>
        <w:t>honour</w:t>
      </w:r>
      <w:r w:rsidRPr="007A3793">
        <w:rPr>
          <w:lang w:val="en-GB" w:eastAsia="en-US"/>
        </w:rPr>
        <w:t>, association, privacy, asset property and intellectual property (IP)) are directly concerned.</w:t>
      </w:r>
    </w:p>
    <w:p w14:paraId="15709F94" w14:textId="5271D911" w:rsidR="007A3793" w:rsidRPr="007A3793" w:rsidRDefault="006C7B06" w:rsidP="00CD1179">
      <w:pPr>
        <w:rPr>
          <w:lang w:val="en-GB"/>
        </w:rPr>
      </w:pPr>
      <w:r w:rsidRPr="007A3793">
        <w:rPr>
          <w:lang w:val="en-GB"/>
        </w:rPr>
        <w:t xml:space="preserve">Distributed ledger technology (to which blockchains belong) does not only combine </w:t>
      </w:r>
      <w:r w:rsidR="001122ED">
        <w:rPr>
          <w:lang w:val="en-GB"/>
        </w:rPr>
        <w:t>"</w:t>
      </w:r>
      <w:r w:rsidRPr="007A3793">
        <w:rPr>
          <w:lang w:val="en-GB"/>
        </w:rPr>
        <w:t>distribution</w:t>
      </w:r>
      <w:r w:rsidR="001122ED">
        <w:rPr>
          <w:lang w:val="en-GB"/>
        </w:rPr>
        <w:t>"</w:t>
      </w:r>
      <w:r w:rsidRPr="007A3793">
        <w:rPr>
          <w:lang w:val="en-GB"/>
        </w:rPr>
        <w:t xml:space="preserve"> and </w:t>
      </w:r>
      <w:r w:rsidR="001122ED">
        <w:rPr>
          <w:lang w:val="en-GB"/>
        </w:rPr>
        <w:t>"</w:t>
      </w:r>
      <w:r w:rsidRPr="007A3793">
        <w:rPr>
          <w:lang w:val="en-GB"/>
        </w:rPr>
        <w:t>sharing</w:t>
      </w:r>
      <w:r w:rsidR="001122ED">
        <w:rPr>
          <w:lang w:val="en-GB"/>
        </w:rPr>
        <w:t>"</w:t>
      </w:r>
      <w:r w:rsidRPr="007A3793">
        <w:rPr>
          <w:lang w:val="en-GB"/>
        </w:rPr>
        <w:t xml:space="preserve"> but also requires using public key asymmetric cryptography, distributed databases (large-scale data storage and processing), peer-to-peer communication (P2P network), consensus mechanisms and other technical innovations, which pose regulatory challenges, mainly company and contract law related, without prejudice to sectorial laws concerned (banking, insurance, capital markets, amongst others). Competition law and consumer law are also directly concerned by distribution and sharing, as vendors and other competitors work collaboratively to produce the infrastructure and devices within related layers, though they compete in the distributed application layer when introducing use cases for their industries.</w:t>
      </w:r>
    </w:p>
    <w:p w14:paraId="71C92987" w14:textId="706CB535" w:rsidR="006C7B06" w:rsidRPr="007A3793" w:rsidRDefault="006C7B06" w:rsidP="00CD1179">
      <w:pPr>
        <w:rPr>
          <w:lang w:val="en-GB"/>
        </w:rPr>
      </w:pPr>
      <w:r w:rsidRPr="007A3793">
        <w:rPr>
          <w:lang w:val="en-GB"/>
        </w:rPr>
        <w:t xml:space="preserve">Distributed ledger technology is designed to support tamper-resilient and close to immutable, decentralized, shared ledgers and is based on strong cryptography. Blockchain technology does this by combining data blocks in a chronological order into a specific data structure in the form of </w:t>
      </w:r>
      <w:r w:rsidRPr="007A3793">
        <w:rPr>
          <w:lang w:val="en-GB"/>
        </w:rPr>
        <w:lastRenderedPageBreak/>
        <w:t>a cryptographically linked list. Blockchain technology is a tamper-resilient and immutable, decentralized, shared ledger using cryptographic functions that combine data blocks in a chronological order into a specific data structure in the form of a linked list. Shared ledgers do not solve the issue of data accuracy but can only prove who has written the data at what time.</w:t>
      </w:r>
    </w:p>
    <w:p w14:paraId="71C92988" w14:textId="5F18E1C1" w:rsidR="006C7B06" w:rsidRPr="007A3793" w:rsidRDefault="006C7B06" w:rsidP="00CD1179">
      <w:pPr>
        <w:rPr>
          <w:lang w:val="en-GB"/>
        </w:rPr>
      </w:pPr>
      <w:r w:rsidRPr="007A3793">
        <w:rPr>
          <w:lang w:val="en-GB"/>
        </w:rPr>
        <w:t xml:space="preserve">When distributed consensus algorithms are used to add data that can subsequently trigger the execution of code retrieved from blockchains, such as smart contracts, the automatic execution of business logic is ensured. A blockchain or </w:t>
      </w:r>
      <w:r w:rsidR="001122ED">
        <w:rPr>
          <w:lang w:val="en-GB"/>
        </w:rPr>
        <w:t>"</w:t>
      </w:r>
      <w:r w:rsidRPr="007A3793">
        <w:rPr>
          <w:lang w:val="en-GB"/>
        </w:rPr>
        <w:t>shared ledger</w:t>
      </w:r>
      <w:r w:rsidR="001122ED">
        <w:rPr>
          <w:lang w:val="en-GB"/>
        </w:rPr>
        <w:t>"</w:t>
      </w:r>
      <w:r w:rsidRPr="007A3793">
        <w:rPr>
          <w:lang w:val="en-GB"/>
        </w:rPr>
        <w:t xml:space="preserve"> is a decentralized (multi-</w:t>
      </w:r>
      <w:proofErr w:type="spellStart"/>
      <w:r w:rsidRPr="007A3793">
        <w:rPr>
          <w:lang w:val="en-GB"/>
        </w:rPr>
        <w:t>centered</w:t>
      </w:r>
      <w:proofErr w:type="spellEnd"/>
      <w:r w:rsidRPr="007A3793">
        <w:rPr>
          <w:lang w:val="en-GB"/>
        </w:rPr>
        <w:t>) infrastructure that is a new distributed computing paradigm which has a mechanism of enforcement adhering to operating rules in a manner persistent and consistent in a variety of settings.</w:t>
      </w:r>
    </w:p>
    <w:p w14:paraId="71C92989" w14:textId="77777777" w:rsidR="006C7B06" w:rsidRPr="007A3793" w:rsidRDefault="006C7B06" w:rsidP="007A3793">
      <w:pPr>
        <w:pStyle w:val="Heading3"/>
        <w:ind w:left="567" w:hanging="567"/>
      </w:pPr>
      <w:bookmarkStart w:id="34" w:name="_Toc16243490"/>
      <w:bookmarkStart w:id="35" w:name="_Toc23447189"/>
      <w:bookmarkStart w:id="36" w:name="_Toc23767529"/>
      <w:r w:rsidRPr="007A3793">
        <w:t>Introduction of the property</w:t>
      </w:r>
      <w:bookmarkEnd w:id="34"/>
      <w:bookmarkEnd w:id="35"/>
      <w:bookmarkEnd w:id="36"/>
    </w:p>
    <w:p w14:paraId="400EAF29" w14:textId="380C85F1" w:rsidR="007A3793" w:rsidRPr="007A3793" w:rsidRDefault="001122ED" w:rsidP="00CD1179">
      <w:pPr>
        <w:rPr>
          <w:lang w:val="en-GB"/>
        </w:rPr>
      </w:pPr>
      <w:r>
        <w:rPr>
          <w:lang w:val="en-GB"/>
        </w:rPr>
        <w:t>"</w:t>
      </w:r>
      <w:r w:rsidR="006C7B06" w:rsidRPr="007A3793">
        <w:rPr>
          <w:lang w:val="en-GB"/>
        </w:rPr>
        <w:t>Distributed fashion</w:t>
      </w:r>
      <w:r>
        <w:rPr>
          <w:lang w:val="en-GB"/>
        </w:rPr>
        <w:t>"</w:t>
      </w:r>
      <w:r w:rsidR="006C7B06" w:rsidRPr="007A3793">
        <w:rPr>
          <w:lang w:val="en-GB"/>
        </w:rPr>
        <w:t xml:space="preserve"> permits associative models of auto-governing rules to facilitate the operation of a useful, </w:t>
      </w:r>
      <w:proofErr w:type="spellStart"/>
      <w:r w:rsidR="006C7B06" w:rsidRPr="007A3793">
        <w:rPr>
          <w:lang w:val="en-GB"/>
        </w:rPr>
        <w:t>trustless</w:t>
      </w:r>
      <w:proofErr w:type="spellEnd"/>
      <w:r w:rsidR="006C7B06" w:rsidRPr="007A3793">
        <w:rPr>
          <w:lang w:val="en-GB"/>
        </w:rPr>
        <w:t xml:space="preserve"> and efficient system. </w:t>
      </w:r>
      <w:proofErr w:type="spellStart"/>
      <w:r w:rsidR="006C7B06" w:rsidRPr="007A3793">
        <w:rPr>
          <w:lang w:val="en-GB"/>
        </w:rPr>
        <w:t>Trustless</w:t>
      </w:r>
      <w:proofErr w:type="spellEnd"/>
      <w:r w:rsidR="006C7B06" w:rsidRPr="007A3793">
        <w:rPr>
          <w:lang w:val="en-GB"/>
        </w:rPr>
        <w:t xml:space="preserve"> means that the technology does not require relying on trust of a single entity or participant. This </w:t>
      </w:r>
      <w:r>
        <w:rPr>
          <w:lang w:val="en-GB"/>
        </w:rPr>
        <w:t>"</w:t>
      </w:r>
      <w:r w:rsidR="006C7B06" w:rsidRPr="007A3793">
        <w:rPr>
          <w:lang w:val="en-GB"/>
        </w:rPr>
        <w:t>distributed fashion</w:t>
      </w:r>
      <w:r>
        <w:rPr>
          <w:lang w:val="en-GB"/>
        </w:rPr>
        <w:t>"</w:t>
      </w:r>
      <w:r w:rsidR="006C7B06" w:rsidRPr="007A3793">
        <w:rPr>
          <w:lang w:val="en-GB"/>
        </w:rPr>
        <w:t xml:space="preserve"> property encompasses all matters of concern that might exist between liable entities and an allowance for the opportunity to change their governance protocol, under specific rules, which legitimizes this change of a protocol layer.</w:t>
      </w:r>
    </w:p>
    <w:p w14:paraId="71C9298B" w14:textId="1CA6A4D8" w:rsidR="006C7B06" w:rsidRPr="007A3793" w:rsidRDefault="006C7B06" w:rsidP="00CD1179">
      <w:pPr>
        <w:rPr>
          <w:lang w:val="en-GB"/>
        </w:rPr>
      </w:pPr>
      <w:r w:rsidRPr="007A3793">
        <w:rPr>
          <w:lang w:val="en-GB"/>
        </w:rPr>
        <w:t xml:space="preserve">The scope of this property includes defining regulatory boundaries and gateway protocols to achieve liability isolation among participants. Such isolation is distinguished by the context of multi-lateral or bilateral data exchanges. Thanks to these properties (distributed fashion and shared ledger), interoperability with another DLT ecosystem can be proposed by either a participant network, a data owner or by </w:t>
      </w:r>
      <w:proofErr w:type="gramStart"/>
      <w:r w:rsidRPr="007A3793">
        <w:rPr>
          <w:lang w:val="en-GB"/>
        </w:rPr>
        <w:t>both of the aforementioned</w:t>
      </w:r>
      <w:proofErr w:type="gramEnd"/>
      <w:r w:rsidRPr="007A3793">
        <w:rPr>
          <w:lang w:val="en-GB"/>
        </w:rPr>
        <w:t xml:space="preserve"> – to change the protocol layer and adjust it in accordance with the prevailing rules.</w:t>
      </w:r>
    </w:p>
    <w:p w14:paraId="71C9298C" w14:textId="77777777" w:rsidR="006C7B06" w:rsidRPr="007A3793" w:rsidRDefault="006C7B06" w:rsidP="00CD1179">
      <w:pPr>
        <w:rPr>
          <w:lang w:val="en-GB"/>
        </w:rPr>
      </w:pPr>
      <w:r w:rsidRPr="007A3793">
        <w:rPr>
          <w:lang w:val="en-GB"/>
        </w:rPr>
        <w:t>The mapping in Table 2 shows a diverse array of governance models to DLT implementations which are a derivative update to that work.</w:t>
      </w:r>
    </w:p>
    <w:p w14:paraId="71C9298D" w14:textId="1F6E2F1A" w:rsidR="006C7B06" w:rsidRPr="00CD1179" w:rsidRDefault="000D025C" w:rsidP="00CD1179">
      <w:pPr>
        <w:pStyle w:val="TableNotitle"/>
      </w:pPr>
      <w:bookmarkStart w:id="37" w:name="_Toc23767552"/>
      <w:r w:rsidRPr="00CD1179">
        <w:t>Table 2 –</w:t>
      </w:r>
      <w:r w:rsidR="006C7B06" w:rsidRPr="00CD1179">
        <w:t xml:space="preserve"> </w:t>
      </w:r>
      <w:r w:rsidR="006C7B06" w:rsidRPr="00CD1179">
        <w:rPr>
          <w:rFonts w:ascii="Times New Roman Bold" w:hAnsi="Times New Roman Bold"/>
          <w:spacing w:val="-6"/>
        </w:rPr>
        <w:t>P</w:t>
      </w:r>
      <w:r w:rsidR="00CD1179" w:rsidRPr="00CD1179">
        <w:rPr>
          <w:rFonts w:ascii="Times New Roman Bold" w:hAnsi="Times New Roman Bold"/>
          <w:spacing w:val="-6"/>
        </w:rPr>
        <w:t>artial list of p</w:t>
      </w:r>
      <w:r w:rsidR="006C7B06" w:rsidRPr="00CD1179">
        <w:rPr>
          <w:rFonts w:ascii="Times New Roman Bold" w:hAnsi="Times New Roman Bold"/>
          <w:spacing w:val="-6"/>
        </w:rPr>
        <w:t>rotocol</w:t>
      </w:r>
      <w:r w:rsidRPr="00CD1179">
        <w:rPr>
          <w:rFonts w:ascii="Times New Roman Bold" w:hAnsi="Times New Roman Bold"/>
          <w:spacing w:val="-6"/>
        </w:rPr>
        <w:t xml:space="preserve"> </w:t>
      </w:r>
      <w:r w:rsidR="006C7B06" w:rsidRPr="00CD1179">
        <w:rPr>
          <w:rFonts w:ascii="Times New Roman Bold" w:hAnsi="Times New Roman Bold"/>
          <w:spacing w:val="-6"/>
        </w:rPr>
        <w:t>governance models/</w:t>
      </w:r>
      <w:r w:rsidR="00CD1179" w:rsidRPr="00CD1179">
        <w:rPr>
          <w:rFonts w:ascii="Times New Roman Bold" w:hAnsi="Times New Roman Bold"/>
          <w:spacing w:val="-6"/>
        </w:rPr>
        <w:t xml:space="preserve">governance </w:t>
      </w:r>
      <w:r w:rsidR="006C7B06" w:rsidRPr="00CD1179">
        <w:rPr>
          <w:rFonts w:ascii="Times New Roman Bold" w:hAnsi="Times New Roman Bold"/>
          <w:spacing w:val="-6"/>
        </w:rPr>
        <w:t>decision-making process models</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0"/>
        <w:gridCol w:w="1561"/>
        <w:gridCol w:w="3923"/>
        <w:gridCol w:w="1912"/>
      </w:tblGrid>
      <w:tr w:rsidR="006C7B06" w:rsidRPr="00CD1179" w14:paraId="71C92992" w14:textId="77777777" w:rsidTr="00CD1179">
        <w:trPr>
          <w:tblHeader/>
          <w:jc w:val="center"/>
        </w:trPr>
        <w:tc>
          <w:tcPr>
            <w:tcW w:w="0" w:type="auto"/>
            <w:tcBorders>
              <w:top w:val="single" w:sz="12" w:space="0" w:color="auto"/>
              <w:bottom w:val="single" w:sz="12" w:space="0" w:color="auto"/>
            </w:tcBorders>
            <w:shd w:val="clear" w:color="auto" w:fill="auto"/>
            <w:vAlign w:val="center"/>
          </w:tcPr>
          <w:p w14:paraId="71C9298E" w14:textId="77777777" w:rsidR="006C7B06" w:rsidRPr="00CD1179" w:rsidRDefault="006C7B06" w:rsidP="00CD1179">
            <w:pPr>
              <w:pStyle w:val="Tablehead"/>
            </w:pPr>
            <w:r w:rsidRPr="00CD1179">
              <w:t>Locus of control / Trust model</w:t>
            </w:r>
          </w:p>
        </w:tc>
        <w:tc>
          <w:tcPr>
            <w:tcW w:w="0" w:type="auto"/>
            <w:tcBorders>
              <w:top w:val="single" w:sz="12" w:space="0" w:color="auto"/>
              <w:bottom w:val="single" w:sz="12" w:space="0" w:color="auto"/>
            </w:tcBorders>
            <w:shd w:val="clear" w:color="auto" w:fill="auto"/>
            <w:vAlign w:val="center"/>
          </w:tcPr>
          <w:p w14:paraId="71C9298F" w14:textId="77777777" w:rsidR="006C7B06" w:rsidRPr="00CD1179" w:rsidRDefault="006C7B06" w:rsidP="00CD1179">
            <w:pPr>
              <w:pStyle w:val="Tablehead"/>
            </w:pPr>
            <w:r w:rsidRPr="00CD1179">
              <w:t>Decision-making process</w:t>
            </w:r>
          </w:p>
        </w:tc>
        <w:tc>
          <w:tcPr>
            <w:tcW w:w="0" w:type="auto"/>
            <w:tcBorders>
              <w:top w:val="single" w:sz="12" w:space="0" w:color="auto"/>
              <w:bottom w:val="single" w:sz="12" w:space="0" w:color="auto"/>
            </w:tcBorders>
            <w:shd w:val="clear" w:color="auto" w:fill="auto"/>
            <w:vAlign w:val="center"/>
          </w:tcPr>
          <w:p w14:paraId="71C92990" w14:textId="77777777" w:rsidR="006C7B06" w:rsidRPr="00CD1179" w:rsidRDefault="006C7B06" w:rsidP="00CD1179">
            <w:pPr>
              <w:pStyle w:val="Tablehead"/>
            </w:pPr>
            <w:r w:rsidRPr="00CD1179">
              <w:t>Meaning</w:t>
            </w:r>
          </w:p>
        </w:tc>
        <w:tc>
          <w:tcPr>
            <w:tcW w:w="0" w:type="auto"/>
            <w:tcBorders>
              <w:top w:val="single" w:sz="12" w:space="0" w:color="auto"/>
              <w:bottom w:val="single" w:sz="12" w:space="0" w:color="auto"/>
            </w:tcBorders>
            <w:shd w:val="clear" w:color="auto" w:fill="auto"/>
            <w:vAlign w:val="center"/>
          </w:tcPr>
          <w:p w14:paraId="71C92991" w14:textId="76AA0B6C" w:rsidR="006C7B06" w:rsidRPr="00CD1179" w:rsidRDefault="006C7B06" w:rsidP="00CD1179">
            <w:pPr>
              <w:pStyle w:val="Tablehead"/>
            </w:pPr>
            <w:r w:rsidRPr="00CD1179">
              <w:t>Examples of projects</w:t>
            </w:r>
            <w:r w:rsidR="001122ED">
              <w:t>'</w:t>
            </w:r>
            <w:r w:rsidRPr="00CD1179">
              <w:t xml:space="preserve"> platforms</w:t>
            </w:r>
          </w:p>
        </w:tc>
      </w:tr>
      <w:tr w:rsidR="006C7B06" w:rsidRPr="00CD1179" w14:paraId="71C92997" w14:textId="77777777" w:rsidTr="00CD1179">
        <w:trPr>
          <w:cantSplit/>
          <w:jc w:val="center"/>
        </w:trPr>
        <w:tc>
          <w:tcPr>
            <w:tcW w:w="0" w:type="auto"/>
            <w:tcBorders>
              <w:top w:val="single" w:sz="12" w:space="0" w:color="auto"/>
            </w:tcBorders>
            <w:shd w:val="clear" w:color="auto" w:fill="auto"/>
          </w:tcPr>
          <w:p w14:paraId="71C92993" w14:textId="77777777" w:rsidR="006C7B06" w:rsidRPr="00CD1179" w:rsidRDefault="006C7B06" w:rsidP="00CD1179">
            <w:pPr>
              <w:pStyle w:val="Tabletext"/>
            </w:pPr>
            <w:r w:rsidRPr="00CD1179">
              <w:rPr>
                <w:rFonts w:eastAsia="SimSun"/>
              </w:rPr>
              <w:t>Ranging from distributed among multiple governances to Negentropic</w:t>
            </w:r>
          </w:p>
        </w:tc>
        <w:tc>
          <w:tcPr>
            <w:tcW w:w="0" w:type="auto"/>
            <w:tcBorders>
              <w:top w:val="single" w:sz="12" w:space="0" w:color="auto"/>
            </w:tcBorders>
            <w:shd w:val="clear" w:color="auto" w:fill="auto"/>
          </w:tcPr>
          <w:p w14:paraId="71C92994" w14:textId="77777777" w:rsidR="006C7B06" w:rsidRPr="00CD1179" w:rsidRDefault="006C7B06" w:rsidP="00CD1179">
            <w:pPr>
              <w:pStyle w:val="Tabletext"/>
            </w:pPr>
            <w:r w:rsidRPr="00CD1179">
              <w:t>Cooperative</w:t>
            </w:r>
          </w:p>
        </w:tc>
        <w:tc>
          <w:tcPr>
            <w:tcW w:w="0" w:type="auto"/>
            <w:tcBorders>
              <w:top w:val="single" w:sz="12" w:space="0" w:color="auto"/>
            </w:tcBorders>
            <w:shd w:val="clear" w:color="auto" w:fill="auto"/>
          </w:tcPr>
          <w:p w14:paraId="71C92995" w14:textId="77777777" w:rsidR="006C7B06" w:rsidRPr="00CD1179" w:rsidRDefault="006C7B06" w:rsidP="00CD1179">
            <w:pPr>
              <w:pStyle w:val="Tabletext"/>
            </w:pPr>
            <w:r w:rsidRPr="00CD1179">
              <w:t>Protocol change proposals are provided and approved on a cooperative and voluntary basis due to absence of a central authority. Contentious proposals run the risk of fracturing the network resulting in a permanent split.</w:t>
            </w:r>
          </w:p>
        </w:tc>
        <w:tc>
          <w:tcPr>
            <w:tcW w:w="0" w:type="auto"/>
            <w:tcBorders>
              <w:top w:val="single" w:sz="12" w:space="0" w:color="auto"/>
            </w:tcBorders>
            <w:shd w:val="clear" w:color="auto" w:fill="auto"/>
          </w:tcPr>
          <w:p w14:paraId="71C92996" w14:textId="77777777" w:rsidR="006C7B06" w:rsidRPr="00CD1179" w:rsidRDefault="006C7B06" w:rsidP="00CD1179">
            <w:pPr>
              <w:pStyle w:val="Tabletext"/>
            </w:pPr>
            <w:r w:rsidRPr="00CD1179">
              <w:rPr>
                <w:rFonts w:eastAsia="SimSun"/>
              </w:rPr>
              <w:t>Bitcoin</w:t>
            </w:r>
          </w:p>
        </w:tc>
      </w:tr>
      <w:tr w:rsidR="006C7B06" w:rsidRPr="00CD1179" w14:paraId="71C9299C" w14:textId="77777777" w:rsidTr="00CD1179">
        <w:trPr>
          <w:cantSplit/>
          <w:jc w:val="center"/>
        </w:trPr>
        <w:tc>
          <w:tcPr>
            <w:tcW w:w="0" w:type="auto"/>
            <w:shd w:val="clear" w:color="auto" w:fill="auto"/>
          </w:tcPr>
          <w:p w14:paraId="71C92998" w14:textId="77777777" w:rsidR="006C7B06" w:rsidRPr="00CD1179" w:rsidRDefault="006C7B06" w:rsidP="00CD1179">
            <w:pPr>
              <w:pStyle w:val="Tabletext"/>
            </w:pPr>
            <w:r w:rsidRPr="00CD1179">
              <w:t>Centralized, autocratic</w:t>
            </w:r>
          </w:p>
        </w:tc>
        <w:tc>
          <w:tcPr>
            <w:tcW w:w="0" w:type="auto"/>
            <w:shd w:val="clear" w:color="auto" w:fill="auto"/>
          </w:tcPr>
          <w:p w14:paraId="71C92999" w14:textId="77777777" w:rsidR="006C7B06" w:rsidRPr="00CD1179" w:rsidRDefault="006C7B06" w:rsidP="00CD1179">
            <w:pPr>
              <w:pStyle w:val="Tabletext"/>
            </w:pPr>
            <w:r w:rsidRPr="00CD1179">
              <w:t>Autocratic, arbitrary</w:t>
            </w:r>
          </w:p>
        </w:tc>
        <w:tc>
          <w:tcPr>
            <w:tcW w:w="0" w:type="auto"/>
            <w:shd w:val="clear" w:color="auto" w:fill="auto"/>
          </w:tcPr>
          <w:p w14:paraId="71C9299A" w14:textId="77777777" w:rsidR="006C7B06" w:rsidRPr="00CD1179" w:rsidRDefault="006C7B06" w:rsidP="00CD1179">
            <w:pPr>
              <w:pStyle w:val="Tabletext"/>
            </w:pPr>
            <w:r w:rsidRPr="00CD1179">
              <w:t>Decisions over changes on protocol rules are taken by a single entity (e.g., a person, company, mining pool, etc.).</w:t>
            </w:r>
          </w:p>
        </w:tc>
        <w:tc>
          <w:tcPr>
            <w:tcW w:w="0" w:type="auto"/>
            <w:shd w:val="clear" w:color="auto" w:fill="auto"/>
          </w:tcPr>
          <w:p w14:paraId="71C9299B" w14:textId="77777777" w:rsidR="006C7B06" w:rsidRPr="00CD1179" w:rsidRDefault="006C7B06" w:rsidP="00CD1179">
            <w:pPr>
              <w:pStyle w:val="Tabletext"/>
            </w:pPr>
            <w:r w:rsidRPr="00CD1179">
              <w:rPr>
                <w:rFonts w:eastAsia="SimSun"/>
              </w:rPr>
              <w:t>Ripple, Project X, Hyperledger</w:t>
            </w:r>
          </w:p>
        </w:tc>
      </w:tr>
      <w:tr w:rsidR="006C7B06" w:rsidRPr="00CD1179" w14:paraId="71C929A1" w14:textId="77777777" w:rsidTr="00CD1179">
        <w:trPr>
          <w:cantSplit/>
          <w:jc w:val="center"/>
        </w:trPr>
        <w:tc>
          <w:tcPr>
            <w:tcW w:w="0" w:type="auto"/>
            <w:shd w:val="clear" w:color="auto" w:fill="auto"/>
          </w:tcPr>
          <w:p w14:paraId="71C9299D" w14:textId="77777777" w:rsidR="006C7B06" w:rsidRPr="00CD1179" w:rsidRDefault="006C7B06" w:rsidP="00CD1179">
            <w:pPr>
              <w:pStyle w:val="Tabletext"/>
            </w:pPr>
            <w:r w:rsidRPr="00CD1179">
              <w:rPr>
                <w:rFonts w:eastAsia="SimSun"/>
              </w:rPr>
              <w:t xml:space="preserve">Centralized: With two or more governance tiers </w:t>
            </w:r>
          </w:p>
        </w:tc>
        <w:tc>
          <w:tcPr>
            <w:tcW w:w="0" w:type="auto"/>
            <w:shd w:val="clear" w:color="auto" w:fill="auto"/>
          </w:tcPr>
          <w:p w14:paraId="71C9299E" w14:textId="77777777" w:rsidR="006C7B06" w:rsidRPr="00CD1179" w:rsidRDefault="006C7B06" w:rsidP="00CD1179">
            <w:pPr>
              <w:pStyle w:val="Tabletext"/>
            </w:pPr>
            <w:r w:rsidRPr="00CD1179">
              <w:t>Hierarchical</w:t>
            </w:r>
          </w:p>
        </w:tc>
        <w:tc>
          <w:tcPr>
            <w:tcW w:w="0" w:type="auto"/>
            <w:shd w:val="clear" w:color="auto" w:fill="auto"/>
          </w:tcPr>
          <w:p w14:paraId="71C9299F" w14:textId="77777777" w:rsidR="006C7B06" w:rsidRPr="00CD1179" w:rsidRDefault="006C7B06" w:rsidP="00CD1179">
            <w:pPr>
              <w:pStyle w:val="Tabletext"/>
            </w:pPr>
            <w:r w:rsidRPr="00CD1179">
              <w:t xml:space="preserve">Individuals </w:t>
            </w:r>
            <w:proofErr w:type="gramStart"/>
            <w:r w:rsidRPr="00CD1179">
              <w:t>have the ability to</w:t>
            </w:r>
            <w:proofErr w:type="gramEnd"/>
            <w:r w:rsidRPr="00CD1179">
              <w:t xml:space="preserve"> propose changes but recognized leadership (e.g., foundation or a committee in control of a key code repository) all but ensures protocol changes will rely on the consent of the leaders.</w:t>
            </w:r>
          </w:p>
        </w:tc>
        <w:tc>
          <w:tcPr>
            <w:tcW w:w="0" w:type="auto"/>
            <w:shd w:val="clear" w:color="auto" w:fill="auto"/>
          </w:tcPr>
          <w:p w14:paraId="71C929A0" w14:textId="77777777" w:rsidR="006C7B06" w:rsidRPr="00CD1179" w:rsidRDefault="006C7B06" w:rsidP="00CD1179">
            <w:pPr>
              <w:pStyle w:val="Tabletext"/>
            </w:pPr>
            <w:r w:rsidRPr="00CD1179">
              <w:rPr>
                <w:rFonts w:eastAsia="SimSun"/>
              </w:rPr>
              <w:t>Ethereum Foundation</w:t>
            </w:r>
          </w:p>
        </w:tc>
      </w:tr>
      <w:tr w:rsidR="006C7B06" w:rsidRPr="00CD1179" w14:paraId="71C929A8" w14:textId="77777777" w:rsidTr="00CD1179">
        <w:trPr>
          <w:cantSplit/>
          <w:jc w:val="center"/>
        </w:trPr>
        <w:tc>
          <w:tcPr>
            <w:tcW w:w="0" w:type="auto"/>
            <w:shd w:val="clear" w:color="auto" w:fill="auto"/>
          </w:tcPr>
          <w:p w14:paraId="71C929A3" w14:textId="4F10F109" w:rsidR="006C7B06" w:rsidRPr="00CD1179" w:rsidRDefault="006C7B06" w:rsidP="00CD1179">
            <w:pPr>
              <w:pStyle w:val="Tabletext"/>
            </w:pPr>
            <w:r w:rsidRPr="00CD1179">
              <w:rPr>
                <w:rFonts w:eastAsia="SimSun"/>
              </w:rPr>
              <w:lastRenderedPageBreak/>
              <w:t>Centralized: With conditional governance tiers</w:t>
            </w:r>
          </w:p>
        </w:tc>
        <w:tc>
          <w:tcPr>
            <w:tcW w:w="0" w:type="auto"/>
            <w:shd w:val="clear" w:color="auto" w:fill="auto"/>
          </w:tcPr>
          <w:p w14:paraId="71C929A5" w14:textId="726B7844" w:rsidR="006C7B06" w:rsidRPr="00CD1179" w:rsidRDefault="006C7B06" w:rsidP="00CD1179">
            <w:pPr>
              <w:pStyle w:val="Tabletext"/>
            </w:pPr>
            <w:r w:rsidRPr="00CD1179">
              <w:t>Plutocratic</w:t>
            </w:r>
            <w:r w:rsidR="00CD1179">
              <w:t xml:space="preserve"> </w:t>
            </w:r>
            <w:r w:rsidRPr="00CD1179">
              <w:t>unequal horizontality</w:t>
            </w:r>
          </w:p>
        </w:tc>
        <w:tc>
          <w:tcPr>
            <w:tcW w:w="0" w:type="auto"/>
            <w:shd w:val="clear" w:color="auto" w:fill="auto"/>
          </w:tcPr>
          <w:p w14:paraId="71C929A6" w14:textId="77777777" w:rsidR="006C7B06" w:rsidRPr="00CD1179" w:rsidRDefault="006C7B06" w:rsidP="00CD1179">
            <w:pPr>
              <w:pStyle w:val="Tabletext"/>
            </w:pPr>
            <w:r w:rsidRPr="00CD1179">
              <w:t>Protocol change proposals are voted on where each vote is weighted by the importance of each proposer or voter. In the plutocratic case, substantial weight is given to a minority of voters (e.g. due to high ownership share of the weighting asset).</w:t>
            </w:r>
          </w:p>
        </w:tc>
        <w:tc>
          <w:tcPr>
            <w:tcW w:w="0" w:type="auto"/>
            <w:shd w:val="clear" w:color="auto" w:fill="auto"/>
          </w:tcPr>
          <w:p w14:paraId="71C929A7" w14:textId="77777777" w:rsidR="006C7B06" w:rsidRPr="00CD1179" w:rsidRDefault="006C7B06" w:rsidP="00CD1179">
            <w:pPr>
              <w:pStyle w:val="Tabletext"/>
            </w:pPr>
            <w:proofErr w:type="spellStart"/>
            <w:r w:rsidRPr="00CD1179">
              <w:rPr>
                <w:rFonts w:eastAsia="SimSun"/>
              </w:rPr>
              <w:t>Alastria</w:t>
            </w:r>
            <w:proofErr w:type="spellEnd"/>
          </w:p>
        </w:tc>
      </w:tr>
      <w:tr w:rsidR="006C7B06" w:rsidRPr="00CD1179" w14:paraId="71C929AE" w14:textId="77777777" w:rsidTr="00CD1179">
        <w:trPr>
          <w:cantSplit/>
          <w:jc w:val="center"/>
        </w:trPr>
        <w:tc>
          <w:tcPr>
            <w:tcW w:w="0" w:type="auto"/>
            <w:shd w:val="clear" w:color="auto" w:fill="auto"/>
          </w:tcPr>
          <w:p w14:paraId="71C929AA" w14:textId="1F926A9E" w:rsidR="006C7B06" w:rsidRPr="00CD1179" w:rsidRDefault="006C7B06" w:rsidP="00CD1179">
            <w:pPr>
              <w:pStyle w:val="Tabletext"/>
            </w:pPr>
            <w:r w:rsidRPr="00CD1179">
              <w:rPr>
                <w:rFonts w:eastAsia="SimSun"/>
              </w:rPr>
              <w:t>Decentralized democratic</w:t>
            </w:r>
            <w:r w:rsidR="00CD1179">
              <w:rPr>
                <w:rFonts w:eastAsia="SimSun"/>
              </w:rPr>
              <w:t xml:space="preserve"> </w:t>
            </w:r>
            <w:r w:rsidRPr="00CD1179">
              <w:t>autonomous agency</w:t>
            </w:r>
          </w:p>
        </w:tc>
        <w:tc>
          <w:tcPr>
            <w:tcW w:w="0" w:type="auto"/>
            <w:shd w:val="clear" w:color="auto" w:fill="auto"/>
          </w:tcPr>
          <w:p w14:paraId="71C929AB" w14:textId="77777777" w:rsidR="006C7B06" w:rsidRPr="00CD1179" w:rsidRDefault="006C7B06" w:rsidP="00CD1179">
            <w:pPr>
              <w:pStyle w:val="Tabletext"/>
            </w:pPr>
            <w:r w:rsidRPr="00CD1179">
              <w:t>Horizontal</w:t>
            </w:r>
          </w:p>
        </w:tc>
        <w:tc>
          <w:tcPr>
            <w:tcW w:w="0" w:type="auto"/>
            <w:shd w:val="clear" w:color="auto" w:fill="auto"/>
          </w:tcPr>
          <w:p w14:paraId="71C929AC" w14:textId="77777777" w:rsidR="006C7B06" w:rsidRPr="00CD1179" w:rsidRDefault="006C7B06" w:rsidP="00CD1179">
            <w:pPr>
              <w:pStyle w:val="Tabletext"/>
            </w:pPr>
            <w:r w:rsidRPr="00CD1179">
              <w:t>Protocol change proposals are voted on with each vote weighted by the importance of each proposer or voter. In the democratic case, a minority of voters do not have substantial weight in vote outcomes.</w:t>
            </w:r>
          </w:p>
        </w:tc>
        <w:tc>
          <w:tcPr>
            <w:tcW w:w="0" w:type="auto"/>
            <w:shd w:val="clear" w:color="auto" w:fill="auto"/>
          </w:tcPr>
          <w:p w14:paraId="71C929AD" w14:textId="77777777" w:rsidR="006C7B06" w:rsidRPr="00CD1179" w:rsidRDefault="006C7B06" w:rsidP="00CD1179">
            <w:pPr>
              <w:pStyle w:val="Tabletext"/>
            </w:pPr>
            <w:proofErr w:type="spellStart"/>
            <w:r w:rsidRPr="00CD1179">
              <w:rPr>
                <w:rFonts w:eastAsia="SimSun"/>
              </w:rPr>
              <w:t>Democracy.earth</w:t>
            </w:r>
            <w:proofErr w:type="spellEnd"/>
          </w:p>
        </w:tc>
      </w:tr>
      <w:tr w:rsidR="006C7B06" w:rsidRPr="00CD1179" w14:paraId="71C929B3" w14:textId="77777777" w:rsidTr="00CD1179">
        <w:trPr>
          <w:cantSplit/>
          <w:jc w:val="center"/>
        </w:trPr>
        <w:tc>
          <w:tcPr>
            <w:tcW w:w="0" w:type="auto"/>
            <w:shd w:val="clear" w:color="auto" w:fill="auto"/>
          </w:tcPr>
          <w:p w14:paraId="71C929AF" w14:textId="77777777" w:rsidR="006C7B06" w:rsidRPr="00CD1179" w:rsidRDefault="006C7B06" w:rsidP="00CD1179">
            <w:pPr>
              <w:pStyle w:val="Tabletext"/>
            </w:pPr>
            <w:proofErr w:type="spellStart"/>
            <w:r w:rsidRPr="00CD1179">
              <w:rPr>
                <w:rFonts w:eastAsia="SimSun"/>
              </w:rPr>
              <w:t>Futarchy</w:t>
            </w:r>
            <w:proofErr w:type="spellEnd"/>
          </w:p>
        </w:tc>
        <w:tc>
          <w:tcPr>
            <w:tcW w:w="0" w:type="auto"/>
            <w:shd w:val="clear" w:color="auto" w:fill="auto"/>
          </w:tcPr>
          <w:p w14:paraId="71C929B0" w14:textId="77777777" w:rsidR="006C7B06" w:rsidRPr="00CD1179" w:rsidRDefault="006C7B06" w:rsidP="00CD1179">
            <w:pPr>
              <w:pStyle w:val="Tabletext"/>
            </w:pPr>
            <w:r w:rsidRPr="00CD1179">
              <w:t>Indirect consensus</w:t>
            </w:r>
          </w:p>
        </w:tc>
        <w:tc>
          <w:tcPr>
            <w:tcW w:w="0" w:type="auto"/>
            <w:shd w:val="clear" w:color="auto" w:fill="auto"/>
          </w:tcPr>
          <w:p w14:paraId="71C929B1" w14:textId="77777777" w:rsidR="006C7B06" w:rsidRPr="00CD1179" w:rsidRDefault="006C7B06" w:rsidP="00CD1179">
            <w:pPr>
              <w:pStyle w:val="Tabletext"/>
            </w:pPr>
            <w:r w:rsidRPr="00CD1179">
              <w:t>Decision-making operates through a metric pre-defined by its stakeholders. Prediction market models are used to determine which policies will have the most positive effect.</w:t>
            </w:r>
          </w:p>
        </w:tc>
        <w:tc>
          <w:tcPr>
            <w:tcW w:w="0" w:type="auto"/>
            <w:shd w:val="clear" w:color="auto" w:fill="auto"/>
          </w:tcPr>
          <w:p w14:paraId="71C929B2" w14:textId="77777777" w:rsidR="006C7B06" w:rsidRPr="00CD1179" w:rsidRDefault="006C7B06" w:rsidP="00CD1179">
            <w:pPr>
              <w:pStyle w:val="Tabletext"/>
            </w:pPr>
            <w:r w:rsidRPr="00CD1179">
              <w:rPr>
                <w:rFonts w:eastAsia="SimSun"/>
              </w:rPr>
              <w:t xml:space="preserve">Aragon, </w:t>
            </w:r>
            <w:proofErr w:type="spellStart"/>
            <w:r w:rsidRPr="00CD1179">
              <w:rPr>
                <w:rFonts w:eastAsia="SimSun"/>
              </w:rPr>
              <w:t>Tezos</w:t>
            </w:r>
            <w:proofErr w:type="spellEnd"/>
            <w:r w:rsidRPr="00CD1179">
              <w:rPr>
                <w:rFonts w:eastAsia="SimSun"/>
              </w:rPr>
              <w:t>, Gnosis</w:t>
            </w:r>
          </w:p>
        </w:tc>
      </w:tr>
      <w:tr w:rsidR="006C7B06" w:rsidRPr="00CD1179" w14:paraId="71C929B9" w14:textId="77777777" w:rsidTr="00CD1179">
        <w:trPr>
          <w:cantSplit/>
          <w:jc w:val="center"/>
        </w:trPr>
        <w:tc>
          <w:tcPr>
            <w:tcW w:w="0" w:type="auto"/>
            <w:shd w:val="clear" w:color="auto" w:fill="auto"/>
          </w:tcPr>
          <w:p w14:paraId="71C929B4" w14:textId="77777777" w:rsidR="006C7B06" w:rsidRPr="00CD1179" w:rsidRDefault="006C7B06" w:rsidP="00CD1179">
            <w:pPr>
              <w:pStyle w:val="Tabletext"/>
            </w:pPr>
            <w:r w:rsidRPr="00CD1179">
              <w:rPr>
                <w:rFonts w:eastAsia="SimSun"/>
              </w:rPr>
              <w:t>Federated</w:t>
            </w:r>
          </w:p>
        </w:tc>
        <w:tc>
          <w:tcPr>
            <w:tcW w:w="0" w:type="auto"/>
            <w:shd w:val="clear" w:color="auto" w:fill="auto"/>
          </w:tcPr>
          <w:p w14:paraId="71C929B5" w14:textId="77777777" w:rsidR="006C7B06" w:rsidRPr="00CD1179" w:rsidRDefault="006C7B06" w:rsidP="00CD1179">
            <w:pPr>
              <w:pStyle w:val="Tabletext"/>
            </w:pPr>
            <w:r w:rsidRPr="00CD1179">
              <w:t>Coalition/</w:t>
            </w:r>
          </w:p>
          <w:p w14:paraId="71C929B6" w14:textId="77777777" w:rsidR="006C7B06" w:rsidRPr="00CD1179" w:rsidRDefault="006C7B06" w:rsidP="00CD1179">
            <w:pPr>
              <w:pStyle w:val="Tabletext"/>
            </w:pPr>
            <w:r w:rsidRPr="00CD1179">
              <w:t xml:space="preserve">collective partnerships </w:t>
            </w:r>
          </w:p>
        </w:tc>
        <w:tc>
          <w:tcPr>
            <w:tcW w:w="0" w:type="auto"/>
            <w:shd w:val="clear" w:color="auto" w:fill="auto"/>
          </w:tcPr>
          <w:p w14:paraId="71C929B7" w14:textId="77777777" w:rsidR="006C7B06" w:rsidRPr="00CD1179" w:rsidRDefault="006C7B06" w:rsidP="00CD1179">
            <w:pPr>
              <w:pStyle w:val="Tabletext"/>
            </w:pPr>
            <w:r w:rsidRPr="00CD1179">
              <w:t>A group of agents vote on protocol alterations linked by a horizontal relationship scheme. Members of a federation need not have equal voice/power nor even necessarily known to each other.</w:t>
            </w:r>
          </w:p>
        </w:tc>
        <w:tc>
          <w:tcPr>
            <w:tcW w:w="0" w:type="auto"/>
            <w:shd w:val="clear" w:color="auto" w:fill="auto"/>
          </w:tcPr>
          <w:p w14:paraId="71C929B8" w14:textId="77777777" w:rsidR="006C7B06" w:rsidRPr="00CD1179" w:rsidRDefault="006C7B06" w:rsidP="00CD1179">
            <w:pPr>
              <w:pStyle w:val="Tabletext"/>
            </w:pPr>
            <w:r w:rsidRPr="00CD1179">
              <w:rPr>
                <w:rFonts w:eastAsia="SimSun"/>
              </w:rPr>
              <w:t>Verified.me</w:t>
            </w:r>
          </w:p>
        </w:tc>
      </w:tr>
    </w:tbl>
    <w:p w14:paraId="71C929BA" w14:textId="77777777" w:rsidR="006C7B06" w:rsidRPr="007A3793" w:rsidRDefault="006C7B06" w:rsidP="00CD1179">
      <w:pPr>
        <w:rPr>
          <w:lang w:val="en-GB"/>
        </w:rPr>
      </w:pPr>
      <w:r w:rsidRPr="007A3793">
        <w:rPr>
          <w:b/>
          <w:bCs/>
          <w:lang w:val="en-GB"/>
        </w:rPr>
        <w:t xml:space="preserve">Distribution </w:t>
      </w:r>
      <w:r w:rsidRPr="007A3793">
        <w:rPr>
          <w:lang w:val="en-GB"/>
        </w:rPr>
        <w:t xml:space="preserve">implies that </w:t>
      </w:r>
      <w:r w:rsidRPr="007A3793">
        <w:rPr>
          <w:b/>
          <w:bCs/>
          <w:lang w:val="en-GB"/>
        </w:rPr>
        <w:t xml:space="preserve">solutions </w:t>
      </w:r>
      <w:r w:rsidRPr="007A3793">
        <w:rPr>
          <w:lang w:val="en-GB"/>
        </w:rPr>
        <w:t>have an initial system design and a governance model to alter it. There is a conflict between:</w:t>
      </w:r>
    </w:p>
    <w:p w14:paraId="6795A1BA" w14:textId="77777777" w:rsidR="007A3793" w:rsidRPr="007A3793" w:rsidRDefault="006C7B06" w:rsidP="007A3793">
      <w:pPr>
        <w:numPr>
          <w:ilvl w:val="0"/>
          <w:numId w:val="22"/>
        </w:numPr>
        <w:ind w:left="567" w:hanging="567"/>
        <w:rPr>
          <w:lang w:val="en-GB"/>
        </w:rPr>
      </w:pPr>
      <w:r w:rsidRPr="007A3793">
        <w:rPr>
          <w:lang w:val="en-GB"/>
        </w:rPr>
        <w:t>Having unfettered (unrestricted) freedom to deploy and use a DLT-based framework under a peaceful association as a constitutionally acknowledged human right; versus;</w:t>
      </w:r>
    </w:p>
    <w:p w14:paraId="740E99C4" w14:textId="77777777" w:rsidR="007A3793" w:rsidRPr="007A3793" w:rsidRDefault="006C7B06" w:rsidP="007A3793">
      <w:pPr>
        <w:numPr>
          <w:ilvl w:val="0"/>
          <w:numId w:val="22"/>
        </w:numPr>
        <w:ind w:left="567" w:hanging="567"/>
        <w:rPr>
          <w:lang w:val="en-GB"/>
        </w:rPr>
      </w:pPr>
      <w:r w:rsidRPr="007A3793">
        <w:rPr>
          <w:lang w:val="en-GB"/>
        </w:rPr>
        <w:t>Having limitations/boundaries of right(s), where some guidance (rules and policies) places restraints on DLT-based framework deployments and usage activities (e.g., priori functionality descriptions are associated with conditions for use by users, providers, participants, owners, etc.). When imposed by governance convention, the purpose of restraining actions is to ameliorate outcomes that may be harmful to groups or interests.</w:t>
      </w:r>
    </w:p>
    <w:p w14:paraId="71C929BD" w14:textId="46FFFD4B" w:rsidR="006C7B06" w:rsidRPr="007A3793" w:rsidRDefault="006C7B06" w:rsidP="00CD1179">
      <w:pPr>
        <w:rPr>
          <w:lang w:val="en-GB"/>
        </w:rPr>
      </w:pPr>
      <w:r w:rsidRPr="007A3793">
        <w:rPr>
          <w:lang w:val="en-GB"/>
        </w:rPr>
        <w:t>[</w:t>
      </w:r>
      <w:hyperlink w:anchor="rauchs" w:history="1">
        <w:r w:rsidR="00CD1179">
          <w:rPr>
            <w:rStyle w:val="Hyperlink"/>
            <w:lang w:val="en-GB"/>
          </w:rPr>
          <w:t>b</w:t>
        </w:r>
        <w:r w:rsidR="00CD1179">
          <w:rPr>
            <w:rStyle w:val="Hyperlink"/>
            <w:lang w:val="en-GB"/>
          </w:rPr>
          <w:noBreakHyphen/>
        </w:r>
        <w:proofErr w:type="spellStart"/>
        <w:r w:rsidRPr="007A3793">
          <w:rPr>
            <w:rStyle w:val="Hyperlink"/>
            <w:lang w:val="en-GB"/>
          </w:rPr>
          <w:t>Rauchs</w:t>
        </w:r>
        <w:proofErr w:type="spellEnd"/>
      </w:hyperlink>
      <w:r w:rsidRPr="007A3793">
        <w:rPr>
          <w:lang w:val="en-GB"/>
        </w:rPr>
        <w:t>] distinguishes three levels for altering the protocol governance layer which is, in functionality, a hierarchical critical configuration based on: proposal, funding approval and implementation. The different proposals entail governance alternatives of participation and authorization to restrict the exercise of individual participation (voting, property selling, voluntary contribution, debate on governance, etc.), as specified in network foundation documents.</w:t>
      </w:r>
    </w:p>
    <w:p w14:paraId="71C929BE" w14:textId="77777777" w:rsidR="006C7B06" w:rsidRPr="007A3793" w:rsidRDefault="006C7B06" w:rsidP="00CD1179">
      <w:pPr>
        <w:rPr>
          <w:lang w:val="en-GB"/>
        </w:rPr>
      </w:pPr>
      <w:r w:rsidRPr="007A3793">
        <w:rPr>
          <w:lang w:val="en-GB"/>
        </w:rPr>
        <w:t>The key regulatory challenges associated with this property are:</w:t>
      </w:r>
    </w:p>
    <w:p w14:paraId="71C929BF" w14:textId="77777777" w:rsidR="006C7B06" w:rsidRPr="007A3793" w:rsidRDefault="006C7B06" w:rsidP="007A3793">
      <w:pPr>
        <w:numPr>
          <w:ilvl w:val="0"/>
          <w:numId w:val="22"/>
        </w:numPr>
        <w:ind w:left="567" w:hanging="567"/>
        <w:rPr>
          <w:lang w:val="en-GB"/>
        </w:rPr>
      </w:pPr>
      <w:r w:rsidRPr="007A3793">
        <w:rPr>
          <w:lang w:val="en-GB"/>
        </w:rPr>
        <w:t>Applicability of existing law with respect to nodes established in different states;</w:t>
      </w:r>
    </w:p>
    <w:p w14:paraId="4DAD7211" w14:textId="77777777" w:rsidR="007A3793" w:rsidRPr="007A3793" w:rsidRDefault="006C7B06" w:rsidP="007A3793">
      <w:pPr>
        <w:numPr>
          <w:ilvl w:val="0"/>
          <w:numId w:val="22"/>
        </w:numPr>
        <w:ind w:left="567" w:hanging="567"/>
        <w:rPr>
          <w:lang w:val="en-GB"/>
        </w:rPr>
      </w:pPr>
      <w:r w:rsidRPr="007A3793">
        <w:rPr>
          <w:lang w:val="en-GB"/>
        </w:rPr>
        <w:t xml:space="preserve">Legal responsible subjects in multiple jurisdictions, competition and failure-handling issues are relevant within a DLT governance context. To this extent it is worth mentioning that </w:t>
      </w:r>
      <w:r w:rsidRPr="007A3793">
        <w:rPr>
          <w:lang w:val="en-GB"/>
        </w:rPr>
        <w:lastRenderedPageBreak/>
        <w:t>there is a relevant distinction between the incident management model and the incident governance model;</w:t>
      </w:r>
      <w:r w:rsidRPr="007A3793">
        <w:rPr>
          <w:vertAlign w:val="superscript"/>
          <w:lang w:val="en-GB"/>
        </w:rPr>
        <w:footnoteReference w:id="1"/>
      </w:r>
    </w:p>
    <w:p w14:paraId="71C929C1" w14:textId="6F2DDE13" w:rsidR="006C7B06" w:rsidRPr="007A3793" w:rsidRDefault="006C7B06" w:rsidP="007A3793">
      <w:pPr>
        <w:numPr>
          <w:ilvl w:val="0"/>
          <w:numId w:val="22"/>
        </w:numPr>
        <w:ind w:left="567" w:hanging="567"/>
        <w:rPr>
          <w:lang w:val="en-GB"/>
        </w:rPr>
      </w:pPr>
      <w:r w:rsidRPr="007A3793">
        <w:rPr>
          <w:lang w:val="en-GB"/>
        </w:rPr>
        <w:t>Distributed storage solutions to accomplish legal requirements of production environments;</w:t>
      </w:r>
    </w:p>
    <w:p w14:paraId="52302EF8" w14:textId="77777777" w:rsidR="007A3793" w:rsidRPr="007A3793" w:rsidRDefault="006C7B06" w:rsidP="007A3793">
      <w:pPr>
        <w:numPr>
          <w:ilvl w:val="0"/>
          <w:numId w:val="22"/>
        </w:numPr>
        <w:ind w:left="567" w:hanging="567"/>
        <w:rPr>
          <w:lang w:val="en-GB"/>
        </w:rPr>
      </w:pPr>
      <w:r w:rsidRPr="007A3793">
        <w:rPr>
          <w:lang w:val="en-GB"/>
        </w:rPr>
        <w:t>Legal accomplishment of interoperability requirements. The heterogeneity of DLT devices, operating systems, programming languages, node managers and networks pose a huge challenge within different legal areas;</w:t>
      </w:r>
    </w:p>
    <w:p w14:paraId="71C929C3" w14:textId="4115D530" w:rsidR="006C7B06" w:rsidRPr="007A3793" w:rsidRDefault="006C7B06" w:rsidP="007A3793">
      <w:pPr>
        <w:numPr>
          <w:ilvl w:val="0"/>
          <w:numId w:val="22"/>
        </w:numPr>
        <w:ind w:left="567" w:hanging="567"/>
        <w:rPr>
          <w:lang w:val="en-GB"/>
        </w:rPr>
      </w:pPr>
      <w:r w:rsidRPr="007A3793">
        <w:rPr>
          <w:lang w:val="en-GB"/>
        </w:rPr>
        <w:t>New digital civil or commercial</w:t>
      </w:r>
      <w:r w:rsidR="00797298">
        <w:rPr>
          <w:lang w:val="en-GB"/>
        </w:rPr>
        <w:t xml:space="preserve"> </w:t>
      </w:r>
      <w:r w:rsidRPr="007A3793">
        <w:rPr>
          <w:lang w:val="en-GB"/>
        </w:rPr>
        <w:t>law</w:t>
      </w:r>
      <w:r w:rsidR="00797298">
        <w:rPr>
          <w:lang w:val="en-GB"/>
        </w:rPr>
        <w:t>s</w:t>
      </w:r>
      <w:r w:rsidRPr="007A3793">
        <w:rPr>
          <w:lang w:val="en-GB"/>
        </w:rPr>
        <w:t xml:space="preserve"> form such as multilateral consortia agreements, organizations such as DAOs and decentralized e-contracting including financial system contracts for banking, stock markets and insurance purposes;</w:t>
      </w:r>
    </w:p>
    <w:p w14:paraId="71C929C4" w14:textId="77777777" w:rsidR="006C7B06" w:rsidRPr="007A3793" w:rsidRDefault="006C7B06" w:rsidP="007A3793">
      <w:pPr>
        <w:numPr>
          <w:ilvl w:val="0"/>
          <w:numId w:val="22"/>
        </w:numPr>
        <w:ind w:left="567" w:hanging="567"/>
        <w:rPr>
          <w:lang w:val="en-GB"/>
        </w:rPr>
      </w:pPr>
      <w:r w:rsidRPr="007A3793">
        <w:rPr>
          <w:lang w:val="en-GB"/>
        </w:rPr>
        <w:t>Protection of secrecy in open environments in accordance with existing data protection regimes in force in different jurisdictions. Security related issues should be addressed as well as far as they concern integrity, confidentiality, enforceability, availability and usage of networks with variable scope in different jurisdictions. Some constraints may work at cross-purposes and require multiple protections to satisfy criteria drawn from different governance authorities;</w:t>
      </w:r>
    </w:p>
    <w:p w14:paraId="71C929C5" w14:textId="4F2B1DEC" w:rsidR="006C7B06" w:rsidRPr="007A3793" w:rsidRDefault="006C7B06" w:rsidP="007A3793">
      <w:pPr>
        <w:numPr>
          <w:ilvl w:val="0"/>
          <w:numId w:val="22"/>
        </w:numPr>
        <w:ind w:left="567" w:hanging="567"/>
        <w:rPr>
          <w:lang w:val="en-GB"/>
        </w:rPr>
      </w:pPr>
      <w:r w:rsidRPr="007A3793">
        <w:rPr>
          <w:lang w:val="en-GB"/>
        </w:rPr>
        <w:t>Cross-border transfer and data localization: collecting data, retaining data, analy</w:t>
      </w:r>
      <w:r w:rsidR="001122ED">
        <w:rPr>
          <w:lang w:val="en-GB"/>
        </w:rPr>
        <w:t>s</w:t>
      </w:r>
      <w:r w:rsidRPr="007A3793">
        <w:rPr>
          <w:lang w:val="en-GB"/>
        </w:rPr>
        <w:t>ing data, deleting data and sharing data. Data storage and privacy and personal data may fall under regulatory purview if derived from other non-protected data attributes: directives, regulations and jurisdictional impact on personal data protection;</w:t>
      </w:r>
    </w:p>
    <w:p w14:paraId="71C929C6" w14:textId="77777777" w:rsidR="006C7B06" w:rsidRPr="007A3793" w:rsidRDefault="006C7B06" w:rsidP="007A3793">
      <w:pPr>
        <w:numPr>
          <w:ilvl w:val="0"/>
          <w:numId w:val="22"/>
        </w:numPr>
        <w:ind w:left="567" w:hanging="567"/>
        <w:rPr>
          <w:lang w:val="en-GB"/>
        </w:rPr>
      </w:pPr>
      <w:r w:rsidRPr="007A3793">
        <w:rPr>
          <w:lang w:val="en-GB"/>
        </w:rPr>
        <w:t>Perhaps, the main legal challenge associated with DLT addresses the identification of responsibility in distributed systems. Present legal systems often assume hierarchical control of systems in order to attribute responsibility accordingly;</w:t>
      </w:r>
    </w:p>
    <w:p w14:paraId="71C929C7" w14:textId="77777777" w:rsidR="006C7B06" w:rsidRPr="007A3793" w:rsidRDefault="006C7B06" w:rsidP="007A3793">
      <w:pPr>
        <w:numPr>
          <w:ilvl w:val="0"/>
          <w:numId w:val="22"/>
        </w:numPr>
        <w:ind w:left="567" w:hanging="567"/>
        <w:rPr>
          <w:lang w:val="en-GB"/>
        </w:rPr>
      </w:pPr>
      <w:r w:rsidRPr="007A3793">
        <w:rPr>
          <w:lang w:val="en-GB"/>
        </w:rPr>
        <w:t xml:space="preserve">Multi-jurisdiction and arbitration: Conflicts to be resolved automatically, or autonomously, while maintaining the persistence of the framework and deciding which conflicts are destined for off-chain resolution or off-ledger resolution. Different territorially applicable laws can </w:t>
      </w:r>
      <w:proofErr w:type="gramStart"/>
      <w:r w:rsidRPr="007A3793">
        <w:rPr>
          <w:lang w:val="en-GB"/>
        </w:rPr>
        <w:t>enter into</w:t>
      </w:r>
      <w:proofErr w:type="gramEnd"/>
      <w:r w:rsidRPr="007A3793">
        <w:rPr>
          <w:lang w:val="en-GB"/>
        </w:rPr>
        <w:t xml:space="preserve"> conflict with these solutions. Court orders from one jurisdiction may supersede internal blockchain governance as well as other court orders. Possible solutions like setting up arbitration agreements or defining the applicable law in </w:t>
      </w:r>
      <w:proofErr w:type="gramStart"/>
      <w:r w:rsidRPr="007A3793">
        <w:rPr>
          <w:lang w:val="en-GB"/>
        </w:rPr>
        <w:t>some kind of contract</w:t>
      </w:r>
      <w:proofErr w:type="gramEnd"/>
      <w:r w:rsidRPr="007A3793">
        <w:rPr>
          <w:lang w:val="en-GB"/>
        </w:rPr>
        <w:t xml:space="preserve"> between the participants may not be recognized by all jurisdictions;</w:t>
      </w:r>
    </w:p>
    <w:p w14:paraId="71C929C8" w14:textId="77777777" w:rsidR="006C7B06" w:rsidRPr="007A3793" w:rsidRDefault="006C7B06" w:rsidP="007A3793">
      <w:pPr>
        <w:numPr>
          <w:ilvl w:val="0"/>
          <w:numId w:val="22"/>
        </w:numPr>
        <w:ind w:left="567" w:hanging="567"/>
        <w:rPr>
          <w:lang w:val="en-GB"/>
        </w:rPr>
      </w:pPr>
      <w:r w:rsidRPr="007A3793">
        <w:rPr>
          <w:lang w:val="en-GB"/>
        </w:rPr>
        <w:t>Market Competition: Antitrust and anti-competition law.</w:t>
      </w:r>
    </w:p>
    <w:p w14:paraId="71C929C9" w14:textId="77777777" w:rsidR="006C7B06" w:rsidRPr="007A3793" w:rsidRDefault="006C7B06" w:rsidP="007A3793">
      <w:pPr>
        <w:pStyle w:val="Heading3"/>
        <w:ind w:left="567" w:hanging="567"/>
        <w:rPr>
          <w:lang w:bidi="en-GB"/>
        </w:rPr>
      </w:pPr>
      <w:bookmarkStart w:id="38" w:name="_Toc16243491"/>
      <w:bookmarkStart w:id="39" w:name="_Toc23447190"/>
      <w:bookmarkStart w:id="40" w:name="_Toc23767530"/>
      <w:r w:rsidRPr="007A3793">
        <w:rPr>
          <w:lang w:bidi="en-GB"/>
        </w:rPr>
        <w:t>Approaches and/or recommendations</w:t>
      </w:r>
      <w:bookmarkEnd w:id="38"/>
      <w:bookmarkEnd w:id="39"/>
      <w:bookmarkEnd w:id="40"/>
    </w:p>
    <w:p w14:paraId="71C929CA" w14:textId="652C3F1F" w:rsidR="006C7B06" w:rsidRPr="007A3793" w:rsidRDefault="008063FC" w:rsidP="00CD1179">
      <w:pPr>
        <w:rPr>
          <w:b/>
          <w:lang w:val="en-GB" w:eastAsia="ko-KR"/>
        </w:rPr>
      </w:pPr>
      <w:r>
        <w:rPr>
          <w:lang w:val="en-GB" w:eastAsia="ko-KR"/>
        </w:rPr>
        <w:t xml:space="preserve">It is </w:t>
      </w:r>
      <w:r w:rsidR="006C7B06" w:rsidRPr="007A3793">
        <w:rPr>
          <w:lang w:val="en-GB" w:eastAsia="ko-KR"/>
        </w:rPr>
        <w:t>recommend</w:t>
      </w:r>
      <w:r w:rsidR="00797298">
        <w:rPr>
          <w:lang w:val="en-GB" w:eastAsia="ko-KR"/>
        </w:rPr>
        <w:t>ed</w:t>
      </w:r>
      <w:r w:rsidR="006C7B06" w:rsidRPr="007A3793">
        <w:rPr>
          <w:lang w:val="en-GB" w:eastAsia="ko-KR"/>
        </w:rPr>
        <w:t xml:space="preserve"> to efficiently combine the </w:t>
      </w:r>
      <w:proofErr w:type="gramStart"/>
      <w:r w:rsidR="006C7B06" w:rsidRPr="007A3793">
        <w:rPr>
          <w:lang w:val="en-GB" w:eastAsia="ko-KR"/>
        </w:rPr>
        <w:t>aforementioned approaches</w:t>
      </w:r>
      <w:proofErr w:type="gramEnd"/>
      <w:r w:rsidR="006C7B06" w:rsidRPr="007A3793">
        <w:rPr>
          <w:lang w:val="en-GB" w:eastAsia="ko-KR"/>
        </w:rPr>
        <w:t xml:space="preserve"> within the scope of future international working group legal prospection with regard to significant findings by specialized doctrine and jurisprudence and in accordance with governmental national or regional forthcoming sectorial approaches, in particular within these fields:</w:t>
      </w:r>
    </w:p>
    <w:p w14:paraId="71C929CB" w14:textId="77777777" w:rsidR="006C7B06" w:rsidRPr="007A3793" w:rsidRDefault="006C7B06" w:rsidP="007A3793">
      <w:pPr>
        <w:numPr>
          <w:ilvl w:val="0"/>
          <w:numId w:val="22"/>
        </w:numPr>
        <w:ind w:left="567" w:hanging="567"/>
        <w:rPr>
          <w:lang w:val="en-GB"/>
        </w:rPr>
      </w:pPr>
      <w:r w:rsidRPr="007A3793">
        <w:rPr>
          <w:lang w:val="en-GB"/>
        </w:rPr>
        <w:t>Civil and criminal liability for blockchain distributed control;</w:t>
      </w:r>
    </w:p>
    <w:p w14:paraId="71C929CC" w14:textId="77777777" w:rsidR="006C7B06" w:rsidRPr="007A3793" w:rsidRDefault="006C7B06" w:rsidP="007A3793">
      <w:pPr>
        <w:numPr>
          <w:ilvl w:val="0"/>
          <w:numId w:val="22"/>
        </w:numPr>
        <w:ind w:left="567" w:hanging="567"/>
        <w:rPr>
          <w:lang w:val="en-GB"/>
        </w:rPr>
      </w:pPr>
      <w:r w:rsidRPr="007A3793">
        <w:rPr>
          <w:lang w:val="en-GB"/>
        </w:rPr>
        <w:t>Decentralized controllers/managers (human or not);</w:t>
      </w:r>
    </w:p>
    <w:p w14:paraId="53F6DEBD" w14:textId="77777777" w:rsidR="007A3793" w:rsidRPr="007A3793" w:rsidRDefault="006C7B06" w:rsidP="007A3793">
      <w:pPr>
        <w:numPr>
          <w:ilvl w:val="0"/>
          <w:numId w:val="22"/>
        </w:numPr>
        <w:ind w:left="567" w:hanging="567"/>
        <w:rPr>
          <w:lang w:val="en-GB"/>
        </w:rPr>
      </w:pPr>
      <w:r w:rsidRPr="007A3793">
        <w:rPr>
          <w:lang w:val="en-GB"/>
        </w:rPr>
        <w:t>Authoritative sources of records and data;</w:t>
      </w:r>
    </w:p>
    <w:p w14:paraId="71C929CE" w14:textId="39B3784D" w:rsidR="006C7B06" w:rsidRDefault="006C7B06" w:rsidP="007A3793">
      <w:pPr>
        <w:numPr>
          <w:ilvl w:val="0"/>
          <w:numId w:val="22"/>
        </w:numPr>
        <w:ind w:left="567" w:hanging="567"/>
        <w:rPr>
          <w:lang w:val="en-GB"/>
        </w:rPr>
      </w:pPr>
      <w:r w:rsidRPr="007A3793">
        <w:rPr>
          <w:lang w:val="en-GB"/>
        </w:rPr>
        <w:t>DLT-record and other related digital sources of legal proof.</w:t>
      </w:r>
      <w:bookmarkStart w:id="41" w:name="_Toc11405549"/>
      <w:bookmarkStart w:id="42" w:name="_Toc535938805"/>
      <w:bookmarkStart w:id="43" w:name="_Toc535939313"/>
      <w:bookmarkStart w:id="44" w:name="_Toc11405553"/>
      <w:bookmarkStart w:id="45" w:name="_Toc11405554"/>
      <w:bookmarkStart w:id="46" w:name="_Toc11405555"/>
      <w:bookmarkStart w:id="47" w:name="_Toc11405556"/>
      <w:bookmarkStart w:id="48" w:name="_Toc11405557"/>
      <w:bookmarkStart w:id="49" w:name="_Toc11405558"/>
      <w:bookmarkStart w:id="50" w:name="_Toc11405559"/>
      <w:bookmarkStart w:id="51" w:name="_Toc11405560"/>
      <w:bookmarkStart w:id="52" w:name="_Toc11405561"/>
      <w:bookmarkStart w:id="53" w:name="_Toc11405562"/>
      <w:bookmarkStart w:id="54" w:name="_Toc535939310"/>
      <w:bookmarkStart w:id="55" w:name="_Toc14188464"/>
      <w:bookmarkEnd w:id="30"/>
      <w:bookmarkEnd w:id="41"/>
      <w:bookmarkEnd w:id="42"/>
      <w:bookmarkEnd w:id="43"/>
      <w:bookmarkEnd w:id="44"/>
      <w:bookmarkEnd w:id="45"/>
      <w:bookmarkEnd w:id="46"/>
      <w:bookmarkEnd w:id="47"/>
      <w:bookmarkEnd w:id="48"/>
      <w:bookmarkEnd w:id="49"/>
      <w:bookmarkEnd w:id="50"/>
      <w:bookmarkEnd w:id="51"/>
      <w:bookmarkEnd w:id="52"/>
      <w:bookmarkEnd w:id="53"/>
    </w:p>
    <w:p w14:paraId="71C929D0" w14:textId="77777777" w:rsidR="006C7B06" w:rsidRPr="007A3793" w:rsidRDefault="006C7B06" w:rsidP="007A3793">
      <w:pPr>
        <w:pStyle w:val="Heading2"/>
        <w:ind w:left="567" w:hanging="567"/>
      </w:pPr>
      <w:bookmarkStart w:id="56" w:name="_Toc16243492"/>
      <w:bookmarkStart w:id="57" w:name="_Toc23447191"/>
      <w:bookmarkStart w:id="58" w:name="_Toc23767531"/>
      <w:r w:rsidRPr="007A3793">
        <w:lastRenderedPageBreak/>
        <w:t xml:space="preserve">Property 2: </w:t>
      </w:r>
      <w:bookmarkEnd w:id="54"/>
      <w:r w:rsidRPr="007A3793">
        <w:t>Autonomy and responsibility</w:t>
      </w:r>
      <w:bookmarkEnd w:id="55"/>
      <w:bookmarkEnd w:id="56"/>
      <w:bookmarkEnd w:id="57"/>
      <w:bookmarkEnd w:id="58"/>
    </w:p>
    <w:p w14:paraId="3A4F2D73" w14:textId="1E7A5776" w:rsidR="007A3793" w:rsidRPr="007A3793" w:rsidRDefault="006C7B06" w:rsidP="00CD1179">
      <w:r w:rsidRPr="007A3793">
        <w:t>Autonomy and responsibility imply having the right or power to choose how to act and may result in legal liability. Invoking this choice may be an essential consequence of having the capability to exist independently – an essential consequence of attributing, ascribing or assigning independent existence to machines [</w:t>
      </w:r>
      <w:proofErr w:type="spellStart"/>
      <w:r w:rsidR="00397F9F">
        <w:fldChar w:fldCharType="begin"/>
      </w:r>
      <w:r w:rsidR="00397F9F">
        <w:instrText xml:space="preserve"> HYPERLINK \l "ibaneza" </w:instrText>
      </w:r>
      <w:r w:rsidR="00397F9F">
        <w:fldChar w:fldCharType="separate"/>
      </w:r>
      <w:r w:rsidR="00CD1179">
        <w:rPr>
          <w:rStyle w:val="Hyperlink"/>
        </w:rPr>
        <w:t>b</w:t>
      </w:r>
      <w:r w:rsidR="00CD1179">
        <w:rPr>
          <w:rStyle w:val="Hyperlink"/>
        </w:rPr>
        <w:noBreakHyphen/>
      </w:r>
      <w:r w:rsidRPr="007A3793">
        <w:rPr>
          <w:rStyle w:val="Hyperlink"/>
        </w:rPr>
        <w:t>Ibáñez-a</w:t>
      </w:r>
      <w:proofErr w:type="spellEnd"/>
      <w:r w:rsidR="00397F9F">
        <w:rPr>
          <w:rStyle w:val="Hyperlink"/>
        </w:rPr>
        <w:fldChar w:fldCharType="end"/>
      </w:r>
      <w:r w:rsidRPr="007A3793">
        <w:t>].</w:t>
      </w:r>
    </w:p>
    <w:p w14:paraId="71C929D2" w14:textId="342CEB64" w:rsidR="006C7B06" w:rsidRPr="007A3793" w:rsidRDefault="006C7B06" w:rsidP="007A3793">
      <w:pPr>
        <w:pStyle w:val="Heading3"/>
        <w:ind w:left="567" w:hanging="567"/>
      </w:pPr>
      <w:bookmarkStart w:id="59" w:name="_Toc14188465"/>
      <w:bookmarkStart w:id="60" w:name="_Toc16243493"/>
      <w:bookmarkStart w:id="61" w:name="_Toc23447192"/>
      <w:bookmarkStart w:id="62" w:name="_Toc23767532"/>
      <w:r w:rsidRPr="007A3793">
        <w:t>Introduction of the property</w:t>
      </w:r>
      <w:bookmarkEnd w:id="59"/>
      <w:bookmarkEnd w:id="60"/>
      <w:bookmarkEnd w:id="61"/>
      <w:bookmarkEnd w:id="62"/>
    </w:p>
    <w:p w14:paraId="3CF72807" w14:textId="5679FD91" w:rsidR="007A3793" w:rsidRPr="007A3793" w:rsidRDefault="006C7B06" w:rsidP="00CD1179">
      <w:pPr>
        <w:rPr>
          <w:lang w:val="en-GB"/>
        </w:rPr>
      </w:pPr>
      <w:r w:rsidRPr="007A3793">
        <w:rPr>
          <w:lang w:val="en-GB"/>
        </w:rPr>
        <w:t>Transactions on DLTs can be executed autonomously. This means that these transactions only depend on the conditions set in the DLT. The code is protected against interferences. Smart contracts (SCs) can automate some of the processes typically associated with a legally binding contract [</w:t>
      </w:r>
      <w:hyperlink w:anchor="raskin" w:history="1">
        <w:r w:rsidR="00CD1179">
          <w:rPr>
            <w:rStyle w:val="Hyperlink"/>
            <w:lang w:val="en-GB"/>
          </w:rPr>
          <w:t>b</w:t>
        </w:r>
        <w:r w:rsidR="00CD1179">
          <w:rPr>
            <w:rStyle w:val="Hyperlink"/>
            <w:lang w:val="en-GB"/>
          </w:rPr>
          <w:noBreakHyphen/>
        </w:r>
        <w:proofErr w:type="spellStart"/>
        <w:r w:rsidRPr="007A3793">
          <w:rPr>
            <w:rStyle w:val="Hyperlink"/>
            <w:lang w:val="en-GB"/>
          </w:rPr>
          <w:t>Raskin</w:t>
        </w:r>
        <w:proofErr w:type="spellEnd"/>
      </w:hyperlink>
      <w:r w:rsidRPr="007A3793">
        <w:rPr>
          <w:lang w:val="en-GB"/>
        </w:rPr>
        <w:t>].</w:t>
      </w:r>
    </w:p>
    <w:p w14:paraId="2A44E0EB" w14:textId="77777777" w:rsidR="007A3793" w:rsidRPr="007A3793" w:rsidRDefault="006C7B06" w:rsidP="00CD1179">
      <w:pPr>
        <w:rPr>
          <w:lang w:val="en-GB"/>
        </w:rPr>
      </w:pPr>
      <w:r w:rsidRPr="007A3793">
        <w:rPr>
          <w:lang w:val="en-GB"/>
        </w:rPr>
        <w:t>SCs can be used to implement on-chain governance to human decisions in networks, organizations or entities within DLT systems. Any voting process can set the rules by SCs that can be traced uniquely.</w:t>
      </w:r>
    </w:p>
    <w:p w14:paraId="2C818519" w14:textId="77777777" w:rsidR="007A3793" w:rsidRPr="007A3793" w:rsidRDefault="006C7B06" w:rsidP="00CD1179">
      <w:pPr>
        <w:rPr>
          <w:lang w:val="en-GB"/>
        </w:rPr>
      </w:pPr>
      <w:r w:rsidRPr="007A3793">
        <w:rPr>
          <w:lang w:val="en-GB"/>
        </w:rPr>
        <w:t>The design of SCs allows for the definition and adoption of rules in order to perform transactions recorded in DLT. Decentralized autonomous organizations (DAOs) which are developed and upgraded by users can model autonomy for decentralized communities. The proliferation of DAOs and autonomous models of governing people, entities, things and processes demonstrates effective orchestration of other components.</w:t>
      </w:r>
    </w:p>
    <w:p w14:paraId="71C929D6" w14:textId="21018A41" w:rsidR="006C7B06" w:rsidRPr="007A3793" w:rsidRDefault="006C7B06" w:rsidP="00CD1179">
      <w:pPr>
        <w:rPr>
          <w:lang w:val="en-GB"/>
        </w:rPr>
      </w:pPr>
      <w:r w:rsidRPr="007A3793">
        <w:rPr>
          <w:lang w:val="en-GB"/>
        </w:rPr>
        <w:t>With the rise of awareness for data privacy, SCs often only process validation metadata to prove the correctness or the valid exercise of rights to access privately stored data (e.g., in Self-Sovereign Identity (SSI) [</w:t>
      </w:r>
      <w:hyperlink w:anchor="bundesblock" w:history="1">
        <w:r w:rsidR="00CD1179">
          <w:rPr>
            <w:rStyle w:val="Hyperlink"/>
            <w:lang w:val="en-GB"/>
          </w:rPr>
          <w:t>b</w:t>
        </w:r>
        <w:r w:rsidR="00CD1179">
          <w:rPr>
            <w:rStyle w:val="Hyperlink"/>
            <w:lang w:val="en-GB"/>
          </w:rPr>
          <w:noBreakHyphen/>
        </w:r>
        <w:proofErr w:type="spellStart"/>
        <w:r w:rsidRPr="007A3793">
          <w:rPr>
            <w:rStyle w:val="Hyperlink"/>
            <w:lang w:val="en-GB"/>
          </w:rPr>
          <w:t>Bundes</w:t>
        </w:r>
        <w:proofErr w:type="spellEnd"/>
        <w:r w:rsidRPr="007A3793">
          <w:rPr>
            <w:rStyle w:val="Hyperlink"/>
            <w:lang w:val="en-GB"/>
          </w:rPr>
          <w:t xml:space="preserve"> Block</w:t>
        </w:r>
      </w:hyperlink>
      <w:r w:rsidRPr="007A3793">
        <w:rPr>
          <w:lang w:val="en-GB"/>
        </w:rPr>
        <w:t>]).</w:t>
      </w:r>
    </w:p>
    <w:p w14:paraId="1308F5DC" w14:textId="77777777" w:rsidR="007A3793" w:rsidRPr="007A3793" w:rsidRDefault="006C7B06" w:rsidP="007A3793">
      <w:pPr>
        <w:pStyle w:val="Heading3"/>
        <w:ind w:left="567" w:hanging="567"/>
      </w:pPr>
      <w:bookmarkStart w:id="63" w:name="_Toc14188466"/>
      <w:bookmarkStart w:id="64" w:name="_Toc16243494"/>
      <w:bookmarkStart w:id="65" w:name="_Toc23447193"/>
      <w:bookmarkStart w:id="66" w:name="_Toc14188467"/>
      <w:bookmarkStart w:id="67" w:name="_Toc23767533"/>
      <w:r w:rsidRPr="007A3793">
        <w:t>Challenges associated with this property</w:t>
      </w:r>
      <w:bookmarkEnd w:id="63"/>
      <w:bookmarkEnd w:id="64"/>
      <w:bookmarkEnd w:id="65"/>
      <w:bookmarkEnd w:id="67"/>
    </w:p>
    <w:p w14:paraId="1EA4F835" w14:textId="5321ACA4" w:rsidR="007A3793" w:rsidRPr="007A3793" w:rsidRDefault="006C7B06" w:rsidP="00CD1179">
      <w:pPr>
        <w:rPr>
          <w:lang w:val="en-GB"/>
        </w:rPr>
      </w:pPr>
      <w:r w:rsidRPr="007A3793">
        <w:rPr>
          <w:lang w:val="en-GB" w:eastAsia="es-ES"/>
        </w:rPr>
        <w:t>Contract automation has possible legal effects. SC autonomous execution is limited to assets stored on-chain. All other enforcement of code agreements inside the SCs (</w:t>
      </w:r>
      <w:r w:rsidR="001122ED">
        <w:rPr>
          <w:lang w:val="en-GB" w:eastAsia="es-ES"/>
        </w:rPr>
        <w:t>"</w:t>
      </w:r>
      <w:r w:rsidRPr="007A3793">
        <w:rPr>
          <w:lang w:val="en-GB" w:eastAsia="es-ES"/>
        </w:rPr>
        <w:t>law</w:t>
      </w:r>
      <w:r w:rsidR="001122ED">
        <w:rPr>
          <w:lang w:val="en-GB" w:eastAsia="es-ES"/>
        </w:rPr>
        <w:t>"</w:t>
      </w:r>
      <w:r w:rsidRPr="007A3793">
        <w:rPr>
          <w:lang w:val="en-GB" w:eastAsia="es-ES"/>
        </w:rPr>
        <w:t xml:space="preserve"> </w:t>
      </w:r>
      <w:r w:rsidRPr="007A3793">
        <w:rPr>
          <w:lang w:val="en-GB"/>
        </w:rPr>
        <w:t>[</w:t>
      </w:r>
      <w:hyperlink w:anchor="lessigb" w:history="1">
        <w:r w:rsidR="00CD1179">
          <w:rPr>
            <w:rStyle w:val="Hyperlink"/>
            <w:lang w:val="en-GB"/>
          </w:rPr>
          <w:t>b</w:t>
        </w:r>
        <w:r w:rsidR="00CD1179">
          <w:rPr>
            <w:rStyle w:val="Hyperlink"/>
            <w:lang w:val="en-GB"/>
          </w:rPr>
          <w:noBreakHyphen/>
        </w:r>
        <w:r w:rsidRPr="007A3793">
          <w:rPr>
            <w:rStyle w:val="Hyperlink"/>
            <w:lang w:val="en-GB"/>
          </w:rPr>
          <w:t>Lessig-b</w:t>
        </w:r>
      </w:hyperlink>
      <w:r w:rsidRPr="007A3793">
        <w:rPr>
          <w:lang w:val="en-GB"/>
        </w:rPr>
        <w:t>]</w:t>
      </w:r>
      <w:r w:rsidRPr="007A3793">
        <w:rPr>
          <w:lang w:val="en-GB" w:eastAsia="es-ES"/>
        </w:rPr>
        <w:t xml:space="preserve">) needs to take the </w:t>
      </w:r>
      <w:r w:rsidRPr="007A3793">
        <w:rPr>
          <w:lang w:val="en-GB"/>
        </w:rPr>
        <w:t>traditional approach of enforcement.</w:t>
      </w:r>
    </w:p>
    <w:p w14:paraId="68483971" w14:textId="77777777" w:rsidR="007A3793" w:rsidRPr="007A3793" w:rsidRDefault="006C7B06" w:rsidP="00CD1179">
      <w:pPr>
        <w:rPr>
          <w:lang w:val="en-GB"/>
        </w:rPr>
      </w:pPr>
      <w:r w:rsidRPr="007A3793">
        <w:rPr>
          <w:lang w:val="en-GB"/>
        </w:rPr>
        <w:t>An SC can also be a representation of a legally binding agreement executed on a blockchain wherein the code entails contract execution.</w:t>
      </w:r>
    </w:p>
    <w:p w14:paraId="200C255B" w14:textId="52E8E4BA" w:rsidR="007A3793" w:rsidRPr="007A3793" w:rsidRDefault="006C7B06" w:rsidP="00CD1179">
      <w:pPr>
        <w:rPr>
          <w:lang w:val="en-GB"/>
        </w:rPr>
      </w:pPr>
      <w:r w:rsidRPr="007A3793">
        <w:rPr>
          <w:lang w:val="en-GB"/>
        </w:rPr>
        <w:t xml:space="preserve">A smart contract with legally binding intention (also referred to as </w:t>
      </w:r>
      <w:r w:rsidR="001122ED">
        <w:rPr>
          <w:lang w:val="en-GB"/>
        </w:rPr>
        <w:t>"</w:t>
      </w:r>
      <w:r w:rsidRPr="007A3793">
        <w:rPr>
          <w:lang w:val="en-GB"/>
        </w:rPr>
        <w:t>legal SC</w:t>
      </w:r>
      <w:r w:rsidR="001122ED">
        <w:rPr>
          <w:lang w:val="en-GB"/>
        </w:rPr>
        <w:t>"</w:t>
      </w:r>
      <w:r w:rsidRPr="007A3793">
        <w:rPr>
          <w:lang w:val="en-GB"/>
        </w:rPr>
        <w:t>) is a possible representation of a legally binding SC agreement executed on a blockchain.</w:t>
      </w:r>
    </w:p>
    <w:p w14:paraId="1C6135A1" w14:textId="4DE8DEED" w:rsidR="007A3793" w:rsidRPr="007A3793" w:rsidRDefault="006C7B06" w:rsidP="00CD1179">
      <w:pPr>
        <w:rPr>
          <w:lang w:val="en-GB"/>
        </w:rPr>
      </w:pPr>
      <w:r w:rsidRPr="007A3793">
        <w:rPr>
          <w:lang w:val="en-GB"/>
        </w:rPr>
        <w:t>The legal interpretation of the contract could differ from that brought by code execution; then, code</w:t>
      </w:r>
      <w:r w:rsidRPr="007A3793">
        <w:rPr>
          <w:lang w:val="en-GB" w:eastAsia="es-ES"/>
        </w:rPr>
        <w:t xml:space="preserve"> can be legally binding, except when it isn</w:t>
      </w:r>
      <w:r w:rsidR="001122ED">
        <w:rPr>
          <w:lang w:val="en-GB" w:eastAsia="es-ES"/>
        </w:rPr>
        <w:t>'</w:t>
      </w:r>
      <w:r w:rsidRPr="007A3793">
        <w:rPr>
          <w:lang w:val="en-GB" w:eastAsia="es-ES"/>
        </w:rPr>
        <w:t xml:space="preserve">t </w:t>
      </w:r>
      <w:r w:rsidRPr="007A3793">
        <w:rPr>
          <w:lang w:val="en-GB"/>
        </w:rPr>
        <w:t>[</w:t>
      </w:r>
      <w:hyperlink w:anchor="peterson" w:history="1">
        <w:r w:rsidR="00CD1179">
          <w:rPr>
            <w:rStyle w:val="Hyperlink"/>
            <w:lang w:val="en-GB"/>
          </w:rPr>
          <w:t>b</w:t>
        </w:r>
        <w:r w:rsidR="00CD1179">
          <w:rPr>
            <w:rStyle w:val="Hyperlink"/>
            <w:lang w:val="en-GB"/>
          </w:rPr>
          <w:noBreakHyphen/>
        </w:r>
        <w:r w:rsidRPr="007A3793">
          <w:rPr>
            <w:rStyle w:val="Hyperlink"/>
            <w:lang w:val="en-GB"/>
          </w:rPr>
          <w:t>Peterson</w:t>
        </w:r>
      </w:hyperlink>
      <w:r w:rsidRPr="007A3793">
        <w:rPr>
          <w:lang w:val="en-GB"/>
        </w:rPr>
        <w:t>]</w:t>
      </w:r>
      <w:r w:rsidRPr="007A3793">
        <w:rPr>
          <w:lang w:val="en-GB" w:eastAsia="es-ES"/>
        </w:rPr>
        <w:t xml:space="preserve">, </w:t>
      </w:r>
      <w:r w:rsidRPr="007A3793">
        <w:rPr>
          <w:lang w:val="en-GB"/>
        </w:rPr>
        <w:t>in accordance with applicable law.</w:t>
      </w:r>
    </w:p>
    <w:p w14:paraId="71C929DC" w14:textId="0D01E2A9" w:rsidR="006C7B06" w:rsidRPr="007A3793" w:rsidRDefault="006C7B06" w:rsidP="00CD1179">
      <w:pPr>
        <w:rPr>
          <w:lang w:val="en-GB"/>
        </w:rPr>
      </w:pPr>
      <w:r w:rsidRPr="007A3793">
        <w:rPr>
          <w:lang w:val="en-GB"/>
        </w:rPr>
        <w:t>Code execution must not infringe mandatory laws. If that were the case, remedies should be pre-set on-chain (SC self-correction, integrated automated arbitration or dispute-resolution mechanisms) or off-chain (external compensation). The code of SCs often needs maintenance (e.g., special permissions to replace part or all the code with a new version). Governance must prevent the abuse of this power.</w:t>
      </w:r>
    </w:p>
    <w:p w14:paraId="71C929DD" w14:textId="77777777" w:rsidR="006C7B06" w:rsidRPr="007A3793" w:rsidRDefault="006C7B06" w:rsidP="00CD1179">
      <w:pPr>
        <w:rPr>
          <w:lang w:val="en-GB"/>
        </w:rPr>
      </w:pPr>
      <w:r w:rsidRPr="007A3793">
        <w:rPr>
          <w:lang w:val="en-GB"/>
        </w:rPr>
        <w:t>Dispute-resolution and compensation widgets can be implemented to avoid conflict with laws:</w:t>
      </w:r>
    </w:p>
    <w:p w14:paraId="71C929DE" w14:textId="77777777" w:rsidR="006C7B06" w:rsidRPr="007A3793" w:rsidRDefault="006C7B06" w:rsidP="00CD1179">
      <w:pPr>
        <w:numPr>
          <w:ilvl w:val="0"/>
          <w:numId w:val="27"/>
        </w:numPr>
        <w:overflowPunct w:val="0"/>
        <w:autoSpaceDE w:val="0"/>
        <w:autoSpaceDN w:val="0"/>
        <w:adjustRightInd w:val="0"/>
        <w:ind w:left="567" w:hanging="567"/>
        <w:textAlignment w:val="baseline"/>
        <w:rPr>
          <w:lang w:val="en-GB"/>
        </w:rPr>
      </w:pPr>
      <w:r w:rsidRPr="007A3793">
        <w:rPr>
          <w:lang w:val="en-GB"/>
        </w:rPr>
        <w:t>On-chain, as part of SCs;</w:t>
      </w:r>
    </w:p>
    <w:p w14:paraId="71C929DF" w14:textId="77777777" w:rsidR="006C7B06" w:rsidRPr="007A3793" w:rsidRDefault="006C7B06" w:rsidP="00CD1179">
      <w:pPr>
        <w:numPr>
          <w:ilvl w:val="0"/>
          <w:numId w:val="27"/>
        </w:numPr>
        <w:overflowPunct w:val="0"/>
        <w:autoSpaceDE w:val="0"/>
        <w:autoSpaceDN w:val="0"/>
        <w:adjustRightInd w:val="0"/>
        <w:ind w:left="567" w:hanging="567"/>
        <w:textAlignment w:val="baseline"/>
        <w:rPr>
          <w:lang w:val="en-GB"/>
        </w:rPr>
      </w:pPr>
      <w:r w:rsidRPr="007A3793">
        <w:rPr>
          <w:lang w:val="en-GB"/>
        </w:rPr>
        <w:t>Off-chain (private arbitration, which is still preferred by courts by virtue of being flexible).</w:t>
      </w:r>
    </w:p>
    <w:p w14:paraId="71C929E0" w14:textId="77777777" w:rsidR="006C7B06" w:rsidRPr="007A3793" w:rsidRDefault="006C7B06" w:rsidP="00CD1179">
      <w:pPr>
        <w:rPr>
          <w:lang w:val="en-GB"/>
        </w:rPr>
      </w:pPr>
      <w:r w:rsidRPr="007A3793">
        <w:rPr>
          <w:lang w:val="en-GB"/>
        </w:rPr>
        <w:t xml:space="preserve">Trust in </w:t>
      </w:r>
      <w:r w:rsidR="00325CA1" w:rsidRPr="007A3793">
        <w:rPr>
          <w:lang w:val="en-GB"/>
        </w:rPr>
        <w:t xml:space="preserve">DLT </w:t>
      </w:r>
      <w:r w:rsidRPr="007A3793">
        <w:rPr>
          <w:lang w:val="en-GB"/>
        </w:rPr>
        <w:t xml:space="preserve">oracles: SCs can only securely access to information on-chain. Thus, external information should only be incorporated through trusted third parties or sources of data called </w:t>
      </w:r>
      <w:r w:rsidR="00325CA1" w:rsidRPr="007A3793">
        <w:rPr>
          <w:lang w:val="en-GB"/>
        </w:rPr>
        <w:t xml:space="preserve">DLT </w:t>
      </w:r>
      <w:r w:rsidRPr="007A3793">
        <w:rPr>
          <w:lang w:val="en-GB"/>
        </w:rPr>
        <w:t>oracles.</w:t>
      </w:r>
    </w:p>
    <w:p w14:paraId="71C929E1" w14:textId="77777777" w:rsidR="006C7B06" w:rsidRPr="007A3793" w:rsidRDefault="006C7B06" w:rsidP="00CD1179">
      <w:pPr>
        <w:rPr>
          <w:lang w:val="en-GB"/>
        </w:rPr>
      </w:pPr>
      <w:r w:rsidRPr="007A3793">
        <w:rPr>
          <w:lang w:val="en-GB"/>
        </w:rPr>
        <w:lastRenderedPageBreak/>
        <w:t xml:space="preserve">Interoperability: Information from other DLT systems can be integrated through </w:t>
      </w:r>
      <w:r w:rsidR="00325CA1" w:rsidRPr="007A3793">
        <w:rPr>
          <w:lang w:val="en-GB"/>
        </w:rPr>
        <w:t xml:space="preserve">DLT </w:t>
      </w:r>
      <w:r w:rsidRPr="007A3793">
        <w:rPr>
          <w:lang w:val="en-GB"/>
        </w:rPr>
        <w:t>oracles or through securely interconnected different blockchains.</w:t>
      </w:r>
    </w:p>
    <w:p w14:paraId="39AB0A63" w14:textId="77777777" w:rsidR="007A3793" w:rsidRPr="007A3793" w:rsidRDefault="006C7B06" w:rsidP="007A3793">
      <w:pPr>
        <w:pStyle w:val="Heading3"/>
        <w:ind w:left="567" w:hanging="567"/>
      </w:pPr>
      <w:bookmarkStart w:id="68" w:name="_Toc16243495"/>
      <w:bookmarkStart w:id="69" w:name="_Toc23447194"/>
      <w:bookmarkStart w:id="70" w:name="_Toc23767534"/>
      <w:r w:rsidRPr="007A3793">
        <w:t>Regulatory challenges</w:t>
      </w:r>
      <w:bookmarkEnd w:id="66"/>
      <w:bookmarkEnd w:id="68"/>
      <w:bookmarkEnd w:id="69"/>
      <w:bookmarkEnd w:id="70"/>
    </w:p>
    <w:p w14:paraId="108E43CB" w14:textId="77777777" w:rsidR="007A3793" w:rsidRPr="007A3793" w:rsidRDefault="006C7B06" w:rsidP="00C04FE7">
      <w:pPr>
        <w:pStyle w:val="Heading4"/>
      </w:pPr>
      <w:r w:rsidRPr="007A3793">
        <w:t>Legal smart contract definition and enforceability, and valid source code execution</w:t>
      </w:r>
    </w:p>
    <w:p w14:paraId="31650305" w14:textId="3B589F35" w:rsidR="007A3793" w:rsidRPr="007A3793" w:rsidRDefault="006C7B06" w:rsidP="00CD1179">
      <w:pPr>
        <w:rPr>
          <w:lang w:val="en-GB"/>
        </w:rPr>
      </w:pPr>
      <w:r w:rsidRPr="007A3793">
        <w:rPr>
          <w:lang w:val="en-GB"/>
        </w:rPr>
        <w:t>Subsidiary off-chain enforcement of SC terms and conditions may be required in cases of breach of SCs with contract-law structure (</w:t>
      </w:r>
      <w:r w:rsidR="001122ED">
        <w:rPr>
          <w:lang w:val="en-GB"/>
        </w:rPr>
        <w:t>"</w:t>
      </w:r>
      <w:r w:rsidRPr="007A3793">
        <w:rPr>
          <w:lang w:val="en-GB"/>
        </w:rPr>
        <w:t>legal SCs</w:t>
      </w:r>
      <w:r w:rsidR="001122ED">
        <w:rPr>
          <w:lang w:val="en-GB"/>
        </w:rPr>
        <w:t>"</w:t>
      </w:r>
      <w:r w:rsidRPr="007A3793">
        <w:rPr>
          <w:lang w:val="en-GB"/>
        </w:rPr>
        <w:t>) requiring restitution [</w:t>
      </w:r>
      <w:proofErr w:type="spellStart"/>
      <w:r w:rsidR="00397F9F">
        <w:fldChar w:fldCharType="begin"/>
      </w:r>
      <w:r w:rsidR="00397F9F">
        <w:instrText xml:space="preserve"> HYPERLINK \l "ibaneza" </w:instrText>
      </w:r>
      <w:r w:rsidR="00397F9F">
        <w:fldChar w:fldCharType="separate"/>
      </w:r>
      <w:r w:rsidR="00CD1179">
        <w:rPr>
          <w:rStyle w:val="Hyperlink"/>
          <w:lang w:val="en-GB"/>
        </w:rPr>
        <w:t>b</w:t>
      </w:r>
      <w:r w:rsidR="00CD1179">
        <w:rPr>
          <w:rStyle w:val="Hyperlink"/>
          <w:lang w:val="en-GB"/>
        </w:rPr>
        <w:noBreakHyphen/>
      </w:r>
      <w:r w:rsidRPr="007A3793">
        <w:rPr>
          <w:rStyle w:val="Hyperlink"/>
          <w:lang w:val="en-GB"/>
        </w:rPr>
        <w:t>Ibáñez-a</w:t>
      </w:r>
      <w:proofErr w:type="spellEnd"/>
      <w:r w:rsidR="00397F9F">
        <w:rPr>
          <w:rStyle w:val="Hyperlink"/>
          <w:lang w:val="en-GB"/>
        </w:rPr>
        <w:fldChar w:fldCharType="end"/>
      </w:r>
      <w:r w:rsidRPr="007A3793">
        <w:rPr>
          <w:lang w:val="en-GB"/>
        </w:rPr>
        <w:t>].</w:t>
      </w:r>
    </w:p>
    <w:p w14:paraId="71C929E5" w14:textId="7FDBE173" w:rsidR="006C7B06" w:rsidRPr="007A3793" w:rsidRDefault="006C7B06" w:rsidP="00CD1179">
      <w:pPr>
        <w:rPr>
          <w:lang w:val="en-GB"/>
        </w:rPr>
      </w:pPr>
      <w:r w:rsidRPr="007A3793">
        <w:rPr>
          <w:lang w:val="en-GB"/>
        </w:rPr>
        <w:t>Boundaries of anonymity, to solve the conflict between privacy rights and public-law order. Anonymous and pseudonymous transactions: Smart contracts enable to conceal or hide the identity of the transacting entities. Even though this aspect is desirable from a privacy viewpoint, it might facilitate crime, or impede the application of transparency laws (namely AML). Ensuring privacy only to low-cost transactions might be a solution there. Another approach is controlled pseudonymization of data owners, thus keeping data traceable in a limited way.</w:t>
      </w:r>
    </w:p>
    <w:p w14:paraId="71C929E6" w14:textId="51E07537" w:rsidR="006C7B06" w:rsidRPr="007A3793" w:rsidRDefault="006C7B06" w:rsidP="00CD1179">
      <w:pPr>
        <w:rPr>
          <w:lang w:val="en-GB"/>
        </w:rPr>
      </w:pPr>
      <w:r w:rsidRPr="007A3793">
        <w:rPr>
          <w:lang w:val="en-GB"/>
        </w:rPr>
        <w:t>Enforceability of legal SCs (SC with contract-law structure) [</w:t>
      </w:r>
      <w:proofErr w:type="spellStart"/>
      <w:r w:rsidR="00397F9F">
        <w:fldChar w:fldCharType="begin"/>
      </w:r>
      <w:r w:rsidR="00397F9F">
        <w:instrText xml:space="preserve"> HYPERLINK \l "ibaneza" </w:instrText>
      </w:r>
      <w:r w:rsidR="00397F9F">
        <w:fldChar w:fldCharType="separate"/>
      </w:r>
      <w:r w:rsidR="00CD1179">
        <w:rPr>
          <w:rStyle w:val="Hyperlink"/>
          <w:lang w:val="en-GB"/>
        </w:rPr>
        <w:t>b</w:t>
      </w:r>
      <w:r w:rsidR="00CD1179">
        <w:rPr>
          <w:rStyle w:val="Hyperlink"/>
          <w:lang w:val="en-GB"/>
        </w:rPr>
        <w:noBreakHyphen/>
      </w:r>
      <w:r w:rsidRPr="007A3793">
        <w:rPr>
          <w:rStyle w:val="Hyperlink"/>
          <w:lang w:val="en-GB"/>
        </w:rPr>
        <w:t>Ibáñez-a</w:t>
      </w:r>
      <w:proofErr w:type="spellEnd"/>
      <w:r w:rsidR="00397F9F">
        <w:rPr>
          <w:rStyle w:val="Hyperlink"/>
          <w:lang w:val="en-GB"/>
        </w:rPr>
        <w:fldChar w:fldCharType="end"/>
      </w:r>
      <w:r w:rsidRPr="007A3793">
        <w:rPr>
          <w:lang w:val="en-GB"/>
        </w:rPr>
        <w:t xml:space="preserve">].  While the SC code can self-enforce transactions on DLT-managed assets, other contract terms require traditional enforcement, </w:t>
      </w:r>
      <w:proofErr w:type="gramStart"/>
      <w:r w:rsidRPr="007A3793">
        <w:rPr>
          <w:lang w:val="en-GB"/>
        </w:rPr>
        <w:t>in particular when</w:t>
      </w:r>
      <w:proofErr w:type="gramEnd"/>
      <w:r w:rsidRPr="007A3793">
        <w:rPr>
          <w:lang w:val="en-GB"/>
        </w:rPr>
        <w:t xml:space="preserve"> its breach requires restitution. When SCs are used pseudonymously or in an international context, conventional enforcement might be difficult.</w:t>
      </w:r>
    </w:p>
    <w:p w14:paraId="71C929E7" w14:textId="36282932" w:rsidR="006C7B06" w:rsidRPr="007A3793" w:rsidRDefault="006C7B06" w:rsidP="00CD1179">
      <w:pPr>
        <w:rPr>
          <w:lang w:val="en-GB"/>
        </w:rPr>
      </w:pPr>
      <w:r w:rsidRPr="007A3793">
        <w:rPr>
          <w:lang w:val="en-GB"/>
        </w:rPr>
        <w:t xml:space="preserve">Applicable law: SCs should fix applicable laws and legal forum / arbitration though consumer or investor tutelary rules. International private law might still compel to apply local laws or forum. Current </w:t>
      </w:r>
      <w:proofErr w:type="spellStart"/>
      <w:r w:rsidRPr="007A3793">
        <w:rPr>
          <w:lang w:val="en-GB"/>
        </w:rPr>
        <w:t>pseudonymity</w:t>
      </w:r>
      <w:proofErr w:type="spellEnd"/>
      <w:r w:rsidRPr="007A3793">
        <w:rPr>
          <w:lang w:val="en-GB"/>
        </w:rPr>
        <w:t xml:space="preserve"> could be private enough to hinder conventional enforcement and at the same time </w:t>
      </w:r>
      <w:proofErr w:type="gramStart"/>
      <w:r w:rsidRPr="007A3793">
        <w:rPr>
          <w:lang w:val="en-GB"/>
        </w:rPr>
        <w:t>not be</w:t>
      </w:r>
      <w:proofErr w:type="gramEnd"/>
      <w:r w:rsidRPr="007A3793">
        <w:rPr>
          <w:lang w:val="en-GB"/>
        </w:rPr>
        <w:t xml:space="preserve"> private enough</w:t>
      </w:r>
      <w:r w:rsidR="00CD1179">
        <w:rPr>
          <w:lang w:val="en-GB"/>
        </w:rPr>
        <w:t>,</w:t>
      </w:r>
      <w:r w:rsidRPr="007A3793">
        <w:rPr>
          <w:lang w:val="en-GB"/>
        </w:rPr>
        <w:t xml:space="preserve"> and therefore break privacy laws.</w:t>
      </w:r>
    </w:p>
    <w:p w14:paraId="334C3CD1" w14:textId="2AFDAB54" w:rsidR="007A3793" w:rsidRPr="007A3793" w:rsidRDefault="006C7B06" w:rsidP="00CD1179">
      <w:pPr>
        <w:rPr>
          <w:lang w:val="en-GB"/>
        </w:rPr>
      </w:pPr>
      <w:r w:rsidRPr="007A3793">
        <w:rPr>
          <w:lang w:val="en-GB"/>
        </w:rPr>
        <w:t xml:space="preserve">Software developers of </w:t>
      </w:r>
      <w:r w:rsidR="00325CA1" w:rsidRPr="007A3793">
        <w:rPr>
          <w:lang w:val="en-GB"/>
        </w:rPr>
        <w:t>SCs</w:t>
      </w:r>
      <w:r w:rsidRPr="007A3793">
        <w:rPr>
          <w:lang w:val="en-GB"/>
        </w:rPr>
        <w:t>, as parties in blockchain nodes, may incur Legal liability (criminal and civil) – this especially applies in Proof-of-Authority (</w:t>
      </w:r>
      <w:proofErr w:type="spellStart"/>
      <w:r w:rsidRPr="007A3793">
        <w:rPr>
          <w:lang w:val="en-GB"/>
        </w:rPr>
        <w:t>PoA</w:t>
      </w:r>
      <w:proofErr w:type="spellEnd"/>
      <w:r w:rsidRPr="007A3793">
        <w:rPr>
          <w:lang w:val="en-GB"/>
        </w:rPr>
        <w:t>) governed networks [</w:t>
      </w:r>
      <w:proofErr w:type="spellStart"/>
      <w:r w:rsidR="00397F9F">
        <w:fldChar w:fldCharType="begin"/>
      </w:r>
      <w:r w:rsidR="00397F9F">
        <w:instrText xml:space="preserve"> HYPERLINK \l "ibanezb" </w:instrText>
      </w:r>
      <w:r w:rsidR="00397F9F">
        <w:fldChar w:fldCharType="separate"/>
      </w:r>
      <w:r w:rsidR="00CD1179">
        <w:rPr>
          <w:rStyle w:val="Hyperlink"/>
          <w:lang w:val="en-GB"/>
        </w:rPr>
        <w:t>b</w:t>
      </w:r>
      <w:r w:rsidR="00CD1179">
        <w:rPr>
          <w:rStyle w:val="Hyperlink"/>
          <w:lang w:val="en-GB"/>
        </w:rPr>
        <w:noBreakHyphen/>
      </w:r>
      <w:r w:rsidRPr="007A3793">
        <w:rPr>
          <w:rStyle w:val="Hyperlink"/>
          <w:lang w:val="en-GB"/>
        </w:rPr>
        <w:t>Ibáñez-b</w:t>
      </w:r>
      <w:proofErr w:type="spellEnd"/>
      <w:r w:rsidR="00397F9F">
        <w:rPr>
          <w:rStyle w:val="Hyperlink"/>
          <w:lang w:val="en-GB"/>
        </w:rPr>
        <w:fldChar w:fldCharType="end"/>
      </w:r>
      <w:r w:rsidRPr="007A3793">
        <w:rPr>
          <w:lang w:val="en-GB"/>
        </w:rPr>
        <w:t>].</w:t>
      </w:r>
    </w:p>
    <w:p w14:paraId="71C929E9" w14:textId="5562BEC0" w:rsidR="006C7B06" w:rsidRPr="007A3793" w:rsidRDefault="006C7B06" w:rsidP="00CD1179">
      <w:pPr>
        <w:rPr>
          <w:lang w:val="en-GB"/>
        </w:rPr>
      </w:pPr>
      <w:r w:rsidRPr="007A3793">
        <w:rPr>
          <w:lang w:val="en-GB"/>
        </w:rPr>
        <w:t>Intellectual property (IP) rights on SC code. Such code is often open</w:t>
      </w:r>
      <w:r w:rsidR="001122ED">
        <w:rPr>
          <w:lang w:val="en-GB"/>
        </w:rPr>
        <w:t xml:space="preserve"> </w:t>
      </w:r>
      <w:r w:rsidRPr="007A3793">
        <w:rPr>
          <w:lang w:val="en-GB"/>
        </w:rPr>
        <w:t>source, but it is possible to include a fee for using it. Thus, IP rights and anti-competition laws apply [</w:t>
      </w:r>
      <w:hyperlink w:anchor="alastria" w:history="1">
        <w:r w:rsidR="00CD1179">
          <w:rPr>
            <w:rStyle w:val="Hyperlink"/>
            <w:lang w:val="en-GB"/>
          </w:rPr>
          <w:t>b</w:t>
        </w:r>
        <w:r w:rsidR="00CD1179">
          <w:rPr>
            <w:rStyle w:val="Hyperlink"/>
            <w:lang w:val="en-GB"/>
          </w:rPr>
          <w:noBreakHyphen/>
        </w:r>
        <w:proofErr w:type="spellStart"/>
        <w:r w:rsidRPr="007A3793">
          <w:rPr>
            <w:rStyle w:val="Hyperlink"/>
            <w:lang w:val="en-GB"/>
          </w:rPr>
          <w:t>Alastria</w:t>
        </w:r>
        <w:proofErr w:type="spellEnd"/>
      </w:hyperlink>
      <w:r w:rsidRPr="007A3793">
        <w:rPr>
          <w:lang w:val="en-GB"/>
        </w:rPr>
        <w:t>]. Special provisions can be set by combining SCs with IoT [</w:t>
      </w:r>
      <w:hyperlink w:anchor="isoiec30141" w:history="1">
        <w:r w:rsidR="00CD1179">
          <w:rPr>
            <w:rStyle w:val="Hyperlink"/>
            <w:lang w:val="en-GB"/>
          </w:rPr>
          <w:t>b</w:t>
        </w:r>
        <w:r w:rsidR="00CD1179">
          <w:rPr>
            <w:rStyle w:val="Hyperlink"/>
            <w:lang w:val="en-GB"/>
          </w:rPr>
          <w:noBreakHyphen/>
        </w:r>
        <w:r w:rsidRPr="007A3793">
          <w:rPr>
            <w:rStyle w:val="Hyperlink"/>
            <w:lang w:val="en-GB"/>
          </w:rPr>
          <w:t>ISO/IEC 30141</w:t>
        </w:r>
      </w:hyperlink>
      <w:r w:rsidRPr="007A3793">
        <w:rPr>
          <w:lang w:val="en-GB"/>
        </w:rPr>
        <w:t>]</w:t>
      </w:r>
      <w:r w:rsidRPr="007A3793" w:rsidDel="00F5799F">
        <w:rPr>
          <w:lang w:val="en-GB"/>
        </w:rPr>
        <w:t xml:space="preserve"> </w:t>
      </w:r>
      <w:r w:rsidRPr="007A3793">
        <w:rPr>
          <w:lang w:val="en-GB"/>
        </w:rPr>
        <w:t>or AI.</w:t>
      </w:r>
    </w:p>
    <w:p w14:paraId="71C929EA" w14:textId="77777777" w:rsidR="006C7B06" w:rsidRPr="007A3793" w:rsidRDefault="006C7B06" w:rsidP="00C04FE7">
      <w:pPr>
        <w:pStyle w:val="Heading4"/>
      </w:pPr>
      <w:bookmarkStart w:id="71" w:name="_Toc16243496"/>
      <w:r w:rsidRPr="007A3793">
        <w:t>Automatic decision-making</w:t>
      </w:r>
      <w:bookmarkEnd w:id="71"/>
    </w:p>
    <w:p w14:paraId="71C929EB" w14:textId="2CD6D426" w:rsidR="006C7B06" w:rsidRPr="007A3793" w:rsidRDefault="006C7B06" w:rsidP="00CD1179">
      <w:pPr>
        <w:rPr>
          <w:lang w:val="en-GB"/>
        </w:rPr>
      </w:pPr>
      <w:r w:rsidRPr="007A3793">
        <w:rPr>
          <w:lang w:val="en-GB"/>
        </w:rPr>
        <w:t>SCs differ from automated decision-making (ADM) in AI. Whereas ADM in Deep Learning can be very complex, provide little transparency and includes random input in the training phase, SCs are simpler and provide high levels of transparency, at least to people skilled to read the code. Still, principles currently being discussed for ADM in AI may need to be applied to SCs [</w:t>
      </w:r>
      <w:hyperlink w:anchor="larus" w:history="1">
        <w:r w:rsidR="00CD1179">
          <w:rPr>
            <w:rStyle w:val="Hyperlink"/>
            <w:lang w:val="en-GB"/>
          </w:rPr>
          <w:t>b</w:t>
        </w:r>
        <w:r w:rsidR="00CD1179">
          <w:rPr>
            <w:rStyle w:val="Hyperlink"/>
            <w:lang w:val="en-GB"/>
          </w:rPr>
          <w:noBreakHyphen/>
        </w:r>
        <w:proofErr w:type="spellStart"/>
        <w:r w:rsidRPr="007A3793">
          <w:rPr>
            <w:rStyle w:val="Hyperlink"/>
            <w:lang w:val="en-GB"/>
          </w:rPr>
          <w:t>Larus</w:t>
        </w:r>
        <w:proofErr w:type="spellEnd"/>
      </w:hyperlink>
      <w:r w:rsidRPr="007A3793">
        <w:rPr>
          <w:lang w:val="en-GB"/>
        </w:rPr>
        <w:t>]. Article</w:t>
      </w:r>
      <w:r w:rsidR="00325CA1" w:rsidRPr="007A3793">
        <w:rPr>
          <w:lang w:val="en-GB"/>
        </w:rPr>
        <w:t> </w:t>
      </w:r>
      <w:r w:rsidRPr="007A3793">
        <w:rPr>
          <w:lang w:val="en-GB"/>
        </w:rPr>
        <w:t>22 of the GDPR might also be applicable [</w:t>
      </w:r>
      <w:hyperlink w:anchor="finck" w:history="1">
        <w:r w:rsidR="00CD1179">
          <w:rPr>
            <w:rStyle w:val="Hyperlink"/>
            <w:lang w:val="en-GB"/>
          </w:rPr>
          <w:t>b</w:t>
        </w:r>
        <w:r w:rsidR="00CD1179">
          <w:rPr>
            <w:rStyle w:val="Hyperlink"/>
            <w:lang w:val="en-GB"/>
          </w:rPr>
          <w:noBreakHyphen/>
        </w:r>
        <w:proofErr w:type="spellStart"/>
        <w:r w:rsidRPr="007A3793">
          <w:rPr>
            <w:rStyle w:val="Hyperlink"/>
            <w:lang w:val="en-GB"/>
          </w:rPr>
          <w:t>Finck</w:t>
        </w:r>
        <w:proofErr w:type="spellEnd"/>
      </w:hyperlink>
      <w:r w:rsidRPr="007A3793">
        <w:rPr>
          <w:lang w:val="en-GB"/>
        </w:rPr>
        <w:t xml:space="preserve">]. The GDPR requires at least the possibility of human intervention of the </w:t>
      </w:r>
      <w:r w:rsidR="001122ED">
        <w:rPr>
          <w:lang w:val="en-GB"/>
        </w:rPr>
        <w:t>"</w:t>
      </w:r>
      <w:r w:rsidRPr="007A3793">
        <w:rPr>
          <w:lang w:val="en-GB"/>
        </w:rPr>
        <w:t>controller</w:t>
      </w:r>
      <w:r w:rsidR="001122ED">
        <w:rPr>
          <w:lang w:val="en-GB"/>
        </w:rPr>
        <w:t>"</w:t>
      </w:r>
      <w:r w:rsidRPr="007A3793">
        <w:rPr>
          <w:lang w:val="en-GB"/>
        </w:rPr>
        <w:t xml:space="preserve"> (see </w:t>
      </w:r>
      <w:r w:rsidR="001122ED">
        <w:rPr>
          <w:lang w:val="en-GB"/>
        </w:rPr>
        <w:t>clause</w:t>
      </w:r>
      <w:r w:rsidRPr="007A3793">
        <w:rPr>
          <w:lang w:val="en-GB"/>
        </w:rPr>
        <w:t xml:space="preserve"> </w:t>
      </w:r>
      <w:r w:rsidRPr="007A3793">
        <w:rPr>
          <w:lang w:val="en-GB"/>
        </w:rPr>
        <w:fldChar w:fldCharType="begin"/>
      </w:r>
      <w:r w:rsidRPr="007A3793">
        <w:rPr>
          <w:lang w:val="en-GB"/>
        </w:rPr>
        <w:instrText xml:space="preserve"> REF _Ref9821232 \r \h  \* MERGEFORMAT </w:instrText>
      </w:r>
      <w:r w:rsidRPr="007A3793">
        <w:rPr>
          <w:lang w:val="en-GB"/>
        </w:rPr>
      </w:r>
      <w:r w:rsidRPr="007A3793">
        <w:rPr>
          <w:lang w:val="en-GB"/>
        </w:rPr>
        <w:fldChar w:fldCharType="separate"/>
      </w:r>
      <w:r w:rsidR="007146F8">
        <w:rPr>
          <w:lang w:val="en-GB"/>
        </w:rPr>
        <w:t>6.3.2.1.3</w:t>
      </w:r>
      <w:r w:rsidRPr="007A3793">
        <w:rPr>
          <w:lang w:val="en-GB"/>
        </w:rPr>
        <w:fldChar w:fldCharType="end"/>
      </w:r>
      <w:r w:rsidRPr="007A3793">
        <w:rPr>
          <w:lang w:val="en-GB"/>
        </w:rPr>
        <w:t xml:space="preserve"> for clarifications of this concept).</w:t>
      </w:r>
    </w:p>
    <w:p w14:paraId="71C929EC" w14:textId="77777777" w:rsidR="006C7B06" w:rsidRPr="007A3793" w:rsidRDefault="006C7B06" w:rsidP="00CD1179">
      <w:pPr>
        <w:rPr>
          <w:lang w:val="en-GB"/>
        </w:rPr>
      </w:pPr>
      <w:r w:rsidRPr="007A3793">
        <w:rPr>
          <w:lang w:val="en-GB"/>
        </w:rPr>
        <w:t>In case of SCs operating on a permissioned blockchain, validators or permissioned nodes with full autonomy will have duties of full performance of SCs.</w:t>
      </w:r>
    </w:p>
    <w:p w14:paraId="71C929ED" w14:textId="77777777" w:rsidR="006C7B06" w:rsidRPr="007A3793" w:rsidRDefault="006C7B06" w:rsidP="00C04FE7">
      <w:pPr>
        <w:pStyle w:val="Heading4"/>
      </w:pPr>
      <w:bookmarkStart w:id="72" w:name="_Toc16243497"/>
      <w:r w:rsidRPr="00C04FE7">
        <w:t>Limitations</w:t>
      </w:r>
      <w:r w:rsidRPr="007A3793">
        <w:t xml:space="preserve"> of legal liability for actors who play the key role in information system operation</w:t>
      </w:r>
      <w:bookmarkEnd w:id="72"/>
    </w:p>
    <w:p w14:paraId="592409E1" w14:textId="77777777" w:rsidR="007A3793" w:rsidRPr="007A3793" w:rsidRDefault="006C7B06" w:rsidP="00CD1179">
      <w:pPr>
        <w:rPr>
          <w:lang w:val="en-GB"/>
        </w:rPr>
      </w:pPr>
      <w:r w:rsidRPr="007A3793">
        <w:rPr>
          <w:lang w:val="en-GB"/>
        </w:rPr>
        <w:t xml:space="preserve">The legal problem here is a formulation of corpus delicti </w:t>
      </w:r>
      <w:proofErr w:type="gramStart"/>
      <w:r w:rsidRPr="007A3793">
        <w:rPr>
          <w:lang w:val="en-GB"/>
        </w:rPr>
        <w:t>with regard to</w:t>
      </w:r>
      <w:proofErr w:type="gramEnd"/>
      <w:r w:rsidRPr="007A3793">
        <w:rPr>
          <w:lang w:val="en-GB"/>
        </w:rPr>
        <w:t xml:space="preserve"> technological features of DLT based on information intermediary theory.</w:t>
      </w:r>
    </w:p>
    <w:p w14:paraId="71C929EF" w14:textId="011CC890" w:rsidR="006C7B06" w:rsidRPr="007A3793" w:rsidRDefault="006C7B06" w:rsidP="00CD1179">
      <w:pPr>
        <w:rPr>
          <w:lang w:val="en-GB"/>
        </w:rPr>
      </w:pPr>
      <w:r w:rsidRPr="007A3793">
        <w:rPr>
          <w:lang w:val="en-GB"/>
        </w:rPr>
        <w:t xml:space="preserve">One of the main mechanisms for ensuring compliance with applicable laws in a digital environment is a regulation of information intermediaries and information service providers. In general terms, these rules indicate limitations of liability of information service providers in situations where they do not affect content of the network as well as take actions to prevent third </w:t>
      </w:r>
      <w:r w:rsidRPr="007A3793">
        <w:rPr>
          <w:lang w:val="en-GB"/>
        </w:rPr>
        <w:lastRenderedPageBreak/>
        <w:t>parties from accessing information on legitimate requests from rights holders and state authorities. At the same time, the law enforcement practice in some states also consider other criteria for bringing information intermediaries</w:t>
      </w:r>
      <w:r w:rsidRPr="007A3793" w:rsidDel="00C9198F">
        <w:rPr>
          <w:lang w:val="en-GB"/>
        </w:rPr>
        <w:t xml:space="preserve"> </w:t>
      </w:r>
      <w:r w:rsidRPr="007A3793">
        <w:rPr>
          <w:lang w:val="en-GB"/>
        </w:rPr>
        <w:t>to take responsibility such as receiving profits from information posted or a failure to take preventive measures to combat offenses [</w:t>
      </w:r>
      <w:hyperlink w:anchor="savelieva" w:history="1">
        <w:r w:rsidR="00CD1179">
          <w:rPr>
            <w:rStyle w:val="Hyperlink"/>
            <w:lang w:val="en-GB"/>
          </w:rPr>
          <w:t>b</w:t>
        </w:r>
        <w:r w:rsidR="00CD1179">
          <w:rPr>
            <w:rStyle w:val="Hyperlink"/>
            <w:lang w:val="en-GB"/>
          </w:rPr>
          <w:noBreakHyphen/>
        </w:r>
        <w:proofErr w:type="spellStart"/>
        <w:r w:rsidRPr="007A3793">
          <w:rPr>
            <w:rStyle w:val="Hyperlink"/>
            <w:lang w:val="en-GB"/>
          </w:rPr>
          <w:t>Saveliev</w:t>
        </w:r>
        <w:proofErr w:type="spellEnd"/>
        <w:r w:rsidRPr="007A3793">
          <w:rPr>
            <w:rStyle w:val="Hyperlink"/>
            <w:lang w:val="en-GB"/>
          </w:rPr>
          <w:t>-a</w:t>
        </w:r>
      </w:hyperlink>
      <w:r w:rsidRPr="007A3793">
        <w:rPr>
          <w:lang w:val="en-GB"/>
        </w:rPr>
        <w:t>]. Moreover, researchers have noted a tendency towards expanding the limits of responsibility of intermediaries and moving towards mandatory monitoring of the network [</w:t>
      </w:r>
      <w:hyperlink w:anchor="edri" w:history="1">
        <w:r w:rsidR="00CD1179">
          <w:rPr>
            <w:rStyle w:val="Hyperlink"/>
            <w:lang w:val="en-GB"/>
          </w:rPr>
          <w:t>b</w:t>
        </w:r>
        <w:r w:rsidR="00CD1179">
          <w:rPr>
            <w:rStyle w:val="Hyperlink"/>
            <w:lang w:val="en-GB"/>
          </w:rPr>
          <w:noBreakHyphen/>
        </w:r>
        <w:proofErr w:type="spellStart"/>
        <w:r w:rsidRPr="007A3793">
          <w:rPr>
            <w:rStyle w:val="Hyperlink"/>
            <w:lang w:val="en-GB"/>
          </w:rPr>
          <w:t>EDRi</w:t>
        </w:r>
        <w:proofErr w:type="spellEnd"/>
      </w:hyperlink>
      <w:r w:rsidRPr="007A3793">
        <w:rPr>
          <w:lang w:val="en-GB"/>
        </w:rPr>
        <w:t xml:space="preserve">]. Such legislative changes are important not only for a direct consequence of their application but also for the political and legal component of their content; one of the most effective and popular ways to regulate information networks </w:t>
      </w:r>
      <w:proofErr w:type="gramStart"/>
      <w:r w:rsidRPr="007A3793">
        <w:rPr>
          <w:lang w:val="en-GB"/>
        </w:rPr>
        <w:t>at the moment</w:t>
      </w:r>
      <w:proofErr w:type="gramEnd"/>
      <w:r w:rsidRPr="007A3793">
        <w:rPr>
          <w:lang w:val="en-GB"/>
        </w:rPr>
        <w:t xml:space="preserve"> is shifting responsibility from end users of networks to administrators.</w:t>
      </w:r>
    </w:p>
    <w:p w14:paraId="71C929F0" w14:textId="4846ECA4" w:rsidR="006C7B06" w:rsidRPr="007A3793" w:rsidRDefault="006C7B06" w:rsidP="00CD1179">
      <w:pPr>
        <w:rPr>
          <w:lang w:val="en-GB"/>
        </w:rPr>
      </w:pPr>
      <w:r w:rsidRPr="007A3793">
        <w:rPr>
          <w:lang w:val="en-GB"/>
        </w:rPr>
        <w:t>Thus, the main direction of regulation of information networks is based on establishing an administrator who creates an information ecosystem around them, setting the rules for its use, as well as features of identification and verification of its participants. In contrast, a key feature of peer-to-peer networks is interaction of users directly without contacting a certifying third party (the administrator-provider of information services) [</w:t>
      </w:r>
      <w:hyperlink w:anchor="raval" w:history="1">
        <w:r w:rsidR="00CD1179">
          <w:rPr>
            <w:rStyle w:val="Hyperlink"/>
            <w:lang w:val="en-GB"/>
          </w:rPr>
          <w:t>b</w:t>
        </w:r>
        <w:r w:rsidR="00CD1179">
          <w:rPr>
            <w:rStyle w:val="Hyperlink"/>
            <w:lang w:val="en-GB"/>
          </w:rPr>
          <w:noBreakHyphen/>
        </w:r>
        <w:proofErr w:type="spellStart"/>
        <w:r w:rsidRPr="007A3793">
          <w:rPr>
            <w:rStyle w:val="Hyperlink"/>
            <w:lang w:val="en-GB"/>
          </w:rPr>
          <w:t>Raval</w:t>
        </w:r>
        <w:proofErr w:type="spellEnd"/>
      </w:hyperlink>
      <w:r w:rsidRPr="007A3793">
        <w:rPr>
          <w:lang w:val="en-GB"/>
        </w:rPr>
        <w:t xml:space="preserve">]. As a result, relationships of users without intermediaries are becoming </w:t>
      </w:r>
      <w:proofErr w:type="gramStart"/>
      <w:r w:rsidRPr="007A3793">
        <w:rPr>
          <w:lang w:val="en-GB"/>
        </w:rPr>
        <w:t>similar to</w:t>
      </w:r>
      <w:proofErr w:type="gramEnd"/>
      <w:r w:rsidRPr="007A3793">
        <w:rPr>
          <w:lang w:val="en-GB"/>
        </w:rPr>
        <w:t xml:space="preserve"> traditional private law relationships. In theory, each member of the DLT network has equal legal rights and is guided by his own interests and is independently responsible for his actions.</w:t>
      </w:r>
    </w:p>
    <w:p w14:paraId="71C929F1" w14:textId="6F4ABC7B" w:rsidR="006C7B06" w:rsidRPr="007A3793" w:rsidRDefault="006C7B06" w:rsidP="00CD1179">
      <w:pPr>
        <w:rPr>
          <w:lang w:val="en-GB"/>
        </w:rPr>
      </w:pPr>
      <w:r w:rsidRPr="007A3793">
        <w:rPr>
          <w:lang w:val="en-GB"/>
        </w:rPr>
        <w:t>However, unlike the real world civil legal relations, the standard of good faith and due diligence for DLT system users is much higher because features of the architecture of distributed networks predetermine some characteristics of transactions committed in it - for example, its abstractness, as well as the locality of the legal effect (only within the relevant DLT). These features require coordination with national legal systems, both in terms of understanding the nature of regulatory transactions, and the legal significance of making entries in public ledgers [</w:t>
      </w:r>
      <w:hyperlink w:anchor="russianfedb" w:history="1">
        <w:r w:rsidR="00CD1179">
          <w:rPr>
            <w:rStyle w:val="Hyperlink"/>
            <w:lang w:val="en-GB"/>
          </w:rPr>
          <w:t>b</w:t>
        </w:r>
        <w:r w:rsidR="00CD1179">
          <w:rPr>
            <w:rStyle w:val="Hyperlink"/>
            <w:lang w:val="en-GB"/>
          </w:rPr>
          <w:noBreakHyphen/>
        </w:r>
        <w:r w:rsidRPr="007A3793">
          <w:rPr>
            <w:rStyle w:val="Hyperlink"/>
            <w:lang w:val="en-GB"/>
          </w:rPr>
          <w:t xml:space="preserve">Russian </w:t>
        </w:r>
        <w:r w:rsidRPr="007A3793">
          <w:rPr>
            <w:rStyle w:val="Hyperlink"/>
            <w:lang w:val="en-GB"/>
          </w:rPr>
          <w:t>F</w:t>
        </w:r>
        <w:r w:rsidRPr="007A3793">
          <w:rPr>
            <w:rStyle w:val="Hyperlink"/>
            <w:lang w:val="en-GB"/>
          </w:rPr>
          <w:t>ed</w:t>
        </w:r>
        <w:r w:rsidR="00BB7C1F">
          <w:rPr>
            <w:rStyle w:val="Hyperlink"/>
            <w:lang w:val="en-GB"/>
          </w:rPr>
          <w:noBreakHyphen/>
        </w:r>
        <w:r w:rsidRPr="007A3793">
          <w:rPr>
            <w:rStyle w:val="Hyperlink"/>
            <w:lang w:val="en-GB"/>
          </w:rPr>
          <w:t>b</w:t>
        </w:r>
      </w:hyperlink>
      <w:r w:rsidRPr="007A3793">
        <w:rPr>
          <w:lang w:val="en-GB"/>
        </w:rPr>
        <w:t>]. If there are no such features, control of relations arising in a DLT network with instruments of contractual law, even if detailed, remain under threat of requalification of legal relations in the event of a dispute and applying different rules to them than the parties have foreseen, based on imperative nature of certain rules of the applicable law and order public policy expressions of the legal system (for disputes with a foreign element).</w:t>
      </w:r>
    </w:p>
    <w:p w14:paraId="71C929F2" w14:textId="72727B11" w:rsidR="006C7B06" w:rsidRPr="007A3793" w:rsidRDefault="006C7B06" w:rsidP="00CD1179">
      <w:pPr>
        <w:rPr>
          <w:lang w:val="en-GB"/>
        </w:rPr>
      </w:pPr>
      <w:r w:rsidRPr="007A3793">
        <w:rPr>
          <w:lang w:val="en-GB"/>
        </w:rPr>
        <w:t>Additionally, this regulation raises the question of how and by whom the rules of user interaction between the DLT network nodes will be developed and established. In the practice of managing DLT projects, the regulation of related legal relations, cases of deviations from the principles of decentralization</w:t>
      </w:r>
      <w:r w:rsidR="008063FC">
        <w:rPr>
          <w:lang w:val="en-GB"/>
        </w:rPr>
        <w:t xml:space="preserve"> are observed</w:t>
      </w:r>
      <w:r w:rsidRPr="007A3793">
        <w:rPr>
          <w:lang w:val="en-GB"/>
        </w:rPr>
        <w:t xml:space="preserve">. So, at least when it comes to making key decisions about existence of the system, for example, about its launch, scaling or radical change (implementing the so-called </w:t>
      </w:r>
      <w:r w:rsidR="001122ED">
        <w:rPr>
          <w:lang w:val="en-GB"/>
        </w:rPr>
        <w:t>"</w:t>
      </w:r>
      <w:r w:rsidRPr="007A3793">
        <w:rPr>
          <w:lang w:val="en-GB"/>
        </w:rPr>
        <w:t>hard fork</w:t>
      </w:r>
      <w:r w:rsidR="001122ED">
        <w:rPr>
          <w:lang w:val="en-GB"/>
        </w:rPr>
        <w:t>"</w:t>
      </w:r>
      <w:r w:rsidRPr="007A3793">
        <w:rPr>
          <w:lang w:val="en-GB"/>
        </w:rPr>
        <w:t xml:space="preserve">), a certain degree of centralization and formation of the will of the participants is required. It seems that special analysis of such centralizations makes it possible to detect </w:t>
      </w:r>
      <w:r w:rsidR="001122ED">
        <w:rPr>
          <w:lang w:val="en-GB"/>
        </w:rPr>
        <w:t>"</w:t>
      </w:r>
      <w:r w:rsidRPr="007A3793">
        <w:rPr>
          <w:lang w:val="en-GB"/>
        </w:rPr>
        <w:t>exit nodes</w:t>
      </w:r>
      <w:r w:rsidR="001122ED">
        <w:rPr>
          <w:lang w:val="en-GB"/>
        </w:rPr>
        <w:t>"</w:t>
      </w:r>
      <w:r w:rsidRPr="007A3793">
        <w:rPr>
          <w:lang w:val="en-GB"/>
        </w:rPr>
        <w:t xml:space="preserve"> [</w:t>
      </w:r>
      <w:hyperlink w:anchor="sidorenko" w:history="1">
        <w:r w:rsidR="00CD1179">
          <w:rPr>
            <w:rStyle w:val="Hyperlink"/>
            <w:lang w:val="en-GB"/>
          </w:rPr>
          <w:t>b</w:t>
        </w:r>
        <w:r w:rsidR="00CD1179">
          <w:rPr>
            <w:rStyle w:val="Hyperlink"/>
            <w:lang w:val="en-GB"/>
          </w:rPr>
          <w:noBreakHyphen/>
        </w:r>
        <w:r w:rsidRPr="007A3793">
          <w:rPr>
            <w:rStyle w:val="Hyperlink"/>
            <w:lang w:val="en-GB"/>
          </w:rPr>
          <w:t>Sidorenko</w:t>
        </w:r>
      </w:hyperlink>
      <w:r w:rsidRPr="007A3793">
        <w:rPr>
          <w:lang w:val="en-GB"/>
        </w:rPr>
        <w:t>], by regulating activities of which, it is possible to ensure legal regulation of information system as a whole. Moreover, with the development of a DLT network and its increasing interaction with the surrounding reality, more and more nodes of this kind arise</w:t>
      </w:r>
      <w:r w:rsidR="00797298">
        <w:rPr>
          <w:lang w:val="en-GB"/>
        </w:rPr>
        <w:t>,</w:t>
      </w:r>
      <w:r w:rsidRPr="007A3793">
        <w:rPr>
          <w:lang w:val="en-GB"/>
        </w:rPr>
        <w:t xml:space="preserve"> and consequences of their decisions are becoming increasingly critical for the </w:t>
      </w:r>
      <w:proofErr w:type="gramStart"/>
      <w:r w:rsidRPr="007A3793">
        <w:rPr>
          <w:lang w:val="en-GB"/>
        </w:rPr>
        <w:t>system as a whole</w:t>
      </w:r>
      <w:proofErr w:type="gramEnd"/>
      <w:r w:rsidRPr="007A3793">
        <w:rPr>
          <w:lang w:val="en-GB"/>
        </w:rPr>
        <w:t>.</w:t>
      </w:r>
    </w:p>
    <w:p w14:paraId="71C929F3" w14:textId="77777777" w:rsidR="006C7B06" w:rsidRPr="007A3793" w:rsidRDefault="006C7B06" w:rsidP="00CD1179">
      <w:pPr>
        <w:rPr>
          <w:lang w:val="en-GB"/>
        </w:rPr>
      </w:pPr>
      <w:r w:rsidRPr="007A3793">
        <w:rPr>
          <w:lang w:val="en-GB"/>
        </w:rPr>
        <w:t>Considering the above, it is necessary to determine a circle of persons ensuring the operability of DLT networks and that have a significant power to impact the procedure for their use. It seems that in most such systems the following play a key role:</w:t>
      </w:r>
    </w:p>
    <w:p w14:paraId="71C929F4" w14:textId="77777777" w:rsidR="006C7B06" w:rsidRPr="007A3793" w:rsidRDefault="006C7B06" w:rsidP="007A3793">
      <w:pPr>
        <w:numPr>
          <w:ilvl w:val="0"/>
          <w:numId w:val="22"/>
        </w:numPr>
        <w:ind w:left="567" w:hanging="567"/>
        <w:rPr>
          <w:lang w:val="en-GB"/>
        </w:rPr>
      </w:pPr>
      <w:r w:rsidRPr="007A3793">
        <w:rPr>
          <w:lang w:val="en-GB"/>
        </w:rPr>
        <w:t>Agents that establish technological and organizational rules for a specific network (developers, administrators);</w:t>
      </w:r>
    </w:p>
    <w:p w14:paraId="71C929F5" w14:textId="77777777" w:rsidR="006C7B06" w:rsidRPr="007A3793" w:rsidRDefault="006C7B06" w:rsidP="007A3793">
      <w:pPr>
        <w:numPr>
          <w:ilvl w:val="0"/>
          <w:numId w:val="22"/>
        </w:numPr>
        <w:ind w:left="567" w:hanging="567"/>
        <w:rPr>
          <w:lang w:val="en-GB"/>
        </w:rPr>
      </w:pPr>
      <w:r w:rsidRPr="007A3793">
        <w:rPr>
          <w:lang w:val="en-GB"/>
        </w:rPr>
        <w:t>Agents most actively involved in formation and validation of blocks (miners, minters and validators);</w:t>
      </w:r>
    </w:p>
    <w:p w14:paraId="71C929F6" w14:textId="77777777" w:rsidR="006C7B06" w:rsidRPr="007A3793" w:rsidRDefault="006C7B06" w:rsidP="007A3793">
      <w:pPr>
        <w:numPr>
          <w:ilvl w:val="0"/>
          <w:numId w:val="22"/>
        </w:numPr>
        <w:ind w:left="567" w:hanging="567"/>
        <w:rPr>
          <w:lang w:val="en-GB"/>
        </w:rPr>
      </w:pPr>
      <w:r w:rsidRPr="007A3793">
        <w:rPr>
          <w:lang w:val="en-GB"/>
        </w:rPr>
        <w:t>Agents who, due to nature of a specific electronic platform, ensure its use (facilitators).</w:t>
      </w:r>
    </w:p>
    <w:p w14:paraId="71C929F7" w14:textId="77777777" w:rsidR="006C7B06" w:rsidRPr="007A3793" w:rsidRDefault="006C7B06" w:rsidP="00CD1179">
      <w:pPr>
        <w:rPr>
          <w:lang w:val="en-GB"/>
        </w:rPr>
      </w:pPr>
      <w:r w:rsidRPr="007A3793">
        <w:rPr>
          <w:lang w:val="en-GB"/>
        </w:rPr>
        <w:lastRenderedPageBreak/>
        <w:t xml:space="preserve">At the same time, the identification and description of a system nodes circle, which technologically ensures its functioning, directly depends on type of a deployed DLT. </w:t>
      </w:r>
      <w:proofErr w:type="gramStart"/>
      <w:r w:rsidRPr="007A3793">
        <w:rPr>
          <w:lang w:val="en-GB"/>
        </w:rPr>
        <w:t>Due to the fact that</w:t>
      </w:r>
      <w:proofErr w:type="gramEnd"/>
      <w:r w:rsidRPr="007A3793">
        <w:rPr>
          <w:lang w:val="en-GB"/>
        </w:rPr>
        <w:t xml:space="preserve"> in private DLT there appears a figure of the network owner who controls the formation of a register of blocks of transactions, it is logical to assume that the regulation of its activities will ensure compliance with applicable laws. A similar approach can be extended to validators of consortium DLT where they not only generate blocks but also check the validity of transactions included in blocks. It is necessary, however, to consider that initial rules of the DLT are normatively formulated and technologically implemented by developers and administrators of the relevant platform and therefore their participation in the network can also be used for state control.</w:t>
      </w:r>
    </w:p>
    <w:p w14:paraId="32FF8363" w14:textId="761167AC" w:rsidR="007A3793" w:rsidRPr="007A3793" w:rsidRDefault="006C7B06" w:rsidP="00CD1179">
      <w:pPr>
        <w:rPr>
          <w:lang w:val="en-GB"/>
        </w:rPr>
      </w:pPr>
      <w:r w:rsidRPr="007A3793">
        <w:rPr>
          <w:lang w:val="en-GB"/>
        </w:rPr>
        <w:t xml:space="preserve">Regulation of the activities of the above-mentioned persons </w:t>
      </w:r>
      <w:proofErr w:type="gramStart"/>
      <w:r w:rsidRPr="007A3793">
        <w:rPr>
          <w:lang w:val="en-GB"/>
        </w:rPr>
        <w:t>is considered to be</w:t>
      </w:r>
      <w:proofErr w:type="gramEnd"/>
      <w:r w:rsidRPr="007A3793">
        <w:rPr>
          <w:lang w:val="en-GB"/>
        </w:rPr>
        <w:t xml:space="preserve"> the most effective way to ensure the legitimate functioning of DLT networks. </w:t>
      </w:r>
      <w:proofErr w:type="gramStart"/>
      <w:r w:rsidRPr="007A3793">
        <w:rPr>
          <w:lang w:val="en-GB"/>
        </w:rPr>
        <w:t>First of all</w:t>
      </w:r>
      <w:proofErr w:type="gramEnd"/>
      <w:r w:rsidRPr="007A3793">
        <w:rPr>
          <w:lang w:val="en-GB"/>
        </w:rPr>
        <w:t>, such regulation should be carried out by influencing the network administrator, who after the launch of the system retains ability to influence its content and development in one way or another. Special requirements may be imposed to persons administering DLT systems, such as localization within the country where a person performs such activities, similar to some information service providers [</w:t>
      </w:r>
      <w:hyperlink w:anchor="russianfeda" w:history="1">
        <w:r w:rsidR="00CD1179">
          <w:rPr>
            <w:rStyle w:val="Hyperlink"/>
            <w:lang w:val="en-GB"/>
          </w:rPr>
          <w:t>b</w:t>
        </w:r>
        <w:r w:rsidR="00CD1179">
          <w:rPr>
            <w:rStyle w:val="Hyperlink"/>
            <w:lang w:val="en-GB"/>
          </w:rPr>
          <w:noBreakHyphen/>
        </w:r>
        <w:r w:rsidRPr="007A3793">
          <w:rPr>
            <w:rStyle w:val="Hyperlink"/>
            <w:lang w:val="en-GB"/>
          </w:rPr>
          <w:t>Russian</w:t>
        </w:r>
        <w:r w:rsidR="00BB7C1F">
          <w:rPr>
            <w:rStyle w:val="Hyperlink"/>
            <w:lang w:val="en-GB"/>
          </w:rPr>
          <w:t> </w:t>
        </w:r>
        <w:r w:rsidRPr="007A3793">
          <w:rPr>
            <w:rStyle w:val="Hyperlink"/>
            <w:lang w:val="en-GB"/>
          </w:rPr>
          <w:t>Fed</w:t>
        </w:r>
        <w:r w:rsidR="00BB7C1F">
          <w:rPr>
            <w:rStyle w:val="Hyperlink"/>
            <w:lang w:val="en-GB"/>
          </w:rPr>
          <w:noBreakHyphen/>
        </w:r>
        <w:r w:rsidRPr="007A3793">
          <w:rPr>
            <w:rStyle w:val="Hyperlink"/>
            <w:lang w:val="en-GB"/>
          </w:rPr>
          <w:t>a</w:t>
        </w:r>
      </w:hyperlink>
      <w:r w:rsidRPr="007A3793">
        <w:rPr>
          <w:lang w:val="en-GB"/>
        </w:rPr>
        <w:t xml:space="preserve">]. A more stringent regulatory option is licensing of activities and creation of a system to control its implementation, as is practiced in </w:t>
      </w:r>
      <w:proofErr w:type="gramStart"/>
      <w:r w:rsidRPr="007A3793">
        <w:rPr>
          <w:lang w:val="en-GB"/>
        </w:rPr>
        <w:t>a number of</w:t>
      </w:r>
      <w:proofErr w:type="gramEnd"/>
      <w:r w:rsidRPr="007A3793">
        <w:rPr>
          <w:lang w:val="en-GB"/>
        </w:rPr>
        <w:t xml:space="preserve"> countries in relation to administrators who intend to conduct an ICO (initial payment offering). If the DLT system is designed in such a way that administrative functions are </w:t>
      </w:r>
      <w:proofErr w:type="gramStart"/>
      <w:r w:rsidRPr="007A3793">
        <w:rPr>
          <w:lang w:val="en-GB"/>
        </w:rPr>
        <w:t>actually autonomous</w:t>
      </w:r>
      <w:proofErr w:type="gramEnd"/>
      <w:r w:rsidRPr="007A3793">
        <w:rPr>
          <w:lang w:val="en-GB"/>
        </w:rPr>
        <w:t>, the development of mandatory technical activity standards seems to be a promising way.</w:t>
      </w:r>
    </w:p>
    <w:p w14:paraId="71C929F9" w14:textId="569BD321" w:rsidR="006C7B06" w:rsidRPr="007A3793" w:rsidRDefault="006C7B06" w:rsidP="00CD1179">
      <w:pPr>
        <w:rPr>
          <w:lang w:val="en-GB"/>
        </w:rPr>
      </w:pPr>
      <w:r w:rsidRPr="007A3793">
        <w:rPr>
          <w:lang w:val="en-GB"/>
        </w:rPr>
        <w:t>Failure to comply with such standards may reasonably lead to the revocation of a previously issued license for bringing the administrator to responsibility (as an independent basis or element of the corpus delicti</w:t>
      </w:r>
      <w:r w:rsidRPr="007A3793" w:rsidDel="006A6F5D">
        <w:rPr>
          <w:lang w:val="en-GB"/>
        </w:rPr>
        <w:t xml:space="preserve"> </w:t>
      </w:r>
      <w:r w:rsidRPr="007A3793">
        <w:rPr>
          <w:lang w:val="en-GB"/>
        </w:rPr>
        <w:t>in case of illegal actions of users) or for shifting the burden of proof to the administrator in case of a dispute regarding the civil rights of the user or a third party.</w:t>
      </w:r>
    </w:p>
    <w:p w14:paraId="71C929FA" w14:textId="3570A056" w:rsidR="006C7B06" w:rsidRPr="007A3793" w:rsidRDefault="006C7B06" w:rsidP="00CD1179">
      <w:pPr>
        <w:rPr>
          <w:lang w:val="en-GB"/>
        </w:rPr>
      </w:pPr>
      <w:r w:rsidRPr="007A3793">
        <w:rPr>
          <w:lang w:val="en-GB"/>
        </w:rPr>
        <w:t xml:space="preserve">Also, it should be noted that any system built on DLT includes not only, directly, a distributed ledger but also a </w:t>
      </w:r>
      <w:r w:rsidR="001122ED">
        <w:rPr>
          <w:lang w:val="en-GB"/>
        </w:rPr>
        <w:t>"</w:t>
      </w:r>
      <w:r w:rsidRPr="007A3793">
        <w:rPr>
          <w:lang w:val="en-GB"/>
        </w:rPr>
        <w:t>software shell</w:t>
      </w:r>
      <w:r w:rsidR="001122ED">
        <w:rPr>
          <w:lang w:val="en-GB"/>
        </w:rPr>
        <w:t>"</w:t>
      </w:r>
      <w:r w:rsidRPr="007A3793">
        <w:rPr>
          <w:lang w:val="en-GB"/>
        </w:rPr>
        <w:t xml:space="preserve"> which is a software application that allows users to interact with each other and with the ledger. If a fundamental change in rules of forming a chain of blocks is a rather difficult task that requires a large level of interaction from ordinary users, then the application level software can be updated in ways that are slightly different from those used in classical information systems.</w:t>
      </w:r>
    </w:p>
    <w:p w14:paraId="7B21A329" w14:textId="0345CB83" w:rsidR="007A3793" w:rsidRPr="007A3793" w:rsidRDefault="006C7B06" w:rsidP="00CD1179">
      <w:pPr>
        <w:rPr>
          <w:lang w:val="en-GB"/>
        </w:rPr>
      </w:pPr>
      <w:r w:rsidRPr="007A3793">
        <w:rPr>
          <w:lang w:val="en-GB"/>
        </w:rPr>
        <w:t xml:space="preserve">Consequently, in addition to ledger decentralization, centralization occurs in providing users with an interface for interacting with this ledger. In this regard, </w:t>
      </w:r>
      <w:r w:rsidR="008063FC">
        <w:rPr>
          <w:lang w:val="en-GB"/>
        </w:rPr>
        <w:t xml:space="preserve">there are </w:t>
      </w:r>
      <w:r w:rsidRPr="007A3793">
        <w:rPr>
          <w:lang w:val="en-GB"/>
        </w:rPr>
        <w:t>at least two conclusions. Firstly, in terms of providing the ability to use application software between administrators of the DLT network and its users, there are typical relationships for information networks that can be qualified as licensing services or as providing remote access services [</w:t>
      </w:r>
      <w:hyperlink w:anchor="savelievb" w:history="1">
        <w:r w:rsidR="00CD1179">
          <w:rPr>
            <w:rStyle w:val="Hyperlink"/>
            <w:lang w:val="en-GB"/>
          </w:rPr>
          <w:t>b</w:t>
        </w:r>
        <w:r w:rsidR="00CD1179">
          <w:rPr>
            <w:rStyle w:val="Hyperlink"/>
            <w:lang w:val="en-GB"/>
          </w:rPr>
          <w:noBreakHyphen/>
        </w:r>
        <w:proofErr w:type="spellStart"/>
        <w:r w:rsidRPr="007A3793">
          <w:rPr>
            <w:rStyle w:val="Hyperlink"/>
            <w:lang w:val="en-GB"/>
          </w:rPr>
          <w:t>Saveliev</w:t>
        </w:r>
        <w:proofErr w:type="spellEnd"/>
        <w:r w:rsidRPr="007A3793">
          <w:rPr>
            <w:rStyle w:val="Hyperlink"/>
            <w:lang w:val="en-GB"/>
          </w:rPr>
          <w:t>-b</w:t>
        </w:r>
      </w:hyperlink>
      <w:r w:rsidRPr="007A3793">
        <w:rPr>
          <w:lang w:val="en-GB"/>
        </w:rPr>
        <w:t>].</w:t>
      </w:r>
    </w:p>
    <w:p w14:paraId="71C929FC" w14:textId="0F60441C" w:rsidR="006C7B06" w:rsidRPr="007A3793" w:rsidRDefault="006C7B06" w:rsidP="00CD1179">
      <w:pPr>
        <w:rPr>
          <w:lang w:val="en-GB"/>
        </w:rPr>
      </w:pPr>
      <w:r w:rsidRPr="007A3793">
        <w:rPr>
          <w:lang w:val="en-GB"/>
        </w:rPr>
        <w:t>Secondly, it appears that it is on the application software level that users can be identified and verified, which, given the basic distribution of responsibility arising from the peering nature of the network, will solve many problems of regulating relationships in the current information environment.</w:t>
      </w:r>
    </w:p>
    <w:p w14:paraId="71C929FD" w14:textId="77777777" w:rsidR="006C7B06" w:rsidRPr="007A3793" w:rsidRDefault="006C7B06" w:rsidP="00325CA1">
      <w:pPr>
        <w:pStyle w:val="Heading3"/>
      </w:pPr>
      <w:bookmarkStart w:id="73" w:name="_Toc14188468"/>
      <w:bookmarkStart w:id="74" w:name="_Toc16243498"/>
      <w:bookmarkStart w:id="75" w:name="_Toc23447195"/>
      <w:bookmarkStart w:id="76" w:name="_Toc23767535"/>
      <w:r w:rsidRPr="007A3793">
        <w:t>Approaches and/or recommendations</w:t>
      </w:r>
      <w:bookmarkEnd w:id="73"/>
      <w:bookmarkEnd w:id="74"/>
      <w:bookmarkEnd w:id="75"/>
      <w:bookmarkEnd w:id="76"/>
    </w:p>
    <w:p w14:paraId="71C929FE" w14:textId="77777777" w:rsidR="006C7B06" w:rsidRPr="007A3793" w:rsidRDefault="006C7B06" w:rsidP="00CD1179">
      <w:pPr>
        <w:rPr>
          <w:lang w:val="en-GB"/>
        </w:rPr>
      </w:pPr>
      <w:r w:rsidRPr="007A3793">
        <w:rPr>
          <w:lang w:val="en-GB"/>
        </w:rPr>
        <w:t xml:space="preserve">Optimal third-party protection requires policies setting on-chain dispute resolution tools on a case-by-case basis prior to an off-chain solution. Associative initiatives within the scope of International Consumer Protection and similar regimes are recommended to complement the </w:t>
      </w:r>
      <w:proofErr w:type="gramStart"/>
      <w:r w:rsidRPr="007A3793">
        <w:rPr>
          <w:lang w:val="en-GB"/>
        </w:rPr>
        <w:t>aforementioned policies</w:t>
      </w:r>
      <w:proofErr w:type="gramEnd"/>
      <w:r w:rsidRPr="007A3793">
        <w:rPr>
          <w:lang w:val="en-GB"/>
        </w:rPr>
        <w:t>.</w:t>
      </w:r>
    </w:p>
    <w:p w14:paraId="71C929FF" w14:textId="77777777" w:rsidR="006C7B06" w:rsidRPr="007A3793" w:rsidRDefault="006C7B06" w:rsidP="00CD1179">
      <w:pPr>
        <w:rPr>
          <w:lang w:val="en-GB"/>
        </w:rPr>
      </w:pPr>
      <w:r w:rsidRPr="007A3793">
        <w:rPr>
          <w:lang w:val="en-GB"/>
        </w:rPr>
        <w:t xml:space="preserve">Companies using SCs </w:t>
      </w:r>
      <w:proofErr w:type="gramStart"/>
      <w:r w:rsidRPr="007A3793">
        <w:rPr>
          <w:lang w:val="en-GB"/>
        </w:rPr>
        <w:t>have to</w:t>
      </w:r>
      <w:proofErr w:type="gramEnd"/>
      <w:r w:rsidRPr="007A3793">
        <w:rPr>
          <w:lang w:val="en-GB"/>
        </w:rPr>
        <w:t xml:space="preserve"> comply with the existing regulation. Consumers might be able to benefit from an increased level of trust that does not depend on the trust in the company.</w:t>
      </w:r>
    </w:p>
    <w:p w14:paraId="71C92A00" w14:textId="77777777" w:rsidR="006C7B06" w:rsidRPr="00CD1179" w:rsidRDefault="006C7B06" w:rsidP="006C7B06">
      <w:r w:rsidRPr="00CD1179">
        <w:lastRenderedPageBreak/>
        <w:t>In order to increase the trust when SCs are used, e.g., for managing tokens, a certification of smart contracts can be demanded by law.</w:t>
      </w:r>
      <w:r w:rsidRPr="007A3793">
        <w:rPr>
          <w:vertAlign w:val="superscript"/>
          <w:lang w:val="en-GB"/>
        </w:rPr>
        <w:footnoteReference w:id="2"/>
      </w:r>
    </w:p>
    <w:p w14:paraId="71C92A01" w14:textId="15D2A3BE" w:rsidR="006C7B06" w:rsidRPr="007A3793" w:rsidRDefault="006C7B06" w:rsidP="00C04FE7">
      <w:pPr>
        <w:pStyle w:val="Heading4"/>
      </w:pPr>
      <w:bookmarkStart w:id="77" w:name="_Toc16243499"/>
      <w:r w:rsidRPr="007A3793">
        <w:t xml:space="preserve">DLT </w:t>
      </w:r>
      <w:r w:rsidR="00BB7C1F">
        <w:t>and</w:t>
      </w:r>
      <w:r w:rsidRPr="007A3793">
        <w:t xml:space="preserve"> corruption</w:t>
      </w:r>
      <w:bookmarkEnd w:id="77"/>
    </w:p>
    <w:p w14:paraId="676E4666" w14:textId="77777777" w:rsidR="007A3793" w:rsidRPr="007A3793" w:rsidRDefault="006C7B06" w:rsidP="00CD1179">
      <w:pPr>
        <w:rPr>
          <w:lang w:val="en-GB"/>
        </w:rPr>
      </w:pPr>
      <w:r w:rsidRPr="007A3793">
        <w:rPr>
          <w:lang w:val="en-GB"/>
        </w:rPr>
        <w:t xml:space="preserve">Anonymity and </w:t>
      </w:r>
      <w:proofErr w:type="spellStart"/>
      <w:r w:rsidRPr="007A3793">
        <w:rPr>
          <w:lang w:val="en-GB"/>
        </w:rPr>
        <w:t>pseudonymity</w:t>
      </w:r>
      <w:proofErr w:type="spellEnd"/>
      <w:r w:rsidRPr="007A3793">
        <w:rPr>
          <w:lang w:val="en-GB"/>
        </w:rPr>
        <w:t xml:space="preserve"> in permissionless blockchains can facilitate criminal purposes like tax evasion, bribery, money laundering or terrorism financing. However, chain analytics can be used to follow transaction on pseudonymous blockchains like Bitcoin. Prosecution of crimes is easier where transactions require automated permission or participation requires identification. The same can be said about transparency.</w:t>
      </w:r>
    </w:p>
    <w:p w14:paraId="71C92A03" w14:textId="547D568D" w:rsidR="006C7B06" w:rsidRPr="007A3793" w:rsidRDefault="006C7B06" w:rsidP="00CD1179">
      <w:pPr>
        <w:rPr>
          <w:lang w:val="en-GB"/>
        </w:rPr>
      </w:pPr>
      <w:r w:rsidRPr="007A3793">
        <w:rPr>
          <w:lang w:val="en-GB"/>
        </w:rPr>
        <w:t>Blockchain can also be a tool to increase transparency for public institutions. However, transparency is limited to the information stored on chain or validated by means of entries on the chain like hash-values.</w:t>
      </w:r>
    </w:p>
    <w:p w14:paraId="7B65CAF9" w14:textId="7F1108E0" w:rsidR="007A3793" w:rsidRPr="007A3793" w:rsidRDefault="006C7B06" w:rsidP="00CD1179">
      <w:pPr>
        <w:rPr>
          <w:lang w:val="en-GB"/>
        </w:rPr>
      </w:pPr>
      <w:r w:rsidRPr="007A3793">
        <w:rPr>
          <w:lang w:val="en-GB"/>
        </w:rPr>
        <w:t>Natural persons can be identified with transparent transactions</w:t>
      </w:r>
      <w:r w:rsidR="00C04FE7">
        <w:rPr>
          <w:lang w:val="en-GB"/>
        </w:rPr>
        <w:t>;</w:t>
      </w:r>
      <w:r w:rsidRPr="007A3793">
        <w:rPr>
          <w:lang w:val="en-GB"/>
        </w:rPr>
        <w:t xml:space="preserve"> however, increased transparency can have a negative effect on privacy. When the transactions concern business transactions, increased transparency can impact business secrets.</w:t>
      </w:r>
    </w:p>
    <w:p w14:paraId="71C92A05" w14:textId="0C8F9578" w:rsidR="006C7B06" w:rsidRPr="007A3793" w:rsidRDefault="006C7B06" w:rsidP="00CD1179">
      <w:pPr>
        <w:rPr>
          <w:lang w:val="en-GB"/>
        </w:rPr>
      </w:pPr>
      <w:r w:rsidRPr="007A3793">
        <w:rPr>
          <w:lang w:val="en-GB"/>
        </w:rPr>
        <w:t>Blockchain/DLT is promising in the context of inherently distributed business and governance activities where traditional means are not working.</w:t>
      </w:r>
    </w:p>
    <w:p w14:paraId="71C92A06" w14:textId="77777777" w:rsidR="006C7B06" w:rsidRPr="007A3793" w:rsidRDefault="006C7B06" w:rsidP="007A3793">
      <w:pPr>
        <w:numPr>
          <w:ilvl w:val="0"/>
          <w:numId w:val="22"/>
        </w:numPr>
        <w:ind w:left="567" w:hanging="567"/>
      </w:pPr>
      <w:r w:rsidRPr="007A3793">
        <w:t xml:space="preserve">Anti-corruption and pro-transparency measures should be considered early at the design stage </w:t>
      </w:r>
      <w:proofErr w:type="gramStart"/>
      <w:r w:rsidRPr="007A3793">
        <w:t>taking into account</w:t>
      </w:r>
      <w:proofErr w:type="gramEnd"/>
      <w:r w:rsidRPr="007A3793">
        <w:t xml:space="preserve"> the intended application of the solution. At present, however, the focus of governmental actors is mostly on privacy (including transaction privacy) protection, which is quite beneficial for corruption-supporting applications of blockchain.</w:t>
      </w:r>
    </w:p>
    <w:p w14:paraId="71C92A07" w14:textId="77777777" w:rsidR="006C7B06" w:rsidRPr="007A3793" w:rsidRDefault="006C7B06" w:rsidP="007A3793">
      <w:pPr>
        <w:numPr>
          <w:ilvl w:val="0"/>
          <w:numId w:val="22"/>
        </w:numPr>
        <w:ind w:left="567" w:hanging="567"/>
      </w:pPr>
      <w:r w:rsidRPr="007A3793">
        <w:t>The lack of a designated owner or responsible person in permissionless blockchains combined with trans-jurisdictional operations hinders public oversight and law enforcement.</w:t>
      </w:r>
    </w:p>
    <w:p w14:paraId="71C92A08" w14:textId="77777777" w:rsidR="006C7B06" w:rsidRPr="007A3793" w:rsidRDefault="006C7B06" w:rsidP="007A3793">
      <w:pPr>
        <w:numPr>
          <w:ilvl w:val="0"/>
          <w:numId w:val="22"/>
        </w:numPr>
        <w:ind w:left="567" w:hanging="567"/>
      </w:pPr>
      <w:r w:rsidRPr="007A3793">
        <w:t xml:space="preserve">Properly designed SCs may ensure fair access to goods or services with no interaction with potential criminals. </w:t>
      </w:r>
      <w:proofErr w:type="gramStart"/>
      <w:r w:rsidRPr="007A3793">
        <w:t>But,</w:t>
      </w:r>
      <w:proofErr w:type="gramEnd"/>
      <w:r w:rsidRPr="007A3793">
        <w:t xml:space="preserve"> they could also be used for collecting bribes. Then, authorized SC removal and vetting systems are needed in public permissioned chains.</w:t>
      </w:r>
      <w:bookmarkStart w:id="78" w:name="_Ref9745461"/>
      <w:bookmarkStart w:id="79" w:name="_Toc14188469"/>
    </w:p>
    <w:p w14:paraId="301C1498" w14:textId="77777777" w:rsidR="007A3793" w:rsidRPr="007A3793" w:rsidRDefault="006C7B06" w:rsidP="00325CA1">
      <w:pPr>
        <w:pStyle w:val="Heading2"/>
      </w:pPr>
      <w:bookmarkStart w:id="80" w:name="_Toc16243500"/>
      <w:bookmarkStart w:id="81" w:name="_Toc23447196"/>
      <w:bookmarkStart w:id="82" w:name="_Toc23767536"/>
      <w:r w:rsidRPr="007A3793">
        <w:t>Property 3: Tamper evidence and resistance</w:t>
      </w:r>
      <w:bookmarkEnd w:id="78"/>
      <w:bookmarkEnd w:id="79"/>
      <w:bookmarkEnd w:id="80"/>
      <w:bookmarkEnd w:id="81"/>
      <w:bookmarkEnd w:id="82"/>
    </w:p>
    <w:p w14:paraId="71C92A0B" w14:textId="0B289D02" w:rsidR="006C7B06" w:rsidRPr="007A3793" w:rsidRDefault="006C7B06" w:rsidP="00325CA1">
      <w:pPr>
        <w:pStyle w:val="Heading3"/>
      </w:pPr>
      <w:bookmarkStart w:id="83" w:name="_Toc11405569"/>
      <w:bookmarkStart w:id="84" w:name="_Toc14188470"/>
      <w:bookmarkStart w:id="85" w:name="_Toc16243501"/>
      <w:bookmarkStart w:id="86" w:name="_Toc23447197"/>
      <w:bookmarkStart w:id="87" w:name="_Toc23767537"/>
      <w:bookmarkEnd w:id="83"/>
      <w:r w:rsidRPr="007A3793">
        <w:t>Introduction of the property</w:t>
      </w:r>
      <w:bookmarkEnd w:id="84"/>
      <w:bookmarkEnd w:id="85"/>
      <w:bookmarkEnd w:id="86"/>
      <w:bookmarkEnd w:id="87"/>
    </w:p>
    <w:p w14:paraId="71C92A0C" w14:textId="77777777" w:rsidR="006C7B06" w:rsidRPr="007A3793" w:rsidRDefault="006C7B06" w:rsidP="001122ED">
      <w:pPr>
        <w:keepNext/>
        <w:rPr>
          <w:lang w:val="en-GB"/>
        </w:rPr>
      </w:pPr>
      <w:r w:rsidRPr="007A3793">
        <w:rPr>
          <w:lang w:val="en-GB"/>
        </w:rPr>
        <w:t>DLT provides a conceptual model for providing tamper resistance that is based on:</w:t>
      </w:r>
    </w:p>
    <w:p w14:paraId="71C92A0D" w14:textId="77777777" w:rsidR="006C7B06" w:rsidRPr="007A3793" w:rsidRDefault="006C7B06" w:rsidP="001122ED">
      <w:pPr>
        <w:keepNext/>
        <w:numPr>
          <w:ilvl w:val="0"/>
          <w:numId w:val="22"/>
        </w:numPr>
        <w:ind w:left="567" w:hanging="567"/>
        <w:rPr>
          <w:lang w:val="en-GB"/>
        </w:rPr>
      </w:pPr>
      <w:r w:rsidRPr="007A3793">
        <w:rPr>
          <w:lang w:val="en-GB"/>
        </w:rPr>
        <w:t>Cryptographically signing the entries by the appropriate private keys;</w:t>
      </w:r>
    </w:p>
    <w:p w14:paraId="71C92A0E" w14:textId="77777777" w:rsidR="006C7B06" w:rsidRPr="007A3793" w:rsidRDefault="006C7B06" w:rsidP="007A3793">
      <w:pPr>
        <w:numPr>
          <w:ilvl w:val="0"/>
          <w:numId w:val="22"/>
        </w:numPr>
        <w:ind w:left="567" w:hanging="567"/>
        <w:rPr>
          <w:lang w:val="en-GB"/>
        </w:rPr>
      </w:pPr>
      <w:r w:rsidRPr="007A3793">
        <w:rPr>
          <w:lang w:val="en-GB"/>
        </w:rPr>
        <w:t>Chaining the data with cryptographic hashes so that a single data entry cannot be modified without modifying many subsequent entries;</w:t>
      </w:r>
    </w:p>
    <w:p w14:paraId="71C92A0F" w14:textId="77777777" w:rsidR="006C7B06" w:rsidRPr="007A3793" w:rsidRDefault="006C7B06" w:rsidP="007A3793">
      <w:pPr>
        <w:numPr>
          <w:ilvl w:val="0"/>
          <w:numId w:val="22"/>
        </w:numPr>
        <w:ind w:left="567" w:hanging="567"/>
        <w:rPr>
          <w:lang w:val="en-GB"/>
        </w:rPr>
      </w:pPr>
      <w:r w:rsidRPr="007A3793">
        <w:rPr>
          <w:lang w:val="en-GB"/>
        </w:rPr>
        <w:t>Sharing the data with multiple users where a consensus algorithm takes care of synchronizing the stored information.</w:t>
      </w:r>
    </w:p>
    <w:p w14:paraId="71C92A10" w14:textId="77777777" w:rsidR="006C7B06" w:rsidRPr="007A3793" w:rsidRDefault="006C7B06" w:rsidP="00CD1179">
      <w:r w:rsidRPr="007A3793">
        <w:t>There is no measure for ensuring that a single node contains a complete set of transactions.</w:t>
      </w:r>
      <w:r w:rsidRPr="007A3793" w:rsidDel="00EE19B3">
        <w:t xml:space="preserve"> </w:t>
      </w:r>
      <w:r w:rsidRPr="007A3793">
        <w:t xml:space="preserve">Complete tamper resistance can only be reached by having so many decentralized nodes that no one would be able to convince </w:t>
      </w:r>
      <w:proofErr w:type="gramStart"/>
      <w:r w:rsidRPr="007A3793">
        <w:t>all of</w:t>
      </w:r>
      <w:proofErr w:type="gramEnd"/>
      <w:r w:rsidRPr="007A3793">
        <w:t xml:space="preserve"> the nodes to tamper with their ledgers.</w:t>
      </w:r>
    </w:p>
    <w:p w14:paraId="71C92A11" w14:textId="77777777" w:rsidR="006C7B06" w:rsidRPr="007A3793" w:rsidRDefault="006C7B06" w:rsidP="00C04FE7">
      <w:pPr>
        <w:pStyle w:val="Heading4"/>
      </w:pPr>
      <w:bookmarkStart w:id="88" w:name="_Toc16243502"/>
      <w:r w:rsidRPr="007A3793">
        <w:t>Technological basis: Asymmetric &amp; symmetric cryptography</w:t>
      </w:r>
      <w:bookmarkEnd w:id="88"/>
    </w:p>
    <w:p w14:paraId="71C92A12" w14:textId="77777777" w:rsidR="006C7B06" w:rsidRPr="007A3793" w:rsidRDefault="006C7B06" w:rsidP="00CD1179">
      <w:r w:rsidRPr="007A3793">
        <w:t xml:space="preserve">Digital signatures are created using the private key component of a public-private key pair. A digital certificate contains the public key component of an identified subject that is signed by a </w:t>
      </w:r>
      <w:r w:rsidRPr="007A3793">
        <w:lastRenderedPageBreak/>
        <w:t>certificate Authority (CA) to issue a certificate. The CA-signed certificate binds a subject identity to a public-private key pair.</w:t>
      </w:r>
    </w:p>
    <w:p w14:paraId="71C92A13" w14:textId="77777777" w:rsidR="006C7B06" w:rsidRPr="007A3793" w:rsidRDefault="006C7B06" w:rsidP="00CD1179">
      <w:r w:rsidRPr="007A3793">
        <w:t xml:space="preserve">Trust in the identity of the subject whose signature can be verified using the certificate public key depends on the confidentiality of the associated private key. The certificate subject must maintain sole possession of the private key. If poor key management is practiced by the subject, it is possible for an attacker gaining possession of the private key to impersonate the subject </w:t>
      </w:r>
      <w:r w:rsidR="00325CA1" w:rsidRPr="007A3793">
        <w:t>and to forge their signature.</w:t>
      </w:r>
    </w:p>
    <w:p w14:paraId="71C92A14" w14:textId="77777777" w:rsidR="006C7B06" w:rsidRPr="007A3793" w:rsidRDefault="006C7B06" w:rsidP="00CD1179">
      <w:r w:rsidRPr="007A3793">
        <w:t xml:space="preserve">In a permissionless ledger, there may be no requirement for using PKI-associated certificates. It is possible to use only the public key to verify the validity of a signature created with the associated private key. When public-private key pairs are not associated with a PKI, signatures created with a private key can be verified using the associated public key to gain data integrity </w:t>
      </w:r>
      <w:proofErr w:type="gramStart"/>
      <w:r w:rsidRPr="007A3793">
        <w:t>assurance</w:t>
      </w:r>
      <w:proofErr w:type="gramEnd"/>
      <w:r w:rsidRPr="007A3793">
        <w:t xml:space="preserve"> but no origin authenticity or non-repudiation services are provided. These services require a PKI.</w:t>
      </w:r>
    </w:p>
    <w:p w14:paraId="71C92A15" w14:textId="0E2F79E1" w:rsidR="006C7B06" w:rsidRPr="007A3793" w:rsidRDefault="006C7B06" w:rsidP="00CD1179">
      <w:r w:rsidRPr="007A3793">
        <w:t xml:space="preserve">In permissioned ledger environments, PKI-based signatures may be required so that participants are able to comply with legal or regulatory requirements. These requirements may include </w:t>
      </w:r>
      <w:r w:rsidR="001122ED">
        <w:t>"</w:t>
      </w:r>
      <w:r w:rsidRPr="007A3793">
        <w:t>Know Your Customer</w:t>
      </w:r>
      <w:r w:rsidR="001122ED">
        <w:t>"</w:t>
      </w:r>
      <w:r w:rsidRPr="007A3793">
        <w:t xml:space="preserve"> (KYC) and Anti-Money Laundering (AML) rules that are commonly applied to financial services organizations. In this context, PKI may be used both for digital signatures and for access control to a ledger platform with an authentication protocol such as Transport Layer Security (TLS).</w:t>
      </w:r>
    </w:p>
    <w:p w14:paraId="71C92A16" w14:textId="1A142A63" w:rsidR="006C7B06" w:rsidRPr="007A3793" w:rsidRDefault="006C7B06" w:rsidP="00E14E29">
      <w:pPr>
        <w:pStyle w:val="Heading5"/>
      </w:pPr>
      <w:r w:rsidRPr="007A3793">
        <w:t xml:space="preserve">Signature </w:t>
      </w:r>
      <w:r w:rsidR="00BB7C1F" w:rsidRPr="007A3793">
        <w:t>processing</w:t>
      </w:r>
    </w:p>
    <w:p w14:paraId="71C92A17" w14:textId="77777777" w:rsidR="006C7B06" w:rsidRPr="007A3793" w:rsidRDefault="006C7B06" w:rsidP="00CD1179">
      <w:r w:rsidRPr="007A3793">
        <w:t xml:space="preserve">Signature verification is used to determine if a signature on some data content is valid. Verification is performed by signing the content again and comparing that result to a presented signature. If the two signatures match, the signature </w:t>
      </w:r>
      <w:proofErr w:type="gramStart"/>
      <w:r w:rsidRPr="007A3793">
        <w:t>is considered to be</w:t>
      </w:r>
      <w:proofErr w:type="gramEnd"/>
      <w:r w:rsidRPr="007A3793">
        <w:t xml:space="preserve"> valid. Content is often hashed before it is </w:t>
      </w:r>
      <w:proofErr w:type="gramStart"/>
      <w:r w:rsidRPr="007A3793">
        <w:t>signed</w:t>
      </w:r>
      <w:proofErr w:type="gramEnd"/>
      <w:r w:rsidRPr="007A3793">
        <w:t xml:space="preserve"> and the signature is then applied to the hash. In this case, signature verification also requires recalculation of the hash of the content.</w:t>
      </w:r>
    </w:p>
    <w:p w14:paraId="71C92A18" w14:textId="5E615B10" w:rsidR="006C7B06" w:rsidRPr="007A3793" w:rsidRDefault="006C7B06" w:rsidP="00CD1179">
      <w:r w:rsidRPr="007A3793">
        <w:t xml:space="preserve">In </w:t>
      </w:r>
      <w:r w:rsidR="005A6F89" w:rsidRPr="007A3793">
        <w:t>clause</w:t>
      </w:r>
      <w:r w:rsidRPr="007A3793">
        <w:t xml:space="preserve"> 12.5.1 of </w:t>
      </w:r>
      <w:r w:rsidR="005A6F89" w:rsidRPr="007A3793">
        <w:t xml:space="preserve">Recommendation </w:t>
      </w:r>
      <w:r w:rsidRPr="007A3793">
        <w:t>ITU-T X.509</w:t>
      </w:r>
      <w:r w:rsidR="0091369C">
        <w:t xml:space="preserve"> </w:t>
      </w:r>
      <w:r w:rsidR="0091369C" w:rsidRPr="007A3793">
        <w:rPr>
          <w:lang w:val="en-GB"/>
        </w:rPr>
        <w:t>[</w:t>
      </w:r>
      <w:r w:rsidR="0091369C">
        <w:rPr>
          <w:lang w:val="en-GB"/>
        </w:rPr>
        <w:t>b</w:t>
      </w:r>
      <w:r w:rsidR="0091369C">
        <w:rPr>
          <w:lang w:val="en-GB"/>
        </w:rPr>
        <w:noBreakHyphen/>
      </w:r>
      <w:r w:rsidR="0091369C" w:rsidRPr="007A3793">
        <w:rPr>
          <w:lang w:val="en-GB"/>
        </w:rPr>
        <w:t>ITU-T X</w:t>
      </w:r>
      <w:r w:rsidR="0091369C" w:rsidRPr="00CD1179">
        <w:t>.509</w:t>
      </w:r>
      <w:r w:rsidR="0091369C" w:rsidRPr="007A3793">
        <w:rPr>
          <w:lang w:val="en-GB"/>
        </w:rPr>
        <w:t>]</w:t>
      </w:r>
      <w:r w:rsidRPr="007A3793">
        <w:t>, the basic public key certificate checks include verifying that the signature of the CA is valid. Other checks follow, including ensuring that dates in the certificate are valid, that the certificate has not been revoked and that the private key component is being used for a purpose authorized by the issuing CA such as for signing certificates, signing data or for data encryption. In the case of DLT, a relying party accepts all liability for trusting a certificate-based signature as is typical for other cases of PKI.</w:t>
      </w:r>
    </w:p>
    <w:p w14:paraId="71C92A19" w14:textId="77777777" w:rsidR="006C7B06" w:rsidRPr="007A3793" w:rsidRDefault="006C7B06" w:rsidP="00CD1179">
      <w:r w:rsidRPr="007A3793">
        <w:t>Some organizations that participate in a DLT system may require compliance to a security policy  requiring that whenever a certificate is used, its signature  must be verified and checked to see that it is fit for purpose (e.g., contains valid dates, uses approved algorithms, includes required extensions, that it not be revoked, etc.). The security policy may also require that the certificate path be validated back to an organization-trusted root. Certificate path validation must be used to provide assurance to the relying party that the identity of the signer can be trusted.</w:t>
      </w:r>
    </w:p>
    <w:p w14:paraId="71C92A1A" w14:textId="43F2C30C" w:rsidR="006C7B06" w:rsidRPr="007A3793" w:rsidRDefault="006C7B06" w:rsidP="00CD1179">
      <w:r w:rsidRPr="007A3793">
        <w:t>DLT systems may require that private extensions be included in certificates used to access their platforms and they may impose additional verification requirements. Vendors may offer a choice of signature algorithms and key lengths that can be used on their platforms. The available choice alternatives may conflict with those that comply with an organization</w:t>
      </w:r>
      <w:r w:rsidR="001122ED">
        <w:t>'</w:t>
      </w:r>
      <w:r w:rsidRPr="007A3793">
        <w:t xml:space="preserve">s security policies. Vendors may impose certificate validity periods that conflict with the key management requirements of an organization for periodic key rotation. In order to participate </w:t>
      </w:r>
      <w:proofErr w:type="gramStart"/>
      <w:r w:rsidRPr="007A3793">
        <w:t>in a given</w:t>
      </w:r>
      <w:proofErr w:type="gramEnd"/>
      <w:r w:rsidRPr="007A3793">
        <w:t xml:space="preserve"> DLT, an organization may need to obtain and manage exceptions to its security policies. The validity period in an X.509 certificate allows a relying party to make decisions about trust in a signature. These </w:t>
      </w:r>
      <w:r w:rsidR="001122ED">
        <w:t>'</w:t>
      </w:r>
      <w:r w:rsidRPr="007A3793">
        <w:t>not-before</w:t>
      </w:r>
      <w:r w:rsidR="001122ED">
        <w:t>'</w:t>
      </w:r>
      <w:r w:rsidRPr="007A3793">
        <w:t xml:space="preserve"> and </w:t>
      </w:r>
      <w:r w:rsidR="001122ED">
        <w:t>'</w:t>
      </w:r>
      <w:r w:rsidRPr="007A3793">
        <w:t>not-after</w:t>
      </w:r>
      <w:r w:rsidR="001122ED">
        <w:t>'</w:t>
      </w:r>
      <w:r w:rsidRPr="007A3793">
        <w:t xml:space="preserve"> dates apply to the public key signed by the certificate issuer and to the associated private signing key. Once a certificate expires, the private key should no longer be used for </w:t>
      </w:r>
      <w:r w:rsidRPr="007A3793">
        <w:lastRenderedPageBreak/>
        <w:t>signing. At any time, signatures created outside of the validity period using the private key should not be trusted.</w:t>
      </w:r>
    </w:p>
    <w:p w14:paraId="71C92A1B" w14:textId="77777777" w:rsidR="006C7B06" w:rsidRPr="007A3793" w:rsidRDefault="006C7B06" w:rsidP="00CD1179">
      <w:r w:rsidRPr="007A3793">
        <w:t>The public key can be used to verify and validate signatures that were created during the certificate validity period. Verification and validation can be performed at any time, even outside the validity period, so long as the date and time of the signing is known. A DLT timestamp, although not proving a precise time, can provide this information.</w:t>
      </w:r>
    </w:p>
    <w:p w14:paraId="71C92A1C" w14:textId="77777777" w:rsidR="006C7B06" w:rsidRPr="007A3793" w:rsidRDefault="006C7B06" w:rsidP="00C04FE7">
      <w:pPr>
        <w:pStyle w:val="Heading4"/>
      </w:pPr>
      <w:bookmarkStart w:id="89" w:name="_Toc16243503"/>
      <w:r w:rsidRPr="007A3793">
        <w:t>Challenges associated with this property</w:t>
      </w:r>
      <w:bookmarkEnd w:id="89"/>
    </w:p>
    <w:p w14:paraId="132237A7" w14:textId="77777777" w:rsidR="007A3793" w:rsidRPr="007A3793" w:rsidRDefault="006C7B06" w:rsidP="007A3793">
      <w:pPr>
        <w:numPr>
          <w:ilvl w:val="0"/>
          <w:numId w:val="22"/>
        </w:numPr>
        <w:ind w:left="567" w:hanging="567"/>
        <w:rPr>
          <w:lang w:val="en-GB"/>
        </w:rPr>
      </w:pPr>
      <w:r w:rsidRPr="007A3793">
        <w:rPr>
          <w:lang w:val="en-GB"/>
        </w:rPr>
        <w:t>Technological challenges, i.e., managing technological change;</w:t>
      </w:r>
    </w:p>
    <w:p w14:paraId="71C92A1E" w14:textId="79642D13" w:rsidR="006C7B06" w:rsidRPr="007A3793" w:rsidRDefault="006C7B06" w:rsidP="007A3793">
      <w:pPr>
        <w:numPr>
          <w:ilvl w:val="0"/>
          <w:numId w:val="22"/>
        </w:numPr>
        <w:ind w:left="567" w:hanging="567"/>
        <w:rPr>
          <w:lang w:val="en-GB"/>
        </w:rPr>
      </w:pPr>
      <w:r w:rsidRPr="007A3793">
        <w:rPr>
          <w:lang w:val="en-GB"/>
        </w:rPr>
        <w:t>Regulation that requires the correction or removal of data in the ledger;</w:t>
      </w:r>
    </w:p>
    <w:p w14:paraId="71C92A1F" w14:textId="3C413FF7" w:rsidR="006C7B06" w:rsidRPr="007A3793" w:rsidRDefault="006C7B06" w:rsidP="007A3793">
      <w:pPr>
        <w:numPr>
          <w:ilvl w:val="0"/>
          <w:numId w:val="22"/>
        </w:numPr>
        <w:ind w:left="567" w:hanging="567"/>
        <w:rPr>
          <w:lang w:val="en-GB"/>
        </w:rPr>
      </w:pPr>
      <w:r w:rsidRPr="007A3793">
        <w:rPr>
          <w:lang w:val="en-GB"/>
        </w:rPr>
        <w:t xml:space="preserve">Electronic and digital signatures are regulated in some countries (e.g., by </w:t>
      </w:r>
      <w:proofErr w:type="spellStart"/>
      <w:r w:rsidRPr="007A3793">
        <w:rPr>
          <w:lang w:val="en-GB"/>
        </w:rPr>
        <w:t>eIDAS</w:t>
      </w:r>
      <w:proofErr w:type="spellEnd"/>
      <w:r w:rsidRPr="007A3793">
        <w:rPr>
          <w:lang w:val="en-GB"/>
        </w:rPr>
        <w:t xml:space="preserve"> in the EU). It is being discussed to extend this regulation from PKI to DLT. Some courts already recognize DLT-based proofs [</w:t>
      </w:r>
      <w:hyperlink w:anchor="zhao" w:history="1">
        <w:r w:rsidR="00CD1179">
          <w:rPr>
            <w:rStyle w:val="Hyperlink"/>
            <w:lang w:val="en-GB"/>
          </w:rPr>
          <w:t>b</w:t>
        </w:r>
        <w:r w:rsidR="00CD1179">
          <w:rPr>
            <w:rStyle w:val="Hyperlink"/>
            <w:lang w:val="en-GB"/>
          </w:rPr>
          <w:noBreakHyphen/>
        </w:r>
        <w:r w:rsidRPr="007A3793">
          <w:rPr>
            <w:rStyle w:val="Hyperlink"/>
            <w:lang w:val="en-GB"/>
          </w:rPr>
          <w:t>Zhao</w:t>
        </w:r>
      </w:hyperlink>
      <w:r w:rsidRPr="007A3793">
        <w:rPr>
          <w:lang w:val="en-GB"/>
        </w:rPr>
        <w:t>].</w:t>
      </w:r>
    </w:p>
    <w:p w14:paraId="71C92A20" w14:textId="77777777" w:rsidR="006C7B06" w:rsidRPr="007A3793" w:rsidRDefault="006C7B06" w:rsidP="00C04FE7">
      <w:pPr>
        <w:pStyle w:val="Heading4"/>
      </w:pPr>
      <w:bookmarkStart w:id="90" w:name="_Toc16243504"/>
      <w:bookmarkStart w:id="91" w:name="_Toc14188471"/>
      <w:r w:rsidRPr="007A3793">
        <w:t>Technological challenges</w:t>
      </w:r>
      <w:bookmarkEnd w:id="90"/>
    </w:p>
    <w:p w14:paraId="71C92A21" w14:textId="7ADFEC3A" w:rsidR="006C7B06" w:rsidRPr="007A3793" w:rsidRDefault="006C7B06" w:rsidP="00CD1179">
      <w:pPr>
        <w:rPr>
          <w:lang w:val="en-GB"/>
        </w:rPr>
      </w:pPr>
      <w:r w:rsidRPr="007A3793">
        <w:rPr>
          <w:lang w:val="en-GB"/>
        </w:rPr>
        <w:t>Cryptographic keys used in DLT are subject to change. This may be due to an organization</w:t>
      </w:r>
      <w:r w:rsidR="001122ED">
        <w:rPr>
          <w:lang w:val="en-GB"/>
        </w:rPr>
        <w:t>'</w:t>
      </w:r>
      <w:r w:rsidRPr="007A3793">
        <w:rPr>
          <w:lang w:val="en-GB"/>
        </w:rPr>
        <w:t xml:space="preserve">s security policy or to its certificate or key management requirements. Approved signature algorithms may become deprecated and key length requirements may increase over time. As new algorithms become </w:t>
      </w:r>
      <w:r w:rsidR="0091369C" w:rsidRPr="007A3793">
        <w:rPr>
          <w:lang w:val="en-GB"/>
        </w:rPr>
        <w:t>available,</w:t>
      </w:r>
      <w:r w:rsidRPr="007A3793">
        <w:rPr>
          <w:lang w:val="en-GB"/>
        </w:rPr>
        <w:t xml:space="preserve"> they may replace existing ones to achieve better performance or greater protection.</w:t>
      </w:r>
    </w:p>
    <w:p w14:paraId="642E4EDA" w14:textId="4B8E7023" w:rsidR="007A3793" w:rsidRPr="007A3793" w:rsidRDefault="006C7B06" w:rsidP="00CD1179">
      <w:pPr>
        <w:rPr>
          <w:lang w:val="en-GB"/>
        </w:rPr>
      </w:pPr>
      <w:r w:rsidRPr="007A3793">
        <w:rPr>
          <w:lang w:val="en-GB"/>
        </w:rPr>
        <w:t xml:space="preserve">This has been the case for other systems and protocols such as TLS, which recently deprecated use of a widely used RSA key management technique and approved the use of </w:t>
      </w:r>
      <w:proofErr w:type="spellStart"/>
      <w:r w:rsidRPr="007A3793">
        <w:rPr>
          <w:lang w:val="en-GB"/>
        </w:rPr>
        <w:t>EdDSA</w:t>
      </w:r>
      <w:proofErr w:type="spellEnd"/>
      <w:r w:rsidRPr="007A3793">
        <w:rPr>
          <w:lang w:val="en-GB"/>
        </w:rPr>
        <w:t xml:space="preserve">, a more recently developed family of digital signature algorithms. </w:t>
      </w:r>
      <w:proofErr w:type="spellStart"/>
      <w:r w:rsidRPr="007A3793">
        <w:rPr>
          <w:lang w:val="en-GB"/>
        </w:rPr>
        <w:t>EdDSA</w:t>
      </w:r>
      <w:proofErr w:type="spellEnd"/>
      <w:r w:rsidRPr="007A3793">
        <w:rPr>
          <w:lang w:val="en-GB"/>
        </w:rPr>
        <w:t xml:space="preserve"> is also used in crypto currency, blockchain and ledger systems. All cryptographic algorithms are subject to obsolescence. This has been the case for hash algorithms such as MD5 and SHA-1, which were once used for signatures in PKI but have since been replaced by algorithms such as SHA-2. As certificates </w:t>
      </w:r>
      <w:r w:rsidR="0091369C" w:rsidRPr="007A3793">
        <w:rPr>
          <w:lang w:val="en-GB"/>
        </w:rPr>
        <w:t>expire,</w:t>
      </w:r>
      <w:r w:rsidRPr="007A3793">
        <w:rPr>
          <w:lang w:val="en-GB"/>
        </w:rPr>
        <w:t xml:space="preserve"> they must be renewed or replaced based on an organization</w:t>
      </w:r>
      <w:r w:rsidR="00C04FE7">
        <w:rPr>
          <w:lang w:val="en-GB"/>
        </w:rPr>
        <w:t>'</w:t>
      </w:r>
      <w:r w:rsidRPr="007A3793">
        <w:rPr>
          <w:lang w:val="en-GB"/>
        </w:rPr>
        <w:t>s policies. As a rule, CA certificates must be updated well before they expire so that this process can be performed without disruption. These updates may cause transactions that span multiple blocks to rely on signatures that use different algorithms or key lengths. So, it is important that DLT applications are agile and that DLT platforms are designed to expect change. Moreover, from a general point of view, in blockchain, blocks are not required to be signed.</w:t>
      </w:r>
    </w:p>
    <w:p w14:paraId="71C92A23" w14:textId="6EA0E392" w:rsidR="006C7B06" w:rsidRPr="007A3793" w:rsidRDefault="006C7B06" w:rsidP="00CD1179">
      <w:pPr>
        <w:rPr>
          <w:lang w:val="en-GB"/>
        </w:rPr>
      </w:pPr>
      <w:r w:rsidRPr="007A3793">
        <w:rPr>
          <w:lang w:val="en-GB"/>
        </w:rPr>
        <w:t xml:space="preserve">Also, the </w:t>
      </w:r>
      <w:proofErr w:type="spellStart"/>
      <w:r w:rsidRPr="007A3793">
        <w:rPr>
          <w:lang w:val="en-GB"/>
        </w:rPr>
        <w:t>CAdES</w:t>
      </w:r>
      <w:proofErr w:type="spellEnd"/>
      <w:r w:rsidR="00C04FE7">
        <w:rPr>
          <w:lang w:val="en-GB"/>
        </w:rPr>
        <w:t xml:space="preserve"> </w:t>
      </w:r>
      <w:r w:rsidR="00C04FE7" w:rsidRPr="007A3793">
        <w:rPr>
          <w:lang w:val="en-GB"/>
        </w:rPr>
        <w:t>syntax</w:t>
      </w:r>
      <w:r w:rsidRPr="007A3793">
        <w:rPr>
          <w:lang w:val="en-GB"/>
        </w:rPr>
        <w:t xml:space="preserve"> is not the unique way</w:t>
      </w:r>
      <w:r w:rsidR="00C04FE7">
        <w:rPr>
          <w:lang w:val="en-GB"/>
        </w:rPr>
        <w:t>;</w:t>
      </w:r>
      <w:r w:rsidRPr="007A3793">
        <w:rPr>
          <w:lang w:val="en-GB"/>
        </w:rPr>
        <w:t xml:space="preserve"> moreover</w:t>
      </w:r>
      <w:r w:rsidR="00C04FE7">
        <w:rPr>
          <w:lang w:val="en-GB"/>
        </w:rPr>
        <w:t>,</w:t>
      </w:r>
      <w:r w:rsidRPr="007A3793">
        <w:rPr>
          <w:lang w:val="en-GB"/>
        </w:rPr>
        <w:t xml:space="preserve"> with </w:t>
      </w:r>
      <w:proofErr w:type="spellStart"/>
      <w:r w:rsidRPr="007A3793">
        <w:rPr>
          <w:lang w:val="en-GB"/>
        </w:rPr>
        <w:t>eIDAS</w:t>
      </w:r>
      <w:proofErr w:type="spellEnd"/>
      <w:r w:rsidR="00C04FE7">
        <w:rPr>
          <w:lang w:val="en-GB"/>
        </w:rPr>
        <w:t>,</w:t>
      </w:r>
      <w:r w:rsidRPr="007A3793">
        <w:rPr>
          <w:lang w:val="en-GB"/>
        </w:rPr>
        <w:t xml:space="preserve"> the preservation of electronic signature is adjusted to the limitations of the use of the DLT. Finally, regarding Recommendation ITU.T X509, although it is correct, it is problematic for validation of passed signatures or applicable to certificate revocation [</w:t>
      </w:r>
      <w:hyperlink w:anchor="diaz" w:history="1">
        <w:r w:rsidR="00CD1179">
          <w:rPr>
            <w:rStyle w:val="Hyperlink"/>
            <w:lang w:val="en-GB"/>
          </w:rPr>
          <w:t>b</w:t>
        </w:r>
        <w:r w:rsidR="00CD1179">
          <w:rPr>
            <w:rStyle w:val="Hyperlink"/>
            <w:lang w:val="en-GB"/>
          </w:rPr>
          <w:noBreakHyphen/>
        </w:r>
        <w:r w:rsidRPr="007A3793">
          <w:rPr>
            <w:rStyle w:val="Hyperlink"/>
            <w:lang w:val="en-GB"/>
          </w:rPr>
          <w:t>Diaz</w:t>
        </w:r>
      </w:hyperlink>
      <w:r w:rsidRPr="007A3793">
        <w:rPr>
          <w:lang w:val="en-GB"/>
        </w:rPr>
        <w:t xml:space="preserve">]. ETSI EN 319 102.1 </w:t>
      </w:r>
      <w:r w:rsidR="004E3AB9">
        <w:rPr>
          <w:lang w:val="en-GB"/>
        </w:rPr>
        <w:t>[</w:t>
      </w:r>
      <w:hyperlink w:anchor="en319201_1" w:history="1">
        <w:r w:rsidR="004E3AB9" w:rsidRPr="004E3AB9">
          <w:rPr>
            <w:rStyle w:val="Hyperlink"/>
            <w:lang w:val="en-GB"/>
          </w:rPr>
          <w:t>b</w:t>
        </w:r>
        <w:r w:rsidR="004E3AB9">
          <w:rPr>
            <w:rStyle w:val="Hyperlink"/>
            <w:lang w:val="en-GB"/>
          </w:rPr>
          <w:noBreakHyphen/>
        </w:r>
        <w:r w:rsidR="004E3AB9" w:rsidRPr="004E3AB9">
          <w:rPr>
            <w:rStyle w:val="Hyperlink"/>
            <w:lang w:val="en-GB"/>
          </w:rPr>
          <w:t>EN 319 102.1</w:t>
        </w:r>
      </w:hyperlink>
      <w:r w:rsidR="004E3AB9">
        <w:rPr>
          <w:lang w:val="en-GB"/>
        </w:rPr>
        <w:t xml:space="preserve">] </w:t>
      </w:r>
      <w:r w:rsidRPr="007A3793">
        <w:rPr>
          <w:lang w:val="en-GB"/>
        </w:rPr>
        <w:t>extends the algorithm to give a clear response to that problematic, and it is relevant that this standard is adopted in the European Union as well.</w:t>
      </w:r>
    </w:p>
    <w:p w14:paraId="0D10A62C" w14:textId="01863365" w:rsidR="007A3793" w:rsidRPr="007A3793" w:rsidRDefault="006C7B06" w:rsidP="00CD1179">
      <w:pPr>
        <w:rPr>
          <w:lang w:val="en-GB"/>
        </w:rPr>
      </w:pPr>
      <w:r w:rsidRPr="007A3793">
        <w:rPr>
          <w:lang w:val="en-GB"/>
        </w:rPr>
        <w:t xml:space="preserve">Furthermore, the coming development of quantum computing is expected to be disruptive. According to Michele </w:t>
      </w:r>
      <w:proofErr w:type="spellStart"/>
      <w:r w:rsidRPr="007A3793">
        <w:rPr>
          <w:lang w:val="en-GB"/>
        </w:rPr>
        <w:t>Mosca</w:t>
      </w:r>
      <w:proofErr w:type="spellEnd"/>
      <w:r w:rsidRPr="007A3793">
        <w:rPr>
          <w:lang w:val="en-GB"/>
        </w:rPr>
        <w:t xml:space="preserve"> of the University of Waterloo, quantum computers </w:t>
      </w:r>
      <w:r w:rsidR="001122ED">
        <w:rPr>
          <w:lang w:val="en-GB"/>
        </w:rPr>
        <w:t>"</w:t>
      </w:r>
      <w:r w:rsidRPr="007A3793">
        <w:rPr>
          <w:lang w:val="en-GB"/>
        </w:rPr>
        <w:t xml:space="preserve">will break currently deployed public-key cryptography, which underpins the security of DLT systems that rely on PKI, and could become a threat in the next </w:t>
      </w:r>
      <w:r w:rsidR="004E3AB9">
        <w:rPr>
          <w:lang w:val="en-GB"/>
        </w:rPr>
        <w:t>ten</w:t>
      </w:r>
      <w:r w:rsidRPr="007A3793">
        <w:rPr>
          <w:lang w:val="en-GB"/>
        </w:rPr>
        <w:t xml:space="preserve"> years knowing that commercial availability might be preceded by military availability</w:t>
      </w:r>
      <w:r w:rsidR="001122ED">
        <w:rPr>
          <w:lang w:val="en-GB"/>
        </w:rPr>
        <w:t>"</w:t>
      </w:r>
      <w:r w:rsidRPr="007A3793">
        <w:rPr>
          <w:lang w:val="en-GB"/>
        </w:rPr>
        <w:t>. More significantly, the PKI systems fielded today are about to become obsolete, in particular, those based on RSA and those with keys smaller than 4096 (or their ECC equivalents), and even those are approaching their end, all due to the quantum attacks offered by Shor</w:t>
      </w:r>
      <w:r w:rsidR="001122ED">
        <w:rPr>
          <w:lang w:val="en-GB"/>
        </w:rPr>
        <w:t>'</w:t>
      </w:r>
      <w:r w:rsidRPr="007A3793">
        <w:rPr>
          <w:lang w:val="en-GB"/>
        </w:rPr>
        <w:t>s algorithm [</w:t>
      </w:r>
      <w:hyperlink w:anchor="baumer" w:history="1">
        <w:r w:rsidR="00CD1179">
          <w:rPr>
            <w:rStyle w:val="Hyperlink"/>
            <w:lang w:val="en-GB"/>
          </w:rPr>
          <w:t>b</w:t>
        </w:r>
        <w:r w:rsidR="00CD1179">
          <w:rPr>
            <w:rStyle w:val="Hyperlink"/>
            <w:lang w:val="en-GB"/>
          </w:rPr>
          <w:noBreakHyphen/>
        </w:r>
        <w:proofErr w:type="spellStart"/>
        <w:r w:rsidRPr="007A3793">
          <w:rPr>
            <w:rStyle w:val="Hyperlink"/>
            <w:lang w:val="en-GB"/>
          </w:rPr>
          <w:t>Bäumer</w:t>
        </w:r>
        <w:proofErr w:type="spellEnd"/>
      </w:hyperlink>
      <w:r w:rsidRPr="007A3793">
        <w:rPr>
          <w:lang w:val="en-GB"/>
        </w:rPr>
        <w:t xml:space="preserve">]. This will force adoption and deployment of new signature algorithms that have been designed to be </w:t>
      </w:r>
      <w:r w:rsidR="001122ED">
        <w:rPr>
          <w:lang w:val="en-GB"/>
        </w:rPr>
        <w:t>'</w:t>
      </w:r>
      <w:r w:rsidRPr="007A3793">
        <w:rPr>
          <w:lang w:val="en-GB"/>
        </w:rPr>
        <w:t>quantum-safe</w:t>
      </w:r>
      <w:r w:rsidR="001122ED">
        <w:rPr>
          <w:lang w:val="en-GB"/>
        </w:rPr>
        <w:t>'</w:t>
      </w:r>
      <w:r w:rsidRPr="007A3793">
        <w:rPr>
          <w:lang w:val="en-GB"/>
        </w:rPr>
        <w:t xml:space="preserve">, or, resistant to quantum attacks. Consensus on which new algorithms should be safe to use as replacements is still being reached </w:t>
      </w:r>
      <w:r w:rsidRPr="007A3793">
        <w:rPr>
          <w:lang w:val="en-GB"/>
        </w:rPr>
        <w:lastRenderedPageBreak/>
        <w:t>by researchers, governments and standards bodies. However, the time to start planning for changing signature algorithms is now.</w:t>
      </w:r>
    </w:p>
    <w:p w14:paraId="71C92A25" w14:textId="205D2697" w:rsidR="006C7B06" w:rsidRPr="007A3793" w:rsidRDefault="006C7B06" w:rsidP="00CD1179">
      <w:pPr>
        <w:rPr>
          <w:lang w:val="en-GB"/>
        </w:rPr>
      </w:pPr>
      <w:r w:rsidRPr="007A3793">
        <w:rPr>
          <w:lang w:val="en-GB"/>
        </w:rPr>
        <w:t>The DLT system-reliance on PKI issue posed by quantum computers also applies to symmetric cryptography whenever it is used to store encrypted data on the blockchain and thereby, ensure its confidentiality and integrity. In effect, whereas large enough quantum computers will disrupt most existing standardized asymmetric crypto (with the notable exception of the ANSI standard for financial services X9.98 and the two stateful hash-based signature standards at the IETF), quantum computers will also affect symmetric cryptography in that, they will halve the key space due to Grover</w:t>
      </w:r>
      <w:r w:rsidR="001122ED">
        <w:rPr>
          <w:lang w:val="en-GB"/>
        </w:rPr>
        <w:t>'</w:t>
      </w:r>
      <w:r w:rsidRPr="007A3793">
        <w:rPr>
          <w:lang w:val="en-GB"/>
        </w:rPr>
        <w:t>s algorithm [</w:t>
      </w:r>
      <w:hyperlink w:anchor="grover" w:history="1">
        <w:r w:rsidR="00CD1179">
          <w:rPr>
            <w:rStyle w:val="Hyperlink"/>
            <w:lang w:val="en-GB"/>
          </w:rPr>
          <w:t>b</w:t>
        </w:r>
        <w:r w:rsidR="00CD1179">
          <w:rPr>
            <w:rStyle w:val="Hyperlink"/>
            <w:lang w:val="en-GB"/>
          </w:rPr>
          <w:noBreakHyphen/>
        </w:r>
        <w:r w:rsidRPr="007A3793">
          <w:rPr>
            <w:rStyle w:val="Hyperlink"/>
            <w:lang w:val="en-GB"/>
          </w:rPr>
          <w:t>Grover</w:t>
        </w:r>
      </w:hyperlink>
      <w:r w:rsidRPr="007A3793">
        <w:rPr>
          <w:lang w:val="en-GB"/>
        </w:rPr>
        <w:t>]. As a direct consequence of that, current 128-bit algorithms will be rendered useless and there will be no standardized equivalent providing 256-bit level security in the post-quantum scenario, for that would require 512-bit keys. Hence, this area is a work in progress (notably at ISO). The intermediary recommendation holds that when symmetric encryption is mandated by the system</w:t>
      </w:r>
      <w:r w:rsidR="001122ED">
        <w:rPr>
          <w:lang w:val="en-GB"/>
        </w:rPr>
        <w:t>'</w:t>
      </w:r>
      <w:r w:rsidRPr="007A3793">
        <w:rPr>
          <w:lang w:val="en-GB"/>
        </w:rPr>
        <w:t xml:space="preserve">s design to store data on the blockchain, which is one of the paths to GDPR-compliance, 256-bit keys are to be used as a minimum for systems that are meant to last for more than </w:t>
      </w:r>
      <w:r w:rsidR="0091369C">
        <w:rPr>
          <w:lang w:val="en-GB"/>
        </w:rPr>
        <w:t>ten</w:t>
      </w:r>
      <w:r w:rsidRPr="007A3793">
        <w:rPr>
          <w:lang w:val="en-GB"/>
        </w:rPr>
        <w:t xml:space="preserve"> years.</w:t>
      </w:r>
    </w:p>
    <w:p w14:paraId="6BE5C3F1" w14:textId="77777777" w:rsidR="007A3793" w:rsidRPr="007A3793" w:rsidRDefault="006C7B06" w:rsidP="00325CA1">
      <w:pPr>
        <w:pStyle w:val="Heading3"/>
      </w:pPr>
      <w:bookmarkStart w:id="92" w:name="_Toc16243505"/>
      <w:bookmarkStart w:id="93" w:name="_Toc23447198"/>
      <w:bookmarkStart w:id="94" w:name="_Toc23767538"/>
      <w:r w:rsidRPr="007A3793">
        <w:t>Regulatory challenges</w:t>
      </w:r>
      <w:bookmarkEnd w:id="91"/>
      <w:bookmarkEnd w:id="92"/>
      <w:bookmarkEnd w:id="93"/>
      <w:bookmarkEnd w:id="94"/>
    </w:p>
    <w:p w14:paraId="71C92A27" w14:textId="6993F332" w:rsidR="006C7B06" w:rsidRPr="007A3793" w:rsidRDefault="006C7B06" w:rsidP="00C04FE7">
      <w:pPr>
        <w:pStyle w:val="Heading4"/>
      </w:pPr>
      <w:bookmarkStart w:id="95" w:name="_Toc11405572"/>
      <w:bookmarkStart w:id="96" w:name="_Toc14188472"/>
      <w:bookmarkStart w:id="97" w:name="_Toc16243506"/>
      <w:r w:rsidRPr="007A3793">
        <w:t>GDPR – Data protection</w:t>
      </w:r>
      <w:bookmarkEnd w:id="95"/>
      <w:bookmarkEnd w:id="96"/>
      <w:bookmarkEnd w:id="97"/>
    </w:p>
    <w:p w14:paraId="71C92A28" w14:textId="77777777" w:rsidR="006C7B06" w:rsidRPr="007A3793" w:rsidRDefault="006C7B06" w:rsidP="00CD1179">
      <w:pPr>
        <w:rPr>
          <w:lang w:val="en-GB"/>
        </w:rPr>
      </w:pPr>
      <w:r w:rsidRPr="007A3793">
        <w:rPr>
          <w:lang w:val="en-GB"/>
        </w:rPr>
        <w:t>The European General Data Protection Regulation (GDPR) applies outside Europe in certain conditions e.g. when data subjects in Europe are addressed or monitored.</w:t>
      </w:r>
    </w:p>
    <w:p w14:paraId="6F60F50F" w14:textId="77777777" w:rsidR="007A3793" w:rsidRPr="007A3793" w:rsidRDefault="006C7B06" w:rsidP="00E14E29">
      <w:pPr>
        <w:pStyle w:val="Heading5"/>
      </w:pPr>
      <w:bookmarkStart w:id="98" w:name="_Toc11405573"/>
      <w:bookmarkStart w:id="99" w:name="_Toc14188473"/>
      <w:r w:rsidRPr="007A3793">
        <w:t>GDPR – Challenges</w:t>
      </w:r>
      <w:bookmarkEnd w:id="98"/>
      <w:bookmarkEnd w:id="99"/>
    </w:p>
    <w:p w14:paraId="71C92A2A" w14:textId="707FBC1F" w:rsidR="006C7B06" w:rsidRPr="007A3793" w:rsidRDefault="006C7B06" w:rsidP="00CD1179">
      <w:pPr>
        <w:rPr>
          <w:lang w:val="en-GB"/>
        </w:rPr>
      </w:pPr>
      <w:r w:rsidRPr="007A3793">
        <w:rPr>
          <w:lang w:val="en-GB"/>
        </w:rPr>
        <w:t>The GDPR requires a justification for processing of personal data and provides the data subjects with the right to be forgotten (Art. 17), the right to rectification (Art. 16) and the right to restrict processing (Art. 18). This can create conflicts with the immutability of DLT systems. The oblivion and erasure, however, is not limitless, existing only if the justification to store the data ceases.</w:t>
      </w:r>
    </w:p>
    <w:p w14:paraId="71C92A2B" w14:textId="77777777" w:rsidR="006C7B06" w:rsidRPr="007A3793" w:rsidRDefault="006C7B06" w:rsidP="00CD1179">
      <w:pPr>
        <w:rPr>
          <w:lang w:val="en-GB"/>
        </w:rPr>
      </w:pPr>
      <w:r w:rsidRPr="007A3793">
        <w:rPr>
          <w:lang w:val="en-GB"/>
        </w:rPr>
        <w:t xml:space="preserve">The GDPR requires controllers and processors to have a processing agreement. Controllers are limited to select processors that are providing </w:t>
      </w:r>
      <w:proofErr w:type="gramStart"/>
      <w:r w:rsidRPr="007A3793">
        <w:rPr>
          <w:lang w:val="en-GB"/>
        </w:rPr>
        <w:t>sufficient</w:t>
      </w:r>
      <w:proofErr w:type="gramEnd"/>
      <w:r w:rsidRPr="007A3793">
        <w:rPr>
          <w:lang w:val="en-GB"/>
        </w:rPr>
        <w:t xml:space="preserve"> guarantees to comply with the GDPR (Art. 28). It is yet unclear how this </w:t>
      </w:r>
      <w:proofErr w:type="gramStart"/>
      <w:r w:rsidRPr="007A3793">
        <w:rPr>
          <w:lang w:val="en-GB"/>
        </w:rPr>
        <w:t>has to</w:t>
      </w:r>
      <w:proofErr w:type="gramEnd"/>
      <w:r w:rsidRPr="007A3793">
        <w:rPr>
          <w:lang w:val="en-GB"/>
        </w:rPr>
        <w:t xml:space="preserve"> be interpreted in the context of public blockchains and whether the code of a blockchain can serve as some kind of smart contract for the processing agreement.</w:t>
      </w:r>
    </w:p>
    <w:p w14:paraId="71C92A2C" w14:textId="09AEA9B3" w:rsidR="006C7B06" w:rsidRPr="007A3793" w:rsidRDefault="006C7B06" w:rsidP="00CD1179">
      <w:pPr>
        <w:rPr>
          <w:lang w:val="en-GB"/>
        </w:rPr>
      </w:pPr>
      <w:r w:rsidRPr="007A3793">
        <w:rPr>
          <w:lang w:val="en-GB"/>
        </w:rPr>
        <w:t>The GDPR limits the transfer to third countries. Having nodes in third countries might transfer personal data to those third countries. However, publication is not considered a transfer to a third country, even when the data can be freely accessed from a third country [</w:t>
      </w:r>
      <w:hyperlink w:anchor="euc" w:history="1">
        <w:r w:rsidR="00CD1179">
          <w:rPr>
            <w:rStyle w:val="Hyperlink"/>
            <w:lang w:val="en-GB"/>
          </w:rPr>
          <w:t>b</w:t>
        </w:r>
        <w:r w:rsidR="00CD1179">
          <w:rPr>
            <w:rStyle w:val="Hyperlink"/>
            <w:lang w:val="en-GB"/>
          </w:rPr>
          <w:noBreakHyphen/>
        </w:r>
        <w:r w:rsidRPr="007A3793">
          <w:rPr>
            <w:rStyle w:val="Hyperlink"/>
            <w:lang w:val="en-GB"/>
          </w:rPr>
          <w:t>EU-c</w:t>
        </w:r>
      </w:hyperlink>
      <w:r w:rsidRPr="007A3793">
        <w:rPr>
          <w:lang w:val="en-GB"/>
        </w:rPr>
        <w:t>]. What does this mean for a blockchain with nodes in third countries? Does this privilege a public blockchain over a non-public blockchain?</w:t>
      </w:r>
    </w:p>
    <w:p w14:paraId="71C92A2D" w14:textId="6A56DA70" w:rsidR="006C7B06" w:rsidRPr="007A3793" w:rsidRDefault="006C7B06" w:rsidP="00E14E29">
      <w:pPr>
        <w:pStyle w:val="Heading5"/>
      </w:pPr>
      <w:bookmarkStart w:id="100" w:name="_Toc11405574"/>
      <w:bookmarkStart w:id="101" w:name="_Toc14188474"/>
      <w:r w:rsidRPr="007A3793">
        <w:t xml:space="preserve">GDPR – Personal </w:t>
      </w:r>
      <w:r w:rsidR="00BB7C1F" w:rsidRPr="007A3793">
        <w:t>data</w:t>
      </w:r>
      <w:bookmarkEnd w:id="100"/>
      <w:bookmarkEnd w:id="101"/>
    </w:p>
    <w:p w14:paraId="71C92A2E" w14:textId="77777777" w:rsidR="006C7B06" w:rsidRPr="007A3793" w:rsidRDefault="006C7B06" w:rsidP="00CD1179">
      <w:pPr>
        <w:rPr>
          <w:lang w:val="en-GB"/>
        </w:rPr>
      </w:pPr>
      <w:r w:rsidRPr="007A3793">
        <w:rPr>
          <w:lang w:val="en-GB"/>
        </w:rPr>
        <w:t xml:space="preserve">The GDPR does not apply to DLT when no personal data is processed. However, the definition of personal data goes far beyond what is considered PII. In other jurisdictions like the U.S., data that could be attributed to a natural person </w:t>
      </w:r>
      <w:proofErr w:type="gramStart"/>
      <w:r w:rsidRPr="007A3793">
        <w:rPr>
          <w:lang w:val="en-GB"/>
        </w:rPr>
        <w:t>by the use of</w:t>
      </w:r>
      <w:proofErr w:type="gramEnd"/>
      <w:r w:rsidRPr="007A3793">
        <w:rPr>
          <w:lang w:val="en-GB"/>
        </w:rPr>
        <w:t xml:space="preserve"> additional available information is already considered personal data.</w:t>
      </w:r>
    </w:p>
    <w:p w14:paraId="71C92A2F" w14:textId="77777777" w:rsidR="006C7B06" w:rsidRPr="007A3793" w:rsidRDefault="006C7B06" w:rsidP="00CD1179">
      <w:pPr>
        <w:rPr>
          <w:lang w:val="en-GB"/>
        </w:rPr>
      </w:pPr>
      <w:r w:rsidRPr="007A3793">
        <w:rPr>
          <w:lang w:val="en-GB"/>
        </w:rPr>
        <w:t xml:space="preserve">A common way forward is to store the main data outside of a blockchain or on a sidechain and use the blockchain for verification, ordering and </w:t>
      </w:r>
      <w:proofErr w:type="gramStart"/>
      <w:r w:rsidRPr="007A3793">
        <w:rPr>
          <w:lang w:val="en-GB"/>
        </w:rPr>
        <w:t>time-stamping</w:t>
      </w:r>
      <w:proofErr w:type="gramEnd"/>
      <w:r w:rsidRPr="007A3793">
        <w:rPr>
          <w:lang w:val="en-GB"/>
        </w:rPr>
        <w:t>. This is done by hashing the personal data. However, hashes of personal data may represent personal data themselves.</w:t>
      </w:r>
    </w:p>
    <w:p w14:paraId="71C92A30" w14:textId="7B3BDA8A" w:rsidR="006C7B06" w:rsidRPr="00CD1179" w:rsidRDefault="006C7B06" w:rsidP="00CD1179">
      <w:r w:rsidRPr="00CD1179">
        <w:t xml:space="preserve">Typical pseudonymization scenarios, where only names or other identifiers are replaced by hashes (or even random numbers), are usually still considered personal data </w:t>
      </w:r>
      <w:r w:rsidRPr="007A3793">
        <w:rPr>
          <w:lang w:val="en-GB"/>
        </w:rPr>
        <w:t>[</w:t>
      </w:r>
      <w:hyperlink w:anchor="art29wp" w:history="1">
        <w:r w:rsidR="00CD1179">
          <w:rPr>
            <w:rStyle w:val="Hyperlink"/>
            <w:lang w:val="en-GB"/>
          </w:rPr>
          <w:t>b</w:t>
        </w:r>
        <w:r w:rsidR="00CD1179">
          <w:rPr>
            <w:rStyle w:val="Hyperlink"/>
            <w:lang w:val="en-GB"/>
          </w:rPr>
          <w:noBreakHyphen/>
        </w:r>
        <w:r w:rsidRPr="007A3793">
          <w:rPr>
            <w:rStyle w:val="Hyperlink"/>
            <w:lang w:val="en-GB"/>
          </w:rPr>
          <w:t>Art. 29 WP</w:t>
        </w:r>
      </w:hyperlink>
      <w:r w:rsidRPr="007A3793">
        <w:rPr>
          <w:lang w:val="en-GB"/>
        </w:rPr>
        <w:t>]</w:t>
      </w:r>
      <w:r w:rsidRPr="00CD1179">
        <w:t xml:space="preserve">. When there </w:t>
      </w:r>
      <w:r w:rsidRPr="00CD1179">
        <w:lastRenderedPageBreak/>
        <w:t xml:space="preserve">is a certain context or some metadata stored with the hash on a blockchain, this can also be used to derive personal data. People who have knowledge of the hashed information will be able to connect the metadata with the data they have. Therefore, no metadata should be stored along with the hash that is not included in the information hashed </w:t>
      </w:r>
      <w:r w:rsidRPr="007A3793">
        <w:rPr>
          <w:lang w:val="en-GB"/>
        </w:rPr>
        <w:t>[</w:t>
      </w:r>
      <w:hyperlink w:anchor="erbguthb" w:history="1">
        <w:r w:rsidR="00CD1179">
          <w:rPr>
            <w:rStyle w:val="Hyperlink"/>
            <w:lang w:val="en-GB"/>
          </w:rPr>
          <w:t>b</w:t>
        </w:r>
        <w:r w:rsidR="00CD1179">
          <w:rPr>
            <w:rStyle w:val="Hyperlink"/>
            <w:lang w:val="en-GB"/>
          </w:rPr>
          <w:noBreakHyphen/>
        </w:r>
        <w:proofErr w:type="spellStart"/>
        <w:r w:rsidRPr="007A3793">
          <w:rPr>
            <w:rStyle w:val="Hyperlink"/>
            <w:lang w:val="en-GB"/>
          </w:rPr>
          <w:t>Erbguth</w:t>
        </w:r>
        <w:proofErr w:type="spellEnd"/>
        <w:r w:rsidRPr="007A3793">
          <w:rPr>
            <w:rStyle w:val="Hyperlink"/>
            <w:lang w:val="en-GB"/>
          </w:rPr>
          <w:t>-b</w:t>
        </w:r>
      </w:hyperlink>
      <w:r w:rsidRPr="007A3793">
        <w:rPr>
          <w:lang w:val="en-GB"/>
        </w:rPr>
        <w:t>]</w:t>
      </w:r>
      <w:r w:rsidRPr="00CD1179">
        <w:t>.</w:t>
      </w:r>
    </w:p>
    <w:p w14:paraId="71C92A31" w14:textId="77777777" w:rsidR="006C7B06" w:rsidRPr="007A3793" w:rsidRDefault="006C7B06" w:rsidP="00CD1179">
      <w:pPr>
        <w:rPr>
          <w:lang w:val="en-GB"/>
        </w:rPr>
      </w:pPr>
      <w:r w:rsidRPr="007A3793">
        <w:rPr>
          <w:lang w:val="en-GB"/>
        </w:rPr>
        <w:t xml:space="preserve">Furthermore, hashes must have </w:t>
      </w:r>
      <w:proofErr w:type="gramStart"/>
      <w:r w:rsidRPr="007A3793">
        <w:rPr>
          <w:lang w:val="en-GB"/>
        </w:rPr>
        <w:t>sufficient</w:t>
      </w:r>
      <w:proofErr w:type="gramEnd"/>
      <w:r w:rsidRPr="007A3793">
        <w:rPr>
          <w:lang w:val="en-GB"/>
        </w:rPr>
        <w:t xml:space="preserve"> entropy, otherwise, the hashed data can be guessed. With Bitcoin mining, the calculation of hashes has become very fast. Added random data, also called salt, is often needed. When this random data is also used as a key to restrict access to the hash, then it is called pepper.</w:t>
      </w:r>
    </w:p>
    <w:p w14:paraId="71C92A32" w14:textId="77777777" w:rsidR="006C7B06" w:rsidRPr="007A3793" w:rsidRDefault="006C7B06" w:rsidP="00CD1179">
      <w:pPr>
        <w:rPr>
          <w:lang w:val="en-GB"/>
        </w:rPr>
      </w:pPr>
      <w:r w:rsidRPr="007A3793">
        <w:rPr>
          <w:lang w:val="en-GB"/>
        </w:rPr>
        <w:t>Zero-knowledge proofs (ZKPs) can be used to make sure that only non-personal data can be derived from an entry on a blockchain.</w:t>
      </w:r>
    </w:p>
    <w:p w14:paraId="71C92A33" w14:textId="423BDADE" w:rsidR="006C7B06" w:rsidRPr="00CD1179" w:rsidRDefault="006C7B06" w:rsidP="00CD1179">
      <w:r w:rsidRPr="00CD1179">
        <w:t xml:space="preserve">Encryption can be used to make it impossible to derive any personal data from a blockchain after the key has been deleted. However, storing encrypted personal data on a blockchain is like securing access to data by a non-changeable password which should be avoided </w:t>
      </w:r>
      <w:r w:rsidRPr="007A3793">
        <w:rPr>
          <w:lang w:val="en-GB"/>
        </w:rPr>
        <w:t>[</w:t>
      </w:r>
      <w:hyperlink w:anchor="grassi" w:history="1">
        <w:r w:rsidR="00CD1179">
          <w:rPr>
            <w:rStyle w:val="Hyperlink"/>
            <w:lang w:val="en-GB"/>
          </w:rPr>
          <w:t>b</w:t>
        </w:r>
        <w:r w:rsidR="00CD1179">
          <w:rPr>
            <w:rStyle w:val="Hyperlink"/>
            <w:lang w:val="en-GB"/>
          </w:rPr>
          <w:noBreakHyphen/>
        </w:r>
        <w:r w:rsidRPr="007A3793">
          <w:rPr>
            <w:rStyle w:val="Hyperlink"/>
            <w:lang w:val="en-GB"/>
          </w:rPr>
          <w:t>Grassi</w:t>
        </w:r>
      </w:hyperlink>
      <w:r w:rsidRPr="007A3793">
        <w:rPr>
          <w:lang w:val="en-GB"/>
        </w:rPr>
        <w:t>]</w:t>
      </w:r>
      <w:r w:rsidRPr="00CD1179">
        <w:t>.</w:t>
      </w:r>
    </w:p>
    <w:p w14:paraId="71C92A34" w14:textId="5A2BD36C" w:rsidR="006C7B06" w:rsidRPr="00CD1179" w:rsidRDefault="006C7B06" w:rsidP="00CD1179">
      <w:r w:rsidRPr="00CD1179">
        <w:t xml:space="preserve">Although data protection authorities agree that these techniques substantially reduce the risks for data subjects, the </w:t>
      </w:r>
      <w:r w:rsidR="00C04FE7" w:rsidRPr="00C04FE7">
        <w:rPr>
          <w:i/>
          <w:iCs/>
          <w:lang w:val="en-GB"/>
        </w:rPr>
        <w:t xml:space="preserve">Commission </w:t>
      </w:r>
      <w:proofErr w:type="spellStart"/>
      <w:r w:rsidR="00C04FE7" w:rsidRPr="00C04FE7">
        <w:rPr>
          <w:i/>
          <w:iCs/>
          <w:lang w:val="en-GB"/>
        </w:rPr>
        <w:t>Nationale</w:t>
      </w:r>
      <w:proofErr w:type="spellEnd"/>
      <w:r w:rsidR="00C04FE7" w:rsidRPr="00C04FE7">
        <w:rPr>
          <w:i/>
          <w:iCs/>
          <w:lang w:val="en-GB"/>
        </w:rPr>
        <w:t xml:space="preserve"> de </w:t>
      </w:r>
      <w:proofErr w:type="spellStart"/>
      <w:r w:rsidR="00C04FE7" w:rsidRPr="00C04FE7">
        <w:rPr>
          <w:i/>
          <w:iCs/>
          <w:lang w:val="en-GB"/>
        </w:rPr>
        <w:t>l'Informatique</w:t>
      </w:r>
      <w:proofErr w:type="spellEnd"/>
      <w:r w:rsidR="00C04FE7" w:rsidRPr="00C04FE7">
        <w:rPr>
          <w:i/>
          <w:iCs/>
          <w:lang w:val="en-GB"/>
        </w:rPr>
        <w:t xml:space="preserve"> et des </w:t>
      </w:r>
      <w:proofErr w:type="spellStart"/>
      <w:r w:rsidR="00C04FE7" w:rsidRPr="00C04FE7">
        <w:rPr>
          <w:i/>
          <w:iCs/>
          <w:lang w:val="en-GB"/>
        </w:rPr>
        <w:t>Libertés</w:t>
      </w:r>
      <w:proofErr w:type="spellEnd"/>
      <w:r w:rsidR="00C04FE7">
        <w:rPr>
          <w:lang w:val="en-GB"/>
        </w:rPr>
        <w:t xml:space="preserve"> (France)</w:t>
      </w:r>
      <w:r w:rsidRPr="00CD1179">
        <w:t xml:space="preserve"> still regards them as being personal data with the exception of certain zero-knowledge proofs </w:t>
      </w:r>
      <w:r w:rsidRPr="007A3793">
        <w:rPr>
          <w:lang w:val="en-GB"/>
        </w:rPr>
        <w:t>[</w:t>
      </w:r>
      <w:hyperlink w:anchor="cnil" w:history="1">
        <w:r w:rsidR="00CD1179">
          <w:rPr>
            <w:rStyle w:val="Hyperlink"/>
            <w:lang w:val="en-GB"/>
          </w:rPr>
          <w:t>b</w:t>
        </w:r>
        <w:r w:rsidR="00CD1179">
          <w:rPr>
            <w:rStyle w:val="Hyperlink"/>
            <w:lang w:val="en-GB"/>
          </w:rPr>
          <w:noBreakHyphen/>
        </w:r>
        <w:r w:rsidRPr="007A3793">
          <w:rPr>
            <w:rStyle w:val="Hyperlink"/>
            <w:lang w:val="en-GB"/>
          </w:rPr>
          <w:t>CNIL</w:t>
        </w:r>
      </w:hyperlink>
      <w:r w:rsidRPr="007A3793">
        <w:rPr>
          <w:lang w:val="en-GB"/>
        </w:rPr>
        <w:t>]</w:t>
      </w:r>
      <w:r w:rsidRPr="00CD1179">
        <w:t xml:space="preserve">. The Austrian </w:t>
      </w:r>
      <w:proofErr w:type="spellStart"/>
      <w:r w:rsidRPr="00CD1179">
        <w:t>Datenschutzbehörde</w:t>
      </w:r>
      <w:proofErr w:type="spellEnd"/>
      <w:r w:rsidRPr="00CD1179">
        <w:t xml:space="preserve"> [</w:t>
      </w:r>
      <w:hyperlink w:anchor="austria" w:history="1">
        <w:r w:rsidR="00CD1179">
          <w:rPr>
            <w:rStyle w:val="Hyperlink"/>
            <w:shd w:val="clear" w:color="auto" w:fill="FFFFFF"/>
            <w:lang w:val="en-GB"/>
          </w:rPr>
          <w:t>b</w:t>
        </w:r>
        <w:r w:rsidR="00CD1179">
          <w:rPr>
            <w:rStyle w:val="Hyperlink"/>
            <w:shd w:val="clear" w:color="auto" w:fill="FFFFFF"/>
            <w:lang w:val="en-GB"/>
          </w:rPr>
          <w:noBreakHyphen/>
        </w:r>
        <w:r w:rsidRPr="007A3793">
          <w:rPr>
            <w:rStyle w:val="Hyperlink"/>
            <w:shd w:val="clear" w:color="auto" w:fill="FFFFFF"/>
            <w:lang w:val="en-GB"/>
          </w:rPr>
          <w:t>Austria</w:t>
        </w:r>
      </w:hyperlink>
      <w:r w:rsidRPr="00CD1179">
        <w:t>], however, while considering a case not related to blockchain, held that an effective protection against identifying a person can render the data anonymous, and that this is equivalent to deletion.</w:t>
      </w:r>
    </w:p>
    <w:p w14:paraId="71C92A35" w14:textId="77777777" w:rsidR="006C7B06" w:rsidRPr="007A3793" w:rsidRDefault="006C7B06" w:rsidP="00CD1179">
      <w:pPr>
        <w:rPr>
          <w:lang w:val="en-GB"/>
        </w:rPr>
      </w:pPr>
      <w:r w:rsidRPr="007A3793">
        <w:rPr>
          <w:lang w:val="en-GB"/>
        </w:rPr>
        <w:t>In addition to this legal uncertainty, anonymous data might become personal data in case of technological developments or when newly available external data becomes available which enables the identification of individuals with information stored on a DLT.</w:t>
      </w:r>
    </w:p>
    <w:p w14:paraId="71C92A36" w14:textId="77777777" w:rsidR="006C7B06" w:rsidRPr="007A3793" w:rsidRDefault="006C7B06" w:rsidP="00E14E29">
      <w:pPr>
        <w:pStyle w:val="Heading5"/>
      </w:pPr>
      <w:bookmarkStart w:id="102" w:name="_Ref9821232"/>
      <w:bookmarkStart w:id="103" w:name="_Toc11405575"/>
      <w:bookmarkStart w:id="104" w:name="_Toc14188475"/>
      <w:r w:rsidRPr="007A3793">
        <w:t>GDPR – Control</w:t>
      </w:r>
      <w:bookmarkEnd w:id="102"/>
      <w:bookmarkEnd w:id="103"/>
      <w:bookmarkEnd w:id="104"/>
    </w:p>
    <w:p w14:paraId="71C92A37" w14:textId="4E9FE54F" w:rsidR="006C7B06" w:rsidRPr="00CD1179" w:rsidRDefault="006C7B06" w:rsidP="00CD1179">
      <w:r w:rsidRPr="00CD1179">
        <w:t xml:space="preserve">The GDPR puts obligations on parties in control of data processing. The French </w:t>
      </w:r>
      <w:r w:rsidR="00C04FE7" w:rsidRPr="00C04FE7">
        <w:rPr>
          <w:i/>
          <w:iCs/>
          <w:lang w:val="en-GB"/>
        </w:rPr>
        <w:t xml:space="preserve">Commission </w:t>
      </w:r>
      <w:proofErr w:type="spellStart"/>
      <w:r w:rsidR="00C04FE7" w:rsidRPr="00C04FE7">
        <w:rPr>
          <w:i/>
          <w:iCs/>
          <w:lang w:val="en-GB"/>
        </w:rPr>
        <w:t>Nationale</w:t>
      </w:r>
      <w:proofErr w:type="spellEnd"/>
      <w:r w:rsidR="00C04FE7" w:rsidRPr="00C04FE7">
        <w:rPr>
          <w:i/>
          <w:iCs/>
          <w:lang w:val="en-GB"/>
        </w:rPr>
        <w:t xml:space="preserve"> de </w:t>
      </w:r>
      <w:proofErr w:type="spellStart"/>
      <w:r w:rsidR="00C04FE7" w:rsidRPr="00C04FE7">
        <w:rPr>
          <w:i/>
          <w:iCs/>
          <w:lang w:val="en-GB"/>
        </w:rPr>
        <w:t>l'Informatique</w:t>
      </w:r>
      <w:proofErr w:type="spellEnd"/>
      <w:r w:rsidR="00C04FE7" w:rsidRPr="00C04FE7">
        <w:rPr>
          <w:i/>
          <w:iCs/>
          <w:lang w:val="en-GB"/>
        </w:rPr>
        <w:t xml:space="preserve"> et des </w:t>
      </w:r>
      <w:proofErr w:type="spellStart"/>
      <w:r w:rsidR="00C04FE7" w:rsidRPr="00C04FE7">
        <w:rPr>
          <w:i/>
          <w:iCs/>
          <w:lang w:val="en-GB"/>
        </w:rPr>
        <w:t>Libertés</w:t>
      </w:r>
      <w:proofErr w:type="spellEnd"/>
      <w:r w:rsidR="00C04FE7" w:rsidRPr="00CD1179">
        <w:t xml:space="preserve"> </w:t>
      </w:r>
      <w:r w:rsidRPr="00CD1179">
        <w:t xml:space="preserve">holds that users signing a transaction with their private key for a public blockchain are in control. When users are effectively in control and companies solely provide tools for writing on a public blockchain, the companies might not be responsible for data processing </w:t>
      </w:r>
      <w:r w:rsidRPr="007A3793">
        <w:rPr>
          <w:lang w:val="en-GB"/>
        </w:rPr>
        <w:t>[</w:t>
      </w:r>
      <w:hyperlink w:anchor="erbgutha" w:history="1">
        <w:r w:rsidR="00CD1179">
          <w:rPr>
            <w:rStyle w:val="Hyperlink"/>
            <w:lang w:val="en-GB"/>
          </w:rPr>
          <w:t>b</w:t>
        </w:r>
        <w:r w:rsidR="00CD1179">
          <w:rPr>
            <w:rStyle w:val="Hyperlink"/>
            <w:lang w:val="en-GB"/>
          </w:rPr>
          <w:noBreakHyphen/>
        </w:r>
        <w:proofErr w:type="spellStart"/>
        <w:r w:rsidRPr="007A3793">
          <w:rPr>
            <w:rStyle w:val="Hyperlink"/>
            <w:lang w:val="en-GB"/>
          </w:rPr>
          <w:t>Erbguth</w:t>
        </w:r>
        <w:proofErr w:type="spellEnd"/>
        <w:r w:rsidRPr="007A3793">
          <w:rPr>
            <w:rStyle w:val="Hyperlink"/>
            <w:lang w:val="en-GB"/>
          </w:rPr>
          <w:t>-a</w:t>
        </w:r>
      </w:hyperlink>
      <w:r w:rsidRPr="007A3793">
        <w:rPr>
          <w:lang w:val="en-GB"/>
        </w:rPr>
        <w:t>]</w:t>
      </w:r>
      <w:r w:rsidRPr="00CD1179">
        <w:t>.</w:t>
      </w:r>
    </w:p>
    <w:p w14:paraId="71C92A38" w14:textId="77777777" w:rsidR="006C7B06" w:rsidRPr="007A3793" w:rsidRDefault="006C7B06" w:rsidP="00E14E29">
      <w:pPr>
        <w:pStyle w:val="Heading5"/>
      </w:pPr>
      <w:bookmarkStart w:id="105" w:name="_Toc11405576"/>
      <w:bookmarkStart w:id="106" w:name="_Toc14188476"/>
      <w:r w:rsidRPr="007A3793">
        <w:t>GDPR – Justifications</w:t>
      </w:r>
      <w:bookmarkEnd w:id="105"/>
      <w:bookmarkEnd w:id="106"/>
    </w:p>
    <w:p w14:paraId="71C92A39" w14:textId="77777777" w:rsidR="006C7B06" w:rsidRPr="007A3793" w:rsidRDefault="006C7B06" w:rsidP="00CD1179">
      <w:pPr>
        <w:rPr>
          <w:lang w:val="en-GB" w:eastAsia="en-US"/>
        </w:rPr>
      </w:pPr>
      <w:r w:rsidRPr="007A3793">
        <w:rPr>
          <w:lang w:val="en-GB" w:eastAsia="en-US"/>
        </w:rPr>
        <w:t>When there is a permanent justification to write personal data on a DLT, it can be stored there permanently. Consent can always be withdrawn and is generally not suitable to serve as a permanent justification. Possible permanent justifications can be the performance of a contract with the data-subject, legal obligation or compelling legitimate interest. In most cases, however, it will not be possible to obtain a permanent justification.</w:t>
      </w:r>
    </w:p>
    <w:p w14:paraId="71C92A3A" w14:textId="77777777" w:rsidR="006C7B06" w:rsidRPr="007A3793" w:rsidRDefault="006C7B06" w:rsidP="00E14E29">
      <w:pPr>
        <w:pStyle w:val="Heading5"/>
      </w:pPr>
      <w:bookmarkStart w:id="107" w:name="_Toc11405577"/>
      <w:bookmarkStart w:id="108" w:name="_Toc14188477"/>
      <w:r w:rsidRPr="007A3793">
        <w:t>Modifiable DLT</w:t>
      </w:r>
      <w:bookmarkEnd w:id="107"/>
      <w:bookmarkEnd w:id="108"/>
    </w:p>
    <w:p w14:paraId="71C92A3B" w14:textId="77777777" w:rsidR="006C7B06" w:rsidRPr="007A3793" w:rsidRDefault="006C7B06" w:rsidP="00CD1179">
      <w:pPr>
        <w:rPr>
          <w:lang w:val="en-GB"/>
        </w:rPr>
      </w:pPr>
      <w:r w:rsidRPr="007A3793">
        <w:rPr>
          <w:lang w:val="en-GB"/>
        </w:rPr>
        <w:t xml:space="preserve">DLT systems that allow modifications can be built. For example, the code of a blockchain used to store bookkeeping records could foresee that all entries will be purged after a certain </w:t>
      </w:r>
      <w:proofErr w:type="gramStart"/>
      <w:r w:rsidRPr="007A3793">
        <w:rPr>
          <w:lang w:val="en-GB"/>
        </w:rPr>
        <w:t>period of time</w:t>
      </w:r>
      <w:proofErr w:type="gramEnd"/>
      <w:r w:rsidRPr="007A3793">
        <w:rPr>
          <w:lang w:val="en-GB"/>
        </w:rPr>
        <w:t>. Chameleon hashes are one tool for allowing the modification of individual entries without breaking the integrity of a blockchain. When creating the chameleon hash, a private key is set that will have the power to modify the entry without breaking the hash. The fact that an entry was modified can remain visible. It is also possible to set conditions under which a modification will be accepted. However, the possibility to remove data removes the protection against tampering. A possible example is a bookkeeping-blockchain that securely stores information for ten years and deletes it afterwards.</w:t>
      </w:r>
    </w:p>
    <w:p w14:paraId="71C92A3C" w14:textId="77777777" w:rsidR="006C7B06" w:rsidRPr="007A3793" w:rsidRDefault="006C7B06" w:rsidP="00C04FE7">
      <w:pPr>
        <w:pStyle w:val="Heading4"/>
      </w:pPr>
      <w:bookmarkStart w:id="109" w:name="_Toc11405578"/>
      <w:bookmarkStart w:id="110" w:name="_Toc14188478"/>
      <w:bookmarkStart w:id="111" w:name="_Toc16243507"/>
      <w:r w:rsidRPr="007A3793">
        <w:lastRenderedPageBreak/>
        <w:t>Other regulatory challenges</w:t>
      </w:r>
      <w:bookmarkEnd w:id="109"/>
      <w:bookmarkEnd w:id="110"/>
      <w:bookmarkEnd w:id="111"/>
    </w:p>
    <w:p w14:paraId="71C92A3D" w14:textId="77777777" w:rsidR="006C7B06" w:rsidRPr="007A3793" w:rsidRDefault="006C7B06" w:rsidP="00CD1179">
      <w:pPr>
        <w:rPr>
          <w:lang w:val="en-GB"/>
        </w:rPr>
      </w:pPr>
      <w:r w:rsidRPr="007A3793">
        <w:rPr>
          <w:lang w:val="en-GB"/>
        </w:rPr>
        <w:t>When information on a ledger infringes on personal or commercial rights or violates criminal laws, there may be laws that require the removal of personal and non-personal data from a ledger.</w:t>
      </w:r>
    </w:p>
    <w:p w14:paraId="71C92A3E" w14:textId="77777777" w:rsidR="006C7B06" w:rsidRPr="007A3793" w:rsidRDefault="006C7B06" w:rsidP="000355E1">
      <w:pPr>
        <w:pStyle w:val="Heading3"/>
      </w:pPr>
      <w:bookmarkStart w:id="112" w:name="_Toc14188479"/>
      <w:bookmarkStart w:id="113" w:name="_Toc16243508"/>
      <w:bookmarkStart w:id="114" w:name="_Toc23447199"/>
      <w:bookmarkStart w:id="115" w:name="_Toc23767539"/>
      <w:r w:rsidRPr="007A3793">
        <w:t>Approaches and/or recommendations</w:t>
      </w:r>
      <w:bookmarkEnd w:id="112"/>
      <w:bookmarkEnd w:id="113"/>
      <w:bookmarkEnd w:id="114"/>
      <w:bookmarkEnd w:id="115"/>
    </w:p>
    <w:p w14:paraId="71C92A3F" w14:textId="77777777" w:rsidR="006C7B06" w:rsidRPr="007A3793" w:rsidRDefault="006C7B06" w:rsidP="00C04FE7">
      <w:pPr>
        <w:pStyle w:val="Heading4"/>
      </w:pPr>
      <w:bookmarkStart w:id="116" w:name="_Toc16243509"/>
      <w:r w:rsidRPr="007A3793">
        <w:t>Technical recommendations regarding standardization</w:t>
      </w:r>
      <w:bookmarkEnd w:id="116"/>
    </w:p>
    <w:p w14:paraId="71C92A40" w14:textId="77777777" w:rsidR="006C7B06" w:rsidRPr="007A3793" w:rsidRDefault="006C7B06" w:rsidP="00E14E29">
      <w:pPr>
        <w:pStyle w:val="Heading5"/>
      </w:pPr>
      <w:r w:rsidRPr="007A3793">
        <w:t>Future PKI standardization</w:t>
      </w:r>
    </w:p>
    <w:p w14:paraId="71C92A41" w14:textId="0815806B" w:rsidR="006C7B06" w:rsidRPr="007A3793" w:rsidRDefault="006C7B06" w:rsidP="00CD1179">
      <w:pPr>
        <w:rPr>
          <w:lang w:val="en-GB"/>
        </w:rPr>
      </w:pPr>
      <w:r w:rsidRPr="007A3793">
        <w:rPr>
          <w:lang w:val="en-GB"/>
        </w:rPr>
        <w:t>A DLT can be viewed as a new application of PKI, one that differs from PKI use in internet mail and browser applications, which relies on the IETF PKIX profile of X.509. There is an opportunity for useful ITU-T standardization that recognizes these differences. A standardized ITU-T X.509 DLT profile could normalize expected behavio</w:t>
      </w:r>
      <w:r w:rsidR="00397F9F">
        <w:rPr>
          <w:lang w:val="en-GB"/>
        </w:rPr>
        <w:t>u</w:t>
      </w:r>
      <w:r w:rsidRPr="007A3793">
        <w:rPr>
          <w:lang w:val="en-GB"/>
        </w:rPr>
        <w:t>r and processing of PKI-based DLT applications.</w:t>
      </w:r>
    </w:p>
    <w:p w14:paraId="71C92A42" w14:textId="02D031DC" w:rsidR="006C7B06" w:rsidRPr="007A3793" w:rsidRDefault="006C7B06" w:rsidP="00CD1179">
      <w:pPr>
        <w:rPr>
          <w:lang w:val="en-GB"/>
        </w:rPr>
      </w:pPr>
      <w:r w:rsidRPr="007A3793">
        <w:rPr>
          <w:lang w:val="en-GB"/>
        </w:rPr>
        <w:t>There are two specific areas of standardization needed to support interoperability and growth in DLT applications that use PKI. One area is the development of an X.509 certificate profile for DLT, a profile that specifies required cryptographic algorithms, choice alternatives for strings and time types and useful certificate extensions. A second area is the development of DLT-specific path validation processing that recognizes the proper role of expired certificates in long-lived signed and timestamped ledgers, and that result in tool behavio</w:t>
      </w:r>
      <w:r w:rsidR="00397F9F">
        <w:rPr>
          <w:lang w:val="en-GB"/>
        </w:rPr>
        <w:t>u</w:t>
      </w:r>
      <w:r w:rsidRPr="007A3793">
        <w:rPr>
          <w:lang w:val="en-GB"/>
        </w:rPr>
        <w:t>rs that do not obstruct ledger processing.</w:t>
      </w:r>
    </w:p>
    <w:p w14:paraId="71C92A43" w14:textId="4BB1E1AC" w:rsidR="006C7B06" w:rsidRPr="007A3793" w:rsidRDefault="006C7B06" w:rsidP="00CD1179">
      <w:pPr>
        <w:rPr>
          <w:lang w:val="en-GB"/>
        </w:rPr>
      </w:pPr>
      <w:r w:rsidRPr="007A3793">
        <w:rPr>
          <w:lang w:val="en-GB"/>
        </w:rPr>
        <w:t xml:space="preserve">A profile for </w:t>
      </w:r>
      <w:r w:rsidR="0091369C">
        <w:rPr>
          <w:lang w:val="en-GB"/>
        </w:rPr>
        <w:t xml:space="preserve">ITU-T </w:t>
      </w:r>
      <w:r w:rsidRPr="007A3793">
        <w:rPr>
          <w:lang w:val="en-GB"/>
        </w:rPr>
        <w:t xml:space="preserve">X.509 certificates used in a DLT context should be standardized by the ITU-T, whose </w:t>
      </w:r>
      <w:r w:rsidR="00C04FE7">
        <w:rPr>
          <w:lang w:val="en-GB"/>
        </w:rPr>
        <w:t>I</w:t>
      </w:r>
      <w:r w:rsidRPr="007A3793">
        <w:rPr>
          <w:lang w:val="en-GB"/>
        </w:rPr>
        <w:t xml:space="preserve">17 / Q11 received the mandate from ISO to do so. This would serve a similar purpose as the IETF PKIX profile for internet certificates and CRLs. A DLT profile could recognize the full sweep and global nature of DLTs. This profile could recognize the need to normalize national language support </w:t>
      </w:r>
      <w:proofErr w:type="gramStart"/>
      <w:r w:rsidRPr="007A3793">
        <w:rPr>
          <w:lang w:val="en-GB"/>
        </w:rPr>
        <w:t>by the use of</w:t>
      </w:r>
      <w:proofErr w:type="gramEnd"/>
      <w:r w:rsidRPr="007A3793">
        <w:rPr>
          <w:lang w:val="en-GB"/>
        </w:rPr>
        <w:t xml:space="preserve"> UTF8String (Unicode) choice alternatives in certificate distinguished names and other instances of ASN.1 type </w:t>
      </w:r>
      <w:proofErr w:type="spellStart"/>
      <w:r w:rsidRPr="007A3793">
        <w:rPr>
          <w:lang w:val="en-GB"/>
        </w:rPr>
        <w:t>DirectoryString</w:t>
      </w:r>
      <w:proofErr w:type="spellEnd"/>
      <w:r w:rsidRPr="007A3793">
        <w:rPr>
          <w:lang w:val="en-GB"/>
        </w:rPr>
        <w:t xml:space="preserve">, replacing the common, historic use of </w:t>
      </w:r>
      <w:proofErr w:type="spellStart"/>
      <w:r w:rsidRPr="007A3793">
        <w:rPr>
          <w:lang w:val="en-GB"/>
        </w:rPr>
        <w:t>PrintableString</w:t>
      </w:r>
      <w:proofErr w:type="spellEnd"/>
      <w:r w:rsidRPr="007A3793">
        <w:rPr>
          <w:lang w:val="en-GB"/>
        </w:rPr>
        <w:t xml:space="preserve"> (US ASCII) types.</w:t>
      </w:r>
    </w:p>
    <w:p w14:paraId="71C92A44" w14:textId="77777777" w:rsidR="006C7B06" w:rsidRPr="007A3793" w:rsidRDefault="006C7B06" w:rsidP="00E14E29">
      <w:pPr>
        <w:pStyle w:val="Heading5"/>
      </w:pPr>
      <w:r w:rsidRPr="007A3793">
        <w:t>A framework standardization approach (for use of symmetric cryptography in DLT systems)</w:t>
      </w:r>
    </w:p>
    <w:p w14:paraId="71C92A45" w14:textId="77777777" w:rsidR="006C7B06" w:rsidRPr="007A3793" w:rsidRDefault="006C7B06" w:rsidP="00CD1179">
      <w:pPr>
        <w:rPr>
          <w:lang w:val="en-GB"/>
        </w:rPr>
      </w:pPr>
      <w:r w:rsidRPr="007A3793">
        <w:rPr>
          <w:lang w:val="en-GB"/>
        </w:rPr>
        <w:t>A cryptographic framework approach could, or, can set the standard or interchange and leave room for the accommodation of various algorithms and key lengths without altering the definitions.  This framework approach has already been codified in ANSI standards and by NIST as well.  In doing so, one can adjust the algorithm and key length used. This approach provides compartmentalization and attribute based access control to anything within an enterprise that is digital: physical (door locks), logical (network access), functional (.exe or .</w:t>
      </w:r>
      <w:proofErr w:type="spellStart"/>
      <w:r w:rsidRPr="007A3793">
        <w:rPr>
          <w:lang w:val="en-GB"/>
        </w:rPr>
        <w:t>dll</w:t>
      </w:r>
      <w:proofErr w:type="spellEnd"/>
      <w:r w:rsidRPr="007A3793">
        <w:rPr>
          <w:lang w:val="en-GB"/>
        </w:rPr>
        <w:t>) and content (any embedded digital object/word, phrase, period, etc.) all enforced by quantum-resistant, tamper-evident, cryptographic processes.</w:t>
      </w:r>
    </w:p>
    <w:p w14:paraId="71C92A46" w14:textId="77777777" w:rsidR="006C7B06" w:rsidRPr="007A3793" w:rsidRDefault="006C7B06" w:rsidP="00C04FE7">
      <w:pPr>
        <w:pStyle w:val="Heading4"/>
      </w:pPr>
      <w:bookmarkStart w:id="117" w:name="_Toc16243510"/>
      <w:r w:rsidRPr="007A3793">
        <w:t>Organizational and design recommendations</w:t>
      </w:r>
      <w:bookmarkEnd w:id="117"/>
    </w:p>
    <w:p w14:paraId="71C92A47" w14:textId="77777777" w:rsidR="006C7B06" w:rsidRPr="007A3793" w:rsidRDefault="006C7B06" w:rsidP="00CD1179">
      <w:pPr>
        <w:numPr>
          <w:ilvl w:val="0"/>
          <w:numId w:val="24"/>
        </w:numPr>
        <w:overflowPunct w:val="0"/>
        <w:autoSpaceDE w:val="0"/>
        <w:autoSpaceDN w:val="0"/>
        <w:adjustRightInd w:val="0"/>
        <w:ind w:left="567" w:hanging="567"/>
        <w:textAlignment w:val="baseline"/>
        <w:rPr>
          <w:lang w:val="en-GB"/>
        </w:rPr>
      </w:pPr>
      <w:r w:rsidRPr="007A3793">
        <w:rPr>
          <w:lang w:val="en-GB"/>
        </w:rPr>
        <w:t>Avoid storing clear-text personal data on a blockchain, unless you have a justification for permanence;</w:t>
      </w:r>
    </w:p>
    <w:p w14:paraId="71C92A48" w14:textId="77777777" w:rsidR="006C7B06" w:rsidRPr="007A3793" w:rsidRDefault="006C7B06" w:rsidP="00CD1179">
      <w:pPr>
        <w:numPr>
          <w:ilvl w:val="0"/>
          <w:numId w:val="24"/>
        </w:numPr>
        <w:overflowPunct w:val="0"/>
        <w:autoSpaceDE w:val="0"/>
        <w:autoSpaceDN w:val="0"/>
        <w:adjustRightInd w:val="0"/>
        <w:ind w:left="567" w:hanging="567"/>
        <w:textAlignment w:val="baseline"/>
        <w:rPr>
          <w:lang w:val="en-GB"/>
        </w:rPr>
      </w:pPr>
      <w:r w:rsidRPr="007A3793">
        <w:rPr>
          <w:lang w:val="en-GB"/>
        </w:rPr>
        <w:t>Use sidechains or other private storage options for sensitive data;</w:t>
      </w:r>
    </w:p>
    <w:p w14:paraId="71C92A49" w14:textId="32F44561" w:rsidR="006C7B06" w:rsidRPr="007A3793" w:rsidRDefault="006C7B06" w:rsidP="00CD1179">
      <w:pPr>
        <w:numPr>
          <w:ilvl w:val="0"/>
          <w:numId w:val="24"/>
        </w:numPr>
        <w:overflowPunct w:val="0"/>
        <w:autoSpaceDE w:val="0"/>
        <w:autoSpaceDN w:val="0"/>
        <w:adjustRightInd w:val="0"/>
        <w:ind w:left="567" w:hanging="567"/>
        <w:textAlignment w:val="baseline"/>
        <w:rPr>
          <w:lang w:val="en-GB"/>
        </w:rPr>
      </w:pPr>
      <w:r w:rsidRPr="007A3793">
        <w:rPr>
          <w:lang w:val="en-GB"/>
        </w:rPr>
        <w:t>Use Zero-knowledge proofs where possible. However, ZKPs are still under development, some demonstrate slow performance. Standards for ZKPs are being developed [</w:t>
      </w:r>
      <w:hyperlink w:anchor="zkp" w:history="1">
        <w:r w:rsidR="00CD1179">
          <w:rPr>
            <w:rStyle w:val="Hyperlink"/>
            <w:lang w:val="en-GB"/>
          </w:rPr>
          <w:t>b</w:t>
        </w:r>
        <w:r w:rsidR="00CD1179">
          <w:rPr>
            <w:rStyle w:val="Hyperlink"/>
            <w:lang w:val="en-GB"/>
          </w:rPr>
          <w:noBreakHyphen/>
        </w:r>
        <w:r w:rsidRPr="007A3793">
          <w:rPr>
            <w:rStyle w:val="Hyperlink"/>
            <w:lang w:val="en-GB"/>
          </w:rPr>
          <w:t>ZKP</w:t>
        </w:r>
      </w:hyperlink>
      <w:r w:rsidRPr="007A3793">
        <w:rPr>
          <w:lang w:val="en-GB"/>
        </w:rPr>
        <w:t>];</w:t>
      </w:r>
    </w:p>
    <w:p w14:paraId="71C92A4A" w14:textId="77777777" w:rsidR="006C7B06" w:rsidRPr="007A3793" w:rsidRDefault="006C7B06" w:rsidP="00CD1179">
      <w:pPr>
        <w:numPr>
          <w:ilvl w:val="0"/>
          <w:numId w:val="24"/>
        </w:numPr>
        <w:overflowPunct w:val="0"/>
        <w:autoSpaceDE w:val="0"/>
        <w:autoSpaceDN w:val="0"/>
        <w:adjustRightInd w:val="0"/>
        <w:ind w:left="567" w:hanging="567"/>
        <w:textAlignment w:val="baseline"/>
        <w:rPr>
          <w:lang w:val="en-GB"/>
        </w:rPr>
      </w:pPr>
      <w:r w:rsidRPr="007A3793">
        <w:rPr>
          <w:lang w:val="en-GB"/>
        </w:rPr>
        <w:t>When storing hashes of personal data:</w:t>
      </w:r>
    </w:p>
    <w:p w14:paraId="71C92A4B" w14:textId="77777777" w:rsidR="006C7B06" w:rsidRPr="007A3793" w:rsidRDefault="006C7B06" w:rsidP="00CD1179">
      <w:pPr>
        <w:numPr>
          <w:ilvl w:val="0"/>
          <w:numId w:val="25"/>
        </w:numPr>
        <w:rPr>
          <w:lang w:val="en-GB"/>
        </w:rPr>
      </w:pPr>
      <w:r w:rsidRPr="007A3793">
        <w:rPr>
          <w:lang w:val="en-GB"/>
        </w:rPr>
        <w:lastRenderedPageBreak/>
        <w:t>Make sure there is enough entropy in the data hashed;</w:t>
      </w:r>
    </w:p>
    <w:p w14:paraId="71C92A4C" w14:textId="77777777" w:rsidR="006C7B06" w:rsidRPr="007A3793" w:rsidRDefault="006C7B06" w:rsidP="00CD1179">
      <w:pPr>
        <w:numPr>
          <w:ilvl w:val="0"/>
          <w:numId w:val="25"/>
        </w:numPr>
        <w:rPr>
          <w:lang w:val="en-GB"/>
        </w:rPr>
      </w:pPr>
      <w:r w:rsidRPr="007A3793">
        <w:rPr>
          <w:lang w:val="en-GB"/>
        </w:rPr>
        <w:t>Avoid combining hashed data with other data on the blockchain;</w:t>
      </w:r>
    </w:p>
    <w:p w14:paraId="71C92A4D" w14:textId="77777777" w:rsidR="006C7B06" w:rsidRPr="007A3793" w:rsidRDefault="006C7B06" w:rsidP="00CD1179">
      <w:pPr>
        <w:numPr>
          <w:ilvl w:val="0"/>
          <w:numId w:val="25"/>
        </w:numPr>
        <w:rPr>
          <w:lang w:val="en-GB"/>
        </w:rPr>
      </w:pPr>
      <w:r w:rsidRPr="007A3793">
        <w:rPr>
          <w:lang w:val="en-GB"/>
        </w:rPr>
        <w:t>Avoid using hash-values as identifiers;</w:t>
      </w:r>
    </w:p>
    <w:p w14:paraId="0336B902" w14:textId="77777777" w:rsidR="007A3793" w:rsidRPr="007A3793" w:rsidRDefault="006C7B06" w:rsidP="00CD1179">
      <w:pPr>
        <w:numPr>
          <w:ilvl w:val="0"/>
          <w:numId w:val="25"/>
        </w:numPr>
        <w:rPr>
          <w:lang w:val="en-GB"/>
        </w:rPr>
      </w:pPr>
      <w:r w:rsidRPr="007A3793">
        <w:rPr>
          <w:lang w:val="en-GB"/>
        </w:rPr>
        <w:t xml:space="preserve">Add secret passwords to the hashed data as an additional security measure, when this seems suitable for the application. As a sole measure, this is not </w:t>
      </w:r>
      <w:proofErr w:type="gramStart"/>
      <w:r w:rsidRPr="007A3793">
        <w:rPr>
          <w:lang w:val="en-GB"/>
        </w:rPr>
        <w:t>sufficient</w:t>
      </w:r>
      <w:proofErr w:type="gramEnd"/>
      <w:r w:rsidRPr="007A3793">
        <w:rPr>
          <w:lang w:val="en-GB"/>
        </w:rPr>
        <w:t>, since passwords that cannot be changed do not offer advanced-level security.</w:t>
      </w:r>
    </w:p>
    <w:p w14:paraId="71C92A4F" w14:textId="75A62DC4" w:rsidR="006C7B06" w:rsidRPr="007A3793" w:rsidRDefault="006C7B06" w:rsidP="00CD1179">
      <w:pPr>
        <w:numPr>
          <w:ilvl w:val="0"/>
          <w:numId w:val="24"/>
        </w:numPr>
        <w:overflowPunct w:val="0"/>
        <w:autoSpaceDE w:val="0"/>
        <w:autoSpaceDN w:val="0"/>
        <w:adjustRightInd w:val="0"/>
        <w:ind w:left="567" w:hanging="567"/>
        <w:textAlignment w:val="baseline"/>
        <w:rPr>
          <w:lang w:val="en-GB"/>
        </w:rPr>
      </w:pPr>
      <w:r w:rsidRPr="007A3793">
        <w:rPr>
          <w:lang w:val="en-GB"/>
        </w:rPr>
        <w:t>Avoid solely relying on consent in the context of personal data and blockchains;</w:t>
      </w:r>
    </w:p>
    <w:p w14:paraId="71C92A50" w14:textId="77777777" w:rsidR="006C7B06" w:rsidRPr="007A3793" w:rsidRDefault="006C7B06" w:rsidP="00CD1179">
      <w:pPr>
        <w:numPr>
          <w:ilvl w:val="0"/>
          <w:numId w:val="24"/>
        </w:numPr>
        <w:overflowPunct w:val="0"/>
        <w:autoSpaceDE w:val="0"/>
        <w:autoSpaceDN w:val="0"/>
        <w:adjustRightInd w:val="0"/>
        <w:ind w:left="567" w:hanging="567"/>
        <w:textAlignment w:val="baseline"/>
        <w:rPr>
          <w:lang w:val="en-GB"/>
        </w:rPr>
      </w:pPr>
      <w:r w:rsidRPr="007A3793">
        <w:rPr>
          <w:lang w:val="en-GB"/>
        </w:rPr>
        <w:t>Perform a data protection impact analysis (DPIA) and a risk analysis.</w:t>
      </w:r>
    </w:p>
    <w:p w14:paraId="71C92A51" w14:textId="60166730" w:rsidR="006C7B06" w:rsidRPr="007A3793" w:rsidRDefault="006C7B06" w:rsidP="00CD1179">
      <w:pPr>
        <w:rPr>
          <w:lang w:val="en-GB"/>
        </w:rPr>
      </w:pPr>
      <w:r w:rsidRPr="007A3793">
        <w:rPr>
          <w:lang w:val="en-GB"/>
        </w:rPr>
        <w:t>Examples of approaches and/or recommendations for users, regulators and solution providers have not yet been set. Self-sovereign identity and privacy coins are two examples that use DLT to provide superior levels of privacy [</w:t>
      </w:r>
      <w:hyperlink w:anchor="dunphy" w:history="1">
        <w:r w:rsidR="00CD1179">
          <w:rPr>
            <w:rStyle w:val="Hyperlink"/>
            <w:lang w:val="en-GB"/>
          </w:rPr>
          <w:t>b</w:t>
        </w:r>
        <w:r w:rsidR="00CD1179">
          <w:rPr>
            <w:rStyle w:val="Hyperlink"/>
            <w:lang w:val="en-GB"/>
          </w:rPr>
          <w:noBreakHyphen/>
        </w:r>
        <w:r w:rsidRPr="007A3793">
          <w:rPr>
            <w:rStyle w:val="Hyperlink"/>
            <w:lang w:val="en-GB"/>
          </w:rPr>
          <w:t>Dunphy</w:t>
        </w:r>
      </w:hyperlink>
      <w:r w:rsidRPr="007A3793">
        <w:rPr>
          <w:lang w:val="en-GB"/>
        </w:rPr>
        <w:t>].</w:t>
      </w:r>
    </w:p>
    <w:p w14:paraId="51BE4D87" w14:textId="77777777" w:rsidR="007A3793" w:rsidRPr="007A3793" w:rsidRDefault="006C7B06" w:rsidP="000355E1">
      <w:pPr>
        <w:pStyle w:val="Heading2"/>
      </w:pPr>
      <w:bookmarkStart w:id="118" w:name="_Toc16243511"/>
      <w:bookmarkStart w:id="119" w:name="_Toc14188480"/>
      <w:bookmarkStart w:id="120" w:name="_Toc23447200"/>
      <w:bookmarkStart w:id="121" w:name="_Toc23767540"/>
      <w:r w:rsidRPr="007A3793">
        <w:t>Property 4: Incentive mechanism and digital assets</w:t>
      </w:r>
      <w:bookmarkEnd w:id="118"/>
      <w:bookmarkEnd w:id="119"/>
      <w:bookmarkEnd w:id="120"/>
      <w:bookmarkEnd w:id="121"/>
    </w:p>
    <w:p w14:paraId="71C92A54" w14:textId="6F8EF6C4" w:rsidR="006C7B06" w:rsidRPr="007A3793" w:rsidRDefault="006C7B06" w:rsidP="00CD1179">
      <w:pPr>
        <w:rPr>
          <w:lang w:val="en-GB"/>
        </w:rPr>
      </w:pPr>
      <w:r w:rsidRPr="007A3793">
        <w:rPr>
          <w:lang w:val="en-GB"/>
        </w:rPr>
        <w:t>Users participating in blockchain governance require incentive mechanisms. Cryptocurrencies provide incentives in a quantitative manner. Leveraging qualitative or non-financial incentives in public blockchains is also possible. However, permissioned DLTs are regarded as adept at aligning non-financial incentives with participants</w:t>
      </w:r>
      <w:r w:rsidR="001122ED">
        <w:rPr>
          <w:lang w:val="en-GB"/>
        </w:rPr>
        <w:t>'</w:t>
      </w:r>
      <w:r w:rsidRPr="007A3793">
        <w:rPr>
          <w:lang w:val="en-GB"/>
        </w:rPr>
        <w:t xml:space="preserve"> objectives.</w:t>
      </w:r>
    </w:p>
    <w:p w14:paraId="71C92A55" w14:textId="77777777" w:rsidR="006C7B06" w:rsidRPr="007A3793" w:rsidRDefault="006C7B06" w:rsidP="000355E1">
      <w:pPr>
        <w:pStyle w:val="Heading3"/>
      </w:pPr>
      <w:bookmarkStart w:id="122" w:name="_Toc14188481"/>
      <w:bookmarkStart w:id="123" w:name="_Toc16243512"/>
      <w:bookmarkStart w:id="124" w:name="_Toc23447201"/>
      <w:bookmarkStart w:id="125" w:name="_Toc6131248"/>
      <w:bookmarkStart w:id="126" w:name="_Toc23767541"/>
      <w:r w:rsidRPr="007A3793">
        <w:t>Introduction of the property</w:t>
      </w:r>
      <w:bookmarkEnd w:id="122"/>
      <w:bookmarkEnd w:id="123"/>
      <w:bookmarkEnd w:id="124"/>
      <w:bookmarkEnd w:id="126"/>
    </w:p>
    <w:p w14:paraId="71C92A56" w14:textId="70781086" w:rsidR="006C7B06" w:rsidRPr="007A3793" w:rsidRDefault="006C7B06" w:rsidP="00CD1179">
      <w:pPr>
        <w:rPr>
          <w:lang w:val="en-GB"/>
        </w:rPr>
      </w:pPr>
      <w:r w:rsidRPr="007A3793">
        <w:rPr>
          <w:lang w:val="en-GB"/>
        </w:rPr>
        <w:t>Incentivization directly influences governance. There is a direct correlation between creating effective mechanisms for incentive stimulations and the effectiveness of governance and vice versa. Currently, the most effective incentivization for permissionless DLTs is economic stimulation. Only when economic incentives are embedded in a system</w:t>
      </w:r>
      <w:r w:rsidR="001122ED">
        <w:rPr>
          <w:lang w:val="en-GB"/>
        </w:rPr>
        <w:t>'</w:t>
      </w:r>
      <w:r w:rsidRPr="007A3793">
        <w:rPr>
          <w:lang w:val="en-GB"/>
        </w:rPr>
        <w:t>s foundation can truly complex structures be built.</w:t>
      </w:r>
    </w:p>
    <w:p w14:paraId="71C92A57" w14:textId="77777777" w:rsidR="006C7B06" w:rsidRPr="007A3793" w:rsidRDefault="006C7B06" w:rsidP="00CD1179">
      <w:pPr>
        <w:rPr>
          <w:lang w:val="en-GB"/>
        </w:rPr>
      </w:pPr>
      <w:r w:rsidRPr="007A3793">
        <w:rPr>
          <w:lang w:val="en-GB"/>
        </w:rPr>
        <w:t>These incentives are generally in a tokenized format. These tokens are limited in number and can be transferred. Within the DLT context, the concept of tokens involves technical, legal and economic aspects. In order to build a global concept valid in any jurisdiction, several legal perspectives can be adopted as either public-law (financial system) or private-law (private contracting).</w:t>
      </w:r>
    </w:p>
    <w:p w14:paraId="71C92A58" w14:textId="56818B2E" w:rsidR="006C7B06" w:rsidRPr="00CD1179" w:rsidRDefault="006C7B06" w:rsidP="00CD1179">
      <w:r w:rsidRPr="00CD1179">
        <w:t>Besides the native tokens, tokens can also be created by smart contracts running on a blockchain. On Ethereum, there are standards for tokens like the ERC20 for providing compatibility with wallets [</w:t>
      </w:r>
      <w:hyperlink w:anchor="erc20" w:history="1">
        <w:r w:rsidR="00CD1179">
          <w:rPr>
            <w:rStyle w:val="Hyperlink"/>
            <w:lang w:val="en-GB"/>
          </w:rPr>
          <w:t>b</w:t>
        </w:r>
        <w:r w:rsidR="00CD1179">
          <w:rPr>
            <w:rStyle w:val="Hyperlink"/>
            <w:lang w:val="en-GB"/>
          </w:rPr>
          <w:noBreakHyphen/>
        </w:r>
        <w:r w:rsidRPr="007A3793">
          <w:rPr>
            <w:rStyle w:val="Hyperlink"/>
            <w:lang w:val="en-GB"/>
          </w:rPr>
          <w:t>ERC20</w:t>
        </w:r>
      </w:hyperlink>
      <w:r w:rsidRPr="00CD1179">
        <w:t>].</w:t>
      </w:r>
    </w:p>
    <w:p w14:paraId="71C92A59" w14:textId="77777777" w:rsidR="006C7B06" w:rsidRPr="007A3793" w:rsidRDefault="006C7B06" w:rsidP="00CD1179">
      <w:pPr>
        <w:rPr>
          <w:lang w:val="en-GB"/>
        </w:rPr>
      </w:pPr>
      <w:r w:rsidRPr="007A3793">
        <w:rPr>
          <w:lang w:val="en-GB"/>
        </w:rPr>
        <w:t>The creation of tokens is called a Token Generation Event, or TGE. The initial sale of tokens is called an Initial Coin Offering, or ICO.</w:t>
      </w:r>
    </w:p>
    <w:p w14:paraId="71C92A5A" w14:textId="42C54F62" w:rsidR="006C7B06" w:rsidRPr="007A3793" w:rsidRDefault="006C7B06" w:rsidP="00CD1179">
      <w:pPr>
        <w:rPr>
          <w:lang w:val="en-GB"/>
        </w:rPr>
      </w:pPr>
      <w:r w:rsidRPr="007A3793">
        <w:rPr>
          <w:lang w:val="en-GB"/>
        </w:rPr>
        <w:t xml:space="preserve">The Swiss regulatory authority, FINMA, classifies tokens into </w:t>
      </w:r>
      <w:r w:rsidR="00C073BD" w:rsidRPr="007A3793">
        <w:rPr>
          <w:lang w:val="en-GB"/>
        </w:rPr>
        <w:t>three</w:t>
      </w:r>
      <w:r w:rsidRPr="007A3793">
        <w:rPr>
          <w:lang w:val="en-GB"/>
        </w:rPr>
        <w:t xml:space="preserve"> categories [</w:t>
      </w:r>
      <w:hyperlink w:anchor="finma" w:history="1">
        <w:r w:rsidR="00CD1179">
          <w:rPr>
            <w:rStyle w:val="Hyperlink"/>
            <w:lang w:val="en-GB"/>
          </w:rPr>
          <w:t>b</w:t>
        </w:r>
        <w:r w:rsidR="00CD1179">
          <w:rPr>
            <w:rStyle w:val="Hyperlink"/>
            <w:lang w:val="en-GB"/>
          </w:rPr>
          <w:noBreakHyphen/>
        </w:r>
        <w:r w:rsidRPr="007A3793">
          <w:rPr>
            <w:rStyle w:val="Hyperlink"/>
            <w:lang w:val="en-GB"/>
          </w:rPr>
          <w:t>FINMA</w:t>
        </w:r>
      </w:hyperlink>
      <w:r w:rsidRPr="007A3793">
        <w:rPr>
          <w:lang w:val="en-GB"/>
        </w:rPr>
        <w:t>]:</w:t>
      </w:r>
    </w:p>
    <w:p w14:paraId="71C92A5B" w14:textId="77777777" w:rsidR="006C7B06" w:rsidRPr="007A3793" w:rsidRDefault="006C7B06" w:rsidP="007A3793">
      <w:pPr>
        <w:numPr>
          <w:ilvl w:val="0"/>
          <w:numId w:val="22"/>
        </w:numPr>
        <w:overflowPunct w:val="0"/>
        <w:autoSpaceDE w:val="0"/>
        <w:autoSpaceDN w:val="0"/>
        <w:adjustRightInd w:val="0"/>
        <w:ind w:left="567" w:hanging="567"/>
        <w:textAlignment w:val="baseline"/>
        <w:rPr>
          <w:lang w:val="en-GB"/>
        </w:rPr>
      </w:pPr>
      <w:r w:rsidRPr="007A3793">
        <w:rPr>
          <w:lang w:val="en-GB"/>
        </w:rPr>
        <w:t>When the tokens do not prescribe any right, but can be traded, they are considered cryptocurrencies;</w:t>
      </w:r>
    </w:p>
    <w:p w14:paraId="71C92A5C" w14:textId="77777777" w:rsidR="006C7B06" w:rsidRPr="007A3793" w:rsidRDefault="006C7B06" w:rsidP="007A3793">
      <w:pPr>
        <w:numPr>
          <w:ilvl w:val="0"/>
          <w:numId w:val="22"/>
        </w:numPr>
        <w:overflowPunct w:val="0"/>
        <w:autoSpaceDE w:val="0"/>
        <w:autoSpaceDN w:val="0"/>
        <w:adjustRightInd w:val="0"/>
        <w:ind w:left="567" w:hanging="567"/>
        <w:textAlignment w:val="baseline"/>
        <w:rPr>
          <w:lang w:val="en-GB"/>
        </w:rPr>
      </w:pPr>
      <w:r w:rsidRPr="007A3793">
        <w:rPr>
          <w:lang w:val="en-GB"/>
        </w:rPr>
        <w:t>When the tokens can be used as vouchers for some service on the chain or external to the chain, the tokens are considered utility tokens;</w:t>
      </w:r>
    </w:p>
    <w:p w14:paraId="71C92A5D" w14:textId="77777777" w:rsidR="006C7B06" w:rsidRPr="007A3793" w:rsidRDefault="006C7B06" w:rsidP="007A3793">
      <w:pPr>
        <w:numPr>
          <w:ilvl w:val="0"/>
          <w:numId w:val="22"/>
        </w:numPr>
        <w:overflowPunct w:val="0"/>
        <w:autoSpaceDE w:val="0"/>
        <w:autoSpaceDN w:val="0"/>
        <w:adjustRightInd w:val="0"/>
        <w:ind w:left="567" w:hanging="567"/>
        <w:textAlignment w:val="baseline"/>
        <w:rPr>
          <w:lang w:val="en-GB"/>
        </w:rPr>
      </w:pPr>
      <w:r w:rsidRPr="007A3793">
        <w:rPr>
          <w:lang w:val="en-GB"/>
        </w:rPr>
        <w:t>When the tokens refer to an asset, they are considered asset tokens.</w:t>
      </w:r>
    </w:p>
    <w:p w14:paraId="71C92A5E" w14:textId="28603C61" w:rsidR="006C7B06" w:rsidRPr="007A3793" w:rsidRDefault="006C7B06" w:rsidP="00CD1179">
      <w:pPr>
        <w:rPr>
          <w:lang w:val="en-GB"/>
        </w:rPr>
      </w:pPr>
      <w:r w:rsidRPr="007A3793">
        <w:rPr>
          <w:lang w:val="en-GB"/>
        </w:rPr>
        <w:t xml:space="preserve">It is to be noted, for an optimal global token regulation, that the term </w:t>
      </w:r>
      <w:r w:rsidR="001122ED">
        <w:rPr>
          <w:lang w:val="en-GB"/>
        </w:rPr>
        <w:t>"</w:t>
      </w:r>
      <w:r w:rsidRPr="007A3793">
        <w:rPr>
          <w:lang w:val="en-GB"/>
        </w:rPr>
        <w:t>tokenization</w:t>
      </w:r>
      <w:r w:rsidR="001122ED">
        <w:rPr>
          <w:lang w:val="en-GB"/>
        </w:rPr>
        <w:t>"</w:t>
      </w:r>
      <w:r w:rsidRPr="007A3793">
        <w:rPr>
          <w:lang w:val="en-GB"/>
        </w:rPr>
        <w:t xml:space="preserve"> usually refers to the change of system utilized for the representation of such economic valuable rights. This paper does not discuss the complex regulatory needs derived from token taxonomy or </w:t>
      </w:r>
      <w:r w:rsidR="001122ED">
        <w:rPr>
          <w:lang w:val="en-GB"/>
        </w:rPr>
        <w:t>"</w:t>
      </w:r>
      <w:proofErr w:type="spellStart"/>
      <w:r w:rsidRPr="007A3793">
        <w:rPr>
          <w:lang w:val="en-GB"/>
        </w:rPr>
        <w:t>tokenomics</w:t>
      </w:r>
      <w:proofErr w:type="spellEnd"/>
      <w:r w:rsidR="001122ED">
        <w:rPr>
          <w:lang w:val="en-GB"/>
        </w:rPr>
        <w:t>"</w:t>
      </w:r>
      <w:r w:rsidRPr="007A3793">
        <w:rPr>
          <w:lang w:val="en-GB"/>
        </w:rPr>
        <w:t>.</w:t>
      </w:r>
    </w:p>
    <w:p w14:paraId="71C92A5F" w14:textId="77777777" w:rsidR="006C7B06" w:rsidRPr="007A3793" w:rsidRDefault="006C7B06" w:rsidP="00CD1179">
      <w:pPr>
        <w:rPr>
          <w:lang w:val="en-GB"/>
        </w:rPr>
      </w:pPr>
      <w:r w:rsidRPr="007A3793">
        <w:rPr>
          <w:lang w:val="en-GB"/>
        </w:rPr>
        <w:lastRenderedPageBreak/>
        <w:t>Tokenized value units of account (coin-based tokens) should be regulated by central banks in terms of national or regional monetary policy to properly control macro-magnitudes.</w:t>
      </w:r>
    </w:p>
    <w:p w14:paraId="00F8370F" w14:textId="77777777" w:rsidR="007A3793" w:rsidRPr="007A3793" w:rsidRDefault="006C7B06" w:rsidP="00CD1179">
      <w:pPr>
        <w:rPr>
          <w:lang w:val="en-GB"/>
        </w:rPr>
      </w:pPr>
      <w:r w:rsidRPr="007A3793">
        <w:rPr>
          <w:lang w:val="en-GB"/>
        </w:rPr>
        <w:t>Additionally, a token can fall into multiple categories at the same time. Asset tokens are always treated as securities whereas utility tokens are only classified as securities in case of only having an investment purpose at the point of issue.</w:t>
      </w:r>
    </w:p>
    <w:p w14:paraId="71C92A61" w14:textId="26833D1E" w:rsidR="006C7B06" w:rsidRPr="007A3793" w:rsidRDefault="006C7B06" w:rsidP="00CD1179">
      <w:pPr>
        <w:rPr>
          <w:lang w:val="en-GB"/>
        </w:rPr>
      </w:pPr>
      <w:r w:rsidRPr="007A3793">
        <w:rPr>
          <w:lang w:val="en-GB"/>
        </w:rPr>
        <w:t>Compared to Switzerland, in the US, the scope of securities is broader. For example, the Securities Exchange Commission (SEC) applies the Howey</w:t>
      </w:r>
      <w:r w:rsidR="0091369C">
        <w:rPr>
          <w:lang w:val="en-GB"/>
        </w:rPr>
        <w:t xml:space="preserve"> </w:t>
      </w:r>
      <w:r w:rsidRPr="007A3793">
        <w:rPr>
          <w:lang w:val="en-GB"/>
        </w:rPr>
        <w:t>test to classify tokens as securities [</w:t>
      </w:r>
      <w:hyperlink w:anchor="sec" w:history="1">
        <w:r w:rsidR="00CD1179">
          <w:rPr>
            <w:rStyle w:val="Hyperlink"/>
            <w:lang w:val="en-GB"/>
          </w:rPr>
          <w:t>b</w:t>
        </w:r>
        <w:r w:rsidR="00CD1179">
          <w:rPr>
            <w:rStyle w:val="Hyperlink"/>
            <w:lang w:val="en-GB"/>
          </w:rPr>
          <w:noBreakHyphen/>
        </w:r>
        <w:r w:rsidRPr="007A3793">
          <w:rPr>
            <w:rStyle w:val="Hyperlink"/>
            <w:lang w:val="en-GB"/>
          </w:rPr>
          <w:t>SEC</w:t>
        </w:r>
      </w:hyperlink>
      <w:r w:rsidRPr="007A3793">
        <w:rPr>
          <w:lang w:val="en-GB"/>
        </w:rPr>
        <w:t>]. Regulatory oversight differs from one jurisdiction to the next and is subject to change.</w:t>
      </w:r>
    </w:p>
    <w:p w14:paraId="71C92A62" w14:textId="77777777" w:rsidR="006C7B06" w:rsidRPr="007A3793" w:rsidRDefault="006C7B06" w:rsidP="00CD1179">
      <w:pPr>
        <w:rPr>
          <w:lang w:val="en-GB"/>
        </w:rPr>
      </w:pPr>
      <w:r w:rsidRPr="007A3793">
        <w:rPr>
          <w:lang w:val="en-GB"/>
        </w:rPr>
        <w:t>Representation of rights incorporated into tokens (securities, utilities or hybrid) is the substantial issue to be addressed by legislators as it concerns the system of creation of credits (ICOs, exchange offerings, security token offerings (STOs), off-chain IPOs or service non-financial contract in the case of utilities), their cession and their extinction.</w:t>
      </w:r>
    </w:p>
    <w:p w14:paraId="71C92A63" w14:textId="562F80BF" w:rsidR="006C7B06" w:rsidRPr="007A3793" w:rsidRDefault="006C7B06" w:rsidP="00CD1179">
      <w:pPr>
        <w:rPr>
          <w:lang w:val="en-GB"/>
        </w:rPr>
      </w:pPr>
      <w:r w:rsidRPr="007A3793">
        <w:rPr>
          <w:lang w:val="en-GB"/>
        </w:rPr>
        <w:t>When tokens are connected to some assets, a new law is required to ensure that buyers that acquire a token in good faith are protected even when some prior transfer of the token was not carried out by the authorized token holder. New laws in Gibraltar, Liechtenstein, Malta and Switzerland have been enacted and are proposed to regulate the acquisition of tokenized assets including the actors involved [</w:t>
      </w:r>
      <w:hyperlink w:anchor="gfsc" w:history="1">
        <w:r w:rsidR="00CD1179">
          <w:rPr>
            <w:rStyle w:val="Hyperlink"/>
            <w:lang w:val="en-GB"/>
          </w:rPr>
          <w:t>b</w:t>
        </w:r>
        <w:r w:rsidR="00CD1179">
          <w:rPr>
            <w:rStyle w:val="Hyperlink"/>
            <w:lang w:val="en-GB"/>
          </w:rPr>
          <w:noBreakHyphen/>
        </w:r>
        <w:r w:rsidRPr="007A3793">
          <w:rPr>
            <w:rStyle w:val="Hyperlink"/>
            <w:lang w:val="en-GB"/>
          </w:rPr>
          <w:t>GFSC</w:t>
        </w:r>
      </w:hyperlink>
      <w:r w:rsidR="00114889" w:rsidRPr="007A3793">
        <w:rPr>
          <w:lang w:val="en-GB"/>
        </w:rPr>
        <w:t xml:space="preserve">, </w:t>
      </w:r>
      <w:hyperlink w:anchor="liecht" w:history="1">
        <w:r w:rsidR="00CD1179">
          <w:rPr>
            <w:rStyle w:val="Hyperlink"/>
            <w:lang w:val="en-GB"/>
          </w:rPr>
          <w:t>b</w:t>
        </w:r>
        <w:r w:rsidR="00CD1179">
          <w:rPr>
            <w:rStyle w:val="Hyperlink"/>
            <w:lang w:val="en-GB"/>
          </w:rPr>
          <w:noBreakHyphen/>
        </w:r>
        <w:proofErr w:type="spellStart"/>
        <w:r w:rsidR="00114889" w:rsidRPr="007A3793">
          <w:rPr>
            <w:rStyle w:val="Hyperlink"/>
            <w:lang w:val="en-GB"/>
          </w:rPr>
          <w:t>Liecht</w:t>
        </w:r>
        <w:proofErr w:type="spellEnd"/>
        <w:r w:rsidRPr="007A3793">
          <w:rPr>
            <w:rStyle w:val="Hyperlink"/>
            <w:lang w:val="en-GB"/>
          </w:rPr>
          <w:t>.</w:t>
        </w:r>
      </w:hyperlink>
      <w:r w:rsidRPr="007A3793">
        <w:rPr>
          <w:lang w:val="en-GB"/>
        </w:rPr>
        <w:t xml:space="preserve">, </w:t>
      </w:r>
      <w:hyperlink w:anchor="maltaa" w:history="1">
        <w:r w:rsidR="00CD1179">
          <w:rPr>
            <w:rStyle w:val="Hyperlink"/>
            <w:lang w:val="en-GB"/>
          </w:rPr>
          <w:t>b</w:t>
        </w:r>
        <w:r w:rsidR="00CD1179">
          <w:rPr>
            <w:rStyle w:val="Hyperlink"/>
            <w:lang w:val="en-GB"/>
          </w:rPr>
          <w:noBreakHyphen/>
        </w:r>
        <w:r w:rsidRPr="007A3793">
          <w:rPr>
            <w:rStyle w:val="Hyperlink"/>
            <w:lang w:val="en-GB"/>
          </w:rPr>
          <w:t>Malta-a</w:t>
        </w:r>
      </w:hyperlink>
      <w:r w:rsidRPr="007A3793">
        <w:rPr>
          <w:lang w:val="en-GB"/>
        </w:rPr>
        <w:t xml:space="preserve">, </w:t>
      </w:r>
      <w:hyperlink w:anchor="maltab" w:history="1">
        <w:r w:rsidR="00CD1179">
          <w:rPr>
            <w:rStyle w:val="Hyperlink"/>
            <w:lang w:val="en-GB"/>
          </w:rPr>
          <w:t>b</w:t>
        </w:r>
        <w:r w:rsidR="00CD1179">
          <w:rPr>
            <w:rStyle w:val="Hyperlink"/>
            <w:lang w:val="en-GB"/>
          </w:rPr>
          <w:noBreakHyphen/>
        </w:r>
        <w:r w:rsidRPr="007A3793">
          <w:rPr>
            <w:rStyle w:val="Hyperlink"/>
            <w:lang w:val="en-GB"/>
          </w:rPr>
          <w:t>Malta-b</w:t>
        </w:r>
      </w:hyperlink>
      <w:r w:rsidRPr="007A3793">
        <w:rPr>
          <w:lang w:val="en-GB"/>
        </w:rPr>
        <w:t xml:space="preserve">, </w:t>
      </w:r>
      <w:hyperlink w:anchor="maltac" w:history="1">
        <w:r w:rsidR="00CD1179">
          <w:rPr>
            <w:rStyle w:val="Hyperlink"/>
            <w:lang w:val="en-GB"/>
          </w:rPr>
          <w:t>b</w:t>
        </w:r>
        <w:r w:rsidR="00CD1179">
          <w:rPr>
            <w:rStyle w:val="Hyperlink"/>
            <w:lang w:val="en-GB"/>
          </w:rPr>
          <w:noBreakHyphen/>
        </w:r>
        <w:r w:rsidRPr="007A3793">
          <w:rPr>
            <w:rStyle w:val="Hyperlink"/>
            <w:lang w:val="en-GB"/>
          </w:rPr>
          <w:t>Malta-c</w:t>
        </w:r>
      </w:hyperlink>
      <w:r w:rsidRPr="007A3793">
        <w:rPr>
          <w:lang w:val="en-GB"/>
        </w:rPr>
        <w:t xml:space="preserve">, </w:t>
      </w:r>
      <w:hyperlink w:anchor="swiss" w:history="1">
        <w:r w:rsidR="00CD1179">
          <w:rPr>
            <w:rStyle w:val="Hyperlink"/>
            <w:lang w:val="en-GB"/>
          </w:rPr>
          <w:t>b</w:t>
        </w:r>
        <w:r w:rsidR="00CD1179">
          <w:rPr>
            <w:rStyle w:val="Hyperlink"/>
            <w:lang w:val="en-GB"/>
          </w:rPr>
          <w:noBreakHyphen/>
        </w:r>
        <w:r w:rsidRPr="007A3793">
          <w:rPr>
            <w:rStyle w:val="Hyperlink"/>
            <w:lang w:val="en-GB"/>
          </w:rPr>
          <w:t>Swiss</w:t>
        </w:r>
      </w:hyperlink>
      <w:r w:rsidRPr="007A3793">
        <w:rPr>
          <w:lang w:val="en-GB"/>
        </w:rPr>
        <w:t>].</w:t>
      </w:r>
    </w:p>
    <w:p w14:paraId="71C92A64" w14:textId="7BBAD127" w:rsidR="006C7B06" w:rsidRPr="007A3793" w:rsidRDefault="006C7B06" w:rsidP="00CD1179">
      <w:pPr>
        <w:rPr>
          <w:lang w:val="en-GB"/>
        </w:rPr>
      </w:pPr>
      <w:r w:rsidRPr="007A3793">
        <w:rPr>
          <w:lang w:val="en-GB"/>
        </w:rPr>
        <w:t xml:space="preserve">These legal regimes are a consequence of the </w:t>
      </w:r>
      <w:r w:rsidR="001122ED">
        <w:rPr>
          <w:lang w:val="en-GB"/>
        </w:rPr>
        <w:t>"</w:t>
      </w:r>
      <w:r w:rsidRPr="007A3793">
        <w:rPr>
          <w:lang w:val="en-GB"/>
        </w:rPr>
        <w:t>virtual incorporation</w:t>
      </w:r>
      <w:r w:rsidR="001122ED">
        <w:rPr>
          <w:lang w:val="en-GB"/>
        </w:rPr>
        <w:t>"</w:t>
      </w:r>
      <w:r w:rsidRPr="007A3793">
        <w:rPr>
          <w:lang w:val="en-GB"/>
        </w:rPr>
        <w:t xml:space="preserve"> of rights occurred in an ICO or any other form of </w:t>
      </w:r>
      <w:r w:rsidR="001122ED">
        <w:rPr>
          <w:lang w:val="en-GB"/>
        </w:rPr>
        <w:t>"</w:t>
      </w:r>
      <w:r w:rsidRPr="007A3793">
        <w:rPr>
          <w:lang w:val="en-GB"/>
        </w:rPr>
        <w:t>tokenization</w:t>
      </w:r>
      <w:r w:rsidR="001122ED">
        <w:rPr>
          <w:lang w:val="en-GB"/>
        </w:rPr>
        <w:t>"</w:t>
      </w:r>
      <w:r w:rsidRPr="007A3793">
        <w:rPr>
          <w:lang w:val="en-GB"/>
        </w:rPr>
        <w:t xml:space="preserve"> (i.e., constitution of rights by tokens, since they become hashed, unique and permanently sequenced units of value).</w:t>
      </w:r>
    </w:p>
    <w:p w14:paraId="71C92A65" w14:textId="77777777" w:rsidR="006C7B06" w:rsidRPr="007A3793" w:rsidRDefault="006C7B06" w:rsidP="00CD1179">
      <w:pPr>
        <w:rPr>
          <w:lang w:val="en-GB"/>
        </w:rPr>
      </w:pPr>
      <w:r w:rsidRPr="007A3793">
        <w:rPr>
          <w:lang w:val="en-GB"/>
        </w:rPr>
        <w:t>The regimes for the cession or transmission of the rights incorporated to the tokens may vary in accordance with two main factors: self-regulatory approach in an ICO or other form of issuing and legal boundaries set by deontic or imperative rules in each concerned jurisdiction, mainly investor protection applicable rules, which ICOs or token issuers must respect for reasons of public order.</w:t>
      </w:r>
    </w:p>
    <w:p w14:paraId="71C92A66" w14:textId="77777777" w:rsidR="006C7B06" w:rsidRPr="007A3793" w:rsidRDefault="006C7B06" w:rsidP="00CD1179">
      <w:pPr>
        <w:rPr>
          <w:lang w:val="en-GB"/>
        </w:rPr>
      </w:pPr>
      <w:r w:rsidRPr="007A3793">
        <w:rPr>
          <w:lang w:val="en-GB"/>
        </w:rPr>
        <w:t>However, the scope of incentive mechanisms also can include non-financial value exchanges. This supports rewards for social impact and motivation for improving or enhancing the efficiency of the DLT; the participation of the governance itself. The incentive mechanism can be also used to promote a responsible attitude in a community such as in a smart city.</w:t>
      </w:r>
    </w:p>
    <w:p w14:paraId="3597FCCC" w14:textId="77777777" w:rsidR="007A3793" w:rsidRPr="007A3793" w:rsidRDefault="006C7B06" w:rsidP="000355E1">
      <w:pPr>
        <w:pStyle w:val="Heading3"/>
      </w:pPr>
      <w:bookmarkStart w:id="127" w:name="_Toc14188482"/>
      <w:bookmarkStart w:id="128" w:name="_Toc16243513"/>
      <w:bookmarkStart w:id="129" w:name="_Toc23447202"/>
      <w:bookmarkStart w:id="130" w:name="_Toc23767542"/>
      <w:r w:rsidRPr="007A3793">
        <w:t>Regulatory challenges</w:t>
      </w:r>
      <w:bookmarkEnd w:id="127"/>
      <w:bookmarkEnd w:id="128"/>
      <w:bookmarkEnd w:id="129"/>
      <w:bookmarkEnd w:id="130"/>
    </w:p>
    <w:p w14:paraId="71C92A68" w14:textId="4D64F857" w:rsidR="006C7B06" w:rsidRPr="007A3793" w:rsidRDefault="006C7B06" w:rsidP="00CD1179">
      <w:pPr>
        <w:rPr>
          <w:lang w:val="en-GB"/>
        </w:rPr>
      </w:pPr>
      <w:r w:rsidRPr="007A3793">
        <w:rPr>
          <w:lang w:val="en-GB"/>
        </w:rPr>
        <w:t>For the financing of blockchain projects, in addition to the conventional equity financing methods, currently, there are ICOs for utility tokens and STOs for asset and security tokens. Different countries have different policies for token-based financing methods:</w:t>
      </w:r>
    </w:p>
    <w:p w14:paraId="71C92A69" w14:textId="77777777" w:rsidR="006C7B06" w:rsidRPr="007A3793" w:rsidRDefault="006C7B06" w:rsidP="007A3793">
      <w:pPr>
        <w:numPr>
          <w:ilvl w:val="0"/>
          <w:numId w:val="23"/>
        </w:numPr>
        <w:overflowPunct w:val="0"/>
        <w:autoSpaceDE w:val="0"/>
        <w:autoSpaceDN w:val="0"/>
        <w:adjustRightInd w:val="0"/>
        <w:ind w:left="567" w:hanging="567"/>
        <w:textAlignment w:val="baseline"/>
        <w:rPr>
          <w:lang w:val="en-GB"/>
        </w:rPr>
      </w:pPr>
      <w:r w:rsidRPr="007A3793">
        <w:rPr>
          <w:lang w:val="en-GB"/>
        </w:rPr>
        <w:t>A complete ban;</w:t>
      </w:r>
    </w:p>
    <w:p w14:paraId="71C92A6A" w14:textId="77777777" w:rsidR="006C7B06" w:rsidRPr="007A3793" w:rsidRDefault="006C7B06" w:rsidP="007A3793">
      <w:pPr>
        <w:numPr>
          <w:ilvl w:val="0"/>
          <w:numId w:val="23"/>
        </w:numPr>
        <w:overflowPunct w:val="0"/>
        <w:autoSpaceDE w:val="0"/>
        <w:autoSpaceDN w:val="0"/>
        <w:adjustRightInd w:val="0"/>
        <w:ind w:left="567" w:hanging="567"/>
        <w:textAlignment w:val="baseline"/>
        <w:rPr>
          <w:lang w:val="en-GB"/>
        </w:rPr>
      </w:pPr>
      <w:r w:rsidRPr="007A3793">
        <w:rPr>
          <w:lang w:val="en-GB"/>
        </w:rPr>
        <w:t>Regulation as done with securities (viewing digital objects as digital assets);</w:t>
      </w:r>
    </w:p>
    <w:p w14:paraId="71C92A6B" w14:textId="77777777" w:rsidR="006C7B06" w:rsidRPr="007A3793" w:rsidRDefault="006C7B06" w:rsidP="007A3793">
      <w:pPr>
        <w:numPr>
          <w:ilvl w:val="0"/>
          <w:numId w:val="23"/>
        </w:numPr>
        <w:overflowPunct w:val="0"/>
        <w:autoSpaceDE w:val="0"/>
        <w:autoSpaceDN w:val="0"/>
        <w:adjustRightInd w:val="0"/>
        <w:ind w:left="567" w:hanging="567"/>
        <w:textAlignment w:val="baseline"/>
        <w:rPr>
          <w:lang w:val="en-GB"/>
        </w:rPr>
      </w:pPr>
      <w:r w:rsidRPr="007A3793">
        <w:rPr>
          <w:lang w:val="en-GB"/>
        </w:rPr>
        <w:t>Specialized simplified regulation;</w:t>
      </w:r>
    </w:p>
    <w:p w14:paraId="71C92A6C" w14:textId="77777777" w:rsidR="006C7B06" w:rsidRPr="007A3793" w:rsidRDefault="006C7B06" w:rsidP="007A3793">
      <w:pPr>
        <w:numPr>
          <w:ilvl w:val="0"/>
          <w:numId w:val="23"/>
        </w:numPr>
        <w:overflowPunct w:val="0"/>
        <w:autoSpaceDE w:val="0"/>
        <w:autoSpaceDN w:val="0"/>
        <w:adjustRightInd w:val="0"/>
        <w:ind w:left="567" w:hanging="567"/>
        <w:textAlignment w:val="baseline"/>
        <w:rPr>
          <w:lang w:val="en-GB"/>
        </w:rPr>
      </w:pPr>
      <w:r w:rsidRPr="007A3793">
        <w:rPr>
          <w:lang w:val="en-GB"/>
        </w:rPr>
        <w:t>No regulation for pure utility tokens.</w:t>
      </w:r>
    </w:p>
    <w:p w14:paraId="71C92A6D" w14:textId="77777777" w:rsidR="006C7B06" w:rsidRPr="007A3793" w:rsidRDefault="006C7B06" w:rsidP="00CD1179">
      <w:pPr>
        <w:rPr>
          <w:lang w:val="en-GB"/>
        </w:rPr>
      </w:pPr>
      <w:r w:rsidRPr="007A3793">
        <w:rPr>
          <w:lang w:val="en-GB"/>
        </w:rPr>
        <w:t>The regulators should efficiently combine different self-organizing, public-administrative and private national and international law approaches to regulate:</w:t>
      </w:r>
    </w:p>
    <w:p w14:paraId="71C92A6E" w14:textId="77777777" w:rsidR="006C7B06" w:rsidRPr="007A3793" w:rsidRDefault="006C7B06" w:rsidP="007A3793">
      <w:pPr>
        <w:numPr>
          <w:ilvl w:val="0"/>
          <w:numId w:val="20"/>
        </w:numPr>
        <w:overflowPunct w:val="0"/>
        <w:autoSpaceDE w:val="0"/>
        <w:autoSpaceDN w:val="0"/>
        <w:adjustRightInd w:val="0"/>
        <w:ind w:left="567" w:hanging="567"/>
        <w:textAlignment w:val="baseline"/>
        <w:rPr>
          <w:lang w:val="en-GB"/>
        </w:rPr>
      </w:pPr>
      <w:r w:rsidRPr="007A3793">
        <w:rPr>
          <w:lang w:val="en-GB"/>
        </w:rPr>
        <w:t>The basic blockchain, including consensus processing;</w:t>
      </w:r>
    </w:p>
    <w:p w14:paraId="71C92A6F" w14:textId="77777777" w:rsidR="006C7B06" w:rsidRPr="007A3793" w:rsidRDefault="006C7B06" w:rsidP="007A3793">
      <w:pPr>
        <w:numPr>
          <w:ilvl w:val="0"/>
          <w:numId w:val="20"/>
        </w:numPr>
        <w:overflowPunct w:val="0"/>
        <w:autoSpaceDE w:val="0"/>
        <w:autoSpaceDN w:val="0"/>
        <w:adjustRightInd w:val="0"/>
        <w:ind w:left="567" w:hanging="567"/>
        <w:textAlignment w:val="baseline"/>
        <w:rPr>
          <w:lang w:val="en-GB"/>
        </w:rPr>
      </w:pPr>
      <w:r w:rsidRPr="007A3793">
        <w:rPr>
          <w:lang w:val="en-GB"/>
        </w:rPr>
        <w:t>The smart contract validity, effects and definitions for legal purposes within the context of contract laws in different jurisdictions;</w:t>
      </w:r>
    </w:p>
    <w:p w14:paraId="71C92A70" w14:textId="77777777" w:rsidR="006C7B06" w:rsidRPr="007A3793" w:rsidRDefault="006C7B06" w:rsidP="007A3793">
      <w:pPr>
        <w:numPr>
          <w:ilvl w:val="0"/>
          <w:numId w:val="20"/>
        </w:numPr>
        <w:overflowPunct w:val="0"/>
        <w:autoSpaceDE w:val="0"/>
        <w:autoSpaceDN w:val="0"/>
        <w:adjustRightInd w:val="0"/>
        <w:ind w:left="567" w:hanging="567"/>
        <w:textAlignment w:val="baseline"/>
        <w:rPr>
          <w:lang w:val="en-GB"/>
        </w:rPr>
      </w:pPr>
      <w:r w:rsidRPr="007A3793">
        <w:rPr>
          <w:lang w:val="en-GB"/>
        </w:rPr>
        <w:t>The optimal regimes to regulate the action of intermediaries such as the exchanges used for the fulfilment of transactions;</w:t>
      </w:r>
    </w:p>
    <w:p w14:paraId="71C92A71" w14:textId="77777777" w:rsidR="006C7B06" w:rsidRPr="007A3793" w:rsidRDefault="006C7B06" w:rsidP="007A3793">
      <w:pPr>
        <w:numPr>
          <w:ilvl w:val="0"/>
          <w:numId w:val="20"/>
        </w:numPr>
        <w:overflowPunct w:val="0"/>
        <w:autoSpaceDE w:val="0"/>
        <w:autoSpaceDN w:val="0"/>
        <w:adjustRightInd w:val="0"/>
        <w:ind w:left="567" w:hanging="567"/>
        <w:textAlignment w:val="baseline"/>
        <w:rPr>
          <w:lang w:val="en-GB"/>
        </w:rPr>
      </w:pPr>
      <w:r w:rsidRPr="007A3793">
        <w:rPr>
          <w:lang w:val="en-GB"/>
        </w:rPr>
        <w:lastRenderedPageBreak/>
        <w:t>The private-law asset or security market and related public-law regimes connected to the tokens including ICOs and similar regimes.</w:t>
      </w:r>
    </w:p>
    <w:p w14:paraId="71C92A72" w14:textId="0443A07F" w:rsidR="006C7B06" w:rsidRPr="007A3793" w:rsidRDefault="006C7B06" w:rsidP="000355E1">
      <w:pPr>
        <w:pStyle w:val="Heading3"/>
      </w:pPr>
      <w:bookmarkStart w:id="131" w:name="_Toc11405583"/>
      <w:bookmarkStart w:id="132" w:name="_Toc11405587"/>
      <w:bookmarkStart w:id="133" w:name="_Toc535938810"/>
      <w:bookmarkStart w:id="134" w:name="_Toc535939318"/>
      <w:bookmarkStart w:id="135" w:name="_Toc14188483"/>
      <w:bookmarkStart w:id="136" w:name="_Toc16243514"/>
      <w:bookmarkStart w:id="137" w:name="_Toc23447203"/>
      <w:bookmarkStart w:id="138" w:name="_Toc23767543"/>
      <w:bookmarkEnd w:id="131"/>
      <w:bookmarkEnd w:id="132"/>
      <w:bookmarkEnd w:id="133"/>
      <w:bookmarkEnd w:id="134"/>
      <w:r w:rsidRPr="007A3793">
        <w:t>Approaches and/or recommendations</w:t>
      </w:r>
      <w:bookmarkEnd w:id="135"/>
      <w:r w:rsidRPr="007A3793">
        <w:t xml:space="preserve"> </w:t>
      </w:r>
      <w:r w:rsidR="0091369C">
        <w:t>–</w:t>
      </w:r>
      <w:r w:rsidRPr="007A3793">
        <w:t xml:space="preserve"> Interoperability</w:t>
      </w:r>
      <w:bookmarkEnd w:id="136"/>
      <w:bookmarkEnd w:id="137"/>
      <w:bookmarkEnd w:id="138"/>
    </w:p>
    <w:p w14:paraId="71C92A73" w14:textId="0E236457" w:rsidR="006C7B06" w:rsidRPr="00CD1179" w:rsidRDefault="006C7B06" w:rsidP="00CD1179">
      <w:r w:rsidRPr="00CD1179">
        <w:t xml:space="preserve">Interoperability is defined as the </w:t>
      </w:r>
      <w:r w:rsidR="001122ED">
        <w:t>"</w:t>
      </w:r>
      <w:r w:rsidRPr="00CD1179">
        <w:t>ability of two or more systems or applications to exchange information and to mutually use the information that has been exchanged</w:t>
      </w:r>
      <w:r w:rsidR="001122ED">
        <w:t>"</w:t>
      </w:r>
      <w:r w:rsidRPr="00CD1179">
        <w:t xml:space="preserve"> [</w:t>
      </w:r>
      <w:r w:rsidR="00CD1179" w:rsidRPr="00CD1179">
        <w:t>b</w:t>
      </w:r>
      <w:r w:rsidR="00CD1179" w:rsidRPr="00CD1179">
        <w:noBreakHyphen/>
      </w:r>
      <w:r w:rsidRPr="00CD1179">
        <w:t>ISO/IEC 17788].</w:t>
      </w:r>
    </w:p>
    <w:p w14:paraId="71C92A74" w14:textId="776AF5DA" w:rsidR="006C7B06" w:rsidRPr="00CD1179" w:rsidRDefault="006C7B06" w:rsidP="00CD1179">
      <w:r w:rsidRPr="00CD1179">
        <w:t>Interoperability can happen at different levels. For instance, the European Interoperability Framework (EIF) [</w:t>
      </w:r>
      <w:hyperlink w:anchor="eif" w:history="1">
        <w:r w:rsidR="00CD1179" w:rsidRPr="00CD1179">
          <w:rPr>
            <w:rStyle w:val="Hyperlink"/>
          </w:rPr>
          <w:t>b</w:t>
        </w:r>
        <w:r w:rsidR="00CD1179" w:rsidRPr="00CD1179">
          <w:rPr>
            <w:rStyle w:val="Hyperlink"/>
          </w:rPr>
          <w:noBreakHyphen/>
        </w:r>
        <w:r w:rsidRPr="00CD1179">
          <w:rPr>
            <w:rStyle w:val="Hyperlink"/>
          </w:rPr>
          <w:t>EIF</w:t>
        </w:r>
      </w:hyperlink>
      <w:r w:rsidRPr="00CD1179">
        <w:t xml:space="preserve">], a commonly agreed approach to the delivery of European public services in an interoperable manner, defines a model with four layers of interoperability: legal, organizational, semantic and technical; a cross-cutting component of the four layers, </w:t>
      </w:r>
      <w:r w:rsidR="0091369C">
        <w:t>"</w:t>
      </w:r>
      <w:r w:rsidRPr="00CD1179">
        <w:t>integrated public service governance</w:t>
      </w:r>
      <w:r w:rsidR="0091369C">
        <w:t>"</w:t>
      </w:r>
      <w:r w:rsidRPr="00CD1179">
        <w:t xml:space="preserve"> and a background layer, </w:t>
      </w:r>
      <w:r w:rsidR="0091369C">
        <w:t>"</w:t>
      </w:r>
      <w:r w:rsidRPr="00CD1179">
        <w:t>interoperability governance</w:t>
      </w:r>
      <w:r w:rsidR="0091369C">
        <w:t>"</w:t>
      </w:r>
      <w:r w:rsidRPr="00CD1179">
        <w:t>.</w:t>
      </w:r>
    </w:p>
    <w:p w14:paraId="71C92A75" w14:textId="77777777" w:rsidR="006C7B06" w:rsidRPr="007A3793" w:rsidRDefault="006C7B06" w:rsidP="000355E1">
      <w:pPr>
        <w:pStyle w:val="Figure"/>
      </w:pPr>
      <w:r w:rsidRPr="007A3793">
        <w:rPr>
          <w:noProof/>
          <w:lang w:eastAsia="en-GB"/>
        </w:rPr>
        <w:drawing>
          <wp:inline distT="0" distB="0" distL="0" distR="0" wp14:anchorId="71C92B7F" wp14:editId="71C92B80">
            <wp:extent cx="4572000" cy="2352675"/>
            <wp:effectExtent l="0" t="0" r="0" b="9525"/>
            <wp:docPr id="1" name="Picture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000" cy="2352675"/>
                    </a:xfrm>
                    <a:prstGeom prst="rect">
                      <a:avLst/>
                    </a:prstGeom>
                  </pic:spPr>
                </pic:pic>
              </a:graphicData>
            </a:graphic>
          </wp:inline>
        </w:drawing>
      </w:r>
    </w:p>
    <w:p w14:paraId="71C92A76" w14:textId="77777777" w:rsidR="006C7B06" w:rsidRPr="00CD1179" w:rsidRDefault="000D025C" w:rsidP="000355E1">
      <w:pPr>
        <w:pStyle w:val="FigureNotitle"/>
      </w:pPr>
      <w:bookmarkStart w:id="139" w:name="_Toc23767553"/>
      <w:r w:rsidRPr="007A3793">
        <w:rPr>
          <w:noProof/>
        </w:rPr>
        <w:t xml:space="preserve">Figure 1 – </w:t>
      </w:r>
      <w:r w:rsidR="006C7B06" w:rsidRPr="007A3793">
        <w:rPr>
          <w:noProof/>
        </w:rPr>
        <w:t>EIF model</w:t>
      </w:r>
      <w:bookmarkEnd w:id="139"/>
    </w:p>
    <w:p w14:paraId="358561A1" w14:textId="77777777" w:rsidR="007A3793" w:rsidRPr="007A3793" w:rsidRDefault="006C7B06" w:rsidP="00CD1179">
      <w:pPr>
        <w:rPr>
          <w:lang w:val="en-GB"/>
        </w:rPr>
      </w:pPr>
      <w:r w:rsidRPr="007A3793">
        <w:rPr>
          <w:lang w:val="en-GB"/>
        </w:rPr>
        <w:t>Regarding technical interoperability, it may also be achieved at different levels, i.e., access, network, transport, session or application. Within the internet framework, the TCP/IP protocol has long been a basis for interoperability at network layer.</w:t>
      </w:r>
    </w:p>
    <w:p w14:paraId="71C92A78" w14:textId="5D669D8F" w:rsidR="006C7B06" w:rsidRPr="007A3793" w:rsidRDefault="006C7B06" w:rsidP="00CD1179">
      <w:pPr>
        <w:rPr>
          <w:lang w:val="en-GB"/>
        </w:rPr>
      </w:pPr>
      <w:r w:rsidRPr="007A3793">
        <w:rPr>
          <w:lang w:val="en-GB"/>
        </w:rPr>
        <w:t xml:space="preserve">Implementations of DLT now comprise a new representation of value known as tokens or digital currency. There is a uniform approach to cross-chain interoperability described in clause 7.2 </w:t>
      </w:r>
      <w:r w:rsidR="000355E1" w:rsidRPr="007A3793">
        <w:rPr>
          <w:lang w:val="en-GB"/>
        </w:rPr>
        <w:t>of</w:t>
      </w:r>
      <w:r w:rsidRPr="007A3793">
        <w:rPr>
          <w:lang w:val="en-GB"/>
        </w:rPr>
        <w:t xml:space="preserve"> Recommendation ITU-T X.1255 [</w:t>
      </w:r>
      <w:hyperlink w:anchor="itutx1255" w:history="1">
        <w:r w:rsidR="00CD1179">
          <w:rPr>
            <w:rStyle w:val="Hyperlink"/>
            <w:lang w:val="en-GB"/>
          </w:rPr>
          <w:t>b</w:t>
        </w:r>
        <w:r w:rsidR="00CD1179">
          <w:rPr>
            <w:rStyle w:val="Hyperlink"/>
            <w:lang w:val="en-GB"/>
          </w:rPr>
          <w:noBreakHyphen/>
        </w:r>
        <w:r w:rsidRPr="007A3793">
          <w:rPr>
            <w:rStyle w:val="Hyperlink"/>
            <w:lang w:val="en-GB"/>
          </w:rPr>
          <w:t>ITU-T X.1255</w:t>
        </w:r>
      </w:hyperlink>
      <w:r w:rsidRPr="007A3793">
        <w:rPr>
          <w:lang w:val="en-GB"/>
        </w:rPr>
        <w:t xml:space="preserve">]. This </w:t>
      </w:r>
      <w:r w:rsidR="001122ED">
        <w:rPr>
          <w:lang w:val="en-GB"/>
        </w:rPr>
        <w:t>"</w:t>
      </w:r>
      <w:r w:rsidRPr="007A3793">
        <w:rPr>
          <w:lang w:val="en-GB"/>
        </w:rPr>
        <w:t>Digital Entity Interface Protocol</w:t>
      </w:r>
      <w:r w:rsidR="001122ED">
        <w:rPr>
          <w:lang w:val="en-GB"/>
        </w:rPr>
        <w:t>"</w:t>
      </w:r>
      <w:r w:rsidRPr="007A3793">
        <w:rPr>
          <w:lang w:val="en-GB"/>
        </w:rPr>
        <w:t xml:space="preserve"> establishes a basis for understanding and specifying how computational operations should perform the transit, processing and storage of information across jurisdictional boundaries.</w:t>
      </w:r>
    </w:p>
    <w:p w14:paraId="71C92A79" w14:textId="77777777" w:rsidR="006C7B06" w:rsidRPr="007A3793" w:rsidRDefault="006C7B06" w:rsidP="00CD1179">
      <w:pPr>
        <w:rPr>
          <w:lang w:val="en-GB"/>
        </w:rPr>
      </w:pPr>
      <w:r w:rsidRPr="007A3793">
        <w:rPr>
          <w:lang w:val="en-GB"/>
        </w:rPr>
        <w:t>DLT can be a tool for establishing a decentralized governance that supports the attainment of the Sustainable Development Goals (SDGs). Participants who play by the rules can receive incentives whereas participants who break the rules can be punished.</w:t>
      </w:r>
    </w:p>
    <w:p w14:paraId="71C92A7A" w14:textId="77777777" w:rsidR="006C7B06" w:rsidRPr="007A3793" w:rsidRDefault="006C7B06" w:rsidP="00CD1179">
      <w:pPr>
        <w:rPr>
          <w:lang w:val="en-GB"/>
        </w:rPr>
      </w:pPr>
      <w:proofErr w:type="gramStart"/>
      <w:r w:rsidRPr="007A3793">
        <w:rPr>
          <w:lang w:val="en-GB"/>
        </w:rPr>
        <w:t>Taking into account</w:t>
      </w:r>
      <w:proofErr w:type="gramEnd"/>
      <w:r w:rsidRPr="007A3793">
        <w:rPr>
          <w:lang w:val="en-GB"/>
        </w:rPr>
        <w:t xml:space="preserve"> the framework, context, application and/or use case, appropriate consideration should be given to develop interoperability specifications at the right level(s) where appropriate.</w:t>
      </w:r>
      <w:bookmarkStart w:id="140" w:name="_Toc11405591"/>
      <w:bookmarkStart w:id="141" w:name="_Toc11405592"/>
      <w:bookmarkStart w:id="142" w:name="_Toc11405593"/>
      <w:bookmarkStart w:id="143" w:name="_Toc11405594"/>
      <w:bookmarkStart w:id="144" w:name="_Toc11405595"/>
      <w:bookmarkStart w:id="145" w:name="_Toc11405596"/>
      <w:bookmarkStart w:id="146" w:name="_Toc14188484"/>
      <w:bookmarkEnd w:id="140"/>
      <w:bookmarkEnd w:id="141"/>
      <w:bookmarkEnd w:id="142"/>
      <w:bookmarkEnd w:id="143"/>
      <w:bookmarkEnd w:id="144"/>
      <w:bookmarkEnd w:id="145"/>
    </w:p>
    <w:p w14:paraId="5D8E1E5C" w14:textId="77777777" w:rsidR="007A3793" w:rsidRPr="007A3793" w:rsidRDefault="006C7B06" w:rsidP="000355E1">
      <w:pPr>
        <w:pStyle w:val="Heading2"/>
      </w:pPr>
      <w:bookmarkStart w:id="147" w:name="_Toc16243515"/>
      <w:bookmarkStart w:id="148" w:name="_Toc23447204"/>
      <w:bookmarkStart w:id="149" w:name="_Toc23767544"/>
      <w:r w:rsidRPr="007A3793">
        <w:t>Property 5: Openness, transparency and anonymity</w:t>
      </w:r>
      <w:bookmarkEnd w:id="125"/>
      <w:bookmarkEnd w:id="146"/>
      <w:bookmarkEnd w:id="147"/>
      <w:bookmarkEnd w:id="148"/>
      <w:bookmarkEnd w:id="149"/>
    </w:p>
    <w:p w14:paraId="71C92A7D" w14:textId="12DDAEF8" w:rsidR="006C7B06" w:rsidRPr="007A3793" w:rsidRDefault="006C7B06" w:rsidP="00262E52">
      <w:pPr>
        <w:pStyle w:val="Heading3"/>
        <w:tabs>
          <w:tab w:val="clear" w:pos="720"/>
          <w:tab w:val="num" w:pos="709"/>
        </w:tabs>
        <w:ind w:left="794" w:hanging="794"/>
      </w:pPr>
      <w:bookmarkStart w:id="150" w:name="_Toc16243516"/>
      <w:bookmarkStart w:id="151" w:name="_Toc23447205"/>
      <w:bookmarkStart w:id="152" w:name="_Toc23767545"/>
      <w:r w:rsidRPr="007A3793">
        <w:t>Introduction of the property</w:t>
      </w:r>
      <w:bookmarkEnd w:id="150"/>
      <w:bookmarkEnd w:id="151"/>
      <w:bookmarkEnd w:id="152"/>
    </w:p>
    <w:p w14:paraId="75E31010" w14:textId="77777777" w:rsidR="007A3793" w:rsidRPr="007A3793" w:rsidRDefault="006C7B06" w:rsidP="00CD1179">
      <w:pPr>
        <w:rPr>
          <w:lang w:val="en-GB"/>
        </w:rPr>
      </w:pPr>
      <w:r w:rsidRPr="007A3793">
        <w:rPr>
          <w:lang w:val="en-GB"/>
        </w:rPr>
        <w:t xml:space="preserve">Several key properties featured in DLT platforms have been long considered key for many different cases even before the creation of these technologies. The possibility of increasing </w:t>
      </w:r>
      <w:r w:rsidRPr="007A3793">
        <w:rPr>
          <w:lang w:val="en-GB"/>
        </w:rPr>
        <w:lastRenderedPageBreak/>
        <w:t>transparency and, at the same time, trust, privacy and free access to processes has been a continuous quest for governments and companies alike.</w:t>
      </w:r>
    </w:p>
    <w:p w14:paraId="71C92A7F" w14:textId="5426F71E" w:rsidR="006C7B06" w:rsidRPr="007A3793" w:rsidRDefault="006C7B06" w:rsidP="00CD1179">
      <w:pPr>
        <w:rPr>
          <w:lang w:val="en-GB"/>
        </w:rPr>
      </w:pPr>
      <w:r w:rsidRPr="007A3793">
        <w:rPr>
          <w:lang w:val="en-GB"/>
        </w:rPr>
        <w:t xml:space="preserve">The debate regarding the level of openness and transparency from DLTs should start at the discussion on </w:t>
      </w:r>
      <w:r w:rsidRPr="007A3793">
        <w:rPr>
          <w:iCs/>
          <w:lang w:val="en-GB"/>
        </w:rPr>
        <w:t>permissioned</w:t>
      </w:r>
      <w:r w:rsidRPr="007A3793">
        <w:rPr>
          <w:lang w:val="en-GB"/>
        </w:rPr>
        <w:t xml:space="preserve"> and </w:t>
      </w:r>
      <w:r w:rsidRPr="007A3793">
        <w:rPr>
          <w:iCs/>
          <w:lang w:val="en-GB"/>
        </w:rPr>
        <w:t>permissionles</w:t>
      </w:r>
      <w:r w:rsidRPr="007A3793">
        <w:rPr>
          <w:lang w:val="en-GB"/>
        </w:rPr>
        <w:t xml:space="preserve">s ledgers where </w:t>
      </w:r>
      <w:r w:rsidRPr="007A3793">
        <w:rPr>
          <w:iCs/>
          <w:lang w:val="en-GB"/>
        </w:rPr>
        <w:t>permission</w:t>
      </w:r>
      <w:r w:rsidRPr="007A3793">
        <w:rPr>
          <w:lang w:val="en-GB"/>
        </w:rPr>
        <w:t xml:space="preserve"> refers to how the system works with respect to validating transactions. In permissioned DLTs, all the decision-making processes are derived from a trusted third party (TTP) that has exclusive roles among the network players, especially granting them access to its content and assigning the </w:t>
      </w:r>
      <w:proofErr w:type="gramStart"/>
      <w:r w:rsidRPr="007A3793">
        <w:rPr>
          <w:lang w:val="en-GB"/>
        </w:rPr>
        <w:t>aforementioned permissions</w:t>
      </w:r>
      <w:proofErr w:type="gramEnd"/>
      <w:r w:rsidRPr="007A3793">
        <w:rPr>
          <w:lang w:val="en-GB"/>
        </w:rPr>
        <w:t xml:space="preserve"> to each new player. This implies that the TTP has some knowledge about the peers.</w:t>
      </w:r>
    </w:p>
    <w:p w14:paraId="71C92A80" w14:textId="77777777" w:rsidR="006C7B06" w:rsidRPr="007A3793" w:rsidRDefault="006C7B06" w:rsidP="00CD1179">
      <w:pPr>
        <w:rPr>
          <w:lang w:val="en-GB"/>
        </w:rPr>
      </w:pPr>
      <w:r w:rsidRPr="007A3793">
        <w:rPr>
          <w:lang w:val="en-GB"/>
        </w:rPr>
        <w:t>On the other hand, on permissionless DLTs, all the peers can act freely; entering or leaving the network at any given time without identifying or authenticating themselves in a formal sense. The leaving or joining of peers does not cause any disruption unless the number of participants falls below a certain threshold. Most systems do not offer any confidentiality. Privacy, if desired, needs to be established by privacy-enhancing technology on top of the basic data layer. Some privacy coins, however, have already integrated a privacy layer for token transactions. Public DLTs do not require a permission to read blocks. Depending on the consensus algorithm used, a certain amount of computing power or a certain stake might be needed to participate in block production. Most DLT systems require some permission to write transactions, e.g. by paying with native tokens. Some countries require exchanges and wallet services to identify their customers. This information, together with the transaction on the ledger and the tracking of the IP-address where a transaction originally came from, often makes it possible to identify people using e.g. Bitcoin or Ethereum.</w:t>
      </w:r>
    </w:p>
    <w:p w14:paraId="5A3A50B3" w14:textId="77777777" w:rsidR="007A3793" w:rsidRPr="007A3793" w:rsidRDefault="006C7B06" w:rsidP="00CD1179">
      <w:pPr>
        <w:rPr>
          <w:lang w:val="en-GB"/>
        </w:rPr>
      </w:pPr>
      <w:r w:rsidRPr="007A3793">
        <w:rPr>
          <w:lang w:val="en-GB"/>
        </w:rPr>
        <w:t xml:space="preserve">Permissionless DLTs are public platforms, thus they are open and </w:t>
      </w:r>
      <w:proofErr w:type="gramStart"/>
      <w:r w:rsidRPr="007A3793">
        <w:rPr>
          <w:lang w:val="en-GB"/>
        </w:rPr>
        <w:t>transparent in essence</w:t>
      </w:r>
      <w:proofErr w:type="gramEnd"/>
      <w:r w:rsidRPr="007A3793">
        <w:rPr>
          <w:lang w:val="en-GB"/>
        </w:rPr>
        <w:t xml:space="preserve">. The sum of their features allows them to be </w:t>
      </w:r>
      <w:proofErr w:type="spellStart"/>
      <w:r w:rsidRPr="007A3793">
        <w:rPr>
          <w:lang w:val="en-GB"/>
        </w:rPr>
        <w:t>trustless</w:t>
      </w:r>
      <w:proofErr w:type="spellEnd"/>
      <w:r w:rsidRPr="007A3793">
        <w:rPr>
          <w:lang w:val="en-GB"/>
        </w:rPr>
        <w:t xml:space="preserve"> networks in which anyone could participate and independently verify the information written on the ledger, even if the parties do not know each other. Permissioned DLTs, in turn, will vary a great deal in relation to the level of openness and transparency, since they will be directly determined by the governance of the platform, which is established by a central party to a certain degree.</w:t>
      </w:r>
    </w:p>
    <w:p w14:paraId="3D58233C" w14:textId="77777777" w:rsidR="007A3793" w:rsidRPr="007A3793" w:rsidRDefault="006C7B06" w:rsidP="000355E1">
      <w:pPr>
        <w:pStyle w:val="Heading3"/>
      </w:pPr>
      <w:bookmarkStart w:id="153" w:name="_Toc16243517"/>
      <w:bookmarkStart w:id="154" w:name="_Toc23447206"/>
      <w:bookmarkStart w:id="155" w:name="_Toc23767546"/>
      <w:r w:rsidRPr="007A3793">
        <w:t>The concepts</w:t>
      </w:r>
      <w:bookmarkEnd w:id="153"/>
      <w:bookmarkEnd w:id="154"/>
      <w:bookmarkEnd w:id="155"/>
    </w:p>
    <w:p w14:paraId="0A4506AA" w14:textId="5FB6E05B" w:rsidR="007A3793" w:rsidRPr="007A3793" w:rsidRDefault="006C7B06" w:rsidP="00CD1179">
      <w:pPr>
        <w:rPr>
          <w:lang w:val="en-GB"/>
        </w:rPr>
      </w:pPr>
      <w:r w:rsidRPr="007A3793">
        <w:rPr>
          <w:lang w:val="en-GB"/>
        </w:rPr>
        <w:t xml:space="preserve">Broadly speaking, transparency is generally associated with openness and visibility, or the opposite of secrecy. Notwithstanding, this </w:t>
      </w:r>
      <w:r w:rsidR="001122ED">
        <w:rPr>
          <w:lang w:val="en-GB"/>
        </w:rPr>
        <w:t>"</w:t>
      </w:r>
      <w:r w:rsidRPr="007A3793">
        <w:rPr>
          <w:lang w:val="en-GB"/>
        </w:rPr>
        <w:t>narrow</w:t>
      </w:r>
      <w:r w:rsidR="001122ED">
        <w:rPr>
          <w:lang w:val="en-GB"/>
        </w:rPr>
        <w:t>"</w:t>
      </w:r>
      <w:r w:rsidRPr="007A3793">
        <w:rPr>
          <w:lang w:val="en-GB"/>
        </w:rPr>
        <w:t xml:space="preserve"> view of transparency fails to address some nuanced relations, as for normative dimensions. Transparency cannot simply imply revealing information anymore. It should somehow address some, if not all, of these reflexive questions in order to deal with usage, legitimacy, respect to privacy, accountability, as well as data integrity.</w:t>
      </w:r>
    </w:p>
    <w:p w14:paraId="71C92A84" w14:textId="182F34DA" w:rsidR="006C7B06" w:rsidRPr="007A3793" w:rsidRDefault="006C7B06" w:rsidP="00CD1179">
      <w:pPr>
        <w:rPr>
          <w:lang w:val="en-GB"/>
        </w:rPr>
      </w:pPr>
      <w:r w:rsidRPr="007A3793">
        <w:rPr>
          <w:lang w:val="en-GB"/>
        </w:rPr>
        <w:t xml:space="preserve">In that sense, in pursuit of theses normative dimensions, a modern concept of transparency could be found in ISO 16759:2013, which states transparency as </w:t>
      </w:r>
      <w:r w:rsidR="001122ED">
        <w:rPr>
          <w:lang w:val="en-GB"/>
        </w:rPr>
        <w:t>"</w:t>
      </w:r>
      <w:r w:rsidRPr="007A3793">
        <w:rPr>
          <w:lang w:val="en-GB"/>
        </w:rPr>
        <w:t>open, comprehensive, accessible, clear and understandable presentation of information</w:t>
      </w:r>
      <w:r w:rsidR="001122ED">
        <w:rPr>
          <w:lang w:val="en-GB"/>
        </w:rPr>
        <w:t>"</w:t>
      </w:r>
      <w:r w:rsidRPr="007A3793">
        <w:rPr>
          <w:lang w:val="en-GB"/>
        </w:rPr>
        <w:t>.</w:t>
      </w:r>
    </w:p>
    <w:p w14:paraId="71C92A85" w14:textId="77777777" w:rsidR="006C7B06" w:rsidRPr="007A3793" w:rsidRDefault="006C7B06" w:rsidP="00CD1179">
      <w:pPr>
        <w:rPr>
          <w:lang w:val="en-GB"/>
        </w:rPr>
      </w:pPr>
      <w:r w:rsidRPr="007A3793">
        <w:rPr>
          <w:lang w:val="en-GB"/>
        </w:rPr>
        <w:t>Regarding anonymity, currently, the ISO/IEC 20008 standard is working to describe two mechanism categories for anonymous digital signatures. One category of mechanisms for verifying signatures using a single group public key and another for verifying signatures using a set of public keys. The first mechanism category is referred to as group signatures, and the second as ring signatures. When used with blockchain technology, group signatures are more suitable for use in private or permissioned environments. Ring signatures are more suitable for use in public or permissionless environments.</w:t>
      </w:r>
    </w:p>
    <w:p w14:paraId="71C92A86" w14:textId="5C6DDB91" w:rsidR="006C7B06" w:rsidRPr="00CD1179" w:rsidRDefault="006C7B06" w:rsidP="00CD1179">
      <w:r w:rsidRPr="00CD1179">
        <w:t xml:space="preserve">Another approach to this technical challenge is the use of zero-knowledge proofs (ZKPs). Their use allows two different actors, the </w:t>
      </w:r>
      <w:r w:rsidR="001122ED">
        <w:t>"</w:t>
      </w:r>
      <w:r w:rsidRPr="00CD1179">
        <w:t>proof provider</w:t>
      </w:r>
      <w:r w:rsidR="001122ED">
        <w:t>"</w:t>
      </w:r>
      <w:r w:rsidRPr="00CD1179">
        <w:t xml:space="preserve"> and the </w:t>
      </w:r>
      <w:r w:rsidR="001122ED">
        <w:t>"</w:t>
      </w:r>
      <w:r w:rsidRPr="00CD1179">
        <w:t>verifier</w:t>
      </w:r>
      <w:r w:rsidR="001122ED">
        <w:t>"</w:t>
      </w:r>
      <w:r w:rsidRPr="00CD1179">
        <w:t xml:space="preserve"> to exchange the ownership of a piece of data without </w:t>
      </w:r>
      <w:proofErr w:type="gramStart"/>
      <w:r w:rsidRPr="00CD1179">
        <w:t>actually revealing</w:t>
      </w:r>
      <w:proofErr w:type="gramEnd"/>
      <w:r w:rsidRPr="00CD1179">
        <w:t xml:space="preserve"> the data. ZKP technologies are useful to allow the verifier to prove the ownership of a credential to the proof provider without revealing the </w:t>
      </w:r>
      <w:r w:rsidRPr="00CD1179">
        <w:lastRenderedPageBreak/>
        <w:t>identifier of whichever entity to whom (or to what) has been initially issued. This preservation of confidentiality allays fears that an entity with whom (or with what) one transacts is illegitimate.</w:t>
      </w:r>
    </w:p>
    <w:p w14:paraId="233ED317" w14:textId="77777777" w:rsidR="007A3793" w:rsidRPr="007A3793" w:rsidRDefault="006C7B06" w:rsidP="000355E1">
      <w:pPr>
        <w:rPr>
          <w:lang w:val="en-GB"/>
        </w:rPr>
      </w:pPr>
      <w:r w:rsidRPr="007A3793">
        <w:rPr>
          <w:lang w:val="en-GB"/>
        </w:rPr>
        <w:t>Challenges to the broad application of ZKPs</w:t>
      </w:r>
      <w:r w:rsidR="00C54525" w:rsidRPr="007A3793">
        <w:rPr>
          <w:lang w:val="en-GB"/>
        </w:rPr>
        <w:t xml:space="preserve"> (discussed in 5</w:t>
      </w:r>
      <w:r w:rsidRPr="007A3793">
        <w:rPr>
          <w:lang w:val="en-GB"/>
        </w:rPr>
        <w:t>.3, above) are:</w:t>
      </w:r>
    </w:p>
    <w:p w14:paraId="71C92A88" w14:textId="4C08F1A4" w:rsidR="006C7B06" w:rsidRPr="007A3793" w:rsidRDefault="006C7B06" w:rsidP="007A3793">
      <w:pPr>
        <w:numPr>
          <w:ilvl w:val="0"/>
          <w:numId w:val="22"/>
        </w:numPr>
        <w:ind w:left="567" w:hanging="567"/>
        <w:rPr>
          <w:lang w:val="en-GB"/>
        </w:rPr>
      </w:pPr>
      <w:r w:rsidRPr="007A3793">
        <w:rPr>
          <w:lang w:val="en-GB"/>
        </w:rPr>
        <w:t xml:space="preserve">They can be slow and expensive for proof providers to process. Although this issue is being mitigated by the </w:t>
      </w:r>
      <w:r w:rsidR="001122ED">
        <w:rPr>
          <w:lang w:val="en-GB"/>
        </w:rPr>
        <w:t>"</w:t>
      </w:r>
      <w:r w:rsidRPr="007A3793">
        <w:rPr>
          <w:lang w:val="en-GB"/>
        </w:rPr>
        <w:t>sapling</w:t>
      </w:r>
      <w:r w:rsidR="001122ED">
        <w:rPr>
          <w:lang w:val="en-GB"/>
        </w:rPr>
        <w:t>"</w:t>
      </w:r>
      <w:r w:rsidRPr="007A3793">
        <w:rPr>
          <w:lang w:val="en-GB"/>
        </w:rPr>
        <w:t xml:space="preserve"> upgrade.</w:t>
      </w:r>
    </w:p>
    <w:p w14:paraId="53B6759D" w14:textId="77777777" w:rsidR="007A3793" w:rsidRPr="007A3793" w:rsidRDefault="006C7B06" w:rsidP="007A3793">
      <w:pPr>
        <w:numPr>
          <w:ilvl w:val="0"/>
          <w:numId w:val="22"/>
        </w:numPr>
        <w:ind w:left="567" w:hanging="567"/>
        <w:rPr>
          <w:lang w:val="en-GB"/>
        </w:rPr>
      </w:pPr>
      <w:r w:rsidRPr="007A3793">
        <w:rPr>
          <w:lang w:val="en-GB"/>
        </w:rPr>
        <w:t>Some identity solutions use ZKPs based on graph isomorphisms and these are faster in comparison with other ZKP variants.</w:t>
      </w:r>
    </w:p>
    <w:p w14:paraId="1A787B52" w14:textId="77777777" w:rsidR="007A3793" w:rsidRPr="007A3793" w:rsidRDefault="006C7B06" w:rsidP="007A3793">
      <w:pPr>
        <w:numPr>
          <w:ilvl w:val="0"/>
          <w:numId w:val="22"/>
        </w:numPr>
        <w:ind w:left="567" w:hanging="567"/>
        <w:rPr>
          <w:lang w:val="en-GB"/>
        </w:rPr>
      </w:pPr>
      <w:r w:rsidRPr="007A3793">
        <w:rPr>
          <w:lang w:val="en-GB"/>
        </w:rPr>
        <w:t>Questions remain regarding the interoperability of ZKP-based credential exchanges. While there are many ZKP variants with a wide range of performance characteristics, they are still to be considered as being in the early stages of development.</w:t>
      </w:r>
    </w:p>
    <w:p w14:paraId="71C92A8B" w14:textId="674E8BEA" w:rsidR="006C7B06" w:rsidRPr="00CD1179" w:rsidRDefault="006C7B06" w:rsidP="00CD1179">
      <w:r w:rsidRPr="00CD1179">
        <w:t xml:space="preserve">Presently, standards for a universal applicability of zero-knowledge proofs across implementations are starting to be developed </w:t>
      </w:r>
      <w:r w:rsidRPr="007A3793">
        <w:rPr>
          <w:lang w:val="en-GB"/>
        </w:rPr>
        <w:t>[</w:t>
      </w:r>
      <w:hyperlink w:anchor="zkp" w:history="1">
        <w:r w:rsidR="00CD1179">
          <w:rPr>
            <w:rStyle w:val="Hyperlink"/>
            <w:lang w:val="en-GB"/>
          </w:rPr>
          <w:t>b</w:t>
        </w:r>
        <w:r w:rsidR="00CD1179">
          <w:rPr>
            <w:rStyle w:val="Hyperlink"/>
            <w:lang w:val="en-GB"/>
          </w:rPr>
          <w:noBreakHyphen/>
        </w:r>
        <w:r w:rsidRPr="007A3793">
          <w:rPr>
            <w:rStyle w:val="Hyperlink"/>
            <w:lang w:val="en-GB"/>
          </w:rPr>
          <w:t>ZKP</w:t>
        </w:r>
      </w:hyperlink>
      <w:r w:rsidRPr="007A3793">
        <w:rPr>
          <w:lang w:val="en-GB"/>
        </w:rPr>
        <w:t>]</w:t>
      </w:r>
      <w:r w:rsidRPr="00CD1179">
        <w:t>.</w:t>
      </w:r>
    </w:p>
    <w:p w14:paraId="2BE39E90" w14:textId="77777777" w:rsidR="007A3793" w:rsidRPr="007A3793" w:rsidRDefault="006C7B06" w:rsidP="000355E1">
      <w:pPr>
        <w:pStyle w:val="Heading3"/>
      </w:pPr>
      <w:bookmarkStart w:id="156" w:name="_Toc6131250"/>
      <w:bookmarkStart w:id="157" w:name="_Toc16243518"/>
      <w:bookmarkStart w:id="158" w:name="_Toc23447207"/>
      <w:bookmarkStart w:id="159" w:name="_Toc23767547"/>
      <w:r w:rsidRPr="007A3793">
        <w:t>Regulatory challenges</w:t>
      </w:r>
      <w:bookmarkEnd w:id="156"/>
      <w:bookmarkEnd w:id="157"/>
      <w:bookmarkEnd w:id="158"/>
      <w:bookmarkEnd w:id="159"/>
    </w:p>
    <w:p w14:paraId="73C1CACE" w14:textId="0DD2AF8C" w:rsidR="007A3793" w:rsidRPr="007A3793" w:rsidRDefault="006C7B06" w:rsidP="00CD1179">
      <w:pPr>
        <w:rPr>
          <w:lang w:val="en-GB"/>
        </w:rPr>
      </w:pPr>
      <w:r w:rsidRPr="007A3793">
        <w:rPr>
          <w:lang w:val="en-GB"/>
        </w:rPr>
        <w:t xml:space="preserve">Even though openness and transparency are often regarded as major positive features from DLTs, enabling them to be more trustworthy and secure, both qualities pose some challenges in certain circumstances. Distributed ledger platforms generally work on an alleged </w:t>
      </w:r>
      <w:r w:rsidR="001122ED">
        <w:rPr>
          <w:lang w:val="en-GB"/>
        </w:rPr>
        <w:t>"</w:t>
      </w:r>
      <w:r w:rsidRPr="007A3793">
        <w:rPr>
          <w:lang w:val="en-GB"/>
        </w:rPr>
        <w:t>paradox</w:t>
      </w:r>
      <w:r w:rsidR="001122ED">
        <w:rPr>
          <w:lang w:val="en-GB"/>
        </w:rPr>
        <w:t>"</w:t>
      </w:r>
      <w:r w:rsidRPr="007A3793">
        <w:rPr>
          <w:lang w:val="en-GB"/>
        </w:rPr>
        <w:t xml:space="preserve">, in which, while the information on the ledger is transparent for everyone to see or read, it is also private, thus ensuring the anonymity of the players involved </w:t>
      </w:r>
      <w:proofErr w:type="gramStart"/>
      <w:r w:rsidRPr="007A3793">
        <w:rPr>
          <w:lang w:val="en-GB"/>
        </w:rPr>
        <w:t>in a given</w:t>
      </w:r>
      <w:proofErr w:type="gramEnd"/>
      <w:r w:rsidRPr="007A3793">
        <w:rPr>
          <w:lang w:val="en-GB"/>
        </w:rPr>
        <w:t xml:space="preserve"> transaction.</w:t>
      </w:r>
    </w:p>
    <w:p w14:paraId="28ACAB05" w14:textId="77777777" w:rsidR="007A3793" w:rsidRPr="007A3793" w:rsidRDefault="006C7B06" w:rsidP="00CD1179">
      <w:pPr>
        <w:rPr>
          <w:lang w:val="en-GB"/>
        </w:rPr>
      </w:pPr>
      <w:r w:rsidRPr="007A3793">
        <w:rPr>
          <w:lang w:val="en-GB"/>
        </w:rPr>
        <w:t>The balance between transparency and privacy is paramount for DLTs to comply with norms and regulations. For instance, the recent European directive in data privacy, the General Data Protection Regulation (GDPR), has the objective of conferring to the individual control of their own personal data, therefore not allowing it to be fully transparent and open to everyone. On the other hand, high levels of privacy and reduced levels of transparency are a sensitive issue for auditing and security entities that are generally concerned with the possibility of having DLT applications used for illicit activities such as tax evasion, money laundering and funding of criminal activities.</w:t>
      </w:r>
    </w:p>
    <w:p w14:paraId="71C92A8F" w14:textId="6C8E42FC" w:rsidR="006C7B06" w:rsidRPr="007A3793" w:rsidRDefault="006C7B06" w:rsidP="00CD1179">
      <w:pPr>
        <w:rPr>
          <w:lang w:val="en-GB"/>
        </w:rPr>
      </w:pPr>
      <w:r w:rsidRPr="007A3793">
        <w:rPr>
          <w:lang w:val="en-GB"/>
        </w:rPr>
        <w:t>In relation to DLT, using privacy-enhancing technology, like cryptography, to design privacy almost necessarily creates a specific challenge. In other systems, an intermediary that controls access to the information has no technical restraints in providing access to the information and in deciding when to delete it. Using privacy-enhancing technology generates frictions whenever compliance requirements change or require a differentiation of disclosure of the information.</w:t>
      </w:r>
    </w:p>
    <w:p w14:paraId="6F0BBFD3" w14:textId="77777777" w:rsidR="007A3793" w:rsidRPr="007A3793" w:rsidRDefault="006C7B06" w:rsidP="00CD1179">
      <w:pPr>
        <w:rPr>
          <w:lang w:val="en-GB"/>
        </w:rPr>
      </w:pPr>
      <w:r w:rsidRPr="007A3793">
        <w:rPr>
          <w:lang w:val="en-GB"/>
        </w:rPr>
        <w:t>Complete transparency also poses challenges to some sectors due to their business model. The financial services sector is an example in which full transparency would not be feasible. In a transparent DLT platform, all information would be disclosed to the public such as the players involved, the pricing and the timing of the transactions along with other relevant information that would reveal much of the investment strategies of the institutions or people involved in the process. Such a level of disclosure would probably greatly affect the competitive advantage that some institutions have over their competitors.</w:t>
      </w:r>
      <w:bookmarkStart w:id="160" w:name="_Toc6131251"/>
    </w:p>
    <w:p w14:paraId="07DEF47C" w14:textId="77777777" w:rsidR="007A3793" w:rsidRPr="007A3793" w:rsidRDefault="006C7B06" w:rsidP="000355E1">
      <w:pPr>
        <w:pStyle w:val="Heading3"/>
      </w:pPr>
      <w:bookmarkStart w:id="161" w:name="_Toc16243519"/>
      <w:bookmarkStart w:id="162" w:name="_Toc23447208"/>
      <w:bookmarkStart w:id="163" w:name="_Toc23767548"/>
      <w:r w:rsidRPr="007A3793">
        <w:t>Approaches and/or recommendations</w:t>
      </w:r>
      <w:bookmarkEnd w:id="160"/>
      <w:bookmarkEnd w:id="161"/>
      <w:bookmarkEnd w:id="162"/>
      <w:bookmarkEnd w:id="163"/>
    </w:p>
    <w:p w14:paraId="71C92A92" w14:textId="69980404" w:rsidR="006C7B06" w:rsidRPr="007A3793" w:rsidRDefault="006C7B06" w:rsidP="00CD1179">
      <w:pPr>
        <w:rPr>
          <w:lang w:val="en-GB"/>
        </w:rPr>
      </w:pPr>
      <w:r w:rsidRPr="007A3793">
        <w:rPr>
          <w:lang w:val="en-GB"/>
        </w:rPr>
        <w:t>Despite the general agreement on the positive impact that openness and transparency often offer, as seen before, they might also pose some challenges for certain sectors. In this sense, it is recommended that each DLT protocol and governance adjust its level of openness and transparency in accordance with two major factors:</w:t>
      </w:r>
    </w:p>
    <w:p w14:paraId="6CF85284" w14:textId="77777777" w:rsidR="007A3793" w:rsidRPr="007A3793" w:rsidRDefault="006C7B06" w:rsidP="007A3793">
      <w:pPr>
        <w:numPr>
          <w:ilvl w:val="0"/>
          <w:numId w:val="22"/>
        </w:numPr>
        <w:ind w:left="567" w:hanging="567"/>
        <w:rPr>
          <w:lang w:val="en-GB"/>
        </w:rPr>
      </w:pPr>
      <w:r w:rsidRPr="007A3793">
        <w:rPr>
          <w:lang w:val="en-GB"/>
        </w:rPr>
        <w:lastRenderedPageBreak/>
        <w:t xml:space="preserve">Regulation: Currently, many countries are reorganizing or developing their legislations to create codes to govern issues such as privacy, data management and other areas related to the internet but also new applications like cryptocurrencies. DLT platforms </w:t>
      </w:r>
      <w:proofErr w:type="gramStart"/>
      <w:r w:rsidRPr="007A3793">
        <w:rPr>
          <w:lang w:val="en-GB"/>
        </w:rPr>
        <w:t>take into account</w:t>
      </w:r>
      <w:proofErr w:type="gramEnd"/>
      <w:r w:rsidRPr="007A3793">
        <w:rPr>
          <w:lang w:val="en-GB"/>
        </w:rPr>
        <w:t xml:space="preserve"> such regulations to be able to comply with their directives;</w:t>
      </w:r>
    </w:p>
    <w:p w14:paraId="61D260DF" w14:textId="77777777" w:rsidR="007A3793" w:rsidRPr="007A3793" w:rsidRDefault="006C7B06" w:rsidP="007A3793">
      <w:pPr>
        <w:numPr>
          <w:ilvl w:val="0"/>
          <w:numId w:val="22"/>
        </w:numPr>
        <w:ind w:left="567" w:hanging="567"/>
        <w:rPr>
          <w:lang w:val="en-GB"/>
        </w:rPr>
      </w:pPr>
      <w:r w:rsidRPr="007A3793">
        <w:rPr>
          <w:lang w:val="en-GB"/>
        </w:rPr>
        <w:t>Sector: Each sector has its particularities. The financial sector has different demands and requirements as compared to the education or the health sectors. An efficient solution requires an appropriate DLT platform and a well-designed application.</w:t>
      </w:r>
    </w:p>
    <w:p w14:paraId="71C92A95" w14:textId="66D4F8EA" w:rsidR="006C7B06" w:rsidRPr="00CD1179" w:rsidRDefault="006C7B06" w:rsidP="00CD1179">
      <w:r w:rsidRPr="00CD1179">
        <w:t xml:space="preserve">This is further complicated by transparency and privacy requirements that change with time or relate only to certain groups. One approach often used is to store the information itself off-chain on a private storage that is access-controlled and can be deleted. On-chain solutions would only contain some hash or ZKP that enables the validation of that information. Once the original information, off-chain, is deleted, the remaining validation information should be useless. It is not possible to identify persons with this remaining validation information hence, it should not be regarded as personal data although some legal uncertainty remains </w:t>
      </w:r>
      <w:r w:rsidRPr="007A3793">
        <w:rPr>
          <w:lang w:val="en-GB"/>
        </w:rPr>
        <w:t>[</w:t>
      </w:r>
      <w:hyperlink w:anchor="eublockchain" w:history="1">
        <w:r w:rsidR="00CD1179">
          <w:rPr>
            <w:rStyle w:val="Hyperlink"/>
            <w:lang w:val="en-GB"/>
          </w:rPr>
          <w:t>b</w:t>
        </w:r>
        <w:r w:rsidR="00CD1179">
          <w:rPr>
            <w:rStyle w:val="Hyperlink"/>
            <w:lang w:val="en-GB"/>
          </w:rPr>
          <w:noBreakHyphen/>
        </w:r>
        <w:r w:rsidRPr="007A3793">
          <w:rPr>
            <w:rStyle w:val="Hyperlink"/>
            <w:lang w:val="en-GB"/>
          </w:rPr>
          <w:t>EU Blockchain</w:t>
        </w:r>
      </w:hyperlink>
      <w:r w:rsidRPr="007A3793">
        <w:rPr>
          <w:lang w:val="en-GB"/>
        </w:rPr>
        <w:t xml:space="preserve">, </w:t>
      </w:r>
      <w:hyperlink w:anchor="erbguthb" w:history="1">
        <w:r w:rsidR="00CD1179">
          <w:rPr>
            <w:rStyle w:val="Hyperlink"/>
            <w:lang w:val="en-GB"/>
          </w:rPr>
          <w:t>b</w:t>
        </w:r>
        <w:r w:rsidR="00CD1179">
          <w:rPr>
            <w:rStyle w:val="Hyperlink"/>
            <w:lang w:val="en-GB"/>
          </w:rPr>
          <w:noBreakHyphen/>
        </w:r>
        <w:proofErr w:type="spellStart"/>
        <w:r w:rsidRPr="007A3793">
          <w:rPr>
            <w:rStyle w:val="Hyperlink"/>
            <w:lang w:val="en-GB"/>
          </w:rPr>
          <w:t>Erbguth</w:t>
        </w:r>
        <w:proofErr w:type="spellEnd"/>
        <w:r w:rsidR="001122ED">
          <w:rPr>
            <w:rStyle w:val="Hyperlink"/>
            <w:lang w:val="en-GB"/>
          </w:rPr>
          <w:noBreakHyphen/>
        </w:r>
        <w:r w:rsidRPr="007A3793">
          <w:rPr>
            <w:rStyle w:val="Hyperlink"/>
            <w:lang w:val="en-GB"/>
          </w:rPr>
          <w:t>b</w:t>
        </w:r>
      </w:hyperlink>
      <w:r w:rsidRPr="007A3793">
        <w:rPr>
          <w:lang w:val="en-GB"/>
        </w:rPr>
        <w:t>]</w:t>
      </w:r>
      <w:r w:rsidRPr="00CD1179">
        <w:t>.</w:t>
      </w:r>
    </w:p>
    <w:p w14:paraId="71C92A96" w14:textId="77777777" w:rsidR="006C7B06" w:rsidRPr="007A3793" w:rsidRDefault="006C7B06" w:rsidP="00CD1179">
      <w:pPr>
        <w:rPr>
          <w:lang w:val="en-GB"/>
        </w:rPr>
      </w:pPr>
      <w:r w:rsidRPr="007A3793">
        <w:rPr>
          <w:lang w:val="en-GB"/>
        </w:rPr>
        <w:t>Encrypting information on-chain is not usually recommended. Since the information is immutable, this encryption equals access control with a password that cannot be changed.</w:t>
      </w:r>
    </w:p>
    <w:p w14:paraId="18BFA9C2" w14:textId="77777777" w:rsidR="007A3793" w:rsidRPr="007A3793" w:rsidRDefault="006C7B06" w:rsidP="00CD1179">
      <w:pPr>
        <w:rPr>
          <w:lang w:val="en-GB"/>
        </w:rPr>
      </w:pPr>
      <w:r w:rsidRPr="007A3793">
        <w:rPr>
          <w:lang w:val="en-GB"/>
        </w:rPr>
        <w:t>While DLTs show less flexibility in managing transparency and privacy, they also protect privacy as well as transparency against attacks from insiders and when firewalls are breached. Privacy-enhancing technology allows the uniform validation of information that is stored in different places under different access regimes. This strengthens privacy and transparency. At the same time, DLTs, as any emerging technology, are often subjected to a certain degree of distrust and doubt and their benefits and risks are not properly addressed. Adequate regulations can create incentives for innovation, which could foster superior privacy and transparency.</w:t>
      </w:r>
    </w:p>
    <w:p w14:paraId="71C92A98" w14:textId="12930B11" w:rsidR="000355E1" w:rsidRPr="00CD1179" w:rsidRDefault="000355E1" w:rsidP="00CD1179"/>
    <w:p w14:paraId="0E1AAD25" w14:textId="77777777" w:rsidR="00CD1179" w:rsidRPr="00CD1179" w:rsidRDefault="00CD1179" w:rsidP="00CD1179">
      <w:bookmarkStart w:id="164" w:name="_Toc16169613"/>
      <w:bookmarkStart w:id="165" w:name="_Toc16169719"/>
      <w:bookmarkStart w:id="166" w:name="_Toc16169892"/>
      <w:bookmarkStart w:id="167" w:name="_Toc16169940"/>
      <w:bookmarkStart w:id="168" w:name="_Toc16170325"/>
      <w:bookmarkStart w:id="169" w:name="_Toc16170379"/>
      <w:bookmarkStart w:id="170" w:name="_Toc16239062"/>
      <w:bookmarkStart w:id="171" w:name="_Toc16243234"/>
      <w:bookmarkStart w:id="172" w:name="_Toc16243520"/>
      <w:bookmarkStart w:id="173" w:name="_Toc535938819"/>
      <w:bookmarkStart w:id="174" w:name="_Toc535939327"/>
      <w:bookmarkStart w:id="175" w:name="_Toc14188485"/>
      <w:bookmarkStart w:id="176" w:name="_Toc16243521"/>
      <w:bookmarkStart w:id="177" w:name="_Toc23447209"/>
      <w:bookmarkEnd w:id="164"/>
      <w:bookmarkEnd w:id="165"/>
      <w:bookmarkEnd w:id="166"/>
      <w:bookmarkEnd w:id="167"/>
      <w:bookmarkEnd w:id="168"/>
      <w:bookmarkEnd w:id="169"/>
      <w:bookmarkEnd w:id="170"/>
      <w:bookmarkEnd w:id="171"/>
      <w:bookmarkEnd w:id="172"/>
      <w:bookmarkEnd w:id="173"/>
      <w:bookmarkEnd w:id="174"/>
      <w:r w:rsidRPr="00CD1179">
        <w:br w:type="page"/>
      </w:r>
    </w:p>
    <w:p w14:paraId="71C92A99" w14:textId="5C5CA7D4" w:rsidR="006C7B06" w:rsidRPr="007A3793" w:rsidRDefault="003F262F" w:rsidP="000355E1">
      <w:pPr>
        <w:pStyle w:val="Heading1"/>
        <w:rPr>
          <w:lang w:bidi="en-GB"/>
        </w:rPr>
      </w:pPr>
      <w:bookmarkStart w:id="178" w:name="_Toc23767549"/>
      <w:bookmarkEnd w:id="175"/>
      <w:bookmarkEnd w:id="176"/>
      <w:bookmarkEnd w:id="177"/>
      <w:r>
        <w:rPr>
          <w:lang w:bidi="en-GB"/>
        </w:rPr>
        <w:lastRenderedPageBreak/>
        <w:t>Conclusion</w:t>
      </w:r>
      <w:bookmarkEnd w:id="178"/>
    </w:p>
    <w:p w14:paraId="71C92A9A" w14:textId="13ABEE9F" w:rsidR="006C7B06" w:rsidRPr="007A3793" w:rsidRDefault="006C7B06" w:rsidP="00CD1179">
      <w:pPr>
        <w:rPr>
          <w:lang w:val="en-GB"/>
        </w:rPr>
      </w:pPr>
      <w:r w:rsidRPr="007A3793">
        <w:rPr>
          <w:lang w:val="en-GB"/>
        </w:rPr>
        <w:t>Both DLT-related opportunities and challenges, including legislative and regulatory issues, stem from the same source and result from the same characteristic of DLT properties. DLT is just a tool which is intrinsically neutral</w:t>
      </w:r>
      <w:r w:rsidR="00326F10">
        <w:rPr>
          <w:lang w:val="en-GB"/>
        </w:rPr>
        <w:t>,</w:t>
      </w:r>
      <w:r w:rsidRPr="007A3793">
        <w:rPr>
          <w:lang w:val="en-GB"/>
        </w:rPr>
        <w:t xml:space="preserve"> but it can be used both for good and illicit activities and the key issue is to find proper ecological niches for this technology.</w:t>
      </w:r>
    </w:p>
    <w:p w14:paraId="71C92A9B" w14:textId="77777777" w:rsidR="006C7B06" w:rsidRPr="007A3793" w:rsidRDefault="006C7B06" w:rsidP="00CD1179">
      <w:pPr>
        <w:rPr>
          <w:lang w:val="en-GB"/>
        </w:rPr>
      </w:pPr>
      <w:r w:rsidRPr="007A3793">
        <w:rPr>
          <w:lang w:val="en-GB"/>
        </w:rPr>
        <w:t xml:space="preserve">The process of adapting legislation and regulations to the specific features of DLT solutions is already ongoing in many countries and it seems that nothing disruptive is required for this. First and foremost, the legislators establish the validity of transactions underpinned by DLT, such as smart contracts, cannot be denied solely because DLT was involved (the legal acceptance of digital signatures started this way as well). When traditional regulatory approaches do not work (for example, due to the absence of an official owner or controller of a solution), the legislators and regulators shift the responsibility to the persons they can apprehend thereby placing it, for example, on the end users. At the same time, the developers of DLT solutions will have to </w:t>
      </w:r>
      <w:proofErr w:type="gramStart"/>
      <w:r w:rsidRPr="007A3793">
        <w:rPr>
          <w:lang w:val="en-GB"/>
        </w:rPr>
        <w:t>take into account</w:t>
      </w:r>
      <w:proofErr w:type="gramEnd"/>
      <w:r w:rsidRPr="007A3793">
        <w:rPr>
          <w:lang w:val="en-GB"/>
        </w:rPr>
        <w:t xml:space="preserve"> the requirements of modern legislation in order to avoid being banned. As a result, it will be a mutual movement towards each other; by legislators and regulators on the one hand and system developers on the other.</w:t>
      </w:r>
    </w:p>
    <w:p w14:paraId="71C92A9C" w14:textId="77777777" w:rsidR="006C7B06" w:rsidRPr="007A3793" w:rsidRDefault="006C7B06" w:rsidP="00CD1179">
      <w:pPr>
        <w:rPr>
          <w:lang w:val="en-GB"/>
        </w:rPr>
      </w:pPr>
      <w:r w:rsidRPr="007A3793">
        <w:rPr>
          <w:lang w:val="en-GB"/>
        </w:rPr>
        <w:t>The future of DLT is in seamless integration with already existing socio-political and legal systems rather than in confrontation with governments and their control. This future can be ensured by finding and filling the niches where distributed solutions and models are natural and superior to traditional solutions such as in the Internet of Things (IoT). This future includes hybrid solutions including DLT blocks being used as components of wider centralized solutions and systems.</w:t>
      </w:r>
    </w:p>
    <w:p w14:paraId="32527F03" w14:textId="6C2EDD4E" w:rsidR="007A3793" w:rsidRPr="007A3793" w:rsidRDefault="006C7B06" w:rsidP="00CD1179">
      <w:pPr>
        <w:rPr>
          <w:lang w:val="en-GB"/>
        </w:rPr>
      </w:pPr>
      <w:r w:rsidRPr="007A3793">
        <w:rPr>
          <w:lang w:val="en-GB"/>
        </w:rPr>
        <w:t xml:space="preserve">It is not always clear how to resolve the contradiction between the immutability of the distributed ledgers and the requirements of legislation (not only privacy protection legislation which became a common bogeyman but also </w:t>
      </w:r>
      <w:r w:rsidR="001122ED">
        <w:rPr>
          <w:lang w:val="en-GB"/>
        </w:rPr>
        <w:t>"</w:t>
      </w:r>
      <w:r w:rsidRPr="007A3793">
        <w:rPr>
          <w:lang w:val="en-GB"/>
        </w:rPr>
        <w:t>ordinary</w:t>
      </w:r>
      <w:r w:rsidR="001122ED">
        <w:rPr>
          <w:lang w:val="en-GB"/>
        </w:rPr>
        <w:t>"</w:t>
      </w:r>
      <w:r w:rsidRPr="007A3793">
        <w:rPr>
          <w:lang w:val="en-GB"/>
        </w:rPr>
        <w:t xml:space="preserve"> commercial law). For example, data retention and legal discovery process may require changes.</w:t>
      </w:r>
    </w:p>
    <w:p w14:paraId="71C92A9E" w14:textId="049FF42E" w:rsidR="006C7B06" w:rsidRPr="007A3793" w:rsidRDefault="006C7B06" w:rsidP="00CD1179">
      <w:pPr>
        <w:rPr>
          <w:lang w:val="en-GB"/>
        </w:rPr>
      </w:pPr>
      <w:r w:rsidRPr="007A3793">
        <w:rPr>
          <w:lang w:val="en-GB"/>
        </w:rPr>
        <w:t xml:space="preserve">Potentially, the scope of the application of DLT solutions can include areas where cooperation between </w:t>
      </w:r>
      <w:proofErr w:type="gramStart"/>
      <w:r w:rsidRPr="007A3793">
        <w:rPr>
          <w:lang w:val="en-GB"/>
        </w:rPr>
        <w:t>a number of</w:t>
      </w:r>
      <w:proofErr w:type="gramEnd"/>
      <w:r w:rsidRPr="007A3793">
        <w:rPr>
          <w:lang w:val="en-GB"/>
        </w:rPr>
        <w:t xml:space="preserve"> </w:t>
      </w:r>
      <w:r w:rsidR="001122ED">
        <w:rPr>
          <w:lang w:val="en-GB"/>
        </w:rPr>
        <w:t>"</w:t>
      </w:r>
      <w:r w:rsidRPr="007A3793">
        <w:rPr>
          <w:lang w:val="en-GB"/>
        </w:rPr>
        <w:t>unfriendly</w:t>
      </w:r>
      <w:r w:rsidR="001122ED">
        <w:rPr>
          <w:lang w:val="en-GB"/>
        </w:rPr>
        <w:t>"</w:t>
      </w:r>
      <w:r w:rsidRPr="007A3793">
        <w:rPr>
          <w:lang w:val="en-GB"/>
        </w:rPr>
        <w:t xml:space="preserve"> countries or organizations is, however, mutually beneficial for them. These parties may be hostile to each other or unwilling to publicly sacrifice even a tiniest part of their sovereignty so they cannot engage with each other through traditional channels. They can, however, accept a solution that does not have an obvious owner and allows each side to </w:t>
      </w:r>
      <w:r w:rsidR="001122ED">
        <w:rPr>
          <w:lang w:val="en-GB"/>
        </w:rPr>
        <w:t>"</w:t>
      </w:r>
      <w:r w:rsidRPr="007A3793">
        <w:rPr>
          <w:lang w:val="en-GB"/>
        </w:rPr>
        <w:t>save its face</w:t>
      </w:r>
      <w:r w:rsidR="001122ED">
        <w:rPr>
          <w:lang w:val="en-GB"/>
        </w:rPr>
        <w:t>"</w:t>
      </w:r>
      <w:r w:rsidRPr="007A3793">
        <w:rPr>
          <w:lang w:val="en-GB"/>
        </w:rPr>
        <w:t>.</w:t>
      </w:r>
      <w:bookmarkStart w:id="179" w:name="_Toc14188486"/>
    </w:p>
    <w:p w14:paraId="71C92A9F" w14:textId="0786C03A" w:rsidR="006C7B06" w:rsidRPr="007A3793" w:rsidRDefault="006C7B06" w:rsidP="00CD1179">
      <w:pPr>
        <w:rPr>
          <w:lang w:val="en-GB" w:bidi="hi-IN"/>
        </w:rPr>
      </w:pPr>
    </w:p>
    <w:p w14:paraId="45DB430B" w14:textId="77777777" w:rsidR="00CD1179" w:rsidRPr="00CD1179" w:rsidRDefault="00CD1179" w:rsidP="00CD1179">
      <w:bookmarkStart w:id="180" w:name="_Toc11405601"/>
      <w:bookmarkStart w:id="181" w:name="_Toc11405602"/>
      <w:bookmarkStart w:id="182" w:name="_Toc11405603"/>
      <w:bookmarkStart w:id="183" w:name="_Toc11405604"/>
      <w:bookmarkStart w:id="184" w:name="_Toc11405605"/>
      <w:bookmarkStart w:id="185" w:name="_Toc11405606"/>
      <w:bookmarkStart w:id="186" w:name="_Toc11405607"/>
      <w:bookmarkStart w:id="187" w:name="_Toc11405608"/>
      <w:bookmarkStart w:id="188" w:name="_Toc11405609"/>
      <w:bookmarkStart w:id="189" w:name="_Toc11405611"/>
      <w:bookmarkStart w:id="190" w:name="_Toc11405612"/>
      <w:bookmarkStart w:id="191" w:name="_Toc11405613"/>
      <w:bookmarkStart w:id="192" w:name="_Toc11405614"/>
      <w:bookmarkStart w:id="193" w:name="_Toc11405615"/>
      <w:bookmarkStart w:id="194" w:name="_Toc11405616"/>
      <w:bookmarkStart w:id="195" w:name="_Toc11405617"/>
      <w:bookmarkStart w:id="196" w:name="_Toc11405618"/>
      <w:bookmarkStart w:id="197" w:name="_Toc11405620"/>
      <w:bookmarkStart w:id="198" w:name="_Toc11405621"/>
      <w:bookmarkStart w:id="199" w:name="_Toc11405622"/>
      <w:bookmarkStart w:id="200" w:name="_Toc11405623"/>
      <w:bookmarkStart w:id="201" w:name="_Toc11405624"/>
      <w:bookmarkStart w:id="202" w:name="_Toc11405625"/>
      <w:bookmarkStart w:id="203" w:name="_Toc11405626"/>
      <w:bookmarkStart w:id="204" w:name="_Toc11405627"/>
      <w:bookmarkStart w:id="205" w:name="_Toc14188516"/>
      <w:bookmarkStart w:id="206" w:name="_Toc16243522"/>
      <w:bookmarkStart w:id="207" w:name="_Toc23447210"/>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br w:type="page"/>
      </w:r>
    </w:p>
    <w:p w14:paraId="71C92AA0" w14:textId="578935A1" w:rsidR="006C7B06" w:rsidRDefault="006C7B06" w:rsidP="007A3793">
      <w:pPr>
        <w:pStyle w:val="AppendixNotitle"/>
      </w:pPr>
      <w:bookmarkStart w:id="208" w:name="_Toc23767550"/>
      <w:r w:rsidRPr="007A3793">
        <w:lastRenderedPageBreak/>
        <w:t>Bibliography</w:t>
      </w:r>
      <w:bookmarkEnd w:id="205"/>
      <w:bookmarkEnd w:id="206"/>
      <w:bookmarkEnd w:id="207"/>
      <w:bookmarkEnd w:id="208"/>
    </w:p>
    <w:p w14:paraId="344D9C44" w14:textId="77777777" w:rsidR="007A3793" w:rsidRPr="007A3793" w:rsidRDefault="007A3793" w:rsidP="007A3793">
      <w:pPr>
        <w:rPr>
          <w:lang w:val="en-GB" w:eastAsia="en-US"/>
        </w:rPr>
      </w:pPr>
    </w:p>
    <w:tbl>
      <w:tblPr>
        <w:tblW w:w="9875" w:type="dxa"/>
        <w:tblLayout w:type="fixed"/>
        <w:tblLook w:val="04A0" w:firstRow="1" w:lastRow="0" w:firstColumn="1" w:lastColumn="0" w:noHBand="0" w:noVBand="1"/>
      </w:tblPr>
      <w:tblGrid>
        <w:gridCol w:w="2410"/>
        <w:gridCol w:w="7465"/>
      </w:tblGrid>
      <w:tr w:rsidR="006C7B06" w:rsidRPr="007A3793" w14:paraId="71C92AA3" w14:textId="77777777" w:rsidTr="00325CA1">
        <w:tc>
          <w:tcPr>
            <w:tcW w:w="2410" w:type="dxa"/>
          </w:tcPr>
          <w:p w14:paraId="71C92AA1" w14:textId="0AFEDF2C" w:rsidR="006C7B06" w:rsidRPr="007A3793" w:rsidRDefault="006C7B06" w:rsidP="000B207E">
            <w:pPr>
              <w:spacing w:before="0" w:after="240"/>
              <w:rPr>
                <w:lang w:val="en-GB"/>
              </w:rPr>
            </w:pPr>
            <w:r w:rsidRPr="007A3793">
              <w:rPr>
                <w:lang w:val="en-GB"/>
              </w:rPr>
              <w:t>[</w:t>
            </w:r>
            <w:bookmarkStart w:id="209" w:name="alastria"/>
            <w:r w:rsidR="00CD1179">
              <w:rPr>
                <w:lang w:val="en-GB"/>
              </w:rPr>
              <w:t>b</w:t>
            </w:r>
            <w:r w:rsidR="00CD1179">
              <w:rPr>
                <w:lang w:val="en-GB"/>
              </w:rPr>
              <w:noBreakHyphen/>
            </w:r>
            <w:proofErr w:type="spellStart"/>
            <w:r w:rsidRPr="007A3793">
              <w:rPr>
                <w:lang w:val="en-GB"/>
              </w:rPr>
              <w:t>Alastria</w:t>
            </w:r>
            <w:bookmarkEnd w:id="209"/>
            <w:proofErr w:type="spellEnd"/>
            <w:r w:rsidRPr="007A3793">
              <w:rPr>
                <w:lang w:val="en-GB"/>
              </w:rPr>
              <w:t>]</w:t>
            </w:r>
          </w:p>
        </w:tc>
        <w:tc>
          <w:tcPr>
            <w:tcW w:w="7465" w:type="dxa"/>
          </w:tcPr>
          <w:p w14:paraId="71C92AA2" w14:textId="77ACE5AD" w:rsidR="006C7B06" w:rsidRPr="007A3793" w:rsidRDefault="006C7B06" w:rsidP="007A3793">
            <w:pPr>
              <w:spacing w:before="0" w:after="240"/>
              <w:rPr>
                <w:lang w:val="en-GB"/>
              </w:rPr>
            </w:pPr>
            <w:proofErr w:type="spellStart"/>
            <w:r w:rsidRPr="007A3793">
              <w:rPr>
                <w:lang w:val="en-GB"/>
              </w:rPr>
              <w:t>Alastria</w:t>
            </w:r>
            <w:proofErr w:type="spellEnd"/>
            <w:r w:rsidRPr="007A3793">
              <w:rPr>
                <w:lang w:val="en-GB"/>
              </w:rPr>
              <w:t xml:space="preserve"> (2019). </w:t>
            </w:r>
            <w:r w:rsidRPr="007A3793">
              <w:rPr>
                <w:i/>
                <w:lang w:val="en-GB"/>
              </w:rPr>
              <w:t xml:space="preserve">Inter-National Blockchain Ecosystem. </w:t>
            </w:r>
            <w:r w:rsidRPr="007A3793">
              <w:rPr>
                <w:lang w:val="en-GB"/>
              </w:rPr>
              <w:t xml:space="preserve">Available at: </w:t>
            </w:r>
            <w:hyperlink r:id="rId22" w:history="1">
              <w:r w:rsidR="008B6ABA">
                <w:rPr>
                  <w:rStyle w:val="Hyperlink"/>
                  <w:rFonts w:ascii="Arial" w:hAnsi="Arial" w:cs="Arial"/>
                  <w:sz w:val="18"/>
                  <w:szCs w:val="18"/>
                  <w:lang w:val="en-GB"/>
                </w:rPr>
                <w:t>www.paymentpathways.com/wp-content/uploads/2019/01/2019JAN15-Alastria-ITU-Presentation-Rio-de-Janiero.pptx</w:t>
              </w:r>
            </w:hyperlink>
            <w:r w:rsidRPr="007A3793">
              <w:rPr>
                <w:lang w:val="en-GB"/>
              </w:rPr>
              <w:t xml:space="preserve"> </w:t>
            </w:r>
          </w:p>
        </w:tc>
      </w:tr>
      <w:tr w:rsidR="006C7B06" w:rsidRPr="007A3793" w14:paraId="71C92AA6" w14:textId="77777777" w:rsidTr="00325CA1">
        <w:tc>
          <w:tcPr>
            <w:tcW w:w="2410" w:type="dxa"/>
          </w:tcPr>
          <w:p w14:paraId="71C92AA4" w14:textId="207D82FB" w:rsidR="006C7B06" w:rsidRPr="007A3793" w:rsidRDefault="006C7B06" w:rsidP="000B207E">
            <w:pPr>
              <w:spacing w:before="0" w:after="240"/>
              <w:rPr>
                <w:lang w:val="en-GB"/>
              </w:rPr>
            </w:pPr>
            <w:r w:rsidRPr="007A3793">
              <w:rPr>
                <w:lang w:val="en-GB"/>
              </w:rPr>
              <w:t>[</w:t>
            </w:r>
            <w:bookmarkStart w:id="210" w:name="anderson"/>
            <w:r w:rsidR="00CD1179">
              <w:rPr>
                <w:lang w:val="en-GB"/>
              </w:rPr>
              <w:t>b</w:t>
            </w:r>
            <w:r w:rsidR="00CD1179">
              <w:rPr>
                <w:lang w:val="en-GB"/>
              </w:rPr>
              <w:noBreakHyphen/>
            </w:r>
            <w:r w:rsidRPr="007A3793">
              <w:rPr>
                <w:lang w:val="en-GB"/>
              </w:rPr>
              <w:t>Anderson</w:t>
            </w:r>
            <w:bookmarkEnd w:id="210"/>
            <w:r w:rsidRPr="007A3793">
              <w:rPr>
                <w:lang w:val="en-GB"/>
              </w:rPr>
              <w:t>]</w:t>
            </w:r>
          </w:p>
        </w:tc>
        <w:tc>
          <w:tcPr>
            <w:tcW w:w="7465" w:type="dxa"/>
          </w:tcPr>
          <w:p w14:paraId="71C92AA5" w14:textId="0ECF0EFE" w:rsidR="006C7B06" w:rsidRPr="007A3793" w:rsidRDefault="006C7B06" w:rsidP="007A3793">
            <w:pPr>
              <w:spacing w:before="0" w:after="240"/>
              <w:rPr>
                <w:lang w:val="en-GB"/>
              </w:rPr>
            </w:pPr>
            <w:r w:rsidRPr="007A3793">
              <w:rPr>
                <w:lang w:val="en-GB"/>
              </w:rPr>
              <w:t xml:space="preserve">Anderson, R., </w:t>
            </w:r>
            <w:proofErr w:type="spellStart"/>
            <w:r w:rsidRPr="007A3793">
              <w:rPr>
                <w:lang w:val="en-GB"/>
              </w:rPr>
              <w:t>Shumailov</w:t>
            </w:r>
            <w:proofErr w:type="spellEnd"/>
            <w:r w:rsidRPr="007A3793">
              <w:rPr>
                <w:lang w:val="en-GB"/>
              </w:rPr>
              <w:t xml:space="preserve">, I. &amp; Ahmed, M. (2018). </w:t>
            </w:r>
            <w:r w:rsidRPr="007A3793">
              <w:rPr>
                <w:i/>
                <w:lang w:val="en-GB"/>
              </w:rPr>
              <w:t>Making Bitcoin Legal</w:t>
            </w:r>
            <w:r w:rsidRPr="007A3793">
              <w:rPr>
                <w:lang w:val="en-GB"/>
              </w:rPr>
              <w:t xml:space="preserve">, 26th International Workshop, Cambridge, UK, Revised Selected Papers. 10.1007/978-3-030-03251-7_29. Available at: </w:t>
            </w:r>
            <w:hyperlink r:id="rId23" w:history="1">
              <w:r w:rsidR="008B6ABA">
                <w:rPr>
                  <w:rStyle w:val="Hyperlink"/>
                  <w:rFonts w:ascii="Arial" w:hAnsi="Arial" w:cs="Arial"/>
                  <w:sz w:val="18"/>
                  <w:szCs w:val="18"/>
                  <w:lang w:val="en-GB"/>
                </w:rPr>
                <w:t>https://www.researchgate.net/publication/329147152_Making_Bitcoin_Legal_26th_International_Workshop_Cambridge_UK_March_19-21_2018_Revised_Selected_Papers</w:t>
              </w:r>
            </w:hyperlink>
            <w:r w:rsidRPr="007A3793">
              <w:rPr>
                <w:lang w:val="en-GB"/>
              </w:rPr>
              <w:t xml:space="preserve"> </w:t>
            </w:r>
          </w:p>
        </w:tc>
      </w:tr>
      <w:tr w:rsidR="006C7B06" w:rsidRPr="007A3793" w14:paraId="71C92AA9" w14:textId="77777777" w:rsidTr="00325CA1">
        <w:tc>
          <w:tcPr>
            <w:tcW w:w="2410" w:type="dxa"/>
          </w:tcPr>
          <w:p w14:paraId="71C92AA7" w14:textId="12C5A44A" w:rsidR="006C7B06" w:rsidRPr="007A3793" w:rsidRDefault="006C7B06" w:rsidP="000B207E">
            <w:pPr>
              <w:spacing w:before="0" w:after="240"/>
              <w:rPr>
                <w:lang w:val="en-GB"/>
              </w:rPr>
            </w:pPr>
            <w:r w:rsidRPr="007A3793">
              <w:rPr>
                <w:lang w:val="en-GB"/>
              </w:rPr>
              <w:t>[</w:t>
            </w:r>
            <w:bookmarkStart w:id="211" w:name="armstrong"/>
            <w:r w:rsidR="00CD1179">
              <w:rPr>
                <w:lang w:val="en-GB"/>
              </w:rPr>
              <w:t>b</w:t>
            </w:r>
            <w:r w:rsidR="00CD1179">
              <w:rPr>
                <w:lang w:val="en-GB"/>
              </w:rPr>
              <w:noBreakHyphen/>
            </w:r>
            <w:r w:rsidRPr="007A3793">
              <w:rPr>
                <w:lang w:val="en-GB"/>
              </w:rPr>
              <w:t>Armstrong</w:t>
            </w:r>
            <w:bookmarkEnd w:id="211"/>
            <w:r w:rsidRPr="007A3793">
              <w:rPr>
                <w:lang w:val="en-GB"/>
              </w:rPr>
              <w:t>]</w:t>
            </w:r>
          </w:p>
        </w:tc>
        <w:tc>
          <w:tcPr>
            <w:tcW w:w="7465" w:type="dxa"/>
          </w:tcPr>
          <w:p w14:paraId="71C92AA8" w14:textId="173BF759" w:rsidR="006C7B06" w:rsidRPr="007A3793" w:rsidRDefault="006C7B06" w:rsidP="007A3793">
            <w:pPr>
              <w:spacing w:before="0" w:after="240"/>
              <w:rPr>
                <w:lang w:val="en-GB"/>
              </w:rPr>
            </w:pPr>
            <w:r w:rsidRPr="007A3793">
              <w:rPr>
                <w:lang w:val="en-GB"/>
              </w:rPr>
              <w:t xml:space="preserve">Armstrong, J. (2018). </w:t>
            </w:r>
            <w:r w:rsidRPr="007A3793">
              <w:rPr>
                <w:i/>
                <w:lang w:val="en-GB"/>
              </w:rPr>
              <w:t>Blockchain Technology: Antitrust Risks and Safeguards</w:t>
            </w:r>
            <w:r w:rsidRPr="007A3793">
              <w:rPr>
                <w:lang w:val="en-GB"/>
              </w:rPr>
              <w:t xml:space="preserve">. Available at: </w:t>
            </w:r>
            <w:hyperlink r:id="rId24" w:history="1">
              <w:r w:rsidR="008B6ABA">
                <w:rPr>
                  <w:rStyle w:val="Hyperlink"/>
                  <w:rFonts w:ascii="Arial" w:hAnsi="Arial" w:cs="Arial"/>
                  <w:sz w:val="18"/>
                  <w:szCs w:val="18"/>
                  <w:lang w:val="en-GB"/>
                </w:rPr>
                <w:t>https://mcdonaldhopkins.com/wapi/Pdf/View?url=https://mcdonaldhopkins.com/Insights/Blog/Business-Insights/2018/09/19/Blockchain-technology-Antitrust-risks-and-safeguards</w:t>
              </w:r>
            </w:hyperlink>
            <w:r w:rsidRPr="007A3793">
              <w:rPr>
                <w:lang w:val="en-GB"/>
              </w:rPr>
              <w:t xml:space="preserve"> </w:t>
            </w:r>
          </w:p>
        </w:tc>
      </w:tr>
      <w:tr w:rsidR="006C7B06" w:rsidRPr="007A3793" w14:paraId="71C92AAC" w14:textId="77777777" w:rsidTr="00325CA1">
        <w:tc>
          <w:tcPr>
            <w:tcW w:w="2410" w:type="dxa"/>
          </w:tcPr>
          <w:p w14:paraId="71C92AAA" w14:textId="08FEB415" w:rsidR="006C7B06" w:rsidRPr="007A3793" w:rsidRDefault="006C7B06" w:rsidP="000B207E">
            <w:pPr>
              <w:spacing w:before="0" w:after="240"/>
              <w:rPr>
                <w:lang w:val="en-GB"/>
              </w:rPr>
            </w:pPr>
            <w:r w:rsidRPr="007A3793">
              <w:rPr>
                <w:lang w:val="en-GB"/>
              </w:rPr>
              <w:t>[</w:t>
            </w:r>
            <w:bookmarkStart w:id="212" w:name="art29wp"/>
            <w:r w:rsidR="00CD1179">
              <w:rPr>
                <w:lang w:val="en-GB"/>
              </w:rPr>
              <w:t>b</w:t>
            </w:r>
            <w:r w:rsidR="00CD1179">
              <w:rPr>
                <w:lang w:val="en-GB"/>
              </w:rPr>
              <w:noBreakHyphen/>
            </w:r>
            <w:r w:rsidRPr="007A3793">
              <w:rPr>
                <w:lang w:val="en-GB"/>
              </w:rPr>
              <w:t>Art. 29 WP</w:t>
            </w:r>
            <w:bookmarkEnd w:id="212"/>
            <w:r w:rsidRPr="007A3793">
              <w:rPr>
                <w:lang w:val="en-GB"/>
              </w:rPr>
              <w:t xml:space="preserve">] </w:t>
            </w:r>
          </w:p>
        </w:tc>
        <w:tc>
          <w:tcPr>
            <w:tcW w:w="7465" w:type="dxa"/>
          </w:tcPr>
          <w:p w14:paraId="71C92AAB" w14:textId="69FDD8C9" w:rsidR="006C7B06" w:rsidRPr="007A3793" w:rsidRDefault="006C7B06" w:rsidP="007A3793">
            <w:pPr>
              <w:spacing w:before="0" w:after="240"/>
              <w:rPr>
                <w:lang w:val="en-GB"/>
              </w:rPr>
            </w:pPr>
            <w:r w:rsidRPr="007A3793">
              <w:rPr>
                <w:lang w:val="en-GB"/>
              </w:rPr>
              <w:t xml:space="preserve">Article 29 Working Party (2014). </w:t>
            </w:r>
            <w:r w:rsidRPr="007A3793">
              <w:rPr>
                <w:i/>
                <w:lang w:val="en-GB"/>
              </w:rPr>
              <w:t>Opinion 05/2014 on Anonymization Techniques</w:t>
            </w:r>
            <w:r w:rsidRPr="007A3793">
              <w:rPr>
                <w:lang w:val="en-GB"/>
              </w:rPr>
              <w:t xml:space="preserve"> 0829/14/EN WP 216. Available at: </w:t>
            </w:r>
            <w:hyperlink r:id="rId25" w:history="1">
              <w:r w:rsidR="008B6ABA">
                <w:rPr>
                  <w:rStyle w:val="Hyperlink"/>
                  <w:rFonts w:ascii="Arial" w:hAnsi="Arial" w:cs="Arial"/>
                  <w:sz w:val="18"/>
                  <w:szCs w:val="18"/>
                  <w:lang w:val="en-GB"/>
                </w:rPr>
                <w:t>https://www.pdpjournals.com/docs/88197.pdf</w:t>
              </w:r>
            </w:hyperlink>
            <w:r w:rsidRPr="007A3793">
              <w:rPr>
                <w:lang w:val="en-GB"/>
              </w:rPr>
              <w:t xml:space="preserve"> </w:t>
            </w:r>
          </w:p>
        </w:tc>
      </w:tr>
      <w:tr w:rsidR="006C7B06" w:rsidRPr="007A3793" w14:paraId="71C92AAF" w14:textId="77777777" w:rsidTr="00325CA1">
        <w:tc>
          <w:tcPr>
            <w:tcW w:w="2410" w:type="dxa"/>
          </w:tcPr>
          <w:p w14:paraId="71C92AAD" w14:textId="79C0C4B5" w:rsidR="006C7B06" w:rsidRPr="007A3793" w:rsidRDefault="006C7B06" w:rsidP="000B207E">
            <w:pPr>
              <w:spacing w:before="0" w:after="240"/>
              <w:rPr>
                <w:lang w:val="en-GB"/>
              </w:rPr>
            </w:pPr>
            <w:r w:rsidRPr="007A3793">
              <w:rPr>
                <w:lang w:val="en-GB"/>
              </w:rPr>
              <w:t>[</w:t>
            </w:r>
            <w:bookmarkStart w:id="213" w:name="auer"/>
            <w:r w:rsidR="00CD1179">
              <w:rPr>
                <w:lang w:val="en-GB"/>
              </w:rPr>
              <w:t>b</w:t>
            </w:r>
            <w:r w:rsidR="00CD1179">
              <w:rPr>
                <w:lang w:val="en-GB"/>
              </w:rPr>
              <w:noBreakHyphen/>
            </w:r>
            <w:r w:rsidRPr="007A3793">
              <w:rPr>
                <w:lang w:val="en-GB"/>
              </w:rPr>
              <w:t>Auer</w:t>
            </w:r>
            <w:bookmarkEnd w:id="213"/>
            <w:r w:rsidRPr="007A3793">
              <w:rPr>
                <w:lang w:val="en-GB"/>
              </w:rPr>
              <w:t>]</w:t>
            </w:r>
          </w:p>
        </w:tc>
        <w:tc>
          <w:tcPr>
            <w:tcW w:w="7465" w:type="dxa"/>
          </w:tcPr>
          <w:p w14:paraId="71C92AAE" w14:textId="32BE74EB" w:rsidR="006C7B06" w:rsidRPr="007A3793" w:rsidRDefault="006C7B06" w:rsidP="007A3793">
            <w:pPr>
              <w:spacing w:before="0" w:after="240"/>
              <w:rPr>
                <w:lang w:val="en-GB"/>
              </w:rPr>
            </w:pPr>
            <w:r w:rsidRPr="007A3793">
              <w:rPr>
                <w:lang w:val="en-GB"/>
              </w:rPr>
              <w:t xml:space="preserve">Auer, R. (2019). </w:t>
            </w:r>
            <w:r w:rsidRPr="007A3793">
              <w:rPr>
                <w:i/>
                <w:lang w:val="en-GB"/>
              </w:rPr>
              <w:t xml:space="preserve">Beyond </w:t>
            </w:r>
            <w:proofErr w:type="gramStart"/>
            <w:r w:rsidRPr="007A3793">
              <w:rPr>
                <w:i/>
                <w:lang w:val="en-GB"/>
              </w:rPr>
              <w:t>The</w:t>
            </w:r>
            <w:proofErr w:type="gramEnd"/>
            <w:r w:rsidRPr="007A3793">
              <w:rPr>
                <w:i/>
                <w:lang w:val="en-GB"/>
              </w:rPr>
              <w:t xml:space="preserve"> Doomsday Economics of </w:t>
            </w:r>
            <w:r w:rsidR="001122ED">
              <w:rPr>
                <w:i/>
                <w:lang w:val="en-GB"/>
              </w:rPr>
              <w:t>"</w:t>
            </w:r>
            <w:r w:rsidRPr="007A3793">
              <w:rPr>
                <w:i/>
                <w:lang w:val="en-GB"/>
              </w:rPr>
              <w:t>Proof-Of-Work</w:t>
            </w:r>
            <w:r w:rsidR="001122ED">
              <w:rPr>
                <w:i/>
                <w:lang w:val="en-GB"/>
              </w:rPr>
              <w:t>"</w:t>
            </w:r>
            <w:r w:rsidRPr="007A3793">
              <w:rPr>
                <w:i/>
                <w:lang w:val="en-GB"/>
              </w:rPr>
              <w:t xml:space="preserve"> in Cryptocurrencies.</w:t>
            </w:r>
            <w:r w:rsidRPr="007A3793">
              <w:rPr>
                <w:lang w:val="en-GB"/>
              </w:rPr>
              <w:t xml:space="preserve"> Bank of International Settlements (BIS) Working Papers, No. 765. Available at: </w:t>
            </w:r>
            <w:hyperlink r:id="rId26" w:history="1">
              <w:r w:rsidR="008B6ABA">
                <w:rPr>
                  <w:rStyle w:val="Hyperlink"/>
                  <w:rFonts w:ascii="Arial" w:hAnsi="Arial" w:cs="Arial"/>
                  <w:sz w:val="18"/>
                  <w:szCs w:val="18"/>
                  <w:lang w:val="en-GB"/>
                </w:rPr>
                <w:t>https://www.bis.org/publ/work765.htm</w:t>
              </w:r>
            </w:hyperlink>
          </w:p>
        </w:tc>
      </w:tr>
      <w:tr w:rsidR="006C7B06" w:rsidRPr="007A3793" w14:paraId="71C92AB2" w14:textId="77777777" w:rsidTr="00325CA1">
        <w:tc>
          <w:tcPr>
            <w:tcW w:w="2410" w:type="dxa"/>
          </w:tcPr>
          <w:p w14:paraId="71C92AB0" w14:textId="739BA22D" w:rsidR="006C7B06" w:rsidRPr="00CD1179" w:rsidRDefault="006C7B06" w:rsidP="000B207E">
            <w:pPr>
              <w:spacing w:before="0" w:after="240"/>
            </w:pPr>
            <w:r w:rsidRPr="00CD1179">
              <w:t>[</w:t>
            </w:r>
            <w:bookmarkStart w:id="214" w:name="austria"/>
            <w:r w:rsidR="00CD1179" w:rsidRPr="00CD1179">
              <w:t>b</w:t>
            </w:r>
            <w:r w:rsidR="00CD1179" w:rsidRPr="00CD1179">
              <w:noBreakHyphen/>
            </w:r>
            <w:r w:rsidRPr="00CD1179">
              <w:t>Austria</w:t>
            </w:r>
            <w:bookmarkEnd w:id="214"/>
            <w:r w:rsidRPr="00CD1179">
              <w:t>]</w:t>
            </w:r>
          </w:p>
        </w:tc>
        <w:tc>
          <w:tcPr>
            <w:tcW w:w="7465" w:type="dxa"/>
          </w:tcPr>
          <w:p w14:paraId="71C92AB1" w14:textId="6F66B571" w:rsidR="006C7B06" w:rsidRPr="007A3793" w:rsidRDefault="006C7B06" w:rsidP="007A3793">
            <w:pPr>
              <w:spacing w:before="0" w:after="240"/>
              <w:rPr>
                <w:color w:val="000000"/>
                <w:shd w:val="clear" w:color="auto" w:fill="FFFFFF"/>
                <w:lang w:val="en-GB"/>
              </w:rPr>
            </w:pPr>
            <w:r w:rsidRPr="00CD1179">
              <w:t xml:space="preserve">Austria (2018). </w:t>
            </w:r>
            <w:r w:rsidRPr="00CD1179">
              <w:rPr>
                <w:i/>
                <w:iCs/>
              </w:rPr>
              <w:t>Federal Act concerning the Protection of Personal Data (</w:t>
            </w:r>
            <w:proofErr w:type="spellStart"/>
            <w:r w:rsidRPr="00CD1179">
              <w:rPr>
                <w:i/>
                <w:iCs/>
              </w:rPr>
              <w:t>Datenschutzgesetz</w:t>
            </w:r>
            <w:proofErr w:type="spellEnd"/>
            <w:r w:rsidRPr="00CD1179">
              <w:rPr>
                <w:i/>
                <w:iCs/>
              </w:rPr>
              <w:t xml:space="preserve"> </w:t>
            </w:r>
            <w:r w:rsidR="00C04FE7">
              <w:rPr>
                <w:i/>
                <w:iCs/>
              </w:rPr>
              <w:t>–</w:t>
            </w:r>
            <w:r w:rsidRPr="00CD1179">
              <w:rPr>
                <w:i/>
                <w:iCs/>
              </w:rPr>
              <w:t xml:space="preserve"> DSG)</w:t>
            </w:r>
            <w:r w:rsidRPr="00CD1179">
              <w:t xml:space="preserve">. Available at: </w:t>
            </w:r>
            <w:hyperlink r:id="rId27" w:history="1">
              <w:r w:rsidR="008B6ABA">
                <w:rPr>
                  <w:rStyle w:val="Hyperlink"/>
                  <w:rFonts w:ascii="Arial" w:hAnsi="Arial" w:cs="Arial"/>
                  <w:sz w:val="18"/>
                  <w:szCs w:val="18"/>
                  <w:lang w:val="en-GB"/>
                </w:rPr>
                <w:t>https://www.ris.bka.gv.at/Dokumente/Erv/ERV_1999_1_165/ERV_1999_1_165.html</w:t>
              </w:r>
            </w:hyperlink>
            <w:r w:rsidRPr="00CD1179">
              <w:t xml:space="preserve"> </w:t>
            </w:r>
          </w:p>
        </w:tc>
      </w:tr>
      <w:tr w:rsidR="006C7B06" w:rsidRPr="007A3793" w14:paraId="71C92AB5" w14:textId="77777777" w:rsidTr="00325CA1">
        <w:tc>
          <w:tcPr>
            <w:tcW w:w="2410" w:type="dxa"/>
          </w:tcPr>
          <w:p w14:paraId="71C92AB3" w14:textId="2E9D1792" w:rsidR="006C7B06" w:rsidRPr="00CD1179" w:rsidRDefault="006C7B06" w:rsidP="000B207E">
            <w:pPr>
              <w:spacing w:before="0" w:after="240"/>
            </w:pPr>
            <w:r w:rsidRPr="00CD1179">
              <w:t>[</w:t>
            </w:r>
            <w:bookmarkStart w:id="215" w:name="baars"/>
            <w:r w:rsidR="00CD1179" w:rsidRPr="00CD1179">
              <w:t>b</w:t>
            </w:r>
            <w:r w:rsidR="00CD1179" w:rsidRPr="00CD1179">
              <w:noBreakHyphen/>
            </w:r>
            <w:proofErr w:type="spellStart"/>
            <w:r w:rsidRPr="00CD1179">
              <w:t>Baars</w:t>
            </w:r>
            <w:bookmarkEnd w:id="215"/>
            <w:proofErr w:type="spellEnd"/>
            <w:r w:rsidRPr="00CD1179">
              <w:t>]</w:t>
            </w:r>
          </w:p>
        </w:tc>
        <w:tc>
          <w:tcPr>
            <w:tcW w:w="7465" w:type="dxa"/>
          </w:tcPr>
          <w:p w14:paraId="71C92AB4" w14:textId="6231D3F4" w:rsidR="006C7B06" w:rsidRPr="007A3793" w:rsidRDefault="006C7B06" w:rsidP="007A3793">
            <w:pPr>
              <w:spacing w:before="0" w:after="240"/>
              <w:rPr>
                <w:lang w:val="en-GB"/>
              </w:rPr>
            </w:pPr>
            <w:proofErr w:type="spellStart"/>
            <w:r w:rsidRPr="00CD1179">
              <w:t>Baars</w:t>
            </w:r>
            <w:proofErr w:type="spellEnd"/>
            <w:r w:rsidRPr="00CD1179">
              <w:t xml:space="preserve">, D. (2016). </w:t>
            </w:r>
            <w:r w:rsidRPr="007A3793">
              <w:rPr>
                <w:i/>
                <w:iCs/>
                <w:lang w:val="en-GB"/>
              </w:rPr>
              <w:t>Towards Self-Sovereign Identity using Blockchain Technology</w:t>
            </w:r>
            <w:r w:rsidRPr="00CD1179">
              <w:t xml:space="preserve">. University of Twente. </w:t>
            </w:r>
            <w:r w:rsidRPr="007A3793">
              <w:rPr>
                <w:lang w:val="en-GB"/>
              </w:rPr>
              <w:t xml:space="preserve">Available at: </w:t>
            </w:r>
            <w:hyperlink r:id="rId28" w:history="1">
              <w:r w:rsidR="008B6ABA">
                <w:rPr>
                  <w:rStyle w:val="Hyperlink"/>
                  <w:rFonts w:ascii="Arial" w:hAnsi="Arial" w:cs="Arial"/>
                  <w:sz w:val="18"/>
                  <w:szCs w:val="18"/>
                  <w:lang w:val="en-GB"/>
                </w:rPr>
                <w:t>http://essay.utwente.nl/71274</w:t>
              </w:r>
            </w:hyperlink>
          </w:p>
        </w:tc>
      </w:tr>
      <w:tr w:rsidR="006C7B06" w:rsidRPr="007A3793" w14:paraId="71C92AB8" w14:textId="77777777" w:rsidTr="00325CA1">
        <w:tc>
          <w:tcPr>
            <w:tcW w:w="2410" w:type="dxa"/>
          </w:tcPr>
          <w:p w14:paraId="71C92AB6" w14:textId="28FB8EA4" w:rsidR="006C7B06" w:rsidRPr="007A3793" w:rsidRDefault="006C7B06" w:rsidP="000B207E">
            <w:pPr>
              <w:spacing w:before="0" w:after="240"/>
              <w:rPr>
                <w:lang w:val="en-GB"/>
              </w:rPr>
            </w:pPr>
            <w:r w:rsidRPr="007A3793">
              <w:rPr>
                <w:lang w:val="en-GB"/>
              </w:rPr>
              <w:t>[</w:t>
            </w:r>
            <w:bookmarkStart w:id="216" w:name="barker"/>
            <w:r w:rsidR="00CD1179">
              <w:rPr>
                <w:lang w:val="en-GB"/>
              </w:rPr>
              <w:t>b</w:t>
            </w:r>
            <w:r w:rsidR="00CD1179">
              <w:rPr>
                <w:lang w:val="en-GB"/>
              </w:rPr>
              <w:noBreakHyphen/>
            </w:r>
            <w:r w:rsidRPr="007A3793">
              <w:rPr>
                <w:lang w:val="en-GB"/>
              </w:rPr>
              <w:t>Barker</w:t>
            </w:r>
            <w:bookmarkEnd w:id="216"/>
            <w:r w:rsidRPr="007A3793">
              <w:rPr>
                <w:lang w:val="en-GB"/>
              </w:rPr>
              <w:t>]</w:t>
            </w:r>
          </w:p>
        </w:tc>
        <w:tc>
          <w:tcPr>
            <w:tcW w:w="7465" w:type="dxa"/>
          </w:tcPr>
          <w:p w14:paraId="71C92AB7" w14:textId="20452014" w:rsidR="006C7B06" w:rsidRPr="007A3793" w:rsidRDefault="006C7B06" w:rsidP="007A3793">
            <w:pPr>
              <w:spacing w:before="0" w:after="240"/>
              <w:rPr>
                <w:lang w:val="en-GB"/>
              </w:rPr>
            </w:pPr>
            <w:r w:rsidRPr="007A3793">
              <w:rPr>
                <w:lang w:val="en-GB"/>
              </w:rPr>
              <w:t xml:space="preserve">Barker, E. (2016). </w:t>
            </w:r>
            <w:r w:rsidRPr="007A3793">
              <w:rPr>
                <w:i/>
                <w:lang w:val="en-GB"/>
              </w:rPr>
              <w:t xml:space="preserve">Recommendation for Key Management Part 1: General. </w:t>
            </w:r>
            <w:r w:rsidRPr="007A3793">
              <w:rPr>
                <w:lang w:val="en-GB"/>
              </w:rPr>
              <w:t xml:space="preserve">NIST Special Publication 800-57 Part 1 Revision 4. Available at: </w:t>
            </w:r>
            <w:r w:rsidRPr="007A3793">
              <w:rPr>
                <w:i/>
                <w:lang w:val="en-GB"/>
              </w:rPr>
              <w:t xml:space="preserve"> </w:t>
            </w:r>
            <w:r w:rsidRPr="007A3793">
              <w:rPr>
                <w:lang w:val="en-GB"/>
              </w:rPr>
              <w:t xml:space="preserve">  </w:t>
            </w:r>
            <w:hyperlink r:id="rId29" w:history="1">
              <w:r w:rsidR="008B6ABA">
                <w:rPr>
                  <w:rStyle w:val="Hyperlink"/>
                  <w:rFonts w:ascii="Arial" w:hAnsi="Arial" w:cs="Arial"/>
                  <w:sz w:val="18"/>
                  <w:szCs w:val="18"/>
                  <w:lang w:val="en-GB"/>
                </w:rPr>
                <w:t>https://nvlpubs.nist.gov/nistpubs/SpecialPublications/NIST.SP.800-57pt1r4.pdf</w:t>
              </w:r>
            </w:hyperlink>
            <w:r w:rsidRPr="007A3793">
              <w:rPr>
                <w:lang w:val="en-GB"/>
              </w:rPr>
              <w:t xml:space="preserve"> </w:t>
            </w:r>
          </w:p>
        </w:tc>
      </w:tr>
      <w:tr w:rsidR="006C7B06" w:rsidRPr="007A3793" w14:paraId="71C92ABB" w14:textId="77777777" w:rsidTr="00325CA1">
        <w:tc>
          <w:tcPr>
            <w:tcW w:w="2410" w:type="dxa"/>
          </w:tcPr>
          <w:p w14:paraId="71C92AB9" w14:textId="14E1E3EB" w:rsidR="006C7B06" w:rsidRPr="00CD1179" w:rsidRDefault="006C7B06" w:rsidP="000B207E">
            <w:pPr>
              <w:spacing w:before="0" w:after="240"/>
            </w:pPr>
            <w:r w:rsidRPr="00CD1179">
              <w:t>[</w:t>
            </w:r>
            <w:bookmarkStart w:id="217" w:name="baumer"/>
            <w:r w:rsidR="00CD1179" w:rsidRPr="00CD1179">
              <w:t>b</w:t>
            </w:r>
            <w:r w:rsidR="00CD1179" w:rsidRPr="00CD1179">
              <w:noBreakHyphen/>
            </w:r>
            <w:proofErr w:type="spellStart"/>
            <w:r w:rsidRPr="00CD1179">
              <w:t>Bäumer</w:t>
            </w:r>
            <w:bookmarkEnd w:id="217"/>
            <w:proofErr w:type="spellEnd"/>
            <w:r w:rsidRPr="00CD1179">
              <w:t>]</w:t>
            </w:r>
          </w:p>
        </w:tc>
        <w:tc>
          <w:tcPr>
            <w:tcW w:w="7465" w:type="dxa"/>
          </w:tcPr>
          <w:p w14:paraId="71C92ABA" w14:textId="68A16E65" w:rsidR="006C7B06" w:rsidRPr="007A3793" w:rsidRDefault="006C7B06" w:rsidP="007A3793">
            <w:pPr>
              <w:spacing w:before="0" w:after="240"/>
              <w:rPr>
                <w:color w:val="000000"/>
                <w:shd w:val="clear" w:color="auto" w:fill="FFFFFF"/>
                <w:lang w:val="en-GB"/>
              </w:rPr>
            </w:pPr>
            <w:proofErr w:type="spellStart"/>
            <w:r w:rsidRPr="00CD1179">
              <w:t>Bäumer</w:t>
            </w:r>
            <w:proofErr w:type="spellEnd"/>
            <w:r w:rsidRPr="00CD1179">
              <w:t xml:space="preserve">, E., </w:t>
            </w:r>
            <w:proofErr w:type="spellStart"/>
            <w:r w:rsidRPr="00CD1179">
              <w:t>Sobez</w:t>
            </w:r>
            <w:proofErr w:type="spellEnd"/>
            <w:r w:rsidRPr="00CD1179">
              <w:t xml:space="preserve">, J. &amp; </w:t>
            </w:r>
            <w:proofErr w:type="spellStart"/>
            <w:r w:rsidRPr="00CD1179">
              <w:t>Tessarini</w:t>
            </w:r>
            <w:proofErr w:type="spellEnd"/>
            <w:r w:rsidRPr="00CD1179">
              <w:t xml:space="preserve">, S. (2015). </w:t>
            </w:r>
            <w:r w:rsidRPr="00CD1179">
              <w:rPr>
                <w:i/>
                <w:iCs/>
              </w:rPr>
              <w:t>Shor</w:t>
            </w:r>
            <w:r w:rsidR="001122ED">
              <w:rPr>
                <w:i/>
                <w:iCs/>
              </w:rPr>
              <w:t>'</w:t>
            </w:r>
            <w:r w:rsidRPr="00CD1179">
              <w:rPr>
                <w:i/>
                <w:iCs/>
              </w:rPr>
              <w:t>s Algorithm</w:t>
            </w:r>
            <w:r w:rsidRPr="00CD1179">
              <w:t xml:space="preserve">. Available at: </w:t>
            </w:r>
            <w:hyperlink r:id="rId30" w:history="1">
              <w:r w:rsidR="008B6ABA">
                <w:rPr>
                  <w:rStyle w:val="Hyperlink"/>
                  <w:rFonts w:ascii="Arial" w:hAnsi="Arial" w:cs="Arial"/>
                  <w:sz w:val="18"/>
                  <w:szCs w:val="18"/>
                  <w:lang w:val="en-GB"/>
                </w:rPr>
                <w:t>https://qudev.phys.ethz.ch/content/QSIT15/Shors%20Algorithm.pdf</w:t>
              </w:r>
            </w:hyperlink>
            <w:r w:rsidRPr="00CD1179">
              <w:t xml:space="preserve"> </w:t>
            </w:r>
          </w:p>
        </w:tc>
      </w:tr>
      <w:tr w:rsidR="006C7B06" w:rsidRPr="007A3793" w14:paraId="71C92ABE" w14:textId="77777777" w:rsidTr="00325CA1">
        <w:tc>
          <w:tcPr>
            <w:tcW w:w="2410" w:type="dxa"/>
          </w:tcPr>
          <w:p w14:paraId="71C92ABC" w14:textId="3234D462" w:rsidR="006C7B06" w:rsidRPr="007A3793" w:rsidRDefault="006C7B06" w:rsidP="000B207E">
            <w:pPr>
              <w:spacing w:before="0" w:after="240"/>
              <w:rPr>
                <w:lang w:val="en-GB"/>
              </w:rPr>
            </w:pPr>
            <w:r w:rsidRPr="007A3793">
              <w:rPr>
                <w:lang w:val="en-GB"/>
              </w:rPr>
              <w:t>[</w:t>
            </w:r>
            <w:bookmarkStart w:id="218" w:name="bundesblock"/>
            <w:r w:rsidR="00CD1179">
              <w:rPr>
                <w:lang w:val="en-GB"/>
              </w:rPr>
              <w:t>b</w:t>
            </w:r>
            <w:r w:rsidR="00CD1179">
              <w:rPr>
                <w:lang w:val="en-GB"/>
              </w:rPr>
              <w:noBreakHyphen/>
            </w:r>
            <w:proofErr w:type="spellStart"/>
            <w:r w:rsidRPr="007A3793">
              <w:rPr>
                <w:lang w:val="en-GB"/>
              </w:rPr>
              <w:t>Bundes</w:t>
            </w:r>
            <w:proofErr w:type="spellEnd"/>
            <w:r w:rsidRPr="007A3793">
              <w:rPr>
                <w:lang w:val="en-GB"/>
              </w:rPr>
              <w:t xml:space="preserve"> Block</w:t>
            </w:r>
            <w:bookmarkEnd w:id="218"/>
            <w:r w:rsidRPr="007A3793">
              <w:rPr>
                <w:lang w:val="en-GB"/>
              </w:rPr>
              <w:t>]</w:t>
            </w:r>
          </w:p>
        </w:tc>
        <w:tc>
          <w:tcPr>
            <w:tcW w:w="7465" w:type="dxa"/>
          </w:tcPr>
          <w:p w14:paraId="71C92ABD" w14:textId="132C09B0" w:rsidR="006C7B06" w:rsidRPr="007A3793" w:rsidRDefault="006C7B06" w:rsidP="007A3793">
            <w:pPr>
              <w:spacing w:before="0" w:after="240"/>
              <w:rPr>
                <w:lang w:val="en-GB"/>
              </w:rPr>
            </w:pPr>
            <w:r w:rsidRPr="007A3793">
              <w:rPr>
                <w:lang w:val="en-GB"/>
              </w:rPr>
              <w:t xml:space="preserve">Blockchain </w:t>
            </w:r>
            <w:proofErr w:type="spellStart"/>
            <w:r w:rsidRPr="007A3793">
              <w:rPr>
                <w:lang w:val="en-GB"/>
              </w:rPr>
              <w:t>Bundesverband</w:t>
            </w:r>
            <w:proofErr w:type="spellEnd"/>
            <w:r w:rsidRPr="007A3793">
              <w:rPr>
                <w:lang w:val="en-GB"/>
              </w:rPr>
              <w:t xml:space="preserve"> (2018). </w:t>
            </w:r>
            <w:r w:rsidRPr="007A3793">
              <w:rPr>
                <w:i/>
                <w:lang w:val="en-GB"/>
              </w:rPr>
              <w:t>New Position Paper: Self-Sovereign Identity Defined</w:t>
            </w:r>
            <w:r w:rsidRPr="007A3793">
              <w:rPr>
                <w:lang w:val="en-GB"/>
              </w:rPr>
              <w:t xml:space="preserve">. Available at: </w:t>
            </w:r>
            <w:hyperlink r:id="rId31" w:history="1">
              <w:r w:rsidR="008B6ABA">
                <w:rPr>
                  <w:rStyle w:val="Hyperlink"/>
                  <w:rFonts w:ascii="Arial" w:hAnsi="Arial" w:cs="Arial"/>
                  <w:sz w:val="18"/>
                  <w:szCs w:val="18"/>
                  <w:lang w:val="en-GB"/>
                </w:rPr>
                <w:t>https://bundesblock.de/de/new-position-paper-self-sovereign-identity-defined/</w:t>
              </w:r>
            </w:hyperlink>
            <w:r w:rsidRPr="007A3793">
              <w:rPr>
                <w:lang w:val="en-GB"/>
              </w:rPr>
              <w:t xml:space="preserve"> </w:t>
            </w:r>
          </w:p>
        </w:tc>
      </w:tr>
      <w:tr w:rsidR="006C7B06" w:rsidRPr="007A3793" w14:paraId="71C92AC1" w14:textId="77777777" w:rsidTr="00325CA1">
        <w:tc>
          <w:tcPr>
            <w:tcW w:w="2410" w:type="dxa"/>
          </w:tcPr>
          <w:p w14:paraId="71C92ABF" w14:textId="4D4A2FF3" w:rsidR="006C7B06" w:rsidRPr="007A3793" w:rsidRDefault="006C7B06" w:rsidP="000B207E">
            <w:pPr>
              <w:spacing w:before="0" w:after="240"/>
              <w:rPr>
                <w:lang w:val="en-GB"/>
              </w:rPr>
            </w:pPr>
            <w:r w:rsidRPr="007A3793">
              <w:rPr>
                <w:lang w:val="en-GB"/>
              </w:rPr>
              <w:t>[</w:t>
            </w:r>
            <w:bookmarkStart w:id="219" w:name="cutler"/>
            <w:r w:rsidR="00CD1179">
              <w:rPr>
                <w:lang w:val="en-GB"/>
              </w:rPr>
              <w:t>b</w:t>
            </w:r>
            <w:r w:rsidR="00CD1179">
              <w:rPr>
                <w:lang w:val="en-GB"/>
              </w:rPr>
              <w:noBreakHyphen/>
            </w:r>
            <w:r w:rsidRPr="007A3793">
              <w:rPr>
                <w:lang w:val="en-GB"/>
              </w:rPr>
              <w:t>Cutler</w:t>
            </w:r>
            <w:bookmarkEnd w:id="219"/>
            <w:r w:rsidRPr="007A3793">
              <w:rPr>
                <w:lang w:val="en-GB"/>
              </w:rPr>
              <w:t>]</w:t>
            </w:r>
          </w:p>
        </w:tc>
        <w:tc>
          <w:tcPr>
            <w:tcW w:w="7465" w:type="dxa"/>
          </w:tcPr>
          <w:p w14:paraId="71C92AC0" w14:textId="25137902" w:rsidR="006C7B06" w:rsidRPr="007A3793" w:rsidRDefault="006C7B06" w:rsidP="007A3793">
            <w:pPr>
              <w:spacing w:before="0" w:after="240"/>
              <w:rPr>
                <w:lang w:val="en-GB"/>
              </w:rPr>
            </w:pPr>
            <w:r w:rsidRPr="007A3793">
              <w:rPr>
                <w:lang w:val="en-GB"/>
              </w:rPr>
              <w:t xml:space="preserve">Cutler, J., Hansen, J. D. &amp; Ho, C (2017). </w:t>
            </w:r>
            <w:r w:rsidRPr="007A3793">
              <w:rPr>
                <w:i/>
                <w:lang w:val="en-GB"/>
              </w:rPr>
              <w:t>Self-Sovereign Identity and Distributed Ledger Technology: Framing the Legal Issues</w:t>
            </w:r>
            <w:r w:rsidRPr="007A3793">
              <w:rPr>
                <w:lang w:val="en-GB"/>
              </w:rPr>
              <w:t xml:space="preserve">. Perkins </w:t>
            </w:r>
            <w:proofErr w:type="spellStart"/>
            <w:r w:rsidRPr="007A3793">
              <w:rPr>
                <w:lang w:val="en-GB"/>
              </w:rPr>
              <w:t>Coie</w:t>
            </w:r>
            <w:proofErr w:type="spellEnd"/>
            <w:r w:rsidRPr="007A3793">
              <w:rPr>
                <w:lang w:val="en-GB"/>
              </w:rPr>
              <w:t xml:space="preserve"> LLP. Available at: </w:t>
            </w:r>
            <w:hyperlink r:id="rId32" w:history="1">
              <w:r w:rsidR="008B6ABA">
                <w:rPr>
                  <w:rStyle w:val="Hyperlink"/>
                  <w:rFonts w:ascii="Arial" w:hAnsi="Arial" w:cs="Arial"/>
                  <w:sz w:val="18"/>
                  <w:szCs w:val="18"/>
                  <w:lang w:val="en-GB"/>
                </w:rPr>
                <w:t>https://www.virtualcurrencyreport.com/wp-content/uploads/sites/13/2017/05/Perki ns-Coie-Self-Sovereign-Identity-and-Distributed-Ledger-Technology_Framing-the-Legal -Issues-1.pdf</w:t>
              </w:r>
            </w:hyperlink>
          </w:p>
        </w:tc>
      </w:tr>
      <w:tr w:rsidR="006C7B06" w:rsidRPr="007A3793" w14:paraId="71C92AC4" w14:textId="77777777" w:rsidTr="00325CA1">
        <w:tc>
          <w:tcPr>
            <w:tcW w:w="2410" w:type="dxa"/>
          </w:tcPr>
          <w:p w14:paraId="71C92AC2" w14:textId="590255ED" w:rsidR="006C7B06" w:rsidRPr="007A3793" w:rsidRDefault="006C7B06" w:rsidP="000B207E">
            <w:pPr>
              <w:spacing w:before="0" w:after="240"/>
              <w:rPr>
                <w:lang w:val="en-GB"/>
              </w:rPr>
            </w:pPr>
            <w:r w:rsidRPr="007A3793">
              <w:rPr>
                <w:lang w:val="en-GB"/>
              </w:rPr>
              <w:t>[</w:t>
            </w:r>
            <w:bookmarkStart w:id="220" w:name="cnil"/>
            <w:r w:rsidR="00CD1179">
              <w:rPr>
                <w:lang w:val="en-GB"/>
              </w:rPr>
              <w:t>b</w:t>
            </w:r>
            <w:r w:rsidR="00CD1179">
              <w:rPr>
                <w:lang w:val="en-GB"/>
              </w:rPr>
              <w:noBreakHyphen/>
            </w:r>
            <w:r w:rsidRPr="007A3793">
              <w:rPr>
                <w:lang w:val="en-GB"/>
              </w:rPr>
              <w:t>CNIL</w:t>
            </w:r>
            <w:bookmarkEnd w:id="220"/>
            <w:r w:rsidRPr="007A3793">
              <w:rPr>
                <w:lang w:val="en-GB"/>
              </w:rPr>
              <w:t>]</w:t>
            </w:r>
          </w:p>
        </w:tc>
        <w:tc>
          <w:tcPr>
            <w:tcW w:w="7465" w:type="dxa"/>
          </w:tcPr>
          <w:p w14:paraId="71C92AC3" w14:textId="778D3776" w:rsidR="006C7B06" w:rsidRPr="007A3793" w:rsidRDefault="00C04FE7" w:rsidP="007A3793">
            <w:pPr>
              <w:spacing w:before="0" w:after="240"/>
              <w:rPr>
                <w:lang w:val="en-GB"/>
              </w:rPr>
            </w:pPr>
            <w:r w:rsidRPr="007A3793">
              <w:rPr>
                <w:lang w:val="en-GB"/>
              </w:rPr>
              <w:t xml:space="preserve">Commission </w:t>
            </w:r>
            <w:proofErr w:type="spellStart"/>
            <w:r w:rsidRPr="007A3793">
              <w:rPr>
                <w:lang w:val="en-GB"/>
              </w:rPr>
              <w:t>Nationale</w:t>
            </w:r>
            <w:proofErr w:type="spellEnd"/>
            <w:r w:rsidRPr="007A3793">
              <w:rPr>
                <w:lang w:val="en-GB"/>
              </w:rPr>
              <w:t xml:space="preserve"> de </w:t>
            </w:r>
            <w:proofErr w:type="spellStart"/>
            <w:r w:rsidRPr="007A3793">
              <w:rPr>
                <w:lang w:val="en-GB"/>
              </w:rPr>
              <w:t>l</w:t>
            </w:r>
            <w:r>
              <w:rPr>
                <w:lang w:val="en-GB"/>
              </w:rPr>
              <w:t>'</w:t>
            </w:r>
            <w:r w:rsidRPr="007A3793">
              <w:rPr>
                <w:lang w:val="en-GB"/>
              </w:rPr>
              <w:t>Informatique</w:t>
            </w:r>
            <w:proofErr w:type="spellEnd"/>
            <w:r w:rsidRPr="007A3793">
              <w:rPr>
                <w:lang w:val="en-GB"/>
              </w:rPr>
              <w:t xml:space="preserve"> et des </w:t>
            </w:r>
            <w:proofErr w:type="spellStart"/>
            <w:r w:rsidRPr="007A3793">
              <w:rPr>
                <w:lang w:val="en-GB"/>
              </w:rPr>
              <w:t>Libertés</w:t>
            </w:r>
            <w:proofErr w:type="spellEnd"/>
            <w:r w:rsidRPr="007A3793">
              <w:rPr>
                <w:lang w:val="en-GB"/>
              </w:rPr>
              <w:t xml:space="preserve"> </w:t>
            </w:r>
            <w:r w:rsidR="006C7B06" w:rsidRPr="007A3793">
              <w:rPr>
                <w:lang w:val="en-GB"/>
              </w:rPr>
              <w:t xml:space="preserve">(2018). </w:t>
            </w:r>
            <w:r w:rsidR="006C7B06" w:rsidRPr="007A3793">
              <w:rPr>
                <w:i/>
                <w:lang w:val="en-GB"/>
              </w:rPr>
              <w:t xml:space="preserve">Premiers </w:t>
            </w:r>
            <w:r w:rsidRPr="007A3793">
              <w:rPr>
                <w:i/>
                <w:lang w:val="en-GB"/>
              </w:rPr>
              <w:t xml:space="preserve">elements </w:t>
            </w:r>
            <w:proofErr w:type="spellStart"/>
            <w:r w:rsidRPr="007A3793">
              <w:rPr>
                <w:i/>
                <w:lang w:val="en-GB"/>
              </w:rPr>
              <w:t>d</w:t>
            </w:r>
            <w:r>
              <w:rPr>
                <w:i/>
                <w:lang w:val="en-GB"/>
              </w:rPr>
              <w:t>'</w:t>
            </w:r>
            <w:r w:rsidRPr="007A3793">
              <w:rPr>
                <w:i/>
                <w:lang w:val="en-GB"/>
              </w:rPr>
              <w:t>a</w:t>
            </w:r>
            <w:r w:rsidR="006C7B06" w:rsidRPr="007A3793">
              <w:rPr>
                <w:i/>
                <w:lang w:val="en-GB"/>
              </w:rPr>
              <w:t>nalyse</w:t>
            </w:r>
            <w:proofErr w:type="spellEnd"/>
            <w:r w:rsidR="006C7B06" w:rsidRPr="007A3793">
              <w:rPr>
                <w:i/>
                <w:lang w:val="en-GB"/>
              </w:rPr>
              <w:t xml:space="preserve"> de la CNIL </w:t>
            </w:r>
            <w:r w:rsidRPr="007A3793">
              <w:rPr>
                <w:i/>
                <w:lang w:val="en-GB"/>
              </w:rPr>
              <w:t>blockchain</w:t>
            </w:r>
            <w:r w:rsidR="006C7B06" w:rsidRPr="007A3793">
              <w:rPr>
                <w:lang w:val="en-GB"/>
              </w:rPr>
              <w:t xml:space="preserve">. Available at : </w:t>
            </w:r>
            <w:hyperlink r:id="rId33" w:history="1">
              <w:r w:rsidR="008B6ABA">
                <w:rPr>
                  <w:rStyle w:val="Hyperlink"/>
                  <w:rFonts w:ascii="Arial" w:hAnsi="Arial" w:cs="Arial"/>
                  <w:sz w:val="18"/>
                  <w:szCs w:val="18"/>
                  <w:lang w:val="en-GB"/>
                </w:rPr>
                <w:t>https://www.cnil.fr/sites/default/files/atoms/files/la_blockchain.pdf</w:t>
              </w:r>
            </w:hyperlink>
            <w:r w:rsidR="006C7B06" w:rsidRPr="007A3793">
              <w:rPr>
                <w:lang w:val="en-GB"/>
              </w:rPr>
              <w:t xml:space="preserve">. </w:t>
            </w:r>
          </w:p>
        </w:tc>
      </w:tr>
      <w:tr w:rsidR="006C7B06" w:rsidRPr="007A3793" w14:paraId="71C92AC7" w14:textId="77777777" w:rsidTr="00325CA1">
        <w:tc>
          <w:tcPr>
            <w:tcW w:w="2410" w:type="dxa"/>
          </w:tcPr>
          <w:p w14:paraId="71C92AC5" w14:textId="2F8E8944" w:rsidR="006C7B06" w:rsidRPr="007A3793" w:rsidRDefault="006C7B06" w:rsidP="000B207E">
            <w:pPr>
              <w:spacing w:before="0" w:after="240"/>
              <w:rPr>
                <w:lang w:val="en-GB"/>
              </w:rPr>
            </w:pPr>
            <w:r w:rsidRPr="007A3793">
              <w:rPr>
                <w:lang w:val="en-GB"/>
              </w:rPr>
              <w:t>[</w:t>
            </w:r>
            <w:bookmarkStart w:id="221" w:name="diaz"/>
            <w:r w:rsidR="00CD1179">
              <w:rPr>
                <w:lang w:val="en-GB"/>
              </w:rPr>
              <w:t>b</w:t>
            </w:r>
            <w:r w:rsidR="00CD1179">
              <w:rPr>
                <w:lang w:val="en-GB"/>
              </w:rPr>
              <w:noBreakHyphen/>
            </w:r>
            <w:r w:rsidRPr="007A3793">
              <w:rPr>
                <w:lang w:val="en-GB"/>
              </w:rPr>
              <w:t>Diaz</w:t>
            </w:r>
            <w:bookmarkEnd w:id="221"/>
            <w:r w:rsidRPr="007A3793">
              <w:rPr>
                <w:lang w:val="en-GB"/>
              </w:rPr>
              <w:t>]</w:t>
            </w:r>
          </w:p>
        </w:tc>
        <w:tc>
          <w:tcPr>
            <w:tcW w:w="7465" w:type="dxa"/>
          </w:tcPr>
          <w:p w14:paraId="71C92AC6" w14:textId="5B10E16A" w:rsidR="006C7B06" w:rsidRPr="007A3793" w:rsidRDefault="006C7B06" w:rsidP="007A3793">
            <w:pPr>
              <w:spacing w:before="0" w:after="240"/>
              <w:rPr>
                <w:lang w:val="en-GB"/>
              </w:rPr>
            </w:pPr>
            <w:r w:rsidRPr="007A3793">
              <w:rPr>
                <w:lang w:val="en-GB"/>
              </w:rPr>
              <w:t xml:space="preserve">Diaz, J., Arroyo, D. &amp; Rodriguez, F., B. (2014). </w:t>
            </w:r>
            <w:r w:rsidRPr="007A3793">
              <w:rPr>
                <w:i/>
                <w:lang w:val="en-GB"/>
              </w:rPr>
              <w:t xml:space="preserve">New X.509-Based Mechanisms for Fair Anonymity Management. </w:t>
            </w:r>
            <w:r w:rsidRPr="007A3793">
              <w:rPr>
                <w:lang w:val="en-GB"/>
              </w:rPr>
              <w:t xml:space="preserve">Computers &amp; Security, Vol. </w:t>
            </w:r>
            <w:r w:rsidRPr="007A3793">
              <w:rPr>
                <w:lang w:val="en-GB"/>
              </w:rPr>
              <w:lastRenderedPageBreak/>
              <w:t xml:space="preserve">46, pp. 111-125. Available at: </w:t>
            </w:r>
            <w:hyperlink r:id="rId34" w:history="1">
              <w:r w:rsidR="008B6ABA">
                <w:rPr>
                  <w:rStyle w:val="Hyperlink"/>
                  <w:rFonts w:ascii="Arial" w:hAnsi="Arial" w:cs="Arial"/>
                  <w:sz w:val="18"/>
                  <w:szCs w:val="18"/>
                  <w:lang w:val="en-GB"/>
                </w:rPr>
                <w:t>https://www.sciencedirect.com/science/article/pii/S0167404814001023</w:t>
              </w:r>
            </w:hyperlink>
            <w:r w:rsidRPr="007A3793">
              <w:rPr>
                <w:lang w:val="en-GB"/>
              </w:rPr>
              <w:t xml:space="preserve"> </w:t>
            </w:r>
          </w:p>
        </w:tc>
      </w:tr>
      <w:tr w:rsidR="006C7B06" w:rsidRPr="007A3793" w14:paraId="71C92ACA" w14:textId="77777777" w:rsidTr="00325CA1">
        <w:tc>
          <w:tcPr>
            <w:tcW w:w="2410" w:type="dxa"/>
          </w:tcPr>
          <w:p w14:paraId="71C92AC8" w14:textId="2C538D53" w:rsidR="006C7B06" w:rsidRPr="007A3793" w:rsidRDefault="006C7B06" w:rsidP="000B207E">
            <w:pPr>
              <w:spacing w:before="0" w:after="240"/>
              <w:rPr>
                <w:lang w:val="en-GB"/>
              </w:rPr>
            </w:pPr>
            <w:r w:rsidRPr="007A3793">
              <w:rPr>
                <w:lang w:val="en-GB"/>
              </w:rPr>
              <w:lastRenderedPageBreak/>
              <w:t>[</w:t>
            </w:r>
            <w:bookmarkStart w:id="222" w:name="dunphy"/>
            <w:r w:rsidR="00CD1179">
              <w:rPr>
                <w:lang w:val="en-GB"/>
              </w:rPr>
              <w:t>b</w:t>
            </w:r>
            <w:r w:rsidR="00CD1179">
              <w:rPr>
                <w:lang w:val="en-GB"/>
              </w:rPr>
              <w:noBreakHyphen/>
            </w:r>
            <w:r w:rsidRPr="007A3793">
              <w:rPr>
                <w:lang w:val="en-GB"/>
              </w:rPr>
              <w:t>Dunphy</w:t>
            </w:r>
            <w:bookmarkEnd w:id="222"/>
            <w:r w:rsidRPr="007A3793">
              <w:rPr>
                <w:lang w:val="en-GB"/>
              </w:rPr>
              <w:t>]</w:t>
            </w:r>
          </w:p>
        </w:tc>
        <w:tc>
          <w:tcPr>
            <w:tcW w:w="7465" w:type="dxa"/>
          </w:tcPr>
          <w:p w14:paraId="71C92AC9" w14:textId="4FDCEB55" w:rsidR="006C7B06" w:rsidRPr="007A3793" w:rsidRDefault="006C7B06" w:rsidP="007A3793">
            <w:pPr>
              <w:spacing w:before="0" w:after="240"/>
              <w:rPr>
                <w:lang w:val="en-GB"/>
              </w:rPr>
            </w:pPr>
            <w:r w:rsidRPr="007A3793">
              <w:rPr>
                <w:lang w:val="en-GB"/>
              </w:rPr>
              <w:t xml:space="preserve">Dunphy, P. &amp; </w:t>
            </w:r>
            <w:proofErr w:type="spellStart"/>
            <w:r w:rsidRPr="007A3793">
              <w:rPr>
                <w:lang w:val="en-GB"/>
              </w:rPr>
              <w:t>Patitcolas</w:t>
            </w:r>
            <w:proofErr w:type="spellEnd"/>
            <w:r w:rsidRPr="007A3793">
              <w:rPr>
                <w:lang w:val="en-GB"/>
              </w:rPr>
              <w:t xml:space="preserve"> F. (2018). </w:t>
            </w:r>
            <w:r w:rsidRPr="007A3793">
              <w:rPr>
                <w:i/>
                <w:lang w:val="en-GB"/>
              </w:rPr>
              <w:t>A First Look at Identity Management Schemes on the Blockchain</w:t>
            </w:r>
            <w:r w:rsidRPr="007A3793">
              <w:rPr>
                <w:lang w:val="en-GB"/>
              </w:rPr>
              <w:t xml:space="preserve">. Available at: </w:t>
            </w:r>
            <w:hyperlink r:id="rId35" w:history="1">
              <w:r w:rsidR="008B6ABA">
                <w:rPr>
                  <w:rStyle w:val="Hyperlink"/>
                  <w:rFonts w:ascii="Arial" w:hAnsi="Arial" w:cs="Arial"/>
                  <w:sz w:val="18"/>
                  <w:szCs w:val="18"/>
                  <w:lang w:val="en-GB"/>
                </w:rPr>
                <w:t>https://arxiv.org/abs/1801.03294</w:t>
              </w:r>
            </w:hyperlink>
            <w:r w:rsidRPr="007A3793">
              <w:rPr>
                <w:lang w:val="en-GB"/>
              </w:rPr>
              <w:t xml:space="preserve">. </w:t>
            </w:r>
          </w:p>
        </w:tc>
      </w:tr>
      <w:tr w:rsidR="006C7B06" w:rsidRPr="007A3793" w14:paraId="71C92ACD" w14:textId="77777777" w:rsidTr="00325CA1">
        <w:tc>
          <w:tcPr>
            <w:tcW w:w="2410" w:type="dxa"/>
          </w:tcPr>
          <w:p w14:paraId="71C92ACB" w14:textId="2FB071BE" w:rsidR="006C7B06" w:rsidRPr="007A3793" w:rsidRDefault="006C7B06" w:rsidP="000B207E">
            <w:pPr>
              <w:spacing w:before="0" w:after="240"/>
              <w:rPr>
                <w:lang w:val="en-GB"/>
              </w:rPr>
            </w:pPr>
            <w:r w:rsidRPr="007A3793">
              <w:rPr>
                <w:lang w:val="en-GB"/>
              </w:rPr>
              <w:t>[</w:t>
            </w:r>
            <w:bookmarkStart w:id="223" w:name="edri"/>
            <w:r w:rsidR="00CD1179">
              <w:rPr>
                <w:lang w:val="en-GB"/>
              </w:rPr>
              <w:t>b</w:t>
            </w:r>
            <w:r w:rsidR="00CD1179">
              <w:rPr>
                <w:lang w:val="en-GB"/>
              </w:rPr>
              <w:noBreakHyphen/>
            </w:r>
            <w:proofErr w:type="spellStart"/>
            <w:r w:rsidRPr="007A3793">
              <w:rPr>
                <w:lang w:val="en-GB"/>
              </w:rPr>
              <w:t>EDRi</w:t>
            </w:r>
            <w:bookmarkEnd w:id="223"/>
            <w:proofErr w:type="spellEnd"/>
            <w:r w:rsidRPr="007A3793">
              <w:rPr>
                <w:lang w:val="en-GB"/>
              </w:rPr>
              <w:t>]</w:t>
            </w:r>
          </w:p>
        </w:tc>
        <w:tc>
          <w:tcPr>
            <w:tcW w:w="7465" w:type="dxa"/>
          </w:tcPr>
          <w:p w14:paraId="71C92ACC" w14:textId="60070EDF" w:rsidR="006C7B06" w:rsidRPr="007A3793" w:rsidRDefault="006C7B06" w:rsidP="007A3793">
            <w:pPr>
              <w:spacing w:before="0" w:after="240"/>
              <w:rPr>
                <w:lang w:val="en-GB"/>
              </w:rPr>
            </w:pPr>
            <w:r w:rsidRPr="007A3793">
              <w:rPr>
                <w:lang w:val="en-GB"/>
              </w:rPr>
              <w:t xml:space="preserve">European Digital Rights (2017). </w:t>
            </w:r>
            <w:r w:rsidRPr="007A3793">
              <w:rPr>
                <w:i/>
                <w:lang w:val="en-GB"/>
              </w:rPr>
              <w:t>Killing Parody, Killing Memes, Killing the Internet?</w:t>
            </w:r>
            <w:r w:rsidRPr="007A3793">
              <w:rPr>
                <w:lang w:val="en-GB"/>
              </w:rPr>
              <w:t xml:space="preserve"> Available at: </w:t>
            </w:r>
            <w:hyperlink r:id="rId36" w:history="1">
              <w:r w:rsidR="008B6ABA">
                <w:rPr>
                  <w:rStyle w:val="Hyperlink"/>
                  <w:rFonts w:ascii="Arial" w:hAnsi="Arial" w:cs="Arial"/>
                  <w:sz w:val="18"/>
                  <w:szCs w:val="18"/>
                  <w:lang w:val="en-GB"/>
                </w:rPr>
                <w:t>https://medium.com/eu-copyright-reform/killing-parody-killing-memes-killing-the-internet-b864df222047</w:t>
              </w:r>
            </w:hyperlink>
            <w:r w:rsidRPr="007A3793">
              <w:rPr>
                <w:lang w:val="en-GB"/>
              </w:rPr>
              <w:t xml:space="preserve"> </w:t>
            </w:r>
          </w:p>
        </w:tc>
      </w:tr>
      <w:tr w:rsidR="006C7B06" w:rsidRPr="007A3793" w14:paraId="71C92AD0" w14:textId="77777777" w:rsidTr="00325CA1">
        <w:tc>
          <w:tcPr>
            <w:tcW w:w="2410" w:type="dxa"/>
          </w:tcPr>
          <w:p w14:paraId="71C92ACE" w14:textId="00EDCA2F" w:rsidR="006C7B06" w:rsidRPr="007A3793" w:rsidRDefault="006C7B06" w:rsidP="000B207E">
            <w:pPr>
              <w:spacing w:before="0" w:after="240"/>
              <w:rPr>
                <w:lang w:val="en-GB"/>
              </w:rPr>
            </w:pPr>
            <w:r w:rsidRPr="007A3793">
              <w:rPr>
                <w:lang w:val="en-GB"/>
              </w:rPr>
              <w:t>[</w:t>
            </w:r>
            <w:bookmarkStart w:id="224" w:name="eif"/>
            <w:r w:rsidR="00CD1179">
              <w:rPr>
                <w:lang w:val="en-GB"/>
              </w:rPr>
              <w:t>b</w:t>
            </w:r>
            <w:r w:rsidR="00CD1179">
              <w:rPr>
                <w:lang w:val="en-GB"/>
              </w:rPr>
              <w:noBreakHyphen/>
            </w:r>
            <w:r w:rsidRPr="007A3793">
              <w:rPr>
                <w:lang w:val="en-GB"/>
              </w:rPr>
              <w:t>EIF</w:t>
            </w:r>
            <w:bookmarkEnd w:id="224"/>
            <w:r w:rsidRPr="007A3793">
              <w:rPr>
                <w:lang w:val="en-GB"/>
              </w:rPr>
              <w:t>]</w:t>
            </w:r>
          </w:p>
        </w:tc>
        <w:tc>
          <w:tcPr>
            <w:tcW w:w="7465" w:type="dxa"/>
          </w:tcPr>
          <w:p w14:paraId="71C92ACF" w14:textId="75702727" w:rsidR="006C7B06" w:rsidRPr="007A3793" w:rsidRDefault="006C7B06" w:rsidP="007A3793">
            <w:pPr>
              <w:spacing w:before="0" w:after="240"/>
              <w:rPr>
                <w:lang w:val="en-GB"/>
              </w:rPr>
            </w:pPr>
            <w:r w:rsidRPr="007A3793">
              <w:rPr>
                <w:lang w:val="en-GB"/>
              </w:rPr>
              <w:t xml:space="preserve">European Commission (2017). </w:t>
            </w:r>
            <w:r w:rsidRPr="007A3793">
              <w:rPr>
                <w:i/>
                <w:lang w:val="en-GB"/>
              </w:rPr>
              <w:t xml:space="preserve">The New European Interoperability Framework. </w:t>
            </w:r>
            <w:r w:rsidRPr="007A3793">
              <w:rPr>
                <w:lang w:val="en-GB"/>
              </w:rPr>
              <w:t xml:space="preserve">Available at: </w:t>
            </w:r>
            <w:hyperlink r:id="rId37" w:history="1">
              <w:r w:rsidR="008B6ABA">
                <w:rPr>
                  <w:rStyle w:val="Hyperlink"/>
                  <w:rFonts w:ascii="Arial" w:hAnsi="Arial" w:cs="Arial"/>
                  <w:sz w:val="18"/>
                  <w:szCs w:val="18"/>
                  <w:lang w:val="en-GB"/>
                </w:rPr>
                <w:t>https://ec.europa.eu/isa2/eif_en</w:t>
              </w:r>
            </w:hyperlink>
            <w:r w:rsidRPr="007A3793">
              <w:rPr>
                <w:lang w:val="en-GB"/>
              </w:rPr>
              <w:t xml:space="preserve"> </w:t>
            </w:r>
          </w:p>
        </w:tc>
      </w:tr>
      <w:tr w:rsidR="006C7B06" w:rsidRPr="007A3793" w14:paraId="71C92AD3" w14:textId="77777777" w:rsidTr="00325CA1">
        <w:tc>
          <w:tcPr>
            <w:tcW w:w="2410" w:type="dxa"/>
          </w:tcPr>
          <w:p w14:paraId="71C92AD1" w14:textId="54240B84" w:rsidR="006C7B06" w:rsidRPr="007A3793" w:rsidRDefault="006C7B06" w:rsidP="000B207E">
            <w:pPr>
              <w:spacing w:before="0" w:after="240"/>
              <w:rPr>
                <w:lang w:val="en-GB"/>
              </w:rPr>
            </w:pPr>
            <w:r w:rsidRPr="007A3793">
              <w:rPr>
                <w:lang w:val="en-GB"/>
              </w:rPr>
              <w:t>[</w:t>
            </w:r>
            <w:bookmarkStart w:id="225" w:name="erbgutha"/>
            <w:r w:rsidR="00CD1179">
              <w:rPr>
                <w:lang w:val="en-GB"/>
              </w:rPr>
              <w:t>b</w:t>
            </w:r>
            <w:r w:rsidR="00CD1179">
              <w:rPr>
                <w:lang w:val="en-GB"/>
              </w:rPr>
              <w:noBreakHyphen/>
            </w:r>
            <w:proofErr w:type="spellStart"/>
            <w:r w:rsidRPr="007A3793">
              <w:rPr>
                <w:lang w:val="en-GB"/>
              </w:rPr>
              <w:t>Erbguth</w:t>
            </w:r>
            <w:proofErr w:type="spellEnd"/>
            <w:r w:rsidRPr="007A3793">
              <w:rPr>
                <w:lang w:val="en-GB"/>
              </w:rPr>
              <w:t>-a</w:t>
            </w:r>
            <w:bookmarkEnd w:id="225"/>
            <w:r w:rsidRPr="007A3793">
              <w:rPr>
                <w:lang w:val="en-GB"/>
              </w:rPr>
              <w:t>]</w:t>
            </w:r>
          </w:p>
        </w:tc>
        <w:tc>
          <w:tcPr>
            <w:tcW w:w="7465" w:type="dxa"/>
          </w:tcPr>
          <w:p w14:paraId="71C92AD2" w14:textId="4AED8E28" w:rsidR="006C7B06" w:rsidRPr="007A3793" w:rsidRDefault="006C7B06" w:rsidP="007A3793">
            <w:pPr>
              <w:spacing w:before="0" w:after="240"/>
              <w:rPr>
                <w:lang w:val="en-GB"/>
              </w:rPr>
            </w:pPr>
            <w:proofErr w:type="spellStart"/>
            <w:r w:rsidRPr="007A3793">
              <w:rPr>
                <w:lang w:val="en-GB"/>
              </w:rPr>
              <w:t>Erbguth</w:t>
            </w:r>
            <w:proofErr w:type="spellEnd"/>
            <w:r w:rsidRPr="007A3793">
              <w:rPr>
                <w:lang w:val="en-GB"/>
              </w:rPr>
              <w:t xml:space="preserve">, J. &amp; Fasching, G. (2017). </w:t>
            </w:r>
            <w:proofErr w:type="spellStart"/>
            <w:r w:rsidRPr="007A3793">
              <w:rPr>
                <w:i/>
                <w:lang w:val="en-GB"/>
              </w:rPr>
              <w:t>WeristVerantwortlichereiner</w:t>
            </w:r>
            <w:proofErr w:type="spellEnd"/>
            <w:r w:rsidRPr="007A3793">
              <w:rPr>
                <w:i/>
                <w:lang w:val="en-GB"/>
              </w:rPr>
              <w:t xml:space="preserve"> Bitcoin-</w:t>
            </w:r>
            <w:proofErr w:type="spellStart"/>
            <w:r w:rsidRPr="007A3793">
              <w:rPr>
                <w:i/>
                <w:lang w:val="en-GB"/>
              </w:rPr>
              <w:t>Transaktion</w:t>
            </w:r>
            <w:proofErr w:type="spellEnd"/>
            <w:r w:rsidRPr="007A3793">
              <w:rPr>
                <w:i/>
                <w:lang w:val="en-GB"/>
              </w:rPr>
              <w:t>? (Who is the controller of a Bitcoin transaction?).</w:t>
            </w:r>
            <w:r w:rsidRPr="007A3793">
              <w:rPr>
                <w:lang w:val="en-GB"/>
              </w:rPr>
              <w:t xml:space="preserve"> </w:t>
            </w:r>
            <w:proofErr w:type="spellStart"/>
            <w:r w:rsidRPr="007A3793">
              <w:rPr>
                <w:lang w:val="en-GB"/>
              </w:rPr>
              <w:t>Zilkens</w:t>
            </w:r>
            <w:proofErr w:type="spellEnd"/>
            <w:r w:rsidRPr="007A3793">
              <w:rPr>
                <w:lang w:val="en-GB"/>
              </w:rPr>
              <w:t xml:space="preserve">: </w:t>
            </w:r>
            <w:proofErr w:type="spellStart"/>
            <w:r w:rsidRPr="007A3793">
              <w:rPr>
                <w:lang w:val="en-GB"/>
              </w:rPr>
              <w:t>Datenschutz</w:t>
            </w:r>
            <w:proofErr w:type="spellEnd"/>
            <w:r w:rsidRPr="007A3793">
              <w:rPr>
                <w:lang w:val="en-GB"/>
              </w:rPr>
              <w:t xml:space="preserve"> </w:t>
            </w:r>
            <w:proofErr w:type="spellStart"/>
            <w:r w:rsidRPr="007A3793">
              <w:rPr>
                <w:lang w:val="en-GB"/>
              </w:rPr>
              <w:t>im</w:t>
            </w:r>
            <w:proofErr w:type="spellEnd"/>
            <w:r w:rsidRPr="007A3793">
              <w:rPr>
                <w:lang w:val="en-GB"/>
              </w:rPr>
              <w:t xml:space="preserve"> </w:t>
            </w:r>
            <w:proofErr w:type="spellStart"/>
            <w:r w:rsidRPr="007A3793">
              <w:rPr>
                <w:lang w:val="en-GB"/>
              </w:rPr>
              <w:t>kommunalenStraßenverkehrswesen</w:t>
            </w:r>
            <w:proofErr w:type="spellEnd"/>
            <w:r w:rsidRPr="007A3793">
              <w:rPr>
                <w:lang w:val="en-GB"/>
              </w:rPr>
              <w:t xml:space="preserve"> (Journal of Privacy), Vol. 560. Available at: </w:t>
            </w:r>
            <w:hyperlink r:id="rId38" w:history="1">
              <w:r w:rsidR="008B6ABA">
                <w:rPr>
                  <w:rStyle w:val="Hyperlink"/>
                  <w:rFonts w:ascii="Arial" w:hAnsi="Arial" w:cs="Arial"/>
                  <w:sz w:val="18"/>
                  <w:szCs w:val="18"/>
                  <w:lang w:val="en-GB"/>
                </w:rPr>
                <w:t>https://erbguth.ch/ZD12-2017.pdf</w:t>
              </w:r>
            </w:hyperlink>
            <w:r w:rsidRPr="007A3793">
              <w:rPr>
                <w:lang w:val="en-GB"/>
              </w:rPr>
              <w:t xml:space="preserve">. </w:t>
            </w:r>
          </w:p>
        </w:tc>
      </w:tr>
      <w:tr w:rsidR="006C7B06" w:rsidRPr="007A3793" w14:paraId="71C92AD6" w14:textId="77777777" w:rsidTr="00325CA1">
        <w:tc>
          <w:tcPr>
            <w:tcW w:w="2410" w:type="dxa"/>
          </w:tcPr>
          <w:p w14:paraId="71C92AD4" w14:textId="72368E3D" w:rsidR="006C7B06" w:rsidRPr="007A3793" w:rsidRDefault="006C7B06" w:rsidP="000B207E">
            <w:pPr>
              <w:spacing w:before="0" w:after="240"/>
              <w:rPr>
                <w:lang w:val="en-GB"/>
              </w:rPr>
            </w:pPr>
            <w:r w:rsidRPr="007A3793">
              <w:rPr>
                <w:lang w:val="en-GB"/>
              </w:rPr>
              <w:t>[</w:t>
            </w:r>
            <w:bookmarkStart w:id="226" w:name="erbguthb"/>
            <w:r w:rsidR="00CD1179">
              <w:rPr>
                <w:lang w:val="en-GB"/>
              </w:rPr>
              <w:t>b</w:t>
            </w:r>
            <w:r w:rsidR="00CD1179">
              <w:rPr>
                <w:lang w:val="en-GB"/>
              </w:rPr>
              <w:noBreakHyphen/>
            </w:r>
            <w:proofErr w:type="spellStart"/>
            <w:r w:rsidRPr="007A3793">
              <w:rPr>
                <w:lang w:val="en-GB"/>
              </w:rPr>
              <w:t>Erbguth</w:t>
            </w:r>
            <w:proofErr w:type="spellEnd"/>
            <w:r w:rsidRPr="007A3793">
              <w:rPr>
                <w:lang w:val="en-GB"/>
              </w:rPr>
              <w:t>-b</w:t>
            </w:r>
            <w:bookmarkEnd w:id="226"/>
            <w:r w:rsidRPr="007A3793">
              <w:rPr>
                <w:lang w:val="en-GB"/>
              </w:rPr>
              <w:t>]</w:t>
            </w:r>
          </w:p>
        </w:tc>
        <w:tc>
          <w:tcPr>
            <w:tcW w:w="7465" w:type="dxa"/>
          </w:tcPr>
          <w:p w14:paraId="71C92AD5" w14:textId="1ABF885F" w:rsidR="006C7B06" w:rsidRPr="007A3793" w:rsidRDefault="006C7B06" w:rsidP="007A3793">
            <w:pPr>
              <w:spacing w:before="0" w:after="240"/>
              <w:rPr>
                <w:lang w:val="en-GB"/>
              </w:rPr>
            </w:pPr>
            <w:proofErr w:type="spellStart"/>
            <w:r w:rsidRPr="007A3793">
              <w:rPr>
                <w:lang w:val="en-GB"/>
              </w:rPr>
              <w:t>Erbguth</w:t>
            </w:r>
            <w:proofErr w:type="spellEnd"/>
            <w:r w:rsidRPr="007A3793">
              <w:rPr>
                <w:lang w:val="en-GB"/>
              </w:rPr>
              <w:t xml:space="preserve">, J. (2019). </w:t>
            </w:r>
            <w:r w:rsidRPr="007A3793">
              <w:rPr>
                <w:i/>
                <w:lang w:val="en-GB"/>
              </w:rPr>
              <w:t>Blockchain und DSGVO (Blockchain and DSGVO)</w:t>
            </w:r>
            <w:r w:rsidRPr="007A3793">
              <w:rPr>
                <w:lang w:val="en-GB"/>
              </w:rPr>
              <w:t xml:space="preserve">, </w:t>
            </w:r>
            <w:proofErr w:type="spellStart"/>
            <w:r w:rsidRPr="007A3793">
              <w:rPr>
                <w:lang w:val="en-GB"/>
              </w:rPr>
              <w:t>Jusletter</w:t>
            </w:r>
            <w:proofErr w:type="spellEnd"/>
            <w:r w:rsidRPr="007A3793">
              <w:rPr>
                <w:lang w:val="en-GB"/>
              </w:rPr>
              <w:t xml:space="preserve"> IT. Available at: </w:t>
            </w:r>
            <w:hyperlink r:id="rId39" w:history="1">
              <w:r w:rsidR="008B6ABA">
                <w:rPr>
                  <w:rStyle w:val="Hyperlink"/>
                  <w:rFonts w:ascii="Arial" w:hAnsi="Arial" w:cs="Arial"/>
                  <w:sz w:val="18"/>
                  <w:szCs w:val="18"/>
                  <w:lang w:val="en-GB"/>
                </w:rPr>
                <w:t>https://jusletter-it.weblaw.ch/issues/2019/IRIS/blockchain-und-dsgvo_ea104cc327.html</w:t>
              </w:r>
            </w:hyperlink>
            <w:r w:rsidRPr="007A3793">
              <w:rPr>
                <w:lang w:val="en-GB"/>
              </w:rPr>
              <w:t xml:space="preserve">. </w:t>
            </w:r>
          </w:p>
        </w:tc>
      </w:tr>
      <w:tr w:rsidR="006C7B06" w:rsidRPr="007A3793" w14:paraId="71C92AD9" w14:textId="77777777" w:rsidTr="00325CA1">
        <w:tc>
          <w:tcPr>
            <w:tcW w:w="2410" w:type="dxa"/>
          </w:tcPr>
          <w:p w14:paraId="71C92AD7" w14:textId="238104DF" w:rsidR="006C7B06" w:rsidRPr="007A3793" w:rsidRDefault="006C7B06" w:rsidP="000B207E">
            <w:pPr>
              <w:spacing w:before="0" w:after="240"/>
              <w:rPr>
                <w:lang w:val="en-GB"/>
              </w:rPr>
            </w:pPr>
            <w:r w:rsidRPr="007A3793">
              <w:rPr>
                <w:lang w:val="en-GB"/>
              </w:rPr>
              <w:t>[</w:t>
            </w:r>
            <w:bookmarkStart w:id="227" w:name="erc20"/>
            <w:r w:rsidR="00CD1179">
              <w:rPr>
                <w:lang w:val="en-GB"/>
              </w:rPr>
              <w:t>b</w:t>
            </w:r>
            <w:r w:rsidR="00CD1179">
              <w:rPr>
                <w:lang w:val="en-GB"/>
              </w:rPr>
              <w:noBreakHyphen/>
            </w:r>
            <w:r w:rsidRPr="007A3793">
              <w:rPr>
                <w:lang w:val="en-GB"/>
              </w:rPr>
              <w:t>ERC20</w:t>
            </w:r>
            <w:bookmarkEnd w:id="227"/>
            <w:r w:rsidRPr="007A3793">
              <w:rPr>
                <w:lang w:val="en-GB"/>
              </w:rPr>
              <w:t>]</w:t>
            </w:r>
          </w:p>
        </w:tc>
        <w:tc>
          <w:tcPr>
            <w:tcW w:w="7465" w:type="dxa"/>
          </w:tcPr>
          <w:p w14:paraId="71C92AD8" w14:textId="2AE51A57" w:rsidR="006C7B06" w:rsidRPr="007A3793" w:rsidRDefault="006C7B06" w:rsidP="007A3793">
            <w:pPr>
              <w:spacing w:before="0" w:after="240"/>
              <w:rPr>
                <w:lang w:val="en-GB"/>
              </w:rPr>
            </w:pPr>
            <w:r w:rsidRPr="007A3793">
              <w:rPr>
                <w:lang w:val="en-GB"/>
              </w:rPr>
              <w:t>The Ethereum Wiki (2018)</w:t>
            </w:r>
            <w:r w:rsidRPr="007A3793">
              <w:rPr>
                <w:i/>
                <w:lang w:val="en-GB"/>
              </w:rPr>
              <w:t xml:space="preserve"> ERC20 Token Standard</w:t>
            </w:r>
            <w:r w:rsidRPr="007A3793">
              <w:rPr>
                <w:lang w:val="en-GB"/>
              </w:rPr>
              <w:t xml:space="preserve">. Available at: </w:t>
            </w:r>
            <w:hyperlink r:id="rId40" w:history="1">
              <w:r w:rsidR="008B6ABA">
                <w:rPr>
                  <w:rStyle w:val="Hyperlink"/>
                  <w:rFonts w:ascii="Arial" w:hAnsi="Arial" w:cs="Arial"/>
                  <w:sz w:val="18"/>
                  <w:szCs w:val="18"/>
                  <w:lang w:val="en-GB"/>
                </w:rPr>
                <w:t>https://theethereum.wiki/w/index.php/ERC20_Token_Standard</w:t>
              </w:r>
            </w:hyperlink>
            <w:r w:rsidRPr="007A3793">
              <w:rPr>
                <w:lang w:val="en-GB"/>
              </w:rPr>
              <w:t xml:space="preserve"> </w:t>
            </w:r>
          </w:p>
        </w:tc>
      </w:tr>
      <w:tr w:rsidR="00C04FE7" w:rsidRPr="007A3793" w14:paraId="6FF1F460" w14:textId="77777777" w:rsidTr="00325CA1">
        <w:tc>
          <w:tcPr>
            <w:tcW w:w="2410" w:type="dxa"/>
          </w:tcPr>
          <w:p w14:paraId="776C2B80" w14:textId="424AA1CC" w:rsidR="00C04FE7" w:rsidRPr="007A3793" w:rsidRDefault="00C04FE7" w:rsidP="000B207E">
            <w:pPr>
              <w:spacing w:before="0" w:after="240"/>
              <w:rPr>
                <w:lang w:val="en-GB"/>
              </w:rPr>
            </w:pPr>
            <w:r>
              <w:rPr>
                <w:lang w:val="en-GB"/>
              </w:rPr>
              <w:t>[</w:t>
            </w:r>
            <w:bookmarkStart w:id="228" w:name="en319201_1"/>
            <w:r>
              <w:rPr>
                <w:lang w:val="en-GB"/>
              </w:rPr>
              <w:t>b-</w:t>
            </w:r>
            <w:r w:rsidRPr="007A3793">
              <w:rPr>
                <w:lang w:val="en-GB"/>
              </w:rPr>
              <w:t>EN 319 102.1</w:t>
            </w:r>
            <w:bookmarkEnd w:id="228"/>
            <w:r>
              <w:rPr>
                <w:lang w:val="en-GB"/>
              </w:rPr>
              <w:t>]</w:t>
            </w:r>
          </w:p>
        </w:tc>
        <w:tc>
          <w:tcPr>
            <w:tcW w:w="7465" w:type="dxa"/>
          </w:tcPr>
          <w:p w14:paraId="0BCDC457" w14:textId="1CD4BC23" w:rsidR="00C04FE7" w:rsidRPr="007A3793" w:rsidRDefault="00C04FE7" w:rsidP="00C04FE7">
            <w:pPr>
              <w:spacing w:before="0" w:after="240"/>
              <w:rPr>
                <w:lang w:val="en-GB"/>
              </w:rPr>
            </w:pPr>
            <w:r w:rsidRPr="007A3793">
              <w:rPr>
                <w:lang w:val="en-GB"/>
              </w:rPr>
              <w:t>ETSI EN 319 102.1</w:t>
            </w:r>
            <w:r>
              <w:rPr>
                <w:lang w:val="en-GB"/>
              </w:rPr>
              <w:t xml:space="preserve"> </w:t>
            </w:r>
            <w:r w:rsidRPr="00C04FE7">
              <w:rPr>
                <w:lang w:val="en-GB"/>
              </w:rPr>
              <w:t>V1.1.1 (2016-05)</w:t>
            </w:r>
            <w:r>
              <w:rPr>
                <w:lang w:val="en-GB"/>
              </w:rPr>
              <w:t xml:space="preserve">, </w:t>
            </w:r>
            <w:r w:rsidRPr="004E3AB9">
              <w:rPr>
                <w:i/>
                <w:iCs/>
                <w:lang w:val="en-GB"/>
              </w:rPr>
              <w:t xml:space="preserve">Electronic Signatures and Infrastructures (ESI); Procedures for Creation and Validation of </w:t>
            </w:r>
            <w:proofErr w:type="spellStart"/>
            <w:r w:rsidRPr="004E3AB9">
              <w:rPr>
                <w:i/>
                <w:iCs/>
                <w:lang w:val="en-GB"/>
              </w:rPr>
              <w:t>AdES</w:t>
            </w:r>
            <w:proofErr w:type="spellEnd"/>
            <w:r w:rsidRPr="004E3AB9">
              <w:rPr>
                <w:i/>
                <w:iCs/>
                <w:lang w:val="en-GB"/>
              </w:rPr>
              <w:t xml:space="preserve"> Digital Signatures; Part 1: Creation and Validation</w:t>
            </w:r>
            <w:r>
              <w:rPr>
                <w:lang w:val="en-GB"/>
              </w:rPr>
              <w:t xml:space="preserve">. Available at: </w:t>
            </w:r>
            <w:hyperlink r:id="rId41" w:history="1">
              <w:r w:rsidR="008B6ABA">
                <w:rPr>
                  <w:rStyle w:val="Hyperlink"/>
                  <w:rFonts w:ascii="Arial" w:hAnsi="Arial" w:cs="Arial"/>
                  <w:sz w:val="18"/>
                  <w:szCs w:val="18"/>
                </w:rPr>
                <w:t>https://www.etsi.org/deliver/etsi_en/319100_319199/31910201/01.01.01_60/en_31910201v010101p.pdf</w:t>
              </w:r>
            </w:hyperlink>
          </w:p>
        </w:tc>
      </w:tr>
      <w:tr w:rsidR="006C7B06" w:rsidRPr="007A3793" w14:paraId="71C92ADC" w14:textId="77777777" w:rsidTr="00325CA1">
        <w:tc>
          <w:tcPr>
            <w:tcW w:w="2410" w:type="dxa"/>
          </w:tcPr>
          <w:p w14:paraId="71C92ADA" w14:textId="1F5B6865" w:rsidR="006C7B06" w:rsidRPr="007A3793" w:rsidRDefault="006C7B06" w:rsidP="000B207E">
            <w:pPr>
              <w:spacing w:before="0" w:after="240"/>
              <w:rPr>
                <w:lang w:val="en-GB"/>
              </w:rPr>
            </w:pPr>
            <w:r w:rsidRPr="007A3793">
              <w:rPr>
                <w:lang w:val="en-GB"/>
              </w:rPr>
              <w:t>[</w:t>
            </w:r>
            <w:bookmarkStart w:id="229" w:name="eua"/>
            <w:r w:rsidR="00CD1179">
              <w:rPr>
                <w:lang w:val="en-GB"/>
              </w:rPr>
              <w:t>b</w:t>
            </w:r>
            <w:r w:rsidR="00CD1179">
              <w:rPr>
                <w:lang w:val="en-GB"/>
              </w:rPr>
              <w:noBreakHyphen/>
            </w:r>
            <w:r w:rsidRPr="007A3793">
              <w:rPr>
                <w:lang w:val="en-GB"/>
              </w:rPr>
              <w:t>EU-a</w:t>
            </w:r>
            <w:bookmarkEnd w:id="229"/>
            <w:r w:rsidRPr="007A3793">
              <w:rPr>
                <w:lang w:val="en-GB"/>
              </w:rPr>
              <w:t>]</w:t>
            </w:r>
          </w:p>
        </w:tc>
        <w:tc>
          <w:tcPr>
            <w:tcW w:w="7465" w:type="dxa"/>
          </w:tcPr>
          <w:p w14:paraId="71C92ADB" w14:textId="780503B9" w:rsidR="006C7B06" w:rsidRPr="007A3793" w:rsidRDefault="006C7B06" w:rsidP="007A3793">
            <w:pPr>
              <w:spacing w:before="0" w:after="240"/>
              <w:rPr>
                <w:lang w:val="en-GB"/>
              </w:rPr>
            </w:pPr>
            <w:r w:rsidRPr="007A3793">
              <w:rPr>
                <w:lang w:val="en-GB"/>
              </w:rPr>
              <w:t xml:space="preserve">European Parliament (1995). </w:t>
            </w:r>
            <w:r w:rsidRPr="007A3793">
              <w:rPr>
                <w:i/>
                <w:lang w:val="en-GB"/>
              </w:rPr>
              <w:t xml:space="preserve">Directive 95/46/EC of the European Parliament and of the Council of 24 October 1995 on the Protection of Individuals </w:t>
            </w:r>
            <w:proofErr w:type="gramStart"/>
            <w:r w:rsidRPr="007A3793">
              <w:rPr>
                <w:i/>
                <w:lang w:val="en-GB"/>
              </w:rPr>
              <w:t>with regard to</w:t>
            </w:r>
            <w:proofErr w:type="gramEnd"/>
            <w:r w:rsidRPr="007A3793">
              <w:rPr>
                <w:i/>
                <w:lang w:val="en-GB"/>
              </w:rPr>
              <w:t xml:space="preserve"> the Processing of Personal Data and on the Free Movement of such Data.</w:t>
            </w:r>
            <w:r w:rsidRPr="007A3793">
              <w:rPr>
                <w:lang w:val="en-GB"/>
              </w:rPr>
              <w:t xml:space="preserve"> Available at: </w:t>
            </w:r>
            <w:hyperlink r:id="rId42" w:history="1">
              <w:r w:rsidR="008B6ABA">
                <w:rPr>
                  <w:rStyle w:val="Hyperlink"/>
                  <w:rFonts w:ascii="Arial" w:hAnsi="Arial" w:cs="Arial"/>
                  <w:sz w:val="18"/>
                  <w:szCs w:val="18"/>
                  <w:lang w:val="en-GB"/>
                </w:rPr>
                <w:t>https://eur-lex.europa.eu/legal-content/EN/TXT/?uri=celex%3A31995L0046</w:t>
              </w:r>
            </w:hyperlink>
            <w:r w:rsidRPr="007A3793">
              <w:rPr>
                <w:lang w:val="en-GB"/>
              </w:rPr>
              <w:t xml:space="preserve"> </w:t>
            </w:r>
          </w:p>
        </w:tc>
      </w:tr>
      <w:tr w:rsidR="006C7B06" w:rsidRPr="007A3793" w14:paraId="71C92ADF" w14:textId="77777777" w:rsidTr="00325CA1">
        <w:tc>
          <w:tcPr>
            <w:tcW w:w="2410" w:type="dxa"/>
          </w:tcPr>
          <w:p w14:paraId="71C92ADD" w14:textId="11F61E51" w:rsidR="006C7B06" w:rsidRPr="007A3793" w:rsidRDefault="006C7B06" w:rsidP="000B207E">
            <w:pPr>
              <w:spacing w:before="0" w:after="240"/>
              <w:rPr>
                <w:lang w:val="en-GB"/>
              </w:rPr>
            </w:pPr>
            <w:r w:rsidRPr="007A3793">
              <w:rPr>
                <w:lang w:val="en-GB"/>
              </w:rPr>
              <w:t>[</w:t>
            </w:r>
            <w:bookmarkStart w:id="230" w:name="eub"/>
            <w:r w:rsidR="00CD1179">
              <w:rPr>
                <w:lang w:val="en-GB"/>
              </w:rPr>
              <w:t>b</w:t>
            </w:r>
            <w:r w:rsidR="00CD1179">
              <w:rPr>
                <w:lang w:val="en-GB"/>
              </w:rPr>
              <w:noBreakHyphen/>
            </w:r>
            <w:r w:rsidRPr="007A3793">
              <w:rPr>
                <w:lang w:val="en-GB"/>
              </w:rPr>
              <w:t>EU-b</w:t>
            </w:r>
            <w:bookmarkEnd w:id="230"/>
            <w:r w:rsidRPr="007A3793">
              <w:rPr>
                <w:lang w:val="en-GB"/>
              </w:rPr>
              <w:t>]</w:t>
            </w:r>
          </w:p>
        </w:tc>
        <w:tc>
          <w:tcPr>
            <w:tcW w:w="7465" w:type="dxa"/>
          </w:tcPr>
          <w:p w14:paraId="71C92ADE" w14:textId="07B54CCD" w:rsidR="006C7B06" w:rsidRPr="007A3793" w:rsidRDefault="006C7B06" w:rsidP="007A3793">
            <w:pPr>
              <w:spacing w:before="0" w:after="240"/>
              <w:rPr>
                <w:lang w:val="en-GB"/>
              </w:rPr>
            </w:pPr>
            <w:r w:rsidRPr="007A3793">
              <w:rPr>
                <w:lang w:val="en-GB"/>
              </w:rPr>
              <w:t xml:space="preserve">European Parliament (2000). </w:t>
            </w:r>
            <w:r w:rsidRPr="007A3793">
              <w:rPr>
                <w:i/>
                <w:lang w:val="en-GB"/>
              </w:rPr>
              <w:t xml:space="preserve">Regulation (EC) No 45/2001 of the European Parliament and of the Council of 18 December 2000 on the Protection of Individuals </w:t>
            </w:r>
            <w:proofErr w:type="gramStart"/>
            <w:r w:rsidRPr="007A3793">
              <w:rPr>
                <w:i/>
                <w:lang w:val="en-GB"/>
              </w:rPr>
              <w:t>with regard to</w:t>
            </w:r>
            <w:proofErr w:type="gramEnd"/>
            <w:r w:rsidRPr="007A3793">
              <w:rPr>
                <w:i/>
                <w:lang w:val="en-GB"/>
              </w:rPr>
              <w:t xml:space="preserve"> the Processing of Personal Data by the Community Institutions and Bodies and on the Free Movement of such Data. </w:t>
            </w:r>
            <w:r w:rsidRPr="007A3793">
              <w:rPr>
                <w:lang w:val="en-GB"/>
              </w:rPr>
              <w:t xml:space="preserve">Available at: </w:t>
            </w:r>
            <w:hyperlink r:id="rId43" w:history="1">
              <w:r w:rsidR="008B6ABA">
                <w:rPr>
                  <w:rStyle w:val="Hyperlink"/>
                  <w:rFonts w:ascii="Arial" w:hAnsi="Arial" w:cs="Arial"/>
                  <w:sz w:val="18"/>
                  <w:szCs w:val="18"/>
                  <w:lang w:val="en-GB"/>
                </w:rPr>
                <w:t>https://eur-lex.europa.eu/legal-content/EN/TXT/?uri=celex%3A32001R0045</w:t>
              </w:r>
            </w:hyperlink>
            <w:r w:rsidRPr="007A3793">
              <w:rPr>
                <w:lang w:val="en-GB"/>
              </w:rPr>
              <w:t xml:space="preserve"> </w:t>
            </w:r>
          </w:p>
        </w:tc>
      </w:tr>
      <w:tr w:rsidR="006C7B06" w:rsidRPr="007A3793" w14:paraId="71C92AE2" w14:textId="77777777" w:rsidTr="00325CA1">
        <w:tc>
          <w:tcPr>
            <w:tcW w:w="2410" w:type="dxa"/>
          </w:tcPr>
          <w:p w14:paraId="71C92AE0" w14:textId="73EB1A75" w:rsidR="006C7B06" w:rsidRPr="007A3793" w:rsidRDefault="006C7B06" w:rsidP="000B207E">
            <w:pPr>
              <w:spacing w:before="0" w:after="240"/>
              <w:rPr>
                <w:lang w:val="en-GB"/>
              </w:rPr>
            </w:pPr>
            <w:r w:rsidRPr="007A3793">
              <w:rPr>
                <w:lang w:val="en-GB"/>
              </w:rPr>
              <w:t>[</w:t>
            </w:r>
            <w:bookmarkStart w:id="231" w:name="euc"/>
            <w:r w:rsidR="00CD1179">
              <w:rPr>
                <w:lang w:val="en-GB"/>
              </w:rPr>
              <w:t>b</w:t>
            </w:r>
            <w:r w:rsidR="00CD1179">
              <w:rPr>
                <w:lang w:val="en-GB"/>
              </w:rPr>
              <w:noBreakHyphen/>
            </w:r>
            <w:r w:rsidRPr="007A3793">
              <w:rPr>
                <w:lang w:val="en-GB"/>
              </w:rPr>
              <w:t>EU-c</w:t>
            </w:r>
            <w:bookmarkEnd w:id="231"/>
            <w:r w:rsidRPr="007A3793">
              <w:rPr>
                <w:lang w:val="en-GB"/>
              </w:rPr>
              <w:t>]</w:t>
            </w:r>
          </w:p>
        </w:tc>
        <w:tc>
          <w:tcPr>
            <w:tcW w:w="7465" w:type="dxa"/>
          </w:tcPr>
          <w:p w14:paraId="71C92AE1" w14:textId="71E42556" w:rsidR="006C7B06" w:rsidRPr="007A3793" w:rsidRDefault="006C7B06" w:rsidP="007A3793">
            <w:pPr>
              <w:spacing w:before="0" w:after="240"/>
              <w:rPr>
                <w:lang w:val="en-GB"/>
              </w:rPr>
            </w:pPr>
            <w:r w:rsidRPr="007A3793">
              <w:rPr>
                <w:lang w:val="en-GB"/>
              </w:rPr>
              <w:t xml:space="preserve">European Parliament (2003). </w:t>
            </w:r>
            <w:r w:rsidRPr="007A3793">
              <w:rPr>
                <w:i/>
                <w:lang w:val="en-GB"/>
              </w:rPr>
              <w:t xml:space="preserve">Judgment of the European Court of Justice, C-101/01. </w:t>
            </w:r>
            <w:r w:rsidRPr="007A3793">
              <w:rPr>
                <w:lang w:val="en-GB"/>
              </w:rPr>
              <w:t xml:space="preserve">Available at: </w:t>
            </w:r>
            <w:hyperlink r:id="rId44" w:history="1">
              <w:r w:rsidR="008B6ABA">
                <w:rPr>
                  <w:rStyle w:val="Hyperlink"/>
                  <w:rFonts w:ascii="Arial" w:hAnsi="Arial" w:cs="Arial"/>
                  <w:sz w:val="18"/>
                  <w:szCs w:val="18"/>
                  <w:lang w:val="en-GB"/>
                </w:rPr>
                <w:t>https://eur-lex.europa.eu/legal-content/EN/TXT/PDF/?uri=CELEX:62001CJ0101&amp;from=EN</w:t>
              </w:r>
            </w:hyperlink>
            <w:r w:rsidRPr="007A3793">
              <w:rPr>
                <w:lang w:val="en-GB"/>
              </w:rPr>
              <w:t xml:space="preserve"> </w:t>
            </w:r>
          </w:p>
        </w:tc>
      </w:tr>
      <w:tr w:rsidR="006C7B06" w:rsidRPr="007A3793" w14:paraId="71C92AE5" w14:textId="77777777" w:rsidTr="00325CA1">
        <w:tc>
          <w:tcPr>
            <w:tcW w:w="2410" w:type="dxa"/>
          </w:tcPr>
          <w:p w14:paraId="71C92AE3" w14:textId="2754332C" w:rsidR="006C7B06" w:rsidRPr="007A3793" w:rsidRDefault="006C7B06" w:rsidP="000B207E">
            <w:pPr>
              <w:spacing w:before="0" w:after="240"/>
              <w:rPr>
                <w:lang w:val="en-GB"/>
              </w:rPr>
            </w:pPr>
            <w:r w:rsidRPr="007A3793">
              <w:rPr>
                <w:lang w:val="en-GB"/>
              </w:rPr>
              <w:t>[</w:t>
            </w:r>
            <w:bookmarkStart w:id="232" w:name="eublockchain"/>
            <w:r w:rsidR="00CD1179">
              <w:rPr>
                <w:lang w:val="en-GB"/>
              </w:rPr>
              <w:t>b</w:t>
            </w:r>
            <w:r w:rsidR="00CD1179">
              <w:rPr>
                <w:lang w:val="en-GB"/>
              </w:rPr>
              <w:noBreakHyphen/>
            </w:r>
            <w:r w:rsidRPr="007A3793">
              <w:rPr>
                <w:lang w:val="en-GB"/>
              </w:rPr>
              <w:t>EU Blockchain</w:t>
            </w:r>
            <w:bookmarkEnd w:id="232"/>
            <w:r w:rsidRPr="007A3793">
              <w:rPr>
                <w:lang w:val="en-GB"/>
              </w:rPr>
              <w:t>]</w:t>
            </w:r>
          </w:p>
        </w:tc>
        <w:tc>
          <w:tcPr>
            <w:tcW w:w="7465" w:type="dxa"/>
          </w:tcPr>
          <w:p w14:paraId="71C92AE4" w14:textId="517D8DFB" w:rsidR="006C7B06" w:rsidRPr="007A3793" w:rsidRDefault="006C7B06" w:rsidP="007A3793">
            <w:pPr>
              <w:spacing w:before="0" w:after="240"/>
              <w:rPr>
                <w:lang w:val="en-GB"/>
              </w:rPr>
            </w:pPr>
            <w:r w:rsidRPr="007A3793">
              <w:rPr>
                <w:lang w:val="en-GB"/>
              </w:rPr>
              <w:t xml:space="preserve">European Blockchain Observatory and Forum (2018). </w:t>
            </w:r>
            <w:r w:rsidRPr="007A3793">
              <w:rPr>
                <w:i/>
                <w:lang w:val="en-GB"/>
              </w:rPr>
              <w:t>Blockchain and the GDPR</w:t>
            </w:r>
            <w:r w:rsidRPr="007A3793">
              <w:rPr>
                <w:lang w:val="en-GB"/>
              </w:rPr>
              <w:t xml:space="preserve">. Available at: </w:t>
            </w:r>
            <w:hyperlink r:id="rId45" w:history="1">
              <w:r w:rsidR="008B6ABA">
                <w:rPr>
                  <w:rStyle w:val="Hyperlink"/>
                  <w:rFonts w:ascii="Arial" w:hAnsi="Arial" w:cs="Arial"/>
                  <w:sz w:val="18"/>
                  <w:szCs w:val="18"/>
                  <w:lang w:val="en-GB"/>
                </w:rPr>
                <w:t>https://www.eublockchainforum.eu/sites/default/files/reports/20181016_report_gdpr.pdf</w:t>
              </w:r>
            </w:hyperlink>
            <w:r w:rsidRPr="007A3793">
              <w:rPr>
                <w:lang w:val="en-GB"/>
              </w:rPr>
              <w:t>;</w:t>
            </w:r>
          </w:p>
        </w:tc>
      </w:tr>
      <w:tr w:rsidR="006C7B06" w:rsidRPr="007A3793" w14:paraId="71C92AE8" w14:textId="77777777" w:rsidTr="00325CA1">
        <w:tc>
          <w:tcPr>
            <w:tcW w:w="2410" w:type="dxa"/>
          </w:tcPr>
          <w:p w14:paraId="71C92AE6" w14:textId="407570D6" w:rsidR="006C7B06" w:rsidRPr="007A3793" w:rsidRDefault="006C7B06" w:rsidP="000B207E">
            <w:pPr>
              <w:spacing w:before="0" w:after="240"/>
              <w:rPr>
                <w:lang w:val="en-GB"/>
              </w:rPr>
            </w:pPr>
            <w:r w:rsidRPr="007A3793">
              <w:rPr>
                <w:lang w:val="en-GB"/>
              </w:rPr>
              <w:t>[</w:t>
            </w:r>
            <w:bookmarkStart w:id="233" w:name="evans"/>
            <w:r w:rsidR="00CD1179">
              <w:rPr>
                <w:lang w:val="en-GB"/>
              </w:rPr>
              <w:t>b</w:t>
            </w:r>
            <w:r w:rsidR="00CD1179">
              <w:rPr>
                <w:lang w:val="en-GB"/>
              </w:rPr>
              <w:noBreakHyphen/>
            </w:r>
            <w:r w:rsidRPr="007A3793">
              <w:rPr>
                <w:lang w:val="en-GB"/>
              </w:rPr>
              <w:t>Evans</w:t>
            </w:r>
            <w:bookmarkEnd w:id="233"/>
            <w:r w:rsidRPr="007A3793">
              <w:rPr>
                <w:lang w:val="en-GB"/>
              </w:rPr>
              <w:t>]</w:t>
            </w:r>
          </w:p>
        </w:tc>
        <w:tc>
          <w:tcPr>
            <w:tcW w:w="7465" w:type="dxa"/>
          </w:tcPr>
          <w:p w14:paraId="71C92AE7" w14:textId="28ECB409" w:rsidR="006C7B06" w:rsidRPr="007A3793" w:rsidRDefault="006C7B06" w:rsidP="007A3793">
            <w:pPr>
              <w:spacing w:before="0" w:after="240"/>
              <w:rPr>
                <w:lang w:val="en-GB"/>
              </w:rPr>
            </w:pPr>
            <w:r w:rsidRPr="007A3793">
              <w:rPr>
                <w:lang w:val="en-GB"/>
              </w:rPr>
              <w:t xml:space="preserve">Evans, C., Palmer, C. &amp; </w:t>
            </w:r>
            <w:proofErr w:type="spellStart"/>
            <w:r w:rsidRPr="007A3793">
              <w:rPr>
                <w:lang w:val="en-GB"/>
              </w:rPr>
              <w:t>Sleevi</w:t>
            </w:r>
            <w:proofErr w:type="spellEnd"/>
            <w:r w:rsidRPr="007A3793">
              <w:rPr>
                <w:lang w:val="en-GB"/>
              </w:rPr>
              <w:t xml:space="preserve">, R. (2015). </w:t>
            </w:r>
            <w:r w:rsidRPr="007A3793">
              <w:rPr>
                <w:i/>
                <w:lang w:val="en-GB"/>
              </w:rPr>
              <w:t>RFC 7469 - Public Key Pinning Extension for HTTP.</w:t>
            </w:r>
            <w:r w:rsidRPr="007A3793">
              <w:rPr>
                <w:lang w:val="en-GB"/>
              </w:rPr>
              <w:t xml:space="preserve"> Available at: </w:t>
            </w:r>
            <w:hyperlink r:id="rId46" w:history="1">
              <w:r w:rsidR="008B6ABA">
                <w:rPr>
                  <w:rStyle w:val="Hyperlink"/>
                  <w:rFonts w:ascii="Arial" w:hAnsi="Arial" w:cs="Arial"/>
                  <w:sz w:val="18"/>
                  <w:szCs w:val="18"/>
                  <w:lang w:val="en-GB"/>
                </w:rPr>
                <w:t>https://tools.ietf.org/html/rfc7469</w:t>
              </w:r>
            </w:hyperlink>
          </w:p>
        </w:tc>
      </w:tr>
      <w:tr w:rsidR="006C7B06" w:rsidRPr="007A3793" w14:paraId="71C92AEB" w14:textId="77777777" w:rsidTr="00325CA1">
        <w:tc>
          <w:tcPr>
            <w:tcW w:w="2410" w:type="dxa"/>
          </w:tcPr>
          <w:p w14:paraId="71C92AE9" w14:textId="6469C254" w:rsidR="006C7B06" w:rsidRPr="007A3793" w:rsidRDefault="006C7B06" w:rsidP="000B207E">
            <w:pPr>
              <w:spacing w:before="0" w:after="240"/>
              <w:rPr>
                <w:lang w:val="en-GB"/>
              </w:rPr>
            </w:pPr>
            <w:r w:rsidRPr="007A3793">
              <w:rPr>
                <w:lang w:val="en-GB"/>
              </w:rPr>
              <w:lastRenderedPageBreak/>
              <w:t>[</w:t>
            </w:r>
            <w:bookmarkStart w:id="234" w:name="finck"/>
            <w:r w:rsidR="00CD1179">
              <w:rPr>
                <w:lang w:val="en-GB"/>
              </w:rPr>
              <w:t>b</w:t>
            </w:r>
            <w:r w:rsidR="00CD1179">
              <w:rPr>
                <w:lang w:val="en-GB"/>
              </w:rPr>
              <w:noBreakHyphen/>
            </w:r>
            <w:proofErr w:type="spellStart"/>
            <w:r w:rsidRPr="007A3793">
              <w:rPr>
                <w:lang w:val="en-GB"/>
              </w:rPr>
              <w:t>Finck</w:t>
            </w:r>
            <w:bookmarkEnd w:id="234"/>
            <w:proofErr w:type="spellEnd"/>
            <w:r w:rsidRPr="007A3793">
              <w:rPr>
                <w:lang w:val="en-GB"/>
              </w:rPr>
              <w:t>]</w:t>
            </w:r>
          </w:p>
        </w:tc>
        <w:tc>
          <w:tcPr>
            <w:tcW w:w="7465" w:type="dxa"/>
          </w:tcPr>
          <w:p w14:paraId="71C92AEA" w14:textId="0E0A84C9" w:rsidR="006C7B06" w:rsidRPr="007A3793" w:rsidRDefault="006C7B06" w:rsidP="007A3793">
            <w:pPr>
              <w:spacing w:before="0" w:after="240"/>
              <w:rPr>
                <w:lang w:val="en-GB"/>
              </w:rPr>
            </w:pPr>
            <w:proofErr w:type="spellStart"/>
            <w:r w:rsidRPr="007A3793">
              <w:rPr>
                <w:lang w:val="en-GB"/>
              </w:rPr>
              <w:t>Finck</w:t>
            </w:r>
            <w:proofErr w:type="spellEnd"/>
            <w:r w:rsidRPr="007A3793">
              <w:rPr>
                <w:lang w:val="en-GB"/>
              </w:rPr>
              <w:t xml:space="preserve">, M. (2019). </w:t>
            </w:r>
            <w:r w:rsidRPr="007A3793">
              <w:rPr>
                <w:i/>
                <w:lang w:val="en-GB"/>
              </w:rPr>
              <w:t>Smart contracts as a Form of Solely Automated Processing under the GDPR.</w:t>
            </w:r>
            <w:r w:rsidRPr="007A3793">
              <w:rPr>
                <w:lang w:val="en-GB"/>
              </w:rPr>
              <w:t xml:space="preserve"> Max Planck Institute for Innovation and Competition Research Paper no. 19-01. Available at: </w:t>
            </w:r>
            <w:hyperlink r:id="rId47" w:history="1">
              <w:r w:rsidR="008B6ABA">
                <w:rPr>
                  <w:rStyle w:val="Hyperlink"/>
                  <w:rFonts w:ascii="Arial" w:hAnsi="Arial" w:cs="Arial"/>
                  <w:sz w:val="18"/>
                  <w:szCs w:val="18"/>
                  <w:lang w:val="en-GB"/>
                </w:rPr>
                <w:t>https://papers.ssrn.com/sol3/papers.cfm?abstract_id=3311370##</w:t>
              </w:r>
            </w:hyperlink>
            <w:r w:rsidRPr="007A3793">
              <w:rPr>
                <w:lang w:val="en-GB"/>
              </w:rPr>
              <w:t xml:space="preserve"> </w:t>
            </w:r>
          </w:p>
        </w:tc>
      </w:tr>
      <w:tr w:rsidR="006C7B06" w:rsidRPr="007A3793" w14:paraId="71C92AEE" w14:textId="77777777" w:rsidTr="00325CA1">
        <w:tc>
          <w:tcPr>
            <w:tcW w:w="2410" w:type="dxa"/>
          </w:tcPr>
          <w:p w14:paraId="71C92AEC" w14:textId="171EF8F9" w:rsidR="006C7B06" w:rsidRPr="007A3793" w:rsidRDefault="006C7B06" w:rsidP="000B207E">
            <w:pPr>
              <w:spacing w:before="0" w:after="240"/>
              <w:rPr>
                <w:lang w:val="en-GB"/>
              </w:rPr>
            </w:pPr>
            <w:r w:rsidRPr="007A3793">
              <w:rPr>
                <w:lang w:val="en-GB"/>
              </w:rPr>
              <w:t>[</w:t>
            </w:r>
            <w:bookmarkStart w:id="235" w:name="finma"/>
            <w:r w:rsidR="00CD1179">
              <w:rPr>
                <w:lang w:val="en-GB"/>
              </w:rPr>
              <w:t>b</w:t>
            </w:r>
            <w:r w:rsidR="00CD1179">
              <w:rPr>
                <w:lang w:val="en-GB"/>
              </w:rPr>
              <w:noBreakHyphen/>
            </w:r>
            <w:r w:rsidRPr="007A3793">
              <w:rPr>
                <w:lang w:val="en-GB"/>
              </w:rPr>
              <w:t>FINMA</w:t>
            </w:r>
            <w:bookmarkEnd w:id="235"/>
            <w:r w:rsidRPr="007A3793">
              <w:rPr>
                <w:lang w:val="en-GB"/>
              </w:rPr>
              <w:t>]</w:t>
            </w:r>
          </w:p>
        </w:tc>
        <w:tc>
          <w:tcPr>
            <w:tcW w:w="7465" w:type="dxa"/>
          </w:tcPr>
          <w:p w14:paraId="71C92AED" w14:textId="6D8B9B39" w:rsidR="006C7B06" w:rsidRPr="007A3793" w:rsidRDefault="006C7B06" w:rsidP="007A3793">
            <w:pPr>
              <w:spacing w:before="0" w:after="240"/>
              <w:rPr>
                <w:lang w:val="en-GB"/>
              </w:rPr>
            </w:pPr>
            <w:r w:rsidRPr="007A3793">
              <w:rPr>
                <w:lang w:val="en-GB"/>
              </w:rPr>
              <w:t xml:space="preserve">FINMA (2018). </w:t>
            </w:r>
            <w:r w:rsidRPr="007A3793">
              <w:rPr>
                <w:i/>
                <w:lang w:val="en-GB"/>
              </w:rPr>
              <w:t>Guidelines for Enquiries Regarding the Regulatory Framework for Initial Coin Offerings (ICOs).</w:t>
            </w:r>
            <w:r w:rsidRPr="007A3793">
              <w:rPr>
                <w:lang w:val="en-GB"/>
              </w:rPr>
              <w:t xml:space="preserve"> Available at: </w:t>
            </w:r>
            <w:hyperlink r:id="rId48" w:history="1">
              <w:r w:rsidR="008B6ABA">
                <w:rPr>
                  <w:rStyle w:val="Hyperlink"/>
                  <w:rFonts w:ascii="Arial" w:hAnsi="Arial" w:cs="Arial"/>
                  <w:sz w:val="18"/>
                  <w:szCs w:val="18"/>
                  <w:lang w:val="en-GB"/>
                </w:rPr>
                <w:t>https://www.finma.ch/en/~/media/finma/dokumente/dokumentencenter/myfinma/1bewilligung/fintech/wegleitung-ico.pdf?la=en</w:t>
              </w:r>
            </w:hyperlink>
            <w:r w:rsidRPr="007A3793">
              <w:rPr>
                <w:lang w:val="en-GB"/>
              </w:rPr>
              <w:t xml:space="preserve">. </w:t>
            </w:r>
          </w:p>
        </w:tc>
      </w:tr>
      <w:tr w:rsidR="006C7B06" w:rsidRPr="007A3793" w14:paraId="71C92AF1" w14:textId="77777777" w:rsidTr="00325CA1">
        <w:tc>
          <w:tcPr>
            <w:tcW w:w="2410" w:type="dxa"/>
          </w:tcPr>
          <w:p w14:paraId="71C92AEF" w14:textId="68C59D1D" w:rsidR="006C7B06" w:rsidRPr="007A3793" w:rsidRDefault="006C7B06" w:rsidP="000B207E">
            <w:pPr>
              <w:spacing w:before="0" w:after="240"/>
              <w:rPr>
                <w:lang w:val="en-GB"/>
              </w:rPr>
            </w:pPr>
            <w:r w:rsidRPr="007A3793">
              <w:rPr>
                <w:lang w:val="en-GB"/>
              </w:rPr>
              <w:t>[</w:t>
            </w:r>
            <w:bookmarkStart w:id="236" w:name="finra"/>
            <w:r w:rsidR="00CD1179">
              <w:rPr>
                <w:lang w:val="en-GB"/>
              </w:rPr>
              <w:t>b</w:t>
            </w:r>
            <w:r w:rsidR="00CD1179">
              <w:rPr>
                <w:lang w:val="en-GB"/>
              </w:rPr>
              <w:noBreakHyphen/>
            </w:r>
            <w:r w:rsidRPr="007A3793">
              <w:rPr>
                <w:lang w:val="en-GB"/>
              </w:rPr>
              <w:t>FINRA</w:t>
            </w:r>
            <w:bookmarkEnd w:id="236"/>
            <w:r w:rsidRPr="007A3793">
              <w:rPr>
                <w:lang w:val="en-GB"/>
              </w:rPr>
              <w:t>]</w:t>
            </w:r>
          </w:p>
        </w:tc>
        <w:tc>
          <w:tcPr>
            <w:tcW w:w="7465" w:type="dxa"/>
          </w:tcPr>
          <w:p w14:paraId="71C92AF0" w14:textId="305AB697" w:rsidR="006C7B06" w:rsidRPr="007A3793" w:rsidRDefault="006C7B06" w:rsidP="007A3793">
            <w:pPr>
              <w:spacing w:before="0" w:after="240"/>
              <w:rPr>
                <w:lang w:val="en-GB"/>
              </w:rPr>
            </w:pPr>
            <w:r w:rsidRPr="007A3793">
              <w:rPr>
                <w:lang w:val="en-GB"/>
              </w:rPr>
              <w:t xml:space="preserve">FINRA (2017). </w:t>
            </w:r>
            <w:r w:rsidRPr="007A3793">
              <w:rPr>
                <w:i/>
                <w:lang w:val="en-GB"/>
              </w:rPr>
              <w:t>Distributed Ledger Technology: Implications of Blockchain for the Securities Industry.</w:t>
            </w:r>
            <w:r w:rsidRPr="007A3793">
              <w:rPr>
                <w:lang w:val="en-GB"/>
              </w:rPr>
              <w:t xml:space="preserve"> Available at: </w:t>
            </w:r>
            <w:hyperlink r:id="rId49" w:history="1">
              <w:r w:rsidR="008B6ABA">
                <w:rPr>
                  <w:rStyle w:val="Hyperlink"/>
                  <w:rFonts w:ascii="Arial" w:hAnsi="Arial" w:cs="Arial"/>
                  <w:sz w:val="18"/>
                  <w:szCs w:val="18"/>
                  <w:lang w:val="en-GB"/>
                </w:rPr>
                <w:t>https://www.finra.org/sites/default/files/FINRA_Blockchain_Report.pdf</w:t>
              </w:r>
            </w:hyperlink>
          </w:p>
        </w:tc>
      </w:tr>
      <w:tr w:rsidR="00C073BD" w:rsidRPr="007A3793" w14:paraId="71C92AF4" w14:textId="77777777" w:rsidTr="00325CA1">
        <w:tc>
          <w:tcPr>
            <w:tcW w:w="2410" w:type="dxa"/>
          </w:tcPr>
          <w:p w14:paraId="71C92AF2" w14:textId="750527FB" w:rsidR="00C073BD" w:rsidRPr="007A3793" w:rsidRDefault="00C073BD" w:rsidP="000B207E">
            <w:pPr>
              <w:spacing w:before="0" w:after="240"/>
              <w:rPr>
                <w:lang w:val="en-GB"/>
              </w:rPr>
            </w:pPr>
            <w:r w:rsidRPr="007A3793">
              <w:rPr>
                <w:lang w:val="en-GB"/>
              </w:rPr>
              <w:t>[</w:t>
            </w:r>
            <w:bookmarkStart w:id="237" w:name="fgdlt11"/>
            <w:r w:rsidR="00CD1179">
              <w:rPr>
                <w:lang w:val="en-GB"/>
              </w:rPr>
              <w:t>b</w:t>
            </w:r>
            <w:r w:rsidR="00CD1179">
              <w:rPr>
                <w:lang w:val="en-GB"/>
              </w:rPr>
              <w:noBreakHyphen/>
            </w:r>
            <w:r w:rsidRPr="007A3793">
              <w:rPr>
                <w:lang w:val="en-GB"/>
              </w:rPr>
              <w:t>DLT D1.1</w:t>
            </w:r>
            <w:bookmarkEnd w:id="237"/>
            <w:r w:rsidRPr="007A3793">
              <w:rPr>
                <w:lang w:val="en-GB"/>
              </w:rPr>
              <w:t>]</w:t>
            </w:r>
          </w:p>
        </w:tc>
        <w:tc>
          <w:tcPr>
            <w:tcW w:w="7465" w:type="dxa"/>
          </w:tcPr>
          <w:p w14:paraId="71C92AF3" w14:textId="3A34F00F" w:rsidR="00C073BD" w:rsidRPr="007A3793" w:rsidRDefault="00C073BD" w:rsidP="007A3793">
            <w:pPr>
              <w:spacing w:before="0" w:after="240"/>
              <w:rPr>
                <w:lang w:val="en-GB"/>
              </w:rPr>
            </w:pPr>
            <w:r w:rsidRPr="007A3793">
              <w:rPr>
                <w:lang w:val="en-GB"/>
              </w:rPr>
              <w:t xml:space="preserve">ITU-T Technical Specification FG DLT D1.1 (2019), </w:t>
            </w:r>
            <w:r w:rsidRPr="007A3793">
              <w:rPr>
                <w:i/>
                <w:lang w:val="en-GB"/>
              </w:rPr>
              <w:t>DLT terms and</w:t>
            </w:r>
            <w:r w:rsidR="00CD1179">
              <w:rPr>
                <w:i/>
                <w:lang w:val="en-GB"/>
              </w:rPr>
              <w:t xml:space="preserve"> </w:t>
            </w:r>
            <w:r w:rsidRPr="007A3793">
              <w:rPr>
                <w:i/>
                <w:lang w:val="en-GB"/>
              </w:rPr>
              <w:t>definitions.</w:t>
            </w:r>
            <w:r w:rsidR="008B6ABA" w:rsidRPr="007A3793">
              <w:rPr>
                <w:lang w:val="en-GB"/>
              </w:rPr>
              <w:t xml:space="preserve"> Available at:</w:t>
            </w:r>
            <w:r w:rsidR="008B6ABA">
              <w:rPr>
                <w:lang w:val="en-GB"/>
              </w:rPr>
              <w:t xml:space="preserve"> </w:t>
            </w:r>
            <w:hyperlink r:id="rId50" w:history="1">
              <w:r w:rsidR="008B6ABA">
                <w:rPr>
                  <w:rStyle w:val="Hyperlink"/>
                  <w:rFonts w:ascii="Arial" w:hAnsi="Arial" w:cs="Arial"/>
                  <w:sz w:val="18"/>
                  <w:szCs w:val="18"/>
                  <w:lang w:val="en-GB"/>
                </w:rPr>
                <w:t>https://www.itu.int/en/ITU-T/focusgroups/dlt/Documents/‌d11.pdf</w:t>
              </w:r>
            </w:hyperlink>
            <w:r w:rsidR="008B6ABA">
              <w:rPr>
                <w:lang w:val="en-GB"/>
              </w:rPr>
              <w:t xml:space="preserve"> </w:t>
            </w:r>
          </w:p>
        </w:tc>
      </w:tr>
      <w:tr w:rsidR="006C7B06" w:rsidRPr="007A3793" w14:paraId="71C92AF7" w14:textId="77777777" w:rsidTr="00325CA1">
        <w:tc>
          <w:tcPr>
            <w:tcW w:w="2410" w:type="dxa"/>
          </w:tcPr>
          <w:p w14:paraId="71C92AF5" w14:textId="58A9D7A7" w:rsidR="006C7B06" w:rsidRPr="007A3793" w:rsidRDefault="006C7B06" w:rsidP="000B207E">
            <w:pPr>
              <w:spacing w:before="0" w:after="240"/>
              <w:rPr>
                <w:lang w:val="en-GB"/>
              </w:rPr>
            </w:pPr>
            <w:r w:rsidRPr="007A3793">
              <w:rPr>
                <w:lang w:val="en-GB"/>
              </w:rPr>
              <w:t>[</w:t>
            </w:r>
            <w:bookmarkStart w:id="238" w:name="gfsc"/>
            <w:r w:rsidR="00CD1179">
              <w:rPr>
                <w:lang w:val="en-GB"/>
              </w:rPr>
              <w:t>b</w:t>
            </w:r>
            <w:r w:rsidR="00CD1179">
              <w:rPr>
                <w:lang w:val="en-GB"/>
              </w:rPr>
              <w:noBreakHyphen/>
            </w:r>
            <w:r w:rsidRPr="007A3793">
              <w:rPr>
                <w:lang w:val="en-GB"/>
              </w:rPr>
              <w:t>GFSC</w:t>
            </w:r>
            <w:bookmarkEnd w:id="238"/>
            <w:r w:rsidRPr="007A3793">
              <w:rPr>
                <w:lang w:val="en-GB"/>
              </w:rPr>
              <w:t>]</w:t>
            </w:r>
          </w:p>
        </w:tc>
        <w:tc>
          <w:tcPr>
            <w:tcW w:w="7465" w:type="dxa"/>
          </w:tcPr>
          <w:p w14:paraId="71C92AF6" w14:textId="7C2E9D8D" w:rsidR="006C7B06" w:rsidRPr="007A3793" w:rsidRDefault="006C7B06" w:rsidP="007A3793">
            <w:pPr>
              <w:spacing w:before="0" w:after="240"/>
              <w:rPr>
                <w:lang w:val="en-GB"/>
              </w:rPr>
            </w:pPr>
            <w:r w:rsidRPr="007A3793">
              <w:rPr>
                <w:lang w:val="en-GB"/>
              </w:rPr>
              <w:t>Gibraltar Financial Services Commission</w:t>
            </w:r>
            <w:r w:rsidRPr="007A3793">
              <w:rPr>
                <w:i/>
                <w:lang w:val="en-GB"/>
              </w:rPr>
              <w:t xml:space="preserve"> </w:t>
            </w:r>
            <w:r w:rsidRPr="007A3793">
              <w:rPr>
                <w:lang w:val="en-GB"/>
              </w:rPr>
              <w:t>(2018)</w:t>
            </w:r>
            <w:r w:rsidRPr="007A3793">
              <w:rPr>
                <w:i/>
                <w:lang w:val="en-GB"/>
              </w:rPr>
              <w:t xml:space="preserve">. Distributed Ledger Technology (DLT) Regulatory Framework. </w:t>
            </w:r>
            <w:r w:rsidRPr="007A3793">
              <w:rPr>
                <w:lang w:val="en-GB"/>
              </w:rPr>
              <w:t xml:space="preserve">Available at: </w:t>
            </w:r>
            <w:hyperlink r:id="rId51" w:history="1">
              <w:r w:rsidR="008B6ABA">
                <w:rPr>
                  <w:rStyle w:val="Hyperlink"/>
                  <w:rFonts w:ascii="Arial" w:hAnsi="Arial" w:cs="Arial"/>
                  <w:sz w:val="18"/>
                  <w:szCs w:val="18"/>
                  <w:lang w:val="en-GB"/>
                </w:rPr>
                <w:t>http://www.fsc.gi/news/distributed-ledger-technology-dlt-regulatory-framework-270</w:t>
              </w:r>
            </w:hyperlink>
            <w:r w:rsidRPr="007A3793">
              <w:rPr>
                <w:lang w:val="en-GB"/>
              </w:rPr>
              <w:t xml:space="preserve"> </w:t>
            </w:r>
          </w:p>
        </w:tc>
      </w:tr>
      <w:tr w:rsidR="006C7B06" w:rsidRPr="007A3793" w14:paraId="71C92AFA" w14:textId="77777777" w:rsidTr="00325CA1">
        <w:tc>
          <w:tcPr>
            <w:tcW w:w="2410" w:type="dxa"/>
          </w:tcPr>
          <w:p w14:paraId="71C92AF8" w14:textId="68B51064" w:rsidR="006C7B06" w:rsidRPr="007A3793" w:rsidRDefault="006C7B06" w:rsidP="000B207E">
            <w:pPr>
              <w:spacing w:before="0" w:after="240"/>
              <w:rPr>
                <w:lang w:val="en-GB"/>
              </w:rPr>
            </w:pPr>
            <w:r w:rsidRPr="007A3793">
              <w:rPr>
                <w:lang w:val="en-GB"/>
              </w:rPr>
              <w:t>[</w:t>
            </w:r>
            <w:bookmarkStart w:id="239" w:name="grassi"/>
            <w:r w:rsidR="00CD1179">
              <w:rPr>
                <w:lang w:val="en-GB"/>
              </w:rPr>
              <w:t>b</w:t>
            </w:r>
            <w:r w:rsidR="00CD1179">
              <w:rPr>
                <w:lang w:val="en-GB"/>
              </w:rPr>
              <w:noBreakHyphen/>
            </w:r>
            <w:r w:rsidRPr="007A3793">
              <w:rPr>
                <w:lang w:val="en-GB"/>
              </w:rPr>
              <w:t>Grassi</w:t>
            </w:r>
            <w:bookmarkEnd w:id="239"/>
            <w:r w:rsidRPr="007A3793">
              <w:rPr>
                <w:lang w:val="en-GB"/>
              </w:rPr>
              <w:t>]</w:t>
            </w:r>
          </w:p>
        </w:tc>
        <w:tc>
          <w:tcPr>
            <w:tcW w:w="7465" w:type="dxa"/>
          </w:tcPr>
          <w:p w14:paraId="71C92AF9" w14:textId="289D1DF1" w:rsidR="006C7B06" w:rsidRPr="007A3793" w:rsidRDefault="006C7B06" w:rsidP="007A3793">
            <w:pPr>
              <w:spacing w:before="0" w:after="240"/>
              <w:rPr>
                <w:lang w:val="en-GB"/>
              </w:rPr>
            </w:pPr>
            <w:r w:rsidRPr="007A3793">
              <w:rPr>
                <w:lang w:val="en-GB"/>
              </w:rPr>
              <w:t xml:space="preserve">Grassi P., Fenton, J., Newton, E., </w:t>
            </w:r>
            <w:proofErr w:type="spellStart"/>
            <w:r w:rsidRPr="007A3793">
              <w:rPr>
                <w:lang w:val="en-GB"/>
              </w:rPr>
              <w:t>Perlner</w:t>
            </w:r>
            <w:proofErr w:type="spellEnd"/>
            <w:r w:rsidRPr="007A3793">
              <w:rPr>
                <w:lang w:val="en-GB"/>
              </w:rPr>
              <w:t xml:space="preserve">, R., et al. (2017). </w:t>
            </w:r>
            <w:r w:rsidRPr="007A3793">
              <w:rPr>
                <w:i/>
                <w:lang w:val="en-GB"/>
              </w:rPr>
              <w:t xml:space="preserve">Digital Identity Guidelines Authentication and Lifecycle Management. </w:t>
            </w:r>
            <w:r w:rsidRPr="007A3793">
              <w:rPr>
                <w:lang w:val="en-GB"/>
              </w:rPr>
              <w:t xml:space="preserve"> NIST Special Publication 800-63B. Available at:  </w:t>
            </w:r>
            <w:hyperlink r:id="rId52" w:history="1">
              <w:r w:rsidR="008B6ABA">
                <w:rPr>
                  <w:rStyle w:val="Hyperlink"/>
                  <w:rFonts w:ascii="Arial" w:hAnsi="Arial" w:cs="Arial"/>
                  <w:sz w:val="18"/>
                  <w:szCs w:val="18"/>
                  <w:lang w:val="en-GB"/>
                </w:rPr>
                <w:t>https://nvlpubs.nist.gov/nistpubs/SpecialPublications/NIST.SP.800-63b.pdf</w:t>
              </w:r>
            </w:hyperlink>
            <w:r w:rsidRPr="007A3793">
              <w:rPr>
                <w:lang w:val="en-GB"/>
              </w:rPr>
              <w:t xml:space="preserve"> </w:t>
            </w:r>
          </w:p>
        </w:tc>
      </w:tr>
      <w:tr w:rsidR="006C7B06" w:rsidRPr="007A3793" w14:paraId="71C92AFD" w14:textId="77777777" w:rsidTr="00325CA1">
        <w:tc>
          <w:tcPr>
            <w:tcW w:w="2410" w:type="dxa"/>
          </w:tcPr>
          <w:p w14:paraId="71C92AFB" w14:textId="083E79C7" w:rsidR="006C7B06" w:rsidRPr="007A3793" w:rsidRDefault="006C7B06" w:rsidP="000B207E">
            <w:pPr>
              <w:spacing w:before="0" w:after="240"/>
              <w:rPr>
                <w:lang w:val="en-GB"/>
              </w:rPr>
            </w:pPr>
            <w:r w:rsidRPr="007A3793">
              <w:rPr>
                <w:lang w:val="en-GB"/>
              </w:rPr>
              <w:t>[</w:t>
            </w:r>
            <w:bookmarkStart w:id="240" w:name="griffina"/>
            <w:r w:rsidR="00CD1179">
              <w:rPr>
                <w:lang w:val="en-GB"/>
              </w:rPr>
              <w:t>b</w:t>
            </w:r>
            <w:r w:rsidR="00CD1179">
              <w:rPr>
                <w:lang w:val="en-GB"/>
              </w:rPr>
              <w:noBreakHyphen/>
            </w:r>
            <w:r w:rsidRPr="007A3793">
              <w:rPr>
                <w:lang w:val="en-GB"/>
              </w:rPr>
              <w:t>Griffin-a</w:t>
            </w:r>
            <w:bookmarkEnd w:id="240"/>
            <w:r w:rsidRPr="007A3793">
              <w:rPr>
                <w:lang w:val="en-GB"/>
              </w:rPr>
              <w:t>]</w:t>
            </w:r>
          </w:p>
        </w:tc>
        <w:tc>
          <w:tcPr>
            <w:tcW w:w="7465" w:type="dxa"/>
          </w:tcPr>
          <w:p w14:paraId="71C92AFC" w14:textId="1D4B6445" w:rsidR="006C7B06" w:rsidRPr="007A3793" w:rsidRDefault="006C7B06" w:rsidP="007A3793">
            <w:pPr>
              <w:spacing w:before="0" w:after="240"/>
              <w:rPr>
                <w:lang w:val="en-GB"/>
              </w:rPr>
            </w:pPr>
            <w:r w:rsidRPr="007A3793">
              <w:rPr>
                <w:lang w:val="en-GB"/>
              </w:rPr>
              <w:t xml:space="preserve">Griffin, P. H. (2018) </w:t>
            </w:r>
            <w:r w:rsidRPr="007A3793">
              <w:rPr>
                <w:i/>
                <w:lang w:val="en-GB"/>
              </w:rPr>
              <w:t xml:space="preserve">An Internet of Block Things. </w:t>
            </w:r>
            <w:r w:rsidRPr="007A3793">
              <w:rPr>
                <w:lang w:val="en-GB"/>
              </w:rPr>
              <w:t xml:space="preserve">ITU Journal: ICT Discoveries, Vol. 1, No. 2. Available at: </w:t>
            </w:r>
            <w:hyperlink r:id="rId53" w:history="1">
              <w:r w:rsidR="008B6ABA">
                <w:rPr>
                  <w:rStyle w:val="Hyperlink"/>
                  <w:rFonts w:ascii="Arial" w:hAnsi="Arial" w:cs="Arial"/>
                  <w:sz w:val="18"/>
                  <w:szCs w:val="18"/>
                  <w:lang w:val="en-GB"/>
                </w:rPr>
                <w:t>https://www.itu.int/en/journal/002/Pages/01.aspx</w:t>
              </w:r>
            </w:hyperlink>
          </w:p>
        </w:tc>
      </w:tr>
      <w:tr w:rsidR="006C7B06" w:rsidRPr="007A3793" w14:paraId="71C92B00" w14:textId="77777777" w:rsidTr="00325CA1">
        <w:tc>
          <w:tcPr>
            <w:tcW w:w="2410" w:type="dxa"/>
          </w:tcPr>
          <w:p w14:paraId="71C92AFE" w14:textId="2923775E" w:rsidR="006C7B06" w:rsidRPr="007A3793" w:rsidRDefault="006C7B06" w:rsidP="000B207E">
            <w:pPr>
              <w:spacing w:before="0" w:after="240"/>
              <w:rPr>
                <w:lang w:val="en-GB"/>
              </w:rPr>
            </w:pPr>
            <w:r w:rsidRPr="007A3793">
              <w:rPr>
                <w:lang w:val="en-GB"/>
              </w:rPr>
              <w:t>[</w:t>
            </w:r>
            <w:bookmarkStart w:id="241" w:name="griffinb"/>
            <w:r w:rsidR="00CD1179">
              <w:rPr>
                <w:lang w:val="en-GB"/>
              </w:rPr>
              <w:t>b</w:t>
            </w:r>
            <w:r w:rsidR="00CD1179">
              <w:rPr>
                <w:lang w:val="en-GB"/>
              </w:rPr>
              <w:noBreakHyphen/>
            </w:r>
            <w:r w:rsidRPr="007A3793">
              <w:rPr>
                <w:lang w:val="en-GB"/>
              </w:rPr>
              <w:t>Griffin-b</w:t>
            </w:r>
            <w:bookmarkEnd w:id="241"/>
            <w:r w:rsidRPr="007A3793">
              <w:rPr>
                <w:lang w:val="en-GB"/>
              </w:rPr>
              <w:t>]</w:t>
            </w:r>
          </w:p>
        </w:tc>
        <w:tc>
          <w:tcPr>
            <w:tcW w:w="7465" w:type="dxa"/>
          </w:tcPr>
          <w:p w14:paraId="71C92AFF" w14:textId="09505F6C" w:rsidR="006C7B06" w:rsidRPr="007A3793" w:rsidRDefault="006C7B06" w:rsidP="007A3793">
            <w:pPr>
              <w:spacing w:before="0" w:after="240"/>
              <w:rPr>
                <w:lang w:val="en-GB"/>
              </w:rPr>
            </w:pPr>
            <w:r w:rsidRPr="007A3793">
              <w:rPr>
                <w:lang w:val="en-GB"/>
              </w:rPr>
              <w:t xml:space="preserve">Griffin, P. H. (2019). </w:t>
            </w:r>
            <w:r w:rsidRPr="007A3793">
              <w:rPr>
                <w:i/>
                <w:lang w:val="en-GB"/>
              </w:rPr>
              <w:t>Anonymous Digital Signatures</w:t>
            </w:r>
            <w:r w:rsidRPr="007A3793">
              <w:rPr>
                <w:lang w:val="en-GB"/>
              </w:rPr>
              <w:t xml:space="preserve">. Available at: </w:t>
            </w:r>
            <w:hyperlink r:id="rId54" w:history="1">
              <w:r w:rsidR="008B6ABA">
                <w:rPr>
                  <w:rStyle w:val="Hyperlink"/>
                  <w:rFonts w:ascii="Arial" w:hAnsi="Arial" w:cs="Arial"/>
                  <w:sz w:val="18"/>
                  <w:szCs w:val="18"/>
                  <w:lang w:val="en-GB"/>
                </w:rPr>
                <w:t>https://mydigitalpublication.com/publication/?i=572762&amp;article_id=3335313&amp;view=articleBrowser&amp;ver=html5#{"issue_id":572762,"view":"articleBrowser","article_id":"3335313"}</w:t>
              </w:r>
            </w:hyperlink>
            <w:r w:rsidRPr="007A3793">
              <w:rPr>
                <w:lang w:val="en-GB"/>
              </w:rPr>
              <w:t xml:space="preserve"> </w:t>
            </w:r>
          </w:p>
        </w:tc>
      </w:tr>
      <w:tr w:rsidR="006C7B06" w:rsidRPr="007A3793" w14:paraId="71C92B03" w14:textId="77777777" w:rsidTr="00325CA1">
        <w:tc>
          <w:tcPr>
            <w:tcW w:w="2410" w:type="dxa"/>
          </w:tcPr>
          <w:p w14:paraId="71C92B01" w14:textId="2C780372" w:rsidR="006C7B06" w:rsidRPr="007A3793" w:rsidRDefault="006C7B06" w:rsidP="000B207E">
            <w:pPr>
              <w:spacing w:before="0" w:after="240"/>
              <w:rPr>
                <w:lang w:val="en-GB"/>
              </w:rPr>
            </w:pPr>
            <w:r w:rsidRPr="007A3793">
              <w:rPr>
                <w:lang w:val="en-GB"/>
              </w:rPr>
              <w:t>[</w:t>
            </w:r>
            <w:bookmarkStart w:id="242" w:name="grover"/>
            <w:r w:rsidR="00CD1179">
              <w:rPr>
                <w:lang w:val="en-GB"/>
              </w:rPr>
              <w:t>b</w:t>
            </w:r>
            <w:r w:rsidR="00CD1179">
              <w:rPr>
                <w:lang w:val="en-GB"/>
              </w:rPr>
              <w:noBreakHyphen/>
            </w:r>
            <w:r w:rsidRPr="007A3793">
              <w:rPr>
                <w:lang w:val="en-GB"/>
              </w:rPr>
              <w:t>Grover</w:t>
            </w:r>
            <w:bookmarkEnd w:id="242"/>
            <w:r w:rsidRPr="007A3793">
              <w:rPr>
                <w:lang w:val="en-GB"/>
              </w:rPr>
              <w:t>]</w:t>
            </w:r>
          </w:p>
        </w:tc>
        <w:tc>
          <w:tcPr>
            <w:tcW w:w="7465" w:type="dxa"/>
          </w:tcPr>
          <w:p w14:paraId="71C92B02" w14:textId="5D47BB49" w:rsidR="006C7B06" w:rsidRPr="007A3793" w:rsidRDefault="006C7B06" w:rsidP="007A3793">
            <w:pPr>
              <w:spacing w:before="0" w:after="240"/>
              <w:rPr>
                <w:lang w:val="en-GB"/>
              </w:rPr>
            </w:pPr>
            <w:r w:rsidRPr="007A3793">
              <w:rPr>
                <w:lang w:val="en-GB"/>
              </w:rPr>
              <w:t xml:space="preserve">Grover, L. K. (1996). </w:t>
            </w:r>
            <w:r w:rsidRPr="007A3793">
              <w:rPr>
                <w:i/>
                <w:lang w:val="en-GB"/>
              </w:rPr>
              <w:t xml:space="preserve">A Fast Quantum Mechanical Algorithm for Database Search. </w:t>
            </w:r>
            <w:r w:rsidRPr="007A3793">
              <w:rPr>
                <w:lang w:val="en-GB"/>
              </w:rPr>
              <w:t xml:space="preserve">Available at: </w:t>
            </w:r>
            <w:hyperlink r:id="rId55" w:history="1">
              <w:r w:rsidR="008B6ABA">
                <w:rPr>
                  <w:rStyle w:val="Hyperlink"/>
                  <w:rFonts w:ascii="Arial" w:hAnsi="Arial" w:cs="Arial"/>
                  <w:sz w:val="18"/>
                  <w:szCs w:val="18"/>
                  <w:lang w:val="en-GB"/>
                </w:rPr>
                <w:t>https://arxiv.org/abs/quant-ph/9605043</w:t>
              </w:r>
            </w:hyperlink>
            <w:r w:rsidRPr="007A3793">
              <w:rPr>
                <w:lang w:val="en-GB"/>
              </w:rPr>
              <w:t xml:space="preserve"> </w:t>
            </w:r>
            <w:r w:rsidRPr="007A3793">
              <w:rPr>
                <w:i/>
                <w:lang w:val="en-GB"/>
              </w:rPr>
              <w:t xml:space="preserve"> </w:t>
            </w:r>
          </w:p>
        </w:tc>
      </w:tr>
      <w:tr w:rsidR="006C7B06" w:rsidRPr="007A3793" w14:paraId="71C92B06" w14:textId="77777777" w:rsidTr="00325CA1">
        <w:tc>
          <w:tcPr>
            <w:tcW w:w="2410" w:type="dxa"/>
          </w:tcPr>
          <w:p w14:paraId="71C92B04" w14:textId="11BE1BE4" w:rsidR="006C7B06" w:rsidRPr="007A3793" w:rsidRDefault="006C7B06" w:rsidP="000B207E">
            <w:pPr>
              <w:spacing w:before="0" w:after="240"/>
              <w:rPr>
                <w:lang w:val="en-GB"/>
              </w:rPr>
            </w:pPr>
            <w:r w:rsidRPr="007A3793">
              <w:rPr>
                <w:lang w:val="en-GB"/>
              </w:rPr>
              <w:t>[</w:t>
            </w:r>
            <w:bookmarkStart w:id="243" w:name="hassan"/>
            <w:r w:rsidR="00CD1179">
              <w:rPr>
                <w:lang w:val="en-GB"/>
              </w:rPr>
              <w:t>b</w:t>
            </w:r>
            <w:r w:rsidR="00CD1179">
              <w:rPr>
                <w:lang w:val="en-GB"/>
              </w:rPr>
              <w:noBreakHyphen/>
            </w:r>
            <w:r w:rsidRPr="007A3793">
              <w:rPr>
                <w:lang w:val="en-GB"/>
              </w:rPr>
              <w:t>Hassan</w:t>
            </w:r>
            <w:bookmarkEnd w:id="243"/>
            <w:r w:rsidRPr="007A3793">
              <w:rPr>
                <w:lang w:val="en-GB"/>
              </w:rPr>
              <w:t>]</w:t>
            </w:r>
          </w:p>
        </w:tc>
        <w:tc>
          <w:tcPr>
            <w:tcW w:w="7465" w:type="dxa"/>
          </w:tcPr>
          <w:p w14:paraId="71C92B05" w14:textId="735FE89C" w:rsidR="006C7B06" w:rsidRPr="007A3793" w:rsidRDefault="006C7B06" w:rsidP="007A3793">
            <w:pPr>
              <w:spacing w:before="0" w:after="240"/>
              <w:rPr>
                <w:lang w:val="en-GB"/>
              </w:rPr>
            </w:pPr>
            <w:r w:rsidRPr="007A3793">
              <w:rPr>
                <w:lang w:val="en-GB"/>
              </w:rPr>
              <w:t xml:space="preserve">Hassan, S. &amp; De </w:t>
            </w:r>
            <w:proofErr w:type="spellStart"/>
            <w:r w:rsidRPr="007A3793">
              <w:rPr>
                <w:lang w:val="en-GB"/>
              </w:rPr>
              <w:t>Filippi</w:t>
            </w:r>
            <w:proofErr w:type="spellEnd"/>
            <w:r w:rsidRPr="007A3793">
              <w:rPr>
                <w:lang w:val="en-GB"/>
              </w:rPr>
              <w:t xml:space="preserve">, P. (2017). </w:t>
            </w:r>
            <w:r w:rsidRPr="007A3793">
              <w:rPr>
                <w:i/>
                <w:lang w:val="en-GB"/>
              </w:rPr>
              <w:t>The Expansion of Algorithmic Governance: From Code is Law to Law is Code.</w:t>
            </w:r>
            <w:r w:rsidRPr="007A3793">
              <w:rPr>
                <w:lang w:val="en-GB"/>
              </w:rPr>
              <w:t xml:space="preserve"> Field Actions Science Reports: The Journal of Field Actions. Special issue 17: Artificial Intelligence and Robotics in the City. Open Edition Journals. Available at: </w:t>
            </w:r>
            <w:hyperlink r:id="rId56" w:history="1">
              <w:r w:rsidR="008B6ABA">
                <w:rPr>
                  <w:rStyle w:val="Hyperlink"/>
                  <w:rFonts w:ascii="Arial" w:hAnsi="Arial" w:cs="Arial"/>
                  <w:sz w:val="18"/>
                  <w:szCs w:val="18"/>
                  <w:lang w:val="en-GB"/>
                </w:rPr>
                <w:t>https://ssrn.com/abstract=3117630</w:t>
              </w:r>
            </w:hyperlink>
            <w:r w:rsidRPr="007A3793">
              <w:rPr>
                <w:lang w:val="en-GB"/>
              </w:rPr>
              <w:t xml:space="preserve"> </w:t>
            </w:r>
          </w:p>
        </w:tc>
      </w:tr>
      <w:tr w:rsidR="006C7B06" w:rsidRPr="007A3793" w14:paraId="71C92B09" w14:textId="77777777" w:rsidTr="00325CA1">
        <w:tc>
          <w:tcPr>
            <w:tcW w:w="2410" w:type="dxa"/>
          </w:tcPr>
          <w:p w14:paraId="71C92B07" w14:textId="19B51ECF" w:rsidR="006C7B06" w:rsidRPr="007A3793" w:rsidRDefault="006C7B06" w:rsidP="000B207E">
            <w:pPr>
              <w:spacing w:before="0" w:after="240"/>
              <w:rPr>
                <w:lang w:val="en-GB"/>
              </w:rPr>
            </w:pPr>
            <w:r w:rsidRPr="007A3793">
              <w:rPr>
                <w:lang w:val="en-GB"/>
              </w:rPr>
              <w:t>[</w:t>
            </w:r>
            <w:bookmarkStart w:id="244" w:name="ibaneza"/>
            <w:proofErr w:type="spellStart"/>
            <w:r w:rsidR="00CD1179">
              <w:rPr>
                <w:lang w:val="en-GB"/>
              </w:rPr>
              <w:t>b</w:t>
            </w:r>
            <w:r w:rsidR="00CD1179">
              <w:rPr>
                <w:lang w:val="en-GB"/>
              </w:rPr>
              <w:noBreakHyphen/>
            </w:r>
            <w:r w:rsidRPr="007A3793">
              <w:rPr>
                <w:lang w:val="en-GB"/>
              </w:rPr>
              <w:t>Ibáñez-a</w:t>
            </w:r>
            <w:bookmarkEnd w:id="244"/>
            <w:proofErr w:type="spellEnd"/>
            <w:r w:rsidRPr="007A3793">
              <w:rPr>
                <w:lang w:val="en-GB"/>
              </w:rPr>
              <w:t>]</w:t>
            </w:r>
          </w:p>
        </w:tc>
        <w:tc>
          <w:tcPr>
            <w:tcW w:w="7465" w:type="dxa"/>
          </w:tcPr>
          <w:p w14:paraId="71C92B08" w14:textId="77777777" w:rsidR="006C7B06" w:rsidRPr="007A3793" w:rsidRDefault="006C7B06" w:rsidP="007A3793">
            <w:pPr>
              <w:spacing w:before="0" w:after="240"/>
              <w:rPr>
                <w:lang w:val="en-GB"/>
              </w:rPr>
            </w:pPr>
            <w:proofErr w:type="spellStart"/>
            <w:r w:rsidRPr="007A3793">
              <w:rPr>
                <w:lang w:val="en-GB"/>
              </w:rPr>
              <w:t>Ibáñez</w:t>
            </w:r>
            <w:proofErr w:type="spellEnd"/>
            <w:r w:rsidRPr="007A3793">
              <w:rPr>
                <w:lang w:val="en-GB"/>
              </w:rPr>
              <w:t xml:space="preserve">, J. &amp; </w:t>
            </w:r>
            <w:proofErr w:type="spellStart"/>
            <w:r w:rsidRPr="007A3793">
              <w:rPr>
                <w:lang w:val="en-GB"/>
              </w:rPr>
              <w:t>Wenceslao</w:t>
            </w:r>
            <w:proofErr w:type="spellEnd"/>
            <w:r w:rsidRPr="007A3793">
              <w:rPr>
                <w:lang w:val="en-GB"/>
              </w:rPr>
              <w:t xml:space="preserve">, J. (2018). </w:t>
            </w:r>
            <w:proofErr w:type="spellStart"/>
            <w:r w:rsidRPr="007A3793">
              <w:rPr>
                <w:i/>
                <w:lang w:val="en-GB"/>
              </w:rPr>
              <w:t>Derecho</w:t>
            </w:r>
            <w:proofErr w:type="spellEnd"/>
            <w:r w:rsidRPr="007A3793">
              <w:rPr>
                <w:i/>
                <w:lang w:val="en-GB"/>
              </w:rPr>
              <w:t xml:space="preserve"> de Blockchain y de la </w:t>
            </w:r>
            <w:proofErr w:type="spellStart"/>
            <w:r w:rsidRPr="007A3793">
              <w:rPr>
                <w:i/>
                <w:lang w:val="en-GB"/>
              </w:rPr>
              <w:t>Tecnología</w:t>
            </w:r>
            <w:proofErr w:type="spellEnd"/>
            <w:r w:rsidRPr="007A3793">
              <w:rPr>
                <w:i/>
                <w:lang w:val="en-GB"/>
              </w:rPr>
              <w:t xml:space="preserve"> de </w:t>
            </w:r>
            <w:proofErr w:type="spellStart"/>
            <w:r w:rsidRPr="007A3793">
              <w:rPr>
                <w:i/>
                <w:lang w:val="en-GB"/>
              </w:rPr>
              <w:t>Registros</w:t>
            </w:r>
            <w:proofErr w:type="spellEnd"/>
            <w:r w:rsidRPr="007A3793">
              <w:rPr>
                <w:i/>
                <w:lang w:val="en-GB"/>
              </w:rPr>
              <w:t xml:space="preserve"> </w:t>
            </w:r>
            <w:proofErr w:type="spellStart"/>
            <w:r w:rsidRPr="007A3793">
              <w:rPr>
                <w:i/>
                <w:lang w:val="en-GB"/>
              </w:rPr>
              <w:t>Distribuidos</w:t>
            </w:r>
            <w:proofErr w:type="spellEnd"/>
            <w:r w:rsidRPr="007A3793">
              <w:rPr>
                <w:lang w:val="en-GB"/>
              </w:rPr>
              <w:t xml:space="preserve">. </w:t>
            </w:r>
            <w:proofErr w:type="spellStart"/>
            <w:r w:rsidRPr="007A3793">
              <w:rPr>
                <w:lang w:val="en-GB"/>
              </w:rPr>
              <w:t>Cizur</w:t>
            </w:r>
            <w:proofErr w:type="spellEnd"/>
            <w:r w:rsidRPr="007A3793">
              <w:rPr>
                <w:lang w:val="en-GB"/>
              </w:rPr>
              <w:t xml:space="preserve"> </w:t>
            </w:r>
            <w:proofErr w:type="spellStart"/>
            <w:r w:rsidRPr="007A3793">
              <w:rPr>
                <w:lang w:val="en-GB"/>
              </w:rPr>
              <w:t>Menor</w:t>
            </w:r>
            <w:proofErr w:type="spellEnd"/>
            <w:r w:rsidRPr="007A3793">
              <w:rPr>
                <w:lang w:val="en-GB"/>
              </w:rPr>
              <w:t xml:space="preserve"> (Navarra): </w:t>
            </w:r>
            <w:proofErr w:type="spellStart"/>
            <w:r w:rsidRPr="007A3793">
              <w:rPr>
                <w:lang w:val="en-GB"/>
              </w:rPr>
              <w:t>Aranzadi</w:t>
            </w:r>
            <w:proofErr w:type="spellEnd"/>
            <w:r w:rsidRPr="007A3793">
              <w:rPr>
                <w:lang w:val="en-GB"/>
              </w:rPr>
              <w:t>.</w:t>
            </w:r>
          </w:p>
        </w:tc>
      </w:tr>
      <w:tr w:rsidR="006C7B06" w:rsidRPr="007A3793" w14:paraId="71C92B0C" w14:textId="77777777" w:rsidTr="00325CA1">
        <w:tc>
          <w:tcPr>
            <w:tcW w:w="2410" w:type="dxa"/>
          </w:tcPr>
          <w:p w14:paraId="71C92B0A" w14:textId="73679932" w:rsidR="006C7B06" w:rsidRPr="007A3793" w:rsidRDefault="006C7B06" w:rsidP="000B207E">
            <w:pPr>
              <w:spacing w:before="0" w:after="240"/>
              <w:rPr>
                <w:lang w:val="en-GB"/>
              </w:rPr>
            </w:pPr>
            <w:r w:rsidRPr="007A3793">
              <w:rPr>
                <w:lang w:val="en-GB"/>
              </w:rPr>
              <w:t>[</w:t>
            </w:r>
            <w:bookmarkStart w:id="245" w:name="ibanezb"/>
            <w:proofErr w:type="spellStart"/>
            <w:r w:rsidR="00CD1179">
              <w:rPr>
                <w:lang w:val="en-GB"/>
              </w:rPr>
              <w:t>b</w:t>
            </w:r>
            <w:r w:rsidR="00CD1179">
              <w:rPr>
                <w:lang w:val="en-GB"/>
              </w:rPr>
              <w:noBreakHyphen/>
            </w:r>
            <w:r w:rsidRPr="007A3793">
              <w:rPr>
                <w:lang w:val="en-GB"/>
              </w:rPr>
              <w:t>Ibáñez-b</w:t>
            </w:r>
            <w:bookmarkEnd w:id="245"/>
            <w:proofErr w:type="spellEnd"/>
            <w:r w:rsidRPr="007A3793">
              <w:rPr>
                <w:lang w:val="en-GB"/>
              </w:rPr>
              <w:t>]</w:t>
            </w:r>
          </w:p>
        </w:tc>
        <w:tc>
          <w:tcPr>
            <w:tcW w:w="7465" w:type="dxa"/>
          </w:tcPr>
          <w:p w14:paraId="71C92B0B" w14:textId="77777777" w:rsidR="006C7B06" w:rsidRPr="007A3793" w:rsidRDefault="006C7B06" w:rsidP="007A3793">
            <w:pPr>
              <w:spacing w:before="0" w:after="240"/>
              <w:rPr>
                <w:lang w:val="en-GB"/>
              </w:rPr>
            </w:pPr>
            <w:proofErr w:type="spellStart"/>
            <w:r w:rsidRPr="007A3793">
              <w:rPr>
                <w:lang w:val="en-GB"/>
              </w:rPr>
              <w:t>Ibáñez</w:t>
            </w:r>
            <w:proofErr w:type="spellEnd"/>
            <w:r w:rsidRPr="007A3793">
              <w:rPr>
                <w:lang w:val="en-GB"/>
              </w:rPr>
              <w:t xml:space="preserve">, J. &amp; </w:t>
            </w:r>
            <w:proofErr w:type="spellStart"/>
            <w:r w:rsidRPr="007A3793">
              <w:rPr>
                <w:lang w:val="en-GB"/>
              </w:rPr>
              <w:t>Wenceslao</w:t>
            </w:r>
            <w:proofErr w:type="spellEnd"/>
            <w:r w:rsidRPr="007A3793">
              <w:rPr>
                <w:lang w:val="en-GB"/>
              </w:rPr>
              <w:t xml:space="preserve">, J. (2018). </w:t>
            </w:r>
            <w:r w:rsidRPr="007A3793">
              <w:rPr>
                <w:i/>
                <w:lang w:val="en-GB"/>
              </w:rPr>
              <w:t xml:space="preserve">Blockchain: </w:t>
            </w:r>
            <w:proofErr w:type="spellStart"/>
            <w:r w:rsidRPr="007A3793">
              <w:rPr>
                <w:i/>
                <w:lang w:val="en-GB"/>
              </w:rPr>
              <w:t>Primeras</w:t>
            </w:r>
            <w:proofErr w:type="spellEnd"/>
            <w:r w:rsidRPr="007A3793">
              <w:rPr>
                <w:i/>
                <w:lang w:val="en-GB"/>
              </w:rPr>
              <w:t xml:space="preserve"> </w:t>
            </w:r>
            <w:proofErr w:type="spellStart"/>
            <w:r w:rsidRPr="007A3793">
              <w:rPr>
                <w:i/>
                <w:lang w:val="en-GB"/>
              </w:rPr>
              <w:t>Cuestiones</w:t>
            </w:r>
            <w:proofErr w:type="spellEnd"/>
            <w:r w:rsidRPr="007A3793">
              <w:rPr>
                <w:i/>
                <w:lang w:val="en-GB"/>
              </w:rPr>
              <w:t xml:space="preserve"> </w:t>
            </w:r>
            <w:proofErr w:type="spellStart"/>
            <w:r w:rsidRPr="007A3793">
              <w:rPr>
                <w:i/>
                <w:lang w:val="en-GB"/>
              </w:rPr>
              <w:t>en</w:t>
            </w:r>
            <w:proofErr w:type="spellEnd"/>
            <w:r w:rsidRPr="007A3793">
              <w:rPr>
                <w:i/>
                <w:lang w:val="en-GB"/>
              </w:rPr>
              <w:t xml:space="preserve"> el </w:t>
            </w:r>
            <w:proofErr w:type="spellStart"/>
            <w:r w:rsidRPr="007A3793">
              <w:rPr>
                <w:i/>
                <w:lang w:val="en-GB"/>
              </w:rPr>
              <w:t>Ordenamiento</w:t>
            </w:r>
            <w:proofErr w:type="spellEnd"/>
            <w:r w:rsidRPr="007A3793">
              <w:rPr>
                <w:i/>
                <w:lang w:val="en-GB"/>
              </w:rPr>
              <w:t xml:space="preserve"> </w:t>
            </w:r>
            <w:proofErr w:type="spellStart"/>
            <w:r w:rsidRPr="007A3793">
              <w:rPr>
                <w:i/>
                <w:lang w:val="en-GB"/>
              </w:rPr>
              <w:t>Español</w:t>
            </w:r>
            <w:proofErr w:type="spellEnd"/>
            <w:r w:rsidRPr="007A3793">
              <w:rPr>
                <w:i/>
                <w:lang w:val="en-GB"/>
              </w:rPr>
              <w:t>.</w:t>
            </w:r>
            <w:r w:rsidRPr="007A3793">
              <w:rPr>
                <w:lang w:val="en-GB"/>
              </w:rPr>
              <w:t xml:space="preserve"> </w:t>
            </w:r>
            <w:proofErr w:type="spellStart"/>
            <w:r w:rsidRPr="007A3793">
              <w:rPr>
                <w:lang w:val="en-GB"/>
              </w:rPr>
              <w:t>Dykinson</w:t>
            </w:r>
            <w:proofErr w:type="spellEnd"/>
            <w:r w:rsidRPr="007A3793">
              <w:rPr>
                <w:lang w:val="en-GB"/>
              </w:rPr>
              <w:t xml:space="preserve">, Madrid. </w:t>
            </w:r>
          </w:p>
        </w:tc>
      </w:tr>
      <w:tr w:rsidR="006C7B06" w:rsidRPr="007A3793" w14:paraId="71C92B0F" w14:textId="77777777" w:rsidTr="00325CA1">
        <w:tc>
          <w:tcPr>
            <w:tcW w:w="2410" w:type="dxa"/>
          </w:tcPr>
          <w:p w14:paraId="71C92B0D" w14:textId="2D296AB6" w:rsidR="006C7B06" w:rsidRPr="007A3793" w:rsidRDefault="006C7B06" w:rsidP="000B207E">
            <w:pPr>
              <w:spacing w:before="0" w:after="240"/>
              <w:rPr>
                <w:lang w:val="en-GB"/>
              </w:rPr>
            </w:pPr>
            <w:r w:rsidRPr="007A3793">
              <w:rPr>
                <w:lang w:val="en-GB"/>
              </w:rPr>
              <w:t>[</w:t>
            </w:r>
            <w:bookmarkStart w:id="246" w:name="isoiec20008"/>
            <w:r w:rsidR="00CD1179">
              <w:rPr>
                <w:lang w:val="en-GB"/>
              </w:rPr>
              <w:t>b</w:t>
            </w:r>
            <w:r w:rsidR="00CD1179">
              <w:rPr>
                <w:lang w:val="en-GB"/>
              </w:rPr>
              <w:noBreakHyphen/>
            </w:r>
            <w:r w:rsidRPr="007A3793">
              <w:rPr>
                <w:lang w:val="en-GB"/>
              </w:rPr>
              <w:t>ISO/IEC 20008</w:t>
            </w:r>
            <w:bookmarkEnd w:id="246"/>
            <w:r w:rsidRPr="007A3793">
              <w:rPr>
                <w:lang w:val="en-GB"/>
              </w:rPr>
              <w:t>]</w:t>
            </w:r>
          </w:p>
        </w:tc>
        <w:tc>
          <w:tcPr>
            <w:tcW w:w="7465" w:type="dxa"/>
          </w:tcPr>
          <w:p w14:paraId="71C92B0E" w14:textId="7C20A5B0" w:rsidR="006C7B06" w:rsidRPr="007A3793" w:rsidRDefault="006C7B06" w:rsidP="007A3793">
            <w:pPr>
              <w:spacing w:before="0" w:after="240"/>
              <w:rPr>
                <w:lang w:val="en-GB"/>
              </w:rPr>
            </w:pPr>
            <w:r w:rsidRPr="007A3793">
              <w:rPr>
                <w:lang w:val="en-GB"/>
              </w:rPr>
              <w:t xml:space="preserve">ISO/IEC 20008 (2013) </w:t>
            </w:r>
            <w:r w:rsidRPr="007A3793">
              <w:rPr>
                <w:i/>
                <w:lang w:val="en-GB"/>
              </w:rPr>
              <w:t xml:space="preserve">Information technology -- Security techniques -- Anonymous digital signatures. </w:t>
            </w:r>
            <w:r w:rsidRPr="007A3793">
              <w:rPr>
                <w:lang w:val="en-GB"/>
              </w:rPr>
              <w:t xml:space="preserve">Available at: </w:t>
            </w:r>
            <w:hyperlink r:id="rId57" w:history="1">
              <w:r w:rsidR="008B6ABA">
                <w:rPr>
                  <w:rStyle w:val="Hyperlink"/>
                  <w:rFonts w:ascii="Arial" w:hAnsi="Arial" w:cs="Arial"/>
                  <w:sz w:val="18"/>
                  <w:szCs w:val="18"/>
                  <w:lang w:val="en-GB"/>
                </w:rPr>
                <w:t>https://www.iso.org/standard/56916.html</w:t>
              </w:r>
            </w:hyperlink>
            <w:r w:rsidRPr="007A3793">
              <w:rPr>
                <w:lang w:val="en-GB"/>
              </w:rPr>
              <w:t xml:space="preserve"> </w:t>
            </w:r>
          </w:p>
        </w:tc>
      </w:tr>
      <w:tr w:rsidR="006C7B06" w:rsidRPr="007A3793" w14:paraId="71C92B12" w14:textId="77777777" w:rsidTr="00325CA1">
        <w:tc>
          <w:tcPr>
            <w:tcW w:w="2410" w:type="dxa"/>
          </w:tcPr>
          <w:p w14:paraId="71C92B10" w14:textId="1A336C34" w:rsidR="006C7B06" w:rsidRPr="007A3793" w:rsidRDefault="006C7B06" w:rsidP="000B207E">
            <w:pPr>
              <w:spacing w:before="0" w:after="240"/>
              <w:rPr>
                <w:lang w:val="en-GB"/>
              </w:rPr>
            </w:pPr>
            <w:r w:rsidRPr="007A3793">
              <w:rPr>
                <w:lang w:val="en-GB"/>
              </w:rPr>
              <w:lastRenderedPageBreak/>
              <w:t>[</w:t>
            </w:r>
            <w:bookmarkStart w:id="247" w:name="iso16759"/>
            <w:r w:rsidR="00CD1179">
              <w:rPr>
                <w:lang w:val="en-GB"/>
              </w:rPr>
              <w:t>b</w:t>
            </w:r>
            <w:r w:rsidR="00CD1179">
              <w:rPr>
                <w:lang w:val="en-GB"/>
              </w:rPr>
              <w:noBreakHyphen/>
            </w:r>
            <w:r w:rsidRPr="007A3793">
              <w:rPr>
                <w:lang w:val="en-GB"/>
              </w:rPr>
              <w:t>ISO 16759:2013</w:t>
            </w:r>
            <w:bookmarkEnd w:id="247"/>
            <w:r w:rsidRPr="007A3793">
              <w:rPr>
                <w:lang w:val="en-GB"/>
              </w:rPr>
              <w:t>]</w:t>
            </w:r>
          </w:p>
        </w:tc>
        <w:tc>
          <w:tcPr>
            <w:tcW w:w="7465" w:type="dxa"/>
          </w:tcPr>
          <w:p w14:paraId="71C92B11" w14:textId="3161CDD9" w:rsidR="006C7B06" w:rsidRPr="007A3793" w:rsidRDefault="006C7B06" w:rsidP="007A3793">
            <w:pPr>
              <w:spacing w:before="0" w:after="240"/>
              <w:rPr>
                <w:lang w:val="en-GB"/>
              </w:rPr>
            </w:pPr>
            <w:r w:rsidRPr="007A3793">
              <w:rPr>
                <w:lang w:val="en-GB"/>
              </w:rPr>
              <w:t xml:space="preserve">ISO 16759:2013 (2018). </w:t>
            </w:r>
            <w:r w:rsidRPr="007A3793">
              <w:rPr>
                <w:i/>
                <w:lang w:val="en-GB"/>
              </w:rPr>
              <w:t xml:space="preserve">Graphic Technology -- Quantification and Communication for Calculating </w:t>
            </w:r>
            <w:proofErr w:type="gramStart"/>
            <w:r w:rsidRPr="007A3793">
              <w:rPr>
                <w:i/>
                <w:lang w:val="en-GB"/>
              </w:rPr>
              <w:t>The</w:t>
            </w:r>
            <w:proofErr w:type="gramEnd"/>
            <w:r w:rsidRPr="007A3793">
              <w:rPr>
                <w:i/>
                <w:lang w:val="en-GB"/>
              </w:rPr>
              <w:t xml:space="preserve"> Carbon Footprint of Print Media Products. </w:t>
            </w:r>
            <w:r w:rsidRPr="007A3793">
              <w:rPr>
                <w:lang w:val="en-GB"/>
              </w:rPr>
              <w:t xml:space="preserve">Available at: </w:t>
            </w:r>
            <w:hyperlink r:id="rId58" w:history="1">
              <w:r w:rsidR="008B6ABA">
                <w:rPr>
                  <w:rStyle w:val="Hyperlink"/>
                  <w:rFonts w:ascii="Arial" w:hAnsi="Arial" w:cs="Arial"/>
                  <w:sz w:val="18"/>
                  <w:szCs w:val="18"/>
                  <w:lang w:val="en-GB"/>
                </w:rPr>
                <w:t>https://www.iso.org/standard/57615.html</w:t>
              </w:r>
            </w:hyperlink>
            <w:r w:rsidRPr="007A3793">
              <w:rPr>
                <w:lang w:val="en-GB"/>
              </w:rPr>
              <w:t xml:space="preserve"> </w:t>
            </w:r>
          </w:p>
        </w:tc>
      </w:tr>
      <w:tr w:rsidR="006C7B06" w:rsidRPr="007A3793" w14:paraId="71C92B15" w14:textId="77777777" w:rsidTr="00325CA1">
        <w:tc>
          <w:tcPr>
            <w:tcW w:w="2410" w:type="dxa"/>
          </w:tcPr>
          <w:p w14:paraId="71C92B13" w14:textId="74EB873F" w:rsidR="006C7B06" w:rsidRPr="007A3793" w:rsidRDefault="006C7B06" w:rsidP="000B207E">
            <w:pPr>
              <w:spacing w:before="0" w:after="240"/>
              <w:rPr>
                <w:lang w:val="en-GB"/>
              </w:rPr>
            </w:pPr>
            <w:r w:rsidRPr="007A3793">
              <w:rPr>
                <w:lang w:val="en-GB"/>
              </w:rPr>
              <w:t>[</w:t>
            </w:r>
            <w:bookmarkStart w:id="248" w:name="isoiec17788"/>
            <w:r w:rsidR="00CD1179">
              <w:rPr>
                <w:lang w:val="en-GB"/>
              </w:rPr>
              <w:t>b</w:t>
            </w:r>
            <w:r w:rsidR="00CD1179">
              <w:rPr>
                <w:lang w:val="en-GB"/>
              </w:rPr>
              <w:noBreakHyphen/>
            </w:r>
            <w:r w:rsidRPr="007A3793">
              <w:rPr>
                <w:lang w:val="en-GB"/>
              </w:rPr>
              <w:t>ISO/IEC 17788</w:t>
            </w:r>
            <w:bookmarkEnd w:id="248"/>
            <w:r w:rsidRPr="007A3793">
              <w:rPr>
                <w:lang w:val="en-GB"/>
              </w:rPr>
              <w:t>]</w:t>
            </w:r>
          </w:p>
        </w:tc>
        <w:tc>
          <w:tcPr>
            <w:tcW w:w="7465" w:type="dxa"/>
          </w:tcPr>
          <w:p w14:paraId="71C92B14" w14:textId="7F8A4C0C" w:rsidR="006C7B06" w:rsidRPr="007A3793" w:rsidRDefault="006C7B06" w:rsidP="007A3793">
            <w:pPr>
              <w:spacing w:before="0" w:after="240"/>
              <w:rPr>
                <w:lang w:val="en-GB"/>
              </w:rPr>
            </w:pPr>
            <w:r w:rsidRPr="007A3793">
              <w:rPr>
                <w:lang w:val="en-GB"/>
              </w:rPr>
              <w:t xml:space="preserve">ISO/IEC 17788 (2014) </w:t>
            </w:r>
            <w:r w:rsidRPr="007A3793">
              <w:rPr>
                <w:i/>
                <w:lang w:val="en-GB"/>
              </w:rPr>
              <w:t xml:space="preserve">Information Technology -- Cloud Computing -- Overview and Vocabulary. </w:t>
            </w:r>
            <w:r w:rsidRPr="007A3793">
              <w:rPr>
                <w:lang w:val="en-GB"/>
              </w:rPr>
              <w:t xml:space="preserve">Available at: </w:t>
            </w:r>
            <w:hyperlink r:id="rId59" w:history="1">
              <w:r w:rsidR="008B6ABA">
                <w:rPr>
                  <w:rStyle w:val="Hyperlink"/>
                  <w:rFonts w:ascii="Arial" w:hAnsi="Arial" w:cs="Arial"/>
                  <w:sz w:val="18"/>
                  <w:szCs w:val="18"/>
                  <w:lang w:val="en-GB"/>
                </w:rPr>
                <w:t>https://www.iso.org/standard/60544.html</w:t>
              </w:r>
            </w:hyperlink>
            <w:r w:rsidRPr="007A3793">
              <w:rPr>
                <w:lang w:val="en-GB"/>
              </w:rPr>
              <w:t xml:space="preserve"> </w:t>
            </w:r>
          </w:p>
        </w:tc>
      </w:tr>
      <w:tr w:rsidR="006C7B06" w:rsidRPr="007A3793" w14:paraId="71C92B18" w14:textId="77777777" w:rsidTr="00325CA1">
        <w:tc>
          <w:tcPr>
            <w:tcW w:w="2410" w:type="dxa"/>
          </w:tcPr>
          <w:p w14:paraId="71C92B16" w14:textId="7C3E6E33" w:rsidR="006C7B06" w:rsidRPr="007A3793" w:rsidRDefault="006C7B06" w:rsidP="000B207E">
            <w:pPr>
              <w:spacing w:before="0" w:after="240"/>
              <w:rPr>
                <w:lang w:val="en-GB"/>
              </w:rPr>
            </w:pPr>
            <w:r w:rsidRPr="007A3793">
              <w:rPr>
                <w:lang w:val="en-GB"/>
              </w:rPr>
              <w:t>[</w:t>
            </w:r>
            <w:bookmarkStart w:id="249" w:name="isoiec11770"/>
            <w:r w:rsidR="00CD1179">
              <w:rPr>
                <w:lang w:val="en-GB"/>
              </w:rPr>
              <w:t>b</w:t>
            </w:r>
            <w:r w:rsidR="00CD1179">
              <w:rPr>
                <w:lang w:val="en-GB"/>
              </w:rPr>
              <w:noBreakHyphen/>
            </w:r>
            <w:r w:rsidRPr="007A3793">
              <w:rPr>
                <w:lang w:val="en-GB"/>
              </w:rPr>
              <w:t>ISO/IEC 11770-2</w:t>
            </w:r>
            <w:bookmarkEnd w:id="249"/>
            <w:r w:rsidRPr="007A3793">
              <w:rPr>
                <w:lang w:val="en-GB"/>
              </w:rPr>
              <w:t>]</w:t>
            </w:r>
          </w:p>
        </w:tc>
        <w:tc>
          <w:tcPr>
            <w:tcW w:w="7465" w:type="dxa"/>
          </w:tcPr>
          <w:p w14:paraId="71C92B17" w14:textId="1356C56C" w:rsidR="006C7B06" w:rsidRPr="007A3793" w:rsidRDefault="006C7B06" w:rsidP="007A3793">
            <w:pPr>
              <w:spacing w:before="0" w:after="240"/>
              <w:rPr>
                <w:lang w:val="en-GB"/>
              </w:rPr>
            </w:pPr>
            <w:r w:rsidRPr="007A3793">
              <w:rPr>
                <w:lang w:val="en-GB"/>
              </w:rPr>
              <w:t xml:space="preserve">ISO/IEC 11770-2 (2018). </w:t>
            </w:r>
            <w:r w:rsidRPr="007A3793">
              <w:rPr>
                <w:i/>
                <w:lang w:val="en-GB"/>
              </w:rPr>
              <w:t xml:space="preserve">IT Security techniques -- Key management -- Part 2: Mechanisms using Symmetric Techniques. </w:t>
            </w:r>
            <w:r w:rsidRPr="007A3793">
              <w:rPr>
                <w:lang w:val="en-GB"/>
              </w:rPr>
              <w:t xml:space="preserve">Available at: </w:t>
            </w:r>
            <w:hyperlink r:id="rId60" w:history="1">
              <w:r w:rsidR="008B6ABA">
                <w:rPr>
                  <w:rStyle w:val="Hyperlink"/>
                  <w:rFonts w:ascii="Arial" w:hAnsi="Arial" w:cs="Arial"/>
                  <w:sz w:val="18"/>
                  <w:szCs w:val="18"/>
                  <w:lang w:val="en-GB"/>
                </w:rPr>
                <w:t>https://www.iso.org/standard/73207.html</w:t>
              </w:r>
            </w:hyperlink>
          </w:p>
        </w:tc>
      </w:tr>
      <w:tr w:rsidR="006C7B06" w:rsidRPr="007A3793" w14:paraId="71C92B1B" w14:textId="77777777" w:rsidTr="00325CA1">
        <w:tc>
          <w:tcPr>
            <w:tcW w:w="2410" w:type="dxa"/>
          </w:tcPr>
          <w:p w14:paraId="71C92B19" w14:textId="73D41232" w:rsidR="006C7B06" w:rsidRPr="007A3793" w:rsidRDefault="006C7B06" w:rsidP="000B207E">
            <w:pPr>
              <w:spacing w:before="0" w:after="240"/>
              <w:rPr>
                <w:lang w:val="en-GB"/>
              </w:rPr>
            </w:pPr>
            <w:r w:rsidRPr="007A3793">
              <w:rPr>
                <w:lang w:val="en-GB"/>
              </w:rPr>
              <w:t>[</w:t>
            </w:r>
            <w:bookmarkStart w:id="250" w:name="isoiec30141"/>
            <w:r w:rsidR="00CD1179">
              <w:rPr>
                <w:lang w:val="en-GB"/>
              </w:rPr>
              <w:t>b</w:t>
            </w:r>
            <w:r w:rsidR="00CD1179">
              <w:rPr>
                <w:lang w:val="en-GB"/>
              </w:rPr>
              <w:noBreakHyphen/>
            </w:r>
            <w:r w:rsidRPr="007A3793">
              <w:rPr>
                <w:lang w:val="en-GB"/>
              </w:rPr>
              <w:t>ISO/IEC 30141</w:t>
            </w:r>
            <w:bookmarkEnd w:id="250"/>
            <w:r w:rsidRPr="007A3793">
              <w:rPr>
                <w:lang w:val="en-GB"/>
              </w:rPr>
              <w:t>]</w:t>
            </w:r>
          </w:p>
        </w:tc>
        <w:tc>
          <w:tcPr>
            <w:tcW w:w="7465" w:type="dxa"/>
          </w:tcPr>
          <w:p w14:paraId="71C92B1A" w14:textId="5498F090" w:rsidR="006C7B06" w:rsidRPr="007A3793" w:rsidRDefault="006C7B06" w:rsidP="007A3793">
            <w:pPr>
              <w:spacing w:before="0" w:after="240"/>
              <w:rPr>
                <w:lang w:val="en-GB"/>
              </w:rPr>
            </w:pPr>
            <w:r w:rsidRPr="007A3793">
              <w:rPr>
                <w:lang w:val="en-GB"/>
              </w:rPr>
              <w:t xml:space="preserve">ISO/IEC 30141 (2018). </w:t>
            </w:r>
            <w:r w:rsidRPr="007A3793">
              <w:rPr>
                <w:i/>
                <w:lang w:val="en-GB"/>
              </w:rPr>
              <w:t>Internet of Things (</w:t>
            </w:r>
            <w:proofErr w:type="spellStart"/>
            <w:r w:rsidRPr="007A3793">
              <w:rPr>
                <w:i/>
                <w:lang w:val="en-GB"/>
              </w:rPr>
              <w:t>loT</w:t>
            </w:r>
            <w:proofErr w:type="spellEnd"/>
            <w:r w:rsidRPr="007A3793">
              <w:rPr>
                <w:i/>
                <w:lang w:val="en-GB"/>
              </w:rPr>
              <w:t xml:space="preserve">) -- Reference Architecture. </w:t>
            </w:r>
            <w:r w:rsidRPr="007A3793">
              <w:rPr>
                <w:lang w:val="en-GB"/>
              </w:rPr>
              <w:t xml:space="preserve">Available at: </w:t>
            </w:r>
            <w:hyperlink r:id="rId61" w:history="1">
              <w:r w:rsidR="008B6ABA">
                <w:rPr>
                  <w:rStyle w:val="Hyperlink"/>
                  <w:rFonts w:ascii="Arial" w:hAnsi="Arial" w:cs="Arial"/>
                  <w:sz w:val="18"/>
                  <w:szCs w:val="18"/>
                  <w:lang w:val="en-GB"/>
                </w:rPr>
                <w:t>https://www.iso.org/standard/65695.html</w:t>
              </w:r>
            </w:hyperlink>
            <w:r w:rsidRPr="007A3793">
              <w:rPr>
                <w:lang w:val="en-GB"/>
              </w:rPr>
              <w:t xml:space="preserve"> </w:t>
            </w:r>
          </w:p>
        </w:tc>
      </w:tr>
      <w:tr w:rsidR="006C7B06" w:rsidRPr="007A3793" w14:paraId="71C92B1E" w14:textId="77777777" w:rsidTr="00325CA1">
        <w:tc>
          <w:tcPr>
            <w:tcW w:w="2410" w:type="dxa"/>
          </w:tcPr>
          <w:p w14:paraId="71C92B1C" w14:textId="3B2484C6" w:rsidR="006C7B06" w:rsidRPr="007A3793" w:rsidRDefault="006C7B06" w:rsidP="000B207E">
            <w:pPr>
              <w:spacing w:before="0" w:after="240"/>
              <w:rPr>
                <w:lang w:val="en-GB"/>
              </w:rPr>
            </w:pPr>
            <w:r w:rsidRPr="007A3793">
              <w:rPr>
                <w:lang w:val="en-GB"/>
              </w:rPr>
              <w:t>[</w:t>
            </w:r>
            <w:bookmarkStart w:id="251" w:name="itutx509"/>
            <w:r w:rsidR="00CD1179">
              <w:rPr>
                <w:lang w:val="en-GB"/>
              </w:rPr>
              <w:t>b</w:t>
            </w:r>
            <w:r w:rsidR="00CD1179">
              <w:rPr>
                <w:lang w:val="en-GB"/>
              </w:rPr>
              <w:noBreakHyphen/>
            </w:r>
            <w:r w:rsidRPr="007A3793">
              <w:rPr>
                <w:lang w:val="en-GB"/>
              </w:rPr>
              <w:t>ITU-T X</w:t>
            </w:r>
            <w:r w:rsidRPr="00CD1179">
              <w:t>.509</w:t>
            </w:r>
            <w:bookmarkEnd w:id="251"/>
            <w:r w:rsidRPr="007A3793">
              <w:rPr>
                <w:lang w:val="en-GB"/>
              </w:rPr>
              <w:t>]</w:t>
            </w:r>
          </w:p>
        </w:tc>
        <w:tc>
          <w:tcPr>
            <w:tcW w:w="7465" w:type="dxa"/>
          </w:tcPr>
          <w:p w14:paraId="71C92B1D" w14:textId="730D484D" w:rsidR="006C7B06" w:rsidRPr="007A3793" w:rsidRDefault="006C7B06" w:rsidP="007A3793">
            <w:pPr>
              <w:spacing w:before="0" w:after="240"/>
              <w:rPr>
                <w:lang w:val="en-GB"/>
              </w:rPr>
            </w:pPr>
            <w:r w:rsidRPr="007A3793">
              <w:rPr>
                <w:lang w:val="en-GB"/>
              </w:rPr>
              <w:t xml:space="preserve">ITU-T X-series Recommendations – X.509 (2016). </w:t>
            </w:r>
            <w:r w:rsidRPr="007A3793">
              <w:rPr>
                <w:i/>
                <w:lang w:val="en-GB"/>
              </w:rPr>
              <w:t>Information Technology - Open Systems Interconnection - The Directory: Public-Key and Attribute Certificate Frameworks</w:t>
            </w:r>
            <w:r w:rsidRPr="007A3793">
              <w:rPr>
                <w:lang w:val="en-GB"/>
              </w:rPr>
              <w:t xml:space="preserve">. Available at: </w:t>
            </w:r>
            <w:hyperlink r:id="rId62" w:history="1">
              <w:r w:rsidR="008B6ABA">
                <w:rPr>
                  <w:rStyle w:val="Hyperlink"/>
                  <w:rFonts w:ascii="Arial" w:hAnsi="Arial" w:cs="Arial"/>
                  <w:sz w:val="18"/>
                  <w:szCs w:val="18"/>
                  <w:lang w:val="en-GB"/>
                </w:rPr>
                <w:t>https://www.itu.int/rec/T-REC-X.509</w:t>
              </w:r>
            </w:hyperlink>
            <w:r w:rsidRPr="007A3793">
              <w:rPr>
                <w:lang w:val="en-GB"/>
              </w:rPr>
              <w:t xml:space="preserve"> </w:t>
            </w:r>
          </w:p>
        </w:tc>
      </w:tr>
      <w:tr w:rsidR="006C7B06" w:rsidRPr="007A3793" w14:paraId="71C92B21" w14:textId="77777777" w:rsidTr="00325CA1">
        <w:tc>
          <w:tcPr>
            <w:tcW w:w="2410" w:type="dxa"/>
          </w:tcPr>
          <w:p w14:paraId="71C92B1F" w14:textId="6E088A56" w:rsidR="006C7B06" w:rsidRPr="007A3793" w:rsidRDefault="006C7B06" w:rsidP="000B207E">
            <w:pPr>
              <w:spacing w:before="0" w:after="240"/>
              <w:rPr>
                <w:lang w:val="en-GB"/>
              </w:rPr>
            </w:pPr>
            <w:r w:rsidRPr="007A3793">
              <w:rPr>
                <w:lang w:val="en-GB"/>
              </w:rPr>
              <w:t>[</w:t>
            </w:r>
            <w:bookmarkStart w:id="252" w:name="itutx1255"/>
            <w:r w:rsidR="00CD1179">
              <w:rPr>
                <w:lang w:val="en-GB"/>
              </w:rPr>
              <w:t>b</w:t>
            </w:r>
            <w:r w:rsidR="00CD1179">
              <w:rPr>
                <w:lang w:val="en-GB"/>
              </w:rPr>
              <w:noBreakHyphen/>
            </w:r>
            <w:r w:rsidRPr="007A3793">
              <w:rPr>
                <w:lang w:val="en-GB"/>
              </w:rPr>
              <w:t>ITU-T X.1255</w:t>
            </w:r>
            <w:bookmarkEnd w:id="252"/>
            <w:r w:rsidRPr="007A3793">
              <w:rPr>
                <w:lang w:val="en-GB"/>
              </w:rPr>
              <w:t>]</w:t>
            </w:r>
          </w:p>
        </w:tc>
        <w:tc>
          <w:tcPr>
            <w:tcW w:w="7465" w:type="dxa"/>
          </w:tcPr>
          <w:p w14:paraId="71C92B20" w14:textId="661F0371" w:rsidR="006C7B06" w:rsidRPr="007A3793" w:rsidRDefault="006C7B06" w:rsidP="007A3793">
            <w:pPr>
              <w:spacing w:before="0" w:after="240"/>
              <w:rPr>
                <w:lang w:val="en-GB"/>
              </w:rPr>
            </w:pPr>
            <w:r w:rsidRPr="007A3793">
              <w:rPr>
                <w:lang w:val="en-GB"/>
              </w:rPr>
              <w:t xml:space="preserve">ITU-T X-series Recommendations - X.1255 (2013). </w:t>
            </w:r>
            <w:r w:rsidRPr="007A3793">
              <w:rPr>
                <w:i/>
                <w:lang w:val="en-GB"/>
              </w:rPr>
              <w:t xml:space="preserve">Framework for Discovery of Identity Management Information. </w:t>
            </w:r>
            <w:r w:rsidRPr="007A3793">
              <w:rPr>
                <w:lang w:val="en-GB"/>
              </w:rPr>
              <w:t xml:space="preserve">Available at: </w:t>
            </w:r>
            <w:hyperlink r:id="rId63" w:history="1">
              <w:r w:rsidR="008B6ABA">
                <w:rPr>
                  <w:rStyle w:val="Hyperlink"/>
                  <w:rFonts w:ascii="Arial" w:hAnsi="Arial" w:cs="Arial"/>
                  <w:sz w:val="18"/>
                  <w:szCs w:val="18"/>
                  <w:lang w:val="en-GB"/>
                </w:rPr>
                <w:t>https://www.itu.int/rec/T-REC-X.1255</w:t>
              </w:r>
            </w:hyperlink>
            <w:r w:rsidR="000355E1" w:rsidRPr="007A3793">
              <w:rPr>
                <w:lang w:val="en-GB"/>
              </w:rPr>
              <w:t xml:space="preserve"> </w:t>
            </w:r>
          </w:p>
        </w:tc>
      </w:tr>
      <w:tr w:rsidR="006C7B06" w:rsidRPr="007A3793" w14:paraId="71C92B24" w14:textId="77777777" w:rsidTr="00325CA1">
        <w:tc>
          <w:tcPr>
            <w:tcW w:w="2410" w:type="dxa"/>
          </w:tcPr>
          <w:p w14:paraId="71C92B22" w14:textId="172EAA22" w:rsidR="006C7B06" w:rsidRPr="007A3793" w:rsidRDefault="006C7B06" w:rsidP="000B207E">
            <w:pPr>
              <w:spacing w:before="0" w:after="240"/>
              <w:rPr>
                <w:lang w:val="en-GB"/>
              </w:rPr>
            </w:pPr>
            <w:r w:rsidRPr="007A3793">
              <w:rPr>
                <w:lang w:val="en-GB"/>
              </w:rPr>
              <w:t>[</w:t>
            </w:r>
            <w:bookmarkStart w:id="253" w:name="kosba"/>
            <w:r w:rsidR="00CD1179">
              <w:rPr>
                <w:lang w:val="en-GB"/>
              </w:rPr>
              <w:t>b</w:t>
            </w:r>
            <w:r w:rsidR="00CD1179">
              <w:rPr>
                <w:lang w:val="en-GB"/>
              </w:rPr>
              <w:noBreakHyphen/>
            </w:r>
            <w:proofErr w:type="spellStart"/>
            <w:r w:rsidRPr="007A3793">
              <w:rPr>
                <w:lang w:val="en-GB"/>
              </w:rPr>
              <w:t>Kosba</w:t>
            </w:r>
            <w:bookmarkEnd w:id="253"/>
            <w:proofErr w:type="spellEnd"/>
            <w:r w:rsidRPr="007A3793">
              <w:rPr>
                <w:lang w:val="en-GB"/>
              </w:rPr>
              <w:t>]</w:t>
            </w:r>
          </w:p>
        </w:tc>
        <w:tc>
          <w:tcPr>
            <w:tcW w:w="7465" w:type="dxa"/>
          </w:tcPr>
          <w:p w14:paraId="71C92B23" w14:textId="0E0D0F31" w:rsidR="006C7B06" w:rsidRPr="007A3793" w:rsidRDefault="006C7B06" w:rsidP="007A3793">
            <w:pPr>
              <w:spacing w:before="0" w:after="240"/>
              <w:rPr>
                <w:lang w:val="en-GB"/>
              </w:rPr>
            </w:pPr>
            <w:proofErr w:type="spellStart"/>
            <w:r w:rsidRPr="007A3793">
              <w:rPr>
                <w:lang w:val="en-GB"/>
              </w:rPr>
              <w:t>Kosba</w:t>
            </w:r>
            <w:proofErr w:type="spellEnd"/>
            <w:r w:rsidRPr="007A3793">
              <w:rPr>
                <w:lang w:val="en-GB"/>
              </w:rPr>
              <w:t xml:space="preserve">, A., Miller, A., Shi, E., Wen, Z., et al. (2015). </w:t>
            </w:r>
            <w:r w:rsidRPr="007A3793">
              <w:rPr>
                <w:i/>
                <w:lang w:val="en-GB"/>
              </w:rPr>
              <w:t>Hawk: The Blockchain Model of Cryptography and Privacy-Preserving Smart Contracts, Tech.</w:t>
            </w:r>
            <w:r w:rsidRPr="007A3793">
              <w:rPr>
                <w:lang w:val="en-GB"/>
              </w:rPr>
              <w:t xml:space="preserve"> 2016 IEEE Symposium on Security and Privacy (SP). Available at: </w:t>
            </w:r>
            <w:hyperlink r:id="rId64" w:history="1">
              <w:r w:rsidR="008B6ABA">
                <w:rPr>
                  <w:rStyle w:val="Hyperlink"/>
                  <w:rFonts w:ascii="Arial" w:hAnsi="Arial" w:cs="Arial"/>
                  <w:sz w:val="18"/>
                  <w:szCs w:val="18"/>
                  <w:lang w:val="en-GB"/>
                </w:rPr>
                <w:t>https://ieeexplore.ieee.org/document/7546538</w:t>
              </w:r>
            </w:hyperlink>
            <w:r w:rsidRPr="007A3793">
              <w:rPr>
                <w:lang w:val="en-GB"/>
              </w:rPr>
              <w:t xml:space="preserve"> </w:t>
            </w:r>
          </w:p>
        </w:tc>
      </w:tr>
      <w:tr w:rsidR="006C7B06" w:rsidRPr="007A3793" w14:paraId="71C92B27" w14:textId="77777777" w:rsidTr="00325CA1">
        <w:tc>
          <w:tcPr>
            <w:tcW w:w="2410" w:type="dxa"/>
          </w:tcPr>
          <w:p w14:paraId="71C92B25" w14:textId="7950A455" w:rsidR="006C7B06" w:rsidRPr="007A3793" w:rsidRDefault="006C7B06" w:rsidP="000B207E">
            <w:pPr>
              <w:spacing w:before="0" w:after="240"/>
              <w:rPr>
                <w:lang w:val="en-GB"/>
              </w:rPr>
            </w:pPr>
            <w:r w:rsidRPr="007A3793">
              <w:rPr>
                <w:lang w:val="en-GB"/>
              </w:rPr>
              <w:t>[</w:t>
            </w:r>
            <w:bookmarkStart w:id="254" w:name="larus"/>
            <w:r w:rsidR="00CD1179">
              <w:rPr>
                <w:lang w:val="en-GB"/>
              </w:rPr>
              <w:t>b</w:t>
            </w:r>
            <w:r w:rsidR="00CD1179">
              <w:rPr>
                <w:lang w:val="en-GB"/>
              </w:rPr>
              <w:noBreakHyphen/>
            </w:r>
            <w:proofErr w:type="spellStart"/>
            <w:r w:rsidRPr="007A3793">
              <w:rPr>
                <w:lang w:val="en-GB"/>
              </w:rPr>
              <w:t>Larus</w:t>
            </w:r>
            <w:bookmarkEnd w:id="254"/>
            <w:proofErr w:type="spellEnd"/>
            <w:r w:rsidRPr="007A3793">
              <w:rPr>
                <w:lang w:val="en-GB"/>
              </w:rPr>
              <w:t>]</w:t>
            </w:r>
          </w:p>
        </w:tc>
        <w:tc>
          <w:tcPr>
            <w:tcW w:w="7465" w:type="dxa"/>
          </w:tcPr>
          <w:p w14:paraId="71C92B26" w14:textId="77777777" w:rsidR="006C7B06" w:rsidRPr="007A3793" w:rsidRDefault="006C7B06" w:rsidP="007A3793">
            <w:pPr>
              <w:spacing w:before="0" w:after="240"/>
              <w:rPr>
                <w:lang w:val="en-GB"/>
              </w:rPr>
            </w:pPr>
            <w:proofErr w:type="spellStart"/>
            <w:r w:rsidRPr="007A3793">
              <w:rPr>
                <w:lang w:val="en-GB"/>
              </w:rPr>
              <w:t>Larus</w:t>
            </w:r>
            <w:proofErr w:type="spellEnd"/>
            <w:r w:rsidRPr="007A3793">
              <w:rPr>
                <w:lang w:val="en-GB"/>
              </w:rPr>
              <w:t xml:space="preserve">, J. &amp; </w:t>
            </w:r>
            <w:proofErr w:type="spellStart"/>
            <w:r w:rsidRPr="007A3793">
              <w:rPr>
                <w:lang w:val="en-GB"/>
              </w:rPr>
              <w:t>Hankin</w:t>
            </w:r>
            <w:proofErr w:type="spellEnd"/>
            <w:r w:rsidRPr="007A3793">
              <w:rPr>
                <w:lang w:val="en-GB"/>
              </w:rPr>
              <w:t xml:space="preserve">, C. (2018) </w:t>
            </w:r>
            <w:r w:rsidRPr="007A3793">
              <w:rPr>
                <w:i/>
                <w:lang w:val="en-GB"/>
              </w:rPr>
              <w:t>Regulating Automated Decision Making</w:t>
            </w:r>
            <w:r w:rsidRPr="007A3793">
              <w:rPr>
                <w:lang w:val="en-GB"/>
              </w:rPr>
              <w:t>. Communications of the ACM, Vol. 61 No. 8, pp. 5.</w:t>
            </w:r>
          </w:p>
        </w:tc>
      </w:tr>
      <w:tr w:rsidR="006C7B06" w:rsidRPr="007A3793" w14:paraId="71C92B2A" w14:textId="77777777" w:rsidTr="00325CA1">
        <w:tc>
          <w:tcPr>
            <w:tcW w:w="2410" w:type="dxa"/>
          </w:tcPr>
          <w:p w14:paraId="71C92B28" w14:textId="19AFE66B" w:rsidR="006C7B06" w:rsidRPr="007A3793" w:rsidRDefault="006C7B06" w:rsidP="000B207E">
            <w:pPr>
              <w:spacing w:before="0" w:after="240"/>
              <w:rPr>
                <w:lang w:val="en-GB"/>
              </w:rPr>
            </w:pPr>
            <w:r w:rsidRPr="007A3793">
              <w:rPr>
                <w:lang w:val="en-GB"/>
              </w:rPr>
              <w:t>[</w:t>
            </w:r>
            <w:bookmarkStart w:id="255" w:name="laurie"/>
            <w:r w:rsidR="00CD1179">
              <w:rPr>
                <w:lang w:val="en-GB"/>
              </w:rPr>
              <w:t>b</w:t>
            </w:r>
            <w:r w:rsidR="00CD1179">
              <w:rPr>
                <w:lang w:val="en-GB"/>
              </w:rPr>
              <w:noBreakHyphen/>
            </w:r>
            <w:r w:rsidRPr="007A3793">
              <w:rPr>
                <w:lang w:val="en-GB"/>
              </w:rPr>
              <w:t>Laurie</w:t>
            </w:r>
            <w:bookmarkEnd w:id="255"/>
            <w:r w:rsidRPr="007A3793">
              <w:rPr>
                <w:lang w:val="en-GB"/>
              </w:rPr>
              <w:t>]</w:t>
            </w:r>
          </w:p>
        </w:tc>
        <w:tc>
          <w:tcPr>
            <w:tcW w:w="7465" w:type="dxa"/>
          </w:tcPr>
          <w:p w14:paraId="71C92B29" w14:textId="16F15709" w:rsidR="006C7B06" w:rsidRPr="007A3793" w:rsidRDefault="006C7B06" w:rsidP="007A3793">
            <w:pPr>
              <w:spacing w:before="0" w:after="240"/>
              <w:rPr>
                <w:lang w:val="en-GB"/>
              </w:rPr>
            </w:pPr>
            <w:r w:rsidRPr="007A3793">
              <w:rPr>
                <w:lang w:val="en-GB"/>
              </w:rPr>
              <w:t xml:space="preserve">Laurie, B., Langley, A. &amp; Kasper, E. (2013). </w:t>
            </w:r>
            <w:r w:rsidRPr="007A3793">
              <w:rPr>
                <w:i/>
                <w:lang w:val="en-GB"/>
              </w:rPr>
              <w:t>RFC 6962 - Certificate Transparency.</w:t>
            </w:r>
            <w:r w:rsidRPr="007A3793">
              <w:rPr>
                <w:lang w:val="en-GB"/>
              </w:rPr>
              <w:t xml:space="preserve"> Available at: </w:t>
            </w:r>
            <w:hyperlink r:id="rId65" w:history="1">
              <w:r w:rsidR="008B6ABA">
                <w:rPr>
                  <w:rStyle w:val="Hyperlink"/>
                  <w:rFonts w:ascii="Arial" w:hAnsi="Arial" w:cs="Arial"/>
                  <w:sz w:val="18"/>
                  <w:szCs w:val="18"/>
                  <w:lang w:val="en-GB"/>
                </w:rPr>
                <w:t>https://tools.ietf.org/html/rfc6962</w:t>
              </w:r>
            </w:hyperlink>
          </w:p>
        </w:tc>
      </w:tr>
      <w:tr w:rsidR="006C7B06" w:rsidRPr="007A3793" w14:paraId="71C92B2D" w14:textId="77777777" w:rsidTr="00325CA1">
        <w:tc>
          <w:tcPr>
            <w:tcW w:w="2410" w:type="dxa"/>
          </w:tcPr>
          <w:p w14:paraId="71C92B2B" w14:textId="376D49FB" w:rsidR="006C7B06" w:rsidRPr="007A3793" w:rsidRDefault="006C7B06" w:rsidP="000B207E">
            <w:pPr>
              <w:spacing w:before="0" w:after="240"/>
              <w:rPr>
                <w:lang w:val="en-GB"/>
              </w:rPr>
            </w:pPr>
            <w:r w:rsidRPr="007A3793">
              <w:rPr>
                <w:lang w:val="en-GB"/>
              </w:rPr>
              <w:t>[</w:t>
            </w:r>
            <w:bookmarkStart w:id="256" w:name="lessiga"/>
            <w:r w:rsidR="00CD1179">
              <w:rPr>
                <w:lang w:val="en-GB"/>
              </w:rPr>
              <w:t>b</w:t>
            </w:r>
            <w:r w:rsidR="00CD1179">
              <w:rPr>
                <w:lang w:val="en-GB"/>
              </w:rPr>
              <w:noBreakHyphen/>
            </w:r>
            <w:r w:rsidRPr="007A3793">
              <w:rPr>
                <w:lang w:val="en-GB"/>
              </w:rPr>
              <w:t>Lessig-a</w:t>
            </w:r>
            <w:bookmarkEnd w:id="256"/>
            <w:r w:rsidRPr="007A3793">
              <w:rPr>
                <w:lang w:val="en-GB"/>
              </w:rPr>
              <w:t>]</w:t>
            </w:r>
          </w:p>
        </w:tc>
        <w:tc>
          <w:tcPr>
            <w:tcW w:w="7465" w:type="dxa"/>
          </w:tcPr>
          <w:p w14:paraId="71C92B2C" w14:textId="008854B0" w:rsidR="006C7B06" w:rsidRPr="007A3793" w:rsidRDefault="006C7B06" w:rsidP="007A3793">
            <w:pPr>
              <w:spacing w:before="0" w:after="240"/>
              <w:rPr>
                <w:lang w:val="en-GB"/>
              </w:rPr>
            </w:pPr>
            <w:r w:rsidRPr="007A3793">
              <w:rPr>
                <w:lang w:val="en-GB"/>
              </w:rPr>
              <w:t xml:space="preserve">Lessig, L. (1999). </w:t>
            </w:r>
            <w:r w:rsidRPr="007A3793">
              <w:rPr>
                <w:i/>
                <w:lang w:val="en-GB"/>
              </w:rPr>
              <w:t xml:space="preserve">Code: </w:t>
            </w:r>
            <w:r w:rsidR="009C7097" w:rsidRPr="007A3793">
              <w:rPr>
                <w:i/>
                <w:lang w:val="en-GB"/>
              </w:rPr>
              <w:t xml:space="preserve">and other law in </w:t>
            </w:r>
            <w:r w:rsidRPr="007A3793">
              <w:rPr>
                <w:i/>
                <w:lang w:val="en-GB"/>
              </w:rPr>
              <w:t>Cyberspace</w:t>
            </w:r>
            <w:r w:rsidRPr="007A3793">
              <w:rPr>
                <w:lang w:val="en-GB"/>
              </w:rPr>
              <w:t>. Basic Books Inc., New York</w:t>
            </w:r>
          </w:p>
        </w:tc>
      </w:tr>
      <w:tr w:rsidR="006C7B06" w:rsidRPr="007A3793" w14:paraId="71C92B30" w14:textId="77777777" w:rsidTr="00325CA1">
        <w:tc>
          <w:tcPr>
            <w:tcW w:w="2410" w:type="dxa"/>
          </w:tcPr>
          <w:p w14:paraId="71C92B2E" w14:textId="4C1D4237" w:rsidR="006C7B06" w:rsidRPr="007A3793" w:rsidRDefault="006C7B06" w:rsidP="000B207E">
            <w:pPr>
              <w:spacing w:before="0" w:after="240"/>
              <w:rPr>
                <w:lang w:val="en-GB"/>
              </w:rPr>
            </w:pPr>
            <w:r w:rsidRPr="007A3793">
              <w:rPr>
                <w:lang w:val="en-GB"/>
              </w:rPr>
              <w:t>[</w:t>
            </w:r>
            <w:bookmarkStart w:id="257" w:name="lessigb"/>
            <w:r w:rsidR="00CD1179">
              <w:rPr>
                <w:lang w:val="en-GB"/>
              </w:rPr>
              <w:t>b</w:t>
            </w:r>
            <w:r w:rsidR="00CD1179">
              <w:rPr>
                <w:lang w:val="en-GB"/>
              </w:rPr>
              <w:noBreakHyphen/>
            </w:r>
            <w:r w:rsidRPr="007A3793">
              <w:rPr>
                <w:lang w:val="en-GB"/>
              </w:rPr>
              <w:t>Lessig-b</w:t>
            </w:r>
            <w:bookmarkEnd w:id="257"/>
            <w:r w:rsidRPr="007A3793">
              <w:rPr>
                <w:lang w:val="en-GB"/>
              </w:rPr>
              <w:t>]</w:t>
            </w:r>
          </w:p>
        </w:tc>
        <w:tc>
          <w:tcPr>
            <w:tcW w:w="7465" w:type="dxa"/>
          </w:tcPr>
          <w:p w14:paraId="71C92B2F" w14:textId="7FB06BE3" w:rsidR="006C7B06" w:rsidRPr="007A3793" w:rsidRDefault="006C7B06" w:rsidP="007A3793">
            <w:pPr>
              <w:spacing w:before="0" w:after="240"/>
              <w:rPr>
                <w:lang w:val="en-GB"/>
              </w:rPr>
            </w:pPr>
            <w:r w:rsidRPr="007A3793">
              <w:rPr>
                <w:lang w:val="en-GB"/>
              </w:rPr>
              <w:t xml:space="preserve">Lessig, L. (2000). </w:t>
            </w:r>
            <w:r w:rsidRPr="007A3793">
              <w:rPr>
                <w:i/>
                <w:lang w:val="en-GB"/>
              </w:rPr>
              <w:t xml:space="preserve">Code is Law: On </w:t>
            </w:r>
            <w:r w:rsidR="009C7097" w:rsidRPr="007A3793">
              <w:rPr>
                <w:i/>
                <w:lang w:val="en-GB"/>
              </w:rPr>
              <w:t xml:space="preserve">liberty </w:t>
            </w:r>
            <w:r w:rsidRPr="007A3793">
              <w:rPr>
                <w:i/>
                <w:lang w:val="en-GB"/>
              </w:rPr>
              <w:t>in Cyberspace</w:t>
            </w:r>
            <w:r w:rsidRPr="007A3793">
              <w:rPr>
                <w:lang w:val="en-GB"/>
              </w:rPr>
              <w:t>. Harvard Magazine, January-February, pp. 1–2, 2000.</w:t>
            </w:r>
          </w:p>
        </w:tc>
      </w:tr>
      <w:tr w:rsidR="006C7B06" w:rsidRPr="007A3793" w14:paraId="71C92B33" w14:textId="77777777" w:rsidTr="00325CA1">
        <w:tc>
          <w:tcPr>
            <w:tcW w:w="2410" w:type="dxa"/>
          </w:tcPr>
          <w:p w14:paraId="71C92B31" w14:textId="4EC08CCD" w:rsidR="006C7B06" w:rsidRPr="007A3793" w:rsidRDefault="006C7B06" w:rsidP="000B207E">
            <w:pPr>
              <w:spacing w:before="0" w:after="240"/>
              <w:rPr>
                <w:lang w:val="en-GB"/>
              </w:rPr>
            </w:pPr>
            <w:r w:rsidRPr="007A3793">
              <w:rPr>
                <w:lang w:val="en-GB"/>
              </w:rPr>
              <w:t>[</w:t>
            </w:r>
            <w:bookmarkStart w:id="258" w:name="liecht"/>
            <w:r w:rsidR="00CD1179">
              <w:rPr>
                <w:lang w:val="en-GB"/>
              </w:rPr>
              <w:t>b</w:t>
            </w:r>
            <w:r w:rsidR="00CD1179">
              <w:rPr>
                <w:lang w:val="en-GB"/>
              </w:rPr>
              <w:noBreakHyphen/>
            </w:r>
            <w:proofErr w:type="spellStart"/>
            <w:r w:rsidRPr="007A3793">
              <w:rPr>
                <w:lang w:val="en-GB"/>
              </w:rPr>
              <w:t>Liecht</w:t>
            </w:r>
            <w:bookmarkEnd w:id="258"/>
            <w:proofErr w:type="spellEnd"/>
            <w:r w:rsidRPr="007A3793">
              <w:rPr>
                <w:lang w:val="en-GB"/>
              </w:rPr>
              <w:t>]</w:t>
            </w:r>
          </w:p>
        </w:tc>
        <w:tc>
          <w:tcPr>
            <w:tcW w:w="7465" w:type="dxa"/>
          </w:tcPr>
          <w:p w14:paraId="71C92B32" w14:textId="53382B9C" w:rsidR="006C7B06" w:rsidRPr="007A3793" w:rsidRDefault="006C7B06" w:rsidP="007A3793">
            <w:pPr>
              <w:spacing w:before="0" w:after="240"/>
              <w:rPr>
                <w:lang w:val="en-GB"/>
              </w:rPr>
            </w:pPr>
            <w:r w:rsidRPr="007A3793">
              <w:rPr>
                <w:lang w:val="en-GB"/>
              </w:rPr>
              <w:t>Ministry for General Government Affairs and Finance (2018)</w:t>
            </w:r>
            <w:r w:rsidRPr="007A3793">
              <w:rPr>
                <w:i/>
                <w:lang w:val="en-GB"/>
              </w:rPr>
              <w:t xml:space="preserve"> Government </w:t>
            </w:r>
            <w:r w:rsidR="009C7097" w:rsidRPr="007A3793">
              <w:rPr>
                <w:i/>
                <w:lang w:val="en-GB"/>
              </w:rPr>
              <w:t xml:space="preserve">consultation report on the creation of a law on transaction systems based on trustworthy technologies </w:t>
            </w:r>
            <w:r w:rsidRPr="007A3793">
              <w:rPr>
                <w:i/>
                <w:lang w:val="en-GB"/>
              </w:rPr>
              <w:t xml:space="preserve">(TT) (Blockchain Law; TT-ACT; VTG) and </w:t>
            </w:r>
            <w:r w:rsidR="009C7097" w:rsidRPr="007A3793">
              <w:rPr>
                <w:i/>
                <w:lang w:val="en-GB"/>
              </w:rPr>
              <w:t xml:space="preserve">the amendment of other </w:t>
            </w:r>
            <w:r w:rsidRPr="007A3793">
              <w:rPr>
                <w:i/>
                <w:lang w:val="en-GB"/>
              </w:rPr>
              <w:t xml:space="preserve">Law. </w:t>
            </w:r>
            <w:r w:rsidRPr="007A3793">
              <w:rPr>
                <w:lang w:val="en-GB"/>
              </w:rPr>
              <w:t xml:space="preserve">Available at: </w:t>
            </w:r>
            <w:hyperlink r:id="rId66" w:history="1">
              <w:r w:rsidR="008B6ABA">
                <w:rPr>
                  <w:rStyle w:val="Hyperlink"/>
                  <w:rFonts w:ascii="Arial" w:hAnsi="Arial" w:cs="Arial"/>
                  <w:sz w:val="18"/>
                  <w:szCs w:val="18"/>
                  <w:lang w:val="en-GB"/>
                </w:rPr>
                <w:t>https://erbguth.ch/2018-10-05-Unofficial-Translation-of-the-Draft-Blockchain-Act.pdf</w:t>
              </w:r>
            </w:hyperlink>
            <w:r w:rsidRPr="007A3793">
              <w:rPr>
                <w:lang w:val="en-GB"/>
              </w:rPr>
              <w:t xml:space="preserve"> </w:t>
            </w:r>
          </w:p>
        </w:tc>
      </w:tr>
      <w:tr w:rsidR="006C7B06" w:rsidRPr="007A3793" w14:paraId="71C92B36" w14:textId="77777777" w:rsidTr="00325CA1">
        <w:tc>
          <w:tcPr>
            <w:tcW w:w="2410" w:type="dxa"/>
          </w:tcPr>
          <w:p w14:paraId="71C92B34" w14:textId="738147CD" w:rsidR="006C7B06" w:rsidRPr="007A3793" w:rsidRDefault="006C7B06" w:rsidP="000B207E">
            <w:pPr>
              <w:spacing w:before="0" w:after="240"/>
              <w:rPr>
                <w:lang w:val="en-GB"/>
              </w:rPr>
            </w:pPr>
            <w:r w:rsidRPr="007A3793">
              <w:rPr>
                <w:lang w:val="en-GB"/>
              </w:rPr>
              <w:t>[</w:t>
            </w:r>
            <w:bookmarkStart w:id="259" w:name="lyons"/>
            <w:r w:rsidR="00CD1179">
              <w:rPr>
                <w:lang w:val="en-GB"/>
              </w:rPr>
              <w:t>b</w:t>
            </w:r>
            <w:r w:rsidR="00CD1179">
              <w:rPr>
                <w:lang w:val="en-GB"/>
              </w:rPr>
              <w:noBreakHyphen/>
            </w:r>
            <w:r w:rsidRPr="007A3793">
              <w:rPr>
                <w:lang w:val="en-GB"/>
              </w:rPr>
              <w:t>Lyons</w:t>
            </w:r>
            <w:bookmarkEnd w:id="259"/>
            <w:r w:rsidRPr="007A3793">
              <w:rPr>
                <w:lang w:val="en-GB"/>
              </w:rPr>
              <w:t>]</w:t>
            </w:r>
          </w:p>
        </w:tc>
        <w:tc>
          <w:tcPr>
            <w:tcW w:w="7465" w:type="dxa"/>
          </w:tcPr>
          <w:p w14:paraId="71C92B35" w14:textId="2F9F49F5" w:rsidR="006C7B06" w:rsidRPr="007A3793" w:rsidRDefault="006C7B06" w:rsidP="007A3793">
            <w:pPr>
              <w:spacing w:before="0" w:after="240"/>
              <w:rPr>
                <w:lang w:val="en-GB"/>
              </w:rPr>
            </w:pPr>
            <w:r w:rsidRPr="007A3793">
              <w:rPr>
                <w:lang w:val="en-GB"/>
              </w:rPr>
              <w:t xml:space="preserve">Lyons, P. &amp; Kahn, R. (2018). </w:t>
            </w:r>
            <w:r w:rsidRPr="007A3793">
              <w:rPr>
                <w:i/>
                <w:lang w:val="en-GB"/>
              </w:rPr>
              <w:t xml:space="preserve">Blocks as </w:t>
            </w:r>
            <w:r w:rsidR="009C7097" w:rsidRPr="007A3793">
              <w:rPr>
                <w:i/>
                <w:lang w:val="en-GB"/>
              </w:rPr>
              <w:t>digital entities</w:t>
            </w:r>
            <w:r w:rsidRPr="007A3793">
              <w:rPr>
                <w:i/>
                <w:lang w:val="en-GB"/>
              </w:rPr>
              <w:t xml:space="preserve">: A </w:t>
            </w:r>
            <w:r w:rsidR="009C7097" w:rsidRPr="007A3793">
              <w:rPr>
                <w:i/>
                <w:lang w:val="en-GB"/>
              </w:rPr>
              <w:t>standards perspective</w:t>
            </w:r>
            <w:r w:rsidRPr="007A3793">
              <w:rPr>
                <w:lang w:val="en-GB"/>
              </w:rPr>
              <w:t xml:space="preserve">. Available at: </w:t>
            </w:r>
            <w:hyperlink r:id="rId67" w:history="1">
              <w:r w:rsidR="008B6ABA">
                <w:rPr>
                  <w:rStyle w:val="Hyperlink"/>
                  <w:rFonts w:ascii="Arial" w:hAnsi="Arial" w:cs="Arial"/>
                  <w:sz w:val="18"/>
                  <w:szCs w:val="18"/>
                  <w:lang w:val="en-GB"/>
                </w:rPr>
                <w:t>https://content.iospress.com/articles/information-services-and-use/isu180021</w:t>
              </w:r>
            </w:hyperlink>
          </w:p>
        </w:tc>
      </w:tr>
      <w:tr w:rsidR="006C7B06" w:rsidRPr="007A3793" w14:paraId="71C92B39" w14:textId="77777777" w:rsidTr="00325CA1">
        <w:tc>
          <w:tcPr>
            <w:tcW w:w="2410" w:type="dxa"/>
          </w:tcPr>
          <w:p w14:paraId="71C92B37" w14:textId="63BE387D" w:rsidR="006C7B06" w:rsidRPr="007A3793" w:rsidRDefault="006C7B06" w:rsidP="000B207E">
            <w:pPr>
              <w:spacing w:before="0" w:after="240"/>
              <w:rPr>
                <w:lang w:val="en-GB"/>
              </w:rPr>
            </w:pPr>
            <w:r w:rsidRPr="007A3793">
              <w:rPr>
                <w:lang w:val="en-GB"/>
              </w:rPr>
              <w:t>[</w:t>
            </w:r>
            <w:bookmarkStart w:id="260" w:name="maltaa"/>
            <w:r w:rsidR="00CD1179">
              <w:rPr>
                <w:lang w:val="en-GB"/>
              </w:rPr>
              <w:t>b</w:t>
            </w:r>
            <w:r w:rsidR="00CD1179">
              <w:rPr>
                <w:lang w:val="en-GB"/>
              </w:rPr>
              <w:noBreakHyphen/>
            </w:r>
            <w:r w:rsidRPr="007A3793">
              <w:rPr>
                <w:lang w:val="en-GB"/>
              </w:rPr>
              <w:t>Malta-a</w:t>
            </w:r>
            <w:bookmarkEnd w:id="260"/>
            <w:r w:rsidRPr="007A3793">
              <w:rPr>
                <w:lang w:val="en-GB"/>
              </w:rPr>
              <w:t>]</w:t>
            </w:r>
          </w:p>
        </w:tc>
        <w:tc>
          <w:tcPr>
            <w:tcW w:w="7465" w:type="dxa"/>
          </w:tcPr>
          <w:p w14:paraId="71C92B38" w14:textId="2B43CCF1" w:rsidR="006C7B06" w:rsidRPr="007A3793" w:rsidRDefault="006C7B06" w:rsidP="007A3793">
            <w:pPr>
              <w:spacing w:before="0" w:after="240"/>
              <w:rPr>
                <w:lang w:val="en-GB"/>
              </w:rPr>
            </w:pPr>
            <w:r w:rsidRPr="007A3793">
              <w:rPr>
                <w:lang w:val="en-GB"/>
              </w:rPr>
              <w:t>Malta (2018).</w:t>
            </w:r>
            <w:r w:rsidRPr="007A3793">
              <w:rPr>
                <w:i/>
                <w:lang w:val="en-GB"/>
              </w:rPr>
              <w:t xml:space="preserve"> Malta Digital Innovation Authority Act (</w:t>
            </w:r>
            <w:r w:rsidR="001122ED">
              <w:rPr>
                <w:i/>
                <w:lang w:val="en-GB"/>
              </w:rPr>
              <w:t>'</w:t>
            </w:r>
            <w:r w:rsidRPr="007A3793">
              <w:rPr>
                <w:i/>
                <w:lang w:val="en-GB"/>
              </w:rPr>
              <w:t>MDIA</w:t>
            </w:r>
            <w:r w:rsidR="001122ED">
              <w:rPr>
                <w:i/>
                <w:lang w:val="en-GB"/>
              </w:rPr>
              <w:t>'</w:t>
            </w:r>
            <w:r w:rsidRPr="007A3793">
              <w:rPr>
                <w:i/>
                <w:lang w:val="en-GB"/>
              </w:rPr>
              <w:t>).</w:t>
            </w:r>
            <w:r w:rsidRPr="007A3793">
              <w:rPr>
                <w:lang w:val="en-GB"/>
              </w:rPr>
              <w:t xml:space="preserve"> Available at:  </w:t>
            </w:r>
            <w:hyperlink r:id="rId68" w:history="1">
              <w:r w:rsidR="008B6ABA">
                <w:rPr>
                  <w:rStyle w:val="Hyperlink"/>
                  <w:rFonts w:ascii="Arial" w:hAnsi="Arial" w:cs="Arial"/>
                  <w:sz w:val="18"/>
                  <w:szCs w:val="18"/>
                  <w:lang w:val="en-GB"/>
                </w:rPr>
                <w:t>http://justiceservices.gov.mt/DownloadDocument.aspx?app=lp&amp;itemid=29080&amp;l=1</w:t>
              </w:r>
            </w:hyperlink>
          </w:p>
        </w:tc>
      </w:tr>
      <w:tr w:rsidR="006C7B06" w:rsidRPr="007A3793" w14:paraId="71C92B3C" w14:textId="77777777" w:rsidTr="00325CA1">
        <w:tc>
          <w:tcPr>
            <w:tcW w:w="2410" w:type="dxa"/>
          </w:tcPr>
          <w:p w14:paraId="71C92B3A" w14:textId="487A3788" w:rsidR="006C7B06" w:rsidRPr="007A3793" w:rsidRDefault="006C7B06" w:rsidP="000B207E">
            <w:pPr>
              <w:spacing w:before="0" w:after="240"/>
              <w:rPr>
                <w:lang w:val="en-GB"/>
              </w:rPr>
            </w:pPr>
            <w:r w:rsidRPr="007A3793">
              <w:rPr>
                <w:lang w:val="en-GB"/>
              </w:rPr>
              <w:lastRenderedPageBreak/>
              <w:t>[</w:t>
            </w:r>
            <w:bookmarkStart w:id="261" w:name="maltab"/>
            <w:r w:rsidR="00CD1179">
              <w:rPr>
                <w:lang w:val="en-GB"/>
              </w:rPr>
              <w:t>b</w:t>
            </w:r>
            <w:r w:rsidR="00CD1179">
              <w:rPr>
                <w:lang w:val="en-GB"/>
              </w:rPr>
              <w:noBreakHyphen/>
            </w:r>
            <w:r w:rsidRPr="007A3793">
              <w:rPr>
                <w:lang w:val="en-GB"/>
              </w:rPr>
              <w:t>Malta-b</w:t>
            </w:r>
            <w:bookmarkEnd w:id="261"/>
            <w:r w:rsidRPr="007A3793">
              <w:rPr>
                <w:lang w:val="en-GB"/>
              </w:rPr>
              <w:t>]</w:t>
            </w:r>
          </w:p>
        </w:tc>
        <w:tc>
          <w:tcPr>
            <w:tcW w:w="7465" w:type="dxa"/>
          </w:tcPr>
          <w:p w14:paraId="71C92B3B" w14:textId="14938978" w:rsidR="006C7B06" w:rsidRPr="007A3793" w:rsidRDefault="006C7B06" w:rsidP="007A3793">
            <w:pPr>
              <w:spacing w:before="0" w:after="240"/>
              <w:rPr>
                <w:lang w:val="en-GB"/>
              </w:rPr>
            </w:pPr>
            <w:r w:rsidRPr="007A3793">
              <w:rPr>
                <w:lang w:val="en-GB"/>
              </w:rPr>
              <w:t>Malta (2018).</w:t>
            </w:r>
            <w:r w:rsidRPr="007A3793">
              <w:rPr>
                <w:i/>
                <w:lang w:val="en-GB"/>
              </w:rPr>
              <w:t xml:space="preserve"> The Innovative Technology Arrangements and Services Act (</w:t>
            </w:r>
            <w:r w:rsidR="001122ED">
              <w:rPr>
                <w:i/>
                <w:lang w:val="en-GB"/>
              </w:rPr>
              <w:t>'</w:t>
            </w:r>
            <w:r w:rsidRPr="007A3793">
              <w:rPr>
                <w:i/>
                <w:lang w:val="en-GB"/>
              </w:rPr>
              <w:t>ITAS Act</w:t>
            </w:r>
            <w:r w:rsidR="001122ED">
              <w:rPr>
                <w:i/>
                <w:lang w:val="en-GB"/>
              </w:rPr>
              <w:t>'</w:t>
            </w:r>
            <w:r w:rsidRPr="007A3793">
              <w:rPr>
                <w:i/>
                <w:lang w:val="en-GB"/>
              </w:rPr>
              <w:t>).</w:t>
            </w:r>
            <w:r w:rsidRPr="007A3793">
              <w:rPr>
                <w:lang w:val="en-GB"/>
              </w:rPr>
              <w:t xml:space="preserve"> Available at: </w:t>
            </w:r>
            <w:hyperlink r:id="rId69" w:history="1">
              <w:r w:rsidR="008B6ABA">
                <w:rPr>
                  <w:rStyle w:val="Hyperlink"/>
                  <w:rFonts w:ascii="Arial" w:hAnsi="Arial" w:cs="Arial"/>
                  <w:sz w:val="18"/>
                  <w:szCs w:val="18"/>
                  <w:lang w:val="en-GB"/>
                </w:rPr>
                <w:t>http://justiceservices.gov.mt/DownloadDocument.aspx?app=lp&amp;itemid=29078&amp;l=1</w:t>
              </w:r>
            </w:hyperlink>
          </w:p>
        </w:tc>
      </w:tr>
      <w:tr w:rsidR="006C7B06" w:rsidRPr="007A3793" w14:paraId="71C92B3F" w14:textId="77777777" w:rsidTr="00325CA1">
        <w:tc>
          <w:tcPr>
            <w:tcW w:w="2410" w:type="dxa"/>
          </w:tcPr>
          <w:p w14:paraId="71C92B3D" w14:textId="33EB6AA4" w:rsidR="006C7B06" w:rsidRPr="007A3793" w:rsidRDefault="006C7B06" w:rsidP="000B207E">
            <w:pPr>
              <w:spacing w:before="0" w:after="240"/>
              <w:rPr>
                <w:lang w:val="en-GB"/>
              </w:rPr>
            </w:pPr>
            <w:r w:rsidRPr="007A3793">
              <w:rPr>
                <w:lang w:val="en-GB"/>
              </w:rPr>
              <w:t>[</w:t>
            </w:r>
            <w:bookmarkStart w:id="262" w:name="maltac"/>
            <w:r w:rsidR="00CD1179">
              <w:rPr>
                <w:lang w:val="en-GB"/>
              </w:rPr>
              <w:t>b</w:t>
            </w:r>
            <w:r w:rsidR="00CD1179">
              <w:rPr>
                <w:lang w:val="en-GB"/>
              </w:rPr>
              <w:noBreakHyphen/>
            </w:r>
            <w:r w:rsidRPr="007A3793">
              <w:rPr>
                <w:lang w:val="en-GB"/>
              </w:rPr>
              <w:t>Malta-c</w:t>
            </w:r>
            <w:bookmarkEnd w:id="262"/>
            <w:r w:rsidRPr="007A3793">
              <w:rPr>
                <w:lang w:val="en-GB"/>
              </w:rPr>
              <w:t>]</w:t>
            </w:r>
          </w:p>
        </w:tc>
        <w:tc>
          <w:tcPr>
            <w:tcW w:w="7465" w:type="dxa"/>
          </w:tcPr>
          <w:p w14:paraId="71C92B3E" w14:textId="25C5A2E5" w:rsidR="006C7B06" w:rsidRPr="007A3793" w:rsidRDefault="006C7B06" w:rsidP="007A3793">
            <w:pPr>
              <w:spacing w:before="0" w:after="240"/>
              <w:rPr>
                <w:lang w:val="en-GB"/>
              </w:rPr>
            </w:pPr>
            <w:r w:rsidRPr="007A3793">
              <w:rPr>
                <w:lang w:val="en-GB"/>
              </w:rPr>
              <w:t>Malta (2018).</w:t>
            </w:r>
            <w:r w:rsidRPr="007A3793">
              <w:rPr>
                <w:i/>
                <w:lang w:val="en-GB"/>
              </w:rPr>
              <w:t xml:space="preserve"> The Virtual Financial Assets Act (</w:t>
            </w:r>
            <w:r w:rsidR="001122ED">
              <w:rPr>
                <w:i/>
                <w:lang w:val="en-GB"/>
              </w:rPr>
              <w:t>'</w:t>
            </w:r>
            <w:r w:rsidRPr="007A3793">
              <w:rPr>
                <w:i/>
                <w:lang w:val="en-GB"/>
              </w:rPr>
              <w:t>VFAA</w:t>
            </w:r>
            <w:r w:rsidR="001122ED">
              <w:rPr>
                <w:i/>
                <w:lang w:val="en-GB"/>
              </w:rPr>
              <w:t>'</w:t>
            </w:r>
            <w:r w:rsidRPr="007A3793">
              <w:rPr>
                <w:i/>
                <w:lang w:val="en-GB"/>
              </w:rPr>
              <w:t>).</w:t>
            </w:r>
            <w:r w:rsidRPr="007A3793">
              <w:rPr>
                <w:lang w:val="en-GB"/>
              </w:rPr>
              <w:t xml:space="preserve"> Available at: </w:t>
            </w:r>
            <w:hyperlink r:id="rId70" w:history="1">
              <w:r w:rsidR="008B6ABA">
                <w:rPr>
                  <w:rStyle w:val="Hyperlink"/>
                  <w:rFonts w:ascii="Arial" w:hAnsi="Arial" w:cs="Arial"/>
                  <w:sz w:val="18"/>
                  <w:szCs w:val="18"/>
                  <w:lang w:val="en-GB"/>
                </w:rPr>
                <w:t>http://justiceservices.gov.mt/DownloadDocument.aspx?app=lp&amp;itemid=29079&amp;l=1</w:t>
              </w:r>
            </w:hyperlink>
            <w:r w:rsidRPr="007A3793">
              <w:rPr>
                <w:lang w:val="en-GB"/>
              </w:rPr>
              <w:t xml:space="preserve"> </w:t>
            </w:r>
          </w:p>
        </w:tc>
      </w:tr>
      <w:tr w:rsidR="006C7B06" w:rsidRPr="007A3793" w14:paraId="71C92B42" w14:textId="77777777" w:rsidTr="00325CA1">
        <w:tc>
          <w:tcPr>
            <w:tcW w:w="2410" w:type="dxa"/>
          </w:tcPr>
          <w:p w14:paraId="71C92B40" w14:textId="1EF077F8" w:rsidR="006C7B06" w:rsidRPr="007A3793" w:rsidRDefault="006C7B06" w:rsidP="000B207E">
            <w:pPr>
              <w:spacing w:before="0" w:after="240"/>
              <w:rPr>
                <w:lang w:val="en-GB"/>
              </w:rPr>
            </w:pPr>
            <w:r w:rsidRPr="007A3793">
              <w:rPr>
                <w:lang w:val="en-GB"/>
              </w:rPr>
              <w:t>[</w:t>
            </w:r>
            <w:bookmarkStart w:id="263" w:name="mcmullen"/>
            <w:r w:rsidR="00CD1179">
              <w:rPr>
                <w:lang w:val="en-GB"/>
              </w:rPr>
              <w:t>b</w:t>
            </w:r>
            <w:r w:rsidR="00CD1179">
              <w:rPr>
                <w:lang w:val="en-GB"/>
              </w:rPr>
              <w:noBreakHyphen/>
            </w:r>
            <w:r w:rsidRPr="007A3793">
              <w:rPr>
                <w:lang w:val="en-GB"/>
              </w:rPr>
              <w:t>McMullen</w:t>
            </w:r>
            <w:bookmarkEnd w:id="263"/>
            <w:r w:rsidRPr="007A3793">
              <w:rPr>
                <w:lang w:val="en-GB"/>
              </w:rPr>
              <w:t>]</w:t>
            </w:r>
          </w:p>
        </w:tc>
        <w:tc>
          <w:tcPr>
            <w:tcW w:w="7465" w:type="dxa"/>
          </w:tcPr>
          <w:p w14:paraId="71C92B41" w14:textId="4A807651" w:rsidR="006C7B06" w:rsidRPr="007A3793" w:rsidRDefault="006C7B06" w:rsidP="007A3793">
            <w:pPr>
              <w:spacing w:before="0" w:after="240"/>
              <w:rPr>
                <w:lang w:val="en-GB"/>
              </w:rPr>
            </w:pPr>
            <w:r w:rsidRPr="007A3793">
              <w:rPr>
                <w:lang w:val="en-GB"/>
              </w:rPr>
              <w:t xml:space="preserve">McMullen, G. &amp; </w:t>
            </w:r>
            <w:proofErr w:type="spellStart"/>
            <w:r w:rsidRPr="007A3793">
              <w:rPr>
                <w:lang w:val="en-GB"/>
              </w:rPr>
              <w:t>Jongerius</w:t>
            </w:r>
            <w:proofErr w:type="spellEnd"/>
            <w:r w:rsidRPr="007A3793">
              <w:rPr>
                <w:lang w:val="en-GB"/>
              </w:rPr>
              <w:t xml:space="preserve">, S. (2018). </w:t>
            </w:r>
            <w:r w:rsidRPr="007A3793">
              <w:rPr>
                <w:i/>
                <w:lang w:val="en-GB"/>
              </w:rPr>
              <w:t>Privacy and GDPR Compliance of Least Authority</w:t>
            </w:r>
            <w:r w:rsidR="001122ED">
              <w:rPr>
                <w:i/>
                <w:lang w:val="en-GB"/>
              </w:rPr>
              <w:t>'</w:t>
            </w:r>
            <w:r w:rsidRPr="007A3793">
              <w:rPr>
                <w:i/>
                <w:lang w:val="en-GB"/>
              </w:rPr>
              <w:t xml:space="preserve">s Private Periodic Payment Protocol (P4) Using </w:t>
            </w:r>
            <w:proofErr w:type="spellStart"/>
            <w:r w:rsidRPr="007A3793">
              <w:rPr>
                <w:i/>
                <w:lang w:val="en-GB"/>
              </w:rPr>
              <w:t>Zcash</w:t>
            </w:r>
            <w:proofErr w:type="spellEnd"/>
            <w:r w:rsidRPr="007A3793">
              <w:rPr>
                <w:i/>
                <w:lang w:val="en-GB"/>
              </w:rPr>
              <w:t xml:space="preserve">. </w:t>
            </w:r>
            <w:r w:rsidRPr="007A3793">
              <w:rPr>
                <w:lang w:val="en-GB"/>
              </w:rPr>
              <w:t xml:space="preserve">Available at: </w:t>
            </w:r>
            <w:hyperlink r:id="rId71" w:history="1">
              <w:r w:rsidR="008B6ABA">
                <w:rPr>
                  <w:rStyle w:val="Hyperlink"/>
                  <w:rFonts w:ascii="Arial" w:hAnsi="Arial" w:cs="Arial"/>
                  <w:sz w:val="18"/>
                  <w:szCs w:val="18"/>
                  <w:lang w:val="en-GB"/>
                </w:rPr>
                <w:t>https://techgdpr.com/wp-content/uploads/2019/01/TechGDPR-assessment-of-Zcash-using-Least-Authority-P4.pdf</w:t>
              </w:r>
            </w:hyperlink>
            <w:r w:rsidRPr="007A3793">
              <w:rPr>
                <w:lang w:val="en-GB"/>
              </w:rPr>
              <w:t xml:space="preserve">. </w:t>
            </w:r>
          </w:p>
        </w:tc>
      </w:tr>
      <w:tr w:rsidR="006C7B06" w:rsidRPr="007A3793" w14:paraId="71C92B45" w14:textId="77777777" w:rsidTr="00325CA1">
        <w:tc>
          <w:tcPr>
            <w:tcW w:w="2410" w:type="dxa"/>
          </w:tcPr>
          <w:p w14:paraId="71C92B43" w14:textId="42F1B78F" w:rsidR="006C7B06" w:rsidRPr="007A3793" w:rsidRDefault="006C7B06" w:rsidP="000B207E">
            <w:pPr>
              <w:spacing w:before="0" w:after="240"/>
              <w:rPr>
                <w:lang w:val="en-GB"/>
              </w:rPr>
            </w:pPr>
            <w:r w:rsidRPr="007A3793">
              <w:rPr>
                <w:lang w:val="en-GB"/>
              </w:rPr>
              <w:t>[</w:t>
            </w:r>
            <w:bookmarkStart w:id="264" w:name="oecd"/>
            <w:r w:rsidR="00CD1179">
              <w:rPr>
                <w:lang w:val="en-GB"/>
              </w:rPr>
              <w:t>b</w:t>
            </w:r>
            <w:r w:rsidR="00CD1179">
              <w:rPr>
                <w:lang w:val="en-GB"/>
              </w:rPr>
              <w:noBreakHyphen/>
            </w:r>
            <w:r w:rsidRPr="007A3793">
              <w:rPr>
                <w:lang w:val="en-GB"/>
              </w:rPr>
              <w:t>OECD</w:t>
            </w:r>
            <w:bookmarkEnd w:id="264"/>
            <w:r w:rsidRPr="007A3793">
              <w:rPr>
                <w:lang w:val="en-GB"/>
              </w:rPr>
              <w:t>]</w:t>
            </w:r>
          </w:p>
        </w:tc>
        <w:tc>
          <w:tcPr>
            <w:tcW w:w="7465" w:type="dxa"/>
          </w:tcPr>
          <w:p w14:paraId="71C92B44" w14:textId="60D4BC67" w:rsidR="006C7B06" w:rsidRPr="007A3793" w:rsidRDefault="006C7B06" w:rsidP="007A3793">
            <w:pPr>
              <w:spacing w:before="0" w:after="240"/>
              <w:rPr>
                <w:lang w:val="en-GB"/>
              </w:rPr>
            </w:pPr>
            <w:r w:rsidRPr="007A3793">
              <w:rPr>
                <w:lang w:val="en-GB"/>
              </w:rPr>
              <w:t xml:space="preserve">OECD (2018). </w:t>
            </w:r>
            <w:r w:rsidRPr="007A3793">
              <w:rPr>
                <w:i/>
                <w:lang w:val="en-GB"/>
              </w:rPr>
              <w:t>Blockchain Technology and Competition Policy.</w:t>
            </w:r>
            <w:r w:rsidRPr="007A3793">
              <w:rPr>
                <w:lang w:val="en-GB"/>
              </w:rPr>
              <w:t xml:space="preserve"> Available at: </w:t>
            </w:r>
            <w:hyperlink r:id="rId72" w:history="1">
              <w:r w:rsidR="008B6ABA">
                <w:rPr>
                  <w:rStyle w:val="Hyperlink"/>
                  <w:rFonts w:ascii="Arial" w:hAnsi="Arial" w:cs="Arial"/>
                  <w:sz w:val="18"/>
                  <w:szCs w:val="18"/>
                  <w:lang w:val="en-GB"/>
                </w:rPr>
                <w:t>https://www.oecd.org/competition/blockchain-and-competition-policy.htm</w:t>
              </w:r>
            </w:hyperlink>
            <w:r w:rsidRPr="007A3793">
              <w:rPr>
                <w:lang w:val="en-GB"/>
              </w:rPr>
              <w:t xml:space="preserve">  </w:t>
            </w:r>
          </w:p>
        </w:tc>
      </w:tr>
      <w:tr w:rsidR="006C7B06" w:rsidRPr="007A3793" w14:paraId="71C92B48" w14:textId="77777777" w:rsidTr="00325CA1">
        <w:tc>
          <w:tcPr>
            <w:tcW w:w="2410" w:type="dxa"/>
          </w:tcPr>
          <w:p w14:paraId="71C92B46" w14:textId="308CCF6D" w:rsidR="006C7B06" w:rsidRPr="007A3793" w:rsidRDefault="006C7B06" w:rsidP="000B207E">
            <w:pPr>
              <w:spacing w:before="0" w:after="240"/>
              <w:rPr>
                <w:lang w:val="en-GB"/>
              </w:rPr>
            </w:pPr>
            <w:r w:rsidRPr="007A3793">
              <w:rPr>
                <w:lang w:val="en-GB"/>
              </w:rPr>
              <w:t>[</w:t>
            </w:r>
            <w:bookmarkStart w:id="265" w:name="peterson"/>
            <w:r w:rsidR="00CD1179">
              <w:rPr>
                <w:lang w:val="en-GB"/>
              </w:rPr>
              <w:t>b</w:t>
            </w:r>
            <w:r w:rsidR="00CD1179">
              <w:rPr>
                <w:lang w:val="en-GB"/>
              </w:rPr>
              <w:noBreakHyphen/>
            </w:r>
            <w:r w:rsidRPr="007A3793">
              <w:rPr>
                <w:lang w:val="en-GB"/>
              </w:rPr>
              <w:t>Peterson</w:t>
            </w:r>
            <w:bookmarkEnd w:id="265"/>
            <w:r w:rsidRPr="007A3793">
              <w:rPr>
                <w:lang w:val="en-GB"/>
              </w:rPr>
              <w:t>]</w:t>
            </w:r>
          </w:p>
        </w:tc>
        <w:tc>
          <w:tcPr>
            <w:tcW w:w="7465" w:type="dxa"/>
          </w:tcPr>
          <w:p w14:paraId="71C92B47" w14:textId="02E5C5C4" w:rsidR="006C7B06" w:rsidRPr="007A3793" w:rsidRDefault="006C7B06" w:rsidP="007A3793">
            <w:pPr>
              <w:spacing w:before="0" w:after="240"/>
              <w:rPr>
                <w:lang w:val="en-GB"/>
              </w:rPr>
            </w:pPr>
            <w:r w:rsidRPr="007A3793">
              <w:rPr>
                <w:lang w:val="en-GB"/>
              </w:rPr>
              <w:t xml:space="preserve">Peterson, J. (2016). </w:t>
            </w:r>
            <w:r w:rsidRPr="007A3793">
              <w:rPr>
                <w:i/>
                <w:lang w:val="en-GB"/>
              </w:rPr>
              <w:t xml:space="preserve">Code is </w:t>
            </w:r>
            <w:r w:rsidR="009C7097" w:rsidRPr="007A3793">
              <w:rPr>
                <w:i/>
                <w:lang w:val="en-GB"/>
              </w:rPr>
              <w:t xml:space="preserve">law, except </w:t>
            </w:r>
            <w:r w:rsidRPr="007A3793">
              <w:rPr>
                <w:i/>
                <w:lang w:val="en-GB"/>
              </w:rPr>
              <w:t>when it isn</w:t>
            </w:r>
            <w:r w:rsidR="001122ED">
              <w:rPr>
                <w:i/>
                <w:lang w:val="en-GB"/>
              </w:rPr>
              <w:t>'</w:t>
            </w:r>
            <w:r w:rsidRPr="007A3793">
              <w:rPr>
                <w:i/>
                <w:lang w:val="en-GB"/>
              </w:rPr>
              <w:t>t.</w:t>
            </w:r>
            <w:r w:rsidRPr="007A3793">
              <w:rPr>
                <w:lang w:val="en-GB"/>
              </w:rPr>
              <w:t xml:space="preserve"> The Augur Report, 30-Jun-2016. Available at: </w:t>
            </w:r>
            <w:hyperlink r:id="rId73" w:history="1">
              <w:r w:rsidR="008B6ABA">
                <w:rPr>
                  <w:rStyle w:val="Hyperlink"/>
                  <w:rFonts w:ascii="Arial" w:hAnsi="Arial" w:cs="Arial"/>
                  <w:sz w:val="18"/>
                  <w:szCs w:val="18"/>
                  <w:lang w:val="en-GB"/>
                </w:rPr>
                <w:t>https://web.archive.org/web/20170228200009/http:/blog.augur.net/code-is-law/</w:t>
              </w:r>
            </w:hyperlink>
          </w:p>
        </w:tc>
      </w:tr>
      <w:tr w:rsidR="006C7B06" w:rsidRPr="007A3793" w14:paraId="71C92B4B" w14:textId="77777777" w:rsidTr="00325CA1">
        <w:tc>
          <w:tcPr>
            <w:tcW w:w="2410" w:type="dxa"/>
          </w:tcPr>
          <w:p w14:paraId="71C92B49" w14:textId="2796E5BE" w:rsidR="006C7B06" w:rsidRPr="007A3793" w:rsidRDefault="006C7B06" w:rsidP="000B207E">
            <w:pPr>
              <w:spacing w:before="0" w:after="240"/>
              <w:rPr>
                <w:lang w:val="en-GB"/>
              </w:rPr>
            </w:pPr>
            <w:r w:rsidRPr="007A3793">
              <w:rPr>
                <w:lang w:val="en-GB"/>
              </w:rPr>
              <w:t>[</w:t>
            </w:r>
            <w:bookmarkStart w:id="266" w:name="raskin"/>
            <w:r w:rsidR="00CD1179">
              <w:rPr>
                <w:lang w:val="en-GB"/>
              </w:rPr>
              <w:t>b</w:t>
            </w:r>
            <w:r w:rsidR="00CD1179">
              <w:rPr>
                <w:lang w:val="en-GB"/>
              </w:rPr>
              <w:noBreakHyphen/>
            </w:r>
            <w:proofErr w:type="spellStart"/>
            <w:r w:rsidRPr="007A3793">
              <w:rPr>
                <w:lang w:val="en-GB"/>
              </w:rPr>
              <w:t>Raskin</w:t>
            </w:r>
            <w:bookmarkEnd w:id="266"/>
            <w:proofErr w:type="spellEnd"/>
            <w:r w:rsidRPr="007A3793">
              <w:rPr>
                <w:lang w:val="en-GB"/>
              </w:rPr>
              <w:t>]</w:t>
            </w:r>
          </w:p>
        </w:tc>
        <w:tc>
          <w:tcPr>
            <w:tcW w:w="7465" w:type="dxa"/>
          </w:tcPr>
          <w:p w14:paraId="71C92B4A" w14:textId="58AE473F" w:rsidR="006C7B06" w:rsidRPr="007A3793" w:rsidRDefault="006C7B06" w:rsidP="007A3793">
            <w:pPr>
              <w:spacing w:before="0" w:after="240"/>
              <w:rPr>
                <w:lang w:val="en-GB"/>
              </w:rPr>
            </w:pPr>
            <w:proofErr w:type="spellStart"/>
            <w:r w:rsidRPr="007A3793">
              <w:rPr>
                <w:lang w:val="en-GB"/>
              </w:rPr>
              <w:t>Raskin</w:t>
            </w:r>
            <w:proofErr w:type="spellEnd"/>
            <w:r w:rsidRPr="007A3793">
              <w:rPr>
                <w:lang w:val="en-GB"/>
              </w:rPr>
              <w:t xml:space="preserve">, M. (2017). </w:t>
            </w:r>
            <w:r w:rsidRPr="007A3793">
              <w:rPr>
                <w:i/>
                <w:lang w:val="en-GB"/>
              </w:rPr>
              <w:t>The Law and Legality of Smart Contracts</w:t>
            </w:r>
            <w:r w:rsidRPr="007A3793">
              <w:rPr>
                <w:lang w:val="en-GB"/>
              </w:rPr>
              <w:t xml:space="preserve">. Georgetown Law Technology Review, Vol. 1, No. 2, pp. 305-341. Available at: </w:t>
            </w:r>
            <w:hyperlink r:id="rId74" w:history="1">
              <w:r w:rsidR="008B6ABA">
                <w:rPr>
                  <w:rStyle w:val="Hyperlink"/>
                  <w:rFonts w:ascii="Arial" w:hAnsi="Arial" w:cs="Arial"/>
                  <w:sz w:val="18"/>
                  <w:szCs w:val="18"/>
                  <w:lang w:val="en-GB"/>
                </w:rPr>
                <w:t>https://dx.doi.org/10.2139/ssrn.2842258</w:t>
              </w:r>
            </w:hyperlink>
            <w:r w:rsidRPr="007A3793">
              <w:rPr>
                <w:lang w:val="en-GB"/>
              </w:rPr>
              <w:t xml:space="preserve"> </w:t>
            </w:r>
          </w:p>
        </w:tc>
      </w:tr>
      <w:tr w:rsidR="006C7B06" w:rsidRPr="007A3793" w14:paraId="71C92B4E" w14:textId="77777777" w:rsidTr="00325CA1">
        <w:tc>
          <w:tcPr>
            <w:tcW w:w="2410" w:type="dxa"/>
          </w:tcPr>
          <w:p w14:paraId="71C92B4C" w14:textId="23FE0D4B" w:rsidR="006C7B06" w:rsidRPr="007A3793" w:rsidRDefault="006C7B06" w:rsidP="000B207E">
            <w:pPr>
              <w:spacing w:before="0" w:after="240"/>
              <w:rPr>
                <w:lang w:val="en-GB"/>
              </w:rPr>
            </w:pPr>
            <w:r w:rsidRPr="007A3793">
              <w:rPr>
                <w:lang w:val="en-GB"/>
              </w:rPr>
              <w:t>[</w:t>
            </w:r>
            <w:bookmarkStart w:id="267" w:name="rauchs"/>
            <w:r w:rsidR="00CD1179">
              <w:rPr>
                <w:lang w:val="en-GB"/>
              </w:rPr>
              <w:t>b</w:t>
            </w:r>
            <w:r w:rsidR="00CD1179">
              <w:rPr>
                <w:lang w:val="en-GB"/>
              </w:rPr>
              <w:noBreakHyphen/>
            </w:r>
            <w:proofErr w:type="spellStart"/>
            <w:r w:rsidRPr="007A3793">
              <w:rPr>
                <w:lang w:val="en-GB"/>
              </w:rPr>
              <w:t>Rauchs</w:t>
            </w:r>
            <w:bookmarkEnd w:id="267"/>
            <w:proofErr w:type="spellEnd"/>
            <w:r w:rsidRPr="007A3793">
              <w:rPr>
                <w:lang w:val="en-GB"/>
              </w:rPr>
              <w:t>]</w:t>
            </w:r>
          </w:p>
        </w:tc>
        <w:tc>
          <w:tcPr>
            <w:tcW w:w="7465" w:type="dxa"/>
          </w:tcPr>
          <w:p w14:paraId="71C92B4D" w14:textId="773BBBC0" w:rsidR="006C7B06" w:rsidRPr="007A3793" w:rsidRDefault="006C7B06" w:rsidP="007A3793">
            <w:pPr>
              <w:spacing w:before="0" w:after="240"/>
              <w:rPr>
                <w:lang w:val="en-GB"/>
              </w:rPr>
            </w:pPr>
            <w:proofErr w:type="spellStart"/>
            <w:r w:rsidRPr="007A3793">
              <w:rPr>
                <w:lang w:val="en-GB"/>
              </w:rPr>
              <w:t>Rauchs</w:t>
            </w:r>
            <w:proofErr w:type="spellEnd"/>
            <w:r w:rsidRPr="007A3793">
              <w:rPr>
                <w:lang w:val="en-GB"/>
              </w:rPr>
              <w:t xml:space="preserve">, M., Glidden, A., Gordon, B., Pieters, G., et al. (2018). </w:t>
            </w:r>
            <w:r w:rsidRPr="007A3793">
              <w:rPr>
                <w:i/>
                <w:lang w:val="en-GB"/>
              </w:rPr>
              <w:t xml:space="preserve">Distributed Ledger Technology Systems A Conceptual Framework. </w:t>
            </w:r>
            <w:r w:rsidRPr="007A3793">
              <w:rPr>
                <w:lang w:val="en-GB"/>
              </w:rPr>
              <w:t>University of Cambridge. Available at:</w:t>
            </w:r>
            <w:r w:rsidR="000355E1" w:rsidRPr="007A3793">
              <w:rPr>
                <w:lang w:val="en-GB"/>
              </w:rPr>
              <w:t xml:space="preserve"> </w:t>
            </w:r>
            <w:hyperlink r:id="rId75" w:history="1">
              <w:r w:rsidR="008B6ABA">
                <w:rPr>
                  <w:rStyle w:val="Hyperlink"/>
                  <w:rFonts w:ascii="Arial" w:hAnsi="Arial" w:cs="Arial"/>
                  <w:sz w:val="18"/>
                  <w:szCs w:val="18"/>
                  <w:lang w:val="en-GB"/>
                </w:rPr>
                <w:t>https://www.jbs.cam.ac.uk/fileadmin/user_upload/research/centres/alternative-finance/downloads/2018-10-26-conceptualising-dlt-systems.pdf</w:t>
              </w:r>
            </w:hyperlink>
            <w:r w:rsidR="000355E1" w:rsidRPr="007A3793">
              <w:rPr>
                <w:lang w:val="en-GB"/>
              </w:rPr>
              <w:t xml:space="preserve"> </w:t>
            </w:r>
          </w:p>
        </w:tc>
      </w:tr>
      <w:tr w:rsidR="006C7B06" w:rsidRPr="007A3793" w14:paraId="71C92B51" w14:textId="77777777" w:rsidTr="00325CA1">
        <w:tc>
          <w:tcPr>
            <w:tcW w:w="2410" w:type="dxa"/>
          </w:tcPr>
          <w:p w14:paraId="71C92B4F" w14:textId="4E26104E" w:rsidR="006C7B06" w:rsidRPr="007A3793" w:rsidRDefault="006C7B06" w:rsidP="000B207E">
            <w:pPr>
              <w:spacing w:before="0" w:after="240"/>
              <w:rPr>
                <w:lang w:val="en-GB"/>
              </w:rPr>
            </w:pPr>
            <w:r w:rsidRPr="007A3793">
              <w:rPr>
                <w:lang w:val="en-GB"/>
              </w:rPr>
              <w:t>[</w:t>
            </w:r>
            <w:bookmarkStart w:id="268" w:name="raval"/>
            <w:r w:rsidR="00CD1179">
              <w:rPr>
                <w:lang w:val="en-GB"/>
              </w:rPr>
              <w:t>b</w:t>
            </w:r>
            <w:r w:rsidR="00CD1179">
              <w:rPr>
                <w:lang w:val="en-GB"/>
              </w:rPr>
              <w:noBreakHyphen/>
            </w:r>
            <w:proofErr w:type="spellStart"/>
            <w:r w:rsidRPr="007A3793">
              <w:rPr>
                <w:lang w:val="en-GB"/>
              </w:rPr>
              <w:t>Raval</w:t>
            </w:r>
            <w:bookmarkEnd w:id="268"/>
            <w:proofErr w:type="spellEnd"/>
            <w:r w:rsidRPr="007A3793">
              <w:rPr>
                <w:lang w:val="en-GB"/>
              </w:rPr>
              <w:t>]</w:t>
            </w:r>
          </w:p>
        </w:tc>
        <w:tc>
          <w:tcPr>
            <w:tcW w:w="7465" w:type="dxa"/>
          </w:tcPr>
          <w:p w14:paraId="71C92B50" w14:textId="4CA0A4DE" w:rsidR="006C7B06" w:rsidRPr="007A3793" w:rsidRDefault="006C7B06" w:rsidP="007A3793">
            <w:pPr>
              <w:spacing w:before="0" w:after="240"/>
              <w:rPr>
                <w:lang w:val="en-GB"/>
              </w:rPr>
            </w:pPr>
            <w:proofErr w:type="spellStart"/>
            <w:r w:rsidRPr="007A3793">
              <w:rPr>
                <w:lang w:val="en-GB"/>
              </w:rPr>
              <w:t>Raval</w:t>
            </w:r>
            <w:proofErr w:type="spellEnd"/>
            <w:r w:rsidRPr="007A3793">
              <w:rPr>
                <w:lang w:val="en-GB"/>
              </w:rPr>
              <w:t xml:space="preserve"> S. (2016) </w:t>
            </w:r>
            <w:r w:rsidRPr="007A3793">
              <w:rPr>
                <w:i/>
                <w:lang w:val="en-GB"/>
              </w:rPr>
              <w:t>Decentralized Applications Harnessing Bitcoin</w:t>
            </w:r>
            <w:r w:rsidR="001122ED">
              <w:rPr>
                <w:i/>
                <w:lang w:val="en-GB"/>
              </w:rPr>
              <w:t>'</w:t>
            </w:r>
            <w:r w:rsidRPr="007A3793">
              <w:rPr>
                <w:i/>
                <w:lang w:val="en-GB"/>
              </w:rPr>
              <w:t xml:space="preserve">s Blockchain Technology. </w:t>
            </w:r>
            <w:r w:rsidRPr="007A3793">
              <w:rPr>
                <w:lang w:val="en-GB"/>
              </w:rPr>
              <w:t>O</w:t>
            </w:r>
            <w:r w:rsidR="001122ED">
              <w:rPr>
                <w:lang w:val="en-GB"/>
              </w:rPr>
              <w:t>'</w:t>
            </w:r>
            <w:r w:rsidRPr="007A3793">
              <w:rPr>
                <w:lang w:val="en-GB"/>
              </w:rPr>
              <w:t xml:space="preserve">Reilly Media. </w:t>
            </w:r>
          </w:p>
        </w:tc>
      </w:tr>
      <w:tr w:rsidR="006C7B06" w:rsidRPr="007A3793" w14:paraId="71C92B54" w14:textId="77777777" w:rsidTr="00325CA1">
        <w:tc>
          <w:tcPr>
            <w:tcW w:w="2410" w:type="dxa"/>
          </w:tcPr>
          <w:p w14:paraId="71C92B52" w14:textId="626B20F3" w:rsidR="006C7B06" w:rsidRPr="007A3793" w:rsidRDefault="006C7B06" w:rsidP="000B207E">
            <w:pPr>
              <w:spacing w:before="0" w:after="240"/>
              <w:rPr>
                <w:lang w:val="en-GB"/>
              </w:rPr>
            </w:pPr>
            <w:r w:rsidRPr="007A3793">
              <w:rPr>
                <w:lang w:val="en-GB"/>
              </w:rPr>
              <w:t>[</w:t>
            </w:r>
            <w:bookmarkStart w:id="269" w:name="reyes"/>
            <w:r w:rsidR="00CD1179">
              <w:rPr>
                <w:lang w:val="en-GB"/>
              </w:rPr>
              <w:t>b</w:t>
            </w:r>
            <w:r w:rsidR="00CD1179">
              <w:rPr>
                <w:lang w:val="en-GB"/>
              </w:rPr>
              <w:noBreakHyphen/>
            </w:r>
            <w:r w:rsidRPr="007A3793">
              <w:rPr>
                <w:lang w:val="en-GB"/>
              </w:rPr>
              <w:t>Reyes</w:t>
            </w:r>
            <w:bookmarkEnd w:id="269"/>
            <w:r w:rsidRPr="007A3793">
              <w:rPr>
                <w:lang w:val="en-GB"/>
              </w:rPr>
              <w:t>]</w:t>
            </w:r>
          </w:p>
        </w:tc>
        <w:tc>
          <w:tcPr>
            <w:tcW w:w="7465" w:type="dxa"/>
          </w:tcPr>
          <w:p w14:paraId="71C92B53" w14:textId="2675AFA3" w:rsidR="006C7B06" w:rsidRPr="007A3793" w:rsidRDefault="006C7B06" w:rsidP="007A3793">
            <w:pPr>
              <w:spacing w:before="0" w:after="240"/>
              <w:rPr>
                <w:lang w:val="en-GB"/>
              </w:rPr>
            </w:pPr>
            <w:r w:rsidRPr="007A3793">
              <w:rPr>
                <w:lang w:val="en-GB"/>
              </w:rPr>
              <w:t xml:space="preserve">Reyes, C. (2016). </w:t>
            </w:r>
            <w:r w:rsidRPr="007A3793">
              <w:rPr>
                <w:i/>
                <w:lang w:val="en-GB"/>
              </w:rPr>
              <w:t>Moving Beyond Bitcoin to an Endogenous Theory of Decentralized Ledger Technology Regulation: An Initial Proposal</w:t>
            </w:r>
            <w:r w:rsidRPr="007A3793">
              <w:rPr>
                <w:lang w:val="en-GB"/>
              </w:rPr>
              <w:t xml:space="preserve">. Villanova Law Review, Vol. 61, No. 1. Stetson University College of Law, Research Paper No. 2016-8. Available at: </w:t>
            </w:r>
            <w:hyperlink r:id="rId76" w:history="1">
              <w:r w:rsidR="008B6ABA">
                <w:rPr>
                  <w:rStyle w:val="Hyperlink"/>
                  <w:rFonts w:ascii="Arial" w:hAnsi="Arial" w:cs="Arial"/>
                  <w:sz w:val="18"/>
                  <w:szCs w:val="18"/>
                  <w:lang w:val="en-GB"/>
                </w:rPr>
                <w:t>https://ssrn.com/abstract=2766705</w:t>
              </w:r>
            </w:hyperlink>
          </w:p>
        </w:tc>
      </w:tr>
      <w:tr w:rsidR="006C7B06" w:rsidRPr="007A3793" w14:paraId="71C92B57" w14:textId="77777777" w:rsidTr="00325CA1">
        <w:tc>
          <w:tcPr>
            <w:tcW w:w="2410" w:type="dxa"/>
          </w:tcPr>
          <w:p w14:paraId="71C92B55" w14:textId="53514A57" w:rsidR="006C7B06" w:rsidRPr="007A3793" w:rsidRDefault="006C7B06" w:rsidP="000B207E">
            <w:pPr>
              <w:spacing w:before="0" w:after="240"/>
              <w:rPr>
                <w:lang w:val="en-GB"/>
              </w:rPr>
            </w:pPr>
            <w:r w:rsidRPr="007A3793">
              <w:rPr>
                <w:lang w:val="en-GB"/>
              </w:rPr>
              <w:t>[</w:t>
            </w:r>
            <w:bookmarkStart w:id="270" w:name="russianfeda"/>
            <w:r w:rsidR="00CD1179">
              <w:rPr>
                <w:lang w:val="en-GB"/>
              </w:rPr>
              <w:t>b</w:t>
            </w:r>
            <w:r w:rsidR="00CD1179">
              <w:rPr>
                <w:lang w:val="en-GB"/>
              </w:rPr>
              <w:noBreakHyphen/>
            </w:r>
            <w:r w:rsidRPr="007A3793">
              <w:rPr>
                <w:lang w:val="en-GB"/>
              </w:rPr>
              <w:t>Russian Fed</w:t>
            </w:r>
            <w:r w:rsidRPr="007A3793">
              <w:rPr>
                <w:lang w:val="en-GB"/>
              </w:rPr>
              <w:t>-a</w:t>
            </w:r>
            <w:bookmarkEnd w:id="270"/>
            <w:r w:rsidRPr="007A3793">
              <w:rPr>
                <w:lang w:val="en-GB"/>
              </w:rPr>
              <w:t xml:space="preserve">] </w:t>
            </w:r>
          </w:p>
        </w:tc>
        <w:tc>
          <w:tcPr>
            <w:tcW w:w="7465" w:type="dxa"/>
          </w:tcPr>
          <w:p w14:paraId="71C92B56" w14:textId="00EDB4D5" w:rsidR="006C7B06" w:rsidRPr="007A3793" w:rsidRDefault="006C7B06" w:rsidP="007A3793">
            <w:pPr>
              <w:spacing w:before="0" w:after="240"/>
              <w:rPr>
                <w:lang w:val="en-GB"/>
              </w:rPr>
            </w:pPr>
            <w:r w:rsidRPr="007A3793">
              <w:rPr>
                <w:lang w:val="en-GB"/>
              </w:rPr>
              <w:t xml:space="preserve">The Russian Federation (2006). </w:t>
            </w:r>
            <w:r w:rsidRPr="007A3793">
              <w:rPr>
                <w:i/>
                <w:lang w:val="en-GB"/>
              </w:rPr>
              <w:t>Federal Law No. 149-FZ of Information, Informational Technologies and the Protection of Information – Article 10.4 &amp; 10.5</w:t>
            </w:r>
            <w:r w:rsidRPr="007A3793">
              <w:rPr>
                <w:lang w:val="en-GB"/>
              </w:rPr>
              <w:t xml:space="preserve">. Available at: </w:t>
            </w:r>
            <w:hyperlink r:id="rId77" w:history="1">
              <w:r w:rsidR="008B6ABA">
                <w:rPr>
                  <w:rStyle w:val="Hyperlink"/>
                  <w:rFonts w:ascii="Arial" w:hAnsi="Arial" w:cs="Arial"/>
                  <w:sz w:val="18"/>
                  <w:szCs w:val="18"/>
                  <w:lang w:val="en-GB"/>
                </w:rPr>
                <w:t>https://www.wipo.int/edocs/lexdocs/laws/en/ru/ru126en.pdf</w:t>
              </w:r>
            </w:hyperlink>
            <w:r w:rsidRPr="007A3793">
              <w:rPr>
                <w:lang w:val="en-GB"/>
              </w:rPr>
              <w:t xml:space="preserve"> </w:t>
            </w:r>
          </w:p>
        </w:tc>
      </w:tr>
      <w:tr w:rsidR="006C7B06" w:rsidRPr="007A3793" w14:paraId="71C92B5A" w14:textId="77777777" w:rsidTr="00325CA1">
        <w:tc>
          <w:tcPr>
            <w:tcW w:w="2410" w:type="dxa"/>
          </w:tcPr>
          <w:p w14:paraId="71C92B58" w14:textId="1C67C084" w:rsidR="006C7B06" w:rsidRPr="007A3793" w:rsidRDefault="006C7B06" w:rsidP="000B207E">
            <w:pPr>
              <w:spacing w:before="0" w:after="240"/>
              <w:rPr>
                <w:lang w:val="en-GB"/>
              </w:rPr>
            </w:pPr>
            <w:r w:rsidRPr="007A3793">
              <w:rPr>
                <w:lang w:val="en-GB"/>
              </w:rPr>
              <w:t>[</w:t>
            </w:r>
            <w:bookmarkStart w:id="271" w:name="russianfedb"/>
            <w:r w:rsidR="00CD1179">
              <w:rPr>
                <w:lang w:val="en-GB"/>
              </w:rPr>
              <w:t>b</w:t>
            </w:r>
            <w:r w:rsidR="00CD1179">
              <w:rPr>
                <w:lang w:val="en-GB"/>
              </w:rPr>
              <w:noBreakHyphen/>
            </w:r>
            <w:r w:rsidRPr="007A3793">
              <w:rPr>
                <w:lang w:val="en-GB"/>
              </w:rPr>
              <w:t>Russian Fed-b</w:t>
            </w:r>
            <w:bookmarkEnd w:id="271"/>
            <w:r w:rsidRPr="007A3793">
              <w:rPr>
                <w:lang w:val="en-GB"/>
              </w:rPr>
              <w:t>]</w:t>
            </w:r>
          </w:p>
        </w:tc>
        <w:tc>
          <w:tcPr>
            <w:tcW w:w="7465" w:type="dxa"/>
          </w:tcPr>
          <w:p w14:paraId="71C92B59" w14:textId="4D243395" w:rsidR="006C7B06" w:rsidRPr="007A3793" w:rsidRDefault="006C7B06" w:rsidP="007A3793">
            <w:pPr>
              <w:spacing w:before="0" w:after="240"/>
              <w:rPr>
                <w:lang w:val="en-GB"/>
              </w:rPr>
            </w:pPr>
            <w:r w:rsidRPr="007A3793">
              <w:rPr>
                <w:lang w:val="en-GB"/>
              </w:rPr>
              <w:t xml:space="preserve">The Russian Federation (2017). </w:t>
            </w:r>
            <w:r w:rsidRPr="007A3793">
              <w:rPr>
                <w:i/>
                <w:lang w:val="en-GB"/>
              </w:rPr>
              <w:t xml:space="preserve">Contract and </w:t>
            </w:r>
            <w:r w:rsidR="009C7097" w:rsidRPr="007A3793">
              <w:rPr>
                <w:i/>
                <w:lang w:val="en-GB"/>
              </w:rPr>
              <w:t>obligations law (general par</w:t>
            </w:r>
            <w:r w:rsidRPr="007A3793">
              <w:rPr>
                <w:i/>
                <w:lang w:val="en-GB"/>
              </w:rPr>
              <w:t>t): Article-</w:t>
            </w:r>
            <w:r w:rsidR="009C7097" w:rsidRPr="007A3793">
              <w:rPr>
                <w:i/>
                <w:lang w:val="en-GB"/>
              </w:rPr>
              <w:t xml:space="preserve">by-article comment to articles </w:t>
            </w:r>
            <w:r w:rsidRPr="007A3793">
              <w:rPr>
                <w:i/>
                <w:lang w:val="en-GB"/>
              </w:rPr>
              <w:t xml:space="preserve">307 - 453 of the </w:t>
            </w:r>
            <w:r w:rsidR="009C7097" w:rsidRPr="007A3793">
              <w:rPr>
                <w:i/>
                <w:lang w:val="en-GB"/>
              </w:rPr>
              <w:t xml:space="preserve">civil code </w:t>
            </w:r>
            <w:r w:rsidRPr="007A3793">
              <w:rPr>
                <w:i/>
                <w:lang w:val="en-GB"/>
              </w:rPr>
              <w:t>of the Russian Federation</w:t>
            </w:r>
            <w:r w:rsidRPr="007A3793">
              <w:rPr>
                <w:lang w:val="en-GB"/>
              </w:rPr>
              <w:t xml:space="preserve">. rep. ed. A.G. </w:t>
            </w:r>
            <w:proofErr w:type="spellStart"/>
            <w:r w:rsidRPr="007A3793">
              <w:rPr>
                <w:lang w:val="en-GB"/>
              </w:rPr>
              <w:t>Karapetov</w:t>
            </w:r>
            <w:proofErr w:type="spellEnd"/>
            <w:r w:rsidRPr="007A3793">
              <w:rPr>
                <w:lang w:val="en-GB"/>
              </w:rPr>
              <w:t>. M., M-Logos, pp. 708-711.</w:t>
            </w:r>
          </w:p>
        </w:tc>
      </w:tr>
      <w:tr w:rsidR="006C7B06" w:rsidRPr="007A3793" w14:paraId="71C92B5D" w14:textId="77777777" w:rsidTr="00325CA1">
        <w:tc>
          <w:tcPr>
            <w:tcW w:w="2410" w:type="dxa"/>
          </w:tcPr>
          <w:p w14:paraId="71C92B5B" w14:textId="0CC13589" w:rsidR="006C7B06" w:rsidRPr="007A3793" w:rsidRDefault="006C7B06" w:rsidP="000B207E">
            <w:pPr>
              <w:spacing w:before="0" w:after="240"/>
              <w:rPr>
                <w:lang w:val="en-GB"/>
              </w:rPr>
            </w:pPr>
            <w:r w:rsidRPr="007A3793">
              <w:rPr>
                <w:lang w:val="en-GB"/>
              </w:rPr>
              <w:t>[</w:t>
            </w:r>
            <w:bookmarkStart w:id="272" w:name="savelieva"/>
            <w:r w:rsidR="00CD1179">
              <w:rPr>
                <w:lang w:val="en-GB"/>
              </w:rPr>
              <w:t>b</w:t>
            </w:r>
            <w:r w:rsidR="00CD1179">
              <w:rPr>
                <w:lang w:val="en-GB"/>
              </w:rPr>
              <w:noBreakHyphen/>
            </w:r>
            <w:proofErr w:type="spellStart"/>
            <w:r w:rsidRPr="007A3793">
              <w:rPr>
                <w:lang w:val="en-GB"/>
              </w:rPr>
              <w:t>Saveliev</w:t>
            </w:r>
            <w:proofErr w:type="spellEnd"/>
            <w:r w:rsidRPr="007A3793">
              <w:rPr>
                <w:lang w:val="en-GB"/>
              </w:rPr>
              <w:t>-a</w:t>
            </w:r>
            <w:bookmarkEnd w:id="272"/>
            <w:r w:rsidRPr="007A3793">
              <w:rPr>
                <w:lang w:val="en-GB"/>
              </w:rPr>
              <w:t>]</w:t>
            </w:r>
          </w:p>
        </w:tc>
        <w:tc>
          <w:tcPr>
            <w:tcW w:w="7465" w:type="dxa"/>
          </w:tcPr>
          <w:p w14:paraId="71C92B5C" w14:textId="77777777" w:rsidR="006C7B06" w:rsidRPr="007A3793" w:rsidRDefault="006C7B06" w:rsidP="007A3793">
            <w:pPr>
              <w:spacing w:before="0" w:after="240"/>
              <w:rPr>
                <w:lang w:val="en-GB"/>
              </w:rPr>
            </w:pPr>
            <w:proofErr w:type="spellStart"/>
            <w:r w:rsidRPr="007A3793">
              <w:rPr>
                <w:lang w:val="en-GB"/>
              </w:rPr>
              <w:t>Saveliev</w:t>
            </w:r>
            <w:proofErr w:type="spellEnd"/>
            <w:r w:rsidRPr="007A3793">
              <w:rPr>
                <w:lang w:val="en-GB"/>
              </w:rPr>
              <w:t xml:space="preserve"> A. I. (2015). </w:t>
            </w:r>
            <w:r w:rsidRPr="007A3793">
              <w:rPr>
                <w:i/>
                <w:lang w:val="en-GB"/>
              </w:rPr>
              <w:t xml:space="preserve">Criteria for the Availability of Valid and Perceived Knowledge as A Condition for Holding the Information Broker to Account. </w:t>
            </w:r>
            <w:r w:rsidRPr="007A3793">
              <w:rPr>
                <w:lang w:val="en-GB"/>
              </w:rPr>
              <w:t>Law, No. 11, pp. 49-52.</w:t>
            </w:r>
          </w:p>
        </w:tc>
      </w:tr>
      <w:tr w:rsidR="006C7B06" w:rsidRPr="007A3793" w14:paraId="71C92B60" w14:textId="77777777" w:rsidTr="00325CA1">
        <w:tc>
          <w:tcPr>
            <w:tcW w:w="2410" w:type="dxa"/>
          </w:tcPr>
          <w:p w14:paraId="71C92B5E" w14:textId="532ED8BD" w:rsidR="006C7B06" w:rsidRPr="007A3793" w:rsidRDefault="006C7B06" w:rsidP="000B207E">
            <w:pPr>
              <w:spacing w:before="0" w:after="240"/>
              <w:rPr>
                <w:lang w:val="en-GB"/>
              </w:rPr>
            </w:pPr>
            <w:r w:rsidRPr="007A3793">
              <w:rPr>
                <w:lang w:val="en-GB"/>
              </w:rPr>
              <w:t>[</w:t>
            </w:r>
            <w:bookmarkStart w:id="273" w:name="savelievb"/>
            <w:r w:rsidR="00CD1179">
              <w:rPr>
                <w:lang w:val="en-GB"/>
              </w:rPr>
              <w:t>b</w:t>
            </w:r>
            <w:r w:rsidR="00CD1179">
              <w:rPr>
                <w:lang w:val="en-GB"/>
              </w:rPr>
              <w:noBreakHyphen/>
            </w:r>
            <w:proofErr w:type="spellStart"/>
            <w:r w:rsidRPr="007A3793">
              <w:rPr>
                <w:lang w:val="en-GB"/>
              </w:rPr>
              <w:t>Saveliev</w:t>
            </w:r>
            <w:proofErr w:type="spellEnd"/>
            <w:r w:rsidRPr="007A3793">
              <w:rPr>
                <w:lang w:val="en-GB"/>
              </w:rPr>
              <w:t>-b</w:t>
            </w:r>
            <w:bookmarkEnd w:id="273"/>
            <w:r w:rsidRPr="007A3793">
              <w:rPr>
                <w:lang w:val="en-GB"/>
              </w:rPr>
              <w:t>]</w:t>
            </w:r>
          </w:p>
        </w:tc>
        <w:tc>
          <w:tcPr>
            <w:tcW w:w="7465" w:type="dxa"/>
          </w:tcPr>
          <w:p w14:paraId="71C92B5F" w14:textId="77777777" w:rsidR="006C7B06" w:rsidRPr="007A3793" w:rsidRDefault="006C7B06" w:rsidP="007A3793">
            <w:pPr>
              <w:spacing w:before="0" w:after="240"/>
              <w:rPr>
                <w:lang w:val="en-GB"/>
              </w:rPr>
            </w:pPr>
            <w:proofErr w:type="spellStart"/>
            <w:r w:rsidRPr="007A3793">
              <w:rPr>
                <w:lang w:val="en-GB"/>
              </w:rPr>
              <w:t>Saveliev</w:t>
            </w:r>
            <w:proofErr w:type="spellEnd"/>
            <w:r w:rsidRPr="007A3793">
              <w:rPr>
                <w:lang w:val="en-GB"/>
              </w:rPr>
              <w:t xml:space="preserve"> A. I. (2016). </w:t>
            </w:r>
            <w:proofErr w:type="spellStart"/>
            <w:r w:rsidRPr="007A3793">
              <w:rPr>
                <w:i/>
                <w:lang w:val="en-GB"/>
              </w:rPr>
              <w:t>Elektronnaya</w:t>
            </w:r>
            <w:proofErr w:type="spellEnd"/>
            <w:r w:rsidRPr="007A3793">
              <w:rPr>
                <w:i/>
                <w:lang w:val="en-GB"/>
              </w:rPr>
              <w:t xml:space="preserve"> </w:t>
            </w:r>
            <w:proofErr w:type="spellStart"/>
            <w:r w:rsidRPr="007A3793">
              <w:rPr>
                <w:i/>
                <w:lang w:val="en-GB"/>
              </w:rPr>
              <w:t>Kommertsiya</w:t>
            </w:r>
            <w:proofErr w:type="spellEnd"/>
            <w:r w:rsidRPr="007A3793">
              <w:rPr>
                <w:i/>
                <w:lang w:val="en-GB"/>
              </w:rPr>
              <w:t xml:space="preserve"> v </w:t>
            </w:r>
            <w:proofErr w:type="spellStart"/>
            <w:r w:rsidRPr="007A3793">
              <w:rPr>
                <w:i/>
                <w:lang w:val="en-GB"/>
              </w:rPr>
              <w:t>Rossii</w:t>
            </w:r>
            <w:proofErr w:type="spellEnd"/>
            <w:r w:rsidRPr="007A3793">
              <w:rPr>
                <w:i/>
                <w:lang w:val="en-GB"/>
              </w:rPr>
              <w:t xml:space="preserve"> </w:t>
            </w:r>
            <w:proofErr w:type="spellStart"/>
            <w:r w:rsidRPr="007A3793">
              <w:rPr>
                <w:i/>
                <w:lang w:val="en-GB"/>
              </w:rPr>
              <w:t>i</w:t>
            </w:r>
            <w:proofErr w:type="spellEnd"/>
            <w:r w:rsidRPr="007A3793">
              <w:rPr>
                <w:i/>
                <w:lang w:val="en-GB"/>
              </w:rPr>
              <w:t xml:space="preserve"> za </w:t>
            </w:r>
            <w:proofErr w:type="spellStart"/>
            <w:r w:rsidRPr="007A3793">
              <w:rPr>
                <w:i/>
                <w:lang w:val="en-GB"/>
              </w:rPr>
              <w:t>Rubezhom</w:t>
            </w:r>
            <w:proofErr w:type="spellEnd"/>
            <w:r w:rsidRPr="007A3793">
              <w:rPr>
                <w:i/>
                <w:lang w:val="en-GB"/>
              </w:rPr>
              <w:t xml:space="preserve">: </w:t>
            </w:r>
            <w:proofErr w:type="spellStart"/>
            <w:r w:rsidRPr="007A3793">
              <w:rPr>
                <w:i/>
                <w:lang w:val="en-GB"/>
              </w:rPr>
              <w:t>Pravovoe</w:t>
            </w:r>
            <w:proofErr w:type="spellEnd"/>
            <w:r w:rsidRPr="007A3793">
              <w:rPr>
                <w:i/>
                <w:lang w:val="en-GB"/>
              </w:rPr>
              <w:t xml:space="preserve"> </w:t>
            </w:r>
            <w:proofErr w:type="spellStart"/>
            <w:r w:rsidRPr="007A3793">
              <w:rPr>
                <w:i/>
                <w:lang w:val="en-GB"/>
              </w:rPr>
              <w:t>Regulirovanie</w:t>
            </w:r>
            <w:proofErr w:type="spellEnd"/>
            <w:r w:rsidRPr="007A3793">
              <w:rPr>
                <w:i/>
                <w:lang w:val="en-GB"/>
              </w:rPr>
              <w:t xml:space="preserve"> [E-Commerce in Russia and Abroad: Legal Regulation].</w:t>
            </w:r>
            <w:r w:rsidRPr="007A3793">
              <w:rPr>
                <w:lang w:val="en-GB"/>
              </w:rPr>
              <w:t xml:space="preserve"> Moscow: </w:t>
            </w:r>
            <w:proofErr w:type="spellStart"/>
            <w:r w:rsidRPr="007A3793">
              <w:rPr>
                <w:lang w:val="en-GB"/>
              </w:rPr>
              <w:t>Statut</w:t>
            </w:r>
            <w:proofErr w:type="spellEnd"/>
            <w:r w:rsidRPr="007A3793">
              <w:rPr>
                <w:lang w:val="en-GB"/>
              </w:rPr>
              <w:t xml:space="preserve"> Publ., 640 p.</w:t>
            </w:r>
          </w:p>
        </w:tc>
      </w:tr>
      <w:tr w:rsidR="006C7B06" w:rsidRPr="007A3793" w14:paraId="71C92B63" w14:textId="77777777" w:rsidTr="00325CA1">
        <w:tc>
          <w:tcPr>
            <w:tcW w:w="2410" w:type="dxa"/>
          </w:tcPr>
          <w:p w14:paraId="71C92B61" w14:textId="172E4257" w:rsidR="006C7B06" w:rsidRPr="007A3793" w:rsidRDefault="006C7B06" w:rsidP="000B207E">
            <w:pPr>
              <w:spacing w:before="0" w:after="240"/>
              <w:rPr>
                <w:lang w:val="en-GB"/>
              </w:rPr>
            </w:pPr>
            <w:r w:rsidRPr="007A3793">
              <w:rPr>
                <w:lang w:val="en-GB"/>
              </w:rPr>
              <w:lastRenderedPageBreak/>
              <w:t>[</w:t>
            </w:r>
            <w:bookmarkStart w:id="274" w:name="savelyev"/>
            <w:r w:rsidR="00CD1179">
              <w:rPr>
                <w:lang w:val="en-GB"/>
              </w:rPr>
              <w:t>b</w:t>
            </w:r>
            <w:r w:rsidR="00CD1179">
              <w:rPr>
                <w:lang w:val="en-GB"/>
              </w:rPr>
              <w:noBreakHyphen/>
            </w:r>
            <w:r w:rsidRPr="007A3793">
              <w:rPr>
                <w:lang w:val="en-GB"/>
              </w:rPr>
              <w:t>Savelyev</w:t>
            </w:r>
            <w:bookmarkEnd w:id="274"/>
            <w:r w:rsidRPr="007A3793">
              <w:rPr>
                <w:lang w:val="en-GB"/>
              </w:rPr>
              <w:t>]</w:t>
            </w:r>
          </w:p>
        </w:tc>
        <w:tc>
          <w:tcPr>
            <w:tcW w:w="7465" w:type="dxa"/>
          </w:tcPr>
          <w:p w14:paraId="71C92B62" w14:textId="71586DF8" w:rsidR="006C7B06" w:rsidRPr="007A3793" w:rsidRDefault="006C7B06" w:rsidP="007A3793">
            <w:pPr>
              <w:spacing w:before="0" w:after="240"/>
              <w:rPr>
                <w:lang w:val="en-GB"/>
              </w:rPr>
            </w:pPr>
            <w:r w:rsidRPr="007A3793">
              <w:rPr>
                <w:lang w:val="en-GB"/>
              </w:rPr>
              <w:t xml:space="preserve">Savelyev, A. (2016). </w:t>
            </w:r>
            <w:r w:rsidRPr="007A3793">
              <w:rPr>
                <w:i/>
                <w:lang w:val="en-GB"/>
              </w:rPr>
              <w:t xml:space="preserve">Contract Law 2.0: </w:t>
            </w:r>
            <w:r w:rsidR="009C7097">
              <w:rPr>
                <w:lang w:val="en-GB"/>
              </w:rPr>
              <w:t>"</w:t>
            </w:r>
            <w:r w:rsidRPr="007A3793">
              <w:rPr>
                <w:i/>
                <w:lang w:val="en-GB"/>
              </w:rPr>
              <w:t>Smart</w:t>
            </w:r>
            <w:r w:rsidR="009C7097">
              <w:rPr>
                <w:i/>
                <w:lang w:val="en-GB"/>
              </w:rPr>
              <w:t>"</w:t>
            </w:r>
            <w:r w:rsidR="009C7097" w:rsidRPr="007A3793">
              <w:rPr>
                <w:i/>
                <w:lang w:val="en-GB"/>
              </w:rPr>
              <w:t xml:space="preserve"> contracts as the beginning of the end of classic contract law</w:t>
            </w:r>
            <w:r w:rsidRPr="007A3793">
              <w:rPr>
                <w:lang w:val="en-GB"/>
              </w:rPr>
              <w:t xml:space="preserve">. Higher School of Economics Research Paper No. WP BRP 71/ LAW/2016.  Available at: </w:t>
            </w:r>
            <w:hyperlink r:id="rId78" w:history="1">
              <w:r w:rsidR="008B6ABA">
                <w:rPr>
                  <w:rStyle w:val="Hyperlink"/>
                  <w:rFonts w:ascii="Arial" w:hAnsi="Arial" w:cs="Arial"/>
                  <w:sz w:val="18"/>
                  <w:szCs w:val="18"/>
                  <w:lang w:val="en-GB"/>
                </w:rPr>
                <w:t>https://dx.doi.org/10.2139/ssrn.2885241</w:t>
              </w:r>
            </w:hyperlink>
            <w:r w:rsidRPr="007A3793">
              <w:rPr>
                <w:lang w:val="en-GB"/>
              </w:rPr>
              <w:t xml:space="preserve"> </w:t>
            </w:r>
          </w:p>
        </w:tc>
      </w:tr>
      <w:tr w:rsidR="006C7B06" w:rsidRPr="007A3793" w14:paraId="71C92B66" w14:textId="77777777" w:rsidTr="00325CA1">
        <w:tc>
          <w:tcPr>
            <w:tcW w:w="2410" w:type="dxa"/>
          </w:tcPr>
          <w:p w14:paraId="71C92B64" w14:textId="1406B0D8" w:rsidR="006C7B06" w:rsidRPr="007A3793" w:rsidRDefault="006C7B06" w:rsidP="000B207E">
            <w:pPr>
              <w:spacing w:before="0" w:after="240"/>
              <w:rPr>
                <w:lang w:val="en-GB"/>
              </w:rPr>
            </w:pPr>
            <w:r w:rsidRPr="007A3793">
              <w:rPr>
                <w:lang w:val="en-GB"/>
              </w:rPr>
              <w:t>[</w:t>
            </w:r>
            <w:bookmarkStart w:id="275" w:name="sec"/>
            <w:r w:rsidR="00CD1179">
              <w:rPr>
                <w:lang w:val="en-GB"/>
              </w:rPr>
              <w:t>b</w:t>
            </w:r>
            <w:r w:rsidR="00CD1179">
              <w:rPr>
                <w:lang w:val="en-GB"/>
              </w:rPr>
              <w:noBreakHyphen/>
            </w:r>
            <w:r w:rsidRPr="007A3793">
              <w:rPr>
                <w:lang w:val="en-GB"/>
              </w:rPr>
              <w:t>SEC</w:t>
            </w:r>
            <w:bookmarkEnd w:id="275"/>
            <w:r w:rsidRPr="007A3793">
              <w:rPr>
                <w:lang w:val="en-GB"/>
              </w:rPr>
              <w:t>]</w:t>
            </w:r>
          </w:p>
        </w:tc>
        <w:tc>
          <w:tcPr>
            <w:tcW w:w="7465" w:type="dxa"/>
          </w:tcPr>
          <w:p w14:paraId="71C92B65" w14:textId="5473B7B6" w:rsidR="006C7B06" w:rsidRPr="007A3793" w:rsidRDefault="006C7B06" w:rsidP="007A3793">
            <w:pPr>
              <w:spacing w:before="0" w:after="240"/>
              <w:rPr>
                <w:lang w:val="en-GB"/>
              </w:rPr>
            </w:pPr>
            <w:r w:rsidRPr="007A3793">
              <w:rPr>
                <w:lang w:val="en-GB"/>
              </w:rPr>
              <w:t xml:space="preserve">SEC (2019). </w:t>
            </w:r>
            <w:r w:rsidRPr="007A3793">
              <w:rPr>
                <w:i/>
                <w:lang w:val="en-GB"/>
              </w:rPr>
              <w:t xml:space="preserve">Framework for </w:t>
            </w:r>
            <w:r w:rsidR="001122ED">
              <w:rPr>
                <w:i/>
                <w:lang w:val="en-GB"/>
              </w:rPr>
              <w:t>"</w:t>
            </w:r>
            <w:r w:rsidRPr="007A3793">
              <w:rPr>
                <w:i/>
                <w:lang w:val="en-GB"/>
              </w:rPr>
              <w:t xml:space="preserve">Investment </w:t>
            </w:r>
            <w:r w:rsidR="009C7097" w:rsidRPr="007A3793">
              <w:rPr>
                <w:i/>
                <w:lang w:val="en-GB"/>
              </w:rPr>
              <w:t>contract</w:t>
            </w:r>
            <w:r w:rsidR="009C7097">
              <w:rPr>
                <w:i/>
                <w:lang w:val="en-GB"/>
              </w:rPr>
              <w:t>"</w:t>
            </w:r>
            <w:r w:rsidR="009C7097" w:rsidRPr="007A3793">
              <w:rPr>
                <w:i/>
                <w:lang w:val="en-GB"/>
              </w:rPr>
              <w:t xml:space="preserve"> analysis of digital assets</w:t>
            </w:r>
            <w:r w:rsidRPr="007A3793">
              <w:rPr>
                <w:lang w:val="en-GB"/>
              </w:rPr>
              <w:t xml:space="preserve">. Available at: </w:t>
            </w:r>
            <w:hyperlink r:id="rId79" w:history="1">
              <w:r w:rsidR="008B6ABA">
                <w:rPr>
                  <w:rStyle w:val="Hyperlink"/>
                  <w:rFonts w:ascii="Arial" w:hAnsi="Arial" w:cs="Arial"/>
                  <w:sz w:val="18"/>
                  <w:szCs w:val="18"/>
                  <w:lang w:val="en-GB"/>
                </w:rPr>
                <w:t>https://www.sec.gov/corpfin/framework-investment-contract-analysis-digital-assets</w:t>
              </w:r>
            </w:hyperlink>
            <w:r w:rsidRPr="007A3793">
              <w:rPr>
                <w:lang w:val="en-GB"/>
              </w:rPr>
              <w:t xml:space="preserve"> </w:t>
            </w:r>
          </w:p>
        </w:tc>
      </w:tr>
      <w:tr w:rsidR="006C7B06" w:rsidRPr="007A3793" w14:paraId="71C92B69" w14:textId="77777777" w:rsidTr="00325CA1">
        <w:tc>
          <w:tcPr>
            <w:tcW w:w="2410" w:type="dxa"/>
          </w:tcPr>
          <w:p w14:paraId="71C92B67" w14:textId="565459E9" w:rsidR="006C7B06" w:rsidRPr="007A3793" w:rsidRDefault="006C7B06" w:rsidP="000B207E">
            <w:pPr>
              <w:spacing w:before="0" w:after="240"/>
              <w:rPr>
                <w:lang w:val="en-GB"/>
              </w:rPr>
            </w:pPr>
            <w:r w:rsidRPr="007A3793">
              <w:rPr>
                <w:lang w:val="en-GB"/>
              </w:rPr>
              <w:t>[</w:t>
            </w:r>
            <w:bookmarkStart w:id="276" w:name="sidorenko"/>
            <w:r w:rsidR="00CD1179">
              <w:rPr>
                <w:lang w:val="en-GB"/>
              </w:rPr>
              <w:t>b</w:t>
            </w:r>
            <w:r w:rsidR="00CD1179">
              <w:rPr>
                <w:lang w:val="en-GB"/>
              </w:rPr>
              <w:noBreakHyphen/>
            </w:r>
            <w:r w:rsidRPr="007A3793">
              <w:rPr>
                <w:lang w:val="en-GB"/>
              </w:rPr>
              <w:t>Sidorenko</w:t>
            </w:r>
            <w:bookmarkEnd w:id="276"/>
            <w:r w:rsidRPr="007A3793">
              <w:rPr>
                <w:lang w:val="en-GB"/>
              </w:rPr>
              <w:t>]</w:t>
            </w:r>
          </w:p>
        </w:tc>
        <w:tc>
          <w:tcPr>
            <w:tcW w:w="7465" w:type="dxa"/>
          </w:tcPr>
          <w:p w14:paraId="71C92B68" w14:textId="73FA56F7" w:rsidR="006C7B06" w:rsidRPr="007A3793" w:rsidRDefault="006C7B06" w:rsidP="007A3793">
            <w:pPr>
              <w:spacing w:before="0" w:after="240"/>
              <w:rPr>
                <w:lang w:val="en-GB"/>
              </w:rPr>
            </w:pPr>
            <w:r w:rsidRPr="007A3793">
              <w:rPr>
                <w:lang w:val="en-GB"/>
              </w:rPr>
              <w:t xml:space="preserve">Sidorenko E., </w:t>
            </w:r>
            <w:proofErr w:type="spellStart"/>
            <w:r w:rsidRPr="007A3793">
              <w:rPr>
                <w:lang w:val="en-GB"/>
              </w:rPr>
              <w:t>Saveliev</w:t>
            </w:r>
            <w:proofErr w:type="spellEnd"/>
            <w:r w:rsidRPr="007A3793">
              <w:rPr>
                <w:lang w:val="en-GB"/>
              </w:rPr>
              <w:t xml:space="preserve">, A., </w:t>
            </w:r>
            <w:proofErr w:type="spellStart"/>
            <w:r w:rsidRPr="007A3793">
              <w:rPr>
                <w:lang w:val="en-GB"/>
              </w:rPr>
              <w:t>Pushkov</w:t>
            </w:r>
            <w:proofErr w:type="spellEnd"/>
            <w:r w:rsidRPr="007A3793">
              <w:rPr>
                <w:lang w:val="en-GB"/>
              </w:rPr>
              <w:t xml:space="preserve">, A., </w:t>
            </w:r>
            <w:proofErr w:type="spellStart"/>
            <w:r w:rsidRPr="007A3793">
              <w:rPr>
                <w:lang w:val="en-GB"/>
              </w:rPr>
              <w:t>Yankovsky</w:t>
            </w:r>
            <w:proofErr w:type="spellEnd"/>
            <w:r w:rsidRPr="007A3793">
              <w:rPr>
                <w:lang w:val="en-GB"/>
              </w:rPr>
              <w:t xml:space="preserve">, R., </w:t>
            </w:r>
            <w:proofErr w:type="spellStart"/>
            <w:r w:rsidRPr="007A3793">
              <w:rPr>
                <w:lang w:val="en-GB"/>
              </w:rPr>
              <w:t>Chuburkov</w:t>
            </w:r>
            <w:proofErr w:type="spellEnd"/>
            <w:r w:rsidRPr="007A3793">
              <w:rPr>
                <w:lang w:val="en-GB"/>
              </w:rPr>
              <w:t xml:space="preserve">, A., </w:t>
            </w:r>
            <w:proofErr w:type="spellStart"/>
            <w:r w:rsidRPr="007A3793">
              <w:rPr>
                <w:lang w:val="en-GB"/>
              </w:rPr>
              <w:t>Dedova</w:t>
            </w:r>
            <w:proofErr w:type="spellEnd"/>
            <w:r w:rsidRPr="007A3793">
              <w:rPr>
                <w:lang w:val="en-GB"/>
              </w:rPr>
              <w:t xml:space="preserve">, E., </w:t>
            </w:r>
            <w:proofErr w:type="spellStart"/>
            <w:r w:rsidRPr="007A3793">
              <w:rPr>
                <w:lang w:val="en-GB"/>
              </w:rPr>
              <w:t>Gulyaeva</w:t>
            </w:r>
            <w:proofErr w:type="spellEnd"/>
            <w:r w:rsidRPr="007A3793">
              <w:rPr>
                <w:lang w:val="en-GB"/>
              </w:rPr>
              <w:t xml:space="preserve">, N., </w:t>
            </w:r>
            <w:proofErr w:type="spellStart"/>
            <w:r w:rsidRPr="007A3793">
              <w:rPr>
                <w:lang w:val="en-GB"/>
              </w:rPr>
              <w:t>Arkhipov</w:t>
            </w:r>
            <w:proofErr w:type="spellEnd"/>
            <w:r w:rsidRPr="007A3793">
              <w:rPr>
                <w:lang w:val="en-GB"/>
              </w:rPr>
              <w:t xml:space="preserve">, V., </w:t>
            </w:r>
            <w:proofErr w:type="spellStart"/>
            <w:r w:rsidRPr="007A3793">
              <w:rPr>
                <w:lang w:val="en-GB"/>
              </w:rPr>
              <w:t>Tyulkanov</w:t>
            </w:r>
            <w:proofErr w:type="spellEnd"/>
            <w:r w:rsidRPr="007A3793">
              <w:rPr>
                <w:lang w:val="en-GB"/>
              </w:rPr>
              <w:t xml:space="preserve">, A., </w:t>
            </w:r>
            <w:proofErr w:type="spellStart"/>
            <w:r w:rsidRPr="007A3793">
              <w:rPr>
                <w:lang w:val="en-GB"/>
              </w:rPr>
              <w:t>Bulgakov</w:t>
            </w:r>
            <w:proofErr w:type="spellEnd"/>
            <w:r w:rsidRPr="007A3793">
              <w:rPr>
                <w:lang w:val="en-GB"/>
              </w:rPr>
              <w:t xml:space="preserve">, I., </w:t>
            </w:r>
            <w:proofErr w:type="spellStart"/>
            <w:r w:rsidRPr="007A3793">
              <w:rPr>
                <w:lang w:val="en-GB"/>
              </w:rPr>
              <w:t>Kostyra</w:t>
            </w:r>
            <w:proofErr w:type="spellEnd"/>
            <w:r w:rsidRPr="007A3793">
              <w:rPr>
                <w:lang w:val="en-GB"/>
              </w:rPr>
              <w:t xml:space="preserve">, A. (2018). </w:t>
            </w:r>
            <w:proofErr w:type="spellStart"/>
            <w:r w:rsidRPr="007A3793">
              <w:rPr>
                <w:i/>
                <w:lang w:val="en-GB"/>
              </w:rPr>
              <w:t>Нужно</w:t>
            </w:r>
            <w:proofErr w:type="spellEnd"/>
            <w:r w:rsidRPr="007A3793">
              <w:rPr>
                <w:i/>
                <w:lang w:val="en-GB"/>
              </w:rPr>
              <w:t xml:space="preserve"> </w:t>
            </w:r>
            <w:proofErr w:type="spellStart"/>
            <w:r w:rsidRPr="007A3793">
              <w:rPr>
                <w:i/>
                <w:lang w:val="en-GB"/>
              </w:rPr>
              <w:t>ли</w:t>
            </w:r>
            <w:proofErr w:type="spellEnd"/>
            <w:r w:rsidRPr="007A3793">
              <w:rPr>
                <w:i/>
                <w:lang w:val="en-GB"/>
              </w:rPr>
              <w:t xml:space="preserve"> </w:t>
            </w:r>
            <w:proofErr w:type="spellStart"/>
            <w:r w:rsidRPr="007A3793">
              <w:rPr>
                <w:i/>
                <w:lang w:val="en-GB"/>
              </w:rPr>
              <w:t>регулировать</w:t>
            </w:r>
            <w:proofErr w:type="spellEnd"/>
            <w:r w:rsidRPr="007A3793">
              <w:rPr>
                <w:i/>
                <w:lang w:val="en-GB"/>
              </w:rPr>
              <w:t xml:space="preserve"> </w:t>
            </w:r>
            <w:proofErr w:type="spellStart"/>
            <w:r w:rsidRPr="007A3793">
              <w:rPr>
                <w:i/>
                <w:lang w:val="en-GB"/>
              </w:rPr>
              <w:t>биткоин</w:t>
            </w:r>
            <w:proofErr w:type="spellEnd"/>
            <w:r w:rsidRPr="007A3793">
              <w:rPr>
                <w:i/>
                <w:lang w:val="en-GB"/>
              </w:rPr>
              <w:t xml:space="preserve">? (Is it necessary to regulate bitcoin?) </w:t>
            </w:r>
            <w:r w:rsidRPr="007A3793">
              <w:rPr>
                <w:lang w:val="en-GB"/>
              </w:rPr>
              <w:t xml:space="preserve">SPS </w:t>
            </w:r>
            <w:r w:rsidR="001122ED">
              <w:rPr>
                <w:lang w:val="en-GB"/>
              </w:rPr>
              <w:t>"</w:t>
            </w:r>
            <w:r w:rsidRPr="007A3793">
              <w:rPr>
                <w:lang w:val="en-GB"/>
              </w:rPr>
              <w:t>Consultant Plus</w:t>
            </w:r>
            <w:r w:rsidR="001122ED">
              <w:rPr>
                <w:lang w:val="en-GB"/>
              </w:rPr>
              <w:t>"</w:t>
            </w:r>
          </w:p>
        </w:tc>
      </w:tr>
      <w:tr w:rsidR="006C7B06" w:rsidRPr="007A3793" w14:paraId="71C92B6C" w14:textId="77777777" w:rsidTr="00325CA1">
        <w:tc>
          <w:tcPr>
            <w:tcW w:w="2410" w:type="dxa"/>
          </w:tcPr>
          <w:p w14:paraId="71C92B6A" w14:textId="3B9C4E62" w:rsidR="006C7B06" w:rsidRPr="007A3793" w:rsidRDefault="006C7B06" w:rsidP="000B207E">
            <w:pPr>
              <w:spacing w:before="0" w:after="240"/>
              <w:rPr>
                <w:lang w:val="en-GB"/>
              </w:rPr>
            </w:pPr>
            <w:r w:rsidRPr="007A3793">
              <w:rPr>
                <w:lang w:val="en-GB"/>
              </w:rPr>
              <w:t>[</w:t>
            </w:r>
            <w:bookmarkStart w:id="277" w:name="swiss"/>
            <w:r w:rsidR="00CD1179">
              <w:rPr>
                <w:lang w:val="en-GB"/>
              </w:rPr>
              <w:t>b</w:t>
            </w:r>
            <w:r w:rsidR="00CD1179">
              <w:rPr>
                <w:lang w:val="en-GB"/>
              </w:rPr>
              <w:noBreakHyphen/>
            </w:r>
            <w:r w:rsidRPr="007A3793">
              <w:rPr>
                <w:lang w:val="en-GB"/>
              </w:rPr>
              <w:t>Swiss</w:t>
            </w:r>
            <w:bookmarkEnd w:id="277"/>
            <w:r w:rsidRPr="007A3793">
              <w:rPr>
                <w:lang w:val="en-GB"/>
              </w:rPr>
              <w:t>]</w:t>
            </w:r>
          </w:p>
        </w:tc>
        <w:tc>
          <w:tcPr>
            <w:tcW w:w="7465" w:type="dxa"/>
          </w:tcPr>
          <w:p w14:paraId="71C92B6B" w14:textId="564CCC40" w:rsidR="006C7B06" w:rsidRPr="007A3793" w:rsidRDefault="006C7B06" w:rsidP="007A3793">
            <w:pPr>
              <w:spacing w:before="0" w:after="240"/>
              <w:rPr>
                <w:lang w:val="en-GB"/>
              </w:rPr>
            </w:pPr>
            <w:r w:rsidRPr="007A3793">
              <w:rPr>
                <w:lang w:val="en-GB"/>
              </w:rPr>
              <w:t xml:space="preserve">The Swiss Federal Council (2019). </w:t>
            </w:r>
            <w:r w:rsidRPr="007A3793">
              <w:rPr>
                <w:i/>
                <w:lang w:val="en-GB"/>
              </w:rPr>
              <w:t>Federal Council Initiates Consultation on Improving Framework Conditions for Blockchain/DLT</w:t>
            </w:r>
            <w:r w:rsidRPr="007A3793">
              <w:rPr>
                <w:lang w:val="en-GB"/>
              </w:rPr>
              <w:t xml:space="preserve">. Available at: </w:t>
            </w:r>
            <w:hyperlink r:id="rId80" w:history="1">
              <w:r w:rsidR="008B6ABA">
                <w:rPr>
                  <w:rStyle w:val="Hyperlink"/>
                  <w:rFonts w:ascii="Arial" w:hAnsi="Arial" w:cs="Arial"/>
                  <w:sz w:val="18"/>
                  <w:szCs w:val="18"/>
                  <w:lang w:val="en-GB"/>
                </w:rPr>
                <w:t>https://www.admin.ch/gov/en/start/documentation/media-releases.msg-id-74420.html</w:t>
              </w:r>
            </w:hyperlink>
            <w:r w:rsidRPr="007A3793">
              <w:rPr>
                <w:lang w:val="en-GB"/>
              </w:rPr>
              <w:t xml:space="preserve"> </w:t>
            </w:r>
          </w:p>
        </w:tc>
      </w:tr>
      <w:tr w:rsidR="006C7B06" w:rsidRPr="007A3793" w14:paraId="71C92B6F" w14:textId="77777777" w:rsidTr="00325CA1">
        <w:tc>
          <w:tcPr>
            <w:tcW w:w="2410" w:type="dxa"/>
          </w:tcPr>
          <w:p w14:paraId="71C92B6D" w14:textId="03858849" w:rsidR="006C7B06" w:rsidRPr="007A3793" w:rsidRDefault="006C7B06" w:rsidP="000B207E">
            <w:pPr>
              <w:spacing w:before="0" w:after="240"/>
              <w:rPr>
                <w:lang w:val="en-GB"/>
              </w:rPr>
            </w:pPr>
            <w:r w:rsidRPr="007A3793">
              <w:rPr>
                <w:lang w:val="en-GB"/>
              </w:rPr>
              <w:t>[</w:t>
            </w:r>
            <w:bookmarkStart w:id="278" w:name="wack"/>
            <w:r w:rsidR="00CD1179">
              <w:rPr>
                <w:lang w:val="en-GB"/>
              </w:rPr>
              <w:t>b</w:t>
            </w:r>
            <w:r w:rsidR="00CD1179">
              <w:rPr>
                <w:lang w:val="en-GB"/>
              </w:rPr>
              <w:noBreakHyphen/>
            </w:r>
            <w:proofErr w:type="spellStart"/>
            <w:r w:rsidRPr="007A3793">
              <w:rPr>
                <w:lang w:val="en-GB"/>
              </w:rPr>
              <w:t>Wack</w:t>
            </w:r>
            <w:bookmarkEnd w:id="278"/>
            <w:proofErr w:type="spellEnd"/>
            <w:r w:rsidRPr="007A3793">
              <w:rPr>
                <w:lang w:val="en-GB"/>
              </w:rPr>
              <w:t>]</w:t>
            </w:r>
          </w:p>
        </w:tc>
        <w:tc>
          <w:tcPr>
            <w:tcW w:w="7465" w:type="dxa"/>
          </w:tcPr>
          <w:p w14:paraId="71C92B6E" w14:textId="230F9898" w:rsidR="006C7B06" w:rsidRPr="007A3793" w:rsidRDefault="006C7B06" w:rsidP="007A3793">
            <w:pPr>
              <w:spacing w:before="0" w:after="240"/>
              <w:rPr>
                <w:lang w:val="en-GB"/>
              </w:rPr>
            </w:pPr>
            <w:proofErr w:type="spellStart"/>
            <w:r w:rsidRPr="007A3793">
              <w:rPr>
                <w:lang w:val="en-GB"/>
              </w:rPr>
              <w:t>Wack</w:t>
            </w:r>
            <w:proofErr w:type="spellEnd"/>
            <w:r w:rsidRPr="007A3793">
              <w:rPr>
                <w:lang w:val="en-GB"/>
              </w:rPr>
              <w:t xml:space="preserve">, J. (2016). </w:t>
            </w:r>
            <w:r w:rsidRPr="007A3793">
              <w:rPr>
                <w:i/>
                <w:lang w:val="en-GB"/>
              </w:rPr>
              <w:t>Introducing CKM Framework</w:t>
            </w:r>
            <w:r w:rsidRPr="007A3793">
              <w:rPr>
                <w:lang w:val="en-GB"/>
              </w:rPr>
              <w:t xml:space="preserve">. Available at: </w:t>
            </w:r>
            <w:hyperlink r:id="rId81" w:history="1">
              <w:r w:rsidR="008B6ABA">
                <w:rPr>
                  <w:rStyle w:val="Hyperlink"/>
                  <w:rFonts w:ascii="Arial" w:hAnsi="Arial" w:cs="Arial"/>
                  <w:sz w:val="18"/>
                  <w:szCs w:val="18"/>
                  <w:lang w:val="en-GB"/>
                </w:rPr>
                <w:t>https://www.paymentpathways.com/wp-content/uploads/2019/07/2019JUL17-CKM-Framework-Description-for-Sub group-IV-Appendix-I.docx</w:t>
              </w:r>
            </w:hyperlink>
          </w:p>
        </w:tc>
      </w:tr>
      <w:tr w:rsidR="006C7B06" w:rsidRPr="007A3793" w14:paraId="71C92B72" w14:textId="77777777" w:rsidTr="00325CA1">
        <w:tc>
          <w:tcPr>
            <w:tcW w:w="2410" w:type="dxa"/>
          </w:tcPr>
          <w:p w14:paraId="71C92B70" w14:textId="50FBEB95" w:rsidR="006C7B06" w:rsidRPr="007A3793" w:rsidRDefault="006C7B06" w:rsidP="000B207E">
            <w:pPr>
              <w:spacing w:before="0" w:after="240"/>
              <w:rPr>
                <w:lang w:val="en-GB"/>
              </w:rPr>
            </w:pPr>
            <w:r w:rsidRPr="007A3793">
              <w:rPr>
                <w:lang w:val="en-GB"/>
              </w:rPr>
              <w:t>[</w:t>
            </w:r>
            <w:bookmarkStart w:id="279" w:name="yaga"/>
            <w:r w:rsidR="00CD1179">
              <w:rPr>
                <w:lang w:val="en-GB"/>
              </w:rPr>
              <w:t>b</w:t>
            </w:r>
            <w:r w:rsidR="00CD1179">
              <w:rPr>
                <w:lang w:val="en-GB"/>
              </w:rPr>
              <w:noBreakHyphen/>
            </w:r>
            <w:proofErr w:type="spellStart"/>
            <w:r w:rsidRPr="007A3793">
              <w:rPr>
                <w:lang w:val="en-GB"/>
              </w:rPr>
              <w:t>Yaga</w:t>
            </w:r>
            <w:bookmarkEnd w:id="279"/>
            <w:proofErr w:type="spellEnd"/>
            <w:r w:rsidRPr="007A3793">
              <w:rPr>
                <w:lang w:val="en-GB"/>
              </w:rPr>
              <w:t>]</w:t>
            </w:r>
          </w:p>
        </w:tc>
        <w:tc>
          <w:tcPr>
            <w:tcW w:w="7465" w:type="dxa"/>
          </w:tcPr>
          <w:p w14:paraId="71C92B71" w14:textId="536D561B" w:rsidR="006C7B06" w:rsidRPr="007A3793" w:rsidRDefault="006C7B06" w:rsidP="007A3793">
            <w:pPr>
              <w:spacing w:before="0" w:after="240"/>
              <w:rPr>
                <w:lang w:val="en-GB"/>
              </w:rPr>
            </w:pPr>
            <w:proofErr w:type="spellStart"/>
            <w:r w:rsidRPr="007A3793">
              <w:rPr>
                <w:lang w:val="en-GB"/>
              </w:rPr>
              <w:t>Yaga</w:t>
            </w:r>
            <w:proofErr w:type="spellEnd"/>
            <w:r w:rsidRPr="007A3793">
              <w:rPr>
                <w:lang w:val="en-GB"/>
              </w:rPr>
              <w:t xml:space="preserve">, D., Mell, P., Roby, N. &amp; </w:t>
            </w:r>
            <w:proofErr w:type="spellStart"/>
            <w:r w:rsidRPr="007A3793">
              <w:rPr>
                <w:lang w:val="en-GB"/>
              </w:rPr>
              <w:t>Scarfone</w:t>
            </w:r>
            <w:proofErr w:type="spellEnd"/>
            <w:r w:rsidRPr="007A3793">
              <w:rPr>
                <w:lang w:val="en-GB"/>
              </w:rPr>
              <w:t xml:space="preserve">, K. (2018). </w:t>
            </w:r>
            <w:r w:rsidRPr="007A3793">
              <w:rPr>
                <w:i/>
                <w:lang w:val="en-GB"/>
              </w:rPr>
              <w:t>Blockchain Technology Overview.</w:t>
            </w:r>
            <w:r w:rsidRPr="007A3793">
              <w:rPr>
                <w:lang w:val="en-GB"/>
              </w:rPr>
              <w:t xml:space="preserve"> NISTIR 8202. Available at: </w:t>
            </w:r>
            <w:hyperlink r:id="rId82" w:history="1">
              <w:r w:rsidR="008B6ABA">
                <w:rPr>
                  <w:rStyle w:val="Hyperlink"/>
                  <w:rFonts w:ascii="Arial" w:hAnsi="Arial" w:cs="Arial"/>
                  <w:sz w:val="18"/>
                  <w:szCs w:val="18"/>
                  <w:lang w:val="en-GB"/>
                </w:rPr>
                <w:t>https://doi.org/10.6028/NIST.IR.8202</w:t>
              </w:r>
            </w:hyperlink>
            <w:r w:rsidRPr="007A3793">
              <w:rPr>
                <w:lang w:val="en-GB"/>
              </w:rPr>
              <w:t xml:space="preserve"> </w:t>
            </w:r>
          </w:p>
        </w:tc>
      </w:tr>
      <w:tr w:rsidR="006C7B06" w:rsidRPr="007A3793" w14:paraId="71C92B75" w14:textId="77777777" w:rsidTr="00325CA1">
        <w:tc>
          <w:tcPr>
            <w:tcW w:w="2410" w:type="dxa"/>
          </w:tcPr>
          <w:p w14:paraId="71C92B73" w14:textId="40B2D2C9" w:rsidR="006C7B06" w:rsidRPr="007A3793" w:rsidRDefault="006C7B06" w:rsidP="000B207E">
            <w:pPr>
              <w:spacing w:before="0" w:after="240"/>
              <w:rPr>
                <w:lang w:val="en-GB"/>
              </w:rPr>
            </w:pPr>
            <w:r w:rsidRPr="007A3793">
              <w:rPr>
                <w:lang w:val="en-GB"/>
              </w:rPr>
              <w:t>[</w:t>
            </w:r>
            <w:bookmarkStart w:id="280" w:name="zhao"/>
            <w:r w:rsidR="00CD1179">
              <w:rPr>
                <w:lang w:val="en-GB"/>
              </w:rPr>
              <w:t>b</w:t>
            </w:r>
            <w:r w:rsidR="00CD1179">
              <w:rPr>
                <w:lang w:val="en-GB"/>
              </w:rPr>
              <w:noBreakHyphen/>
            </w:r>
            <w:r w:rsidRPr="007A3793">
              <w:rPr>
                <w:lang w:val="en-GB"/>
              </w:rPr>
              <w:t>Zhao</w:t>
            </w:r>
            <w:bookmarkEnd w:id="280"/>
            <w:r w:rsidRPr="007A3793">
              <w:rPr>
                <w:lang w:val="en-GB"/>
              </w:rPr>
              <w:t>]</w:t>
            </w:r>
          </w:p>
        </w:tc>
        <w:tc>
          <w:tcPr>
            <w:tcW w:w="7465" w:type="dxa"/>
          </w:tcPr>
          <w:p w14:paraId="71C92B74" w14:textId="6A6BB79E" w:rsidR="006C7B06" w:rsidRPr="007A3793" w:rsidRDefault="006C7B06" w:rsidP="007A3793">
            <w:pPr>
              <w:spacing w:before="0" w:after="240"/>
              <w:rPr>
                <w:lang w:val="en-GB"/>
              </w:rPr>
            </w:pPr>
            <w:r w:rsidRPr="007A3793">
              <w:rPr>
                <w:lang w:val="en-GB"/>
              </w:rPr>
              <w:t xml:space="preserve">Zhao, W. (2018). </w:t>
            </w:r>
            <w:r w:rsidRPr="007A3793">
              <w:rPr>
                <w:i/>
                <w:lang w:val="en-GB"/>
              </w:rPr>
              <w:t>China</w:t>
            </w:r>
            <w:r w:rsidR="001122ED">
              <w:rPr>
                <w:i/>
                <w:lang w:val="en-GB"/>
              </w:rPr>
              <w:t>'</w:t>
            </w:r>
            <w:r w:rsidRPr="007A3793">
              <w:rPr>
                <w:i/>
                <w:lang w:val="en-GB"/>
              </w:rPr>
              <w:t xml:space="preserve">s Supreme Court Recognizes Blockchain Evidence as Legally Binding. </w:t>
            </w:r>
            <w:r w:rsidRPr="007A3793">
              <w:rPr>
                <w:lang w:val="en-GB"/>
              </w:rPr>
              <w:t xml:space="preserve">Available at: </w:t>
            </w:r>
            <w:hyperlink r:id="rId83" w:history="1">
              <w:r w:rsidR="008B6ABA">
                <w:rPr>
                  <w:rStyle w:val="Hyperlink"/>
                  <w:rFonts w:ascii="Arial" w:hAnsi="Arial" w:cs="Arial"/>
                  <w:sz w:val="18"/>
                  <w:szCs w:val="18"/>
                  <w:lang w:val="en-GB"/>
                </w:rPr>
                <w:t>https://www.coindesk.com/chinas-supreme-court-recognizes-blockchain-evidence-as-legally-binding</w:t>
              </w:r>
            </w:hyperlink>
            <w:r w:rsidRPr="007A3793">
              <w:rPr>
                <w:lang w:val="en-GB"/>
              </w:rPr>
              <w:t xml:space="preserve"> </w:t>
            </w:r>
          </w:p>
        </w:tc>
      </w:tr>
      <w:tr w:rsidR="006C7B06" w:rsidRPr="007A3793" w14:paraId="71C92B78" w14:textId="77777777" w:rsidTr="00325CA1">
        <w:tc>
          <w:tcPr>
            <w:tcW w:w="2410" w:type="dxa"/>
          </w:tcPr>
          <w:p w14:paraId="71C92B76" w14:textId="660A23C9" w:rsidR="006C7B06" w:rsidRPr="007A3793" w:rsidRDefault="006C7B06" w:rsidP="000B207E">
            <w:pPr>
              <w:spacing w:before="0" w:after="240"/>
              <w:rPr>
                <w:lang w:val="en-GB"/>
              </w:rPr>
            </w:pPr>
            <w:r w:rsidRPr="007A3793">
              <w:rPr>
                <w:lang w:val="en-GB"/>
              </w:rPr>
              <w:t>[</w:t>
            </w:r>
            <w:bookmarkStart w:id="281" w:name="zetzsche"/>
            <w:r w:rsidR="00CD1179">
              <w:rPr>
                <w:lang w:val="en-GB"/>
              </w:rPr>
              <w:t>b</w:t>
            </w:r>
            <w:r w:rsidR="00CD1179">
              <w:rPr>
                <w:lang w:val="en-GB"/>
              </w:rPr>
              <w:noBreakHyphen/>
            </w:r>
            <w:proofErr w:type="spellStart"/>
            <w:r w:rsidRPr="007A3793">
              <w:rPr>
                <w:lang w:val="en-GB"/>
              </w:rPr>
              <w:t>Zetzsche</w:t>
            </w:r>
            <w:bookmarkEnd w:id="281"/>
            <w:proofErr w:type="spellEnd"/>
            <w:r w:rsidRPr="007A3793">
              <w:rPr>
                <w:lang w:val="en-GB"/>
              </w:rPr>
              <w:t>]</w:t>
            </w:r>
          </w:p>
        </w:tc>
        <w:tc>
          <w:tcPr>
            <w:tcW w:w="7465" w:type="dxa"/>
          </w:tcPr>
          <w:p w14:paraId="71C92B77" w14:textId="4C3DA135" w:rsidR="006C7B06" w:rsidRPr="007A3793" w:rsidRDefault="006C7B06" w:rsidP="007A3793">
            <w:pPr>
              <w:spacing w:before="0" w:after="240"/>
              <w:rPr>
                <w:lang w:val="en-GB"/>
              </w:rPr>
            </w:pPr>
            <w:proofErr w:type="spellStart"/>
            <w:r w:rsidRPr="007A3793">
              <w:rPr>
                <w:lang w:val="en-GB"/>
              </w:rPr>
              <w:t>Zetzsche</w:t>
            </w:r>
            <w:proofErr w:type="spellEnd"/>
            <w:r w:rsidRPr="007A3793">
              <w:rPr>
                <w:lang w:val="en-GB"/>
              </w:rPr>
              <w:t xml:space="preserve">, D. A., Buckley, R.P. &amp; </w:t>
            </w:r>
            <w:proofErr w:type="spellStart"/>
            <w:r w:rsidRPr="007A3793">
              <w:rPr>
                <w:lang w:val="en-GB"/>
              </w:rPr>
              <w:t>Arner</w:t>
            </w:r>
            <w:proofErr w:type="spellEnd"/>
            <w:r w:rsidRPr="007A3793">
              <w:rPr>
                <w:lang w:val="en-GB"/>
              </w:rPr>
              <w:t xml:space="preserve">, D. W. (2017). </w:t>
            </w:r>
            <w:r w:rsidRPr="007A3793">
              <w:rPr>
                <w:i/>
                <w:lang w:val="en-GB"/>
              </w:rPr>
              <w:t>The Distributed Liability of Distributed Ledgers: Legal Risks of Blockchain</w:t>
            </w:r>
            <w:r w:rsidRPr="007A3793">
              <w:rPr>
                <w:lang w:val="en-GB"/>
              </w:rPr>
              <w:t xml:space="preserve">. University of Illinois Law Review, 2017-2018, Forthcoming; University of Luxembourg Law Working Paper No. 007/2017; Center for Business &amp; Corporate Law (CBC) Working Paper 002/2017; University of Hong Kong Faculty of Law Research Paper No. 2017/020; UNSW Law Research Paper No. 17-52; European Banking Institute Working Paper Series 14. Available at: </w:t>
            </w:r>
            <w:hyperlink r:id="rId84" w:history="1">
              <w:r w:rsidR="008B6ABA">
                <w:rPr>
                  <w:rStyle w:val="Hyperlink"/>
                  <w:rFonts w:ascii="Arial" w:hAnsi="Arial" w:cs="Arial"/>
                  <w:sz w:val="18"/>
                  <w:szCs w:val="18"/>
                  <w:lang w:val="en-GB"/>
                </w:rPr>
                <w:t xml:space="preserve">http://dx.doi.org/10.2139/ssrn.3018214. </w:t>
              </w:r>
            </w:hyperlink>
            <w:r w:rsidRPr="008B6ABA">
              <w:rPr>
                <w:rStyle w:val="ReftextArial9pt"/>
                <w:lang w:val="en-GB"/>
              </w:rPr>
              <w:t xml:space="preserve"> </w:t>
            </w:r>
          </w:p>
        </w:tc>
      </w:tr>
      <w:tr w:rsidR="006C7B06" w:rsidRPr="007A3793" w14:paraId="71C92B7B" w14:textId="77777777" w:rsidTr="00325CA1">
        <w:tc>
          <w:tcPr>
            <w:tcW w:w="2410" w:type="dxa"/>
          </w:tcPr>
          <w:p w14:paraId="71C92B79" w14:textId="0F7A56B6" w:rsidR="006C7B06" w:rsidRPr="007A3793" w:rsidRDefault="006C7B06" w:rsidP="000B207E">
            <w:pPr>
              <w:spacing w:before="0" w:after="240"/>
              <w:rPr>
                <w:lang w:val="en-GB"/>
              </w:rPr>
            </w:pPr>
            <w:r w:rsidRPr="007A3793">
              <w:rPr>
                <w:lang w:val="en-GB"/>
              </w:rPr>
              <w:t>[</w:t>
            </w:r>
            <w:bookmarkStart w:id="282" w:name="zkp"/>
            <w:r w:rsidR="00CD1179">
              <w:rPr>
                <w:lang w:val="en-GB"/>
              </w:rPr>
              <w:t>b</w:t>
            </w:r>
            <w:r w:rsidR="00CD1179">
              <w:rPr>
                <w:lang w:val="en-GB"/>
              </w:rPr>
              <w:noBreakHyphen/>
            </w:r>
            <w:r w:rsidRPr="007A3793">
              <w:rPr>
                <w:lang w:val="en-GB"/>
              </w:rPr>
              <w:t>ZKP</w:t>
            </w:r>
            <w:bookmarkEnd w:id="282"/>
            <w:r w:rsidRPr="007A3793">
              <w:rPr>
                <w:lang w:val="en-GB"/>
              </w:rPr>
              <w:t>]</w:t>
            </w:r>
          </w:p>
        </w:tc>
        <w:tc>
          <w:tcPr>
            <w:tcW w:w="7465" w:type="dxa"/>
          </w:tcPr>
          <w:p w14:paraId="71C92B7A" w14:textId="0A0C1B9E" w:rsidR="006C7B06" w:rsidRPr="007A3793" w:rsidRDefault="006C7B06" w:rsidP="007A3793">
            <w:pPr>
              <w:spacing w:before="0" w:after="240"/>
              <w:rPr>
                <w:lang w:val="en-GB"/>
              </w:rPr>
            </w:pPr>
            <w:r w:rsidRPr="007A3793">
              <w:rPr>
                <w:lang w:val="en-GB"/>
              </w:rPr>
              <w:t xml:space="preserve">Zero </w:t>
            </w:r>
            <w:r w:rsidR="009C7097" w:rsidRPr="007A3793">
              <w:rPr>
                <w:lang w:val="en-GB"/>
              </w:rPr>
              <w:t>knowledge proof standardization</w:t>
            </w:r>
            <w:r w:rsidRPr="007A3793">
              <w:rPr>
                <w:lang w:val="en-GB"/>
              </w:rPr>
              <w:t xml:space="preserve">. [online] Available at: </w:t>
            </w:r>
            <w:hyperlink r:id="rId85" w:history="1">
              <w:r w:rsidR="008B6ABA">
                <w:rPr>
                  <w:rStyle w:val="Hyperlink"/>
                  <w:rFonts w:ascii="Arial" w:hAnsi="Arial" w:cs="Arial"/>
                  <w:sz w:val="18"/>
                  <w:szCs w:val="18"/>
                  <w:lang w:val="en-GB"/>
                </w:rPr>
                <w:t>https://zkproof.org/</w:t>
              </w:r>
            </w:hyperlink>
            <w:r w:rsidRPr="007A3793">
              <w:rPr>
                <w:lang w:val="en-GB"/>
              </w:rPr>
              <w:t xml:space="preserve"> </w:t>
            </w:r>
          </w:p>
        </w:tc>
      </w:tr>
    </w:tbl>
    <w:p w14:paraId="24A3E7A0" w14:textId="4AF3B6AA" w:rsidR="00397F9F" w:rsidRPr="007A3793" w:rsidRDefault="00397F9F" w:rsidP="00397F9F">
      <w:pPr>
        <w:jc w:val="center"/>
        <w:rPr>
          <w:lang w:val="en-GB"/>
        </w:rPr>
      </w:pPr>
      <w:r>
        <w:rPr>
          <w:lang w:val="en-GB"/>
        </w:rPr>
        <w:t>____________________</w:t>
      </w:r>
    </w:p>
    <w:sectPr w:rsidR="00397F9F" w:rsidRPr="007A3793" w:rsidSect="00011CE5">
      <w:footerReference w:type="first" r:id="rId86"/>
      <w:pgSz w:w="11907" w:h="16840" w:code="9"/>
      <w:pgMar w:top="1225" w:right="1281" w:bottom="1440" w:left="114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5FED" w14:textId="77777777" w:rsidR="00A24709" w:rsidRDefault="00A24709">
      <w:r>
        <w:separator/>
      </w:r>
    </w:p>
  </w:endnote>
  <w:endnote w:type="continuationSeparator" w:id="0">
    <w:p w14:paraId="197BE87E" w14:textId="77777777" w:rsidR="00A24709" w:rsidRDefault="00A2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88" w14:textId="77777777" w:rsidR="00BB7C1F" w:rsidRPr="002B6ABE" w:rsidRDefault="00BB7C1F" w:rsidP="002B6ABE">
    <w:pPr>
      <w:pStyle w:val="Footer"/>
      <w:tabs>
        <w:tab w:val="clear" w:pos="4320"/>
        <w:tab w:val="clear" w:pos="8640"/>
      </w:tabs>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89" w14:textId="60172A53" w:rsidR="00BB7C1F" w:rsidRPr="0084023B" w:rsidRDefault="00BB7C1F" w:rsidP="00B22DA4">
    <w:pPr>
      <w:pStyle w:val="Footer"/>
      <w:tabs>
        <w:tab w:val="clear" w:pos="4320"/>
        <w:tab w:val="clear" w:pos="8640"/>
      </w:tabs>
      <w:jc w:val="right"/>
      <w:rPr>
        <w:b/>
        <w:sz w:val="20"/>
      </w:rPr>
    </w:pPr>
    <w:r>
      <w:rPr>
        <w:noProof/>
        <w:sz w:val="16"/>
      </w:rPr>
      <w:drawing>
        <wp:anchor distT="0" distB="0" distL="114300" distR="114300" simplePos="0" relativeHeight="251660800" behindDoc="0" locked="0" layoutInCell="1" allowOverlap="1" wp14:anchorId="73BF8A31" wp14:editId="7F4EDE94">
          <wp:simplePos x="0" y="0"/>
          <wp:positionH relativeFrom="column">
            <wp:posOffset>5114925</wp:posOffset>
          </wp:positionH>
          <wp:positionV relativeFrom="paragraph">
            <wp:posOffset>-133350</wp:posOffset>
          </wp:positionV>
          <wp:extent cx="1504315" cy="634365"/>
          <wp:effectExtent l="0" t="0" r="0" b="0"/>
          <wp:wrapNone/>
          <wp:docPr id="2" name="Picture 2"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8A" w14:textId="77777777" w:rsidR="00BB7C1F" w:rsidRDefault="00BB7C1F">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8C" w14:textId="723344D2" w:rsidR="00BB7C1F" w:rsidRPr="002B6ABE" w:rsidRDefault="00BB7C1F" w:rsidP="002B6ABE">
    <w:pPr>
      <w:pStyle w:val="Footer"/>
      <w:tabs>
        <w:tab w:val="clear" w:pos="4320"/>
        <w:tab w:val="clear" w:pos="8640"/>
      </w:tabs>
      <w:rPr>
        <w:b/>
        <w:sz w:val="20"/>
      </w:rPr>
    </w:pP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12</w:t>
    </w:r>
    <w:r w:rsidRPr="0084023B">
      <w:rPr>
        <w:rStyle w:val="PageNumber"/>
        <w:rFonts w:ascii="Times New Roman Bold" w:hAnsi="Times New Roman Bold"/>
        <w:b/>
        <w:bCs/>
        <w:sz w:val="20"/>
      </w:rPr>
      <w:fldChar w:fldCharType="end"/>
    </w:r>
    <w:r>
      <w:rPr>
        <w:rStyle w:val="PageNumber"/>
        <w:rFonts w:ascii="Times New Roman Bold" w:hAnsi="Times New Roman Bold"/>
        <w:b/>
        <w:bCs/>
        <w:sz w:val="20"/>
      </w:rPr>
      <w:tab/>
    </w:r>
    <w:r>
      <w:rPr>
        <w:b/>
        <w:sz w:val="20"/>
      </w:rPr>
      <w:t>HSTP.DLT-RF</w:t>
    </w:r>
    <w:r w:rsidRPr="006717D3">
      <w:rPr>
        <w:b/>
        <w:sz w:val="20"/>
      </w:rPr>
      <w:t xml:space="preserve"> </w:t>
    </w:r>
    <w:r w:rsidRPr="004F4AD9">
      <w:rPr>
        <w:b/>
        <w:sz w:val="20"/>
      </w:rPr>
      <w:t>(2019-</w:t>
    </w:r>
    <w:r>
      <w:rPr>
        <w:b/>
        <w:sz w:val="20"/>
      </w:rPr>
      <w:t>10</w:t>
    </w:r>
    <w:r w:rsidRPr="004F4AD9">
      <w:rPr>
        <w:b/>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8D" w14:textId="718CF750" w:rsidR="00BB7C1F" w:rsidRPr="0084023B" w:rsidRDefault="00BB7C1F" w:rsidP="00B22DA4">
    <w:pPr>
      <w:pStyle w:val="Footer"/>
      <w:tabs>
        <w:tab w:val="clear" w:pos="4320"/>
        <w:tab w:val="clear" w:pos="8640"/>
      </w:tabs>
      <w:jc w:val="right"/>
      <w:rPr>
        <w:b/>
        <w:sz w:val="20"/>
      </w:rPr>
    </w:pPr>
    <w:r>
      <w:rPr>
        <w:b/>
        <w:sz w:val="20"/>
      </w:rPr>
      <w:t>HSTP.DLT-RF</w:t>
    </w:r>
    <w:r w:rsidRPr="006717D3">
      <w:rPr>
        <w:b/>
        <w:sz w:val="20"/>
      </w:rPr>
      <w:t xml:space="preserve"> </w:t>
    </w:r>
    <w:r w:rsidRPr="004F4AD9">
      <w:rPr>
        <w:b/>
        <w:sz w:val="20"/>
      </w:rPr>
      <w:t>(2019-</w:t>
    </w:r>
    <w:r>
      <w:rPr>
        <w:b/>
        <w:sz w:val="20"/>
      </w:rPr>
      <w:t>10</w:t>
    </w:r>
    <w:r w:rsidRPr="004F4AD9">
      <w:rPr>
        <w:b/>
        <w:sz w:val="20"/>
      </w:rPr>
      <w:t>)</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13</w:t>
    </w:r>
    <w:r w:rsidRPr="0084023B">
      <w:rPr>
        <w:rStyle w:val="PageNumber"/>
        <w:rFonts w:ascii="Times New Roman Bold" w:hAnsi="Times New Roman Bold"/>
        <w:b/>
        <w:bCs/>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93" w14:textId="77777777" w:rsidR="00BB7C1F" w:rsidRPr="00540C79" w:rsidRDefault="00BB7C1F" w:rsidP="0054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82599" w14:textId="77777777" w:rsidR="00A24709" w:rsidRDefault="00A24709">
      <w:r>
        <w:separator/>
      </w:r>
    </w:p>
  </w:footnote>
  <w:footnote w:type="continuationSeparator" w:id="0">
    <w:p w14:paraId="46886993" w14:textId="77777777" w:rsidR="00A24709" w:rsidRDefault="00A24709">
      <w:r>
        <w:continuationSeparator/>
      </w:r>
    </w:p>
  </w:footnote>
  <w:footnote w:id="1">
    <w:p w14:paraId="71C92B9A" w14:textId="77777777" w:rsidR="00BB7C1F" w:rsidRPr="003E30BB" w:rsidRDefault="00BB7C1F" w:rsidP="006C7B06">
      <w:pPr>
        <w:pStyle w:val="FootnoteText"/>
      </w:pPr>
      <w:r w:rsidRPr="00C073BD">
        <w:rPr>
          <w:rStyle w:val="FootnoteReference"/>
        </w:rPr>
        <w:footnoteRef/>
      </w:r>
      <w:r w:rsidRPr="00C073BD">
        <w:t xml:space="preserve"> Generic standards for information sharing exist, such as ISO ISO/IEC 27010, 20614, 20247 and 19592. However, no incident management model or information standards yet exist for blockchain and DLT incident management, nor are there any standards on how blockchain and DLT could be used to support the incident management model.</w:t>
      </w:r>
    </w:p>
  </w:footnote>
  <w:footnote w:id="2">
    <w:p w14:paraId="71C92B9B" w14:textId="77777777" w:rsidR="00BB7C1F" w:rsidRPr="00A61DD7" w:rsidRDefault="00BB7C1F" w:rsidP="006C7B06">
      <w:pPr>
        <w:pStyle w:val="FootnoteText"/>
      </w:pPr>
      <w:r w:rsidRPr="00A61DD7">
        <w:rPr>
          <w:rStyle w:val="FootnoteReference"/>
        </w:rPr>
        <w:footnoteRef/>
      </w:r>
      <w:r w:rsidRPr="00A61DD7">
        <w:t xml:space="preserve"> Malta currently requires the certification of smart contracts used for ICOs (ITAS).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87" w14:textId="77777777" w:rsidR="00BB7C1F" w:rsidRPr="00B22DA4" w:rsidRDefault="00BB7C1F" w:rsidP="00B22DA4">
    <w:pPr>
      <w:pStyle w:val="Header"/>
    </w:pPr>
    <w:r>
      <w:rPr>
        <w:noProof/>
        <w:lang w:val="en-GB" w:eastAsia="en-GB"/>
      </w:rPr>
      <w:drawing>
        <wp:anchor distT="0" distB="0" distL="114300" distR="114300" simplePos="0" relativeHeight="251656704" behindDoc="0" locked="0" layoutInCell="1" allowOverlap="1" wp14:anchorId="71C92B94" wp14:editId="6D825318">
          <wp:simplePos x="0" y="0"/>
          <wp:positionH relativeFrom="page">
            <wp:align>left</wp:align>
          </wp:positionH>
          <wp:positionV relativeFrom="paragraph">
            <wp:posOffset>-565150</wp:posOffset>
          </wp:positionV>
          <wp:extent cx="1569720" cy="1077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2B8B" w14:textId="77777777" w:rsidR="00BB7C1F" w:rsidRPr="001122ED" w:rsidRDefault="00BB7C1F" w:rsidP="0011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8B7"/>
    <w:multiLevelType w:val="hybridMultilevel"/>
    <w:tmpl w:val="3BF4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7AA3"/>
    <w:multiLevelType w:val="hybridMultilevel"/>
    <w:tmpl w:val="0368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321C3"/>
    <w:multiLevelType w:val="hybridMultilevel"/>
    <w:tmpl w:val="E26E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12E98"/>
    <w:multiLevelType w:val="hybridMultilevel"/>
    <w:tmpl w:val="834099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91AB0"/>
    <w:multiLevelType w:val="hybridMultilevel"/>
    <w:tmpl w:val="1E98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B4C43"/>
    <w:multiLevelType w:val="hybridMultilevel"/>
    <w:tmpl w:val="BDD6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748B0"/>
    <w:multiLevelType w:val="hybridMultilevel"/>
    <w:tmpl w:val="B9EC47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D3219B7"/>
    <w:multiLevelType w:val="hybridMultilevel"/>
    <w:tmpl w:val="72A23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F4F37"/>
    <w:multiLevelType w:val="hybridMultilevel"/>
    <w:tmpl w:val="8BEE8E8E"/>
    <w:lvl w:ilvl="0" w:tplc="D08AD1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2CB60A3"/>
    <w:multiLevelType w:val="hybridMultilevel"/>
    <w:tmpl w:val="2BB4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A2162"/>
    <w:multiLevelType w:val="hybridMultilevel"/>
    <w:tmpl w:val="AE3EEFE8"/>
    <w:lvl w:ilvl="0" w:tplc="D08AD1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37AF608F"/>
    <w:multiLevelType w:val="hybridMultilevel"/>
    <w:tmpl w:val="4FCEE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7A59F9"/>
    <w:multiLevelType w:val="hybridMultilevel"/>
    <w:tmpl w:val="FFD42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3A710B"/>
    <w:multiLevelType w:val="hybridMultilevel"/>
    <w:tmpl w:val="01F2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042B7"/>
    <w:multiLevelType w:val="hybridMultilevel"/>
    <w:tmpl w:val="4B5A3B76"/>
    <w:lvl w:ilvl="0" w:tplc="522E240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3E66F17"/>
    <w:multiLevelType w:val="hybridMultilevel"/>
    <w:tmpl w:val="43A8F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64C6E"/>
    <w:multiLevelType w:val="hybridMultilevel"/>
    <w:tmpl w:val="D92A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B6A42"/>
    <w:multiLevelType w:val="hybridMultilevel"/>
    <w:tmpl w:val="7C2C4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D37CD9"/>
    <w:multiLevelType w:val="hybridMultilevel"/>
    <w:tmpl w:val="E55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53386"/>
    <w:multiLevelType w:val="hybridMultilevel"/>
    <w:tmpl w:val="D3F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23F0E"/>
    <w:multiLevelType w:val="hybridMultilevel"/>
    <w:tmpl w:val="9FB4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0C6433"/>
    <w:multiLevelType w:val="hybridMultilevel"/>
    <w:tmpl w:val="8C7E49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1157E"/>
    <w:multiLevelType w:val="hybridMultilevel"/>
    <w:tmpl w:val="6CD6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00C54"/>
    <w:multiLevelType w:val="hybridMultilevel"/>
    <w:tmpl w:val="2326ED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013ABE"/>
    <w:multiLevelType w:val="multilevel"/>
    <w:tmpl w:val="7DAE123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46760C3"/>
    <w:multiLevelType w:val="hybridMultilevel"/>
    <w:tmpl w:val="BFA6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56F7F"/>
    <w:multiLevelType w:val="hybridMultilevel"/>
    <w:tmpl w:val="3C16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564ED"/>
    <w:multiLevelType w:val="hybridMultilevel"/>
    <w:tmpl w:val="3230C7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9F0396"/>
    <w:multiLevelType w:val="hybridMultilevel"/>
    <w:tmpl w:val="5D88B4D4"/>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4"/>
  </w:num>
  <w:num w:numId="2">
    <w:abstractNumId w:val="4"/>
  </w:num>
  <w:num w:numId="3">
    <w:abstractNumId w:val="18"/>
  </w:num>
  <w:num w:numId="4">
    <w:abstractNumId w:val="22"/>
  </w:num>
  <w:num w:numId="5">
    <w:abstractNumId w:val="12"/>
  </w:num>
  <w:num w:numId="6">
    <w:abstractNumId w:val="19"/>
  </w:num>
  <w:num w:numId="7">
    <w:abstractNumId w:val="27"/>
  </w:num>
  <w:num w:numId="8">
    <w:abstractNumId w:val="6"/>
  </w:num>
  <w:num w:numId="9">
    <w:abstractNumId w:val="25"/>
  </w:num>
  <w:num w:numId="10">
    <w:abstractNumId w:val="0"/>
  </w:num>
  <w:num w:numId="11">
    <w:abstractNumId w:val="20"/>
  </w:num>
  <w:num w:numId="12">
    <w:abstractNumId w:val="1"/>
  </w:num>
  <w:num w:numId="13">
    <w:abstractNumId w:val="3"/>
  </w:num>
  <w:num w:numId="14">
    <w:abstractNumId w:val="9"/>
  </w:num>
  <w:num w:numId="15">
    <w:abstractNumId w:val="5"/>
  </w:num>
  <w:num w:numId="16">
    <w:abstractNumId w:val="13"/>
  </w:num>
  <w:num w:numId="17">
    <w:abstractNumId w:val="16"/>
  </w:num>
  <w:num w:numId="18">
    <w:abstractNumId w:val="11"/>
  </w:num>
  <w:num w:numId="19">
    <w:abstractNumId w:val="26"/>
  </w:num>
  <w:num w:numId="20">
    <w:abstractNumId w:val="21"/>
  </w:num>
  <w:num w:numId="21">
    <w:abstractNumId w:val="2"/>
  </w:num>
  <w:num w:numId="22">
    <w:abstractNumId w:val="8"/>
  </w:num>
  <w:num w:numId="23">
    <w:abstractNumId w:val="10"/>
  </w:num>
  <w:num w:numId="24">
    <w:abstractNumId w:val="15"/>
  </w:num>
  <w:num w:numId="25">
    <w:abstractNumId w:val="28"/>
  </w:num>
  <w:num w:numId="26">
    <w:abstractNumId w:val="23"/>
  </w:num>
  <w:num w:numId="27">
    <w:abstractNumId w:val="17"/>
  </w:num>
  <w:num w:numId="28">
    <w:abstractNumId w:val="7"/>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CAA"/>
    <w:rsid w:val="00004A38"/>
    <w:rsid w:val="00006FD8"/>
    <w:rsid w:val="00011CE5"/>
    <w:rsid w:val="0003282B"/>
    <w:rsid w:val="000355E1"/>
    <w:rsid w:val="00056DA0"/>
    <w:rsid w:val="00067382"/>
    <w:rsid w:val="00087100"/>
    <w:rsid w:val="0009619C"/>
    <w:rsid w:val="000B08BF"/>
    <w:rsid w:val="000B207E"/>
    <w:rsid w:val="000B48B5"/>
    <w:rsid w:val="000C0339"/>
    <w:rsid w:val="000C4825"/>
    <w:rsid w:val="000D025C"/>
    <w:rsid w:val="000D06A6"/>
    <w:rsid w:val="000F79BE"/>
    <w:rsid w:val="001010EC"/>
    <w:rsid w:val="001122ED"/>
    <w:rsid w:val="0011277E"/>
    <w:rsid w:val="001135FA"/>
    <w:rsid w:val="001143CA"/>
    <w:rsid w:val="001146C9"/>
    <w:rsid w:val="00114889"/>
    <w:rsid w:val="001244B2"/>
    <w:rsid w:val="00125199"/>
    <w:rsid w:val="00127CDE"/>
    <w:rsid w:val="00146A98"/>
    <w:rsid w:val="00152C27"/>
    <w:rsid w:val="0015395C"/>
    <w:rsid w:val="00172792"/>
    <w:rsid w:val="0018326D"/>
    <w:rsid w:val="00187B3C"/>
    <w:rsid w:val="00190A2B"/>
    <w:rsid w:val="001C1902"/>
    <w:rsid w:val="001C606F"/>
    <w:rsid w:val="001E0A1C"/>
    <w:rsid w:val="001F1AE6"/>
    <w:rsid w:val="001F7C6E"/>
    <w:rsid w:val="00216074"/>
    <w:rsid w:val="002240A7"/>
    <w:rsid w:val="00225236"/>
    <w:rsid w:val="002378FD"/>
    <w:rsid w:val="00250660"/>
    <w:rsid w:val="002506D1"/>
    <w:rsid w:val="00262E52"/>
    <w:rsid w:val="00266FC0"/>
    <w:rsid w:val="00291379"/>
    <w:rsid w:val="0029185B"/>
    <w:rsid w:val="002A45A6"/>
    <w:rsid w:val="002A4644"/>
    <w:rsid w:val="002B0C39"/>
    <w:rsid w:val="002B0E11"/>
    <w:rsid w:val="002B6ABE"/>
    <w:rsid w:val="002C67BB"/>
    <w:rsid w:val="002D41EB"/>
    <w:rsid w:val="002D53F7"/>
    <w:rsid w:val="0030222D"/>
    <w:rsid w:val="00302C9D"/>
    <w:rsid w:val="003076FB"/>
    <w:rsid w:val="00320C88"/>
    <w:rsid w:val="00320FCB"/>
    <w:rsid w:val="003233ED"/>
    <w:rsid w:val="00325CA1"/>
    <w:rsid w:val="00326F10"/>
    <w:rsid w:val="003329DC"/>
    <w:rsid w:val="00350473"/>
    <w:rsid w:val="00355736"/>
    <w:rsid w:val="003604AA"/>
    <w:rsid w:val="00360D1C"/>
    <w:rsid w:val="0037215C"/>
    <w:rsid w:val="003743F3"/>
    <w:rsid w:val="00375A3D"/>
    <w:rsid w:val="003859FC"/>
    <w:rsid w:val="00397F9F"/>
    <w:rsid w:val="003A174D"/>
    <w:rsid w:val="003A4716"/>
    <w:rsid w:val="003B5C40"/>
    <w:rsid w:val="003D6ABF"/>
    <w:rsid w:val="003E1CF2"/>
    <w:rsid w:val="003E4AF9"/>
    <w:rsid w:val="003F03EC"/>
    <w:rsid w:val="003F262F"/>
    <w:rsid w:val="004016AE"/>
    <w:rsid w:val="0040627C"/>
    <w:rsid w:val="00407FDA"/>
    <w:rsid w:val="00412492"/>
    <w:rsid w:val="0043347D"/>
    <w:rsid w:val="00467172"/>
    <w:rsid w:val="00467B14"/>
    <w:rsid w:val="00474EA7"/>
    <w:rsid w:val="00491601"/>
    <w:rsid w:val="00492BA3"/>
    <w:rsid w:val="004B39E2"/>
    <w:rsid w:val="004C062A"/>
    <w:rsid w:val="004C46CD"/>
    <w:rsid w:val="004C6AE2"/>
    <w:rsid w:val="004E3AB9"/>
    <w:rsid w:val="004F4AD9"/>
    <w:rsid w:val="00501B49"/>
    <w:rsid w:val="00540C79"/>
    <w:rsid w:val="00541369"/>
    <w:rsid w:val="005A5504"/>
    <w:rsid w:val="005A6F89"/>
    <w:rsid w:val="005C712C"/>
    <w:rsid w:val="005D49B7"/>
    <w:rsid w:val="005E5D38"/>
    <w:rsid w:val="005F44EB"/>
    <w:rsid w:val="0060241A"/>
    <w:rsid w:val="00614441"/>
    <w:rsid w:val="00620A99"/>
    <w:rsid w:val="00624553"/>
    <w:rsid w:val="00626040"/>
    <w:rsid w:val="00633928"/>
    <w:rsid w:val="00641F9F"/>
    <w:rsid w:val="0064792C"/>
    <w:rsid w:val="006542B5"/>
    <w:rsid w:val="00665E46"/>
    <w:rsid w:val="006717D3"/>
    <w:rsid w:val="006727AE"/>
    <w:rsid w:val="00675621"/>
    <w:rsid w:val="006935CA"/>
    <w:rsid w:val="00695B70"/>
    <w:rsid w:val="006C7B06"/>
    <w:rsid w:val="006E257F"/>
    <w:rsid w:val="006F2897"/>
    <w:rsid w:val="00704016"/>
    <w:rsid w:val="007146F8"/>
    <w:rsid w:val="00720B5A"/>
    <w:rsid w:val="0072752A"/>
    <w:rsid w:val="00737170"/>
    <w:rsid w:val="00747553"/>
    <w:rsid w:val="0075139F"/>
    <w:rsid w:val="00767C91"/>
    <w:rsid w:val="00785779"/>
    <w:rsid w:val="0078796F"/>
    <w:rsid w:val="00797298"/>
    <w:rsid w:val="007A3793"/>
    <w:rsid w:val="007A7319"/>
    <w:rsid w:val="007C00F9"/>
    <w:rsid w:val="007E560F"/>
    <w:rsid w:val="007F01A5"/>
    <w:rsid w:val="007F417E"/>
    <w:rsid w:val="008063FC"/>
    <w:rsid w:val="0083023F"/>
    <w:rsid w:val="0084023B"/>
    <w:rsid w:val="00844F16"/>
    <w:rsid w:val="00851895"/>
    <w:rsid w:val="00853064"/>
    <w:rsid w:val="008826F3"/>
    <w:rsid w:val="00884DC0"/>
    <w:rsid w:val="008A693C"/>
    <w:rsid w:val="008B001E"/>
    <w:rsid w:val="008B4D8B"/>
    <w:rsid w:val="008B5499"/>
    <w:rsid w:val="008B6ABA"/>
    <w:rsid w:val="008C2F1C"/>
    <w:rsid w:val="008C3943"/>
    <w:rsid w:val="008C56E5"/>
    <w:rsid w:val="008D24BE"/>
    <w:rsid w:val="008D48A2"/>
    <w:rsid w:val="008D6022"/>
    <w:rsid w:val="008E6D55"/>
    <w:rsid w:val="008F79FF"/>
    <w:rsid w:val="00907393"/>
    <w:rsid w:val="00911869"/>
    <w:rsid w:val="0091369C"/>
    <w:rsid w:val="009137A5"/>
    <w:rsid w:val="00916541"/>
    <w:rsid w:val="0094562B"/>
    <w:rsid w:val="0095330F"/>
    <w:rsid w:val="00960647"/>
    <w:rsid w:val="00962424"/>
    <w:rsid w:val="00962725"/>
    <w:rsid w:val="00963378"/>
    <w:rsid w:val="009635CB"/>
    <w:rsid w:val="00981C2C"/>
    <w:rsid w:val="00986A86"/>
    <w:rsid w:val="009A4898"/>
    <w:rsid w:val="009A4F98"/>
    <w:rsid w:val="009C01D1"/>
    <w:rsid w:val="009C46D8"/>
    <w:rsid w:val="009C49FE"/>
    <w:rsid w:val="009C7097"/>
    <w:rsid w:val="009D26EB"/>
    <w:rsid w:val="009E21A6"/>
    <w:rsid w:val="00A01C5E"/>
    <w:rsid w:val="00A10F23"/>
    <w:rsid w:val="00A24709"/>
    <w:rsid w:val="00A35613"/>
    <w:rsid w:val="00A36E26"/>
    <w:rsid w:val="00A6719D"/>
    <w:rsid w:val="00A747CA"/>
    <w:rsid w:val="00A7792D"/>
    <w:rsid w:val="00A77D0F"/>
    <w:rsid w:val="00A81DE1"/>
    <w:rsid w:val="00A83383"/>
    <w:rsid w:val="00A90B48"/>
    <w:rsid w:val="00A93B35"/>
    <w:rsid w:val="00AA4884"/>
    <w:rsid w:val="00AC040D"/>
    <w:rsid w:val="00AD7BB8"/>
    <w:rsid w:val="00AF0764"/>
    <w:rsid w:val="00AF3A7B"/>
    <w:rsid w:val="00AF7F4B"/>
    <w:rsid w:val="00B065FD"/>
    <w:rsid w:val="00B22DA4"/>
    <w:rsid w:val="00B419D2"/>
    <w:rsid w:val="00B51CCD"/>
    <w:rsid w:val="00B6296C"/>
    <w:rsid w:val="00B639E4"/>
    <w:rsid w:val="00B6789C"/>
    <w:rsid w:val="00B847E7"/>
    <w:rsid w:val="00B87323"/>
    <w:rsid w:val="00B93576"/>
    <w:rsid w:val="00B93849"/>
    <w:rsid w:val="00B979E5"/>
    <w:rsid w:val="00BB7441"/>
    <w:rsid w:val="00BB7C1F"/>
    <w:rsid w:val="00BD4694"/>
    <w:rsid w:val="00BD6371"/>
    <w:rsid w:val="00BF6782"/>
    <w:rsid w:val="00C04FE7"/>
    <w:rsid w:val="00C066A8"/>
    <w:rsid w:val="00C073BD"/>
    <w:rsid w:val="00C1062C"/>
    <w:rsid w:val="00C11BE9"/>
    <w:rsid w:val="00C26533"/>
    <w:rsid w:val="00C35AC0"/>
    <w:rsid w:val="00C42501"/>
    <w:rsid w:val="00C54525"/>
    <w:rsid w:val="00C566A9"/>
    <w:rsid w:val="00C80C5B"/>
    <w:rsid w:val="00C860D8"/>
    <w:rsid w:val="00C932B1"/>
    <w:rsid w:val="00C961A3"/>
    <w:rsid w:val="00CA08D4"/>
    <w:rsid w:val="00CA3F8B"/>
    <w:rsid w:val="00CA6A4B"/>
    <w:rsid w:val="00CA6D66"/>
    <w:rsid w:val="00CA7EB6"/>
    <w:rsid w:val="00CD1179"/>
    <w:rsid w:val="00CE189D"/>
    <w:rsid w:val="00CE6983"/>
    <w:rsid w:val="00D24029"/>
    <w:rsid w:val="00D24F44"/>
    <w:rsid w:val="00D332A3"/>
    <w:rsid w:val="00D46926"/>
    <w:rsid w:val="00D509D0"/>
    <w:rsid w:val="00D645D7"/>
    <w:rsid w:val="00D772BB"/>
    <w:rsid w:val="00D800E9"/>
    <w:rsid w:val="00D90141"/>
    <w:rsid w:val="00D9069A"/>
    <w:rsid w:val="00DB0381"/>
    <w:rsid w:val="00DB34B4"/>
    <w:rsid w:val="00DC38F8"/>
    <w:rsid w:val="00DF41E8"/>
    <w:rsid w:val="00E02690"/>
    <w:rsid w:val="00E14E29"/>
    <w:rsid w:val="00E37E48"/>
    <w:rsid w:val="00E41D57"/>
    <w:rsid w:val="00E46AC6"/>
    <w:rsid w:val="00E56A28"/>
    <w:rsid w:val="00EB4C15"/>
    <w:rsid w:val="00F014D0"/>
    <w:rsid w:val="00F040F0"/>
    <w:rsid w:val="00F05ED5"/>
    <w:rsid w:val="00F14A92"/>
    <w:rsid w:val="00F433B4"/>
    <w:rsid w:val="00F62345"/>
    <w:rsid w:val="00F81AEB"/>
    <w:rsid w:val="00F905F4"/>
    <w:rsid w:val="00F94096"/>
    <w:rsid w:val="00FA0911"/>
    <w:rsid w:val="00FC1669"/>
    <w:rsid w:val="00FC331F"/>
    <w:rsid w:val="00FC51E5"/>
    <w:rsid w:val="00FC6B34"/>
    <w:rsid w:val="00FD7800"/>
    <w:rsid w:val="00FE36D4"/>
    <w:rsid w:val="00FF5D35"/>
    <w:rsid w:val="00FF77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9280E"/>
  <w15:docId w15:val="{C60010DF-9034-4012-8F6B-FB6A7BA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D09"/>
    <w:pPr>
      <w:spacing w:before="120"/>
    </w:pPr>
    <w:rPr>
      <w:sz w:val="24"/>
    </w:rPr>
  </w:style>
  <w:style w:type="paragraph" w:styleId="Heading1">
    <w:name w:val="heading 1"/>
    <w:basedOn w:val="Normal"/>
    <w:next w:val="Normal"/>
    <w:link w:val="Heading1Char"/>
    <w:uiPriority w:val="9"/>
    <w:qFormat/>
    <w:rsid w:val="00F14A92"/>
    <w:pPr>
      <w:keepNext/>
      <w:numPr>
        <w:numId w:val="1"/>
      </w:numPr>
      <w:spacing w:before="240" w:after="60"/>
      <w:outlineLvl w:val="0"/>
    </w:pPr>
    <w:rPr>
      <w:rFonts w:cs="Arial"/>
      <w:b/>
      <w:bCs/>
      <w:kern w:val="32"/>
      <w:szCs w:val="32"/>
      <w:lang w:val="en-GB" w:eastAsia="ja-JP"/>
    </w:rPr>
  </w:style>
  <w:style w:type="paragraph" w:styleId="Heading2">
    <w:name w:val="heading 2"/>
    <w:basedOn w:val="Normal"/>
    <w:next w:val="Normal"/>
    <w:link w:val="Heading2Char"/>
    <w:uiPriority w:val="1"/>
    <w:qFormat/>
    <w:rsid w:val="00F14A92"/>
    <w:pPr>
      <w:keepNext/>
      <w:numPr>
        <w:ilvl w:val="1"/>
        <w:numId w:val="1"/>
      </w:numPr>
      <w:spacing w:before="240" w:after="60"/>
      <w:outlineLvl w:val="1"/>
    </w:pPr>
    <w:rPr>
      <w:rFonts w:cs="Arial"/>
      <w:b/>
      <w:bCs/>
      <w:iCs/>
      <w:szCs w:val="28"/>
      <w:lang w:val="en-GB" w:eastAsia="ja-JP"/>
    </w:rPr>
  </w:style>
  <w:style w:type="paragraph" w:styleId="Heading3">
    <w:name w:val="heading 3"/>
    <w:basedOn w:val="Normal"/>
    <w:next w:val="Normal"/>
    <w:link w:val="Heading3Char"/>
    <w:rsid w:val="00F14A92"/>
    <w:pPr>
      <w:keepNext/>
      <w:numPr>
        <w:ilvl w:val="2"/>
        <w:numId w:val="1"/>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C04FE7"/>
    <w:pPr>
      <w:keepNext/>
      <w:numPr>
        <w:ilvl w:val="3"/>
        <w:numId w:val="1"/>
      </w:numPr>
      <w:tabs>
        <w:tab w:val="clear" w:pos="864"/>
        <w:tab w:val="num" w:pos="993"/>
      </w:tabs>
      <w:spacing w:before="240" w:after="60"/>
      <w:ind w:left="993" w:hanging="993"/>
      <w:outlineLvl w:val="3"/>
    </w:pPr>
    <w:rPr>
      <w:b/>
      <w:bCs/>
      <w:szCs w:val="28"/>
      <w:lang w:val="en-GB" w:eastAsia="ja-JP"/>
    </w:rPr>
  </w:style>
  <w:style w:type="paragraph" w:styleId="Heading5">
    <w:name w:val="heading 5"/>
    <w:basedOn w:val="Normal"/>
    <w:next w:val="Normal"/>
    <w:link w:val="Heading5Char"/>
    <w:qFormat/>
    <w:rsid w:val="00397F9F"/>
    <w:pPr>
      <w:keepNext/>
      <w:numPr>
        <w:ilvl w:val="4"/>
        <w:numId w:val="1"/>
      </w:numPr>
      <w:spacing w:before="240" w:after="60"/>
      <w:ind w:left="1009" w:hanging="1009"/>
      <w:outlineLvl w:val="4"/>
    </w:pPr>
    <w:rPr>
      <w:b/>
      <w:bCs/>
      <w:iCs/>
      <w:szCs w:val="26"/>
      <w:lang w:val="en-GB" w:eastAsia="ja-JP"/>
    </w:rPr>
  </w:style>
  <w:style w:type="paragraph" w:styleId="Heading6">
    <w:name w:val="heading 6"/>
    <w:basedOn w:val="Normal"/>
    <w:next w:val="Normal"/>
    <w:link w:val="Heading6Char"/>
    <w:rsid w:val="00F14A92"/>
    <w:pPr>
      <w:numPr>
        <w:ilvl w:val="5"/>
        <w:numId w:val="1"/>
      </w:numPr>
      <w:spacing w:before="240" w:after="60"/>
      <w:outlineLvl w:val="5"/>
    </w:pPr>
    <w:rPr>
      <w:b/>
      <w:bCs/>
      <w:szCs w:val="22"/>
      <w:lang w:val="en-GB" w:eastAsia="ja-JP"/>
    </w:rPr>
  </w:style>
  <w:style w:type="paragraph" w:styleId="Heading7">
    <w:name w:val="heading 7"/>
    <w:basedOn w:val="Normal"/>
    <w:next w:val="Normal"/>
    <w:link w:val="Heading7Char"/>
    <w:qFormat/>
    <w:rsid w:val="00F14A92"/>
    <w:pPr>
      <w:numPr>
        <w:ilvl w:val="6"/>
        <w:numId w:val="1"/>
      </w:numPr>
      <w:spacing w:before="240" w:after="60"/>
      <w:outlineLvl w:val="6"/>
    </w:pPr>
    <w:rPr>
      <w:szCs w:val="24"/>
      <w:lang w:val="en-GB" w:eastAsia="ja-JP"/>
    </w:rPr>
  </w:style>
  <w:style w:type="paragraph" w:styleId="Heading8">
    <w:name w:val="heading 8"/>
    <w:basedOn w:val="Normal"/>
    <w:next w:val="Normal"/>
    <w:link w:val="Heading8Char"/>
    <w:qFormat/>
    <w:rsid w:val="00F14A92"/>
    <w:pPr>
      <w:numPr>
        <w:ilvl w:val="7"/>
        <w:numId w:val="1"/>
      </w:numPr>
      <w:spacing w:before="240" w:after="60"/>
      <w:outlineLvl w:val="7"/>
    </w:pPr>
    <w:rPr>
      <w:i/>
      <w:iCs/>
      <w:szCs w:val="24"/>
      <w:lang w:val="en-GB" w:eastAsia="ja-JP"/>
    </w:rPr>
  </w:style>
  <w:style w:type="paragraph" w:styleId="Heading9">
    <w:name w:val="heading 9"/>
    <w:basedOn w:val="Normal"/>
    <w:next w:val="Normal"/>
    <w:link w:val="Heading9Char"/>
    <w:rsid w:val="00F14A92"/>
    <w:pPr>
      <w:numPr>
        <w:ilvl w:val="8"/>
        <w:numId w:val="1"/>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35CB"/>
    <w:rPr>
      <w:rFonts w:cs="Arial"/>
      <w:b/>
      <w:bCs/>
      <w:kern w:val="32"/>
      <w:sz w:val="24"/>
      <w:szCs w:val="32"/>
      <w:lang w:val="en-GB" w:eastAsia="ja-JP"/>
    </w:rPr>
  </w:style>
  <w:style w:type="character" w:customStyle="1" w:styleId="Heading2Char">
    <w:name w:val="Heading 2 Char"/>
    <w:basedOn w:val="DefaultParagraphFont"/>
    <w:link w:val="Heading2"/>
    <w:uiPriority w:val="1"/>
    <w:qFormat/>
    <w:rsid w:val="006C7B06"/>
    <w:rPr>
      <w:rFonts w:cs="Arial"/>
      <w:b/>
      <w:bCs/>
      <w:iCs/>
      <w:sz w:val="24"/>
      <w:szCs w:val="28"/>
      <w:lang w:val="en-GB" w:eastAsia="ja-JP"/>
    </w:rPr>
  </w:style>
  <w:style w:type="character" w:customStyle="1" w:styleId="Heading3Char">
    <w:name w:val="Heading 3 Char"/>
    <w:basedOn w:val="DefaultParagraphFont"/>
    <w:link w:val="Heading3"/>
    <w:qFormat/>
    <w:rsid w:val="006C7B06"/>
    <w:rPr>
      <w:rFonts w:cs="Arial"/>
      <w:b/>
      <w:bCs/>
      <w:sz w:val="24"/>
      <w:szCs w:val="26"/>
      <w:lang w:val="en-GB" w:eastAsia="ja-JP"/>
    </w:rPr>
  </w:style>
  <w:style w:type="character" w:customStyle="1" w:styleId="Heading4Char">
    <w:name w:val="Heading 4 Char"/>
    <w:basedOn w:val="DefaultParagraphFont"/>
    <w:link w:val="Heading4"/>
    <w:rsid w:val="00C04FE7"/>
    <w:rPr>
      <w:b/>
      <w:bCs/>
      <w:sz w:val="24"/>
      <w:szCs w:val="28"/>
      <w:lang w:val="en-GB" w:eastAsia="ja-JP"/>
    </w:rPr>
  </w:style>
  <w:style w:type="character" w:customStyle="1" w:styleId="Heading5Char">
    <w:name w:val="Heading 5 Char"/>
    <w:basedOn w:val="DefaultParagraphFont"/>
    <w:link w:val="Heading5"/>
    <w:qFormat/>
    <w:rsid w:val="00397F9F"/>
    <w:rPr>
      <w:b/>
      <w:bCs/>
      <w:iCs/>
      <w:sz w:val="24"/>
      <w:szCs w:val="26"/>
      <w:lang w:val="en-GB" w:eastAsia="ja-JP"/>
    </w:rPr>
  </w:style>
  <w:style w:type="character" w:customStyle="1" w:styleId="Heading6Char">
    <w:name w:val="Heading 6 Char"/>
    <w:basedOn w:val="DefaultParagraphFont"/>
    <w:link w:val="Heading6"/>
    <w:qFormat/>
    <w:rsid w:val="006C7B06"/>
    <w:rPr>
      <w:b/>
      <w:bCs/>
      <w:sz w:val="24"/>
      <w:szCs w:val="22"/>
      <w:lang w:val="en-GB" w:eastAsia="ja-JP"/>
    </w:rPr>
  </w:style>
  <w:style w:type="character" w:customStyle="1" w:styleId="Heading7Char">
    <w:name w:val="Heading 7 Char"/>
    <w:basedOn w:val="DefaultParagraphFont"/>
    <w:link w:val="Heading7"/>
    <w:qFormat/>
    <w:rsid w:val="006C7B06"/>
    <w:rPr>
      <w:sz w:val="24"/>
      <w:szCs w:val="24"/>
      <w:lang w:val="en-GB" w:eastAsia="ja-JP"/>
    </w:rPr>
  </w:style>
  <w:style w:type="character" w:customStyle="1" w:styleId="Heading8Char">
    <w:name w:val="Heading 8 Char"/>
    <w:basedOn w:val="DefaultParagraphFont"/>
    <w:link w:val="Heading8"/>
    <w:qFormat/>
    <w:rsid w:val="006C7B06"/>
    <w:rPr>
      <w:i/>
      <w:iCs/>
      <w:sz w:val="24"/>
      <w:szCs w:val="24"/>
      <w:lang w:val="en-GB" w:eastAsia="ja-JP"/>
    </w:rPr>
  </w:style>
  <w:style w:type="character" w:customStyle="1" w:styleId="Heading9Char">
    <w:name w:val="Heading 9 Char"/>
    <w:basedOn w:val="DefaultParagraphFont"/>
    <w:link w:val="Heading9"/>
    <w:qFormat/>
    <w:rsid w:val="006C7B06"/>
    <w:rPr>
      <w:rFonts w:cs="Arial"/>
      <w:sz w:val="24"/>
      <w:szCs w:val="22"/>
      <w:lang w:val="en-GB" w:eastAsia="ja-JP"/>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6C7B06"/>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C7B06"/>
    <w:rPr>
      <w:sz w:val="24"/>
    </w:r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39"/>
    <w:qFormat/>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qFormat/>
    <w:rsid w:val="00A0117B"/>
    <w:pPr>
      <w:spacing w:before="0"/>
      <w:ind w:left="240"/>
    </w:pPr>
    <w:rPr>
      <w:smallCaps/>
      <w:sz w:val="20"/>
      <w:szCs w:val="24"/>
    </w:rPr>
  </w:style>
  <w:style w:type="paragraph" w:styleId="TOC3">
    <w:name w:val="toc 3"/>
    <w:basedOn w:val="Normal"/>
    <w:next w:val="Normal"/>
    <w:autoRedefine/>
    <w:uiPriority w:val="39"/>
    <w:rsid w:val="00A0117B"/>
    <w:pPr>
      <w:spacing w:before="0"/>
      <w:ind w:left="480"/>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uiPriority w:val="99"/>
    <w:rsid w:val="00A0117B"/>
    <w:rPr>
      <w:rFonts w:eastAsia="Times New Roman"/>
      <w:sz w:val="20"/>
      <w:lang w:eastAsia="en-US"/>
    </w:rPr>
  </w:style>
  <w:style w:type="character" w:customStyle="1" w:styleId="CommentTextChar">
    <w:name w:val="Comment Text Char"/>
    <w:basedOn w:val="DefaultParagraphFont"/>
    <w:link w:val="CommentText"/>
    <w:uiPriority w:val="99"/>
    <w:rsid w:val="0009619C"/>
    <w:rPr>
      <w:rFonts w:eastAsia="Times New Roman"/>
      <w:lang w:eastAsia="en-US"/>
    </w:rPr>
  </w:style>
  <w:style w:type="character" w:styleId="FollowedHyperlink">
    <w:name w:val="FollowedHyperlink"/>
    <w:uiPriority w:val="99"/>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uiPriority w:val="99"/>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qFormat/>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qFormat/>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link w:val="BalloonTextChar"/>
    <w:uiPriority w:val="99"/>
    <w:semiHidden/>
    <w:rsid w:val="00FE7DA8"/>
    <w:rPr>
      <w:rFonts w:ascii="ヒラギノ角ゴ Pro W3" w:eastAsia="ヒラギノ角ゴ Pro W3"/>
      <w:sz w:val="18"/>
      <w:szCs w:val="18"/>
    </w:rPr>
  </w:style>
  <w:style w:type="character" w:customStyle="1" w:styleId="BalloonTextChar">
    <w:name w:val="Balloon Text Char"/>
    <w:basedOn w:val="DefaultParagraphFont"/>
    <w:link w:val="BalloonText"/>
    <w:uiPriority w:val="99"/>
    <w:semiHidden/>
    <w:rsid w:val="006C7B06"/>
    <w:rPr>
      <w:rFonts w:ascii="ヒラギノ角ゴ Pro W3" w:eastAsia="ヒラギノ角ゴ Pro W3"/>
      <w:sz w:val="18"/>
      <w:szCs w:val="18"/>
    </w:rPr>
  </w:style>
  <w:style w:type="paragraph" w:styleId="CommentSubject">
    <w:name w:val="annotation subject"/>
    <w:basedOn w:val="CommentText"/>
    <w:next w:val="CommentText"/>
    <w:link w:val="CommentSubjectChar"/>
    <w:uiPriority w:val="99"/>
    <w:semiHidden/>
    <w:rsid w:val="00003CAA"/>
    <w:rPr>
      <w:rFonts w:eastAsia="MS Mincho"/>
      <w:b/>
      <w:bCs/>
      <w:lang w:eastAsia="zh-CN"/>
    </w:rPr>
  </w:style>
  <w:style w:type="character" w:customStyle="1" w:styleId="CommentSubjectChar">
    <w:name w:val="Comment Subject Char"/>
    <w:basedOn w:val="CommentTextChar"/>
    <w:link w:val="CommentSubject"/>
    <w:uiPriority w:val="99"/>
    <w:semiHidden/>
    <w:rsid w:val="006C7B06"/>
    <w:rPr>
      <w:rFonts w:eastAsia="Times New Roman"/>
      <w:b/>
      <w:bCs/>
      <w:lang w:eastAsia="en-US"/>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qFormat/>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qFormat/>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qFormat/>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link w:val="TabletextChar"/>
    <w:rsid w:val="00F14A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character" w:customStyle="1" w:styleId="TabletextChar">
    <w:name w:val="Table_text Char"/>
    <w:basedOn w:val="DefaultParagraphFont"/>
    <w:link w:val="Tabletext"/>
    <w:locked/>
    <w:rsid w:val="006C7B06"/>
    <w:rPr>
      <w:rFonts w:eastAsia="Times New Roman"/>
      <w:sz w:val="22"/>
      <w:lang w:val="en-GB" w:eastAsia="en-US"/>
    </w:rPr>
  </w:style>
  <w:style w:type="paragraph" w:customStyle="1" w:styleId="Figure">
    <w:name w:val="Figure"/>
    <w:basedOn w:val="Normal"/>
    <w:next w:val="Normal"/>
    <w:qFormat/>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uiPriority w:val="35"/>
    <w:rsid w:val="0060241A"/>
    <w:pPr>
      <w:spacing w:after="120"/>
      <w:jc w:val="center"/>
    </w:pPr>
    <w:rPr>
      <w:rFonts w:eastAsia="Times New Roman"/>
      <w:b/>
      <w:bCs/>
      <w:szCs w:val="24"/>
      <w:lang w:val="en-GB" w:eastAsia="en-US"/>
    </w:rPr>
  </w:style>
  <w:style w:type="paragraph" w:customStyle="1" w:styleId="Tablelegend">
    <w:name w:val="Table_legend"/>
    <w:basedOn w:val="Normal"/>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paragraph" w:styleId="Revision">
    <w:name w:val="Revision"/>
    <w:hidden/>
    <w:uiPriority w:val="99"/>
    <w:semiHidden/>
    <w:rsid w:val="009635CB"/>
    <w:rPr>
      <w:sz w:val="24"/>
    </w:rPr>
  </w:style>
  <w:style w:type="character" w:styleId="Emphasis">
    <w:name w:val="Emphasis"/>
    <w:uiPriority w:val="20"/>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qFormat/>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FootnoteText">
    <w:name w:val="footnote text"/>
    <w:basedOn w:val="Normal"/>
    <w:link w:val="FootnoteTextChar"/>
    <w:uiPriority w:val="99"/>
    <w:unhideWhenUsed/>
    <w:qFormat/>
    <w:rsid w:val="006717D3"/>
    <w:pPr>
      <w:snapToGrid w:val="0"/>
    </w:pPr>
    <w:rPr>
      <w:sz w:val="18"/>
      <w:szCs w:val="18"/>
    </w:rPr>
  </w:style>
  <w:style w:type="character" w:customStyle="1" w:styleId="FootnoteTextChar">
    <w:name w:val="Footnote Text Char"/>
    <w:basedOn w:val="DefaultParagraphFont"/>
    <w:link w:val="FootnoteText"/>
    <w:uiPriority w:val="99"/>
    <w:qFormat/>
    <w:rsid w:val="006717D3"/>
    <w:rPr>
      <w:sz w:val="18"/>
      <w:szCs w:val="18"/>
    </w:rPr>
  </w:style>
  <w:style w:type="character" w:styleId="FootnoteReference">
    <w:name w:val="footnote reference"/>
    <w:basedOn w:val="DefaultParagraphFont"/>
    <w:uiPriority w:val="99"/>
    <w:semiHidden/>
    <w:unhideWhenUsed/>
    <w:qFormat/>
    <w:rsid w:val="006717D3"/>
    <w:rPr>
      <w:vertAlign w:val="superscript"/>
    </w:rPr>
  </w:style>
  <w:style w:type="paragraph" w:styleId="ListParagraph">
    <w:name w:val="List Paragraph"/>
    <w:basedOn w:val="Normal"/>
    <w:uiPriority w:val="1"/>
    <w:qFormat/>
    <w:rsid w:val="0015395C"/>
    <w:pPr>
      <w:ind w:left="720"/>
      <w:contextualSpacing/>
    </w:pPr>
  </w:style>
  <w:style w:type="paragraph" w:customStyle="1" w:styleId="Reftext">
    <w:name w:val="Ref_text"/>
    <w:basedOn w:val="Normal"/>
    <w:qFormat/>
    <w:rsid w:val="0009619C"/>
    <w:pPr>
      <w:overflowPunct w:val="0"/>
      <w:autoSpaceDE w:val="0"/>
      <w:autoSpaceDN w:val="0"/>
      <w:adjustRightInd w:val="0"/>
      <w:ind w:left="2268" w:hanging="2268"/>
      <w:textAlignment w:val="baseline"/>
    </w:pPr>
    <w:rPr>
      <w:rFonts w:eastAsia="Times New Roman"/>
      <w:lang w:val="en-GB" w:eastAsia="en-US"/>
    </w:rPr>
  </w:style>
  <w:style w:type="paragraph" w:customStyle="1" w:styleId="AnnexNoTitle0">
    <w:name w:val="Annex_NoTitle"/>
    <w:basedOn w:val="Normal"/>
    <w:next w:val="Normal"/>
    <w:rsid w:val="0009619C"/>
    <w:pPr>
      <w:keepNext/>
      <w:keepLines/>
      <w:tabs>
        <w:tab w:val="left" w:pos="794"/>
        <w:tab w:val="left" w:pos="1191"/>
        <w:tab w:val="left" w:pos="1588"/>
        <w:tab w:val="left" w:pos="1985"/>
      </w:tabs>
      <w:overflowPunct w:val="0"/>
      <w:autoSpaceDE w:val="0"/>
      <w:autoSpaceDN w:val="0"/>
      <w:adjustRightInd w:val="0"/>
      <w:spacing w:before="720"/>
      <w:jc w:val="center"/>
    </w:pPr>
    <w:rPr>
      <w:rFonts w:eastAsia="Batang"/>
      <w:b/>
      <w:sz w:val="28"/>
      <w:lang w:val="en-GB" w:eastAsia="en-US"/>
    </w:rPr>
  </w:style>
  <w:style w:type="paragraph" w:customStyle="1" w:styleId="Definition">
    <w:name w:val="Definition"/>
    <w:basedOn w:val="Normal"/>
    <w:uiPriority w:val="9"/>
    <w:rsid w:val="0009619C"/>
    <w:pPr>
      <w:tabs>
        <w:tab w:val="left" w:pos="403"/>
      </w:tabs>
      <w:spacing w:before="0" w:after="240" w:line="240" w:lineRule="atLeast"/>
      <w:jc w:val="both"/>
    </w:pPr>
    <w:rPr>
      <w:rFonts w:ascii="Cambria" w:eastAsiaTheme="minorEastAsia" w:hAnsi="Cambria"/>
      <w:sz w:val="22"/>
      <w:szCs w:val="22"/>
      <w:lang w:val="en-GB" w:eastAsia="en-US"/>
    </w:rPr>
  </w:style>
  <w:style w:type="paragraph" w:customStyle="1" w:styleId="Default">
    <w:name w:val="Default"/>
    <w:rsid w:val="003A174D"/>
    <w:pPr>
      <w:widowControl w:val="0"/>
      <w:autoSpaceDE w:val="0"/>
      <w:autoSpaceDN w:val="0"/>
      <w:adjustRightInd w:val="0"/>
    </w:pPr>
    <w:rPr>
      <w:rFonts w:eastAsiaTheme="minorEastAsia"/>
      <w:color w:val="000000"/>
      <w:sz w:val="24"/>
      <w:szCs w:val="24"/>
    </w:rPr>
  </w:style>
  <w:style w:type="paragraph" w:customStyle="1" w:styleId="Docnumber">
    <w:name w:val="Docnumber"/>
    <w:basedOn w:val="Normal"/>
    <w:link w:val="DocnumberChar"/>
    <w:qFormat/>
    <w:rsid w:val="006C7B06"/>
    <w:pPr>
      <w:tabs>
        <w:tab w:val="left" w:pos="794"/>
        <w:tab w:val="left" w:pos="1191"/>
        <w:tab w:val="left" w:pos="1588"/>
        <w:tab w:val="left" w:pos="1985"/>
      </w:tabs>
      <w:overflowPunct w:val="0"/>
      <w:autoSpaceDE w:val="0"/>
      <w:autoSpaceDN w:val="0"/>
      <w:adjustRightInd w:val="0"/>
      <w:spacing w:after="160" w:line="259" w:lineRule="auto"/>
      <w:jc w:val="right"/>
      <w:textAlignment w:val="baseline"/>
    </w:pPr>
    <w:rPr>
      <w:rFonts w:eastAsia="SimSun"/>
      <w:b/>
      <w:sz w:val="32"/>
      <w:lang w:val="en-GB" w:eastAsia="en-US"/>
    </w:rPr>
  </w:style>
  <w:style w:type="character" w:customStyle="1" w:styleId="DocnumberChar">
    <w:name w:val="Docnumber Char"/>
    <w:link w:val="Docnumber"/>
    <w:qFormat/>
    <w:rsid w:val="006C7B06"/>
    <w:rPr>
      <w:rFonts w:eastAsia="SimSun"/>
      <w:b/>
      <w:sz w:val="32"/>
      <w:lang w:val="en-GB" w:eastAsia="en-US"/>
    </w:rPr>
  </w:style>
  <w:style w:type="paragraph" w:customStyle="1" w:styleId="CorrectionSeparatorBegin">
    <w:name w:val="Correction Separator Begin"/>
    <w:basedOn w:val="Normal"/>
    <w:qFormat/>
    <w:rsid w:val="006C7B06"/>
    <w:pPr>
      <w:keepNext/>
      <w:pBdr>
        <w:bottom w:val="single" w:sz="12" w:space="1" w:color="auto"/>
      </w:pBdr>
      <w:spacing w:before="240" w:after="240" w:line="259" w:lineRule="auto"/>
      <w:ind w:left="1440" w:right="1440"/>
      <w:jc w:val="center"/>
    </w:pPr>
    <w:rPr>
      <w:rFonts w:eastAsia="Times New Roman"/>
      <w:b/>
      <w:i/>
      <w:sz w:val="20"/>
      <w:lang w:eastAsia="en-US"/>
    </w:rPr>
  </w:style>
  <w:style w:type="paragraph" w:customStyle="1" w:styleId="CorrectionSeparatorEnd">
    <w:name w:val="Correction Separator End"/>
    <w:basedOn w:val="Normal"/>
    <w:qFormat/>
    <w:rsid w:val="006C7B06"/>
    <w:pPr>
      <w:pBdr>
        <w:top w:val="single" w:sz="12" w:space="1" w:color="auto"/>
      </w:pBdr>
      <w:spacing w:before="240" w:after="240" w:line="259" w:lineRule="auto"/>
      <w:ind w:left="1440" w:right="1440"/>
      <w:jc w:val="center"/>
    </w:pPr>
    <w:rPr>
      <w:rFonts w:eastAsia="Times New Roman"/>
      <w:b/>
      <w:i/>
      <w:sz w:val="20"/>
      <w:lang w:eastAsia="en-US"/>
    </w:rPr>
  </w:style>
  <w:style w:type="paragraph" w:customStyle="1" w:styleId="Formal">
    <w:name w:val="Formal"/>
    <w:basedOn w:val="Normal"/>
    <w:qFormat/>
    <w:rsid w:val="006C7B06"/>
    <w:pPr>
      <w:tabs>
        <w:tab w:val="left" w:pos="567"/>
        <w:tab w:val="left" w:pos="1134"/>
        <w:tab w:val="left" w:pos="1701"/>
        <w:tab w:val="left" w:pos="2268"/>
        <w:tab w:val="left" w:pos="2835"/>
        <w:tab w:val="left" w:pos="3402"/>
        <w:tab w:val="left" w:pos="3969"/>
        <w:tab w:val="left" w:pos="4536"/>
        <w:tab w:val="left" w:pos="5103"/>
        <w:tab w:val="left" w:pos="5670"/>
      </w:tabs>
      <w:spacing w:before="0" w:after="160" w:line="259" w:lineRule="auto"/>
    </w:pPr>
    <w:rPr>
      <w:rFonts w:ascii="Courier New" w:eastAsia="SimSun" w:hAnsi="Courier New"/>
      <w:sz w:val="20"/>
      <w:lang w:eastAsia="en-US"/>
    </w:rPr>
  </w:style>
  <w:style w:type="paragraph" w:customStyle="1" w:styleId="Normalbeforetable">
    <w:name w:val="Normal before table"/>
    <w:basedOn w:val="Normal"/>
    <w:qFormat/>
    <w:rsid w:val="006C7B06"/>
    <w:pPr>
      <w:keepNext/>
      <w:spacing w:after="120" w:line="259" w:lineRule="auto"/>
    </w:pPr>
    <w:rPr>
      <w:rFonts w:eastAsia="????"/>
      <w:szCs w:val="24"/>
      <w:lang w:val="en-GB" w:eastAsia="en-US"/>
    </w:rPr>
  </w:style>
  <w:style w:type="paragraph" w:customStyle="1" w:styleId="enumlev1">
    <w:name w:val="enumlev1"/>
    <w:basedOn w:val="Normal"/>
    <w:rsid w:val="006C7B06"/>
    <w:pPr>
      <w:tabs>
        <w:tab w:val="left" w:pos="794"/>
        <w:tab w:val="left" w:pos="1191"/>
        <w:tab w:val="left" w:pos="1588"/>
        <w:tab w:val="left" w:pos="1985"/>
      </w:tabs>
      <w:overflowPunct w:val="0"/>
      <w:autoSpaceDE w:val="0"/>
      <w:autoSpaceDN w:val="0"/>
      <w:adjustRightInd w:val="0"/>
      <w:spacing w:before="80" w:after="160" w:line="259" w:lineRule="auto"/>
      <w:ind w:left="794" w:hanging="794"/>
      <w:textAlignment w:val="baseline"/>
    </w:pPr>
    <w:rPr>
      <w:rFonts w:eastAsia="Times New Roman"/>
      <w:lang w:val="en-GB" w:eastAsia="en-US"/>
    </w:rPr>
  </w:style>
  <w:style w:type="paragraph" w:customStyle="1" w:styleId="enumlev2">
    <w:name w:val="enumlev2"/>
    <w:basedOn w:val="enumlev1"/>
    <w:rsid w:val="006C7B06"/>
    <w:pPr>
      <w:ind w:left="1191" w:hanging="397"/>
    </w:pPr>
  </w:style>
  <w:style w:type="paragraph" w:customStyle="1" w:styleId="enumlev3">
    <w:name w:val="enumlev3"/>
    <w:basedOn w:val="enumlev2"/>
    <w:qFormat/>
    <w:rsid w:val="006C7B06"/>
    <w:pPr>
      <w:ind w:left="1588"/>
    </w:pPr>
  </w:style>
  <w:style w:type="paragraph" w:customStyle="1" w:styleId="TOCHeading1">
    <w:name w:val="TOC Heading1"/>
    <w:basedOn w:val="Heading1"/>
    <w:next w:val="Normal"/>
    <w:uiPriority w:val="39"/>
    <w:unhideWhenUsed/>
    <w:qFormat/>
    <w:rsid w:val="006C7B06"/>
    <w:pPr>
      <w:keepLines/>
      <w:numPr>
        <w:numId w:val="0"/>
      </w:numPr>
      <w:spacing w:after="160" w:line="259" w:lineRule="auto"/>
      <w:outlineLvl w:val="9"/>
    </w:pPr>
    <w:rPr>
      <w:rFonts w:asciiTheme="majorHAnsi" w:eastAsiaTheme="majorEastAsia" w:hAnsiTheme="majorHAnsi" w:cstheme="majorBidi"/>
      <w:b w:val="0"/>
      <w:bCs w:val="0"/>
      <w:color w:val="365F91" w:themeColor="accent1" w:themeShade="BF"/>
      <w:kern w:val="0"/>
      <w:sz w:val="32"/>
      <w:lang w:val="en-US" w:eastAsia="zh-CN"/>
    </w:rPr>
  </w:style>
  <w:style w:type="paragraph" w:customStyle="1" w:styleId="ArtNo">
    <w:name w:val="Art_No"/>
    <w:basedOn w:val="Normal"/>
    <w:next w:val="Normal"/>
    <w:rsid w:val="006C7B0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character" w:customStyle="1" w:styleId="highlight">
    <w:name w:val="highlight"/>
    <w:basedOn w:val="DefaultParagraphFont"/>
    <w:rsid w:val="006C7B06"/>
  </w:style>
  <w:style w:type="character" w:customStyle="1" w:styleId="1">
    <w:name w:val="Неразрешенное упоминание1"/>
    <w:basedOn w:val="DefaultParagraphFont"/>
    <w:uiPriority w:val="99"/>
    <w:semiHidden/>
    <w:unhideWhenUsed/>
    <w:rsid w:val="006C7B06"/>
    <w:rPr>
      <w:color w:val="605E5C"/>
      <w:shd w:val="clear" w:color="auto" w:fill="E1DFDD"/>
    </w:rPr>
  </w:style>
  <w:style w:type="character" w:customStyle="1" w:styleId="EnlacedeInternet">
    <w:name w:val="Enlace de Internet"/>
    <w:rsid w:val="006C7B06"/>
    <w:rPr>
      <w:color w:val="000080"/>
      <w:u w:val="single"/>
    </w:rPr>
  </w:style>
  <w:style w:type="paragraph" w:styleId="BodyText">
    <w:name w:val="Body Text"/>
    <w:basedOn w:val="Normal"/>
    <w:link w:val="BodyTextChar"/>
    <w:rsid w:val="006C7B06"/>
    <w:pPr>
      <w:spacing w:before="0" w:after="140" w:line="276" w:lineRule="auto"/>
    </w:pPr>
    <w:rPr>
      <w:rFonts w:ascii="Liberation Serif" w:eastAsia="AR PL SungtiL GB" w:hAnsi="Liberation Serif" w:cs="Lohit Devanagari"/>
      <w:kern w:val="2"/>
      <w:szCs w:val="24"/>
      <w:lang w:val="es-ES" w:bidi="hi-IN"/>
    </w:rPr>
  </w:style>
  <w:style w:type="character" w:customStyle="1" w:styleId="BodyTextChar">
    <w:name w:val="Body Text Char"/>
    <w:basedOn w:val="DefaultParagraphFont"/>
    <w:link w:val="BodyText"/>
    <w:rsid w:val="006C7B06"/>
    <w:rPr>
      <w:rFonts w:ascii="Liberation Serif" w:eastAsia="AR PL SungtiL GB" w:hAnsi="Liberation Serif" w:cs="Lohit Devanagari"/>
      <w:kern w:val="2"/>
      <w:sz w:val="24"/>
      <w:szCs w:val="24"/>
      <w:lang w:val="es-ES" w:bidi="hi-IN"/>
    </w:rPr>
  </w:style>
  <w:style w:type="paragraph" w:styleId="EndnoteText">
    <w:name w:val="endnote text"/>
    <w:basedOn w:val="Normal"/>
    <w:link w:val="EndnoteTextChar"/>
    <w:uiPriority w:val="99"/>
    <w:semiHidden/>
    <w:unhideWhenUsed/>
    <w:rsid w:val="006C7B06"/>
    <w:pPr>
      <w:spacing w:before="0"/>
    </w:pPr>
    <w:rPr>
      <w:rFonts w:ascii="Liberation Serif" w:eastAsia="AR PL SungtiL GB" w:hAnsi="Liberation Serif" w:cs="Mangal"/>
      <w:kern w:val="2"/>
      <w:sz w:val="20"/>
      <w:szCs w:val="18"/>
      <w:lang w:bidi="hi-IN"/>
    </w:rPr>
  </w:style>
  <w:style w:type="character" w:customStyle="1" w:styleId="EndnoteTextChar">
    <w:name w:val="Endnote Text Char"/>
    <w:basedOn w:val="DefaultParagraphFont"/>
    <w:link w:val="EndnoteText"/>
    <w:uiPriority w:val="99"/>
    <w:semiHidden/>
    <w:rsid w:val="006C7B06"/>
    <w:rPr>
      <w:rFonts w:ascii="Liberation Serif" w:eastAsia="AR PL SungtiL GB" w:hAnsi="Liberation Serif" w:cs="Mangal"/>
      <w:kern w:val="2"/>
      <w:szCs w:val="18"/>
      <w:lang w:bidi="hi-IN"/>
    </w:rPr>
  </w:style>
  <w:style w:type="character" w:customStyle="1" w:styleId="st">
    <w:name w:val="st"/>
    <w:basedOn w:val="DefaultParagraphFont"/>
    <w:rsid w:val="006C7B06"/>
  </w:style>
  <w:style w:type="character" w:customStyle="1" w:styleId="apple-converted-space">
    <w:name w:val="apple-converted-space"/>
    <w:basedOn w:val="DefaultParagraphFont"/>
    <w:rsid w:val="006C7B06"/>
  </w:style>
  <w:style w:type="paragraph" w:customStyle="1" w:styleId="Footnote">
    <w:name w:val="Footnote"/>
    <w:basedOn w:val="Normal"/>
    <w:qFormat/>
    <w:rsid w:val="00CD1179"/>
    <w:pPr>
      <w:spacing w:before="0"/>
    </w:pPr>
    <w:rPr>
      <w:rFonts w:eastAsia="Times New Roman"/>
      <w:sz w:val="20"/>
      <w:lang w:val="en-GB" w:eastAsia="ja-JP"/>
    </w:rPr>
  </w:style>
  <w:style w:type="paragraph" w:customStyle="1" w:styleId="Heading40">
    <w:name w:val="Heading4"/>
    <w:basedOn w:val="Normal"/>
    <w:link w:val="Heading4Char0"/>
    <w:rsid w:val="00CD1179"/>
    <w:pPr>
      <w:spacing w:after="160" w:line="259" w:lineRule="auto"/>
    </w:pPr>
    <w:rPr>
      <w:rFonts w:eastAsia="Times New Roman"/>
      <w:b/>
      <w:color w:val="000000"/>
      <w:szCs w:val="24"/>
      <w:lang w:val="de-CH" w:eastAsia="ja-JP"/>
    </w:rPr>
  </w:style>
  <w:style w:type="character" w:customStyle="1" w:styleId="Heading4Char0">
    <w:name w:val="Heading4 Char"/>
    <w:basedOn w:val="DefaultParagraphFont"/>
    <w:link w:val="Heading40"/>
    <w:rsid w:val="00CD1179"/>
    <w:rPr>
      <w:rFonts w:eastAsia="Times New Roman"/>
      <w:b/>
      <w:color w:val="000000"/>
      <w:sz w:val="24"/>
      <w:szCs w:val="24"/>
      <w:lang w:val="de-CH" w:eastAsia="ja-JP"/>
    </w:rPr>
  </w:style>
  <w:style w:type="paragraph" w:customStyle="1" w:styleId="Heading44">
    <w:name w:val="Heading 44"/>
    <w:basedOn w:val="Heading40"/>
    <w:link w:val="Heading44Char"/>
    <w:rsid w:val="006C7B06"/>
  </w:style>
  <w:style w:type="character" w:customStyle="1" w:styleId="Heading44Char">
    <w:name w:val="Heading 44 Char"/>
    <w:basedOn w:val="Heading4Char0"/>
    <w:link w:val="Heading44"/>
    <w:rsid w:val="006C7B06"/>
    <w:rPr>
      <w:rFonts w:eastAsia="Times New Roman"/>
      <w:b/>
      <w:color w:val="000000"/>
      <w:sz w:val="24"/>
      <w:szCs w:val="24"/>
      <w:lang w:val="de-CH" w:eastAsia="ja-JP"/>
    </w:rPr>
  </w:style>
  <w:style w:type="paragraph" w:styleId="Bibliography">
    <w:name w:val="Bibliography"/>
    <w:basedOn w:val="Normal"/>
    <w:next w:val="Normal"/>
    <w:uiPriority w:val="37"/>
    <w:unhideWhenUsed/>
    <w:rsid w:val="006C7B06"/>
    <w:pPr>
      <w:spacing w:after="160" w:line="259" w:lineRule="auto"/>
    </w:pPr>
    <w:rPr>
      <w:rFonts w:eastAsiaTheme="minorEastAsia"/>
      <w:szCs w:val="24"/>
      <w:lang w:val="en-GB" w:eastAsia="ja-JP"/>
    </w:rPr>
  </w:style>
  <w:style w:type="paragraph" w:customStyle="1" w:styleId="TableParagraph">
    <w:name w:val="Table Paragraph"/>
    <w:basedOn w:val="Normal"/>
    <w:uiPriority w:val="1"/>
    <w:qFormat/>
    <w:rsid w:val="006C7B06"/>
    <w:pPr>
      <w:widowControl w:val="0"/>
      <w:autoSpaceDE w:val="0"/>
      <w:autoSpaceDN w:val="0"/>
      <w:spacing w:before="0"/>
      <w:ind w:left="1399"/>
    </w:pPr>
    <w:rPr>
      <w:rFonts w:eastAsia="Times New Roman"/>
      <w:sz w:val="22"/>
      <w:szCs w:val="22"/>
      <w:lang w:val="en-GB" w:eastAsia="en-GB" w:bidi="en-GB"/>
    </w:rPr>
  </w:style>
  <w:style w:type="character" w:styleId="UnresolvedMention">
    <w:name w:val="Unresolved Mention"/>
    <w:basedOn w:val="DefaultParagraphFont"/>
    <w:uiPriority w:val="99"/>
    <w:semiHidden/>
    <w:unhideWhenUsed/>
    <w:rsid w:val="007A3793"/>
    <w:rPr>
      <w:color w:val="605E5C"/>
      <w:shd w:val="clear" w:color="auto" w:fill="E1DFDD"/>
    </w:rPr>
  </w:style>
  <w:style w:type="character" w:customStyle="1" w:styleId="ReftextArial9pt">
    <w:name w:val="Ref_text Arial 9 pt"/>
    <w:rsid w:val="00C04FE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4199">
      <w:bodyDiv w:val="1"/>
      <w:marLeft w:val="0"/>
      <w:marRight w:val="0"/>
      <w:marTop w:val="0"/>
      <w:marBottom w:val="0"/>
      <w:divBdr>
        <w:top w:val="none" w:sz="0" w:space="0" w:color="auto"/>
        <w:left w:val="none" w:sz="0" w:space="0" w:color="auto"/>
        <w:bottom w:val="none" w:sz="0" w:space="0" w:color="auto"/>
        <w:right w:val="none" w:sz="0" w:space="0" w:color="auto"/>
      </w:divBdr>
    </w:div>
    <w:div w:id="592976006">
      <w:bodyDiv w:val="1"/>
      <w:marLeft w:val="0"/>
      <w:marRight w:val="0"/>
      <w:marTop w:val="0"/>
      <w:marBottom w:val="0"/>
      <w:divBdr>
        <w:top w:val="none" w:sz="0" w:space="0" w:color="auto"/>
        <w:left w:val="none" w:sz="0" w:space="0" w:color="auto"/>
        <w:bottom w:val="none" w:sz="0" w:space="0" w:color="auto"/>
        <w:right w:val="none" w:sz="0" w:space="0" w:color="auto"/>
      </w:divBdr>
    </w:div>
    <w:div w:id="738331465">
      <w:bodyDiv w:val="1"/>
      <w:marLeft w:val="0"/>
      <w:marRight w:val="0"/>
      <w:marTop w:val="0"/>
      <w:marBottom w:val="0"/>
      <w:divBdr>
        <w:top w:val="none" w:sz="0" w:space="0" w:color="auto"/>
        <w:left w:val="none" w:sz="0" w:space="0" w:color="auto"/>
        <w:bottom w:val="none" w:sz="0" w:space="0" w:color="auto"/>
        <w:right w:val="none" w:sz="0" w:space="0" w:color="auto"/>
      </w:divBdr>
    </w:div>
    <w:div w:id="13689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bis.org/publ/work765.htm" TargetMode="External"/><Relationship Id="rId39" Type="http://schemas.openxmlformats.org/officeDocument/2006/relationships/hyperlink" Target="https://jusletter-it.weblaw.ch/issues/2019/IRIS/blockchain-und-dsgvo_ea104cc327.html" TargetMode="External"/><Relationship Id="rId21" Type="http://schemas.openxmlformats.org/officeDocument/2006/relationships/image" Target="media/image3.png"/><Relationship Id="rId34" Type="http://schemas.openxmlformats.org/officeDocument/2006/relationships/hyperlink" Target="https://www.sciencedirect.com/science/article/pii/S0167404814001023" TargetMode="External"/><Relationship Id="rId42" Type="http://schemas.openxmlformats.org/officeDocument/2006/relationships/hyperlink" Target="https://eur-lex.europa.eu/legal-content/EN/TXT/?uri=celex%3A31995L0046" TargetMode="External"/><Relationship Id="rId47" Type="http://schemas.openxmlformats.org/officeDocument/2006/relationships/hyperlink" Target="https://papers.ssrn.com/sol3/papers.cfm?abstract_id=3311370##" TargetMode="External"/><Relationship Id="rId50" Type="http://schemas.openxmlformats.org/officeDocument/2006/relationships/hyperlink" Target="https://www.itu.int/en/ITU-T/focusgroups/dlt/Documents/d11.pdf" TargetMode="External"/><Relationship Id="rId55" Type="http://schemas.openxmlformats.org/officeDocument/2006/relationships/hyperlink" Target="https://arxiv.org/abs/quant-ph/9605043" TargetMode="External"/><Relationship Id="rId63" Type="http://schemas.openxmlformats.org/officeDocument/2006/relationships/hyperlink" Target="https://www.itu.int/rec/T-REC-X.1255" TargetMode="External"/><Relationship Id="rId68" Type="http://schemas.openxmlformats.org/officeDocument/2006/relationships/hyperlink" Target="http://justiceservices.gov.mt/DownloadDocument.aspx?app=lp&amp;itemid=29080&amp;l=1" TargetMode="External"/><Relationship Id="rId76" Type="http://schemas.openxmlformats.org/officeDocument/2006/relationships/hyperlink" Target="https://ssrn.com/abstract=2766705" TargetMode="External"/><Relationship Id="rId84" Type="http://schemas.openxmlformats.org/officeDocument/2006/relationships/hyperlink" Target="http://dx.doi.org/10.2139/ssrn.3018214.%20" TargetMode="External"/><Relationship Id="rId7" Type="http://schemas.openxmlformats.org/officeDocument/2006/relationships/settings" Target="settings.xml"/><Relationship Id="rId71" Type="http://schemas.openxmlformats.org/officeDocument/2006/relationships/hyperlink" Target="https://techgdpr.com/wp-content/uploads/2019/01/TechGDPR-assessment-of-Zcash-using-Least-Authority-P4.pdf" TargetMode="External"/><Relationship Id="rId2" Type="http://schemas.openxmlformats.org/officeDocument/2006/relationships/customXml" Target="../customXml/item2.xml"/><Relationship Id="rId16" Type="http://schemas.openxmlformats.org/officeDocument/2006/relationships/hyperlink" Target="mailto:chuburkovalex@gmail.com" TargetMode="External"/><Relationship Id="rId29" Type="http://schemas.openxmlformats.org/officeDocument/2006/relationships/hyperlink" Target="https://nvlpubs.nist.gov/nistpubs/SpecialPublications/NIST.SP.800-57pt1r4.pdf" TargetMode="External"/><Relationship Id="rId11" Type="http://schemas.openxmlformats.org/officeDocument/2006/relationships/header" Target="header1.xml"/><Relationship Id="rId24" Type="http://schemas.openxmlformats.org/officeDocument/2006/relationships/hyperlink" Target="https://mcdonaldhopkins.com/wapi/Pdf/View?url=https://mcdonaldhopkins.com/Insights/Blog/Business-Insights/2018/09/19/Blockchain-technology-Antitrust-risks-and-safeguards" TargetMode="External"/><Relationship Id="rId32" Type="http://schemas.openxmlformats.org/officeDocument/2006/relationships/hyperlink" Target="https://www.virtualcurrencyreport.com/wp-content/uploads/sites/13/2017/05/Perki%20ns-Coie-Self-Sovereign-Identity-and-Distributed-Ledger-Technology_Framing-the-Legal%20-Issues-1.pdf" TargetMode="External"/><Relationship Id="rId37" Type="http://schemas.openxmlformats.org/officeDocument/2006/relationships/hyperlink" Target="https://ec.europa.eu/isa2/eif_en" TargetMode="External"/><Relationship Id="rId40" Type="http://schemas.openxmlformats.org/officeDocument/2006/relationships/hyperlink" Target="https://theethereum.wiki/w/index.php/ERC20_Token_Standard" TargetMode="External"/><Relationship Id="rId45" Type="http://schemas.openxmlformats.org/officeDocument/2006/relationships/hyperlink" Target="https://www.eublockchainforum.eu/sites/default/files/reports/20181016_report_gdpr.pdf" TargetMode="External"/><Relationship Id="rId53" Type="http://schemas.openxmlformats.org/officeDocument/2006/relationships/hyperlink" Target="https://www.itu.int/en/journal/002/Pages/01.aspx" TargetMode="External"/><Relationship Id="rId58" Type="http://schemas.openxmlformats.org/officeDocument/2006/relationships/hyperlink" Target="https://www.iso.org/standard/57615.html" TargetMode="External"/><Relationship Id="rId66" Type="http://schemas.openxmlformats.org/officeDocument/2006/relationships/hyperlink" Target="https://erbguth.ch/2018-10-05-Unofficial-Translation-of-the-Draft-Blockchain-Act.pdf" TargetMode="External"/><Relationship Id="rId74" Type="http://schemas.openxmlformats.org/officeDocument/2006/relationships/hyperlink" Target="https://dx.doi.org/10.2139/ssrn.2842258" TargetMode="External"/><Relationship Id="rId79" Type="http://schemas.openxmlformats.org/officeDocument/2006/relationships/hyperlink" Target="https://www.sec.gov/corpfin/framework-investment-contract-analysis-digital-assets"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so.org/standard/65695.html" TargetMode="External"/><Relationship Id="rId82" Type="http://schemas.openxmlformats.org/officeDocument/2006/relationships/hyperlink" Target="https://doi.org/10.6028/NIST.IR.8202" TargetMode="Externa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www.paymentpathways.com/wp-content/uploads/2019/01/2019JAN15-Alastria-ITU-Presentation-Rio-de-Janiero.pptx" TargetMode="External"/><Relationship Id="rId27" Type="http://schemas.openxmlformats.org/officeDocument/2006/relationships/hyperlink" Target="https://www.ris.bka.gv.at/Dokumente/Erv/ERV_1999_1_165/ERV_1999_1_165.html" TargetMode="External"/><Relationship Id="rId30" Type="http://schemas.openxmlformats.org/officeDocument/2006/relationships/hyperlink" Target="https://qudev.phys.ethz.ch/content/QSIT15/Shors%20Algorithm.pdf" TargetMode="External"/><Relationship Id="rId35" Type="http://schemas.openxmlformats.org/officeDocument/2006/relationships/hyperlink" Target="https://arxiv.org/abs/1801.03294" TargetMode="External"/><Relationship Id="rId43" Type="http://schemas.openxmlformats.org/officeDocument/2006/relationships/hyperlink" Target="https://eur-lex.europa.eu/legal-content/EN/TXT/?uri=celex%3A32001R0045" TargetMode="External"/><Relationship Id="rId48" Type="http://schemas.openxmlformats.org/officeDocument/2006/relationships/hyperlink" Target="https://www.finma.ch/en/~/media/finma/dokumente/dokumentencenter/myfinma/1bewilligung/fintech/wegleitung-ico.pdf?la=en" TargetMode="External"/><Relationship Id="rId56" Type="http://schemas.openxmlformats.org/officeDocument/2006/relationships/hyperlink" Target="https://ssrn.com/abstract=3117630" TargetMode="External"/><Relationship Id="rId64" Type="http://schemas.openxmlformats.org/officeDocument/2006/relationships/hyperlink" Target="https://ieeexplore.ieee.org/document/7546538" TargetMode="External"/><Relationship Id="rId69" Type="http://schemas.openxmlformats.org/officeDocument/2006/relationships/hyperlink" Target="http://justiceservices.gov.mt/DownloadDocument.aspx?app=lp&amp;itemid=29078&amp;l=1" TargetMode="External"/><Relationship Id="rId77" Type="http://schemas.openxmlformats.org/officeDocument/2006/relationships/hyperlink" Target="https://www.wipo.int/edocs/lexdocs/laws/en/ru/ru126en.pdf" TargetMode="External"/><Relationship Id="rId8" Type="http://schemas.openxmlformats.org/officeDocument/2006/relationships/webSettings" Target="webSettings.xml"/><Relationship Id="rId51" Type="http://schemas.openxmlformats.org/officeDocument/2006/relationships/hyperlink" Target="http://www.fsc.gi/news/distributed-ledger-technology-dlt-regulatory-framework-270" TargetMode="External"/><Relationship Id="rId72" Type="http://schemas.openxmlformats.org/officeDocument/2006/relationships/hyperlink" Target="https://www.oecd.org/competition/blockchain-and-competition-policy.htm" TargetMode="External"/><Relationship Id="rId80" Type="http://schemas.openxmlformats.org/officeDocument/2006/relationships/hyperlink" Target="https://www.admin.ch/gov/en/start/documentation/media-releases.msg-id-74420.html" TargetMode="External"/><Relationship Id="rId85" Type="http://schemas.openxmlformats.org/officeDocument/2006/relationships/hyperlink" Target="https://zkproof.org/"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alexander.chuburkov@fintechru.org" TargetMode="External"/><Relationship Id="rId25" Type="http://schemas.openxmlformats.org/officeDocument/2006/relationships/hyperlink" Target="https://www.pdpjournals.com/docs/88197.pdf" TargetMode="External"/><Relationship Id="rId33" Type="http://schemas.openxmlformats.org/officeDocument/2006/relationships/hyperlink" Target="https://www.cnil.fr/sites/default/files/atoms/files/la_blockchain.pdf" TargetMode="External"/><Relationship Id="rId38" Type="http://schemas.openxmlformats.org/officeDocument/2006/relationships/hyperlink" Target="https://erbguth.ch/ZD12-2017.pdf" TargetMode="External"/><Relationship Id="rId46" Type="http://schemas.openxmlformats.org/officeDocument/2006/relationships/hyperlink" Target="https://tools.ietf.org/html/rfc7469" TargetMode="External"/><Relationship Id="rId59" Type="http://schemas.openxmlformats.org/officeDocument/2006/relationships/hyperlink" Target="https://www.iso.org/standard/60544.html" TargetMode="External"/><Relationship Id="rId67" Type="http://schemas.openxmlformats.org/officeDocument/2006/relationships/hyperlink" Target="https://content.iospress.com/articles/information-services-and-use/isu180021" TargetMode="External"/><Relationship Id="rId20" Type="http://schemas.openxmlformats.org/officeDocument/2006/relationships/footer" Target="footer5.xml"/><Relationship Id="rId41" Type="http://schemas.openxmlformats.org/officeDocument/2006/relationships/hyperlink" Target="https://www.etsi.org/deliver/etsi_en/319100_319199/31910201/01.01.01_60/en_31910201v010101p.pdf" TargetMode="External"/><Relationship Id="rId54" Type="http://schemas.openxmlformats.org/officeDocument/2006/relationships/hyperlink" Target="https://mydigitalpublication.com/publication/?i=572762&amp;article_id=3335313&amp;view=articleBrowser&amp;ver=html5#{&quot;issue_id&quot;:572762,&quot;view&quot;:&quot;articleBrowser&quot;,&quot;article_id&quot;:&quot;3335313&quot;}" TargetMode="External"/><Relationship Id="rId62" Type="http://schemas.openxmlformats.org/officeDocument/2006/relationships/hyperlink" Target="https://www.itu.int/rec/T-REC-X.509" TargetMode="External"/><Relationship Id="rId70" Type="http://schemas.openxmlformats.org/officeDocument/2006/relationships/hyperlink" Target="http://justiceservices.gov.mt/DownloadDocument.aspx?app=lp&amp;itemid=29079&amp;l=1" TargetMode="External"/><Relationship Id="rId75" Type="http://schemas.openxmlformats.org/officeDocument/2006/relationships/hyperlink" Target="https://www.jbs.cam.ac.uk/fileadmin/user_upload/research/centres/alternative-finance/downloads/2018-10-26-conceptualising-dlt-systems.pdf" TargetMode="External"/><Relationship Id="rId83" Type="http://schemas.openxmlformats.org/officeDocument/2006/relationships/hyperlink" Target="https://www.coindesk.com/chinas-supreme-court-recognizes-blockchain-evidence-as-legally-bindin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dlt/Documents/d41.pdf" TargetMode="External"/><Relationship Id="rId23" Type="http://schemas.openxmlformats.org/officeDocument/2006/relationships/hyperlink" Target="https://www.researchgate.net/publication/329147152_Making_Bitcoin_Legal_26th_International_Workshop_Cambridge_UK_March_19-21_2018_Revised_Selected_Papers" TargetMode="External"/><Relationship Id="rId28" Type="http://schemas.openxmlformats.org/officeDocument/2006/relationships/hyperlink" Target="http://essay.utwente.nl/71274" TargetMode="External"/><Relationship Id="rId36" Type="http://schemas.openxmlformats.org/officeDocument/2006/relationships/hyperlink" Target="https://medium.com/eu-copyright-reform/killing-parody-killing-memes-killing-the-internet-b864df222047" TargetMode="External"/><Relationship Id="rId49" Type="http://schemas.openxmlformats.org/officeDocument/2006/relationships/hyperlink" Target="https://www.finra.org/sites/default/files/FINRA_Blockchain_Report.pdf" TargetMode="External"/><Relationship Id="rId57" Type="http://schemas.openxmlformats.org/officeDocument/2006/relationships/hyperlink" Target="https://www.iso.org/standard/56916.html" TargetMode="External"/><Relationship Id="rId10" Type="http://schemas.openxmlformats.org/officeDocument/2006/relationships/endnotes" Target="endnotes.xml"/><Relationship Id="rId31" Type="http://schemas.openxmlformats.org/officeDocument/2006/relationships/hyperlink" Target="https://bundesblock.de/de/new-position-paper-self-sovereign-identity-defined/" TargetMode="External"/><Relationship Id="rId44" Type="http://schemas.openxmlformats.org/officeDocument/2006/relationships/hyperlink" Target="https://eur-lex.europa.eu/legal-content/EN/TXT/PDF/?uri=CELEX:62001CJ0101&amp;from=EN" TargetMode="External"/><Relationship Id="rId52" Type="http://schemas.openxmlformats.org/officeDocument/2006/relationships/hyperlink" Target="https://nvlpubs.nist.gov/nistpubs/SpecialPublications/NIST.SP.800-63b.pdf" TargetMode="External"/><Relationship Id="rId60" Type="http://schemas.openxmlformats.org/officeDocument/2006/relationships/hyperlink" Target="https://www.iso.org/standard/73207.html" TargetMode="External"/><Relationship Id="rId65" Type="http://schemas.openxmlformats.org/officeDocument/2006/relationships/hyperlink" Target="https://tools.ietf.org/html/rfc6962" TargetMode="External"/><Relationship Id="rId73" Type="http://schemas.openxmlformats.org/officeDocument/2006/relationships/hyperlink" Target="https://web.archive.org/web/20170228200009/http:/blog.augur.net/code-is-law/" TargetMode="External"/><Relationship Id="rId78" Type="http://schemas.openxmlformats.org/officeDocument/2006/relationships/hyperlink" Target="https://dx.doi.org/10.2139/ssrn.2885241" TargetMode="External"/><Relationship Id="rId81" Type="http://schemas.openxmlformats.org/officeDocument/2006/relationships/hyperlink" Target="https://www.paymentpathways.com/wp-content/uploads/2019/07/2019JUL17-CKM-Framework-Description-for-Sub%20group-IV-Appendix-I.docx" TargetMode="External"/><Relationship Id="rId86"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33509E7837444B6B514B31BF23AC1" ma:contentTypeVersion="1" ma:contentTypeDescription="Create a new document." ma:contentTypeScope="" ma:versionID="91de2a1f2be40386beb0d3f60b9a89dc">
  <xsd:schema xmlns:xsd="http://www.w3.org/2001/XMLSchema" xmlns:xs="http://www.w3.org/2001/XMLSchema" xmlns:p="http://schemas.microsoft.com/office/2006/metadata/properties" xmlns:ns2="64d8393d-0026-4b35-9d5b-d6bda7539b41" targetNamespace="http://schemas.microsoft.com/office/2006/metadata/properties" ma:root="true" ma:fieldsID="aaeac23471e0d548d9a1e79642b9cf8c" ns2:_="">
    <xsd:import namespace="64d8393d-0026-4b35-9d5b-d6bda7539b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393d-0026-4b35-9d5b-d6bda7539b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0F8E0-F38B-471A-99BE-07123C514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393d-0026-4b35-9d5b-d6bda753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8CA5E-AE96-4215-8FEA-432F975B6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9AED62-9493-4577-AC19-FD22FE91DFFA}">
  <ds:schemaRefs>
    <ds:schemaRef ds:uri="http://schemas.microsoft.com/sharepoint/v3/contenttype/forms"/>
  </ds:schemaRefs>
</ds:datastoreItem>
</file>

<file path=customXml/itemProps4.xml><?xml version="1.0" encoding="utf-8"?>
<ds:datastoreItem xmlns:ds="http://schemas.openxmlformats.org/officeDocument/2006/customXml" ds:itemID="{E8B8E955-41F6-4B87-B645-1458342F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34</Pages>
  <Words>14684</Words>
  <Characters>89869</Characters>
  <Application>Microsoft Office Word</Application>
  <DocSecurity>0</DocSecurity>
  <Lines>1872</Lines>
  <Paragraphs>950</Paragraphs>
  <ScaleCrop>false</ScaleCrop>
  <HeadingPairs>
    <vt:vector size="2" baseType="variant">
      <vt:variant>
        <vt:lpstr>Title</vt:lpstr>
      </vt:variant>
      <vt:variant>
        <vt:i4>1</vt:i4>
      </vt:variant>
    </vt:vector>
  </HeadingPairs>
  <TitlesOfParts>
    <vt:vector size="1" baseType="lpstr">
      <vt:lpstr>Technical Paper HSTP.DLT-RF: Distributed ledger technologies: Regulatory framework</vt:lpstr>
    </vt:vector>
  </TitlesOfParts>
  <Manager>ITU-T</Manager>
  <Company>International Telecommunication Union (ITU)</Company>
  <LinksUpToDate>false</LinksUpToDate>
  <CharactersWithSpaces>103603</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 HSTP.DLT-RF: Distributed ledger technologies: Regulatory framework</dc:title>
  <dc:creator>ITU-T FG DLT</dc:creator>
  <cp:keywords>DLT; distributed ledger technology; ledger; blockchain; framework; regulation; policy</cp:keywords>
  <dc:description>SG16-TD369/Plen (2019-10) Att.1. Edited by SCN, 2019-11-04.</dc:description>
  <cp:lastModifiedBy>SG16</cp:lastModifiedBy>
  <cp:revision>22</cp:revision>
  <cp:lastPrinted>2019-11-04T12:45:00Z</cp:lastPrinted>
  <dcterms:created xsi:type="dcterms:W3CDTF">2019-10-04T08:04:00Z</dcterms:created>
  <dcterms:modified xsi:type="dcterms:W3CDTF">2019-11-04T12:45:00Z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0x01010098933509E7837444B6B514B31BF23AC1</vt:lpwstr>
  </property>
</Properties>
</file>