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4"/>
        <w:tblW w:w="0" w:type="auto"/>
        <w:tblLook w:val="00A0"/>
      </w:tblPr>
      <w:tblGrid>
        <w:gridCol w:w="9576"/>
      </w:tblGrid>
      <w:tr w:rsidR="007C5024" w:rsidRPr="001D6714">
        <w:trPr>
          <w:trHeight w:val="1018"/>
        </w:trPr>
        <w:tc>
          <w:tcPr>
            <w:tcW w:w="9576" w:type="dxa"/>
            <w:shd w:val="clear" w:color="auto" w:fill="92D050"/>
            <w:vAlign w:val="center"/>
          </w:tcPr>
          <w:p w:rsidR="007C5024" w:rsidRPr="00C41C0A" w:rsidRDefault="007C5024" w:rsidP="00FF1CCC">
            <w:pPr>
              <w:spacing w:before="180" w:after="180"/>
              <w:jc w:val="center"/>
              <w:rPr>
                <w:b/>
                <w:bCs/>
                <w:color w:val="000000"/>
                <w:sz w:val="28"/>
                <w:szCs w:val="28"/>
              </w:rPr>
            </w:pPr>
            <w:r w:rsidRPr="00C41C0A">
              <w:rPr>
                <w:b/>
                <w:bCs/>
                <w:color w:val="000000"/>
                <w:sz w:val="28"/>
                <w:szCs w:val="28"/>
              </w:rPr>
              <w:t>The 5</w:t>
            </w:r>
            <w:r w:rsidRPr="00C41C0A">
              <w:rPr>
                <w:b/>
                <w:bCs/>
                <w:color w:val="000000"/>
                <w:sz w:val="28"/>
                <w:szCs w:val="28"/>
                <w:vertAlign w:val="superscript"/>
              </w:rPr>
              <w:t>th</w:t>
            </w:r>
            <w:r w:rsidRPr="00C41C0A">
              <w:rPr>
                <w:b/>
                <w:bCs/>
                <w:color w:val="000000"/>
                <w:sz w:val="28"/>
                <w:szCs w:val="28"/>
              </w:rPr>
              <w:t xml:space="preserve"> ITU symposium “ICT, the environment and Climate Change”</w:t>
            </w:r>
          </w:p>
          <w:p w:rsidR="007C5024" w:rsidRPr="001D6714" w:rsidRDefault="007C5024" w:rsidP="00FF1CCC">
            <w:pPr>
              <w:spacing w:before="180" w:after="180"/>
              <w:jc w:val="center"/>
              <w:rPr>
                <w:i/>
                <w:iCs/>
                <w:color w:val="000000"/>
                <w:sz w:val="22"/>
                <w:szCs w:val="22"/>
              </w:rPr>
            </w:pPr>
            <w:r w:rsidRPr="00C41C0A">
              <w:rPr>
                <w:b/>
                <w:bCs/>
                <w:i/>
                <w:iCs/>
                <w:color w:val="000000"/>
                <w:sz w:val="28"/>
                <w:szCs w:val="28"/>
              </w:rPr>
              <w:t xml:space="preserve">2-3 November, </w:t>
            </w:r>
            <w:smartTag w:uri="urn:schemas-microsoft-com:office:smarttags" w:element="place">
              <w:smartTag w:uri="urn:schemas-microsoft-com:office:smarttags" w:element="City">
                <w:r w:rsidRPr="00C41C0A">
                  <w:rPr>
                    <w:b/>
                    <w:bCs/>
                    <w:i/>
                    <w:iCs/>
                    <w:color w:val="000000"/>
                    <w:sz w:val="28"/>
                    <w:szCs w:val="28"/>
                  </w:rPr>
                  <w:t>Smart Village-</w:t>
                </w:r>
              </w:smartTag>
              <w:r w:rsidRPr="00C41C0A">
                <w:rPr>
                  <w:b/>
                  <w:bCs/>
                  <w:i/>
                  <w:iCs/>
                  <w:color w:val="000000"/>
                  <w:sz w:val="28"/>
                  <w:szCs w:val="28"/>
                </w:rPr>
                <w:t xml:space="preserve"> </w:t>
              </w:r>
              <w:smartTag w:uri="urn:schemas-microsoft-com:office:smarttags" w:element="country-region">
                <w:r w:rsidRPr="00C41C0A">
                  <w:rPr>
                    <w:b/>
                    <w:bCs/>
                    <w:i/>
                    <w:iCs/>
                    <w:color w:val="000000"/>
                    <w:sz w:val="28"/>
                    <w:szCs w:val="28"/>
                  </w:rPr>
                  <w:t>Egypt</w:t>
                </w:r>
              </w:smartTag>
            </w:smartTag>
          </w:p>
        </w:tc>
      </w:tr>
      <w:tr w:rsidR="007C5024" w:rsidRPr="001D6714">
        <w:trPr>
          <w:trHeight w:val="2879"/>
        </w:trPr>
        <w:tc>
          <w:tcPr>
            <w:tcW w:w="9576" w:type="dxa"/>
            <w:vAlign w:val="center"/>
          </w:tcPr>
          <w:p w:rsidR="007C5024" w:rsidRPr="001D6714" w:rsidRDefault="007C5024" w:rsidP="00B34E05">
            <w:pPr>
              <w:jc w:val="center"/>
              <w:rPr>
                <w:b/>
                <w:bCs/>
                <w:color w:val="000000"/>
                <w:sz w:val="22"/>
                <w:szCs w:val="22"/>
              </w:rPr>
            </w:pPr>
          </w:p>
          <w:p w:rsidR="007C5024" w:rsidRPr="001D6714" w:rsidRDefault="007C5024" w:rsidP="00B34E05">
            <w:pPr>
              <w:jc w:val="center"/>
              <w:rPr>
                <w:b/>
                <w:bCs/>
                <w:color w:val="000000"/>
                <w:sz w:val="22"/>
                <w:szCs w:val="22"/>
              </w:rPr>
            </w:pPr>
          </w:p>
          <w:p w:rsidR="007C5024" w:rsidRPr="001D6714" w:rsidRDefault="007C5024" w:rsidP="00B34E05">
            <w:pPr>
              <w:jc w:val="center"/>
              <w:rPr>
                <w:b/>
                <w:bCs/>
                <w:color w:val="000000"/>
                <w:sz w:val="22"/>
                <w:szCs w:val="22"/>
              </w:rPr>
            </w:pPr>
          </w:p>
          <w:p w:rsidR="007C5024" w:rsidRPr="001D6714" w:rsidRDefault="007C5024" w:rsidP="00B34E05">
            <w:pPr>
              <w:jc w:val="center"/>
              <w:rPr>
                <w:b/>
                <w:bCs/>
                <w:color w:val="000000"/>
                <w:sz w:val="22"/>
                <w:szCs w:val="22"/>
              </w:rPr>
            </w:pPr>
          </w:p>
          <w:p w:rsidR="007C5024" w:rsidRPr="001D6714" w:rsidRDefault="007C5024" w:rsidP="00B34E05">
            <w:pPr>
              <w:jc w:val="center"/>
              <w:rPr>
                <w:b/>
                <w:bCs/>
                <w:color w:val="000000"/>
                <w:sz w:val="22"/>
                <w:szCs w:val="22"/>
              </w:rPr>
            </w:pPr>
          </w:p>
          <w:p w:rsidR="007C5024" w:rsidRPr="001D6714" w:rsidRDefault="007C5024" w:rsidP="00B34E05">
            <w:pPr>
              <w:jc w:val="center"/>
              <w:rPr>
                <w:b/>
                <w:bCs/>
                <w:color w:val="000000"/>
                <w:sz w:val="22"/>
                <w:szCs w:val="22"/>
              </w:rPr>
            </w:pPr>
          </w:p>
          <w:p w:rsidR="007C5024" w:rsidRPr="001D6714" w:rsidRDefault="007C5024" w:rsidP="00B34E05">
            <w:pPr>
              <w:jc w:val="center"/>
              <w:rPr>
                <w:b/>
                <w:bCs/>
                <w:color w:val="000000"/>
                <w:sz w:val="22"/>
                <w:szCs w:val="22"/>
              </w:rPr>
            </w:pPr>
          </w:p>
          <w:p w:rsidR="007C5024" w:rsidRPr="00FF1CCC" w:rsidRDefault="007C5024" w:rsidP="00962604">
            <w:pPr>
              <w:jc w:val="center"/>
              <w:rPr>
                <w:b/>
                <w:bCs/>
                <w:color w:val="000000"/>
                <w:sz w:val="40"/>
                <w:szCs w:val="40"/>
              </w:rPr>
            </w:pPr>
            <w:r w:rsidRPr="00FF1CCC">
              <w:rPr>
                <w:b/>
                <w:bCs/>
                <w:color w:val="000000"/>
                <w:sz w:val="40"/>
                <w:szCs w:val="40"/>
              </w:rPr>
              <w:t>Cairo Road</w:t>
            </w:r>
            <w:r w:rsidR="00CD6332">
              <w:rPr>
                <w:b/>
                <w:bCs/>
                <w:color w:val="000000"/>
                <w:sz w:val="40"/>
                <w:szCs w:val="40"/>
              </w:rPr>
              <w:t>m</w:t>
            </w:r>
            <w:r w:rsidRPr="00FF1CCC">
              <w:rPr>
                <w:b/>
                <w:bCs/>
                <w:color w:val="000000"/>
                <w:sz w:val="40"/>
                <w:szCs w:val="40"/>
              </w:rPr>
              <w:t>ap</w:t>
            </w:r>
          </w:p>
          <w:p w:rsidR="007C5024" w:rsidRPr="001D6714" w:rsidRDefault="007C5024" w:rsidP="00B34E05">
            <w:pPr>
              <w:jc w:val="center"/>
              <w:rPr>
                <w:b/>
                <w:bCs/>
                <w:color w:val="000000"/>
                <w:sz w:val="22"/>
                <w:szCs w:val="22"/>
              </w:rPr>
            </w:pPr>
            <w:r w:rsidRPr="00FF1CCC">
              <w:rPr>
                <w:b/>
                <w:bCs/>
                <w:color w:val="000000"/>
                <w:sz w:val="40"/>
                <w:szCs w:val="40"/>
              </w:rPr>
              <w:t>“</w:t>
            </w:r>
            <w:proofErr w:type="spellStart"/>
            <w:r w:rsidRPr="00FF1CCC">
              <w:rPr>
                <w:b/>
                <w:bCs/>
                <w:color w:val="000000"/>
                <w:sz w:val="40"/>
                <w:szCs w:val="40"/>
              </w:rPr>
              <w:t>ICTs</w:t>
            </w:r>
            <w:proofErr w:type="spellEnd"/>
            <w:r w:rsidRPr="00FF1CCC">
              <w:rPr>
                <w:b/>
                <w:bCs/>
                <w:color w:val="000000"/>
                <w:sz w:val="40"/>
                <w:szCs w:val="40"/>
              </w:rPr>
              <w:t xml:space="preserve"> and Environmental Sustainability”</w:t>
            </w:r>
          </w:p>
        </w:tc>
      </w:tr>
    </w:tbl>
    <w:p w:rsidR="007C5024" w:rsidRPr="001D6714" w:rsidRDefault="007C5024" w:rsidP="000C10C4">
      <w:pPr>
        <w:numPr>
          <w:ilvl w:val="0"/>
          <w:numId w:val="4"/>
        </w:numPr>
        <w:spacing w:before="360" w:after="120"/>
        <w:ind w:left="425" w:right="1072" w:hanging="425"/>
        <w:jc w:val="both"/>
        <w:rPr>
          <w:color w:val="000000"/>
          <w:sz w:val="22"/>
          <w:szCs w:val="22"/>
        </w:rPr>
      </w:pPr>
      <w:r w:rsidRPr="001D6714">
        <w:rPr>
          <w:b/>
          <w:bCs/>
          <w:color w:val="000000"/>
          <w:sz w:val="22"/>
          <w:szCs w:val="22"/>
        </w:rPr>
        <w:br w:type="page"/>
      </w:r>
      <w:r w:rsidRPr="001D6714">
        <w:rPr>
          <w:b/>
          <w:bCs/>
          <w:color w:val="000000"/>
          <w:sz w:val="22"/>
          <w:szCs w:val="22"/>
        </w:rPr>
        <w:lastRenderedPageBreak/>
        <w:t xml:space="preserve"> Introduction</w:t>
      </w:r>
      <w:r w:rsidRPr="001D6714">
        <w:rPr>
          <w:color w:val="000000"/>
          <w:sz w:val="22"/>
          <w:szCs w:val="22"/>
        </w:rPr>
        <w:t xml:space="preserve"> </w:t>
      </w:r>
    </w:p>
    <w:p w:rsidR="007C5024" w:rsidRPr="001D6714" w:rsidRDefault="007C5024" w:rsidP="00456B2A">
      <w:pPr>
        <w:snapToGrid w:val="0"/>
        <w:spacing w:before="120" w:after="120"/>
        <w:jc w:val="both"/>
        <w:rPr>
          <w:sz w:val="22"/>
          <w:szCs w:val="22"/>
        </w:rPr>
      </w:pPr>
      <w:r w:rsidRPr="001D6714">
        <w:rPr>
          <w:sz w:val="22"/>
          <w:szCs w:val="22"/>
        </w:rPr>
        <w:t>The impact of human activities on the environment – and on climate change in particular – are issues of growing concern confronting life on Earth. Improving environmental performance, tackling global warming, enhancing resource management, building capacities</w:t>
      </w:r>
      <w:r w:rsidR="00FC7129" w:rsidRPr="001D6714">
        <w:rPr>
          <w:sz w:val="22"/>
          <w:szCs w:val="22"/>
        </w:rPr>
        <w:t>, achieving sustainable development,</w:t>
      </w:r>
      <w:r w:rsidRPr="001D6714">
        <w:rPr>
          <w:sz w:val="22"/>
          <w:szCs w:val="22"/>
        </w:rPr>
        <w:t xml:space="preserve">, and raising awareness are among the main global challenges that must be urgently addressed. Information and Communication Technologies (ICTs) have proven to have a key role in </w:t>
      </w:r>
      <w:r w:rsidR="006C15D3" w:rsidRPr="001D6714">
        <w:rPr>
          <w:sz w:val="22"/>
          <w:szCs w:val="22"/>
        </w:rPr>
        <w:t xml:space="preserve">assisting society in </w:t>
      </w:r>
      <w:r w:rsidRPr="001D6714">
        <w:rPr>
          <w:sz w:val="22"/>
          <w:szCs w:val="22"/>
        </w:rPr>
        <w:t xml:space="preserve">mitigating and adapting to climate change. </w:t>
      </w:r>
    </w:p>
    <w:p w:rsidR="007C5024" w:rsidRPr="001D6714" w:rsidRDefault="007C5024" w:rsidP="000C10C4">
      <w:pPr>
        <w:snapToGrid w:val="0"/>
        <w:spacing w:before="120" w:after="120"/>
        <w:jc w:val="both"/>
        <w:rPr>
          <w:sz w:val="22"/>
          <w:szCs w:val="22"/>
        </w:rPr>
      </w:pPr>
      <w:r w:rsidRPr="001D6714">
        <w:rPr>
          <w:sz w:val="22"/>
          <w:szCs w:val="22"/>
        </w:rPr>
        <w:t xml:space="preserve">ICTs are now embedded in almost all sectors of the global society and economy. The digital revolution and proliferation of ICTs have changed people’s lives dramatically and boosted economic growth. The ICT industry is responsible for around 2-3% of the global Green House Gases (GHG) emissions. On the other hand, ICT </w:t>
      </w:r>
      <w:r w:rsidR="006C15D3" w:rsidRPr="001D6714">
        <w:rPr>
          <w:sz w:val="22"/>
          <w:szCs w:val="22"/>
        </w:rPr>
        <w:t xml:space="preserve">solutions </w:t>
      </w:r>
      <w:r w:rsidRPr="001D6714">
        <w:rPr>
          <w:sz w:val="22"/>
          <w:szCs w:val="22"/>
        </w:rPr>
        <w:t xml:space="preserve">have </w:t>
      </w:r>
      <w:r w:rsidR="00104034" w:rsidRPr="001D6714">
        <w:rPr>
          <w:sz w:val="22"/>
          <w:szCs w:val="22"/>
        </w:rPr>
        <w:t xml:space="preserve">a </w:t>
      </w:r>
      <w:r w:rsidRPr="001D6714">
        <w:rPr>
          <w:sz w:val="22"/>
          <w:szCs w:val="22"/>
        </w:rPr>
        <w:t xml:space="preserve">large potential to enhance performance across the economy and society to </w:t>
      </w:r>
      <w:r w:rsidR="00C43E71" w:rsidRPr="001D6714">
        <w:rPr>
          <w:sz w:val="22"/>
          <w:szCs w:val="22"/>
        </w:rPr>
        <w:t xml:space="preserve">reduce </w:t>
      </w:r>
      <w:r w:rsidRPr="001D6714">
        <w:rPr>
          <w:sz w:val="22"/>
          <w:szCs w:val="22"/>
        </w:rPr>
        <w:t>the remaining 97-98%</w:t>
      </w:r>
      <w:r w:rsidR="006C15D3" w:rsidRPr="001D6714">
        <w:rPr>
          <w:sz w:val="22"/>
          <w:szCs w:val="22"/>
        </w:rPr>
        <w:t xml:space="preserve"> of emissions and enhance performance across all sectors of the economy</w:t>
      </w:r>
      <w:r w:rsidRPr="001D6714">
        <w:rPr>
          <w:sz w:val="22"/>
          <w:szCs w:val="22"/>
        </w:rPr>
        <w:t>.</w:t>
      </w:r>
    </w:p>
    <w:p w:rsidR="007C5024" w:rsidRPr="001D6714" w:rsidRDefault="007C5024" w:rsidP="000C10C4">
      <w:pPr>
        <w:snapToGrid w:val="0"/>
        <w:spacing w:before="120" w:after="120"/>
        <w:jc w:val="both"/>
        <w:rPr>
          <w:sz w:val="22"/>
          <w:szCs w:val="22"/>
        </w:rPr>
      </w:pPr>
      <w:r w:rsidRPr="001D6714">
        <w:rPr>
          <w:sz w:val="22"/>
          <w:szCs w:val="22"/>
        </w:rPr>
        <w:t>Governments and business associations across the world have introduced a range of programs and initiatives on ICT and the environment to address environmental challenges, particularly global warming</w:t>
      </w:r>
      <w:r w:rsidR="00104034" w:rsidRPr="001D6714">
        <w:rPr>
          <w:sz w:val="22"/>
          <w:szCs w:val="22"/>
        </w:rPr>
        <w:t xml:space="preserve">, energy production, </w:t>
      </w:r>
      <w:r w:rsidRPr="001D6714">
        <w:rPr>
          <w:sz w:val="22"/>
          <w:szCs w:val="22"/>
        </w:rPr>
        <w:t>energy use</w:t>
      </w:r>
      <w:r w:rsidR="00104034" w:rsidRPr="001D6714">
        <w:rPr>
          <w:sz w:val="22"/>
          <w:szCs w:val="22"/>
        </w:rPr>
        <w:t xml:space="preserve"> and resource depletion</w:t>
      </w:r>
      <w:r w:rsidRPr="001D6714">
        <w:rPr>
          <w:sz w:val="22"/>
          <w:szCs w:val="22"/>
        </w:rPr>
        <w:t>. But it is still too premature to claim that all countries, especially in the developing part of the world, have reached a clear level of understanding of the</w:t>
      </w:r>
      <w:r w:rsidR="00104034" w:rsidRPr="001D6714">
        <w:rPr>
          <w:sz w:val="22"/>
          <w:szCs w:val="22"/>
        </w:rPr>
        <w:t>se</w:t>
      </w:r>
      <w:r w:rsidRPr="001D6714">
        <w:rPr>
          <w:sz w:val="22"/>
          <w:szCs w:val="22"/>
        </w:rPr>
        <w:t xml:space="preserve"> threats as well as how to </w:t>
      </w:r>
      <w:r w:rsidR="00104034" w:rsidRPr="001D6714">
        <w:rPr>
          <w:sz w:val="22"/>
          <w:szCs w:val="22"/>
        </w:rPr>
        <w:t xml:space="preserve">exploit the positive potential of </w:t>
      </w:r>
      <w:r w:rsidRPr="001D6714">
        <w:rPr>
          <w:sz w:val="22"/>
          <w:szCs w:val="22"/>
        </w:rPr>
        <w:t xml:space="preserve">ICTs. </w:t>
      </w:r>
    </w:p>
    <w:p w:rsidR="000A464D" w:rsidRDefault="007C5024" w:rsidP="000A464D">
      <w:pPr>
        <w:jc w:val="both"/>
        <w:rPr>
          <w:sz w:val="22"/>
          <w:szCs w:val="22"/>
        </w:rPr>
      </w:pPr>
      <w:r w:rsidRPr="001D6714">
        <w:rPr>
          <w:sz w:val="22"/>
          <w:szCs w:val="22"/>
        </w:rPr>
        <w:t xml:space="preserve">The ITU Plenipotentiary Conference in </w:t>
      </w:r>
      <w:smartTag w:uri="urn:schemas-microsoft-com:office:smarttags" w:element="City">
        <w:smartTag w:uri="urn:schemas-microsoft-com:office:smarttags" w:element="place">
          <w:r w:rsidRPr="001D6714">
            <w:rPr>
              <w:sz w:val="22"/>
              <w:szCs w:val="22"/>
            </w:rPr>
            <w:t>Guadalajara</w:t>
          </w:r>
        </w:smartTag>
      </w:smartTag>
      <w:r w:rsidRPr="001D6714">
        <w:rPr>
          <w:sz w:val="22"/>
          <w:szCs w:val="22"/>
        </w:rPr>
        <w:t xml:space="preserve"> in October 2010 (PP-10) adopted a new resolution on the role of Telecommunications/Information and Communication Technologies on Climate Change and the Protection of the Environment</w:t>
      </w:r>
      <w:r w:rsidRPr="001D6714">
        <w:rPr>
          <w:rStyle w:val="FootnoteReference"/>
          <w:sz w:val="22"/>
          <w:szCs w:val="22"/>
        </w:rPr>
        <w:footnoteReference w:id="1"/>
      </w:r>
      <w:r w:rsidRPr="001D6714">
        <w:rPr>
          <w:sz w:val="22"/>
          <w:szCs w:val="22"/>
        </w:rPr>
        <w:t xml:space="preserve">.  This identifies the need to assist developing countries </w:t>
      </w:r>
      <w:r w:rsidR="00104034" w:rsidRPr="001D6714">
        <w:rPr>
          <w:sz w:val="22"/>
          <w:szCs w:val="22"/>
        </w:rPr>
        <w:t xml:space="preserve">in how they can take advantage of the potential of </w:t>
      </w:r>
      <w:r w:rsidRPr="001D6714">
        <w:rPr>
          <w:sz w:val="22"/>
          <w:szCs w:val="22"/>
        </w:rPr>
        <w:t>ICTs to tackle climate change</w:t>
      </w:r>
      <w:r w:rsidR="00104034" w:rsidRPr="001D6714">
        <w:rPr>
          <w:sz w:val="22"/>
          <w:szCs w:val="22"/>
        </w:rPr>
        <w:t>. It also identifies the need to encourage the des</w:t>
      </w:r>
      <w:r w:rsidR="00A64B03" w:rsidRPr="001D6714">
        <w:rPr>
          <w:sz w:val="22"/>
          <w:szCs w:val="22"/>
        </w:rPr>
        <w:t xml:space="preserve">ign, implementation and use of </w:t>
      </w:r>
      <w:r w:rsidR="00104034" w:rsidRPr="001D6714">
        <w:rPr>
          <w:sz w:val="22"/>
          <w:szCs w:val="22"/>
        </w:rPr>
        <w:t>energy and resource efficient</w:t>
      </w:r>
      <w:r w:rsidR="00A636A7" w:rsidRPr="001D6714">
        <w:rPr>
          <w:sz w:val="22"/>
          <w:szCs w:val="22"/>
        </w:rPr>
        <w:t xml:space="preserve"> </w:t>
      </w:r>
      <w:r w:rsidRPr="001D6714">
        <w:rPr>
          <w:sz w:val="22"/>
          <w:szCs w:val="22"/>
        </w:rPr>
        <w:t>ICT equipment</w:t>
      </w:r>
      <w:r w:rsidR="00104034" w:rsidRPr="001D6714">
        <w:rPr>
          <w:sz w:val="22"/>
          <w:szCs w:val="22"/>
        </w:rPr>
        <w:t xml:space="preserve"> and solution</w:t>
      </w:r>
      <w:r w:rsidR="00140DDF" w:rsidRPr="001D6714">
        <w:rPr>
          <w:sz w:val="22"/>
          <w:szCs w:val="22"/>
        </w:rPr>
        <w:t>s</w:t>
      </w:r>
      <w:r w:rsidRPr="001D6714">
        <w:rPr>
          <w:sz w:val="22"/>
          <w:szCs w:val="22"/>
        </w:rPr>
        <w:t>, in order to promote a clean and safe environment.</w:t>
      </w:r>
    </w:p>
    <w:p w:rsidR="000A464D" w:rsidRDefault="000A464D" w:rsidP="000A464D">
      <w:pPr>
        <w:jc w:val="both"/>
        <w:rPr>
          <w:sz w:val="22"/>
          <w:szCs w:val="22"/>
        </w:rPr>
      </w:pPr>
    </w:p>
    <w:p w:rsidR="000A464D" w:rsidRPr="000A464D" w:rsidRDefault="000A464D" w:rsidP="000A464D">
      <w:pPr>
        <w:jc w:val="both"/>
      </w:pPr>
      <w:r>
        <w:t>A</w:t>
      </w:r>
      <w:r w:rsidRPr="006F27D3">
        <w:t>n increasing number of governments</w:t>
      </w:r>
      <w:r>
        <w:t xml:space="preserve"> in the Middle East North Africa region</w:t>
      </w:r>
      <w:r w:rsidRPr="006F27D3">
        <w:t xml:space="preserve">, including the Egyptian government, </w:t>
      </w:r>
      <w:r>
        <w:t xml:space="preserve">have adopted ambitious plans in smart or green </w:t>
      </w:r>
      <w:r w:rsidRPr="006F27D3">
        <w:t>ICTs</w:t>
      </w:r>
      <w:r>
        <w:t xml:space="preserve">.  This has taken place in cooperation with key stakeholders, seeking to ensure that Green ICTs become an </w:t>
      </w:r>
      <w:r w:rsidRPr="006F27D3">
        <w:t xml:space="preserve">integral part of </w:t>
      </w:r>
      <w:r>
        <w:t xml:space="preserve">sustainable green growth. </w:t>
      </w:r>
    </w:p>
    <w:p w:rsidR="007C5024" w:rsidRPr="001D6714" w:rsidRDefault="007C5024" w:rsidP="000C10C4">
      <w:pPr>
        <w:snapToGrid w:val="0"/>
        <w:spacing w:before="120" w:after="120"/>
        <w:jc w:val="both"/>
        <w:rPr>
          <w:sz w:val="22"/>
          <w:szCs w:val="22"/>
        </w:rPr>
      </w:pPr>
      <w:r w:rsidRPr="001D6714">
        <w:rPr>
          <w:sz w:val="22"/>
          <w:szCs w:val="22"/>
        </w:rPr>
        <w:t>The 5</w:t>
      </w:r>
      <w:r w:rsidRPr="001D6714">
        <w:rPr>
          <w:sz w:val="22"/>
          <w:szCs w:val="22"/>
          <w:vertAlign w:val="superscript"/>
        </w:rPr>
        <w:t>th</w:t>
      </w:r>
      <w:r w:rsidRPr="001D6714">
        <w:rPr>
          <w:sz w:val="22"/>
          <w:szCs w:val="22"/>
        </w:rPr>
        <w:t xml:space="preserve"> ITU symposium on “</w:t>
      </w:r>
      <w:r w:rsidRPr="001D6714">
        <w:rPr>
          <w:i/>
          <w:iCs/>
          <w:sz w:val="22"/>
          <w:szCs w:val="22"/>
        </w:rPr>
        <w:t>ICTs, the Environment and Climate Change</w:t>
      </w:r>
      <w:r w:rsidRPr="001D6714">
        <w:rPr>
          <w:sz w:val="22"/>
          <w:szCs w:val="22"/>
        </w:rPr>
        <w:t xml:space="preserve">”, hosted by the Ministry of Communications and Information Technology and the Ministry of State for Environmental Affairs, Egypt, has played an important role in raising awareness on how ICTs can be used to tackle climate change </w:t>
      </w:r>
      <w:r w:rsidR="00140DDF" w:rsidRPr="001D6714">
        <w:rPr>
          <w:sz w:val="22"/>
          <w:szCs w:val="22"/>
        </w:rPr>
        <w:t xml:space="preserve">throughout the developing world and </w:t>
      </w:r>
      <w:r w:rsidRPr="001D6714">
        <w:rPr>
          <w:sz w:val="22"/>
          <w:szCs w:val="22"/>
        </w:rPr>
        <w:t>the African continent</w:t>
      </w:r>
      <w:r w:rsidR="00140DDF" w:rsidRPr="001D6714">
        <w:rPr>
          <w:sz w:val="22"/>
          <w:szCs w:val="22"/>
        </w:rPr>
        <w:t xml:space="preserve"> and </w:t>
      </w:r>
      <w:r w:rsidR="00A066C9">
        <w:rPr>
          <w:sz w:val="22"/>
          <w:szCs w:val="22"/>
        </w:rPr>
        <w:t>Arab States Region</w:t>
      </w:r>
      <w:r w:rsidR="00140DDF" w:rsidRPr="001D6714">
        <w:rPr>
          <w:sz w:val="22"/>
          <w:szCs w:val="22"/>
        </w:rPr>
        <w:t xml:space="preserve"> in particular</w:t>
      </w:r>
      <w:r w:rsidRPr="001D6714">
        <w:rPr>
          <w:sz w:val="22"/>
          <w:szCs w:val="22"/>
        </w:rPr>
        <w:t>.</w:t>
      </w:r>
      <w:r w:rsidR="003F0B52" w:rsidRPr="001D6714">
        <w:rPr>
          <w:sz w:val="22"/>
          <w:szCs w:val="22"/>
        </w:rPr>
        <w:t xml:space="preserve"> </w:t>
      </w:r>
      <w:r w:rsidRPr="001D6714">
        <w:rPr>
          <w:sz w:val="22"/>
          <w:szCs w:val="22"/>
        </w:rPr>
        <w:t xml:space="preserve">The agenda of the Symposium including a list of speakers can be found at: </w:t>
      </w:r>
    </w:p>
    <w:p w:rsidR="003D7818" w:rsidRDefault="001E32A2" w:rsidP="00523576">
      <w:pPr>
        <w:snapToGrid w:val="0"/>
        <w:spacing w:before="120" w:after="120"/>
        <w:jc w:val="both"/>
      </w:pPr>
      <w:hyperlink r:id="rId7" w:history="1">
        <w:r w:rsidR="007C5024" w:rsidRPr="001D6714">
          <w:rPr>
            <w:rStyle w:val="Hyperlink"/>
            <w:sz w:val="22"/>
            <w:szCs w:val="22"/>
          </w:rPr>
          <w:t>http://www.itu.int/ITU-T/worksem/climatechange/201011/programme.html</w:t>
        </w:r>
      </w:hyperlink>
    </w:p>
    <w:p w:rsidR="00140DDF" w:rsidRPr="001D6714" w:rsidRDefault="00140DDF" w:rsidP="000C10C4">
      <w:pPr>
        <w:snapToGrid w:val="0"/>
        <w:spacing w:before="120" w:after="120"/>
        <w:jc w:val="both"/>
        <w:rPr>
          <w:sz w:val="22"/>
          <w:szCs w:val="22"/>
        </w:rPr>
      </w:pPr>
      <w:r w:rsidRPr="001D6714">
        <w:rPr>
          <w:sz w:val="22"/>
          <w:szCs w:val="22"/>
        </w:rPr>
        <w:t xml:space="preserve">As such, this roadmap has been prepared for government policy makers and ICT stakeholders at all levels to create greater understanding of the positive role that ICTs can </w:t>
      </w:r>
      <w:r w:rsidR="008A0A79" w:rsidRPr="001D6714">
        <w:rPr>
          <w:sz w:val="22"/>
          <w:szCs w:val="22"/>
        </w:rPr>
        <w:t>play in</w:t>
      </w:r>
      <w:r w:rsidRPr="001D6714">
        <w:rPr>
          <w:sz w:val="22"/>
          <w:szCs w:val="22"/>
        </w:rPr>
        <w:t xml:space="preserve"> enhancing environmental sustainability.</w:t>
      </w:r>
    </w:p>
    <w:p w:rsidR="007C5024" w:rsidRPr="001D6714" w:rsidRDefault="007C5024" w:rsidP="000A464D">
      <w:pPr>
        <w:numPr>
          <w:ilvl w:val="0"/>
          <w:numId w:val="4"/>
        </w:numPr>
        <w:spacing w:before="360" w:after="120"/>
        <w:ind w:left="425" w:right="1072" w:hanging="425"/>
        <w:jc w:val="both"/>
        <w:rPr>
          <w:b/>
          <w:bCs/>
          <w:color w:val="000000"/>
          <w:sz w:val="22"/>
          <w:szCs w:val="22"/>
        </w:rPr>
      </w:pPr>
      <w:smartTag w:uri="urn:schemas-microsoft-com:office:smarttags" w:element="City">
        <w:smartTag w:uri="urn:schemas-microsoft-com:office:smarttags" w:element="place">
          <w:r w:rsidRPr="001D6714">
            <w:rPr>
              <w:b/>
              <w:bCs/>
              <w:color w:val="000000"/>
              <w:sz w:val="22"/>
              <w:szCs w:val="22"/>
            </w:rPr>
            <w:t>Cairo</w:t>
          </w:r>
        </w:smartTag>
      </w:smartTag>
      <w:r w:rsidRPr="001D6714">
        <w:rPr>
          <w:b/>
          <w:bCs/>
          <w:color w:val="000000"/>
          <w:sz w:val="22"/>
          <w:szCs w:val="22"/>
        </w:rPr>
        <w:t xml:space="preserve"> Road</w:t>
      </w:r>
      <w:r w:rsidR="000A464D">
        <w:rPr>
          <w:b/>
          <w:bCs/>
          <w:color w:val="000000"/>
          <w:sz w:val="22"/>
          <w:szCs w:val="22"/>
        </w:rPr>
        <w:t>m</w:t>
      </w:r>
      <w:r w:rsidRPr="001D6714">
        <w:rPr>
          <w:b/>
          <w:bCs/>
          <w:color w:val="000000"/>
          <w:sz w:val="22"/>
          <w:szCs w:val="22"/>
        </w:rPr>
        <w:t>ap on “ICTs and Environmental Sustainability”</w:t>
      </w:r>
      <w:r w:rsidRPr="001D6714">
        <w:rPr>
          <w:rStyle w:val="FootnoteReference"/>
          <w:color w:val="000000"/>
          <w:sz w:val="22"/>
          <w:szCs w:val="22"/>
        </w:rPr>
        <w:t xml:space="preserve"> </w:t>
      </w:r>
      <w:bookmarkStart w:id="0" w:name="_Ref275966327"/>
      <w:r w:rsidRPr="001D6714">
        <w:rPr>
          <w:rStyle w:val="FootnoteReference"/>
          <w:color w:val="000000"/>
          <w:sz w:val="22"/>
          <w:szCs w:val="22"/>
        </w:rPr>
        <w:footnoteReference w:id="2"/>
      </w:r>
      <w:bookmarkEnd w:id="0"/>
    </w:p>
    <w:p w:rsidR="007C5024" w:rsidRPr="001D6714" w:rsidRDefault="007C5024" w:rsidP="0071293A">
      <w:pPr>
        <w:autoSpaceDE w:val="0"/>
        <w:autoSpaceDN w:val="0"/>
        <w:adjustRightInd w:val="0"/>
        <w:jc w:val="both"/>
        <w:rPr>
          <w:color w:val="000000"/>
          <w:sz w:val="22"/>
          <w:szCs w:val="22"/>
          <w:lang w:eastAsia="zh-CN"/>
        </w:rPr>
      </w:pPr>
      <w:r w:rsidRPr="001D6714">
        <w:rPr>
          <w:color w:val="000000"/>
          <w:sz w:val="22"/>
          <w:szCs w:val="22"/>
          <w:lang w:eastAsia="zh-CN"/>
        </w:rPr>
        <w:t>For countries – whether developed or developing – the</w:t>
      </w:r>
      <w:r w:rsidR="00F031EF" w:rsidRPr="001D6714">
        <w:rPr>
          <w:color w:val="000000"/>
          <w:sz w:val="22"/>
          <w:szCs w:val="22"/>
          <w:lang w:eastAsia="zh-CN"/>
        </w:rPr>
        <w:t>re is a need to</w:t>
      </w:r>
      <w:r w:rsidRPr="001D6714">
        <w:rPr>
          <w:color w:val="000000"/>
          <w:sz w:val="22"/>
          <w:szCs w:val="22"/>
          <w:lang w:eastAsia="zh-CN"/>
        </w:rPr>
        <w:t xml:space="preserve"> understand the </w:t>
      </w:r>
      <w:r w:rsidR="00F031EF" w:rsidRPr="001D6714">
        <w:rPr>
          <w:color w:val="000000"/>
          <w:sz w:val="22"/>
          <w:szCs w:val="22"/>
          <w:lang w:eastAsia="zh-CN"/>
        </w:rPr>
        <w:t xml:space="preserve">importance and impact </w:t>
      </w:r>
      <w:r w:rsidR="00584FA9" w:rsidRPr="001D6714">
        <w:rPr>
          <w:color w:val="000000"/>
          <w:sz w:val="22"/>
          <w:szCs w:val="22"/>
          <w:lang w:eastAsia="zh-CN"/>
        </w:rPr>
        <w:t xml:space="preserve">of </w:t>
      </w:r>
      <w:r w:rsidRPr="001D6714">
        <w:rPr>
          <w:color w:val="000000"/>
          <w:sz w:val="22"/>
          <w:szCs w:val="22"/>
          <w:lang w:eastAsia="zh-CN"/>
        </w:rPr>
        <w:t xml:space="preserve">the environment and climate change </w:t>
      </w:r>
      <w:r w:rsidR="00F031EF" w:rsidRPr="001D6714">
        <w:rPr>
          <w:color w:val="000000"/>
          <w:sz w:val="22"/>
          <w:szCs w:val="22"/>
          <w:lang w:eastAsia="zh-CN"/>
        </w:rPr>
        <w:t xml:space="preserve">by </w:t>
      </w:r>
      <w:r w:rsidRPr="001D6714">
        <w:rPr>
          <w:color w:val="000000"/>
          <w:sz w:val="22"/>
          <w:szCs w:val="22"/>
          <w:lang w:eastAsia="zh-CN"/>
        </w:rPr>
        <w:t xml:space="preserve"> national authorities</w:t>
      </w:r>
      <w:r w:rsidR="00584FA9" w:rsidRPr="001D6714">
        <w:rPr>
          <w:color w:val="000000"/>
          <w:sz w:val="22"/>
          <w:szCs w:val="22"/>
          <w:lang w:eastAsia="zh-CN"/>
        </w:rPr>
        <w:t xml:space="preserve">, </w:t>
      </w:r>
      <w:r w:rsidRPr="001D6714">
        <w:rPr>
          <w:color w:val="000000"/>
          <w:sz w:val="22"/>
          <w:szCs w:val="22"/>
          <w:lang w:eastAsia="zh-CN"/>
        </w:rPr>
        <w:t xml:space="preserve">the public and the country’s development </w:t>
      </w:r>
      <w:r w:rsidR="00D810F1" w:rsidRPr="001D6714">
        <w:rPr>
          <w:color w:val="000000"/>
          <w:sz w:val="22"/>
          <w:szCs w:val="22"/>
          <w:lang w:eastAsia="zh-CN"/>
        </w:rPr>
        <w:t>stakeholders</w:t>
      </w:r>
      <w:r w:rsidR="003844DB">
        <w:rPr>
          <w:color w:val="000000"/>
          <w:sz w:val="22"/>
          <w:szCs w:val="22"/>
          <w:lang w:eastAsia="zh-CN"/>
        </w:rPr>
        <w:t xml:space="preserve">. </w:t>
      </w:r>
      <w:r w:rsidRPr="001D6714">
        <w:rPr>
          <w:color w:val="000000"/>
          <w:sz w:val="22"/>
          <w:szCs w:val="22"/>
          <w:lang w:eastAsia="zh-CN"/>
        </w:rPr>
        <w:t xml:space="preserve">It is also important to understand the specific country </w:t>
      </w:r>
      <w:r w:rsidR="00140DDF" w:rsidRPr="001D6714">
        <w:rPr>
          <w:color w:val="000000"/>
          <w:sz w:val="22"/>
          <w:szCs w:val="22"/>
          <w:lang w:eastAsia="zh-CN"/>
        </w:rPr>
        <w:t>risks associated</w:t>
      </w:r>
      <w:r w:rsidRPr="001D6714">
        <w:rPr>
          <w:color w:val="000000"/>
          <w:sz w:val="22"/>
          <w:szCs w:val="22"/>
          <w:lang w:eastAsia="zh-CN"/>
        </w:rPr>
        <w:t xml:space="preserve"> with </w:t>
      </w:r>
      <w:r w:rsidRPr="001D6714">
        <w:rPr>
          <w:color w:val="000000"/>
          <w:sz w:val="22"/>
          <w:szCs w:val="22"/>
          <w:lang w:eastAsia="zh-CN"/>
        </w:rPr>
        <w:lastRenderedPageBreak/>
        <w:t>environmental</w:t>
      </w:r>
      <w:r w:rsidR="00140DDF" w:rsidRPr="001D6714">
        <w:rPr>
          <w:color w:val="000000"/>
          <w:sz w:val="22"/>
          <w:szCs w:val="22"/>
          <w:lang w:eastAsia="zh-CN"/>
        </w:rPr>
        <w:t xml:space="preserve"> degradation</w:t>
      </w:r>
      <w:r w:rsidRPr="001D6714">
        <w:rPr>
          <w:color w:val="000000"/>
          <w:sz w:val="22"/>
          <w:szCs w:val="22"/>
          <w:lang w:eastAsia="zh-CN"/>
        </w:rPr>
        <w:t xml:space="preserve"> and climate change.  Similar approaches are required to help understand the opportunities</w:t>
      </w:r>
      <w:r w:rsidR="00AE739B" w:rsidRPr="001D6714">
        <w:rPr>
          <w:color w:val="000000"/>
          <w:sz w:val="22"/>
          <w:szCs w:val="22"/>
          <w:lang w:eastAsia="zh-CN"/>
        </w:rPr>
        <w:t xml:space="preserve"> and risks</w:t>
      </w:r>
      <w:r w:rsidRPr="001D6714">
        <w:rPr>
          <w:color w:val="000000"/>
          <w:sz w:val="22"/>
          <w:szCs w:val="22"/>
          <w:lang w:eastAsia="zh-CN"/>
        </w:rPr>
        <w:t xml:space="preserve"> associated with the greater use of ICTs in general and for managing the environment in particular – within the context of limiting the overall risks associated with climate change.</w:t>
      </w:r>
    </w:p>
    <w:p w:rsidR="007C5024" w:rsidRPr="001D6714" w:rsidRDefault="007C5024" w:rsidP="000C10C4">
      <w:pPr>
        <w:snapToGrid w:val="0"/>
        <w:spacing w:before="120" w:after="120"/>
        <w:jc w:val="both"/>
        <w:rPr>
          <w:color w:val="000000"/>
          <w:sz w:val="22"/>
          <w:szCs w:val="22"/>
          <w:lang w:eastAsia="zh-CN"/>
        </w:rPr>
      </w:pPr>
      <w:r w:rsidRPr="001D6714">
        <w:rPr>
          <w:color w:val="000000"/>
          <w:sz w:val="22"/>
          <w:szCs w:val="22"/>
        </w:rPr>
        <w:t>Based on discussions at the Symposium, the following steps and actions</w:t>
      </w:r>
      <w:r w:rsidRPr="001D6714">
        <w:rPr>
          <w:rStyle w:val="FootnoteReference"/>
          <w:color w:val="000000"/>
          <w:sz w:val="22"/>
          <w:szCs w:val="22"/>
        </w:rPr>
        <w:footnoteReference w:id="3"/>
      </w:r>
      <w:r w:rsidRPr="001D6714">
        <w:rPr>
          <w:color w:val="000000"/>
          <w:sz w:val="22"/>
          <w:szCs w:val="22"/>
        </w:rPr>
        <w:t xml:space="preserve"> are recommended as a roadmap to </w:t>
      </w:r>
      <w:r w:rsidRPr="001D6714">
        <w:rPr>
          <w:color w:val="000000"/>
          <w:sz w:val="22"/>
          <w:szCs w:val="22"/>
          <w:lang w:eastAsia="zh-CN"/>
        </w:rPr>
        <w:t>enhance the capacities of countries and jurisdictions to use ICTs in support of the environment, i.e. in support of environmental awareness raising, environmental research and management, etc.</w:t>
      </w:r>
      <w:r w:rsidR="00584FA9" w:rsidRPr="001D6714">
        <w:rPr>
          <w:color w:val="000000"/>
          <w:sz w:val="22"/>
          <w:szCs w:val="22"/>
          <w:lang w:eastAsia="zh-CN"/>
        </w:rPr>
        <w:t xml:space="preserve"> These steps and actions are aimed at improving environmental performance associated directly with the development, production, use and disposal of ICTs themselves, </w:t>
      </w:r>
      <w:r w:rsidR="00FA7DAB" w:rsidRPr="001D6714">
        <w:rPr>
          <w:color w:val="000000"/>
          <w:sz w:val="22"/>
          <w:szCs w:val="22"/>
          <w:lang w:eastAsia="zh-CN"/>
        </w:rPr>
        <w:t xml:space="preserve">the wider enabling impacts of ICTs in other areas including buildings and urban systems, transport and power generation and distribution, and in contributing to systemic behavioural change.  </w:t>
      </w:r>
      <w:r w:rsidR="00584FA9" w:rsidRPr="001D6714">
        <w:rPr>
          <w:color w:val="000000"/>
          <w:sz w:val="22"/>
          <w:szCs w:val="22"/>
          <w:lang w:eastAsia="zh-CN"/>
        </w:rPr>
        <w:t xml:space="preserve"> </w:t>
      </w:r>
    </w:p>
    <w:p w:rsidR="007C5024" w:rsidRPr="001D6714" w:rsidRDefault="007C5024" w:rsidP="000C10C4">
      <w:pPr>
        <w:snapToGrid w:val="0"/>
        <w:spacing w:before="240" w:after="120"/>
        <w:jc w:val="both"/>
        <w:rPr>
          <w:i/>
          <w:iCs/>
          <w:color w:val="000000"/>
          <w:sz w:val="22"/>
          <w:szCs w:val="22"/>
          <w:u w:val="single"/>
        </w:rPr>
      </w:pPr>
      <w:r w:rsidRPr="001D6714">
        <w:rPr>
          <w:i/>
          <w:iCs/>
          <w:color w:val="000000"/>
          <w:sz w:val="22"/>
          <w:szCs w:val="22"/>
          <w:u w:val="single"/>
        </w:rPr>
        <w:t xml:space="preserve">Step 1: Share best practices and raise awareness about the benefits associated with the use of green ICTs </w:t>
      </w:r>
    </w:p>
    <w:p w:rsidR="00584FA9" w:rsidRPr="001D6714" w:rsidRDefault="00584FA9" w:rsidP="00584FA9">
      <w:pPr>
        <w:numPr>
          <w:ilvl w:val="0"/>
          <w:numId w:val="9"/>
        </w:numPr>
        <w:snapToGrid w:val="0"/>
        <w:spacing w:before="120" w:after="120"/>
        <w:jc w:val="both"/>
        <w:rPr>
          <w:color w:val="000000"/>
          <w:sz w:val="22"/>
          <w:szCs w:val="22"/>
        </w:rPr>
      </w:pPr>
      <w:r w:rsidRPr="001D6714">
        <w:rPr>
          <w:color w:val="000000"/>
          <w:sz w:val="22"/>
          <w:szCs w:val="22"/>
        </w:rPr>
        <w:t>Encouraging and</w:t>
      </w:r>
      <w:r w:rsidR="00F031EF" w:rsidRPr="001D6714">
        <w:rPr>
          <w:color w:val="000000"/>
          <w:sz w:val="22"/>
          <w:szCs w:val="22"/>
        </w:rPr>
        <w:t>,</w:t>
      </w:r>
      <w:r w:rsidRPr="001D6714">
        <w:rPr>
          <w:color w:val="000000"/>
          <w:sz w:val="22"/>
          <w:szCs w:val="22"/>
        </w:rPr>
        <w:t xml:space="preserve"> where possible, stipulating the wide sharing of best practices and exchange of information to maximize the diffusion of green ICTs and “smart” ICT </w:t>
      </w:r>
      <w:r w:rsidR="00F031EF" w:rsidRPr="001D6714">
        <w:rPr>
          <w:color w:val="000000"/>
          <w:sz w:val="22"/>
          <w:szCs w:val="22"/>
        </w:rPr>
        <w:t xml:space="preserve">solutions </w:t>
      </w:r>
      <w:r w:rsidRPr="001D6714">
        <w:rPr>
          <w:color w:val="000000"/>
          <w:sz w:val="22"/>
          <w:szCs w:val="22"/>
        </w:rPr>
        <w:t xml:space="preserve">in the public and private sector, including information on good practices in measuring environmental impacts of ICTs, and their wider economic and social impacts. </w:t>
      </w:r>
    </w:p>
    <w:p w:rsidR="007C5024" w:rsidRPr="001D6714" w:rsidRDefault="007C5024" w:rsidP="00EA6131">
      <w:pPr>
        <w:numPr>
          <w:ilvl w:val="0"/>
          <w:numId w:val="9"/>
        </w:numPr>
        <w:snapToGrid w:val="0"/>
        <w:spacing w:before="120" w:after="120"/>
        <w:jc w:val="both"/>
        <w:rPr>
          <w:color w:val="000000"/>
          <w:sz w:val="22"/>
          <w:szCs w:val="22"/>
        </w:rPr>
      </w:pPr>
      <w:r w:rsidRPr="001D6714">
        <w:rPr>
          <w:color w:val="000000"/>
          <w:sz w:val="22"/>
          <w:szCs w:val="22"/>
        </w:rPr>
        <w:t xml:space="preserve">Promoting green ICT related education, training and skill development to meet </w:t>
      </w:r>
      <w:r w:rsidR="00747534" w:rsidRPr="001D6714">
        <w:rPr>
          <w:color w:val="000000"/>
          <w:sz w:val="22"/>
          <w:szCs w:val="22"/>
        </w:rPr>
        <w:t xml:space="preserve">the </w:t>
      </w:r>
      <w:r w:rsidRPr="001D6714">
        <w:rPr>
          <w:color w:val="000000"/>
          <w:sz w:val="22"/>
          <w:szCs w:val="22"/>
        </w:rPr>
        <w:t xml:space="preserve">demand for environmental skills and expertise at all levels. Encouraging interdisciplinary co–operation in developing green ICT education and training and building cadres in green ICTs. </w:t>
      </w:r>
    </w:p>
    <w:p w:rsidR="007C5024" w:rsidRPr="001D6714" w:rsidRDefault="007C5024" w:rsidP="000C10C4">
      <w:pPr>
        <w:numPr>
          <w:ilvl w:val="0"/>
          <w:numId w:val="9"/>
        </w:numPr>
        <w:snapToGrid w:val="0"/>
        <w:spacing w:before="120" w:after="120"/>
        <w:jc w:val="both"/>
        <w:rPr>
          <w:color w:val="000000"/>
          <w:sz w:val="22"/>
          <w:szCs w:val="22"/>
        </w:rPr>
      </w:pPr>
      <w:r w:rsidRPr="001D6714">
        <w:rPr>
          <w:color w:val="000000"/>
          <w:sz w:val="22"/>
          <w:szCs w:val="22"/>
        </w:rPr>
        <w:t xml:space="preserve">Increasing public awareness of </w:t>
      </w:r>
      <w:r w:rsidR="00747534" w:rsidRPr="001D6714">
        <w:rPr>
          <w:color w:val="000000"/>
          <w:sz w:val="22"/>
          <w:szCs w:val="22"/>
        </w:rPr>
        <w:t xml:space="preserve">the </w:t>
      </w:r>
      <w:r w:rsidRPr="001D6714">
        <w:rPr>
          <w:color w:val="000000"/>
          <w:sz w:val="22"/>
          <w:szCs w:val="22"/>
        </w:rPr>
        <w:t xml:space="preserve">environmental implications of using ICTs. Promoting widespread development and adoption of standards based on </w:t>
      </w:r>
      <w:r w:rsidR="0025604F" w:rsidRPr="001D6714">
        <w:rPr>
          <w:color w:val="000000"/>
          <w:sz w:val="22"/>
          <w:szCs w:val="22"/>
        </w:rPr>
        <w:t xml:space="preserve">a </w:t>
      </w:r>
      <w:r w:rsidRPr="001D6714">
        <w:rPr>
          <w:color w:val="000000"/>
          <w:sz w:val="22"/>
          <w:szCs w:val="22"/>
        </w:rPr>
        <w:t xml:space="preserve">life cycle </w:t>
      </w:r>
      <w:r w:rsidR="0025604F" w:rsidRPr="001D6714">
        <w:rPr>
          <w:color w:val="000000"/>
          <w:sz w:val="22"/>
          <w:szCs w:val="22"/>
        </w:rPr>
        <w:t xml:space="preserve">assessment </w:t>
      </w:r>
      <w:r w:rsidRPr="001D6714">
        <w:rPr>
          <w:color w:val="000000"/>
          <w:sz w:val="22"/>
          <w:szCs w:val="22"/>
        </w:rPr>
        <w:t>of ICT goods and ICT</w:t>
      </w:r>
      <w:r w:rsidR="0025604F" w:rsidRPr="001D6714">
        <w:rPr>
          <w:color w:val="000000"/>
          <w:sz w:val="22"/>
          <w:szCs w:val="22"/>
        </w:rPr>
        <w:t xml:space="preserve"> solutions</w:t>
      </w:r>
      <w:r w:rsidRPr="001D6714">
        <w:rPr>
          <w:color w:val="000000"/>
          <w:sz w:val="22"/>
          <w:szCs w:val="22"/>
        </w:rPr>
        <w:t xml:space="preserve">. </w:t>
      </w:r>
      <w:r w:rsidR="00747534" w:rsidRPr="001D6714">
        <w:rPr>
          <w:color w:val="000000"/>
          <w:sz w:val="22"/>
          <w:szCs w:val="22"/>
        </w:rPr>
        <w:t>M</w:t>
      </w:r>
      <w:r w:rsidRPr="001D6714">
        <w:rPr>
          <w:color w:val="000000"/>
          <w:sz w:val="22"/>
          <w:szCs w:val="22"/>
        </w:rPr>
        <w:t xml:space="preserve">aximizing knowledge of </w:t>
      </w:r>
      <w:r w:rsidR="00747534" w:rsidRPr="001D6714">
        <w:rPr>
          <w:color w:val="000000"/>
          <w:sz w:val="22"/>
          <w:szCs w:val="22"/>
        </w:rPr>
        <w:t xml:space="preserve">the </w:t>
      </w:r>
      <w:r w:rsidRPr="001D6714">
        <w:rPr>
          <w:color w:val="000000"/>
          <w:sz w:val="22"/>
          <w:szCs w:val="22"/>
        </w:rPr>
        <w:t xml:space="preserve">environmental </w:t>
      </w:r>
      <w:r w:rsidR="003D2095" w:rsidRPr="001D6714">
        <w:rPr>
          <w:color w:val="000000"/>
          <w:sz w:val="22"/>
          <w:szCs w:val="22"/>
        </w:rPr>
        <w:t>impacts</w:t>
      </w:r>
      <w:r w:rsidRPr="001D6714">
        <w:rPr>
          <w:color w:val="000000"/>
          <w:sz w:val="22"/>
          <w:szCs w:val="22"/>
        </w:rPr>
        <w:t xml:space="preserve"> of ICTs. </w:t>
      </w:r>
    </w:p>
    <w:p w:rsidR="007C5024" w:rsidRPr="001D6714" w:rsidRDefault="007C5024" w:rsidP="000C10C4">
      <w:pPr>
        <w:snapToGrid w:val="0"/>
        <w:spacing w:before="240" w:after="120"/>
        <w:jc w:val="both"/>
        <w:rPr>
          <w:i/>
          <w:iCs/>
          <w:color w:val="000000"/>
          <w:sz w:val="22"/>
          <w:szCs w:val="22"/>
          <w:u w:val="single"/>
        </w:rPr>
      </w:pPr>
      <w:r w:rsidRPr="001D6714">
        <w:rPr>
          <w:i/>
          <w:iCs/>
          <w:color w:val="000000"/>
          <w:sz w:val="22"/>
          <w:szCs w:val="22"/>
          <w:u w:val="single"/>
        </w:rPr>
        <w:t>Step 2: Demonstrate success and feasibility</w:t>
      </w:r>
    </w:p>
    <w:p w:rsidR="007C5024" w:rsidRPr="001D6714" w:rsidRDefault="007C5024" w:rsidP="000C10C4">
      <w:pPr>
        <w:numPr>
          <w:ilvl w:val="0"/>
          <w:numId w:val="9"/>
        </w:numPr>
        <w:snapToGrid w:val="0"/>
        <w:spacing w:before="120" w:after="120"/>
        <w:jc w:val="both"/>
        <w:rPr>
          <w:sz w:val="22"/>
          <w:szCs w:val="22"/>
        </w:rPr>
      </w:pPr>
      <w:r w:rsidRPr="001D6714">
        <w:rPr>
          <w:color w:val="000000"/>
          <w:sz w:val="22"/>
          <w:szCs w:val="22"/>
        </w:rPr>
        <w:t>Encouraging the development of methodologies</w:t>
      </w:r>
      <w:r w:rsidR="002A0296" w:rsidRPr="001D6714">
        <w:rPr>
          <w:color w:val="000000"/>
          <w:sz w:val="22"/>
          <w:szCs w:val="22"/>
        </w:rPr>
        <w:t xml:space="preserve"> such as the ITU-T Study Group 5  Recommendations on “ Methodologies for assessing the environmental impact of ICT” </w:t>
      </w:r>
      <w:r w:rsidRPr="001D6714">
        <w:rPr>
          <w:rStyle w:val="FootnoteReference"/>
          <w:color w:val="000000"/>
          <w:sz w:val="22"/>
          <w:szCs w:val="22"/>
        </w:rPr>
        <w:footnoteReference w:id="4"/>
      </w:r>
      <w:r w:rsidRPr="001D6714">
        <w:rPr>
          <w:color w:val="000000"/>
          <w:sz w:val="22"/>
          <w:szCs w:val="22"/>
        </w:rPr>
        <w:t xml:space="preserve"> a</w:t>
      </w:r>
      <w:r w:rsidR="002A0296" w:rsidRPr="001D6714">
        <w:rPr>
          <w:color w:val="000000"/>
          <w:sz w:val="22"/>
          <w:szCs w:val="22"/>
        </w:rPr>
        <w:t xml:space="preserve">s well as </w:t>
      </w:r>
      <w:r w:rsidRPr="001D6714">
        <w:rPr>
          <w:color w:val="000000"/>
          <w:sz w:val="22"/>
          <w:szCs w:val="22"/>
        </w:rPr>
        <w:t>indicators to measure and monitor environmental impacts along the complete ICT devices and services life cycles, including baseline measures of embedded green-house gases and green-house gas emissions.</w:t>
      </w:r>
      <w:r w:rsidR="003D2095" w:rsidRPr="001D6714">
        <w:rPr>
          <w:color w:val="000000"/>
          <w:sz w:val="22"/>
          <w:szCs w:val="22"/>
        </w:rPr>
        <w:t xml:space="preserve"> </w:t>
      </w:r>
      <w:r w:rsidRPr="001D6714">
        <w:rPr>
          <w:sz w:val="22"/>
          <w:szCs w:val="22"/>
        </w:rPr>
        <w:t xml:space="preserve">Using </w:t>
      </w:r>
      <w:r w:rsidR="003D2095" w:rsidRPr="001D6714">
        <w:rPr>
          <w:sz w:val="22"/>
          <w:szCs w:val="22"/>
        </w:rPr>
        <w:t xml:space="preserve">compatible </w:t>
      </w:r>
      <w:r w:rsidRPr="001D6714">
        <w:rPr>
          <w:sz w:val="22"/>
          <w:szCs w:val="22"/>
        </w:rPr>
        <w:t xml:space="preserve">assessments to </w:t>
      </w:r>
      <w:r w:rsidR="003D2095" w:rsidRPr="001D6714">
        <w:rPr>
          <w:sz w:val="22"/>
          <w:szCs w:val="22"/>
        </w:rPr>
        <w:t xml:space="preserve">evaluate </w:t>
      </w:r>
      <w:r w:rsidRPr="001D6714">
        <w:rPr>
          <w:sz w:val="22"/>
          <w:szCs w:val="22"/>
        </w:rPr>
        <w:t xml:space="preserve">the potential of “smart” ICT </w:t>
      </w:r>
      <w:r w:rsidR="003D2095" w:rsidRPr="001D6714">
        <w:rPr>
          <w:sz w:val="22"/>
          <w:szCs w:val="22"/>
        </w:rPr>
        <w:t xml:space="preserve">solutions </w:t>
      </w:r>
      <w:r w:rsidRPr="001D6714">
        <w:rPr>
          <w:sz w:val="22"/>
          <w:szCs w:val="22"/>
        </w:rPr>
        <w:t xml:space="preserve">and management practices </w:t>
      </w:r>
      <w:r w:rsidR="003D2095" w:rsidRPr="001D6714">
        <w:rPr>
          <w:sz w:val="22"/>
          <w:szCs w:val="22"/>
        </w:rPr>
        <w:t>(e.g. smart</w:t>
      </w:r>
      <w:r w:rsidRPr="001D6714">
        <w:rPr>
          <w:sz w:val="22"/>
          <w:szCs w:val="22"/>
        </w:rPr>
        <w:t xml:space="preserve"> transport or building management systems</w:t>
      </w:r>
      <w:r w:rsidR="003D2095" w:rsidRPr="001D6714">
        <w:rPr>
          <w:sz w:val="22"/>
          <w:szCs w:val="22"/>
        </w:rPr>
        <w:t>)</w:t>
      </w:r>
      <w:r w:rsidRPr="001D6714">
        <w:rPr>
          <w:sz w:val="22"/>
          <w:szCs w:val="22"/>
        </w:rPr>
        <w:t xml:space="preserve"> to reduce energy consumption and</w:t>
      </w:r>
      <w:r w:rsidRPr="001D6714">
        <w:rPr>
          <w:color w:val="000000"/>
          <w:sz w:val="22"/>
          <w:szCs w:val="22"/>
        </w:rPr>
        <w:t xml:space="preserve"> green-house gas </w:t>
      </w:r>
      <w:r w:rsidRPr="001D6714">
        <w:rPr>
          <w:sz w:val="22"/>
          <w:szCs w:val="22"/>
        </w:rPr>
        <w:t>emissions</w:t>
      </w:r>
      <w:r w:rsidRPr="001D6714">
        <w:rPr>
          <w:rStyle w:val="FootnoteReference"/>
          <w:sz w:val="22"/>
          <w:szCs w:val="22"/>
        </w:rPr>
        <w:footnoteReference w:id="5"/>
      </w:r>
      <w:r w:rsidRPr="001D6714">
        <w:rPr>
          <w:sz w:val="22"/>
          <w:szCs w:val="22"/>
        </w:rPr>
        <w:t>.</w:t>
      </w:r>
    </w:p>
    <w:p w:rsidR="007C5024" w:rsidRPr="001D6714" w:rsidRDefault="007C5024" w:rsidP="000C10C4">
      <w:pPr>
        <w:numPr>
          <w:ilvl w:val="0"/>
          <w:numId w:val="9"/>
        </w:numPr>
        <w:snapToGrid w:val="0"/>
        <w:spacing w:before="120" w:after="120"/>
        <w:jc w:val="both"/>
        <w:rPr>
          <w:color w:val="000000"/>
          <w:sz w:val="22"/>
          <w:szCs w:val="22"/>
        </w:rPr>
      </w:pPr>
      <w:r w:rsidRPr="001D6714">
        <w:rPr>
          <w:color w:val="000000"/>
          <w:sz w:val="22"/>
          <w:szCs w:val="22"/>
        </w:rPr>
        <w:t xml:space="preserve">Use </w:t>
      </w:r>
      <w:r w:rsidR="00CD6332">
        <w:rPr>
          <w:color w:val="000000"/>
          <w:sz w:val="22"/>
          <w:szCs w:val="22"/>
        </w:rPr>
        <w:t>pilot</w:t>
      </w:r>
      <w:r w:rsidR="00FE1EBB">
        <w:rPr>
          <w:color w:val="000000"/>
          <w:sz w:val="22"/>
          <w:szCs w:val="22"/>
        </w:rPr>
        <w:t xml:space="preserve"> and </w:t>
      </w:r>
      <w:r w:rsidRPr="001D6714">
        <w:rPr>
          <w:color w:val="000000"/>
          <w:sz w:val="22"/>
          <w:szCs w:val="22"/>
        </w:rPr>
        <w:t xml:space="preserve">flagship demonstration projects to help diffuse promising “smart” ICT </w:t>
      </w:r>
      <w:r w:rsidR="00744CDB" w:rsidRPr="001D6714">
        <w:rPr>
          <w:color w:val="000000"/>
          <w:sz w:val="22"/>
          <w:szCs w:val="22"/>
        </w:rPr>
        <w:t>solutions in</w:t>
      </w:r>
      <w:r w:rsidRPr="001D6714">
        <w:rPr>
          <w:color w:val="000000"/>
          <w:sz w:val="22"/>
          <w:szCs w:val="22"/>
        </w:rPr>
        <w:t xml:space="preserve"> sectors such as buildings, transportation and energy systems. </w:t>
      </w:r>
    </w:p>
    <w:p w:rsidR="007C5024" w:rsidRPr="001D6714" w:rsidRDefault="007C5024" w:rsidP="000C10C4">
      <w:pPr>
        <w:snapToGrid w:val="0"/>
        <w:spacing w:before="240" w:after="120"/>
        <w:jc w:val="both"/>
        <w:rPr>
          <w:i/>
          <w:iCs/>
          <w:color w:val="000000"/>
          <w:sz w:val="22"/>
          <w:szCs w:val="22"/>
          <w:u w:val="single"/>
        </w:rPr>
      </w:pPr>
      <w:r w:rsidRPr="001D6714">
        <w:rPr>
          <w:i/>
          <w:iCs/>
          <w:color w:val="000000"/>
          <w:sz w:val="22"/>
          <w:szCs w:val="22"/>
          <w:u w:val="single"/>
        </w:rPr>
        <w:t>Step 3: Engage the private sector</w:t>
      </w:r>
      <w:r w:rsidR="00FE1EBB">
        <w:rPr>
          <w:i/>
          <w:iCs/>
          <w:color w:val="000000"/>
          <w:sz w:val="22"/>
          <w:szCs w:val="22"/>
          <w:u w:val="single"/>
        </w:rPr>
        <w:t xml:space="preserve">, </w:t>
      </w:r>
      <w:r w:rsidR="0071293A" w:rsidRPr="001D6714">
        <w:rPr>
          <w:i/>
          <w:iCs/>
          <w:color w:val="000000"/>
          <w:sz w:val="22"/>
          <w:szCs w:val="22"/>
          <w:u w:val="single"/>
        </w:rPr>
        <w:t>civil society</w:t>
      </w:r>
      <w:r w:rsidR="00FE1EBB">
        <w:rPr>
          <w:i/>
          <w:iCs/>
          <w:color w:val="000000"/>
          <w:sz w:val="22"/>
          <w:szCs w:val="22"/>
          <w:u w:val="single"/>
        </w:rPr>
        <w:t xml:space="preserve"> and academic community</w:t>
      </w:r>
    </w:p>
    <w:p w:rsidR="007C5024" w:rsidRPr="001D6714" w:rsidRDefault="00FF3D09" w:rsidP="00CD6332">
      <w:pPr>
        <w:autoSpaceDE w:val="0"/>
        <w:autoSpaceDN w:val="0"/>
        <w:adjustRightInd w:val="0"/>
        <w:spacing w:before="120" w:after="120"/>
        <w:jc w:val="both"/>
        <w:rPr>
          <w:i/>
          <w:iCs/>
          <w:sz w:val="22"/>
          <w:szCs w:val="22"/>
          <w:lang w:eastAsia="zh-CN"/>
        </w:rPr>
      </w:pPr>
      <w:r>
        <w:rPr>
          <w:i/>
          <w:iCs/>
          <w:sz w:val="22"/>
          <w:szCs w:val="22"/>
          <w:lang w:eastAsia="zh-CN"/>
        </w:rPr>
        <w:t>The</w:t>
      </w:r>
      <w:r w:rsidR="008A0A79" w:rsidRPr="001D6714">
        <w:rPr>
          <w:i/>
          <w:iCs/>
          <w:sz w:val="22"/>
          <w:szCs w:val="22"/>
          <w:lang w:eastAsia="zh-CN"/>
        </w:rPr>
        <w:t xml:space="preserve"> </w:t>
      </w:r>
      <w:r w:rsidR="007C5024" w:rsidRPr="001D6714">
        <w:rPr>
          <w:i/>
          <w:iCs/>
          <w:sz w:val="22"/>
          <w:szCs w:val="22"/>
          <w:lang w:eastAsia="zh-CN"/>
        </w:rPr>
        <w:t>private secto</w:t>
      </w:r>
      <w:r w:rsidR="00FE1EBB">
        <w:rPr>
          <w:i/>
          <w:iCs/>
          <w:sz w:val="22"/>
          <w:szCs w:val="22"/>
          <w:lang w:eastAsia="zh-CN"/>
        </w:rPr>
        <w:t xml:space="preserve">r, </w:t>
      </w:r>
      <w:r>
        <w:rPr>
          <w:i/>
          <w:iCs/>
          <w:sz w:val="22"/>
          <w:szCs w:val="22"/>
          <w:lang w:eastAsia="zh-CN"/>
        </w:rPr>
        <w:t>civil society</w:t>
      </w:r>
      <w:r w:rsidR="00FE1EBB">
        <w:rPr>
          <w:i/>
          <w:iCs/>
          <w:sz w:val="22"/>
          <w:szCs w:val="22"/>
          <w:lang w:eastAsia="zh-CN"/>
        </w:rPr>
        <w:t xml:space="preserve"> and academic community</w:t>
      </w:r>
      <w:r>
        <w:rPr>
          <w:i/>
          <w:iCs/>
          <w:sz w:val="22"/>
          <w:szCs w:val="22"/>
          <w:lang w:eastAsia="zh-CN"/>
        </w:rPr>
        <w:t xml:space="preserve"> </w:t>
      </w:r>
      <w:r w:rsidR="007C5024" w:rsidRPr="001D6714">
        <w:rPr>
          <w:i/>
          <w:iCs/>
          <w:sz w:val="22"/>
          <w:szCs w:val="22"/>
          <w:lang w:eastAsia="zh-CN"/>
        </w:rPr>
        <w:t>ha</w:t>
      </w:r>
      <w:r>
        <w:rPr>
          <w:i/>
          <w:iCs/>
          <w:sz w:val="22"/>
          <w:szCs w:val="22"/>
          <w:lang w:eastAsia="zh-CN"/>
        </w:rPr>
        <w:t>ve</w:t>
      </w:r>
      <w:r w:rsidR="00490C59" w:rsidRPr="001D6714">
        <w:rPr>
          <w:i/>
          <w:iCs/>
          <w:sz w:val="22"/>
          <w:szCs w:val="22"/>
          <w:lang w:eastAsia="zh-CN"/>
        </w:rPr>
        <w:t xml:space="preserve"> a </w:t>
      </w:r>
      <w:r w:rsidR="007C5024" w:rsidRPr="001D6714">
        <w:rPr>
          <w:i/>
          <w:iCs/>
          <w:sz w:val="22"/>
          <w:szCs w:val="22"/>
          <w:lang w:eastAsia="zh-CN"/>
        </w:rPr>
        <w:t>major</w:t>
      </w:r>
      <w:r w:rsidR="00FA7DAB" w:rsidRPr="001D6714">
        <w:rPr>
          <w:i/>
          <w:iCs/>
          <w:sz w:val="22"/>
          <w:szCs w:val="22"/>
          <w:lang w:eastAsia="zh-CN"/>
        </w:rPr>
        <w:t xml:space="preserve"> role</w:t>
      </w:r>
      <w:r>
        <w:rPr>
          <w:i/>
          <w:iCs/>
          <w:sz w:val="22"/>
          <w:szCs w:val="22"/>
          <w:lang w:eastAsia="zh-CN"/>
        </w:rPr>
        <w:t>s</w:t>
      </w:r>
      <w:r w:rsidR="00FA7DAB" w:rsidRPr="001D6714">
        <w:rPr>
          <w:i/>
          <w:iCs/>
          <w:sz w:val="22"/>
          <w:szCs w:val="22"/>
          <w:lang w:eastAsia="zh-CN"/>
        </w:rPr>
        <w:t xml:space="preserve"> </w:t>
      </w:r>
      <w:r w:rsidR="007C5024" w:rsidRPr="001D6714">
        <w:rPr>
          <w:i/>
          <w:iCs/>
          <w:sz w:val="22"/>
          <w:szCs w:val="22"/>
          <w:lang w:eastAsia="zh-CN"/>
        </w:rPr>
        <w:t xml:space="preserve">in the </w:t>
      </w:r>
      <w:r w:rsidR="00490C59" w:rsidRPr="001D6714">
        <w:rPr>
          <w:i/>
          <w:iCs/>
          <w:sz w:val="22"/>
          <w:szCs w:val="22"/>
          <w:lang w:eastAsia="zh-CN"/>
        </w:rPr>
        <w:t xml:space="preserve">protection of </w:t>
      </w:r>
      <w:r w:rsidR="007C5024" w:rsidRPr="001D6714">
        <w:rPr>
          <w:i/>
          <w:iCs/>
          <w:sz w:val="22"/>
          <w:szCs w:val="22"/>
          <w:lang w:eastAsia="zh-CN"/>
        </w:rPr>
        <w:t>the environment</w:t>
      </w:r>
      <w:r w:rsidR="008A0A79" w:rsidRPr="001D6714">
        <w:rPr>
          <w:i/>
          <w:iCs/>
          <w:sz w:val="22"/>
          <w:szCs w:val="22"/>
          <w:lang w:eastAsia="zh-CN"/>
        </w:rPr>
        <w:t xml:space="preserve"> through innovation </w:t>
      </w:r>
      <w:r w:rsidR="00FA7DAB" w:rsidRPr="001D6714">
        <w:rPr>
          <w:i/>
          <w:iCs/>
          <w:sz w:val="22"/>
          <w:szCs w:val="22"/>
          <w:lang w:eastAsia="zh-CN"/>
        </w:rPr>
        <w:t>and</w:t>
      </w:r>
      <w:r w:rsidR="007C5024" w:rsidRPr="001D6714">
        <w:rPr>
          <w:i/>
          <w:iCs/>
          <w:sz w:val="22"/>
          <w:szCs w:val="22"/>
          <w:lang w:eastAsia="zh-CN"/>
        </w:rPr>
        <w:t xml:space="preserve"> making use of ICTs for sound environmental management </w:t>
      </w:r>
      <w:r w:rsidR="00CD6332">
        <w:rPr>
          <w:i/>
          <w:iCs/>
          <w:sz w:val="22"/>
          <w:szCs w:val="22"/>
          <w:lang w:eastAsia="zh-CN"/>
        </w:rPr>
        <w:t xml:space="preserve">to tackle </w:t>
      </w:r>
      <w:r w:rsidR="007C5024" w:rsidRPr="001D6714">
        <w:rPr>
          <w:i/>
          <w:iCs/>
          <w:sz w:val="22"/>
          <w:szCs w:val="22"/>
          <w:lang w:eastAsia="zh-CN"/>
        </w:rPr>
        <w:t>climate change.</w:t>
      </w:r>
    </w:p>
    <w:p w:rsidR="00873A82" w:rsidRDefault="007C5024" w:rsidP="00873A82">
      <w:pPr>
        <w:numPr>
          <w:ilvl w:val="0"/>
          <w:numId w:val="9"/>
        </w:numPr>
        <w:snapToGrid w:val="0"/>
        <w:spacing w:before="120" w:after="120"/>
        <w:jc w:val="both"/>
        <w:rPr>
          <w:color w:val="000000"/>
          <w:sz w:val="22"/>
          <w:szCs w:val="22"/>
        </w:rPr>
      </w:pPr>
      <w:r w:rsidRPr="001D6714">
        <w:rPr>
          <w:color w:val="000000"/>
          <w:sz w:val="22"/>
          <w:szCs w:val="22"/>
        </w:rPr>
        <w:lastRenderedPageBreak/>
        <w:t xml:space="preserve">Ensuring life cycle perspectives in ICT and ICT-related </w:t>
      </w:r>
      <w:r w:rsidR="00744CDB" w:rsidRPr="001D6714">
        <w:rPr>
          <w:color w:val="000000"/>
          <w:sz w:val="22"/>
          <w:szCs w:val="22"/>
        </w:rPr>
        <w:t xml:space="preserve">solutions </w:t>
      </w:r>
      <w:r w:rsidRPr="001D6714">
        <w:rPr>
          <w:color w:val="000000"/>
          <w:sz w:val="22"/>
          <w:szCs w:val="22"/>
        </w:rPr>
        <w:t xml:space="preserve">for sustainable management of natural resources and materials in production, </w:t>
      </w:r>
      <w:r w:rsidR="00490C59" w:rsidRPr="001D6714">
        <w:rPr>
          <w:color w:val="000000"/>
          <w:sz w:val="22"/>
          <w:szCs w:val="22"/>
        </w:rPr>
        <w:t>use</w:t>
      </w:r>
      <w:r w:rsidRPr="001D6714">
        <w:rPr>
          <w:color w:val="000000"/>
          <w:sz w:val="22"/>
          <w:szCs w:val="22"/>
        </w:rPr>
        <w:t xml:space="preserve">, and end-of-life phases. Promoting coherent environment-friendly </w:t>
      </w:r>
      <w:r w:rsidR="00F249D9">
        <w:rPr>
          <w:color w:val="000000"/>
          <w:sz w:val="22"/>
          <w:szCs w:val="22"/>
        </w:rPr>
        <w:t xml:space="preserve">and socially responsible </w:t>
      </w:r>
      <w:r w:rsidRPr="001D6714">
        <w:rPr>
          <w:color w:val="000000"/>
          <w:sz w:val="22"/>
          <w:szCs w:val="22"/>
        </w:rPr>
        <w:t>R&amp;D, design, production, use and disposal of ICTs, and extending their working life wherever environmentally efficient.</w:t>
      </w:r>
    </w:p>
    <w:p w:rsidR="00AB7964" w:rsidRPr="001D6714" w:rsidRDefault="00AB7964" w:rsidP="00873A82">
      <w:pPr>
        <w:numPr>
          <w:ilvl w:val="0"/>
          <w:numId w:val="9"/>
        </w:numPr>
        <w:snapToGrid w:val="0"/>
        <w:spacing w:before="120" w:after="120"/>
        <w:jc w:val="both"/>
        <w:rPr>
          <w:color w:val="000000"/>
          <w:sz w:val="22"/>
          <w:szCs w:val="22"/>
        </w:rPr>
      </w:pPr>
      <w:r>
        <w:rPr>
          <w:color w:val="000000"/>
          <w:sz w:val="22"/>
          <w:szCs w:val="22"/>
        </w:rPr>
        <w:t xml:space="preserve">Encouraging ICT Sector to invest in appropriate ICT based applications. </w:t>
      </w:r>
    </w:p>
    <w:p w:rsidR="00873A82" w:rsidRPr="001D6714" w:rsidRDefault="001D6714" w:rsidP="00873A82">
      <w:pPr>
        <w:numPr>
          <w:ilvl w:val="0"/>
          <w:numId w:val="9"/>
        </w:numPr>
        <w:snapToGrid w:val="0"/>
        <w:spacing w:before="120" w:after="120"/>
        <w:jc w:val="both"/>
        <w:rPr>
          <w:color w:val="000000"/>
          <w:sz w:val="22"/>
          <w:szCs w:val="22"/>
        </w:rPr>
      </w:pPr>
      <w:r w:rsidRPr="001D6714">
        <w:rPr>
          <w:color w:val="000000"/>
          <w:sz w:val="22"/>
          <w:szCs w:val="22"/>
        </w:rPr>
        <w:t>I</w:t>
      </w:r>
      <w:r w:rsidR="00873A82" w:rsidRPr="001D6714">
        <w:rPr>
          <w:color w:val="000000"/>
          <w:sz w:val="22"/>
          <w:szCs w:val="22"/>
        </w:rPr>
        <w:t>mplement</w:t>
      </w:r>
      <w:r w:rsidRPr="001D6714">
        <w:rPr>
          <w:color w:val="000000"/>
          <w:sz w:val="22"/>
          <w:szCs w:val="22"/>
        </w:rPr>
        <w:t>ing</w:t>
      </w:r>
      <w:r w:rsidR="00873A82" w:rsidRPr="001D6714">
        <w:rPr>
          <w:color w:val="000000"/>
          <w:sz w:val="22"/>
          <w:szCs w:val="22"/>
        </w:rPr>
        <w:t xml:space="preserve"> effectively the </w:t>
      </w:r>
      <w:r w:rsidR="00523576">
        <w:rPr>
          <w:color w:val="000000"/>
          <w:sz w:val="22"/>
          <w:szCs w:val="22"/>
        </w:rPr>
        <w:t xml:space="preserve">net </w:t>
      </w:r>
      <w:r w:rsidR="00873A82" w:rsidRPr="001D6714">
        <w:rPr>
          <w:color w:val="000000"/>
          <w:sz w:val="22"/>
          <w:szCs w:val="22"/>
        </w:rPr>
        <w:t>polluter pays principle.</w:t>
      </w:r>
    </w:p>
    <w:p w:rsidR="00873A82" w:rsidRDefault="001D6714" w:rsidP="00112876">
      <w:pPr>
        <w:numPr>
          <w:ilvl w:val="0"/>
          <w:numId w:val="9"/>
        </w:numPr>
        <w:snapToGrid w:val="0"/>
        <w:spacing w:before="120" w:after="120"/>
        <w:jc w:val="both"/>
        <w:rPr>
          <w:color w:val="000000"/>
          <w:sz w:val="22"/>
          <w:szCs w:val="22"/>
        </w:rPr>
      </w:pPr>
      <w:r w:rsidRPr="001D6714">
        <w:rPr>
          <w:color w:val="000000"/>
          <w:sz w:val="22"/>
          <w:szCs w:val="22"/>
        </w:rPr>
        <w:t>Observing</w:t>
      </w:r>
      <w:r w:rsidR="00873A82" w:rsidRPr="001D6714">
        <w:rPr>
          <w:color w:val="000000"/>
          <w:sz w:val="22"/>
          <w:szCs w:val="22"/>
        </w:rPr>
        <w:t xml:space="preserve"> the </w:t>
      </w:r>
      <w:r w:rsidR="0071293A" w:rsidRPr="001D6714">
        <w:rPr>
          <w:color w:val="000000"/>
          <w:sz w:val="22"/>
          <w:szCs w:val="22"/>
        </w:rPr>
        <w:t>existing</w:t>
      </w:r>
      <w:r w:rsidR="00C13926" w:rsidRPr="001D6714">
        <w:rPr>
          <w:color w:val="000000"/>
          <w:sz w:val="22"/>
          <w:szCs w:val="22"/>
        </w:rPr>
        <w:t xml:space="preserve"> </w:t>
      </w:r>
      <w:r w:rsidR="00873A82" w:rsidRPr="001D6714">
        <w:rPr>
          <w:color w:val="000000"/>
          <w:sz w:val="22"/>
          <w:szCs w:val="22"/>
        </w:rPr>
        <w:t xml:space="preserve">obligations under the Multilateral Environment Agreements and National Regulations pertaining to e-waste and hazardous wastes, namely the Prior Informed Consent before exportation, </w:t>
      </w:r>
      <w:r w:rsidR="00962604">
        <w:rPr>
          <w:color w:val="000000"/>
          <w:sz w:val="22"/>
          <w:szCs w:val="22"/>
        </w:rPr>
        <w:t>e</w:t>
      </w:r>
      <w:r w:rsidR="00873A82" w:rsidRPr="001D6714">
        <w:rPr>
          <w:color w:val="000000"/>
          <w:sz w:val="22"/>
          <w:szCs w:val="22"/>
        </w:rPr>
        <w:t>nsuring that the importing countries has the technical capacity</w:t>
      </w:r>
      <w:r w:rsidR="00112876">
        <w:rPr>
          <w:color w:val="000000"/>
          <w:sz w:val="22"/>
          <w:szCs w:val="22"/>
        </w:rPr>
        <w:t xml:space="preserve"> </w:t>
      </w:r>
      <w:r w:rsidR="00873A82" w:rsidRPr="001D6714">
        <w:rPr>
          <w:color w:val="000000"/>
          <w:sz w:val="22"/>
          <w:szCs w:val="22"/>
        </w:rPr>
        <w:t>to recycle and dispose e-waste in an environmental sound way</w:t>
      </w:r>
      <w:r w:rsidR="00112876">
        <w:rPr>
          <w:color w:val="000000"/>
          <w:sz w:val="22"/>
          <w:szCs w:val="22"/>
        </w:rPr>
        <w:t xml:space="preserve"> supported by technical assistance from International Organizations</w:t>
      </w:r>
      <w:r w:rsidR="00873A82" w:rsidRPr="001D6714">
        <w:rPr>
          <w:color w:val="000000"/>
          <w:sz w:val="22"/>
          <w:szCs w:val="22"/>
        </w:rPr>
        <w:t>, and the principle of.</w:t>
      </w:r>
      <w:r w:rsidR="00AB7964">
        <w:rPr>
          <w:color w:val="000000"/>
          <w:sz w:val="22"/>
          <w:szCs w:val="22"/>
        </w:rPr>
        <w:t xml:space="preserve"> </w:t>
      </w:r>
      <w:r w:rsidR="00FE1EBB">
        <w:rPr>
          <w:color w:val="000000"/>
          <w:sz w:val="22"/>
          <w:szCs w:val="22"/>
        </w:rPr>
        <w:t xml:space="preserve">extended </w:t>
      </w:r>
      <w:r w:rsidR="00962604">
        <w:rPr>
          <w:color w:val="000000"/>
          <w:sz w:val="22"/>
          <w:szCs w:val="22"/>
        </w:rPr>
        <w:t xml:space="preserve">producers </w:t>
      </w:r>
      <w:r w:rsidR="00FE1EBB">
        <w:rPr>
          <w:color w:val="000000"/>
          <w:sz w:val="22"/>
          <w:szCs w:val="22"/>
        </w:rPr>
        <w:t>responsibility</w:t>
      </w:r>
      <w:r w:rsidR="00AB7964">
        <w:rPr>
          <w:color w:val="000000"/>
          <w:sz w:val="22"/>
          <w:szCs w:val="22"/>
        </w:rPr>
        <w:t xml:space="preserve">. </w:t>
      </w:r>
    </w:p>
    <w:p w:rsidR="007C5024" w:rsidRPr="001D6714" w:rsidRDefault="007C5024" w:rsidP="000C10C4">
      <w:pPr>
        <w:keepNext/>
        <w:keepLines/>
        <w:snapToGrid w:val="0"/>
        <w:spacing w:before="240" w:after="120"/>
        <w:jc w:val="both"/>
        <w:rPr>
          <w:i/>
          <w:iCs/>
          <w:color w:val="000000"/>
          <w:sz w:val="22"/>
          <w:szCs w:val="22"/>
          <w:u w:val="single"/>
        </w:rPr>
      </w:pPr>
      <w:r w:rsidRPr="001D6714">
        <w:rPr>
          <w:i/>
          <w:iCs/>
          <w:color w:val="000000"/>
          <w:sz w:val="22"/>
          <w:szCs w:val="22"/>
          <w:u w:val="single"/>
        </w:rPr>
        <w:t xml:space="preserve">Step 4: Promoting national, regional and international cooperation </w:t>
      </w:r>
    </w:p>
    <w:p w:rsidR="00C13926" w:rsidRPr="001D6714" w:rsidRDefault="00FA7DAB" w:rsidP="00FF3D09">
      <w:pPr>
        <w:autoSpaceDE w:val="0"/>
        <w:autoSpaceDN w:val="0"/>
        <w:adjustRightInd w:val="0"/>
        <w:spacing w:before="120" w:after="120"/>
        <w:jc w:val="both"/>
        <w:rPr>
          <w:i/>
          <w:iCs/>
          <w:color w:val="000000"/>
          <w:sz w:val="22"/>
          <w:szCs w:val="22"/>
        </w:rPr>
      </w:pPr>
      <w:r w:rsidRPr="001D6714">
        <w:rPr>
          <w:i/>
          <w:iCs/>
          <w:color w:val="000000"/>
          <w:sz w:val="22"/>
          <w:szCs w:val="22"/>
        </w:rPr>
        <w:t>Cooperating at</w:t>
      </w:r>
      <w:r w:rsidR="00490C59" w:rsidRPr="001D6714">
        <w:rPr>
          <w:i/>
          <w:iCs/>
          <w:color w:val="000000"/>
          <w:sz w:val="22"/>
          <w:szCs w:val="22"/>
        </w:rPr>
        <w:t xml:space="preserve"> </w:t>
      </w:r>
      <w:r w:rsidR="00D810F1" w:rsidRPr="001D6714">
        <w:rPr>
          <w:i/>
          <w:iCs/>
          <w:color w:val="000000"/>
          <w:sz w:val="22"/>
          <w:szCs w:val="22"/>
        </w:rPr>
        <w:t>internationa</w:t>
      </w:r>
      <w:r w:rsidR="002A3F0A">
        <w:rPr>
          <w:i/>
          <w:iCs/>
          <w:color w:val="000000"/>
          <w:sz w:val="22"/>
          <w:szCs w:val="22"/>
        </w:rPr>
        <w:t xml:space="preserve">l, </w:t>
      </w:r>
      <w:r w:rsidR="00337632" w:rsidRPr="001D6714">
        <w:rPr>
          <w:i/>
          <w:iCs/>
          <w:color w:val="000000"/>
          <w:sz w:val="22"/>
          <w:szCs w:val="22"/>
        </w:rPr>
        <w:t>regional</w:t>
      </w:r>
      <w:r w:rsidR="00490C59" w:rsidRPr="001D6714">
        <w:rPr>
          <w:i/>
          <w:iCs/>
          <w:color w:val="000000"/>
          <w:sz w:val="22"/>
          <w:szCs w:val="22"/>
        </w:rPr>
        <w:t xml:space="preserve"> </w:t>
      </w:r>
      <w:r w:rsidR="002A3F0A">
        <w:rPr>
          <w:i/>
          <w:iCs/>
          <w:color w:val="000000"/>
          <w:sz w:val="22"/>
          <w:szCs w:val="22"/>
        </w:rPr>
        <w:t xml:space="preserve">and national </w:t>
      </w:r>
      <w:r w:rsidRPr="001D6714">
        <w:rPr>
          <w:i/>
          <w:iCs/>
          <w:color w:val="000000"/>
          <w:sz w:val="22"/>
          <w:szCs w:val="22"/>
        </w:rPr>
        <w:t xml:space="preserve">level to </w:t>
      </w:r>
      <w:r w:rsidR="007C5024" w:rsidRPr="001D6714">
        <w:rPr>
          <w:i/>
          <w:iCs/>
          <w:color w:val="000000"/>
          <w:sz w:val="22"/>
          <w:szCs w:val="22"/>
        </w:rPr>
        <w:t>encourage the move towards sustainable low-carbon economies, green investment and sustainable management of natural resources, as well as the development and diffusion of clean technologies and finally,</w:t>
      </w:r>
      <w:r w:rsidR="00D810F1" w:rsidRPr="001D6714">
        <w:rPr>
          <w:i/>
          <w:iCs/>
          <w:color w:val="000000"/>
          <w:sz w:val="22"/>
          <w:szCs w:val="22"/>
        </w:rPr>
        <w:t xml:space="preserve"> </w:t>
      </w:r>
      <w:r w:rsidR="006F38FB">
        <w:rPr>
          <w:i/>
          <w:iCs/>
          <w:color w:val="000000"/>
          <w:sz w:val="22"/>
          <w:szCs w:val="22"/>
        </w:rPr>
        <w:t>encouraging</w:t>
      </w:r>
      <w:r w:rsidR="002A3F0A">
        <w:rPr>
          <w:i/>
          <w:iCs/>
          <w:color w:val="000000"/>
          <w:sz w:val="22"/>
          <w:szCs w:val="22"/>
        </w:rPr>
        <w:t xml:space="preserve"> developed countries to </w:t>
      </w:r>
      <w:r w:rsidR="00D810F1" w:rsidRPr="001D6714">
        <w:rPr>
          <w:i/>
          <w:iCs/>
          <w:color w:val="000000"/>
          <w:sz w:val="22"/>
          <w:szCs w:val="22"/>
        </w:rPr>
        <w:t>support</w:t>
      </w:r>
      <w:r w:rsidR="007C5024" w:rsidRPr="001D6714">
        <w:rPr>
          <w:i/>
          <w:iCs/>
          <w:color w:val="000000"/>
          <w:sz w:val="22"/>
          <w:szCs w:val="22"/>
        </w:rPr>
        <w:t xml:space="preserve"> </w:t>
      </w:r>
      <w:r w:rsidR="00D810F1" w:rsidRPr="001D6714">
        <w:rPr>
          <w:i/>
          <w:iCs/>
          <w:color w:val="000000"/>
          <w:sz w:val="22"/>
          <w:szCs w:val="22"/>
        </w:rPr>
        <w:t xml:space="preserve">developing countries efforts including through adopting </w:t>
      </w:r>
      <w:r w:rsidR="007C5024" w:rsidRPr="001D6714">
        <w:rPr>
          <w:i/>
          <w:iCs/>
          <w:color w:val="000000"/>
          <w:sz w:val="22"/>
          <w:szCs w:val="22"/>
        </w:rPr>
        <w:t xml:space="preserve">domestic policy reform to become more pro-green growth.  </w:t>
      </w:r>
    </w:p>
    <w:p w:rsidR="00C13926" w:rsidRPr="001D6714" w:rsidRDefault="007C5024" w:rsidP="00C13926">
      <w:pPr>
        <w:numPr>
          <w:ilvl w:val="0"/>
          <w:numId w:val="15"/>
        </w:numPr>
        <w:autoSpaceDE w:val="0"/>
        <w:autoSpaceDN w:val="0"/>
        <w:adjustRightInd w:val="0"/>
        <w:spacing w:before="120" w:after="120"/>
        <w:jc w:val="both"/>
        <w:rPr>
          <w:color w:val="000000"/>
          <w:sz w:val="22"/>
          <w:szCs w:val="22"/>
        </w:rPr>
      </w:pPr>
      <w:r w:rsidRPr="001D6714">
        <w:rPr>
          <w:color w:val="000000"/>
          <w:sz w:val="22"/>
          <w:szCs w:val="22"/>
        </w:rPr>
        <w:t>Promoting co-operation and exchange of knowledge between ICT and non-ICT firms, international organizations, research institutes and governments</w:t>
      </w:r>
      <w:r w:rsidR="00FA7DAB" w:rsidRPr="001D6714">
        <w:rPr>
          <w:color w:val="000000"/>
          <w:sz w:val="22"/>
          <w:szCs w:val="22"/>
        </w:rPr>
        <w:t>, and civil society</w:t>
      </w:r>
      <w:r w:rsidRPr="001D6714">
        <w:rPr>
          <w:color w:val="000000"/>
          <w:sz w:val="22"/>
          <w:szCs w:val="22"/>
        </w:rPr>
        <w:t>.</w:t>
      </w:r>
    </w:p>
    <w:p w:rsidR="002A3F0A" w:rsidRDefault="0071293A" w:rsidP="000A464D">
      <w:pPr>
        <w:numPr>
          <w:ilvl w:val="0"/>
          <w:numId w:val="15"/>
        </w:numPr>
        <w:autoSpaceDE w:val="0"/>
        <w:autoSpaceDN w:val="0"/>
        <w:adjustRightInd w:val="0"/>
        <w:spacing w:before="120" w:after="120"/>
        <w:jc w:val="both"/>
        <w:rPr>
          <w:color w:val="000000"/>
          <w:sz w:val="22"/>
          <w:szCs w:val="22"/>
        </w:rPr>
      </w:pPr>
      <w:r w:rsidRPr="001D6714">
        <w:rPr>
          <w:color w:val="000000"/>
          <w:sz w:val="22"/>
          <w:szCs w:val="22"/>
        </w:rPr>
        <w:t xml:space="preserve">Seeking ways to </w:t>
      </w:r>
      <w:r w:rsidR="00337632" w:rsidRPr="001D6714">
        <w:rPr>
          <w:color w:val="000000"/>
          <w:sz w:val="22"/>
          <w:szCs w:val="22"/>
        </w:rPr>
        <w:t>i</w:t>
      </w:r>
      <w:r w:rsidR="00AC2666" w:rsidRPr="001D6714">
        <w:rPr>
          <w:color w:val="000000"/>
          <w:sz w:val="22"/>
          <w:szCs w:val="22"/>
        </w:rPr>
        <w:t xml:space="preserve">ntegrate ICT policies as part of the ongoing dialogue </w:t>
      </w:r>
      <w:r w:rsidR="000A464D">
        <w:rPr>
          <w:color w:val="000000"/>
          <w:sz w:val="22"/>
          <w:szCs w:val="22"/>
        </w:rPr>
        <w:t>o</w:t>
      </w:r>
      <w:r w:rsidR="00AC2666" w:rsidRPr="001D6714">
        <w:rPr>
          <w:color w:val="000000"/>
          <w:sz w:val="22"/>
          <w:szCs w:val="22"/>
        </w:rPr>
        <w:t xml:space="preserve">n climate change </w:t>
      </w:r>
      <w:r w:rsidR="000A464D">
        <w:rPr>
          <w:color w:val="000000"/>
          <w:sz w:val="22"/>
          <w:szCs w:val="22"/>
        </w:rPr>
        <w:t xml:space="preserve">within </w:t>
      </w:r>
      <w:r w:rsidR="000A464D" w:rsidRPr="001D6714">
        <w:rPr>
          <w:color w:val="000000"/>
          <w:sz w:val="22"/>
          <w:szCs w:val="22"/>
        </w:rPr>
        <w:t>international</w:t>
      </w:r>
      <w:r w:rsidR="000A464D">
        <w:rPr>
          <w:color w:val="000000"/>
          <w:sz w:val="22"/>
          <w:szCs w:val="22"/>
        </w:rPr>
        <w:t xml:space="preserve"> </w:t>
      </w:r>
      <w:r w:rsidR="00935622">
        <w:rPr>
          <w:color w:val="000000"/>
          <w:sz w:val="22"/>
          <w:szCs w:val="22"/>
        </w:rPr>
        <w:t>organizations</w:t>
      </w:r>
      <w:r w:rsidR="00AC2666" w:rsidRPr="001D6714">
        <w:rPr>
          <w:color w:val="000000"/>
          <w:sz w:val="22"/>
          <w:szCs w:val="22"/>
        </w:rPr>
        <w:t xml:space="preserve"> </w:t>
      </w:r>
      <w:r w:rsidR="00935622">
        <w:rPr>
          <w:color w:val="000000"/>
          <w:sz w:val="22"/>
          <w:szCs w:val="22"/>
        </w:rPr>
        <w:t xml:space="preserve">such as </w:t>
      </w:r>
      <w:r w:rsidR="00AC2666" w:rsidRPr="001D6714">
        <w:rPr>
          <w:color w:val="000000"/>
          <w:sz w:val="22"/>
          <w:szCs w:val="22"/>
        </w:rPr>
        <w:t>the United Nation</w:t>
      </w:r>
      <w:r w:rsidR="00A64B03" w:rsidRPr="001D6714">
        <w:rPr>
          <w:color w:val="000000"/>
          <w:sz w:val="22"/>
          <w:szCs w:val="22"/>
        </w:rPr>
        <w:t>s</w:t>
      </w:r>
      <w:r w:rsidR="00AC2666" w:rsidRPr="001D6714">
        <w:rPr>
          <w:color w:val="000000"/>
          <w:sz w:val="22"/>
          <w:szCs w:val="22"/>
        </w:rPr>
        <w:t xml:space="preserve"> Framework </w:t>
      </w:r>
      <w:r w:rsidR="00A64B03" w:rsidRPr="001D6714">
        <w:rPr>
          <w:color w:val="000000"/>
          <w:sz w:val="22"/>
          <w:szCs w:val="22"/>
        </w:rPr>
        <w:t>C</w:t>
      </w:r>
      <w:r w:rsidR="00AC2666" w:rsidRPr="001D6714">
        <w:rPr>
          <w:color w:val="000000"/>
          <w:sz w:val="22"/>
          <w:szCs w:val="22"/>
        </w:rPr>
        <w:t>onvention on Climate Change (UNFCCC).</w:t>
      </w:r>
    </w:p>
    <w:p w:rsidR="00C13926" w:rsidRPr="001D6714" w:rsidRDefault="002A3F0A" w:rsidP="002A3F0A">
      <w:pPr>
        <w:numPr>
          <w:ilvl w:val="0"/>
          <w:numId w:val="15"/>
        </w:numPr>
        <w:autoSpaceDE w:val="0"/>
        <w:autoSpaceDN w:val="0"/>
        <w:adjustRightInd w:val="0"/>
        <w:spacing w:before="120" w:after="120"/>
        <w:jc w:val="both"/>
        <w:rPr>
          <w:color w:val="000000"/>
          <w:sz w:val="22"/>
          <w:szCs w:val="22"/>
        </w:rPr>
      </w:pPr>
      <w:r>
        <w:rPr>
          <w:color w:val="000000"/>
          <w:sz w:val="22"/>
          <w:szCs w:val="22"/>
        </w:rPr>
        <w:t xml:space="preserve">Seeking </w:t>
      </w:r>
      <w:r w:rsidRPr="001D6714">
        <w:rPr>
          <w:color w:val="000000"/>
          <w:sz w:val="22"/>
          <w:szCs w:val="22"/>
        </w:rPr>
        <w:t>ways to integrate ICT</w:t>
      </w:r>
      <w:r w:rsidR="00935622">
        <w:rPr>
          <w:color w:val="000000"/>
          <w:sz w:val="22"/>
          <w:szCs w:val="22"/>
        </w:rPr>
        <w:t xml:space="preserve"> policies </w:t>
      </w:r>
      <w:r>
        <w:rPr>
          <w:color w:val="000000"/>
          <w:sz w:val="22"/>
          <w:szCs w:val="22"/>
        </w:rPr>
        <w:t>with</w:t>
      </w:r>
      <w:r w:rsidR="00935622">
        <w:rPr>
          <w:color w:val="000000"/>
          <w:sz w:val="22"/>
          <w:szCs w:val="22"/>
        </w:rPr>
        <w:t>in</w:t>
      </w:r>
      <w:r>
        <w:rPr>
          <w:color w:val="000000"/>
          <w:sz w:val="22"/>
          <w:szCs w:val="22"/>
        </w:rPr>
        <w:t xml:space="preserve"> </w:t>
      </w:r>
      <w:r w:rsidR="000A464D">
        <w:rPr>
          <w:color w:val="000000"/>
          <w:sz w:val="22"/>
          <w:szCs w:val="22"/>
        </w:rPr>
        <w:t xml:space="preserve">the </w:t>
      </w:r>
      <w:r w:rsidR="000A464D" w:rsidRPr="000A464D">
        <w:rPr>
          <w:color w:val="000000"/>
          <w:sz w:val="22"/>
          <w:szCs w:val="22"/>
        </w:rPr>
        <w:t>Intergovernmental Panel on Climate Change</w:t>
      </w:r>
      <w:r w:rsidR="000A464D">
        <w:rPr>
          <w:color w:val="000000"/>
          <w:sz w:val="22"/>
          <w:szCs w:val="22"/>
        </w:rPr>
        <w:t xml:space="preserve"> (</w:t>
      </w:r>
      <w:r>
        <w:rPr>
          <w:color w:val="000000"/>
          <w:sz w:val="22"/>
          <w:szCs w:val="22"/>
        </w:rPr>
        <w:t>IPCC</w:t>
      </w:r>
      <w:r w:rsidR="000A464D">
        <w:rPr>
          <w:color w:val="000000"/>
          <w:sz w:val="22"/>
          <w:szCs w:val="22"/>
        </w:rPr>
        <w:t>)</w:t>
      </w:r>
      <w:r>
        <w:rPr>
          <w:color w:val="000000"/>
          <w:sz w:val="22"/>
          <w:szCs w:val="22"/>
        </w:rPr>
        <w:t xml:space="preserve">. </w:t>
      </w:r>
    </w:p>
    <w:p w:rsidR="00C13926" w:rsidRPr="001D6714" w:rsidRDefault="007C5024" w:rsidP="00C13926">
      <w:pPr>
        <w:numPr>
          <w:ilvl w:val="0"/>
          <w:numId w:val="15"/>
        </w:numPr>
        <w:autoSpaceDE w:val="0"/>
        <w:autoSpaceDN w:val="0"/>
        <w:adjustRightInd w:val="0"/>
        <w:spacing w:before="120" w:after="120"/>
        <w:jc w:val="both"/>
        <w:rPr>
          <w:color w:val="000000"/>
          <w:sz w:val="22"/>
          <w:szCs w:val="22"/>
        </w:rPr>
      </w:pPr>
      <w:r w:rsidRPr="001D6714">
        <w:rPr>
          <w:color w:val="000000"/>
          <w:sz w:val="22"/>
          <w:szCs w:val="22"/>
        </w:rPr>
        <w:t xml:space="preserve">Encouraging national, regional and international </w:t>
      </w:r>
      <w:r w:rsidR="00FA7DAB" w:rsidRPr="001D6714">
        <w:rPr>
          <w:color w:val="000000"/>
          <w:sz w:val="22"/>
          <w:szCs w:val="22"/>
        </w:rPr>
        <w:t xml:space="preserve">ICT </w:t>
      </w:r>
      <w:r w:rsidRPr="001D6714">
        <w:rPr>
          <w:color w:val="000000"/>
          <w:sz w:val="22"/>
          <w:szCs w:val="22"/>
        </w:rPr>
        <w:t xml:space="preserve">cooperation for environmental sustainability, </w:t>
      </w:r>
      <w:r w:rsidR="0071293A" w:rsidRPr="001D6714">
        <w:rPr>
          <w:color w:val="000000"/>
          <w:sz w:val="22"/>
          <w:szCs w:val="22"/>
        </w:rPr>
        <w:t xml:space="preserve">enhancing </w:t>
      </w:r>
      <w:r w:rsidRPr="001D6714">
        <w:rPr>
          <w:color w:val="000000"/>
          <w:sz w:val="22"/>
          <w:szCs w:val="22"/>
        </w:rPr>
        <w:t>partnerships between developing countries</w:t>
      </w:r>
      <w:r w:rsidR="00873A82" w:rsidRPr="001D6714">
        <w:rPr>
          <w:color w:val="000000"/>
          <w:sz w:val="22"/>
          <w:szCs w:val="22"/>
        </w:rPr>
        <w:t>, and between developed and developing countries</w:t>
      </w:r>
      <w:r w:rsidRPr="001D6714">
        <w:rPr>
          <w:color w:val="000000"/>
          <w:sz w:val="22"/>
          <w:szCs w:val="22"/>
        </w:rPr>
        <w:t xml:space="preserve"> to address global environmental challenges, and strengthening international governance to better tackle global environmental challenges, increasing attention to the relationship between ICTs and the environment in development cooperation programs, and promoting more coherent policies in this respect.</w:t>
      </w:r>
    </w:p>
    <w:p w:rsidR="00873A82" w:rsidRPr="001D6714" w:rsidRDefault="00C13926" w:rsidP="00C13926">
      <w:pPr>
        <w:numPr>
          <w:ilvl w:val="0"/>
          <w:numId w:val="15"/>
        </w:numPr>
        <w:autoSpaceDE w:val="0"/>
        <w:autoSpaceDN w:val="0"/>
        <w:adjustRightInd w:val="0"/>
        <w:spacing w:before="120" w:after="120"/>
        <w:jc w:val="both"/>
        <w:rPr>
          <w:color w:val="000000"/>
          <w:sz w:val="22"/>
          <w:szCs w:val="22"/>
          <w:rtl/>
        </w:rPr>
      </w:pPr>
      <w:r w:rsidRPr="001D6714">
        <w:rPr>
          <w:color w:val="000000"/>
          <w:sz w:val="22"/>
          <w:szCs w:val="22"/>
        </w:rPr>
        <w:t>M</w:t>
      </w:r>
      <w:r w:rsidR="00873A82" w:rsidRPr="001D6714">
        <w:rPr>
          <w:color w:val="000000"/>
          <w:sz w:val="22"/>
          <w:szCs w:val="22"/>
        </w:rPr>
        <w:t>ak</w:t>
      </w:r>
      <w:r w:rsidRPr="001D6714">
        <w:rPr>
          <w:color w:val="000000"/>
          <w:sz w:val="22"/>
          <w:szCs w:val="22"/>
        </w:rPr>
        <w:t>ing</w:t>
      </w:r>
      <w:r w:rsidR="00873A82" w:rsidRPr="001D6714">
        <w:rPr>
          <w:color w:val="000000"/>
          <w:sz w:val="22"/>
          <w:szCs w:val="22"/>
        </w:rPr>
        <w:t xml:space="preserve"> available adequate financial resources to build the capacity of developing countries to better use ICT</w:t>
      </w:r>
      <w:r w:rsidR="00CC4A60" w:rsidRPr="001D6714">
        <w:rPr>
          <w:color w:val="000000"/>
          <w:sz w:val="22"/>
          <w:szCs w:val="22"/>
        </w:rPr>
        <w:t>s</w:t>
      </w:r>
      <w:r w:rsidR="00873A82" w:rsidRPr="001D6714">
        <w:rPr>
          <w:color w:val="000000"/>
          <w:sz w:val="22"/>
          <w:szCs w:val="22"/>
        </w:rPr>
        <w:t xml:space="preserve"> to </w:t>
      </w:r>
      <w:r w:rsidR="00CC4A60" w:rsidRPr="001D6714">
        <w:rPr>
          <w:color w:val="000000"/>
          <w:sz w:val="22"/>
          <w:szCs w:val="22"/>
        </w:rPr>
        <w:t>protect the environment and us</w:t>
      </w:r>
      <w:r w:rsidRPr="001D6714">
        <w:rPr>
          <w:color w:val="000000"/>
          <w:sz w:val="22"/>
          <w:szCs w:val="22"/>
        </w:rPr>
        <w:t>ing</w:t>
      </w:r>
      <w:r w:rsidR="00CC4A60" w:rsidRPr="001D6714">
        <w:rPr>
          <w:color w:val="000000"/>
          <w:sz w:val="22"/>
          <w:szCs w:val="22"/>
        </w:rPr>
        <w:t xml:space="preserve"> ICTs to </w:t>
      </w:r>
      <w:r w:rsidR="00873A82" w:rsidRPr="001D6714">
        <w:rPr>
          <w:color w:val="000000"/>
          <w:sz w:val="22"/>
          <w:szCs w:val="22"/>
        </w:rPr>
        <w:t xml:space="preserve">enhance technology transfer </w:t>
      </w:r>
      <w:r w:rsidR="00CE4737" w:rsidRPr="001D6714">
        <w:rPr>
          <w:color w:val="000000"/>
          <w:sz w:val="22"/>
          <w:szCs w:val="22"/>
        </w:rPr>
        <w:t>,diffusion and dissemination.</w:t>
      </w:r>
    </w:p>
    <w:p w:rsidR="007C5024" w:rsidRPr="001D6714" w:rsidRDefault="007C5024" w:rsidP="0070368D">
      <w:pPr>
        <w:snapToGrid w:val="0"/>
        <w:spacing w:before="240" w:after="120"/>
        <w:jc w:val="both"/>
        <w:rPr>
          <w:i/>
          <w:iCs/>
          <w:color w:val="000000"/>
          <w:sz w:val="22"/>
          <w:szCs w:val="22"/>
          <w:u w:val="single"/>
        </w:rPr>
      </w:pPr>
      <w:r w:rsidRPr="001D6714">
        <w:rPr>
          <w:i/>
          <w:iCs/>
          <w:color w:val="000000"/>
          <w:sz w:val="22"/>
          <w:szCs w:val="22"/>
          <w:u w:val="single"/>
        </w:rPr>
        <w:t>Step 5: Integrating ICT</w:t>
      </w:r>
      <w:r w:rsidR="00A33F60" w:rsidRPr="001D6714">
        <w:rPr>
          <w:i/>
          <w:iCs/>
          <w:color w:val="000000"/>
          <w:sz w:val="22"/>
          <w:szCs w:val="22"/>
          <w:u w:val="single"/>
        </w:rPr>
        <w:t>,</w:t>
      </w:r>
      <w:r w:rsidRPr="001D6714">
        <w:rPr>
          <w:i/>
          <w:iCs/>
          <w:color w:val="000000"/>
          <w:sz w:val="22"/>
          <w:szCs w:val="22"/>
          <w:u w:val="single"/>
        </w:rPr>
        <w:t xml:space="preserve"> climate</w:t>
      </w:r>
      <w:r w:rsidR="00A33F60" w:rsidRPr="001D6714">
        <w:rPr>
          <w:i/>
          <w:iCs/>
          <w:color w:val="000000"/>
          <w:sz w:val="22"/>
          <w:szCs w:val="22"/>
          <w:u w:val="single"/>
        </w:rPr>
        <w:t>,</w:t>
      </w:r>
      <w:r w:rsidRPr="001D6714">
        <w:rPr>
          <w:i/>
          <w:iCs/>
          <w:color w:val="000000"/>
          <w:sz w:val="22"/>
          <w:szCs w:val="22"/>
          <w:u w:val="single"/>
        </w:rPr>
        <w:t xml:space="preserve"> environment </w:t>
      </w:r>
      <w:r w:rsidR="00A33F60" w:rsidRPr="001D6714">
        <w:rPr>
          <w:i/>
          <w:iCs/>
          <w:color w:val="000000"/>
          <w:sz w:val="22"/>
          <w:szCs w:val="22"/>
          <w:u w:val="single"/>
        </w:rPr>
        <w:t xml:space="preserve">and energy </w:t>
      </w:r>
      <w:r w:rsidRPr="001D6714">
        <w:rPr>
          <w:i/>
          <w:iCs/>
          <w:color w:val="000000"/>
          <w:sz w:val="22"/>
          <w:szCs w:val="22"/>
          <w:u w:val="single"/>
        </w:rPr>
        <w:t>policies</w:t>
      </w:r>
    </w:p>
    <w:p w:rsidR="00C13926" w:rsidRPr="001D6714" w:rsidRDefault="00C13926" w:rsidP="001D6714">
      <w:pPr>
        <w:numPr>
          <w:ilvl w:val="0"/>
          <w:numId w:val="9"/>
        </w:numPr>
        <w:snapToGrid w:val="0"/>
        <w:spacing w:before="120" w:after="120"/>
        <w:jc w:val="both"/>
        <w:rPr>
          <w:color w:val="000000"/>
          <w:sz w:val="22"/>
          <w:szCs w:val="22"/>
        </w:rPr>
      </w:pPr>
      <w:r w:rsidRPr="001D6714">
        <w:rPr>
          <w:color w:val="000000"/>
          <w:sz w:val="22"/>
          <w:szCs w:val="22"/>
        </w:rPr>
        <w:t>B</w:t>
      </w:r>
      <w:r w:rsidR="00D810F1" w:rsidRPr="001D6714">
        <w:rPr>
          <w:color w:val="000000"/>
          <w:sz w:val="22"/>
          <w:szCs w:val="22"/>
        </w:rPr>
        <w:t xml:space="preserve">ridging the gap between ICT, environment and energy experts and policy makers, to allow the integration of </w:t>
      </w:r>
      <w:r w:rsidR="007C5024" w:rsidRPr="001D6714">
        <w:rPr>
          <w:color w:val="000000"/>
          <w:sz w:val="22"/>
          <w:szCs w:val="22"/>
        </w:rPr>
        <w:t>IC</w:t>
      </w:r>
      <w:r w:rsidR="001D6714" w:rsidRPr="001D6714">
        <w:rPr>
          <w:color w:val="000000"/>
          <w:sz w:val="22"/>
          <w:szCs w:val="22"/>
        </w:rPr>
        <w:t>T</w:t>
      </w:r>
      <w:r w:rsidR="007C5024" w:rsidRPr="001D6714">
        <w:rPr>
          <w:color w:val="000000"/>
          <w:sz w:val="22"/>
          <w:szCs w:val="22"/>
        </w:rPr>
        <w:t xml:space="preserve"> into environment and energy policies to improve environmental performance, tackle global warming, enhance energy efficiency and resource management</w:t>
      </w:r>
      <w:r w:rsidR="001D6714" w:rsidRPr="001D6714">
        <w:rPr>
          <w:color w:val="000000"/>
          <w:sz w:val="22"/>
          <w:szCs w:val="22"/>
        </w:rPr>
        <w:t>.</w:t>
      </w:r>
      <w:r w:rsidR="00D810F1" w:rsidRPr="001D6714">
        <w:rPr>
          <w:color w:val="000000"/>
          <w:sz w:val="22"/>
          <w:szCs w:val="22"/>
        </w:rPr>
        <w:t xml:space="preserve"> </w:t>
      </w:r>
    </w:p>
    <w:p w:rsidR="007C5024" w:rsidRPr="001D6714" w:rsidRDefault="007C5024" w:rsidP="00C13926">
      <w:pPr>
        <w:numPr>
          <w:ilvl w:val="0"/>
          <w:numId w:val="9"/>
        </w:numPr>
        <w:snapToGrid w:val="0"/>
        <w:spacing w:before="120" w:after="120"/>
        <w:jc w:val="both"/>
        <w:rPr>
          <w:color w:val="000000"/>
          <w:sz w:val="22"/>
          <w:szCs w:val="22"/>
        </w:rPr>
      </w:pPr>
      <w:r w:rsidRPr="001D6714">
        <w:rPr>
          <w:color w:val="000000"/>
          <w:sz w:val="22"/>
          <w:szCs w:val="22"/>
        </w:rPr>
        <w:t>Integrat</w:t>
      </w:r>
      <w:r w:rsidR="00C13926" w:rsidRPr="001D6714">
        <w:rPr>
          <w:color w:val="000000"/>
          <w:sz w:val="22"/>
          <w:szCs w:val="22"/>
        </w:rPr>
        <w:t>ing</w:t>
      </w:r>
      <w:r w:rsidRPr="001D6714">
        <w:rPr>
          <w:color w:val="000000"/>
          <w:sz w:val="22"/>
          <w:szCs w:val="22"/>
        </w:rPr>
        <w:t xml:space="preserve"> </w:t>
      </w:r>
      <w:r w:rsidR="00D810F1" w:rsidRPr="001D6714">
        <w:rPr>
          <w:color w:val="000000"/>
          <w:sz w:val="22"/>
          <w:szCs w:val="22"/>
        </w:rPr>
        <w:t xml:space="preserve">the use of ICT </w:t>
      </w:r>
      <w:r w:rsidRPr="001D6714">
        <w:rPr>
          <w:color w:val="000000"/>
          <w:sz w:val="22"/>
          <w:szCs w:val="22"/>
        </w:rPr>
        <w:t>in national adaptation plans</w:t>
      </w:r>
      <w:r w:rsidR="00D810F1" w:rsidRPr="001D6714">
        <w:rPr>
          <w:color w:val="000000"/>
          <w:sz w:val="22"/>
          <w:szCs w:val="22"/>
        </w:rPr>
        <w:t xml:space="preserve"> to</w:t>
      </w:r>
      <w:r w:rsidRPr="001D6714">
        <w:rPr>
          <w:color w:val="000000"/>
          <w:sz w:val="22"/>
          <w:szCs w:val="22"/>
        </w:rPr>
        <w:t xml:space="preserve"> make use of ICTs as an enabling tool to address the effects of climate change.</w:t>
      </w:r>
    </w:p>
    <w:p w:rsidR="007C5024" w:rsidRPr="001D6714" w:rsidRDefault="007C5024" w:rsidP="00C13926">
      <w:pPr>
        <w:numPr>
          <w:ilvl w:val="0"/>
          <w:numId w:val="9"/>
        </w:numPr>
        <w:snapToGrid w:val="0"/>
        <w:spacing w:before="120" w:after="120"/>
        <w:jc w:val="both"/>
        <w:rPr>
          <w:color w:val="000000"/>
          <w:sz w:val="22"/>
          <w:szCs w:val="22"/>
        </w:rPr>
      </w:pPr>
      <w:r w:rsidRPr="001D6714">
        <w:rPr>
          <w:color w:val="000000"/>
          <w:sz w:val="22"/>
          <w:szCs w:val="22"/>
        </w:rPr>
        <w:t>Minimizing the environmental impact of public administration through green ICT approaches, policies, applications and services, by implementing initiatives such as (a) taking greater account of environmental criteria in public procurement of ICT goods and increase environmental innovation among suppliers; (b) maximizing resource efficiency of public facilities</w:t>
      </w:r>
      <w:r w:rsidR="00163B41" w:rsidRPr="001D6714">
        <w:rPr>
          <w:color w:val="000000"/>
          <w:sz w:val="22"/>
          <w:szCs w:val="22"/>
        </w:rPr>
        <w:t xml:space="preserve"> including through</w:t>
      </w:r>
      <w:r w:rsidRPr="001D6714">
        <w:rPr>
          <w:color w:val="000000"/>
          <w:sz w:val="22"/>
          <w:szCs w:val="22"/>
        </w:rPr>
        <w:t xml:space="preserve"> </w:t>
      </w:r>
      <w:r w:rsidRPr="001D6714">
        <w:rPr>
          <w:strike/>
          <w:color w:val="000000"/>
          <w:sz w:val="22"/>
          <w:szCs w:val="22"/>
        </w:rPr>
        <w:t>by</w:t>
      </w:r>
      <w:r w:rsidRPr="001D6714">
        <w:rPr>
          <w:color w:val="000000"/>
          <w:sz w:val="22"/>
          <w:szCs w:val="22"/>
        </w:rPr>
        <w:t xml:space="preserve"> </w:t>
      </w:r>
      <w:r w:rsidR="00C13926" w:rsidRPr="001D6714">
        <w:rPr>
          <w:color w:val="000000"/>
          <w:sz w:val="22"/>
          <w:szCs w:val="22"/>
        </w:rPr>
        <w:t xml:space="preserve">the use of </w:t>
      </w:r>
      <w:r w:rsidRPr="001D6714">
        <w:rPr>
          <w:color w:val="000000"/>
          <w:sz w:val="22"/>
          <w:szCs w:val="22"/>
        </w:rPr>
        <w:t>“smart” ICT applications in</w:t>
      </w:r>
      <w:r w:rsidR="00163B41" w:rsidRPr="001D6714">
        <w:rPr>
          <w:color w:val="000000"/>
          <w:sz w:val="22"/>
          <w:szCs w:val="22"/>
        </w:rPr>
        <w:t xml:space="preserve"> energy efficiency, (i.e. </w:t>
      </w:r>
      <w:r w:rsidRPr="001D6714">
        <w:rPr>
          <w:color w:val="000000"/>
          <w:sz w:val="22"/>
          <w:szCs w:val="22"/>
        </w:rPr>
        <w:t xml:space="preserve"> lighting, heating and cooling, and building </w:t>
      </w:r>
      <w:r w:rsidRPr="001D6714">
        <w:rPr>
          <w:color w:val="000000"/>
          <w:sz w:val="22"/>
          <w:szCs w:val="22"/>
        </w:rPr>
        <w:lastRenderedPageBreak/>
        <w:t>control</w:t>
      </w:r>
      <w:r w:rsidR="00C13926" w:rsidRPr="001D6714">
        <w:rPr>
          <w:color w:val="000000"/>
          <w:sz w:val="22"/>
          <w:szCs w:val="22"/>
        </w:rPr>
        <w:t>)</w:t>
      </w:r>
      <w:r w:rsidRPr="001D6714">
        <w:rPr>
          <w:color w:val="000000"/>
          <w:sz w:val="22"/>
          <w:szCs w:val="22"/>
        </w:rPr>
        <w:t>; or (c) enhancing process efficiency and organizational change in public administration through tele-working and videoconferencing to reduce commuting and travelling</w:t>
      </w:r>
      <w:r w:rsidR="00163B41" w:rsidRPr="001D6714">
        <w:rPr>
          <w:color w:val="000000"/>
          <w:sz w:val="22"/>
          <w:szCs w:val="22"/>
        </w:rPr>
        <w:t xml:space="preserve"> </w:t>
      </w:r>
      <w:r w:rsidR="00C13926" w:rsidRPr="001D6714">
        <w:rPr>
          <w:color w:val="000000"/>
          <w:sz w:val="22"/>
          <w:szCs w:val="22"/>
        </w:rPr>
        <w:t xml:space="preserve">in order to </w:t>
      </w:r>
      <w:r w:rsidR="00163B41" w:rsidRPr="001D6714">
        <w:rPr>
          <w:color w:val="000000"/>
          <w:sz w:val="22"/>
          <w:szCs w:val="22"/>
        </w:rPr>
        <w:t>reduc</w:t>
      </w:r>
      <w:r w:rsidR="00C13926" w:rsidRPr="001D6714">
        <w:rPr>
          <w:color w:val="000000"/>
          <w:sz w:val="22"/>
          <w:szCs w:val="22"/>
        </w:rPr>
        <w:t>e</w:t>
      </w:r>
      <w:r w:rsidR="00163B41" w:rsidRPr="001D6714">
        <w:rPr>
          <w:color w:val="000000"/>
          <w:sz w:val="22"/>
          <w:szCs w:val="22"/>
        </w:rPr>
        <w:t xml:space="preserve"> GHG emissions</w:t>
      </w:r>
      <w:r w:rsidRPr="001D6714">
        <w:rPr>
          <w:color w:val="000000"/>
          <w:sz w:val="22"/>
          <w:szCs w:val="22"/>
        </w:rPr>
        <w:t>.</w:t>
      </w:r>
    </w:p>
    <w:p w:rsidR="007C5024" w:rsidRPr="001D6714" w:rsidRDefault="007C5024" w:rsidP="00A636A7">
      <w:pPr>
        <w:numPr>
          <w:ilvl w:val="0"/>
          <w:numId w:val="9"/>
        </w:numPr>
        <w:snapToGrid w:val="0"/>
        <w:spacing w:before="120" w:after="120"/>
        <w:jc w:val="both"/>
        <w:rPr>
          <w:color w:val="000000"/>
          <w:sz w:val="22"/>
          <w:szCs w:val="22"/>
        </w:rPr>
      </w:pPr>
      <w:r w:rsidRPr="001D6714">
        <w:rPr>
          <w:color w:val="000000"/>
          <w:sz w:val="22"/>
          <w:szCs w:val="22"/>
        </w:rPr>
        <w:t>Setting transparent policy objectives and targets to improve government strategies. Monitoring</w:t>
      </w:r>
      <w:r w:rsidR="00163B41" w:rsidRPr="001D6714">
        <w:rPr>
          <w:color w:val="000000"/>
          <w:sz w:val="22"/>
          <w:szCs w:val="22"/>
        </w:rPr>
        <w:t xml:space="preserve"> and evaluat</w:t>
      </w:r>
      <w:r w:rsidR="00C13926" w:rsidRPr="001D6714">
        <w:rPr>
          <w:color w:val="000000"/>
          <w:sz w:val="22"/>
          <w:szCs w:val="22"/>
        </w:rPr>
        <w:t>ing</w:t>
      </w:r>
      <w:r w:rsidR="00163B41" w:rsidRPr="001D6714">
        <w:rPr>
          <w:color w:val="000000"/>
          <w:sz w:val="22"/>
          <w:szCs w:val="22"/>
        </w:rPr>
        <w:t xml:space="preserve"> the</w:t>
      </w:r>
      <w:r w:rsidR="001D6714" w:rsidRPr="001D6714">
        <w:rPr>
          <w:color w:val="000000"/>
          <w:sz w:val="22"/>
          <w:szCs w:val="22"/>
        </w:rPr>
        <w:t xml:space="preserve"> </w:t>
      </w:r>
      <w:r w:rsidRPr="001D6714">
        <w:rPr>
          <w:color w:val="000000"/>
          <w:sz w:val="22"/>
          <w:szCs w:val="22"/>
        </w:rPr>
        <w:t xml:space="preserve">enforcement of policies on a regular basis to set clear responsibilities and improve accountability. Applying voluntary approaches where self-monitoring and self-reporting </w:t>
      </w:r>
      <w:r w:rsidR="00A636A7" w:rsidRPr="001D6714">
        <w:rPr>
          <w:color w:val="000000"/>
          <w:sz w:val="22"/>
          <w:szCs w:val="22"/>
        </w:rPr>
        <w:t>are</w:t>
      </w:r>
      <w:r w:rsidRPr="001D6714">
        <w:rPr>
          <w:color w:val="000000"/>
          <w:sz w:val="22"/>
          <w:szCs w:val="22"/>
        </w:rPr>
        <w:t xml:space="preserve"> effective and achievable</w:t>
      </w:r>
      <w:r w:rsidR="00A636A7" w:rsidRPr="001D6714">
        <w:rPr>
          <w:color w:val="000000"/>
          <w:sz w:val="22"/>
          <w:szCs w:val="22"/>
        </w:rPr>
        <w:t>.</w:t>
      </w:r>
    </w:p>
    <w:p w:rsidR="007C5024" w:rsidRPr="001D6714" w:rsidRDefault="007C5024" w:rsidP="006530C5">
      <w:pPr>
        <w:keepNext/>
        <w:keepLines/>
        <w:snapToGrid w:val="0"/>
        <w:spacing w:before="240" w:after="120"/>
        <w:jc w:val="both"/>
        <w:rPr>
          <w:i/>
          <w:iCs/>
          <w:color w:val="000000"/>
          <w:sz w:val="22"/>
          <w:szCs w:val="22"/>
          <w:u w:val="single"/>
        </w:rPr>
      </w:pPr>
      <w:r w:rsidRPr="001D6714">
        <w:rPr>
          <w:i/>
          <w:iCs/>
          <w:color w:val="000000"/>
          <w:sz w:val="22"/>
          <w:szCs w:val="22"/>
          <w:u w:val="single"/>
        </w:rPr>
        <w:t xml:space="preserve">Step 6: Develop and implement a National </w:t>
      </w:r>
      <w:r w:rsidR="007A6A19">
        <w:rPr>
          <w:i/>
          <w:iCs/>
          <w:color w:val="000000"/>
          <w:sz w:val="22"/>
          <w:szCs w:val="22"/>
          <w:u w:val="single"/>
        </w:rPr>
        <w:t>Pro-</w:t>
      </w:r>
      <w:r w:rsidR="002A3F0A">
        <w:rPr>
          <w:i/>
          <w:iCs/>
          <w:color w:val="000000"/>
          <w:sz w:val="22"/>
          <w:szCs w:val="22"/>
          <w:u w:val="single"/>
        </w:rPr>
        <w:t xml:space="preserve">Growth </w:t>
      </w:r>
      <w:r w:rsidRPr="001D6714">
        <w:rPr>
          <w:i/>
          <w:iCs/>
          <w:color w:val="000000"/>
          <w:sz w:val="22"/>
          <w:szCs w:val="22"/>
          <w:u w:val="single"/>
        </w:rPr>
        <w:t xml:space="preserve">Green ICT </w:t>
      </w:r>
      <w:r w:rsidR="00A33F60" w:rsidRPr="001D6714">
        <w:rPr>
          <w:i/>
          <w:iCs/>
          <w:color w:val="000000"/>
          <w:sz w:val="22"/>
          <w:szCs w:val="22"/>
          <w:u w:val="single"/>
        </w:rPr>
        <w:t>strategy</w:t>
      </w:r>
      <w:r w:rsidRPr="001D6714">
        <w:rPr>
          <w:i/>
          <w:iCs/>
          <w:color w:val="000000"/>
          <w:sz w:val="22"/>
          <w:szCs w:val="22"/>
          <w:u w:val="single"/>
        </w:rPr>
        <w:t xml:space="preserve"> </w:t>
      </w:r>
    </w:p>
    <w:p w:rsidR="007C5024" w:rsidRPr="001D6714" w:rsidRDefault="007C5024" w:rsidP="00C13926">
      <w:pPr>
        <w:autoSpaceDE w:val="0"/>
        <w:autoSpaceDN w:val="0"/>
        <w:adjustRightInd w:val="0"/>
        <w:spacing w:before="120" w:after="120"/>
        <w:jc w:val="both"/>
        <w:rPr>
          <w:color w:val="000000"/>
          <w:sz w:val="22"/>
          <w:szCs w:val="22"/>
          <w:lang w:eastAsia="zh-CN"/>
        </w:rPr>
      </w:pPr>
      <w:r w:rsidRPr="001D6714">
        <w:rPr>
          <w:i/>
          <w:iCs/>
          <w:color w:val="000000"/>
          <w:sz w:val="22"/>
          <w:szCs w:val="22"/>
        </w:rPr>
        <w:t xml:space="preserve">The strategy should start to address the question at a national, </w:t>
      </w:r>
      <w:r w:rsidR="00A33F60" w:rsidRPr="001D6714">
        <w:rPr>
          <w:i/>
          <w:iCs/>
          <w:color w:val="000000"/>
          <w:sz w:val="22"/>
          <w:szCs w:val="22"/>
        </w:rPr>
        <w:t xml:space="preserve">sub-national, </w:t>
      </w:r>
      <w:r w:rsidRPr="001D6714">
        <w:rPr>
          <w:i/>
          <w:iCs/>
          <w:color w:val="000000"/>
          <w:sz w:val="22"/>
          <w:szCs w:val="22"/>
        </w:rPr>
        <w:t xml:space="preserve">municipality and community levels as well as at the individual organization level. The </w:t>
      </w:r>
      <w:r w:rsidR="00B95F12" w:rsidRPr="001D6714">
        <w:rPr>
          <w:i/>
          <w:iCs/>
          <w:color w:val="000000"/>
          <w:sz w:val="22"/>
          <w:szCs w:val="22"/>
        </w:rPr>
        <w:t xml:space="preserve">Green ICT </w:t>
      </w:r>
      <w:r w:rsidRPr="001D6714">
        <w:rPr>
          <w:i/>
          <w:iCs/>
          <w:color w:val="000000"/>
          <w:sz w:val="22"/>
          <w:szCs w:val="22"/>
        </w:rPr>
        <w:t xml:space="preserve">strategy has to be seen as a component of the national development strategy. The strategy and action plan for using ICTs in support of sound environmental management and decision taking should touch on all sectors of the economy </w:t>
      </w:r>
      <w:r w:rsidR="00A33F60" w:rsidRPr="001D6714">
        <w:rPr>
          <w:i/>
          <w:iCs/>
          <w:color w:val="000000"/>
          <w:sz w:val="22"/>
          <w:szCs w:val="22"/>
        </w:rPr>
        <w:t xml:space="preserve">and </w:t>
      </w:r>
      <w:r w:rsidRPr="001D6714">
        <w:rPr>
          <w:i/>
          <w:iCs/>
          <w:color w:val="000000"/>
          <w:sz w:val="22"/>
          <w:szCs w:val="22"/>
        </w:rPr>
        <w:t>at all levels of society.</w:t>
      </w:r>
      <w:r w:rsidR="00163B41" w:rsidRPr="001D6714">
        <w:rPr>
          <w:i/>
          <w:iCs/>
          <w:color w:val="000000"/>
          <w:sz w:val="22"/>
          <w:szCs w:val="22"/>
        </w:rPr>
        <w:t xml:space="preserve"> </w:t>
      </w:r>
      <w:r w:rsidR="00CE4737" w:rsidRPr="001D6714">
        <w:rPr>
          <w:i/>
          <w:iCs/>
          <w:color w:val="000000"/>
          <w:sz w:val="22"/>
          <w:szCs w:val="22"/>
        </w:rPr>
        <w:t xml:space="preserve">Technical </w:t>
      </w:r>
      <w:r w:rsidR="00C13926" w:rsidRPr="001D6714">
        <w:rPr>
          <w:i/>
          <w:iCs/>
          <w:color w:val="000000"/>
          <w:sz w:val="22"/>
          <w:szCs w:val="22"/>
        </w:rPr>
        <w:t>s</w:t>
      </w:r>
      <w:r w:rsidR="00163B41" w:rsidRPr="001D6714">
        <w:rPr>
          <w:i/>
          <w:iCs/>
          <w:color w:val="000000"/>
          <w:sz w:val="22"/>
          <w:szCs w:val="22"/>
        </w:rPr>
        <w:t xml:space="preserve">upport should be </w:t>
      </w:r>
      <w:r w:rsidR="00A636A7" w:rsidRPr="001D6714">
        <w:rPr>
          <w:i/>
          <w:iCs/>
          <w:color w:val="000000"/>
          <w:sz w:val="22"/>
          <w:szCs w:val="22"/>
        </w:rPr>
        <w:t>provided</w:t>
      </w:r>
      <w:r w:rsidR="00163B41" w:rsidRPr="001D6714">
        <w:rPr>
          <w:i/>
          <w:iCs/>
          <w:color w:val="000000"/>
          <w:sz w:val="22"/>
          <w:szCs w:val="22"/>
        </w:rPr>
        <w:t xml:space="preserve"> to needing countries</w:t>
      </w:r>
      <w:r w:rsidR="00A636A7" w:rsidRPr="001D6714">
        <w:rPr>
          <w:i/>
          <w:iCs/>
          <w:color w:val="000000"/>
          <w:sz w:val="22"/>
          <w:szCs w:val="22"/>
        </w:rPr>
        <w:t xml:space="preserve">, </w:t>
      </w:r>
      <w:r w:rsidR="00163B41" w:rsidRPr="001D6714">
        <w:rPr>
          <w:i/>
          <w:iCs/>
          <w:color w:val="000000"/>
          <w:sz w:val="22"/>
          <w:szCs w:val="22"/>
        </w:rPr>
        <w:t>especially developing countries</w:t>
      </w:r>
      <w:r w:rsidR="00A636A7" w:rsidRPr="001D6714">
        <w:rPr>
          <w:i/>
          <w:iCs/>
          <w:color w:val="000000"/>
          <w:sz w:val="22"/>
          <w:szCs w:val="22"/>
        </w:rPr>
        <w:t>,</w:t>
      </w:r>
      <w:r w:rsidR="00163B41" w:rsidRPr="001D6714">
        <w:rPr>
          <w:i/>
          <w:iCs/>
          <w:color w:val="000000"/>
          <w:sz w:val="22"/>
          <w:szCs w:val="22"/>
        </w:rPr>
        <w:t xml:space="preserve"> to help the</w:t>
      </w:r>
      <w:r w:rsidR="00A636A7" w:rsidRPr="001D6714">
        <w:rPr>
          <w:i/>
          <w:iCs/>
          <w:color w:val="000000"/>
          <w:sz w:val="22"/>
          <w:szCs w:val="22"/>
        </w:rPr>
        <w:t>m</w:t>
      </w:r>
      <w:r w:rsidR="00163B41" w:rsidRPr="001D6714">
        <w:rPr>
          <w:i/>
          <w:iCs/>
          <w:color w:val="000000"/>
          <w:sz w:val="22"/>
          <w:szCs w:val="22"/>
        </w:rPr>
        <w:t xml:space="preserve"> formulate and implement Green ICT strateg</w:t>
      </w:r>
      <w:r w:rsidR="00A636A7" w:rsidRPr="001D6714">
        <w:rPr>
          <w:i/>
          <w:iCs/>
          <w:color w:val="000000"/>
          <w:sz w:val="22"/>
          <w:szCs w:val="22"/>
        </w:rPr>
        <w:t>ies</w:t>
      </w:r>
      <w:r w:rsidR="00163B41" w:rsidRPr="001D6714">
        <w:rPr>
          <w:i/>
          <w:iCs/>
          <w:color w:val="000000"/>
          <w:sz w:val="22"/>
          <w:szCs w:val="22"/>
        </w:rPr>
        <w:t xml:space="preserve"> and implemen</w:t>
      </w:r>
      <w:r w:rsidR="00A636A7" w:rsidRPr="001D6714">
        <w:rPr>
          <w:i/>
          <w:iCs/>
          <w:color w:val="000000"/>
          <w:sz w:val="22"/>
          <w:szCs w:val="22"/>
        </w:rPr>
        <w:t>t</w:t>
      </w:r>
      <w:r w:rsidR="00163B41" w:rsidRPr="001D6714">
        <w:rPr>
          <w:i/>
          <w:iCs/>
          <w:color w:val="000000"/>
          <w:sz w:val="22"/>
          <w:szCs w:val="22"/>
        </w:rPr>
        <w:t xml:space="preserve">ation plans. </w:t>
      </w:r>
      <w:r w:rsidRPr="001D6714">
        <w:rPr>
          <w:i/>
          <w:iCs/>
          <w:color w:val="000000"/>
          <w:sz w:val="22"/>
          <w:szCs w:val="22"/>
        </w:rPr>
        <w:t xml:space="preserve"> </w:t>
      </w:r>
      <w:r w:rsidR="005B014C" w:rsidRPr="001D6714">
        <w:rPr>
          <w:i/>
          <w:iCs/>
          <w:color w:val="000000"/>
          <w:sz w:val="22"/>
          <w:szCs w:val="22"/>
        </w:rPr>
        <w:t>The strategy should include an assessment phase that includes</w:t>
      </w:r>
      <w:r w:rsidR="001D6714" w:rsidRPr="001D6714">
        <w:rPr>
          <w:i/>
          <w:iCs/>
          <w:color w:val="000000"/>
          <w:sz w:val="22"/>
          <w:szCs w:val="22"/>
        </w:rPr>
        <w:t xml:space="preserve">, inter-alia, </w:t>
      </w:r>
      <w:r w:rsidR="005B014C" w:rsidRPr="001D6714">
        <w:rPr>
          <w:i/>
          <w:iCs/>
          <w:color w:val="000000"/>
          <w:sz w:val="22"/>
          <w:szCs w:val="22"/>
        </w:rPr>
        <w:t>the following steps or components:</w:t>
      </w:r>
    </w:p>
    <w:p w:rsidR="007C5024" w:rsidRPr="001D6714" w:rsidRDefault="005B014C" w:rsidP="001D6714">
      <w:pPr>
        <w:numPr>
          <w:ilvl w:val="0"/>
          <w:numId w:val="9"/>
        </w:numPr>
        <w:snapToGrid w:val="0"/>
        <w:spacing w:before="120" w:after="120"/>
        <w:ind w:left="357" w:hanging="357"/>
        <w:jc w:val="both"/>
        <w:rPr>
          <w:color w:val="000000"/>
          <w:sz w:val="22"/>
          <w:szCs w:val="22"/>
        </w:rPr>
      </w:pPr>
      <w:r w:rsidRPr="001D6714">
        <w:rPr>
          <w:color w:val="000000"/>
          <w:sz w:val="22"/>
          <w:szCs w:val="22"/>
        </w:rPr>
        <w:t>An e-readiness assessment to help understand ICT use at the national level and in the environment sector;</w:t>
      </w:r>
    </w:p>
    <w:p w:rsidR="007C5024" w:rsidRPr="001D6714" w:rsidRDefault="005B014C" w:rsidP="001D6714">
      <w:pPr>
        <w:numPr>
          <w:ilvl w:val="0"/>
          <w:numId w:val="9"/>
        </w:numPr>
        <w:snapToGrid w:val="0"/>
        <w:spacing w:before="120" w:after="120"/>
        <w:ind w:left="357" w:hanging="357"/>
        <w:jc w:val="both"/>
        <w:rPr>
          <w:color w:val="000000"/>
          <w:sz w:val="22"/>
          <w:szCs w:val="22"/>
        </w:rPr>
      </w:pPr>
      <w:r w:rsidRPr="001D6714">
        <w:rPr>
          <w:color w:val="000000"/>
          <w:sz w:val="22"/>
          <w:szCs w:val="22"/>
        </w:rPr>
        <w:t>A situation analysis assessing the use of ICTs for environmental research, management and planning;</w:t>
      </w:r>
    </w:p>
    <w:p w:rsidR="007C5024" w:rsidRPr="001D6714" w:rsidRDefault="005B014C" w:rsidP="001D6714">
      <w:pPr>
        <w:numPr>
          <w:ilvl w:val="0"/>
          <w:numId w:val="9"/>
        </w:numPr>
        <w:snapToGrid w:val="0"/>
        <w:spacing w:before="120" w:after="120"/>
        <w:ind w:left="357" w:hanging="357"/>
        <w:jc w:val="both"/>
        <w:rPr>
          <w:color w:val="000000"/>
          <w:sz w:val="22"/>
          <w:szCs w:val="22"/>
        </w:rPr>
      </w:pPr>
      <w:r w:rsidRPr="001D6714">
        <w:rPr>
          <w:color w:val="000000"/>
          <w:sz w:val="22"/>
          <w:szCs w:val="22"/>
        </w:rPr>
        <w:t>Identifying key players and stakeholders;</w:t>
      </w:r>
    </w:p>
    <w:p w:rsidR="00163B41" w:rsidRPr="001D6714" w:rsidRDefault="00163B41" w:rsidP="001D6714">
      <w:pPr>
        <w:numPr>
          <w:ilvl w:val="0"/>
          <w:numId w:val="9"/>
        </w:numPr>
        <w:snapToGrid w:val="0"/>
        <w:spacing w:before="120" w:after="120"/>
        <w:ind w:left="357" w:hanging="357"/>
        <w:jc w:val="both"/>
        <w:rPr>
          <w:color w:val="000000"/>
          <w:sz w:val="22"/>
          <w:szCs w:val="22"/>
        </w:rPr>
      </w:pPr>
      <w:r w:rsidRPr="001D6714">
        <w:rPr>
          <w:color w:val="000000"/>
          <w:sz w:val="22"/>
          <w:szCs w:val="22"/>
        </w:rPr>
        <w:t xml:space="preserve">Identify gaps and obstacles faced during </w:t>
      </w:r>
      <w:r w:rsidR="00A636A7" w:rsidRPr="001D6714">
        <w:rPr>
          <w:color w:val="000000"/>
          <w:sz w:val="22"/>
          <w:szCs w:val="22"/>
        </w:rPr>
        <w:t>the f</w:t>
      </w:r>
      <w:r w:rsidRPr="001D6714">
        <w:rPr>
          <w:color w:val="000000"/>
          <w:sz w:val="22"/>
          <w:szCs w:val="22"/>
        </w:rPr>
        <w:t xml:space="preserve">ormulation of </w:t>
      </w:r>
      <w:r w:rsidR="00A636A7" w:rsidRPr="001D6714">
        <w:rPr>
          <w:color w:val="000000"/>
          <w:sz w:val="22"/>
          <w:szCs w:val="22"/>
        </w:rPr>
        <w:t xml:space="preserve">the </w:t>
      </w:r>
      <w:r w:rsidRPr="001D6714">
        <w:rPr>
          <w:color w:val="000000"/>
          <w:sz w:val="22"/>
          <w:szCs w:val="22"/>
        </w:rPr>
        <w:t>strategy and in the implemen</w:t>
      </w:r>
      <w:r w:rsidR="00A636A7" w:rsidRPr="001D6714">
        <w:rPr>
          <w:color w:val="000000"/>
          <w:sz w:val="22"/>
          <w:szCs w:val="22"/>
        </w:rPr>
        <w:t>t</w:t>
      </w:r>
      <w:r w:rsidRPr="001D6714">
        <w:rPr>
          <w:color w:val="000000"/>
          <w:sz w:val="22"/>
          <w:szCs w:val="22"/>
        </w:rPr>
        <w:t>ation phase</w:t>
      </w:r>
      <w:r w:rsidR="00A636A7" w:rsidRPr="001D6714">
        <w:rPr>
          <w:color w:val="000000"/>
          <w:sz w:val="22"/>
          <w:szCs w:val="22"/>
        </w:rPr>
        <w:t>, and</w:t>
      </w:r>
      <w:r w:rsidRPr="001D6714">
        <w:rPr>
          <w:color w:val="000000"/>
          <w:sz w:val="22"/>
          <w:szCs w:val="22"/>
        </w:rPr>
        <w:t xml:space="preserve"> </w:t>
      </w:r>
      <w:r w:rsidR="00A636A7" w:rsidRPr="001D6714">
        <w:rPr>
          <w:color w:val="000000"/>
          <w:sz w:val="22"/>
          <w:szCs w:val="22"/>
        </w:rPr>
        <w:t>report</w:t>
      </w:r>
      <w:r w:rsidRPr="001D6714">
        <w:rPr>
          <w:color w:val="000000"/>
          <w:sz w:val="22"/>
          <w:szCs w:val="22"/>
        </w:rPr>
        <w:t xml:space="preserve"> success stories in dealing with such challenges</w:t>
      </w:r>
      <w:r w:rsidR="00A636A7" w:rsidRPr="001D6714">
        <w:rPr>
          <w:color w:val="000000"/>
          <w:sz w:val="22"/>
          <w:szCs w:val="22"/>
        </w:rPr>
        <w:t>;</w:t>
      </w:r>
      <w:r w:rsidRPr="001D6714">
        <w:rPr>
          <w:color w:val="000000"/>
          <w:sz w:val="22"/>
          <w:szCs w:val="22"/>
        </w:rPr>
        <w:t xml:space="preserve"> </w:t>
      </w:r>
    </w:p>
    <w:p w:rsidR="007C5024" w:rsidRPr="001D6714" w:rsidRDefault="005B014C" w:rsidP="001D6714">
      <w:pPr>
        <w:numPr>
          <w:ilvl w:val="0"/>
          <w:numId w:val="9"/>
        </w:numPr>
        <w:snapToGrid w:val="0"/>
        <w:spacing w:before="120" w:after="120"/>
        <w:ind w:left="357" w:hanging="357"/>
        <w:jc w:val="both"/>
        <w:rPr>
          <w:color w:val="000000"/>
          <w:sz w:val="22"/>
          <w:szCs w:val="22"/>
        </w:rPr>
      </w:pPr>
      <w:r w:rsidRPr="001D6714">
        <w:rPr>
          <w:color w:val="000000"/>
          <w:sz w:val="22"/>
          <w:szCs w:val="22"/>
        </w:rPr>
        <w:t>Looking at some key issues, such as how countries are meeting their obligations under the  various international and regional conventions and agreements;</w:t>
      </w:r>
    </w:p>
    <w:p w:rsidR="007C5024" w:rsidRPr="001D6714" w:rsidRDefault="005B014C" w:rsidP="001D6714">
      <w:pPr>
        <w:numPr>
          <w:ilvl w:val="0"/>
          <w:numId w:val="9"/>
        </w:numPr>
        <w:snapToGrid w:val="0"/>
        <w:spacing w:before="120" w:after="120"/>
        <w:ind w:left="357" w:hanging="357"/>
        <w:jc w:val="both"/>
        <w:rPr>
          <w:color w:val="000000"/>
          <w:sz w:val="22"/>
          <w:szCs w:val="22"/>
        </w:rPr>
      </w:pPr>
      <w:r w:rsidRPr="001D6714">
        <w:rPr>
          <w:color w:val="000000"/>
          <w:sz w:val="22"/>
          <w:szCs w:val="22"/>
        </w:rPr>
        <w:t xml:space="preserve">A </w:t>
      </w:r>
      <w:r w:rsidR="00783E65" w:rsidRPr="001D6714">
        <w:rPr>
          <w:color w:val="000000"/>
          <w:sz w:val="22"/>
          <w:szCs w:val="22"/>
        </w:rPr>
        <w:t xml:space="preserve"> </w:t>
      </w:r>
      <w:r w:rsidR="00A64B03" w:rsidRPr="001D6714">
        <w:rPr>
          <w:color w:val="000000"/>
          <w:sz w:val="22"/>
          <w:szCs w:val="22"/>
        </w:rPr>
        <w:t>strategic a</w:t>
      </w:r>
      <w:r w:rsidRPr="001D6714">
        <w:rPr>
          <w:color w:val="000000"/>
          <w:sz w:val="22"/>
          <w:szCs w:val="22"/>
        </w:rPr>
        <w:t>nalysis</w:t>
      </w:r>
      <w:r w:rsidR="007703B9" w:rsidRPr="001D6714">
        <w:rPr>
          <w:color w:val="000000"/>
          <w:sz w:val="22"/>
          <w:szCs w:val="22"/>
        </w:rPr>
        <w:t xml:space="preserve"> to identify the </w:t>
      </w:r>
      <w:r w:rsidR="00FA6167">
        <w:rPr>
          <w:color w:val="000000"/>
          <w:sz w:val="22"/>
          <w:szCs w:val="22"/>
        </w:rPr>
        <w:t xml:space="preserve">objectives, </w:t>
      </w:r>
      <w:r w:rsidR="007703B9" w:rsidRPr="001D6714">
        <w:rPr>
          <w:color w:val="000000"/>
          <w:sz w:val="22"/>
          <w:szCs w:val="22"/>
        </w:rPr>
        <w:t xml:space="preserve">challenges and opportunities </w:t>
      </w:r>
      <w:r w:rsidRPr="001D6714">
        <w:rPr>
          <w:color w:val="000000"/>
          <w:sz w:val="22"/>
          <w:szCs w:val="22"/>
        </w:rPr>
        <w:t>regarding the use of ICTs in dealing with the environment;</w:t>
      </w:r>
    </w:p>
    <w:p w:rsidR="007C5024" w:rsidRPr="001D6714" w:rsidRDefault="005B014C" w:rsidP="001D6714">
      <w:pPr>
        <w:numPr>
          <w:ilvl w:val="0"/>
          <w:numId w:val="9"/>
        </w:numPr>
        <w:snapToGrid w:val="0"/>
        <w:spacing w:before="120" w:after="120"/>
        <w:ind w:left="357" w:hanging="357"/>
        <w:jc w:val="both"/>
        <w:rPr>
          <w:color w:val="000000"/>
          <w:sz w:val="22"/>
          <w:szCs w:val="22"/>
        </w:rPr>
      </w:pPr>
      <w:r w:rsidRPr="001D6714">
        <w:rPr>
          <w:color w:val="000000"/>
          <w:sz w:val="22"/>
          <w:szCs w:val="22"/>
        </w:rPr>
        <w:t>A benchmark study comparing and contrasting the situation nationally with that in other countries or jurisdictions, i.e. where the country stands at present compared with other countries and jurisdictions;</w:t>
      </w:r>
    </w:p>
    <w:p w:rsidR="007C5024" w:rsidRPr="001D6714" w:rsidRDefault="005B014C" w:rsidP="001D6714">
      <w:pPr>
        <w:numPr>
          <w:ilvl w:val="0"/>
          <w:numId w:val="9"/>
        </w:numPr>
        <w:snapToGrid w:val="0"/>
        <w:spacing w:before="120" w:after="120"/>
        <w:ind w:left="357" w:hanging="357"/>
        <w:jc w:val="both"/>
        <w:rPr>
          <w:color w:val="000000"/>
          <w:sz w:val="22"/>
          <w:szCs w:val="22"/>
        </w:rPr>
      </w:pPr>
      <w:r w:rsidRPr="001D6714">
        <w:rPr>
          <w:color w:val="000000"/>
          <w:sz w:val="22"/>
          <w:szCs w:val="22"/>
        </w:rPr>
        <w:t>Case studies and best practice analyses;</w:t>
      </w:r>
    </w:p>
    <w:p w:rsidR="007C5024" w:rsidRPr="001D6714" w:rsidRDefault="005B014C" w:rsidP="001D6714">
      <w:pPr>
        <w:numPr>
          <w:ilvl w:val="0"/>
          <w:numId w:val="9"/>
        </w:numPr>
        <w:snapToGrid w:val="0"/>
        <w:spacing w:before="120" w:after="120"/>
        <w:ind w:left="357" w:hanging="357"/>
        <w:jc w:val="both"/>
        <w:rPr>
          <w:color w:val="000000"/>
          <w:sz w:val="22"/>
          <w:szCs w:val="22"/>
        </w:rPr>
      </w:pPr>
      <w:r w:rsidRPr="001D6714">
        <w:rPr>
          <w:color w:val="000000"/>
          <w:sz w:val="22"/>
          <w:szCs w:val="22"/>
        </w:rPr>
        <w:t>A feasibility report.</w:t>
      </w:r>
    </w:p>
    <w:sectPr w:rsidR="007C5024" w:rsidRPr="001D6714" w:rsidSect="008325F1">
      <w:headerReference w:type="default" r:id="rId8"/>
      <w:footerReference w:type="default" r:id="rId9"/>
      <w:headerReference w:type="first" r:id="rId10"/>
      <w:pgSz w:w="12240" w:h="15840" w:code="1"/>
      <w:pgMar w:top="1093"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90A" w:rsidRDefault="00FF690A">
      <w:r>
        <w:separator/>
      </w:r>
    </w:p>
  </w:endnote>
  <w:endnote w:type="continuationSeparator" w:id="0">
    <w:p w:rsidR="00FF690A" w:rsidRDefault="00FF69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A1" w:rsidRPr="002F5BF1" w:rsidRDefault="001E32A2" w:rsidP="006946AE">
    <w:pPr>
      <w:pStyle w:val="Footer"/>
      <w:jc w:val="center"/>
      <w:rPr>
        <w:i/>
        <w:iCs/>
        <w:sz w:val="20"/>
        <w:szCs w:val="20"/>
      </w:rPr>
    </w:pPr>
    <w:r w:rsidRPr="002F5BF1">
      <w:rPr>
        <w:i/>
        <w:iCs/>
        <w:sz w:val="20"/>
        <w:szCs w:val="20"/>
      </w:rPr>
      <w:fldChar w:fldCharType="begin"/>
    </w:r>
    <w:r w:rsidR="003107A1" w:rsidRPr="002F5BF1">
      <w:rPr>
        <w:i/>
        <w:iCs/>
        <w:sz w:val="20"/>
        <w:szCs w:val="20"/>
      </w:rPr>
      <w:instrText xml:space="preserve"> PAGE </w:instrText>
    </w:r>
    <w:r w:rsidRPr="002F5BF1">
      <w:rPr>
        <w:i/>
        <w:iCs/>
        <w:sz w:val="20"/>
        <w:szCs w:val="20"/>
      </w:rPr>
      <w:fldChar w:fldCharType="separate"/>
    </w:r>
    <w:r w:rsidR="007B54CB">
      <w:rPr>
        <w:i/>
        <w:iCs/>
        <w:noProof/>
        <w:sz w:val="20"/>
        <w:szCs w:val="20"/>
      </w:rPr>
      <w:t>5</w:t>
    </w:r>
    <w:r w:rsidRPr="002F5BF1">
      <w:rPr>
        <w:i/>
        <w:i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90A" w:rsidRDefault="00FF690A">
      <w:r>
        <w:separator/>
      </w:r>
    </w:p>
  </w:footnote>
  <w:footnote w:type="continuationSeparator" w:id="0">
    <w:p w:rsidR="00FF690A" w:rsidRDefault="00FF690A">
      <w:r>
        <w:continuationSeparator/>
      </w:r>
    </w:p>
  </w:footnote>
  <w:footnote w:id="1">
    <w:p w:rsidR="003107A1" w:rsidRPr="001E3298" w:rsidRDefault="003107A1" w:rsidP="001E3298">
      <w:pPr>
        <w:pStyle w:val="FootnoteText"/>
        <w:spacing w:before="60" w:after="60"/>
        <w:rPr>
          <w:rFonts w:ascii="Times New Roman" w:hAnsi="Times New Roman" w:cs="Times New Roman"/>
          <w:i/>
          <w:iCs/>
        </w:rPr>
      </w:pPr>
      <w:r>
        <w:rPr>
          <w:rStyle w:val="FootnoteReference"/>
        </w:rPr>
        <w:footnoteRef/>
      </w:r>
      <w:r w:rsidRPr="00C179FE">
        <w:rPr>
          <w:rStyle w:val="FootnoteReference"/>
          <w:rFonts w:ascii="Times New Roman" w:hAnsi="Times New Roman"/>
          <w:i/>
          <w:iCs/>
        </w:rPr>
        <w:footnoteRef/>
      </w:r>
      <w:r w:rsidRPr="00C179FE">
        <w:rPr>
          <w:rFonts w:ascii="Times New Roman" w:hAnsi="Times New Roman" w:cs="Times New Roman"/>
          <w:i/>
          <w:iCs/>
        </w:rPr>
        <w:t xml:space="preserve"> </w:t>
      </w:r>
      <w:r w:rsidRPr="00A436BF">
        <w:rPr>
          <w:rFonts w:ascii="Times New Roman" w:hAnsi="Times New Roman" w:cs="Times New Roman"/>
          <w:i/>
          <w:iCs/>
        </w:rPr>
        <w:t>New ITU Resolution “The Role of Telecommunications/Information and Communication Technologies on Climate Change and the Protection of the Environment” (</w:t>
      </w:r>
      <w:smartTag w:uri="urn:schemas-microsoft-com:office:smarttags" w:element="place">
        <w:smartTag w:uri="urn:schemas-microsoft-com:office:smarttags" w:element="City">
          <w:r w:rsidRPr="00A436BF">
            <w:rPr>
              <w:rFonts w:ascii="Times New Roman" w:hAnsi="Times New Roman" w:cs="Times New Roman"/>
              <w:i/>
              <w:iCs/>
            </w:rPr>
            <w:t>Guadalajara</w:t>
          </w:r>
        </w:smartTag>
      </w:smartTag>
      <w:r w:rsidRPr="00A436BF">
        <w:rPr>
          <w:rFonts w:ascii="Times New Roman" w:hAnsi="Times New Roman" w:cs="Times New Roman"/>
          <w:i/>
          <w:iCs/>
        </w:rPr>
        <w:t>, 2010)</w:t>
      </w:r>
      <w:r>
        <w:rPr>
          <w:rFonts w:ascii="Times New Roman" w:hAnsi="Times New Roman" w:cs="Times New Roman"/>
          <w:i/>
          <w:iCs/>
        </w:rPr>
        <w:t>.</w:t>
      </w:r>
    </w:p>
  </w:footnote>
  <w:footnote w:id="2">
    <w:p w:rsidR="003107A1" w:rsidRDefault="003107A1" w:rsidP="000A464D">
      <w:pPr>
        <w:pStyle w:val="FootnoteText"/>
        <w:spacing w:before="60" w:after="60"/>
      </w:pPr>
      <w:r w:rsidRPr="00A436BF">
        <w:rPr>
          <w:rStyle w:val="FootnoteReference"/>
          <w:rFonts w:ascii="Times New Roman" w:hAnsi="Times New Roman"/>
          <w:i/>
          <w:iCs/>
        </w:rPr>
        <w:footnoteRef/>
      </w:r>
      <w:r w:rsidRPr="00A436BF">
        <w:rPr>
          <w:rFonts w:ascii="Times New Roman" w:hAnsi="Times New Roman" w:cs="Times New Roman"/>
          <w:i/>
          <w:iCs/>
        </w:rPr>
        <w:t xml:space="preserve"> Further on referred as “The Cairo Road</w:t>
      </w:r>
      <w:r w:rsidR="000A464D">
        <w:rPr>
          <w:rFonts w:ascii="Times New Roman" w:hAnsi="Times New Roman" w:cs="Times New Roman"/>
          <w:i/>
          <w:iCs/>
        </w:rPr>
        <w:t>m</w:t>
      </w:r>
      <w:r w:rsidRPr="00A436BF">
        <w:rPr>
          <w:rFonts w:ascii="Times New Roman" w:hAnsi="Times New Roman" w:cs="Times New Roman"/>
          <w:i/>
          <w:iCs/>
        </w:rPr>
        <w:t>ap”</w:t>
      </w:r>
    </w:p>
  </w:footnote>
  <w:footnote w:id="3">
    <w:p w:rsidR="003107A1" w:rsidRDefault="003107A1">
      <w:pPr>
        <w:pStyle w:val="FootnoteText"/>
      </w:pPr>
      <w:r>
        <w:rPr>
          <w:rStyle w:val="FootnoteReference"/>
        </w:rPr>
        <w:footnoteRef/>
      </w:r>
      <w:r>
        <w:t xml:space="preserve"> </w:t>
      </w:r>
      <w:r w:rsidRPr="001C6A2E">
        <w:rPr>
          <w:rFonts w:ascii="Times New Roman" w:hAnsi="Times New Roman" w:cs="Times New Roman"/>
          <w:i/>
          <w:iCs/>
        </w:rPr>
        <w:t>Some of the steps and actions suggested in this document were extrapolated from the Recommendation of the Council on Information and Communication Technologies ad Environment, OECD, 2010</w:t>
      </w:r>
      <w:r>
        <w:rPr>
          <w:rFonts w:ascii="Times New Roman" w:hAnsi="Times New Roman" w:cs="Times New Roman"/>
          <w:i/>
          <w:iCs/>
        </w:rPr>
        <w:t xml:space="preserve"> and from the </w:t>
      </w:r>
      <w:r w:rsidRPr="00C179FE">
        <w:rPr>
          <w:rFonts w:ascii="Times New Roman" w:hAnsi="Times New Roman" w:cs="Times New Roman"/>
          <w:i/>
          <w:iCs/>
          <w:lang w:eastAsia="zh-CN"/>
        </w:rPr>
        <w:t>ICTs for e-Environment - Guidelines for Developing Countries, with a Focus on Climate Change” available at http://www.itu.int/ITU-D/cyb/app/e-env.html</w:t>
      </w:r>
    </w:p>
  </w:footnote>
  <w:footnote w:id="4">
    <w:p w:rsidR="003107A1" w:rsidRDefault="003107A1" w:rsidP="001E3298">
      <w:pPr>
        <w:spacing w:before="60" w:after="60"/>
        <w:jc w:val="both"/>
      </w:pPr>
      <w:r w:rsidRPr="000C10C4">
        <w:rPr>
          <w:i/>
          <w:iCs/>
          <w:sz w:val="18"/>
          <w:szCs w:val="18"/>
          <w:lang w:eastAsia="en-US"/>
        </w:rPr>
        <w:footnoteRef/>
      </w:r>
      <w:r>
        <w:rPr>
          <w:i/>
          <w:iCs/>
          <w:sz w:val="18"/>
          <w:szCs w:val="18"/>
          <w:lang w:eastAsia="en-US"/>
        </w:rPr>
        <w:t xml:space="preserve"> ITU-T Study Group</w:t>
      </w:r>
      <w:r w:rsidR="005C619C">
        <w:rPr>
          <w:i/>
          <w:iCs/>
          <w:sz w:val="18"/>
          <w:szCs w:val="18"/>
          <w:lang w:eastAsia="en-US"/>
        </w:rPr>
        <w:t xml:space="preserve"> 5</w:t>
      </w:r>
      <w:r>
        <w:rPr>
          <w:i/>
          <w:iCs/>
          <w:sz w:val="18"/>
          <w:szCs w:val="18"/>
          <w:lang w:eastAsia="en-US"/>
        </w:rPr>
        <w:t>,</w:t>
      </w:r>
      <w:r w:rsidRPr="000C10C4">
        <w:rPr>
          <w:i/>
          <w:iCs/>
          <w:sz w:val="18"/>
          <w:szCs w:val="18"/>
          <w:lang w:eastAsia="en-US"/>
        </w:rPr>
        <w:t xml:space="preserve"> </w:t>
      </w:r>
      <w:r>
        <w:rPr>
          <w:i/>
          <w:iCs/>
          <w:sz w:val="18"/>
          <w:szCs w:val="18"/>
          <w:lang w:eastAsia="en-US"/>
        </w:rPr>
        <w:t xml:space="preserve">see </w:t>
      </w:r>
      <w:hyperlink r:id="rId1" w:history="1">
        <w:r w:rsidRPr="00E642AB">
          <w:rPr>
            <w:rStyle w:val="Hyperlink"/>
            <w:i/>
            <w:iCs/>
            <w:sz w:val="18"/>
            <w:szCs w:val="18"/>
            <w:lang w:eastAsia="en-US"/>
          </w:rPr>
          <w:t>http://www.itu.int/ITU-T/climatechange/</w:t>
        </w:r>
      </w:hyperlink>
      <w:r>
        <w:rPr>
          <w:i/>
          <w:iCs/>
          <w:sz w:val="18"/>
          <w:szCs w:val="18"/>
          <w:lang w:eastAsia="en-US"/>
        </w:rPr>
        <w:t xml:space="preserve"> </w:t>
      </w:r>
    </w:p>
  </w:footnote>
  <w:footnote w:id="5">
    <w:p w:rsidR="003107A1" w:rsidRDefault="003107A1" w:rsidP="00C179FE">
      <w:pPr>
        <w:spacing w:before="60" w:after="60"/>
        <w:jc w:val="both"/>
        <w:rPr>
          <w:i/>
          <w:iCs/>
          <w:sz w:val="18"/>
          <w:szCs w:val="18"/>
          <w:lang w:eastAsia="en-US"/>
        </w:rPr>
      </w:pPr>
      <w:r w:rsidRPr="00C179FE">
        <w:rPr>
          <w:i/>
          <w:iCs/>
          <w:sz w:val="18"/>
          <w:szCs w:val="18"/>
          <w:lang w:eastAsia="en-US"/>
        </w:rPr>
        <w:footnoteRef/>
      </w:r>
      <w:r w:rsidRPr="00A436BF">
        <w:rPr>
          <w:i/>
          <w:iCs/>
          <w:sz w:val="18"/>
          <w:szCs w:val="18"/>
          <w:lang w:eastAsia="en-US"/>
        </w:rPr>
        <w:t xml:space="preserve"> See </w:t>
      </w:r>
      <w:hyperlink r:id="rId2" w:history="1">
        <w:r w:rsidRPr="00C179FE">
          <w:rPr>
            <w:i/>
            <w:iCs/>
            <w:sz w:val="18"/>
            <w:szCs w:val="18"/>
            <w:lang w:eastAsia="en-US"/>
          </w:rPr>
          <w:t>http://www.itu.int/ITU-T/worksem/climatechange/201011/</w:t>
        </w:r>
      </w:hyperlink>
      <w:r w:rsidRPr="00A436BF">
        <w:rPr>
          <w:i/>
          <w:iCs/>
          <w:sz w:val="18"/>
          <w:szCs w:val="18"/>
          <w:lang w:eastAsia="en-US"/>
        </w:rPr>
        <w:t xml:space="preserve"> for an example of an ITU supported assessment that is piloted by </w:t>
      </w:r>
      <w:smartTag w:uri="urn:schemas-microsoft-com:office:smarttags" w:element="country-region">
        <w:smartTag w:uri="urn:schemas-microsoft-com:office:smarttags" w:element="place">
          <w:r w:rsidRPr="00A436BF">
            <w:rPr>
              <w:i/>
              <w:iCs/>
              <w:sz w:val="18"/>
              <w:szCs w:val="18"/>
              <w:lang w:eastAsia="en-US"/>
            </w:rPr>
            <w:t>Egypt</w:t>
          </w:r>
        </w:smartTag>
      </w:smartTag>
      <w:r w:rsidRPr="00A436BF">
        <w:rPr>
          <w:i/>
          <w:iCs/>
          <w:sz w:val="18"/>
          <w:szCs w:val="18"/>
          <w:lang w:eastAsia="en-US"/>
        </w:rPr>
        <w:t xml:space="preserve"> for assessing the potential for using ICTs to reduce energy consumption and reduce greenhouse gas emissions in the built environ</w:t>
      </w:r>
      <w:r>
        <w:rPr>
          <w:i/>
          <w:iCs/>
          <w:sz w:val="18"/>
          <w:szCs w:val="18"/>
          <w:lang w:eastAsia="en-US"/>
        </w:rPr>
        <w:t xml:space="preserve">ment. </w:t>
      </w:r>
    </w:p>
    <w:p w:rsidR="003107A1" w:rsidRDefault="00FE1EBB" w:rsidP="00C179FE">
      <w:pPr>
        <w:spacing w:before="60" w:after="60"/>
        <w:jc w:val="both"/>
      </w:pPr>
      <w:r>
        <w:b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A1" w:rsidRPr="008325F1" w:rsidRDefault="003107A1" w:rsidP="008325F1">
    <w:pPr>
      <w:pStyle w:val="Header"/>
      <w:jc w:val="right"/>
      <w:rPr>
        <w:i/>
        <w:iCs/>
        <w:sz w:val="20"/>
        <w:szCs w:val="20"/>
      </w:rPr>
    </w:pPr>
    <w:smartTag w:uri="urn:schemas-microsoft-com:office:smarttags" w:element="City">
      <w:smartTag w:uri="urn:schemas-microsoft-com:office:smarttags" w:element="place">
        <w:r w:rsidRPr="008325F1">
          <w:rPr>
            <w:i/>
            <w:iCs/>
            <w:sz w:val="20"/>
            <w:szCs w:val="20"/>
          </w:rPr>
          <w:t>Cairo</w:t>
        </w:r>
      </w:smartTag>
    </w:smartTag>
    <w:r w:rsidRPr="008325F1">
      <w:rPr>
        <w:i/>
        <w:iCs/>
        <w:sz w:val="20"/>
        <w:szCs w:val="20"/>
      </w:rPr>
      <w:t xml:space="preserve"> Road Map. “ICTs and Environmental Sustainability”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92" w:type="dxa"/>
      <w:tblLook w:val="00A0"/>
    </w:tblPr>
    <w:tblGrid>
      <w:gridCol w:w="2800"/>
      <w:gridCol w:w="3192"/>
      <w:gridCol w:w="2796"/>
    </w:tblGrid>
    <w:tr w:rsidR="003107A1" w:rsidRPr="008325F1">
      <w:tc>
        <w:tcPr>
          <w:tcW w:w="2800" w:type="dxa"/>
          <w:vAlign w:val="center"/>
        </w:tcPr>
        <w:p w:rsidR="003107A1" w:rsidRPr="008325F1" w:rsidRDefault="003107A1" w:rsidP="00C75365">
          <w:pPr>
            <w:jc w:val="center"/>
          </w:pPr>
          <w:r>
            <w:rPr>
              <w:noProof/>
              <w:color w:val="000066"/>
              <w:sz w:val="18"/>
              <w:szCs w:val="18"/>
              <w:lang w:val="en-GB" w:eastAsia="zh-CN"/>
            </w:rPr>
            <w:drawing>
              <wp:inline distT="0" distB="0" distL="0" distR="0">
                <wp:extent cx="636270" cy="970280"/>
                <wp:effectExtent l="19050" t="0" r="0" b="0"/>
                <wp:docPr id="1" name="Picture 3" descr="MC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T"/>
                        <pic:cNvPicPr>
                          <a:picLocks noChangeAspect="1" noChangeArrowheads="1"/>
                        </pic:cNvPicPr>
                      </pic:nvPicPr>
                      <pic:blipFill>
                        <a:blip r:embed="rId2"/>
                        <a:srcRect/>
                        <a:stretch>
                          <a:fillRect/>
                        </a:stretch>
                      </pic:blipFill>
                      <pic:spPr bwMode="auto">
                        <a:xfrm>
                          <a:off x="0" y="0"/>
                          <a:ext cx="636270" cy="970280"/>
                        </a:xfrm>
                        <a:prstGeom prst="rect">
                          <a:avLst/>
                        </a:prstGeom>
                        <a:noFill/>
                        <a:ln w="9525">
                          <a:noFill/>
                          <a:miter lim="800000"/>
                          <a:headEnd/>
                          <a:tailEnd/>
                        </a:ln>
                      </pic:spPr>
                    </pic:pic>
                  </a:graphicData>
                </a:graphic>
              </wp:inline>
            </w:drawing>
          </w:r>
        </w:p>
        <w:p w:rsidR="003107A1" w:rsidRPr="008325F1" w:rsidRDefault="003107A1" w:rsidP="00F7162E">
          <w:pPr>
            <w:spacing w:before="60"/>
            <w:jc w:val="center"/>
            <w:rPr>
              <w:b/>
              <w:bCs/>
              <w:sz w:val="16"/>
              <w:szCs w:val="16"/>
            </w:rPr>
          </w:pPr>
          <w:r w:rsidRPr="00F7162E">
            <w:rPr>
              <w:b/>
              <w:bCs/>
              <w:color w:val="000000"/>
              <w:sz w:val="16"/>
              <w:szCs w:val="16"/>
            </w:rPr>
            <w:t>Ministry of State for</w:t>
          </w:r>
          <w:r w:rsidRPr="00F7162E">
            <w:rPr>
              <w:b/>
              <w:bCs/>
              <w:color w:val="000000"/>
              <w:sz w:val="16"/>
              <w:szCs w:val="16"/>
            </w:rPr>
            <w:br/>
            <w:t>Environmental Affairs</w:t>
          </w:r>
        </w:p>
      </w:tc>
      <w:tc>
        <w:tcPr>
          <w:tcW w:w="3192" w:type="dxa"/>
          <w:vAlign w:val="center"/>
        </w:tcPr>
        <w:p w:rsidR="003107A1" w:rsidRPr="008325F1" w:rsidRDefault="003107A1" w:rsidP="008325F1">
          <w:pPr>
            <w:jc w:val="center"/>
          </w:pPr>
          <w:r>
            <w:rPr>
              <w:noProof/>
              <w:lang w:val="en-GB" w:eastAsia="zh-CN"/>
            </w:rPr>
            <w:drawing>
              <wp:inline distT="0" distB="0" distL="0" distR="0">
                <wp:extent cx="1693545" cy="731520"/>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693545" cy="731520"/>
                        </a:xfrm>
                        <a:prstGeom prst="rect">
                          <a:avLst/>
                        </a:prstGeom>
                        <a:noFill/>
                        <a:ln w="9525">
                          <a:noFill/>
                          <a:miter lim="800000"/>
                          <a:headEnd/>
                          <a:tailEnd/>
                        </a:ln>
                      </pic:spPr>
                    </pic:pic>
                  </a:graphicData>
                </a:graphic>
              </wp:inline>
            </w:drawing>
          </w:r>
        </w:p>
      </w:tc>
      <w:tc>
        <w:tcPr>
          <w:tcW w:w="2796" w:type="dxa"/>
          <w:vAlign w:val="center"/>
        </w:tcPr>
        <w:p w:rsidR="003107A1" w:rsidRPr="008325F1" w:rsidRDefault="003107A1" w:rsidP="00C75365">
          <w:pPr>
            <w:jc w:val="center"/>
          </w:pPr>
          <w:r>
            <w:rPr>
              <w:noProof/>
              <w:color w:val="000066"/>
              <w:sz w:val="18"/>
              <w:szCs w:val="18"/>
              <w:lang w:val="en-GB" w:eastAsia="zh-CN"/>
            </w:rPr>
            <w:drawing>
              <wp:inline distT="0" distB="0" distL="0" distR="0">
                <wp:extent cx="604520" cy="842645"/>
                <wp:effectExtent l="19050" t="0" r="5080" b="0"/>
                <wp:docPr id="3" name="Picture 3" descr="MCI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T"/>
                        <pic:cNvPicPr>
                          <a:picLocks noChangeAspect="1" noChangeArrowheads="1"/>
                        </pic:cNvPicPr>
                      </pic:nvPicPr>
                      <pic:blipFill>
                        <a:blip r:embed="rId5"/>
                        <a:srcRect/>
                        <a:stretch>
                          <a:fillRect/>
                        </a:stretch>
                      </pic:blipFill>
                      <pic:spPr bwMode="auto">
                        <a:xfrm>
                          <a:off x="0" y="0"/>
                          <a:ext cx="604520" cy="842645"/>
                        </a:xfrm>
                        <a:prstGeom prst="rect">
                          <a:avLst/>
                        </a:prstGeom>
                        <a:noFill/>
                        <a:ln w="9525">
                          <a:noFill/>
                          <a:miter lim="800000"/>
                          <a:headEnd/>
                          <a:tailEnd/>
                        </a:ln>
                      </pic:spPr>
                    </pic:pic>
                  </a:graphicData>
                </a:graphic>
              </wp:inline>
            </w:drawing>
          </w:r>
        </w:p>
        <w:p w:rsidR="003107A1" w:rsidRPr="008325F1" w:rsidRDefault="003107A1" w:rsidP="00F7162E">
          <w:pPr>
            <w:spacing w:before="60"/>
            <w:jc w:val="center"/>
          </w:pPr>
          <w:r w:rsidRPr="008325F1">
            <w:rPr>
              <w:b/>
              <w:bCs/>
              <w:color w:val="000000"/>
              <w:sz w:val="16"/>
              <w:szCs w:val="16"/>
            </w:rPr>
            <w:t>Ministry of Communications and Information Technology</w:t>
          </w:r>
        </w:p>
        <w:p w:rsidR="003107A1" w:rsidRPr="008325F1" w:rsidRDefault="003107A1" w:rsidP="00C75365">
          <w:pPr>
            <w:jc w:val="center"/>
          </w:pPr>
        </w:p>
      </w:tc>
    </w:tr>
  </w:tbl>
  <w:p w:rsidR="003107A1" w:rsidRPr="008325F1" w:rsidRDefault="003107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86AF1AC"/>
    <w:lvl w:ilvl="0">
      <w:start w:val="1"/>
      <w:numFmt w:val="bullet"/>
      <w:lvlText w:val=""/>
      <w:lvlJc w:val="left"/>
      <w:pPr>
        <w:tabs>
          <w:tab w:val="num" w:pos="360"/>
        </w:tabs>
        <w:ind w:left="360" w:hanging="360"/>
      </w:pPr>
      <w:rPr>
        <w:rFonts w:ascii="Symbol" w:hAnsi="Symbol" w:hint="default"/>
      </w:rPr>
    </w:lvl>
  </w:abstractNum>
  <w:abstractNum w:abstractNumId="1">
    <w:nsid w:val="04D64606"/>
    <w:multiLevelType w:val="hybridMultilevel"/>
    <w:tmpl w:val="28A0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91D84"/>
    <w:multiLevelType w:val="hybridMultilevel"/>
    <w:tmpl w:val="034A8C1A"/>
    <w:lvl w:ilvl="0" w:tplc="0C101530">
      <w:start w:val="12"/>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946E5"/>
    <w:multiLevelType w:val="hybridMultilevel"/>
    <w:tmpl w:val="FCC0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D163F"/>
    <w:multiLevelType w:val="hybridMultilevel"/>
    <w:tmpl w:val="48A42502"/>
    <w:lvl w:ilvl="0" w:tplc="0C101530">
      <w:start w:val="12"/>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707C78"/>
    <w:multiLevelType w:val="hybridMultilevel"/>
    <w:tmpl w:val="ABBCF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7E5C3B"/>
    <w:multiLevelType w:val="hybridMultilevel"/>
    <w:tmpl w:val="E6CEFE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3D5B13"/>
    <w:multiLevelType w:val="hybridMultilevel"/>
    <w:tmpl w:val="A0B0ED98"/>
    <w:lvl w:ilvl="0" w:tplc="16263668">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B51DE0"/>
    <w:multiLevelType w:val="hybridMultilevel"/>
    <w:tmpl w:val="55EA776A"/>
    <w:lvl w:ilvl="0" w:tplc="82AEF480">
      <w:start w:val="1"/>
      <w:numFmt w:val="decimal"/>
      <w:lvlText w:val="%1."/>
      <w:lvlJc w:val="left"/>
      <w:pPr>
        <w:ind w:left="644" w:hanging="360"/>
      </w:pPr>
      <w:rPr>
        <w:rFonts w:cs="Times New Roman"/>
        <w:b/>
        <w:bCs/>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9">
    <w:nsid w:val="4CC568CB"/>
    <w:multiLevelType w:val="hybridMultilevel"/>
    <w:tmpl w:val="3A8C57FE"/>
    <w:lvl w:ilvl="0" w:tplc="F0D26F66">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B71079"/>
    <w:multiLevelType w:val="hybridMultilevel"/>
    <w:tmpl w:val="2F3ED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7B4A13"/>
    <w:multiLevelType w:val="hybridMultilevel"/>
    <w:tmpl w:val="1B2E1FC0"/>
    <w:lvl w:ilvl="0" w:tplc="0C101530">
      <w:start w:val="12"/>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CE3DD9"/>
    <w:multiLevelType w:val="hybridMultilevel"/>
    <w:tmpl w:val="DA04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475A45"/>
    <w:multiLevelType w:val="hybridMultilevel"/>
    <w:tmpl w:val="8B6889D2"/>
    <w:lvl w:ilvl="0" w:tplc="16263668">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9"/>
  </w:num>
  <w:num w:numId="4">
    <w:abstractNumId w:val="8"/>
  </w:num>
  <w:num w:numId="5">
    <w:abstractNumId w:val="10"/>
  </w:num>
  <w:num w:numId="6">
    <w:abstractNumId w:val="11"/>
  </w:num>
  <w:num w:numId="7">
    <w:abstractNumId w:val="4"/>
  </w:num>
  <w:num w:numId="8">
    <w:abstractNumId w:val="2"/>
  </w:num>
  <w:num w:numId="9">
    <w:abstractNumId w:val="6"/>
  </w:num>
  <w:num w:numId="10">
    <w:abstractNumId w:val="1"/>
  </w:num>
  <w:num w:numId="11">
    <w:abstractNumId w:val="7"/>
  </w:num>
  <w:num w:numId="12">
    <w:abstractNumId w:val="13"/>
  </w:num>
  <w:num w:numId="13">
    <w:abstractNumId w:val="12"/>
  </w:num>
  <w:num w:numId="14">
    <w:abstractNumId w:val="3"/>
  </w:num>
  <w:num w:numId="15">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701"/>
  <w:trackRevisions/>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E511B3"/>
    <w:rsid w:val="000072B5"/>
    <w:rsid w:val="00007A10"/>
    <w:rsid w:val="000143B7"/>
    <w:rsid w:val="000220B8"/>
    <w:rsid w:val="00024515"/>
    <w:rsid w:val="00030DEC"/>
    <w:rsid w:val="00043BA0"/>
    <w:rsid w:val="00044647"/>
    <w:rsid w:val="00045C69"/>
    <w:rsid w:val="0005160D"/>
    <w:rsid w:val="00060AB9"/>
    <w:rsid w:val="000720E5"/>
    <w:rsid w:val="00076F36"/>
    <w:rsid w:val="000820D3"/>
    <w:rsid w:val="0008457B"/>
    <w:rsid w:val="000A3EE4"/>
    <w:rsid w:val="000A464D"/>
    <w:rsid w:val="000B5511"/>
    <w:rsid w:val="000C10C4"/>
    <w:rsid w:val="000C1C62"/>
    <w:rsid w:val="000C6F27"/>
    <w:rsid w:val="00104034"/>
    <w:rsid w:val="00112876"/>
    <w:rsid w:val="0011442C"/>
    <w:rsid w:val="00114A3E"/>
    <w:rsid w:val="0012248E"/>
    <w:rsid w:val="001309DB"/>
    <w:rsid w:val="001401F8"/>
    <w:rsid w:val="00140DDF"/>
    <w:rsid w:val="0014589F"/>
    <w:rsid w:val="00147A1A"/>
    <w:rsid w:val="00155C55"/>
    <w:rsid w:val="00161CBE"/>
    <w:rsid w:val="00163B41"/>
    <w:rsid w:val="00167982"/>
    <w:rsid w:val="001700FF"/>
    <w:rsid w:val="00170921"/>
    <w:rsid w:val="0017596B"/>
    <w:rsid w:val="00191566"/>
    <w:rsid w:val="0019594A"/>
    <w:rsid w:val="001B45B1"/>
    <w:rsid w:val="001C6A2E"/>
    <w:rsid w:val="001D05C2"/>
    <w:rsid w:val="001D0758"/>
    <w:rsid w:val="001D5160"/>
    <w:rsid w:val="001D6714"/>
    <w:rsid w:val="001E3298"/>
    <w:rsid w:val="001E32A2"/>
    <w:rsid w:val="001F2F88"/>
    <w:rsid w:val="00206151"/>
    <w:rsid w:val="002208E1"/>
    <w:rsid w:val="00223946"/>
    <w:rsid w:val="0023143D"/>
    <w:rsid w:val="002327D2"/>
    <w:rsid w:val="00234E05"/>
    <w:rsid w:val="00244410"/>
    <w:rsid w:val="00251709"/>
    <w:rsid w:val="00253D28"/>
    <w:rsid w:val="0025604F"/>
    <w:rsid w:val="002629B0"/>
    <w:rsid w:val="00296841"/>
    <w:rsid w:val="00296AE2"/>
    <w:rsid w:val="002A0296"/>
    <w:rsid w:val="002A3F0A"/>
    <w:rsid w:val="002A50EE"/>
    <w:rsid w:val="002A5D31"/>
    <w:rsid w:val="002B4774"/>
    <w:rsid w:val="002D0EC7"/>
    <w:rsid w:val="002D0F07"/>
    <w:rsid w:val="002E3922"/>
    <w:rsid w:val="002E3B32"/>
    <w:rsid w:val="002F23E2"/>
    <w:rsid w:val="002F5BF1"/>
    <w:rsid w:val="002F5C00"/>
    <w:rsid w:val="003107A1"/>
    <w:rsid w:val="00337632"/>
    <w:rsid w:val="00361295"/>
    <w:rsid w:val="00362458"/>
    <w:rsid w:val="003746BA"/>
    <w:rsid w:val="003844DB"/>
    <w:rsid w:val="003848D1"/>
    <w:rsid w:val="003860C6"/>
    <w:rsid w:val="003A0E4A"/>
    <w:rsid w:val="003A3927"/>
    <w:rsid w:val="003A731E"/>
    <w:rsid w:val="003B31D6"/>
    <w:rsid w:val="003C19F9"/>
    <w:rsid w:val="003D2095"/>
    <w:rsid w:val="003D7818"/>
    <w:rsid w:val="003E51EF"/>
    <w:rsid w:val="003F0B52"/>
    <w:rsid w:val="0040376C"/>
    <w:rsid w:val="004047A5"/>
    <w:rsid w:val="00450FC2"/>
    <w:rsid w:val="004523C5"/>
    <w:rsid w:val="00456B2A"/>
    <w:rsid w:val="004748D3"/>
    <w:rsid w:val="00481272"/>
    <w:rsid w:val="00485877"/>
    <w:rsid w:val="00490C59"/>
    <w:rsid w:val="004C282D"/>
    <w:rsid w:val="004E1842"/>
    <w:rsid w:val="004E551C"/>
    <w:rsid w:val="004E6EC6"/>
    <w:rsid w:val="004E7E48"/>
    <w:rsid w:val="005024FA"/>
    <w:rsid w:val="00503263"/>
    <w:rsid w:val="005036C4"/>
    <w:rsid w:val="005103B4"/>
    <w:rsid w:val="00523576"/>
    <w:rsid w:val="00536871"/>
    <w:rsid w:val="0053776F"/>
    <w:rsid w:val="00553B65"/>
    <w:rsid w:val="005660D6"/>
    <w:rsid w:val="005847E8"/>
    <w:rsid w:val="00584FA9"/>
    <w:rsid w:val="00586214"/>
    <w:rsid w:val="00595391"/>
    <w:rsid w:val="005B014C"/>
    <w:rsid w:val="005B2A5C"/>
    <w:rsid w:val="005B6AC2"/>
    <w:rsid w:val="005C1583"/>
    <w:rsid w:val="005C2926"/>
    <w:rsid w:val="005C3394"/>
    <w:rsid w:val="005C619C"/>
    <w:rsid w:val="005D5AC8"/>
    <w:rsid w:val="005D7153"/>
    <w:rsid w:val="005E0ADD"/>
    <w:rsid w:val="00610F6F"/>
    <w:rsid w:val="0061473E"/>
    <w:rsid w:val="00632094"/>
    <w:rsid w:val="00641760"/>
    <w:rsid w:val="006429E1"/>
    <w:rsid w:val="006530C5"/>
    <w:rsid w:val="00667819"/>
    <w:rsid w:val="006946AE"/>
    <w:rsid w:val="0069610A"/>
    <w:rsid w:val="006C15D3"/>
    <w:rsid w:val="006C509B"/>
    <w:rsid w:val="006D1244"/>
    <w:rsid w:val="006E51B7"/>
    <w:rsid w:val="006E5D67"/>
    <w:rsid w:val="006F38FB"/>
    <w:rsid w:val="007017CB"/>
    <w:rsid w:val="0070368D"/>
    <w:rsid w:val="00704149"/>
    <w:rsid w:val="00704A38"/>
    <w:rsid w:val="0071293A"/>
    <w:rsid w:val="0072039E"/>
    <w:rsid w:val="007323D1"/>
    <w:rsid w:val="0073754D"/>
    <w:rsid w:val="00737FD5"/>
    <w:rsid w:val="00743CD6"/>
    <w:rsid w:val="00744CDB"/>
    <w:rsid w:val="00747534"/>
    <w:rsid w:val="007531F9"/>
    <w:rsid w:val="007566CB"/>
    <w:rsid w:val="007576FC"/>
    <w:rsid w:val="00761D0B"/>
    <w:rsid w:val="00764767"/>
    <w:rsid w:val="007700DB"/>
    <w:rsid w:val="007703B9"/>
    <w:rsid w:val="00770736"/>
    <w:rsid w:val="00775747"/>
    <w:rsid w:val="00781938"/>
    <w:rsid w:val="00783E65"/>
    <w:rsid w:val="00785313"/>
    <w:rsid w:val="007A6A19"/>
    <w:rsid w:val="007B4A96"/>
    <w:rsid w:val="007B54CB"/>
    <w:rsid w:val="007C2818"/>
    <w:rsid w:val="007C5024"/>
    <w:rsid w:val="007F11B8"/>
    <w:rsid w:val="007F1C15"/>
    <w:rsid w:val="008043BF"/>
    <w:rsid w:val="00806DDA"/>
    <w:rsid w:val="00823113"/>
    <w:rsid w:val="00824282"/>
    <w:rsid w:val="008325F1"/>
    <w:rsid w:val="00833F08"/>
    <w:rsid w:val="00842AAD"/>
    <w:rsid w:val="00866815"/>
    <w:rsid w:val="00873A82"/>
    <w:rsid w:val="00873F2E"/>
    <w:rsid w:val="00874903"/>
    <w:rsid w:val="008766FB"/>
    <w:rsid w:val="008840A8"/>
    <w:rsid w:val="008A0A79"/>
    <w:rsid w:val="008A31E6"/>
    <w:rsid w:val="008C26A2"/>
    <w:rsid w:val="008D16C0"/>
    <w:rsid w:val="008D4EE8"/>
    <w:rsid w:val="008E07D9"/>
    <w:rsid w:val="00904F92"/>
    <w:rsid w:val="00905025"/>
    <w:rsid w:val="0091361E"/>
    <w:rsid w:val="0091749A"/>
    <w:rsid w:val="0092212A"/>
    <w:rsid w:val="00933284"/>
    <w:rsid w:val="00935622"/>
    <w:rsid w:val="00936C93"/>
    <w:rsid w:val="00944A7D"/>
    <w:rsid w:val="00960058"/>
    <w:rsid w:val="00960BF8"/>
    <w:rsid w:val="00962604"/>
    <w:rsid w:val="009662E1"/>
    <w:rsid w:val="00972CD1"/>
    <w:rsid w:val="0097556F"/>
    <w:rsid w:val="00982F23"/>
    <w:rsid w:val="00985184"/>
    <w:rsid w:val="009A399C"/>
    <w:rsid w:val="009A7BE7"/>
    <w:rsid w:val="009C7380"/>
    <w:rsid w:val="009D1AF1"/>
    <w:rsid w:val="009E124E"/>
    <w:rsid w:val="009F417E"/>
    <w:rsid w:val="00A01B34"/>
    <w:rsid w:val="00A066C9"/>
    <w:rsid w:val="00A07A8E"/>
    <w:rsid w:val="00A265A3"/>
    <w:rsid w:val="00A33F60"/>
    <w:rsid w:val="00A436BF"/>
    <w:rsid w:val="00A526C3"/>
    <w:rsid w:val="00A57394"/>
    <w:rsid w:val="00A636A7"/>
    <w:rsid w:val="00A64B03"/>
    <w:rsid w:val="00A65404"/>
    <w:rsid w:val="00A921D5"/>
    <w:rsid w:val="00AB1299"/>
    <w:rsid w:val="00AB1665"/>
    <w:rsid w:val="00AB3A2C"/>
    <w:rsid w:val="00AB7964"/>
    <w:rsid w:val="00AC2666"/>
    <w:rsid w:val="00AC4DDF"/>
    <w:rsid w:val="00AD49C3"/>
    <w:rsid w:val="00AE3D83"/>
    <w:rsid w:val="00AE5EE9"/>
    <w:rsid w:val="00AE739B"/>
    <w:rsid w:val="00AF14D4"/>
    <w:rsid w:val="00AF38CE"/>
    <w:rsid w:val="00AF773A"/>
    <w:rsid w:val="00B11940"/>
    <w:rsid w:val="00B131CA"/>
    <w:rsid w:val="00B33E92"/>
    <w:rsid w:val="00B34E05"/>
    <w:rsid w:val="00B35A94"/>
    <w:rsid w:val="00B379CC"/>
    <w:rsid w:val="00B53689"/>
    <w:rsid w:val="00B81DF2"/>
    <w:rsid w:val="00B95F12"/>
    <w:rsid w:val="00BA1EA3"/>
    <w:rsid w:val="00BA5A9E"/>
    <w:rsid w:val="00BA77B6"/>
    <w:rsid w:val="00BC5DD0"/>
    <w:rsid w:val="00BD78D8"/>
    <w:rsid w:val="00BE2174"/>
    <w:rsid w:val="00BE7425"/>
    <w:rsid w:val="00BF4B34"/>
    <w:rsid w:val="00C01982"/>
    <w:rsid w:val="00C05B92"/>
    <w:rsid w:val="00C106AD"/>
    <w:rsid w:val="00C10EB8"/>
    <w:rsid w:val="00C13926"/>
    <w:rsid w:val="00C179FE"/>
    <w:rsid w:val="00C362F0"/>
    <w:rsid w:val="00C36A17"/>
    <w:rsid w:val="00C41C0A"/>
    <w:rsid w:val="00C43E71"/>
    <w:rsid w:val="00C47E32"/>
    <w:rsid w:val="00C51DFC"/>
    <w:rsid w:val="00C56EFF"/>
    <w:rsid w:val="00C611B6"/>
    <w:rsid w:val="00C645CF"/>
    <w:rsid w:val="00C64DC4"/>
    <w:rsid w:val="00C675F9"/>
    <w:rsid w:val="00C75365"/>
    <w:rsid w:val="00C77BEC"/>
    <w:rsid w:val="00CB4F34"/>
    <w:rsid w:val="00CC0770"/>
    <w:rsid w:val="00CC3875"/>
    <w:rsid w:val="00CC4A60"/>
    <w:rsid w:val="00CC6F60"/>
    <w:rsid w:val="00CD6332"/>
    <w:rsid w:val="00CE02BF"/>
    <w:rsid w:val="00CE4737"/>
    <w:rsid w:val="00CE4F8B"/>
    <w:rsid w:val="00CF2FF6"/>
    <w:rsid w:val="00D115B9"/>
    <w:rsid w:val="00D225A6"/>
    <w:rsid w:val="00D26AF4"/>
    <w:rsid w:val="00D428FF"/>
    <w:rsid w:val="00D52460"/>
    <w:rsid w:val="00D810F1"/>
    <w:rsid w:val="00DB12AD"/>
    <w:rsid w:val="00DB357B"/>
    <w:rsid w:val="00DC06E3"/>
    <w:rsid w:val="00DC1FA2"/>
    <w:rsid w:val="00DD32E0"/>
    <w:rsid w:val="00DD6689"/>
    <w:rsid w:val="00DF0307"/>
    <w:rsid w:val="00DF1DBD"/>
    <w:rsid w:val="00DF4151"/>
    <w:rsid w:val="00DF7B76"/>
    <w:rsid w:val="00E01E6C"/>
    <w:rsid w:val="00E21993"/>
    <w:rsid w:val="00E230A7"/>
    <w:rsid w:val="00E23CFE"/>
    <w:rsid w:val="00E242B9"/>
    <w:rsid w:val="00E24CFC"/>
    <w:rsid w:val="00E40463"/>
    <w:rsid w:val="00E50F58"/>
    <w:rsid w:val="00E511B3"/>
    <w:rsid w:val="00E547FF"/>
    <w:rsid w:val="00E642AB"/>
    <w:rsid w:val="00E67D43"/>
    <w:rsid w:val="00E81096"/>
    <w:rsid w:val="00E840D4"/>
    <w:rsid w:val="00E86EF1"/>
    <w:rsid w:val="00E877C1"/>
    <w:rsid w:val="00E87A63"/>
    <w:rsid w:val="00E958F5"/>
    <w:rsid w:val="00EA09B5"/>
    <w:rsid w:val="00EA1869"/>
    <w:rsid w:val="00EA5FCB"/>
    <w:rsid w:val="00EA6131"/>
    <w:rsid w:val="00ED2F82"/>
    <w:rsid w:val="00ED3CBC"/>
    <w:rsid w:val="00EE4AD8"/>
    <w:rsid w:val="00F031EF"/>
    <w:rsid w:val="00F1695E"/>
    <w:rsid w:val="00F249D9"/>
    <w:rsid w:val="00F27421"/>
    <w:rsid w:val="00F304C9"/>
    <w:rsid w:val="00F43903"/>
    <w:rsid w:val="00F47BC4"/>
    <w:rsid w:val="00F54138"/>
    <w:rsid w:val="00F5425C"/>
    <w:rsid w:val="00F61FFA"/>
    <w:rsid w:val="00F6486C"/>
    <w:rsid w:val="00F64CEC"/>
    <w:rsid w:val="00F674FE"/>
    <w:rsid w:val="00F7162E"/>
    <w:rsid w:val="00F76533"/>
    <w:rsid w:val="00F90032"/>
    <w:rsid w:val="00F968F2"/>
    <w:rsid w:val="00FA1560"/>
    <w:rsid w:val="00FA3A52"/>
    <w:rsid w:val="00FA6167"/>
    <w:rsid w:val="00FA7DAB"/>
    <w:rsid w:val="00FB3BED"/>
    <w:rsid w:val="00FC58CB"/>
    <w:rsid w:val="00FC7129"/>
    <w:rsid w:val="00FE1EBB"/>
    <w:rsid w:val="00FE781D"/>
    <w:rsid w:val="00FF03CC"/>
    <w:rsid w:val="00FF1CCC"/>
    <w:rsid w:val="00FF3D09"/>
    <w:rsid w:val="00FF690A"/>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DB"/>
    <w:rPr>
      <w:sz w:val="24"/>
      <w:szCs w:val="24"/>
      <w:lang w:eastAsia="ja-JP"/>
    </w:rPr>
  </w:style>
  <w:style w:type="paragraph" w:styleId="Heading1">
    <w:name w:val="heading 1"/>
    <w:basedOn w:val="Normal"/>
    <w:next w:val="Normal"/>
    <w:link w:val="Heading1Char"/>
    <w:uiPriority w:val="99"/>
    <w:qFormat/>
    <w:rsid w:val="00704A38"/>
    <w:pPr>
      <w:keepNext/>
      <w:autoSpaceDE w:val="0"/>
      <w:autoSpaceDN w:val="0"/>
      <w:spacing w:before="60" w:after="60"/>
      <w:jc w:val="both"/>
      <w:outlineLvl w:val="0"/>
    </w:pPr>
    <w:rPr>
      <w:rFonts w:ascii="Arial" w:hAnsi="Arial" w:cs="Arial"/>
      <w:b/>
      <w:bCs/>
      <w:caps/>
      <w:lang w:eastAsia="en-US"/>
    </w:rPr>
  </w:style>
  <w:style w:type="paragraph" w:styleId="Heading2">
    <w:name w:val="heading 2"/>
    <w:basedOn w:val="Normal"/>
    <w:next w:val="Normal"/>
    <w:link w:val="Heading2Char"/>
    <w:uiPriority w:val="99"/>
    <w:qFormat/>
    <w:rsid w:val="00823113"/>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uiPriority w:val="99"/>
    <w:qFormat/>
    <w:rsid w:val="00A6540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6841"/>
    <w:rPr>
      <w:rFonts w:ascii="Cambria" w:eastAsia="SimSun" w:hAnsi="Cambria" w:cs="Times New Roman"/>
      <w:b/>
      <w:bCs/>
      <w:kern w:val="32"/>
      <w:sz w:val="32"/>
      <w:szCs w:val="32"/>
      <w:lang w:eastAsia="ja-JP"/>
    </w:rPr>
  </w:style>
  <w:style w:type="character" w:customStyle="1" w:styleId="Heading2Char">
    <w:name w:val="Heading 2 Char"/>
    <w:basedOn w:val="DefaultParagraphFont"/>
    <w:link w:val="Heading2"/>
    <w:uiPriority w:val="99"/>
    <w:semiHidden/>
    <w:locked/>
    <w:rsid w:val="00823113"/>
    <w:rPr>
      <w:rFonts w:ascii="Cambria" w:hAnsi="Cambria" w:cs="Times New Roman"/>
      <w:b/>
      <w:bCs/>
      <w:color w:val="4F81BD"/>
      <w:sz w:val="26"/>
      <w:szCs w:val="26"/>
      <w:lang w:eastAsia="ja-JP"/>
    </w:rPr>
  </w:style>
  <w:style w:type="character" w:customStyle="1" w:styleId="Heading6Char">
    <w:name w:val="Heading 6 Char"/>
    <w:basedOn w:val="DefaultParagraphFont"/>
    <w:link w:val="Heading6"/>
    <w:uiPriority w:val="99"/>
    <w:semiHidden/>
    <w:locked/>
    <w:rsid w:val="00296841"/>
    <w:rPr>
      <w:rFonts w:ascii="Calibri" w:eastAsia="SimSun" w:hAnsi="Calibri" w:cs="Arial"/>
      <w:b/>
      <w:bCs/>
      <w:lang w:eastAsia="ja-JP"/>
    </w:rPr>
  </w:style>
  <w:style w:type="paragraph" w:styleId="Header">
    <w:name w:val="header"/>
    <w:basedOn w:val="Normal"/>
    <w:link w:val="HeaderChar"/>
    <w:uiPriority w:val="99"/>
    <w:rsid w:val="00553B65"/>
    <w:pPr>
      <w:tabs>
        <w:tab w:val="center" w:pos="4320"/>
        <w:tab w:val="right" w:pos="8640"/>
      </w:tabs>
    </w:pPr>
  </w:style>
  <w:style w:type="character" w:customStyle="1" w:styleId="HeaderChar">
    <w:name w:val="Header Char"/>
    <w:basedOn w:val="DefaultParagraphFont"/>
    <w:link w:val="Header"/>
    <w:uiPriority w:val="99"/>
    <w:semiHidden/>
    <w:locked/>
    <w:rsid w:val="00296841"/>
    <w:rPr>
      <w:rFonts w:cs="Times New Roman"/>
      <w:sz w:val="24"/>
      <w:szCs w:val="24"/>
      <w:lang w:eastAsia="ja-JP"/>
    </w:rPr>
  </w:style>
  <w:style w:type="paragraph" w:styleId="Footer">
    <w:name w:val="footer"/>
    <w:basedOn w:val="Normal"/>
    <w:link w:val="FooterChar"/>
    <w:uiPriority w:val="99"/>
    <w:rsid w:val="00553B65"/>
    <w:pPr>
      <w:tabs>
        <w:tab w:val="center" w:pos="4320"/>
        <w:tab w:val="right" w:pos="8640"/>
      </w:tabs>
    </w:pPr>
  </w:style>
  <w:style w:type="character" w:customStyle="1" w:styleId="FooterChar">
    <w:name w:val="Footer Char"/>
    <w:basedOn w:val="DefaultParagraphFont"/>
    <w:link w:val="Footer"/>
    <w:uiPriority w:val="99"/>
    <w:semiHidden/>
    <w:locked/>
    <w:rsid w:val="00296841"/>
    <w:rPr>
      <w:rFonts w:cs="Times New Roman"/>
      <w:sz w:val="24"/>
      <w:szCs w:val="24"/>
      <w:lang w:eastAsia="ja-JP"/>
    </w:rPr>
  </w:style>
  <w:style w:type="paragraph" w:styleId="ListBullet">
    <w:name w:val="List Bullet"/>
    <w:basedOn w:val="Normal"/>
    <w:uiPriority w:val="99"/>
    <w:rsid w:val="0019594A"/>
    <w:pPr>
      <w:numPr>
        <w:numId w:val="3"/>
      </w:numPr>
    </w:pPr>
    <w:rPr>
      <w:lang w:val="en-GB" w:eastAsia="en-US"/>
    </w:rPr>
  </w:style>
  <w:style w:type="paragraph" w:styleId="FootnoteText">
    <w:name w:val="footnote text"/>
    <w:aliases w:val="ACMA Footnote Text"/>
    <w:basedOn w:val="Normal"/>
    <w:link w:val="FootnoteTextChar"/>
    <w:uiPriority w:val="99"/>
    <w:semiHidden/>
    <w:rsid w:val="00704A38"/>
    <w:pPr>
      <w:autoSpaceDE w:val="0"/>
      <w:autoSpaceDN w:val="0"/>
      <w:jc w:val="both"/>
    </w:pPr>
    <w:rPr>
      <w:rFonts w:ascii="Arial" w:hAnsi="Arial" w:cs="Arial"/>
      <w:sz w:val="18"/>
      <w:szCs w:val="18"/>
      <w:lang w:eastAsia="en-US"/>
    </w:rPr>
  </w:style>
  <w:style w:type="character" w:customStyle="1" w:styleId="FootnoteTextChar">
    <w:name w:val="Footnote Text Char"/>
    <w:aliases w:val="ACMA Footnote Text Char"/>
    <w:basedOn w:val="DefaultParagraphFont"/>
    <w:link w:val="FootnoteText"/>
    <w:uiPriority w:val="99"/>
    <w:locked/>
    <w:rsid w:val="00704A38"/>
    <w:rPr>
      <w:rFonts w:ascii="Arial" w:hAnsi="Arial" w:cs="Arial"/>
      <w:sz w:val="18"/>
      <w:szCs w:val="18"/>
      <w:lang w:val="en-US" w:eastAsia="en-US" w:bidi="ar-SA"/>
    </w:rPr>
  </w:style>
  <w:style w:type="character" w:styleId="FootnoteReference">
    <w:name w:val="footnote reference"/>
    <w:basedOn w:val="DefaultParagraphFont"/>
    <w:uiPriority w:val="99"/>
    <w:semiHidden/>
    <w:rsid w:val="00704A38"/>
    <w:rPr>
      <w:rFonts w:cs="Times New Roman"/>
      <w:vertAlign w:val="superscript"/>
    </w:rPr>
  </w:style>
  <w:style w:type="paragraph" w:customStyle="1" w:styleId="Default">
    <w:name w:val="Default"/>
    <w:uiPriority w:val="99"/>
    <w:rsid w:val="003746BA"/>
    <w:pPr>
      <w:autoSpaceDE w:val="0"/>
      <w:autoSpaceDN w:val="0"/>
      <w:adjustRightInd w:val="0"/>
    </w:pPr>
    <w:rPr>
      <w:color w:val="000000"/>
      <w:sz w:val="24"/>
      <w:szCs w:val="24"/>
      <w:lang w:eastAsia="ja-JP"/>
    </w:rPr>
  </w:style>
  <w:style w:type="paragraph" w:styleId="BodyText">
    <w:name w:val="Body Text"/>
    <w:basedOn w:val="Normal"/>
    <w:link w:val="BodyTextChar"/>
    <w:uiPriority w:val="99"/>
    <w:rsid w:val="00A07A8E"/>
    <w:pPr>
      <w:autoSpaceDE w:val="0"/>
      <w:autoSpaceDN w:val="0"/>
    </w:pPr>
    <w:rPr>
      <w:lang w:val="en-GB" w:eastAsia="en-US"/>
    </w:rPr>
  </w:style>
  <w:style w:type="character" w:customStyle="1" w:styleId="BodyTextChar">
    <w:name w:val="Body Text Char"/>
    <w:basedOn w:val="DefaultParagraphFont"/>
    <w:link w:val="BodyText"/>
    <w:uiPriority w:val="99"/>
    <w:locked/>
    <w:rsid w:val="00A07A8E"/>
    <w:rPr>
      <w:rFonts w:eastAsia="Times New Roman" w:cs="Times New Roman"/>
      <w:sz w:val="24"/>
      <w:szCs w:val="24"/>
      <w:lang w:val="en-GB" w:eastAsia="en-US" w:bidi="ar-SA"/>
    </w:rPr>
  </w:style>
  <w:style w:type="paragraph" w:customStyle="1" w:styleId="CorpsdetexteFIP">
    <w:name w:val="Corps de texte FIP"/>
    <w:basedOn w:val="BodyText"/>
    <w:next w:val="BodyText"/>
    <w:uiPriority w:val="99"/>
    <w:rsid w:val="00A07A8E"/>
    <w:pPr>
      <w:tabs>
        <w:tab w:val="left" w:pos="357"/>
        <w:tab w:val="left" w:pos="2268"/>
      </w:tabs>
      <w:autoSpaceDE/>
      <w:autoSpaceDN/>
      <w:jc w:val="both"/>
    </w:pPr>
    <w:rPr>
      <w:sz w:val="22"/>
      <w:szCs w:val="20"/>
      <w:lang w:val="fr-FR" w:eastAsia="fr-FR"/>
    </w:rPr>
  </w:style>
  <w:style w:type="paragraph" w:styleId="ListParagraph">
    <w:name w:val="List Paragraph"/>
    <w:basedOn w:val="Normal"/>
    <w:uiPriority w:val="99"/>
    <w:qFormat/>
    <w:rsid w:val="00C47E32"/>
    <w:pPr>
      <w:autoSpaceDE w:val="0"/>
      <w:autoSpaceDN w:val="0"/>
      <w:ind w:left="720"/>
      <w:contextualSpacing/>
      <w:jc w:val="both"/>
    </w:pPr>
    <w:rPr>
      <w:rFonts w:ascii="Arial" w:hAnsi="Arial" w:cs="Arial"/>
      <w:sz w:val="22"/>
      <w:szCs w:val="22"/>
      <w:lang w:eastAsia="en-US"/>
    </w:rPr>
  </w:style>
  <w:style w:type="character" w:styleId="Hyperlink">
    <w:name w:val="Hyperlink"/>
    <w:basedOn w:val="DefaultParagraphFont"/>
    <w:uiPriority w:val="99"/>
    <w:rsid w:val="00E840D4"/>
    <w:rPr>
      <w:rFonts w:cs="Times New Roman"/>
      <w:color w:val="0000FF"/>
      <w:u w:val="single"/>
    </w:rPr>
  </w:style>
  <w:style w:type="character" w:styleId="Strong">
    <w:name w:val="Strong"/>
    <w:basedOn w:val="DefaultParagraphFont"/>
    <w:uiPriority w:val="99"/>
    <w:qFormat/>
    <w:rsid w:val="00A65404"/>
    <w:rPr>
      <w:rFonts w:cs="Times New Roman"/>
      <w:b/>
      <w:bCs/>
    </w:rPr>
  </w:style>
  <w:style w:type="paragraph" w:styleId="BalloonText">
    <w:name w:val="Balloon Text"/>
    <w:basedOn w:val="Normal"/>
    <w:link w:val="BalloonTextChar"/>
    <w:uiPriority w:val="99"/>
    <w:rsid w:val="00E81096"/>
    <w:rPr>
      <w:rFonts w:ascii="Tahoma" w:hAnsi="Tahoma" w:cs="Tahoma"/>
      <w:sz w:val="16"/>
      <w:szCs w:val="16"/>
    </w:rPr>
  </w:style>
  <w:style w:type="character" w:customStyle="1" w:styleId="BalloonTextChar">
    <w:name w:val="Balloon Text Char"/>
    <w:basedOn w:val="DefaultParagraphFont"/>
    <w:link w:val="BalloonText"/>
    <w:uiPriority w:val="99"/>
    <w:locked/>
    <w:rsid w:val="00E81096"/>
    <w:rPr>
      <w:rFonts w:ascii="Tahoma" w:hAnsi="Tahoma" w:cs="Tahoma"/>
      <w:sz w:val="16"/>
      <w:szCs w:val="16"/>
      <w:lang w:eastAsia="ja-JP"/>
    </w:rPr>
  </w:style>
  <w:style w:type="table" w:styleId="TableGrid">
    <w:name w:val="Table Grid"/>
    <w:basedOn w:val="TableNormal"/>
    <w:uiPriority w:val="99"/>
    <w:rsid w:val="00007A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44A7D"/>
    <w:rPr>
      <w:rFonts w:cs="Times New Roman"/>
      <w:sz w:val="16"/>
      <w:szCs w:val="16"/>
    </w:rPr>
  </w:style>
  <w:style w:type="paragraph" w:styleId="CommentText">
    <w:name w:val="annotation text"/>
    <w:basedOn w:val="Normal"/>
    <w:link w:val="CommentTextChar"/>
    <w:uiPriority w:val="99"/>
    <w:semiHidden/>
    <w:rsid w:val="00944A7D"/>
    <w:rPr>
      <w:sz w:val="20"/>
      <w:szCs w:val="20"/>
    </w:rPr>
  </w:style>
  <w:style w:type="character" w:customStyle="1" w:styleId="CommentTextChar">
    <w:name w:val="Comment Text Char"/>
    <w:basedOn w:val="DefaultParagraphFont"/>
    <w:link w:val="CommentText"/>
    <w:uiPriority w:val="99"/>
    <w:semiHidden/>
    <w:locked/>
    <w:rsid w:val="00944A7D"/>
    <w:rPr>
      <w:rFonts w:cs="Times New Roman"/>
      <w:lang w:eastAsia="ja-JP"/>
    </w:rPr>
  </w:style>
  <w:style w:type="paragraph" w:styleId="CommentSubject">
    <w:name w:val="annotation subject"/>
    <w:basedOn w:val="CommentText"/>
    <w:next w:val="CommentText"/>
    <w:link w:val="CommentSubjectChar"/>
    <w:uiPriority w:val="99"/>
    <w:semiHidden/>
    <w:rsid w:val="00944A7D"/>
    <w:rPr>
      <w:b/>
      <w:bCs/>
    </w:rPr>
  </w:style>
  <w:style w:type="character" w:customStyle="1" w:styleId="CommentSubjectChar">
    <w:name w:val="Comment Subject Char"/>
    <w:basedOn w:val="CommentTextChar"/>
    <w:link w:val="CommentSubject"/>
    <w:uiPriority w:val="99"/>
    <w:semiHidden/>
    <w:locked/>
    <w:rsid w:val="00944A7D"/>
    <w:rPr>
      <w:b/>
      <w:bCs/>
    </w:rPr>
  </w:style>
  <w:style w:type="paragraph" w:styleId="EndnoteText">
    <w:name w:val="endnote text"/>
    <w:basedOn w:val="Normal"/>
    <w:link w:val="EndnoteTextChar"/>
    <w:uiPriority w:val="99"/>
    <w:rsid w:val="002B4774"/>
    <w:pPr>
      <w:jc w:val="both"/>
    </w:pPr>
    <w:rPr>
      <w:rFonts w:ascii="Verdana" w:hAnsi="Verdana"/>
      <w:sz w:val="18"/>
      <w:szCs w:val="20"/>
      <w:lang w:eastAsia="en-US"/>
    </w:rPr>
  </w:style>
  <w:style w:type="character" w:customStyle="1" w:styleId="EndnoteTextChar">
    <w:name w:val="Endnote Text Char"/>
    <w:basedOn w:val="DefaultParagraphFont"/>
    <w:link w:val="EndnoteText"/>
    <w:uiPriority w:val="99"/>
    <w:locked/>
    <w:rsid w:val="002B4774"/>
    <w:rPr>
      <w:rFonts w:ascii="Verdana" w:hAnsi="Verdana" w:cs="Times New Roman"/>
      <w:sz w:val="18"/>
      <w:lang w:eastAsia="en-US"/>
    </w:rPr>
  </w:style>
  <w:style w:type="character" w:styleId="EndnoteReference">
    <w:name w:val="endnote reference"/>
    <w:basedOn w:val="DefaultParagraphFont"/>
    <w:uiPriority w:val="99"/>
    <w:rsid w:val="002B4774"/>
    <w:rPr>
      <w:rFonts w:ascii="Verdana" w:hAnsi="Verdana" w:cs="Times New Roman"/>
      <w:sz w:val="18"/>
      <w:vertAlign w:val="superscript"/>
    </w:rPr>
  </w:style>
</w:styles>
</file>

<file path=word/webSettings.xml><?xml version="1.0" encoding="utf-8"?>
<w:webSettings xmlns:r="http://schemas.openxmlformats.org/officeDocument/2006/relationships" xmlns:w="http://schemas.openxmlformats.org/wordprocessingml/2006/main">
  <w:divs>
    <w:div w:id="471295511">
      <w:bodyDiv w:val="1"/>
      <w:marLeft w:val="0"/>
      <w:marRight w:val="0"/>
      <w:marTop w:val="0"/>
      <w:marBottom w:val="0"/>
      <w:divBdr>
        <w:top w:val="none" w:sz="0" w:space="0" w:color="auto"/>
        <w:left w:val="none" w:sz="0" w:space="0" w:color="auto"/>
        <w:bottom w:val="none" w:sz="0" w:space="0" w:color="auto"/>
        <w:right w:val="none" w:sz="0" w:space="0" w:color="auto"/>
      </w:divBdr>
    </w:div>
    <w:div w:id="1417091079">
      <w:marLeft w:val="0"/>
      <w:marRight w:val="0"/>
      <w:marTop w:val="0"/>
      <w:marBottom w:val="0"/>
      <w:divBdr>
        <w:top w:val="none" w:sz="0" w:space="0" w:color="auto"/>
        <w:left w:val="none" w:sz="0" w:space="0" w:color="auto"/>
        <w:bottom w:val="none" w:sz="0" w:space="0" w:color="auto"/>
        <w:right w:val="none" w:sz="0" w:space="0" w:color="auto"/>
      </w:divBdr>
    </w:div>
    <w:div w:id="1417091080">
      <w:marLeft w:val="0"/>
      <w:marRight w:val="0"/>
      <w:marTop w:val="0"/>
      <w:marBottom w:val="0"/>
      <w:divBdr>
        <w:top w:val="none" w:sz="0" w:space="0" w:color="auto"/>
        <w:left w:val="none" w:sz="0" w:space="0" w:color="auto"/>
        <w:bottom w:val="none" w:sz="0" w:space="0" w:color="auto"/>
        <w:right w:val="none" w:sz="0" w:space="0" w:color="auto"/>
      </w:divBdr>
    </w:div>
    <w:div w:id="1417091083">
      <w:marLeft w:val="0"/>
      <w:marRight w:val="0"/>
      <w:marTop w:val="0"/>
      <w:marBottom w:val="0"/>
      <w:divBdr>
        <w:top w:val="none" w:sz="0" w:space="0" w:color="auto"/>
        <w:left w:val="none" w:sz="0" w:space="0" w:color="auto"/>
        <w:bottom w:val="none" w:sz="0" w:space="0" w:color="auto"/>
        <w:right w:val="none" w:sz="0" w:space="0" w:color="auto"/>
      </w:divBdr>
      <w:divsChild>
        <w:div w:id="1417091089">
          <w:marLeft w:val="0"/>
          <w:marRight w:val="0"/>
          <w:marTop w:val="0"/>
          <w:marBottom w:val="0"/>
          <w:divBdr>
            <w:top w:val="none" w:sz="0" w:space="0" w:color="auto"/>
            <w:left w:val="none" w:sz="0" w:space="0" w:color="auto"/>
            <w:bottom w:val="none" w:sz="0" w:space="0" w:color="auto"/>
            <w:right w:val="none" w:sz="0" w:space="0" w:color="auto"/>
          </w:divBdr>
        </w:div>
      </w:divsChild>
    </w:div>
    <w:div w:id="1417091086">
      <w:marLeft w:val="0"/>
      <w:marRight w:val="0"/>
      <w:marTop w:val="0"/>
      <w:marBottom w:val="0"/>
      <w:divBdr>
        <w:top w:val="none" w:sz="0" w:space="0" w:color="auto"/>
        <w:left w:val="none" w:sz="0" w:space="0" w:color="auto"/>
        <w:bottom w:val="none" w:sz="0" w:space="0" w:color="auto"/>
        <w:right w:val="none" w:sz="0" w:space="0" w:color="auto"/>
      </w:divBdr>
      <w:divsChild>
        <w:div w:id="1417091085">
          <w:marLeft w:val="0"/>
          <w:marRight w:val="0"/>
          <w:marTop w:val="0"/>
          <w:marBottom w:val="0"/>
          <w:divBdr>
            <w:top w:val="none" w:sz="0" w:space="0" w:color="auto"/>
            <w:left w:val="none" w:sz="0" w:space="0" w:color="auto"/>
            <w:bottom w:val="none" w:sz="0" w:space="0" w:color="auto"/>
            <w:right w:val="none" w:sz="0" w:space="0" w:color="auto"/>
          </w:divBdr>
          <w:divsChild>
            <w:div w:id="1417091081">
              <w:marLeft w:val="0"/>
              <w:marRight w:val="0"/>
              <w:marTop w:val="0"/>
              <w:marBottom w:val="0"/>
              <w:divBdr>
                <w:top w:val="none" w:sz="0" w:space="0" w:color="auto"/>
                <w:left w:val="none" w:sz="0" w:space="0" w:color="auto"/>
                <w:bottom w:val="none" w:sz="0" w:space="0" w:color="auto"/>
                <w:right w:val="none" w:sz="0" w:space="0" w:color="auto"/>
              </w:divBdr>
            </w:div>
            <w:div w:id="1417091087">
              <w:marLeft w:val="0"/>
              <w:marRight w:val="0"/>
              <w:marTop w:val="0"/>
              <w:marBottom w:val="0"/>
              <w:divBdr>
                <w:top w:val="none" w:sz="0" w:space="0" w:color="auto"/>
                <w:left w:val="none" w:sz="0" w:space="0" w:color="auto"/>
                <w:bottom w:val="none" w:sz="0" w:space="0" w:color="auto"/>
                <w:right w:val="none" w:sz="0" w:space="0" w:color="auto"/>
              </w:divBdr>
            </w:div>
            <w:div w:id="14170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1088">
      <w:marLeft w:val="0"/>
      <w:marRight w:val="0"/>
      <w:marTop w:val="0"/>
      <w:marBottom w:val="0"/>
      <w:divBdr>
        <w:top w:val="none" w:sz="0" w:space="0" w:color="auto"/>
        <w:left w:val="none" w:sz="0" w:space="0" w:color="auto"/>
        <w:bottom w:val="none" w:sz="0" w:space="0" w:color="auto"/>
        <w:right w:val="none" w:sz="0" w:space="0" w:color="auto"/>
      </w:divBdr>
      <w:divsChild>
        <w:div w:id="1417091084">
          <w:marLeft w:val="0"/>
          <w:marRight w:val="0"/>
          <w:marTop w:val="0"/>
          <w:marBottom w:val="0"/>
          <w:divBdr>
            <w:top w:val="none" w:sz="0" w:space="0" w:color="auto"/>
            <w:left w:val="none" w:sz="0" w:space="0" w:color="auto"/>
            <w:bottom w:val="none" w:sz="0" w:space="0" w:color="auto"/>
            <w:right w:val="none" w:sz="0" w:space="0" w:color="auto"/>
          </w:divBdr>
        </w:div>
      </w:divsChild>
    </w:div>
    <w:div w:id="1417091094">
      <w:marLeft w:val="0"/>
      <w:marRight w:val="0"/>
      <w:marTop w:val="0"/>
      <w:marBottom w:val="0"/>
      <w:divBdr>
        <w:top w:val="none" w:sz="0" w:space="0" w:color="auto"/>
        <w:left w:val="none" w:sz="0" w:space="0" w:color="auto"/>
        <w:bottom w:val="none" w:sz="0" w:space="0" w:color="auto"/>
        <w:right w:val="none" w:sz="0" w:space="0" w:color="auto"/>
      </w:divBdr>
      <w:divsChild>
        <w:div w:id="1417091093">
          <w:marLeft w:val="0"/>
          <w:marRight w:val="0"/>
          <w:marTop w:val="0"/>
          <w:marBottom w:val="0"/>
          <w:divBdr>
            <w:top w:val="none" w:sz="0" w:space="0" w:color="auto"/>
            <w:left w:val="none" w:sz="0" w:space="0" w:color="auto"/>
            <w:bottom w:val="none" w:sz="0" w:space="0" w:color="auto"/>
            <w:right w:val="none" w:sz="0" w:space="0" w:color="auto"/>
          </w:divBdr>
          <w:divsChild>
            <w:div w:id="1417091082">
              <w:marLeft w:val="0"/>
              <w:marRight w:val="0"/>
              <w:marTop w:val="0"/>
              <w:marBottom w:val="0"/>
              <w:divBdr>
                <w:top w:val="none" w:sz="0" w:space="0" w:color="auto"/>
                <w:left w:val="none" w:sz="0" w:space="0" w:color="auto"/>
                <w:bottom w:val="none" w:sz="0" w:space="0" w:color="auto"/>
                <w:right w:val="none" w:sz="0" w:space="0" w:color="auto"/>
              </w:divBdr>
            </w:div>
            <w:div w:id="1417091090">
              <w:marLeft w:val="0"/>
              <w:marRight w:val="0"/>
              <w:marTop w:val="0"/>
              <w:marBottom w:val="0"/>
              <w:divBdr>
                <w:top w:val="none" w:sz="0" w:space="0" w:color="auto"/>
                <w:left w:val="none" w:sz="0" w:space="0" w:color="auto"/>
                <w:bottom w:val="none" w:sz="0" w:space="0" w:color="auto"/>
                <w:right w:val="none" w:sz="0" w:space="0" w:color="auto"/>
              </w:divBdr>
            </w:div>
            <w:div w:id="14170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u.int/ITU-T/worksem/climatechange/201011/programm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T/worksem/climatechange/201011/" TargetMode="External"/><Relationship Id="rId1" Type="http://schemas.openxmlformats.org/officeDocument/2006/relationships/hyperlink" Target="http://www.itu.int/ITU-T/climatechang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eeaa.gov.eg/" TargetMode="External"/><Relationship Id="rId5" Type="http://schemas.openxmlformats.org/officeDocument/2006/relationships/image" Target="media/image3.jpeg"/><Relationship Id="rId4" Type="http://schemas.openxmlformats.org/officeDocument/2006/relationships/hyperlink" Target="http://www.mcit.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12645</CharactersWithSpaces>
  <SharedDoc>false</SharedDoc>
  <HLinks>
    <vt:vector size="30" baseType="variant">
      <vt:variant>
        <vt:i4>393245</vt:i4>
      </vt:variant>
      <vt:variant>
        <vt:i4>0</vt:i4>
      </vt:variant>
      <vt:variant>
        <vt:i4>0</vt:i4>
      </vt:variant>
      <vt:variant>
        <vt:i4>5</vt:i4>
      </vt:variant>
      <vt:variant>
        <vt:lpwstr>http://www.itu.int/ITU-T/worksem/climatechange/201011/programme.html</vt:lpwstr>
      </vt:variant>
      <vt:variant>
        <vt:lpwstr/>
      </vt:variant>
      <vt:variant>
        <vt:i4>2687101</vt:i4>
      </vt:variant>
      <vt:variant>
        <vt:i4>3</vt:i4>
      </vt:variant>
      <vt:variant>
        <vt:i4>0</vt:i4>
      </vt:variant>
      <vt:variant>
        <vt:i4>5</vt:i4>
      </vt:variant>
      <vt:variant>
        <vt:lpwstr>http://www.itu.int/ITU-T/worksem/climatechange/201011/</vt:lpwstr>
      </vt:variant>
      <vt:variant>
        <vt:lpwstr/>
      </vt:variant>
      <vt:variant>
        <vt:i4>3080237</vt:i4>
      </vt:variant>
      <vt:variant>
        <vt:i4>0</vt:i4>
      </vt:variant>
      <vt:variant>
        <vt:i4>0</vt:i4>
      </vt:variant>
      <vt:variant>
        <vt:i4>5</vt:i4>
      </vt:variant>
      <vt:variant>
        <vt:lpwstr>http://www.itu.int/ITU-T/climatechange/</vt:lpwstr>
      </vt:variant>
      <vt:variant>
        <vt:lpwstr/>
      </vt:variant>
      <vt:variant>
        <vt:i4>2555955</vt:i4>
      </vt:variant>
      <vt:variant>
        <vt:i4>6</vt:i4>
      </vt:variant>
      <vt:variant>
        <vt:i4>0</vt:i4>
      </vt:variant>
      <vt:variant>
        <vt:i4>5</vt:i4>
      </vt:variant>
      <vt:variant>
        <vt:lpwstr>http://www.mcit.gov.eg/</vt:lpwstr>
      </vt:variant>
      <vt:variant>
        <vt:lpwstr/>
      </vt:variant>
      <vt:variant>
        <vt:i4>2555936</vt:i4>
      </vt:variant>
      <vt:variant>
        <vt:i4>3</vt:i4>
      </vt:variant>
      <vt:variant>
        <vt:i4>0</vt:i4>
      </vt:variant>
      <vt:variant>
        <vt:i4>5</vt:i4>
      </vt:variant>
      <vt:variant>
        <vt:lpwstr>http://www.eeaa.gov.eg/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HShakra</dc:creator>
  <cp:keywords/>
  <dc:description/>
  <cp:lastModifiedBy>IS / INFRASTRUCTURE</cp:lastModifiedBy>
  <cp:revision>5</cp:revision>
  <dcterms:created xsi:type="dcterms:W3CDTF">2010-11-03T19:27:00Z</dcterms:created>
  <dcterms:modified xsi:type="dcterms:W3CDTF">2010-11-03T19:39:00Z</dcterms:modified>
</cp:coreProperties>
</file>