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4"/>
        <w:tblW w:w="0" w:type="auto"/>
        <w:tblLook w:val="00A0"/>
      </w:tblPr>
      <w:tblGrid>
        <w:gridCol w:w="9576"/>
      </w:tblGrid>
      <w:tr w:rsidR="002A4A38" w:rsidRPr="001D6714" w:rsidTr="00BF0D0C">
        <w:trPr>
          <w:trHeight w:val="1018"/>
        </w:trPr>
        <w:tc>
          <w:tcPr>
            <w:tcW w:w="9576" w:type="dxa"/>
            <w:shd w:val="clear" w:color="auto" w:fill="92D050"/>
            <w:vAlign w:val="center"/>
          </w:tcPr>
          <w:p w:rsidR="002A4A38" w:rsidRPr="00C41C0A" w:rsidRDefault="00757143" w:rsidP="0003608B">
            <w:pPr>
              <w:spacing w:before="180" w:after="180"/>
              <w:jc w:val="center"/>
              <w:rPr>
                <w:b/>
                <w:bCs/>
                <w:color w:val="000000"/>
                <w:sz w:val="28"/>
                <w:szCs w:val="28"/>
              </w:rPr>
            </w:pPr>
            <w:r>
              <w:rPr>
                <w:rFonts w:hint="eastAsia"/>
                <w:b/>
                <w:bCs/>
                <w:color w:val="000000"/>
                <w:sz w:val="28"/>
                <w:szCs w:val="28"/>
                <w:lang w:eastAsia="zh-CN"/>
              </w:rPr>
              <w:t>国际电联第</w:t>
            </w:r>
            <w:r>
              <w:rPr>
                <w:rFonts w:hint="eastAsia"/>
                <w:b/>
                <w:bCs/>
                <w:color w:val="000000"/>
                <w:sz w:val="28"/>
                <w:szCs w:val="28"/>
                <w:lang w:eastAsia="zh-CN"/>
              </w:rPr>
              <w:t>5</w:t>
            </w:r>
            <w:r>
              <w:rPr>
                <w:rFonts w:hint="eastAsia"/>
                <w:b/>
                <w:bCs/>
                <w:color w:val="000000"/>
                <w:sz w:val="28"/>
                <w:szCs w:val="28"/>
                <w:lang w:eastAsia="zh-CN"/>
              </w:rPr>
              <w:t>届“信息通信技术、环境和气候变化”专题研讨会</w:t>
            </w:r>
          </w:p>
          <w:p w:rsidR="002A4A38" w:rsidRPr="00757143" w:rsidRDefault="00757143" w:rsidP="0003608B">
            <w:pPr>
              <w:spacing w:before="180" w:after="180"/>
              <w:jc w:val="center"/>
              <w:rPr>
                <w:rFonts w:ascii="STKaiti" w:eastAsia="STKaiti" w:hAnsi="STKaiti"/>
                <w:color w:val="000000"/>
                <w:sz w:val="22"/>
                <w:szCs w:val="22"/>
                <w:lang w:eastAsia="zh-CN"/>
              </w:rPr>
            </w:pPr>
            <w:r w:rsidRPr="00757143">
              <w:rPr>
                <w:rFonts w:ascii="STKaiti" w:eastAsia="STKaiti" w:hAnsi="STKaiti" w:hint="eastAsia"/>
                <w:b/>
                <w:bCs/>
                <w:color w:val="000000"/>
                <w:sz w:val="28"/>
                <w:szCs w:val="28"/>
                <w:lang w:eastAsia="zh-CN"/>
              </w:rPr>
              <w:t>埃及智能村，11月2-3日</w:t>
            </w:r>
          </w:p>
        </w:tc>
      </w:tr>
      <w:tr w:rsidR="002A4A38" w:rsidRPr="001D6714" w:rsidTr="00BF0D0C">
        <w:trPr>
          <w:trHeight w:val="2879"/>
        </w:trPr>
        <w:tc>
          <w:tcPr>
            <w:tcW w:w="9576" w:type="dxa"/>
            <w:vAlign w:val="center"/>
          </w:tcPr>
          <w:p w:rsidR="002A4A38" w:rsidRPr="001D6714" w:rsidRDefault="002A4A38" w:rsidP="0003608B">
            <w:pPr>
              <w:jc w:val="center"/>
              <w:rPr>
                <w:b/>
                <w:bCs/>
                <w:color w:val="000000"/>
                <w:sz w:val="22"/>
                <w:szCs w:val="22"/>
              </w:rPr>
            </w:pPr>
          </w:p>
          <w:p w:rsidR="002A4A38" w:rsidRPr="001D6714" w:rsidRDefault="002A4A38" w:rsidP="0003608B">
            <w:pPr>
              <w:jc w:val="center"/>
              <w:rPr>
                <w:b/>
                <w:bCs/>
                <w:color w:val="000000"/>
                <w:sz w:val="22"/>
                <w:szCs w:val="22"/>
              </w:rPr>
            </w:pPr>
          </w:p>
          <w:p w:rsidR="002A4A38" w:rsidRPr="001D6714" w:rsidRDefault="002A4A38" w:rsidP="0003608B">
            <w:pPr>
              <w:jc w:val="center"/>
              <w:rPr>
                <w:b/>
                <w:bCs/>
                <w:color w:val="000000"/>
                <w:sz w:val="22"/>
                <w:szCs w:val="22"/>
              </w:rPr>
            </w:pPr>
          </w:p>
          <w:p w:rsidR="002A4A38" w:rsidRPr="001D6714" w:rsidRDefault="002A4A38" w:rsidP="0003608B">
            <w:pPr>
              <w:jc w:val="center"/>
              <w:rPr>
                <w:b/>
                <w:bCs/>
                <w:color w:val="000000"/>
                <w:sz w:val="22"/>
                <w:szCs w:val="22"/>
              </w:rPr>
            </w:pPr>
          </w:p>
          <w:p w:rsidR="002A4A38" w:rsidRPr="001D6714" w:rsidRDefault="002A4A38" w:rsidP="0003608B">
            <w:pPr>
              <w:jc w:val="center"/>
              <w:rPr>
                <w:b/>
                <w:bCs/>
                <w:color w:val="000000"/>
                <w:sz w:val="22"/>
                <w:szCs w:val="22"/>
              </w:rPr>
            </w:pPr>
          </w:p>
          <w:p w:rsidR="002A4A38" w:rsidRPr="001D6714" w:rsidRDefault="002A4A38" w:rsidP="0003608B">
            <w:pPr>
              <w:jc w:val="center"/>
              <w:rPr>
                <w:b/>
                <w:bCs/>
                <w:color w:val="000000"/>
                <w:sz w:val="22"/>
                <w:szCs w:val="22"/>
              </w:rPr>
            </w:pPr>
          </w:p>
          <w:p w:rsidR="002A4A38" w:rsidRPr="001D6714" w:rsidRDefault="002A4A38" w:rsidP="0003608B">
            <w:pPr>
              <w:jc w:val="center"/>
              <w:rPr>
                <w:b/>
                <w:bCs/>
                <w:color w:val="000000"/>
                <w:sz w:val="22"/>
                <w:szCs w:val="22"/>
              </w:rPr>
            </w:pPr>
          </w:p>
          <w:p w:rsidR="002A4A38" w:rsidRPr="00757143" w:rsidRDefault="00757143" w:rsidP="0003608B">
            <w:pPr>
              <w:jc w:val="center"/>
              <w:rPr>
                <w:b/>
                <w:bCs/>
                <w:color w:val="000000"/>
                <w:sz w:val="40"/>
                <w:szCs w:val="40"/>
                <w:lang w:eastAsia="zh-CN"/>
              </w:rPr>
            </w:pPr>
            <w:r>
              <w:rPr>
                <w:rFonts w:hint="eastAsia"/>
                <w:b/>
                <w:bCs/>
                <w:color w:val="000000"/>
                <w:sz w:val="40"/>
                <w:szCs w:val="40"/>
                <w:lang w:eastAsia="zh-CN"/>
              </w:rPr>
              <w:t>“信息通信技术和环境可持续性”</w:t>
            </w:r>
          </w:p>
          <w:p w:rsidR="002A4A38" w:rsidRPr="00757143" w:rsidRDefault="00757143" w:rsidP="0003608B">
            <w:pPr>
              <w:jc w:val="center"/>
              <w:rPr>
                <w:b/>
                <w:bCs/>
                <w:color w:val="000000"/>
                <w:sz w:val="22"/>
                <w:szCs w:val="22"/>
                <w:lang w:eastAsia="zh-CN"/>
              </w:rPr>
            </w:pPr>
            <w:r>
              <w:rPr>
                <w:rFonts w:hint="eastAsia"/>
                <w:b/>
                <w:bCs/>
                <w:color w:val="000000"/>
                <w:sz w:val="40"/>
                <w:szCs w:val="40"/>
                <w:lang w:eastAsia="zh-CN"/>
              </w:rPr>
              <w:t>开罗路线图</w:t>
            </w:r>
          </w:p>
        </w:tc>
      </w:tr>
    </w:tbl>
    <w:p w:rsidR="00757143" w:rsidRDefault="00757143" w:rsidP="0003608B">
      <w:pPr>
        <w:rPr>
          <w:lang w:eastAsia="zh-CN"/>
        </w:rPr>
      </w:pPr>
    </w:p>
    <w:p w:rsidR="00757143" w:rsidRDefault="00757143" w:rsidP="0003608B">
      <w:pPr>
        <w:rPr>
          <w:lang w:eastAsia="zh-CN"/>
        </w:rPr>
      </w:pPr>
    </w:p>
    <w:p w:rsidR="00757143" w:rsidRDefault="00757143" w:rsidP="0003608B">
      <w:pPr>
        <w:rPr>
          <w:lang w:eastAsia="zh-CN"/>
        </w:rPr>
      </w:pPr>
      <w:r>
        <w:rPr>
          <w:lang w:eastAsia="zh-CN"/>
        </w:rPr>
        <w:br w:type="page"/>
      </w:r>
    </w:p>
    <w:p w:rsidR="00757143" w:rsidRDefault="00757143" w:rsidP="0003608B">
      <w:pPr>
        <w:pStyle w:val="Heading1"/>
        <w:rPr>
          <w:lang w:eastAsia="zh-CN"/>
        </w:rPr>
      </w:pPr>
      <w:r>
        <w:rPr>
          <w:rFonts w:hint="eastAsia"/>
          <w:lang w:eastAsia="zh-CN"/>
        </w:rPr>
        <w:lastRenderedPageBreak/>
        <w:t>1</w:t>
      </w:r>
      <w:r>
        <w:rPr>
          <w:rFonts w:hint="eastAsia"/>
          <w:lang w:eastAsia="zh-CN"/>
        </w:rPr>
        <w:tab/>
      </w:r>
      <w:r>
        <w:rPr>
          <w:rFonts w:hint="eastAsia"/>
          <w:lang w:eastAsia="zh-CN"/>
        </w:rPr>
        <w:t>引言</w:t>
      </w:r>
    </w:p>
    <w:p w:rsidR="00757143" w:rsidRDefault="00757143" w:rsidP="0003608B">
      <w:pPr>
        <w:ind w:firstLineChars="200" w:firstLine="480"/>
        <w:rPr>
          <w:lang w:eastAsia="zh-CN"/>
        </w:rPr>
      </w:pPr>
      <w:r>
        <w:rPr>
          <w:rFonts w:hint="eastAsia"/>
          <w:lang w:eastAsia="zh-CN"/>
        </w:rPr>
        <w:t>人类活动对环境，尤其对气候变化的影响，是地球生命面临的益发重要的问题。改善环境状况、遏制全球变暖、强化资源管理、提高能力、实现可持续发展和提高民众意识，都是必须迫切解决的全球性重大难题。事实说明，信息通信技术（</w:t>
      </w:r>
      <w:r>
        <w:rPr>
          <w:rFonts w:hint="eastAsia"/>
          <w:lang w:eastAsia="zh-CN"/>
        </w:rPr>
        <w:t>ICT</w:t>
      </w:r>
      <w:r>
        <w:rPr>
          <w:rFonts w:hint="eastAsia"/>
          <w:lang w:eastAsia="zh-CN"/>
        </w:rPr>
        <w:t>）可在帮助社会缓解和适应气候变化方面发挥关键作用。</w:t>
      </w:r>
    </w:p>
    <w:p w:rsidR="00757143" w:rsidRDefault="00757143" w:rsidP="0003608B">
      <w:pPr>
        <w:ind w:firstLineChars="200" w:firstLine="480"/>
        <w:rPr>
          <w:lang w:eastAsia="zh-CN"/>
        </w:rPr>
      </w:pPr>
      <w:r>
        <w:rPr>
          <w:rFonts w:hint="eastAsia"/>
          <w:lang w:eastAsia="zh-CN"/>
        </w:rPr>
        <w:t>ICT</w:t>
      </w:r>
      <w:r>
        <w:rPr>
          <w:rFonts w:hint="eastAsia"/>
          <w:lang w:eastAsia="zh-CN"/>
        </w:rPr>
        <w:t>技术目前已</w:t>
      </w:r>
      <w:r w:rsidR="00B21940">
        <w:rPr>
          <w:rFonts w:hint="eastAsia"/>
          <w:lang w:eastAsia="zh-CN"/>
        </w:rPr>
        <w:t>进入了</w:t>
      </w:r>
      <w:r>
        <w:rPr>
          <w:rFonts w:hint="eastAsia"/>
          <w:lang w:eastAsia="zh-CN"/>
        </w:rPr>
        <w:t>全球</w:t>
      </w:r>
      <w:r w:rsidR="00B21940">
        <w:rPr>
          <w:rFonts w:hint="eastAsia"/>
          <w:lang w:eastAsia="zh-CN"/>
        </w:rPr>
        <w:t>几乎所有的</w:t>
      </w:r>
      <w:r>
        <w:rPr>
          <w:rFonts w:hint="eastAsia"/>
          <w:lang w:eastAsia="zh-CN"/>
        </w:rPr>
        <w:t>社会和经济部门。数字革命和</w:t>
      </w:r>
      <w:r>
        <w:rPr>
          <w:rFonts w:hint="eastAsia"/>
          <w:lang w:eastAsia="zh-CN"/>
        </w:rPr>
        <w:t>ICT</w:t>
      </w:r>
      <w:r>
        <w:rPr>
          <w:rFonts w:hint="eastAsia"/>
          <w:lang w:eastAsia="zh-CN"/>
        </w:rPr>
        <w:t>的普及使人们生活发生了翻天覆地的变化，也使经济有了突飞猛进的发展。</w:t>
      </w:r>
      <w:r>
        <w:rPr>
          <w:rFonts w:hint="eastAsia"/>
          <w:lang w:eastAsia="zh-CN"/>
        </w:rPr>
        <w:t>ICT</w:t>
      </w:r>
      <w:r>
        <w:rPr>
          <w:rFonts w:hint="eastAsia"/>
          <w:lang w:eastAsia="zh-CN"/>
        </w:rPr>
        <w:t>行业占全球温室气体（</w:t>
      </w:r>
      <w:r>
        <w:rPr>
          <w:rFonts w:hint="eastAsia"/>
          <w:lang w:eastAsia="zh-CN"/>
        </w:rPr>
        <w:t>GHG</w:t>
      </w:r>
      <w:r>
        <w:rPr>
          <w:rFonts w:hint="eastAsia"/>
          <w:lang w:eastAsia="zh-CN"/>
        </w:rPr>
        <w:t>）排放的</w:t>
      </w:r>
      <w:r w:rsidR="00685303">
        <w:rPr>
          <w:rFonts w:hint="eastAsia"/>
          <w:lang w:eastAsia="zh-CN"/>
        </w:rPr>
        <w:t>2-</w:t>
      </w:r>
      <w:r>
        <w:rPr>
          <w:rFonts w:hint="eastAsia"/>
          <w:lang w:eastAsia="zh-CN"/>
        </w:rPr>
        <w:t>3%</w:t>
      </w:r>
      <w:r>
        <w:rPr>
          <w:rFonts w:hint="eastAsia"/>
          <w:lang w:eastAsia="zh-CN"/>
        </w:rPr>
        <w:t>左右。</w:t>
      </w:r>
      <w:r w:rsidR="00B21940">
        <w:rPr>
          <w:rFonts w:hint="eastAsia"/>
          <w:lang w:eastAsia="zh-CN"/>
        </w:rPr>
        <w:t>但</w:t>
      </w:r>
      <w:r>
        <w:rPr>
          <w:rFonts w:hint="eastAsia"/>
          <w:lang w:eastAsia="zh-CN"/>
        </w:rPr>
        <w:t>另一方面，</w:t>
      </w:r>
      <w:r>
        <w:rPr>
          <w:rFonts w:hint="eastAsia"/>
          <w:lang w:eastAsia="zh-CN"/>
        </w:rPr>
        <w:t>ICT</w:t>
      </w:r>
      <w:r>
        <w:rPr>
          <w:rFonts w:hint="eastAsia"/>
          <w:lang w:eastAsia="zh-CN"/>
        </w:rPr>
        <w:t>解决方案</w:t>
      </w:r>
      <w:r w:rsidR="00B21940">
        <w:rPr>
          <w:rFonts w:hint="eastAsia"/>
          <w:lang w:eastAsia="zh-CN"/>
        </w:rPr>
        <w:t>又</w:t>
      </w:r>
      <w:r>
        <w:rPr>
          <w:rFonts w:hint="eastAsia"/>
          <w:lang w:eastAsia="zh-CN"/>
        </w:rPr>
        <w:t>具有提高经济和社会运行</w:t>
      </w:r>
      <w:r w:rsidR="00BF0D0C">
        <w:rPr>
          <w:rFonts w:hint="eastAsia"/>
          <w:lang w:eastAsia="zh-CN"/>
        </w:rPr>
        <w:t>效率的极大潜力，既可以</w:t>
      </w:r>
      <w:r w:rsidR="00B21940">
        <w:rPr>
          <w:rFonts w:hint="eastAsia"/>
          <w:lang w:eastAsia="zh-CN"/>
        </w:rPr>
        <w:t>削减</w:t>
      </w:r>
      <w:r w:rsidR="00BF0D0C">
        <w:rPr>
          <w:rFonts w:hint="eastAsia"/>
          <w:lang w:eastAsia="zh-CN"/>
        </w:rPr>
        <w:t>其余</w:t>
      </w:r>
      <w:r w:rsidR="00BF0D0C">
        <w:rPr>
          <w:rFonts w:hint="eastAsia"/>
          <w:lang w:eastAsia="zh-CN"/>
        </w:rPr>
        <w:t>97-98%</w:t>
      </w:r>
      <w:r w:rsidR="00BF0D0C">
        <w:rPr>
          <w:rFonts w:hint="eastAsia"/>
          <w:lang w:eastAsia="zh-CN"/>
        </w:rPr>
        <w:t>的排放量，也可以改善所有经济部门的运行情况。</w:t>
      </w:r>
    </w:p>
    <w:p w:rsidR="00BF0D0C" w:rsidRDefault="00BF0D0C" w:rsidP="0003608B">
      <w:pPr>
        <w:ind w:firstLineChars="200" w:firstLine="480"/>
        <w:rPr>
          <w:lang w:eastAsia="zh-CN"/>
        </w:rPr>
      </w:pPr>
      <w:r>
        <w:rPr>
          <w:rFonts w:hint="eastAsia"/>
          <w:lang w:eastAsia="zh-CN"/>
        </w:rPr>
        <w:t>世界各国政府和商业</w:t>
      </w:r>
      <w:r w:rsidR="00B21940">
        <w:rPr>
          <w:rFonts w:hint="eastAsia"/>
          <w:lang w:eastAsia="zh-CN"/>
        </w:rPr>
        <w:t>团体</w:t>
      </w:r>
      <w:r>
        <w:rPr>
          <w:rFonts w:hint="eastAsia"/>
          <w:lang w:eastAsia="zh-CN"/>
        </w:rPr>
        <w:t>采取了一系列有关</w:t>
      </w:r>
      <w:r>
        <w:rPr>
          <w:rFonts w:hint="eastAsia"/>
          <w:lang w:eastAsia="zh-CN"/>
        </w:rPr>
        <w:t>ICT</w:t>
      </w:r>
      <w:r>
        <w:rPr>
          <w:rFonts w:hint="eastAsia"/>
          <w:lang w:eastAsia="zh-CN"/>
        </w:rPr>
        <w:t>和环境的计划和举措，以应对环境挑战，尤其是全球变暖、能源生产</w:t>
      </w:r>
      <w:r w:rsidR="00B21940">
        <w:rPr>
          <w:rFonts w:hint="eastAsia"/>
          <w:lang w:eastAsia="zh-CN"/>
        </w:rPr>
        <w:t>及</w:t>
      </w:r>
      <w:r>
        <w:rPr>
          <w:rFonts w:hint="eastAsia"/>
          <w:lang w:eastAsia="zh-CN"/>
        </w:rPr>
        <w:t>使用和资源枯竭</w:t>
      </w:r>
      <w:r w:rsidR="00B21940">
        <w:rPr>
          <w:rFonts w:hint="eastAsia"/>
          <w:lang w:eastAsia="zh-CN"/>
        </w:rPr>
        <w:t>的</w:t>
      </w:r>
      <w:r>
        <w:rPr>
          <w:rFonts w:hint="eastAsia"/>
          <w:lang w:eastAsia="zh-CN"/>
        </w:rPr>
        <w:t>问题。但认为所有国家，尤其是发展中国家，</w:t>
      </w:r>
      <w:r w:rsidR="00B21940">
        <w:rPr>
          <w:rFonts w:hint="eastAsia"/>
          <w:lang w:eastAsia="zh-CN"/>
        </w:rPr>
        <w:t>都已认清了</w:t>
      </w:r>
      <w:r>
        <w:rPr>
          <w:rFonts w:hint="eastAsia"/>
          <w:lang w:eastAsia="zh-CN"/>
        </w:rPr>
        <w:t>这些威胁</w:t>
      </w:r>
      <w:r w:rsidR="00B21940">
        <w:rPr>
          <w:rFonts w:hint="eastAsia"/>
          <w:lang w:eastAsia="zh-CN"/>
        </w:rPr>
        <w:t>和发掘</w:t>
      </w:r>
      <w:r>
        <w:rPr>
          <w:rFonts w:hint="eastAsia"/>
          <w:lang w:eastAsia="zh-CN"/>
        </w:rPr>
        <w:t>ICT</w:t>
      </w:r>
      <w:r>
        <w:rPr>
          <w:rFonts w:hint="eastAsia"/>
          <w:lang w:eastAsia="zh-CN"/>
        </w:rPr>
        <w:t>积极潜力</w:t>
      </w:r>
      <w:r w:rsidR="00B21940">
        <w:rPr>
          <w:rFonts w:hint="eastAsia"/>
          <w:lang w:eastAsia="zh-CN"/>
        </w:rPr>
        <w:t>的方法</w:t>
      </w:r>
      <w:r>
        <w:rPr>
          <w:rFonts w:hint="eastAsia"/>
          <w:lang w:eastAsia="zh-CN"/>
        </w:rPr>
        <w:t>，尚为时太早。</w:t>
      </w:r>
    </w:p>
    <w:p w:rsidR="00BF0D0C" w:rsidRDefault="00BF0D0C" w:rsidP="0003608B">
      <w:pPr>
        <w:ind w:firstLineChars="200" w:firstLine="480"/>
        <w:rPr>
          <w:lang w:eastAsia="zh-CN"/>
        </w:rPr>
      </w:pPr>
      <w:r w:rsidRPr="00BF0D0C">
        <w:rPr>
          <w:rFonts w:hint="eastAsia"/>
        </w:rPr>
        <w:t>2010</w:t>
      </w:r>
      <w:r w:rsidRPr="00BF0D0C">
        <w:rPr>
          <w:rFonts w:hint="eastAsia"/>
        </w:rPr>
        <w:t>年</w:t>
      </w:r>
      <w:r w:rsidRPr="00BF0D0C">
        <w:rPr>
          <w:rFonts w:hint="eastAsia"/>
        </w:rPr>
        <w:t>10</w:t>
      </w:r>
      <w:r w:rsidRPr="00BF0D0C">
        <w:rPr>
          <w:rFonts w:hint="eastAsia"/>
        </w:rPr>
        <w:t>月在瓜达拉哈拉召开的</w:t>
      </w:r>
      <w:r w:rsidR="00077F16">
        <w:rPr>
          <w:rFonts w:hint="eastAsia"/>
          <w:lang w:eastAsia="zh-CN"/>
        </w:rPr>
        <w:t>国际电联全权代表大会（</w:t>
      </w:r>
      <w:r w:rsidR="00077F16">
        <w:rPr>
          <w:rFonts w:hint="eastAsia"/>
          <w:lang w:eastAsia="zh-CN"/>
        </w:rPr>
        <w:t>PP-10</w:t>
      </w:r>
      <w:r w:rsidR="00077F16">
        <w:rPr>
          <w:rFonts w:hint="eastAsia"/>
          <w:lang w:eastAsia="zh-CN"/>
        </w:rPr>
        <w:t>）通过了有关电信</w:t>
      </w:r>
      <w:r w:rsidR="00077F16">
        <w:rPr>
          <w:rFonts w:hint="eastAsia"/>
          <w:lang w:eastAsia="zh-CN"/>
        </w:rPr>
        <w:t>/</w:t>
      </w:r>
      <w:r w:rsidR="00077F16">
        <w:rPr>
          <w:rFonts w:hint="eastAsia"/>
          <w:lang w:eastAsia="zh-CN"/>
        </w:rPr>
        <w:t>信息通信技术在气候变化和环境保护方面的作用的新决议</w:t>
      </w:r>
      <w:r w:rsidR="00077F16">
        <w:rPr>
          <w:rStyle w:val="FootnoteReference"/>
          <w:lang w:eastAsia="zh-CN"/>
        </w:rPr>
        <w:footnoteReference w:id="1"/>
      </w:r>
      <w:r w:rsidR="00077F16">
        <w:rPr>
          <w:rFonts w:hint="eastAsia"/>
          <w:lang w:eastAsia="zh-CN"/>
        </w:rPr>
        <w:t>。决议提出有必要帮助发展中国家掌握利用</w:t>
      </w:r>
      <w:r w:rsidR="00077F16">
        <w:rPr>
          <w:rFonts w:hint="eastAsia"/>
          <w:lang w:eastAsia="zh-CN"/>
        </w:rPr>
        <w:t>ICT</w:t>
      </w:r>
      <w:r w:rsidR="00077F16">
        <w:rPr>
          <w:rFonts w:hint="eastAsia"/>
          <w:lang w:eastAsia="zh-CN"/>
        </w:rPr>
        <w:t>潜力应对气候变化的方法，还必须推动能源和资源</w:t>
      </w:r>
      <w:r w:rsidR="00B21940">
        <w:rPr>
          <w:rFonts w:hint="eastAsia"/>
          <w:lang w:eastAsia="zh-CN"/>
        </w:rPr>
        <w:t>节约</w:t>
      </w:r>
      <w:r w:rsidR="00077F16">
        <w:rPr>
          <w:rFonts w:hint="eastAsia"/>
          <w:lang w:eastAsia="zh-CN"/>
        </w:rPr>
        <w:t>型</w:t>
      </w:r>
      <w:r w:rsidR="00077F16">
        <w:rPr>
          <w:rFonts w:hint="eastAsia"/>
          <w:lang w:eastAsia="zh-CN"/>
        </w:rPr>
        <w:t>ICT</w:t>
      </w:r>
      <w:r w:rsidR="00077F16">
        <w:rPr>
          <w:rFonts w:hint="eastAsia"/>
          <w:lang w:eastAsia="zh-CN"/>
        </w:rPr>
        <w:t>设备和解决方案的制定、落实和采用，使环境变得既清洁又安全。</w:t>
      </w:r>
    </w:p>
    <w:p w:rsidR="00077F16" w:rsidRDefault="00B21940" w:rsidP="0003608B">
      <w:pPr>
        <w:ind w:firstLineChars="200" w:firstLine="480"/>
        <w:rPr>
          <w:lang w:eastAsia="zh-CN"/>
        </w:rPr>
      </w:pPr>
      <w:r>
        <w:rPr>
          <w:rFonts w:hint="eastAsia"/>
          <w:lang w:eastAsia="zh-CN"/>
        </w:rPr>
        <w:t>在中东北非区域，</w:t>
      </w:r>
      <w:r w:rsidR="00077F16">
        <w:rPr>
          <w:rFonts w:hint="eastAsia"/>
          <w:lang w:eastAsia="zh-CN"/>
        </w:rPr>
        <w:t>越来越国家的政府，包括埃及政府，通过了雄心勃勃的</w:t>
      </w:r>
      <w:r>
        <w:rPr>
          <w:rFonts w:hint="eastAsia"/>
          <w:lang w:eastAsia="zh-CN"/>
        </w:rPr>
        <w:t>智能</w:t>
      </w:r>
      <w:r w:rsidR="00077F16">
        <w:rPr>
          <w:rFonts w:hint="eastAsia"/>
          <w:lang w:eastAsia="zh-CN"/>
        </w:rPr>
        <w:t>或绿色</w:t>
      </w:r>
      <w:r w:rsidR="00077F16">
        <w:rPr>
          <w:rFonts w:hint="eastAsia"/>
          <w:lang w:eastAsia="zh-CN"/>
        </w:rPr>
        <w:t>ICT</w:t>
      </w:r>
      <w:r w:rsidR="00077F16">
        <w:rPr>
          <w:rFonts w:hint="eastAsia"/>
          <w:lang w:eastAsia="zh-CN"/>
        </w:rPr>
        <w:t>计划。这是一项与主要利益攸关方合作开展的活动，力图确保绿色</w:t>
      </w:r>
      <w:r w:rsidR="00077F16">
        <w:rPr>
          <w:rFonts w:hint="eastAsia"/>
          <w:lang w:eastAsia="zh-CN"/>
        </w:rPr>
        <w:t>ICT</w:t>
      </w:r>
      <w:r w:rsidR="00077F16">
        <w:rPr>
          <w:rFonts w:hint="eastAsia"/>
          <w:lang w:eastAsia="zh-CN"/>
        </w:rPr>
        <w:t>成为可持续的绿色增长的组成部分。</w:t>
      </w:r>
    </w:p>
    <w:p w:rsidR="00077F16" w:rsidRDefault="00077F16" w:rsidP="0003608B">
      <w:pPr>
        <w:ind w:firstLineChars="200" w:firstLine="480"/>
        <w:rPr>
          <w:lang w:eastAsia="zh-CN"/>
        </w:rPr>
      </w:pPr>
      <w:r>
        <w:rPr>
          <w:rFonts w:hint="eastAsia"/>
          <w:lang w:eastAsia="zh-CN"/>
        </w:rPr>
        <w:t>埃及通信和信息技术部和</w:t>
      </w:r>
      <w:r w:rsidR="00D45E29">
        <w:rPr>
          <w:rFonts w:hint="eastAsia"/>
          <w:lang w:eastAsia="zh-CN"/>
        </w:rPr>
        <w:t>国家环境事务部举办的国际电联第</w:t>
      </w:r>
      <w:r w:rsidR="00D45E29">
        <w:rPr>
          <w:rFonts w:hint="eastAsia"/>
          <w:lang w:eastAsia="zh-CN"/>
        </w:rPr>
        <w:t>5</w:t>
      </w:r>
      <w:r w:rsidR="00D45E29">
        <w:rPr>
          <w:rFonts w:hint="eastAsia"/>
          <w:lang w:eastAsia="zh-CN"/>
        </w:rPr>
        <w:t>届“</w:t>
      </w:r>
      <w:r w:rsidR="00D45E29" w:rsidRPr="00685303">
        <w:rPr>
          <w:rFonts w:ascii="STKaiti" w:eastAsia="STKaiti" w:hAnsi="STKaiti" w:hint="eastAsia"/>
          <w:lang w:eastAsia="zh-CN"/>
        </w:rPr>
        <w:t>ICT、环境和气候变化</w:t>
      </w:r>
      <w:r w:rsidR="00D45E29">
        <w:rPr>
          <w:rFonts w:hint="eastAsia"/>
          <w:lang w:eastAsia="zh-CN"/>
        </w:rPr>
        <w:t>”专题研讨会</w:t>
      </w:r>
      <w:r w:rsidR="00B21940">
        <w:rPr>
          <w:rFonts w:hint="eastAsia"/>
          <w:lang w:eastAsia="zh-CN"/>
        </w:rPr>
        <w:t>，</w:t>
      </w:r>
      <w:r w:rsidR="00D45E29">
        <w:rPr>
          <w:rFonts w:hint="eastAsia"/>
          <w:lang w:eastAsia="zh-CN"/>
        </w:rPr>
        <w:t>在提高人们意识方面发挥了重要作用，使人们了解到发展中世界，尤其是非洲大陆和阿拉伯国家区域利用</w:t>
      </w:r>
      <w:r w:rsidR="00D45E29">
        <w:rPr>
          <w:rFonts w:hint="eastAsia"/>
          <w:lang w:eastAsia="zh-CN"/>
        </w:rPr>
        <w:t>ICT</w:t>
      </w:r>
      <w:r w:rsidR="00D45E29">
        <w:rPr>
          <w:rFonts w:hint="eastAsia"/>
          <w:lang w:eastAsia="zh-CN"/>
        </w:rPr>
        <w:t>应对气候变化</w:t>
      </w:r>
      <w:r w:rsidR="00B21940">
        <w:rPr>
          <w:rFonts w:hint="eastAsia"/>
          <w:lang w:eastAsia="zh-CN"/>
        </w:rPr>
        <w:t>的情况</w:t>
      </w:r>
      <w:r w:rsidR="00D45E29">
        <w:rPr>
          <w:rFonts w:hint="eastAsia"/>
          <w:lang w:eastAsia="zh-CN"/>
        </w:rPr>
        <w:t>。专题研讨会的日程包括发言者名单，请见：</w:t>
      </w:r>
    </w:p>
    <w:p w:rsidR="00D45E29" w:rsidRDefault="00AA37BF" w:rsidP="0003608B">
      <w:pPr>
        <w:rPr>
          <w:lang w:eastAsia="zh-CN"/>
        </w:rPr>
      </w:pPr>
      <w:hyperlink r:id="rId7" w:history="1">
        <w:r w:rsidR="00D45E29" w:rsidRPr="001D6714">
          <w:rPr>
            <w:rStyle w:val="Hyperlink"/>
            <w:sz w:val="22"/>
            <w:szCs w:val="22"/>
          </w:rPr>
          <w:t>http://www.itu.int/ITU-T/worksem/climatechange/201011/programme.html</w:t>
        </w:r>
      </w:hyperlink>
    </w:p>
    <w:p w:rsidR="00D45E29" w:rsidRDefault="00306A2F" w:rsidP="0003608B">
      <w:pPr>
        <w:ind w:firstLineChars="200" w:firstLine="480"/>
        <w:rPr>
          <w:lang w:eastAsia="zh-CN"/>
        </w:rPr>
      </w:pPr>
      <w:r>
        <w:rPr>
          <w:rFonts w:hint="eastAsia"/>
          <w:lang w:eastAsia="zh-CN"/>
        </w:rPr>
        <w:t>为此制定的这份路线图旨在使各级政府的决策者和</w:t>
      </w:r>
      <w:r>
        <w:rPr>
          <w:rFonts w:hint="eastAsia"/>
          <w:lang w:eastAsia="zh-CN"/>
        </w:rPr>
        <w:t>ICT</w:t>
      </w:r>
      <w:r>
        <w:rPr>
          <w:rFonts w:hint="eastAsia"/>
          <w:lang w:eastAsia="zh-CN"/>
        </w:rPr>
        <w:t>利益攸关方进一步了解</w:t>
      </w:r>
      <w:r w:rsidR="00B21940">
        <w:rPr>
          <w:rFonts w:hint="eastAsia"/>
          <w:lang w:eastAsia="zh-CN"/>
        </w:rPr>
        <w:t>，</w:t>
      </w:r>
      <w:r>
        <w:rPr>
          <w:rFonts w:hint="eastAsia"/>
          <w:lang w:eastAsia="zh-CN"/>
        </w:rPr>
        <w:t>ICT</w:t>
      </w:r>
      <w:r>
        <w:rPr>
          <w:rFonts w:hint="eastAsia"/>
          <w:lang w:eastAsia="zh-CN"/>
        </w:rPr>
        <w:t>在提高环境可持续性方面发挥的积极作用。</w:t>
      </w:r>
    </w:p>
    <w:p w:rsidR="00306A2F" w:rsidRDefault="00306A2F" w:rsidP="0003608B">
      <w:pPr>
        <w:pStyle w:val="Heading2"/>
        <w:rPr>
          <w:lang w:eastAsia="zh-CN"/>
        </w:rPr>
      </w:pPr>
      <w:r>
        <w:rPr>
          <w:rFonts w:hint="eastAsia"/>
          <w:lang w:eastAsia="zh-CN"/>
        </w:rPr>
        <w:t>2</w:t>
      </w:r>
      <w:r>
        <w:rPr>
          <w:rFonts w:hint="eastAsia"/>
          <w:lang w:eastAsia="zh-CN"/>
        </w:rPr>
        <w:tab/>
      </w:r>
      <w:r>
        <w:rPr>
          <w:rFonts w:hint="eastAsia"/>
          <w:lang w:eastAsia="zh-CN"/>
        </w:rPr>
        <w:t>关于“</w:t>
      </w:r>
      <w:r>
        <w:rPr>
          <w:rFonts w:hint="eastAsia"/>
          <w:lang w:eastAsia="zh-CN"/>
        </w:rPr>
        <w:t>ICT</w:t>
      </w:r>
      <w:r>
        <w:rPr>
          <w:rFonts w:hint="eastAsia"/>
          <w:lang w:eastAsia="zh-CN"/>
        </w:rPr>
        <w:t>和环境可持续性”的开罗路线图</w:t>
      </w:r>
      <w:r>
        <w:rPr>
          <w:rStyle w:val="FootnoteReference"/>
          <w:lang w:eastAsia="zh-CN"/>
        </w:rPr>
        <w:footnoteReference w:id="2"/>
      </w:r>
    </w:p>
    <w:p w:rsidR="00306A2F" w:rsidRDefault="00306A2F" w:rsidP="0003608B">
      <w:pPr>
        <w:ind w:firstLineChars="200" w:firstLine="480"/>
        <w:rPr>
          <w:lang w:eastAsia="zh-CN"/>
        </w:rPr>
      </w:pPr>
      <w:r>
        <w:rPr>
          <w:rFonts w:hint="eastAsia"/>
          <w:lang w:eastAsia="zh-CN"/>
        </w:rPr>
        <w:t>无论发达还是发展中国家的机构、公众和国家发展利益攸关方，都需要了解环境和气候变化的意义和影响</w:t>
      </w:r>
      <w:r w:rsidR="00B21940">
        <w:rPr>
          <w:rFonts w:hint="eastAsia"/>
          <w:lang w:eastAsia="zh-CN"/>
        </w:rPr>
        <w:t>，以及</w:t>
      </w:r>
      <w:r>
        <w:rPr>
          <w:rFonts w:hint="eastAsia"/>
          <w:lang w:eastAsia="zh-CN"/>
        </w:rPr>
        <w:t>与环境退化和气候变化相关的具体</w:t>
      </w:r>
      <w:r w:rsidR="00B21940">
        <w:rPr>
          <w:rFonts w:hint="eastAsia"/>
          <w:lang w:eastAsia="zh-CN"/>
        </w:rPr>
        <w:t>的</w:t>
      </w:r>
      <w:r>
        <w:rPr>
          <w:rFonts w:hint="eastAsia"/>
          <w:lang w:eastAsia="zh-CN"/>
        </w:rPr>
        <w:t>国家风险。还需要采取类似措施，在限制与气候变化相关的整体风险的同时，帮助人们了解在总体上与更多利用</w:t>
      </w:r>
      <w:r>
        <w:rPr>
          <w:rFonts w:hint="eastAsia"/>
          <w:lang w:eastAsia="zh-CN"/>
        </w:rPr>
        <w:t>ICT</w:t>
      </w:r>
      <w:r>
        <w:rPr>
          <w:rFonts w:hint="eastAsia"/>
          <w:lang w:eastAsia="zh-CN"/>
        </w:rPr>
        <w:t>和在具体上管理环境相关的机会和风险。</w:t>
      </w:r>
    </w:p>
    <w:p w:rsidR="00552C20" w:rsidRDefault="00552C20" w:rsidP="0003608B">
      <w:pPr>
        <w:spacing w:before="0"/>
        <w:rPr>
          <w:lang w:eastAsia="zh-CN"/>
        </w:rPr>
      </w:pPr>
      <w:r>
        <w:rPr>
          <w:lang w:eastAsia="zh-CN"/>
        </w:rPr>
        <w:br w:type="page"/>
      </w:r>
    </w:p>
    <w:p w:rsidR="00306A2F" w:rsidRDefault="00306A2F" w:rsidP="0003608B">
      <w:pPr>
        <w:ind w:firstLineChars="200" w:firstLine="480"/>
        <w:rPr>
          <w:lang w:eastAsia="zh-CN"/>
        </w:rPr>
      </w:pPr>
      <w:r>
        <w:rPr>
          <w:rFonts w:hint="eastAsia"/>
          <w:lang w:eastAsia="zh-CN"/>
        </w:rPr>
        <w:t>研讨会上的磋商建议利用以下措施和行动</w:t>
      </w:r>
      <w:r>
        <w:rPr>
          <w:rStyle w:val="FootnoteReference"/>
          <w:lang w:eastAsia="zh-CN"/>
        </w:rPr>
        <w:footnoteReference w:id="3"/>
      </w:r>
      <w:r>
        <w:rPr>
          <w:rFonts w:hint="eastAsia"/>
          <w:lang w:eastAsia="zh-CN"/>
        </w:rPr>
        <w:t>构成</w:t>
      </w:r>
      <w:r w:rsidR="00B21940">
        <w:rPr>
          <w:rFonts w:hint="eastAsia"/>
          <w:lang w:eastAsia="zh-CN"/>
        </w:rPr>
        <w:t>了</w:t>
      </w:r>
      <w:r>
        <w:rPr>
          <w:rFonts w:hint="eastAsia"/>
          <w:lang w:eastAsia="zh-CN"/>
        </w:rPr>
        <w:t>一份路线图，以增强各国和管辖区域基于</w:t>
      </w:r>
      <w:r>
        <w:rPr>
          <w:rFonts w:hint="eastAsia"/>
          <w:lang w:eastAsia="zh-CN"/>
        </w:rPr>
        <w:t>ICT</w:t>
      </w:r>
      <w:r>
        <w:rPr>
          <w:rFonts w:hint="eastAsia"/>
          <w:lang w:eastAsia="zh-CN"/>
        </w:rPr>
        <w:t>的环境支持能力，即提高环境意识和开展环境研究和管理的支持能力。这些措施和行动旨在改善与</w:t>
      </w:r>
      <w:r>
        <w:rPr>
          <w:rFonts w:hint="eastAsia"/>
          <w:lang w:eastAsia="zh-CN"/>
        </w:rPr>
        <w:t>ICT</w:t>
      </w:r>
      <w:r>
        <w:rPr>
          <w:rFonts w:hint="eastAsia"/>
          <w:lang w:eastAsia="zh-CN"/>
        </w:rPr>
        <w:t>自身的生产、使用和淘汰直接相关的环境状况、</w:t>
      </w:r>
      <w:r w:rsidR="00B21940">
        <w:rPr>
          <w:rFonts w:hint="eastAsia"/>
          <w:lang w:eastAsia="zh-CN"/>
        </w:rPr>
        <w:t>扩大</w:t>
      </w:r>
      <w:r>
        <w:rPr>
          <w:rFonts w:hint="eastAsia"/>
          <w:lang w:eastAsia="zh-CN"/>
        </w:rPr>
        <w:t>ICT</w:t>
      </w:r>
      <w:r>
        <w:rPr>
          <w:rFonts w:hint="eastAsia"/>
          <w:lang w:eastAsia="zh-CN"/>
        </w:rPr>
        <w:t>在建筑和城市系统、运输和发电与配电等其它领域</w:t>
      </w:r>
      <w:r w:rsidR="00B21940">
        <w:rPr>
          <w:rFonts w:hint="eastAsia"/>
          <w:lang w:eastAsia="zh-CN"/>
        </w:rPr>
        <w:t>的影响，并</w:t>
      </w:r>
      <w:r>
        <w:rPr>
          <w:rFonts w:hint="eastAsia"/>
          <w:lang w:eastAsia="zh-CN"/>
        </w:rPr>
        <w:t>促进系统性的行为变革。</w:t>
      </w:r>
    </w:p>
    <w:p w:rsidR="00306A2F" w:rsidRDefault="00306A2F" w:rsidP="0003608B">
      <w:pPr>
        <w:rPr>
          <w:rFonts w:ascii="STKaiti" w:eastAsia="STKaiti" w:hAnsi="STKaiti"/>
          <w:u w:val="single"/>
          <w:lang w:eastAsia="zh-CN"/>
        </w:rPr>
      </w:pPr>
      <w:r w:rsidRPr="000013C6">
        <w:rPr>
          <w:rFonts w:ascii="STKaiti" w:eastAsia="STKaiti" w:hAnsi="STKaiti" w:hint="eastAsia"/>
          <w:u w:val="single"/>
          <w:lang w:eastAsia="zh-CN"/>
        </w:rPr>
        <w:t>措施1：就有关使用绿色ICT的优势共享最佳做法并提高意识</w:t>
      </w:r>
    </w:p>
    <w:p w:rsidR="000013C6" w:rsidRDefault="000013C6" w:rsidP="0003608B">
      <w:pPr>
        <w:pStyle w:val="enumlev1"/>
        <w:rPr>
          <w:lang w:eastAsia="zh-CN"/>
        </w:rPr>
      </w:pPr>
      <w:r>
        <w:rPr>
          <w:lang w:eastAsia="zh-CN"/>
        </w:rPr>
        <w:t>•</w:t>
      </w:r>
      <w:r>
        <w:rPr>
          <w:rFonts w:hint="eastAsia"/>
          <w:lang w:eastAsia="zh-CN"/>
        </w:rPr>
        <w:tab/>
      </w:r>
      <w:r>
        <w:rPr>
          <w:rFonts w:hint="eastAsia"/>
          <w:lang w:eastAsia="zh-CN"/>
        </w:rPr>
        <w:t>推进和在可能的情况下做出广泛共享最佳做法和交流信息的计划，以便在公共和私营部门最大限度的传播绿色</w:t>
      </w:r>
      <w:r>
        <w:rPr>
          <w:rFonts w:hint="eastAsia"/>
          <w:lang w:eastAsia="zh-CN"/>
        </w:rPr>
        <w:t>ICT</w:t>
      </w:r>
      <w:r>
        <w:rPr>
          <w:rFonts w:hint="eastAsia"/>
          <w:lang w:eastAsia="zh-CN"/>
        </w:rPr>
        <w:t>和“智能”</w:t>
      </w:r>
      <w:r>
        <w:rPr>
          <w:rFonts w:hint="eastAsia"/>
          <w:lang w:eastAsia="zh-CN"/>
        </w:rPr>
        <w:t>ICT</w:t>
      </w:r>
      <w:r>
        <w:rPr>
          <w:rFonts w:hint="eastAsia"/>
          <w:lang w:eastAsia="zh-CN"/>
        </w:rPr>
        <w:t>解决方案，其中包括有关衡量</w:t>
      </w:r>
      <w:r>
        <w:rPr>
          <w:rFonts w:hint="eastAsia"/>
          <w:lang w:eastAsia="zh-CN"/>
        </w:rPr>
        <w:t>ICT</w:t>
      </w:r>
      <w:r>
        <w:rPr>
          <w:rFonts w:hint="eastAsia"/>
          <w:lang w:eastAsia="zh-CN"/>
        </w:rPr>
        <w:t>的环境以及更广泛的经济和社会影响的最佳做法的信息。</w:t>
      </w:r>
    </w:p>
    <w:p w:rsidR="000013C6" w:rsidRDefault="000013C6" w:rsidP="0003608B">
      <w:pPr>
        <w:pStyle w:val="enumlev1"/>
        <w:rPr>
          <w:lang w:eastAsia="zh-CN"/>
        </w:rPr>
      </w:pPr>
      <w:r>
        <w:rPr>
          <w:lang w:eastAsia="zh-CN"/>
        </w:rPr>
        <w:t>•</w:t>
      </w:r>
      <w:r>
        <w:rPr>
          <w:rFonts w:hint="eastAsia"/>
          <w:lang w:eastAsia="zh-CN"/>
        </w:rPr>
        <w:tab/>
      </w:r>
      <w:r>
        <w:rPr>
          <w:rFonts w:hint="eastAsia"/>
          <w:lang w:eastAsia="zh-CN"/>
        </w:rPr>
        <w:t>促进与绿色</w:t>
      </w:r>
      <w:r>
        <w:rPr>
          <w:rFonts w:hint="eastAsia"/>
          <w:lang w:eastAsia="zh-CN"/>
        </w:rPr>
        <w:t>ICT</w:t>
      </w:r>
      <w:r>
        <w:rPr>
          <w:rFonts w:hint="eastAsia"/>
          <w:lang w:eastAsia="zh-CN"/>
        </w:rPr>
        <w:t>相关的教育、培训和技能的发展，以满足各级对环境技能和专业知识的需求。鼓励就加强绿色</w:t>
      </w:r>
      <w:r w:rsidR="00F56471">
        <w:rPr>
          <w:rFonts w:hint="eastAsia"/>
          <w:lang w:eastAsia="zh-CN"/>
        </w:rPr>
        <w:t>ICT</w:t>
      </w:r>
      <w:r w:rsidR="00F56471">
        <w:rPr>
          <w:rFonts w:hint="eastAsia"/>
          <w:lang w:eastAsia="zh-CN"/>
        </w:rPr>
        <w:t>教育与培训并培养绿色</w:t>
      </w:r>
      <w:r w:rsidR="00F56471">
        <w:rPr>
          <w:rFonts w:hint="eastAsia"/>
          <w:lang w:eastAsia="zh-CN"/>
        </w:rPr>
        <w:t>ICT</w:t>
      </w:r>
      <w:r w:rsidR="00F56471">
        <w:rPr>
          <w:rFonts w:hint="eastAsia"/>
          <w:lang w:eastAsia="zh-CN"/>
        </w:rPr>
        <w:t>干部开展跨学科合作。</w:t>
      </w:r>
    </w:p>
    <w:p w:rsidR="00F56471" w:rsidRDefault="00F56471" w:rsidP="0003608B">
      <w:pPr>
        <w:pStyle w:val="enumlev1"/>
        <w:rPr>
          <w:lang w:eastAsia="zh-CN"/>
        </w:rPr>
      </w:pPr>
      <w:r>
        <w:rPr>
          <w:lang w:eastAsia="zh-CN"/>
        </w:rPr>
        <w:t>•</w:t>
      </w:r>
      <w:r>
        <w:rPr>
          <w:rFonts w:hint="eastAsia"/>
          <w:lang w:eastAsia="zh-CN"/>
        </w:rPr>
        <w:tab/>
      </w:r>
      <w:r>
        <w:rPr>
          <w:rFonts w:hint="eastAsia"/>
          <w:lang w:eastAsia="zh-CN"/>
        </w:rPr>
        <w:t>提高公众对使用</w:t>
      </w:r>
      <w:r>
        <w:rPr>
          <w:rFonts w:hint="eastAsia"/>
          <w:lang w:eastAsia="zh-CN"/>
        </w:rPr>
        <w:t>ICT</w:t>
      </w:r>
      <w:r w:rsidR="00B21940">
        <w:rPr>
          <w:rFonts w:hint="eastAsia"/>
          <w:lang w:eastAsia="zh-CN"/>
        </w:rPr>
        <w:t>对</w:t>
      </w:r>
      <w:r>
        <w:rPr>
          <w:rFonts w:hint="eastAsia"/>
          <w:lang w:eastAsia="zh-CN"/>
        </w:rPr>
        <w:t>环境影响的认识。根据</w:t>
      </w:r>
      <w:r>
        <w:rPr>
          <w:rFonts w:hint="eastAsia"/>
          <w:lang w:eastAsia="zh-CN"/>
        </w:rPr>
        <w:t>ICT</w:t>
      </w:r>
      <w:r>
        <w:rPr>
          <w:rFonts w:hint="eastAsia"/>
          <w:lang w:eastAsia="zh-CN"/>
        </w:rPr>
        <w:t>商品和</w:t>
      </w:r>
      <w:r>
        <w:rPr>
          <w:rFonts w:hint="eastAsia"/>
          <w:lang w:eastAsia="zh-CN"/>
        </w:rPr>
        <w:t>ICT</w:t>
      </w:r>
      <w:r>
        <w:rPr>
          <w:rFonts w:hint="eastAsia"/>
          <w:lang w:eastAsia="zh-CN"/>
        </w:rPr>
        <w:t>解决方案的使用周期评估，</w:t>
      </w:r>
      <w:r w:rsidR="00B21940">
        <w:rPr>
          <w:rFonts w:hint="eastAsia"/>
          <w:lang w:eastAsia="zh-CN"/>
        </w:rPr>
        <w:t>广泛</w:t>
      </w:r>
      <w:r>
        <w:rPr>
          <w:rFonts w:hint="eastAsia"/>
          <w:lang w:eastAsia="zh-CN"/>
        </w:rPr>
        <w:t>推动标准的制定和采用。最大限度地传播</w:t>
      </w:r>
      <w:r>
        <w:rPr>
          <w:rFonts w:hint="eastAsia"/>
          <w:lang w:eastAsia="zh-CN"/>
        </w:rPr>
        <w:t>ICT</w:t>
      </w:r>
      <w:r>
        <w:rPr>
          <w:rFonts w:hint="eastAsia"/>
          <w:lang w:eastAsia="zh-CN"/>
        </w:rPr>
        <w:t>环境影响的知识。</w:t>
      </w:r>
    </w:p>
    <w:p w:rsidR="00F56471" w:rsidRDefault="00F56471" w:rsidP="0003608B">
      <w:pPr>
        <w:rPr>
          <w:rFonts w:ascii="STKaiti" w:eastAsia="STKaiti" w:hAnsi="STKaiti"/>
          <w:u w:val="single"/>
          <w:lang w:eastAsia="zh-CN"/>
        </w:rPr>
      </w:pPr>
      <w:r w:rsidRPr="000013C6">
        <w:rPr>
          <w:rFonts w:ascii="STKaiti" w:eastAsia="STKaiti" w:hAnsi="STKaiti" w:hint="eastAsia"/>
          <w:u w:val="single"/>
          <w:lang w:eastAsia="zh-CN"/>
        </w:rPr>
        <w:t>措施</w:t>
      </w:r>
      <w:r>
        <w:rPr>
          <w:rFonts w:ascii="STKaiti" w:eastAsia="STKaiti" w:hAnsi="STKaiti" w:hint="eastAsia"/>
          <w:u w:val="single"/>
          <w:lang w:eastAsia="zh-CN"/>
        </w:rPr>
        <w:t>2</w:t>
      </w:r>
      <w:r w:rsidRPr="000013C6">
        <w:rPr>
          <w:rFonts w:ascii="STKaiti" w:eastAsia="STKaiti" w:hAnsi="STKaiti" w:hint="eastAsia"/>
          <w:u w:val="single"/>
          <w:lang w:eastAsia="zh-CN"/>
        </w:rPr>
        <w:t>：</w:t>
      </w:r>
      <w:r>
        <w:rPr>
          <w:rFonts w:ascii="STKaiti" w:eastAsia="STKaiti" w:hAnsi="STKaiti" w:hint="eastAsia"/>
          <w:u w:val="single"/>
          <w:lang w:eastAsia="zh-CN"/>
        </w:rPr>
        <w:t>展示成功和可行性</w:t>
      </w:r>
    </w:p>
    <w:p w:rsidR="00F56471" w:rsidRDefault="00F56471" w:rsidP="0003608B">
      <w:pPr>
        <w:pStyle w:val="enumlev1"/>
        <w:rPr>
          <w:lang w:eastAsia="zh-CN"/>
        </w:rPr>
      </w:pPr>
      <w:r>
        <w:rPr>
          <w:lang w:eastAsia="zh-CN"/>
        </w:rPr>
        <w:t>•</w:t>
      </w:r>
      <w:r>
        <w:rPr>
          <w:rFonts w:hint="eastAsia"/>
          <w:lang w:eastAsia="zh-CN"/>
        </w:rPr>
        <w:tab/>
      </w:r>
      <w:r>
        <w:rPr>
          <w:rFonts w:hint="eastAsia"/>
          <w:lang w:eastAsia="zh-CN"/>
        </w:rPr>
        <w:t>推动</w:t>
      </w:r>
      <w:r>
        <w:rPr>
          <w:rFonts w:hint="eastAsia"/>
          <w:lang w:eastAsia="zh-CN"/>
        </w:rPr>
        <w:t>ITU-T</w:t>
      </w:r>
      <w:r>
        <w:rPr>
          <w:rFonts w:hint="eastAsia"/>
          <w:lang w:eastAsia="zh-CN"/>
        </w:rPr>
        <w:t>第</w:t>
      </w:r>
      <w:r>
        <w:rPr>
          <w:rFonts w:hint="eastAsia"/>
          <w:lang w:eastAsia="zh-CN"/>
        </w:rPr>
        <w:t>5</w:t>
      </w:r>
      <w:r>
        <w:rPr>
          <w:rFonts w:hint="eastAsia"/>
          <w:lang w:eastAsia="zh-CN"/>
        </w:rPr>
        <w:t>研究组“</w:t>
      </w:r>
      <w:r>
        <w:rPr>
          <w:rFonts w:hint="eastAsia"/>
          <w:lang w:eastAsia="zh-CN"/>
        </w:rPr>
        <w:t>ICT</w:t>
      </w:r>
      <w:r>
        <w:rPr>
          <w:rFonts w:hint="eastAsia"/>
          <w:lang w:eastAsia="zh-CN"/>
        </w:rPr>
        <w:t>环境影响评估方法”</w:t>
      </w:r>
      <w:r>
        <w:rPr>
          <w:rStyle w:val="FootnoteReference"/>
          <w:lang w:eastAsia="zh-CN"/>
        </w:rPr>
        <w:footnoteReference w:id="4"/>
      </w:r>
      <w:r>
        <w:rPr>
          <w:rFonts w:hint="eastAsia"/>
          <w:lang w:eastAsia="zh-CN"/>
        </w:rPr>
        <w:t>建议书等方法，以及</w:t>
      </w:r>
      <w:r w:rsidR="00B21940">
        <w:rPr>
          <w:rFonts w:hint="eastAsia"/>
          <w:lang w:eastAsia="zh-CN"/>
        </w:rPr>
        <w:t>测量和监测</w:t>
      </w:r>
      <w:r>
        <w:rPr>
          <w:rFonts w:hint="eastAsia"/>
          <w:lang w:eastAsia="zh-CN"/>
        </w:rPr>
        <w:t>ICT</w:t>
      </w:r>
      <w:r>
        <w:rPr>
          <w:rFonts w:hint="eastAsia"/>
          <w:lang w:eastAsia="zh-CN"/>
        </w:rPr>
        <w:t>设备和服务</w:t>
      </w:r>
      <w:r w:rsidR="00B21940">
        <w:rPr>
          <w:rFonts w:hint="eastAsia"/>
          <w:lang w:eastAsia="zh-CN"/>
        </w:rPr>
        <w:t>整个</w:t>
      </w:r>
      <w:r>
        <w:rPr>
          <w:rFonts w:hint="eastAsia"/>
          <w:lang w:eastAsia="zh-CN"/>
        </w:rPr>
        <w:t>使用周期</w:t>
      </w:r>
      <w:r w:rsidR="00B21940">
        <w:rPr>
          <w:rFonts w:hint="eastAsia"/>
          <w:lang w:eastAsia="zh-CN"/>
        </w:rPr>
        <w:t>的</w:t>
      </w:r>
      <w:r>
        <w:rPr>
          <w:rFonts w:hint="eastAsia"/>
          <w:lang w:eastAsia="zh-CN"/>
        </w:rPr>
        <w:t>环境影响指标的制定工作</w:t>
      </w:r>
      <w:r w:rsidR="00B21940">
        <w:rPr>
          <w:rFonts w:hint="eastAsia"/>
          <w:lang w:eastAsia="zh-CN"/>
        </w:rPr>
        <w:t>，其中包括对隐含温室气体和温室气体排放的基线测量。</w:t>
      </w:r>
      <w:r>
        <w:rPr>
          <w:rFonts w:hint="eastAsia"/>
          <w:lang w:eastAsia="zh-CN"/>
        </w:rPr>
        <w:t>利用可比的评估方法对“智能”</w:t>
      </w:r>
      <w:r>
        <w:rPr>
          <w:rFonts w:hint="eastAsia"/>
          <w:lang w:eastAsia="zh-CN"/>
        </w:rPr>
        <w:t>ICT</w:t>
      </w:r>
      <w:r>
        <w:rPr>
          <w:rFonts w:hint="eastAsia"/>
          <w:lang w:eastAsia="zh-CN"/>
        </w:rPr>
        <w:t>解决方案和管理做法（如智能运输或建筑管理系统）的潜力进行评估，以降低能耗和温室气体排放</w:t>
      </w:r>
      <w:r>
        <w:rPr>
          <w:rStyle w:val="FootnoteReference"/>
          <w:lang w:eastAsia="zh-CN"/>
        </w:rPr>
        <w:footnoteReference w:id="5"/>
      </w:r>
      <w:r>
        <w:rPr>
          <w:rFonts w:hint="eastAsia"/>
          <w:lang w:eastAsia="zh-CN"/>
        </w:rPr>
        <w:t>。</w:t>
      </w:r>
    </w:p>
    <w:p w:rsidR="00F56471" w:rsidRDefault="00F56471" w:rsidP="0003608B">
      <w:pPr>
        <w:pStyle w:val="enumlev1"/>
        <w:rPr>
          <w:lang w:eastAsia="zh-CN"/>
        </w:rPr>
      </w:pPr>
      <w:r>
        <w:rPr>
          <w:lang w:eastAsia="zh-CN"/>
        </w:rPr>
        <w:t>•</w:t>
      </w:r>
      <w:r>
        <w:rPr>
          <w:rFonts w:hint="eastAsia"/>
          <w:lang w:eastAsia="zh-CN"/>
        </w:rPr>
        <w:tab/>
      </w:r>
      <w:r w:rsidR="00B21940">
        <w:rPr>
          <w:rFonts w:hint="eastAsia"/>
          <w:lang w:eastAsia="zh-CN"/>
        </w:rPr>
        <w:t>利用试点和旗舰演示项目帮助</w:t>
      </w:r>
      <w:r>
        <w:rPr>
          <w:rFonts w:hint="eastAsia"/>
          <w:lang w:eastAsia="zh-CN"/>
        </w:rPr>
        <w:t>建筑、运输和能源系统部门推广有前景的“智能”</w:t>
      </w:r>
      <w:r>
        <w:rPr>
          <w:rFonts w:hint="eastAsia"/>
          <w:lang w:eastAsia="zh-CN"/>
        </w:rPr>
        <w:t>ICT</w:t>
      </w:r>
      <w:r>
        <w:rPr>
          <w:rFonts w:hint="eastAsia"/>
          <w:lang w:eastAsia="zh-CN"/>
        </w:rPr>
        <w:t>解决方案。</w:t>
      </w:r>
    </w:p>
    <w:p w:rsidR="00F56471" w:rsidRDefault="00F56471" w:rsidP="0003608B">
      <w:pPr>
        <w:rPr>
          <w:rFonts w:ascii="STKaiti" w:eastAsia="STKaiti" w:hAnsi="STKaiti"/>
          <w:u w:val="single"/>
          <w:lang w:eastAsia="zh-CN"/>
        </w:rPr>
      </w:pPr>
      <w:r w:rsidRPr="000013C6">
        <w:rPr>
          <w:rFonts w:ascii="STKaiti" w:eastAsia="STKaiti" w:hAnsi="STKaiti" w:hint="eastAsia"/>
          <w:u w:val="single"/>
          <w:lang w:eastAsia="zh-CN"/>
        </w:rPr>
        <w:t>措施</w:t>
      </w:r>
      <w:r>
        <w:rPr>
          <w:rFonts w:ascii="STKaiti" w:eastAsia="STKaiti" w:hAnsi="STKaiti" w:hint="eastAsia"/>
          <w:u w:val="single"/>
          <w:lang w:eastAsia="zh-CN"/>
        </w:rPr>
        <w:t>3</w:t>
      </w:r>
      <w:r w:rsidRPr="000013C6">
        <w:rPr>
          <w:rFonts w:ascii="STKaiti" w:eastAsia="STKaiti" w:hAnsi="STKaiti" w:hint="eastAsia"/>
          <w:u w:val="single"/>
          <w:lang w:eastAsia="zh-CN"/>
        </w:rPr>
        <w:t>：</w:t>
      </w:r>
      <w:r>
        <w:rPr>
          <w:rFonts w:ascii="STKaiti" w:eastAsia="STKaiti" w:hAnsi="STKaiti" w:hint="eastAsia"/>
          <w:u w:val="single"/>
          <w:lang w:eastAsia="zh-CN"/>
        </w:rPr>
        <w:t>接纳私营部门、民间团体和学术界的参与</w:t>
      </w:r>
    </w:p>
    <w:p w:rsidR="00F56471" w:rsidRDefault="00F56471" w:rsidP="0003608B">
      <w:pPr>
        <w:ind w:firstLineChars="200" w:firstLine="480"/>
        <w:rPr>
          <w:rFonts w:ascii="STKaiti" w:eastAsia="STKaiti" w:hAnsi="STKaiti"/>
          <w:lang w:eastAsia="zh-CN"/>
        </w:rPr>
      </w:pPr>
      <w:r>
        <w:rPr>
          <w:rFonts w:ascii="STKaiti" w:eastAsia="STKaiti" w:hAnsi="STKaiti" w:hint="eastAsia"/>
          <w:lang w:eastAsia="zh-CN"/>
        </w:rPr>
        <w:t>私营部门、社会团体和学术界可在通过创新</w:t>
      </w:r>
      <w:r w:rsidR="00B21940">
        <w:rPr>
          <w:rFonts w:ascii="STKaiti" w:eastAsia="STKaiti" w:hAnsi="STKaiti" w:hint="eastAsia"/>
          <w:lang w:eastAsia="zh-CN"/>
        </w:rPr>
        <w:t>保护环境、</w:t>
      </w:r>
      <w:r>
        <w:rPr>
          <w:rFonts w:ascii="STKaiti" w:eastAsia="STKaiti" w:hAnsi="STKaiti" w:hint="eastAsia"/>
          <w:lang w:eastAsia="zh-CN"/>
        </w:rPr>
        <w:t>利用ICT妥善管理环境并应对气候变化方面发挥重大作用。</w:t>
      </w:r>
    </w:p>
    <w:p w:rsidR="001F4347" w:rsidRDefault="001F4347" w:rsidP="0003608B">
      <w:pPr>
        <w:pStyle w:val="enumlev1"/>
        <w:rPr>
          <w:lang w:eastAsia="zh-CN"/>
        </w:rPr>
      </w:pPr>
      <w:r>
        <w:rPr>
          <w:lang w:eastAsia="zh-CN"/>
        </w:rPr>
        <w:t>•</w:t>
      </w:r>
      <w:r>
        <w:rPr>
          <w:rFonts w:hint="eastAsia"/>
          <w:lang w:eastAsia="zh-CN"/>
        </w:rPr>
        <w:tab/>
      </w:r>
      <w:r>
        <w:rPr>
          <w:rFonts w:hint="eastAsia"/>
          <w:lang w:eastAsia="zh-CN"/>
        </w:rPr>
        <w:t>确保</w:t>
      </w:r>
      <w:r w:rsidR="004206BB">
        <w:rPr>
          <w:rFonts w:hint="eastAsia"/>
          <w:lang w:eastAsia="zh-CN"/>
        </w:rPr>
        <w:t>全程关注用于可持续管理处于生产、使用和终结使用阶段的自然资源和</w:t>
      </w:r>
      <w:r w:rsidR="00B21940">
        <w:rPr>
          <w:rFonts w:hint="eastAsia"/>
          <w:lang w:eastAsia="zh-CN"/>
        </w:rPr>
        <w:t>材料的</w:t>
      </w:r>
      <w:r w:rsidR="00B21940">
        <w:rPr>
          <w:rFonts w:hint="eastAsia"/>
          <w:lang w:eastAsia="zh-CN"/>
        </w:rPr>
        <w:t>I</w:t>
      </w:r>
      <w:r>
        <w:rPr>
          <w:rFonts w:hint="eastAsia"/>
          <w:lang w:eastAsia="zh-CN"/>
        </w:rPr>
        <w:t>CT</w:t>
      </w:r>
      <w:r>
        <w:rPr>
          <w:rFonts w:hint="eastAsia"/>
          <w:lang w:eastAsia="zh-CN"/>
        </w:rPr>
        <w:t>和</w:t>
      </w:r>
      <w:r>
        <w:rPr>
          <w:rFonts w:hint="eastAsia"/>
          <w:lang w:eastAsia="zh-CN"/>
        </w:rPr>
        <w:t>ICT</w:t>
      </w:r>
      <w:r>
        <w:rPr>
          <w:rFonts w:hint="eastAsia"/>
          <w:lang w:eastAsia="zh-CN"/>
        </w:rPr>
        <w:t>相关解决方案</w:t>
      </w:r>
      <w:r w:rsidR="00B21940">
        <w:rPr>
          <w:rFonts w:hint="eastAsia"/>
          <w:lang w:eastAsia="zh-CN"/>
        </w:rPr>
        <w:t>。推出</w:t>
      </w:r>
      <w:r>
        <w:rPr>
          <w:rFonts w:hint="eastAsia"/>
          <w:lang w:eastAsia="zh-CN"/>
        </w:rPr>
        <w:t>统一的环保和对社会负责任的</w:t>
      </w:r>
      <w:r>
        <w:rPr>
          <w:rFonts w:hint="eastAsia"/>
          <w:lang w:eastAsia="zh-CN"/>
        </w:rPr>
        <w:t>ICT</w:t>
      </w:r>
      <w:r>
        <w:rPr>
          <w:rFonts w:hint="eastAsia"/>
          <w:lang w:eastAsia="zh-CN"/>
        </w:rPr>
        <w:t>研发、设计、生产</w:t>
      </w:r>
      <w:r w:rsidR="00B21940">
        <w:rPr>
          <w:rFonts w:hint="eastAsia"/>
          <w:lang w:eastAsia="zh-CN"/>
        </w:rPr>
        <w:t>、</w:t>
      </w:r>
      <w:r>
        <w:rPr>
          <w:rFonts w:hint="eastAsia"/>
          <w:lang w:eastAsia="zh-CN"/>
        </w:rPr>
        <w:t>使用和淘汰制度，并在具有环境</w:t>
      </w:r>
      <w:r w:rsidR="00B21940">
        <w:rPr>
          <w:rFonts w:hint="eastAsia"/>
          <w:lang w:eastAsia="zh-CN"/>
        </w:rPr>
        <w:t>效益</w:t>
      </w:r>
      <w:r>
        <w:rPr>
          <w:rFonts w:hint="eastAsia"/>
          <w:lang w:eastAsia="zh-CN"/>
        </w:rPr>
        <w:t>的地方延长其</w:t>
      </w:r>
      <w:r w:rsidR="00B21940">
        <w:rPr>
          <w:rFonts w:hint="eastAsia"/>
          <w:lang w:eastAsia="zh-CN"/>
        </w:rPr>
        <w:t>使用</w:t>
      </w:r>
      <w:r>
        <w:rPr>
          <w:rFonts w:hint="eastAsia"/>
          <w:lang w:eastAsia="zh-CN"/>
        </w:rPr>
        <w:t>寿命。</w:t>
      </w:r>
    </w:p>
    <w:p w:rsidR="001F4347" w:rsidRDefault="001F4347" w:rsidP="0003608B">
      <w:pPr>
        <w:pStyle w:val="enumlev1"/>
        <w:rPr>
          <w:lang w:eastAsia="zh-CN"/>
        </w:rPr>
      </w:pPr>
      <w:r>
        <w:rPr>
          <w:lang w:eastAsia="zh-CN"/>
        </w:rPr>
        <w:t>•</w:t>
      </w:r>
      <w:r>
        <w:rPr>
          <w:rFonts w:hint="eastAsia"/>
          <w:lang w:eastAsia="zh-CN"/>
        </w:rPr>
        <w:tab/>
      </w:r>
      <w:r>
        <w:rPr>
          <w:rFonts w:hint="eastAsia"/>
          <w:lang w:eastAsia="zh-CN"/>
        </w:rPr>
        <w:t>鼓励</w:t>
      </w:r>
      <w:r>
        <w:rPr>
          <w:rFonts w:hint="eastAsia"/>
          <w:lang w:eastAsia="zh-CN"/>
        </w:rPr>
        <w:t>ICT</w:t>
      </w:r>
      <w:r>
        <w:rPr>
          <w:rFonts w:hint="eastAsia"/>
          <w:lang w:eastAsia="zh-CN"/>
        </w:rPr>
        <w:t>部门投资于适用的</w:t>
      </w:r>
      <w:r>
        <w:rPr>
          <w:rFonts w:hint="eastAsia"/>
          <w:lang w:eastAsia="zh-CN"/>
        </w:rPr>
        <w:t>ICT</w:t>
      </w:r>
      <w:r>
        <w:rPr>
          <w:rFonts w:hint="eastAsia"/>
          <w:lang w:eastAsia="zh-CN"/>
        </w:rPr>
        <w:t>应用。</w:t>
      </w:r>
    </w:p>
    <w:p w:rsidR="001F4347" w:rsidRDefault="001F4347" w:rsidP="0003608B">
      <w:pPr>
        <w:pStyle w:val="enumlev1"/>
        <w:rPr>
          <w:lang w:eastAsia="zh-CN"/>
        </w:rPr>
      </w:pPr>
      <w:r>
        <w:rPr>
          <w:lang w:eastAsia="zh-CN"/>
        </w:rPr>
        <w:t>•</w:t>
      </w:r>
      <w:r>
        <w:rPr>
          <w:rFonts w:hint="eastAsia"/>
          <w:lang w:eastAsia="zh-CN"/>
        </w:rPr>
        <w:tab/>
      </w:r>
      <w:r w:rsidR="00B21940">
        <w:rPr>
          <w:rFonts w:hint="eastAsia"/>
          <w:lang w:eastAsia="zh-CN"/>
        </w:rPr>
        <w:t>厉</w:t>
      </w:r>
      <w:r w:rsidR="00C80FE1">
        <w:rPr>
          <w:rFonts w:hint="eastAsia"/>
          <w:lang w:eastAsia="zh-CN"/>
        </w:rPr>
        <w:t>行</w:t>
      </w:r>
      <w:r w:rsidR="00B21940">
        <w:rPr>
          <w:rFonts w:hint="eastAsia"/>
          <w:lang w:eastAsia="zh-CN"/>
        </w:rPr>
        <w:t>净</w:t>
      </w:r>
      <w:r w:rsidR="00C80FE1">
        <w:rPr>
          <w:rFonts w:hint="eastAsia"/>
          <w:lang w:eastAsia="zh-CN"/>
        </w:rPr>
        <w:t>污染方付费的原则。</w:t>
      </w:r>
    </w:p>
    <w:p w:rsidR="00C80FE1" w:rsidRDefault="00C80FE1" w:rsidP="0003608B">
      <w:pPr>
        <w:pStyle w:val="enumlev1"/>
        <w:rPr>
          <w:lang w:eastAsia="zh-CN"/>
        </w:rPr>
      </w:pPr>
      <w:r>
        <w:rPr>
          <w:lang w:eastAsia="zh-CN"/>
        </w:rPr>
        <w:t>•</w:t>
      </w:r>
      <w:r>
        <w:rPr>
          <w:rFonts w:hint="eastAsia"/>
          <w:lang w:eastAsia="zh-CN"/>
        </w:rPr>
        <w:tab/>
      </w:r>
      <w:r w:rsidR="00B21940">
        <w:rPr>
          <w:rFonts w:hint="eastAsia"/>
          <w:lang w:eastAsia="zh-CN"/>
        </w:rPr>
        <w:t>就</w:t>
      </w:r>
      <w:r>
        <w:rPr>
          <w:rFonts w:hint="eastAsia"/>
          <w:lang w:eastAsia="zh-CN"/>
        </w:rPr>
        <w:t>电子垃圾和有害废料</w:t>
      </w:r>
      <w:r w:rsidR="00B21940">
        <w:rPr>
          <w:rFonts w:hint="eastAsia"/>
          <w:lang w:eastAsia="zh-CN"/>
        </w:rPr>
        <w:t>而言</w:t>
      </w:r>
      <w:r>
        <w:rPr>
          <w:rFonts w:hint="eastAsia"/>
          <w:lang w:eastAsia="zh-CN"/>
        </w:rPr>
        <w:t>，遵守多边环境协议和国家规定提出的现行义务，即出口前获得事先知情同意的义务，确保进口国能够在国际机构技术援助的支持下掌握环保地回收和处理电子垃圾的技术能力，还要遵守延伸生产者责任制的原则。</w:t>
      </w:r>
    </w:p>
    <w:p w:rsidR="00C80FE1" w:rsidRDefault="00C80FE1" w:rsidP="0003608B">
      <w:pPr>
        <w:keepNext/>
        <w:rPr>
          <w:rFonts w:ascii="STKaiti" w:eastAsia="STKaiti" w:hAnsi="STKaiti"/>
          <w:u w:val="single"/>
          <w:lang w:eastAsia="zh-CN"/>
        </w:rPr>
      </w:pPr>
      <w:r w:rsidRPr="000013C6">
        <w:rPr>
          <w:rFonts w:ascii="STKaiti" w:eastAsia="STKaiti" w:hAnsi="STKaiti" w:hint="eastAsia"/>
          <w:u w:val="single"/>
          <w:lang w:eastAsia="zh-CN"/>
        </w:rPr>
        <w:t>措施</w:t>
      </w:r>
      <w:r>
        <w:rPr>
          <w:rFonts w:ascii="STKaiti" w:eastAsia="STKaiti" w:hAnsi="STKaiti" w:hint="eastAsia"/>
          <w:u w:val="single"/>
          <w:lang w:eastAsia="zh-CN"/>
        </w:rPr>
        <w:t>4</w:t>
      </w:r>
      <w:r w:rsidRPr="000013C6">
        <w:rPr>
          <w:rFonts w:ascii="STKaiti" w:eastAsia="STKaiti" w:hAnsi="STKaiti" w:hint="eastAsia"/>
          <w:u w:val="single"/>
          <w:lang w:eastAsia="zh-CN"/>
        </w:rPr>
        <w:t>：</w:t>
      </w:r>
      <w:r>
        <w:rPr>
          <w:rFonts w:ascii="STKaiti" w:eastAsia="STKaiti" w:hAnsi="STKaiti" w:hint="eastAsia"/>
          <w:u w:val="single"/>
          <w:lang w:eastAsia="zh-CN"/>
        </w:rPr>
        <w:t>扩大国家、区域和国际合作</w:t>
      </w:r>
    </w:p>
    <w:p w:rsidR="00C80FE1" w:rsidRPr="00C80FE1" w:rsidRDefault="00C80FE1" w:rsidP="0003608B">
      <w:pPr>
        <w:ind w:firstLineChars="200" w:firstLine="480"/>
        <w:rPr>
          <w:rFonts w:ascii="STKaiti" w:eastAsia="STKaiti" w:hAnsi="STKaiti"/>
          <w:lang w:eastAsia="zh-CN"/>
        </w:rPr>
      </w:pPr>
      <w:r w:rsidRPr="00C80FE1">
        <w:rPr>
          <w:rFonts w:ascii="STKaiti" w:eastAsia="STKaiti" w:hAnsi="STKaiti" w:hint="eastAsia"/>
          <w:lang w:eastAsia="zh-CN"/>
        </w:rPr>
        <w:t>在国际、区域和国家层面开展合作，推动向可持续的低碳经济、绿色投资和自然资源可持续管理的</w:t>
      </w:r>
      <w:r w:rsidR="0030371E">
        <w:rPr>
          <w:rFonts w:ascii="STKaiti" w:eastAsia="STKaiti" w:hAnsi="STKaiti" w:hint="eastAsia"/>
          <w:lang w:eastAsia="zh-CN"/>
        </w:rPr>
        <w:t>方向</w:t>
      </w:r>
      <w:r w:rsidRPr="00C80FE1">
        <w:rPr>
          <w:rFonts w:ascii="STKaiti" w:eastAsia="STKaiti" w:hAnsi="STKaiti" w:hint="eastAsia"/>
          <w:lang w:eastAsia="zh-CN"/>
        </w:rPr>
        <w:t>过渡，开发和推广清洁技术并最终鼓励发达国家支持发展中国家采取的行动，包括通过国内政策</w:t>
      </w:r>
      <w:r w:rsidR="0030371E" w:rsidRPr="00C80FE1">
        <w:rPr>
          <w:rFonts w:ascii="STKaiti" w:eastAsia="STKaiti" w:hAnsi="STKaiti" w:hint="eastAsia"/>
          <w:lang w:eastAsia="zh-CN"/>
        </w:rPr>
        <w:t>改革</w:t>
      </w:r>
      <w:r w:rsidR="0030371E">
        <w:rPr>
          <w:rFonts w:ascii="STKaiti" w:eastAsia="STKaiti" w:hAnsi="STKaiti" w:hint="eastAsia"/>
          <w:lang w:eastAsia="zh-CN"/>
        </w:rPr>
        <w:t>实现</w:t>
      </w:r>
      <w:r w:rsidRPr="00C80FE1">
        <w:rPr>
          <w:rFonts w:ascii="STKaiti" w:eastAsia="STKaiti" w:hAnsi="STKaiti" w:hint="eastAsia"/>
          <w:lang w:eastAsia="zh-CN"/>
        </w:rPr>
        <w:t>更</w:t>
      </w:r>
      <w:r w:rsidR="0030371E">
        <w:rPr>
          <w:rFonts w:ascii="STKaiti" w:eastAsia="STKaiti" w:hAnsi="STKaiti" w:hint="eastAsia"/>
          <w:lang w:eastAsia="zh-CN"/>
        </w:rPr>
        <w:t>环保的</w:t>
      </w:r>
      <w:r w:rsidRPr="00C80FE1">
        <w:rPr>
          <w:rFonts w:ascii="STKaiti" w:eastAsia="STKaiti" w:hAnsi="STKaiti" w:hint="eastAsia"/>
          <w:lang w:eastAsia="zh-CN"/>
        </w:rPr>
        <w:t>增长。</w:t>
      </w:r>
    </w:p>
    <w:p w:rsidR="00C80FE1" w:rsidRDefault="00C80FE1" w:rsidP="0003608B">
      <w:pPr>
        <w:pStyle w:val="enumlev1"/>
        <w:rPr>
          <w:lang w:eastAsia="zh-CN"/>
        </w:rPr>
      </w:pPr>
      <w:r>
        <w:rPr>
          <w:lang w:eastAsia="zh-CN"/>
        </w:rPr>
        <w:t>•</w:t>
      </w:r>
      <w:r>
        <w:rPr>
          <w:rFonts w:hint="eastAsia"/>
          <w:lang w:eastAsia="zh-CN"/>
        </w:rPr>
        <w:tab/>
      </w:r>
      <w:r>
        <w:rPr>
          <w:rFonts w:hint="eastAsia"/>
          <w:lang w:eastAsia="zh-CN"/>
        </w:rPr>
        <w:t>促进</w:t>
      </w:r>
      <w:r>
        <w:rPr>
          <w:rFonts w:hint="eastAsia"/>
          <w:lang w:eastAsia="zh-CN"/>
        </w:rPr>
        <w:t>ICT</w:t>
      </w:r>
      <w:r>
        <w:rPr>
          <w:rFonts w:hint="eastAsia"/>
          <w:lang w:eastAsia="zh-CN"/>
        </w:rPr>
        <w:t>和非</w:t>
      </w:r>
      <w:r>
        <w:rPr>
          <w:rFonts w:hint="eastAsia"/>
          <w:lang w:eastAsia="zh-CN"/>
        </w:rPr>
        <w:t>ICT</w:t>
      </w:r>
      <w:r>
        <w:rPr>
          <w:rFonts w:hint="eastAsia"/>
          <w:lang w:eastAsia="zh-CN"/>
        </w:rPr>
        <w:t>公司、国际组织、研究机构、各国政府和民间团体之间的合作和知识交流。</w:t>
      </w:r>
    </w:p>
    <w:p w:rsidR="00C80FE1" w:rsidRDefault="00C80FE1" w:rsidP="0003608B">
      <w:pPr>
        <w:pStyle w:val="enumlev1"/>
        <w:rPr>
          <w:lang w:eastAsia="zh-CN"/>
        </w:rPr>
      </w:pPr>
      <w:r>
        <w:rPr>
          <w:lang w:eastAsia="zh-CN"/>
        </w:rPr>
        <w:t>•</w:t>
      </w:r>
      <w:r>
        <w:rPr>
          <w:rFonts w:hint="eastAsia"/>
          <w:lang w:eastAsia="zh-CN"/>
        </w:rPr>
        <w:tab/>
      </w:r>
      <w:r>
        <w:rPr>
          <w:rFonts w:hint="eastAsia"/>
          <w:lang w:eastAsia="zh-CN"/>
        </w:rPr>
        <w:t>力求将</w:t>
      </w:r>
      <w:r>
        <w:rPr>
          <w:rFonts w:hint="eastAsia"/>
          <w:lang w:eastAsia="zh-CN"/>
        </w:rPr>
        <w:t>ICT</w:t>
      </w:r>
      <w:r>
        <w:rPr>
          <w:rFonts w:hint="eastAsia"/>
          <w:lang w:eastAsia="zh-CN"/>
        </w:rPr>
        <w:t>政策纳入联合国气候变化框架公约（</w:t>
      </w:r>
      <w:r>
        <w:rPr>
          <w:rFonts w:hint="eastAsia"/>
          <w:lang w:eastAsia="zh-CN"/>
        </w:rPr>
        <w:t>UNFCCC</w:t>
      </w:r>
      <w:r>
        <w:rPr>
          <w:rFonts w:hint="eastAsia"/>
          <w:lang w:eastAsia="zh-CN"/>
        </w:rPr>
        <w:t>）等国际组织就环境变化开展的</w:t>
      </w:r>
      <w:r w:rsidR="0030371E">
        <w:rPr>
          <w:rFonts w:hint="eastAsia"/>
          <w:lang w:eastAsia="zh-CN"/>
        </w:rPr>
        <w:t>持续</w:t>
      </w:r>
      <w:r>
        <w:rPr>
          <w:rFonts w:hint="eastAsia"/>
          <w:lang w:eastAsia="zh-CN"/>
        </w:rPr>
        <w:t>对话。</w:t>
      </w:r>
    </w:p>
    <w:p w:rsidR="00C80FE1" w:rsidRDefault="00C80FE1" w:rsidP="0003608B">
      <w:pPr>
        <w:pStyle w:val="enumlev1"/>
        <w:rPr>
          <w:lang w:eastAsia="zh-CN"/>
        </w:rPr>
      </w:pPr>
      <w:r>
        <w:rPr>
          <w:lang w:eastAsia="zh-CN"/>
        </w:rPr>
        <w:t>•</w:t>
      </w:r>
      <w:r>
        <w:rPr>
          <w:rFonts w:hint="eastAsia"/>
          <w:lang w:eastAsia="zh-CN"/>
        </w:rPr>
        <w:tab/>
      </w:r>
      <w:r w:rsidR="0030371E">
        <w:rPr>
          <w:rFonts w:hint="eastAsia"/>
          <w:lang w:eastAsia="zh-CN"/>
        </w:rPr>
        <w:t>努力</w:t>
      </w:r>
      <w:r>
        <w:rPr>
          <w:rFonts w:hint="eastAsia"/>
          <w:lang w:eastAsia="zh-CN"/>
        </w:rPr>
        <w:t>使</w:t>
      </w:r>
      <w:r>
        <w:rPr>
          <w:rFonts w:hint="eastAsia"/>
          <w:lang w:eastAsia="zh-CN"/>
        </w:rPr>
        <w:t>ICT</w:t>
      </w:r>
      <w:r>
        <w:rPr>
          <w:rFonts w:hint="eastAsia"/>
          <w:lang w:eastAsia="zh-CN"/>
        </w:rPr>
        <w:t>政策与政府间气候变化专门委员会（</w:t>
      </w:r>
      <w:r>
        <w:rPr>
          <w:rFonts w:hint="eastAsia"/>
          <w:lang w:eastAsia="zh-CN"/>
        </w:rPr>
        <w:t>IPCC</w:t>
      </w:r>
      <w:r>
        <w:rPr>
          <w:rFonts w:hint="eastAsia"/>
          <w:lang w:eastAsia="zh-CN"/>
        </w:rPr>
        <w:t>）相结合。</w:t>
      </w:r>
    </w:p>
    <w:p w:rsidR="00C33EC9" w:rsidRPr="00C33EC9" w:rsidRDefault="00C33EC9" w:rsidP="0003608B">
      <w:pPr>
        <w:pStyle w:val="enumlev1"/>
        <w:autoSpaceDE w:val="0"/>
        <w:autoSpaceDN w:val="0"/>
      </w:pPr>
      <w:r w:rsidRPr="00C33EC9">
        <w:t>•</w:t>
      </w:r>
      <w:r w:rsidRPr="00C33EC9">
        <w:rPr>
          <w:rFonts w:hint="eastAsia"/>
        </w:rPr>
        <w:tab/>
      </w:r>
      <w:r w:rsidRPr="00C33EC9">
        <w:rPr>
          <w:rFonts w:hint="eastAsia"/>
        </w:rPr>
        <w:t>推动国家、区域和国际层面就环境可持续性开展的</w:t>
      </w:r>
      <w:r w:rsidRPr="00C33EC9">
        <w:rPr>
          <w:rFonts w:hint="eastAsia"/>
        </w:rPr>
        <w:t>ICT</w:t>
      </w:r>
      <w:r w:rsidRPr="00C33EC9">
        <w:rPr>
          <w:rFonts w:hint="eastAsia"/>
        </w:rPr>
        <w:t>合作，加强发展中国家之间、发达和发展中国家之间的合作关系，以应对全球性环境挑战并强化国际治理，更好地应对全球环境挑战，在制定合作计划时更加重视</w:t>
      </w:r>
      <w:r w:rsidRPr="00C33EC9">
        <w:rPr>
          <w:rFonts w:hint="eastAsia"/>
        </w:rPr>
        <w:t>ICT</w:t>
      </w:r>
      <w:r w:rsidRPr="00C33EC9">
        <w:rPr>
          <w:rFonts w:hint="eastAsia"/>
        </w:rPr>
        <w:t>与环境的关系，并在这一领域推出更为协调一致的政策。</w:t>
      </w:r>
    </w:p>
    <w:p w:rsidR="00C80FE1" w:rsidRDefault="00C80FE1" w:rsidP="0003608B">
      <w:pPr>
        <w:pStyle w:val="enumlev1"/>
        <w:rPr>
          <w:lang w:eastAsia="zh-CN"/>
        </w:rPr>
      </w:pPr>
      <w:r>
        <w:rPr>
          <w:lang w:eastAsia="zh-CN"/>
        </w:rPr>
        <w:t>•</w:t>
      </w:r>
      <w:r>
        <w:rPr>
          <w:rFonts w:hint="eastAsia"/>
          <w:lang w:eastAsia="zh-CN"/>
        </w:rPr>
        <w:tab/>
      </w:r>
      <w:r w:rsidR="0030371E">
        <w:rPr>
          <w:rFonts w:hint="eastAsia"/>
          <w:lang w:eastAsia="zh-CN"/>
        </w:rPr>
        <w:t>为发展中国家的能力建设提供充足财力，以便</w:t>
      </w:r>
      <w:r w:rsidR="00C33EC9">
        <w:rPr>
          <w:rFonts w:hint="eastAsia"/>
          <w:lang w:eastAsia="zh-CN"/>
        </w:rPr>
        <w:t>更好地利用</w:t>
      </w:r>
      <w:r w:rsidR="00C33EC9">
        <w:rPr>
          <w:rFonts w:hint="eastAsia"/>
          <w:lang w:eastAsia="zh-CN"/>
        </w:rPr>
        <w:t>ICT</w:t>
      </w:r>
      <w:r w:rsidR="00C33EC9">
        <w:rPr>
          <w:rFonts w:hint="eastAsia"/>
          <w:lang w:eastAsia="zh-CN"/>
        </w:rPr>
        <w:t>保护环境</w:t>
      </w:r>
      <w:r w:rsidR="0030371E">
        <w:rPr>
          <w:rFonts w:hint="eastAsia"/>
          <w:lang w:eastAsia="zh-CN"/>
        </w:rPr>
        <w:t>和</w:t>
      </w:r>
      <w:r w:rsidR="00C33EC9">
        <w:rPr>
          <w:rFonts w:hint="eastAsia"/>
          <w:lang w:eastAsia="zh-CN"/>
        </w:rPr>
        <w:t>加强</w:t>
      </w:r>
      <w:r w:rsidR="005D54A5">
        <w:rPr>
          <w:rFonts w:hint="eastAsia"/>
          <w:lang w:eastAsia="zh-CN"/>
        </w:rPr>
        <w:t>技术转让、传播和推广。</w:t>
      </w:r>
    </w:p>
    <w:p w:rsidR="005D54A5" w:rsidRDefault="005D54A5" w:rsidP="0003608B">
      <w:pPr>
        <w:rPr>
          <w:rFonts w:ascii="STKaiti" w:eastAsia="STKaiti" w:hAnsi="STKaiti"/>
          <w:u w:val="single"/>
          <w:lang w:eastAsia="zh-CN"/>
        </w:rPr>
      </w:pPr>
      <w:r w:rsidRPr="000013C6">
        <w:rPr>
          <w:rFonts w:ascii="STKaiti" w:eastAsia="STKaiti" w:hAnsi="STKaiti" w:hint="eastAsia"/>
          <w:u w:val="single"/>
          <w:lang w:eastAsia="zh-CN"/>
        </w:rPr>
        <w:t>措施</w:t>
      </w:r>
      <w:r>
        <w:rPr>
          <w:rFonts w:ascii="STKaiti" w:eastAsia="STKaiti" w:hAnsi="STKaiti" w:hint="eastAsia"/>
          <w:u w:val="single"/>
          <w:lang w:eastAsia="zh-CN"/>
        </w:rPr>
        <w:t>5</w:t>
      </w:r>
      <w:r w:rsidRPr="000013C6">
        <w:rPr>
          <w:rFonts w:ascii="STKaiti" w:eastAsia="STKaiti" w:hAnsi="STKaiti" w:hint="eastAsia"/>
          <w:u w:val="single"/>
          <w:lang w:eastAsia="zh-CN"/>
        </w:rPr>
        <w:t>：</w:t>
      </w:r>
      <w:r>
        <w:rPr>
          <w:rFonts w:ascii="STKaiti" w:eastAsia="STKaiti" w:hAnsi="STKaiti" w:hint="eastAsia"/>
          <w:u w:val="single"/>
          <w:lang w:eastAsia="zh-CN"/>
        </w:rPr>
        <w:t>将ICT、气候、环境和能源政策</w:t>
      </w:r>
      <w:r w:rsidR="0030371E">
        <w:rPr>
          <w:rFonts w:ascii="STKaiti" w:eastAsia="STKaiti" w:hAnsi="STKaiti" w:hint="eastAsia"/>
          <w:u w:val="single"/>
          <w:lang w:eastAsia="zh-CN"/>
        </w:rPr>
        <w:t>融为一体</w:t>
      </w:r>
    </w:p>
    <w:p w:rsidR="005D54A5" w:rsidRDefault="00AE5327" w:rsidP="0003608B">
      <w:pPr>
        <w:pStyle w:val="enumlev1"/>
        <w:autoSpaceDE w:val="0"/>
        <w:rPr>
          <w:lang w:eastAsia="zh-CN"/>
        </w:rPr>
      </w:pPr>
      <w:r>
        <w:rPr>
          <w:lang w:eastAsia="zh-CN"/>
        </w:rPr>
        <w:t>•</w:t>
      </w:r>
      <w:r>
        <w:rPr>
          <w:rFonts w:hint="eastAsia"/>
          <w:lang w:eastAsia="zh-CN"/>
        </w:rPr>
        <w:tab/>
      </w:r>
      <w:r>
        <w:rPr>
          <w:rFonts w:hint="eastAsia"/>
          <w:lang w:eastAsia="zh-CN"/>
        </w:rPr>
        <w:t>在</w:t>
      </w:r>
      <w:r>
        <w:rPr>
          <w:rFonts w:hint="eastAsia"/>
          <w:lang w:eastAsia="zh-CN"/>
        </w:rPr>
        <w:t>ICT</w:t>
      </w:r>
      <w:r>
        <w:rPr>
          <w:rFonts w:hint="eastAsia"/>
          <w:lang w:eastAsia="zh-CN"/>
        </w:rPr>
        <w:t>、环境和能源专家和决策者之间牵线搭桥，使</w:t>
      </w:r>
      <w:r>
        <w:rPr>
          <w:rFonts w:hint="eastAsia"/>
          <w:lang w:eastAsia="zh-CN"/>
        </w:rPr>
        <w:t>ICT</w:t>
      </w:r>
      <w:r>
        <w:rPr>
          <w:rFonts w:hint="eastAsia"/>
          <w:lang w:eastAsia="zh-CN"/>
        </w:rPr>
        <w:t>能够融入环境和能源政策，以改善环境状况、遏制全球变暖、提高能源效率和改进资源管理。</w:t>
      </w:r>
    </w:p>
    <w:p w:rsidR="00AE5327" w:rsidRDefault="00AE5327" w:rsidP="0003608B">
      <w:pPr>
        <w:pStyle w:val="enumlev1"/>
        <w:rPr>
          <w:lang w:eastAsia="zh-CN"/>
        </w:rPr>
      </w:pPr>
      <w:r>
        <w:rPr>
          <w:lang w:eastAsia="zh-CN"/>
        </w:rPr>
        <w:t>•</w:t>
      </w:r>
      <w:r>
        <w:rPr>
          <w:rFonts w:hint="eastAsia"/>
          <w:lang w:eastAsia="zh-CN"/>
        </w:rPr>
        <w:tab/>
      </w:r>
      <w:r>
        <w:rPr>
          <w:rFonts w:hint="eastAsia"/>
          <w:lang w:eastAsia="zh-CN"/>
        </w:rPr>
        <w:t>将</w:t>
      </w:r>
      <w:r>
        <w:rPr>
          <w:rFonts w:hint="eastAsia"/>
          <w:lang w:eastAsia="zh-CN"/>
        </w:rPr>
        <w:t>ICT</w:t>
      </w:r>
      <w:r>
        <w:rPr>
          <w:rFonts w:hint="eastAsia"/>
          <w:lang w:eastAsia="zh-CN"/>
        </w:rPr>
        <w:t>的利用纳入国家适应性计划，将</w:t>
      </w:r>
      <w:r>
        <w:rPr>
          <w:rFonts w:hint="eastAsia"/>
          <w:lang w:eastAsia="zh-CN"/>
        </w:rPr>
        <w:t>ICT</w:t>
      </w:r>
      <w:r>
        <w:rPr>
          <w:rFonts w:hint="eastAsia"/>
          <w:lang w:eastAsia="zh-CN"/>
        </w:rPr>
        <w:t>用作应对气候变化影响的有力工具。</w:t>
      </w:r>
    </w:p>
    <w:p w:rsidR="00AE5327" w:rsidRDefault="00AE5327" w:rsidP="0003608B">
      <w:pPr>
        <w:pStyle w:val="enumlev1"/>
        <w:rPr>
          <w:lang w:eastAsia="zh-CN"/>
        </w:rPr>
      </w:pPr>
      <w:r>
        <w:rPr>
          <w:lang w:eastAsia="zh-CN"/>
        </w:rPr>
        <w:t>•</w:t>
      </w:r>
      <w:r>
        <w:rPr>
          <w:rFonts w:hint="eastAsia"/>
          <w:lang w:eastAsia="zh-CN"/>
        </w:rPr>
        <w:tab/>
      </w:r>
      <w:r>
        <w:rPr>
          <w:rFonts w:hint="eastAsia"/>
          <w:lang w:eastAsia="zh-CN"/>
        </w:rPr>
        <w:t>通过采取绿色</w:t>
      </w:r>
      <w:r>
        <w:rPr>
          <w:rFonts w:hint="eastAsia"/>
          <w:lang w:eastAsia="zh-CN"/>
        </w:rPr>
        <w:t>ICT</w:t>
      </w:r>
      <w:r>
        <w:rPr>
          <w:rFonts w:hint="eastAsia"/>
          <w:lang w:eastAsia="zh-CN"/>
        </w:rPr>
        <w:t>方式、政策、应用和服务，最大限度地减少公共管理对环境的影响，实施的举措包括</w:t>
      </w:r>
      <w:r>
        <w:rPr>
          <w:rFonts w:hint="eastAsia"/>
          <w:lang w:eastAsia="zh-CN"/>
        </w:rPr>
        <w:t xml:space="preserve"> (a) </w:t>
      </w:r>
      <w:r>
        <w:rPr>
          <w:rFonts w:hint="eastAsia"/>
          <w:lang w:eastAsia="zh-CN"/>
        </w:rPr>
        <w:t>在</w:t>
      </w:r>
      <w:r>
        <w:rPr>
          <w:rFonts w:hint="eastAsia"/>
          <w:lang w:eastAsia="zh-CN"/>
        </w:rPr>
        <w:t>ICT</w:t>
      </w:r>
      <w:r>
        <w:rPr>
          <w:rFonts w:hint="eastAsia"/>
          <w:lang w:eastAsia="zh-CN"/>
        </w:rPr>
        <w:t>商品的公共采购中更加重视</w:t>
      </w:r>
      <w:r w:rsidR="00333CC6">
        <w:rPr>
          <w:rFonts w:hint="eastAsia"/>
          <w:lang w:eastAsia="zh-CN"/>
        </w:rPr>
        <w:t>环境</w:t>
      </w:r>
      <w:r w:rsidR="0003608B">
        <w:rPr>
          <w:rFonts w:hint="eastAsia"/>
          <w:lang w:eastAsia="zh-CN"/>
        </w:rPr>
        <w:t>标准</w:t>
      </w:r>
      <w:r w:rsidR="00333CC6">
        <w:rPr>
          <w:rFonts w:hint="eastAsia"/>
          <w:lang w:eastAsia="zh-CN"/>
        </w:rPr>
        <w:t>并增加供应商的环境创新；</w:t>
      </w:r>
      <w:r w:rsidR="00333CC6">
        <w:rPr>
          <w:rFonts w:hint="eastAsia"/>
          <w:lang w:eastAsia="zh-CN"/>
        </w:rPr>
        <w:t xml:space="preserve">(b) </w:t>
      </w:r>
      <w:r w:rsidR="00333CC6">
        <w:rPr>
          <w:rFonts w:hint="eastAsia"/>
          <w:lang w:eastAsia="zh-CN"/>
        </w:rPr>
        <w:t>通过利用节能的“智能”</w:t>
      </w:r>
      <w:r w:rsidR="00333CC6">
        <w:rPr>
          <w:rFonts w:hint="eastAsia"/>
          <w:lang w:eastAsia="zh-CN"/>
        </w:rPr>
        <w:t>ICT</w:t>
      </w:r>
      <w:r w:rsidR="00333CC6">
        <w:rPr>
          <w:rFonts w:hint="eastAsia"/>
          <w:lang w:eastAsia="zh-CN"/>
        </w:rPr>
        <w:t>应用（如照明、供暖和制冷以及建筑控制），最大限度地提高公共设施的资源效率；或</w:t>
      </w:r>
      <w:r w:rsidR="00333CC6">
        <w:rPr>
          <w:rFonts w:hint="eastAsia"/>
          <w:lang w:eastAsia="zh-CN"/>
        </w:rPr>
        <w:t xml:space="preserve"> (c) </w:t>
      </w:r>
      <w:r w:rsidR="00333CC6">
        <w:rPr>
          <w:rFonts w:hint="eastAsia"/>
          <w:lang w:eastAsia="zh-CN"/>
        </w:rPr>
        <w:t>通过</w:t>
      </w:r>
      <w:r w:rsidR="0003608B">
        <w:rPr>
          <w:rFonts w:hint="eastAsia"/>
          <w:lang w:eastAsia="zh-CN"/>
        </w:rPr>
        <w:t>减少</w:t>
      </w:r>
      <w:r w:rsidR="00333CC6">
        <w:rPr>
          <w:rFonts w:hint="eastAsia"/>
          <w:lang w:eastAsia="zh-CN"/>
        </w:rPr>
        <w:t>通勤差旅的远程工作和视频会议，提高公共行政管理的工作效率并实现体制变革，以减少温室气体排放。</w:t>
      </w:r>
    </w:p>
    <w:p w:rsidR="00AE5327" w:rsidRDefault="00AE5327" w:rsidP="0003608B">
      <w:pPr>
        <w:pStyle w:val="enumlev1"/>
        <w:rPr>
          <w:lang w:eastAsia="zh-CN"/>
        </w:rPr>
      </w:pPr>
      <w:r>
        <w:rPr>
          <w:lang w:eastAsia="zh-CN"/>
        </w:rPr>
        <w:t>•</w:t>
      </w:r>
      <w:r>
        <w:rPr>
          <w:rFonts w:hint="eastAsia"/>
          <w:lang w:eastAsia="zh-CN"/>
        </w:rPr>
        <w:tab/>
      </w:r>
      <w:r w:rsidR="00675484">
        <w:rPr>
          <w:rFonts w:hint="eastAsia"/>
          <w:lang w:eastAsia="zh-CN"/>
        </w:rPr>
        <w:t>制定透明的政策目标和宗旨，改进政府的策略。定期对政策的执行情况进行监督和评估，以明确职责并增强责任心。在能够有效实行自我监督和自我报告的单位采取自愿措施。</w:t>
      </w:r>
    </w:p>
    <w:p w:rsidR="00AE5327" w:rsidRPr="00675484" w:rsidRDefault="00AE5327" w:rsidP="0003608B">
      <w:pPr>
        <w:rPr>
          <w:rFonts w:ascii="STKaiti" w:eastAsia="STKaiti" w:hAnsi="STKaiti"/>
          <w:u w:val="single"/>
          <w:lang w:eastAsia="zh-CN"/>
        </w:rPr>
      </w:pPr>
      <w:r w:rsidRPr="000013C6">
        <w:rPr>
          <w:rFonts w:ascii="STKaiti" w:eastAsia="STKaiti" w:hAnsi="STKaiti" w:hint="eastAsia"/>
          <w:u w:val="single"/>
          <w:lang w:eastAsia="zh-CN"/>
        </w:rPr>
        <w:t>措施</w:t>
      </w:r>
      <w:r>
        <w:rPr>
          <w:rFonts w:ascii="STKaiti" w:eastAsia="STKaiti" w:hAnsi="STKaiti" w:hint="eastAsia"/>
          <w:u w:val="single"/>
          <w:lang w:eastAsia="zh-CN"/>
        </w:rPr>
        <w:t>6</w:t>
      </w:r>
      <w:r w:rsidRPr="000013C6">
        <w:rPr>
          <w:rFonts w:ascii="STKaiti" w:eastAsia="STKaiti" w:hAnsi="STKaiti" w:hint="eastAsia"/>
          <w:u w:val="single"/>
          <w:lang w:eastAsia="zh-CN"/>
        </w:rPr>
        <w:t>：</w:t>
      </w:r>
      <w:r w:rsidR="00675484">
        <w:rPr>
          <w:rFonts w:ascii="STKaiti" w:eastAsia="STKaiti" w:hAnsi="STKaiti" w:hint="eastAsia"/>
          <w:u w:val="single"/>
          <w:lang w:eastAsia="zh-CN"/>
        </w:rPr>
        <w:t>制定和落实有利于增长的国家绿色ICT战略</w:t>
      </w:r>
    </w:p>
    <w:p w:rsidR="00AE5327" w:rsidRPr="00AE5327" w:rsidRDefault="00675484" w:rsidP="0003608B">
      <w:pPr>
        <w:ind w:firstLineChars="200" w:firstLine="480"/>
        <w:rPr>
          <w:rFonts w:ascii="STKaiti" w:eastAsia="STKaiti" w:hAnsi="STKaiti"/>
          <w:lang w:eastAsia="zh-CN"/>
        </w:rPr>
      </w:pPr>
      <w:r>
        <w:rPr>
          <w:rFonts w:ascii="STKaiti" w:eastAsia="STKaiti" w:hAnsi="STKaiti" w:hint="eastAsia"/>
          <w:lang w:eastAsia="zh-CN"/>
        </w:rPr>
        <w:t>这项战略应着手解决全国、地方、城市和社区以及各机构层次的问题。绿色ICT战略被视为国家发展战略的组成部分。利用ICT支持妥善的环境管理和决策的战略和行动计划，应涉及经济的所有部门和社会的各个阶层。应向有需要的国家，特别是发展中国家，提供技术支持，帮助他们制定和落实绿色ICT战略和实施计划。这项战略所含的评估阶段应重点包括以下步骤或组成部分：</w:t>
      </w:r>
    </w:p>
    <w:p w:rsidR="00AE5327" w:rsidRDefault="00AE5327" w:rsidP="0003608B">
      <w:pPr>
        <w:pStyle w:val="enumlev1"/>
        <w:rPr>
          <w:lang w:eastAsia="zh-CN"/>
        </w:rPr>
      </w:pPr>
      <w:r>
        <w:rPr>
          <w:lang w:eastAsia="zh-CN"/>
        </w:rPr>
        <w:t>•</w:t>
      </w:r>
      <w:r>
        <w:rPr>
          <w:rFonts w:hint="eastAsia"/>
          <w:lang w:eastAsia="zh-CN"/>
        </w:rPr>
        <w:tab/>
      </w:r>
      <w:r w:rsidR="00EE1DCE">
        <w:rPr>
          <w:rFonts w:hint="eastAsia"/>
          <w:lang w:eastAsia="zh-CN"/>
        </w:rPr>
        <w:t>开展电子就绪评估，以帮助了解</w:t>
      </w:r>
      <w:r w:rsidR="00EE1DCE">
        <w:rPr>
          <w:rFonts w:hint="eastAsia"/>
          <w:lang w:eastAsia="zh-CN"/>
        </w:rPr>
        <w:t>ICT</w:t>
      </w:r>
      <w:r w:rsidR="00EE1DCE">
        <w:rPr>
          <w:rFonts w:hint="eastAsia"/>
          <w:lang w:eastAsia="zh-CN"/>
        </w:rPr>
        <w:t>在国家一级和环境部门的使用情况；</w:t>
      </w:r>
    </w:p>
    <w:p w:rsidR="00AE5327" w:rsidRDefault="00AE5327" w:rsidP="0003608B">
      <w:pPr>
        <w:pStyle w:val="enumlev1"/>
        <w:rPr>
          <w:lang w:eastAsia="zh-CN"/>
        </w:rPr>
      </w:pPr>
      <w:r>
        <w:rPr>
          <w:lang w:eastAsia="zh-CN"/>
        </w:rPr>
        <w:t>•</w:t>
      </w:r>
      <w:r>
        <w:rPr>
          <w:rFonts w:hint="eastAsia"/>
          <w:lang w:eastAsia="zh-CN"/>
        </w:rPr>
        <w:tab/>
      </w:r>
      <w:r w:rsidR="00EE1DCE">
        <w:rPr>
          <w:rFonts w:hint="eastAsia"/>
          <w:lang w:eastAsia="zh-CN"/>
        </w:rPr>
        <w:t>开展情况分析，评估</w:t>
      </w:r>
      <w:r w:rsidR="00EE1DCE">
        <w:rPr>
          <w:rFonts w:hint="eastAsia"/>
          <w:lang w:eastAsia="zh-CN"/>
        </w:rPr>
        <w:t>ICT</w:t>
      </w:r>
      <w:r w:rsidR="00EE1DCE">
        <w:rPr>
          <w:rFonts w:hint="eastAsia"/>
          <w:lang w:eastAsia="zh-CN"/>
        </w:rPr>
        <w:t>在环境研究、管理和规划方面的使用情况；</w:t>
      </w:r>
    </w:p>
    <w:p w:rsidR="00AE5327" w:rsidRDefault="00AE5327" w:rsidP="0003608B">
      <w:pPr>
        <w:pStyle w:val="enumlev1"/>
        <w:rPr>
          <w:lang w:eastAsia="zh-CN"/>
        </w:rPr>
      </w:pPr>
      <w:r>
        <w:rPr>
          <w:lang w:eastAsia="zh-CN"/>
        </w:rPr>
        <w:t>•</w:t>
      </w:r>
      <w:r>
        <w:rPr>
          <w:rFonts w:hint="eastAsia"/>
          <w:lang w:eastAsia="zh-CN"/>
        </w:rPr>
        <w:tab/>
      </w:r>
      <w:r w:rsidR="00EE1DCE">
        <w:rPr>
          <w:rFonts w:hint="eastAsia"/>
          <w:lang w:eastAsia="zh-CN"/>
        </w:rPr>
        <w:t>确定主要参与者和利益攸关方；</w:t>
      </w:r>
    </w:p>
    <w:p w:rsidR="00AE5327" w:rsidRDefault="00AE5327" w:rsidP="0003608B">
      <w:pPr>
        <w:pStyle w:val="enumlev1"/>
        <w:topLinePunct/>
        <w:rPr>
          <w:lang w:eastAsia="zh-CN"/>
        </w:rPr>
      </w:pPr>
      <w:r>
        <w:rPr>
          <w:lang w:eastAsia="zh-CN"/>
        </w:rPr>
        <w:t>•</w:t>
      </w:r>
      <w:r>
        <w:rPr>
          <w:rFonts w:hint="eastAsia"/>
          <w:lang w:eastAsia="zh-CN"/>
        </w:rPr>
        <w:tab/>
      </w:r>
      <w:r w:rsidR="0003608B">
        <w:rPr>
          <w:rFonts w:hint="eastAsia"/>
          <w:lang w:eastAsia="zh-CN"/>
        </w:rPr>
        <w:t>确定在战略</w:t>
      </w:r>
      <w:r w:rsidR="00EE1DCE">
        <w:rPr>
          <w:rFonts w:hint="eastAsia"/>
          <w:lang w:eastAsia="zh-CN"/>
        </w:rPr>
        <w:t>制定和落实阶段面临的差距与障碍，并报告应对这些挑战的成功案例；</w:t>
      </w:r>
    </w:p>
    <w:p w:rsidR="00AE5327" w:rsidRDefault="00AE5327" w:rsidP="0003608B">
      <w:pPr>
        <w:pStyle w:val="enumlev1"/>
        <w:rPr>
          <w:lang w:eastAsia="zh-CN"/>
        </w:rPr>
      </w:pPr>
      <w:r>
        <w:rPr>
          <w:lang w:eastAsia="zh-CN"/>
        </w:rPr>
        <w:t>•</w:t>
      </w:r>
      <w:r>
        <w:rPr>
          <w:rFonts w:hint="eastAsia"/>
          <w:lang w:eastAsia="zh-CN"/>
        </w:rPr>
        <w:tab/>
      </w:r>
      <w:r w:rsidR="00D530A8">
        <w:rPr>
          <w:rFonts w:hint="eastAsia"/>
          <w:lang w:eastAsia="zh-CN"/>
        </w:rPr>
        <w:t>对某些关键问题进行研究，例如各国是怎样根据各项国际和区域公约和协议履行其义务的；</w:t>
      </w:r>
    </w:p>
    <w:p w:rsidR="00AE5327" w:rsidRDefault="00AE5327" w:rsidP="0003608B">
      <w:pPr>
        <w:pStyle w:val="enumlev1"/>
        <w:rPr>
          <w:lang w:eastAsia="zh-CN"/>
        </w:rPr>
      </w:pPr>
      <w:r>
        <w:rPr>
          <w:lang w:eastAsia="zh-CN"/>
        </w:rPr>
        <w:t>•</w:t>
      </w:r>
      <w:r>
        <w:rPr>
          <w:rFonts w:hint="eastAsia"/>
          <w:lang w:eastAsia="zh-CN"/>
        </w:rPr>
        <w:tab/>
      </w:r>
      <w:r w:rsidR="00D530A8">
        <w:rPr>
          <w:rFonts w:hint="eastAsia"/>
          <w:lang w:eastAsia="zh-CN"/>
        </w:rPr>
        <w:t>进行战略分析，确定利用</w:t>
      </w:r>
      <w:r w:rsidR="00D530A8">
        <w:rPr>
          <w:rFonts w:hint="eastAsia"/>
          <w:lang w:eastAsia="zh-CN"/>
        </w:rPr>
        <w:t>ICT</w:t>
      </w:r>
      <w:r w:rsidR="00D530A8">
        <w:rPr>
          <w:rFonts w:hint="eastAsia"/>
          <w:lang w:eastAsia="zh-CN"/>
        </w:rPr>
        <w:t>解决环境问题的目标、挑战和机遇；</w:t>
      </w:r>
    </w:p>
    <w:p w:rsidR="00AE5327" w:rsidRDefault="00AE5327" w:rsidP="0003608B">
      <w:pPr>
        <w:pStyle w:val="enumlev1"/>
        <w:rPr>
          <w:lang w:eastAsia="zh-CN"/>
        </w:rPr>
      </w:pPr>
      <w:r>
        <w:rPr>
          <w:lang w:eastAsia="zh-CN"/>
        </w:rPr>
        <w:t>•</w:t>
      </w:r>
      <w:r>
        <w:rPr>
          <w:rFonts w:hint="eastAsia"/>
          <w:lang w:eastAsia="zh-CN"/>
        </w:rPr>
        <w:tab/>
      </w:r>
      <w:r w:rsidR="00D530A8">
        <w:rPr>
          <w:rFonts w:hint="eastAsia"/>
          <w:lang w:eastAsia="zh-CN"/>
        </w:rPr>
        <w:t>开展与其它国家或管辖区域</w:t>
      </w:r>
      <w:r w:rsidR="0003608B">
        <w:rPr>
          <w:rFonts w:hint="eastAsia"/>
          <w:lang w:eastAsia="zh-CN"/>
        </w:rPr>
        <w:t>进行国情</w:t>
      </w:r>
      <w:r w:rsidR="00D530A8">
        <w:rPr>
          <w:rFonts w:hint="eastAsia"/>
          <w:lang w:eastAsia="zh-CN"/>
        </w:rPr>
        <w:t>比较和对照的基准研究，例如一个国家与其它国家和管辖区域相比所处的</w:t>
      </w:r>
      <w:r w:rsidR="0003608B">
        <w:rPr>
          <w:rFonts w:hint="eastAsia"/>
          <w:lang w:eastAsia="zh-CN"/>
        </w:rPr>
        <w:t>地位</w:t>
      </w:r>
      <w:r w:rsidR="00D530A8">
        <w:rPr>
          <w:rFonts w:hint="eastAsia"/>
          <w:lang w:eastAsia="zh-CN"/>
        </w:rPr>
        <w:t>；</w:t>
      </w:r>
    </w:p>
    <w:p w:rsidR="00AE5327" w:rsidRDefault="00AE5327" w:rsidP="0003608B">
      <w:pPr>
        <w:pStyle w:val="enumlev1"/>
        <w:rPr>
          <w:lang w:eastAsia="zh-CN"/>
        </w:rPr>
      </w:pPr>
      <w:r>
        <w:rPr>
          <w:lang w:eastAsia="zh-CN"/>
        </w:rPr>
        <w:t>•</w:t>
      </w:r>
      <w:r>
        <w:rPr>
          <w:rFonts w:hint="eastAsia"/>
          <w:lang w:eastAsia="zh-CN"/>
        </w:rPr>
        <w:tab/>
      </w:r>
      <w:r w:rsidR="00D530A8">
        <w:rPr>
          <w:rFonts w:hint="eastAsia"/>
          <w:lang w:eastAsia="zh-CN"/>
        </w:rPr>
        <w:t>案例研究和最佳做法分析；</w:t>
      </w:r>
    </w:p>
    <w:p w:rsidR="00AE5327" w:rsidRDefault="00AE5327" w:rsidP="0003608B">
      <w:pPr>
        <w:pStyle w:val="enumlev1"/>
        <w:rPr>
          <w:lang w:eastAsia="zh-CN"/>
        </w:rPr>
      </w:pPr>
      <w:r>
        <w:rPr>
          <w:lang w:eastAsia="zh-CN"/>
        </w:rPr>
        <w:t>•</w:t>
      </w:r>
      <w:r>
        <w:rPr>
          <w:rFonts w:hint="eastAsia"/>
          <w:lang w:eastAsia="zh-CN"/>
        </w:rPr>
        <w:tab/>
      </w:r>
      <w:r w:rsidR="00D530A8">
        <w:rPr>
          <w:rFonts w:hint="eastAsia"/>
          <w:lang w:eastAsia="zh-CN"/>
        </w:rPr>
        <w:t>可行性报告。</w:t>
      </w:r>
    </w:p>
    <w:p w:rsidR="00D530A8" w:rsidRDefault="00D530A8" w:rsidP="0003608B">
      <w:pPr>
        <w:pStyle w:val="enumlev1"/>
        <w:rPr>
          <w:lang w:eastAsia="zh-CN"/>
        </w:rPr>
      </w:pPr>
    </w:p>
    <w:p w:rsidR="00D530A8" w:rsidRDefault="00D530A8" w:rsidP="0003608B">
      <w:pPr>
        <w:jc w:val="center"/>
      </w:pPr>
      <w:r>
        <w:t>______________</w:t>
      </w:r>
    </w:p>
    <w:p w:rsidR="00D530A8" w:rsidRPr="00D530A8" w:rsidRDefault="00D530A8" w:rsidP="0003608B">
      <w:pPr>
        <w:pStyle w:val="enumlev1"/>
        <w:rPr>
          <w:lang w:eastAsia="zh-CN"/>
        </w:rPr>
      </w:pPr>
    </w:p>
    <w:p w:rsidR="00AE5327" w:rsidRPr="005D54A5" w:rsidRDefault="00AE5327" w:rsidP="0003608B">
      <w:pPr>
        <w:pStyle w:val="enumlev1"/>
        <w:rPr>
          <w:lang w:eastAsia="zh-CN"/>
        </w:rPr>
      </w:pPr>
    </w:p>
    <w:sectPr w:rsidR="00AE5327" w:rsidRPr="005D54A5" w:rsidSect="00BA20B6">
      <w:headerReference w:type="even" r:id="rId8"/>
      <w:headerReference w:type="default" r:id="rId9"/>
      <w:footerReference w:type="even" r:id="rId10"/>
      <w:footerReference w:type="default" r:id="rId11"/>
      <w:headerReference w:type="firs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71E" w:rsidRDefault="0030371E">
      <w:r>
        <w:separator/>
      </w:r>
    </w:p>
  </w:endnote>
  <w:endnote w:type="continuationSeparator" w:id="0">
    <w:p w:rsidR="0030371E" w:rsidRDefault="0030371E">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19" w:rsidRDefault="00043E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1E" w:rsidRPr="00D530A8" w:rsidRDefault="00AA37BF" w:rsidP="00043E19">
    <w:pPr>
      <w:pStyle w:val="Footer"/>
      <w:rPr>
        <w:lang w:val="fr-CH"/>
      </w:rPr>
    </w:pPr>
    <w:fldSimple w:instr=" FILENAME \p  \* MERGEFORMAT ">
      <w:r w:rsidR="00043E19" w:rsidRPr="00043E19">
        <w:rPr>
          <w:lang w:val="fr-CH"/>
        </w:rPr>
        <w:t>P:</w:t>
      </w:r>
      <w:r w:rsidR="00043E19" w:rsidRPr="00043E19">
        <w:rPr>
          <w:lang w:val="fr-CH" w:eastAsia="zh-CN"/>
        </w:rPr>
        <w:t>\</w:t>
      </w:r>
      <w:r w:rsidR="00043E19" w:rsidRPr="00043E19">
        <w:rPr>
          <w:lang w:val="fr-CH"/>
        </w:rPr>
        <w:t>CHI</w:t>
      </w:r>
      <w:r w:rsidR="00043E19" w:rsidRPr="00043E19">
        <w:rPr>
          <w:lang w:val="fr-CH" w:eastAsia="zh-CN"/>
        </w:rPr>
        <w:t>\</w:t>
      </w:r>
      <w:r w:rsidR="00043E19" w:rsidRPr="00043E19">
        <w:rPr>
          <w:lang w:val="fr-CH"/>
        </w:rPr>
        <w:t>ITU-T</w:t>
      </w:r>
      <w:r w:rsidR="00043E19" w:rsidRPr="00043E19">
        <w:rPr>
          <w:lang w:val="fr-CH" w:eastAsia="zh-CN"/>
        </w:rPr>
        <w:t>\</w:t>
      </w:r>
      <w:r w:rsidR="00043E19" w:rsidRPr="00043E19">
        <w:rPr>
          <w:lang w:val="fr-CH"/>
        </w:rPr>
        <w:t>COM-T</w:t>
      </w:r>
      <w:r w:rsidR="00043E19" w:rsidRPr="00043E19">
        <w:rPr>
          <w:lang w:val="fr-CH" w:eastAsia="zh-CN"/>
        </w:rPr>
        <w:t>\</w:t>
      </w:r>
      <w:r w:rsidR="00043E19" w:rsidRPr="00043E19">
        <w:rPr>
          <w:lang w:val="fr-CH"/>
        </w:rPr>
        <w:t>ICTECC</w:t>
      </w:r>
      <w:r w:rsidR="00043E19" w:rsidRPr="00043E19">
        <w:rPr>
          <w:lang w:val="fr-CH" w:eastAsia="zh-CN"/>
        </w:rPr>
        <w:t>\</w:t>
      </w:r>
      <w:r w:rsidR="00043E19" w:rsidRPr="00043E19">
        <w:rPr>
          <w:lang w:val="fr-CH"/>
        </w:rPr>
        <w:t>298010C.docx</w:t>
      </w:r>
    </w:fldSimple>
    <w:r w:rsidR="00A23B05" w:rsidRPr="00A23B05">
      <w:rPr>
        <w:rFonts w:hint="eastAsia"/>
        <w:lang w:val="fr-CH" w:eastAsia="zh-CN"/>
      </w:rPr>
      <w:t xml:space="preserve"> (298010)</w:t>
    </w:r>
    <w:r w:rsidR="0030371E" w:rsidRPr="00D530A8">
      <w:rPr>
        <w:lang w:val="fr-CH"/>
      </w:rPr>
      <w:tab/>
    </w:r>
    <w:r>
      <w:fldChar w:fldCharType="begin"/>
    </w:r>
    <w:r w:rsidR="0030371E">
      <w:instrText xml:space="preserve"> SAVEDATE \@ DD.MM.YY </w:instrText>
    </w:r>
    <w:r>
      <w:fldChar w:fldCharType="separate"/>
    </w:r>
    <w:r w:rsidR="00043E19">
      <w:t>10.11.10</w:t>
    </w:r>
    <w:r>
      <w:fldChar w:fldCharType="end"/>
    </w:r>
    <w:r w:rsidR="0030371E" w:rsidRPr="00D530A8">
      <w:rPr>
        <w:lang w:val="fr-CH"/>
      </w:rPr>
      <w:tab/>
    </w:r>
    <w:r>
      <w:fldChar w:fldCharType="begin"/>
    </w:r>
    <w:r w:rsidR="0030371E">
      <w:instrText xml:space="preserve"> PRINTDATE \@ DD.MM.YY </w:instrText>
    </w:r>
    <w:r>
      <w:fldChar w:fldCharType="separate"/>
    </w:r>
    <w:r w:rsidR="00DD399C">
      <w:t>10.11.10</w:t>
    </w:r>
    <w:r>
      <w:fldChar w:fldCharType="end"/>
    </w:r>
  </w:p>
  <w:p w:rsidR="0030371E" w:rsidRPr="002F5BF1" w:rsidRDefault="00AA37BF" w:rsidP="00D530A8">
    <w:pPr>
      <w:pStyle w:val="Footer"/>
      <w:jc w:val="center"/>
      <w:rPr>
        <w:i/>
        <w:iCs/>
        <w:sz w:val="20"/>
        <w:szCs w:val="20"/>
      </w:rPr>
    </w:pPr>
    <w:r w:rsidRPr="002F5BF1">
      <w:rPr>
        <w:i/>
        <w:iCs/>
        <w:sz w:val="20"/>
        <w:szCs w:val="20"/>
      </w:rPr>
      <w:fldChar w:fldCharType="begin"/>
    </w:r>
    <w:r w:rsidR="0030371E" w:rsidRPr="002F5BF1">
      <w:rPr>
        <w:i/>
        <w:iCs/>
        <w:sz w:val="20"/>
        <w:szCs w:val="20"/>
      </w:rPr>
      <w:instrText xml:space="preserve"> PAGE </w:instrText>
    </w:r>
    <w:r w:rsidRPr="002F5BF1">
      <w:rPr>
        <w:i/>
        <w:iCs/>
        <w:sz w:val="20"/>
        <w:szCs w:val="20"/>
      </w:rPr>
      <w:fldChar w:fldCharType="separate"/>
    </w:r>
    <w:r w:rsidR="00043E19">
      <w:rPr>
        <w:i/>
        <w:iCs/>
        <w:sz w:val="20"/>
        <w:szCs w:val="20"/>
      </w:rPr>
      <w:t>3</w:t>
    </w:r>
    <w:r w:rsidRPr="002F5BF1">
      <w:rPr>
        <w:i/>
        <w:iCs/>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1E" w:rsidRPr="00D530A8" w:rsidRDefault="00AA37BF" w:rsidP="00043E19">
    <w:pPr>
      <w:pStyle w:val="Footer"/>
      <w:rPr>
        <w:lang w:val="fr-CH"/>
      </w:rPr>
    </w:pPr>
    <w:fldSimple w:instr=" FILENAME \p  \* MERGEFORMAT ">
      <w:r w:rsidR="00DD399C">
        <w:rPr>
          <w:lang w:val="fr-CH"/>
        </w:rPr>
        <w:t>P:</w:t>
      </w:r>
      <w:r w:rsidR="00DD399C">
        <w:rPr>
          <w:lang w:val="fr-CH" w:eastAsia="zh-CN"/>
        </w:rPr>
        <w:t>\</w:t>
      </w:r>
      <w:r w:rsidR="00DD399C">
        <w:rPr>
          <w:lang w:val="fr-CH"/>
        </w:rPr>
        <w:t>CHI</w:t>
      </w:r>
      <w:r w:rsidR="00DD399C">
        <w:rPr>
          <w:lang w:val="fr-CH" w:eastAsia="zh-CN"/>
        </w:rPr>
        <w:t>\</w:t>
      </w:r>
      <w:r w:rsidR="00DD399C">
        <w:rPr>
          <w:lang w:val="fr-CH"/>
        </w:rPr>
        <w:t>ITU-T</w:t>
      </w:r>
      <w:r w:rsidR="00DD399C">
        <w:rPr>
          <w:lang w:val="fr-CH" w:eastAsia="zh-CN"/>
        </w:rPr>
        <w:t>\</w:t>
      </w:r>
      <w:r w:rsidR="00DD399C">
        <w:rPr>
          <w:lang w:val="fr-CH"/>
        </w:rPr>
        <w:t>COM-T</w:t>
      </w:r>
      <w:r w:rsidR="00DD399C">
        <w:rPr>
          <w:lang w:val="fr-CH" w:eastAsia="zh-CN"/>
        </w:rPr>
        <w:t>\</w:t>
      </w:r>
      <w:r w:rsidR="00DD399C">
        <w:rPr>
          <w:lang w:val="fr-CH"/>
        </w:rPr>
        <w:t>ICTECC</w:t>
      </w:r>
      <w:r w:rsidR="00DD399C">
        <w:rPr>
          <w:lang w:val="fr-CH" w:eastAsia="zh-CN"/>
        </w:rPr>
        <w:t>\</w:t>
      </w:r>
      <w:r w:rsidR="00DD399C">
        <w:rPr>
          <w:lang w:val="fr-CH"/>
        </w:rPr>
        <w:t>298010C.docx</w:t>
      </w:r>
    </w:fldSimple>
    <w:r w:rsidR="00A23B05" w:rsidRPr="00A23B05">
      <w:rPr>
        <w:rFonts w:hint="eastAsia"/>
        <w:lang w:val="fr-CH" w:eastAsia="zh-CN"/>
      </w:rPr>
      <w:t xml:space="preserve"> (298010)</w:t>
    </w:r>
    <w:r w:rsidR="0030371E" w:rsidRPr="00D530A8">
      <w:rPr>
        <w:lang w:val="fr-CH"/>
      </w:rPr>
      <w:tab/>
    </w:r>
    <w:r>
      <w:fldChar w:fldCharType="begin"/>
    </w:r>
    <w:r w:rsidR="0030371E">
      <w:instrText xml:space="preserve"> SAVEDATE \@ DD.MM.YY </w:instrText>
    </w:r>
    <w:r>
      <w:fldChar w:fldCharType="separate"/>
    </w:r>
    <w:r w:rsidR="00043E19">
      <w:t>10.11.10</w:t>
    </w:r>
    <w:r>
      <w:fldChar w:fldCharType="end"/>
    </w:r>
    <w:r w:rsidR="0030371E" w:rsidRPr="00D530A8">
      <w:rPr>
        <w:lang w:val="fr-CH"/>
      </w:rPr>
      <w:tab/>
    </w:r>
    <w:r>
      <w:fldChar w:fldCharType="begin"/>
    </w:r>
    <w:r w:rsidR="0030371E">
      <w:instrText xml:space="preserve"> PRINTDATE \@ DD.MM.YY </w:instrText>
    </w:r>
    <w:r>
      <w:fldChar w:fldCharType="separate"/>
    </w:r>
    <w:r w:rsidR="00DD399C">
      <w:t>10.11.10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71E" w:rsidRDefault="0030371E">
      <w:r>
        <w:t>____________________</w:t>
      </w:r>
    </w:p>
  </w:footnote>
  <w:footnote w:type="continuationSeparator" w:id="0">
    <w:p w:rsidR="0030371E" w:rsidRDefault="0030371E">
      <w:r>
        <w:continuationSeparator/>
      </w:r>
    </w:p>
  </w:footnote>
  <w:footnote w:id="1">
    <w:p w:rsidR="0030371E" w:rsidRDefault="0030371E">
      <w:pPr>
        <w:pStyle w:val="FootnoteText"/>
        <w:rPr>
          <w:lang w:eastAsia="zh-CN"/>
        </w:rPr>
      </w:pPr>
      <w:r>
        <w:rPr>
          <w:rStyle w:val="FootnoteReference"/>
        </w:rPr>
        <w:footnoteRef/>
      </w:r>
      <w:r>
        <w:t xml:space="preserve"> </w:t>
      </w:r>
      <w:r>
        <w:rPr>
          <w:lang w:eastAsia="zh-CN"/>
        </w:rPr>
        <w:tab/>
      </w:r>
      <w:r w:rsidRPr="00306A2F">
        <w:rPr>
          <w:rFonts w:ascii="STKaiti" w:eastAsia="STKaiti" w:hAnsi="STKaiti" w:hint="eastAsia"/>
          <w:lang w:eastAsia="zh-CN"/>
        </w:rPr>
        <w:t>国际电联的新决议“电信/信息通信技术在气候变化和环境保护方面的作用”（2010年，瓜达拉哈拉）。</w:t>
      </w:r>
    </w:p>
  </w:footnote>
  <w:footnote w:id="2">
    <w:p w:rsidR="0030371E" w:rsidRDefault="0030371E">
      <w:pPr>
        <w:pStyle w:val="FootnoteText"/>
        <w:rPr>
          <w:lang w:eastAsia="zh-CN"/>
        </w:rPr>
      </w:pPr>
      <w:r>
        <w:rPr>
          <w:rStyle w:val="FootnoteReference"/>
        </w:rPr>
        <w:footnoteRef/>
      </w:r>
      <w:r>
        <w:t xml:space="preserve"> </w:t>
      </w:r>
      <w:r>
        <w:rPr>
          <w:lang w:eastAsia="zh-CN"/>
        </w:rPr>
        <w:tab/>
      </w:r>
      <w:r w:rsidRPr="00306A2F">
        <w:rPr>
          <w:rFonts w:ascii="STKaiti" w:eastAsia="STKaiti" w:hAnsi="STKaiti" w:hint="eastAsia"/>
          <w:lang w:eastAsia="zh-CN"/>
        </w:rPr>
        <w:t>以下称为“开罗路线图”</w:t>
      </w:r>
      <w:r>
        <w:rPr>
          <w:rFonts w:hint="eastAsia"/>
          <w:lang w:eastAsia="zh-CN"/>
        </w:rPr>
        <w:t>。</w:t>
      </w:r>
    </w:p>
  </w:footnote>
  <w:footnote w:id="3">
    <w:p w:rsidR="0030371E" w:rsidRPr="00F56471" w:rsidRDefault="0030371E">
      <w:pPr>
        <w:pStyle w:val="FootnoteText"/>
        <w:rPr>
          <w:lang w:eastAsia="zh-CN"/>
        </w:rPr>
      </w:pPr>
      <w:r>
        <w:rPr>
          <w:rStyle w:val="FootnoteReference"/>
        </w:rPr>
        <w:footnoteRef/>
      </w:r>
      <w:r>
        <w:t xml:space="preserve"> </w:t>
      </w:r>
      <w:r>
        <w:rPr>
          <w:lang w:eastAsia="zh-CN"/>
        </w:rPr>
        <w:tab/>
      </w:r>
      <w:r w:rsidRPr="00F56471">
        <w:rPr>
          <w:rFonts w:ascii="STKaiti" w:eastAsia="STKaiti" w:hAnsi="STKaiti" w:hint="eastAsia"/>
          <w:lang w:eastAsia="zh-CN"/>
        </w:rPr>
        <w:t xml:space="preserve">本文件提出的一些措施和行动源于2010年经合组织理事会有关信息通信技术和环境的建议书和“用于电子环境的信息通信技术 </w:t>
      </w:r>
      <w:r w:rsidRPr="00F56471">
        <w:rPr>
          <w:rFonts w:ascii="STKaiti" w:eastAsia="STKaiti" w:hAnsi="STKaiti"/>
          <w:lang w:eastAsia="zh-CN"/>
        </w:rPr>
        <w:t>–</w:t>
      </w:r>
      <w:r w:rsidRPr="00F56471">
        <w:rPr>
          <w:rFonts w:ascii="STKaiti" w:eastAsia="STKaiti" w:hAnsi="STKaiti" w:hint="eastAsia"/>
          <w:lang w:eastAsia="zh-CN"/>
        </w:rPr>
        <w:t xml:space="preserve"> 供发展中国家使用的侧重气候变化的指导原则”，原文见</w:t>
      </w:r>
      <w:hyperlink r:id="rId1" w:history="1">
        <w:r w:rsidRPr="00E500A3">
          <w:rPr>
            <w:rStyle w:val="Hyperlink"/>
            <w:rFonts w:ascii="STKaiti" w:eastAsia="STKaiti" w:hAnsi="STKaiti"/>
            <w:lang w:eastAsia="zh-CN"/>
          </w:rPr>
          <w:t>http://www.itu.int/ITU-D/cyb/app/e-env.html</w:t>
        </w:r>
      </w:hyperlink>
      <w:r>
        <w:rPr>
          <w:rFonts w:ascii="STKaiti" w:eastAsia="STKaiti" w:hAnsi="STKaiti" w:hint="eastAsia"/>
          <w:lang w:eastAsia="zh-CN"/>
        </w:rPr>
        <w:t>。</w:t>
      </w:r>
    </w:p>
  </w:footnote>
  <w:footnote w:id="4">
    <w:p w:rsidR="0030371E" w:rsidRDefault="0030371E">
      <w:pPr>
        <w:pStyle w:val="FootnoteText"/>
        <w:rPr>
          <w:lang w:eastAsia="zh-CN"/>
        </w:rPr>
      </w:pPr>
      <w:r>
        <w:rPr>
          <w:rStyle w:val="FootnoteReference"/>
        </w:rPr>
        <w:footnoteRef/>
      </w:r>
      <w:r>
        <w:t xml:space="preserve"> </w:t>
      </w:r>
      <w:r>
        <w:rPr>
          <w:lang w:eastAsia="zh-CN"/>
        </w:rPr>
        <w:tab/>
      </w:r>
      <w:r w:rsidRPr="00552C20">
        <w:rPr>
          <w:rFonts w:ascii="STKaiti" w:eastAsia="STKaiti" w:hAnsi="STKaiti" w:hint="eastAsia"/>
          <w:szCs w:val="22"/>
          <w:lang w:eastAsia="zh-CN"/>
        </w:rPr>
        <w:t>ITU-T第5研究组，见</w:t>
      </w:r>
      <w:hyperlink r:id="rId2" w:history="1">
        <w:r w:rsidRPr="00552C20">
          <w:rPr>
            <w:rStyle w:val="Hyperlink"/>
            <w:rFonts w:ascii="STKaiti" w:eastAsia="STKaiti" w:hAnsi="STKaiti"/>
            <w:szCs w:val="22"/>
            <w:lang w:eastAsia="en-US"/>
          </w:rPr>
          <w:t>http://www.itu.int/ITU-T/climatechange/</w:t>
        </w:r>
      </w:hyperlink>
      <w:r>
        <w:rPr>
          <w:rFonts w:ascii="STKaiti" w:eastAsia="STKaiti" w:hAnsi="STKaiti" w:hint="eastAsia"/>
          <w:szCs w:val="22"/>
          <w:lang w:eastAsia="zh-CN"/>
        </w:rPr>
        <w:t>。</w:t>
      </w:r>
    </w:p>
  </w:footnote>
  <w:footnote w:id="5">
    <w:p w:rsidR="0030371E" w:rsidRDefault="0030371E" w:rsidP="00B21940">
      <w:pPr>
        <w:pStyle w:val="FootnoteText"/>
        <w:rPr>
          <w:lang w:eastAsia="zh-CN"/>
        </w:rPr>
      </w:pPr>
      <w:r>
        <w:rPr>
          <w:rStyle w:val="FootnoteReference"/>
        </w:rPr>
        <w:footnoteRef/>
      </w:r>
      <w:r>
        <w:t xml:space="preserve"> </w:t>
      </w:r>
      <w:r>
        <w:rPr>
          <w:lang w:eastAsia="zh-CN"/>
        </w:rPr>
        <w:tab/>
      </w:r>
      <w:r w:rsidRPr="004648E8">
        <w:rPr>
          <w:rFonts w:ascii="STKaiti" w:eastAsia="STKaiti" w:hAnsi="STKaiti" w:hint="eastAsia"/>
          <w:szCs w:val="22"/>
          <w:lang w:eastAsia="zh-CN"/>
        </w:rPr>
        <w:t>请见</w:t>
      </w:r>
      <w:hyperlink r:id="rId3" w:history="1">
        <w:r w:rsidRPr="004648E8">
          <w:rPr>
            <w:rFonts w:ascii="STKaiti" w:eastAsia="STKaiti" w:hAnsi="STKaiti"/>
            <w:szCs w:val="22"/>
            <w:lang w:eastAsia="en-US"/>
          </w:rPr>
          <w:t>http://www.itu.int/ITU-T/worksem/climatechange/201011/</w:t>
        </w:r>
      </w:hyperlink>
      <w:r w:rsidRPr="00B21940">
        <w:rPr>
          <w:rFonts w:ascii="STKaiti" w:eastAsia="STKaiti" w:hAnsi="STKaiti" w:hint="eastAsia"/>
          <w:lang w:eastAsia="zh-CN"/>
        </w:rPr>
        <w:t>中</w:t>
      </w:r>
      <w:r>
        <w:rPr>
          <w:rFonts w:ascii="STKaiti" w:eastAsia="STKaiti" w:hAnsi="STKaiti" w:hint="eastAsia"/>
          <w:szCs w:val="22"/>
          <w:lang w:eastAsia="zh-CN"/>
        </w:rPr>
        <w:t>国际电联支持开展的评估实例，这项埃及试行的评估工作旨在评估利用ICT降低城市环境的能耗和温室气体排放的潜力。</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19" w:rsidRDefault="00043E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1E" w:rsidRPr="00757143" w:rsidRDefault="0030371E" w:rsidP="00757143">
    <w:pPr>
      <w:pStyle w:val="Header"/>
      <w:jc w:val="right"/>
      <w:rPr>
        <w:rStyle w:val="PageNumber"/>
        <w:rFonts w:ascii="STKaiti" w:eastAsia="STKaiti" w:hAnsi="STKaiti"/>
        <w:lang w:eastAsia="zh-CN"/>
      </w:rPr>
    </w:pPr>
    <w:r w:rsidRPr="00757143">
      <w:rPr>
        <w:rFonts w:ascii="STKaiti" w:eastAsia="STKaiti" w:hAnsi="STKaiti" w:hint="eastAsia"/>
        <w:sz w:val="20"/>
        <w:szCs w:val="20"/>
        <w:lang w:eastAsia="zh-CN"/>
      </w:rPr>
      <w:t>“信息通信技术和环境可持续性”开罗路线图</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92" w:type="dxa"/>
      <w:tblLook w:val="00A0"/>
    </w:tblPr>
    <w:tblGrid>
      <w:gridCol w:w="2800"/>
      <w:gridCol w:w="3192"/>
      <w:gridCol w:w="2796"/>
    </w:tblGrid>
    <w:tr w:rsidR="0030371E" w:rsidRPr="008325F1" w:rsidTr="00BF0D0C">
      <w:tc>
        <w:tcPr>
          <w:tcW w:w="2800" w:type="dxa"/>
          <w:vAlign w:val="center"/>
        </w:tcPr>
        <w:p w:rsidR="0030371E" w:rsidRPr="008325F1" w:rsidRDefault="0030371E" w:rsidP="00BF0D0C">
          <w:pPr>
            <w:jc w:val="center"/>
          </w:pPr>
          <w:r>
            <w:rPr>
              <w:noProof/>
              <w:color w:val="000066"/>
              <w:sz w:val="18"/>
              <w:szCs w:val="18"/>
              <w:lang w:eastAsia="zh-CN"/>
            </w:rPr>
            <w:drawing>
              <wp:inline distT="0" distB="0" distL="0" distR="0">
                <wp:extent cx="636270" cy="970280"/>
                <wp:effectExtent l="19050" t="0" r="0" b="0"/>
                <wp:docPr id="1" name="Picture 3" descr="MC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T"/>
                        <pic:cNvPicPr>
                          <a:picLocks noChangeAspect="1" noChangeArrowheads="1"/>
                        </pic:cNvPicPr>
                      </pic:nvPicPr>
                      <pic:blipFill>
                        <a:blip r:embed="rId2"/>
                        <a:srcRect/>
                        <a:stretch>
                          <a:fillRect/>
                        </a:stretch>
                      </pic:blipFill>
                      <pic:spPr bwMode="auto">
                        <a:xfrm>
                          <a:off x="0" y="0"/>
                          <a:ext cx="636270" cy="970280"/>
                        </a:xfrm>
                        <a:prstGeom prst="rect">
                          <a:avLst/>
                        </a:prstGeom>
                        <a:noFill/>
                        <a:ln w="9525">
                          <a:noFill/>
                          <a:miter lim="800000"/>
                          <a:headEnd/>
                          <a:tailEnd/>
                        </a:ln>
                      </pic:spPr>
                    </pic:pic>
                  </a:graphicData>
                </a:graphic>
              </wp:inline>
            </w:drawing>
          </w:r>
        </w:p>
        <w:p w:rsidR="0030371E" w:rsidRPr="002A4A38" w:rsidRDefault="0030371E" w:rsidP="00BF0D0C">
          <w:pPr>
            <w:spacing w:before="60"/>
            <w:jc w:val="center"/>
            <w:rPr>
              <w:b/>
              <w:bCs/>
              <w:sz w:val="16"/>
              <w:szCs w:val="16"/>
              <w:lang w:eastAsia="zh-CN"/>
            </w:rPr>
          </w:pPr>
          <w:r>
            <w:rPr>
              <w:rFonts w:hint="eastAsia"/>
              <w:b/>
              <w:bCs/>
              <w:color w:val="000000"/>
              <w:sz w:val="16"/>
              <w:szCs w:val="16"/>
              <w:lang w:eastAsia="zh-CN"/>
            </w:rPr>
            <w:t>国家环境事务部</w:t>
          </w:r>
        </w:p>
      </w:tc>
      <w:tc>
        <w:tcPr>
          <w:tcW w:w="3192" w:type="dxa"/>
          <w:vAlign w:val="center"/>
        </w:tcPr>
        <w:p w:rsidR="0030371E" w:rsidRPr="008325F1" w:rsidRDefault="0030371E" w:rsidP="00BF0D0C">
          <w:pPr>
            <w:jc w:val="center"/>
          </w:pPr>
          <w:r w:rsidRPr="00636650">
            <w:rPr>
              <w:noProof/>
              <w:lang w:eastAsia="zh-CN"/>
            </w:rPr>
            <w:drawing>
              <wp:inline distT="0" distB="0" distL="0" distR="0">
                <wp:extent cx="1661160" cy="701040"/>
                <wp:effectExtent l="19050" t="0" r="0" b="0"/>
                <wp:docPr id="4"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3"/>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c>
        <w:tcPr>
          <w:tcW w:w="2796" w:type="dxa"/>
          <w:vAlign w:val="center"/>
        </w:tcPr>
        <w:p w:rsidR="0030371E" w:rsidRPr="008325F1" w:rsidRDefault="0030371E" w:rsidP="00BF0D0C">
          <w:pPr>
            <w:jc w:val="center"/>
          </w:pPr>
          <w:r>
            <w:rPr>
              <w:noProof/>
              <w:color w:val="000066"/>
              <w:sz w:val="18"/>
              <w:szCs w:val="18"/>
              <w:lang w:eastAsia="zh-CN"/>
            </w:rPr>
            <w:drawing>
              <wp:inline distT="0" distB="0" distL="0" distR="0">
                <wp:extent cx="604520" cy="842645"/>
                <wp:effectExtent l="19050" t="0" r="5080" b="0"/>
                <wp:docPr id="3" name="Picture 3" descr="MCI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T"/>
                        <pic:cNvPicPr>
                          <a:picLocks noChangeAspect="1" noChangeArrowheads="1"/>
                        </pic:cNvPicPr>
                      </pic:nvPicPr>
                      <pic:blipFill>
                        <a:blip r:embed="rId5"/>
                        <a:srcRect/>
                        <a:stretch>
                          <a:fillRect/>
                        </a:stretch>
                      </pic:blipFill>
                      <pic:spPr bwMode="auto">
                        <a:xfrm>
                          <a:off x="0" y="0"/>
                          <a:ext cx="604520" cy="842645"/>
                        </a:xfrm>
                        <a:prstGeom prst="rect">
                          <a:avLst/>
                        </a:prstGeom>
                        <a:noFill/>
                        <a:ln w="9525">
                          <a:noFill/>
                          <a:miter lim="800000"/>
                          <a:headEnd/>
                          <a:tailEnd/>
                        </a:ln>
                      </pic:spPr>
                    </pic:pic>
                  </a:graphicData>
                </a:graphic>
              </wp:inline>
            </w:drawing>
          </w:r>
        </w:p>
        <w:p w:rsidR="0030371E" w:rsidRPr="00A01FE2" w:rsidRDefault="0030371E" w:rsidP="00BF0D0C">
          <w:pPr>
            <w:spacing w:before="60"/>
            <w:jc w:val="center"/>
            <w:rPr>
              <w:lang w:eastAsia="zh-CN"/>
            </w:rPr>
          </w:pPr>
          <w:r>
            <w:rPr>
              <w:rFonts w:hint="eastAsia"/>
              <w:b/>
              <w:bCs/>
              <w:color w:val="000000"/>
              <w:sz w:val="16"/>
              <w:szCs w:val="16"/>
              <w:lang w:eastAsia="zh-CN"/>
            </w:rPr>
            <w:t>通信和信息技术部</w:t>
          </w:r>
        </w:p>
        <w:p w:rsidR="0030371E" w:rsidRPr="008325F1" w:rsidRDefault="0030371E" w:rsidP="00BF0D0C">
          <w:pPr>
            <w:jc w:val="center"/>
          </w:pPr>
        </w:p>
      </w:tc>
    </w:tr>
  </w:tbl>
  <w:p w:rsidR="0030371E" w:rsidRDefault="003037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stylePaneFormatFilter w:val="3801"/>
  <w:defaultTabStop w:val="720"/>
  <w:doNotHyphenateCaps/>
  <w:drawingGridHorizontalSpacing w:val="120"/>
  <w:drawingGridVerticalSpacing w:val="120"/>
  <w:displayVerticalDrawingGridEvery w:val="0"/>
  <w:doNotUseMarginsForDrawingGridOrigin/>
  <w:doNotShadeFormData/>
  <w:noPunctuationKerning/>
  <w:characterSpacingControl w:val="compressPunctuation"/>
  <w:savePreviewPicture/>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65E3D"/>
    <w:rsid w:val="000013C6"/>
    <w:rsid w:val="00014808"/>
    <w:rsid w:val="0003608B"/>
    <w:rsid w:val="00043E19"/>
    <w:rsid w:val="00057B6E"/>
    <w:rsid w:val="00077F16"/>
    <w:rsid w:val="00085DF8"/>
    <w:rsid w:val="0009080B"/>
    <w:rsid w:val="000A67B9"/>
    <w:rsid w:val="000C4701"/>
    <w:rsid w:val="000E3CF6"/>
    <w:rsid w:val="000E4C7A"/>
    <w:rsid w:val="000F68C6"/>
    <w:rsid w:val="00124C8F"/>
    <w:rsid w:val="00125484"/>
    <w:rsid w:val="00126FE1"/>
    <w:rsid w:val="0013327E"/>
    <w:rsid w:val="001551CA"/>
    <w:rsid w:val="001608FD"/>
    <w:rsid w:val="00167FD3"/>
    <w:rsid w:val="00171990"/>
    <w:rsid w:val="001A0EEB"/>
    <w:rsid w:val="001B25D1"/>
    <w:rsid w:val="001F1CE6"/>
    <w:rsid w:val="001F4347"/>
    <w:rsid w:val="00201341"/>
    <w:rsid w:val="002155B0"/>
    <w:rsid w:val="00220316"/>
    <w:rsid w:val="00241DDB"/>
    <w:rsid w:val="00241FD2"/>
    <w:rsid w:val="002571ED"/>
    <w:rsid w:val="002578B4"/>
    <w:rsid w:val="0029690F"/>
    <w:rsid w:val="002A0F5C"/>
    <w:rsid w:val="002A4A38"/>
    <w:rsid w:val="002B39F5"/>
    <w:rsid w:val="002B7F9C"/>
    <w:rsid w:val="002D6712"/>
    <w:rsid w:val="002E37AF"/>
    <w:rsid w:val="0030371E"/>
    <w:rsid w:val="00306A2F"/>
    <w:rsid w:val="00333CC6"/>
    <w:rsid w:val="00341C6C"/>
    <w:rsid w:val="0035584B"/>
    <w:rsid w:val="00375BBA"/>
    <w:rsid w:val="003760D8"/>
    <w:rsid w:val="00383A29"/>
    <w:rsid w:val="0038484C"/>
    <w:rsid w:val="00387EA2"/>
    <w:rsid w:val="0039340B"/>
    <w:rsid w:val="00395CE4"/>
    <w:rsid w:val="003C51E8"/>
    <w:rsid w:val="003E0364"/>
    <w:rsid w:val="004014B0"/>
    <w:rsid w:val="004131E6"/>
    <w:rsid w:val="00414872"/>
    <w:rsid w:val="004206BB"/>
    <w:rsid w:val="00426AC1"/>
    <w:rsid w:val="004368F5"/>
    <w:rsid w:val="0045019C"/>
    <w:rsid w:val="0045617A"/>
    <w:rsid w:val="004648E8"/>
    <w:rsid w:val="004676C0"/>
    <w:rsid w:val="00476CAF"/>
    <w:rsid w:val="00491D8C"/>
    <w:rsid w:val="004B585C"/>
    <w:rsid w:val="004D3182"/>
    <w:rsid w:val="005061F9"/>
    <w:rsid w:val="005356FD"/>
    <w:rsid w:val="00542073"/>
    <w:rsid w:val="00552C20"/>
    <w:rsid w:val="00554E24"/>
    <w:rsid w:val="00564B8D"/>
    <w:rsid w:val="00567130"/>
    <w:rsid w:val="00596A53"/>
    <w:rsid w:val="005B6C8E"/>
    <w:rsid w:val="005C7026"/>
    <w:rsid w:val="005D057A"/>
    <w:rsid w:val="005D54A5"/>
    <w:rsid w:val="005E1BA7"/>
    <w:rsid w:val="005E4794"/>
    <w:rsid w:val="00617BE4"/>
    <w:rsid w:val="00622189"/>
    <w:rsid w:val="00636650"/>
    <w:rsid w:val="00650CBC"/>
    <w:rsid w:val="00660E6F"/>
    <w:rsid w:val="00675484"/>
    <w:rsid w:val="00677DD9"/>
    <w:rsid w:val="00680265"/>
    <w:rsid w:val="00685303"/>
    <w:rsid w:val="006B380B"/>
    <w:rsid w:val="006E57C8"/>
    <w:rsid w:val="00701FAD"/>
    <w:rsid w:val="007235A4"/>
    <w:rsid w:val="0073319E"/>
    <w:rsid w:val="00750829"/>
    <w:rsid w:val="00757143"/>
    <w:rsid w:val="00764D28"/>
    <w:rsid w:val="00765E3D"/>
    <w:rsid w:val="00787A58"/>
    <w:rsid w:val="007917DE"/>
    <w:rsid w:val="007A06F3"/>
    <w:rsid w:val="007A5E79"/>
    <w:rsid w:val="007C4DC3"/>
    <w:rsid w:val="00814482"/>
    <w:rsid w:val="00836D5D"/>
    <w:rsid w:val="0083753E"/>
    <w:rsid w:val="00850AEF"/>
    <w:rsid w:val="008726C7"/>
    <w:rsid w:val="008822F4"/>
    <w:rsid w:val="00882B6A"/>
    <w:rsid w:val="008869BB"/>
    <w:rsid w:val="008B44F5"/>
    <w:rsid w:val="008C14E4"/>
    <w:rsid w:val="008C2EC7"/>
    <w:rsid w:val="008D3BE2"/>
    <w:rsid w:val="008E45D4"/>
    <w:rsid w:val="008E6AE7"/>
    <w:rsid w:val="008E6BC6"/>
    <w:rsid w:val="00905699"/>
    <w:rsid w:val="00916639"/>
    <w:rsid w:val="00950E0F"/>
    <w:rsid w:val="0099173A"/>
    <w:rsid w:val="009A47A2"/>
    <w:rsid w:val="009B5A9D"/>
    <w:rsid w:val="009C4B97"/>
    <w:rsid w:val="009C50A9"/>
    <w:rsid w:val="009D10B2"/>
    <w:rsid w:val="009D1E93"/>
    <w:rsid w:val="009E6545"/>
    <w:rsid w:val="00A01FE2"/>
    <w:rsid w:val="00A03693"/>
    <w:rsid w:val="00A23536"/>
    <w:rsid w:val="00A23B05"/>
    <w:rsid w:val="00A33D11"/>
    <w:rsid w:val="00A57140"/>
    <w:rsid w:val="00A6085C"/>
    <w:rsid w:val="00A62DA7"/>
    <w:rsid w:val="00A62F0B"/>
    <w:rsid w:val="00AA37BF"/>
    <w:rsid w:val="00AA7C4A"/>
    <w:rsid w:val="00AD2C62"/>
    <w:rsid w:val="00AE49B9"/>
    <w:rsid w:val="00AE5327"/>
    <w:rsid w:val="00B01597"/>
    <w:rsid w:val="00B05785"/>
    <w:rsid w:val="00B10D96"/>
    <w:rsid w:val="00B11373"/>
    <w:rsid w:val="00B15AF8"/>
    <w:rsid w:val="00B1733E"/>
    <w:rsid w:val="00B21940"/>
    <w:rsid w:val="00B56B53"/>
    <w:rsid w:val="00B60A63"/>
    <w:rsid w:val="00B650EC"/>
    <w:rsid w:val="00B73EB5"/>
    <w:rsid w:val="00B91631"/>
    <w:rsid w:val="00B96F78"/>
    <w:rsid w:val="00BA154E"/>
    <w:rsid w:val="00BA20B6"/>
    <w:rsid w:val="00BA61D6"/>
    <w:rsid w:val="00BC133C"/>
    <w:rsid w:val="00BC7A8E"/>
    <w:rsid w:val="00BF0D0C"/>
    <w:rsid w:val="00BF720B"/>
    <w:rsid w:val="00C01B25"/>
    <w:rsid w:val="00C04511"/>
    <w:rsid w:val="00C16846"/>
    <w:rsid w:val="00C16AC0"/>
    <w:rsid w:val="00C33EC9"/>
    <w:rsid w:val="00C561F1"/>
    <w:rsid w:val="00C73FA3"/>
    <w:rsid w:val="00C80FE1"/>
    <w:rsid w:val="00C925D8"/>
    <w:rsid w:val="00C95B8B"/>
    <w:rsid w:val="00CA2C79"/>
    <w:rsid w:val="00CA38C9"/>
    <w:rsid w:val="00CA401B"/>
    <w:rsid w:val="00CB13B4"/>
    <w:rsid w:val="00CD4003"/>
    <w:rsid w:val="00CE40BB"/>
    <w:rsid w:val="00D215E8"/>
    <w:rsid w:val="00D31A89"/>
    <w:rsid w:val="00D43A8B"/>
    <w:rsid w:val="00D45E29"/>
    <w:rsid w:val="00D530A8"/>
    <w:rsid w:val="00D54B9D"/>
    <w:rsid w:val="00D65220"/>
    <w:rsid w:val="00D9043A"/>
    <w:rsid w:val="00D97614"/>
    <w:rsid w:val="00DD26B1"/>
    <w:rsid w:val="00DD399C"/>
    <w:rsid w:val="00DE42D9"/>
    <w:rsid w:val="00DF1BF0"/>
    <w:rsid w:val="00DF23FC"/>
    <w:rsid w:val="00DF39CD"/>
    <w:rsid w:val="00DF51DD"/>
    <w:rsid w:val="00E56E57"/>
    <w:rsid w:val="00E7782D"/>
    <w:rsid w:val="00EE1DCE"/>
    <w:rsid w:val="00EF2642"/>
    <w:rsid w:val="00EF3681"/>
    <w:rsid w:val="00EF5523"/>
    <w:rsid w:val="00F00FD0"/>
    <w:rsid w:val="00F02A26"/>
    <w:rsid w:val="00F06183"/>
    <w:rsid w:val="00F20BC2"/>
    <w:rsid w:val="00F24F0A"/>
    <w:rsid w:val="00F342E4"/>
    <w:rsid w:val="00F41E6F"/>
    <w:rsid w:val="00F56471"/>
    <w:rsid w:val="00FB7232"/>
    <w:rsid w:val="00FC63DE"/>
    <w:rsid w:val="00FD26B9"/>
    <w:rsid w:val="00FD7B1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EC9"/>
    <w:pPr>
      <w:autoSpaceDE w:val="0"/>
      <w:autoSpaceDN w:val="0"/>
      <w:spacing w:before="120"/>
    </w:pPr>
    <w:rPr>
      <w:rFonts w:ascii="Times New Roman" w:hAnsi="Times New Roman"/>
      <w:sz w:val="24"/>
      <w:szCs w:val="24"/>
      <w:lang w:eastAsia="ja-JP"/>
    </w:rPr>
  </w:style>
  <w:style w:type="paragraph" w:styleId="Heading1">
    <w:name w:val="heading 1"/>
    <w:basedOn w:val="Normal"/>
    <w:next w:val="Normal"/>
    <w:qFormat/>
    <w:rsid w:val="00757143"/>
    <w:pPr>
      <w:keepNext/>
      <w:keepLines/>
      <w:spacing w:before="480"/>
      <w:ind w:left="794" w:hanging="794"/>
      <w:outlineLvl w:val="0"/>
    </w:pPr>
    <w:rPr>
      <w:rFonts w:ascii="Times New Roman Bold" w:hAnsi="Times New Roman Bold" w:cs="Times New Roman Bold"/>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pPr>
    <w:rPr>
      <w:caps/>
      <w:noProof/>
      <w:sz w:val="16"/>
    </w:rPr>
  </w:style>
  <w:style w:type="paragraph" w:styleId="Header">
    <w:name w:val="header"/>
    <w:basedOn w:val="Normal"/>
    <w:link w:val="HeaderChar"/>
    <w:uiPriority w:val="99"/>
    <w:rsid w:val="00B15AF8"/>
    <w:pPr>
      <w:jc w:val="center"/>
    </w:pPr>
    <w:rPr>
      <w:sz w:val="18"/>
    </w:rPr>
  </w:style>
  <w:style w:type="character" w:styleId="FootnoteReference">
    <w:name w:val="footnote reference"/>
    <w:basedOn w:val="DefaultParagraphFont"/>
    <w:rsid w:val="00B15AF8"/>
    <w:rPr>
      <w:position w:val="6"/>
      <w:sz w:val="16"/>
    </w:rPr>
  </w:style>
  <w:style w:type="paragraph" w:styleId="FootnoteText">
    <w:name w:val="footnote text"/>
    <w:basedOn w:val="Normal"/>
    <w:rsid w:val="00341C6C"/>
    <w:pPr>
      <w:keepLines/>
      <w:tabs>
        <w:tab w:val="left" w:pos="256"/>
      </w:tabs>
      <w:ind w:left="256" w:hanging="256"/>
    </w:pPr>
    <w:rPr>
      <w:sz w:val="22"/>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D530A8"/>
    <w:pPr>
      <w:autoSpaceDE/>
      <w:autoSpaceDN/>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B15AF8"/>
    <w:pPr>
      <w:spacing w:before="240"/>
      <w:jc w:val="center"/>
    </w:pPr>
    <w:rPr>
      <w:rFonts w:ascii="Times New Roman Bold" w:hAnsi="Times New Roman Bold"/>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B15AF8"/>
    <w:rPr>
      <w:rFonts w:ascii="Times New Roman Bold" w:hAnsi="Times New Roman Bold"/>
    </w:rPr>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style>
  <w:style w:type="paragraph" w:customStyle="1" w:styleId="HeadingiCH">
    <w:name w:val="Heading_iCH"/>
    <w:basedOn w:val="NormalCH"/>
    <w:qFormat/>
    <w:rsid w:val="00341C6C"/>
    <w:rPr>
      <w:rFonts w:ascii="STKaiti" w:hAnsi="STKaiti"/>
    </w:rPr>
  </w:style>
  <w:style w:type="table" w:styleId="TableGrid">
    <w:name w:val="Table Grid"/>
    <w:basedOn w:val="TableNormal"/>
    <w:rsid w:val="009C50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character" w:customStyle="1" w:styleId="FooterChar">
    <w:name w:val="Footer Char"/>
    <w:basedOn w:val="DefaultParagraphFont"/>
    <w:link w:val="Footer"/>
    <w:uiPriority w:val="99"/>
    <w:locked/>
    <w:rsid w:val="00757143"/>
    <w:rPr>
      <w:rFonts w:ascii="Times New Roman" w:eastAsia="MS Mincho" w:hAnsi="Times New Roman"/>
      <w:caps/>
      <w:noProof/>
      <w:sz w:val="16"/>
      <w:szCs w:val="24"/>
      <w:lang w:eastAsia="ja-JP"/>
    </w:rPr>
  </w:style>
</w:styles>
</file>

<file path=word/webSettings.xml><?xml version="1.0" encoding="utf-8"?>
<w:webSettings xmlns:r="http://schemas.openxmlformats.org/officeDocument/2006/relationships" xmlns:w="http://schemas.openxmlformats.org/wordprocessingml/2006/main">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tu.int/ITU-T/worksem/climatechange/201011/programme.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ITU-T/worksem/climatechange/201011/" TargetMode="External"/><Relationship Id="rId2" Type="http://schemas.openxmlformats.org/officeDocument/2006/relationships/hyperlink" Target="http://www.itu.int/ITU-T/climatechange/" TargetMode="External"/><Relationship Id="rId1" Type="http://schemas.openxmlformats.org/officeDocument/2006/relationships/hyperlink" Target="http://www.itu.int/ITU-D/cyb/app/e-env.htm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eeaa.gov.eg/" TargetMode="External"/><Relationship Id="rId5" Type="http://schemas.openxmlformats.org/officeDocument/2006/relationships/image" Target="media/image3.jpeg"/><Relationship Id="rId4" Type="http://schemas.openxmlformats.org/officeDocument/2006/relationships/hyperlink" Target="http://www.mcit.gov.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DC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71FB-28C6-41B3-B923-2E0AB0B1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PC_WTDC10.dotm</Template>
  <TotalTime>13</TotalTime>
  <Pages>5</Pages>
  <Words>3103</Words>
  <Characters>436</Characters>
  <Application>Microsoft Office Word</Application>
  <DocSecurity>0</DocSecurity>
  <Lines>3</Lines>
  <Paragraphs>7</Paragraphs>
  <ScaleCrop>false</ScaleCrop>
  <HeadingPairs>
    <vt:vector size="6" baseType="variant">
      <vt:variant>
        <vt:lpstr>Title</vt:lpstr>
      </vt:variant>
      <vt:variant>
        <vt:i4>1</vt:i4>
      </vt:variant>
      <vt:variant>
        <vt:lpstr>Headings</vt:lpstr>
      </vt:variant>
      <vt:variant>
        <vt:i4>2</vt:i4>
      </vt:variant>
      <vt:variant>
        <vt:lpstr>INTERNATIONAL   TELECOMMUNICATION   UNION	</vt:lpstr>
      </vt:variant>
      <vt:variant>
        <vt:i4>0</vt:i4>
      </vt:variant>
    </vt:vector>
  </HeadingPairs>
  <TitlesOfParts>
    <vt:vector size="3" baseType="lpstr">
      <vt:lpstr/>
      <vt:lpstr>1	引言</vt:lpstr>
      <vt:lpstr>    2	关于“ICT和环境可持续性”的开罗路线图 </vt:lpstr>
    </vt:vector>
  </TitlesOfParts>
  <Manager>General Secretariat - Pool</Manager>
  <Company>International Telecommunication Union (ITU)</Company>
  <LinksUpToDate>false</LinksUpToDate>
  <CharactersWithSpaces>3532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dc:creator>
  <cp:keywords/>
  <dc:description>298010C.docx  For: _x000d_Document date: _x000d_Saved by JH-108136 at 11:54:37 on 10.11.2010</dc:description>
  <cp:lastModifiedBy>yuan</cp:lastModifiedBy>
  <cp:revision>9</cp:revision>
  <cp:lastPrinted>2010-11-10T10:54:00Z</cp:lastPrinted>
  <dcterms:created xsi:type="dcterms:W3CDTF">2010-11-10T10:43:00Z</dcterms:created>
  <dcterms:modified xsi:type="dcterms:W3CDTF">2010-11-10T14:25:00Z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298010C.docx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