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D2D2C0" w14:textId="77777777" w:rsidR="00AC05C4" w:rsidRDefault="00271DD6" w:rsidP="001A02AA">
      <w:pPr>
        <w:spacing w:before="4000"/>
        <w:jc w:val="center"/>
      </w:pPr>
      <w:bookmarkStart w:id="0" w:name="_Toc322521495"/>
      <w:bookmarkStart w:id="1" w:name="_Toc325094979"/>
      <w:r w:rsidRPr="00271DD6">
        <w:rPr>
          <w:b/>
          <w:bCs/>
          <w:sz w:val="52"/>
          <w:szCs w:val="52"/>
          <w:lang w:eastAsia="ko-KR"/>
        </w:rPr>
        <w:t>Guide for NRAs on International Mobile Roaming Cost analysis – Technical Paper</w:t>
      </w:r>
    </w:p>
    <w:p w14:paraId="2FEBE70B" w14:textId="77777777" w:rsidR="00AC05C4" w:rsidRDefault="00AC05C4">
      <w:r>
        <w:br w:type="page"/>
      </w:r>
    </w:p>
    <w:p w14:paraId="080B676E" w14:textId="77777777" w:rsidR="00AC05C4" w:rsidRDefault="00AC05C4" w:rsidP="00271DD6"/>
    <w:tbl>
      <w:tblPr>
        <w:tblStyle w:val="TableGrid"/>
        <w:tblW w:w="9639" w:type="dxa"/>
        <w:jc w:val="center"/>
        <w:shd w:val="clear" w:color="auto" w:fill="D2E3F2"/>
        <w:tblLook w:val="04A0" w:firstRow="1" w:lastRow="0" w:firstColumn="1" w:lastColumn="0" w:noHBand="0" w:noVBand="1"/>
      </w:tblPr>
      <w:tblGrid>
        <w:gridCol w:w="9639"/>
      </w:tblGrid>
      <w:tr w:rsidR="00E3120B" w14:paraId="2A2F4085" w14:textId="77777777">
        <w:trPr>
          <w:jc w:val="center"/>
        </w:trPr>
        <w:tc>
          <w:tcPr>
            <w:tcW w:w="9639" w:type="dxa"/>
            <w:shd w:val="clear" w:color="auto" w:fill="D2E3F2"/>
          </w:tcPr>
          <w:p w14:paraId="388B9B4D" w14:textId="77777777" w:rsidR="00E3120B" w:rsidRPr="00D500A6" w:rsidRDefault="00AC05C4" w:rsidP="00271DD6">
            <w:pPr>
              <w:pStyle w:val="Headingb0"/>
              <w:rPr>
                <w:b w:val="0"/>
                <w:sz w:val="22"/>
                <w:szCs w:val="22"/>
                <w:lang w:val="en-US"/>
              </w:rPr>
            </w:pPr>
            <w:r w:rsidRPr="00D500A6">
              <w:rPr>
                <w:sz w:val="22"/>
                <w:szCs w:val="22"/>
                <w:lang w:val="en-US"/>
              </w:rPr>
              <w:t>Summary</w:t>
            </w:r>
          </w:p>
          <w:p w14:paraId="5ED19ADF" w14:textId="77777777" w:rsidR="00E3120B" w:rsidRPr="0020464C" w:rsidRDefault="00271DD6" w:rsidP="00316FE6">
            <w:pPr>
              <w:spacing w:after="120"/>
            </w:pPr>
            <w:r w:rsidRPr="00271DD6">
              <w:rPr>
                <w:lang w:val="en-US"/>
              </w:rPr>
              <w:t>This technical paper presents a guide for National Regulatory Authorities on international mobile roaming cost</w:t>
            </w:r>
            <w:r>
              <w:rPr>
                <w:lang w:val="en-US"/>
              </w:rPr>
              <w:t> </w:t>
            </w:r>
            <w:r w:rsidRPr="00271DD6">
              <w:rPr>
                <w:lang w:val="en-US"/>
              </w:rPr>
              <w:t>analysis.</w:t>
            </w:r>
          </w:p>
        </w:tc>
      </w:tr>
    </w:tbl>
    <w:p w14:paraId="71CAEA2E" w14:textId="77777777" w:rsidR="00A27B62" w:rsidRPr="00DD6562" w:rsidRDefault="00A27B62" w:rsidP="009D5B95">
      <w:pPr>
        <w:suppressAutoHyphens/>
        <w:spacing w:before="120"/>
        <w:ind w:right="2"/>
      </w:pPr>
    </w:p>
    <w:p w14:paraId="1086EBF0" w14:textId="77777777" w:rsidR="00271DD6" w:rsidRPr="00271DD6" w:rsidRDefault="00271DD6" w:rsidP="00271DD6">
      <w:pPr>
        <w:pStyle w:val="Headingb0"/>
        <w:rPr>
          <w:bCs/>
          <w:szCs w:val="22"/>
          <w:lang w:val="en-US"/>
        </w:rPr>
      </w:pPr>
      <w:r w:rsidRPr="00D500A6">
        <w:rPr>
          <w:bCs/>
          <w:szCs w:val="22"/>
          <w:lang w:val="en-US"/>
        </w:rPr>
        <w:t>Keywords</w:t>
      </w:r>
    </w:p>
    <w:p w14:paraId="2316082B" w14:textId="77777777" w:rsidR="00271DD6" w:rsidRPr="00271DD6" w:rsidRDefault="00271DD6" w:rsidP="00271DD6">
      <w:pPr>
        <w:rPr>
          <w:lang w:val="en-US"/>
        </w:rPr>
      </w:pPr>
      <w:r w:rsidRPr="00271DD6">
        <w:rPr>
          <w:lang w:val="en-US"/>
        </w:rPr>
        <w:t>Roaming, International, Costs, Cost model, Charging, Accounting, Mobile Services, Cellular, Wireless,</w:t>
      </w:r>
      <w:r>
        <w:rPr>
          <w:lang w:val="en-US"/>
        </w:rPr>
        <w:t xml:space="preserve"> </w:t>
      </w:r>
      <w:r w:rsidRPr="00271DD6">
        <w:rPr>
          <w:lang w:val="en-US"/>
        </w:rPr>
        <w:t>Regulatory,</w:t>
      </w:r>
      <w:r>
        <w:rPr>
          <w:lang w:val="en-US"/>
        </w:rPr>
        <w:t xml:space="preserve"> </w:t>
      </w:r>
      <w:r w:rsidRPr="00271DD6">
        <w:rPr>
          <w:lang w:val="en-US"/>
        </w:rPr>
        <w:t>NRA</w:t>
      </w:r>
    </w:p>
    <w:p w14:paraId="1F441305" w14:textId="77777777" w:rsidR="00271DD6" w:rsidRPr="00271DD6" w:rsidRDefault="00271DD6" w:rsidP="00271DD6">
      <w:pPr>
        <w:pStyle w:val="Headingb0"/>
        <w:rPr>
          <w:bCs/>
          <w:szCs w:val="22"/>
          <w:lang w:val="en-US"/>
        </w:rPr>
      </w:pPr>
      <w:r w:rsidRPr="00271DD6">
        <w:rPr>
          <w:bCs/>
          <w:szCs w:val="22"/>
          <w:lang w:val="en-US"/>
        </w:rPr>
        <w:t>Change Log</w:t>
      </w:r>
    </w:p>
    <w:p w14:paraId="119A5F8A" w14:textId="4D0752C4" w:rsidR="00336ED6" w:rsidRPr="00271DD6" w:rsidRDefault="00271DD6" w:rsidP="00A262F2">
      <w:r w:rsidRPr="00271DD6">
        <w:rPr>
          <w:lang w:val="en-US"/>
        </w:rPr>
        <w:t>This document contains Version 1 of the ITU-T Technical Paper “</w:t>
      </w:r>
      <w:r w:rsidRPr="00271DD6">
        <w:t>Guide for NRAs on International Mobile Roaming Cost analysis</w:t>
      </w:r>
      <w:r w:rsidRPr="00271DD6">
        <w:rPr>
          <w:lang w:val="en-US"/>
        </w:rPr>
        <w:t>” approved at the ITU-T Study Group 3 meeting held in Geneva, 1</w:t>
      </w:r>
      <w:r w:rsidR="00A262F2">
        <w:rPr>
          <w:lang w:val="en-US"/>
        </w:rPr>
        <w:t>2</w:t>
      </w:r>
      <w:r w:rsidRPr="00271DD6">
        <w:rPr>
          <w:lang w:val="en-US"/>
        </w:rPr>
        <w:t>-1</w:t>
      </w:r>
      <w:r w:rsidR="00A262F2">
        <w:rPr>
          <w:lang w:val="en-US"/>
        </w:rPr>
        <w:t>6</w:t>
      </w:r>
      <w:r w:rsidRPr="00271DD6">
        <w:rPr>
          <w:lang w:val="en-US"/>
        </w:rPr>
        <w:t xml:space="preserve"> March 2015</w:t>
      </w:r>
      <w:r>
        <w:rPr>
          <w:lang w:val="en-US"/>
        </w:rPr>
        <w:t>.</w:t>
      </w:r>
      <w:r>
        <w:rPr>
          <w:rStyle w:val="FootnoteReference"/>
        </w:rPr>
        <w:footnoteReference w:customMarkFollows="1" w:id="2"/>
        <w:t>i</w:t>
      </w:r>
    </w:p>
    <w:p w14:paraId="6A4FF7DD" w14:textId="77777777" w:rsidR="00AC05C4" w:rsidRPr="00271DD6" w:rsidRDefault="00AC05C4" w:rsidP="00717E54">
      <w:pPr>
        <w:suppressAutoHyphens/>
        <w:spacing w:before="360"/>
        <w:ind w:left="1060" w:right="848"/>
        <w:jc w:val="center"/>
        <w:rPr>
          <w:rFonts w:asciiTheme="minorHAnsi" w:hAnsiTheme="minorHAnsi"/>
        </w:rPr>
      </w:pPr>
    </w:p>
    <w:p w14:paraId="18E4C51C" w14:textId="77777777" w:rsidR="00AC05C4" w:rsidRPr="00271DD6" w:rsidRDefault="00AC05C4" w:rsidP="00717E54">
      <w:pPr>
        <w:suppressAutoHyphens/>
        <w:spacing w:before="360"/>
        <w:ind w:left="1060" w:right="848"/>
        <w:jc w:val="center"/>
        <w:rPr>
          <w:rFonts w:asciiTheme="minorHAnsi" w:hAnsiTheme="minorHAnsi"/>
        </w:rPr>
      </w:pPr>
      <w:bookmarkStart w:id="2" w:name="_GoBack"/>
      <w:bookmarkEnd w:id="2"/>
    </w:p>
    <w:p w14:paraId="1B6A8543" w14:textId="77777777" w:rsidR="00AC05C4" w:rsidRPr="00271DD6" w:rsidRDefault="00AC05C4" w:rsidP="00717E54">
      <w:pPr>
        <w:suppressAutoHyphens/>
        <w:spacing w:before="360"/>
        <w:ind w:left="1060" w:right="848"/>
        <w:jc w:val="center"/>
        <w:rPr>
          <w:rFonts w:asciiTheme="minorHAnsi" w:hAnsiTheme="minorHAnsi"/>
        </w:rPr>
      </w:pPr>
    </w:p>
    <w:p w14:paraId="608716C2" w14:textId="77777777" w:rsidR="00AC05C4" w:rsidRPr="00271DD6" w:rsidRDefault="00AC05C4" w:rsidP="00717E54">
      <w:pPr>
        <w:suppressAutoHyphens/>
        <w:spacing w:before="360"/>
        <w:ind w:left="1060" w:right="848"/>
        <w:jc w:val="center"/>
        <w:rPr>
          <w:rFonts w:asciiTheme="minorHAnsi" w:hAnsiTheme="minorHAnsi"/>
        </w:rPr>
      </w:pPr>
    </w:p>
    <w:p w14:paraId="3980EBE4" w14:textId="77777777" w:rsidR="00AC05C4" w:rsidRPr="00271DD6" w:rsidRDefault="00AC05C4" w:rsidP="00717E54">
      <w:pPr>
        <w:suppressAutoHyphens/>
        <w:spacing w:before="360"/>
        <w:ind w:left="1060" w:right="848"/>
        <w:jc w:val="center"/>
        <w:rPr>
          <w:rFonts w:asciiTheme="minorHAnsi" w:hAnsiTheme="minorHAnsi"/>
        </w:rPr>
      </w:pPr>
    </w:p>
    <w:p w14:paraId="21E65462" w14:textId="77777777" w:rsidR="00AC05C4" w:rsidRPr="00271DD6" w:rsidRDefault="00AC05C4" w:rsidP="00717E54">
      <w:pPr>
        <w:suppressAutoHyphens/>
        <w:spacing w:before="360"/>
        <w:ind w:left="1060" w:right="848"/>
        <w:jc w:val="center"/>
        <w:rPr>
          <w:rFonts w:asciiTheme="minorHAnsi" w:hAnsiTheme="minorHAnsi"/>
        </w:rPr>
      </w:pPr>
    </w:p>
    <w:p w14:paraId="1C40032E" w14:textId="77777777" w:rsidR="00AC05C4" w:rsidRPr="00271DD6" w:rsidRDefault="00AC05C4" w:rsidP="00717E54">
      <w:pPr>
        <w:suppressAutoHyphens/>
        <w:spacing w:before="360"/>
        <w:ind w:left="1060" w:right="848"/>
        <w:jc w:val="center"/>
        <w:rPr>
          <w:rFonts w:asciiTheme="minorHAnsi" w:hAnsiTheme="minorHAnsi"/>
        </w:rPr>
      </w:pPr>
    </w:p>
    <w:p w14:paraId="5EC6AB70" w14:textId="77777777" w:rsidR="00AC05C4" w:rsidRPr="00271DD6" w:rsidRDefault="00AC05C4" w:rsidP="00717E54">
      <w:pPr>
        <w:suppressAutoHyphens/>
        <w:spacing w:before="360"/>
        <w:ind w:left="1060" w:right="848"/>
        <w:jc w:val="center"/>
        <w:rPr>
          <w:rFonts w:asciiTheme="minorHAnsi" w:hAnsiTheme="minorHAnsi"/>
        </w:rPr>
      </w:pPr>
    </w:p>
    <w:p w14:paraId="06ABDC94" w14:textId="77777777" w:rsidR="00AC05C4" w:rsidRPr="00271DD6" w:rsidRDefault="00AC05C4" w:rsidP="00717E54">
      <w:pPr>
        <w:suppressAutoHyphens/>
        <w:spacing w:before="360"/>
        <w:ind w:left="1060" w:right="848"/>
        <w:jc w:val="center"/>
        <w:rPr>
          <w:rFonts w:asciiTheme="minorHAnsi" w:hAnsiTheme="minorHAnsi"/>
        </w:rPr>
      </w:pPr>
    </w:p>
    <w:p w14:paraId="0A39DB08" w14:textId="77777777" w:rsidR="00AC05C4" w:rsidRPr="00271DD6" w:rsidRDefault="00AC05C4" w:rsidP="00717E54">
      <w:pPr>
        <w:suppressAutoHyphens/>
        <w:spacing w:before="360"/>
        <w:ind w:left="1060" w:right="848"/>
        <w:jc w:val="center"/>
        <w:rPr>
          <w:rFonts w:asciiTheme="minorHAnsi" w:hAnsiTheme="minorHAnsi"/>
        </w:rPr>
      </w:pPr>
    </w:p>
    <w:p w14:paraId="68947D66" w14:textId="77777777" w:rsidR="00AC05C4" w:rsidRPr="00271DD6" w:rsidRDefault="00AC05C4" w:rsidP="00717E54">
      <w:pPr>
        <w:suppressAutoHyphens/>
        <w:spacing w:before="360"/>
        <w:ind w:left="1060" w:right="848"/>
        <w:jc w:val="center"/>
        <w:rPr>
          <w:rFonts w:asciiTheme="minorHAnsi" w:hAnsiTheme="minorHAnsi"/>
        </w:rPr>
      </w:pPr>
    </w:p>
    <w:p w14:paraId="239B9470" w14:textId="77777777" w:rsidR="00A27B62" w:rsidRDefault="00A27B62" w:rsidP="00717E54">
      <w:pPr>
        <w:suppressAutoHyphens/>
        <w:sectPr w:rsidR="00A27B62">
          <w:footerReference w:type="default" r:id="rId8"/>
          <w:footerReference w:type="first" r:id="rId9"/>
          <w:endnotePr>
            <w:numFmt w:val="decimal"/>
          </w:endnotePr>
          <w:type w:val="oddPage"/>
          <w:pgSz w:w="11909" w:h="16834" w:code="9"/>
          <w:pgMar w:top="1418" w:right="1134" w:bottom="1134" w:left="1134" w:header="567" w:footer="567" w:gutter="0"/>
          <w:pgNumType w:fmt="lowerRoman"/>
          <w:cols w:space="720"/>
          <w:titlePg/>
        </w:sectPr>
      </w:pPr>
    </w:p>
    <w:p w14:paraId="229A531F" w14:textId="77777777" w:rsidR="00B5162A" w:rsidRPr="006F4720" w:rsidRDefault="00B5162A" w:rsidP="00717E54">
      <w:pPr>
        <w:pStyle w:val="Headingb"/>
        <w:suppressAutoHyphens/>
        <w:jc w:val="center"/>
        <w:rPr>
          <w:sz w:val="32"/>
          <w:szCs w:val="24"/>
        </w:rPr>
      </w:pPr>
      <w:r w:rsidRPr="006F4720">
        <w:rPr>
          <w:sz w:val="32"/>
          <w:szCs w:val="24"/>
        </w:rPr>
        <w:lastRenderedPageBreak/>
        <w:t>Table of contents</w:t>
      </w:r>
    </w:p>
    <w:p w14:paraId="15739C37" w14:textId="77777777" w:rsidR="00B5162A" w:rsidRDefault="00B5162A" w:rsidP="00717E54">
      <w:pPr>
        <w:pStyle w:val="TOC1"/>
        <w:suppressAutoHyphens/>
      </w:pPr>
    </w:p>
    <w:p w14:paraId="0F3C9631" w14:textId="77777777" w:rsidR="00B5162A" w:rsidRDefault="00B5162A" w:rsidP="00717E54">
      <w:pPr>
        <w:pStyle w:val="TOC9"/>
        <w:suppressAutoHyphens/>
        <w:rPr>
          <w:noProof/>
        </w:rPr>
      </w:pPr>
      <w:r w:rsidRPr="000A4284">
        <w:t>Page</w:t>
      </w:r>
    </w:p>
    <w:p w14:paraId="62A9F296" w14:textId="77777777" w:rsidR="00C07CF3" w:rsidRDefault="00BC0988">
      <w:pPr>
        <w:pStyle w:val="TOC1"/>
        <w:rPr>
          <w:rFonts w:asciiTheme="minorHAnsi" w:eastAsiaTheme="minorEastAsia" w:hAnsiTheme="minorHAnsi" w:cstheme="minorBidi"/>
          <w:b w:val="0"/>
          <w:bCs w:val="0"/>
          <w:color w:val="auto"/>
          <w:kern w:val="0"/>
          <w:lang w:val="en-US"/>
        </w:rPr>
      </w:pPr>
      <w:r>
        <w:rPr>
          <w:rStyle w:val="Hyperlink"/>
          <w:b w:val="0"/>
          <w:bCs w:val="0"/>
        </w:rPr>
        <w:fldChar w:fldCharType="begin"/>
      </w:r>
      <w:r w:rsidR="00D20F5F">
        <w:rPr>
          <w:rStyle w:val="Hyperlink"/>
          <w:b w:val="0"/>
          <w:bCs w:val="0"/>
        </w:rPr>
        <w:instrText xml:space="preserve"> TOC \o "1-2" \h \z </w:instrText>
      </w:r>
      <w:r>
        <w:rPr>
          <w:rStyle w:val="Hyperlink"/>
          <w:b w:val="0"/>
          <w:bCs w:val="0"/>
        </w:rPr>
        <w:fldChar w:fldCharType="separate"/>
      </w:r>
      <w:hyperlink w:anchor="_Toc429485868" w:history="1">
        <w:r w:rsidR="00C07CF3" w:rsidRPr="00030AE1">
          <w:rPr>
            <w:rStyle w:val="Hyperlink"/>
          </w:rPr>
          <w:t>Executive summary</w:t>
        </w:r>
        <w:r w:rsidR="00C07CF3">
          <w:rPr>
            <w:webHidden/>
          </w:rPr>
          <w:tab/>
        </w:r>
        <w:r w:rsidR="00C07CF3">
          <w:rPr>
            <w:webHidden/>
          </w:rPr>
          <w:fldChar w:fldCharType="begin"/>
        </w:r>
        <w:r w:rsidR="00C07CF3">
          <w:rPr>
            <w:webHidden/>
          </w:rPr>
          <w:instrText xml:space="preserve"> PAGEREF _Toc429485868 \h </w:instrText>
        </w:r>
        <w:r w:rsidR="00C07CF3">
          <w:rPr>
            <w:webHidden/>
          </w:rPr>
        </w:r>
        <w:r w:rsidR="00C07CF3">
          <w:rPr>
            <w:webHidden/>
          </w:rPr>
          <w:fldChar w:fldCharType="separate"/>
        </w:r>
        <w:r w:rsidR="00E51211">
          <w:rPr>
            <w:webHidden/>
          </w:rPr>
          <w:t>iii</w:t>
        </w:r>
        <w:r w:rsidR="00C07CF3">
          <w:rPr>
            <w:webHidden/>
          </w:rPr>
          <w:fldChar w:fldCharType="end"/>
        </w:r>
      </w:hyperlink>
    </w:p>
    <w:p w14:paraId="2CCC50C4" w14:textId="77777777" w:rsidR="00C07CF3" w:rsidRDefault="00A262F2">
      <w:pPr>
        <w:pStyle w:val="TOC1"/>
        <w:rPr>
          <w:rFonts w:asciiTheme="minorHAnsi" w:eastAsiaTheme="minorEastAsia" w:hAnsiTheme="minorHAnsi" w:cstheme="minorBidi"/>
          <w:b w:val="0"/>
          <w:bCs w:val="0"/>
          <w:color w:val="auto"/>
          <w:kern w:val="0"/>
          <w:lang w:val="en-US"/>
        </w:rPr>
      </w:pPr>
      <w:hyperlink w:anchor="_Toc429485869" w:history="1">
        <w:r w:rsidR="00C07CF3" w:rsidRPr="00030AE1">
          <w:rPr>
            <w:rStyle w:val="Hyperlink"/>
          </w:rPr>
          <w:t>Chapter 1 – Introduction and objectives of the ITU-T Study Group 3 (SG3) cost model project</w:t>
        </w:r>
        <w:r w:rsidR="00C07CF3">
          <w:rPr>
            <w:webHidden/>
          </w:rPr>
          <w:tab/>
        </w:r>
        <w:r w:rsidR="00C07CF3">
          <w:rPr>
            <w:webHidden/>
          </w:rPr>
          <w:fldChar w:fldCharType="begin"/>
        </w:r>
        <w:r w:rsidR="00C07CF3">
          <w:rPr>
            <w:webHidden/>
          </w:rPr>
          <w:instrText xml:space="preserve"> PAGEREF _Toc429485869 \h </w:instrText>
        </w:r>
        <w:r w:rsidR="00C07CF3">
          <w:rPr>
            <w:webHidden/>
          </w:rPr>
        </w:r>
        <w:r w:rsidR="00C07CF3">
          <w:rPr>
            <w:webHidden/>
          </w:rPr>
          <w:fldChar w:fldCharType="separate"/>
        </w:r>
        <w:r w:rsidR="00E51211">
          <w:rPr>
            <w:webHidden/>
          </w:rPr>
          <w:t>1</w:t>
        </w:r>
        <w:r w:rsidR="00C07CF3">
          <w:rPr>
            <w:webHidden/>
          </w:rPr>
          <w:fldChar w:fldCharType="end"/>
        </w:r>
      </w:hyperlink>
    </w:p>
    <w:p w14:paraId="354334BD" w14:textId="77777777" w:rsidR="00C07CF3" w:rsidRDefault="00A262F2">
      <w:pPr>
        <w:pStyle w:val="TOC2"/>
        <w:rPr>
          <w:rFonts w:asciiTheme="minorHAnsi" w:eastAsiaTheme="minorEastAsia" w:hAnsiTheme="minorHAnsi" w:cstheme="minorBidi"/>
          <w:kern w:val="0"/>
          <w:lang w:val="en-US"/>
        </w:rPr>
      </w:pPr>
      <w:hyperlink w:anchor="_Toc429485870" w:history="1">
        <w:r w:rsidR="00C07CF3" w:rsidRPr="00030AE1">
          <w:rPr>
            <w:rStyle w:val="Hyperlink"/>
          </w:rPr>
          <w:t>1.1</w:t>
        </w:r>
        <w:r w:rsidR="00C07CF3">
          <w:rPr>
            <w:rFonts w:asciiTheme="minorHAnsi" w:eastAsiaTheme="minorEastAsia" w:hAnsiTheme="minorHAnsi" w:cstheme="minorBidi"/>
            <w:kern w:val="0"/>
            <w:lang w:val="en-US"/>
          </w:rPr>
          <w:tab/>
        </w:r>
        <w:r w:rsidR="00C07CF3" w:rsidRPr="00030AE1">
          <w:rPr>
            <w:rStyle w:val="Hyperlink"/>
          </w:rPr>
          <w:t>Introduction – Background and context</w:t>
        </w:r>
        <w:r w:rsidR="00C07CF3">
          <w:rPr>
            <w:webHidden/>
          </w:rPr>
          <w:tab/>
        </w:r>
        <w:r w:rsidR="00C07CF3">
          <w:rPr>
            <w:webHidden/>
          </w:rPr>
          <w:fldChar w:fldCharType="begin"/>
        </w:r>
        <w:r w:rsidR="00C07CF3">
          <w:rPr>
            <w:webHidden/>
          </w:rPr>
          <w:instrText xml:space="preserve"> PAGEREF _Toc429485870 \h </w:instrText>
        </w:r>
        <w:r w:rsidR="00C07CF3">
          <w:rPr>
            <w:webHidden/>
          </w:rPr>
        </w:r>
        <w:r w:rsidR="00C07CF3">
          <w:rPr>
            <w:webHidden/>
          </w:rPr>
          <w:fldChar w:fldCharType="separate"/>
        </w:r>
        <w:r w:rsidR="00E51211">
          <w:rPr>
            <w:webHidden/>
          </w:rPr>
          <w:t>1</w:t>
        </w:r>
        <w:r w:rsidR="00C07CF3">
          <w:rPr>
            <w:webHidden/>
          </w:rPr>
          <w:fldChar w:fldCharType="end"/>
        </w:r>
      </w:hyperlink>
    </w:p>
    <w:p w14:paraId="6E4AFFB6" w14:textId="77777777" w:rsidR="00C07CF3" w:rsidRDefault="00A262F2">
      <w:pPr>
        <w:pStyle w:val="TOC2"/>
        <w:rPr>
          <w:rFonts w:asciiTheme="minorHAnsi" w:eastAsiaTheme="minorEastAsia" w:hAnsiTheme="minorHAnsi" w:cstheme="minorBidi"/>
          <w:kern w:val="0"/>
          <w:lang w:val="en-US"/>
        </w:rPr>
      </w:pPr>
      <w:hyperlink w:anchor="_Toc429485871" w:history="1">
        <w:r w:rsidR="00C07CF3" w:rsidRPr="00030AE1">
          <w:rPr>
            <w:rStyle w:val="Hyperlink"/>
          </w:rPr>
          <w:t>1.2</w:t>
        </w:r>
        <w:r w:rsidR="00C07CF3">
          <w:rPr>
            <w:rFonts w:asciiTheme="minorHAnsi" w:eastAsiaTheme="minorEastAsia" w:hAnsiTheme="minorHAnsi" w:cstheme="minorBidi"/>
            <w:kern w:val="0"/>
            <w:lang w:val="en-US"/>
          </w:rPr>
          <w:tab/>
        </w:r>
        <w:r w:rsidR="00C07CF3" w:rsidRPr="00030AE1">
          <w:rPr>
            <w:rStyle w:val="Hyperlink"/>
          </w:rPr>
          <w:t>The supply side begins to react against roaming</w:t>
        </w:r>
        <w:r w:rsidR="00C07CF3">
          <w:rPr>
            <w:webHidden/>
          </w:rPr>
          <w:tab/>
        </w:r>
        <w:r w:rsidR="00C07CF3">
          <w:rPr>
            <w:webHidden/>
          </w:rPr>
          <w:fldChar w:fldCharType="begin"/>
        </w:r>
        <w:r w:rsidR="00C07CF3">
          <w:rPr>
            <w:webHidden/>
          </w:rPr>
          <w:instrText xml:space="preserve"> PAGEREF _Toc429485871 \h </w:instrText>
        </w:r>
        <w:r w:rsidR="00C07CF3">
          <w:rPr>
            <w:webHidden/>
          </w:rPr>
        </w:r>
        <w:r w:rsidR="00C07CF3">
          <w:rPr>
            <w:webHidden/>
          </w:rPr>
          <w:fldChar w:fldCharType="separate"/>
        </w:r>
        <w:r w:rsidR="00E51211">
          <w:rPr>
            <w:webHidden/>
          </w:rPr>
          <w:t>2</w:t>
        </w:r>
        <w:r w:rsidR="00C07CF3">
          <w:rPr>
            <w:webHidden/>
          </w:rPr>
          <w:fldChar w:fldCharType="end"/>
        </w:r>
      </w:hyperlink>
    </w:p>
    <w:p w14:paraId="4E40ED24" w14:textId="77777777" w:rsidR="00C07CF3" w:rsidRDefault="00A262F2">
      <w:pPr>
        <w:pStyle w:val="TOC2"/>
        <w:rPr>
          <w:rFonts w:asciiTheme="minorHAnsi" w:eastAsiaTheme="minorEastAsia" w:hAnsiTheme="minorHAnsi" w:cstheme="minorBidi"/>
          <w:kern w:val="0"/>
          <w:lang w:val="en-US"/>
        </w:rPr>
      </w:pPr>
      <w:hyperlink w:anchor="_Toc429485872" w:history="1">
        <w:r w:rsidR="00C07CF3" w:rsidRPr="00030AE1">
          <w:rPr>
            <w:rStyle w:val="Hyperlink"/>
          </w:rPr>
          <w:t>1.3</w:t>
        </w:r>
        <w:r w:rsidR="00C07CF3">
          <w:rPr>
            <w:rFonts w:asciiTheme="minorHAnsi" w:eastAsiaTheme="minorEastAsia" w:hAnsiTheme="minorHAnsi" w:cstheme="minorBidi"/>
            <w:kern w:val="0"/>
            <w:lang w:val="en-US"/>
          </w:rPr>
          <w:tab/>
        </w:r>
        <w:r w:rsidR="00C07CF3" w:rsidRPr="00030AE1">
          <w:rPr>
            <w:rStyle w:val="Hyperlink"/>
          </w:rPr>
          <w:t>The consumer is becoming more and more conscious of the penalties of roaming, raising a key question</w:t>
        </w:r>
        <w:r w:rsidR="00C07CF3">
          <w:rPr>
            <w:webHidden/>
          </w:rPr>
          <w:tab/>
        </w:r>
        <w:r w:rsidR="00C07CF3">
          <w:rPr>
            <w:webHidden/>
          </w:rPr>
          <w:fldChar w:fldCharType="begin"/>
        </w:r>
        <w:r w:rsidR="00C07CF3">
          <w:rPr>
            <w:webHidden/>
          </w:rPr>
          <w:instrText xml:space="preserve"> PAGEREF _Toc429485872 \h </w:instrText>
        </w:r>
        <w:r w:rsidR="00C07CF3">
          <w:rPr>
            <w:webHidden/>
          </w:rPr>
        </w:r>
        <w:r w:rsidR="00C07CF3">
          <w:rPr>
            <w:webHidden/>
          </w:rPr>
          <w:fldChar w:fldCharType="separate"/>
        </w:r>
        <w:r w:rsidR="00E51211">
          <w:rPr>
            <w:webHidden/>
          </w:rPr>
          <w:t>4</w:t>
        </w:r>
        <w:r w:rsidR="00C07CF3">
          <w:rPr>
            <w:webHidden/>
          </w:rPr>
          <w:fldChar w:fldCharType="end"/>
        </w:r>
      </w:hyperlink>
    </w:p>
    <w:p w14:paraId="2BD65A04" w14:textId="77777777" w:rsidR="00C07CF3" w:rsidRDefault="00A262F2">
      <w:pPr>
        <w:pStyle w:val="TOC2"/>
        <w:rPr>
          <w:rFonts w:asciiTheme="minorHAnsi" w:eastAsiaTheme="minorEastAsia" w:hAnsiTheme="minorHAnsi" w:cstheme="minorBidi"/>
          <w:kern w:val="0"/>
          <w:lang w:val="en-US"/>
        </w:rPr>
      </w:pPr>
      <w:hyperlink w:anchor="_Toc429485873" w:history="1">
        <w:r w:rsidR="00C07CF3" w:rsidRPr="00030AE1">
          <w:rPr>
            <w:rStyle w:val="Hyperlink"/>
          </w:rPr>
          <w:t>1.4</w:t>
        </w:r>
        <w:r w:rsidR="00C07CF3">
          <w:rPr>
            <w:rFonts w:asciiTheme="minorHAnsi" w:eastAsiaTheme="minorEastAsia" w:hAnsiTheme="minorHAnsi" w:cstheme="minorBidi"/>
            <w:kern w:val="0"/>
            <w:lang w:val="en-US"/>
          </w:rPr>
          <w:tab/>
        </w:r>
        <w:r w:rsidR="00C07CF3" w:rsidRPr="00030AE1">
          <w:rPr>
            <w:rStyle w:val="Hyperlink"/>
          </w:rPr>
          <w:t>What deliverables are required?</w:t>
        </w:r>
        <w:r w:rsidR="00C07CF3">
          <w:rPr>
            <w:webHidden/>
          </w:rPr>
          <w:tab/>
        </w:r>
        <w:r w:rsidR="00C07CF3">
          <w:rPr>
            <w:webHidden/>
          </w:rPr>
          <w:fldChar w:fldCharType="begin"/>
        </w:r>
        <w:r w:rsidR="00C07CF3">
          <w:rPr>
            <w:webHidden/>
          </w:rPr>
          <w:instrText xml:space="preserve"> PAGEREF _Toc429485873 \h </w:instrText>
        </w:r>
        <w:r w:rsidR="00C07CF3">
          <w:rPr>
            <w:webHidden/>
          </w:rPr>
        </w:r>
        <w:r w:rsidR="00C07CF3">
          <w:rPr>
            <w:webHidden/>
          </w:rPr>
          <w:fldChar w:fldCharType="separate"/>
        </w:r>
        <w:r w:rsidR="00E51211">
          <w:rPr>
            <w:webHidden/>
          </w:rPr>
          <w:t>4</w:t>
        </w:r>
        <w:r w:rsidR="00C07CF3">
          <w:rPr>
            <w:webHidden/>
          </w:rPr>
          <w:fldChar w:fldCharType="end"/>
        </w:r>
      </w:hyperlink>
    </w:p>
    <w:p w14:paraId="5948206C" w14:textId="77777777" w:rsidR="00C07CF3" w:rsidRDefault="00A262F2">
      <w:pPr>
        <w:pStyle w:val="TOC1"/>
        <w:rPr>
          <w:rFonts w:asciiTheme="minorHAnsi" w:eastAsiaTheme="minorEastAsia" w:hAnsiTheme="minorHAnsi" w:cstheme="minorBidi"/>
          <w:b w:val="0"/>
          <w:bCs w:val="0"/>
          <w:color w:val="auto"/>
          <w:kern w:val="0"/>
          <w:lang w:val="en-US"/>
        </w:rPr>
      </w:pPr>
      <w:hyperlink w:anchor="_Toc429485874" w:history="1">
        <w:r w:rsidR="00C07CF3" w:rsidRPr="00030AE1">
          <w:rPr>
            <w:rStyle w:val="Hyperlink"/>
          </w:rPr>
          <w:t>Chapter 2 – Principles of telecommunications costing and the basis of the cost model</w:t>
        </w:r>
        <w:r w:rsidR="00C07CF3">
          <w:rPr>
            <w:webHidden/>
          </w:rPr>
          <w:tab/>
        </w:r>
        <w:r w:rsidR="00C07CF3">
          <w:rPr>
            <w:webHidden/>
          </w:rPr>
          <w:fldChar w:fldCharType="begin"/>
        </w:r>
        <w:r w:rsidR="00C07CF3">
          <w:rPr>
            <w:webHidden/>
          </w:rPr>
          <w:instrText xml:space="preserve"> PAGEREF _Toc429485874 \h </w:instrText>
        </w:r>
        <w:r w:rsidR="00C07CF3">
          <w:rPr>
            <w:webHidden/>
          </w:rPr>
        </w:r>
        <w:r w:rsidR="00C07CF3">
          <w:rPr>
            <w:webHidden/>
          </w:rPr>
          <w:fldChar w:fldCharType="separate"/>
        </w:r>
        <w:r w:rsidR="00E51211">
          <w:rPr>
            <w:webHidden/>
          </w:rPr>
          <w:t>5</w:t>
        </w:r>
        <w:r w:rsidR="00C07CF3">
          <w:rPr>
            <w:webHidden/>
          </w:rPr>
          <w:fldChar w:fldCharType="end"/>
        </w:r>
      </w:hyperlink>
    </w:p>
    <w:p w14:paraId="3F10A853" w14:textId="77777777" w:rsidR="00C07CF3" w:rsidRDefault="00A262F2">
      <w:pPr>
        <w:pStyle w:val="TOC2"/>
        <w:rPr>
          <w:rFonts w:asciiTheme="minorHAnsi" w:eastAsiaTheme="minorEastAsia" w:hAnsiTheme="minorHAnsi" w:cstheme="minorBidi"/>
          <w:kern w:val="0"/>
          <w:lang w:val="en-US"/>
        </w:rPr>
      </w:pPr>
      <w:hyperlink w:anchor="_Toc429485875" w:history="1">
        <w:r w:rsidR="00C07CF3" w:rsidRPr="00030AE1">
          <w:rPr>
            <w:rStyle w:val="Hyperlink"/>
          </w:rPr>
          <w:t>2.1</w:t>
        </w:r>
        <w:r w:rsidR="00C07CF3">
          <w:rPr>
            <w:rFonts w:asciiTheme="minorHAnsi" w:eastAsiaTheme="minorEastAsia" w:hAnsiTheme="minorHAnsi" w:cstheme="minorBidi"/>
            <w:kern w:val="0"/>
            <w:lang w:val="en-US"/>
          </w:rPr>
          <w:tab/>
        </w:r>
        <w:r w:rsidR="00C07CF3" w:rsidRPr="00030AE1">
          <w:rPr>
            <w:rStyle w:val="Hyperlink"/>
          </w:rPr>
          <w:t>Principles of telecommunications costing</w:t>
        </w:r>
        <w:r w:rsidR="00C07CF3">
          <w:rPr>
            <w:webHidden/>
          </w:rPr>
          <w:tab/>
        </w:r>
        <w:r w:rsidR="00C07CF3">
          <w:rPr>
            <w:webHidden/>
          </w:rPr>
          <w:fldChar w:fldCharType="begin"/>
        </w:r>
        <w:r w:rsidR="00C07CF3">
          <w:rPr>
            <w:webHidden/>
          </w:rPr>
          <w:instrText xml:space="preserve"> PAGEREF _Toc429485875 \h </w:instrText>
        </w:r>
        <w:r w:rsidR="00C07CF3">
          <w:rPr>
            <w:webHidden/>
          </w:rPr>
        </w:r>
        <w:r w:rsidR="00C07CF3">
          <w:rPr>
            <w:webHidden/>
          </w:rPr>
          <w:fldChar w:fldCharType="separate"/>
        </w:r>
        <w:r w:rsidR="00E51211">
          <w:rPr>
            <w:webHidden/>
          </w:rPr>
          <w:t>5</w:t>
        </w:r>
        <w:r w:rsidR="00C07CF3">
          <w:rPr>
            <w:webHidden/>
          </w:rPr>
          <w:fldChar w:fldCharType="end"/>
        </w:r>
      </w:hyperlink>
    </w:p>
    <w:p w14:paraId="7D1650DD" w14:textId="77777777" w:rsidR="00C07CF3" w:rsidRDefault="00A262F2">
      <w:pPr>
        <w:pStyle w:val="TOC2"/>
        <w:rPr>
          <w:rFonts w:asciiTheme="minorHAnsi" w:eastAsiaTheme="minorEastAsia" w:hAnsiTheme="minorHAnsi" w:cstheme="minorBidi"/>
          <w:kern w:val="0"/>
          <w:lang w:val="en-US"/>
        </w:rPr>
      </w:pPr>
      <w:hyperlink w:anchor="_Toc429485876" w:history="1">
        <w:r w:rsidR="00C07CF3" w:rsidRPr="00030AE1">
          <w:rPr>
            <w:rStyle w:val="Hyperlink"/>
          </w:rPr>
          <w:t>2.2</w:t>
        </w:r>
        <w:r w:rsidR="00C07CF3">
          <w:rPr>
            <w:rFonts w:asciiTheme="minorHAnsi" w:eastAsiaTheme="minorEastAsia" w:hAnsiTheme="minorHAnsi" w:cstheme="minorBidi"/>
            <w:kern w:val="0"/>
            <w:lang w:val="en-US"/>
          </w:rPr>
          <w:tab/>
        </w:r>
        <w:r w:rsidR="00C07CF3" w:rsidRPr="00030AE1">
          <w:rPr>
            <w:rStyle w:val="Hyperlink"/>
          </w:rPr>
          <w:t>The key principles for the roaming model</w:t>
        </w:r>
        <w:r w:rsidR="00C07CF3">
          <w:rPr>
            <w:webHidden/>
          </w:rPr>
          <w:tab/>
        </w:r>
        <w:r w:rsidR="00C07CF3">
          <w:rPr>
            <w:webHidden/>
          </w:rPr>
          <w:fldChar w:fldCharType="begin"/>
        </w:r>
        <w:r w:rsidR="00C07CF3">
          <w:rPr>
            <w:webHidden/>
          </w:rPr>
          <w:instrText xml:space="preserve"> PAGEREF _Toc429485876 \h </w:instrText>
        </w:r>
        <w:r w:rsidR="00C07CF3">
          <w:rPr>
            <w:webHidden/>
          </w:rPr>
        </w:r>
        <w:r w:rsidR="00C07CF3">
          <w:rPr>
            <w:webHidden/>
          </w:rPr>
          <w:fldChar w:fldCharType="separate"/>
        </w:r>
        <w:r w:rsidR="00E51211">
          <w:rPr>
            <w:webHidden/>
          </w:rPr>
          <w:t>6</w:t>
        </w:r>
        <w:r w:rsidR="00C07CF3">
          <w:rPr>
            <w:webHidden/>
          </w:rPr>
          <w:fldChar w:fldCharType="end"/>
        </w:r>
      </w:hyperlink>
    </w:p>
    <w:p w14:paraId="5C2930E2" w14:textId="77777777" w:rsidR="00C07CF3" w:rsidRDefault="00A262F2">
      <w:pPr>
        <w:pStyle w:val="TOC1"/>
        <w:rPr>
          <w:rFonts w:asciiTheme="minorHAnsi" w:eastAsiaTheme="minorEastAsia" w:hAnsiTheme="minorHAnsi" w:cstheme="minorBidi"/>
          <w:b w:val="0"/>
          <w:bCs w:val="0"/>
          <w:color w:val="auto"/>
          <w:kern w:val="0"/>
          <w:lang w:val="en-US"/>
        </w:rPr>
      </w:pPr>
      <w:hyperlink w:anchor="_Toc429485877" w:history="1">
        <w:r w:rsidR="00C07CF3" w:rsidRPr="00030AE1">
          <w:rPr>
            <w:rStyle w:val="Hyperlink"/>
          </w:rPr>
          <w:t>Chapter 3 – Benefits and limits of the cost model</w:t>
        </w:r>
        <w:r w:rsidR="00C07CF3">
          <w:rPr>
            <w:webHidden/>
          </w:rPr>
          <w:tab/>
        </w:r>
        <w:r w:rsidR="00C07CF3">
          <w:rPr>
            <w:webHidden/>
          </w:rPr>
          <w:fldChar w:fldCharType="begin"/>
        </w:r>
        <w:r w:rsidR="00C07CF3">
          <w:rPr>
            <w:webHidden/>
          </w:rPr>
          <w:instrText xml:space="preserve"> PAGEREF _Toc429485877 \h </w:instrText>
        </w:r>
        <w:r w:rsidR="00C07CF3">
          <w:rPr>
            <w:webHidden/>
          </w:rPr>
        </w:r>
        <w:r w:rsidR="00C07CF3">
          <w:rPr>
            <w:webHidden/>
          </w:rPr>
          <w:fldChar w:fldCharType="separate"/>
        </w:r>
        <w:r w:rsidR="00E51211">
          <w:rPr>
            <w:webHidden/>
          </w:rPr>
          <w:t>11</w:t>
        </w:r>
        <w:r w:rsidR="00C07CF3">
          <w:rPr>
            <w:webHidden/>
          </w:rPr>
          <w:fldChar w:fldCharType="end"/>
        </w:r>
      </w:hyperlink>
    </w:p>
    <w:p w14:paraId="33453F05" w14:textId="77777777" w:rsidR="00C07CF3" w:rsidRDefault="00A262F2">
      <w:pPr>
        <w:pStyle w:val="TOC2"/>
        <w:rPr>
          <w:rFonts w:asciiTheme="minorHAnsi" w:eastAsiaTheme="minorEastAsia" w:hAnsiTheme="minorHAnsi" w:cstheme="minorBidi"/>
          <w:kern w:val="0"/>
          <w:lang w:val="en-US"/>
        </w:rPr>
      </w:pPr>
      <w:hyperlink w:anchor="_Toc429485878" w:history="1">
        <w:r w:rsidR="00C07CF3" w:rsidRPr="00030AE1">
          <w:rPr>
            <w:rStyle w:val="Hyperlink"/>
          </w:rPr>
          <w:t>3.1</w:t>
        </w:r>
        <w:r w:rsidR="00C07CF3">
          <w:rPr>
            <w:rFonts w:asciiTheme="minorHAnsi" w:eastAsiaTheme="minorEastAsia" w:hAnsiTheme="minorHAnsi" w:cstheme="minorBidi"/>
            <w:kern w:val="0"/>
            <w:lang w:val="en-US"/>
          </w:rPr>
          <w:tab/>
        </w:r>
        <w:r w:rsidR="00C07CF3" w:rsidRPr="00030AE1">
          <w:rPr>
            <w:rStyle w:val="Hyperlink"/>
          </w:rPr>
          <w:t>Benefits</w:t>
        </w:r>
        <w:r w:rsidR="00C07CF3">
          <w:rPr>
            <w:webHidden/>
          </w:rPr>
          <w:tab/>
        </w:r>
        <w:r w:rsidR="00C07CF3">
          <w:rPr>
            <w:webHidden/>
          </w:rPr>
          <w:fldChar w:fldCharType="begin"/>
        </w:r>
        <w:r w:rsidR="00C07CF3">
          <w:rPr>
            <w:webHidden/>
          </w:rPr>
          <w:instrText xml:space="preserve"> PAGEREF _Toc429485878 \h </w:instrText>
        </w:r>
        <w:r w:rsidR="00C07CF3">
          <w:rPr>
            <w:webHidden/>
          </w:rPr>
        </w:r>
        <w:r w:rsidR="00C07CF3">
          <w:rPr>
            <w:webHidden/>
          </w:rPr>
          <w:fldChar w:fldCharType="separate"/>
        </w:r>
        <w:r w:rsidR="00E51211">
          <w:rPr>
            <w:webHidden/>
          </w:rPr>
          <w:t>11</w:t>
        </w:r>
        <w:r w:rsidR="00C07CF3">
          <w:rPr>
            <w:webHidden/>
          </w:rPr>
          <w:fldChar w:fldCharType="end"/>
        </w:r>
      </w:hyperlink>
    </w:p>
    <w:p w14:paraId="028F7265" w14:textId="77777777" w:rsidR="00C07CF3" w:rsidRDefault="00A262F2">
      <w:pPr>
        <w:pStyle w:val="TOC2"/>
        <w:rPr>
          <w:rFonts w:asciiTheme="minorHAnsi" w:eastAsiaTheme="minorEastAsia" w:hAnsiTheme="minorHAnsi" w:cstheme="minorBidi"/>
          <w:kern w:val="0"/>
          <w:lang w:val="en-US"/>
        </w:rPr>
      </w:pPr>
      <w:hyperlink w:anchor="_Toc429485879" w:history="1">
        <w:r w:rsidR="00C07CF3" w:rsidRPr="00030AE1">
          <w:rPr>
            <w:rStyle w:val="Hyperlink"/>
          </w:rPr>
          <w:t>3.2</w:t>
        </w:r>
        <w:r w:rsidR="00C07CF3">
          <w:rPr>
            <w:rFonts w:asciiTheme="minorHAnsi" w:eastAsiaTheme="minorEastAsia" w:hAnsiTheme="minorHAnsi" w:cstheme="minorBidi"/>
            <w:kern w:val="0"/>
            <w:lang w:val="en-US"/>
          </w:rPr>
          <w:tab/>
        </w:r>
        <w:r w:rsidR="00C07CF3" w:rsidRPr="00030AE1">
          <w:rPr>
            <w:rStyle w:val="Hyperlink"/>
          </w:rPr>
          <w:t>Limits of the model</w:t>
        </w:r>
        <w:r w:rsidR="00C07CF3">
          <w:rPr>
            <w:webHidden/>
          </w:rPr>
          <w:tab/>
        </w:r>
        <w:r w:rsidR="00C07CF3">
          <w:rPr>
            <w:webHidden/>
          </w:rPr>
          <w:fldChar w:fldCharType="begin"/>
        </w:r>
        <w:r w:rsidR="00C07CF3">
          <w:rPr>
            <w:webHidden/>
          </w:rPr>
          <w:instrText xml:space="preserve"> PAGEREF _Toc429485879 \h </w:instrText>
        </w:r>
        <w:r w:rsidR="00C07CF3">
          <w:rPr>
            <w:webHidden/>
          </w:rPr>
        </w:r>
        <w:r w:rsidR="00C07CF3">
          <w:rPr>
            <w:webHidden/>
          </w:rPr>
          <w:fldChar w:fldCharType="separate"/>
        </w:r>
        <w:r w:rsidR="00E51211">
          <w:rPr>
            <w:webHidden/>
          </w:rPr>
          <w:t>12</w:t>
        </w:r>
        <w:r w:rsidR="00C07CF3">
          <w:rPr>
            <w:webHidden/>
          </w:rPr>
          <w:fldChar w:fldCharType="end"/>
        </w:r>
      </w:hyperlink>
    </w:p>
    <w:p w14:paraId="54243C6B" w14:textId="77777777" w:rsidR="00C07CF3" w:rsidRDefault="00A262F2">
      <w:pPr>
        <w:pStyle w:val="TOC2"/>
        <w:rPr>
          <w:rFonts w:asciiTheme="minorHAnsi" w:eastAsiaTheme="minorEastAsia" w:hAnsiTheme="minorHAnsi" w:cstheme="minorBidi"/>
          <w:kern w:val="0"/>
          <w:lang w:val="en-US"/>
        </w:rPr>
      </w:pPr>
      <w:hyperlink w:anchor="_Toc429485880" w:history="1">
        <w:r w:rsidR="00C07CF3" w:rsidRPr="00030AE1">
          <w:rPr>
            <w:rStyle w:val="Hyperlink"/>
          </w:rPr>
          <w:t>3.3</w:t>
        </w:r>
        <w:r w:rsidR="00C07CF3">
          <w:rPr>
            <w:rFonts w:asciiTheme="minorHAnsi" w:eastAsiaTheme="minorEastAsia" w:hAnsiTheme="minorHAnsi" w:cstheme="minorBidi"/>
            <w:kern w:val="0"/>
            <w:lang w:val="en-US"/>
          </w:rPr>
          <w:tab/>
        </w:r>
        <w:r w:rsidR="00C07CF3" w:rsidRPr="00030AE1">
          <w:rPr>
            <w:rStyle w:val="Hyperlink"/>
          </w:rPr>
          <w:t>Further cost items that may be included to extend the model, when significant</w:t>
        </w:r>
        <w:r w:rsidR="00C07CF3">
          <w:rPr>
            <w:webHidden/>
          </w:rPr>
          <w:tab/>
        </w:r>
        <w:r w:rsidR="00C07CF3">
          <w:rPr>
            <w:webHidden/>
          </w:rPr>
          <w:fldChar w:fldCharType="begin"/>
        </w:r>
        <w:r w:rsidR="00C07CF3">
          <w:rPr>
            <w:webHidden/>
          </w:rPr>
          <w:instrText xml:space="preserve"> PAGEREF _Toc429485880 \h </w:instrText>
        </w:r>
        <w:r w:rsidR="00C07CF3">
          <w:rPr>
            <w:webHidden/>
          </w:rPr>
        </w:r>
        <w:r w:rsidR="00C07CF3">
          <w:rPr>
            <w:webHidden/>
          </w:rPr>
          <w:fldChar w:fldCharType="separate"/>
        </w:r>
        <w:r w:rsidR="00E51211">
          <w:rPr>
            <w:webHidden/>
          </w:rPr>
          <w:t>13</w:t>
        </w:r>
        <w:r w:rsidR="00C07CF3">
          <w:rPr>
            <w:webHidden/>
          </w:rPr>
          <w:fldChar w:fldCharType="end"/>
        </w:r>
      </w:hyperlink>
    </w:p>
    <w:p w14:paraId="0D2EC9C4" w14:textId="77777777" w:rsidR="00C07CF3" w:rsidRDefault="00A262F2">
      <w:pPr>
        <w:pStyle w:val="TOC1"/>
        <w:rPr>
          <w:rFonts w:asciiTheme="minorHAnsi" w:eastAsiaTheme="minorEastAsia" w:hAnsiTheme="minorHAnsi" w:cstheme="minorBidi"/>
          <w:b w:val="0"/>
          <w:bCs w:val="0"/>
          <w:color w:val="auto"/>
          <w:kern w:val="0"/>
          <w:lang w:val="en-US"/>
        </w:rPr>
      </w:pPr>
      <w:hyperlink w:anchor="_Toc429485881" w:history="1">
        <w:r w:rsidR="00C07CF3" w:rsidRPr="00030AE1">
          <w:rPr>
            <w:rStyle w:val="Hyperlink"/>
          </w:rPr>
          <w:t>Chapter 4 – Methodology: The cost model, with its mechanisms and assumptions</w:t>
        </w:r>
        <w:r w:rsidR="00C07CF3">
          <w:rPr>
            <w:webHidden/>
          </w:rPr>
          <w:tab/>
        </w:r>
        <w:r w:rsidR="00C07CF3">
          <w:rPr>
            <w:webHidden/>
          </w:rPr>
          <w:fldChar w:fldCharType="begin"/>
        </w:r>
        <w:r w:rsidR="00C07CF3">
          <w:rPr>
            <w:webHidden/>
          </w:rPr>
          <w:instrText xml:space="preserve"> PAGEREF _Toc429485881 \h </w:instrText>
        </w:r>
        <w:r w:rsidR="00C07CF3">
          <w:rPr>
            <w:webHidden/>
          </w:rPr>
        </w:r>
        <w:r w:rsidR="00C07CF3">
          <w:rPr>
            <w:webHidden/>
          </w:rPr>
          <w:fldChar w:fldCharType="separate"/>
        </w:r>
        <w:r w:rsidR="00E51211">
          <w:rPr>
            <w:webHidden/>
          </w:rPr>
          <w:t>16</w:t>
        </w:r>
        <w:r w:rsidR="00C07CF3">
          <w:rPr>
            <w:webHidden/>
          </w:rPr>
          <w:fldChar w:fldCharType="end"/>
        </w:r>
      </w:hyperlink>
    </w:p>
    <w:p w14:paraId="56FF161B" w14:textId="77777777" w:rsidR="00C07CF3" w:rsidRDefault="00A262F2">
      <w:pPr>
        <w:pStyle w:val="TOC2"/>
        <w:rPr>
          <w:rFonts w:asciiTheme="minorHAnsi" w:eastAsiaTheme="minorEastAsia" w:hAnsiTheme="minorHAnsi" w:cstheme="minorBidi"/>
          <w:kern w:val="0"/>
          <w:lang w:val="en-US"/>
        </w:rPr>
      </w:pPr>
      <w:hyperlink w:anchor="_Toc429485882" w:history="1">
        <w:r w:rsidR="00C07CF3" w:rsidRPr="00030AE1">
          <w:rPr>
            <w:rStyle w:val="Hyperlink"/>
          </w:rPr>
          <w:t>4.1</w:t>
        </w:r>
        <w:r w:rsidR="00C07CF3">
          <w:rPr>
            <w:rFonts w:asciiTheme="minorHAnsi" w:eastAsiaTheme="minorEastAsia" w:hAnsiTheme="minorHAnsi" w:cstheme="minorBidi"/>
            <w:kern w:val="0"/>
            <w:lang w:val="en-US"/>
          </w:rPr>
          <w:tab/>
        </w:r>
        <w:r w:rsidR="00C07CF3" w:rsidRPr="00030AE1">
          <w:rPr>
            <w:rStyle w:val="Hyperlink"/>
          </w:rPr>
          <w:t>Methodology</w:t>
        </w:r>
        <w:r w:rsidR="00C07CF3">
          <w:rPr>
            <w:webHidden/>
          </w:rPr>
          <w:tab/>
        </w:r>
        <w:r w:rsidR="00C07CF3">
          <w:rPr>
            <w:webHidden/>
          </w:rPr>
          <w:fldChar w:fldCharType="begin"/>
        </w:r>
        <w:r w:rsidR="00C07CF3">
          <w:rPr>
            <w:webHidden/>
          </w:rPr>
          <w:instrText xml:space="preserve"> PAGEREF _Toc429485882 \h </w:instrText>
        </w:r>
        <w:r w:rsidR="00C07CF3">
          <w:rPr>
            <w:webHidden/>
          </w:rPr>
        </w:r>
        <w:r w:rsidR="00C07CF3">
          <w:rPr>
            <w:webHidden/>
          </w:rPr>
          <w:fldChar w:fldCharType="separate"/>
        </w:r>
        <w:r w:rsidR="00E51211">
          <w:rPr>
            <w:webHidden/>
          </w:rPr>
          <w:t>16</w:t>
        </w:r>
        <w:r w:rsidR="00C07CF3">
          <w:rPr>
            <w:webHidden/>
          </w:rPr>
          <w:fldChar w:fldCharType="end"/>
        </w:r>
      </w:hyperlink>
    </w:p>
    <w:p w14:paraId="12FFE29A" w14:textId="77777777" w:rsidR="00C07CF3" w:rsidRDefault="00A262F2">
      <w:pPr>
        <w:pStyle w:val="TOC2"/>
        <w:rPr>
          <w:rFonts w:asciiTheme="minorHAnsi" w:eastAsiaTheme="minorEastAsia" w:hAnsiTheme="minorHAnsi" w:cstheme="minorBidi"/>
          <w:kern w:val="0"/>
          <w:lang w:val="en-US"/>
        </w:rPr>
      </w:pPr>
      <w:hyperlink w:anchor="_Toc429485883" w:history="1">
        <w:r w:rsidR="00C07CF3" w:rsidRPr="00030AE1">
          <w:rPr>
            <w:rStyle w:val="Hyperlink"/>
          </w:rPr>
          <w:t xml:space="preserve">4.2 </w:t>
        </w:r>
        <w:r w:rsidR="00C07CF3">
          <w:rPr>
            <w:rFonts w:asciiTheme="minorHAnsi" w:eastAsiaTheme="minorEastAsia" w:hAnsiTheme="minorHAnsi" w:cstheme="minorBidi"/>
            <w:kern w:val="0"/>
            <w:lang w:val="en-US"/>
          </w:rPr>
          <w:tab/>
        </w:r>
        <w:r w:rsidR="00C07CF3" w:rsidRPr="00030AE1">
          <w:rPr>
            <w:rStyle w:val="Hyperlink"/>
          </w:rPr>
          <w:t>Mechanisms for calculation – Business process analysis</w:t>
        </w:r>
        <w:r w:rsidR="00C07CF3">
          <w:rPr>
            <w:webHidden/>
          </w:rPr>
          <w:tab/>
        </w:r>
        <w:r w:rsidR="00C07CF3">
          <w:rPr>
            <w:webHidden/>
          </w:rPr>
          <w:fldChar w:fldCharType="begin"/>
        </w:r>
        <w:r w:rsidR="00C07CF3">
          <w:rPr>
            <w:webHidden/>
          </w:rPr>
          <w:instrText xml:space="preserve"> PAGEREF _Toc429485883 \h </w:instrText>
        </w:r>
        <w:r w:rsidR="00C07CF3">
          <w:rPr>
            <w:webHidden/>
          </w:rPr>
        </w:r>
        <w:r w:rsidR="00C07CF3">
          <w:rPr>
            <w:webHidden/>
          </w:rPr>
          <w:fldChar w:fldCharType="separate"/>
        </w:r>
        <w:r w:rsidR="00E51211">
          <w:rPr>
            <w:webHidden/>
          </w:rPr>
          <w:t>20</w:t>
        </w:r>
        <w:r w:rsidR="00C07CF3">
          <w:rPr>
            <w:webHidden/>
          </w:rPr>
          <w:fldChar w:fldCharType="end"/>
        </w:r>
      </w:hyperlink>
    </w:p>
    <w:p w14:paraId="7DA4EAC9" w14:textId="77777777" w:rsidR="00C07CF3" w:rsidRDefault="00A262F2">
      <w:pPr>
        <w:pStyle w:val="TOC2"/>
        <w:rPr>
          <w:rFonts w:asciiTheme="minorHAnsi" w:eastAsiaTheme="minorEastAsia" w:hAnsiTheme="minorHAnsi" w:cstheme="minorBidi"/>
          <w:kern w:val="0"/>
          <w:lang w:val="en-US"/>
        </w:rPr>
      </w:pPr>
      <w:hyperlink w:anchor="_Toc429485884" w:history="1">
        <w:r w:rsidR="00C07CF3" w:rsidRPr="00030AE1">
          <w:rPr>
            <w:rStyle w:val="Hyperlink"/>
          </w:rPr>
          <w:t xml:space="preserve">4.3 </w:t>
        </w:r>
        <w:r w:rsidR="00C07CF3">
          <w:rPr>
            <w:rFonts w:asciiTheme="minorHAnsi" w:eastAsiaTheme="minorEastAsia" w:hAnsiTheme="minorHAnsi" w:cstheme="minorBidi"/>
            <w:kern w:val="0"/>
            <w:lang w:val="en-US"/>
          </w:rPr>
          <w:tab/>
        </w:r>
        <w:r w:rsidR="00C07CF3" w:rsidRPr="00030AE1">
          <w:rPr>
            <w:rStyle w:val="Hyperlink"/>
          </w:rPr>
          <w:t>Going from use cases to analysis of assets used in roaming to their costs</w:t>
        </w:r>
        <w:r w:rsidR="00C07CF3">
          <w:rPr>
            <w:webHidden/>
          </w:rPr>
          <w:tab/>
        </w:r>
        <w:r w:rsidR="00C07CF3">
          <w:rPr>
            <w:webHidden/>
          </w:rPr>
          <w:fldChar w:fldCharType="begin"/>
        </w:r>
        <w:r w:rsidR="00C07CF3">
          <w:rPr>
            <w:webHidden/>
          </w:rPr>
          <w:instrText xml:space="preserve"> PAGEREF _Toc429485884 \h </w:instrText>
        </w:r>
        <w:r w:rsidR="00C07CF3">
          <w:rPr>
            <w:webHidden/>
          </w:rPr>
        </w:r>
        <w:r w:rsidR="00C07CF3">
          <w:rPr>
            <w:webHidden/>
          </w:rPr>
          <w:fldChar w:fldCharType="separate"/>
        </w:r>
        <w:r w:rsidR="00E51211">
          <w:rPr>
            <w:webHidden/>
          </w:rPr>
          <w:t>25</w:t>
        </w:r>
        <w:r w:rsidR="00C07CF3">
          <w:rPr>
            <w:webHidden/>
          </w:rPr>
          <w:fldChar w:fldCharType="end"/>
        </w:r>
      </w:hyperlink>
    </w:p>
    <w:p w14:paraId="3AD00DBE" w14:textId="77777777" w:rsidR="00C07CF3" w:rsidRDefault="00A262F2">
      <w:pPr>
        <w:pStyle w:val="TOC1"/>
        <w:rPr>
          <w:rFonts w:asciiTheme="minorHAnsi" w:eastAsiaTheme="minorEastAsia" w:hAnsiTheme="minorHAnsi" w:cstheme="minorBidi"/>
          <w:b w:val="0"/>
          <w:bCs w:val="0"/>
          <w:color w:val="auto"/>
          <w:kern w:val="0"/>
          <w:lang w:val="en-US"/>
        </w:rPr>
      </w:pPr>
      <w:hyperlink w:anchor="_Toc429485885" w:history="1">
        <w:r w:rsidR="00C07CF3" w:rsidRPr="00030AE1">
          <w:rPr>
            <w:rStyle w:val="Hyperlink"/>
          </w:rPr>
          <w:t>Chapter 5 – Using the cost model: Guidelines for NRAs, with data collection</w:t>
        </w:r>
        <w:r w:rsidR="00C07CF3">
          <w:rPr>
            <w:webHidden/>
          </w:rPr>
          <w:tab/>
        </w:r>
        <w:r w:rsidR="00C07CF3">
          <w:rPr>
            <w:webHidden/>
          </w:rPr>
          <w:fldChar w:fldCharType="begin"/>
        </w:r>
        <w:r w:rsidR="00C07CF3">
          <w:rPr>
            <w:webHidden/>
          </w:rPr>
          <w:instrText xml:space="preserve"> PAGEREF _Toc429485885 \h </w:instrText>
        </w:r>
        <w:r w:rsidR="00C07CF3">
          <w:rPr>
            <w:webHidden/>
          </w:rPr>
        </w:r>
        <w:r w:rsidR="00C07CF3">
          <w:rPr>
            <w:webHidden/>
          </w:rPr>
          <w:fldChar w:fldCharType="separate"/>
        </w:r>
        <w:r w:rsidR="00E51211">
          <w:rPr>
            <w:webHidden/>
          </w:rPr>
          <w:t>33</w:t>
        </w:r>
        <w:r w:rsidR="00C07CF3">
          <w:rPr>
            <w:webHidden/>
          </w:rPr>
          <w:fldChar w:fldCharType="end"/>
        </w:r>
      </w:hyperlink>
    </w:p>
    <w:p w14:paraId="5AABFB14" w14:textId="77777777" w:rsidR="00C07CF3" w:rsidRDefault="00A262F2">
      <w:pPr>
        <w:pStyle w:val="TOC2"/>
        <w:rPr>
          <w:rFonts w:asciiTheme="minorHAnsi" w:eastAsiaTheme="minorEastAsia" w:hAnsiTheme="minorHAnsi" w:cstheme="minorBidi"/>
          <w:kern w:val="0"/>
          <w:lang w:val="en-US"/>
        </w:rPr>
      </w:pPr>
      <w:hyperlink w:anchor="_Toc429485886" w:history="1">
        <w:r w:rsidR="00C07CF3" w:rsidRPr="00030AE1">
          <w:rPr>
            <w:rStyle w:val="Hyperlink"/>
          </w:rPr>
          <w:t xml:space="preserve">5.1 </w:t>
        </w:r>
        <w:r w:rsidR="00C07CF3">
          <w:rPr>
            <w:rFonts w:asciiTheme="minorHAnsi" w:eastAsiaTheme="minorEastAsia" w:hAnsiTheme="minorHAnsi" w:cstheme="minorBidi"/>
            <w:kern w:val="0"/>
            <w:lang w:val="en-US"/>
          </w:rPr>
          <w:tab/>
        </w:r>
        <w:r w:rsidR="00C07CF3" w:rsidRPr="00030AE1">
          <w:rPr>
            <w:rStyle w:val="Hyperlink"/>
          </w:rPr>
          <w:t>How to use the cost model</w:t>
        </w:r>
        <w:r w:rsidR="00C07CF3">
          <w:rPr>
            <w:webHidden/>
          </w:rPr>
          <w:tab/>
        </w:r>
        <w:r w:rsidR="00C07CF3">
          <w:rPr>
            <w:webHidden/>
          </w:rPr>
          <w:fldChar w:fldCharType="begin"/>
        </w:r>
        <w:r w:rsidR="00C07CF3">
          <w:rPr>
            <w:webHidden/>
          </w:rPr>
          <w:instrText xml:space="preserve"> PAGEREF _Toc429485886 \h </w:instrText>
        </w:r>
        <w:r w:rsidR="00C07CF3">
          <w:rPr>
            <w:webHidden/>
          </w:rPr>
        </w:r>
        <w:r w:rsidR="00C07CF3">
          <w:rPr>
            <w:webHidden/>
          </w:rPr>
          <w:fldChar w:fldCharType="separate"/>
        </w:r>
        <w:r w:rsidR="00E51211">
          <w:rPr>
            <w:webHidden/>
          </w:rPr>
          <w:t>34</w:t>
        </w:r>
        <w:r w:rsidR="00C07CF3">
          <w:rPr>
            <w:webHidden/>
          </w:rPr>
          <w:fldChar w:fldCharType="end"/>
        </w:r>
      </w:hyperlink>
    </w:p>
    <w:p w14:paraId="12CC0BEE" w14:textId="77777777" w:rsidR="00C07CF3" w:rsidRDefault="00A262F2">
      <w:pPr>
        <w:pStyle w:val="TOC2"/>
        <w:rPr>
          <w:rFonts w:asciiTheme="minorHAnsi" w:eastAsiaTheme="minorEastAsia" w:hAnsiTheme="minorHAnsi" w:cstheme="minorBidi"/>
          <w:kern w:val="0"/>
          <w:lang w:val="en-US"/>
        </w:rPr>
      </w:pPr>
      <w:hyperlink w:anchor="_Toc429485887" w:history="1">
        <w:r w:rsidR="00C07CF3" w:rsidRPr="00030AE1">
          <w:rPr>
            <w:rStyle w:val="Hyperlink"/>
          </w:rPr>
          <w:t xml:space="preserve">5.2 </w:t>
        </w:r>
        <w:r w:rsidR="00C07CF3">
          <w:rPr>
            <w:rFonts w:asciiTheme="minorHAnsi" w:eastAsiaTheme="minorEastAsia" w:hAnsiTheme="minorHAnsi" w:cstheme="minorBidi"/>
            <w:kern w:val="0"/>
            <w:lang w:val="en-US"/>
          </w:rPr>
          <w:tab/>
        </w:r>
        <w:r w:rsidR="00C07CF3" w:rsidRPr="00030AE1">
          <w:rPr>
            <w:rStyle w:val="Hyperlink"/>
          </w:rPr>
          <w:t>Effective data gathering – Data collection process and interaction with MNOs</w:t>
        </w:r>
        <w:r w:rsidR="00C07CF3">
          <w:rPr>
            <w:webHidden/>
          </w:rPr>
          <w:tab/>
        </w:r>
        <w:r w:rsidR="00C07CF3">
          <w:rPr>
            <w:webHidden/>
          </w:rPr>
          <w:fldChar w:fldCharType="begin"/>
        </w:r>
        <w:r w:rsidR="00C07CF3">
          <w:rPr>
            <w:webHidden/>
          </w:rPr>
          <w:instrText xml:space="preserve"> PAGEREF _Toc429485887 \h </w:instrText>
        </w:r>
        <w:r w:rsidR="00C07CF3">
          <w:rPr>
            <w:webHidden/>
          </w:rPr>
        </w:r>
        <w:r w:rsidR="00C07CF3">
          <w:rPr>
            <w:webHidden/>
          </w:rPr>
          <w:fldChar w:fldCharType="separate"/>
        </w:r>
        <w:r w:rsidR="00E51211">
          <w:rPr>
            <w:webHidden/>
          </w:rPr>
          <w:t>35</w:t>
        </w:r>
        <w:r w:rsidR="00C07CF3">
          <w:rPr>
            <w:webHidden/>
          </w:rPr>
          <w:fldChar w:fldCharType="end"/>
        </w:r>
      </w:hyperlink>
    </w:p>
    <w:p w14:paraId="38F25EE3" w14:textId="77777777" w:rsidR="00C07CF3" w:rsidRDefault="00A262F2">
      <w:pPr>
        <w:pStyle w:val="TOC2"/>
        <w:rPr>
          <w:rFonts w:asciiTheme="minorHAnsi" w:eastAsiaTheme="minorEastAsia" w:hAnsiTheme="minorHAnsi" w:cstheme="minorBidi"/>
          <w:kern w:val="0"/>
          <w:lang w:val="en-US"/>
        </w:rPr>
      </w:pPr>
      <w:hyperlink w:anchor="_Toc429485888" w:history="1">
        <w:r w:rsidR="00C07CF3" w:rsidRPr="00030AE1">
          <w:rPr>
            <w:rStyle w:val="Hyperlink"/>
          </w:rPr>
          <w:t xml:space="preserve">5.3 </w:t>
        </w:r>
        <w:r w:rsidR="00C07CF3">
          <w:rPr>
            <w:rFonts w:asciiTheme="minorHAnsi" w:eastAsiaTheme="minorEastAsia" w:hAnsiTheme="minorHAnsi" w:cstheme="minorBidi"/>
            <w:kern w:val="0"/>
            <w:lang w:val="en-US"/>
          </w:rPr>
          <w:tab/>
        </w:r>
        <w:r w:rsidR="00C07CF3" w:rsidRPr="00030AE1">
          <w:rPr>
            <w:rStyle w:val="Hyperlink"/>
          </w:rPr>
          <w:t>Sample questionnaire for NRAs, for use with the cost model</w:t>
        </w:r>
        <w:r w:rsidR="00C07CF3">
          <w:rPr>
            <w:webHidden/>
          </w:rPr>
          <w:tab/>
        </w:r>
        <w:r w:rsidR="00C07CF3">
          <w:rPr>
            <w:webHidden/>
          </w:rPr>
          <w:fldChar w:fldCharType="begin"/>
        </w:r>
        <w:r w:rsidR="00C07CF3">
          <w:rPr>
            <w:webHidden/>
          </w:rPr>
          <w:instrText xml:space="preserve"> PAGEREF _Toc429485888 \h </w:instrText>
        </w:r>
        <w:r w:rsidR="00C07CF3">
          <w:rPr>
            <w:webHidden/>
          </w:rPr>
        </w:r>
        <w:r w:rsidR="00C07CF3">
          <w:rPr>
            <w:webHidden/>
          </w:rPr>
          <w:fldChar w:fldCharType="separate"/>
        </w:r>
        <w:r w:rsidR="00E51211">
          <w:rPr>
            <w:webHidden/>
          </w:rPr>
          <w:t>38</w:t>
        </w:r>
        <w:r w:rsidR="00C07CF3">
          <w:rPr>
            <w:webHidden/>
          </w:rPr>
          <w:fldChar w:fldCharType="end"/>
        </w:r>
      </w:hyperlink>
    </w:p>
    <w:p w14:paraId="452EF17F" w14:textId="77777777" w:rsidR="00C07CF3" w:rsidRDefault="00A262F2">
      <w:pPr>
        <w:pStyle w:val="TOC1"/>
        <w:rPr>
          <w:rFonts w:asciiTheme="minorHAnsi" w:eastAsiaTheme="minorEastAsia" w:hAnsiTheme="minorHAnsi" w:cstheme="minorBidi"/>
          <w:b w:val="0"/>
          <w:bCs w:val="0"/>
          <w:color w:val="auto"/>
          <w:kern w:val="0"/>
          <w:lang w:val="en-US"/>
        </w:rPr>
      </w:pPr>
      <w:hyperlink w:anchor="_Toc429485889" w:history="1">
        <w:r w:rsidR="00C07CF3" w:rsidRPr="00030AE1">
          <w:rPr>
            <w:rStyle w:val="Hyperlink"/>
          </w:rPr>
          <w:t>Annex 1 – The regulatory situation in the EU</w:t>
        </w:r>
        <w:r w:rsidR="00C07CF3">
          <w:rPr>
            <w:webHidden/>
          </w:rPr>
          <w:tab/>
        </w:r>
        <w:r w:rsidR="00C07CF3">
          <w:rPr>
            <w:webHidden/>
          </w:rPr>
          <w:fldChar w:fldCharType="begin"/>
        </w:r>
        <w:r w:rsidR="00C07CF3">
          <w:rPr>
            <w:webHidden/>
          </w:rPr>
          <w:instrText xml:space="preserve"> PAGEREF _Toc429485889 \h </w:instrText>
        </w:r>
        <w:r w:rsidR="00C07CF3">
          <w:rPr>
            <w:webHidden/>
          </w:rPr>
        </w:r>
        <w:r w:rsidR="00C07CF3">
          <w:rPr>
            <w:webHidden/>
          </w:rPr>
          <w:fldChar w:fldCharType="separate"/>
        </w:r>
        <w:r w:rsidR="00E51211">
          <w:rPr>
            <w:webHidden/>
          </w:rPr>
          <w:t>39</w:t>
        </w:r>
        <w:r w:rsidR="00C07CF3">
          <w:rPr>
            <w:webHidden/>
          </w:rPr>
          <w:fldChar w:fldCharType="end"/>
        </w:r>
      </w:hyperlink>
    </w:p>
    <w:p w14:paraId="34F37678" w14:textId="77777777" w:rsidR="00C07CF3" w:rsidRDefault="00A262F2">
      <w:pPr>
        <w:pStyle w:val="TOC1"/>
        <w:rPr>
          <w:rFonts w:asciiTheme="minorHAnsi" w:eastAsiaTheme="minorEastAsia" w:hAnsiTheme="minorHAnsi" w:cstheme="minorBidi"/>
          <w:b w:val="0"/>
          <w:bCs w:val="0"/>
          <w:color w:val="auto"/>
          <w:kern w:val="0"/>
          <w:lang w:val="en-US"/>
        </w:rPr>
      </w:pPr>
      <w:hyperlink w:anchor="_Toc429485890" w:history="1">
        <w:r w:rsidR="00C07CF3" w:rsidRPr="00030AE1">
          <w:rPr>
            <w:rStyle w:val="Hyperlink"/>
          </w:rPr>
          <w:t>Annex 2 – User startup – A one-page summary</w:t>
        </w:r>
        <w:r w:rsidR="00C07CF3">
          <w:rPr>
            <w:webHidden/>
          </w:rPr>
          <w:tab/>
        </w:r>
        <w:r w:rsidR="00C07CF3">
          <w:rPr>
            <w:webHidden/>
          </w:rPr>
          <w:fldChar w:fldCharType="begin"/>
        </w:r>
        <w:r w:rsidR="00C07CF3">
          <w:rPr>
            <w:webHidden/>
          </w:rPr>
          <w:instrText xml:space="preserve"> PAGEREF _Toc429485890 \h </w:instrText>
        </w:r>
        <w:r w:rsidR="00C07CF3">
          <w:rPr>
            <w:webHidden/>
          </w:rPr>
        </w:r>
        <w:r w:rsidR="00C07CF3">
          <w:rPr>
            <w:webHidden/>
          </w:rPr>
          <w:fldChar w:fldCharType="separate"/>
        </w:r>
        <w:r w:rsidR="00E51211">
          <w:rPr>
            <w:webHidden/>
          </w:rPr>
          <w:t>46</w:t>
        </w:r>
        <w:r w:rsidR="00C07CF3">
          <w:rPr>
            <w:webHidden/>
          </w:rPr>
          <w:fldChar w:fldCharType="end"/>
        </w:r>
      </w:hyperlink>
    </w:p>
    <w:p w14:paraId="7B14B18E" w14:textId="77777777" w:rsidR="00C07CF3" w:rsidRDefault="00A262F2">
      <w:pPr>
        <w:pStyle w:val="TOC1"/>
        <w:rPr>
          <w:rFonts w:asciiTheme="minorHAnsi" w:eastAsiaTheme="minorEastAsia" w:hAnsiTheme="minorHAnsi" w:cstheme="minorBidi"/>
          <w:b w:val="0"/>
          <w:bCs w:val="0"/>
          <w:color w:val="auto"/>
          <w:kern w:val="0"/>
          <w:lang w:val="en-US"/>
        </w:rPr>
      </w:pPr>
      <w:hyperlink w:anchor="_Toc429485891" w:history="1">
        <w:r w:rsidR="00C07CF3" w:rsidRPr="00030AE1">
          <w:rPr>
            <w:rStyle w:val="Hyperlink"/>
          </w:rPr>
          <w:t>Annex 3 – A model questionnaire for gathering roaming data</w:t>
        </w:r>
        <w:r w:rsidR="00C07CF3">
          <w:rPr>
            <w:webHidden/>
          </w:rPr>
          <w:tab/>
        </w:r>
        <w:r w:rsidR="00C07CF3">
          <w:rPr>
            <w:webHidden/>
          </w:rPr>
          <w:fldChar w:fldCharType="begin"/>
        </w:r>
        <w:r w:rsidR="00C07CF3">
          <w:rPr>
            <w:webHidden/>
          </w:rPr>
          <w:instrText xml:space="preserve"> PAGEREF _Toc429485891 \h </w:instrText>
        </w:r>
        <w:r w:rsidR="00C07CF3">
          <w:rPr>
            <w:webHidden/>
          </w:rPr>
        </w:r>
        <w:r w:rsidR="00C07CF3">
          <w:rPr>
            <w:webHidden/>
          </w:rPr>
          <w:fldChar w:fldCharType="separate"/>
        </w:r>
        <w:r w:rsidR="00E51211">
          <w:rPr>
            <w:webHidden/>
          </w:rPr>
          <w:t>47</w:t>
        </w:r>
        <w:r w:rsidR="00C07CF3">
          <w:rPr>
            <w:webHidden/>
          </w:rPr>
          <w:fldChar w:fldCharType="end"/>
        </w:r>
      </w:hyperlink>
    </w:p>
    <w:p w14:paraId="63EC9E3A" w14:textId="77777777" w:rsidR="00C07CF3" w:rsidRDefault="00A262F2">
      <w:pPr>
        <w:pStyle w:val="TOC1"/>
        <w:rPr>
          <w:rFonts w:asciiTheme="minorHAnsi" w:eastAsiaTheme="minorEastAsia" w:hAnsiTheme="minorHAnsi" w:cstheme="minorBidi"/>
          <w:b w:val="0"/>
          <w:bCs w:val="0"/>
          <w:color w:val="auto"/>
          <w:kern w:val="0"/>
          <w:lang w:val="en-US"/>
        </w:rPr>
      </w:pPr>
      <w:hyperlink w:anchor="_Toc429485892" w:history="1">
        <w:r w:rsidR="00C07CF3" w:rsidRPr="00030AE1">
          <w:rPr>
            <w:rStyle w:val="Hyperlink"/>
          </w:rPr>
          <w:t>Annex 4 – Example of spreadsheet used to gather data</w:t>
        </w:r>
        <w:r w:rsidR="00C07CF3">
          <w:rPr>
            <w:webHidden/>
          </w:rPr>
          <w:tab/>
        </w:r>
        <w:r w:rsidR="00C07CF3">
          <w:rPr>
            <w:webHidden/>
          </w:rPr>
          <w:fldChar w:fldCharType="begin"/>
        </w:r>
        <w:r w:rsidR="00C07CF3">
          <w:rPr>
            <w:webHidden/>
          </w:rPr>
          <w:instrText xml:space="preserve"> PAGEREF _Toc429485892 \h </w:instrText>
        </w:r>
        <w:r w:rsidR="00C07CF3">
          <w:rPr>
            <w:webHidden/>
          </w:rPr>
        </w:r>
        <w:r w:rsidR="00C07CF3">
          <w:rPr>
            <w:webHidden/>
          </w:rPr>
          <w:fldChar w:fldCharType="separate"/>
        </w:r>
        <w:r w:rsidR="00E51211">
          <w:rPr>
            <w:webHidden/>
          </w:rPr>
          <w:t>51</w:t>
        </w:r>
        <w:r w:rsidR="00C07CF3">
          <w:rPr>
            <w:webHidden/>
          </w:rPr>
          <w:fldChar w:fldCharType="end"/>
        </w:r>
      </w:hyperlink>
    </w:p>
    <w:p w14:paraId="077F0AD7" w14:textId="77777777" w:rsidR="00C07CF3" w:rsidRDefault="00A262F2">
      <w:pPr>
        <w:pStyle w:val="TOC1"/>
        <w:rPr>
          <w:rFonts w:asciiTheme="minorHAnsi" w:eastAsiaTheme="minorEastAsia" w:hAnsiTheme="minorHAnsi" w:cstheme="minorBidi"/>
          <w:b w:val="0"/>
          <w:bCs w:val="0"/>
          <w:color w:val="auto"/>
          <w:kern w:val="0"/>
          <w:lang w:val="en-US"/>
        </w:rPr>
      </w:pPr>
      <w:hyperlink w:anchor="_Toc429485893" w:history="1">
        <w:r w:rsidR="00C07CF3" w:rsidRPr="00030AE1">
          <w:rPr>
            <w:rStyle w:val="Hyperlink"/>
          </w:rPr>
          <w:t>Annex 5 – Example of parameters used to calculate MNO costs of roaming</w:t>
        </w:r>
        <w:r w:rsidR="00C07CF3">
          <w:rPr>
            <w:webHidden/>
          </w:rPr>
          <w:tab/>
        </w:r>
        <w:r w:rsidR="00C07CF3">
          <w:rPr>
            <w:webHidden/>
          </w:rPr>
          <w:fldChar w:fldCharType="begin"/>
        </w:r>
        <w:r w:rsidR="00C07CF3">
          <w:rPr>
            <w:webHidden/>
          </w:rPr>
          <w:instrText xml:space="preserve"> PAGEREF _Toc429485893 \h </w:instrText>
        </w:r>
        <w:r w:rsidR="00C07CF3">
          <w:rPr>
            <w:webHidden/>
          </w:rPr>
        </w:r>
        <w:r w:rsidR="00C07CF3">
          <w:rPr>
            <w:webHidden/>
          </w:rPr>
          <w:fldChar w:fldCharType="separate"/>
        </w:r>
        <w:r w:rsidR="00E51211">
          <w:rPr>
            <w:webHidden/>
          </w:rPr>
          <w:t>52</w:t>
        </w:r>
        <w:r w:rsidR="00C07CF3">
          <w:rPr>
            <w:webHidden/>
          </w:rPr>
          <w:fldChar w:fldCharType="end"/>
        </w:r>
      </w:hyperlink>
    </w:p>
    <w:p w14:paraId="2FCF7F92" w14:textId="77777777" w:rsidR="00C07CF3" w:rsidRDefault="00A262F2">
      <w:pPr>
        <w:pStyle w:val="TOC1"/>
        <w:rPr>
          <w:rFonts w:asciiTheme="minorHAnsi" w:eastAsiaTheme="minorEastAsia" w:hAnsiTheme="minorHAnsi" w:cstheme="minorBidi"/>
          <w:b w:val="0"/>
          <w:bCs w:val="0"/>
          <w:color w:val="auto"/>
          <w:kern w:val="0"/>
          <w:lang w:val="en-US"/>
        </w:rPr>
      </w:pPr>
      <w:hyperlink w:anchor="_Toc429485894" w:history="1">
        <w:r w:rsidR="00C07CF3" w:rsidRPr="00030AE1">
          <w:rPr>
            <w:rStyle w:val="Hyperlink"/>
          </w:rPr>
          <w:t>Abbreviations</w:t>
        </w:r>
        <w:r w:rsidR="00C07CF3">
          <w:rPr>
            <w:webHidden/>
          </w:rPr>
          <w:tab/>
        </w:r>
        <w:r w:rsidR="00C07CF3">
          <w:rPr>
            <w:webHidden/>
          </w:rPr>
          <w:fldChar w:fldCharType="begin"/>
        </w:r>
        <w:r w:rsidR="00C07CF3">
          <w:rPr>
            <w:webHidden/>
          </w:rPr>
          <w:instrText xml:space="preserve"> PAGEREF _Toc429485894 \h </w:instrText>
        </w:r>
        <w:r w:rsidR="00C07CF3">
          <w:rPr>
            <w:webHidden/>
          </w:rPr>
        </w:r>
        <w:r w:rsidR="00C07CF3">
          <w:rPr>
            <w:webHidden/>
          </w:rPr>
          <w:fldChar w:fldCharType="separate"/>
        </w:r>
        <w:r w:rsidR="00E51211">
          <w:rPr>
            <w:webHidden/>
          </w:rPr>
          <w:t>55</w:t>
        </w:r>
        <w:r w:rsidR="00C07CF3">
          <w:rPr>
            <w:webHidden/>
          </w:rPr>
          <w:fldChar w:fldCharType="end"/>
        </w:r>
      </w:hyperlink>
    </w:p>
    <w:p w14:paraId="465DD6FC" w14:textId="77777777" w:rsidR="00C07CF3" w:rsidRDefault="00A262F2">
      <w:pPr>
        <w:pStyle w:val="TOC1"/>
        <w:rPr>
          <w:rFonts w:asciiTheme="minorHAnsi" w:eastAsiaTheme="minorEastAsia" w:hAnsiTheme="minorHAnsi" w:cstheme="minorBidi"/>
          <w:b w:val="0"/>
          <w:bCs w:val="0"/>
          <w:color w:val="auto"/>
          <w:kern w:val="0"/>
          <w:lang w:val="en-US"/>
        </w:rPr>
      </w:pPr>
      <w:hyperlink w:anchor="_Toc429485895" w:history="1">
        <w:r w:rsidR="00C07CF3" w:rsidRPr="00030AE1">
          <w:rPr>
            <w:rStyle w:val="Hyperlink"/>
          </w:rPr>
          <w:t>List of references, background, and further reading</w:t>
        </w:r>
        <w:r w:rsidR="00C07CF3">
          <w:rPr>
            <w:webHidden/>
          </w:rPr>
          <w:tab/>
        </w:r>
        <w:r w:rsidR="00C07CF3">
          <w:rPr>
            <w:webHidden/>
          </w:rPr>
          <w:fldChar w:fldCharType="begin"/>
        </w:r>
        <w:r w:rsidR="00C07CF3">
          <w:rPr>
            <w:webHidden/>
          </w:rPr>
          <w:instrText xml:space="preserve"> PAGEREF _Toc429485895 \h </w:instrText>
        </w:r>
        <w:r w:rsidR="00C07CF3">
          <w:rPr>
            <w:webHidden/>
          </w:rPr>
        </w:r>
        <w:r w:rsidR="00C07CF3">
          <w:rPr>
            <w:webHidden/>
          </w:rPr>
          <w:fldChar w:fldCharType="separate"/>
        </w:r>
        <w:r w:rsidR="00E51211">
          <w:rPr>
            <w:webHidden/>
          </w:rPr>
          <w:t>59</w:t>
        </w:r>
        <w:r w:rsidR="00C07CF3">
          <w:rPr>
            <w:webHidden/>
          </w:rPr>
          <w:fldChar w:fldCharType="end"/>
        </w:r>
      </w:hyperlink>
    </w:p>
    <w:p w14:paraId="5254EF28" w14:textId="77777777" w:rsidR="00B5162A" w:rsidRDefault="00BC0988" w:rsidP="00465F33">
      <w:pPr>
        <w:pStyle w:val="Headingb"/>
        <w:tabs>
          <w:tab w:val="right" w:leader="dot" w:pos="9072"/>
        </w:tabs>
        <w:suppressAutoHyphens/>
      </w:pPr>
      <w:r>
        <w:rPr>
          <w:rStyle w:val="Hyperlink"/>
          <w:b w:val="0"/>
          <w:bCs w:val="0"/>
          <w:noProof/>
          <w:szCs w:val="22"/>
        </w:rPr>
        <w:fldChar w:fldCharType="end"/>
      </w:r>
    </w:p>
    <w:p w14:paraId="1F67AC46" w14:textId="77777777" w:rsidR="00B5162A" w:rsidRPr="00C708C5" w:rsidRDefault="00B5162A" w:rsidP="00717E54">
      <w:pPr>
        <w:pStyle w:val="Titlereport"/>
        <w:suppressAutoHyphens/>
        <w:sectPr w:rsidR="00B5162A" w:rsidRPr="00C708C5">
          <w:footerReference w:type="default" r:id="rId10"/>
          <w:footnotePr>
            <w:pos w:val="beneathText"/>
          </w:footnotePr>
          <w:endnotePr>
            <w:numFmt w:val="decimal"/>
          </w:endnotePr>
          <w:type w:val="oddPage"/>
          <w:pgSz w:w="11909" w:h="16834" w:code="9"/>
          <w:pgMar w:top="1418" w:right="1134" w:bottom="1134" w:left="1134" w:header="567" w:footer="567" w:gutter="0"/>
          <w:pgNumType w:fmt="lowerRoman" w:start="1"/>
          <w:cols w:sep="1" w:space="720"/>
          <w:docGrid w:linePitch="299"/>
        </w:sectPr>
      </w:pPr>
    </w:p>
    <w:p w14:paraId="6748ABA1" w14:textId="77777777" w:rsidR="00BF5057" w:rsidRPr="00BF5057" w:rsidRDefault="00094493" w:rsidP="00717E54">
      <w:pPr>
        <w:pStyle w:val="Heading1"/>
        <w:suppressAutoHyphens/>
      </w:pPr>
      <w:bookmarkStart w:id="3" w:name="_Toc423439108"/>
      <w:bookmarkStart w:id="4" w:name="_Toc425509228"/>
      <w:bookmarkStart w:id="5" w:name="_Toc429485868"/>
      <w:bookmarkEnd w:id="0"/>
      <w:bookmarkEnd w:id="1"/>
      <w:r w:rsidRPr="00094493">
        <w:lastRenderedPageBreak/>
        <w:t>Executive summary</w:t>
      </w:r>
      <w:bookmarkEnd w:id="3"/>
      <w:bookmarkEnd w:id="4"/>
      <w:bookmarkEnd w:id="5"/>
    </w:p>
    <w:p w14:paraId="69ED3426" w14:textId="77777777" w:rsidR="00271DD6" w:rsidRPr="00271DD6" w:rsidRDefault="00271DD6" w:rsidP="00271DD6">
      <w:bookmarkStart w:id="6" w:name="_Toc321242512"/>
      <w:r w:rsidRPr="00271DD6">
        <w:t>At the International Mobile Roaming Workshop held at ITU on 23-24 September 2013, participants called for the ITU Telecommunication Standardization Sector (ITU-T) to take the lead in developing a coherent and transparent cost model for roaming for use by regulators. The background to this request to the ITU</w:t>
      </w:r>
      <w:r>
        <w:noBreakHyphen/>
      </w:r>
      <w:r w:rsidRPr="00271DD6">
        <w:t>T is the growing need for consumer protection in the context of the increasingly global nature of mobile communications across borders</w:t>
      </w:r>
      <w:r>
        <w:rPr>
          <w:rStyle w:val="FootnoteReference"/>
        </w:rPr>
        <w:footnoteReference w:id="3"/>
      </w:r>
      <w:r w:rsidRPr="00271DD6">
        <w:t xml:space="preserve">. </w:t>
      </w:r>
    </w:p>
    <w:p w14:paraId="4BF68EE3" w14:textId="77777777" w:rsidR="00271DD6" w:rsidRPr="00271DD6" w:rsidRDefault="00271DD6" w:rsidP="00271DD6">
      <w:r w:rsidRPr="00271DD6">
        <w:t xml:space="preserve">Thus, today's consumer and industry context requires a cost model of mobile roaming to drive a general change in the industry's approach to the roaming question as a whole. </w:t>
      </w:r>
    </w:p>
    <w:p w14:paraId="4CD488AF" w14:textId="77777777" w:rsidR="00271DD6" w:rsidRPr="00271DD6" w:rsidRDefault="00271DD6" w:rsidP="00271DD6">
      <w:r w:rsidRPr="00271DD6">
        <w:t>The model attempts to answer the following question:</w:t>
      </w:r>
    </w:p>
    <w:p w14:paraId="108C82D6" w14:textId="77777777" w:rsidR="00271DD6" w:rsidRPr="00271DD6" w:rsidRDefault="00271DD6" w:rsidP="006E2CC6">
      <w:pPr>
        <w:spacing w:before="120"/>
        <w:rPr>
          <w:i/>
          <w:iCs/>
        </w:rPr>
      </w:pPr>
      <w:r w:rsidRPr="00271DD6">
        <w:rPr>
          <w:i/>
          <w:iCs/>
        </w:rPr>
        <w:t>Do the requirements for technical infrastructure necessarily cause roaming costs to be higher – and if so, by how much?</w:t>
      </w:r>
    </w:p>
    <w:p w14:paraId="7983F660" w14:textId="77777777" w:rsidR="00271DD6" w:rsidRPr="00271DD6" w:rsidRDefault="00271DD6" w:rsidP="006E2CC6">
      <w:pPr>
        <w:spacing w:before="120"/>
      </w:pPr>
      <w:r w:rsidRPr="00271DD6">
        <w:t>Mobile network operators (MNOs) may argue that high international roaming prices mainly result from increased costs of technical infrastructure and its operation. To assess this claim, we must answer several questions:</w:t>
      </w:r>
    </w:p>
    <w:p w14:paraId="568FA846" w14:textId="77777777" w:rsidR="00271DD6" w:rsidRPr="00271DD6" w:rsidRDefault="00271DD6" w:rsidP="00BE02AC">
      <w:pPr>
        <w:pStyle w:val="enumlev1"/>
      </w:pPr>
      <w:r>
        <w:t>1</w:t>
      </w:r>
      <w:r w:rsidR="00BE02AC">
        <w:t>)</w:t>
      </w:r>
      <w:r>
        <w:tab/>
      </w:r>
      <w:r w:rsidRPr="00271DD6">
        <w:t xml:space="preserve">Is the handling and billing of an international call more expensive than a national call and, if so, by how much? </w:t>
      </w:r>
    </w:p>
    <w:p w14:paraId="603778BE" w14:textId="77777777" w:rsidR="00271DD6" w:rsidRPr="00271DD6" w:rsidRDefault="00BE02AC" w:rsidP="00271DD6">
      <w:pPr>
        <w:pStyle w:val="enumlev1"/>
      </w:pPr>
      <w:r>
        <w:t>2)</w:t>
      </w:r>
      <w:r w:rsidR="00271DD6">
        <w:tab/>
      </w:r>
      <w:r w:rsidR="00271DD6" w:rsidRPr="00271DD6">
        <w:t xml:space="preserve">What technical infrastructure elements are required for international roaming? </w:t>
      </w:r>
    </w:p>
    <w:p w14:paraId="4B1FFFC4" w14:textId="77777777" w:rsidR="00271DD6" w:rsidRPr="00271DD6" w:rsidRDefault="00BE02AC" w:rsidP="00271DD6">
      <w:pPr>
        <w:pStyle w:val="enumlev1"/>
      </w:pPr>
      <w:r>
        <w:t>3)</w:t>
      </w:r>
      <w:r w:rsidR="00271DD6">
        <w:tab/>
      </w:r>
      <w:r w:rsidR="00271DD6" w:rsidRPr="00271DD6">
        <w:t>What are the actual levels of extra costs for roaming and likely future costs of developments?</w:t>
      </w:r>
    </w:p>
    <w:p w14:paraId="25A3EDE1" w14:textId="77777777" w:rsidR="00271DD6" w:rsidRPr="00271DD6" w:rsidRDefault="00BE02AC" w:rsidP="00271DD6">
      <w:pPr>
        <w:pStyle w:val="enumlev1"/>
      </w:pPr>
      <w:r>
        <w:t>4)</w:t>
      </w:r>
      <w:r w:rsidR="00271DD6">
        <w:tab/>
      </w:r>
      <w:r w:rsidR="00271DD6" w:rsidRPr="00271DD6">
        <w:t xml:space="preserve">What does a comparison of international prices with their corresponding level of national pricing show? </w:t>
      </w:r>
    </w:p>
    <w:p w14:paraId="1CE984E4" w14:textId="77777777" w:rsidR="00271DD6" w:rsidRDefault="00271DD6" w:rsidP="006E2CC6">
      <w:pPr>
        <w:spacing w:after="120"/>
      </w:pPr>
      <w:r w:rsidRPr="00271DD6">
        <w:t>Answering these questions is complex as it involves an analysis of three areas:</w:t>
      </w:r>
    </w:p>
    <w:p w14:paraId="459BE27D" w14:textId="77777777" w:rsidR="006E2CC6" w:rsidRDefault="006E2CC6" w:rsidP="006E2CC6">
      <w:pPr>
        <w:pStyle w:val="Figuretitle"/>
        <w:spacing w:before="0" w:line="120" w:lineRule="auto"/>
      </w:pPr>
    </w:p>
    <w:p w14:paraId="084CB014" w14:textId="77777777" w:rsidR="00271DD6" w:rsidRDefault="00271DD6" w:rsidP="006E2CC6">
      <w:pPr>
        <w:pStyle w:val="Figure"/>
        <w:spacing w:before="0" w:after="120"/>
        <w:rPr>
          <w:lang w:val="en-GB"/>
        </w:rPr>
      </w:pPr>
      <w:r w:rsidRPr="00271DD6">
        <w:rPr>
          <w:noProof/>
        </w:rPr>
        <w:drawing>
          <wp:inline distT="0" distB="0" distL="0" distR="0" wp14:anchorId="473E79F5" wp14:editId="42D985D8">
            <wp:extent cx="4447309" cy="3335482"/>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2256" cy="3339193"/>
                    </a:xfrm>
                    <a:prstGeom prst="rect">
                      <a:avLst/>
                    </a:prstGeom>
                    <a:noFill/>
                    <a:ln w="12700">
                      <a:solidFill>
                        <a:srgbClr val="008080"/>
                      </a:solidFill>
                      <a:miter lim="800000"/>
                      <a:headEnd/>
                      <a:tailEnd/>
                    </a:ln>
                    <a:effectLst/>
                  </pic:spPr>
                </pic:pic>
              </a:graphicData>
            </a:graphic>
          </wp:inline>
        </w:drawing>
      </w:r>
    </w:p>
    <w:p w14:paraId="010B9A81" w14:textId="77777777" w:rsidR="006E2CC6" w:rsidRPr="006E2CC6" w:rsidRDefault="006E2CC6" w:rsidP="006E2CC6">
      <w:pPr>
        <w:pStyle w:val="Figuresource"/>
        <w:spacing w:before="0" w:line="120" w:lineRule="auto"/>
      </w:pPr>
    </w:p>
    <w:p w14:paraId="3532F2EC" w14:textId="77777777" w:rsidR="00271DD6" w:rsidRPr="00271DD6" w:rsidRDefault="00271DD6" w:rsidP="00271DD6">
      <w:r w:rsidRPr="00271DD6">
        <w:lastRenderedPageBreak/>
        <w:t xml:space="preserve">The question is how much do these three factors – of the technical platform for roaming (signalling and voice/data carriage), the internal </w:t>
      </w:r>
      <w:r w:rsidRPr="00BC3D92">
        <w:rPr>
          <w:kern w:val="0"/>
        </w:rPr>
        <w:t>accounting</w:t>
      </w:r>
      <w:r w:rsidRPr="00271DD6">
        <w:t xml:space="preserve"> structure and business operations and processes with their business support systems (BSS) – really add to the costs of call handling? And critically, by how much do they drive the tariff above the retail price for the same or similar processes performed for handling domestic calls with MNOs and fixed line carriers within the same country. Is there really such a level of extra cost that a roaming call in 2002 was up to four times as much as a domestic call in some parts of the European Union (EU)? </w:t>
      </w:r>
    </w:p>
    <w:p w14:paraId="7E9E1A14" w14:textId="77777777" w:rsidR="00271DD6" w:rsidRPr="00271DD6" w:rsidRDefault="00271DD6" w:rsidP="00271DD6">
      <w:r w:rsidRPr="00271DD6">
        <w:t>The premise put forward by the mobile industry is that calls across borders cost more, due to longer distances, and reflect different cost bases in the various countries, as well as extra network and business support elements. But how reflective of actual costs are the retail tariffs based on these extra factors? The roaming model we put forward here to answer this question is based on the collection of empirical cost data.</w:t>
      </w:r>
    </w:p>
    <w:p w14:paraId="125B6E83" w14:textId="77777777" w:rsidR="00271DD6" w:rsidRPr="00271DD6" w:rsidRDefault="00271DD6" w:rsidP="00271DD6">
      <w:r w:rsidRPr="00271DD6">
        <w:t xml:space="preserve">Here we must emphasise that the retail roaming price to the customer is set by two markets: </w:t>
      </w:r>
    </w:p>
    <w:p w14:paraId="58AB4F69" w14:textId="77777777" w:rsidR="00271DD6" w:rsidRPr="00271DD6" w:rsidRDefault="001A067E" w:rsidP="001A067E">
      <w:pPr>
        <w:pStyle w:val="enumlev1"/>
      </w:pPr>
      <w:r>
        <w:t>•</w:t>
      </w:r>
      <w:r>
        <w:tab/>
      </w:r>
      <w:r w:rsidR="00271DD6" w:rsidRPr="00271DD6">
        <w:t xml:space="preserve">First is the wholesale market in international mobile voice calls, as well as for data sessions and short message service (SMS) texts, set by negotiated individual agreements on inter-operator tariffs (IOTs)? The basis of wholesale rates are the prices that the visited operator charges the home operator for allowing the home operator's subscriber to roam on the visited operator's network, </w:t>
      </w:r>
    </w:p>
    <w:p w14:paraId="3F125559" w14:textId="77777777" w:rsidR="00271DD6" w:rsidRPr="00271DD6" w:rsidRDefault="001A067E" w:rsidP="005D7FBE">
      <w:pPr>
        <w:pStyle w:val="enumlev1"/>
      </w:pPr>
      <w:r>
        <w:t>•</w:t>
      </w:r>
      <w:r>
        <w:tab/>
      </w:r>
      <w:r w:rsidR="00271DD6" w:rsidRPr="00271DD6">
        <w:t xml:space="preserve">Second, there is the retail market for final costing to the subscriber which will be at a level above the wholesale price for carrying the call. The dilemma is that the wholesale price internationally is usually higher than an inter-operator agreement domestically. </w:t>
      </w:r>
    </w:p>
    <w:p w14:paraId="3D6107E1" w14:textId="77777777" w:rsidR="00271DD6" w:rsidRDefault="00271DD6" w:rsidP="00271DD6">
      <w:r w:rsidRPr="00271DD6">
        <w:t>The EU regulatory group, the Body of European Regulators of Electronic Communications (BEREC), found that in the EU in 2012 (after five years of price caps) retail roaming prices were on average 118% higher than the estimated underlying costs (by what they termed their 'conservative estimations') and that the real costs assessed by BEREC for EU MNOs from its NRA members</w:t>
      </w:r>
      <w:r w:rsidRPr="00271DD6">
        <w:rPr>
          <w:vertAlign w:val="superscript"/>
        </w:rPr>
        <w:footnoteReference w:id="4"/>
      </w:r>
      <w:r w:rsidRPr="00271DD6">
        <w:t xml:space="preserve"> should be far lower than retail costs:</w:t>
      </w:r>
    </w:p>
    <w:p w14:paraId="4E7826B1" w14:textId="77777777" w:rsidR="005D7FBE" w:rsidRPr="00271DD6" w:rsidRDefault="005D7FBE" w:rsidP="00271DD6"/>
    <w:tbl>
      <w:tblPr>
        <w:tblW w:w="4897" w:type="pct"/>
        <w:jc w:val="center"/>
        <w:tblLayout w:type="fixed"/>
        <w:tblLook w:val="0000" w:firstRow="0" w:lastRow="0" w:firstColumn="0" w:lastColumn="0" w:noHBand="0" w:noVBand="0"/>
      </w:tblPr>
      <w:tblGrid>
        <w:gridCol w:w="2663"/>
        <w:gridCol w:w="3375"/>
        <w:gridCol w:w="3338"/>
      </w:tblGrid>
      <w:tr w:rsidR="00271DD6" w:rsidRPr="00271DD6" w14:paraId="3F34C26A" w14:textId="77777777">
        <w:trPr>
          <w:trHeight w:val="112"/>
          <w:jc w:val="center"/>
        </w:trPr>
        <w:tc>
          <w:tcPr>
            <w:tcW w:w="2663" w:type="dxa"/>
            <w:tcBorders>
              <w:top w:val="single" w:sz="4" w:space="0" w:color="000000"/>
              <w:left w:val="single" w:sz="4" w:space="0" w:color="000000"/>
              <w:bottom w:val="single" w:sz="4" w:space="0" w:color="000000"/>
            </w:tcBorders>
          </w:tcPr>
          <w:p w14:paraId="727139FA" w14:textId="77777777" w:rsidR="00271DD6" w:rsidRPr="00271DD6" w:rsidRDefault="00271DD6" w:rsidP="005B4062">
            <w:pPr>
              <w:pStyle w:val="Tablehead"/>
            </w:pPr>
          </w:p>
        </w:tc>
        <w:tc>
          <w:tcPr>
            <w:tcW w:w="3375" w:type="dxa"/>
            <w:tcBorders>
              <w:top w:val="single" w:sz="4" w:space="0" w:color="000000"/>
              <w:bottom w:val="single" w:sz="4" w:space="0" w:color="000000"/>
            </w:tcBorders>
          </w:tcPr>
          <w:p w14:paraId="7CCA1850" w14:textId="77777777" w:rsidR="00271DD6" w:rsidRPr="00271DD6" w:rsidRDefault="00271DD6" w:rsidP="005B4062">
            <w:pPr>
              <w:pStyle w:val="Tablehead"/>
            </w:pPr>
            <w:r w:rsidRPr="00271DD6">
              <w:t>Wholesale costs, EUR cents</w:t>
            </w:r>
          </w:p>
        </w:tc>
        <w:tc>
          <w:tcPr>
            <w:tcW w:w="3338" w:type="dxa"/>
            <w:tcBorders>
              <w:top w:val="single" w:sz="4" w:space="0" w:color="000000"/>
              <w:bottom w:val="single" w:sz="4" w:space="0" w:color="000000"/>
              <w:right w:val="single" w:sz="4" w:space="0" w:color="000000"/>
            </w:tcBorders>
          </w:tcPr>
          <w:p w14:paraId="7013B5DD" w14:textId="77777777" w:rsidR="00271DD6" w:rsidRPr="00271DD6" w:rsidRDefault="00271DD6" w:rsidP="005B4062">
            <w:pPr>
              <w:pStyle w:val="Tablehead"/>
            </w:pPr>
            <w:r w:rsidRPr="00271DD6">
              <w:t>Wholesale + retail costs</w:t>
            </w:r>
          </w:p>
        </w:tc>
      </w:tr>
      <w:tr w:rsidR="00271DD6" w:rsidRPr="00271DD6" w14:paraId="5E0FF3C8" w14:textId="77777777">
        <w:trPr>
          <w:trHeight w:val="112"/>
          <w:jc w:val="center"/>
        </w:trPr>
        <w:tc>
          <w:tcPr>
            <w:tcW w:w="2663" w:type="dxa"/>
            <w:tcBorders>
              <w:top w:val="single" w:sz="4" w:space="0" w:color="000000"/>
              <w:left w:val="single" w:sz="4" w:space="0" w:color="000000"/>
            </w:tcBorders>
          </w:tcPr>
          <w:p w14:paraId="66134255" w14:textId="77777777" w:rsidR="00271DD6" w:rsidRPr="005B4062" w:rsidRDefault="00271DD6" w:rsidP="005B4062">
            <w:pPr>
              <w:pStyle w:val="Tabletext"/>
              <w:rPr>
                <w:lang w:val="en-US"/>
              </w:rPr>
            </w:pPr>
            <w:r w:rsidRPr="005B4062">
              <w:rPr>
                <w:lang w:val="en-US"/>
              </w:rPr>
              <w:t>Calls made (outgoing)</w:t>
            </w:r>
          </w:p>
        </w:tc>
        <w:tc>
          <w:tcPr>
            <w:tcW w:w="3375" w:type="dxa"/>
            <w:tcBorders>
              <w:top w:val="single" w:sz="4" w:space="0" w:color="000000"/>
            </w:tcBorders>
          </w:tcPr>
          <w:p w14:paraId="0BE4B151" w14:textId="77777777" w:rsidR="00271DD6" w:rsidRPr="005B4062" w:rsidRDefault="00271DD6" w:rsidP="00F91B6B">
            <w:pPr>
              <w:pStyle w:val="Tabletext"/>
              <w:jc w:val="center"/>
              <w:rPr>
                <w:lang w:val="en-US"/>
              </w:rPr>
            </w:pPr>
            <w:r w:rsidRPr="005B4062">
              <w:rPr>
                <w:lang w:val="en-US"/>
              </w:rPr>
              <w:t>&lt; EUR 5 c/min</w:t>
            </w:r>
          </w:p>
        </w:tc>
        <w:tc>
          <w:tcPr>
            <w:tcW w:w="3338" w:type="dxa"/>
            <w:tcBorders>
              <w:top w:val="single" w:sz="4" w:space="0" w:color="000000"/>
              <w:right w:val="single" w:sz="4" w:space="0" w:color="000000"/>
            </w:tcBorders>
          </w:tcPr>
          <w:p w14:paraId="5F731C42" w14:textId="77777777" w:rsidR="00271DD6" w:rsidRPr="005B4062" w:rsidRDefault="00271DD6" w:rsidP="00F91B6B">
            <w:pPr>
              <w:pStyle w:val="Tabletext"/>
              <w:jc w:val="center"/>
              <w:rPr>
                <w:lang w:val="en-US"/>
              </w:rPr>
            </w:pPr>
            <w:r w:rsidRPr="005B4062">
              <w:rPr>
                <w:lang w:val="en-US"/>
              </w:rPr>
              <w:t>&lt; EUR 8 c/min</w:t>
            </w:r>
          </w:p>
        </w:tc>
      </w:tr>
      <w:tr w:rsidR="00271DD6" w:rsidRPr="00271DD6" w14:paraId="7E952D66" w14:textId="77777777">
        <w:trPr>
          <w:trHeight w:val="112"/>
          <w:jc w:val="center"/>
        </w:trPr>
        <w:tc>
          <w:tcPr>
            <w:tcW w:w="2663" w:type="dxa"/>
            <w:tcBorders>
              <w:left w:val="single" w:sz="4" w:space="0" w:color="000000"/>
            </w:tcBorders>
          </w:tcPr>
          <w:p w14:paraId="25081766" w14:textId="77777777" w:rsidR="00271DD6" w:rsidRPr="005B4062" w:rsidRDefault="00271DD6" w:rsidP="005B4062">
            <w:pPr>
              <w:pStyle w:val="Tabletext"/>
              <w:rPr>
                <w:lang w:val="en-US"/>
              </w:rPr>
            </w:pPr>
            <w:r w:rsidRPr="005B4062">
              <w:rPr>
                <w:lang w:val="en-US"/>
              </w:rPr>
              <w:t xml:space="preserve">SMS </w:t>
            </w:r>
          </w:p>
        </w:tc>
        <w:tc>
          <w:tcPr>
            <w:tcW w:w="3375" w:type="dxa"/>
          </w:tcPr>
          <w:p w14:paraId="4276726E" w14:textId="77777777" w:rsidR="00271DD6" w:rsidRPr="005B4062" w:rsidRDefault="00271DD6" w:rsidP="00F91B6B">
            <w:pPr>
              <w:pStyle w:val="Tabletext"/>
              <w:jc w:val="center"/>
              <w:rPr>
                <w:lang w:val="en-US"/>
              </w:rPr>
            </w:pPr>
            <w:r w:rsidRPr="005B4062">
              <w:rPr>
                <w:lang w:val="en-US"/>
              </w:rPr>
              <w:t>&lt; EUR 1 c</w:t>
            </w:r>
          </w:p>
        </w:tc>
        <w:tc>
          <w:tcPr>
            <w:tcW w:w="3338" w:type="dxa"/>
            <w:tcBorders>
              <w:right w:val="single" w:sz="4" w:space="0" w:color="000000"/>
            </w:tcBorders>
          </w:tcPr>
          <w:p w14:paraId="5510BFA6" w14:textId="77777777" w:rsidR="00271DD6" w:rsidRPr="005B4062" w:rsidRDefault="00271DD6" w:rsidP="00F91B6B">
            <w:pPr>
              <w:pStyle w:val="Tabletext"/>
              <w:jc w:val="center"/>
              <w:rPr>
                <w:lang w:val="en-US"/>
              </w:rPr>
            </w:pPr>
            <w:r w:rsidRPr="005B4062">
              <w:rPr>
                <w:lang w:val="en-US"/>
              </w:rPr>
              <w:t>&lt; EUR 1.6 c</w:t>
            </w:r>
          </w:p>
        </w:tc>
      </w:tr>
      <w:tr w:rsidR="00271DD6" w:rsidRPr="00271DD6" w14:paraId="3287F5DE" w14:textId="77777777">
        <w:trPr>
          <w:trHeight w:val="112"/>
          <w:jc w:val="center"/>
        </w:trPr>
        <w:tc>
          <w:tcPr>
            <w:tcW w:w="2663" w:type="dxa"/>
            <w:tcBorders>
              <w:left w:val="single" w:sz="4" w:space="0" w:color="000000"/>
              <w:bottom w:val="single" w:sz="4" w:space="0" w:color="000000"/>
            </w:tcBorders>
          </w:tcPr>
          <w:p w14:paraId="3BFBAA0D" w14:textId="77777777" w:rsidR="00271DD6" w:rsidRPr="005B4062" w:rsidRDefault="00271DD6" w:rsidP="005B4062">
            <w:pPr>
              <w:pStyle w:val="Tabletext"/>
              <w:rPr>
                <w:lang w:val="en-US"/>
              </w:rPr>
            </w:pPr>
            <w:r w:rsidRPr="005B4062">
              <w:rPr>
                <w:lang w:val="en-US"/>
              </w:rPr>
              <w:t xml:space="preserve">Data </w:t>
            </w:r>
          </w:p>
        </w:tc>
        <w:tc>
          <w:tcPr>
            <w:tcW w:w="3375" w:type="dxa"/>
            <w:tcBorders>
              <w:bottom w:val="single" w:sz="4" w:space="0" w:color="000000"/>
            </w:tcBorders>
          </w:tcPr>
          <w:p w14:paraId="40B78246" w14:textId="77777777" w:rsidR="00271DD6" w:rsidRPr="005B4062" w:rsidRDefault="00271DD6" w:rsidP="00F91B6B">
            <w:pPr>
              <w:pStyle w:val="Tabletext"/>
              <w:jc w:val="center"/>
              <w:rPr>
                <w:lang w:val="en-US"/>
              </w:rPr>
            </w:pPr>
            <w:r w:rsidRPr="005B4062">
              <w:rPr>
                <w:lang w:val="en-US"/>
              </w:rPr>
              <w:t>&lt; EUR 5 c/MB</w:t>
            </w:r>
          </w:p>
        </w:tc>
        <w:tc>
          <w:tcPr>
            <w:tcW w:w="3338" w:type="dxa"/>
            <w:tcBorders>
              <w:bottom w:val="single" w:sz="4" w:space="0" w:color="000000"/>
              <w:right w:val="single" w:sz="4" w:space="0" w:color="000000"/>
            </w:tcBorders>
          </w:tcPr>
          <w:p w14:paraId="5B0D9131" w14:textId="77777777" w:rsidR="00271DD6" w:rsidRPr="005B4062" w:rsidRDefault="00271DD6" w:rsidP="00F91B6B">
            <w:pPr>
              <w:pStyle w:val="Tabletext"/>
              <w:jc w:val="center"/>
              <w:rPr>
                <w:lang w:val="en-US"/>
              </w:rPr>
            </w:pPr>
            <w:r w:rsidRPr="005B4062">
              <w:rPr>
                <w:lang w:val="en-US"/>
              </w:rPr>
              <w:t>&lt; EUR 9 c/MB</w:t>
            </w:r>
          </w:p>
        </w:tc>
      </w:tr>
    </w:tbl>
    <w:p w14:paraId="24F02329" w14:textId="77777777" w:rsidR="00271DD6" w:rsidRPr="00271DD6" w:rsidRDefault="00271DD6" w:rsidP="00F91B6B">
      <w:r w:rsidRPr="00271DD6">
        <w:t>The Organization for Economic Co-Operation and Development (OECD) has also considered the question of roaming in its 2009 paper from the Working Party on Communication Infrastructures and Services Policy</w:t>
      </w:r>
      <w:r w:rsidRPr="00271DD6">
        <w:rPr>
          <w:vertAlign w:val="superscript"/>
        </w:rPr>
        <w:footnoteReference w:id="5"/>
      </w:r>
      <w:r w:rsidRPr="00271DD6">
        <w:t>, whose main points were the following:</w:t>
      </w:r>
    </w:p>
    <w:p w14:paraId="2B81A9BF" w14:textId="77777777" w:rsidR="00271DD6" w:rsidRPr="00271DD6" w:rsidRDefault="00F91B6B" w:rsidP="00F91B6B">
      <w:pPr>
        <w:pStyle w:val="enumlev1"/>
      </w:pPr>
      <w:r>
        <w:t>•</w:t>
      </w:r>
      <w:r>
        <w:tab/>
      </w:r>
      <w:r w:rsidR="00271DD6" w:rsidRPr="00271DD6">
        <w:t>While the wireless industry was considered competitive in domestic markets, there was a widespread perception among many stakeholders, including some within the industry itself, that international mobile roaming (IMR) prices are unreasonably and inefficiently high from comparative information on IMR retail and, where available, wholesale prices.</w:t>
      </w:r>
    </w:p>
    <w:p w14:paraId="2859D3AA" w14:textId="77777777" w:rsidR="00271DD6" w:rsidRPr="00271DD6" w:rsidRDefault="00F91B6B" w:rsidP="00F91B6B">
      <w:pPr>
        <w:pStyle w:val="enumlev1"/>
      </w:pPr>
      <w:r>
        <w:t>•</w:t>
      </w:r>
      <w:r>
        <w:tab/>
      </w:r>
      <w:r w:rsidR="00271DD6" w:rsidRPr="00271DD6">
        <w:t>In reviewing examples on pricing, it noted that in February 2009, a three-minute call made by a roamer back to their home country, while roaming across the OECD area, costs, on average, USD</w:t>
      </w:r>
      <w:r>
        <w:t> </w:t>
      </w:r>
      <w:r w:rsidR="00271DD6" w:rsidRPr="00271DD6">
        <w:t>7.79. Remarkably, the averages of prices for such a call ranged from USD 3.75 to USD 13.20.</w:t>
      </w:r>
    </w:p>
    <w:p w14:paraId="1919DAFB" w14:textId="77777777" w:rsidR="00271DD6" w:rsidRPr="00271DD6" w:rsidRDefault="00F91B6B" w:rsidP="00F91B6B">
      <w:pPr>
        <w:pStyle w:val="enumlev1"/>
      </w:pPr>
      <w:r>
        <w:lastRenderedPageBreak/>
        <w:t>•</w:t>
      </w:r>
      <w:r>
        <w:tab/>
      </w:r>
      <w:r w:rsidR="00271DD6" w:rsidRPr="00271DD6">
        <w:t>The difference between the cost of sending an SMS, while roaming, in the least expensive and most expensive countries, varied by a factor of five.</w:t>
      </w:r>
    </w:p>
    <w:p w14:paraId="0FF287D5" w14:textId="77777777" w:rsidR="00271DD6" w:rsidRPr="00271DD6" w:rsidRDefault="00F91B6B" w:rsidP="00F91B6B">
      <w:pPr>
        <w:pStyle w:val="enumlev1"/>
      </w:pPr>
      <w:r>
        <w:t>•</w:t>
      </w:r>
      <w:r>
        <w:tab/>
      </w:r>
      <w:r w:rsidR="00271DD6" w:rsidRPr="00271DD6">
        <w:t>Roaming pricing on bilateral routes (i.e. the cost of the same service for users visiting each other's country and calling home) can vary by a multiple of more than eight.</w:t>
      </w:r>
    </w:p>
    <w:p w14:paraId="6651B624" w14:textId="77777777" w:rsidR="00271DD6" w:rsidRPr="00271DD6" w:rsidRDefault="00F91B6B" w:rsidP="00F91B6B">
      <w:pPr>
        <w:pStyle w:val="enumlev1"/>
      </w:pPr>
      <w:r>
        <w:t>•</w:t>
      </w:r>
      <w:r>
        <w:tab/>
      </w:r>
      <w:r w:rsidR="00271DD6" w:rsidRPr="00271DD6">
        <w:t>It can be up to 20 times more expensive for an international roamer to make a call home than for a local mobile user, in that country, to make an international call to the roamer's home country.</w:t>
      </w:r>
    </w:p>
    <w:p w14:paraId="67C57305" w14:textId="77777777" w:rsidR="00271DD6" w:rsidRPr="00D500A6" w:rsidRDefault="00271DD6" w:rsidP="00F91B6B">
      <w:pPr>
        <w:pStyle w:val="Headingb0"/>
        <w:rPr>
          <w:lang w:val="en-US"/>
        </w:rPr>
      </w:pPr>
      <w:r w:rsidRPr="00D500A6">
        <w:rPr>
          <w:lang w:val="en-US"/>
        </w:rPr>
        <w:t>We present here a model of roaming costs to address this issue</w:t>
      </w:r>
    </w:p>
    <w:p w14:paraId="1CDA6EE5" w14:textId="77777777" w:rsidR="00271DD6" w:rsidRDefault="00271DD6" w:rsidP="006867AC">
      <w:pPr>
        <w:spacing w:after="120"/>
      </w:pPr>
      <w:r w:rsidRPr="00271DD6">
        <w:t xml:space="preserve">To address this issue, we present a model of roaming costs aimed at the assessment of the itemized costs added by roaming. It is based on a breakdown of the roaming activities as business processes, including the assets involved in each case. This represents a bottom-up modelling approach. A technique with the power to distinguish costs across all types and sizes of MNOs is then used, which is based on the subscribers' requirements – </w:t>
      </w:r>
      <w:r w:rsidRPr="00271DD6">
        <w:rPr>
          <w:i/>
          <w:iCs/>
        </w:rPr>
        <w:t>use cases.</w:t>
      </w:r>
      <w:r w:rsidRPr="00271DD6">
        <w:t xml:space="preserve"> </w:t>
      </w:r>
    </w:p>
    <w:tbl>
      <w:tblPr>
        <w:tblStyle w:val="TableGrid"/>
        <w:tblW w:w="4885" w:type="pct"/>
        <w:tblInd w:w="108" w:type="dxa"/>
        <w:tblLook w:val="04A0" w:firstRow="1" w:lastRow="0" w:firstColumn="1" w:lastColumn="0" w:noHBand="0" w:noVBand="1"/>
      </w:tblPr>
      <w:tblGrid>
        <w:gridCol w:w="9353"/>
      </w:tblGrid>
      <w:tr w:rsidR="00F91B6B" w14:paraId="74411001" w14:textId="77777777">
        <w:tc>
          <w:tcPr>
            <w:tcW w:w="9356" w:type="dxa"/>
          </w:tcPr>
          <w:p w14:paraId="02DD0623" w14:textId="77777777" w:rsidR="00F91B6B" w:rsidRPr="00F91B6B" w:rsidRDefault="00F91B6B" w:rsidP="006867AC">
            <w:pPr>
              <w:spacing w:before="120" w:after="120"/>
              <w:rPr>
                <w:sz w:val="22"/>
                <w:szCs w:val="22"/>
              </w:rPr>
            </w:pPr>
            <w:r w:rsidRPr="00F91B6B">
              <w:rPr>
                <w:b/>
                <w:bCs/>
                <w:sz w:val="22"/>
                <w:szCs w:val="22"/>
              </w:rPr>
              <w:t>Use cases</w:t>
            </w:r>
            <w:r w:rsidRPr="00F91B6B">
              <w:rPr>
                <w:sz w:val="22"/>
                <w:szCs w:val="22"/>
              </w:rPr>
              <w:t xml:space="preserve">: To understand what the cost elements are that roaming may involve inside MNO, </w:t>
            </w:r>
            <w:r w:rsidRPr="00F91B6B">
              <w:rPr>
                <w:i/>
                <w:iCs/>
                <w:sz w:val="22"/>
                <w:szCs w:val="22"/>
              </w:rPr>
              <w:t>use case analysis</w:t>
            </w:r>
            <w:r w:rsidRPr="00F91B6B">
              <w:rPr>
                <w:sz w:val="22"/>
                <w:szCs w:val="22"/>
              </w:rPr>
              <w:t xml:space="preserve"> can be employed. By employing a breakdown of the scenarios of usage of roaming by the subscriber, it is possible to identify the network and business components within the MNO that engender the costs. The use case approach is thus based on examining user behaviour and the interaction with the MNO's network and business systems, to establish what cost elements are involved. Consequently, it works for any size or type of MNO.</w:t>
            </w:r>
          </w:p>
        </w:tc>
      </w:tr>
    </w:tbl>
    <w:p w14:paraId="7F0FE568" w14:textId="77777777" w:rsidR="00271DD6" w:rsidRPr="00271DD6" w:rsidRDefault="00271DD6" w:rsidP="00271DD6">
      <w:r w:rsidRPr="00271DD6">
        <w:t>The key business processes involved are firstly those to do with operating the network elements involved, from both the visited and home MNOs, secondly, for the business support services involved, such as the cost of billing, which includes IOT accounts, and finally the back office processes involved, including reaching the multiple inter-operator agreements.</w:t>
      </w:r>
    </w:p>
    <w:p w14:paraId="1FE0BF0B" w14:textId="77777777" w:rsidR="00271DD6" w:rsidRPr="00271DD6" w:rsidRDefault="00271DD6" w:rsidP="00271DD6">
      <w:r w:rsidRPr="00271DD6">
        <w:t xml:space="preserve">It is important to note that such a model is only as good as the data that feeds into it. Moreover, the data to answer the questions above are not often publicly available, being considered commercially confidential by operators. National regulatory authorities (NRAs) must therefore collect the relevant data. We thus include a procedure for this in chapter 5 which aims at the core problem of roaming – its lack of transparency. Thus a data gathering exercise, perhaps under non-disclosure agreement (NDA) is necessary. If NRAs are to gather such information, while they may not disclose it without permission, they may use it internally perhaps. This cost model is designed for such an approach, to assess the justification for retail roaming charges. </w:t>
      </w:r>
    </w:p>
    <w:p w14:paraId="0C0DD101" w14:textId="77777777" w:rsidR="00271DD6" w:rsidRPr="00271DD6" w:rsidRDefault="00271DD6" w:rsidP="00271DD6">
      <w:r w:rsidRPr="00271DD6">
        <w:t>Looking more closely at the four questions above, our findings in summary are as follows:</w:t>
      </w:r>
    </w:p>
    <w:p w14:paraId="0917DC32" w14:textId="77777777" w:rsidR="00271DD6" w:rsidRPr="00271DD6" w:rsidRDefault="00271DD6" w:rsidP="00F91B6B">
      <w:pPr>
        <w:pStyle w:val="Headingb0"/>
        <w:rPr>
          <w:bCs/>
          <w:lang w:val="en-GB"/>
        </w:rPr>
      </w:pPr>
      <w:r w:rsidRPr="00271DD6">
        <w:rPr>
          <w:bCs/>
          <w:lang w:val="en-GB"/>
        </w:rPr>
        <w:t xml:space="preserve">Question 1: Handling </w:t>
      </w:r>
      <w:r w:rsidRPr="00D500A6">
        <w:rPr>
          <w:lang w:val="en-US"/>
        </w:rPr>
        <w:t>and</w:t>
      </w:r>
      <w:r w:rsidRPr="00271DD6">
        <w:rPr>
          <w:bCs/>
          <w:lang w:val="en-GB"/>
        </w:rPr>
        <w:t xml:space="preserve"> billing of an international call </w:t>
      </w:r>
    </w:p>
    <w:p w14:paraId="736732EB" w14:textId="6D1EC7CD" w:rsidR="00271DD6" w:rsidRPr="00271DD6" w:rsidRDefault="00271DD6" w:rsidP="006025B4">
      <w:r w:rsidRPr="00271DD6">
        <w:t>For Question 1 – The handling and billing of an international call may be more expensive using current second generation (2G) and third generation (3G) technology; nevertheless, this is a relative cost compared to the domestic tariff. Our own and previous analysis in 2007 for the European Parliament</w:t>
      </w:r>
      <w:r w:rsidRPr="00271DD6">
        <w:rPr>
          <w:vertAlign w:val="superscript"/>
        </w:rPr>
        <w:footnoteReference w:id="6"/>
      </w:r>
      <w:r w:rsidRPr="00271DD6">
        <w:t xml:space="preserve"> put this at an additional maximum cost of between 10% and 30% extra over a domestic call, for the base technical costs of additional network elements and business processes involved, trending towards the </w:t>
      </w:r>
      <w:r w:rsidR="006025B4">
        <w:br/>
      </w:r>
      <w:r w:rsidRPr="00271DD6">
        <w:t xml:space="preserve">10% figure. However, these are maximum estimates. As roaming volume increases with reduced roaming retail tariffs, the processes become less costly and the marginal prices of further calls sink towards the </w:t>
      </w:r>
      <w:r w:rsidRPr="00271DD6">
        <w:lastRenderedPageBreak/>
        <w:t>domestic price floor level. This effect is due to the additional roaming cost elements being amortized over more calls or data sessions so that incremental costs sink with volume, while the additional elements become a lower portion of the cost price.</w:t>
      </w:r>
    </w:p>
    <w:p w14:paraId="59194985" w14:textId="77777777" w:rsidR="00271DD6" w:rsidRPr="00271DD6" w:rsidRDefault="00271DD6" w:rsidP="0028494C">
      <w:r w:rsidRPr="00271DD6">
        <w:t>In the absence of cost-based tariffs, roaming prices have varied greatly, e.g. in the EU, from EUR</w:t>
      </w:r>
      <w:r w:rsidR="0028494C">
        <w:t> </w:t>
      </w:r>
      <w:r w:rsidRPr="00271DD6">
        <w:t xml:space="preserve">1/minute for a voice call (Ireland to the UK in 2007) to EUR 7/minute (Italy to the Czech Republic in 2007) before EU regulation took hold. </w:t>
      </w:r>
    </w:p>
    <w:p w14:paraId="3A265FBD" w14:textId="77777777" w:rsidR="00271DD6" w:rsidRPr="00271DD6" w:rsidRDefault="00271DD6" w:rsidP="00271DD6">
      <w:r w:rsidRPr="00271DD6">
        <w:t>The overall conclusion is that pricing regulation in the EU will progressively converge roaming prices with domestic prices - and thus more likely to align with real costs in a competitive market. The EU's glide path for reduction is shown below</w:t>
      </w:r>
      <w:r w:rsidRPr="00271DD6">
        <w:rPr>
          <w:vertAlign w:val="superscript"/>
        </w:rPr>
        <w:footnoteReference w:id="7"/>
      </w:r>
      <w:r w:rsidRPr="00271DD6">
        <w:t>:</w:t>
      </w:r>
    </w:p>
    <w:p w14:paraId="6D33A921" w14:textId="77777777" w:rsidR="00271DD6" w:rsidRPr="00271DD6" w:rsidRDefault="00271DD6" w:rsidP="009657AB">
      <w:pPr>
        <w:pStyle w:val="Tabletitle"/>
      </w:pPr>
      <w:r w:rsidRPr="00271DD6">
        <w:t>Table 1 – Impact of regulatory price caps in the EU</w:t>
      </w:r>
    </w:p>
    <w:tbl>
      <w:tblPr>
        <w:tblW w:w="0" w:type="auto"/>
        <w:jc w:val="center"/>
        <w:tblLayout w:type="fixed"/>
        <w:tblLook w:val="0000" w:firstRow="0" w:lastRow="0" w:firstColumn="0" w:lastColumn="0" w:noHBand="0" w:noVBand="0"/>
      </w:tblPr>
      <w:tblGrid>
        <w:gridCol w:w="2381"/>
        <w:gridCol w:w="1025"/>
        <w:gridCol w:w="1703"/>
        <w:gridCol w:w="1383"/>
        <w:gridCol w:w="2034"/>
      </w:tblGrid>
      <w:tr w:rsidR="00271DD6" w:rsidRPr="00271DD6" w14:paraId="652BA296" w14:textId="77777777">
        <w:trPr>
          <w:jc w:val="center"/>
        </w:trPr>
        <w:tc>
          <w:tcPr>
            <w:tcW w:w="2381" w:type="dxa"/>
            <w:tcBorders>
              <w:top w:val="single" w:sz="4" w:space="0" w:color="000000"/>
              <w:left w:val="single" w:sz="4" w:space="0" w:color="000000"/>
              <w:bottom w:val="single" w:sz="4" w:space="0" w:color="000000"/>
            </w:tcBorders>
          </w:tcPr>
          <w:p w14:paraId="71EC3E29" w14:textId="77777777" w:rsidR="00271DD6" w:rsidRPr="009657AB" w:rsidRDefault="00271DD6" w:rsidP="009657AB">
            <w:pPr>
              <w:pStyle w:val="Tablehead"/>
            </w:pPr>
            <w:r w:rsidRPr="009657AB">
              <w:t xml:space="preserve">EC retail caps in </w:t>
            </w:r>
          </w:p>
          <w:p w14:paraId="0F19AFBF" w14:textId="77777777" w:rsidR="00271DD6" w:rsidRPr="009657AB" w:rsidRDefault="00271DD6" w:rsidP="009657AB">
            <w:pPr>
              <w:pStyle w:val="Tablehead"/>
            </w:pPr>
            <w:r w:rsidRPr="009657AB">
              <w:t xml:space="preserve">Euro cents </w:t>
            </w:r>
          </w:p>
        </w:tc>
        <w:tc>
          <w:tcPr>
            <w:tcW w:w="1025" w:type="dxa"/>
            <w:tcBorders>
              <w:top w:val="single" w:sz="4" w:space="0" w:color="000000"/>
              <w:left w:val="single" w:sz="4" w:space="0" w:color="000000"/>
              <w:bottom w:val="single" w:sz="4" w:space="0" w:color="000000"/>
            </w:tcBorders>
          </w:tcPr>
          <w:p w14:paraId="6777E7CF" w14:textId="77777777" w:rsidR="00271DD6" w:rsidRPr="009657AB" w:rsidRDefault="00271DD6" w:rsidP="009657AB">
            <w:pPr>
              <w:pStyle w:val="Tablehead"/>
            </w:pPr>
            <w:r w:rsidRPr="009657AB">
              <w:t xml:space="preserve">1 July 2012 </w:t>
            </w:r>
          </w:p>
        </w:tc>
        <w:tc>
          <w:tcPr>
            <w:tcW w:w="1703" w:type="dxa"/>
            <w:tcBorders>
              <w:top w:val="single" w:sz="4" w:space="0" w:color="000000"/>
              <w:left w:val="single" w:sz="4" w:space="0" w:color="000000"/>
              <w:bottom w:val="single" w:sz="4" w:space="0" w:color="000000"/>
            </w:tcBorders>
          </w:tcPr>
          <w:p w14:paraId="7E04DD97" w14:textId="77777777" w:rsidR="00271DD6" w:rsidRPr="009657AB" w:rsidRDefault="00271DD6" w:rsidP="009657AB">
            <w:pPr>
              <w:pStyle w:val="Tablehead"/>
            </w:pPr>
            <w:r w:rsidRPr="009657AB">
              <w:t>1 July 2013 EUR cents</w:t>
            </w:r>
          </w:p>
        </w:tc>
        <w:tc>
          <w:tcPr>
            <w:tcW w:w="1383" w:type="dxa"/>
            <w:tcBorders>
              <w:top w:val="single" w:sz="4" w:space="0" w:color="000000"/>
              <w:left w:val="single" w:sz="4" w:space="0" w:color="000000"/>
              <w:bottom w:val="single" w:sz="4" w:space="0" w:color="000000"/>
            </w:tcBorders>
          </w:tcPr>
          <w:p w14:paraId="1BB5F18E" w14:textId="77777777" w:rsidR="00271DD6" w:rsidRPr="009657AB" w:rsidRDefault="00271DD6" w:rsidP="009657AB">
            <w:pPr>
              <w:pStyle w:val="Tablehead"/>
            </w:pPr>
            <w:r w:rsidRPr="009657AB">
              <w:t>1 July 2014 EUR cents</w:t>
            </w:r>
          </w:p>
        </w:tc>
        <w:tc>
          <w:tcPr>
            <w:tcW w:w="2034" w:type="dxa"/>
            <w:tcBorders>
              <w:top w:val="single" w:sz="4" w:space="0" w:color="000000"/>
              <w:left w:val="single" w:sz="4" w:space="0" w:color="000000"/>
              <w:bottom w:val="single" w:sz="4" w:space="0" w:color="000000"/>
              <w:right w:val="single" w:sz="4" w:space="0" w:color="000000"/>
            </w:tcBorders>
          </w:tcPr>
          <w:p w14:paraId="2E008644" w14:textId="77777777" w:rsidR="00271DD6" w:rsidRPr="009657AB" w:rsidRDefault="00271DD6" w:rsidP="009657AB">
            <w:pPr>
              <w:pStyle w:val="Tablehead"/>
            </w:pPr>
            <w:r w:rsidRPr="009657AB">
              <w:t>1 July 2016 EUR cents</w:t>
            </w:r>
          </w:p>
        </w:tc>
      </w:tr>
      <w:tr w:rsidR="00271DD6" w:rsidRPr="00271DD6" w14:paraId="58801090" w14:textId="77777777">
        <w:trPr>
          <w:jc w:val="center"/>
        </w:trPr>
        <w:tc>
          <w:tcPr>
            <w:tcW w:w="2381" w:type="dxa"/>
            <w:tcBorders>
              <w:top w:val="single" w:sz="4" w:space="0" w:color="000000"/>
              <w:left w:val="single" w:sz="4" w:space="0" w:color="000000"/>
              <w:bottom w:val="single" w:sz="4" w:space="0" w:color="000000"/>
            </w:tcBorders>
          </w:tcPr>
          <w:p w14:paraId="5609440F" w14:textId="77777777" w:rsidR="00271DD6" w:rsidRPr="009657AB" w:rsidRDefault="00271DD6" w:rsidP="009657AB">
            <w:pPr>
              <w:pStyle w:val="Tabletext"/>
              <w:jc w:val="center"/>
              <w:rPr>
                <w:lang w:val="en-US"/>
              </w:rPr>
            </w:pPr>
            <w:r w:rsidRPr="009657AB">
              <w:rPr>
                <w:lang w:val="en-US"/>
              </w:rPr>
              <w:t>Voice call made/minute</w:t>
            </w:r>
          </w:p>
        </w:tc>
        <w:tc>
          <w:tcPr>
            <w:tcW w:w="1025" w:type="dxa"/>
            <w:tcBorders>
              <w:top w:val="single" w:sz="4" w:space="0" w:color="000000"/>
              <w:left w:val="single" w:sz="4" w:space="0" w:color="000000"/>
              <w:bottom w:val="single" w:sz="4" w:space="0" w:color="000000"/>
            </w:tcBorders>
          </w:tcPr>
          <w:p w14:paraId="3C84DF0C" w14:textId="77777777" w:rsidR="00271DD6" w:rsidRPr="009657AB" w:rsidRDefault="00271DD6" w:rsidP="009657AB">
            <w:pPr>
              <w:pStyle w:val="Tabletext"/>
              <w:jc w:val="center"/>
              <w:rPr>
                <w:lang w:val="en-US"/>
              </w:rPr>
            </w:pPr>
            <w:r w:rsidRPr="009657AB">
              <w:rPr>
                <w:lang w:val="en-US"/>
              </w:rPr>
              <w:t>32</w:t>
            </w:r>
          </w:p>
        </w:tc>
        <w:tc>
          <w:tcPr>
            <w:tcW w:w="1703" w:type="dxa"/>
            <w:tcBorders>
              <w:top w:val="single" w:sz="4" w:space="0" w:color="000000"/>
              <w:left w:val="single" w:sz="4" w:space="0" w:color="000000"/>
              <w:bottom w:val="single" w:sz="4" w:space="0" w:color="000000"/>
            </w:tcBorders>
          </w:tcPr>
          <w:p w14:paraId="506DA2E7" w14:textId="77777777" w:rsidR="00271DD6" w:rsidRPr="009657AB" w:rsidRDefault="00271DD6" w:rsidP="009657AB">
            <w:pPr>
              <w:pStyle w:val="Tabletext"/>
              <w:jc w:val="center"/>
              <w:rPr>
                <w:lang w:val="en-US"/>
              </w:rPr>
            </w:pPr>
            <w:r w:rsidRPr="009657AB">
              <w:rPr>
                <w:lang w:val="en-US"/>
              </w:rPr>
              <w:t>28</w:t>
            </w:r>
          </w:p>
        </w:tc>
        <w:tc>
          <w:tcPr>
            <w:tcW w:w="1383" w:type="dxa"/>
            <w:tcBorders>
              <w:top w:val="single" w:sz="4" w:space="0" w:color="000000"/>
              <w:left w:val="single" w:sz="4" w:space="0" w:color="000000"/>
              <w:bottom w:val="single" w:sz="4" w:space="0" w:color="000000"/>
            </w:tcBorders>
          </w:tcPr>
          <w:p w14:paraId="190F6611" w14:textId="77777777" w:rsidR="00271DD6" w:rsidRPr="009657AB" w:rsidRDefault="00271DD6" w:rsidP="009657AB">
            <w:pPr>
              <w:pStyle w:val="Tabletext"/>
              <w:jc w:val="center"/>
              <w:rPr>
                <w:lang w:val="en-US"/>
              </w:rPr>
            </w:pPr>
            <w:r w:rsidRPr="009657AB">
              <w:rPr>
                <w:lang w:val="en-US"/>
              </w:rPr>
              <w:t>24</w:t>
            </w:r>
          </w:p>
        </w:tc>
        <w:tc>
          <w:tcPr>
            <w:tcW w:w="2034" w:type="dxa"/>
            <w:tcBorders>
              <w:top w:val="single" w:sz="4" w:space="0" w:color="000000"/>
              <w:left w:val="single" w:sz="4" w:space="0" w:color="000000"/>
              <w:bottom w:val="single" w:sz="4" w:space="0" w:color="000000"/>
              <w:right w:val="single" w:sz="4" w:space="0" w:color="000000"/>
            </w:tcBorders>
          </w:tcPr>
          <w:p w14:paraId="7ECB4E19" w14:textId="77777777" w:rsidR="00271DD6" w:rsidRPr="009657AB" w:rsidRDefault="00271DD6" w:rsidP="009657AB">
            <w:pPr>
              <w:pStyle w:val="Tabletext"/>
              <w:jc w:val="center"/>
              <w:rPr>
                <w:lang w:val="en-US"/>
              </w:rPr>
            </w:pPr>
            <w:r w:rsidRPr="009657AB">
              <w:rPr>
                <w:lang w:val="en-US"/>
              </w:rPr>
              <w:t>Domestic rate, target</w:t>
            </w:r>
          </w:p>
        </w:tc>
      </w:tr>
      <w:tr w:rsidR="00271DD6" w:rsidRPr="00271DD6" w14:paraId="527222B8" w14:textId="77777777">
        <w:trPr>
          <w:jc w:val="center"/>
        </w:trPr>
        <w:tc>
          <w:tcPr>
            <w:tcW w:w="2381" w:type="dxa"/>
            <w:tcBorders>
              <w:top w:val="single" w:sz="4" w:space="0" w:color="000000"/>
              <w:left w:val="single" w:sz="4" w:space="0" w:color="000000"/>
              <w:bottom w:val="single" w:sz="4" w:space="0" w:color="000000"/>
            </w:tcBorders>
          </w:tcPr>
          <w:p w14:paraId="44084B57" w14:textId="77777777" w:rsidR="00271DD6" w:rsidRPr="009657AB" w:rsidRDefault="00271DD6" w:rsidP="009657AB">
            <w:pPr>
              <w:pStyle w:val="Tabletext"/>
              <w:jc w:val="center"/>
              <w:rPr>
                <w:lang w:val="en-US"/>
              </w:rPr>
            </w:pPr>
            <w:r w:rsidRPr="009657AB">
              <w:rPr>
                <w:lang w:val="en-US"/>
              </w:rPr>
              <w:t>Voice call received/minute</w:t>
            </w:r>
          </w:p>
        </w:tc>
        <w:tc>
          <w:tcPr>
            <w:tcW w:w="1025" w:type="dxa"/>
            <w:tcBorders>
              <w:top w:val="single" w:sz="4" w:space="0" w:color="000000"/>
              <w:left w:val="single" w:sz="4" w:space="0" w:color="000000"/>
              <w:bottom w:val="single" w:sz="4" w:space="0" w:color="000000"/>
            </w:tcBorders>
          </w:tcPr>
          <w:p w14:paraId="0D3F1915" w14:textId="77777777" w:rsidR="00271DD6" w:rsidRPr="009657AB" w:rsidRDefault="00271DD6" w:rsidP="009657AB">
            <w:pPr>
              <w:pStyle w:val="Tabletext"/>
              <w:jc w:val="center"/>
              <w:rPr>
                <w:lang w:val="en-US"/>
              </w:rPr>
            </w:pPr>
            <w:r w:rsidRPr="009657AB">
              <w:rPr>
                <w:lang w:val="en-US"/>
              </w:rPr>
              <w:t>11</w:t>
            </w:r>
          </w:p>
        </w:tc>
        <w:tc>
          <w:tcPr>
            <w:tcW w:w="1703" w:type="dxa"/>
            <w:tcBorders>
              <w:top w:val="single" w:sz="4" w:space="0" w:color="000000"/>
              <w:left w:val="single" w:sz="4" w:space="0" w:color="000000"/>
              <w:bottom w:val="single" w:sz="4" w:space="0" w:color="000000"/>
            </w:tcBorders>
          </w:tcPr>
          <w:p w14:paraId="48B1F140" w14:textId="77777777" w:rsidR="00271DD6" w:rsidRPr="009657AB" w:rsidRDefault="00271DD6" w:rsidP="009657AB">
            <w:pPr>
              <w:pStyle w:val="Tabletext"/>
              <w:jc w:val="center"/>
              <w:rPr>
                <w:lang w:val="en-US"/>
              </w:rPr>
            </w:pPr>
            <w:r w:rsidRPr="009657AB">
              <w:rPr>
                <w:lang w:val="en-US"/>
              </w:rPr>
              <w:t>11</w:t>
            </w:r>
          </w:p>
        </w:tc>
        <w:tc>
          <w:tcPr>
            <w:tcW w:w="1383" w:type="dxa"/>
            <w:tcBorders>
              <w:top w:val="single" w:sz="4" w:space="0" w:color="000000"/>
              <w:left w:val="single" w:sz="4" w:space="0" w:color="000000"/>
              <w:bottom w:val="single" w:sz="4" w:space="0" w:color="000000"/>
            </w:tcBorders>
          </w:tcPr>
          <w:p w14:paraId="6D810E0C" w14:textId="77777777" w:rsidR="00271DD6" w:rsidRPr="009657AB" w:rsidRDefault="00271DD6" w:rsidP="009657AB">
            <w:pPr>
              <w:pStyle w:val="Tabletext"/>
              <w:jc w:val="center"/>
              <w:rPr>
                <w:lang w:val="en-US"/>
              </w:rPr>
            </w:pPr>
            <w:r w:rsidRPr="009657AB">
              <w:rPr>
                <w:lang w:val="en-US"/>
              </w:rPr>
              <w:t>10</w:t>
            </w:r>
          </w:p>
        </w:tc>
        <w:tc>
          <w:tcPr>
            <w:tcW w:w="2034" w:type="dxa"/>
            <w:tcBorders>
              <w:top w:val="single" w:sz="4" w:space="0" w:color="000000"/>
              <w:left w:val="single" w:sz="4" w:space="0" w:color="000000"/>
              <w:bottom w:val="single" w:sz="4" w:space="0" w:color="000000"/>
              <w:right w:val="single" w:sz="4" w:space="0" w:color="000000"/>
            </w:tcBorders>
          </w:tcPr>
          <w:p w14:paraId="0B04CE7C" w14:textId="77777777" w:rsidR="00271DD6" w:rsidRPr="009657AB" w:rsidRDefault="00271DD6" w:rsidP="009657AB">
            <w:pPr>
              <w:pStyle w:val="Tabletext"/>
              <w:jc w:val="center"/>
              <w:rPr>
                <w:lang w:val="en-US"/>
              </w:rPr>
            </w:pPr>
            <w:r w:rsidRPr="009657AB">
              <w:rPr>
                <w:lang w:val="en-US"/>
              </w:rPr>
              <w:t>0 (Domestic rate target)</w:t>
            </w:r>
          </w:p>
        </w:tc>
      </w:tr>
      <w:tr w:rsidR="00271DD6" w:rsidRPr="00271DD6" w14:paraId="05393C43" w14:textId="77777777">
        <w:trPr>
          <w:jc w:val="center"/>
        </w:trPr>
        <w:tc>
          <w:tcPr>
            <w:tcW w:w="2381" w:type="dxa"/>
            <w:tcBorders>
              <w:top w:val="single" w:sz="4" w:space="0" w:color="000000"/>
              <w:left w:val="single" w:sz="4" w:space="0" w:color="000000"/>
              <w:bottom w:val="single" w:sz="4" w:space="0" w:color="000000"/>
            </w:tcBorders>
          </w:tcPr>
          <w:p w14:paraId="7FAAC51B" w14:textId="77777777" w:rsidR="00271DD6" w:rsidRPr="009657AB" w:rsidRDefault="00271DD6" w:rsidP="009657AB">
            <w:pPr>
              <w:pStyle w:val="Tabletext"/>
              <w:jc w:val="center"/>
              <w:rPr>
                <w:lang w:val="en-US"/>
              </w:rPr>
            </w:pPr>
            <w:r w:rsidRPr="009657AB">
              <w:rPr>
                <w:lang w:val="en-US"/>
              </w:rPr>
              <w:t>Data (per MegaByte)</w:t>
            </w:r>
          </w:p>
        </w:tc>
        <w:tc>
          <w:tcPr>
            <w:tcW w:w="1025" w:type="dxa"/>
            <w:tcBorders>
              <w:top w:val="single" w:sz="4" w:space="0" w:color="000000"/>
              <w:left w:val="single" w:sz="4" w:space="0" w:color="000000"/>
              <w:bottom w:val="single" w:sz="4" w:space="0" w:color="000000"/>
            </w:tcBorders>
          </w:tcPr>
          <w:p w14:paraId="55589BF6" w14:textId="77777777" w:rsidR="00271DD6" w:rsidRPr="009657AB" w:rsidRDefault="00271DD6" w:rsidP="009657AB">
            <w:pPr>
              <w:pStyle w:val="Tabletext"/>
              <w:jc w:val="center"/>
              <w:rPr>
                <w:lang w:val="en-US"/>
              </w:rPr>
            </w:pPr>
            <w:r w:rsidRPr="009657AB">
              <w:rPr>
                <w:lang w:val="en-US"/>
              </w:rPr>
              <w:t>90</w:t>
            </w:r>
          </w:p>
        </w:tc>
        <w:tc>
          <w:tcPr>
            <w:tcW w:w="1703" w:type="dxa"/>
            <w:tcBorders>
              <w:top w:val="single" w:sz="4" w:space="0" w:color="000000"/>
              <w:left w:val="single" w:sz="4" w:space="0" w:color="000000"/>
              <w:bottom w:val="single" w:sz="4" w:space="0" w:color="000000"/>
            </w:tcBorders>
          </w:tcPr>
          <w:p w14:paraId="43640FA6" w14:textId="77777777" w:rsidR="00271DD6" w:rsidRPr="009657AB" w:rsidRDefault="00271DD6" w:rsidP="009657AB">
            <w:pPr>
              <w:pStyle w:val="Tabletext"/>
              <w:jc w:val="center"/>
              <w:rPr>
                <w:lang w:val="en-US"/>
              </w:rPr>
            </w:pPr>
            <w:r w:rsidRPr="009657AB">
              <w:rPr>
                <w:lang w:val="en-US"/>
              </w:rPr>
              <w:t>70</w:t>
            </w:r>
          </w:p>
        </w:tc>
        <w:tc>
          <w:tcPr>
            <w:tcW w:w="1383" w:type="dxa"/>
            <w:tcBorders>
              <w:top w:val="single" w:sz="4" w:space="0" w:color="000000"/>
              <w:left w:val="single" w:sz="4" w:space="0" w:color="000000"/>
              <w:bottom w:val="single" w:sz="4" w:space="0" w:color="000000"/>
            </w:tcBorders>
          </w:tcPr>
          <w:p w14:paraId="70B920A1" w14:textId="77777777" w:rsidR="00271DD6" w:rsidRPr="009657AB" w:rsidRDefault="00271DD6" w:rsidP="009657AB">
            <w:pPr>
              <w:pStyle w:val="Tabletext"/>
              <w:jc w:val="center"/>
              <w:rPr>
                <w:lang w:val="en-US"/>
              </w:rPr>
            </w:pPr>
            <w:r w:rsidRPr="009657AB">
              <w:rPr>
                <w:lang w:val="en-US"/>
              </w:rPr>
              <w:t>50</w:t>
            </w:r>
          </w:p>
        </w:tc>
        <w:tc>
          <w:tcPr>
            <w:tcW w:w="2034" w:type="dxa"/>
            <w:tcBorders>
              <w:top w:val="single" w:sz="4" w:space="0" w:color="000000"/>
              <w:left w:val="single" w:sz="4" w:space="0" w:color="000000"/>
              <w:bottom w:val="single" w:sz="4" w:space="0" w:color="000000"/>
              <w:right w:val="single" w:sz="4" w:space="0" w:color="000000"/>
            </w:tcBorders>
          </w:tcPr>
          <w:p w14:paraId="0925ABB7" w14:textId="77777777" w:rsidR="00271DD6" w:rsidRPr="009657AB" w:rsidRDefault="00271DD6" w:rsidP="009657AB">
            <w:pPr>
              <w:pStyle w:val="Tabletext"/>
              <w:jc w:val="center"/>
              <w:rPr>
                <w:lang w:val="en-US"/>
              </w:rPr>
            </w:pPr>
            <w:r w:rsidRPr="009657AB">
              <w:rPr>
                <w:lang w:val="en-US"/>
              </w:rPr>
              <w:t>Domestic rate, target</w:t>
            </w:r>
          </w:p>
        </w:tc>
      </w:tr>
    </w:tbl>
    <w:p w14:paraId="7FC99354" w14:textId="77777777" w:rsidR="00271DD6" w:rsidRPr="00271DD6" w:rsidRDefault="00271DD6" w:rsidP="00271DD6">
      <w:r w:rsidRPr="00271DD6">
        <w:t xml:space="preserve">Such convergence of roaming and domestic retail tariffs has only been achieved in the EU by constant regulatory pressure on MNOs over the last decade. The glide path caps are still to be maintained over the years to 2016 and beyond. </w:t>
      </w:r>
    </w:p>
    <w:p w14:paraId="7325F82C" w14:textId="77777777" w:rsidR="00271DD6" w:rsidRPr="00271DD6" w:rsidRDefault="00271DD6" w:rsidP="00271DD6">
      <w:r w:rsidRPr="00271DD6">
        <w:t>Note that the emphasis in the EU for roaming pricing is now on data, not just voice, so that price caps for data are now being considered just as important, if not more so as voice over Internet protocol (VoIP) and voice over long term evolution (VoLTE) spread. Here, the underlying aim is to stimulate the business use of broadband mobile and consumer internet access. Both are a part of EU industrial policy for the next decade, with pressures towards a single EU market. Thus the emphasis of regulation in Europe (see Annex 3) is to target a future roaming platform at domestic rates within the EU single market by 2015, if possible. This initiative by the European Commission (EC) has set corresponding caps on wholesale (see Annex 3).</w:t>
      </w:r>
    </w:p>
    <w:p w14:paraId="12AE972A" w14:textId="77777777" w:rsidR="00271DD6" w:rsidRPr="00271DD6" w:rsidRDefault="00271DD6" w:rsidP="009657AB">
      <w:pPr>
        <w:pStyle w:val="Headingb0"/>
        <w:rPr>
          <w:bCs/>
          <w:lang w:val="en-GB"/>
        </w:rPr>
      </w:pPr>
      <w:r w:rsidRPr="00271DD6">
        <w:rPr>
          <w:bCs/>
          <w:lang w:val="en-GB"/>
        </w:rPr>
        <w:t xml:space="preserve">Question 2: Technical infrastructure elements required for mobile roaming </w:t>
      </w:r>
    </w:p>
    <w:p w14:paraId="4EE9DE61" w14:textId="77777777" w:rsidR="00271DD6" w:rsidRPr="00271DD6" w:rsidRDefault="00271DD6" w:rsidP="009657AB">
      <w:r w:rsidRPr="00271DD6">
        <w:t>For Question 2, the basic technical infrastructure elements are analysed in more detail in chapter 4 but essentially comprise:</w:t>
      </w:r>
    </w:p>
    <w:p w14:paraId="7D050AF2" w14:textId="77777777" w:rsidR="00271DD6" w:rsidRPr="00271DD6" w:rsidRDefault="009657AB" w:rsidP="009657AB">
      <w:pPr>
        <w:pStyle w:val="enumlev1"/>
      </w:pPr>
      <w:r>
        <w:t>•</w:t>
      </w:r>
      <w:r>
        <w:tab/>
      </w:r>
      <w:r w:rsidR="00271DD6" w:rsidRPr="00271DD6">
        <w:t>Extra software for billing and customer care, with the information technology (IT) infrastructure such as extensions to data centres.</w:t>
      </w:r>
    </w:p>
    <w:p w14:paraId="4581F2B4" w14:textId="77777777" w:rsidR="00271DD6" w:rsidRPr="00271DD6" w:rsidRDefault="009657AB" w:rsidP="009657AB">
      <w:pPr>
        <w:pStyle w:val="enumlev1"/>
      </w:pPr>
      <w:r>
        <w:t>•</w:t>
      </w:r>
      <w:r>
        <w:tab/>
      </w:r>
      <w:r w:rsidR="00271DD6" w:rsidRPr="00271DD6">
        <w:t>Staff costs of handling extra call volumes and of roaming business processes.</w:t>
      </w:r>
    </w:p>
    <w:p w14:paraId="2548C8EC" w14:textId="77777777" w:rsidR="00271DD6" w:rsidRPr="00271DD6" w:rsidRDefault="009657AB" w:rsidP="009657AB">
      <w:pPr>
        <w:pStyle w:val="enumlev1"/>
      </w:pPr>
      <w:r>
        <w:t>•</w:t>
      </w:r>
      <w:r>
        <w:tab/>
      </w:r>
      <w:r w:rsidR="00271DD6" w:rsidRPr="00271DD6">
        <w:t>Network elements, both hardware and software, including additional capacity for greater calling volume.</w:t>
      </w:r>
    </w:p>
    <w:p w14:paraId="7450BDED" w14:textId="77777777" w:rsidR="00271DD6" w:rsidRPr="00271DD6" w:rsidRDefault="00271DD6" w:rsidP="006E2CC6">
      <w:pPr>
        <w:pStyle w:val="Headingb0"/>
        <w:keepLines/>
        <w:rPr>
          <w:bCs/>
          <w:lang w:val="en-GB"/>
        </w:rPr>
      </w:pPr>
      <w:r w:rsidRPr="00271DD6">
        <w:rPr>
          <w:bCs/>
          <w:lang w:val="en-GB"/>
        </w:rPr>
        <w:lastRenderedPageBreak/>
        <w:t>Question 3: Levels of net additional costs for roaming</w:t>
      </w:r>
    </w:p>
    <w:p w14:paraId="58933624" w14:textId="77777777" w:rsidR="00271DD6" w:rsidRPr="00271DD6" w:rsidRDefault="00271DD6" w:rsidP="006E2CC6">
      <w:pPr>
        <w:keepNext/>
        <w:keepLines/>
      </w:pPr>
      <w:r w:rsidRPr="00271DD6">
        <w:t>The levels of net extra costs, Question 3, are considered in terms of uplift over the retail tariffs of domestic calls, and data sessions, which vary by country. Thus the additional cost fraction given above (maximum cost increase 10%-30% and descending) can be applied. However, there are two forces which impact the levels of cost in a dynamic manner, so actual costs begin to fall faster as they take effect:</w:t>
      </w:r>
    </w:p>
    <w:p w14:paraId="2290E576" w14:textId="77777777" w:rsidR="00271DD6" w:rsidRPr="00271DD6" w:rsidRDefault="009657AB" w:rsidP="009657AB">
      <w:pPr>
        <w:pStyle w:val="enumlev1"/>
      </w:pPr>
      <w:r>
        <w:t>•</w:t>
      </w:r>
      <w:r>
        <w:tab/>
      </w:r>
      <w:r w:rsidR="00271DD6" w:rsidRPr="00271DD6">
        <w:t>Regulation – The European case, with prices falling from a 300% mark-up over domestic rates in 2002 to an anticipated zero target for 2015.</w:t>
      </w:r>
    </w:p>
    <w:p w14:paraId="2BBFA64D" w14:textId="77777777" w:rsidR="00271DD6" w:rsidRPr="00271DD6" w:rsidRDefault="009657AB" w:rsidP="009657AB">
      <w:pPr>
        <w:pStyle w:val="enumlev1"/>
      </w:pPr>
      <w:r>
        <w:t>•</w:t>
      </w:r>
      <w:r>
        <w:tab/>
      </w:r>
      <w:r w:rsidR="00271DD6" w:rsidRPr="00271DD6">
        <w:t>Competition – Acting today in limited form, in some regions only (e.g. not in the EU) with examples from the USA (T-Mobile USA) with a USD 20 cent/minute flat retail voice tariff in over 100 countries, under certain conditions, and Africa (Airtel/Zain) with domestic voice pricing over 16 countries.</w:t>
      </w:r>
    </w:p>
    <w:p w14:paraId="725BA7EB" w14:textId="77777777" w:rsidR="00271DD6" w:rsidRPr="00271DD6" w:rsidRDefault="00271DD6" w:rsidP="00271DD6">
      <w:r w:rsidRPr="00271DD6">
        <w:rPr>
          <w:b/>
          <w:bCs/>
          <w:i/>
          <w:iCs/>
        </w:rPr>
        <w:t>Note that as retail roaming prices fall, this affects the wholesale market between operators, as downward pressure is put on IOT agreements to try to maintain margins against high wholesale levels</w:t>
      </w:r>
      <w:r w:rsidRPr="00271DD6">
        <w:rPr>
          <w:b/>
          <w:bCs/>
        </w:rPr>
        <w:t>.</w:t>
      </w:r>
    </w:p>
    <w:p w14:paraId="4145DB4E" w14:textId="77777777" w:rsidR="00271DD6" w:rsidRPr="00271DD6" w:rsidRDefault="00271DD6" w:rsidP="009657AB">
      <w:pPr>
        <w:pStyle w:val="Headingb0"/>
        <w:rPr>
          <w:bCs/>
          <w:lang w:val="en-GB"/>
        </w:rPr>
      </w:pPr>
      <w:r w:rsidRPr="00271DD6">
        <w:rPr>
          <w:bCs/>
          <w:lang w:val="en-GB"/>
        </w:rPr>
        <w:t>Question 4: International pricing vs national pricing</w:t>
      </w:r>
    </w:p>
    <w:p w14:paraId="2FFB1FC5" w14:textId="77777777" w:rsidR="00271DD6" w:rsidRPr="00271DD6" w:rsidRDefault="00271DD6" w:rsidP="00271DD6">
      <w:r w:rsidRPr="00271DD6">
        <w:t xml:space="preserve">Turning to Question 4 – </w:t>
      </w:r>
      <w:r w:rsidRPr="00271DD6">
        <w:rPr>
          <w:i/>
          <w:iCs/>
        </w:rPr>
        <w:t>What does a comparison of international prices with their corresponding level of national pricing show?</w:t>
      </w:r>
      <w:r w:rsidRPr="00271DD6">
        <w:t xml:space="preserve"> It is becoming evident that the descent in roaming prices with regulatory caps, as in Table 1</w:t>
      </w:r>
      <w:r w:rsidRPr="00271DD6">
        <w:rPr>
          <w:b/>
          <w:bCs/>
        </w:rPr>
        <w:t xml:space="preserve"> </w:t>
      </w:r>
      <w:r w:rsidRPr="00271DD6">
        <w:t>above, or with competition indicates that the mark-up for roaming both at wholesale and retail levels is increasingly difficult to justify as:</w:t>
      </w:r>
    </w:p>
    <w:p w14:paraId="4FFE99A3" w14:textId="77777777" w:rsidR="00271DD6" w:rsidRPr="00271DD6" w:rsidRDefault="009657AB" w:rsidP="009657AB">
      <w:pPr>
        <w:pStyle w:val="enumlev1"/>
      </w:pPr>
      <w:r>
        <w:t>•</w:t>
      </w:r>
      <w:r>
        <w:tab/>
      </w:r>
      <w:r w:rsidR="00271DD6" w:rsidRPr="00271DD6">
        <w:t xml:space="preserve">The extra operational and technical infrastructure elements become merged with the domestic operations and the incremental cost of carrying an extra call sinks as call volumes increase. </w:t>
      </w:r>
    </w:p>
    <w:p w14:paraId="7558F095" w14:textId="77777777" w:rsidR="00271DD6" w:rsidRPr="00271DD6" w:rsidRDefault="009657AB" w:rsidP="009657AB">
      <w:pPr>
        <w:pStyle w:val="enumlev1"/>
      </w:pPr>
      <w:r>
        <w:t>•</w:t>
      </w:r>
      <w:r>
        <w:tab/>
      </w:r>
      <w:r w:rsidR="00271DD6" w:rsidRPr="00271DD6">
        <w:t xml:space="preserve">Additional traffic due to roaming will become an extra (and welcome) market that in the long term will be the only source of new revenue and income as domestic markets saturate. Saturation is occurring at rates which are highly variable by region (the USA and the EU are in this state, as are some Asian countries such as Japan and Korea) as developing countries still have unmet demand. However, this may well change over the next decade. For these developing markets, extra revenue streams from (new) roaming customers are most welcome. This will often be the case where market penetration of mobile is restricted by the level of disposable income. In this situation, roaming entrants can drive new mobile growth, if pricing is little different to domestic rates so visitors are not deterred from calling home and local numbers. 'Bill shock' will only kill off this new emergent market. </w:t>
      </w:r>
    </w:p>
    <w:p w14:paraId="70127352" w14:textId="77777777" w:rsidR="00271DD6" w:rsidRPr="00271DD6" w:rsidRDefault="00271DD6" w:rsidP="00271DD6">
      <w:r w:rsidRPr="00271DD6">
        <w:t xml:space="preserve">There is also the question here of whether domestic and international roaming prices could merge – that is, can roaming prices sink to zero? For adjacent countries, as in a region such as the EU, that could be sooner rather than later because, in the final analysis for converged billing procedures, the only real extra cost that remains is the transport of the mobile call long distance. Long distance rates have been coming down over the last 80 years at an increasing pace while the move to Internet protocol (IP)/Internet-carried voice can only accelerate this (and not just for voice calls but also in the future for broadband video calls). This implies that roaming charges could move towards </w:t>
      </w:r>
      <w:r w:rsidRPr="00271DD6">
        <w:rPr>
          <w:i/>
          <w:iCs/>
        </w:rPr>
        <w:t>near-zero</w:t>
      </w:r>
      <w:r w:rsidRPr="00271DD6">
        <w:t xml:space="preserve"> levels.</w:t>
      </w:r>
    </w:p>
    <w:p w14:paraId="0EDEFFE9" w14:textId="77777777" w:rsidR="00271DD6" w:rsidRPr="00271DD6" w:rsidRDefault="00271DD6" w:rsidP="009657AB">
      <w:pPr>
        <w:pStyle w:val="Headingb0"/>
        <w:rPr>
          <w:bCs/>
          <w:lang w:val="en-GB"/>
        </w:rPr>
      </w:pPr>
      <w:r w:rsidRPr="00271DD6">
        <w:rPr>
          <w:bCs/>
          <w:lang w:val="en-GB"/>
        </w:rPr>
        <w:t>Recommendations ITU-T D.98, D.99 and D.140 underpin the MNO cost-model position</w:t>
      </w:r>
    </w:p>
    <w:p w14:paraId="1C0C4F82" w14:textId="77777777" w:rsidR="00271DD6" w:rsidRPr="00271DD6" w:rsidRDefault="00271DD6" w:rsidP="00271DD6">
      <w:r w:rsidRPr="00271DD6">
        <w:t>What is most notable is the absence of a suitable cost model by the MNOs</w:t>
      </w:r>
      <w:r w:rsidRPr="00271DD6" w:rsidDel="00001FE7">
        <w:t xml:space="preserve"> </w:t>
      </w:r>
      <w:r w:rsidRPr="00271DD6">
        <w:t xml:space="preserve">to justify the additional roaming charges. Instead, the main responses from various MNOs and their organizations have been claims that a significant roaming surplus is necessary, to fund investments for LTE rollout of mobile broadband, with 100 Mbit/s download speeds. </w:t>
      </w:r>
    </w:p>
    <w:p w14:paraId="1F52FB1B" w14:textId="77777777" w:rsidR="00271DD6" w:rsidRPr="00271DD6" w:rsidRDefault="00271DD6" w:rsidP="00271DD6">
      <w:r w:rsidRPr="00271DD6">
        <w:t xml:space="preserve">Hopefully, the cost model presented here should help to go further in the direction of roaming accountability and transparency, following the path set by ITU-T in </w:t>
      </w:r>
      <w:hyperlink r:id="rId12" w:history="1">
        <w:r w:rsidRPr="00271DD6">
          <w:rPr>
            <w:rStyle w:val="Hyperlink"/>
          </w:rPr>
          <w:t>Recommendation D.98</w:t>
        </w:r>
      </w:hyperlink>
      <w:r w:rsidRPr="00271DD6">
        <w:t xml:space="preserve">. The use of the model might build on that Recommendation for roaming transparency. </w:t>
      </w:r>
    </w:p>
    <w:p w14:paraId="4D77FC38" w14:textId="77777777" w:rsidR="00271DD6" w:rsidRPr="00271DD6" w:rsidRDefault="00271DD6" w:rsidP="00EF1563">
      <w:r w:rsidRPr="00271DD6">
        <w:lastRenderedPageBreak/>
        <w:t xml:space="preserve">It is also possible to build on other relevant ITU-T Recommendations. Specifically, Recommendation </w:t>
      </w:r>
      <w:r w:rsidR="0028494C">
        <w:t>I</w:t>
      </w:r>
      <w:r w:rsidRPr="00271DD6">
        <w:t>TU</w:t>
      </w:r>
      <w:r w:rsidR="0028494C">
        <w:noBreakHyphen/>
      </w:r>
      <w:r w:rsidRPr="00271DD6">
        <w:t>T D.99 discusses the question of an indicative rate for international mobile termination and provides some suggestions for consideration by national regulatory authorities, based on using the fixed termination rate as an initial basis for negotiations. It is also possible to move forward on such indicative rates if we take into consideration another Recommendation in the domain of international call termination accounting, Recommendation ITU-T D.140. It proposes the useful principle for setting prices that cost-based accounting is the key tenet, stating in clause E.3.1:</w:t>
      </w:r>
    </w:p>
    <w:p w14:paraId="0F13E024" w14:textId="77777777" w:rsidR="00271DD6" w:rsidRPr="00271DD6" w:rsidRDefault="009657AB" w:rsidP="009657AB">
      <w:pPr>
        <w:ind w:left="720" w:hanging="720"/>
      </w:pPr>
      <w:r>
        <w:tab/>
      </w:r>
      <w:r w:rsidR="00271DD6" w:rsidRPr="00271DD6">
        <w:t>"</w:t>
      </w:r>
      <w:r w:rsidR="00271DD6" w:rsidRPr="00271DD6">
        <w:rPr>
          <w:i/>
          <w:iCs/>
        </w:rPr>
        <w:t>Administrations which have already attained these indicative target rates should continue to take positive steps to reduce their accounting rates to cost-orientated levels</w:t>
      </w:r>
      <w:r w:rsidR="00271DD6" w:rsidRPr="00271DD6">
        <w:t xml:space="preserve">". </w:t>
      </w:r>
    </w:p>
    <w:p w14:paraId="088A78DB" w14:textId="77777777" w:rsidR="00271DD6" w:rsidRPr="00271DD6" w:rsidRDefault="00271DD6" w:rsidP="00271DD6">
      <w:r w:rsidRPr="00271DD6">
        <w:t>Naturally, the question must be asked – should not the same cost-oriented principle be applied to mobile roaming?</w:t>
      </w:r>
    </w:p>
    <w:p w14:paraId="434B30BE" w14:textId="77777777" w:rsidR="00271DD6" w:rsidRPr="00271DD6" w:rsidRDefault="00271DD6" w:rsidP="009657AB">
      <w:r w:rsidRPr="00271DD6">
        <w:t>A combination of Recommendation ITU-T D.98, extending from transparency for subscribers and employing its suggestions on the use of price caps, would follow the principles from Recommendations ITU</w:t>
      </w:r>
      <w:r w:rsidR="009657AB">
        <w:noBreakHyphen/>
      </w:r>
      <w:r w:rsidRPr="00271DD6">
        <w:t xml:space="preserve">T D.99 and D.140 into cost-based mobile pricing. This could form the basis for further ITU-T Recommendations which are strongly market-related. A cost-based analysis of roaming tariffs would provide the platform for pragmatic and realistic inputs to national regulators considering the impacts of roaming. </w:t>
      </w:r>
    </w:p>
    <w:p w14:paraId="3699B1EE" w14:textId="77777777" w:rsidR="00271DD6" w:rsidRPr="00271DD6" w:rsidRDefault="00271DD6" w:rsidP="009657AB">
      <w:pPr>
        <w:pStyle w:val="Headingb0"/>
        <w:rPr>
          <w:bCs/>
          <w:lang w:val="en-GB"/>
        </w:rPr>
      </w:pPr>
      <w:r w:rsidRPr="00271DD6">
        <w:rPr>
          <w:bCs/>
          <w:lang w:val="en-GB"/>
        </w:rPr>
        <w:t>The European experience</w:t>
      </w:r>
    </w:p>
    <w:p w14:paraId="414BC72F" w14:textId="77777777" w:rsidR="00271DD6" w:rsidRPr="00271DD6" w:rsidRDefault="00271DD6" w:rsidP="00271DD6">
      <w:r w:rsidRPr="00271DD6">
        <w:t>An important and related aspect to consider is the experience from Europe of its roaming measures. This is examined briefly in Annex 1. The key question is whether the European model developed since 2007 following the European Parliament vote is working – and if so – can it be applied elsewhere?</w:t>
      </w:r>
    </w:p>
    <w:p w14:paraId="13253A1B" w14:textId="77777777" w:rsidR="00271DD6" w:rsidRPr="00271DD6" w:rsidRDefault="00271DD6" w:rsidP="00271DD6">
      <w:r w:rsidRPr="00271DD6">
        <w:t>A first conclusion is that certainly the EU model of constant vigilance and pressure is working and doing so fairly well, although at least six years of legislated price caps have been necessary. Roaming rates, for example, for data are claimed to have been reduced by 90% and might be eliminated between 2016 and 2018.</w:t>
      </w:r>
    </w:p>
    <w:p w14:paraId="1632E418" w14:textId="77777777" w:rsidR="00271DD6" w:rsidRPr="00271DD6" w:rsidRDefault="00271DD6" w:rsidP="00271DD6">
      <w:r w:rsidRPr="00271DD6">
        <w:t xml:space="preserve">What is this due to? And can it be applied elsewhere? </w:t>
      </w:r>
    </w:p>
    <w:p w14:paraId="39652EBB" w14:textId="77777777" w:rsidR="00271DD6" w:rsidRPr="00271DD6" w:rsidRDefault="00271DD6" w:rsidP="00271DD6">
      <w:r w:rsidRPr="00271DD6">
        <w:t xml:space="preserve">Thus a second conclusion for the European experience is that the path to success is conditional, as briefly examined in Annex 1. But if any of the three conditions mentioned are absent, the European experience may not be repeatable. </w:t>
      </w:r>
    </w:p>
    <w:p w14:paraId="79BE96BE" w14:textId="77777777" w:rsidR="007C1E46" w:rsidRPr="007C1E46" w:rsidRDefault="00271DD6" w:rsidP="00271DD6">
      <w:pPr>
        <w:rPr>
          <w:lang w:val="en-US"/>
        </w:rPr>
      </w:pPr>
      <w:r w:rsidRPr="00271DD6">
        <w:t>Perhaps the primary condition for success is the first one – the use of a community of countries with NRAs working in concert, over a set of geographic roaming areas, so that reciprocal roaming data gathering can be set up. Thus a regional approach is probably required. However, it must be backed eventually by common regulation, probably set in legislation – and therefore by a group of governments in the region with the communal will to act together in order to stimulate the economy and protect the citizen.</w:t>
      </w:r>
    </w:p>
    <w:p w14:paraId="1FA9FCEC" w14:textId="77777777" w:rsidR="001965AB" w:rsidRPr="007C3845" w:rsidRDefault="001965AB" w:rsidP="007C3845">
      <w:pPr>
        <w:sectPr w:rsidR="001965AB" w:rsidRPr="007C3845">
          <w:headerReference w:type="even" r:id="rId13"/>
          <w:headerReference w:type="default" r:id="rId14"/>
          <w:footerReference w:type="even" r:id="rId15"/>
          <w:footerReference w:type="default" r:id="rId16"/>
          <w:endnotePr>
            <w:numFmt w:val="decimal"/>
          </w:endnotePr>
          <w:type w:val="oddPage"/>
          <w:pgSz w:w="11909" w:h="16834" w:code="9"/>
          <w:pgMar w:top="1418" w:right="1134" w:bottom="1134" w:left="1134" w:header="567" w:footer="567" w:gutter="284"/>
          <w:pgNumType w:fmt="lowerRoman"/>
          <w:cols w:sep="1" w:space="720"/>
          <w:docGrid w:linePitch="299"/>
        </w:sectPr>
      </w:pPr>
      <w:bookmarkStart w:id="7" w:name="_Toc321305902"/>
      <w:bookmarkEnd w:id="6"/>
    </w:p>
    <w:p w14:paraId="5758B3FD" w14:textId="77777777" w:rsidR="001965AB" w:rsidRPr="00F8780D" w:rsidRDefault="00E83B34" w:rsidP="00E83B34">
      <w:pPr>
        <w:pStyle w:val="Heading1"/>
        <w:spacing w:before="0"/>
      </w:pPr>
      <w:bookmarkStart w:id="8" w:name="_Toc429485869"/>
      <w:bookmarkEnd w:id="7"/>
      <w:r w:rsidRPr="001032A3">
        <w:lastRenderedPageBreak/>
        <w:t xml:space="preserve">Chapter </w:t>
      </w:r>
      <w:r>
        <w:t>1</w:t>
      </w:r>
      <w:r w:rsidRPr="001032A3">
        <w:t xml:space="preserve"> </w:t>
      </w:r>
      <w:r>
        <w:t xml:space="preserve">– </w:t>
      </w:r>
      <w:r w:rsidR="0054371F" w:rsidRPr="0054371F">
        <w:t>Introduction and objectives of the ITU-T Study Group 3 (SG3) cost model project</w:t>
      </w:r>
      <w:bookmarkEnd w:id="8"/>
    </w:p>
    <w:p w14:paraId="00FDCAFA" w14:textId="77777777" w:rsidR="007C1E46" w:rsidRDefault="0054371F" w:rsidP="0054371F">
      <w:pPr>
        <w:pStyle w:val="Heading2"/>
        <w:rPr>
          <w:lang w:val="en-US"/>
        </w:rPr>
      </w:pPr>
      <w:bookmarkStart w:id="9" w:name="_Toc301531617"/>
      <w:bookmarkStart w:id="10" w:name="_Toc301531618"/>
      <w:bookmarkStart w:id="11" w:name="_Toc429485870"/>
      <w:bookmarkStart w:id="12" w:name="_Toc321305923"/>
      <w:bookmarkEnd w:id="9"/>
      <w:bookmarkEnd w:id="10"/>
      <w:r>
        <w:t>1.1</w:t>
      </w:r>
      <w:r>
        <w:tab/>
      </w:r>
      <w:r w:rsidRPr="0054371F">
        <w:t>Introduction – Background and context</w:t>
      </w:r>
      <w:bookmarkEnd w:id="11"/>
    </w:p>
    <w:p w14:paraId="23609909" w14:textId="77777777" w:rsidR="000A7DF2" w:rsidRPr="000A7DF2" w:rsidRDefault="000A7DF2" w:rsidP="000A7DF2">
      <w:pPr>
        <w:suppressAutoHyphens/>
      </w:pPr>
      <w:r w:rsidRPr="000A7DF2">
        <w:t xml:space="preserve">Retail charges for international mobile roaming have come under increased scrutiny. </w:t>
      </w:r>
    </w:p>
    <w:p w14:paraId="4BDBBB4C" w14:textId="77777777" w:rsidR="000A7DF2" w:rsidRPr="000A7DF2" w:rsidRDefault="000A7DF2" w:rsidP="000A7DF2">
      <w:pPr>
        <w:suppressAutoHyphens/>
      </w:pPr>
      <w:r w:rsidRPr="000A7DF2">
        <w:t xml:space="preserve">This is understandable, as in today's mobile markets, international mobile roaming (IMR) charges have been confusingly different and unpredictable. In addition, for the consumer they often seem to be arbitrarily high, especially for data roaming. Hence the background to this Technical Paper is a request to ITU-T to meet a growing need for consumer protection in the context of an increasingly global nature of mobile communications, which crosses borders for more of its users as international travel and business explode. </w:t>
      </w:r>
    </w:p>
    <w:p w14:paraId="47AD2D76" w14:textId="77777777" w:rsidR="001965AB" w:rsidRDefault="000A7DF2" w:rsidP="006867AC">
      <w:pPr>
        <w:suppressAutoHyphens/>
        <w:spacing w:after="120"/>
      </w:pPr>
      <w:r w:rsidRPr="000A7DF2">
        <w:t>As the European Commission's 2006 Impact Assessment (European Commission (2006)) that analysed the European roaming situation put it:</w:t>
      </w:r>
    </w:p>
    <w:tbl>
      <w:tblPr>
        <w:tblStyle w:val="TableGrid"/>
        <w:tblW w:w="0" w:type="auto"/>
        <w:tblInd w:w="122" w:type="dxa"/>
        <w:tblLook w:val="04A0" w:firstRow="1" w:lastRow="0" w:firstColumn="1" w:lastColumn="0" w:noHBand="0" w:noVBand="1"/>
      </w:tblPr>
      <w:tblGrid>
        <w:gridCol w:w="9379"/>
      </w:tblGrid>
      <w:tr w:rsidR="006867AC" w14:paraId="23318265" w14:textId="77777777">
        <w:tc>
          <w:tcPr>
            <w:tcW w:w="9379" w:type="dxa"/>
          </w:tcPr>
          <w:p w14:paraId="59B5D7BD" w14:textId="77777777" w:rsidR="006867AC" w:rsidRPr="000A7DF2" w:rsidRDefault="006867AC" w:rsidP="006867AC">
            <w:pPr>
              <w:pStyle w:val="enumlev1"/>
            </w:pPr>
            <w:r w:rsidRPr="006867AC">
              <w:rPr>
                <w:sz w:val="22"/>
                <w:szCs w:val="22"/>
              </w:rPr>
              <w:t>•</w:t>
            </w:r>
            <w:r w:rsidRPr="006867AC">
              <w:rPr>
                <w:sz w:val="22"/>
                <w:szCs w:val="22"/>
              </w:rPr>
              <w:tab/>
              <w:t>The core problem is that prices for EU-wide roaming at both wholesale and retail levels stand in no meaningful relationship to the underlying costs of providing the service.</w:t>
            </w:r>
            <w:r w:rsidRPr="000A7DF2">
              <w:t xml:space="preserve"> </w:t>
            </w:r>
          </w:p>
          <w:p w14:paraId="30225FA1" w14:textId="77777777" w:rsidR="006867AC" w:rsidRPr="006867AC" w:rsidRDefault="006867AC" w:rsidP="006867AC">
            <w:pPr>
              <w:pStyle w:val="enumlev1"/>
              <w:rPr>
                <w:sz w:val="22"/>
                <w:szCs w:val="22"/>
              </w:rPr>
            </w:pPr>
            <w:r w:rsidRPr="006867AC">
              <w:rPr>
                <w:sz w:val="22"/>
                <w:szCs w:val="22"/>
              </w:rPr>
              <w:t>•</w:t>
            </w:r>
            <w:r w:rsidRPr="006867AC">
              <w:rPr>
                <w:sz w:val="22"/>
                <w:szCs w:val="22"/>
              </w:rPr>
              <w:tab/>
              <w:t>This problem is compounded by a lack of transparency of prices at retail level, meaning that it is extremely difficult for consumers to understand what they will actually pay. The Commission and some national regulatory authorities have attempted to address the transparency problem by creating websites for roaming prices but these initiatives have not led to sufficient improvements.</w:t>
            </w:r>
          </w:p>
          <w:p w14:paraId="31BB6188" w14:textId="77777777" w:rsidR="006867AC" w:rsidRPr="006867AC" w:rsidRDefault="006867AC" w:rsidP="006867AC">
            <w:pPr>
              <w:pStyle w:val="enumlev1"/>
              <w:rPr>
                <w:sz w:val="22"/>
                <w:szCs w:val="22"/>
              </w:rPr>
            </w:pPr>
            <w:r w:rsidRPr="006867AC">
              <w:rPr>
                <w:sz w:val="22"/>
                <w:szCs w:val="22"/>
              </w:rPr>
              <w:t>•</w:t>
            </w:r>
            <w:r w:rsidRPr="006867AC">
              <w:rPr>
                <w:sz w:val="22"/>
                <w:szCs w:val="22"/>
              </w:rPr>
              <w:tab/>
              <w:t xml:space="preserve">Having studied this market carefully, national regulatory authorities have alerted the Commission services to the fact that they believe the problem is 'non-trivial' and requires action. </w:t>
            </w:r>
          </w:p>
          <w:p w14:paraId="7C99612A" w14:textId="77777777" w:rsidR="006867AC" w:rsidRPr="006867AC" w:rsidRDefault="006867AC" w:rsidP="006867AC">
            <w:pPr>
              <w:pStyle w:val="enumlev1"/>
              <w:rPr>
                <w:lang w:val="en-US"/>
              </w:rPr>
            </w:pPr>
            <w:r w:rsidRPr="006867AC">
              <w:rPr>
                <w:sz w:val="22"/>
                <w:szCs w:val="22"/>
              </w:rPr>
              <w:t>•</w:t>
            </w:r>
            <w:r w:rsidRPr="006867AC">
              <w:rPr>
                <w:sz w:val="22"/>
                <w:szCs w:val="22"/>
              </w:rPr>
              <w:tab/>
              <w:t>A key issue is the cross-border nature of this service whereby no one national regulatory authority can solve the problem.</w:t>
            </w:r>
          </w:p>
        </w:tc>
      </w:tr>
    </w:tbl>
    <w:bookmarkEnd w:id="12"/>
    <w:p w14:paraId="3D64132A" w14:textId="77777777" w:rsidR="000A7DF2" w:rsidRPr="001032A3" w:rsidRDefault="000A7DF2" w:rsidP="000A7DF2">
      <w:pPr>
        <w:autoSpaceDE w:val="0"/>
        <w:spacing w:after="120"/>
      </w:pPr>
      <w:r w:rsidRPr="001032A3">
        <w:t>Thus a cost model of mobile roaming is needed to highlight the financial reality as far as possible – and so to drive a general change in the industry</w:t>
      </w:r>
      <w:r>
        <w:t>'</w:t>
      </w:r>
      <w:r w:rsidRPr="001032A3">
        <w:t xml:space="preserve">s approach to the whole roaming question. This specific need was voiced at the </w:t>
      </w:r>
      <w:hyperlink r:id="rId17" w:history="1">
        <w:r w:rsidRPr="001032A3">
          <w:rPr>
            <w:rStyle w:val="Hyperlink"/>
          </w:rPr>
          <w:t>High-level Workshop on Regulatory and Economic Aspects of Roaming</w:t>
        </w:r>
      </w:hyperlink>
      <w:r w:rsidRPr="001032A3">
        <w:t xml:space="preserve">, held at ITU on 23-24 September 2013, when participants called for ITU-T to take the lead in developing a coherent and transparent cost model for roaming for use by regulators. </w:t>
      </w:r>
    </w:p>
    <w:p w14:paraId="43400E1F" w14:textId="77777777" w:rsidR="000A7DF2" w:rsidRPr="001032A3" w:rsidRDefault="000A7DF2" w:rsidP="000A7DF2">
      <w:pPr>
        <w:autoSpaceDE w:val="0"/>
        <w:spacing w:after="120"/>
      </w:pPr>
      <w:r w:rsidRPr="001032A3">
        <w:t>A move to greater consumer protection in the current conditions for roaming charges is also echoed by various recent developments around the world.</w:t>
      </w:r>
    </w:p>
    <w:p w14:paraId="0B6A8944" w14:textId="77777777" w:rsidR="000A7DF2" w:rsidRPr="001032A3" w:rsidRDefault="000A7DF2" w:rsidP="000A7DF2">
      <w:pPr>
        <w:autoSpaceDE w:val="0"/>
        <w:spacing w:after="120"/>
        <w:rPr>
          <w:highlight w:val="yellow"/>
        </w:rPr>
      </w:pPr>
      <w:r w:rsidRPr="001032A3">
        <w:t xml:space="preserve">Following on from the analysis above, in the EU, mobile roaming issues are at the fore of new regulation, especially in the light of the economic plans for a single market. Thus the European Commission is taking strong action backed by the European Parliament. Roaming is viewed as one of the barriers to a single market, whose eventual formation could add at least 1% to </w:t>
      </w:r>
      <w:r>
        <w:t>the growth domestic product (</w:t>
      </w:r>
      <w:r w:rsidRPr="001032A3">
        <w:t>GDP</w:t>
      </w:r>
      <w:r>
        <w:t>)</w:t>
      </w:r>
      <w:r w:rsidRPr="001032A3">
        <w:t xml:space="preserve">, according to an EC study cited by </w:t>
      </w:r>
      <w:r>
        <w:t>the Directorate-General, of the European Commission, for Information Society and Media (</w:t>
      </w:r>
      <w:r w:rsidRPr="001032A3">
        <w:t>DG INFSO</w:t>
      </w:r>
      <w:r>
        <w:t>)</w:t>
      </w:r>
      <w:r w:rsidRPr="001032A3">
        <w:t xml:space="preserve"> Commissioner Neelie Kroes in her speech of 8 October 2013. Roaming should be seen in the context of mobile communications being a major accelerator of business activities. For example, a Finnish study by Maliranta and Rouvinen</w:t>
      </w:r>
      <w:r w:rsidRPr="001032A3">
        <w:rPr>
          <w:rStyle w:val="FootnoteCharacters"/>
        </w:rPr>
        <w:footnoteReference w:id="8"/>
      </w:r>
      <w:r w:rsidRPr="001032A3">
        <w:t>, in 2006</w:t>
      </w:r>
      <w:r>
        <w:t>,</w:t>
      </w:r>
      <w:r w:rsidRPr="001032A3">
        <w:t xml:space="preserve"> found that for </w:t>
      </w:r>
      <w:r>
        <w:t>small and medium enterprises (</w:t>
      </w:r>
      <w:r w:rsidRPr="001032A3">
        <w:t>SMEs</w:t>
      </w:r>
      <w:r>
        <w:t>)</w:t>
      </w:r>
      <w:r w:rsidRPr="001032A3">
        <w:t xml:space="preserve"> (some 98% of the EU</w:t>
      </w:r>
      <w:r>
        <w:t>'</w:t>
      </w:r>
      <w:r w:rsidRPr="001032A3">
        <w:t>s companies) the use of mobile without limits increased productivity by 6%. However</w:t>
      </w:r>
      <w:r>
        <w:t>,</w:t>
      </w:r>
      <w:r w:rsidRPr="001032A3">
        <w:t xml:space="preserve"> use of mobile data and voice is often inhibited when travelling across the </w:t>
      </w:r>
      <w:r w:rsidRPr="001032A3">
        <w:lastRenderedPageBreak/>
        <w:t xml:space="preserve">EU, due to the fear of much higher bills with inflated tariffs as consumers cross into other Member States (popularly dubbed </w:t>
      </w:r>
      <w:r>
        <w:t>'</w:t>
      </w:r>
      <w:r w:rsidRPr="001032A3">
        <w:t>bill-shock</w:t>
      </w:r>
      <w:r>
        <w:t>'</w:t>
      </w:r>
      <w:r w:rsidRPr="001032A3">
        <w:t xml:space="preserve">). This in turn inhibits economic growth. Thus the abolition of EU roaming tariffs promises high returns for the EU economy. It is now leading into a further regulatory phase </w:t>
      </w:r>
      <w:r>
        <w:t>–</w:t>
      </w:r>
      <w:r w:rsidRPr="001032A3">
        <w:t xml:space="preserve"> European Roaming 3 – with a Directive for NRAs to enforce complete elimination of roaming charges under a calendar of progressive actions. Commissioner Kroes has </w:t>
      </w:r>
      <w:r w:rsidRPr="004F0197">
        <w:t>emphasi</w:t>
      </w:r>
      <w:r>
        <w:t>z</w:t>
      </w:r>
      <w:r w:rsidRPr="004F0197">
        <w:t>ed</w:t>
      </w:r>
      <w:r w:rsidRPr="001032A3">
        <w:t xml:space="preserve"> that roaming charges within the EU are ending, with the EC plans to abolish roaming by 2016 and so build a single European telecoms market</w:t>
      </w:r>
      <w:r w:rsidRPr="001032A3">
        <w:rPr>
          <w:rStyle w:val="FootnoteReference"/>
        </w:rPr>
        <w:footnoteReference w:id="9"/>
      </w:r>
      <w:r w:rsidRPr="001032A3">
        <w:t xml:space="preserve">. </w:t>
      </w:r>
    </w:p>
    <w:p w14:paraId="1120AC8E" w14:textId="77777777" w:rsidR="000A7DF2" w:rsidRPr="001032A3" w:rsidRDefault="000A7DF2" w:rsidP="000A7DF2">
      <w:pPr>
        <w:autoSpaceDE w:val="0"/>
        <w:spacing w:after="120"/>
      </w:pPr>
      <w:r w:rsidRPr="001032A3">
        <w:t xml:space="preserve">To this end, the European Commission has strongly pursued curtailing such charges, which still amount to some </w:t>
      </w:r>
      <w:r>
        <w:t xml:space="preserve">EUR </w:t>
      </w:r>
      <w:r w:rsidRPr="001032A3">
        <w:t>7</w:t>
      </w:r>
      <w:r>
        <w:t xml:space="preserve"> billion</w:t>
      </w:r>
      <w:r w:rsidRPr="001032A3">
        <w:t xml:space="preserve">/year across the EU, even though data roaming, for instance, is some 91% cheaper than in 2007. A vote in the European Parliament in April 2007 was near unanimous in endorsing a lowering of roaming rates by </w:t>
      </w:r>
      <w:r>
        <w:t xml:space="preserve">the </w:t>
      </w:r>
      <w:r w:rsidRPr="001032A3">
        <w:t xml:space="preserve">EU mandate, with one </w:t>
      </w:r>
      <w:r>
        <w:t>Member of the European Parliament (</w:t>
      </w:r>
      <w:r w:rsidRPr="001032A3">
        <w:t>MEP</w:t>
      </w:r>
      <w:r>
        <w:t>)</w:t>
      </w:r>
      <w:r w:rsidRPr="001032A3">
        <w:t xml:space="preserve"> abstention against the bill to limit and regular</w:t>
      </w:r>
      <w:r w:rsidRPr="004F0197">
        <w:t>i</w:t>
      </w:r>
      <w:r>
        <w:t>z</w:t>
      </w:r>
      <w:r w:rsidRPr="004F0197">
        <w:t>e</w:t>
      </w:r>
      <w:r w:rsidRPr="001032A3">
        <w:t xml:space="preserve"> roaming charges across the EU progressively. Such strong voting by MEPs highlights the popular feeling among their constituents on roaming charges.</w:t>
      </w:r>
    </w:p>
    <w:p w14:paraId="2D887591" w14:textId="77777777" w:rsidR="000A7DF2" w:rsidRPr="001032A3" w:rsidRDefault="000A7DF2" w:rsidP="000A7DF2">
      <w:pPr>
        <w:autoSpaceDE w:val="0"/>
        <w:spacing w:after="120"/>
      </w:pPr>
      <w:r w:rsidRPr="001032A3">
        <w:t xml:space="preserve">Roaming charges are now being squeezed even further at </w:t>
      </w:r>
      <w:r>
        <w:t xml:space="preserve">the </w:t>
      </w:r>
      <w:r w:rsidRPr="001032A3">
        <w:t>national level in some countries, as the cost of living is felt to be too high for many, encouraging political pressure against them. For example, the UK’s MNOs were summoned to a meeting with the Department for Media and Culture on the instruction of the Prime Minister on 14 November 2013, to be presented with criticism of their pricing tactics especially for roaming prices</w:t>
      </w:r>
      <w:r w:rsidRPr="001032A3">
        <w:rPr>
          <w:rStyle w:val="FootnoteCharacters"/>
        </w:rPr>
        <w:footnoteReference w:id="10"/>
      </w:r>
      <w:r w:rsidRPr="001032A3">
        <w:t>. The questions that MNOs are now asking themselves is whether they might be attacked publicly, just as the UK</w:t>
      </w:r>
      <w:r>
        <w:t>'</w:t>
      </w:r>
      <w:r w:rsidRPr="001032A3">
        <w:t>s energy companies currently are, accused of exploiting an oligopolistic market position</w:t>
      </w:r>
      <w:r>
        <w:t>.</w:t>
      </w:r>
      <w:r w:rsidRPr="001032A3">
        <w:t xml:space="preserve"> This is driven by the widely perceived lack of transparency over the justification for any roaming charges, which may even appear as arbitrary, or exorbitant, especially for data. UK government ministers now want roaming abolished </w:t>
      </w:r>
      <w:r w:rsidRPr="001032A3">
        <w:rPr>
          <w:i/>
          <w:iCs/>
        </w:rPr>
        <w:t xml:space="preserve">before </w:t>
      </w:r>
      <w:r w:rsidRPr="001032A3">
        <w:t>the calendar set out by the European Commission.</w:t>
      </w:r>
    </w:p>
    <w:p w14:paraId="6712F512" w14:textId="77777777" w:rsidR="000A7DF2" w:rsidRPr="001032A3" w:rsidRDefault="000A7DF2" w:rsidP="000A7DF2">
      <w:pPr>
        <w:autoSpaceDE w:val="0"/>
        <w:spacing w:after="120"/>
      </w:pPr>
      <w:r w:rsidRPr="002F2EFD">
        <w:t>Many other regions</w:t>
      </w:r>
      <w:r w:rsidRPr="001032A3">
        <w:t xml:space="preserve"> are reviewing the EU successes under the European Parliament and wish to reduce and then remove roaming charges faster than the European Union community, such as the Southern Af</w:t>
      </w:r>
      <w:r>
        <w:t>r</w:t>
      </w:r>
      <w:r w:rsidRPr="001032A3">
        <w:t>ican Development Region (SADC).</w:t>
      </w:r>
    </w:p>
    <w:p w14:paraId="5D50929F" w14:textId="77777777" w:rsidR="000A7DF2" w:rsidRPr="001032A3" w:rsidRDefault="000A7DF2" w:rsidP="00FA6F0F">
      <w:pPr>
        <w:pStyle w:val="Heading2"/>
      </w:pPr>
      <w:bookmarkStart w:id="13" w:name="_Toc425326304"/>
      <w:bookmarkStart w:id="14" w:name="_Toc429485871"/>
      <w:r w:rsidRPr="001032A3">
        <w:t>1.2</w:t>
      </w:r>
      <w:r w:rsidR="00FA6F0F">
        <w:tab/>
      </w:r>
      <w:r w:rsidRPr="00174C56">
        <w:t>The supply side</w:t>
      </w:r>
      <w:r w:rsidRPr="001032A3">
        <w:t xml:space="preserve"> begins to react against roaming</w:t>
      </w:r>
      <w:bookmarkEnd w:id="13"/>
      <w:bookmarkEnd w:id="14"/>
    </w:p>
    <w:p w14:paraId="7715CADB" w14:textId="77777777" w:rsidR="000A7DF2" w:rsidRPr="001032A3" w:rsidRDefault="000A7DF2" w:rsidP="000A7DF2">
      <w:pPr>
        <w:autoSpaceDE w:val="0"/>
        <w:spacing w:after="120"/>
      </w:pPr>
      <w:r w:rsidRPr="001032A3">
        <w:t xml:space="preserve">A further example comes from the USA. It could be even more significant in some ways, as the mobile industry itself may in the future view roaming as a competitive weapon due to its excesses. </w:t>
      </w:r>
    </w:p>
    <w:p w14:paraId="1A141F62" w14:textId="77777777" w:rsidR="000A7DF2" w:rsidRPr="001032A3" w:rsidRDefault="000A7DF2" w:rsidP="000A7DF2">
      <w:pPr>
        <w:autoSpaceDE w:val="0"/>
        <w:spacing w:after="120"/>
      </w:pPr>
      <w:r w:rsidRPr="001032A3">
        <w:t>This development signals a fundamental change, indicating that for the first time the industry itself is now shifting its operating principles, seeing reduction or abolition of roaming charges as a form of competitive edge. Thus the supply side is just beginning to react against the high tariffs that have been imposed for roaming.</w:t>
      </w:r>
    </w:p>
    <w:p w14:paraId="1104B4C4" w14:textId="77777777" w:rsidR="000A7DF2" w:rsidRDefault="000A7DF2" w:rsidP="000A7DF2">
      <w:pPr>
        <w:autoSpaceDE w:val="0"/>
        <w:spacing w:after="120"/>
      </w:pPr>
      <w:r w:rsidRPr="001032A3">
        <w:t>This is the essence of T-mobile</w:t>
      </w:r>
      <w:r>
        <w:t>'</w:t>
      </w:r>
      <w:r w:rsidRPr="001032A3">
        <w:t>s new competitive weapon in a market that is saturated, with high competition and two larger strong competitors:</w:t>
      </w:r>
    </w:p>
    <w:tbl>
      <w:tblPr>
        <w:tblStyle w:val="TableGrid"/>
        <w:tblW w:w="4884" w:type="pct"/>
        <w:tblInd w:w="122" w:type="dxa"/>
        <w:tblLook w:val="04A0" w:firstRow="1" w:lastRow="0" w:firstColumn="1" w:lastColumn="0" w:noHBand="0" w:noVBand="1"/>
      </w:tblPr>
      <w:tblGrid>
        <w:gridCol w:w="9351"/>
      </w:tblGrid>
      <w:tr w:rsidR="00232C2F" w14:paraId="6B333557" w14:textId="77777777">
        <w:tc>
          <w:tcPr>
            <w:tcW w:w="9351" w:type="dxa"/>
          </w:tcPr>
          <w:p w14:paraId="7C978596" w14:textId="77777777" w:rsidR="00232C2F" w:rsidRPr="00406208" w:rsidRDefault="00232C2F" w:rsidP="00103619">
            <w:pPr>
              <w:keepNext/>
              <w:keepLines/>
              <w:autoSpaceDE w:val="0"/>
              <w:spacing w:before="0" w:after="120"/>
              <w:rPr>
                <w:b/>
                <w:bCs/>
              </w:rPr>
            </w:pPr>
            <w:r w:rsidRPr="00406208">
              <w:rPr>
                <w:b/>
                <w:bCs/>
              </w:rPr>
              <w:lastRenderedPageBreak/>
              <w:t>T-Mobile’s anti-roaming-charge strategy is a competitive weapon</w:t>
            </w:r>
          </w:p>
          <w:p w14:paraId="5BECC925" w14:textId="1C80C4C0" w:rsidR="00232C2F" w:rsidRPr="001032A3" w:rsidRDefault="00232C2F" w:rsidP="0001308B">
            <w:pPr>
              <w:spacing w:before="120"/>
            </w:pPr>
            <w:r w:rsidRPr="00103619">
              <w:rPr>
                <w:sz w:val="22"/>
                <w:szCs w:val="22"/>
              </w:rPr>
              <w:t>In the USA, on 10 October 2013, the president of T-Mobile, USA, John Legere, announced that T</w:t>
            </w:r>
            <w:r w:rsidR="0001308B">
              <w:rPr>
                <w:sz w:val="22"/>
                <w:szCs w:val="22"/>
              </w:rPr>
              <w:noBreakHyphen/>
            </w:r>
            <w:r w:rsidRPr="00103619">
              <w:rPr>
                <w:sz w:val="22"/>
                <w:szCs w:val="22"/>
              </w:rPr>
              <w:t>Mobile USA would abolish additional roaming charges for texting and mobile data in over 100</w:t>
            </w:r>
            <w:r w:rsidR="0001308B">
              <w:rPr>
                <w:sz w:val="22"/>
                <w:szCs w:val="22"/>
              </w:rPr>
              <w:t> </w:t>
            </w:r>
            <w:r w:rsidRPr="00103619">
              <w:rPr>
                <w:sz w:val="22"/>
                <w:szCs w:val="22"/>
              </w:rPr>
              <w:t>countries, with a flat global rate of 20 cents per minute for users who make voice calls while they are abroad on their "Simple Choice" tariff. He stated</w:t>
            </w:r>
            <w:r w:rsidRPr="001032A3">
              <w:rPr>
                <w:rStyle w:val="FootnoteCharacters"/>
              </w:rPr>
              <w:footnoteReference w:id="11"/>
            </w:r>
            <w:r w:rsidRPr="001032A3">
              <w:t>:</w:t>
            </w:r>
          </w:p>
          <w:p w14:paraId="25ED81CF" w14:textId="77777777" w:rsidR="00232C2F" w:rsidRPr="00103619" w:rsidRDefault="00232C2F" w:rsidP="00103619">
            <w:pPr>
              <w:autoSpaceDE w:val="0"/>
              <w:spacing w:before="120"/>
              <w:rPr>
                <w:i/>
                <w:iCs/>
                <w:sz w:val="22"/>
                <w:szCs w:val="22"/>
              </w:rPr>
            </w:pPr>
            <w:r w:rsidRPr="00103619">
              <w:rPr>
                <w:sz w:val="22"/>
                <w:szCs w:val="22"/>
              </w:rPr>
              <w:t>"</w:t>
            </w:r>
            <w:r w:rsidRPr="00103619">
              <w:rPr>
                <w:i/>
                <w:iCs/>
                <w:sz w:val="22"/>
                <w:szCs w:val="22"/>
              </w:rPr>
              <w:t>The cost of staying connected across borders is completely crazy. Today's phones are designed to work around the world, but we're forced to pay insanely inflated international connectivity fees to actually use them.</w:t>
            </w:r>
            <w:r w:rsidRPr="00103619">
              <w:rPr>
                <w:sz w:val="22"/>
                <w:szCs w:val="22"/>
              </w:rPr>
              <w:t>"</w:t>
            </w:r>
          </w:p>
          <w:p w14:paraId="2399B539" w14:textId="77777777" w:rsidR="00232C2F" w:rsidRPr="00103619" w:rsidRDefault="00232C2F" w:rsidP="00103619">
            <w:pPr>
              <w:autoSpaceDE w:val="0"/>
              <w:spacing w:before="120"/>
              <w:rPr>
                <w:sz w:val="22"/>
                <w:szCs w:val="22"/>
              </w:rPr>
            </w:pPr>
            <w:r w:rsidRPr="00103619">
              <w:rPr>
                <w:sz w:val="22"/>
                <w:szCs w:val="22"/>
              </w:rPr>
              <w:t>T-Mobile estimated that if the average user operates their phone abroad in the same way they do at home, charges of up to USD 1'000 a day are possible, causing 40% of customers to turn off data roaming completely. Legere noted:</w:t>
            </w:r>
          </w:p>
          <w:p w14:paraId="5ACA0912" w14:textId="77777777" w:rsidR="00232C2F" w:rsidRPr="00103619" w:rsidRDefault="00232C2F" w:rsidP="00103619">
            <w:pPr>
              <w:autoSpaceDE w:val="0"/>
              <w:spacing w:before="120"/>
              <w:rPr>
                <w:b/>
                <w:bCs/>
                <w:i/>
                <w:iCs/>
                <w:sz w:val="22"/>
                <w:szCs w:val="22"/>
              </w:rPr>
            </w:pPr>
            <w:r w:rsidRPr="00103619">
              <w:rPr>
                <w:b/>
                <w:bCs/>
                <w:sz w:val="22"/>
                <w:szCs w:val="22"/>
              </w:rPr>
              <w:t>"</w:t>
            </w:r>
            <w:r w:rsidRPr="00103619">
              <w:rPr>
                <w:i/>
                <w:iCs/>
                <w:sz w:val="22"/>
                <w:szCs w:val="22"/>
              </w:rPr>
              <w:t>It doesn’t have to be this way. The truth is that the industry's been charging huge fees for data roaming. But what's most surprising is that no one's called them out – until now.</w:t>
            </w:r>
            <w:r w:rsidRPr="00103619">
              <w:rPr>
                <w:sz w:val="22"/>
                <w:szCs w:val="22"/>
              </w:rPr>
              <w:t>"</w:t>
            </w:r>
          </w:p>
          <w:p w14:paraId="13CAEEAE" w14:textId="77777777" w:rsidR="00232C2F" w:rsidRDefault="00232C2F" w:rsidP="00103619">
            <w:pPr>
              <w:autoSpaceDE w:val="0"/>
              <w:spacing w:before="120" w:after="120"/>
            </w:pPr>
            <w:r w:rsidRPr="00103619">
              <w:rPr>
                <w:sz w:val="22"/>
                <w:szCs w:val="22"/>
              </w:rPr>
              <w:t>In the USA, T-Mobile is using retail price differentiation as a key competitive weapon. It has added some 650'000 new subscribers just in Q3 2013 in the USA</w:t>
            </w:r>
            <w:r w:rsidRPr="001032A3">
              <w:rPr>
                <w:rStyle w:val="FootnoteCharacters"/>
              </w:rPr>
              <w:footnoteReference w:id="12"/>
            </w:r>
            <w:r w:rsidRPr="001032A3">
              <w:t xml:space="preserve"> </w:t>
            </w:r>
            <w:r w:rsidRPr="00103619">
              <w:rPr>
                <w:sz w:val="22"/>
                <w:szCs w:val="22"/>
              </w:rPr>
              <w:t>with roaming playing a major part in this strategy.</w:t>
            </w:r>
          </w:p>
        </w:tc>
      </w:tr>
    </w:tbl>
    <w:p w14:paraId="26924A49" w14:textId="77777777" w:rsidR="000A7DF2" w:rsidRPr="001032A3" w:rsidRDefault="000A7DF2" w:rsidP="000A7DF2">
      <w:pPr>
        <w:autoSpaceDE w:val="0"/>
        <w:spacing w:after="120"/>
      </w:pPr>
      <w:r w:rsidRPr="001032A3">
        <w:t>Two further examples come from Africa:</w:t>
      </w:r>
    </w:p>
    <w:tbl>
      <w:tblPr>
        <w:tblStyle w:val="TableGrid"/>
        <w:tblW w:w="0" w:type="auto"/>
        <w:tblInd w:w="122" w:type="dxa"/>
        <w:tblLook w:val="04A0" w:firstRow="1" w:lastRow="0" w:firstColumn="1" w:lastColumn="0" w:noHBand="0" w:noVBand="1"/>
      </w:tblPr>
      <w:tblGrid>
        <w:gridCol w:w="9351"/>
      </w:tblGrid>
      <w:tr w:rsidR="00103619" w14:paraId="2F24AF45" w14:textId="77777777">
        <w:tc>
          <w:tcPr>
            <w:tcW w:w="9351" w:type="dxa"/>
          </w:tcPr>
          <w:p w14:paraId="553899C6" w14:textId="77777777" w:rsidR="00103619" w:rsidRPr="00103619" w:rsidRDefault="00103619" w:rsidP="00103619">
            <w:pPr>
              <w:autoSpaceDE w:val="0"/>
              <w:spacing w:before="0"/>
              <w:rPr>
                <w:b/>
                <w:bCs/>
                <w:sz w:val="22"/>
                <w:szCs w:val="22"/>
              </w:rPr>
            </w:pPr>
            <w:r w:rsidRPr="00103619">
              <w:rPr>
                <w:b/>
                <w:bCs/>
                <w:sz w:val="22"/>
                <w:szCs w:val="22"/>
              </w:rPr>
              <w:t>Airtel has progressively eliminated roaming charges</w:t>
            </w:r>
          </w:p>
          <w:p w14:paraId="7770372A" w14:textId="77777777" w:rsidR="00103619" w:rsidRPr="00103619" w:rsidRDefault="00103619" w:rsidP="00103619">
            <w:pPr>
              <w:autoSpaceDE w:val="0"/>
              <w:spacing w:before="120"/>
              <w:rPr>
                <w:sz w:val="22"/>
                <w:szCs w:val="22"/>
              </w:rPr>
            </w:pPr>
            <w:r w:rsidRPr="00103619">
              <w:rPr>
                <w:sz w:val="22"/>
                <w:szCs w:val="22"/>
              </w:rPr>
              <w:t>In Africa, Airtel (ex-Zain) with its One Network offering launched in 2006 began to eliminate IMR charges for its customers, by covering 16 African countries on its own network. With this offer, customers pay domestic rates for outbound roaming calls and are not charged for incoming calls. It is also possible to use visited network recharge cards, whereby Airtel makes incoming calls free, for up to 100 minutes of use, for 20 countries. Outgoing calls are charged at local rates with a 30% mark-up using current exchange rates.</w:t>
            </w:r>
          </w:p>
          <w:p w14:paraId="2701383A" w14:textId="77777777" w:rsidR="00103619" w:rsidRPr="00103619" w:rsidRDefault="00103619" w:rsidP="00103619">
            <w:pPr>
              <w:autoSpaceDE w:val="0"/>
              <w:rPr>
                <w:b/>
                <w:bCs/>
                <w:sz w:val="22"/>
                <w:szCs w:val="22"/>
              </w:rPr>
            </w:pPr>
            <w:r w:rsidRPr="00103619">
              <w:rPr>
                <w:b/>
                <w:bCs/>
                <w:sz w:val="22"/>
                <w:szCs w:val="22"/>
              </w:rPr>
              <w:t>MTN score on SMS and data while Vodafone has 'One Africa Family'</w:t>
            </w:r>
          </w:p>
          <w:p w14:paraId="74D6C72F" w14:textId="77777777" w:rsidR="00103619" w:rsidRPr="00103619" w:rsidRDefault="00103619" w:rsidP="00103619">
            <w:pPr>
              <w:autoSpaceDE w:val="0"/>
              <w:spacing w:before="120"/>
              <w:rPr>
                <w:sz w:val="22"/>
                <w:szCs w:val="22"/>
              </w:rPr>
            </w:pPr>
            <w:r w:rsidRPr="00103619">
              <w:rPr>
                <w:sz w:val="22"/>
                <w:szCs w:val="22"/>
              </w:rPr>
              <w:t xml:space="preserve">Also in Africa, MTN operates its "MTN One World" offering for send/receive SMS and browse/use data at a unified call rate while visiting countries where MTN operates. </w:t>
            </w:r>
          </w:p>
          <w:p w14:paraId="6EA4462A" w14:textId="77777777" w:rsidR="00103619" w:rsidRPr="00103619" w:rsidRDefault="00103619" w:rsidP="00103619">
            <w:pPr>
              <w:autoSpaceDE w:val="0"/>
              <w:spacing w:before="120" w:after="120"/>
              <w:rPr>
                <w:sz w:val="22"/>
                <w:szCs w:val="22"/>
              </w:rPr>
            </w:pPr>
            <w:r w:rsidRPr="00103619">
              <w:rPr>
                <w:sz w:val="22"/>
                <w:szCs w:val="22"/>
              </w:rPr>
              <w:t>In a similar vein, Vodacom has its "One Africa Family", offering free incoming calls in 10 African countries and a default rate when roaming on Vodacom network outgoing calls.</w:t>
            </w:r>
          </w:p>
        </w:tc>
      </w:tr>
    </w:tbl>
    <w:p w14:paraId="2D64C734" w14:textId="77777777" w:rsidR="000A7DF2" w:rsidRPr="001032A3" w:rsidRDefault="000A7DF2" w:rsidP="000A7DF2">
      <w:pPr>
        <w:autoSpaceDE w:val="0"/>
        <w:spacing w:after="120"/>
      </w:pPr>
      <w:r w:rsidRPr="001032A3">
        <w:t xml:space="preserve">One question is </w:t>
      </w:r>
      <w:r>
        <w:t>–</w:t>
      </w:r>
      <w:r w:rsidRPr="001032A3">
        <w:t xml:space="preserve"> how would such offers work when the consumer has unlimited calls on a flat domestic subscription? For instance, the operator </w:t>
      </w:r>
      <w:r>
        <w:t>'</w:t>
      </w:r>
      <w:r w:rsidRPr="001032A3">
        <w:t>Free</w:t>
      </w:r>
      <w:r>
        <w:t>'</w:t>
      </w:r>
      <w:r w:rsidRPr="001032A3">
        <w:t xml:space="preserve"> in France offers for EUR</w:t>
      </w:r>
      <w:r>
        <w:t xml:space="preserve"> </w:t>
      </w:r>
      <w:r w:rsidRPr="001032A3">
        <w:t xml:space="preserve">19.90/month unlimited domestic calls, fixed and mobile, including fixed line calls to 100 countries. Overall, call volume can be expected to increase – and so revenues and incomes to the operator may climb rather than be throttled when visiting another country. Certainly </w:t>
      </w:r>
      <w:r>
        <w:t>'</w:t>
      </w:r>
      <w:r w:rsidRPr="001032A3">
        <w:t>Free</w:t>
      </w:r>
      <w:r>
        <w:t>'</w:t>
      </w:r>
      <w:r w:rsidRPr="001032A3">
        <w:t xml:space="preserve"> is pursuing this strategy successfully.</w:t>
      </w:r>
    </w:p>
    <w:p w14:paraId="0E3AE744" w14:textId="77777777" w:rsidR="000A7DF2" w:rsidRPr="001032A3" w:rsidRDefault="000A7DF2" w:rsidP="000A7DF2">
      <w:pPr>
        <w:autoSpaceDE w:val="0"/>
        <w:spacing w:after="120"/>
      </w:pPr>
      <w:r w:rsidRPr="001032A3">
        <w:t>Technology advances are also making free and low cost roaming possible – especially IP-based voice using data connectivity (VoIP). For instance, IP voice for a Wi-Fi connected handset is offered at low prices (down to free) from anywhere in the world to its home country by the Norwegian MNO, Network Norway, which is part of the Tele2 Group. Its Mobile IP service for both mobile and fixed line terminations in Norway uses a downloaded IP app. IP voice over LTE (VoLTE) can only expand this trend.</w:t>
      </w:r>
    </w:p>
    <w:p w14:paraId="04C6D939" w14:textId="77777777" w:rsidR="000A7DF2" w:rsidRPr="001032A3" w:rsidRDefault="000A7DF2" w:rsidP="00FA6F0F">
      <w:pPr>
        <w:pStyle w:val="Heading2"/>
        <w:ind w:left="720" w:hanging="720"/>
      </w:pPr>
      <w:bookmarkStart w:id="15" w:name="_Toc425326305"/>
      <w:bookmarkStart w:id="16" w:name="_Toc429485872"/>
      <w:r w:rsidRPr="001032A3">
        <w:lastRenderedPageBreak/>
        <w:t>1.3</w:t>
      </w:r>
      <w:r w:rsidR="00FA6F0F">
        <w:tab/>
      </w:r>
      <w:r w:rsidRPr="001032A3">
        <w:t>The consumer is becoming more and more conscious of the penalties of roaming, raising a key question</w:t>
      </w:r>
      <w:bookmarkEnd w:id="15"/>
      <w:bookmarkEnd w:id="16"/>
    </w:p>
    <w:p w14:paraId="5B88180D" w14:textId="77777777" w:rsidR="000A7DF2" w:rsidRPr="001032A3" w:rsidRDefault="000A7DF2" w:rsidP="000A7DF2">
      <w:pPr>
        <w:autoSpaceDE w:val="0"/>
        <w:spacing w:after="120"/>
      </w:pPr>
      <w:r w:rsidRPr="001032A3">
        <w:t>Consumer reactions to unintentional roaming are becoming ever more hostile, especially with the rise of accidental roaming across frontiers due to overlapping mobile signal areas. In one common example, Icelandic mobile services can be used by error in the British Channel or the Irish Sea</w:t>
      </w:r>
      <w:r w:rsidRPr="001032A3">
        <w:rPr>
          <w:rStyle w:val="FootnoteCharacters"/>
        </w:rPr>
        <w:footnoteReference w:id="13"/>
      </w:r>
      <w:r w:rsidRPr="001032A3">
        <w:t>. These erroneous overlapping coverage areas are being enlarged by services that can give unexpected coverage, such as mobile satellite systems, as in the Icelandic example. This means consumers risk enormous charges, especially for data.</w:t>
      </w:r>
    </w:p>
    <w:p w14:paraId="0F0F9B58" w14:textId="77777777" w:rsidR="000A7DF2" w:rsidRPr="001032A3" w:rsidRDefault="000A7DF2" w:rsidP="000A7DF2">
      <w:pPr>
        <w:autoSpaceDE w:val="0"/>
        <w:spacing w:after="120"/>
      </w:pPr>
      <w:r w:rsidRPr="001032A3">
        <w:t>Thus</w:t>
      </w:r>
      <w:r>
        <w:t>,</w:t>
      </w:r>
      <w:r w:rsidRPr="001032A3">
        <w:t xml:space="preserve"> there is a key que</w:t>
      </w:r>
      <w:r>
        <w:t>stion for NRAs and governments:</w:t>
      </w:r>
    </w:p>
    <w:p w14:paraId="64C732AB" w14:textId="77777777" w:rsidR="000A7DF2" w:rsidRPr="001032A3" w:rsidRDefault="000A7DF2" w:rsidP="000A7DF2">
      <w:pPr>
        <w:autoSpaceDE w:val="0"/>
        <w:spacing w:after="120"/>
        <w:ind w:left="360"/>
        <w:rPr>
          <w:b/>
          <w:bCs/>
          <w:i/>
          <w:iCs/>
        </w:rPr>
      </w:pPr>
      <w:r w:rsidRPr="001032A3">
        <w:rPr>
          <w:b/>
          <w:bCs/>
          <w:i/>
          <w:iCs/>
        </w:rPr>
        <w:t>How can we understand the real cost of roaming, to ensure that any charges are cost-based?</w:t>
      </w:r>
    </w:p>
    <w:p w14:paraId="48EFB0B3" w14:textId="77777777" w:rsidR="000A7DF2" w:rsidRPr="001032A3" w:rsidRDefault="000A7DF2" w:rsidP="000A7DF2">
      <w:pPr>
        <w:autoSpaceDE w:val="0"/>
        <w:spacing w:after="120"/>
      </w:pPr>
      <w:r w:rsidRPr="001032A3">
        <w:t>The deliverables and methodology given below outline the overall approach to this project.</w:t>
      </w:r>
    </w:p>
    <w:p w14:paraId="2E5A900E" w14:textId="77777777" w:rsidR="000A7DF2" w:rsidRPr="00FA6F0F" w:rsidRDefault="000A7DF2" w:rsidP="00FA6F0F">
      <w:pPr>
        <w:pStyle w:val="Heading2"/>
      </w:pPr>
      <w:bookmarkStart w:id="17" w:name="_Toc425326306"/>
      <w:bookmarkStart w:id="18" w:name="_Toc429485873"/>
      <w:r w:rsidRPr="00FA6F0F">
        <w:t>1.4</w:t>
      </w:r>
      <w:r w:rsidR="00FA6F0F">
        <w:tab/>
      </w:r>
      <w:r w:rsidRPr="00FA6F0F">
        <w:t>What deliverables are required?</w:t>
      </w:r>
      <w:bookmarkEnd w:id="17"/>
      <w:bookmarkEnd w:id="18"/>
    </w:p>
    <w:p w14:paraId="6355386F" w14:textId="77777777" w:rsidR="000A7DF2" w:rsidRPr="001032A3" w:rsidRDefault="000A7DF2" w:rsidP="000A7DF2">
      <w:pPr>
        <w:autoSpaceDE w:val="0"/>
        <w:spacing w:after="120"/>
      </w:pPr>
      <w:r w:rsidRPr="001032A3">
        <w:t>The principal deliverable needed to reply to the above situation is a cost-based overview analysis of roaming charges, in order that regulators may understand the real costs involved, in terms of their nature and levels. We examine this through the following elements:</w:t>
      </w:r>
    </w:p>
    <w:p w14:paraId="5762E1E0" w14:textId="77777777" w:rsidR="000A7DF2" w:rsidRPr="001032A3" w:rsidRDefault="00FA6F0F" w:rsidP="00FA6F0F">
      <w:pPr>
        <w:pStyle w:val="enumlev1"/>
      </w:pPr>
      <w:r>
        <w:t>•</w:t>
      </w:r>
      <w:r>
        <w:tab/>
      </w:r>
      <w:r w:rsidR="000A7DF2" w:rsidRPr="001032A3">
        <w:rPr>
          <w:i/>
          <w:iCs/>
        </w:rPr>
        <w:t>A cost model</w:t>
      </w:r>
      <w:r w:rsidR="000A7DF2" w:rsidRPr="001032A3">
        <w:t xml:space="preserve"> to show the real cost to the MNOs of roaming, against which a cost-based analysis of roaming tariffs can be established. This will be explained in language and format that is easy to understand. The benefits of the model are that it should make the costs involved to the mobile, and if involved fixed, operators, as transparent as possible by breaking down the operational processes for call handling in terms of the business processes involved. It depends for its actual data on a data gathering exercise by the regulators wishing to understand the roaming situation.</w:t>
      </w:r>
    </w:p>
    <w:p w14:paraId="07802944" w14:textId="77777777" w:rsidR="000A7DF2" w:rsidRPr="001032A3" w:rsidRDefault="00FA6F0F" w:rsidP="00FA6F0F">
      <w:pPr>
        <w:pStyle w:val="enumlev1"/>
      </w:pPr>
      <w:r>
        <w:t>•</w:t>
      </w:r>
      <w:r>
        <w:tab/>
      </w:r>
      <w:r w:rsidR="000A7DF2" w:rsidRPr="001032A3">
        <w:rPr>
          <w:i/>
          <w:iCs/>
        </w:rPr>
        <w:t>Definition and description of the data</w:t>
      </w:r>
      <w:r w:rsidR="000A7DF2" w:rsidRPr="001032A3">
        <w:t xml:space="preserve"> that needs to be gathered for the cost model by NRAs that will measure the levels of the major cost elements.</w:t>
      </w:r>
    </w:p>
    <w:p w14:paraId="5ABBD5D7" w14:textId="77777777" w:rsidR="000A7DF2" w:rsidRPr="001032A3" w:rsidRDefault="00FA6F0F" w:rsidP="00FA6F0F">
      <w:pPr>
        <w:pStyle w:val="enumlev1"/>
      </w:pPr>
      <w:r>
        <w:t>•</w:t>
      </w:r>
      <w:r>
        <w:tab/>
      </w:r>
      <w:r w:rsidR="000A7DF2" w:rsidRPr="001032A3">
        <w:rPr>
          <w:i/>
          <w:iCs/>
        </w:rPr>
        <w:t>A briefing for NRAs,</w:t>
      </w:r>
      <w:r w:rsidR="000A7DF2" w:rsidRPr="001032A3">
        <w:t xml:space="preserve"> to guide them firstly through the data gathering process, by use of a questionnaire and secondly on the use of the cost model with its calculations.</w:t>
      </w:r>
    </w:p>
    <w:p w14:paraId="73078586" w14:textId="77777777" w:rsidR="000A7DF2" w:rsidRPr="001032A3" w:rsidRDefault="00FA6F0F" w:rsidP="00FA6F0F">
      <w:pPr>
        <w:pStyle w:val="enumlev1"/>
      </w:pPr>
      <w:r>
        <w:t>•</w:t>
      </w:r>
      <w:r>
        <w:tab/>
      </w:r>
      <w:r w:rsidR="000A7DF2" w:rsidRPr="001032A3">
        <w:rPr>
          <w:i/>
          <w:iCs/>
        </w:rPr>
        <w:t>An outline of the situation on regulatory moves in the European Union</w:t>
      </w:r>
      <w:r w:rsidR="000A7DF2" w:rsidRPr="001032A3">
        <w:t>, with an analysis of whether the new directives since 2007 and those continuing to 2016 and beyond have so far brought the roaming charges in line with costs and whether they will do this in the future. This is given in Annex</w:t>
      </w:r>
      <w:r>
        <w:t> </w:t>
      </w:r>
      <w:r w:rsidR="000A7DF2" w:rsidRPr="001032A3">
        <w:t>1.</w:t>
      </w:r>
    </w:p>
    <w:p w14:paraId="029A5F84" w14:textId="77777777" w:rsidR="000A7DF2" w:rsidRPr="00611ABD" w:rsidRDefault="000A7DF2" w:rsidP="000A7DF2">
      <w:pPr>
        <w:autoSpaceDE w:val="0"/>
        <w:spacing w:after="120"/>
      </w:pPr>
      <w:r w:rsidRPr="001032A3">
        <w:t>Presentations of the cost model and use of questionnaire are planned for various future working sessions, at the ITU-T Study Group 3 meetings, showing the spreadsheet and its operation.</w:t>
      </w:r>
    </w:p>
    <w:p w14:paraId="774F0BEA" w14:textId="77777777" w:rsidR="000A7DF2" w:rsidRPr="001032A3" w:rsidRDefault="000A7DF2" w:rsidP="00103619">
      <w:pPr>
        <w:pStyle w:val="Heading1"/>
      </w:pPr>
      <w:bookmarkStart w:id="19" w:name="_Toc425326307"/>
      <w:bookmarkStart w:id="20" w:name="_Toc429485874"/>
      <w:r w:rsidRPr="001032A3">
        <w:lastRenderedPageBreak/>
        <w:t xml:space="preserve">Chapter 2 </w:t>
      </w:r>
      <w:r>
        <w:t xml:space="preserve">– </w:t>
      </w:r>
      <w:r w:rsidRPr="001032A3">
        <w:t>Principles of telecommunications costing and the basis of the cost model</w:t>
      </w:r>
      <w:bookmarkEnd w:id="19"/>
      <w:bookmarkEnd w:id="20"/>
    </w:p>
    <w:p w14:paraId="2E88FC5C" w14:textId="77777777" w:rsidR="000A7DF2" w:rsidRPr="001032A3" w:rsidRDefault="000A7DF2" w:rsidP="00103619">
      <w:pPr>
        <w:pStyle w:val="Heading2"/>
      </w:pPr>
      <w:bookmarkStart w:id="21" w:name="_Toc425326308"/>
      <w:bookmarkStart w:id="22" w:name="_Toc429485875"/>
      <w:r w:rsidRPr="001032A3">
        <w:t>2.1</w:t>
      </w:r>
      <w:r w:rsidR="00FA6F0F">
        <w:tab/>
      </w:r>
      <w:r w:rsidRPr="001032A3">
        <w:t>Principles of telecommunications costing</w:t>
      </w:r>
      <w:bookmarkEnd w:id="21"/>
      <w:bookmarkEnd w:id="22"/>
    </w:p>
    <w:p w14:paraId="584612A3" w14:textId="77777777" w:rsidR="000A7DF2" w:rsidRPr="001032A3" w:rsidRDefault="000A7DF2" w:rsidP="00103619">
      <w:pPr>
        <w:keepNext/>
        <w:autoSpaceDE w:val="0"/>
        <w:spacing w:after="120"/>
      </w:pPr>
      <w:r w:rsidRPr="001032A3">
        <w:t xml:space="preserve">Although well understood, for completeness, some of the key principles in this area are given below as background to the model. </w:t>
      </w:r>
    </w:p>
    <w:p w14:paraId="1345E06B" w14:textId="77777777" w:rsidR="000A7DF2" w:rsidRPr="001032A3" w:rsidRDefault="000A7DF2" w:rsidP="000A7DF2">
      <w:pPr>
        <w:autoSpaceDE w:val="0"/>
        <w:spacing w:after="120"/>
      </w:pPr>
      <w:r w:rsidRPr="001032A3">
        <w:t>The basic principles of telecommunications costing can be broken down in a simplified view as the two principle levels of:</w:t>
      </w:r>
    </w:p>
    <w:p w14:paraId="7ABF1D3E" w14:textId="77777777" w:rsidR="000A7DF2" w:rsidRPr="001032A3" w:rsidRDefault="000A7DF2" w:rsidP="00FA6F0F">
      <w:pPr>
        <w:pStyle w:val="enumlev1"/>
      </w:pPr>
      <w:r w:rsidRPr="001032A3">
        <w:t>a)</w:t>
      </w:r>
      <w:r w:rsidR="00FA6F0F">
        <w:tab/>
      </w:r>
      <w:r w:rsidRPr="001032A3">
        <w:t>The retail tariff to the subscriber</w:t>
      </w:r>
      <w:r>
        <w:t>;</w:t>
      </w:r>
    </w:p>
    <w:p w14:paraId="10D1D275" w14:textId="77777777" w:rsidR="000A7DF2" w:rsidRPr="001032A3" w:rsidRDefault="000A7DF2" w:rsidP="00FA6F0F">
      <w:pPr>
        <w:pStyle w:val="enumlev1"/>
      </w:pPr>
      <w:r w:rsidRPr="001032A3">
        <w:t>b)</w:t>
      </w:r>
      <w:r w:rsidR="00FA6F0F">
        <w:tab/>
      </w:r>
      <w:r w:rsidRPr="001032A3">
        <w:t>All the underlying operational costs, including necessary capital expenditure for infrastructure</w:t>
      </w:r>
      <w:r>
        <w:t>,</w:t>
      </w:r>
      <w:r w:rsidRPr="001032A3">
        <w:t xml:space="preserve"> etc</w:t>
      </w:r>
      <w:r>
        <w:t>.</w:t>
      </w:r>
      <w:r w:rsidRPr="001032A3">
        <w:t>, for all of the operators involved in the call.</w:t>
      </w:r>
    </w:p>
    <w:p w14:paraId="5C837A97" w14:textId="77777777" w:rsidR="000A7DF2" w:rsidRPr="001032A3" w:rsidRDefault="000A7DF2" w:rsidP="00FA6F0F">
      <w:r w:rsidRPr="001032A3">
        <w:t>These are connected by the mark-up or profit on the costs. Note that profit margins are added by each of the operators contributing to the roaming costs by carrying the call. The subscriber</w:t>
      </w:r>
      <w:r>
        <w:t>'</w:t>
      </w:r>
      <w:r w:rsidRPr="001032A3">
        <w:t>s MNO then adds its own profit, to eventually produce the retail tariff for the subscriber.</w:t>
      </w:r>
    </w:p>
    <w:p w14:paraId="3B02D383" w14:textId="77777777" w:rsidR="000A7DF2" w:rsidRPr="001032A3" w:rsidRDefault="000A7DF2" w:rsidP="00FA6F0F">
      <w:pPr>
        <w:pStyle w:val="Heading3"/>
        <w:rPr>
          <w:lang w:val="en-US"/>
        </w:rPr>
      </w:pPr>
      <w:bookmarkStart w:id="23" w:name="_Toc425326309"/>
      <w:r w:rsidRPr="001032A3">
        <w:rPr>
          <w:lang w:val="en-US"/>
        </w:rPr>
        <w:t>2.1.1</w:t>
      </w:r>
      <w:r w:rsidR="00FA6F0F">
        <w:rPr>
          <w:lang w:val="en-US"/>
        </w:rPr>
        <w:tab/>
      </w:r>
      <w:r w:rsidRPr="001032A3">
        <w:rPr>
          <w:lang w:val="en-US"/>
        </w:rPr>
        <w:t xml:space="preserve">Retail </w:t>
      </w:r>
      <w:r>
        <w:rPr>
          <w:lang w:val="en-US"/>
        </w:rPr>
        <w:t>t</w:t>
      </w:r>
      <w:r w:rsidRPr="001032A3">
        <w:rPr>
          <w:lang w:val="en-US"/>
        </w:rPr>
        <w:t>ariffs</w:t>
      </w:r>
      <w:bookmarkEnd w:id="23"/>
      <w:r w:rsidRPr="001032A3">
        <w:rPr>
          <w:lang w:val="en-US"/>
        </w:rPr>
        <w:t xml:space="preserve"> </w:t>
      </w:r>
    </w:p>
    <w:p w14:paraId="76792E90" w14:textId="77777777" w:rsidR="000A7DF2" w:rsidRPr="001032A3" w:rsidRDefault="000A7DF2" w:rsidP="00FA6F0F">
      <w:r w:rsidRPr="001032A3">
        <w:t>Retail tariffs in the mobile industry are characteri</w:t>
      </w:r>
      <w:r>
        <w:t>z</w:t>
      </w:r>
      <w:r w:rsidRPr="001032A3">
        <w:t>ed by:</w:t>
      </w:r>
    </w:p>
    <w:p w14:paraId="21FC52AF" w14:textId="77777777" w:rsidR="000A7DF2" w:rsidRPr="001032A3" w:rsidRDefault="00FA6F0F" w:rsidP="00FA6F0F">
      <w:pPr>
        <w:pStyle w:val="enumlev1"/>
      </w:pPr>
      <w:r>
        <w:t>•</w:t>
      </w:r>
      <w:r>
        <w:tab/>
      </w:r>
      <w:r w:rsidR="000A7DF2" w:rsidRPr="001032A3">
        <w:t>Metered charging – by time (second or minute) or initial minimum time and then metered</w:t>
      </w:r>
      <w:r>
        <w:t>.</w:t>
      </w:r>
    </w:p>
    <w:p w14:paraId="67FCCD87" w14:textId="77777777" w:rsidR="000A7DF2" w:rsidRPr="001032A3" w:rsidRDefault="00FA6F0F" w:rsidP="00FA6F0F">
      <w:pPr>
        <w:pStyle w:val="enumlev1"/>
      </w:pPr>
      <w:r>
        <w:t>•</w:t>
      </w:r>
      <w:r>
        <w:tab/>
      </w:r>
      <w:r w:rsidR="000A7DF2" w:rsidRPr="001032A3">
        <w:t xml:space="preserve">Location </w:t>
      </w:r>
      <w:r w:rsidR="000A7DF2">
        <w:t>–</w:t>
      </w:r>
      <w:r w:rsidR="000A7DF2" w:rsidRPr="001032A3">
        <w:t xml:space="preserve"> national locality and termination</w:t>
      </w:r>
      <w:r>
        <w:t>.</w:t>
      </w:r>
    </w:p>
    <w:p w14:paraId="68659898" w14:textId="77777777" w:rsidR="000A7DF2" w:rsidRPr="001032A3" w:rsidRDefault="00FA6F0F" w:rsidP="00FA6F0F">
      <w:pPr>
        <w:pStyle w:val="enumlev1"/>
      </w:pPr>
      <w:r>
        <w:t>•</w:t>
      </w:r>
      <w:r>
        <w:tab/>
      </w:r>
      <w:r w:rsidR="000A7DF2" w:rsidRPr="001032A3">
        <w:t>Carrier charges end</w:t>
      </w:r>
      <w:r w:rsidR="000A7DF2">
        <w:t>-</w:t>
      </w:r>
      <w:r w:rsidR="000A7DF2" w:rsidRPr="001032A3">
        <w:t>to</w:t>
      </w:r>
      <w:r w:rsidR="000A7DF2">
        <w:t>-</w:t>
      </w:r>
      <w:r w:rsidR="000A7DF2" w:rsidRPr="001032A3">
        <w:t xml:space="preserve">end </w:t>
      </w:r>
      <w:r w:rsidR="000A7DF2">
        <w:t>–</w:t>
      </w:r>
      <w:r w:rsidR="000A7DF2" w:rsidRPr="001032A3">
        <w:t xml:space="preserve"> whether the call is on the subscribed to MNO only or to a different MNO in the same country, or to </w:t>
      </w:r>
      <w:r w:rsidR="000A7DF2">
        <w:t xml:space="preserve">a </w:t>
      </w:r>
      <w:r w:rsidR="000A7DF2" w:rsidRPr="001032A3">
        <w:t>termination or origination of the call from a fixed line subscriber, i</w:t>
      </w:r>
      <w:r w:rsidR="000A7DF2">
        <w:t>.</w:t>
      </w:r>
      <w:r w:rsidR="000A7DF2" w:rsidRPr="001032A3">
        <w:t>e</w:t>
      </w:r>
      <w:r w:rsidR="000A7DF2">
        <w:t>.</w:t>
      </w:r>
      <w:r w:rsidR="000A7DF2" w:rsidRPr="001032A3">
        <w:t xml:space="preserve"> whether it is </w:t>
      </w:r>
      <w:r w:rsidR="000A7DF2">
        <w:t>'</w:t>
      </w:r>
      <w:r w:rsidR="000A7DF2" w:rsidRPr="001032A3">
        <w:t>on-net</w:t>
      </w:r>
      <w:r w:rsidR="000A7DF2">
        <w:t>'</w:t>
      </w:r>
      <w:r w:rsidR="000A7DF2" w:rsidRPr="001032A3">
        <w:t xml:space="preserve"> or </w:t>
      </w:r>
      <w:r w:rsidR="000A7DF2">
        <w:t>'</w:t>
      </w:r>
      <w:r w:rsidR="000A7DF2" w:rsidRPr="001032A3">
        <w:t>off</w:t>
      </w:r>
      <w:r w:rsidR="000A7DF2">
        <w:t>-</w:t>
      </w:r>
      <w:r w:rsidR="000A7DF2" w:rsidRPr="001032A3">
        <w:t>net</w:t>
      </w:r>
      <w:r w:rsidR="000A7DF2">
        <w:t>'</w:t>
      </w:r>
      <w:r w:rsidR="000A7DF2" w:rsidRPr="001032A3">
        <w:t>, and also, whether there is an intermediate transit via a long distance fixed, or satellite, carrier.</w:t>
      </w:r>
    </w:p>
    <w:p w14:paraId="1C9BF648" w14:textId="77777777" w:rsidR="000A7DF2" w:rsidRPr="001032A3" w:rsidRDefault="00FA6F0F" w:rsidP="00FA6F0F">
      <w:pPr>
        <w:pStyle w:val="enumlev1"/>
      </w:pPr>
      <w:r>
        <w:t>•</w:t>
      </w:r>
      <w:r>
        <w:tab/>
      </w:r>
      <w:r w:rsidR="000A7DF2" w:rsidRPr="001032A3">
        <w:t>Bundling of services volumes as packages for voice, data and SMS. These are often complex as they consist of bundles of fixed numbers of on-net calls, calls to or from fixed lines and reduced tariffs for some outgoing international calls</w:t>
      </w:r>
      <w:r w:rsidR="000A7DF2">
        <w:t>.</w:t>
      </w:r>
    </w:p>
    <w:p w14:paraId="2643F3B0" w14:textId="77777777" w:rsidR="000A7DF2" w:rsidRPr="001032A3" w:rsidRDefault="00FA6F0F" w:rsidP="00FA6F0F">
      <w:pPr>
        <w:pStyle w:val="enumlev1"/>
      </w:pPr>
      <w:r>
        <w:t>•</w:t>
      </w:r>
      <w:r>
        <w:tab/>
      </w:r>
      <w:r w:rsidR="000A7DF2" w:rsidRPr="001032A3">
        <w:t xml:space="preserve">Multiple services with different tariffs and charging principles for each of the media carried – voice, data, SMS and also multimedia messaging services </w:t>
      </w:r>
      <w:r w:rsidR="000A7DF2">
        <w:t>(</w:t>
      </w:r>
      <w:r w:rsidR="000A7DF2" w:rsidRPr="001032A3">
        <w:t>MMS</w:t>
      </w:r>
      <w:r w:rsidR="000A7DF2">
        <w:t>).</w:t>
      </w:r>
    </w:p>
    <w:p w14:paraId="17E85E03" w14:textId="77777777" w:rsidR="000A7DF2" w:rsidRPr="001032A3" w:rsidRDefault="00FA6F0F" w:rsidP="00FA6F0F">
      <w:pPr>
        <w:pStyle w:val="Heading3"/>
        <w:rPr>
          <w:lang w:val="en-US"/>
        </w:rPr>
      </w:pPr>
      <w:bookmarkStart w:id="24" w:name="_Toc425326310"/>
      <w:r>
        <w:rPr>
          <w:lang w:val="en-US"/>
        </w:rPr>
        <w:t>2.1.2</w:t>
      </w:r>
      <w:r>
        <w:rPr>
          <w:lang w:val="en-US"/>
        </w:rPr>
        <w:tab/>
      </w:r>
      <w:r w:rsidR="000A7DF2" w:rsidRPr="001032A3">
        <w:rPr>
          <w:lang w:val="en-US"/>
        </w:rPr>
        <w:t xml:space="preserve">MNO </w:t>
      </w:r>
      <w:r w:rsidR="000A7DF2">
        <w:rPr>
          <w:lang w:val="en-US"/>
        </w:rPr>
        <w:t>o</w:t>
      </w:r>
      <w:r w:rsidR="000A7DF2" w:rsidRPr="001032A3">
        <w:rPr>
          <w:lang w:val="en-US"/>
        </w:rPr>
        <w:t xml:space="preserve">perational </w:t>
      </w:r>
      <w:r w:rsidR="000A7DF2">
        <w:rPr>
          <w:lang w:val="en-US"/>
        </w:rPr>
        <w:t>c</w:t>
      </w:r>
      <w:r w:rsidR="000A7DF2" w:rsidRPr="001032A3">
        <w:rPr>
          <w:lang w:val="en-US"/>
        </w:rPr>
        <w:t>osts</w:t>
      </w:r>
      <w:bookmarkEnd w:id="24"/>
      <w:r w:rsidR="000A7DF2" w:rsidRPr="001032A3">
        <w:rPr>
          <w:lang w:val="en-US"/>
        </w:rPr>
        <w:t xml:space="preserve"> </w:t>
      </w:r>
    </w:p>
    <w:p w14:paraId="486B5FF9" w14:textId="77777777" w:rsidR="000A7DF2" w:rsidRPr="001032A3" w:rsidRDefault="000A7DF2" w:rsidP="00FA6F0F">
      <w:r w:rsidRPr="001032A3">
        <w:t>The operational costs for MNOs are characteri</w:t>
      </w:r>
      <w:r>
        <w:t>z</w:t>
      </w:r>
      <w:r w:rsidRPr="001032A3">
        <w:t>ed by being of two main categories:</w:t>
      </w:r>
    </w:p>
    <w:p w14:paraId="5A4DA6DA" w14:textId="77777777" w:rsidR="000A7DF2" w:rsidRPr="001032A3" w:rsidRDefault="00FA6F0F" w:rsidP="00FA6F0F">
      <w:pPr>
        <w:pStyle w:val="enumlev1"/>
      </w:pPr>
      <w:r>
        <w:t>•</w:t>
      </w:r>
      <w:r>
        <w:tab/>
      </w:r>
      <w:r w:rsidR="000A7DF2" w:rsidRPr="001032A3">
        <w:t xml:space="preserve">Capital expenditure (capex) – </w:t>
      </w:r>
      <w:r w:rsidR="000A7DF2">
        <w:t>P</w:t>
      </w:r>
      <w:r w:rsidR="000A7DF2" w:rsidRPr="001032A3">
        <w:t>ayments either one-time or periodically repeated for significant capital sums, e</w:t>
      </w:r>
      <w:r w:rsidR="000A7DF2">
        <w:t>.</w:t>
      </w:r>
      <w:r w:rsidR="000A7DF2" w:rsidRPr="001032A3">
        <w:t>g</w:t>
      </w:r>
      <w:r w:rsidR="000A7DF2">
        <w:t>.</w:t>
      </w:r>
      <w:r w:rsidR="000A7DF2" w:rsidRPr="001032A3">
        <w:t xml:space="preserve"> for amorti</w:t>
      </w:r>
      <w:r w:rsidR="000A7DF2">
        <w:t>z</w:t>
      </w:r>
      <w:r w:rsidR="000A7DF2" w:rsidRPr="001032A3">
        <w:t>ed equipment, or for spectrum rights at auction.</w:t>
      </w:r>
    </w:p>
    <w:p w14:paraId="7006D967" w14:textId="77777777" w:rsidR="000A7DF2" w:rsidRPr="001032A3" w:rsidRDefault="00FA6F0F" w:rsidP="00FA6F0F">
      <w:pPr>
        <w:pStyle w:val="enumlev1"/>
      </w:pPr>
      <w:r>
        <w:t>•</w:t>
      </w:r>
      <w:r>
        <w:tab/>
      </w:r>
      <w:r w:rsidR="000A7DF2" w:rsidRPr="001032A3">
        <w:t xml:space="preserve">Operational expenditure (opex) – </w:t>
      </w:r>
      <w:r w:rsidR="000A7DF2">
        <w:t>C</w:t>
      </w:r>
      <w:r w:rsidR="000A7DF2" w:rsidRPr="001032A3">
        <w:t xml:space="preserve">ontinual recurring payments </w:t>
      </w:r>
      <w:r w:rsidR="000A7DF2">
        <w:t xml:space="preserve">– </w:t>
      </w:r>
      <w:r w:rsidR="000A7DF2" w:rsidRPr="001032A3">
        <w:t>e</w:t>
      </w:r>
      <w:r w:rsidR="000A7DF2">
        <w:t>.</w:t>
      </w:r>
      <w:r w:rsidR="000A7DF2" w:rsidRPr="001032A3">
        <w:t>g</w:t>
      </w:r>
      <w:r w:rsidR="000A7DF2">
        <w:t>.</w:t>
      </w:r>
      <w:r w:rsidR="000A7DF2" w:rsidRPr="001032A3">
        <w:t xml:space="preserve"> for power supplies and other utilities, staff salaries, maintenance, rents, interconnect charges for use of other carriers, wayleaves, rights of access, rights of way, consumables, annual additional spectrum licence fees, software licences and maintenance, leases for data processing facilities, service level agreements</w:t>
      </w:r>
      <w:r w:rsidR="000A7DF2">
        <w:t xml:space="preserve"> (SLAs)</w:t>
      </w:r>
      <w:r w:rsidR="000A7DF2" w:rsidRPr="001032A3">
        <w:t>, etc.</w:t>
      </w:r>
    </w:p>
    <w:p w14:paraId="51CF26F3" w14:textId="77777777" w:rsidR="000A7DF2" w:rsidRPr="001032A3" w:rsidRDefault="000A7DF2" w:rsidP="00FA6F0F">
      <w:r w:rsidRPr="001032A3">
        <w:t>Note that one of the expenditures for any MNO, be it as capex or opex, is for a real estate portfolio. This is largely for the base stations that provide the radio area network (RAN) coverage whether owned, rented or leased from a large site holder, such as Crown Castle. The network</w:t>
      </w:r>
      <w:r>
        <w:t>'</w:t>
      </w:r>
      <w:r w:rsidRPr="001032A3">
        <w:t>s cable-laying and civil works for backhaul and its own fixed network may also be a basic infrastructure cost. Alternatively, MNO may lease fixed network capacity from others and so avoid network build where possible, both short-haul and long distance.</w:t>
      </w:r>
    </w:p>
    <w:p w14:paraId="13160CB9" w14:textId="77777777" w:rsidR="000A7DF2" w:rsidRPr="001032A3" w:rsidRDefault="000A7DF2" w:rsidP="00FA6F0F">
      <w:pPr>
        <w:pStyle w:val="Heading2"/>
      </w:pPr>
      <w:bookmarkStart w:id="25" w:name="_Toc425326311"/>
      <w:bookmarkStart w:id="26" w:name="_Toc429485876"/>
      <w:r w:rsidRPr="001032A3">
        <w:lastRenderedPageBreak/>
        <w:t>2.2</w:t>
      </w:r>
      <w:r w:rsidR="00FA6F0F">
        <w:tab/>
      </w:r>
      <w:r w:rsidRPr="001032A3">
        <w:t>The key principles for the roaming model</w:t>
      </w:r>
      <w:bookmarkEnd w:id="25"/>
      <w:bookmarkEnd w:id="26"/>
    </w:p>
    <w:p w14:paraId="4FF2E3E2" w14:textId="77777777" w:rsidR="000A7DF2" w:rsidRPr="001032A3" w:rsidRDefault="000A7DF2" w:rsidP="00FA6F0F">
      <w:r w:rsidRPr="001032A3">
        <w:t xml:space="preserve">For the roaming model, we are most interested in the incremental cost of carrying additional calls for roaming in and out of the home and visited country, in terms of impacts on the MNO cost base in two areas, as these are the basic cost items: </w:t>
      </w:r>
    </w:p>
    <w:p w14:paraId="341D244D" w14:textId="77777777" w:rsidR="000A7DF2" w:rsidRPr="001032A3" w:rsidRDefault="00FA6F0F" w:rsidP="00FA6F0F">
      <w:pPr>
        <w:pStyle w:val="enumlev1"/>
      </w:pPr>
      <w:r>
        <w:t>a)</w:t>
      </w:r>
      <w:r>
        <w:tab/>
      </w:r>
      <w:r w:rsidR="000A7DF2" w:rsidRPr="001032A3">
        <w:t xml:space="preserve">Additional load on facilities and support infrastructure due to roaming traffic; this includes the infrastructure of at least two MNOs, and perhaps a third and/or a fixed </w:t>
      </w:r>
      <w:r w:rsidR="000A7DF2">
        <w:t>(</w:t>
      </w:r>
      <w:r w:rsidR="000A7DF2" w:rsidRPr="001032A3">
        <w:t>line</w:t>
      </w:r>
      <w:r w:rsidR="000A7DF2">
        <w:t>)</w:t>
      </w:r>
      <w:r w:rsidR="000A7DF2" w:rsidRPr="001032A3">
        <w:t xml:space="preserve"> network operator (FNO), especially for long distance (LD) carriage.</w:t>
      </w:r>
    </w:p>
    <w:p w14:paraId="5D067796" w14:textId="77777777" w:rsidR="000A7DF2" w:rsidRPr="001032A3" w:rsidRDefault="00FA6F0F" w:rsidP="00FA6F0F">
      <w:pPr>
        <w:pStyle w:val="enumlev1"/>
      </w:pPr>
      <w:r>
        <w:t>b)</w:t>
      </w:r>
      <w:r>
        <w:tab/>
      </w:r>
      <w:r w:rsidR="000A7DF2" w:rsidRPr="001032A3">
        <w:t>Additional load on the business processes to handle roaming – from reception of visiting subscribers to their exit, for both MNOs and for any other operators.</w:t>
      </w:r>
    </w:p>
    <w:p w14:paraId="5C26989F" w14:textId="77777777" w:rsidR="000A7DF2" w:rsidRPr="001032A3" w:rsidRDefault="000A7DF2" w:rsidP="00FA6F0F">
      <w:r w:rsidRPr="001032A3">
        <w:t xml:space="preserve">In addition, the roaming subscriber will be charged supplementary fees due to the wholesale agreements between MNOs for roaming, the inter-operator tariffs (IOTs), which increase the MNO mark-up and the subscriber charge for the call. These are agreed under the </w:t>
      </w:r>
      <w:r w:rsidRPr="00406208">
        <w:t>Standard Terms for International Roaming</w:t>
      </w:r>
      <w:r w:rsidRPr="001032A3">
        <w:rPr>
          <w:i/>
          <w:iCs/>
        </w:rPr>
        <w:t xml:space="preserve"> </w:t>
      </w:r>
      <w:r w:rsidRPr="00406208">
        <w:t>Agreements</w:t>
      </w:r>
      <w:r w:rsidRPr="001032A3">
        <w:t xml:space="preserve"> </w:t>
      </w:r>
      <w:r>
        <w:t>(</w:t>
      </w:r>
      <w:r w:rsidRPr="001032A3">
        <w:t>STIRA</w:t>
      </w:r>
      <w:r>
        <w:t>)</w:t>
      </w:r>
      <w:r w:rsidRPr="001032A3">
        <w:rPr>
          <w:i/>
          <w:iCs/>
        </w:rPr>
        <w:t xml:space="preserve"> </w:t>
      </w:r>
      <w:r w:rsidRPr="001032A3">
        <w:t xml:space="preserve">framework from the </w:t>
      </w:r>
      <w:r>
        <w:t>GSM Association (</w:t>
      </w:r>
      <w:r w:rsidRPr="001032A3">
        <w:t>GSMA</w:t>
      </w:r>
      <w:r>
        <w:t>)</w:t>
      </w:r>
      <w:r w:rsidRPr="001032A3">
        <w:t xml:space="preserve"> and may include agreements through roaming exchanges with many MNOs in a single deal. Agreements are effectively embedded in the </w:t>
      </w:r>
      <w:r>
        <w:t>subscriber identity module (</w:t>
      </w:r>
      <w:r w:rsidRPr="001032A3">
        <w:t>SIM</w:t>
      </w:r>
      <w:r>
        <w:t>)</w:t>
      </w:r>
      <w:r w:rsidRPr="001032A3">
        <w:t xml:space="preserve"> card in a mobile phone by a list of the networks with which a roaming agreement exists. This effectively </w:t>
      </w:r>
      <w:r>
        <w:t>'</w:t>
      </w:r>
      <w:r w:rsidRPr="001032A3">
        <w:t>locks in</w:t>
      </w:r>
      <w:r>
        <w:t>'</w:t>
      </w:r>
      <w:r w:rsidRPr="001032A3">
        <w:t xml:space="preserve"> the subscriber to </w:t>
      </w:r>
      <w:r>
        <w:t xml:space="preserve">a </w:t>
      </w:r>
      <w:r w:rsidRPr="001032A3">
        <w:t>preferred MNO for each country as the phone will automatically search for this network when it enters a new country.</w:t>
      </w:r>
    </w:p>
    <w:p w14:paraId="4FB9F184" w14:textId="77777777" w:rsidR="000A7DF2" w:rsidRPr="00611ABD" w:rsidRDefault="000A7DF2" w:rsidP="000A7DF2">
      <w:pPr>
        <w:autoSpaceDE w:val="0"/>
        <w:spacing w:after="120"/>
      </w:pPr>
      <w:r w:rsidRPr="001032A3">
        <w:t xml:space="preserve">The key point is that this structure produces two </w:t>
      </w:r>
      <w:r>
        <w:t>'</w:t>
      </w:r>
      <w:r w:rsidRPr="001032A3">
        <w:t>markets</w:t>
      </w:r>
      <w:r>
        <w:t>'</w:t>
      </w:r>
      <w:r w:rsidRPr="001032A3">
        <w:t xml:space="preserve"> in roaming charges, i.e. the wholesale inter-operator tariffs (IOTs) as well as the retail market. The retail market reflects the results of inter-operator commercial negotiations on wholesale international tariffs for call termination, being the floor for retail pricing due the mark-up on the IOTs agreed. The overall cost structure for the roaming business model is illustrated below with the infrastructure</w:t>
      </w:r>
      <w:r>
        <w:t>'</w:t>
      </w:r>
      <w:r w:rsidRPr="001032A3">
        <w:t xml:space="preserve">s (incremental) costs over domestic operations plus the wholesale agreement charges as shown below in </w:t>
      </w:r>
      <w:r>
        <w:t>Figure 1.</w:t>
      </w:r>
    </w:p>
    <w:p w14:paraId="2B73220E" w14:textId="77777777" w:rsidR="00FA6F0F" w:rsidRPr="00FA6F0F" w:rsidRDefault="00FA6F0F" w:rsidP="00FA6F0F">
      <w:pPr>
        <w:pStyle w:val="Figuretitle"/>
      </w:pPr>
      <w:r w:rsidRPr="001032A3">
        <w:t xml:space="preserve">Figure 1 </w:t>
      </w:r>
      <w:r>
        <w:t xml:space="preserve">– </w:t>
      </w:r>
      <w:r w:rsidRPr="001032A3">
        <w:t>Overview of the cost structure with wholesale IOT agreement and margins</w:t>
      </w:r>
    </w:p>
    <w:p w14:paraId="7AEE4966" w14:textId="77777777" w:rsidR="000A7DF2" w:rsidRDefault="000A7DF2" w:rsidP="00FA6F0F">
      <w:pPr>
        <w:pStyle w:val="Figure"/>
      </w:pPr>
      <w:r w:rsidRPr="00F05957">
        <w:rPr>
          <w:noProof/>
        </w:rPr>
        <w:drawing>
          <wp:inline distT="0" distB="0" distL="0" distR="0" wp14:anchorId="2DF08124" wp14:editId="7E971B77">
            <wp:extent cx="3990340" cy="3002280"/>
            <wp:effectExtent l="19050" t="1905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90340" cy="3002280"/>
                    </a:xfrm>
                    <a:prstGeom prst="rect">
                      <a:avLst/>
                    </a:prstGeom>
                    <a:noFill/>
                    <a:ln w="12700" cmpd="sng">
                      <a:solidFill>
                        <a:srgbClr val="008080"/>
                      </a:solidFill>
                      <a:miter lim="800000"/>
                      <a:headEnd/>
                      <a:tailEnd/>
                    </a:ln>
                    <a:effectLst/>
                  </pic:spPr>
                </pic:pic>
              </a:graphicData>
            </a:graphic>
          </wp:inline>
        </w:drawing>
      </w:r>
    </w:p>
    <w:p w14:paraId="2282D7DA" w14:textId="77777777" w:rsidR="00FA6F0F" w:rsidRPr="00FA6F0F" w:rsidRDefault="00FA6F0F" w:rsidP="00FA6F0F">
      <w:pPr>
        <w:pStyle w:val="Figuresource"/>
      </w:pPr>
    </w:p>
    <w:p w14:paraId="109F7B2C" w14:textId="77777777" w:rsidR="000A7DF2" w:rsidRPr="001032A3" w:rsidRDefault="000A7DF2" w:rsidP="00FA6F0F">
      <w:pPr>
        <w:pStyle w:val="Heading3"/>
        <w:rPr>
          <w:lang w:val="en-US"/>
        </w:rPr>
      </w:pPr>
      <w:bookmarkStart w:id="27" w:name="_Toc425326312"/>
      <w:r w:rsidRPr="001032A3">
        <w:rPr>
          <w:lang w:val="en-US"/>
        </w:rPr>
        <w:lastRenderedPageBreak/>
        <w:t>2.2.1</w:t>
      </w:r>
      <w:r w:rsidR="00FA6F0F">
        <w:rPr>
          <w:lang w:val="en-US"/>
        </w:rPr>
        <w:tab/>
      </w:r>
      <w:r w:rsidRPr="006E4854">
        <w:rPr>
          <w:lang w:val="en-US"/>
        </w:rPr>
        <w:t>Business process</w:t>
      </w:r>
      <w:r w:rsidRPr="001032A3">
        <w:rPr>
          <w:lang w:val="en-US"/>
        </w:rPr>
        <w:t xml:space="preserve"> modelling and MNO</w:t>
      </w:r>
      <w:bookmarkEnd w:id="27"/>
    </w:p>
    <w:p w14:paraId="51450A92" w14:textId="77777777" w:rsidR="000A7DF2" w:rsidRPr="001032A3" w:rsidRDefault="000A7DF2" w:rsidP="000A7DF2">
      <w:pPr>
        <w:autoSpaceDE w:val="0"/>
        <w:spacing w:after="120"/>
      </w:pPr>
      <w:r w:rsidRPr="001032A3">
        <w:t>How do we cost the elements in the diagram above? The operational world of MNO is organi</w:t>
      </w:r>
      <w:r>
        <w:t>z</w:t>
      </w:r>
      <w:r w:rsidRPr="001032A3">
        <w:t>ed as a series of business processes – and platforms designed to support each operational process, everyone with its staff and support assets. Business processes describe and govern all operations – from the signing on by a roaming subscriber to the billing process and inter-operator charging, including the various negotiations for IOT agreements between MNOs</w:t>
      </w:r>
      <w:r>
        <w:t xml:space="preserve"> to set up roaming agreements and then monitor them</w:t>
      </w:r>
      <w:r w:rsidRPr="001032A3">
        <w:t xml:space="preserve">. Business process analysis (BPA) is used here, involving a dissection of business activities into a chain of activities. </w:t>
      </w:r>
    </w:p>
    <w:p w14:paraId="60B356BB" w14:textId="77777777" w:rsidR="000A7DF2" w:rsidRPr="001032A3" w:rsidRDefault="000A7DF2" w:rsidP="00FA6F0F">
      <w:pPr>
        <w:pStyle w:val="Heading3"/>
      </w:pPr>
      <w:bookmarkStart w:id="28" w:name="_Toc425326313"/>
      <w:r w:rsidRPr="001032A3">
        <w:rPr>
          <w:lang w:val="en-US"/>
        </w:rPr>
        <w:t>2.2.2</w:t>
      </w:r>
      <w:r w:rsidR="00FA6F0F">
        <w:rPr>
          <w:lang w:val="en-US"/>
        </w:rPr>
        <w:tab/>
      </w:r>
      <w:r w:rsidRPr="001032A3">
        <w:rPr>
          <w:lang w:val="en-US"/>
        </w:rPr>
        <w:t>Use cases enable MNO-independent analysis</w:t>
      </w:r>
      <w:bookmarkEnd w:id="28"/>
    </w:p>
    <w:p w14:paraId="5B134003" w14:textId="77777777" w:rsidR="000A7DF2" w:rsidRPr="001032A3" w:rsidRDefault="000A7DF2" w:rsidP="00FA6F0F">
      <w:r w:rsidRPr="001032A3">
        <w:t>The flaw in this approach is that each MNO is different and its implementation of business processes may</w:t>
      </w:r>
      <w:r>
        <w:t xml:space="preserve"> </w:t>
      </w:r>
      <w:r w:rsidRPr="001032A3">
        <w:t xml:space="preserve">be subtly dissimilar. </w:t>
      </w:r>
    </w:p>
    <w:p w14:paraId="0C8BAB81" w14:textId="77777777" w:rsidR="000A7DF2" w:rsidRDefault="000A7DF2" w:rsidP="00FA6F0F">
      <w:r w:rsidRPr="001032A3">
        <w:t>To overcome this, the concept of use</w:t>
      </w:r>
      <w:r>
        <w:t xml:space="preserve"> </w:t>
      </w:r>
      <w:r w:rsidRPr="001032A3">
        <w:t>cases is introduced to the analytic model. They may</w:t>
      </w:r>
      <w:r>
        <w:t xml:space="preserve"> </w:t>
      </w:r>
      <w:r w:rsidRPr="001032A3">
        <w:t>be seen as a sort of mini-scenario of typical basic use from the subscriber</w:t>
      </w:r>
      <w:r>
        <w:t>'</w:t>
      </w:r>
      <w:r w:rsidRPr="001032A3">
        <w:t>s viewpoint, not the MNO</w:t>
      </w:r>
      <w:r>
        <w:t>'</w:t>
      </w:r>
      <w:r w:rsidRPr="001032A3">
        <w:t>s. Hence use</w:t>
      </w:r>
      <w:r>
        <w:t xml:space="preserve"> </w:t>
      </w:r>
      <w:r w:rsidRPr="001032A3">
        <w:t>cases provide an approach with the power to distinguish costs across all types and sizes of MNOs, as it is based on the subscribers</w:t>
      </w:r>
      <w:r>
        <w:t>'</w:t>
      </w:r>
      <w:r w:rsidRPr="001032A3">
        <w:t xml:space="preserve"> requirements, which are largely unchanging when roaming. </w:t>
      </w:r>
    </w:p>
    <w:p w14:paraId="653F235E" w14:textId="77777777" w:rsidR="000348EF" w:rsidRPr="001032A3" w:rsidRDefault="000348EF" w:rsidP="000348EF">
      <w:pPr>
        <w:pStyle w:val="Figuretitle"/>
      </w:pPr>
      <w:r w:rsidRPr="001032A3">
        <w:t xml:space="preserve">Figure 2 </w:t>
      </w:r>
      <w:r>
        <w:t xml:space="preserve">– </w:t>
      </w:r>
      <w:r w:rsidRPr="001032A3">
        <w:t xml:space="preserve">Two views of the </w:t>
      </w:r>
      <w:r>
        <w:t xml:space="preserve">same assets and their costs – </w:t>
      </w:r>
      <w:r w:rsidRPr="001032A3">
        <w:t>MNO and subscriber views</w:t>
      </w:r>
    </w:p>
    <w:p w14:paraId="423CAD22" w14:textId="77777777" w:rsidR="000A7DF2" w:rsidRPr="00F05957" w:rsidRDefault="000A7DF2" w:rsidP="000348EF">
      <w:pPr>
        <w:pStyle w:val="Figure"/>
      </w:pPr>
      <w:r w:rsidRPr="00F05957">
        <w:rPr>
          <w:noProof/>
        </w:rPr>
        <w:drawing>
          <wp:inline distT="0" distB="0" distL="0" distR="0" wp14:anchorId="060598D3" wp14:editId="1FC47C0B">
            <wp:extent cx="4677410" cy="3514725"/>
            <wp:effectExtent l="19050" t="1905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7410" cy="3514725"/>
                    </a:xfrm>
                    <a:prstGeom prst="rect">
                      <a:avLst/>
                    </a:prstGeom>
                    <a:noFill/>
                    <a:ln w="12700" cmpd="sng">
                      <a:solidFill>
                        <a:srgbClr val="008080"/>
                      </a:solidFill>
                      <a:miter lim="800000"/>
                      <a:headEnd/>
                      <a:tailEnd/>
                    </a:ln>
                    <a:effectLst/>
                  </pic:spPr>
                </pic:pic>
              </a:graphicData>
            </a:graphic>
          </wp:inline>
        </w:drawing>
      </w:r>
    </w:p>
    <w:p w14:paraId="2CCABEFB" w14:textId="77777777" w:rsidR="000A7DF2" w:rsidRDefault="000A7DF2" w:rsidP="000348EF">
      <w:pPr>
        <w:pStyle w:val="Figuresource"/>
      </w:pPr>
    </w:p>
    <w:p w14:paraId="790D5D8D" w14:textId="77777777" w:rsidR="000A7DF2" w:rsidRPr="001032A3" w:rsidRDefault="000A7DF2" w:rsidP="000A7DF2">
      <w:pPr>
        <w:autoSpaceDE w:val="0"/>
        <w:spacing w:after="120"/>
      </w:pPr>
      <w:r w:rsidRPr="001032A3">
        <w:t xml:space="preserve">Each activity may then be examined as to its needs, with attribution of the resources necessary, be they human resources, network elements and/or IT support systems, including the main MNO infrastructure elements such as data centres, call centres or network operations centres (NOCs). </w:t>
      </w:r>
    </w:p>
    <w:p w14:paraId="10CAD72C" w14:textId="77777777" w:rsidR="000A7DF2" w:rsidRPr="001032A3" w:rsidRDefault="000A7DF2" w:rsidP="000A7DF2">
      <w:pPr>
        <w:autoSpaceDE w:val="0"/>
        <w:spacing w:after="120"/>
      </w:pPr>
      <w:r w:rsidRPr="001032A3">
        <w:t>This may yield the costs, if attributed by element. So breaking down each step of the business process and then costing that step produces a detailed cost attribution, bottom up. This may be viewed as a simplified form of traditional activity based costing (ABC). An example is shown below:</w:t>
      </w:r>
    </w:p>
    <w:p w14:paraId="50AD6AA8" w14:textId="77777777" w:rsidR="000A7DF2" w:rsidRPr="001032A3" w:rsidRDefault="000A7DF2" w:rsidP="000348EF">
      <w:pPr>
        <w:pStyle w:val="Tabletitle"/>
      </w:pPr>
      <w:r w:rsidRPr="001032A3">
        <w:lastRenderedPageBreak/>
        <w:t xml:space="preserve">Table 2 </w:t>
      </w:r>
      <w:r>
        <w:t xml:space="preserve">– </w:t>
      </w:r>
      <w:r w:rsidRPr="001032A3">
        <w:t>Business process with activities and the elements for the activity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1470"/>
        <w:gridCol w:w="4104"/>
        <w:gridCol w:w="3969"/>
      </w:tblGrid>
      <w:tr w:rsidR="000A7DF2" w:rsidRPr="001032A3" w14:paraId="4F0D8BB2" w14:textId="77777777">
        <w:trPr>
          <w:trHeight w:val="345"/>
          <w:jc w:val="center"/>
        </w:trPr>
        <w:tc>
          <w:tcPr>
            <w:tcW w:w="1470" w:type="dxa"/>
          </w:tcPr>
          <w:p w14:paraId="27E1874C" w14:textId="77777777" w:rsidR="000A7DF2" w:rsidRPr="001032A3" w:rsidRDefault="000A7DF2" w:rsidP="000348EF">
            <w:pPr>
              <w:pStyle w:val="Tablehead"/>
            </w:pPr>
            <w:r w:rsidRPr="001032A3">
              <w:t>Business process</w:t>
            </w:r>
          </w:p>
        </w:tc>
        <w:tc>
          <w:tcPr>
            <w:tcW w:w="4104" w:type="dxa"/>
          </w:tcPr>
          <w:p w14:paraId="12104767" w14:textId="77777777" w:rsidR="000A7DF2" w:rsidRPr="001032A3" w:rsidRDefault="000A7DF2" w:rsidP="000348EF">
            <w:pPr>
              <w:pStyle w:val="Tablehead"/>
            </w:pPr>
            <w:r w:rsidRPr="001032A3">
              <w:t>Activities</w:t>
            </w:r>
          </w:p>
        </w:tc>
        <w:tc>
          <w:tcPr>
            <w:tcW w:w="3969" w:type="dxa"/>
          </w:tcPr>
          <w:p w14:paraId="158FF743" w14:textId="77777777" w:rsidR="000A7DF2" w:rsidRPr="001032A3" w:rsidRDefault="000A7DF2" w:rsidP="000348EF">
            <w:pPr>
              <w:pStyle w:val="Tablehead"/>
            </w:pPr>
            <w:r w:rsidRPr="001032A3">
              <w:t>Elements involved</w:t>
            </w:r>
          </w:p>
        </w:tc>
      </w:tr>
      <w:tr w:rsidR="000A7DF2" w:rsidRPr="001032A3" w14:paraId="36E40951" w14:textId="77777777">
        <w:trPr>
          <w:trHeight w:val="600"/>
          <w:jc w:val="center"/>
        </w:trPr>
        <w:tc>
          <w:tcPr>
            <w:tcW w:w="1470" w:type="dxa"/>
            <w:vMerge w:val="restart"/>
          </w:tcPr>
          <w:p w14:paraId="55B51B02" w14:textId="77777777" w:rsidR="000A7DF2" w:rsidRPr="00D500A6" w:rsidRDefault="000A7DF2" w:rsidP="000348EF">
            <w:pPr>
              <w:pStyle w:val="Tabletext"/>
              <w:rPr>
                <w:lang w:val="en-US"/>
              </w:rPr>
            </w:pPr>
            <w:r w:rsidRPr="00D500A6">
              <w:rPr>
                <w:lang w:val="en-US"/>
              </w:rPr>
              <w:t>Handling set up of a new visiting subscriber</w:t>
            </w:r>
          </w:p>
        </w:tc>
        <w:tc>
          <w:tcPr>
            <w:tcW w:w="4104" w:type="dxa"/>
          </w:tcPr>
          <w:p w14:paraId="1FD9F26C" w14:textId="77777777" w:rsidR="000A7DF2" w:rsidRPr="00D500A6" w:rsidRDefault="000A7DF2" w:rsidP="000348EF">
            <w:pPr>
              <w:pStyle w:val="Tabletext"/>
              <w:rPr>
                <w:lang w:val="en-US"/>
              </w:rPr>
            </w:pPr>
            <w:r w:rsidRPr="00D500A6">
              <w:rPr>
                <w:lang w:val="en-US"/>
              </w:rPr>
              <w:t>Receive request from visitor to register and be activated.</w:t>
            </w:r>
          </w:p>
        </w:tc>
        <w:tc>
          <w:tcPr>
            <w:tcW w:w="3969" w:type="dxa"/>
          </w:tcPr>
          <w:p w14:paraId="0735D2C8" w14:textId="77777777" w:rsidR="000A7DF2" w:rsidRPr="00D500A6" w:rsidRDefault="000A7DF2" w:rsidP="000348EF">
            <w:pPr>
              <w:pStyle w:val="Tabletext"/>
              <w:rPr>
                <w:lang w:val="en-US"/>
              </w:rPr>
            </w:pPr>
            <w:r w:rsidRPr="00D500A6">
              <w:rPr>
                <w:lang w:val="en-US"/>
              </w:rPr>
              <w:t>Radio area network (RAN) and backhaul network to data centres.</w:t>
            </w:r>
          </w:p>
        </w:tc>
      </w:tr>
      <w:tr w:rsidR="000A7DF2" w:rsidRPr="001032A3" w14:paraId="4C7BD91B" w14:textId="77777777">
        <w:trPr>
          <w:trHeight w:val="783"/>
          <w:jc w:val="center"/>
        </w:trPr>
        <w:tc>
          <w:tcPr>
            <w:tcW w:w="1470" w:type="dxa"/>
            <w:vMerge/>
          </w:tcPr>
          <w:p w14:paraId="654626EA" w14:textId="77777777" w:rsidR="000A7DF2" w:rsidRPr="00D500A6" w:rsidRDefault="000A7DF2" w:rsidP="000348EF">
            <w:pPr>
              <w:pStyle w:val="Tabletext"/>
              <w:rPr>
                <w:lang w:val="en-US"/>
              </w:rPr>
            </w:pPr>
          </w:p>
        </w:tc>
        <w:tc>
          <w:tcPr>
            <w:tcW w:w="4104" w:type="dxa"/>
          </w:tcPr>
          <w:p w14:paraId="4F4FCB94" w14:textId="77777777" w:rsidR="000A7DF2" w:rsidRPr="00D500A6" w:rsidRDefault="000A7DF2" w:rsidP="000348EF">
            <w:pPr>
              <w:pStyle w:val="Tabletext"/>
              <w:rPr>
                <w:lang w:val="en-US"/>
              </w:rPr>
            </w:pPr>
            <w:r w:rsidRPr="00D500A6">
              <w:rPr>
                <w:lang w:val="en-US"/>
              </w:rPr>
              <w:t>Check international mobile subscriber identifier (IMSI) and inform home location register (HLR) network and verify allowed to roam.</w:t>
            </w:r>
          </w:p>
          <w:p w14:paraId="4341CE2C" w14:textId="77777777" w:rsidR="000A7DF2" w:rsidRPr="00D500A6" w:rsidRDefault="000A7DF2" w:rsidP="000348EF">
            <w:pPr>
              <w:pStyle w:val="Tabletext"/>
              <w:rPr>
                <w:lang w:val="en-US"/>
              </w:rPr>
            </w:pPr>
            <w:r w:rsidRPr="00D500A6">
              <w:rPr>
                <w:lang w:val="en-US"/>
              </w:rPr>
              <w:t>Check if prepaid or postpaid.</w:t>
            </w:r>
          </w:p>
          <w:p w14:paraId="4E8F4CEB" w14:textId="77777777" w:rsidR="000A7DF2" w:rsidRPr="00D500A6" w:rsidRDefault="000A7DF2" w:rsidP="000348EF">
            <w:pPr>
              <w:pStyle w:val="Tabletext"/>
              <w:rPr>
                <w:lang w:val="en-US"/>
              </w:rPr>
            </w:pPr>
            <w:r w:rsidRPr="00D500A6">
              <w:rPr>
                <w:lang w:val="en-US"/>
              </w:rPr>
              <w:t>Check if prepaid has roaming capacity.</w:t>
            </w:r>
          </w:p>
        </w:tc>
        <w:tc>
          <w:tcPr>
            <w:tcW w:w="3969" w:type="dxa"/>
          </w:tcPr>
          <w:p w14:paraId="6A86B287" w14:textId="77777777" w:rsidR="000A7DF2" w:rsidRPr="00D500A6" w:rsidRDefault="000A7DF2" w:rsidP="000348EF">
            <w:pPr>
              <w:pStyle w:val="Tabletext"/>
              <w:rPr>
                <w:lang w:val="en-US"/>
              </w:rPr>
            </w:pPr>
            <w:r w:rsidRPr="00D500A6">
              <w:rPr>
                <w:lang w:val="en-US"/>
              </w:rPr>
              <w:t>RAN, mobile numbers database, interconnect, transferred account procedure (TAP) file update, all in data centre.</w:t>
            </w:r>
          </w:p>
        </w:tc>
      </w:tr>
      <w:tr w:rsidR="000A7DF2" w:rsidRPr="001032A3" w14:paraId="684E865A" w14:textId="77777777">
        <w:trPr>
          <w:trHeight w:val="501"/>
          <w:jc w:val="center"/>
        </w:trPr>
        <w:tc>
          <w:tcPr>
            <w:tcW w:w="1470" w:type="dxa"/>
            <w:vMerge/>
          </w:tcPr>
          <w:p w14:paraId="4644C882" w14:textId="77777777" w:rsidR="000A7DF2" w:rsidRPr="00D500A6" w:rsidRDefault="000A7DF2" w:rsidP="000348EF">
            <w:pPr>
              <w:pStyle w:val="Tabletext"/>
              <w:rPr>
                <w:lang w:val="en-US"/>
              </w:rPr>
            </w:pPr>
          </w:p>
        </w:tc>
        <w:tc>
          <w:tcPr>
            <w:tcW w:w="4104" w:type="dxa"/>
          </w:tcPr>
          <w:p w14:paraId="57CD0C0D" w14:textId="77777777" w:rsidR="000A7DF2" w:rsidRPr="00D500A6" w:rsidRDefault="000A7DF2" w:rsidP="000348EF">
            <w:pPr>
              <w:pStyle w:val="Tabletext"/>
              <w:rPr>
                <w:lang w:val="en-US"/>
              </w:rPr>
            </w:pPr>
            <w:r w:rsidRPr="00D500A6">
              <w:rPr>
                <w:lang w:val="en-US"/>
              </w:rPr>
              <w:t>If above all verified, register visitor on visited network, in visiting location register (VLR), and activate; update customer care and billing databases (DBs).</w:t>
            </w:r>
          </w:p>
        </w:tc>
        <w:tc>
          <w:tcPr>
            <w:tcW w:w="3969" w:type="dxa"/>
          </w:tcPr>
          <w:p w14:paraId="70542CFB" w14:textId="77777777" w:rsidR="000A7DF2" w:rsidRPr="00D500A6" w:rsidRDefault="000A7DF2" w:rsidP="000348EF">
            <w:pPr>
              <w:pStyle w:val="Tabletext"/>
              <w:rPr>
                <w:lang w:val="en-US"/>
              </w:rPr>
            </w:pPr>
            <w:r w:rsidRPr="00D500A6">
              <w:rPr>
                <w:lang w:val="en-US"/>
              </w:rPr>
              <w:t>VLR, over-the-air (OTA) activation, billing file, customer care DB.</w:t>
            </w:r>
          </w:p>
        </w:tc>
      </w:tr>
    </w:tbl>
    <w:p w14:paraId="27851D90" w14:textId="77777777" w:rsidR="000A7DF2" w:rsidRPr="001032A3" w:rsidRDefault="000A7DF2" w:rsidP="000348EF">
      <w:pPr>
        <w:pStyle w:val="Heading3"/>
        <w:rPr>
          <w:lang w:val="en-US"/>
        </w:rPr>
      </w:pPr>
      <w:bookmarkStart w:id="29" w:name="_Toc425326314"/>
      <w:r w:rsidRPr="001032A3">
        <w:rPr>
          <w:lang w:val="en-US"/>
        </w:rPr>
        <w:t>2.2.3</w:t>
      </w:r>
      <w:r w:rsidR="000348EF">
        <w:rPr>
          <w:lang w:val="en-US"/>
        </w:rPr>
        <w:tab/>
      </w:r>
      <w:r w:rsidRPr="001032A3">
        <w:rPr>
          <w:lang w:val="en-US"/>
        </w:rPr>
        <w:t>Incremental cost modelling</w:t>
      </w:r>
      <w:bookmarkEnd w:id="29"/>
    </w:p>
    <w:p w14:paraId="38CBE23F" w14:textId="77777777" w:rsidR="000A7DF2" w:rsidRDefault="000A7DF2" w:rsidP="00A274F1">
      <w:pPr>
        <w:autoSpaceDE w:val="0"/>
        <w:spacing w:after="120"/>
      </w:pPr>
      <w:r w:rsidRPr="001032A3">
        <w:t xml:space="preserve">A further principle, as we are focused on the differences in costs due to roaming over domestic tariffs, is to understand the </w:t>
      </w:r>
      <w:r w:rsidRPr="001032A3">
        <w:rPr>
          <w:i/>
          <w:iCs/>
        </w:rPr>
        <w:t>incremental</w:t>
      </w:r>
      <w:r w:rsidRPr="001032A3">
        <w:t xml:space="preserve"> cost for each part of the business process due to the fact that it is employed for roaming. There are various forms that such incremental costs can take. Incremental cost due to roaming (for equipment for instance) is either an extension of capacity, or of functionality, or spend on speciali</w:t>
      </w:r>
      <w:r>
        <w:t>z</w:t>
      </w:r>
      <w:r w:rsidRPr="001032A3">
        <w:t>ed quite new equipment by function. Long term, such costs may be absorbed in some way. However</w:t>
      </w:r>
      <w:r>
        <w:t>,</w:t>
      </w:r>
      <w:r w:rsidRPr="001032A3">
        <w:t xml:space="preserve"> this is a moving target as more extensions of features become absorbed into the standard processes and support platforms over the long term. Various types of increments in costs are shown </w:t>
      </w:r>
      <w:r>
        <w:t>in Table</w:t>
      </w:r>
      <w:r w:rsidR="000348EF">
        <w:t> </w:t>
      </w:r>
      <w:r>
        <w:t>3</w:t>
      </w:r>
      <w:r w:rsidRPr="001032A3">
        <w:t xml:space="preserve"> for the MNO operations related to roaming with their long term trends:</w:t>
      </w:r>
    </w:p>
    <w:p w14:paraId="00B368ED" w14:textId="77777777" w:rsidR="000A7DF2" w:rsidRPr="000348EF" w:rsidRDefault="000A7DF2" w:rsidP="000348EF">
      <w:pPr>
        <w:pStyle w:val="Tabletitle"/>
      </w:pPr>
      <w:r w:rsidRPr="000348EF">
        <w:t>Table 3 – Types of cost increment in MNO assets for roaming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4298"/>
        <w:gridCol w:w="5103"/>
      </w:tblGrid>
      <w:tr w:rsidR="000A7DF2" w:rsidRPr="001032A3" w14:paraId="765F1A33" w14:textId="77777777" w:rsidTr="003B0BA4">
        <w:trPr>
          <w:trHeight w:val="600"/>
          <w:jc w:val="center"/>
        </w:trPr>
        <w:tc>
          <w:tcPr>
            <w:tcW w:w="4298" w:type="dxa"/>
          </w:tcPr>
          <w:p w14:paraId="7DCCFDFF" w14:textId="77777777" w:rsidR="000A7DF2" w:rsidRPr="000348EF" w:rsidRDefault="000A7DF2" w:rsidP="000348EF">
            <w:pPr>
              <w:pStyle w:val="Tablehead"/>
            </w:pPr>
            <w:r w:rsidRPr="000348EF">
              <w:t>Categories of possible cost increments (opex and capex) for roaming over domestic costs</w:t>
            </w:r>
          </w:p>
        </w:tc>
        <w:tc>
          <w:tcPr>
            <w:tcW w:w="5103" w:type="dxa"/>
            <w:vAlign w:val="center"/>
          </w:tcPr>
          <w:p w14:paraId="3C391ECB" w14:textId="77777777" w:rsidR="000A7DF2" w:rsidRPr="000348EF" w:rsidRDefault="000A7DF2" w:rsidP="000348EF">
            <w:pPr>
              <w:pStyle w:val="Tablehead"/>
            </w:pPr>
            <w:r w:rsidRPr="000348EF">
              <w:t>Long-term cost trend</w:t>
            </w:r>
          </w:p>
        </w:tc>
      </w:tr>
      <w:tr w:rsidR="000A7DF2" w:rsidRPr="001032A3" w14:paraId="7795563A" w14:textId="77777777">
        <w:trPr>
          <w:trHeight w:val="439"/>
          <w:jc w:val="center"/>
        </w:trPr>
        <w:tc>
          <w:tcPr>
            <w:tcW w:w="4298" w:type="dxa"/>
          </w:tcPr>
          <w:p w14:paraId="397D092B" w14:textId="77777777" w:rsidR="000A7DF2" w:rsidRPr="00D500A6" w:rsidRDefault="000A7DF2" w:rsidP="000348EF">
            <w:pPr>
              <w:pStyle w:val="Tabletext"/>
              <w:rPr>
                <w:lang w:val="en-US"/>
              </w:rPr>
            </w:pPr>
            <w:r w:rsidRPr="00D500A6">
              <w:rPr>
                <w:lang w:val="en-US"/>
              </w:rPr>
              <w:t>Increased capacity for international roaming for existing assets.</w:t>
            </w:r>
          </w:p>
        </w:tc>
        <w:tc>
          <w:tcPr>
            <w:tcW w:w="5103" w:type="dxa"/>
          </w:tcPr>
          <w:p w14:paraId="0CD58D2B" w14:textId="77777777" w:rsidR="000A7DF2" w:rsidRPr="00D500A6" w:rsidRDefault="000A7DF2" w:rsidP="000348EF">
            <w:pPr>
              <w:pStyle w:val="Tabletext"/>
              <w:rPr>
                <w:lang w:val="en-US"/>
              </w:rPr>
            </w:pPr>
            <w:r w:rsidRPr="00D500A6">
              <w:rPr>
                <w:lang w:val="en-US"/>
              </w:rPr>
              <w:t>May become considered part of customary business growth – i.e. normal business expansion cost.</w:t>
            </w:r>
          </w:p>
        </w:tc>
      </w:tr>
      <w:tr w:rsidR="000A7DF2" w:rsidRPr="001032A3" w14:paraId="3DEC94AB" w14:textId="77777777">
        <w:trPr>
          <w:trHeight w:val="675"/>
          <w:jc w:val="center"/>
        </w:trPr>
        <w:tc>
          <w:tcPr>
            <w:tcW w:w="4298" w:type="dxa"/>
          </w:tcPr>
          <w:p w14:paraId="3719E455" w14:textId="77777777" w:rsidR="000A7DF2" w:rsidRPr="00D500A6" w:rsidRDefault="000A7DF2" w:rsidP="000348EF">
            <w:pPr>
              <w:pStyle w:val="Tabletext"/>
              <w:rPr>
                <w:lang w:val="en-US"/>
              </w:rPr>
            </w:pPr>
            <w:r w:rsidRPr="00D500A6">
              <w:rPr>
                <w:lang w:val="en-US"/>
              </w:rPr>
              <w:t>More expensive systems for international calls (e.g. CAMEL for prepaid roaming subscribers).</w:t>
            </w:r>
          </w:p>
        </w:tc>
        <w:tc>
          <w:tcPr>
            <w:tcW w:w="5103" w:type="dxa"/>
          </w:tcPr>
          <w:p w14:paraId="7759750E" w14:textId="77777777" w:rsidR="000A7DF2" w:rsidRPr="00D500A6" w:rsidRDefault="000A7DF2" w:rsidP="000348EF">
            <w:pPr>
              <w:pStyle w:val="Tabletext"/>
              <w:rPr>
                <w:lang w:val="en-US"/>
              </w:rPr>
            </w:pPr>
            <w:r w:rsidRPr="00D500A6">
              <w:rPr>
                <w:lang w:val="en-US"/>
              </w:rPr>
              <w:t>Prices reduce rapidly, even in medium term, as become mainstream, i.e. just a dormant software feature to be optionally activated, rather than an extra module to be licensed.</w:t>
            </w:r>
          </w:p>
        </w:tc>
      </w:tr>
      <w:tr w:rsidR="000A7DF2" w:rsidRPr="001032A3" w14:paraId="0FF88FD7" w14:textId="77777777">
        <w:trPr>
          <w:trHeight w:val="675"/>
          <w:jc w:val="center"/>
        </w:trPr>
        <w:tc>
          <w:tcPr>
            <w:tcW w:w="4298" w:type="dxa"/>
          </w:tcPr>
          <w:p w14:paraId="38104441" w14:textId="77777777" w:rsidR="000A7DF2" w:rsidRPr="00D500A6" w:rsidRDefault="000A7DF2" w:rsidP="000348EF">
            <w:pPr>
              <w:pStyle w:val="Tabletext"/>
              <w:rPr>
                <w:lang w:val="en-US"/>
              </w:rPr>
            </w:pPr>
            <w:r w:rsidRPr="00D500A6">
              <w:rPr>
                <w:lang w:val="en-US"/>
              </w:rPr>
              <w:t>Specialized and different operational processes (e.g. customer care) and call handling with specific equipment.</w:t>
            </w:r>
          </w:p>
        </w:tc>
        <w:tc>
          <w:tcPr>
            <w:tcW w:w="5103" w:type="dxa"/>
          </w:tcPr>
          <w:p w14:paraId="63174D2D" w14:textId="77777777" w:rsidR="000A7DF2" w:rsidRPr="00D500A6" w:rsidRDefault="000A7DF2" w:rsidP="000348EF">
            <w:pPr>
              <w:pStyle w:val="Tabletext"/>
              <w:rPr>
                <w:lang w:val="en-US"/>
              </w:rPr>
            </w:pPr>
            <w:r w:rsidRPr="00D500A6">
              <w:rPr>
                <w:lang w:val="en-US"/>
              </w:rPr>
              <w:t>Prices reduce with time as the specialized operations become mainstream with roaming traffic growth.</w:t>
            </w:r>
          </w:p>
        </w:tc>
      </w:tr>
    </w:tbl>
    <w:p w14:paraId="4DB2F270" w14:textId="77777777" w:rsidR="000A7DF2" w:rsidRPr="001032A3" w:rsidRDefault="000A7DF2" w:rsidP="000A7DF2">
      <w:pPr>
        <w:autoSpaceDE w:val="0"/>
        <w:spacing w:after="120"/>
      </w:pPr>
      <w:r w:rsidRPr="001032A3">
        <w:t>The roaming cost increment can be measured as an additional percentage of domestic-cost only costs for the model</w:t>
      </w:r>
      <w:r>
        <w:t>'</w:t>
      </w:r>
      <w:r w:rsidRPr="001032A3">
        <w:t>s results.</w:t>
      </w:r>
    </w:p>
    <w:p w14:paraId="650B8987" w14:textId="77777777" w:rsidR="000A7DF2" w:rsidRPr="001032A3" w:rsidRDefault="000A7DF2" w:rsidP="000348EF">
      <w:pPr>
        <w:pStyle w:val="Heading3"/>
        <w:rPr>
          <w:lang w:val="en-US"/>
        </w:rPr>
      </w:pPr>
      <w:bookmarkStart w:id="30" w:name="_Toc425326315"/>
      <w:r w:rsidRPr="001032A3">
        <w:rPr>
          <w:lang w:val="en-US"/>
        </w:rPr>
        <w:t>2.2.4</w:t>
      </w:r>
      <w:r w:rsidR="000348EF">
        <w:rPr>
          <w:lang w:val="en-US"/>
        </w:rPr>
        <w:tab/>
      </w:r>
      <w:r w:rsidRPr="001032A3">
        <w:rPr>
          <w:lang w:val="en-US"/>
        </w:rPr>
        <w:t>Long</w:t>
      </w:r>
      <w:r>
        <w:rPr>
          <w:lang w:val="en-US"/>
        </w:rPr>
        <w:t>-</w:t>
      </w:r>
      <w:r w:rsidRPr="001032A3">
        <w:rPr>
          <w:lang w:val="en-US"/>
        </w:rPr>
        <w:t>term trends in roaming costs</w:t>
      </w:r>
      <w:bookmarkEnd w:id="30"/>
    </w:p>
    <w:p w14:paraId="06A7EDE4" w14:textId="77777777" w:rsidR="000A7DF2" w:rsidRPr="001032A3" w:rsidRDefault="000A7DF2" w:rsidP="000A7DF2">
      <w:pPr>
        <w:autoSpaceDE w:val="0"/>
        <w:spacing w:after="120"/>
      </w:pPr>
      <w:r w:rsidRPr="001032A3">
        <w:t>Note that the long</w:t>
      </w:r>
      <w:r>
        <w:t>-</w:t>
      </w:r>
      <w:r w:rsidRPr="001032A3">
        <w:t xml:space="preserve">term trend is that the incremental costs of a roaming call or session will move towards zero as equipment, software and processes for roaming activities become part of normal business practice, as for domestic calls. Additional effects such as expansion of the volume of calls, both domestic and roaming, if lowered pricing stimulates the market, will also tend to drive down incremental costs of roaming over domestic costs. Attractive roaming tariffs may also act to stimulate domestic business, as customers are drawn to the lower roaming tariffs when travelling </w:t>
      </w:r>
    </w:p>
    <w:p w14:paraId="735E023E" w14:textId="77777777" w:rsidR="000A7DF2" w:rsidRPr="001032A3" w:rsidRDefault="000A7DF2" w:rsidP="000A7DF2">
      <w:pPr>
        <w:autoSpaceDE w:val="0"/>
        <w:spacing w:after="120"/>
      </w:pPr>
      <w:r w:rsidRPr="001032A3">
        <w:t>Moreover</w:t>
      </w:r>
      <w:r>
        <w:t>,</w:t>
      </w:r>
      <w:r w:rsidRPr="001032A3">
        <w:t xml:space="preserve"> technology will also begin to become a factor in </w:t>
      </w:r>
      <w:r>
        <w:t xml:space="preserve">the </w:t>
      </w:r>
      <w:r w:rsidRPr="001032A3">
        <w:t xml:space="preserve">reduction of roaming costs as 2G </w:t>
      </w:r>
      <w:r>
        <w:t>global system for mobile communications (</w:t>
      </w:r>
      <w:r w:rsidRPr="001032A3">
        <w:t>GSM</w:t>
      </w:r>
      <w:r>
        <w:t>)</w:t>
      </w:r>
      <w:r w:rsidRPr="001032A3">
        <w:t xml:space="preserve"> and 3G </w:t>
      </w:r>
      <w:r>
        <w:t>universal mobile telecommunications system (</w:t>
      </w:r>
      <w:r w:rsidRPr="001032A3">
        <w:t>UMTS</w:t>
      </w:r>
      <w:r>
        <w:t>)</w:t>
      </w:r>
      <w:r w:rsidRPr="001032A3">
        <w:t xml:space="preserve"> are gradually upgraded. A move to an all IP world, as planned for LTE, would herald the entry of a new </w:t>
      </w:r>
      <w:r w:rsidRPr="001032A3">
        <w:lastRenderedPageBreak/>
        <w:t xml:space="preserve">mobile architecture in which the radio area network (RAN) may be directly connected to an IP </w:t>
      </w:r>
      <w:r>
        <w:t>'</w:t>
      </w:r>
      <w:r w:rsidRPr="001032A3">
        <w:t>cloud</w:t>
      </w:r>
      <w:r>
        <w:t>'</w:t>
      </w:r>
      <w:r w:rsidRPr="001032A3">
        <w:t xml:space="preserve"> so voice over IP (VoIP) becomes common. Voice traffic in a decade will move towards an IP stream that requires isochronous working, its only differentiator with other broadband streams. It also is reasonable to expect that wholesale IOTs for international calls will tend towards the levels of domestic IOTs between national operators, in a competitive market for roaming, although this is outside the scope of a cost-based analysis, as they are a negotiated addition. Extra charges for overheads due to international roaming will also reduce with new technology – e</w:t>
      </w:r>
      <w:r>
        <w:t>.</w:t>
      </w:r>
      <w:r w:rsidRPr="001032A3">
        <w:t>g</w:t>
      </w:r>
      <w:r>
        <w:t>.</w:t>
      </w:r>
      <w:r w:rsidRPr="001032A3">
        <w:t xml:space="preserve"> with exchange of accounting information via the </w:t>
      </w:r>
      <w:r>
        <w:t>I</w:t>
      </w:r>
      <w:r w:rsidRPr="001032A3">
        <w:t>nternet rather than over the MNO core network.</w:t>
      </w:r>
    </w:p>
    <w:p w14:paraId="7888EA20" w14:textId="77777777" w:rsidR="000A7DF2" w:rsidRPr="001032A3" w:rsidRDefault="007E4457" w:rsidP="007E4457">
      <w:pPr>
        <w:pStyle w:val="Heading3"/>
        <w:rPr>
          <w:lang w:val="en-US"/>
        </w:rPr>
      </w:pPr>
      <w:bookmarkStart w:id="31" w:name="_Toc425326316"/>
      <w:r>
        <w:rPr>
          <w:lang w:val="en-US"/>
        </w:rPr>
        <w:t>2.2.5</w:t>
      </w:r>
      <w:r>
        <w:rPr>
          <w:lang w:val="en-US"/>
        </w:rPr>
        <w:tab/>
      </w:r>
      <w:r w:rsidR="000A7DF2" w:rsidRPr="001032A3">
        <w:rPr>
          <w:lang w:val="en-US"/>
        </w:rPr>
        <w:t>The physical basis for the model</w:t>
      </w:r>
      <w:bookmarkEnd w:id="31"/>
    </w:p>
    <w:p w14:paraId="378AB327" w14:textId="77777777" w:rsidR="000A7DF2" w:rsidRPr="001032A3" w:rsidRDefault="000A7DF2" w:rsidP="000A7DF2">
      <w:pPr>
        <w:spacing w:after="120"/>
      </w:pPr>
      <w:r w:rsidRPr="001032A3">
        <w:t xml:space="preserve">Cost modelling is based on the layout of operator networks and the business support systems (BSS) that implement the roaming process. </w:t>
      </w:r>
    </w:p>
    <w:p w14:paraId="5F07BDCD" w14:textId="77777777" w:rsidR="000A7DF2" w:rsidRPr="001032A3" w:rsidRDefault="000A7DF2" w:rsidP="000A7DF2">
      <w:pPr>
        <w:spacing w:after="120"/>
      </w:pPr>
      <w:r w:rsidRPr="001032A3">
        <w:t xml:space="preserve">The detailed technical implementation of the MNO infrastructure can have some variations but these are usually minor as international standards must be followed for universal interworking to operate. The generic, simplified mobile view of the roaming infrastructure above follows standard roaming architecture for UMTS (3G) and 2G GSM norms. LTE will tend to follow an evolution of this model, from its switched circuit origins, towards IP packets. </w:t>
      </w:r>
      <w:r>
        <w:t>F</w:t>
      </w:r>
      <w:r w:rsidRPr="001032A3">
        <w:t xml:space="preserve">igure </w:t>
      </w:r>
      <w:r>
        <w:t xml:space="preserve">3 </w:t>
      </w:r>
      <w:r w:rsidRPr="001032A3">
        <w:t>below shows the interaction between the networks of two interacting MNOs for handling a roaming call – with not just the call path but also the billing data handover. In this diagram, the MNO fixed (core) network for backhaul, beyond the RAN is shown, in this case being interconnected via a transit network to the home MNO</w:t>
      </w:r>
      <w:r>
        <w:t>'</w:t>
      </w:r>
      <w:r w:rsidRPr="001032A3">
        <w:t xml:space="preserve">s core network. This connection may also be a direct inter-core network switched link, or via a third party transit operator, </w:t>
      </w:r>
      <w:r>
        <w:t>which</w:t>
      </w:r>
      <w:r w:rsidRPr="001032A3">
        <w:t xml:space="preserve"> will then also charge for carrying the call. The simplified generic model is:</w:t>
      </w:r>
    </w:p>
    <w:p w14:paraId="47094B1F" w14:textId="77777777" w:rsidR="00F75D13" w:rsidRPr="001032A3" w:rsidRDefault="00F75D13" w:rsidP="00F75D13">
      <w:pPr>
        <w:pStyle w:val="Figuretitle"/>
      </w:pPr>
      <w:r w:rsidRPr="001032A3">
        <w:t xml:space="preserve">Figure 3 </w:t>
      </w:r>
      <w:r>
        <w:t xml:space="preserve">– </w:t>
      </w:r>
      <w:r w:rsidRPr="001032A3">
        <w:t>Physical infrastructure for roaming, in a simplified generic view</w:t>
      </w:r>
    </w:p>
    <w:p w14:paraId="4A93C272" w14:textId="77777777" w:rsidR="000A7DF2" w:rsidRPr="00E06C2F" w:rsidRDefault="000A7DF2" w:rsidP="00F75D13">
      <w:pPr>
        <w:pStyle w:val="Figure"/>
      </w:pPr>
      <w:r w:rsidRPr="00E06C2F">
        <w:rPr>
          <w:noProof/>
        </w:rPr>
        <w:drawing>
          <wp:inline distT="0" distB="0" distL="0" distR="0" wp14:anchorId="4FD77DF9" wp14:editId="19089A58">
            <wp:extent cx="4572000" cy="343027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3430270"/>
                    </a:xfrm>
                    <a:prstGeom prst="rect">
                      <a:avLst/>
                    </a:prstGeom>
                    <a:noFill/>
                    <a:ln w="12700" cmpd="sng">
                      <a:solidFill>
                        <a:srgbClr val="008080"/>
                      </a:solidFill>
                      <a:miter lim="800000"/>
                      <a:headEnd/>
                      <a:tailEnd/>
                    </a:ln>
                    <a:effectLst/>
                  </pic:spPr>
                </pic:pic>
              </a:graphicData>
            </a:graphic>
          </wp:inline>
        </w:drawing>
      </w:r>
    </w:p>
    <w:p w14:paraId="2197759E" w14:textId="77777777" w:rsidR="000A7DF2" w:rsidRDefault="000A7DF2" w:rsidP="00F75D13">
      <w:pPr>
        <w:pStyle w:val="Figuresource"/>
      </w:pPr>
    </w:p>
    <w:p w14:paraId="4A87FEF2" w14:textId="77777777" w:rsidR="000A7DF2" w:rsidRPr="001032A3" w:rsidRDefault="000A7DF2" w:rsidP="000A7DF2">
      <w:pPr>
        <w:spacing w:after="120"/>
      </w:pPr>
      <w:r w:rsidRPr="001032A3">
        <w:t xml:space="preserve">Going further into the costing basis of the infrastructure, our model is based on </w:t>
      </w:r>
      <w:r>
        <w:t xml:space="preserve">an </w:t>
      </w:r>
      <w:r w:rsidRPr="001032A3">
        <w:t xml:space="preserve">analysis of the main business processes for call-data capture, mediation, rating and billing with customer care, </w:t>
      </w:r>
      <w:r>
        <w:t xml:space="preserve">and the </w:t>
      </w:r>
      <w:r w:rsidRPr="001032A3">
        <w:t>key elements of the business support systems (BSS)</w:t>
      </w:r>
      <w:r>
        <w:t>, see Figure 4</w:t>
      </w:r>
      <w:r w:rsidRPr="001032A3">
        <w:t>:</w:t>
      </w:r>
    </w:p>
    <w:p w14:paraId="5E4C6DDE" w14:textId="77777777" w:rsidR="000A7DF2" w:rsidRDefault="000A7DF2" w:rsidP="00F75D13">
      <w:pPr>
        <w:pStyle w:val="Figuretitle"/>
      </w:pPr>
      <w:r w:rsidRPr="001032A3">
        <w:lastRenderedPageBreak/>
        <w:t xml:space="preserve">Figure 4 </w:t>
      </w:r>
      <w:r>
        <w:t xml:space="preserve">– </w:t>
      </w:r>
      <w:r w:rsidRPr="001032A3">
        <w:t>The key BSS systems involved in handling a call</w:t>
      </w:r>
    </w:p>
    <w:p w14:paraId="351FC354" w14:textId="77777777" w:rsidR="00F75D13" w:rsidRPr="00F75D13" w:rsidRDefault="00F75D13" w:rsidP="00967B5D">
      <w:pPr>
        <w:pStyle w:val="Figure"/>
        <w:spacing w:after="120"/>
        <w:rPr>
          <w:lang w:val="en-GB"/>
        </w:rPr>
      </w:pPr>
      <w:r w:rsidRPr="00BC1737">
        <w:rPr>
          <w:noProof/>
        </w:rPr>
        <w:drawing>
          <wp:inline distT="0" distB="0" distL="0" distR="0" wp14:anchorId="7A15D01F" wp14:editId="31DE3145">
            <wp:extent cx="4572000" cy="343027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3430270"/>
                    </a:xfrm>
                    <a:prstGeom prst="rect">
                      <a:avLst/>
                    </a:prstGeom>
                    <a:noFill/>
                    <a:ln w="12700" cmpd="sng">
                      <a:solidFill>
                        <a:srgbClr val="008080"/>
                      </a:solidFill>
                      <a:miter lim="800000"/>
                      <a:headEnd/>
                      <a:tailEnd/>
                    </a:ln>
                    <a:effectLst/>
                  </pic:spPr>
                </pic:pic>
              </a:graphicData>
            </a:graphic>
          </wp:inline>
        </w:drawing>
      </w:r>
    </w:p>
    <w:p w14:paraId="1E9533A7" w14:textId="77777777" w:rsidR="000A7DF2" w:rsidRDefault="000A7DF2" w:rsidP="00967B5D">
      <w:pPr>
        <w:pStyle w:val="Figuresource"/>
        <w:spacing w:before="0"/>
      </w:pPr>
    </w:p>
    <w:p w14:paraId="5CEB41BE" w14:textId="77777777" w:rsidR="000A7DF2" w:rsidRPr="001032A3" w:rsidRDefault="000A7DF2" w:rsidP="000A7DF2">
      <w:pPr>
        <w:spacing w:after="120"/>
      </w:pPr>
      <w:r w:rsidRPr="001032A3">
        <w:t>Note that the above is a generali</w:t>
      </w:r>
      <w:r>
        <w:t>z</w:t>
      </w:r>
      <w:r w:rsidRPr="001032A3">
        <w:t>ed model with infrastructure oriented more towards voice. However</w:t>
      </w:r>
      <w:r>
        <w:t>,</w:t>
      </w:r>
      <w:r w:rsidRPr="001032A3">
        <w:t xml:space="preserve"> it is largely valid for data carried over 2G with </w:t>
      </w:r>
      <w:r>
        <w:t>general packet radio service (GPRS)/enhanced data rates for GSM evolution (</w:t>
      </w:r>
      <w:r w:rsidRPr="002340D4">
        <w:t>EDGE</w:t>
      </w:r>
      <w:r>
        <w:t>)</w:t>
      </w:r>
      <w:r w:rsidRPr="001032A3">
        <w:t xml:space="preserve"> and current 3G networks with high speed packet access (HSPA). It would be simplified for SMS by the minimal rating and billing mechanisms required by flat rate billing. Actual implementations within MNOs may have specific features and differences with additional systems, (e</w:t>
      </w:r>
      <w:r>
        <w:t>.</w:t>
      </w:r>
      <w:r w:rsidRPr="001032A3">
        <w:t>g</w:t>
      </w:r>
      <w:r>
        <w:t>.</w:t>
      </w:r>
      <w:r w:rsidRPr="001032A3">
        <w:t xml:space="preserve"> </w:t>
      </w:r>
      <w:r>
        <w:t>customized applications for mobile enhanced logic (</w:t>
      </w:r>
      <w:r w:rsidRPr="002340D4">
        <w:t>CAMEL</w:t>
      </w:r>
      <w:r>
        <w:t>)</w:t>
      </w:r>
      <w:r w:rsidRPr="001032A3">
        <w:t xml:space="preserve"> for prepaid charging for roaming) and/or use of a roaming exchange. Importantly for costing, data networks in the future with LTE may break</w:t>
      </w:r>
      <w:r>
        <w:t xml:space="preserve"> </w:t>
      </w:r>
      <w:r w:rsidRPr="001032A3">
        <w:t>out of IP packets directly from the RAN via an Internet gateway (</w:t>
      </w:r>
      <w:r>
        <w:t>IP data records (</w:t>
      </w:r>
      <w:r w:rsidRPr="002340D4">
        <w:t>IPDRs</w:t>
      </w:r>
      <w:r w:rsidRPr="00406208">
        <w:t>)</w:t>
      </w:r>
      <w:r w:rsidRPr="002340D4">
        <w:t xml:space="preserve"> replace </w:t>
      </w:r>
      <w:r>
        <w:t>call data records (</w:t>
      </w:r>
      <w:r w:rsidRPr="002340D4">
        <w:t>CDRs</w:t>
      </w:r>
      <w:r>
        <w:t>)</w:t>
      </w:r>
      <w:r w:rsidRPr="001032A3">
        <w:t>). Th</w:t>
      </w:r>
      <w:r>
        <w:t>is</w:t>
      </w:r>
      <w:r w:rsidRPr="001032A3">
        <w:t xml:space="preserve"> may be a less complex and cheaper infrastructure as IP packets enter the Internet broadband infrastructure for low cost international carriage, perhaps at the nearest </w:t>
      </w:r>
      <w:r>
        <w:t>base transceiver station (</w:t>
      </w:r>
      <w:r w:rsidRPr="001032A3">
        <w:t>BTS</w:t>
      </w:r>
      <w:r>
        <w:t>)</w:t>
      </w:r>
      <w:r w:rsidRPr="001032A3">
        <w:t xml:space="preserve">, </w:t>
      </w:r>
      <w:r>
        <w:t xml:space="preserve">and </w:t>
      </w:r>
      <w:r w:rsidRPr="001032A3">
        <w:t>in an LTE network with direct Internet gateways. This simpler data carriage architecture is likely to encompass IP voice in the future as well, with VoLTE.</w:t>
      </w:r>
    </w:p>
    <w:p w14:paraId="4845F914" w14:textId="77777777" w:rsidR="000A7DF2" w:rsidRPr="001032A3" w:rsidRDefault="00F75D13" w:rsidP="00F75D13">
      <w:pPr>
        <w:pStyle w:val="Heading3"/>
      </w:pPr>
      <w:bookmarkStart w:id="32" w:name="_Toc425326317"/>
      <w:r>
        <w:rPr>
          <w:lang w:val="en-US"/>
        </w:rPr>
        <w:t>2.2.6</w:t>
      </w:r>
      <w:r>
        <w:rPr>
          <w:lang w:val="en-US"/>
        </w:rPr>
        <w:tab/>
      </w:r>
      <w:r w:rsidR="000A7DF2">
        <w:rPr>
          <w:lang w:val="en-US"/>
        </w:rPr>
        <w:t>M</w:t>
      </w:r>
      <w:r w:rsidR="000A7DF2" w:rsidRPr="001032A3">
        <w:t>arket reality of retail tariff analysis complicated by tariff bundling</w:t>
      </w:r>
      <w:bookmarkEnd w:id="32"/>
    </w:p>
    <w:p w14:paraId="3F71530D" w14:textId="77777777" w:rsidR="000A7DF2" w:rsidRDefault="000A7DF2" w:rsidP="000A7DF2">
      <w:r w:rsidRPr="001032A3">
        <w:t xml:space="preserve">As mentioned, complexity for subscribers increases with the number of different tariff bundles (a certain number of units of one or more services combined, in voice minutes, SMS texts and data in MB) for a fixed fee for a specific period (day, week, month). An overview of </w:t>
      </w:r>
      <w:r w:rsidRPr="001032A3">
        <w:rPr>
          <w:i/>
          <w:iCs/>
        </w:rPr>
        <w:t>roaming</w:t>
      </w:r>
      <w:r w:rsidRPr="001032A3">
        <w:t xml:space="preserve"> bundle tariffs shows that many MNOs tend to also offer such packages</w:t>
      </w:r>
      <w:r w:rsidRPr="001032A3">
        <w:rPr>
          <w:rStyle w:val="FootnoteReference"/>
        </w:rPr>
        <w:footnoteReference w:id="14"/>
      </w:r>
      <w:r w:rsidRPr="001032A3">
        <w:t xml:space="preserve">. The easiest tariffs to understand and compare are linear tariffs. </w:t>
      </w:r>
      <w:r>
        <w:t>I</w:t>
      </w:r>
      <w:r w:rsidRPr="001032A3">
        <w:t xml:space="preserve">n many cases, </w:t>
      </w:r>
      <w:r>
        <w:t xml:space="preserve">however, </w:t>
      </w:r>
      <w:r w:rsidRPr="001032A3">
        <w:t>prices are higher for roamers with a linear tariff subscription.</w:t>
      </w:r>
    </w:p>
    <w:p w14:paraId="798BEAF1" w14:textId="77777777" w:rsidR="000A7DF2" w:rsidRPr="000D6C5A" w:rsidRDefault="000A7DF2" w:rsidP="00D500A6">
      <w:pPr>
        <w:pStyle w:val="Heading3"/>
        <w:rPr>
          <w:lang w:val="en-US"/>
        </w:rPr>
      </w:pPr>
      <w:bookmarkStart w:id="33" w:name="_Toc425326318"/>
      <w:r w:rsidRPr="000D6C5A">
        <w:rPr>
          <w:lang w:val="en-US"/>
        </w:rPr>
        <w:lastRenderedPageBreak/>
        <w:t>2.2.7</w:t>
      </w:r>
      <w:r w:rsidR="00D500A6">
        <w:rPr>
          <w:lang w:val="en-US"/>
        </w:rPr>
        <w:tab/>
      </w:r>
      <w:r w:rsidRPr="000D6C5A">
        <w:rPr>
          <w:lang w:val="en-US"/>
        </w:rPr>
        <w:t>Further practical cost issues</w:t>
      </w:r>
      <w:bookmarkEnd w:id="33"/>
    </w:p>
    <w:p w14:paraId="07C11BDC" w14:textId="77777777" w:rsidR="000A7DF2" w:rsidRDefault="000A7DF2" w:rsidP="00D500A6">
      <w:r>
        <w:t>A</w:t>
      </w:r>
      <w:r w:rsidRPr="00262A7E">
        <w:t xml:space="preserve"> home network, when buying roaming services</w:t>
      </w:r>
      <w:r>
        <w:t>,</w:t>
      </w:r>
      <w:r w:rsidRPr="00262A7E">
        <w:t xml:space="preserve"> negotiate</w:t>
      </w:r>
      <w:r>
        <w:t>s</w:t>
      </w:r>
      <w:r w:rsidRPr="00262A7E">
        <w:t xml:space="preserve"> commercial wholesale roaming charges</w:t>
      </w:r>
      <w:r>
        <w:t xml:space="preserve"> for traffic</w:t>
      </w:r>
      <w:r w:rsidRPr="00262A7E">
        <w:t xml:space="preserve"> from a visited network</w:t>
      </w:r>
      <w:r>
        <w:t xml:space="preserve">. </w:t>
      </w:r>
      <w:r>
        <w:rPr>
          <w:lang w:val="en-US"/>
        </w:rPr>
        <w:t>Hence,</w:t>
      </w:r>
      <w:r>
        <w:t xml:space="preserve"> wholesale roaming pricing is what each MNO sees as its floor pricing. </w:t>
      </w:r>
      <w:r>
        <w:rPr>
          <w:lang w:val="en-US"/>
        </w:rPr>
        <w:t>However,</w:t>
      </w:r>
      <w:r>
        <w:t xml:space="preserve"> as </w:t>
      </w:r>
      <w:r w:rsidRPr="00262A7E">
        <w:t>n</w:t>
      </w:r>
      <w:r>
        <w:t>oted above, in</w:t>
      </w:r>
      <w:r w:rsidRPr="00262A7E">
        <w:t xml:space="preserve"> most situations the level of wholesale charges has little to do with the underlying costs of providing roaming services,</w:t>
      </w:r>
      <w:r>
        <w:t xml:space="preserve"> </w:t>
      </w:r>
      <w:r>
        <w:rPr>
          <w:lang w:val="en-US"/>
        </w:rPr>
        <w:t xml:space="preserve">it </w:t>
      </w:r>
      <w:r>
        <w:t xml:space="preserve">is dictated </w:t>
      </w:r>
      <w:r>
        <w:rPr>
          <w:lang w:val="en-US"/>
        </w:rPr>
        <w:t xml:space="preserve">instead </w:t>
      </w:r>
      <w:r>
        <w:t>by</w:t>
      </w:r>
      <w:r w:rsidRPr="00262A7E">
        <w:t xml:space="preserve"> </w:t>
      </w:r>
      <w:r>
        <w:t>certain commercial considerations. Principally these are</w:t>
      </w:r>
      <w:r w:rsidRPr="00262A7E">
        <w:t xml:space="preserve"> </w:t>
      </w:r>
      <w:r>
        <w:t xml:space="preserve">the </w:t>
      </w:r>
      <w:r w:rsidRPr="00262A7E">
        <w:t>volume</w:t>
      </w:r>
      <w:r>
        <w:t xml:space="preserve"> of traffic and especially</w:t>
      </w:r>
      <w:r w:rsidRPr="00262A7E">
        <w:t xml:space="preserve"> </w:t>
      </w:r>
      <w:r>
        <w:t>the</w:t>
      </w:r>
      <w:r w:rsidRPr="00262A7E">
        <w:t xml:space="preserve"> balance of the traffic</w:t>
      </w:r>
      <w:r>
        <w:t xml:space="preserve"> between the two MNOs</w:t>
      </w:r>
      <w:r w:rsidRPr="00262A7E">
        <w:t xml:space="preserve">, </w:t>
      </w:r>
      <w:r>
        <w:t>influenced above all by an MNO</w:t>
      </w:r>
      <w:r>
        <w:rPr>
          <w:lang w:val="en-US"/>
        </w:rPr>
        <w:t>'</w:t>
      </w:r>
      <w:r>
        <w:t>s</w:t>
      </w:r>
      <w:r w:rsidRPr="00262A7E">
        <w:t xml:space="preserve"> </w:t>
      </w:r>
      <w:r>
        <w:t xml:space="preserve">size and </w:t>
      </w:r>
      <w:r w:rsidRPr="00262A7E">
        <w:t>affiliation</w:t>
      </w:r>
      <w:r>
        <w:t xml:space="preserve">s </w:t>
      </w:r>
      <w:r>
        <w:rPr>
          <w:lang w:val="en-US"/>
        </w:rPr>
        <w:t>–</w:t>
      </w:r>
      <w:r>
        <w:t xml:space="preserve"> e</w:t>
      </w:r>
      <w:r>
        <w:rPr>
          <w:lang w:val="en-US"/>
        </w:rPr>
        <w:t>.</w:t>
      </w:r>
      <w:r>
        <w:t>g</w:t>
      </w:r>
      <w:r>
        <w:rPr>
          <w:lang w:val="en-US"/>
        </w:rPr>
        <w:t>.</w:t>
      </w:r>
      <w:r>
        <w:t xml:space="preserve"> as a local incumbent that is part of an international group or </w:t>
      </w:r>
      <w:r w:rsidRPr="00262A7E">
        <w:t xml:space="preserve">other alliance. </w:t>
      </w:r>
      <w:r>
        <w:t>However, overall, roaming may have quite limited effects on investments to handle roaming visitors, as their proportion is usually low (perhaps 5</w:t>
      </w:r>
      <w:r>
        <w:rPr>
          <w:lang w:val="en-US"/>
        </w:rPr>
        <w:t>%</w:t>
      </w:r>
      <w:r>
        <w:t xml:space="preserve">-10% of all traffic volume at most). </w:t>
      </w:r>
    </w:p>
    <w:p w14:paraId="16568796" w14:textId="77777777" w:rsidR="000A7DF2" w:rsidRPr="00616C63" w:rsidRDefault="000A7DF2" w:rsidP="00D500A6">
      <w:r>
        <w:t>The parameters for traffic given here focus</w:t>
      </w:r>
      <w:r w:rsidRPr="000D6C5A">
        <w:t xml:space="preserve"> on volumes </w:t>
      </w:r>
      <w:r>
        <w:t xml:space="preserve">of </w:t>
      </w:r>
      <w:r w:rsidRPr="000D6C5A">
        <w:t xml:space="preserve">roaming and domestic traffic of home/visited </w:t>
      </w:r>
      <w:r>
        <w:t>MNOs</w:t>
      </w:r>
      <w:r w:rsidRPr="000D6C5A">
        <w:t xml:space="preserve">. </w:t>
      </w:r>
      <w:r>
        <w:t>Such information</w:t>
      </w:r>
      <w:r w:rsidRPr="000D6C5A">
        <w:t xml:space="preserve"> </w:t>
      </w:r>
      <w:r>
        <w:t>offers</w:t>
      </w:r>
      <w:r w:rsidRPr="000D6C5A">
        <w:t xml:space="preserve"> </w:t>
      </w:r>
      <w:r>
        <w:t xml:space="preserve">a useful </w:t>
      </w:r>
      <w:r w:rsidRPr="000D6C5A">
        <w:t xml:space="preserve">insight </w:t>
      </w:r>
      <w:r>
        <w:t xml:space="preserve">as to </w:t>
      </w:r>
      <w:r w:rsidRPr="000D6C5A">
        <w:t xml:space="preserve">whether a particular </w:t>
      </w:r>
      <w:r>
        <w:t xml:space="preserve">MNO is a net buyer or a net seller </w:t>
      </w:r>
      <w:r w:rsidRPr="00B25903">
        <w:t>o</w:t>
      </w:r>
      <w:r>
        <w:rPr>
          <w:lang w:val="en-US"/>
        </w:rPr>
        <w:t>f</w:t>
      </w:r>
      <w:r>
        <w:t xml:space="preserve"> roaming traffic, as well as</w:t>
      </w:r>
      <w:r w:rsidRPr="000D6C5A">
        <w:t xml:space="preserve"> </w:t>
      </w:r>
      <w:r>
        <w:t>revealing</w:t>
      </w:r>
      <w:r w:rsidRPr="000D6C5A">
        <w:t xml:space="preserve"> </w:t>
      </w:r>
      <w:r>
        <w:t>an approximate</w:t>
      </w:r>
      <w:r w:rsidRPr="000D6C5A">
        <w:t xml:space="preserve"> </w:t>
      </w:r>
      <w:r>
        <w:t xml:space="preserve">cost </w:t>
      </w:r>
      <w:r w:rsidRPr="000D6C5A">
        <w:t xml:space="preserve">per unit </w:t>
      </w:r>
      <w:r>
        <w:t>of each traffic type for a given network. In assessing the various cost centres, international t</w:t>
      </w:r>
      <w:r w:rsidRPr="00616C63">
        <w:t xml:space="preserve">ransit and </w:t>
      </w:r>
      <w:r>
        <w:t>networking</w:t>
      </w:r>
      <w:r w:rsidRPr="00616C63">
        <w:t xml:space="preserve"> costs </w:t>
      </w:r>
      <w:r>
        <w:t>may be less than perhaps expected</w:t>
      </w:r>
      <w:r w:rsidRPr="00616C63">
        <w:t xml:space="preserve"> </w:t>
      </w:r>
      <w:r>
        <w:t>due to</w:t>
      </w:r>
      <w:r w:rsidRPr="00616C63">
        <w:t xml:space="preserve"> a significant percentage of roaming calls terminat</w:t>
      </w:r>
      <w:r>
        <w:t>ing</w:t>
      </w:r>
      <w:r w:rsidRPr="00616C63">
        <w:t xml:space="preserve"> on fixed-line networks, </w:t>
      </w:r>
      <w:r>
        <w:t>which usually</w:t>
      </w:r>
      <w:r w:rsidRPr="00616C63">
        <w:t xml:space="preserve"> correspond to lower termination rates.</w:t>
      </w:r>
    </w:p>
    <w:p w14:paraId="109C55F8" w14:textId="77777777" w:rsidR="000A7DF2" w:rsidRPr="001032A3" w:rsidRDefault="000A7DF2" w:rsidP="00D500A6">
      <w:pPr>
        <w:pStyle w:val="Heading1"/>
      </w:pPr>
      <w:bookmarkStart w:id="34" w:name="_Toc425326319"/>
      <w:bookmarkStart w:id="35" w:name="_Toc429485877"/>
      <w:r w:rsidRPr="001032A3">
        <w:t xml:space="preserve">Chapter 3 </w:t>
      </w:r>
      <w:r>
        <w:t xml:space="preserve">– </w:t>
      </w:r>
      <w:r w:rsidRPr="001032A3">
        <w:t>Benefits and limits of the cost model</w:t>
      </w:r>
      <w:bookmarkEnd w:id="34"/>
      <w:bookmarkEnd w:id="35"/>
    </w:p>
    <w:p w14:paraId="589AC1B7" w14:textId="77777777" w:rsidR="000A7DF2" w:rsidRPr="001032A3" w:rsidRDefault="000A7DF2" w:rsidP="00D500A6">
      <w:pPr>
        <w:pStyle w:val="Heading2"/>
      </w:pPr>
      <w:bookmarkStart w:id="36" w:name="_Toc425326320"/>
      <w:bookmarkStart w:id="37" w:name="_Toc429485878"/>
      <w:r w:rsidRPr="001032A3">
        <w:t>3.1</w:t>
      </w:r>
      <w:r w:rsidR="00D500A6">
        <w:tab/>
      </w:r>
      <w:r w:rsidRPr="001032A3">
        <w:t>Benefits</w:t>
      </w:r>
      <w:bookmarkEnd w:id="36"/>
      <w:bookmarkEnd w:id="37"/>
    </w:p>
    <w:p w14:paraId="44067347" w14:textId="77777777" w:rsidR="000A7DF2" w:rsidRPr="001032A3" w:rsidRDefault="000A7DF2" w:rsidP="00D500A6">
      <w:r w:rsidRPr="001032A3">
        <w:t>With a suitable cost model describing expenditure and overheads, it is possible to highlight the sources of costs and compare them with the aggregated increments for roaming being applied by the operators. This has substantial further advantages for the consumer, the public and particularly for NRA</w:t>
      </w:r>
      <w:r>
        <w:t>'</w:t>
      </w:r>
      <w:r w:rsidRPr="001032A3">
        <w:t>s duties to the consumer as it is possible to:</w:t>
      </w:r>
    </w:p>
    <w:p w14:paraId="468156EA" w14:textId="77777777" w:rsidR="000A7DF2" w:rsidRPr="001032A3" w:rsidRDefault="00D500A6" w:rsidP="00D500A6">
      <w:pPr>
        <w:pStyle w:val="enumlev1"/>
      </w:pPr>
      <w:r>
        <w:t>•</w:t>
      </w:r>
      <w:r>
        <w:tab/>
      </w:r>
      <w:r w:rsidR="000A7DF2" w:rsidRPr="001032A3">
        <w:t>Discuss the degree of real transparency of MNO with far more confidence from evidence of the accounted costs</w:t>
      </w:r>
      <w:r w:rsidR="000A7DF2">
        <w:t>.</w:t>
      </w:r>
    </w:p>
    <w:p w14:paraId="6AF02CF7" w14:textId="77777777" w:rsidR="000A7DF2" w:rsidRPr="001032A3" w:rsidRDefault="00D500A6" w:rsidP="00D500A6">
      <w:pPr>
        <w:pStyle w:val="enumlev1"/>
      </w:pPr>
      <w:r>
        <w:t>•</w:t>
      </w:r>
      <w:r>
        <w:tab/>
      </w:r>
      <w:r w:rsidR="000A7DF2" w:rsidRPr="001032A3">
        <w:t>Confer with MNOs on any plans for future mobile roaming tariffs in the light of real costs</w:t>
      </w:r>
      <w:r w:rsidR="000A7DF2">
        <w:t>.</w:t>
      </w:r>
    </w:p>
    <w:p w14:paraId="1AF9F765" w14:textId="77777777" w:rsidR="000A7DF2" w:rsidRPr="001032A3" w:rsidRDefault="00D500A6" w:rsidP="00D500A6">
      <w:pPr>
        <w:pStyle w:val="enumlev1"/>
      </w:pPr>
      <w:r>
        <w:t>•</w:t>
      </w:r>
      <w:r>
        <w:tab/>
      </w:r>
      <w:r w:rsidR="000A7DF2" w:rsidRPr="001032A3">
        <w:t>Evaluate MNOs on their value to the public with comparisons of roaming performance and operational profile from the business processes</w:t>
      </w:r>
      <w:r w:rsidR="000A7DF2">
        <w:t>.</w:t>
      </w:r>
    </w:p>
    <w:p w14:paraId="02949451" w14:textId="77777777" w:rsidR="000A7DF2" w:rsidRPr="001032A3" w:rsidRDefault="000A7DF2" w:rsidP="00D500A6">
      <w:r w:rsidRPr="001032A3">
        <w:t>Essentially, the model provide</w:t>
      </w:r>
      <w:r>
        <w:t>s</w:t>
      </w:r>
      <w:r w:rsidRPr="001032A3">
        <w:t xml:space="preserve"> NRA with a tool to assess an operators</w:t>
      </w:r>
      <w:r>
        <w:t>'</w:t>
      </w:r>
      <w:r w:rsidRPr="001032A3">
        <w:t xml:space="preserve"> claims by going back to </w:t>
      </w:r>
      <w:r>
        <w:t xml:space="preserve">the </w:t>
      </w:r>
      <w:r w:rsidRPr="001032A3">
        <w:t>first principles, examining the process and its components, estimating any additional capital (</w:t>
      </w:r>
      <w:r>
        <w:t>c</w:t>
      </w:r>
      <w:r w:rsidRPr="001032A3">
        <w:t>ap</w:t>
      </w:r>
      <w:r>
        <w:t>e</w:t>
      </w:r>
      <w:r w:rsidRPr="001032A3">
        <w:t>x) and operational expenditure (</w:t>
      </w:r>
      <w:r>
        <w:t>o</w:t>
      </w:r>
      <w:r w:rsidRPr="001032A3">
        <w:t>p</w:t>
      </w:r>
      <w:r>
        <w:t>e</w:t>
      </w:r>
      <w:r w:rsidRPr="001032A3">
        <w:t>x).</w:t>
      </w:r>
    </w:p>
    <w:p w14:paraId="190AAADD" w14:textId="77777777" w:rsidR="000A7DF2" w:rsidRPr="001032A3" w:rsidRDefault="000A7DF2" w:rsidP="00D500A6">
      <w:r w:rsidRPr="001032A3">
        <w:t>Moreover, the model is flexible as it consists of a set of itemi</w:t>
      </w:r>
      <w:r>
        <w:t>z</w:t>
      </w:r>
      <w:r w:rsidRPr="001032A3">
        <w:t>ed costs. It is capable of being extended to forecast the cost implications of changes in operations and technologies. Its structure provides a basis for an evolving model of roaming over the years. Updating it will form an essential task as the industry advances, if NRAs are to understand the trajectory of future roaming costs.</w:t>
      </w:r>
    </w:p>
    <w:p w14:paraId="4949A60C" w14:textId="77777777" w:rsidR="000A7DF2" w:rsidRPr="001032A3" w:rsidRDefault="000A7DF2" w:rsidP="00D500A6">
      <w:r w:rsidRPr="001032A3">
        <w:t xml:space="preserve">In summary, such a cost model may go further in the direction of roaming accountability and transparency, following the path set out by ITU-T in </w:t>
      </w:r>
      <w:r w:rsidRPr="00406208">
        <w:t>Recommendation D.98</w:t>
      </w:r>
      <w:r w:rsidRPr="001032A3">
        <w:t xml:space="preserve"> </w:t>
      </w:r>
      <w:r>
        <w:t>(</w:t>
      </w:r>
      <w:r w:rsidRPr="001032A3">
        <w:t>ITU (2012)</w:t>
      </w:r>
      <w:r>
        <w:t>)</w:t>
      </w:r>
      <w:r w:rsidRPr="001032A3">
        <w:t>. The model might build on that Recommendation for roaming transparency. It could perhaps form the basis for further ITU Recommendations for cost-based analysis of roaming tariffs, and so provide pragmatic and realistic inputs to national regulators considering the impacts of roaming.</w:t>
      </w:r>
    </w:p>
    <w:p w14:paraId="2973E8F6" w14:textId="77777777" w:rsidR="000A7DF2" w:rsidRPr="001032A3" w:rsidRDefault="000A7DF2" w:rsidP="00EF1563">
      <w:r w:rsidRPr="002340D4">
        <w:t>It is also</w:t>
      </w:r>
      <w:r w:rsidRPr="001032A3">
        <w:t xml:space="preserve"> possible to build on other relevant ITU-T Recommendations. Specifically, </w:t>
      </w:r>
      <w:r w:rsidRPr="00406208">
        <w:t xml:space="preserve">Recommendation </w:t>
      </w:r>
      <w:r>
        <w:t>ITU</w:t>
      </w:r>
      <w:r w:rsidR="00D500A6">
        <w:noBreakHyphen/>
      </w:r>
      <w:r>
        <w:t xml:space="preserve">T </w:t>
      </w:r>
      <w:r w:rsidRPr="00406208">
        <w:t>D.99</w:t>
      </w:r>
      <w:r w:rsidRPr="001032A3">
        <w:t xml:space="preserve"> discusses the question of an indicative rate for international mobile termination and provides some suggestions for consideration by national regulatory authorities, based on </w:t>
      </w:r>
      <w:r w:rsidRPr="001032A3">
        <w:rPr>
          <w:szCs w:val="20"/>
        </w:rPr>
        <w:t xml:space="preserve">using the fixed </w:t>
      </w:r>
      <w:r w:rsidRPr="001032A3">
        <w:rPr>
          <w:szCs w:val="20"/>
        </w:rPr>
        <w:lastRenderedPageBreak/>
        <w:t>termination rate as an initial basis for negotiations</w:t>
      </w:r>
      <w:r w:rsidRPr="001032A3">
        <w:t xml:space="preserve">. It is also possible to move forward on such indicative rates if we take into consideration another Recommendation in the domain of international call termination accounting, </w:t>
      </w:r>
      <w:r w:rsidRPr="00406208">
        <w:t xml:space="preserve">Recommendation </w:t>
      </w:r>
      <w:r>
        <w:t xml:space="preserve">ITU-T </w:t>
      </w:r>
      <w:r w:rsidRPr="00406208">
        <w:t>D.140</w:t>
      </w:r>
      <w:r w:rsidRPr="001032A3">
        <w:t xml:space="preserve">. It proposes a useful principle for setting prices that cost-based accounting is the key tenet, stating in clause </w:t>
      </w:r>
      <w:r>
        <w:t>E</w:t>
      </w:r>
      <w:r w:rsidRPr="001032A3">
        <w:t>.3.1:</w:t>
      </w:r>
    </w:p>
    <w:p w14:paraId="5EBCED99" w14:textId="77777777" w:rsidR="000A7DF2" w:rsidRPr="001032A3" w:rsidRDefault="000A7DF2" w:rsidP="000A7DF2">
      <w:pPr>
        <w:autoSpaceDE w:val="0"/>
        <w:spacing w:after="120"/>
        <w:ind w:left="720"/>
      </w:pPr>
      <w:r>
        <w:t>"</w:t>
      </w:r>
      <w:r w:rsidRPr="001032A3">
        <w:rPr>
          <w:i/>
          <w:iCs/>
        </w:rPr>
        <w:t>Administrations which have already attained these indicative target rates should continue to take positive steps to reduce their accounting rates to cost-orientated levels</w:t>
      </w:r>
      <w:r>
        <w:t>"</w:t>
      </w:r>
      <w:r w:rsidRPr="001032A3">
        <w:t xml:space="preserve">. </w:t>
      </w:r>
    </w:p>
    <w:p w14:paraId="10F3E452" w14:textId="77777777" w:rsidR="000A7DF2" w:rsidRPr="001032A3" w:rsidRDefault="000A7DF2" w:rsidP="000A7DF2">
      <w:pPr>
        <w:autoSpaceDE w:val="0"/>
        <w:spacing w:after="120"/>
      </w:pPr>
      <w:r w:rsidRPr="001032A3">
        <w:t xml:space="preserve">Naturally, the question must be asked – should not the same cost-oriented principle be applied to mobile roaming? A combination of </w:t>
      </w:r>
      <w:r>
        <w:t xml:space="preserve">Recommendation ITU-T </w:t>
      </w:r>
      <w:r w:rsidRPr="001032A3">
        <w:t xml:space="preserve">D.98, extending from transparency for subscribers and employing its suggestions on the use of price caps, could thus follow the principles from </w:t>
      </w:r>
      <w:r>
        <w:t xml:space="preserve">Recommendations ITU-T </w:t>
      </w:r>
      <w:r w:rsidRPr="001032A3">
        <w:t xml:space="preserve">D.99 and </w:t>
      </w:r>
      <w:r>
        <w:t xml:space="preserve">ITU-T </w:t>
      </w:r>
      <w:r w:rsidRPr="001032A3">
        <w:t>D.140 into cost-based mobile pricing. This could form the basis for further ITU-T Recommendations which are strongly market-related.</w:t>
      </w:r>
    </w:p>
    <w:p w14:paraId="778ADA2E" w14:textId="77777777" w:rsidR="000A7DF2" w:rsidRPr="001032A3" w:rsidRDefault="00D500A6" w:rsidP="00D500A6">
      <w:pPr>
        <w:pStyle w:val="Heading2"/>
      </w:pPr>
      <w:bookmarkStart w:id="38" w:name="_Toc425326321"/>
      <w:bookmarkStart w:id="39" w:name="_Toc429485879"/>
      <w:r>
        <w:t>3.</w:t>
      </w:r>
      <w:r w:rsidRPr="00D500A6">
        <w:t>2</w:t>
      </w:r>
      <w:r>
        <w:tab/>
      </w:r>
      <w:r w:rsidR="000A7DF2" w:rsidRPr="00D500A6">
        <w:t>Limits</w:t>
      </w:r>
      <w:r w:rsidR="000A7DF2" w:rsidRPr="001032A3">
        <w:t xml:space="preserve"> of the model</w:t>
      </w:r>
      <w:bookmarkEnd w:id="38"/>
      <w:bookmarkEnd w:id="39"/>
    </w:p>
    <w:p w14:paraId="24E0FFFD" w14:textId="77777777" w:rsidR="000A7DF2" w:rsidRPr="001032A3" w:rsidRDefault="000A7DF2" w:rsidP="000A7DF2">
      <w:pPr>
        <w:autoSpaceDE w:val="0"/>
        <w:spacing w:after="120"/>
        <w:rPr>
          <w:i/>
          <w:iCs/>
        </w:rPr>
      </w:pPr>
      <w:r w:rsidRPr="001032A3">
        <w:t xml:space="preserve">The model attempts to answer the question: </w:t>
      </w:r>
      <w:r w:rsidRPr="001032A3">
        <w:rPr>
          <w:i/>
          <w:iCs/>
        </w:rPr>
        <w:t xml:space="preserve">Do the additional operations and technical infrastructure required drive higher roaming costs to the levels charged? </w:t>
      </w:r>
    </w:p>
    <w:p w14:paraId="66C94854" w14:textId="77777777" w:rsidR="000A7DF2" w:rsidRPr="001032A3" w:rsidRDefault="000A7DF2" w:rsidP="000A7DF2">
      <w:pPr>
        <w:autoSpaceDE w:val="0"/>
        <w:spacing w:after="120"/>
      </w:pPr>
      <w:r w:rsidRPr="001032A3">
        <w:t>However, the model has practical limits in its scope and accuracy when attempting to answer this question. In principle, the task is to examine the MNOs</w:t>
      </w:r>
      <w:r>
        <w:t>'</w:t>
      </w:r>
      <w:r w:rsidRPr="001032A3">
        <w:t xml:space="preserve"> arguments, which claim that international roaming prices mainly result from increased costs of technical infrastructure and its operations. To assess this claim</w:t>
      </w:r>
      <w:r>
        <w:t>,</w:t>
      </w:r>
      <w:r w:rsidRPr="001032A3">
        <w:t xml:space="preserve"> the model must answer several questions:</w:t>
      </w:r>
    </w:p>
    <w:p w14:paraId="52E899ED" w14:textId="77777777" w:rsidR="000A7DF2" w:rsidRPr="001032A3" w:rsidRDefault="006F4DFA" w:rsidP="006F4DFA">
      <w:pPr>
        <w:pStyle w:val="enumlev1"/>
      </w:pPr>
      <w:r>
        <w:t>•</w:t>
      </w:r>
      <w:r>
        <w:tab/>
      </w:r>
      <w:r w:rsidR="000A7DF2" w:rsidRPr="001032A3">
        <w:t>What technical infrastructure elements and operational processes are required for international roaming? This must be performed across the two operators involved in the call or session.</w:t>
      </w:r>
    </w:p>
    <w:p w14:paraId="40660A04" w14:textId="77777777" w:rsidR="000A7DF2" w:rsidRPr="001032A3" w:rsidRDefault="006F4DFA" w:rsidP="006F4DFA">
      <w:pPr>
        <w:pStyle w:val="enumlev1"/>
      </w:pPr>
      <w:r>
        <w:t>•</w:t>
      </w:r>
      <w:r>
        <w:tab/>
      </w:r>
      <w:r w:rsidR="000A7DF2" w:rsidRPr="001032A3">
        <w:t xml:space="preserve">What are the actual levels of </w:t>
      </w:r>
      <w:r w:rsidR="000A7DF2" w:rsidRPr="006F4DFA">
        <w:t>extra</w:t>
      </w:r>
      <w:r w:rsidR="000A7DF2" w:rsidRPr="001032A3">
        <w:t xml:space="preserve"> costs for roaming that the above impose?</w:t>
      </w:r>
    </w:p>
    <w:p w14:paraId="259B0B07" w14:textId="77777777" w:rsidR="000A7DF2" w:rsidRPr="001032A3" w:rsidRDefault="006F4DFA" w:rsidP="006F4DFA">
      <w:pPr>
        <w:pStyle w:val="enumlev1"/>
      </w:pPr>
      <w:r>
        <w:t>•</w:t>
      </w:r>
      <w:r>
        <w:tab/>
      </w:r>
      <w:r w:rsidR="000A7DF2" w:rsidRPr="001032A3">
        <w:t xml:space="preserve">Thus what does a comparison of international roaming prices with their corresponding level of domestic pricing show in terms of levels of retail tariffs? </w:t>
      </w:r>
    </w:p>
    <w:p w14:paraId="4802E1A3" w14:textId="77777777" w:rsidR="000A7DF2" w:rsidRPr="001032A3" w:rsidRDefault="000A7DF2" w:rsidP="000A7DF2">
      <w:pPr>
        <w:autoSpaceDE w:val="0"/>
        <w:spacing w:after="120"/>
      </w:pPr>
      <w:r w:rsidRPr="002340D4">
        <w:t>The model does</w:t>
      </w:r>
      <w:r w:rsidRPr="001032A3">
        <w:t xml:space="preserve"> not specifically look at the gross level of negotiated wholesale agreements, IOTs, but at their underlying costs. This is because the wholesale agreements, set in IOTs, are fixed in commercial consultations between operators and may be subject to various pressures – e</w:t>
      </w:r>
      <w:r>
        <w:t>.</w:t>
      </w:r>
      <w:r w:rsidRPr="001032A3">
        <w:t>g</w:t>
      </w:r>
      <w:r>
        <w:t>.</w:t>
      </w:r>
      <w:r w:rsidRPr="001032A3">
        <w:t xml:space="preserve"> the balance of the volume of traffic of each type, inbound and outbound. Thus IOTs have little to do with costs and are more related to the market power of operators, eventually playing a role in distorting prices. For instance, an operator may agree to a high IOT price on its roaming subscribers in order to assure a larger volume of visiting traffic from that foreign country MNO, which can be recharged for higher income. For such (arbitrary) conditions, basic cost modelling is less applicable, except to show a comparison of the underlying costs. Thus the model can only highlight where the IOTs are the major sources of additional cost for a call, taking it well above domestic charges.</w:t>
      </w:r>
    </w:p>
    <w:p w14:paraId="3196F8BE" w14:textId="77777777" w:rsidR="000A7DF2" w:rsidRPr="001032A3" w:rsidRDefault="000A7DF2" w:rsidP="000A7DF2">
      <w:pPr>
        <w:autoSpaceDE w:val="0"/>
        <w:spacing w:after="120"/>
      </w:pPr>
      <w:r w:rsidRPr="001032A3">
        <w:t xml:space="preserve">However, it must also be noted that the data to answer these operational and technical questions is usually not publicly available, often considered commercially confidential. This may set a limit on accuracy. If national regulatory authorities possess such information, they may not be permitted to disclose it without explicit permission from MNO. Furthermore, the veracity, completeness and accuracy of the data gathered from MNOs and relevant fixed line operators define the dependability of the results. The model can be expanded, to add extra sources of costs and to revise costs. </w:t>
      </w:r>
      <w:r>
        <w:t>Nonetheless,</w:t>
      </w:r>
      <w:r w:rsidRPr="001032A3">
        <w:t xml:space="preserve"> it will always be dependent on the quality and completeness of the data input from the various operators. Much of the cost detail of the business processes for IMR may be somewhat obscure and not all captured by MNOs </w:t>
      </w:r>
      <w:r>
        <w:t>–</w:t>
      </w:r>
      <w:r w:rsidRPr="001032A3">
        <w:t xml:space="preserve"> or there may be a lack of co-operation. Moreover, the data gathering process will only provide information on a case by case basis </w:t>
      </w:r>
      <w:r>
        <w:t>–</w:t>
      </w:r>
      <w:r w:rsidRPr="001032A3">
        <w:t xml:space="preserve"> i</w:t>
      </w:r>
      <w:r>
        <w:t>.</w:t>
      </w:r>
      <w:r w:rsidRPr="001032A3">
        <w:t>e</w:t>
      </w:r>
      <w:r>
        <w:t>.</w:t>
      </w:r>
      <w:r w:rsidRPr="001032A3">
        <w:t xml:space="preserve"> by operator and by countries roamed. </w:t>
      </w:r>
      <w:r>
        <w:t>On the other hand,</w:t>
      </w:r>
      <w:r w:rsidRPr="001032A3">
        <w:t xml:space="preserve"> if NRAs can gain access to the data, perhaps on conditions not to divulge the data publicly, they should ensure they are permitted to use it for internal purposes of assessment of fairness and accuracy of </w:t>
      </w:r>
      <w:r w:rsidRPr="001032A3">
        <w:lastRenderedPageBreak/>
        <w:t>roaming tariffs and transparency of offerings to the consumer. With access to sufficient relevant data</w:t>
      </w:r>
      <w:r>
        <w:t>,</w:t>
      </w:r>
      <w:r w:rsidRPr="001032A3">
        <w:t xml:space="preserve"> it is possible to understand the mark-up and degree of justification of higher charges. </w:t>
      </w:r>
    </w:p>
    <w:p w14:paraId="07D1524A" w14:textId="77777777" w:rsidR="000A7DF2" w:rsidRPr="001032A3" w:rsidRDefault="000A7DF2" w:rsidP="000A7DF2">
      <w:pPr>
        <w:autoSpaceDE w:val="0"/>
        <w:spacing w:after="120"/>
      </w:pPr>
      <w:r w:rsidRPr="001032A3">
        <w:t xml:space="preserve">Note that the cost model gives an </w:t>
      </w:r>
      <w:r w:rsidRPr="001032A3">
        <w:rPr>
          <w:i/>
          <w:iCs/>
        </w:rPr>
        <w:t>overview for guidance</w:t>
      </w:r>
      <w:r w:rsidRPr="001032A3">
        <w:t xml:space="preserve"> on roaming costs for regulators. Thus it depends on regulators efficiently and painstakingly gathering the relevant input data, for their cases. The first time this is done may be the hardest as both sides have to go through a learning curve on understanding and performing the accounting and the business process cost attribution. A final limit is the NRA</w:t>
      </w:r>
      <w:r>
        <w:t>'</w:t>
      </w:r>
      <w:r w:rsidRPr="001032A3">
        <w:t>s jurisdiction – usually national. However</w:t>
      </w:r>
      <w:r>
        <w:t>,</w:t>
      </w:r>
      <w:r w:rsidRPr="001032A3">
        <w:t xml:space="preserve"> international roaming knowledge of the costs of MNOs in foreign countries may well be needed to understand if the IOTs being paid out are really cost based. There are at least two approaches here:</w:t>
      </w:r>
    </w:p>
    <w:p w14:paraId="044E9C61" w14:textId="77777777" w:rsidR="000A7DF2" w:rsidRPr="001032A3" w:rsidRDefault="006F4DFA" w:rsidP="006F4DFA">
      <w:pPr>
        <w:pStyle w:val="enumlev1"/>
      </w:pPr>
      <w:r>
        <w:t>•</w:t>
      </w:r>
      <w:r>
        <w:tab/>
      </w:r>
      <w:r w:rsidR="000A7DF2">
        <w:t>The first approach</w:t>
      </w:r>
      <w:r w:rsidR="000A7DF2" w:rsidRPr="001032A3">
        <w:t xml:space="preserve"> is to act in concert with fellow NRAs as a community across the neighbouring roamed countries, with the aim of reciprocal analyses of costs, i</w:t>
      </w:r>
      <w:r w:rsidR="000A7DF2">
        <w:t>.</w:t>
      </w:r>
      <w:r w:rsidR="000A7DF2" w:rsidRPr="001032A3">
        <w:t>e</w:t>
      </w:r>
      <w:r w:rsidR="000A7DF2">
        <w:t>.</w:t>
      </w:r>
      <w:r w:rsidR="000A7DF2" w:rsidRPr="001032A3">
        <w:t xml:space="preserve"> as a group of NRAs. Various community associations of NRAs exist through which such action can be taken (e</w:t>
      </w:r>
      <w:r w:rsidR="000A7DF2">
        <w:t>.</w:t>
      </w:r>
      <w:r w:rsidR="000A7DF2" w:rsidRPr="001032A3">
        <w:t>g</w:t>
      </w:r>
      <w:r w:rsidR="000A7DF2">
        <w:t>.</w:t>
      </w:r>
      <w:r w:rsidR="000A7DF2" w:rsidRPr="001032A3">
        <w:t xml:space="preserve"> </w:t>
      </w:r>
      <w:r w:rsidR="000A7DF2">
        <w:t>the European Regulators Group (</w:t>
      </w:r>
      <w:r w:rsidR="000A7DF2" w:rsidRPr="001032A3">
        <w:t>ERG</w:t>
      </w:r>
      <w:r w:rsidR="000A7DF2">
        <w:t>)</w:t>
      </w:r>
      <w:r w:rsidR="000A7DF2" w:rsidRPr="001032A3">
        <w:t xml:space="preserve"> and BEREC in the EU and </w:t>
      </w:r>
      <w:r w:rsidR="000A7DF2">
        <w:t>the Communications Regulators' Association Southern Africa (</w:t>
      </w:r>
      <w:r w:rsidR="000A7DF2" w:rsidRPr="002340D4">
        <w:t>CRASA</w:t>
      </w:r>
      <w:r w:rsidR="000A7DF2">
        <w:t>)</w:t>
      </w:r>
      <w:r w:rsidR="000A7DF2" w:rsidRPr="001032A3">
        <w:t xml:space="preserve"> in SADC).</w:t>
      </w:r>
    </w:p>
    <w:p w14:paraId="56D1F141" w14:textId="77777777" w:rsidR="000A7DF2" w:rsidRPr="001032A3" w:rsidRDefault="006F4DFA" w:rsidP="006F4DFA">
      <w:pPr>
        <w:pStyle w:val="enumlev1"/>
      </w:pPr>
      <w:r>
        <w:t>•</w:t>
      </w:r>
      <w:r>
        <w:tab/>
      </w:r>
      <w:r w:rsidR="000A7DF2" w:rsidRPr="002F2EFD">
        <w:t>The second</w:t>
      </w:r>
      <w:r w:rsidR="000A7DF2" w:rsidRPr="001032A3">
        <w:t xml:space="preserve"> </w:t>
      </w:r>
      <w:r w:rsidR="000A7DF2">
        <w:t xml:space="preserve">approach </w:t>
      </w:r>
      <w:r w:rsidR="000A7DF2" w:rsidRPr="001032A3">
        <w:t>is to request that communicating foreign MNOs voluntarily co-operate with the local NRA. Here again the regional community</w:t>
      </w:r>
      <w:r w:rsidR="000A7DF2">
        <w:t>'</w:t>
      </w:r>
      <w:r w:rsidR="000A7DF2" w:rsidRPr="001032A3">
        <w:t xml:space="preserve">s regulatory framework may be important. </w:t>
      </w:r>
      <w:r w:rsidR="000A7DF2">
        <w:t>I</w:t>
      </w:r>
      <w:r w:rsidR="000A7DF2" w:rsidRPr="001032A3">
        <w:t>n this case</w:t>
      </w:r>
      <w:r w:rsidR="000A7DF2">
        <w:t>, however,</w:t>
      </w:r>
      <w:r w:rsidR="000A7DF2" w:rsidRPr="001032A3">
        <w:t xml:space="preserve"> it is to use what exists as a common set of rules, directives and guidelines covering the mobile sector as a regulated industry (as exists in </w:t>
      </w:r>
      <w:r w:rsidR="000A7DF2">
        <w:t xml:space="preserve">the </w:t>
      </w:r>
      <w:r w:rsidR="000A7DF2" w:rsidRPr="001032A3">
        <w:t>EU) which may also fall under competition and consumer protection. These statutes may be cross-border and require the correspondent MNO to reply in cases of telecommunications pricing, preferred partners and also of consumer protection.</w:t>
      </w:r>
    </w:p>
    <w:p w14:paraId="4F213769" w14:textId="77777777" w:rsidR="000A7DF2" w:rsidRDefault="000A7DF2" w:rsidP="000A7DF2">
      <w:pPr>
        <w:autoSpaceDE w:val="0"/>
        <w:spacing w:after="120"/>
      </w:pPr>
      <w:r w:rsidRPr="001032A3">
        <w:t>A possible alternative approach is to obtain data from several MNOs of different sizes, using different technologies, to estimate the average of the underlying cost elements. Although an approximation, which may have regional variations, it could avoid the need to share detailed individual MNO information among all NRAs. A generali</w:t>
      </w:r>
      <w:r>
        <w:t>z</w:t>
      </w:r>
      <w:r w:rsidRPr="001032A3">
        <w:t xml:space="preserve">ed average of costs may provide a first indicator to determine termination rates, without gathering detailed data from every MNO. </w:t>
      </w:r>
    </w:p>
    <w:p w14:paraId="48578718" w14:textId="77777777" w:rsidR="000A7DF2" w:rsidRDefault="000A7DF2" w:rsidP="006F4DFA">
      <w:pPr>
        <w:pStyle w:val="Heading2"/>
      </w:pPr>
      <w:bookmarkStart w:id="40" w:name="_Toc425326322"/>
      <w:bookmarkStart w:id="41" w:name="_Toc429485880"/>
      <w:r>
        <w:t>3.3</w:t>
      </w:r>
      <w:r w:rsidR="006F4DFA">
        <w:tab/>
      </w:r>
      <w:r w:rsidRPr="00C608F0">
        <w:t>Further cost items that may be included to extend the model, whe</w:t>
      </w:r>
      <w:r>
        <w:t>n</w:t>
      </w:r>
      <w:r w:rsidRPr="00C608F0">
        <w:t xml:space="preserve"> significant</w:t>
      </w:r>
      <w:bookmarkEnd w:id="40"/>
      <w:bookmarkEnd w:id="41"/>
    </w:p>
    <w:p w14:paraId="60E6764A" w14:textId="77777777" w:rsidR="000A7DF2" w:rsidRDefault="000A7DF2" w:rsidP="006F4DFA">
      <w:r>
        <w:t>There are a number of further cost issues with their parameters that could be added to a basic set (see Annex 5) when noteworthy, although some in the industry may dispute their costing significance, and whether they are appropriate in some cases:</w:t>
      </w:r>
    </w:p>
    <w:p w14:paraId="0454D52B" w14:textId="77777777" w:rsidR="000A7DF2" w:rsidRDefault="006F4DFA" w:rsidP="006F4DFA">
      <w:pPr>
        <w:pStyle w:val="enumlev1"/>
      </w:pPr>
      <w:r>
        <w:t>•</w:t>
      </w:r>
      <w:r>
        <w:tab/>
      </w:r>
      <w:r w:rsidR="000A7DF2" w:rsidRPr="002F2EFD">
        <w:rPr>
          <w:i/>
          <w:iCs/>
        </w:rPr>
        <w:t>Spectrum access</w:t>
      </w:r>
      <w:r w:rsidR="000A7DF2" w:rsidRPr="006D15FC">
        <w:t xml:space="preserve"> </w:t>
      </w:r>
      <w:r w:rsidR="000A7DF2">
        <w:t>– C</w:t>
      </w:r>
      <w:r w:rsidR="000A7DF2" w:rsidRPr="006D15FC">
        <w:t>ost</w:t>
      </w:r>
      <w:r w:rsidR="000A7DF2">
        <w:t xml:space="preserve">s vary by the auction prices paid by MNOs. Thus there may be dispute over what to include in cost estimates, as the cost of spectrum when roaming may be cheaper for the radio access network (RAN) for the roaming MNO compared to that of the home MNO, indicating a possible lowering of roaming costs against the domestic call. Spectrum access cost for the subscriber may be measured in terms of licence value, estimated in price at auction per MHz, or cost per MHz per subscriber in coverage (sometime termed 'cost per pop'). Licence costs may be treated as a time depreciated asset to be written off over the life of the licence, with a decreasing value as the licence progresses. For a 3G UMTS licence written off over 15 years and costing originally EUR 6 billion (i.e. among the highest of licence fees, as paid in 2000 in the UK and Germany) and serving a peak user population of 3 million simultaneous subscribers, from a total subscriber population of perhaps 15 or 20 million subscribers, the cost per minute is a small fraction of a Euro (under a thousandth) on average, and could vary by time of day and user population. Adding additional recurring annual charges for use of spectrum of even 10% per annum (to increase net licence fees by an extra 150% over the licence's operational period) would not alter this charge </w:t>
      </w:r>
      <w:r w:rsidR="000A7DF2">
        <w:lastRenderedPageBreak/>
        <w:t>to more than the same order of cost per roaming minute</w:t>
      </w:r>
      <w:r w:rsidR="000A7DF2">
        <w:rPr>
          <w:rStyle w:val="FootnoteReference"/>
        </w:rPr>
        <w:footnoteReference w:id="15"/>
      </w:r>
      <w:r w:rsidR="000A7DF2">
        <w:t>. Further additional licence costs may come in the form of agreements to share spectrum with other MNOs in l</w:t>
      </w:r>
      <w:r w:rsidR="000A7DF2" w:rsidRPr="002340D4">
        <w:t xml:space="preserve">icensed </w:t>
      </w:r>
      <w:r w:rsidR="000A7DF2">
        <w:t>s</w:t>
      </w:r>
      <w:r w:rsidR="000A7DF2" w:rsidRPr="002340D4">
        <w:t xml:space="preserve">hared </w:t>
      </w:r>
      <w:r w:rsidR="000A7DF2">
        <w:t>a</w:t>
      </w:r>
      <w:r w:rsidR="000A7DF2" w:rsidRPr="002340D4">
        <w:t xml:space="preserve">ccess (LSA) or </w:t>
      </w:r>
      <w:r w:rsidR="000A7DF2">
        <w:t>a</w:t>
      </w:r>
      <w:r w:rsidR="000A7DF2" w:rsidRPr="002340D4">
        <w:t>uthori</w:t>
      </w:r>
      <w:r w:rsidR="000A7DF2">
        <w:t>z</w:t>
      </w:r>
      <w:r w:rsidR="000A7DF2" w:rsidRPr="002340D4">
        <w:t xml:space="preserve">ed </w:t>
      </w:r>
      <w:r w:rsidR="000A7DF2">
        <w:t>s</w:t>
      </w:r>
      <w:r w:rsidR="000A7DF2" w:rsidRPr="002340D4">
        <w:t xml:space="preserve">hared </w:t>
      </w:r>
      <w:r w:rsidR="000A7DF2">
        <w:t>a</w:t>
      </w:r>
      <w:r w:rsidR="000A7DF2" w:rsidRPr="002340D4">
        <w:t>ccess (ASA)</w:t>
      </w:r>
      <w:r w:rsidR="000A7DF2">
        <w:t xml:space="preserve"> types of contract which occur in some countries. Again the order of additional cost per minute of voice is at the same low order of magnitude, but varying by agreement. Moreover these additional spectrum charges may act in both ways, i.e. the roaming MNO may be charging for its spectrum to other MNOs via such a scheme, in which case, its net spectrum cost/subscriber/minute could be lowered, not raised. Moreover, it could also be argued that the spectrum cost is a sunk cost, comparable to the cost of a ticket for entry to the mobile market and so is not an activity-based cost.</w:t>
      </w:r>
    </w:p>
    <w:p w14:paraId="458295C2" w14:textId="77777777" w:rsidR="000A7DF2" w:rsidRDefault="006F4DFA" w:rsidP="006F4DFA">
      <w:pPr>
        <w:pStyle w:val="enumlev1"/>
      </w:pPr>
      <w:r>
        <w:t>•</w:t>
      </w:r>
      <w:r>
        <w:tab/>
      </w:r>
      <w:r w:rsidR="000A7DF2" w:rsidRPr="003563C8">
        <w:rPr>
          <w:i/>
          <w:iCs/>
        </w:rPr>
        <w:t xml:space="preserve">Fraud </w:t>
      </w:r>
      <w:r w:rsidR="000A7DF2">
        <w:t>is an additional cost and requires appropriate measures. Fraud when roaming is particularly prevalent in certain countries and conditions – it may amount to between 1% and 5% of MNO revenues, and globally accounts for some USD 6 billion</w:t>
      </w:r>
      <w:r w:rsidR="000A7DF2">
        <w:rPr>
          <w:rStyle w:val="FootnoteReference"/>
        </w:rPr>
        <w:footnoteReference w:id="16"/>
      </w:r>
      <w:r w:rsidR="000A7DF2">
        <w:t xml:space="preserve">. A growing threat is from organized syndicates that may involve their own premium rate numbers, called by their roaming fraudsters with a postpaid SIM card activated for roaming. </w:t>
      </w:r>
      <w:r w:rsidR="000A7DF2" w:rsidRPr="002340D4">
        <w:t>Individual fraud incidents</w:t>
      </w:r>
      <w:r w:rsidR="000A7DF2">
        <w:t xml:space="preserve"> are often highly organized with costs of single incidents running up to USD 15 million for the largest occurrences.</w:t>
      </w:r>
      <w:r w:rsidR="000A7DF2" w:rsidRPr="0006306B">
        <w:t xml:space="preserve"> </w:t>
      </w:r>
      <w:r w:rsidR="000A7DF2">
        <w:t>The antidote is detection of excessive call usage to specific high premium rate numbers. By using embedded triggers in the CDR database for close-to-real-time alerts in both the home and visited MNO BSS, and/or in the roaming exchange databases, such behaviour can be detected. The problems lie in delays in relaying roaming data. Incidents are fairly evident due to the scale of calls needed to make such sums and the brief period for accumulating charges. GSMA has recommended a near-real time standard, near real-time roaming data exchange (NRTRDE) to counter this, with a CDR extract to be delivered to all participant MNOs in a call within four hours. This may be applied in an international roaming and clearing exchange, as a special service in parallel with activities inside the fraud departments of MNOs. Taking roaming as some 5% of total mobile traffic currently (this may increase if roaming charges are cost-based) and an estimated 8% of revenues due to roaming's more expensive tariffs, at global mobile revenues of USD 1.2 trillion</w:t>
      </w:r>
      <w:r w:rsidR="000A7DF2">
        <w:rPr>
          <w:rStyle w:val="FootnoteReference"/>
        </w:rPr>
        <w:footnoteReference w:id="17"/>
      </w:r>
      <w:r w:rsidR="000A7DF2">
        <w:t>, then total roaming fraud at the top end may add some 6% to roaming costs on top of call costs. If total anti-fraud measures are successful, this proportion might decline. How much this actually adds to the cost of a roaming call over a domestic call is thus debateable, especially as some MNOs are quite successful in countering roaming fraud. However, when considering the additional cost of roaming fraud, comparison to domestic fraud is necessary. Domestic fraud is typically comparable in fraud rates, of the order of 1% to 5% of revenues</w:t>
      </w:r>
      <w:r w:rsidR="000A7DF2">
        <w:rPr>
          <w:rStyle w:val="FootnoteReference"/>
        </w:rPr>
        <w:footnoteReference w:id="18"/>
      </w:r>
      <w:r w:rsidR="000A7DF2">
        <w:t>. This would tend to make the additional differential cost of roaming fraud with domestic calls</w:t>
      </w:r>
      <w:r w:rsidR="000A7DF2" w:rsidRPr="00C266FF">
        <w:t xml:space="preserve"> </w:t>
      </w:r>
      <w:r w:rsidR="000A7DF2">
        <w:t>vary between close to zero and a few percentage points of the cost of a domestic call.</w:t>
      </w:r>
    </w:p>
    <w:p w14:paraId="3DB803BA" w14:textId="77777777" w:rsidR="000A7DF2" w:rsidRDefault="006F4DFA" w:rsidP="006F4DFA">
      <w:pPr>
        <w:pStyle w:val="enumlev1"/>
      </w:pPr>
      <w:r>
        <w:t>•</w:t>
      </w:r>
      <w:r>
        <w:tab/>
      </w:r>
      <w:r w:rsidR="000A7DF2" w:rsidRPr="003563C8">
        <w:rPr>
          <w:i/>
          <w:iCs/>
        </w:rPr>
        <w:t>Termination rates</w:t>
      </w:r>
      <w:r w:rsidR="000A7DF2">
        <w:t xml:space="preserve"> – W</w:t>
      </w:r>
      <w:r w:rsidR="000A7DF2" w:rsidRPr="00875B5E">
        <w:t xml:space="preserve">hen fixed and mobile operators </w:t>
      </w:r>
      <w:r w:rsidR="000A7DF2">
        <w:t>connect</w:t>
      </w:r>
      <w:r w:rsidR="000A7DF2" w:rsidRPr="00875B5E">
        <w:t xml:space="preserve"> </w:t>
      </w:r>
      <w:r w:rsidR="000A7DF2">
        <w:t xml:space="preserve">their </w:t>
      </w:r>
      <w:r w:rsidR="000A7DF2" w:rsidRPr="00875B5E">
        <w:t xml:space="preserve">customers to </w:t>
      </w:r>
      <w:r w:rsidR="000A7DF2">
        <w:t>local</w:t>
      </w:r>
      <w:r w:rsidR="000A7DF2" w:rsidRPr="00875B5E">
        <w:t xml:space="preserve"> mobile numbers</w:t>
      </w:r>
      <w:r w:rsidR="000A7DF2">
        <w:t xml:space="preserve"> but </w:t>
      </w:r>
      <w:r w:rsidR="000A7DF2" w:rsidRPr="00875B5E">
        <w:t xml:space="preserve">on a different </w:t>
      </w:r>
      <w:r w:rsidR="000A7DF2">
        <w:t xml:space="preserve">national </w:t>
      </w:r>
      <w:r w:rsidR="000A7DF2" w:rsidRPr="00875B5E">
        <w:t xml:space="preserve">mobile network, they pay </w:t>
      </w:r>
      <w:r w:rsidR="000A7DF2">
        <w:t>the MNO</w:t>
      </w:r>
      <w:r w:rsidR="000A7DF2" w:rsidRPr="00875B5E">
        <w:t xml:space="preserve"> </w:t>
      </w:r>
      <w:r w:rsidR="000A7DF2">
        <w:t xml:space="preserve">managing that called number </w:t>
      </w:r>
      <w:r w:rsidR="000A7DF2" w:rsidRPr="00875B5E">
        <w:t xml:space="preserve">a wholesale charge to complete those calls. The rates that </w:t>
      </w:r>
      <w:r w:rsidR="000A7DF2">
        <w:t xml:space="preserve">domestic </w:t>
      </w:r>
      <w:r w:rsidR="000A7DF2" w:rsidRPr="00875B5E">
        <w:t xml:space="preserve">operators pay </w:t>
      </w:r>
      <w:r w:rsidR="000A7DF2">
        <w:t xml:space="preserve">each other for delivering off-net calls on their own network </w:t>
      </w:r>
      <w:r w:rsidR="000A7DF2" w:rsidRPr="00875B5E">
        <w:t>are mo</w:t>
      </w:r>
      <w:r w:rsidR="000A7DF2">
        <w:t>st</w:t>
      </w:r>
      <w:r w:rsidR="000A7DF2" w:rsidRPr="00875B5E">
        <w:t xml:space="preserve"> commonly called 'mobile termination rates' (MTRs)</w:t>
      </w:r>
      <w:r w:rsidR="000A7DF2">
        <w:t xml:space="preserve"> within the same country, and may also be termed </w:t>
      </w:r>
      <w:r w:rsidR="000A7DF2" w:rsidRPr="007F5E8A">
        <w:t xml:space="preserve">mobile call termination </w:t>
      </w:r>
      <w:r w:rsidR="000A7DF2">
        <w:t>(</w:t>
      </w:r>
      <w:r w:rsidR="000A7DF2" w:rsidRPr="00875B5E">
        <w:t>MCT</w:t>
      </w:r>
      <w:r w:rsidR="000A7DF2">
        <w:t>) charges</w:t>
      </w:r>
      <w:r w:rsidR="000A7DF2" w:rsidRPr="00875B5E">
        <w:t>.</w:t>
      </w:r>
      <w:r w:rsidR="000A7DF2">
        <w:t xml:space="preserve"> Thus a visitor to a foreign country placing a call within the visited country will also </w:t>
      </w:r>
      <w:r w:rsidR="000A7DF2">
        <w:lastRenderedPageBreak/>
        <w:t xml:space="preserve">pay local MTRs which may be charged per minute. This may apply to both mobile and or fixed network operators terminating that call and will add to the cost of local calls while visiting. Such charges may be equally applied to international calls but MTR then becomes part of the total wholesale (or discounted) inter-operator tariff (IOT) under the GSMA STIRA framework. However, the transparency of the costing is more obscure. The introduction of IOTs in the late 1990s produced a significant increase in wholesale roaming charges, as they were now detached from retail prices and MNOs had no pressures to bring IOTs in line with costs. </w:t>
      </w:r>
    </w:p>
    <w:p w14:paraId="5773BEA6" w14:textId="77777777" w:rsidR="000A7DF2" w:rsidRDefault="006F4DFA" w:rsidP="006F4DFA">
      <w:pPr>
        <w:pStyle w:val="enumlev1"/>
      </w:pPr>
      <w:r>
        <w:tab/>
      </w:r>
      <w:r w:rsidR="000A7DF2">
        <w:t>The defence of high IOTs has been made that if they are reduced, then domestic tariffs and possibly MTRs will rise</w:t>
      </w:r>
      <w:r w:rsidR="000A7DF2">
        <w:rPr>
          <w:rStyle w:val="FootnoteReference"/>
        </w:rPr>
        <w:footnoteReference w:id="19"/>
      </w:r>
      <w:r w:rsidR="000A7DF2">
        <w:t xml:space="preserve"> – an effect sometimes termed the 'waterbed effect'. In markets and regions where cost-based pricing is not positively regulated for, this effect may be seen. For instance, 'lost' roaming revenues in some regional communities (such as the EU) may be compensated for by higher IOT charges for countries </w:t>
      </w:r>
      <w:r w:rsidR="000A7DF2" w:rsidRPr="00185E40">
        <w:rPr>
          <w:i/>
        </w:rPr>
        <w:t>outside</w:t>
      </w:r>
      <w:r w:rsidR="000A7DF2">
        <w:t xml:space="preserve"> the regulated community – and possibly even compensated for by higher domestic MTRs. Anecdotal evidence of the impacts was gathered in 2008 for the EU after the first roaming Directive of 2007</w:t>
      </w:r>
      <w:r w:rsidR="000A7DF2">
        <w:rPr>
          <w:rStyle w:val="FootnoteReference"/>
        </w:rPr>
        <w:footnoteReference w:id="20"/>
      </w:r>
      <w:r w:rsidR="000A7DF2">
        <w:t xml:space="preserve"> with a 22% rise in charges for calls originated from outside the EU and 35% for local calls in a visited country while roaming.</w:t>
      </w:r>
    </w:p>
    <w:p w14:paraId="0E65DC78" w14:textId="77777777" w:rsidR="000A7DF2" w:rsidRPr="00C77DCE" w:rsidRDefault="006F4DFA" w:rsidP="006F4DFA">
      <w:pPr>
        <w:pStyle w:val="enumlev1"/>
      </w:pPr>
      <w:r>
        <w:tab/>
      </w:r>
      <w:r w:rsidR="000A7DF2">
        <w:t xml:space="preserve">Some sources had previously considered that simply adding two </w:t>
      </w:r>
      <w:r w:rsidR="000A7DF2" w:rsidRPr="00C77DCE">
        <w:t xml:space="preserve">MTRs </w:t>
      </w:r>
      <w:r w:rsidR="000A7DF2">
        <w:t xml:space="preserve">might </w:t>
      </w:r>
      <w:r w:rsidR="000A7DF2" w:rsidRPr="00C77DCE">
        <w:t>be used as a proxy for the costs of both origination and termination of roaming voice calls</w:t>
      </w:r>
      <w:r w:rsidR="000A7DF2">
        <w:t xml:space="preserve"> but others have disputed the use of pure MTRs</w:t>
      </w:r>
      <w:r w:rsidR="000A7DF2">
        <w:rPr>
          <w:rStyle w:val="FootnoteReference"/>
        </w:rPr>
        <w:footnoteReference w:id="21"/>
      </w:r>
      <w:r w:rsidR="000A7DF2">
        <w:t xml:space="preserve"> as underestimating complete costs</w:t>
      </w:r>
      <w:r w:rsidR="000A7DF2" w:rsidRPr="00C77DCE">
        <w:t xml:space="preserve">. </w:t>
      </w:r>
      <w:r w:rsidR="000A7DF2">
        <w:t>The theory was that o</w:t>
      </w:r>
      <w:r w:rsidR="000A7DF2" w:rsidRPr="00C77DCE">
        <w:t xml:space="preserve">n wholesale level, </w:t>
      </w:r>
      <w:r w:rsidR="000A7DF2">
        <w:t xml:space="preserve">the </w:t>
      </w:r>
      <w:r w:rsidR="000A7DF2" w:rsidRPr="00C77DCE">
        <w:t xml:space="preserve">visited </w:t>
      </w:r>
      <w:r w:rsidR="000A7DF2">
        <w:t>MNO could</w:t>
      </w:r>
      <w:r w:rsidR="000A7DF2" w:rsidRPr="00C77DCE">
        <w:t xml:space="preserve"> recover within the wholesale rate </w:t>
      </w:r>
      <w:r w:rsidR="000A7DF2">
        <w:t xml:space="preserve">the </w:t>
      </w:r>
      <w:r w:rsidR="000A7DF2">
        <w:rPr>
          <w:i/>
        </w:rPr>
        <w:t>complete</w:t>
      </w:r>
      <w:r w:rsidR="000A7DF2" w:rsidRPr="009D18EA">
        <w:rPr>
          <w:i/>
        </w:rPr>
        <w:t xml:space="preserve"> </w:t>
      </w:r>
      <w:r w:rsidR="000A7DF2">
        <w:t>roaming cost (i.e. c</w:t>
      </w:r>
      <w:r w:rsidR="000A7DF2" w:rsidRPr="00C77DCE">
        <w:t>ost</w:t>
      </w:r>
      <w:r w:rsidR="000A7DF2">
        <w:t>s</w:t>
      </w:r>
      <w:r w:rsidR="000A7DF2" w:rsidRPr="00C77DCE">
        <w:t xml:space="preserve"> </w:t>
      </w:r>
      <w:r w:rsidR="000A7DF2">
        <w:t>of access and call origination – sometimes termed ACO – with c</w:t>
      </w:r>
      <w:r w:rsidR="000A7DF2" w:rsidRPr="00C77DCE">
        <w:t>ost</w:t>
      </w:r>
      <w:r w:rsidR="000A7DF2">
        <w:t>s</w:t>
      </w:r>
      <w:r w:rsidR="000A7DF2" w:rsidRPr="00C77DCE">
        <w:t xml:space="preserve"> of termination </w:t>
      </w:r>
      <w:r w:rsidR="000A7DF2">
        <w:t>and any n</w:t>
      </w:r>
      <w:r w:rsidR="000A7DF2" w:rsidRPr="00C77DCE">
        <w:t>on network</w:t>
      </w:r>
      <w:r w:rsidR="000A7DF2">
        <w:t>-related</w:t>
      </w:r>
      <w:r w:rsidR="000A7DF2" w:rsidRPr="00C77DCE">
        <w:t xml:space="preserve"> costs</w:t>
      </w:r>
      <w:r w:rsidR="000A7DF2">
        <w:t xml:space="preserve"> including </w:t>
      </w:r>
      <w:r w:rsidR="000A7DF2" w:rsidRPr="00C77DCE">
        <w:t xml:space="preserve">a share of </w:t>
      </w:r>
      <w:r w:rsidR="000A7DF2">
        <w:t xml:space="preserve">billing, customer care and </w:t>
      </w:r>
      <w:r w:rsidR="000A7DF2" w:rsidRPr="00C77DCE">
        <w:t xml:space="preserve">common </w:t>
      </w:r>
      <w:r w:rsidR="000A7DF2">
        <w:t>overheads). Thus here we look more closely across all cost parameters (for example, Annex 5).</w:t>
      </w:r>
    </w:p>
    <w:p w14:paraId="74C7AC3A" w14:textId="77777777" w:rsidR="002555F7" w:rsidRDefault="006F4DFA" w:rsidP="006F4DFA">
      <w:pPr>
        <w:pStyle w:val="enumlev1"/>
      </w:pPr>
      <w:r>
        <w:t>•</w:t>
      </w:r>
      <w:r>
        <w:tab/>
      </w:r>
      <w:r w:rsidR="000A7DF2">
        <w:rPr>
          <w:i/>
          <w:iCs/>
        </w:rPr>
        <w:t>Cost of opening up</w:t>
      </w:r>
      <w:r w:rsidR="000A7DF2" w:rsidRPr="003563C8">
        <w:rPr>
          <w:i/>
          <w:iCs/>
        </w:rPr>
        <w:t xml:space="preserve"> roaming routes and monitoring the</w:t>
      </w:r>
      <w:r w:rsidR="000A7DF2">
        <w:rPr>
          <w:i/>
          <w:iCs/>
        </w:rPr>
        <w:t>ir operations</w:t>
      </w:r>
      <w:r w:rsidR="000A7DF2" w:rsidRPr="006D15FC">
        <w:t xml:space="preserve"> – </w:t>
      </w:r>
      <w:r w:rsidR="000A7DF2">
        <w:t>IMR requires agreements between MNOs and also fixed line operators to deliver calls. This obviously comes at some cost especially if it depends on multiple bilateral agreements. One way to reduce this is to use an international exchange, or roaming hub, with many MNO partners physically connected (via CCITT signalling system 7 (SS7)). A roaming exchange hub is especially useful for the smaller operators as a single bulk agreement can provide enormous simplification of the bureaucracy and thus cost reduction. Roaming operations do still require a small team to set up and then test the roaming dataflow with more complicated configuration such as steering of traffic for maximized discounts. Over the long term, the team must monitor the agreements, especially the financial flows and their accounting, also the technical quality and reliability of the roaming setup for call handover between the various roaming partners. Many MNOs may still prefer to negotiate individual IOT agreements with their correspondent partners and also to decide on traffic steering, in order to obtain the best bulk discounts for volume with preferred international partners. The approach is to aggregate larger traffic volumes with the preferred partner. Most large multinational mobile operators pursue this energetically. It may be treated, for costing purposes, as part of the costs of the business process for roaming activities.</w:t>
      </w:r>
    </w:p>
    <w:p w14:paraId="2B271599" w14:textId="77777777" w:rsidR="004945C8" w:rsidRDefault="004945C8" w:rsidP="006F4DFA">
      <w:pPr>
        <w:pStyle w:val="enumlev1"/>
      </w:pPr>
    </w:p>
    <w:p w14:paraId="1574510C" w14:textId="77777777" w:rsidR="000A7DF2" w:rsidRPr="001032A3" w:rsidRDefault="000A7DF2" w:rsidP="006F4DFA">
      <w:pPr>
        <w:pStyle w:val="Heading1"/>
      </w:pPr>
      <w:bookmarkStart w:id="42" w:name="_Toc425326323"/>
      <w:bookmarkStart w:id="43" w:name="_Toc429485881"/>
      <w:r w:rsidRPr="002340D4">
        <w:lastRenderedPageBreak/>
        <w:t>Chapter 4</w:t>
      </w:r>
      <w:r w:rsidRPr="001032A3">
        <w:t xml:space="preserve"> </w:t>
      </w:r>
      <w:r>
        <w:t xml:space="preserve">– </w:t>
      </w:r>
      <w:r w:rsidRPr="001032A3">
        <w:t xml:space="preserve">Methodology: </w:t>
      </w:r>
      <w:r>
        <w:t>T</w:t>
      </w:r>
      <w:r w:rsidRPr="001032A3">
        <w:t xml:space="preserve">he </w:t>
      </w:r>
      <w:r>
        <w:t>c</w:t>
      </w:r>
      <w:r w:rsidRPr="001032A3">
        <w:t>ost model, with its mechanisms and assumptions</w:t>
      </w:r>
      <w:bookmarkEnd w:id="42"/>
      <w:bookmarkEnd w:id="43"/>
    </w:p>
    <w:p w14:paraId="2A55F142" w14:textId="77777777" w:rsidR="000A7DF2" w:rsidRPr="001032A3" w:rsidRDefault="000A7DF2" w:rsidP="000A7DF2">
      <w:pPr>
        <w:spacing w:after="120"/>
      </w:pPr>
      <w:r w:rsidRPr="001032A3">
        <w:t xml:space="preserve">Here we describe the proposed cost model, the measures and arrangements for ensuring that </w:t>
      </w:r>
      <w:r>
        <w:t xml:space="preserve">it </w:t>
      </w:r>
      <w:r w:rsidRPr="002340D4">
        <w:t>has suitable</w:t>
      </w:r>
      <w:r w:rsidRPr="001032A3">
        <w:t xml:space="preserve"> input information.</w:t>
      </w:r>
    </w:p>
    <w:p w14:paraId="3E1537C9" w14:textId="77777777" w:rsidR="000A7DF2" w:rsidRPr="001032A3" w:rsidRDefault="000926DA" w:rsidP="000926DA">
      <w:pPr>
        <w:pStyle w:val="Heading2"/>
      </w:pPr>
      <w:bookmarkStart w:id="44" w:name="_Toc425326324"/>
      <w:bookmarkStart w:id="45" w:name="_Toc429485882"/>
      <w:r>
        <w:t>4.</w:t>
      </w:r>
      <w:r w:rsidRPr="000926DA">
        <w:t>1</w:t>
      </w:r>
      <w:r>
        <w:tab/>
      </w:r>
      <w:r w:rsidR="000A7DF2" w:rsidRPr="000926DA">
        <w:t>Methodology</w:t>
      </w:r>
      <w:bookmarkEnd w:id="44"/>
      <w:bookmarkEnd w:id="45"/>
    </w:p>
    <w:p w14:paraId="4F09E672" w14:textId="77777777" w:rsidR="000A7DF2" w:rsidRPr="001032A3" w:rsidRDefault="000A7DF2" w:rsidP="000A7DF2">
      <w:pPr>
        <w:autoSpaceDE w:val="0"/>
        <w:spacing w:after="120"/>
      </w:pPr>
      <w:r w:rsidRPr="001032A3">
        <w:t xml:space="preserve">To construct the cost model, two phases are necessary </w:t>
      </w:r>
      <w:r>
        <w:t>–</w:t>
      </w:r>
      <w:r w:rsidRPr="001032A3">
        <w:t xml:space="preserve"> firstly design, in outline form, which is described in this chapter, and then secondly the phase of implementation in detail. The latter is based on gathering actual data from MNOs (using standard spreadsheets, shown in </w:t>
      </w:r>
      <w:r>
        <w:t>Annex 4).</w:t>
      </w:r>
    </w:p>
    <w:p w14:paraId="49DA87BE" w14:textId="77777777" w:rsidR="000A7DF2" w:rsidRDefault="000A7DF2" w:rsidP="00EF1563">
      <w:pPr>
        <w:autoSpaceDE w:val="0"/>
        <w:spacing w:after="120"/>
      </w:pPr>
      <w:r w:rsidRPr="001032A3">
        <w:t xml:space="preserve">For its design, the model will be based on the operational business processes that identify the major cost elements. A specific approach will be applied for constructing and exercising the cost model employing a construct from business process analysis of </w:t>
      </w:r>
      <w:r w:rsidRPr="001032A3">
        <w:rPr>
          <w:i/>
          <w:iCs/>
        </w:rPr>
        <w:t>use cases</w:t>
      </w:r>
      <w:r w:rsidRPr="00A274F1">
        <w:rPr>
          <w:rStyle w:val="FootnoteCharacters"/>
        </w:rPr>
        <w:footnoteReference w:id="22"/>
      </w:r>
      <w:r w:rsidRPr="001032A3">
        <w:t>. The cost model approach has the following steps:</w:t>
      </w:r>
    </w:p>
    <w:p w14:paraId="5F96662E" w14:textId="77777777" w:rsidR="004F1304" w:rsidRPr="001032A3" w:rsidRDefault="004F1304" w:rsidP="004F1304">
      <w:pPr>
        <w:pStyle w:val="Figuretitle"/>
      </w:pPr>
      <w:r w:rsidRPr="001032A3">
        <w:t xml:space="preserve">Figure 5 </w:t>
      </w:r>
      <w:r>
        <w:t xml:space="preserve">– </w:t>
      </w:r>
      <w:r w:rsidRPr="001032A3">
        <w:t>From business processes to the relevant cost elements</w:t>
      </w:r>
    </w:p>
    <w:p w14:paraId="27DACA9B" w14:textId="77777777" w:rsidR="000A7DF2" w:rsidRPr="00E52A39" w:rsidRDefault="000A7DF2" w:rsidP="004F1304">
      <w:pPr>
        <w:pStyle w:val="Figure"/>
      </w:pPr>
      <w:r w:rsidRPr="00E52A39">
        <w:rPr>
          <w:noProof/>
        </w:rPr>
        <w:drawing>
          <wp:inline distT="0" distB="0" distL="0" distR="0" wp14:anchorId="3414EF38" wp14:editId="222A184E">
            <wp:extent cx="3948430" cy="2965450"/>
            <wp:effectExtent l="19050" t="1905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48430" cy="2965450"/>
                    </a:xfrm>
                    <a:prstGeom prst="rect">
                      <a:avLst/>
                    </a:prstGeom>
                    <a:noFill/>
                    <a:ln w="12700" cmpd="sng">
                      <a:solidFill>
                        <a:srgbClr val="008080"/>
                      </a:solidFill>
                      <a:miter lim="800000"/>
                      <a:headEnd/>
                      <a:tailEnd/>
                    </a:ln>
                    <a:effectLst/>
                  </pic:spPr>
                </pic:pic>
              </a:graphicData>
            </a:graphic>
          </wp:inline>
        </w:drawing>
      </w:r>
    </w:p>
    <w:p w14:paraId="0F9B5243" w14:textId="77777777" w:rsidR="000A7DF2" w:rsidRDefault="000A7DF2" w:rsidP="004F1304">
      <w:pPr>
        <w:pStyle w:val="Figuresource"/>
      </w:pPr>
    </w:p>
    <w:p w14:paraId="54AF7F6C" w14:textId="77777777" w:rsidR="000A7DF2" w:rsidRPr="00DD5C2E" w:rsidRDefault="004F1304" w:rsidP="004F1304">
      <w:pPr>
        <w:pStyle w:val="Heading3"/>
      </w:pPr>
      <w:bookmarkStart w:id="46" w:name="_Toc425326325"/>
      <w:r>
        <w:t>4.1.1</w:t>
      </w:r>
      <w:r>
        <w:tab/>
      </w:r>
      <w:r w:rsidR="000A7DF2" w:rsidRPr="00DD5C2E">
        <w:t>Identify the business processes</w:t>
      </w:r>
      <w:bookmarkEnd w:id="46"/>
      <w:r w:rsidR="000A7DF2" w:rsidRPr="00DD5C2E">
        <w:t xml:space="preserve"> </w:t>
      </w:r>
    </w:p>
    <w:p w14:paraId="6BB83D14" w14:textId="77777777" w:rsidR="000A7DF2" w:rsidRPr="001032A3" w:rsidRDefault="000A7DF2" w:rsidP="000A7DF2">
      <w:pPr>
        <w:autoSpaceDE w:val="0"/>
        <w:spacing w:after="120"/>
      </w:pPr>
      <w:r w:rsidRPr="001032A3">
        <w:t>MNO operates through specific major functional business areas, which may be approximately defined as the operating divisions for network operations, including network build</w:t>
      </w:r>
      <w:r>
        <w:t>,</w:t>
      </w:r>
      <w:r w:rsidRPr="001032A3">
        <w:t xml:space="preserve"> business support </w:t>
      </w:r>
      <w:r>
        <w:t xml:space="preserve">systems </w:t>
      </w:r>
      <w:r w:rsidRPr="001032A3">
        <w:t>(BSS) of all kinds such as billing, with their IT systems</w:t>
      </w:r>
      <w:r>
        <w:t>,</w:t>
      </w:r>
      <w:r w:rsidRPr="001032A3">
        <w:t xml:space="preserve"> and thirdly sales and marketing including a retail arm possibly. Strategy, finance, NRA negotiations, procurement and inter-operator agreements may be carried out through these three functions, usually with speciali</w:t>
      </w:r>
      <w:r>
        <w:t>z</w:t>
      </w:r>
      <w:r w:rsidRPr="001032A3">
        <w:t>ed units, e</w:t>
      </w:r>
      <w:r>
        <w:t>.</w:t>
      </w:r>
      <w:r w:rsidRPr="001032A3">
        <w:t>g</w:t>
      </w:r>
      <w:r>
        <w:t>.</w:t>
      </w:r>
      <w:r w:rsidRPr="001032A3">
        <w:t xml:space="preserve"> for spectrum auction management. </w:t>
      </w:r>
    </w:p>
    <w:p w14:paraId="160C2938" w14:textId="77777777" w:rsidR="000A7DF2" w:rsidRPr="001032A3" w:rsidRDefault="000A7DF2" w:rsidP="000A7DF2">
      <w:pPr>
        <w:autoSpaceDE w:val="0"/>
        <w:spacing w:after="120"/>
      </w:pPr>
      <w:r w:rsidRPr="001032A3">
        <w:lastRenderedPageBreak/>
        <w:t xml:space="preserve">The key point is that these functional business units operate via set of business processes relevant to a particular activity. For roaming, the business processes may run across network operations and business support (BSS) with possible involvement of marketing sales, if roaming is used as a competitive weapon. </w:t>
      </w:r>
    </w:p>
    <w:p w14:paraId="6B96140C" w14:textId="77777777" w:rsidR="000A7DF2" w:rsidRDefault="000A7DF2" w:rsidP="000A7DF2">
      <w:pPr>
        <w:autoSpaceDE w:val="0"/>
        <w:spacing w:after="120"/>
      </w:pPr>
      <w:r w:rsidRPr="001032A3">
        <w:t>In total</w:t>
      </w:r>
      <w:r>
        <w:t>,</w:t>
      </w:r>
      <w:r w:rsidRPr="001032A3">
        <w:t xml:space="preserve"> the business processes observed in MNO include the following at least:</w:t>
      </w:r>
    </w:p>
    <w:tbl>
      <w:tblPr>
        <w:tblStyle w:val="TableGrid"/>
        <w:tblW w:w="0" w:type="auto"/>
        <w:tblInd w:w="122" w:type="dxa"/>
        <w:shd w:val="clear" w:color="auto" w:fill="F3F3F3"/>
        <w:tblLook w:val="04A0" w:firstRow="1" w:lastRow="0" w:firstColumn="1" w:lastColumn="0" w:noHBand="0" w:noVBand="1"/>
      </w:tblPr>
      <w:tblGrid>
        <w:gridCol w:w="9351"/>
      </w:tblGrid>
      <w:tr w:rsidR="00EF1563" w14:paraId="2099406A" w14:textId="77777777">
        <w:tc>
          <w:tcPr>
            <w:tcW w:w="9351" w:type="dxa"/>
            <w:shd w:val="clear" w:color="auto" w:fill="F3F3F3"/>
          </w:tcPr>
          <w:p w14:paraId="778BEDDE" w14:textId="77777777" w:rsidR="00EF1563" w:rsidRPr="00EF1563" w:rsidRDefault="00EF1563" w:rsidP="00EF1563">
            <w:pPr>
              <w:autoSpaceDE w:val="0"/>
              <w:spacing w:before="0" w:after="120"/>
              <w:rPr>
                <w:b/>
                <w:bCs/>
                <w:sz w:val="22"/>
                <w:szCs w:val="22"/>
              </w:rPr>
            </w:pPr>
            <w:r w:rsidRPr="00EF1563">
              <w:rPr>
                <w:b/>
                <w:bCs/>
                <w:sz w:val="22"/>
                <w:szCs w:val="22"/>
              </w:rPr>
              <w:t>The major business processes for MNO</w:t>
            </w:r>
          </w:p>
          <w:p w14:paraId="4E3151DD" w14:textId="77777777" w:rsidR="00EF1563" w:rsidRPr="001032A3" w:rsidRDefault="00BF1AA3" w:rsidP="00BF1AA3">
            <w:pPr>
              <w:pStyle w:val="enumlev1"/>
              <w:spacing w:before="60"/>
            </w:pPr>
            <w:r>
              <w:sym w:font="Symbol" w:char="F0B7"/>
            </w:r>
            <w:r>
              <w:tab/>
            </w:r>
            <w:r w:rsidR="00EF1563" w:rsidRPr="001032A3">
              <w:t xml:space="preserve">Acquire and maintain assets </w:t>
            </w:r>
            <w:r w:rsidR="00EF1563">
              <w:t>–</w:t>
            </w:r>
            <w:r w:rsidR="00EF1563" w:rsidRPr="001032A3">
              <w:t xml:space="preserve"> real estate for BTSs, network equipment, IT applications, IT systems, data centres, offices, etc</w:t>
            </w:r>
            <w:r w:rsidR="00EF1563">
              <w:t>.</w:t>
            </w:r>
          </w:p>
          <w:p w14:paraId="551E5AA2" w14:textId="77777777" w:rsidR="00EF1563" w:rsidRPr="001032A3" w:rsidRDefault="00BF1AA3" w:rsidP="00BF1AA3">
            <w:pPr>
              <w:pStyle w:val="enumlev1"/>
              <w:spacing w:before="60"/>
            </w:pPr>
            <w:r>
              <w:sym w:font="Symbol" w:char="F0B7"/>
            </w:r>
            <w:r>
              <w:tab/>
            </w:r>
            <w:r w:rsidR="00EF1563" w:rsidRPr="001032A3">
              <w:t xml:space="preserve">Build network, including site construction, cable laying, NOCs, </w:t>
            </w:r>
            <w:r w:rsidR="00EF1563">
              <w:t>telecommunications management network (</w:t>
            </w:r>
            <w:r w:rsidR="00EF1563" w:rsidRPr="001032A3">
              <w:t>TMN</w:t>
            </w:r>
            <w:r w:rsidR="00EF1563">
              <w:t>)</w:t>
            </w:r>
            <w:r w:rsidR="00EF1563" w:rsidRPr="001032A3">
              <w:t>, etc</w:t>
            </w:r>
            <w:r w:rsidR="00EF1563">
              <w:t>.</w:t>
            </w:r>
          </w:p>
          <w:p w14:paraId="0887E068" w14:textId="77777777" w:rsidR="00EF1563" w:rsidRPr="001032A3" w:rsidRDefault="00BF1AA3" w:rsidP="00BF1AA3">
            <w:pPr>
              <w:pStyle w:val="enumlev1"/>
              <w:spacing w:before="60"/>
            </w:pPr>
            <w:r>
              <w:sym w:font="Symbol" w:char="F0B7"/>
            </w:r>
            <w:r>
              <w:tab/>
            </w:r>
            <w:r w:rsidR="00EF1563" w:rsidRPr="001032A3">
              <w:t>Roll</w:t>
            </w:r>
            <w:r w:rsidR="00EF1563">
              <w:t xml:space="preserve"> </w:t>
            </w:r>
            <w:r w:rsidR="00EF1563" w:rsidRPr="001032A3">
              <w:t>out network services and value added services – e</w:t>
            </w:r>
            <w:r w:rsidR="00EF1563">
              <w:t>.</w:t>
            </w:r>
            <w:r w:rsidR="00EF1563" w:rsidRPr="001032A3">
              <w:t>g</w:t>
            </w:r>
            <w:r w:rsidR="00EF1563">
              <w:t>.</w:t>
            </w:r>
            <w:r w:rsidR="00EF1563" w:rsidRPr="001032A3">
              <w:t xml:space="preserve"> </w:t>
            </w:r>
            <w:r w:rsidR="00EF1563">
              <w:t>a</w:t>
            </w:r>
            <w:r w:rsidR="00EF1563" w:rsidRPr="001032A3">
              <w:t xml:space="preserve">pps </w:t>
            </w:r>
            <w:r w:rsidR="00EF1563">
              <w:t>s</w:t>
            </w:r>
            <w:r w:rsidR="00EF1563" w:rsidRPr="001032A3">
              <w:t>tore, mapping, etc</w:t>
            </w:r>
            <w:r w:rsidR="00EF1563">
              <w:t>.</w:t>
            </w:r>
          </w:p>
          <w:p w14:paraId="5FB8AA4E" w14:textId="77777777" w:rsidR="00EF1563" w:rsidRPr="001032A3" w:rsidRDefault="00BF1AA3" w:rsidP="00BF1AA3">
            <w:pPr>
              <w:pStyle w:val="enumlev1"/>
              <w:spacing w:before="60"/>
            </w:pPr>
            <w:r>
              <w:sym w:font="Symbol" w:char="F0B7"/>
            </w:r>
            <w:r>
              <w:tab/>
            </w:r>
            <w:r w:rsidR="00EF1563" w:rsidRPr="001032A3">
              <w:t xml:space="preserve">Operate and extend networks and services – test, commission, run, </w:t>
            </w:r>
            <w:r w:rsidR="00EF1563">
              <w:t xml:space="preserve">and </w:t>
            </w:r>
            <w:r w:rsidR="00EF1563" w:rsidRPr="001032A3">
              <w:t>maintain</w:t>
            </w:r>
            <w:r w:rsidR="00EF1563">
              <w:t>.</w:t>
            </w:r>
          </w:p>
          <w:p w14:paraId="4A6A58D6" w14:textId="77777777" w:rsidR="00EF1563" w:rsidRPr="001032A3" w:rsidRDefault="00BF1AA3" w:rsidP="00BF1AA3">
            <w:pPr>
              <w:pStyle w:val="enumlev1"/>
              <w:spacing w:before="60"/>
            </w:pPr>
            <w:r>
              <w:sym w:font="Symbol" w:char="F0B7"/>
            </w:r>
            <w:r>
              <w:tab/>
            </w:r>
            <w:r w:rsidR="00EF1563" w:rsidRPr="001032A3">
              <w:t xml:space="preserve">For subscribers </w:t>
            </w:r>
            <w:r w:rsidR="00EF1563">
              <w:t>–</w:t>
            </w:r>
            <w:r w:rsidR="00EF1563" w:rsidRPr="001032A3">
              <w:t xml:space="preserve"> acquire, register, activate, provision, retain, for prepaid and postpaid</w:t>
            </w:r>
            <w:r w:rsidR="00EF1563">
              <w:t>.</w:t>
            </w:r>
          </w:p>
          <w:p w14:paraId="6CDEF629" w14:textId="77777777" w:rsidR="00EF1563" w:rsidRPr="001032A3" w:rsidRDefault="00BF1AA3" w:rsidP="00BF1AA3">
            <w:pPr>
              <w:pStyle w:val="enumlev1"/>
              <w:spacing w:before="60"/>
            </w:pPr>
            <w:r>
              <w:sym w:font="Symbol" w:char="F0B7"/>
            </w:r>
            <w:r>
              <w:tab/>
            </w:r>
            <w:r w:rsidR="00EF1563" w:rsidRPr="001032A3">
              <w:t xml:space="preserve">Billing for domestic and roaming services </w:t>
            </w:r>
            <w:r w:rsidR="00EF1563">
              <w:t>–</w:t>
            </w:r>
            <w:r w:rsidR="00EF1563" w:rsidRPr="001032A3">
              <w:t xml:space="preserve"> plan, build, train, operate, maintain</w:t>
            </w:r>
            <w:r w:rsidR="00EF1563">
              <w:t>.</w:t>
            </w:r>
          </w:p>
          <w:p w14:paraId="40967CBA" w14:textId="77777777" w:rsidR="00EF1563" w:rsidRPr="001032A3" w:rsidRDefault="00BF1AA3" w:rsidP="00BF1AA3">
            <w:pPr>
              <w:pStyle w:val="enumlev1"/>
              <w:spacing w:before="60"/>
            </w:pPr>
            <w:r>
              <w:sym w:font="Symbol" w:char="F0B7"/>
            </w:r>
            <w:r>
              <w:tab/>
            </w:r>
            <w:r w:rsidR="00EF1563" w:rsidRPr="001032A3">
              <w:t>Customer care – services and infrastructure – plan, build, train, operate, maintain</w:t>
            </w:r>
            <w:r w:rsidR="00EF1563">
              <w:t>.</w:t>
            </w:r>
          </w:p>
          <w:p w14:paraId="683BD2E5" w14:textId="77777777" w:rsidR="00EF1563" w:rsidRPr="001032A3" w:rsidRDefault="00BF1AA3" w:rsidP="00BF1AA3">
            <w:pPr>
              <w:pStyle w:val="enumlev1"/>
              <w:spacing w:before="60"/>
            </w:pPr>
            <w:r>
              <w:sym w:font="Symbol" w:char="F0B7"/>
            </w:r>
            <w:r>
              <w:tab/>
            </w:r>
            <w:r w:rsidR="00EF1563" w:rsidRPr="001032A3">
              <w:t xml:space="preserve">Handle network management, including repair teams </w:t>
            </w:r>
            <w:r w:rsidR="00EF1563">
              <w:t>–</w:t>
            </w:r>
            <w:r w:rsidR="00EF1563" w:rsidRPr="001032A3">
              <w:t xml:space="preserve"> plan, build, train, operate, maintain</w:t>
            </w:r>
            <w:r w:rsidR="00EF1563">
              <w:t>.</w:t>
            </w:r>
          </w:p>
          <w:p w14:paraId="5A168789" w14:textId="77777777" w:rsidR="00EF1563" w:rsidRPr="001032A3" w:rsidRDefault="00BF1AA3" w:rsidP="00BF1AA3">
            <w:pPr>
              <w:pStyle w:val="enumlev1"/>
              <w:spacing w:before="60"/>
            </w:pPr>
            <w:r>
              <w:sym w:font="Symbol" w:char="F0B7"/>
            </w:r>
            <w:r>
              <w:tab/>
            </w:r>
            <w:r w:rsidR="00EF1563" w:rsidRPr="001032A3">
              <w:t>Manage logistics for network elements</w:t>
            </w:r>
            <w:r w:rsidR="00EF1563">
              <w:t>.</w:t>
            </w:r>
          </w:p>
          <w:p w14:paraId="2D5A85A3" w14:textId="77777777" w:rsidR="00EF1563" w:rsidRPr="001032A3" w:rsidRDefault="00BF1AA3" w:rsidP="00BF1AA3">
            <w:pPr>
              <w:pStyle w:val="enumlev1"/>
              <w:spacing w:before="60"/>
            </w:pPr>
            <w:r>
              <w:sym w:font="Symbol" w:char="F0B7"/>
            </w:r>
            <w:r>
              <w:tab/>
            </w:r>
            <w:r w:rsidR="00EF1563" w:rsidRPr="001032A3">
              <w:t>Manage logistics for retail sales channels, including handset inventory, supplier contracts</w:t>
            </w:r>
            <w:r w:rsidR="00EF1563">
              <w:t>.</w:t>
            </w:r>
          </w:p>
          <w:p w14:paraId="04C58327" w14:textId="77777777" w:rsidR="00EF1563" w:rsidRPr="001032A3" w:rsidRDefault="00BF1AA3" w:rsidP="00BF1AA3">
            <w:pPr>
              <w:pStyle w:val="enumlev1"/>
              <w:spacing w:before="60"/>
            </w:pPr>
            <w:r>
              <w:sym w:font="Symbol" w:char="F0B7"/>
            </w:r>
            <w:r>
              <w:tab/>
            </w:r>
            <w:r w:rsidR="00EF1563" w:rsidRPr="001032A3">
              <w:t>Acquire, equip and manage tied or owned retail outlets, including warehousing space</w:t>
            </w:r>
            <w:r w:rsidR="00EF1563">
              <w:t>.</w:t>
            </w:r>
          </w:p>
          <w:p w14:paraId="284526D7" w14:textId="77777777" w:rsidR="00EF1563" w:rsidRPr="001032A3" w:rsidRDefault="00BF1AA3" w:rsidP="00BF1AA3">
            <w:pPr>
              <w:pStyle w:val="enumlev1"/>
              <w:spacing w:before="60"/>
            </w:pPr>
            <w:r>
              <w:sym w:font="Symbol" w:char="F0B7"/>
            </w:r>
            <w:r>
              <w:tab/>
            </w:r>
            <w:r w:rsidR="00EF1563" w:rsidRPr="001032A3">
              <w:t>Marketing, with promotions, handset subsidies, etc</w:t>
            </w:r>
            <w:r w:rsidR="00EF1563">
              <w:t>.</w:t>
            </w:r>
          </w:p>
          <w:p w14:paraId="7FEFDE5E" w14:textId="77777777" w:rsidR="00EF1563" w:rsidRPr="001032A3" w:rsidRDefault="00BF1AA3" w:rsidP="00BF1AA3">
            <w:pPr>
              <w:pStyle w:val="enumlev1"/>
              <w:spacing w:before="60"/>
            </w:pPr>
            <w:r>
              <w:sym w:font="Symbol" w:char="F0B7"/>
            </w:r>
            <w:r>
              <w:tab/>
            </w:r>
            <w:r w:rsidR="00EF1563" w:rsidRPr="001032A3">
              <w:t>Sales, with contracts and prepaid</w:t>
            </w:r>
            <w:r w:rsidR="00EF1563">
              <w:t>.</w:t>
            </w:r>
          </w:p>
          <w:p w14:paraId="3032BB4E" w14:textId="77777777" w:rsidR="00EF1563" w:rsidRPr="001032A3" w:rsidRDefault="00BF1AA3" w:rsidP="00BF1AA3">
            <w:pPr>
              <w:pStyle w:val="enumlev1"/>
              <w:spacing w:before="60"/>
            </w:pPr>
            <w:r>
              <w:sym w:font="Symbol" w:char="F0B7"/>
            </w:r>
            <w:r>
              <w:tab/>
            </w:r>
            <w:r w:rsidR="00EF1563" w:rsidRPr="001032A3">
              <w:t>Accounts, with accounts payable, payroll and other back office functions</w:t>
            </w:r>
            <w:r w:rsidR="00EF1563">
              <w:t>.</w:t>
            </w:r>
          </w:p>
          <w:p w14:paraId="25485C41" w14:textId="77777777" w:rsidR="00EF1563" w:rsidRPr="001032A3" w:rsidRDefault="00BF1AA3" w:rsidP="00BF1AA3">
            <w:pPr>
              <w:pStyle w:val="enumlev1"/>
              <w:spacing w:before="60"/>
            </w:pPr>
            <w:r>
              <w:sym w:font="Symbol" w:char="F0B7"/>
            </w:r>
            <w:r>
              <w:tab/>
            </w:r>
            <w:r w:rsidR="00EF1563" w:rsidRPr="001032A3">
              <w:t>International negotiations for roaming agreements</w:t>
            </w:r>
            <w:r w:rsidR="00EF1563">
              <w:t>.</w:t>
            </w:r>
          </w:p>
          <w:p w14:paraId="6407F6F0" w14:textId="77777777" w:rsidR="00EF1563" w:rsidRPr="00EF1563" w:rsidRDefault="00BF1AA3" w:rsidP="00BF1AA3">
            <w:pPr>
              <w:pStyle w:val="enumlev1"/>
              <w:spacing w:before="60"/>
            </w:pPr>
            <w:r>
              <w:sym w:font="Symbol" w:char="F0B7"/>
            </w:r>
            <w:r>
              <w:tab/>
            </w:r>
            <w:r w:rsidR="00EF1563" w:rsidRPr="001032A3">
              <w:t>Regulatory negotiations and policy with spectrum acquisition</w:t>
            </w:r>
            <w:r w:rsidR="00EF1563">
              <w:t>.</w:t>
            </w:r>
          </w:p>
        </w:tc>
      </w:tr>
    </w:tbl>
    <w:p w14:paraId="3248D336" w14:textId="77777777" w:rsidR="000A7DF2" w:rsidRPr="001032A3" w:rsidRDefault="000A7DF2" w:rsidP="000A7DF2">
      <w:pPr>
        <w:autoSpaceDE w:val="0"/>
        <w:spacing w:after="120"/>
      </w:pPr>
      <w:r w:rsidRPr="001032A3">
        <w:t>One assumption made in the model is that a common set of the high level business processes exist in most MNOs. Thus roaming involves these specific business functions and their specific business processes, in particular ways, with the accompanying operational processes and platforms. This assumption is challenged in two areas:</w:t>
      </w:r>
    </w:p>
    <w:p w14:paraId="2EDB9B01" w14:textId="77777777" w:rsidR="000A7DF2" w:rsidRPr="001032A3" w:rsidRDefault="00234CBB" w:rsidP="00234CBB">
      <w:pPr>
        <w:pStyle w:val="enumlev1"/>
      </w:pPr>
      <w:r>
        <w:t>A)</w:t>
      </w:r>
      <w:r>
        <w:tab/>
      </w:r>
      <w:r w:rsidR="000A7DF2" w:rsidRPr="001032A3">
        <w:t xml:space="preserve">For </w:t>
      </w:r>
      <w:r w:rsidR="000A7DF2">
        <w:t>mobile virtual network operators (</w:t>
      </w:r>
      <w:r w:rsidR="000A7DF2" w:rsidRPr="001032A3">
        <w:t>MVNOs</w:t>
      </w:r>
      <w:r w:rsidR="000A7DF2">
        <w:t>)</w:t>
      </w:r>
      <w:r w:rsidR="000A7DF2" w:rsidRPr="001032A3">
        <w:t>, where the networking operational processes and network elements are handed to a third party and possibly some BSS services are also outsourced, such as billing</w:t>
      </w:r>
      <w:r w:rsidR="000A7DF2">
        <w:t xml:space="preserve"> </w:t>
      </w:r>
      <w:r w:rsidR="000A7DF2" w:rsidRPr="001032A3">
        <w:t>(e</w:t>
      </w:r>
      <w:r w:rsidR="000A7DF2">
        <w:t>.</w:t>
      </w:r>
      <w:r w:rsidR="000A7DF2" w:rsidRPr="001032A3">
        <w:t>g</w:t>
      </w:r>
      <w:r w:rsidR="000A7DF2">
        <w:t>.</w:t>
      </w:r>
      <w:r w:rsidR="000A7DF2" w:rsidRPr="001032A3">
        <w:t xml:space="preserve"> in the UK, the fixed line virtual operator Onetel outsources its billing to another operator, an MNO in fact, to avoid too much competitive risk for a core business process). However, this may make the cost model somewhat simpler as the outsourced operations involved bundles of services which are clearly identified and priced for the outsourcing service level agreement (SLA) to work. Such agreements may be advantageous when identifying costs, more so than the normal MNOs cost accounting which may not have had the same analysis with itemi</w:t>
      </w:r>
      <w:r w:rsidR="000A7DF2">
        <w:t>z</w:t>
      </w:r>
      <w:r w:rsidR="000A7DF2" w:rsidRPr="001032A3">
        <w:t>ation and auditing.</w:t>
      </w:r>
    </w:p>
    <w:p w14:paraId="39D64DC8" w14:textId="77777777" w:rsidR="000A7DF2" w:rsidRPr="001032A3" w:rsidRDefault="000A7DF2" w:rsidP="00234CBB">
      <w:pPr>
        <w:pStyle w:val="enumlev1"/>
      </w:pPr>
      <w:r w:rsidRPr="001032A3">
        <w:t xml:space="preserve">B) </w:t>
      </w:r>
      <w:r w:rsidR="00234CBB">
        <w:tab/>
      </w:r>
      <w:r w:rsidRPr="001032A3">
        <w:t>For the future – where although the business functions may always be present, and also the business processes to a large extent, the operational implementations will move forward with technology to new business models. Th</w:t>
      </w:r>
      <w:r>
        <w:t>is</w:t>
      </w:r>
      <w:r w:rsidRPr="001032A3">
        <w:t xml:space="preserve"> will affect all business support services, especially billing and customer care. One example is the move to all IP networking with LTE and away from the packet technology in UMTS 3G networks.</w:t>
      </w:r>
    </w:p>
    <w:p w14:paraId="6D72B204" w14:textId="77777777" w:rsidR="000A7DF2" w:rsidRPr="00DD5C2E" w:rsidRDefault="000A7DF2" w:rsidP="00AC4228">
      <w:pPr>
        <w:pStyle w:val="Heading3"/>
      </w:pPr>
      <w:bookmarkStart w:id="47" w:name="_Toc425326326"/>
      <w:r w:rsidRPr="00DD5C2E">
        <w:t xml:space="preserve">4.1.2 </w:t>
      </w:r>
      <w:r w:rsidR="00DE50C9">
        <w:tab/>
      </w:r>
      <w:r w:rsidRPr="00DD5C2E">
        <w:t>Construct the cost model</w:t>
      </w:r>
      <w:bookmarkEnd w:id="47"/>
    </w:p>
    <w:p w14:paraId="642444C7" w14:textId="77777777" w:rsidR="000A7DF2" w:rsidRDefault="000A7DF2" w:rsidP="000A7DF2">
      <w:pPr>
        <w:autoSpaceDE w:val="0"/>
        <w:spacing w:after="120"/>
      </w:pPr>
      <w:r w:rsidRPr="001032A3">
        <w:t>The roaming model described here will cover the fundamental network elements and process costs of roaming, i</w:t>
      </w:r>
      <w:r>
        <w:t>.</w:t>
      </w:r>
      <w:r w:rsidRPr="001032A3">
        <w:t>e</w:t>
      </w:r>
      <w:r>
        <w:t>.</w:t>
      </w:r>
      <w:r w:rsidRPr="001032A3">
        <w:t xml:space="preserve"> the cost of business support services such as customer care and billing. Essentially, the cost model in outline form can be summari</w:t>
      </w:r>
      <w:r>
        <w:t>z</w:t>
      </w:r>
      <w:r w:rsidRPr="001032A3">
        <w:t xml:space="preserve">ed as the underlying MNO costs for roaming (on which data has to be gathered) built up from the business processes. Costs can be one of the following: </w:t>
      </w:r>
    </w:p>
    <w:tbl>
      <w:tblPr>
        <w:tblW w:w="9351"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6"/>
        <w:gridCol w:w="7385"/>
      </w:tblGrid>
      <w:tr w:rsidR="000A7DF2" w:rsidRPr="001032A3" w14:paraId="513B54B4" w14:textId="77777777">
        <w:tc>
          <w:tcPr>
            <w:tcW w:w="1966" w:type="dxa"/>
            <w:shd w:val="clear" w:color="auto" w:fill="FFFFFF" w:themeFill="background1"/>
          </w:tcPr>
          <w:p w14:paraId="5E6F73E9" w14:textId="77777777" w:rsidR="000A7DF2" w:rsidRPr="00AC4228" w:rsidRDefault="000A7DF2" w:rsidP="00234CBB">
            <w:pPr>
              <w:pStyle w:val="Tablehead"/>
              <w:keepNext/>
              <w:keepLines/>
            </w:pPr>
            <w:r w:rsidRPr="00AC4228">
              <w:lastRenderedPageBreak/>
              <w:t>Cost item</w:t>
            </w:r>
          </w:p>
        </w:tc>
        <w:tc>
          <w:tcPr>
            <w:tcW w:w="7385" w:type="dxa"/>
            <w:shd w:val="clear" w:color="auto" w:fill="FFFFFF" w:themeFill="background1"/>
          </w:tcPr>
          <w:p w14:paraId="74BEA7E1" w14:textId="77777777" w:rsidR="000A7DF2" w:rsidRPr="00AC4228" w:rsidRDefault="000A7DF2" w:rsidP="00234CBB">
            <w:pPr>
              <w:pStyle w:val="Tablehead"/>
              <w:keepNext/>
              <w:keepLines/>
            </w:pPr>
            <w:r w:rsidRPr="00AC4228">
              <w:t>Description</w:t>
            </w:r>
          </w:p>
        </w:tc>
      </w:tr>
      <w:tr w:rsidR="000A7DF2" w:rsidRPr="001032A3" w14:paraId="25E855AD" w14:textId="77777777">
        <w:tc>
          <w:tcPr>
            <w:tcW w:w="1966" w:type="dxa"/>
            <w:shd w:val="clear" w:color="auto" w:fill="auto"/>
          </w:tcPr>
          <w:p w14:paraId="6C2D61DE" w14:textId="77777777" w:rsidR="000A7DF2" w:rsidRPr="001032A3" w:rsidRDefault="000A7DF2" w:rsidP="00234CBB">
            <w:pPr>
              <w:pStyle w:val="Tabletext"/>
              <w:keepNext/>
              <w:keepLines/>
            </w:pPr>
            <w:r w:rsidRPr="001032A3">
              <w:t xml:space="preserve">Capital outlays </w:t>
            </w:r>
            <w:r>
              <w:t>–</w:t>
            </w:r>
            <w:r w:rsidRPr="001032A3">
              <w:t xml:space="preserve"> Capex</w:t>
            </w:r>
          </w:p>
        </w:tc>
        <w:tc>
          <w:tcPr>
            <w:tcW w:w="7385" w:type="dxa"/>
            <w:shd w:val="clear" w:color="auto" w:fill="auto"/>
          </w:tcPr>
          <w:p w14:paraId="241071BE" w14:textId="77777777" w:rsidR="000A7DF2" w:rsidRPr="00234CBB" w:rsidRDefault="000A7DF2" w:rsidP="00234CBB">
            <w:pPr>
              <w:pStyle w:val="Tabletext"/>
              <w:keepNext/>
              <w:keepLines/>
              <w:rPr>
                <w:sz w:val="20"/>
                <w:szCs w:val="20"/>
                <w:lang w:val="en-US"/>
              </w:rPr>
            </w:pPr>
            <w:r w:rsidRPr="00234CBB">
              <w:rPr>
                <w:sz w:val="20"/>
                <w:szCs w:val="20"/>
                <w:lang w:val="en-US"/>
              </w:rPr>
              <w:t>Capital expenditures include investments in network infrastructure and which may be largely one-time, on startup, with regular three, five or longer phases of capex outlays for network expansion and renewal.</w:t>
            </w:r>
          </w:p>
        </w:tc>
      </w:tr>
      <w:tr w:rsidR="000A7DF2" w:rsidRPr="001032A3" w14:paraId="3D382757" w14:textId="77777777">
        <w:tc>
          <w:tcPr>
            <w:tcW w:w="1966" w:type="dxa"/>
            <w:shd w:val="clear" w:color="auto" w:fill="auto"/>
          </w:tcPr>
          <w:p w14:paraId="5D2B848B" w14:textId="77777777" w:rsidR="000A7DF2" w:rsidRPr="001032A3" w:rsidRDefault="000A7DF2" w:rsidP="00234CBB">
            <w:pPr>
              <w:pStyle w:val="Tabletext"/>
              <w:keepNext/>
              <w:keepLines/>
            </w:pPr>
            <w:r w:rsidRPr="001032A3">
              <w:t xml:space="preserve">Operational outlays </w:t>
            </w:r>
            <w:r>
              <w:t xml:space="preserve">– </w:t>
            </w:r>
            <w:r w:rsidRPr="001032A3">
              <w:t>Opex</w:t>
            </w:r>
          </w:p>
        </w:tc>
        <w:tc>
          <w:tcPr>
            <w:tcW w:w="7385" w:type="dxa"/>
            <w:shd w:val="clear" w:color="auto" w:fill="auto"/>
          </w:tcPr>
          <w:p w14:paraId="6988B943" w14:textId="77777777" w:rsidR="000A7DF2" w:rsidRPr="00234CBB" w:rsidRDefault="000A7DF2" w:rsidP="00234CBB">
            <w:pPr>
              <w:pStyle w:val="Tabletext"/>
              <w:keepNext/>
              <w:keepLines/>
              <w:rPr>
                <w:sz w:val="20"/>
                <w:szCs w:val="20"/>
                <w:lang w:val="en-US"/>
              </w:rPr>
            </w:pPr>
            <w:r w:rsidRPr="00234CBB">
              <w:rPr>
                <w:sz w:val="20"/>
                <w:szCs w:val="20"/>
                <w:lang w:val="en-US"/>
              </w:rPr>
              <w:t>Operational expenditures are required for running the mobile business – recurring costs include everything from salaries to electrical bills to annual software licences to consumable items and maintenance of networks, IT and software. For roaming, the costs include some proportion of the costs for staff for network management and the billing systems with customer care and their software plus the software maintenance costs. It also includes staff for negotiating IOTs although this may not be a continuous process and may reduce in a regulatory regime where IOTs are cost controlled.</w:t>
            </w:r>
          </w:p>
        </w:tc>
      </w:tr>
    </w:tbl>
    <w:p w14:paraId="2E4A12F1" w14:textId="77777777" w:rsidR="000A7DF2" w:rsidRPr="001032A3" w:rsidRDefault="000A7DF2" w:rsidP="000A7DF2">
      <w:pPr>
        <w:autoSpaceDE w:val="0"/>
        <w:spacing w:after="120"/>
      </w:pPr>
      <w:r w:rsidRPr="001032A3">
        <w:t xml:space="preserve">Various MNOs have tried to include special marketing and sales costs in their roaming charges. </w:t>
      </w:r>
      <w:r>
        <w:t>However,</w:t>
      </w:r>
      <w:r w:rsidRPr="001032A3">
        <w:t xml:space="preserve"> this seems questionable in terms of a service that thrives without promotion, through its dependence on its (tied) domestic subscribers who are already signed up.</w:t>
      </w:r>
    </w:p>
    <w:p w14:paraId="6AC57553" w14:textId="77777777" w:rsidR="000A7DF2" w:rsidRPr="001032A3" w:rsidRDefault="000A7DF2" w:rsidP="000A7DF2">
      <w:pPr>
        <w:autoSpaceDE w:val="0"/>
        <w:spacing w:after="120"/>
      </w:pPr>
      <w:r w:rsidRPr="001032A3">
        <w:t xml:space="preserve">Note that </w:t>
      </w:r>
      <w:r>
        <w:t>o</w:t>
      </w:r>
      <w:r w:rsidRPr="001032A3">
        <w:t xml:space="preserve">pex costs are almost always higher than capital investments over a multi-year time window. Even for new mobile technologies at rollout – for instance 3G UMTS annual </w:t>
      </w:r>
      <w:r>
        <w:t>c</w:t>
      </w:r>
      <w:r w:rsidRPr="001032A3">
        <w:t>apex was typically much less than OPEX</w:t>
      </w:r>
      <w:r w:rsidRPr="001032A3">
        <w:rPr>
          <w:rStyle w:val="FootnoteCharacters"/>
        </w:rPr>
        <w:footnoteReference w:id="23"/>
      </w:r>
      <w:r w:rsidRPr="001032A3">
        <w:t xml:space="preserve"> over the amorti</w:t>
      </w:r>
      <w:r>
        <w:t>z</w:t>
      </w:r>
      <w:r w:rsidRPr="001032A3">
        <w:t>ation duration, especially when network element prices fell</w:t>
      </w:r>
      <w:r w:rsidRPr="001032A3">
        <w:rPr>
          <w:rStyle w:val="FootnoteCharacters"/>
        </w:rPr>
        <w:footnoteReference w:id="24"/>
      </w:r>
      <w:r w:rsidRPr="001032A3">
        <w:t>.</w:t>
      </w:r>
    </w:p>
    <w:p w14:paraId="3432DFD3" w14:textId="77777777" w:rsidR="000A7DF2" w:rsidRPr="001032A3" w:rsidRDefault="000A7DF2" w:rsidP="000A7DF2">
      <w:pPr>
        <w:autoSpaceDE w:val="0"/>
        <w:spacing w:after="120"/>
      </w:pPr>
      <w:r w:rsidRPr="001032A3">
        <w:t>Billing, call data collection and mediation are fundamental business processes, as the whole revenue stream depends on them. Their total costs are quite variable. They depend on the complexity of charging with the pricing plans, the services offered, as well as the number of subscribers. For instance</w:t>
      </w:r>
      <w:r>
        <w:t>,</w:t>
      </w:r>
      <w:r w:rsidRPr="001032A3">
        <w:t xml:space="preserve"> a billing system for </w:t>
      </w:r>
      <w:r>
        <w:t>three</w:t>
      </w:r>
      <w:r w:rsidRPr="001032A3">
        <w:t xml:space="preserve"> to 10 million subscribers may cost </w:t>
      </w:r>
      <w:r>
        <w:t>EUR four</w:t>
      </w:r>
      <w:r w:rsidRPr="001032A3">
        <w:t xml:space="preserve"> to </w:t>
      </w:r>
      <w:r>
        <w:t xml:space="preserve">EUR </w:t>
      </w:r>
      <w:r w:rsidRPr="001032A3">
        <w:t>10 per subscriber for complex rating systems. For flat rate billing, e</w:t>
      </w:r>
      <w:r>
        <w:t>.</w:t>
      </w:r>
      <w:r w:rsidRPr="001032A3">
        <w:t>g</w:t>
      </w:r>
      <w:r>
        <w:t>.</w:t>
      </w:r>
      <w:r w:rsidRPr="001032A3">
        <w:t xml:space="preserve"> for IP data/month like </w:t>
      </w:r>
      <w:r>
        <w:t>cable television (</w:t>
      </w:r>
      <w:r w:rsidRPr="001032A3">
        <w:t>CATV</w:t>
      </w:r>
      <w:r>
        <w:t>)</w:t>
      </w:r>
      <w:r w:rsidRPr="001032A3">
        <w:t xml:space="preserve">, the cost may amount to less than </w:t>
      </w:r>
      <w:r>
        <w:t xml:space="preserve">EUR </w:t>
      </w:r>
      <w:r w:rsidRPr="001032A3">
        <w:t xml:space="preserve">1 to </w:t>
      </w:r>
      <w:r>
        <w:t xml:space="preserve">EUR </w:t>
      </w:r>
      <w:r w:rsidRPr="001032A3">
        <w:t>2 per subscriber</w:t>
      </w:r>
      <w:r w:rsidRPr="001032A3">
        <w:rPr>
          <w:rStyle w:val="FootnoteCharacters"/>
        </w:rPr>
        <w:footnoteReference w:id="25"/>
      </w:r>
      <w:r w:rsidRPr="001032A3">
        <w:t xml:space="preserve">. </w:t>
      </w:r>
    </w:p>
    <w:p w14:paraId="1EC16012" w14:textId="77777777" w:rsidR="000A7DF2" w:rsidRPr="001032A3" w:rsidRDefault="000A7DF2" w:rsidP="000A7DF2">
      <w:pPr>
        <w:autoSpaceDE w:val="0"/>
        <w:spacing w:after="120"/>
      </w:pPr>
      <w:r w:rsidRPr="001032A3">
        <w:t>Hence for 10 million subscribers with packaged call bundles, complex time, length of call and volume of call conditions, plus off</w:t>
      </w:r>
      <w:r>
        <w:t>-</w:t>
      </w:r>
      <w:r w:rsidRPr="001032A3">
        <w:t xml:space="preserve">net and on-net premiums, would give an initial capex of </w:t>
      </w:r>
      <w:r>
        <w:t xml:space="preserve">EUR </w:t>
      </w:r>
      <w:r w:rsidRPr="001032A3">
        <w:t xml:space="preserve">40 to </w:t>
      </w:r>
      <w:r>
        <w:t xml:space="preserve">EUR </w:t>
      </w:r>
      <w:r w:rsidRPr="001032A3">
        <w:t xml:space="preserve">100 million. In contrast, a flat rate billing system may be less than 10% to 20% of this in outlay, similar to an </w:t>
      </w:r>
      <w:r>
        <w:t>Internet service provider (</w:t>
      </w:r>
      <w:r w:rsidRPr="001032A3">
        <w:t>ISP</w:t>
      </w:r>
      <w:r>
        <w:t>)</w:t>
      </w:r>
      <w:r w:rsidRPr="001032A3">
        <w:t xml:space="preserve"> or CATV operation. </w:t>
      </w:r>
    </w:p>
    <w:p w14:paraId="7B8F51C6" w14:textId="77777777" w:rsidR="000A7DF2" w:rsidRPr="001032A3" w:rsidRDefault="000A7DF2" w:rsidP="000A7DF2">
      <w:pPr>
        <w:autoSpaceDE w:val="0"/>
        <w:spacing w:after="120"/>
      </w:pPr>
      <w:r w:rsidRPr="001032A3">
        <w:t>An MNO handling a wide variety of interconnected networks (e</w:t>
      </w:r>
      <w:r>
        <w:t>.</w:t>
      </w:r>
      <w:r w:rsidRPr="001032A3">
        <w:t>g</w:t>
      </w:r>
      <w:r>
        <w:t>.</w:t>
      </w:r>
      <w:r w:rsidRPr="001032A3">
        <w:t xml:space="preserve"> LTE and 2G GSM/GPRS, 3G UMTS plus Wi-Fi WLAN and other </w:t>
      </w:r>
      <w:r>
        <w:t>I</w:t>
      </w:r>
      <w:r w:rsidRPr="001032A3">
        <w:t xml:space="preserve">nternet services via </w:t>
      </w:r>
      <w:r>
        <w:t>I</w:t>
      </w:r>
      <w:r w:rsidRPr="001032A3">
        <w:t>nternet gateways) will require a complex billing system, or possibly a group of specialist billing packages that interwork. Billing may have to handle a complicated network infrastructure of fixed line circuit switched systems, as well as 2G and 3G mobile, plus IP packets, which all may have different billing modes. In these conditions, roaming becomes a relatively small extra set of conditions that the rating engine (the heart of a billing system) simply adds, creating a new set of tables, perhaps with a specific database schema and some storage. This roaming/interconnect module will be designed to support the individual IOT billing agreements with the roaming partners for their interconnected networks, taking into account all their specific conditions (e</w:t>
      </w:r>
      <w:r>
        <w:t>.</w:t>
      </w:r>
      <w:r w:rsidRPr="001032A3">
        <w:t>g</w:t>
      </w:r>
      <w:r>
        <w:t>.</w:t>
      </w:r>
      <w:r w:rsidRPr="001032A3">
        <w:t xml:space="preserve"> minimum charge of 30 seconds per voice call). Note that as roaming charges become regulated and retail charges reduce</w:t>
      </w:r>
      <w:r>
        <w:t>d</w:t>
      </w:r>
      <w:r w:rsidRPr="001032A3">
        <w:t xml:space="preserve"> with cost-based tariffs, so </w:t>
      </w:r>
      <w:r>
        <w:t xml:space="preserve">do </w:t>
      </w:r>
      <w:r w:rsidRPr="001032A3">
        <w:t xml:space="preserve">IOTs </w:t>
      </w:r>
      <w:r>
        <w:t xml:space="preserve">which </w:t>
      </w:r>
      <w:r w:rsidRPr="001032A3">
        <w:t>become less of an important negotiating task</w:t>
      </w:r>
      <w:r>
        <w:t>,</w:t>
      </w:r>
      <w:r w:rsidRPr="001032A3">
        <w:t xml:space="preserve"> and </w:t>
      </w:r>
      <w:r>
        <w:t>as a result the</w:t>
      </w:r>
      <w:r w:rsidRPr="001032A3">
        <w:t xml:space="preserve"> numbers of staff, and costs will tend to fall.</w:t>
      </w:r>
    </w:p>
    <w:p w14:paraId="444124D2" w14:textId="77777777" w:rsidR="000A7DF2" w:rsidRPr="001032A3" w:rsidRDefault="000A7DF2" w:rsidP="000A7DF2">
      <w:pPr>
        <w:autoSpaceDE w:val="0"/>
        <w:spacing w:after="120"/>
      </w:pPr>
      <w:r w:rsidRPr="001032A3">
        <w:lastRenderedPageBreak/>
        <w:t>The call data is connected via interconnect gateways, both international (for roaming) and domestic. Note that for modern mobile operations, real-time mediation and billing are necessary, especially for managing prepaid customers.</w:t>
      </w:r>
    </w:p>
    <w:p w14:paraId="122E6AED" w14:textId="77777777" w:rsidR="000A7DF2" w:rsidRPr="001032A3" w:rsidRDefault="000A7DF2" w:rsidP="000A7DF2">
      <w:pPr>
        <w:autoSpaceDE w:val="0"/>
        <w:spacing w:after="120"/>
      </w:pPr>
      <w:r w:rsidRPr="001032A3">
        <w:t>However</w:t>
      </w:r>
      <w:r>
        <w:t>,</w:t>
      </w:r>
      <w:r w:rsidRPr="001032A3">
        <w:t xml:space="preserve"> the </w:t>
      </w:r>
      <w:r>
        <w:t>o</w:t>
      </w:r>
      <w:r w:rsidRPr="001032A3">
        <w:t xml:space="preserve">pex will always be at least 10% of these figures for a software maintenance licence while staff costs for operating the billing business process may be at least another 10% to 20%. </w:t>
      </w:r>
      <w:r>
        <w:t>Hence</w:t>
      </w:r>
      <w:r w:rsidRPr="001032A3">
        <w:t xml:space="preserve"> over </w:t>
      </w:r>
      <w:r>
        <w:t>five</w:t>
      </w:r>
      <w:r w:rsidRPr="001032A3">
        <w:t xml:space="preserve"> years, </w:t>
      </w:r>
      <w:r>
        <w:t>o</w:t>
      </w:r>
      <w:r w:rsidRPr="001032A3">
        <w:t xml:space="preserve">pex is likely to exceed </w:t>
      </w:r>
      <w:r>
        <w:t>c</w:t>
      </w:r>
      <w:r w:rsidRPr="001032A3">
        <w:t>apex</w:t>
      </w:r>
      <w:r>
        <w:t>,</w:t>
      </w:r>
      <w:r w:rsidRPr="001032A3">
        <w:t xml:space="preserve"> </w:t>
      </w:r>
      <w:r>
        <w:t>especially when including</w:t>
      </w:r>
      <w:r w:rsidRPr="001032A3">
        <w:t xml:space="preserve"> all the opex costs of infrastructure – office support, running data centres, or of outsourcing the systems and/or the applications with the data centres. In this way, total </w:t>
      </w:r>
      <w:r>
        <w:t>o</w:t>
      </w:r>
      <w:r w:rsidRPr="001032A3">
        <w:t>pex usually becomes the major portion of costs.</w:t>
      </w:r>
    </w:p>
    <w:p w14:paraId="19C8C963" w14:textId="77777777" w:rsidR="000A7DF2" w:rsidRPr="001032A3" w:rsidRDefault="000A7DF2" w:rsidP="000A7DF2">
      <w:pPr>
        <w:autoSpaceDE w:val="0"/>
        <w:spacing w:after="120"/>
      </w:pPr>
      <w:r w:rsidRPr="001032A3">
        <w:t>Moreover, total costs of providing, operating and maintaining a billing system with mediation may be a significant portion of all MNO costs, possibly even amounting towards 50% of the MNO infrastructure investment and annual turnover of the network</w:t>
      </w:r>
      <w:r w:rsidRPr="001032A3">
        <w:rPr>
          <w:rStyle w:val="FootnoteCharacters"/>
        </w:rPr>
        <w:footnoteReference w:id="26"/>
      </w:r>
      <w:r w:rsidRPr="001032A3">
        <w:t xml:space="preserve">. Note that a large MNO with a wide geographic spread may have acquired various different billing systems over the years. </w:t>
      </w:r>
    </w:p>
    <w:p w14:paraId="46E292C9" w14:textId="77777777" w:rsidR="000A7DF2" w:rsidRPr="001032A3" w:rsidRDefault="000A7DF2" w:rsidP="000A7DF2">
      <w:pPr>
        <w:autoSpaceDE w:val="0"/>
        <w:spacing w:after="120"/>
      </w:pPr>
      <w:r w:rsidRPr="001032A3">
        <w:t xml:space="preserve">In consequence, it is difficult to give exact figures covering all classes and sizes of MNO since the costs depend on all of the above factors, including call volume, network infrastructure with its generation of mobile technology, services offered, number of subscribers, business processes, and the various forms of integration of the business IT systems, the BSS – billing and customer care </w:t>
      </w:r>
      <w:r>
        <w:t>–</w:t>
      </w:r>
      <w:r w:rsidRPr="001032A3">
        <w:t xml:space="preserve"> and network operational management, the </w:t>
      </w:r>
      <w:r>
        <w:t>operational support system (</w:t>
      </w:r>
      <w:r w:rsidRPr="001032A3">
        <w:t>OSS</w:t>
      </w:r>
      <w:r>
        <w:t>)</w:t>
      </w:r>
      <w:r w:rsidRPr="001032A3">
        <w:t>.</w:t>
      </w:r>
    </w:p>
    <w:p w14:paraId="7D260F38" w14:textId="77777777" w:rsidR="000A7DF2" w:rsidRPr="00DD5C2E" w:rsidRDefault="000A7DF2" w:rsidP="00AC4228">
      <w:pPr>
        <w:pStyle w:val="Heading3"/>
      </w:pPr>
      <w:bookmarkStart w:id="48" w:name="_Toc425326327"/>
      <w:r w:rsidRPr="00DD5C2E">
        <w:t xml:space="preserve">4.1.3 </w:t>
      </w:r>
      <w:r w:rsidR="00DE50C9">
        <w:tab/>
      </w:r>
      <w:r w:rsidRPr="00DD5C2E">
        <w:t>Identification of data elements is the first step in the design of the cost model</w:t>
      </w:r>
      <w:bookmarkEnd w:id="48"/>
      <w:r w:rsidRPr="00DD5C2E">
        <w:t xml:space="preserve"> </w:t>
      </w:r>
    </w:p>
    <w:p w14:paraId="3822CE41" w14:textId="77777777" w:rsidR="000A7DF2" w:rsidRPr="001032A3" w:rsidRDefault="000A7DF2" w:rsidP="000A7DF2">
      <w:pPr>
        <w:autoSpaceDE w:val="0"/>
        <w:spacing w:after="120"/>
        <w:rPr>
          <w:b/>
          <w:bCs/>
          <w:i/>
          <w:iCs/>
        </w:rPr>
      </w:pPr>
      <w:r w:rsidRPr="00B25903">
        <w:t>The first step is</w:t>
      </w:r>
      <w:r w:rsidRPr="001032A3">
        <w:t xml:space="preserve"> to define the information required to build an evidence-based cost model – i</w:t>
      </w:r>
      <w:r>
        <w:t>.</w:t>
      </w:r>
      <w:r w:rsidRPr="001032A3">
        <w:t>e</w:t>
      </w:r>
      <w:r>
        <w:t>.</w:t>
      </w:r>
      <w:r w:rsidRPr="001032A3">
        <w:t xml:space="preserve"> the basic cost elements. This data must mirror the operating model within and between MNOs. Examples of data elements include:</w:t>
      </w:r>
    </w:p>
    <w:p w14:paraId="2A4F77A5" w14:textId="77777777" w:rsidR="000A7DF2" w:rsidRPr="001032A3" w:rsidRDefault="00AC4228" w:rsidP="00AC4228">
      <w:pPr>
        <w:pStyle w:val="enumlev1"/>
      </w:pPr>
      <w:r>
        <w:t>•</w:t>
      </w:r>
      <w:r>
        <w:tab/>
      </w:r>
      <w:r w:rsidR="000A7DF2" w:rsidRPr="001032A3">
        <w:t>Share of costs of network elements due to roaming with their operating costs</w:t>
      </w:r>
      <w:r w:rsidR="000A7DF2">
        <w:t>.</w:t>
      </w:r>
    </w:p>
    <w:p w14:paraId="45ADBB39" w14:textId="77777777" w:rsidR="000A7DF2" w:rsidRPr="001032A3" w:rsidRDefault="00AC4228" w:rsidP="00AC4228">
      <w:pPr>
        <w:pStyle w:val="enumlev1"/>
      </w:pPr>
      <w:r>
        <w:t>•</w:t>
      </w:r>
      <w:r>
        <w:tab/>
      </w:r>
      <w:r w:rsidR="000A7DF2" w:rsidRPr="001032A3">
        <w:t>Costs of BSS infrastructure for mobile and also for any fixed line carriers</w:t>
      </w:r>
      <w:r w:rsidR="000A7DF2">
        <w:t>.</w:t>
      </w:r>
    </w:p>
    <w:p w14:paraId="34F46215" w14:textId="77777777" w:rsidR="000A7DF2" w:rsidRDefault="000A7DF2" w:rsidP="000A7DF2">
      <w:pPr>
        <w:autoSpaceDE w:val="0"/>
        <w:spacing w:after="120"/>
      </w:pPr>
      <w:r w:rsidRPr="001032A3">
        <w:t>Hence the nature of the cost model will be bottom-up – i</w:t>
      </w:r>
      <w:r>
        <w:t>.</w:t>
      </w:r>
      <w:r w:rsidRPr="001032A3">
        <w:t>e</w:t>
      </w:r>
      <w:r>
        <w:t>.</w:t>
      </w:r>
      <w:r w:rsidRPr="001032A3">
        <w:t xml:space="preserve"> the model aggregates total costs from the various elements in the major cost centres with their subsystems and elements:</w:t>
      </w:r>
    </w:p>
    <w:p w14:paraId="1E639A72" w14:textId="77777777" w:rsidR="00AC4228" w:rsidRPr="001032A3" w:rsidRDefault="008C5C37" w:rsidP="00234CBB">
      <w:pPr>
        <w:pStyle w:val="Figuretitle"/>
        <w:keepNext/>
        <w:keepLines/>
      </w:pPr>
      <w:r w:rsidRPr="001032A3">
        <w:lastRenderedPageBreak/>
        <w:t xml:space="preserve">Figure 6 </w:t>
      </w:r>
      <w:r>
        <w:t xml:space="preserve">– </w:t>
      </w:r>
      <w:r w:rsidRPr="001032A3">
        <w:t>Main cost centres and underlying cost elements</w:t>
      </w:r>
    </w:p>
    <w:p w14:paraId="6E28C095" w14:textId="77777777" w:rsidR="000A7DF2" w:rsidRDefault="000A7DF2" w:rsidP="00234CBB">
      <w:pPr>
        <w:pStyle w:val="Figuresource"/>
        <w:keepNext/>
        <w:keepLines/>
        <w:jc w:val="center"/>
      </w:pPr>
      <w:r w:rsidRPr="00CC5248">
        <w:drawing>
          <wp:inline distT="0" distB="0" distL="0" distR="0" wp14:anchorId="43F31D76" wp14:editId="60BE0963">
            <wp:extent cx="4001135" cy="3002280"/>
            <wp:effectExtent l="19050" t="1905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1135" cy="3002280"/>
                    </a:xfrm>
                    <a:prstGeom prst="rect">
                      <a:avLst/>
                    </a:prstGeom>
                    <a:noFill/>
                    <a:ln w="12700" cmpd="sng">
                      <a:solidFill>
                        <a:srgbClr val="008080"/>
                      </a:solidFill>
                      <a:miter lim="800000"/>
                      <a:headEnd/>
                      <a:tailEnd/>
                    </a:ln>
                    <a:effectLst/>
                  </pic:spPr>
                </pic:pic>
              </a:graphicData>
            </a:graphic>
          </wp:inline>
        </w:drawing>
      </w:r>
    </w:p>
    <w:p w14:paraId="2C7104AC" w14:textId="77777777" w:rsidR="008C5C37" w:rsidRPr="00CC5248" w:rsidRDefault="008C5C37" w:rsidP="008B2062">
      <w:pPr>
        <w:pStyle w:val="Figuresource"/>
        <w:keepNext/>
        <w:keepLines/>
        <w:spacing w:before="0"/>
        <w:jc w:val="center"/>
      </w:pPr>
    </w:p>
    <w:p w14:paraId="06CD0DBC" w14:textId="77777777" w:rsidR="000A7DF2" w:rsidRPr="001032A3" w:rsidRDefault="000A7DF2" w:rsidP="000A7DF2">
      <w:pPr>
        <w:spacing w:after="120"/>
      </w:pPr>
      <w:r w:rsidRPr="001032A3">
        <w:t>The wholesale charges are a separate addition, as illustrated figuratively above and although in theory dependent on actual costs, too often have been seen as arbitrary in magnitude.</w:t>
      </w:r>
    </w:p>
    <w:p w14:paraId="03949135" w14:textId="77777777" w:rsidR="000A7DF2" w:rsidRPr="00DD5C2E" w:rsidRDefault="000A7DF2" w:rsidP="008C5C37">
      <w:pPr>
        <w:pStyle w:val="Heading3"/>
      </w:pPr>
      <w:bookmarkStart w:id="49" w:name="_Toc425326328"/>
      <w:r w:rsidRPr="00DD5C2E">
        <w:t xml:space="preserve">4.1.4 </w:t>
      </w:r>
      <w:r w:rsidR="00DE50C9">
        <w:tab/>
      </w:r>
      <w:r w:rsidRPr="00DD5C2E">
        <w:t>Gathering data required by use of questionnaire</w:t>
      </w:r>
      <w:bookmarkEnd w:id="49"/>
      <w:r w:rsidRPr="00DD5C2E">
        <w:t xml:space="preserve"> </w:t>
      </w:r>
    </w:p>
    <w:p w14:paraId="759362A9" w14:textId="77777777" w:rsidR="000A7DF2" w:rsidRPr="001032A3" w:rsidRDefault="000A7DF2" w:rsidP="000A7DF2">
      <w:pPr>
        <w:autoSpaceDE w:val="0"/>
        <w:spacing w:after="120"/>
      </w:pPr>
      <w:r w:rsidRPr="001032A3">
        <w:t xml:space="preserve">A questionnaire that provides the inputs for the cost model will be provided, to guide NRAs and MNOs in gathering the data required to populate the cost model (model form in </w:t>
      </w:r>
      <w:r>
        <w:t>Annex 3</w:t>
      </w:r>
      <w:r w:rsidRPr="001032A3">
        <w:t>).</w:t>
      </w:r>
    </w:p>
    <w:p w14:paraId="323CE761" w14:textId="77777777" w:rsidR="000A7DF2" w:rsidRPr="001032A3" w:rsidRDefault="000A7DF2" w:rsidP="00DE50C9">
      <w:pPr>
        <w:pStyle w:val="Heading2"/>
      </w:pPr>
      <w:bookmarkStart w:id="50" w:name="_Toc425326329"/>
      <w:bookmarkStart w:id="51" w:name="_Toc429485883"/>
      <w:r w:rsidRPr="001032A3">
        <w:t xml:space="preserve">4.2 </w:t>
      </w:r>
      <w:r w:rsidR="00DE50C9">
        <w:tab/>
      </w:r>
      <w:r w:rsidRPr="001032A3">
        <w:t xml:space="preserve">Mechanisms for calculation – Business </w:t>
      </w:r>
      <w:r>
        <w:t>p</w:t>
      </w:r>
      <w:r w:rsidRPr="001032A3">
        <w:t xml:space="preserve">rocess </w:t>
      </w:r>
      <w:r>
        <w:t>a</w:t>
      </w:r>
      <w:r w:rsidRPr="001032A3">
        <w:t>nalysis</w:t>
      </w:r>
      <w:bookmarkEnd w:id="50"/>
      <w:bookmarkEnd w:id="51"/>
      <w:r w:rsidRPr="001032A3">
        <w:t xml:space="preserve"> </w:t>
      </w:r>
    </w:p>
    <w:p w14:paraId="658542FC" w14:textId="77777777" w:rsidR="000A7DF2" w:rsidRPr="001032A3" w:rsidRDefault="000A7DF2" w:rsidP="000A7DF2">
      <w:pPr>
        <w:spacing w:after="120"/>
      </w:pPr>
      <w:r w:rsidRPr="00A0662E">
        <w:t>As mentioned earlier</w:t>
      </w:r>
      <w:r w:rsidRPr="001032A3">
        <w:t xml:space="preserve">, the mechanism for cost estimation depends on business process analysis (BPA) drawn from the various common situations for roaming. To obtain the functional requirements for roaming, these business processes can in turn be defined and constructed by the common </w:t>
      </w:r>
      <w:r w:rsidRPr="001032A3">
        <w:rPr>
          <w:i/>
          <w:iCs/>
        </w:rPr>
        <w:t>use cases</w:t>
      </w:r>
      <w:r w:rsidRPr="001032A3">
        <w:t>, i</w:t>
      </w:r>
      <w:r>
        <w:t>.</w:t>
      </w:r>
      <w:r w:rsidRPr="001032A3">
        <w:t>e</w:t>
      </w:r>
      <w:r>
        <w:t>.</w:t>
      </w:r>
      <w:r w:rsidRPr="001032A3">
        <w:t xml:space="preserve"> the everyday ways in which subscribers use their mobile services, </w:t>
      </w:r>
      <w:r>
        <w:t xml:space="preserve">which are employed </w:t>
      </w:r>
      <w:r w:rsidRPr="001032A3">
        <w:t xml:space="preserve">to </w:t>
      </w:r>
      <w:r>
        <w:t>define</w:t>
      </w:r>
      <w:r w:rsidRPr="001032A3">
        <w:t xml:space="preserve"> the chain of MNO business processe</w:t>
      </w:r>
      <w:r>
        <w:t>s involved in handling a call.</w:t>
      </w:r>
    </w:p>
    <w:p w14:paraId="4467BA14" w14:textId="77777777" w:rsidR="000A7DF2" w:rsidRPr="001032A3" w:rsidRDefault="008C5C37" w:rsidP="008C5C37">
      <w:pPr>
        <w:pStyle w:val="Figuretitle"/>
      </w:pPr>
      <w:r w:rsidRPr="001032A3">
        <w:t xml:space="preserve">Figure 7 </w:t>
      </w:r>
      <w:r>
        <w:t xml:space="preserve">– </w:t>
      </w:r>
      <w:r w:rsidRPr="001032A3">
        <w:t>Business areas (such as networking) depend for their operation on business processes (such as call handling) which can be defined through their use cases</w:t>
      </w:r>
    </w:p>
    <w:p w14:paraId="5A5A66C2" w14:textId="77777777" w:rsidR="000A7DF2" w:rsidRDefault="000A7DF2" w:rsidP="008C5C37">
      <w:pPr>
        <w:pStyle w:val="Figuretitle"/>
        <w:jc w:val="center"/>
        <w:rPr>
          <w:sz w:val="20"/>
          <w:szCs w:val="20"/>
        </w:rPr>
      </w:pPr>
      <w:r w:rsidRPr="00CC5248">
        <w:rPr>
          <w:lang w:val="en-US"/>
        </w:rPr>
        <w:drawing>
          <wp:inline distT="0" distB="0" distL="0" distR="0" wp14:anchorId="757B0CC7" wp14:editId="0CA62B21">
            <wp:extent cx="1506220" cy="1136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6220" cy="1136650"/>
                    </a:xfrm>
                    <a:prstGeom prst="rect">
                      <a:avLst/>
                    </a:prstGeom>
                    <a:noFill/>
                    <a:ln>
                      <a:noFill/>
                    </a:ln>
                  </pic:spPr>
                </pic:pic>
              </a:graphicData>
            </a:graphic>
          </wp:inline>
        </w:drawing>
      </w:r>
    </w:p>
    <w:p w14:paraId="592503FB" w14:textId="77777777" w:rsidR="008C5C37" w:rsidRPr="008C5C37" w:rsidRDefault="008C5C37" w:rsidP="008B2062">
      <w:pPr>
        <w:pStyle w:val="Figuresource"/>
        <w:spacing w:before="0"/>
      </w:pPr>
    </w:p>
    <w:p w14:paraId="4F83A54F" w14:textId="77777777" w:rsidR="00240F46" w:rsidRDefault="00240F46" w:rsidP="000A7DF2">
      <w:pPr>
        <w:spacing w:after="120"/>
      </w:pPr>
      <w:r>
        <w:br w:type="page"/>
      </w:r>
    </w:p>
    <w:p w14:paraId="7C169669" w14:textId="4D018CCE" w:rsidR="008C5C37" w:rsidRDefault="000A7DF2" w:rsidP="000A7DF2">
      <w:pPr>
        <w:spacing w:after="120"/>
      </w:pPr>
      <w:r w:rsidRPr="001032A3">
        <w:lastRenderedPageBreak/>
        <w:t>The requirements of the use cases illustrate and define the business processes and their support needs</w:t>
      </w:r>
      <w:r>
        <w:t>,</w:t>
      </w:r>
      <w:r w:rsidRPr="001032A3">
        <w:t xml:space="preserve"> e</w:t>
      </w:r>
      <w:r>
        <w:t>.</w:t>
      </w:r>
      <w:r w:rsidRPr="001032A3">
        <w:t>g</w:t>
      </w:r>
      <w:r>
        <w:t>.</w:t>
      </w:r>
      <w:r w:rsidRPr="001032A3">
        <w:t xml:space="preserve"> for specific network elements, BSS software, hardware and human resources, and therefore the cost structure of an international mobile roaming service. There </w:t>
      </w:r>
      <w:r>
        <w:t xml:space="preserve">are </w:t>
      </w:r>
      <w:r w:rsidRPr="001032A3">
        <w:t>four main use cases, or situations, for roaming in a visited country – i</w:t>
      </w:r>
      <w:r>
        <w:t>.</w:t>
      </w:r>
      <w:r w:rsidRPr="001032A3">
        <w:t>e</w:t>
      </w:r>
      <w:r>
        <w:t>.</w:t>
      </w:r>
      <w:r w:rsidRPr="001032A3">
        <w:t xml:space="preserve"> examples of how consumers actually exploit their ability to roam:</w:t>
      </w:r>
    </w:p>
    <w:p w14:paraId="09953F5F" w14:textId="77777777" w:rsidR="008C5C37" w:rsidRDefault="008C5C37" w:rsidP="008C5C37">
      <w:pPr>
        <w:pStyle w:val="Figuretitle"/>
      </w:pPr>
      <w:r w:rsidRPr="001032A3">
        <w:t xml:space="preserve">Figure 8 </w:t>
      </w:r>
      <w:r>
        <w:t xml:space="preserve">– </w:t>
      </w:r>
      <w:r w:rsidRPr="001032A3">
        <w:t>Roaming use cases</w:t>
      </w:r>
    </w:p>
    <w:p w14:paraId="3DACD17D" w14:textId="77777777" w:rsidR="000A7DF2" w:rsidRDefault="000A7DF2" w:rsidP="008C5C37">
      <w:pPr>
        <w:pStyle w:val="Figuresource"/>
        <w:jc w:val="center"/>
      </w:pPr>
      <w:r w:rsidRPr="00CC5248">
        <w:drawing>
          <wp:inline distT="0" distB="0" distL="0" distR="0" wp14:anchorId="5DD135C7" wp14:editId="3E08F440">
            <wp:extent cx="4297045" cy="3223895"/>
            <wp:effectExtent l="19050" t="1905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97045" cy="3223895"/>
                    </a:xfrm>
                    <a:prstGeom prst="rect">
                      <a:avLst/>
                    </a:prstGeom>
                    <a:noFill/>
                    <a:ln w="12700" cmpd="sng">
                      <a:solidFill>
                        <a:srgbClr val="008080"/>
                      </a:solidFill>
                      <a:miter lim="800000"/>
                      <a:headEnd/>
                      <a:tailEnd/>
                    </a:ln>
                    <a:effectLst/>
                  </pic:spPr>
                </pic:pic>
              </a:graphicData>
            </a:graphic>
          </wp:inline>
        </w:drawing>
      </w:r>
    </w:p>
    <w:p w14:paraId="29ED882C" w14:textId="77777777" w:rsidR="008C5C37" w:rsidRPr="00CC5248" w:rsidRDefault="008C5C37" w:rsidP="008C5C37">
      <w:pPr>
        <w:pStyle w:val="Figuresource"/>
      </w:pPr>
    </w:p>
    <w:p w14:paraId="188DB8B5" w14:textId="77777777" w:rsidR="000A7DF2" w:rsidRPr="001032A3" w:rsidRDefault="000A7DF2" w:rsidP="000A7DF2">
      <w:pPr>
        <w:spacing w:after="120"/>
      </w:pPr>
      <w:r w:rsidRPr="001032A3">
        <w:t>The four main use cases for roaming may vary in their composition by:</w:t>
      </w:r>
    </w:p>
    <w:p w14:paraId="0FF3BE7D" w14:textId="77777777" w:rsidR="008C5C37" w:rsidRDefault="008C5C37" w:rsidP="008C5C37">
      <w:pPr>
        <w:pStyle w:val="enumlev1"/>
      </w:pPr>
      <w:r>
        <w:t>•</w:t>
      </w:r>
      <w:r>
        <w:tab/>
      </w:r>
      <w:r w:rsidR="000A7DF2" w:rsidRPr="001032A3">
        <w:t>Prepaid or postpaid billing</w:t>
      </w:r>
      <w:r w:rsidR="000A7DF2">
        <w:t>;</w:t>
      </w:r>
      <w:r w:rsidR="000A7DF2" w:rsidRPr="001032A3">
        <w:t xml:space="preserve"> </w:t>
      </w:r>
    </w:p>
    <w:p w14:paraId="14DF86DF" w14:textId="77777777" w:rsidR="000A7DF2" w:rsidRPr="001032A3" w:rsidRDefault="008C5C37" w:rsidP="008C5C37">
      <w:pPr>
        <w:pStyle w:val="enumlev1"/>
      </w:pPr>
      <w:r>
        <w:t>•</w:t>
      </w:r>
      <w:r>
        <w:tab/>
      </w:r>
      <w:r w:rsidR="000A7DF2" w:rsidRPr="001032A3">
        <w:t>Media – voice, data, or SMS</w:t>
      </w:r>
      <w:r w:rsidR="000A7DF2">
        <w:t>.</w:t>
      </w:r>
    </w:p>
    <w:p w14:paraId="5E45DB19" w14:textId="77777777" w:rsidR="000A7DF2" w:rsidRPr="001032A3" w:rsidRDefault="000A7DF2" w:rsidP="000A7DF2">
      <w:pPr>
        <w:spacing w:after="120"/>
      </w:pPr>
      <w:r w:rsidRPr="001032A3">
        <w:t xml:space="preserve">This represents </w:t>
      </w:r>
      <w:r>
        <w:t>16</w:t>
      </w:r>
      <w:r w:rsidRPr="001032A3">
        <w:t xml:space="preserve"> possible use cases in all, varying by billing mode and limiting conditions</w:t>
      </w:r>
      <w:r>
        <w:t xml:space="preserve"> (for voice: 4×2=8;</w:t>
      </w:r>
      <w:r w:rsidRPr="008C4D6E">
        <w:t xml:space="preserve"> f</w:t>
      </w:r>
      <w:r>
        <w:t>or SMS: 3×</w:t>
      </w:r>
      <w:r w:rsidRPr="008C4D6E">
        <w:t xml:space="preserve">2=6 since receiving SMS is </w:t>
      </w:r>
      <w:r>
        <w:t>usually free; for Data: 1×</w:t>
      </w:r>
      <w:r w:rsidRPr="008C4D6E">
        <w:t xml:space="preserve">2=2 if uploading and downloading </w:t>
      </w:r>
      <w:r>
        <w:t xml:space="preserve">data from the Internet </w:t>
      </w:r>
      <w:r w:rsidRPr="008C4D6E">
        <w:t>are the same price and may</w:t>
      </w:r>
      <w:r>
        <w:t xml:space="preserve"> be in the same session, so 16 in total)</w:t>
      </w:r>
      <w:r w:rsidRPr="001032A3">
        <w:t>.</w:t>
      </w:r>
    </w:p>
    <w:p w14:paraId="38F32FDD" w14:textId="77777777" w:rsidR="000A7DF2" w:rsidRDefault="000A7DF2" w:rsidP="000A7DF2">
      <w:pPr>
        <w:spacing w:after="120"/>
      </w:pPr>
      <w:r w:rsidRPr="001032A3">
        <w:t>These are explored below in terms of the activities for each and then the resources required in each use</w:t>
      </w:r>
      <w:r>
        <w:t xml:space="preserve"> </w:t>
      </w:r>
      <w:r w:rsidRPr="001032A3">
        <w:t>case. We now examine each business process and use</w:t>
      </w:r>
      <w:r>
        <w:t xml:space="preserve"> </w:t>
      </w:r>
      <w:r w:rsidRPr="001032A3">
        <w:t>case in turn:</w:t>
      </w:r>
    </w:p>
    <w:p w14:paraId="64800CB2" w14:textId="77777777" w:rsidR="00234CBB" w:rsidRDefault="00234CBB" w:rsidP="000A7DF2">
      <w:pPr>
        <w:spacing w:after="120"/>
      </w:pPr>
      <w:r>
        <w:br w:type="page"/>
      </w:r>
    </w:p>
    <w:tbl>
      <w:tblPr>
        <w:tblStyle w:val="TableGrid"/>
        <w:tblW w:w="0" w:type="auto"/>
        <w:tblInd w:w="122" w:type="dxa"/>
        <w:tblLook w:val="04A0" w:firstRow="1" w:lastRow="0" w:firstColumn="1" w:lastColumn="0" w:noHBand="0" w:noVBand="1"/>
      </w:tblPr>
      <w:tblGrid>
        <w:gridCol w:w="9365"/>
      </w:tblGrid>
      <w:tr w:rsidR="00EF1563" w14:paraId="2AA68949" w14:textId="77777777">
        <w:tc>
          <w:tcPr>
            <w:tcW w:w="9365" w:type="dxa"/>
          </w:tcPr>
          <w:p w14:paraId="1F73F995" w14:textId="77777777" w:rsidR="00EF1563" w:rsidRPr="00EF1563" w:rsidRDefault="00EF1563" w:rsidP="00EF1563">
            <w:pPr>
              <w:spacing w:before="0" w:after="120"/>
              <w:rPr>
                <w:sz w:val="22"/>
                <w:szCs w:val="22"/>
              </w:rPr>
            </w:pPr>
            <w:r w:rsidRPr="00EF1563">
              <w:rPr>
                <w:b/>
                <w:bCs/>
                <w:sz w:val="22"/>
                <w:szCs w:val="22"/>
              </w:rPr>
              <w:lastRenderedPageBreak/>
              <w:t>Business process 1: Handle sign-up – Visitor enters foreign country and is registered with local MNO (GSM procedure</w:t>
            </w:r>
            <w:r w:rsidRPr="00EF1563">
              <w:rPr>
                <w:sz w:val="22"/>
                <w:szCs w:val="22"/>
              </w:rPr>
              <w:t>)</w:t>
            </w:r>
          </w:p>
          <w:p w14:paraId="3F3A98B4" w14:textId="77777777" w:rsidR="00EF1563" w:rsidRPr="00EF1563" w:rsidRDefault="00EF1563" w:rsidP="00EF1563">
            <w:pPr>
              <w:widowControl w:val="0"/>
              <w:numPr>
                <w:ilvl w:val="0"/>
                <w:numId w:val="2"/>
              </w:numPr>
              <w:tabs>
                <w:tab w:val="clear" w:pos="360"/>
              </w:tabs>
              <w:suppressAutoHyphens/>
              <w:spacing w:before="0"/>
              <w:rPr>
                <w:sz w:val="22"/>
                <w:szCs w:val="22"/>
              </w:rPr>
            </w:pPr>
            <w:r w:rsidRPr="00EF1563">
              <w:rPr>
                <w:sz w:val="22"/>
                <w:szCs w:val="22"/>
              </w:rPr>
              <w:t>The visited MNO responds to the request from handset for assignment to network – either through direct sign-up as preferred carrier or by manual selection of MNO.</w:t>
            </w:r>
          </w:p>
          <w:p w14:paraId="4601077C" w14:textId="77777777" w:rsidR="00EF1563" w:rsidRPr="00EF1563" w:rsidRDefault="00EF1563" w:rsidP="00EF1563">
            <w:pPr>
              <w:widowControl w:val="0"/>
              <w:numPr>
                <w:ilvl w:val="0"/>
                <w:numId w:val="2"/>
              </w:numPr>
              <w:tabs>
                <w:tab w:val="clear" w:pos="360"/>
              </w:tabs>
              <w:suppressAutoHyphens/>
              <w:spacing w:before="120"/>
              <w:rPr>
                <w:sz w:val="22"/>
                <w:szCs w:val="22"/>
              </w:rPr>
            </w:pPr>
            <w:r w:rsidRPr="00EF1563">
              <w:rPr>
                <w:sz w:val="22"/>
                <w:szCs w:val="22"/>
              </w:rPr>
              <w:t xml:space="preserve">The visited MNO informs the home MNO of the subscriber's presence in the foreign country by the transferred account procedure (TAP) file. It requests service information about the roaming device using the IMSI number (e.g. whether or not the subscriber's mobile handset is allowed to roam). If there is no roaming agreement between the two MNOs, service is denied by the visited MNO. </w:t>
            </w:r>
          </w:p>
          <w:p w14:paraId="3088EE93" w14:textId="77777777" w:rsidR="00EF1563" w:rsidRPr="00EF1563" w:rsidRDefault="00EF1563" w:rsidP="00EF1563">
            <w:pPr>
              <w:widowControl w:val="0"/>
              <w:numPr>
                <w:ilvl w:val="0"/>
                <w:numId w:val="2"/>
              </w:numPr>
              <w:tabs>
                <w:tab w:val="clear" w:pos="360"/>
              </w:tabs>
              <w:suppressAutoHyphens/>
              <w:spacing w:before="120"/>
              <w:rPr>
                <w:sz w:val="22"/>
                <w:szCs w:val="22"/>
              </w:rPr>
            </w:pPr>
            <w:r w:rsidRPr="00EF1563">
              <w:rPr>
                <w:sz w:val="22"/>
                <w:szCs w:val="22"/>
              </w:rPr>
              <w:t>If verified by the home network, then the visited MNO enters in dialogue with the home MNO in country A). For prepaid – check credit available and the appropriate accounting process at roaming rate on visited MNO. To monitor and control calls made by its roaming subscribers, the home network may use a CAMEL</w:t>
            </w:r>
            <w:r w:rsidRPr="00EF1563">
              <w:rPr>
                <w:rStyle w:val="FootnoteCharacters"/>
                <w:sz w:val="22"/>
                <w:szCs w:val="22"/>
              </w:rPr>
              <w:footnoteReference w:id="27"/>
            </w:r>
            <w:r w:rsidRPr="00EF1563">
              <w:rPr>
                <w:sz w:val="22"/>
                <w:szCs w:val="22"/>
              </w:rPr>
              <w:t xml:space="preserve"> module. </w:t>
            </w:r>
          </w:p>
          <w:p w14:paraId="10353EAB" w14:textId="77777777" w:rsidR="00EF1563" w:rsidRPr="00EF1563" w:rsidRDefault="00EF1563" w:rsidP="00EF1563">
            <w:pPr>
              <w:spacing w:before="120"/>
              <w:ind w:firstLine="360"/>
              <w:rPr>
                <w:sz w:val="22"/>
                <w:szCs w:val="22"/>
              </w:rPr>
            </w:pPr>
            <w:r w:rsidRPr="00EF1563">
              <w:rPr>
                <w:sz w:val="22"/>
                <w:szCs w:val="22"/>
              </w:rPr>
              <w:t xml:space="preserve">Or, B) For postpaid – check valid contract details for roaming. </w:t>
            </w:r>
          </w:p>
          <w:p w14:paraId="65B1E19D" w14:textId="77777777" w:rsidR="00EF1563" w:rsidRPr="00EF1563" w:rsidRDefault="00EF1563" w:rsidP="00EF1563">
            <w:pPr>
              <w:widowControl w:val="0"/>
              <w:numPr>
                <w:ilvl w:val="0"/>
                <w:numId w:val="2"/>
              </w:numPr>
              <w:tabs>
                <w:tab w:val="clear" w:pos="360"/>
              </w:tabs>
              <w:suppressAutoHyphens/>
              <w:spacing w:before="120"/>
              <w:rPr>
                <w:sz w:val="22"/>
                <w:szCs w:val="22"/>
              </w:rPr>
            </w:pPr>
            <w:r w:rsidRPr="00EF1563">
              <w:rPr>
                <w:sz w:val="22"/>
                <w:szCs w:val="22"/>
              </w:rPr>
              <w:t xml:space="preserve">The visited MNO makes entry in customer database to set up new visiting subscriber on visited network following handset request. At the same time, the home network updates its HLR subscriber file to indicate that the subscriber is now on the visited network so that any information sent to that device is rerouted. </w:t>
            </w:r>
          </w:p>
          <w:p w14:paraId="7429266A" w14:textId="77777777" w:rsidR="00EF1563" w:rsidRPr="00EF1563" w:rsidRDefault="00EF1563" w:rsidP="00EF1563">
            <w:pPr>
              <w:widowControl w:val="0"/>
              <w:numPr>
                <w:ilvl w:val="0"/>
                <w:numId w:val="2"/>
              </w:numPr>
              <w:tabs>
                <w:tab w:val="clear" w:pos="360"/>
              </w:tabs>
              <w:suppressAutoHyphens/>
              <w:spacing w:before="120"/>
              <w:rPr>
                <w:sz w:val="22"/>
                <w:szCs w:val="22"/>
              </w:rPr>
            </w:pPr>
            <w:r w:rsidRPr="00EF1563">
              <w:rPr>
                <w:sz w:val="22"/>
                <w:szCs w:val="22"/>
              </w:rPr>
              <w:t>OTA activation of new visiting subscriber.</w:t>
            </w:r>
          </w:p>
          <w:p w14:paraId="69B39D4D" w14:textId="77777777" w:rsidR="00EF1563" w:rsidRPr="00EF1563" w:rsidRDefault="00EF1563" w:rsidP="00EF1563">
            <w:pPr>
              <w:widowControl w:val="0"/>
              <w:numPr>
                <w:ilvl w:val="0"/>
                <w:numId w:val="2"/>
              </w:numPr>
              <w:tabs>
                <w:tab w:val="clear" w:pos="360"/>
              </w:tabs>
              <w:suppressAutoHyphens/>
              <w:spacing w:before="120"/>
            </w:pPr>
            <w:r w:rsidRPr="00EF1563">
              <w:rPr>
                <w:sz w:val="22"/>
                <w:szCs w:val="22"/>
              </w:rPr>
              <w:t>The visited MNO sends an SMS message to the subscriber as welcome, showing roaming charge information for voice, data and SMS or confirming all is the same as at home (option).</w:t>
            </w:r>
          </w:p>
        </w:tc>
      </w:tr>
    </w:tbl>
    <w:p w14:paraId="51ED8817" w14:textId="77777777" w:rsidR="000A7DF2" w:rsidRPr="001032A3" w:rsidRDefault="000A7DF2" w:rsidP="000A7DF2">
      <w:pPr>
        <w:spacing w:after="120"/>
      </w:pPr>
      <w:r w:rsidRPr="001032A3">
        <w:t xml:space="preserve">Note that in some mobile networks, anti-fraud measures are also taken, to transfer unrated </w:t>
      </w:r>
      <w:r>
        <w:t>call data records (</w:t>
      </w:r>
      <w:r w:rsidRPr="001032A3">
        <w:t>CDRs</w:t>
      </w:r>
      <w:r>
        <w:t>)</w:t>
      </w:r>
      <w:r w:rsidRPr="001032A3">
        <w:t xml:space="preserve"> back to the home network much faster than normal, using a hub between MNOs to exchange CDRs and so detect fraud patterns. The hub, termed a </w:t>
      </w:r>
      <w:r>
        <w:t>"n</w:t>
      </w:r>
      <w:r w:rsidRPr="001032A3">
        <w:t xml:space="preserve">ear </w:t>
      </w:r>
      <w:r>
        <w:t>r</w:t>
      </w:r>
      <w:r w:rsidRPr="001032A3">
        <w:t xml:space="preserve">eal-time </w:t>
      </w:r>
      <w:r>
        <w:t>r</w:t>
      </w:r>
      <w:r w:rsidRPr="001032A3">
        <w:t>oaming data exchange</w:t>
      </w:r>
      <w:r>
        <w:t xml:space="preserve"> </w:t>
      </w:r>
      <w:r w:rsidRPr="001032A3">
        <w:t>(NRTRDE)</w:t>
      </w:r>
      <w:r>
        <w:t>",</w:t>
      </w:r>
      <w:r w:rsidRPr="001032A3">
        <w:t xml:space="preserve"> follows GSMA guidelines, and is supported via shared costs between MNOs.</w:t>
      </w:r>
    </w:p>
    <w:tbl>
      <w:tblPr>
        <w:tblStyle w:val="TableGrid"/>
        <w:tblW w:w="0" w:type="auto"/>
        <w:tblInd w:w="108" w:type="dxa"/>
        <w:tblBorders>
          <w:top w:val="single" w:sz="12" w:space="0" w:color="93BBE0"/>
          <w:left w:val="single" w:sz="12" w:space="0" w:color="93BBE0"/>
          <w:bottom w:val="single" w:sz="12" w:space="0" w:color="93BBE0"/>
          <w:right w:val="single" w:sz="12" w:space="0" w:color="93BBE0"/>
          <w:insideH w:val="single" w:sz="12" w:space="0" w:color="93BBE0"/>
          <w:insideV w:val="single" w:sz="12" w:space="0" w:color="93BBE0"/>
        </w:tblBorders>
        <w:tblLook w:val="04A0" w:firstRow="1" w:lastRow="0" w:firstColumn="1" w:lastColumn="0" w:noHBand="0" w:noVBand="1"/>
      </w:tblPr>
      <w:tblGrid>
        <w:gridCol w:w="9379"/>
      </w:tblGrid>
      <w:tr w:rsidR="00EF1563" w14:paraId="0526E8B8" w14:textId="77777777">
        <w:tc>
          <w:tcPr>
            <w:tcW w:w="9379" w:type="dxa"/>
          </w:tcPr>
          <w:p w14:paraId="208ABAA4" w14:textId="77777777" w:rsidR="00EF1563" w:rsidRPr="00157FD2" w:rsidRDefault="00EF1563" w:rsidP="00EF1563">
            <w:pPr>
              <w:spacing w:before="120" w:after="120"/>
              <w:rPr>
                <w:sz w:val="22"/>
                <w:szCs w:val="22"/>
              </w:rPr>
            </w:pPr>
            <w:r w:rsidRPr="00157FD2">
              <w:rPr>
                <w:b/>
                <w:bCs/>
                <w:sz w:val="22"/>
                <w:szCs w:val="22"/>
              </w:rPr>
              <w:t>Business process 2: Roaming –</w:t>
            </w:r>
            <w:r w:rsidRPr="00157FD2">
              <w:rPr>
                <w:sz w:val="22"/>
                <w:szCs w:val="22"/>
              </w:rPr>
              <w:t xml:space="preserve"> The network and BSS elements and resources required by the next stage, the roaming business process, can be identified from the four main </w:t>
            </w:r>
            <w:r w:rsidRPr="00157FD2">
              <w:rPr>
                <w:i/>
                <w:iCs/>
                <w:sz w:val="22"/>
                <w:szCs w:val="22"/>
              </w:rPr>
              <w:t>use cases</w:t>
            </w:r>
            <w:r w:rsidRPr="00157FD2">
              <w:rPr>
                <w:sz w:val="22"/>
                <w:szCs w:val="22"/>
              </w:rPr>
              <w:t xml:space="preserve"> of roaming in the diagram above, for voice, data and SMS. </w:t>
            </w:r>
          </w:p>
        </w:tc>
      </w:tr>
    </w:tbl>
    <w:p w14:paraId="40BA84BB" w14:textId="77777777" w:rsidR="000A7DF2" w:rsidRDefault="000A7DF2" w:rsidP="000A7DF2">
      <w:pPr>
        <w:spacing w:after="120"/>
      </w:pPr>
      <w:r w:rsidRPr="001032A3">
        <w:t>The use cases for voice roaming cover calling out while in a visited country and receiving calls as both are charged for currently in common roaming tariff plans. The main use cases for roaming are as follows:</w:t>
      </w:r>
    </w:p>
    <w:p w14:paraId="4E82C204" w14:textId="77777777" w:rsidR="00234CBB" w:rsidRDefault="00234CBB" w:rsidP="000A7DF2">
      <w:pPr>
        <w:spacing w:after="120"/>
      </w:pPr>
      <w:r>
        <w:br w:type="page"/>
      </w:r>
    </w:p>
    <w:p w14:paraId="0959E341" w14:textId="77777777" w:rsidR="008C5C37" w:rsidRPr="001032A3" w:rsidRDefault="008C5C37" w:rsidP="008C5C37">
      <w:pPr>
        <w:pStyle w:val="Figuretitle"/>
      </w:pPr>
      <w:r w:rsidRPr="001032A3">
        <w:lastRenderedPageBreak/>
        <w:t xml:space="preserve">Figure 9 </w:t>
      </w:r>
      <w:r>
        <w:t xml:space="preserve">– Use case 1: </w:t>
      </w:r>
      <w:r w:rsidRPr="001032A3">
        <w:t>Calling inside visited country</w:t>
      </w:r>
    </w:p>
    <w:p w14:paraId="586FF93F" w14:textId="77777777" w:rsidR="000A7DF2" w:rsidRDefault="000A7DF2" w:rsidP="008C5C37">
      <w:pPr>
        <w:pStyle w:val="Figuresource"/>
        <w:jc w:val="center"/>
      </w:pPr>
      <w:r w:rsidRPr="00395450">
        <w:drawing>
          <wp:inline distT="0" distB="0" distL="0" distR="0" wp14:anchorId="788F16BC" wp14:editId="2468222F">
            <wp:extent cx="4572000" cy="3430270"/>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3430270"/>
                    </a:xfrm>
                    <a:prstGeom prst="rect">
                      <a:avLst/>
                    </a:prstGeom>
                    <a:noFill/>
                    <a:ln w="12700" cmpd="sng">
                      <a:solidFill>
                        <a:srgbClr val="008080"/>
                      </a:solidFill>
                      <a:miter lim="800000"/>
                      <a:headEnd/>
                      <a:tailEnd/>
                    </a:ln>
                    <a:effectLst/>
                  </pic:spPr>
                </pic:pic>
              </a:graphicData>
            </a:graphic>
          </wp:inline>
        </w:drawing>
      </w:r>
    </w:p>
    <w:p w14:paraId="5AB9CE69" w14:textId="77777777" w:rsidR="008C5C37" w:rsidRPr="00395450" w:rsidRDefault="008C5C37" w:rsidP="008C5C37">
      <w:pPr>
        <w:pStyle w:val="Figuresource"/>
      </w:pPr>
    </w:p>
    <w:p w14:paraId="25307AE5" w14:textId="77777777" w:rsidR="000A7DF2" w:rsidRDefault="000A7DF2" w:rsidP="00234CBB">
      <w:pPr>
        <w:spacing w:before="0"/>
        <w:rPr>
          <w:b/>
          <w:bCs/>
          <w:sz w:val="20"/>
          <w:szCs w:val="20"/>
        </w:rPr>
      </w:pPr>
    </w:p>
    <w:p w14:paraId="4FE77A7B" w14:textId="77777777" w:rsidR="000A7DF2" w:rsidRDefault="008C5C37" w:rsidP="008C5C37">
      <w:pPr>
        <w:pStyle w:val="Figuretitle"/>
      </w:pPr>
      <w:r w:rsidRPr="001032A3">
        <w:t xml:space="preserve">Figure 10 </w:t>
      </w:r>
      <w:r>
        <w:t>– Use c</w:t>
      </w:r>
      <w:r w:rsidRPr="001032A3">
        <w:t>ase 2</w:t>
      </w:r>
      <w:r>
        <w:t>:</w:t>
      </w:r>
      <w:r w:rsidRPr="001032A3">
        <w:t xml:space="preserve"> Calling home</w:t>
      </w:r>
    </w:p>
    <w:p w14:paraId="7E52B1F9" w14:textId="77777777" w:rsidR="000A7DF2" w:rsidRDefault="000A7DF2" w:rsidP="008C5C37">
      <w:pPr>
        <w:pStyle w:val="Figuresource"/>
        <w:jc w:val="center"/>
      </w:pPr>
      <w:r w:rsidRPr="00395450">
        <w:drawing>
          <wp:inline distT="0" distB="0" distL="0" distR="0" wp14:anchorId="49F43087" wp14:editId="37F68183">
            <wp:extent cx="4572000" cy="3414156"/>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3191" cy="3415045"/>
                    </a:xfrm>
                    <a:prstGeom prst="rect">
                      <a:avLst/>
                    </a:prstGeom>
                    <a:noFill/>
                    <a:ln w="12700" cmpd="sng">
                      <a:solidFill>
                        <a:srgbClr val="008080"/>
                      </a:solidFill>
                      <a:miter lim="800000"/>
                      <a:headEnd/>
                      <a:tailEnd/>
                    </a:ln>
                    <a:effectLst/>
                  </pic:spPr>
                </pic:pic>
              </a:graphicData>
            </a:graphic>
          </wp:inline>
        </w:drawing>
      </w:r>
    </w:p>
    <w:p w14:paraId="45828FDF" w14:textId="77777777" w:rsidR="008C5C37" w:rsidRDefault="008C5C37" w:rsidP="008C5C37">
      <w:pPr>
        <w:pStyle w:val="Figuresource"/>
      </w:pPr>
    </w:p>
    <w:p w14:paraId="3CD645F0" w14:textId="77777777" w:rsidR="000A7DF2" w:rsidRDefault="000A7DF2" w:rsidP="000A7DF2">
      <w:pPr>
        <w:rPr>
          <w:b/>
          <w:bCs/>
          <w:sz w:val="20"/>
          <w:szCs w:val="20"/>
        </w:rPr>
      </w:pPr>
    </w:p>
    <w:p w14:paraId="0345DF8F" w14:textId="77777777" w:rsidR="000A7DF2" w:rsidRPr="001032A3" w:rsidRDefault="008C5C37" w:rsidP="008C5C37">
      <w:pPr>
        <w:pStyle w:val="Figuretitle"/>
      </w:pPr>
      <w:r>
        <w:lastRenderedPageBreak/>
        <w:t>Figure 11 – Use case 3: R</w:t>
      </w:r>
      <w:r w:rsidRPr="001032A3">
        <w:t>eceiving a call while roaming</w:t>
      </w:r>
    </w:p>
    <w:p w14:paraId="2A9E1C7C" w14:textId="77777777" w:rsidR="000A7DF2" w:rsidRDefault="000A7DF2" w:rsidP="008C5C37">
      <w:pPr>
        <w:pStyle w:val="Figuresource"/>
        <w:jc w:val="center"/>
      </w:pPr>
      <w:r w:rsidRPr="0036214B">
        <w:drawing>
          <wp:inline distT="0" distB="0" distL="0" distR="0" wp14:anchorId="06D34999" wp14:editId="72BB1F3D">
            <wp:extent cx="4572000" cy="3430270"/>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3430270"/>
                    </a:xfrm>
                    <a:prstGeom prst="rect">
                      <a:avLst/>
                    </a:prstGeom>
                    <a:noFill/>
                    <a:ln w="12700" cmpd="sng">
                      <a:solidFill>
                        <a:srgbClr val="008080"/>
                      </a:solidFill>
                      <a:miter lim="800000"/>
                      <a:headEnd/>
                      <a:tailEnd/>
                    </a:ln>
                    <a:effectLst/>
                  </pic:spPr>
                </pic:pic>
              </a:graphicData>
            </a:graphic>
          </wp:inline>
        </w:drawing>
      </w:r>
    </w:p>
    <w:p w14:paraId="0EB788FC" w14:textId="77777777" w:rsidR="008C5C37" w:rsidRPr="0036214B" w:rsidRDefault="008C5C37" w:rsidP="008C5C37">
      <w:pPr>
        <w:pStyle w:val="Figuresource"/>
      </w:pPr>
    </w:p>
    <w:p w14:paraId="320EDE0D" w14:textId="77777777" w:rsidR="000A7DF2" w:rsidRDefault="000A7DF2" w:rsidP="00234CBB">
      <w:pPr>
        <w:spacing w:before="0"/>
        <w:rPr>
          <w:b/>
          <w:bCs/>
          <w:sz w:val="20"/>
          <w:szCs w:val="20"/>
        </w:rPr>
      </w:pPr>
    </w:p>
    <w:p w14:paraId="7F695C87" w14:textId="77777777" w:rsidR="000A7DF2" w:rsidRPr="001032A3" w:rsidRDefault="000207E3" w:rsidP="000207E3">
      <w:pPr>
        <w:pStyle w:val="Figuretitle"/>
      </w:pPr>
      <w:r w:rsidRPr="001032A3">
        <w:t xml:space="preserve">Figure 12 </w:t>
      </w:r>
      <w:r>
        <w:t>– Use case 4:</w:t>
      </w:r>
      <w:r w:rsidRPr="001032A3">
        <w:t xml:space="preserve"> </w:t>
      </w:r>
      <w:r>
        <w:t>C</w:t>
      </w:r>
      <w:r w:rsidRPr="001032A3">
        <w:t>alling a third country while roaming</w:t>
      </w:r>
    </w:p>
    <w:p w14:paraId="080FB603" w14:textId="77777777" w:rsidR="000A7DF2" w:rsidRDefault="000A7DF2" w:rsidP="000207E3">
      <w:pPr>
        <w:pStyle w:val="Figuresource"/>
        <w:jc w:val="center"/>
      </w:pPr>
      <w:r w:rsidRPr="0036214B">
        <w:drawing>
          <wp:inline distT="0" distB="0" distL="0" distR="0" wp14:anchorId="0FAA4AE5" wp14:editId="1307DDAE">
            <wp:extent cx="4572000" cy="343027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3430270"/>
                    </a:xfrm>
                    <a:prstGeom prst="rect">
                      <a:avLst/>
                    </a:prstGeom>
                    <a:noFill/>
                    <a:ln w="12700" cmpd="sng">
                      <a:solidFill>
                        <a:srgbClr val="008080"/>
                      </a:solidFill>
                      <a:miter lim="800000"/>
                      <a:headEnd/>
                      <a:tailEnd/>
                    </a:ln>
                    <a:effectLst/>
                  </pic:spPr>
                </pic:pic>
              </a:graphicData>
            </a:graphic>
          </wp:inline>
        </w:drawing>
      </w:r>
    </w:p>
    <w:p w14:paraId="5DC63414" w14:textId="77777777" w:rsidR="000207E3" w:rsidRPr="0036214B" w:rsidRDefault="000207E3" w:rsidP="000207E3">
      <w:pPr>
        <w:pStyle w:val="Figuresource"/>
      </w:pPr>
    </w:p>
    <w:p w14:paraId="17C8DCCD" w14:textId="77777777" w:rsidR="000A7DF2" w:rsidRPr="001032A3" w:rsidRDefault="000A7DF2" w:rsidP="000A7DF2">
      <w:r w:rsidRPr="001032A3">
        <w:lastRenderedPageBreak/>
        <w:t xml:space="preserve">On returning to the home country, the subscriber is registered as being in the home coverage area when the handset polls for network access. The temporary roaming file in the visited country is closed. Note that the above use cases are the most generic possible in order to simplify the cost model and various other detailed operations could be added such as that for customer care. For instance, some MNOs (especially those with multi-country coverage) sell prepaid phone cards in their visited countries so that prepaid subscribers can </w:t>
      </w:r>
      <w:r>
        <w:t>'</w:t>
      </w:r>
      <w:r w:rsidRPr="001032A3">
        <w:t>top-up</w:t>
      </w:r>
      <w:r>
        <w:t>'</w:t>
      </w:r>
      <w:r w:rsidRPr="001032A3">
        <w:t xml:space="preserve"> while roaming abroad. The processes for this are just an extension of the BSS and OSS elements and many of the processes illustrated here.</w:t>
      </w:r>
    </w:p>
    <w:p w14:paraId="0FCB6FC7" w14:textId="77777777" w:rsidR="000A7DF2" w:rsidRPr="001032A3" w:rsidRDefault="000A7DF2" w:rsidP="00BC7EC7">
      <w:pPr>
        <w:pStyle w:val="Heading2"/>
      </w:pPr>
      <w:bookmarkStart w:id="52" w:name="_Toc425326330"/>
      <w:bookmarkStart w:id="53" w:name="_Toc429485884"/>
      <w:r w:rsidRPr="001032A3">
        <w:t xml:space="preserve">4.3 </w:t>
      </w:r>
      <w:r w:rsidR="00DE50C9">
        <w:tab/>
      </w:r>
      <w:r w:rsidRPr="001032A3">
        <w:t>Going from use cases to analysis of assets used in roaming to their costs</w:t>
      </w:r>
      <w:bookmarkEnd w:id="52"/>
      <w:bookmarkEnd w:id="53"/>
    </w:p>
    <w:p w14:paraId="0A8BEDD4" w14:textId="77777777" w:rsidR="000A7DF2" w:rsidRPr="001032A3" w:rsidRDefault="000A7DF2" w:rsidP="000A7DF2">
      <w:r w:rsidRPr="001032A3">
        <w:t xml:space="preserve">The model then exploits the use cases to understand the BSS and networking elements involved. From these, the extent of the roaming cost above domestic can be estimated. To do this in detail demands information from MNO. Hence, a survey by the regulator is required to examine roaming costs in detail. A questionnaire for this, with its composition and use is explored in the next chapter. </w:t>
      </w:r>
      <w:r>
        <w:t>In Table 4,</w:t>
      </w:r>
      <w:r w:rsidRPr="001032A3">
        <w:t xml:space="preserve"> we give an example in overview of what a costed implementation following the use case 1A for voice might yield, following its verification from the MNO survey:</w:t>
      </w:r>
    </w:p>
    <w:p w14:paraId="352F8AE6" w14:textId="77777777" w:rsidR="000A7DF2" w:rsidRPr="001032A3" w:rsidRDefault="000A7DF2" w:rsidP="004D2B38">
      <w:pPr>
        <w:pStyle w:val="Tabletitle"/>
        <w:spacing w:before="120" w:after="60"/>
      </w:pPr>
      <w:r w:rsidRPr="001032A3">
        <w:t xml:space="preserve">Table </w:t>
      </w:r>
      <w:r>
        <w:t>4</w:t>
      </w:r>
      <w:r w:rsidRPr="001032A3">
        <w:t xml:space="preserve"> </w:t>
      </w:r>
      <w:r>
        <w:t xml:space="preserve">– </w:t>
      </w:r>
      <w:r w:rsidRPr="001032A3">
        <w:t>Use case 1A – Calling inside visited country</w:t>
      </w:r>
      <w:r>
        <w:t>: E</w:t>
      </w:r>
      <w:r w:rsidRPr="001032A3">
        <w:t xml:space="preserve">xample of voice roaming assets </w:t>
      </w:r>
      <w:r w:rsidR="00BC7EC7">
        <w:br/>
      </w:r>
      <w:r w:rsidRPr="001032A3">
        <w:t>and their extra costs</w:t>
      </w:r>
    </w:p>
    <w:tbl>
      <w:tblPr>
        <w:tblW w:w="9337" w:type="dxa"/>
        <w:tblInd w:w="76" w:type="dxa"/>
        <w:tblLayout w:type="fixed"/>
        <w:tblCellMar>
          <w:left w:w="62" w:type="dxa"/>
          <w:right w:w="62" w:type="dxa"/>
        </w:tblCellMar>
        <w:tblLook w:val="0000" w:firstRow="0" w:lastRow="0" w:firstColumn="0" w:lastColumn="0" w:noHBand="0" w:noVBand="0"/>
      </w:tblPr>
      <w:tblGrid>
        <w:gridCol w:w="3144"/>
        <w:gridCol w:w="3139"/>
        <w:gridCol w:w="3054"/>
      </w:tblGrid>
      <w:tr w:rsidR="000A7DF2" w:rsidRPr="001032A3" w14:paraId="272C9FF7" w14:textId="77777777">
        <w:trPr>
          <w:trHeight w:val="585"/>
        </w:trPr>
        <w:tc>
          <w:tcPr>
            <w:tcW w:w="3144" w:type="dxa"/>
            <w:tcBorders>
              <w:top w:val="single" w:sz="8" w:space="0" w:color="000000"/>
              <w:left w:val="single" w:sz="8" w:space="0" w:color="000000"/>
              <w:bottom w:val="single" w:sz="4" w:space="0" w:color="000000"/>
            </w:tcBorders>
            <w:shd w:val="clear" w:color="auto" w:fill="FFFFFF" w:themeFill="background1"/>
          </w:tcPr>
          <w:p w14:paraId="7BF06BD3" w14:textId="77777777" w:rsidR="000A7DF2" w:rsidRPr="001032A3" w:rsidRDefault="000A7DF2" w:rsidP="00BC7EC7">
            <w:pPr>
              <w:pStyle w:val="Tablehead"/>
            </w:pPr>
            <w:r w:rsidRPr="001032A3">
              <w:t>Use case 1A</w:t>
            </w:r>
            <w:r>
              <w:t>:</w:t>
            </w:r>
            <w:r w:rsidRPr="001032A3">
              <w:t xml:space="preserve"> Activity</w:t>
            </w:r>
          </w:p>
        </w:tc>
        <w:tc>
          <w:tcPr>
            <w:tcW w:w="3139" w:type="dxa"/>
            <w:tcBorders>
              <w:top w:val="single" w:sz="8" w:space="0" w:color="000000"/>
              <w:left w:val="single" w:sz="4" w:space="0" w:color="000000"/>
              <w:bottom w:val="single" w:sz="4" w:space="0" w:color="000000"/>
            </w:tcBorders>
            <w:shd w:val="clear" w:color="auto" w:fill="FFFFFF" w:themeFill="background1"/>
          </w:tcPr>
          <w:p w14:paraId="5165686D" w14:textId="77777777" w:rsidR="000A7DF2" w:rsidRPr="001032A3" w:rsidRDefault="000A7DF2" w:rsidP="00BC7EC7">
            <w:pPr>
              <w:pStyle w:val="Tablehead"/>
            </w:pPr>
            <w:r w:rsidRPr="001032A3">
              <w:t xml:space="preserve">Assets – to be verified from NRA questionnaire with MNOs, with actual </w:t>
            </w:r>
            <w:r>
              <w:t>opex</w:t>
            </w:r>
            <w:r w:rsidRPr="001032A3">
              <w:t xml:space="preserve"> and </w:t>
            </w:r>
            <w:r>
              <w:t>c</w:t>
            </w:r>
            <w:r w:rsidRPr="001032A3">
              <w:t>apex costs; includes staff, IT systems and ops centres</w:t>
            </w:r>
          </w:p>
        </w:tc>
        <w:tc>
          <w:tcPr>
            <w:tcW w:w="3054" w:type="dxa"/>
            <w:tcBorders>
              <w:top w:val="single" w:sz="8" w:space="0" w:color="000000"/>
              <w:left w:val="single" w:sz="4" w:space="0" w:color="000000"/>
              <w:bottom w:val="single" w:sz="4" w:space="0" w:color="000000"/>
              <w:right w:val="single" w:sz="8" w:space="0" w:color="000000"/>
            </w:tcBorders>
            <w:shd w:val="clear" w:color="auto" w:fill="FFFFFF" w:themeFill="background1"/>
          </w:tcPr>
          <w:p w14:paraId="3A63F14B" w14:textId="77777777" w:rsidR="000A7DF2" w:rsidRPr="001032A3" w:rsidRDefault="000A7DF2" w:rsidP="00BC7EC7">
            <w:pPr>
              <w:pStyle w:val="Tablehead"/>
            </w:pPr>
            <w:r w:rsidRPr="001032A3">
              <w:t xml:space="preserve">Percentage extra on domestic load, capex </w:t>
            </w:r>
            <w:r>
              <w:t>and</w:t>
            </w:r>
            <w:r w:rsidRPr="001032A3">
              <w:t xml:space="preserve"> opex pa – (to be MNO verified) for all assets</w:t>
            </w:r>
            <w:r>
              <w:t xml:space="preserve"> – estimated approximations</w:t>
            </w:r>
          </w:p>
        </w:tc>
      </w:tr>
      <w:tr w:rsidR="000A7DF2" w:rsidRPr="001032A3" w14:paraId="4302991B" w14:textId="77777777">
        <w:trPr>
          <w:trHeight w:val="765"/>
        </w:trPr>
        <w:tc>
          <w:tcPr>
            <w:tcW w:w="3144" w:type="dxa"/>
            <w:tcBorders>
              <w:top w:val="single" w:sz="4" w:space="0" w:color="000000"/>
              <w:left w:val="single" w:sz="8" w:space="0" w:color="000000"/>
              <w:bottom w:val="single" w:sz="4" w:space="0" w:color="000000"/>
            </w:tcBorders>
          </w:tcPr>
          <w:p w14:paraId="760198C6" w14:textId="77777777" w:rsidR="000A7DF2" w:rsidRPr="00AB13A9" w:rsidRDefault="000A7DF2" w:rsidP="00BC7EC7">
            <w:pPr>
              <w:pStyle w:val="Tabletext"/>
              <w:rPr>
                <w:lang w:val="en-US"/>
              </w:rPr>
            </w:pPr>
            <w:r w:rsidRPr="00AB13A9">
              <w:rPr>
                <w:lang w:val="en-US"/>
              </w:rPr>
              <w:t>1</w:t>
            </w:r>
            <w:r w:rsidR="00AB13A9" w:rsidRPr="00AB13A9">
              <w:rPr>
                <w:lang w:val="en-US"/>
              </w:rPr>
              <w:t xml:space="preserve">) </w:t>
            </w:r>
            <w:r w:rsidRPr="00AB13A9">
              <w:rPr>
                <w:lang w:val="en-US"/>
              </w:rPr>
              <w:t>Visited network – receives request for call.</w:t>
            </w:r>
          </w:p>
        </w:tc>
        <w:tc>
          <w:tcPr>
            <w:tcW w:w="3139" w:type="dxa"/>
            <w:tcBorders>
              <w:top w:val="single" w:sz="4" w:space="0" w:color="000000"/>
              <w:left w:val="single" w:sz="4" w:space="0" w:color="000000"/>
              <w:bottom w:val="single" w:sz="4" w:space="0" w:color="000000"/>
            </w:tcBorders>
          </w:tcPr>
          <w:p w14:paraId="364EE029" w14:textId="77777777" w:rsidR="000A7DF2" w:rsidRPr="00234CBB" w:rsidRDefault="000A7DF2" w:rsidP="00BC7EC7">
            <w:pPr>
              <w:pStyle w:val="Tabletext"/>
              <w:rPr>
                <w:lang w:val="en-US"/>
              </w:rPr>
            </w:pPr>
            <w:r w:rsidRPr="00234CBB">
              <w:rPr>
                <w:lang w:val="en-US"/>
              </w:rPr>
              <w:t>Visited RAN, interconnect gateway, LD and core network, TAP file generation, operational staff for home and visited network.</w:t>
            </w:r>
          </w:p>
        </w:tc>
        <w:tc>
          <w:tcPr>
            <w:tcW w:w="3054" w:type="dxa"/>
            <w:tcBorders>
              <w:top w:val="single" w:sz="4" w:space="0" w:color="000000"/>
              <w:left w:val="single" w:sz="4" w:space="0" w:color="000000"/>
              <w:bottom w:val="single" w:sz="4" w:space="0" w:color="000000"/>
              <w:right w:val="single" w:sz="8" w:space="0" w:color="000000"/>
            </w:tcBorders>
          </w:tcPr>
          <w:p w14:paraId="0AFA6508" w14:textId="77777777" w:rsidR="000A7DF2" w:rsidRPr="00234CBB" w:rsidRDefault="000A7DF2" w:rsidP="00BC7EC7">
            <w:pPr>
              <w:pStyle w:val="Tabletext"/>
              <w:rPr>
                <w:lang w:val="en-US"/>
              </w:rPr>
            </w:pPr>
            <w:r w:rsidRPr="00234CBB">
              <w:rPr>
                <w:lang w:val="en-US"/>
              </w:rPr>
              <w:t xml:space="preserve">~5% extra network elements over domestic; effort varies with roaming numbers: </w:t>
            </w:r>
          </w:p>
        </w:tc>
      </w:tr>
      <w:tr w:rsidR="000A7DF2" w:rsidRPr="001032A3" w14:paraId="15BA1595" w14:textId="77777777">
        <w:trPr>
          <w:trHeight w:val="1095"/>
        </w:trPr>
        <w:tc>
          <w:tcPr>
            <w:tcW w:w="3144" w:type="dxa"/>
            <w:tcBorders>
              <w:top w:val="single" w:sz="4" w:space="0" w:color="000000"/>
              <w:left w:val="single" w:sz="8" w:space="0" w:color="000000"/>
              <w:bottom w:val="single" w:sz="4" w:space="0" w:color="000000"/>
            </w:tcBorders>
          </w:tcPr>
          <w:p w14:paraId="55B8794C" w14:textId="77777777" w:rsidR="000A7DF2" w:rsidRPr="00AB13A9" w:rsidRDefault="000A7DF2" w:rsidP="00BC7EC7">
            <w:pPr>
              <w:pStyle w:val="Tabletext"/>
              <w:rPr>
                <w:lang w:val="en-US"/>
              </w:rPr>
            </w:pPr>
            <w:r w:rsidRPr="00AB13A9">
              <w:rPr>
                <w:lang w:val="en-US"/>
              </w:rPr>
              <w:t>2</w:t>
            </w:r>
            <w:r w:rsidR="00AB13A9" w:rsidRPr="00AB13A9">
              <w:rPr>
                <w:lang w:val="en-US"/>
              </w:rPr>
              <w:t xml:space="preserve">) </w:t>
            </w:r>
            <w:r w:rsidRPr="00AB13A9">
              <w:rPr>
                <w:lang w:val="en-US"/>
              </w:rPr>
              <w:t>Visited network – checks IMSI against VLR and destination and triggers BSS billing subscriber databases to set up charging, according to whether prepaid or postpaid and any limits and IOT conditions (e.g. one minute minimum, then by second).</w:t>
            </w:r>
          </w:p>
        </w:tc>
        <w:tc>
          <w:tcPr>
            <w:tcW w:w="3139" w:type="dxa"/>
            <w:tcBorders>
              <w:top w:val="single" w:sz="4" w:space="0" w:color="000000"/>
              <w:left w:val="single" w:sz="4" w:space="0" w:color="000000"/>
              <w:bottom w:val="single" w:sz="4" w:space="0" w:color="000000"/>
            </w:tcBorders>
          </w:tcPr>
          <w:p w14:paraId="2112464E" w14:textId="77777777" w:rsidR="000A7DF2" w:rsidRPr="00234CBB" w:rsidRDefault="000A7DF2" w:rsidP="00BC7EC7">
            <w:pPr>
              <w:pStyle w:val="Tabletext"/>
              <w:rPr>
                <w:lang w:val="en-US"/>
              </w:rPr>
            </w:pPr>
            <w:r w:rsidRPr="00234CBB">
              <w:rPr>
                <w:lang w:val="en-US"/>
              </w:rPr>
              <w:t>Billing system assets and operations</w:t>
            </w:r>
          </w:p>
          <w:p w14:paraId="551FF52D" w14:textId="77777777" w:rsidR="000A7DF2" w:rsidRPr="00234CBB" w:rsidRDefault="000A7DF2" w:rsidP="00BC7EC7">
            <w:pPr>
              <w:pStyle w:val="Tabletext"/>
              <w:rPr>
                <w:lang w:val="en-US"/>
              </w:rPr>
            </w:pPr>
            <w:r w:rsidRPr="00234CBB">
              <w:rPr>
                <w:lang w:val="en-US"/>
              </w:rPr>
              <w:t>VLR and network elements.</w:t>
            </w:r>
          </w:p>
        </w:tc>
        <w:tc>
          <w:tcPr>
            <w:tcW w:w="3054" w:type="dxa"/>
            <w:tcBorders>
              <w:top w:val="single" w:sz="4" w:space="0" w:color="000000"/>
              <w:left w:val="single" w:sz="4" w:space="0" w:color="000000"/>
              <w:bottom w:val="single" w:sz="4" w:space="0" w:color="000000"/>
              <w:right w:val="single" w:sz="8" w:space="0" w:color="000000"/>
            </w:tcBorders>
          </w:tcPr>
          <w:p w14:paraId="460DAD31" w14:textId="77777777" w:rsidR="000A7DF2" w:rsidRPr="00234CBB" w:rsidRDefault="000A7DF2" w:rsidP="00BC7EC7">
            <w:pPr>
              <w:pStyle w:val="Tabletext"/>
              <w:rPr>
                <w:lang w:val="en-US"/>
              </w:rPr>
            </w:pPr>
            <w:r w:rsidRPr="00234CBB">
              <w:rPr>
                <w:lang w:val="en-US"/>
              </w:rPr>
              <w:t>~5% extra over domestic in assets and operations; cost/visiting subscriber varies with roaming numbers: reduces with volume.</w:t>
            </w:r>
          </w:p>
        </w:tc>
      </w:tr>
      <w:tr w:rsidR="000A7DF2" w:rsidRPr="001032A3" w14:paraId="5CAFC8AE" w14:textId="77777777">
        <w:trPr>
          <w:trHeight w:val="1368"/>
        </w:trPr>
        <w:tc>
          <w:tcPr>
            <w:tcW w:w="3144" w:type="dxa"/>
            <w:tcBorders>
              <w:top w:val="single" w:sz="4" w:space="0" w:color="000000"/>
              <w:left w:val="single" w:sz="8" w:space="0" w:color="000000"/>
              <w:bottom w:val="single" w:sz="4" w:space="0" w:color="000000"/>
            </w:tcBorders>
          </w:tcPr>
          <w:p w14:paraId="1EDAB45F" w14:textId="77777777" w:rsidR="000A7DF2" w:rsidRPr="00AB13A9" w:rsidRDefault="000A7DF2" w:rsidP="00AB13A9">
            <w:pPr>
              <w:pStyle w:val="Tabletext"/>
              <w:rPr>
                <w:lang w:val="en-US"/>
              </w:rPr>
            </w:pPr>
            <w:r w:rsidRPr="00AB13A9">
              <w:rPr>
                <w:lang w:val="en-US"/>
              </w:rPr>
              <w:t>3</w:t>
            </w:r>
            <w:r w:rsidR="00AB13A9" w:rsidRPr="00AB13A9">
              <w:rPr>
                <w:lang w:val="en-US"/>
              </w:rPr>
              <w:t>)</w:t>
            </w:r>
            <w:r w:rsidRPr="00AB13A9">
              <w:rPr>
                <w:lang w:val="en-US"/>
              </w:rPr>
              <w:t xml:space="preserve"> Visited network – routes call to local subscriber and then accumulates CDRs for mediation processes at international wholesale level with fraud and limits checking – real time if pre-paid.</w:t>
            </w:r>
          </w:p>
        </w:tc>
        <w:tc>
          <w:tcPr>
            <w:tcW w:w="3139" w:type="dxa"/>
            <w:tcBorders>
              <w:top w:val="single" w:sz="4" w:space="0" w:color="000000"/>
              <w:left w:val="single" w:sz="4" w:space="0" w:color="000000"/>
              <w:bottom w:val="single" w:sz="4" w:space="0" w:color="000000"/>
            </w:tcBorders>
          </w:tcPr>
          <w:p w14:paraId="47465FAD" w14:textId="77777777" w:rsidR="000A7DF2" w:rsidRPr="00234CBB" w:rsidRDefault="000A7DF2" w:rsidP="00BC7EC7">
            <w:pPr>
              <w:pStyle w:val="Tabletext"/>
              <w:rPr>
                <w:lang w:val="en-US"/>
              </w:rPr>
            </w:pPr>
            <w:r w:rsidRPr="00234CBB">
              <w:rPr>
                <w:lang w:val="en-US"/>
              </w:rPr>
              <w:t>Visited MNO's RAN and core network.</w:t>
            </w:r>
          </w:p>
          <w:p w14:paraId="71D14E68" w14:textId="77777777" w:rsidR="000A7DF2" w:rsidRPr="00234CBB" w:rsidRDefault="000A7DF2" w:rsidP="00BC7EC7">
            <w:pPr>
              <w:pStyle w:val="Tabletext"/>
              <w:rPr>
                <w:lang w:val="en-US"/>
              </w:rPr>
            </w:pPr>
            <w:r w:rsidRPr="00234CBB">
              <w:rPr>
                <w:lang w:val="en-US"/>
              </w:rPr>
              <w:t>Visited MNO's billing system with temporary subscriber file and mediation.</w:t>
            </w:r>
          </w:p>
        </w:tc>
        <w:tc>
          <w:tcPr>
            <w:tcW w:w="3054" w:type="dxa"/>
            <w:tcBorders>
              <w:top w:val="single" w:sz="4" w:space="0" w:color="000000"/>
              <w:left w:val="single" w:sz="4" w:space="0" w:color="000000"/>
              <w:bottom w:val="single" w:sz="4" w:space="0" w:color="000000"/>
              <w:right w:val="single" w:sz="8" w:space="0" w:color="000000"/>
            </w:tcBorders>
          </w:tcPr>
          <w:p w14:paraId="05B9CE77" w14:textId="77777777" w:rsidR="000A7DF2" w:rsidRPr="00234CBB" w:rsidRDefault="000A7DF2" w:rsidP="00BC7EC7">
            <w:pPr>
              <w:pStyle w:val="Tabletext"/>
              <w:rPr>
                <w:lang w:val="en-US"/>
              </w:rPr>
            </w:pPr>
            <w:r w:rsidRPr="00234CBB">
              <w:rPr>
                <w:lang w:val="en-US"/>
              </w:rPr>
              <w:t xml:space="preserve">Little or no extra over domestic. </w:t>
            </w:r>
          </w:p>
          <w:p w14:paraId="44326740" w14:textId="77777777" w:rsidR="000A7DF2" w:rsidRPr="00234CBB" w:rsidRDefault="000A7DF2" w:rsidP="00BC7EC7">
            <w:pPr>
              <w:pStyle w:val="Tabletext"/>
              <w:rPr>
                <w:lang w:val="en-US"/>
              </w:rPr>
            </w:pPr>
            <w:r w:rsidRPr="00234CBB">
              <w:rPr>
                <w:lang w:val="en-US"/>
              </w:rPr>
              <w:t>Also extra volume reduces cost per call transaction.</w:t>
            </w:r>
          </w:p>
        </w:tc>
      </w:tr>
      <w:tr w:rsidR="000A7DF2" w:rsidRPr="001032A3" w14:paraId="41C6CE7D" w14:textId="77777777">
        <w:trPr>
          <w:trHeight w:val="1125"/>
        </w:trPr>
        <w:tc>
          <w:tcPr>
            <w:tcW w:w="3144" w:type="dxa"/>
            <w:tcBorders>
              <w:top w:val="single" w:sz="4" w:space="0" w:color="000000"/>
              <w:left w:val="single" w:sz="8" w:space="0" w:color="000000"/>
              <w:bottom w:val="single" w:sz="4" w:space="0" w:color="000000"/>
            </w:tcBorders>
          </w:tcPr>
          <w:p w14:paraId="5EB2B185" w14:textId="77777777" w:rsidR="000A7DF2" w:rsidRPr="00AB13A9" w:rsidRDefault="000A7DF2" w:rsidP="00AB13A9">
            <w:pPr>
              <w:pStyle w:val="Tabletext"/>
              <w:rPr>
                <w:lang w:val="en-US"/>
              </w:rPr>
            </w:pPr>
            <w:r w:rsidRPr="00AB13A9">
              <w:rPr>
                <w:lang w:val="en-US"/>
              </w:rPr>
              <w:t>4</w:t>
            </w:r>
            <w:r w:rsidR="00AB13A9" w:rsidRPr="00AB13A9">
              <w:rPr>
                <w:lang w:val="en-US"/>
              </w:rPr>
              <w:t>)</w:t>
            </w:r>
            <w:r w:rsidRPr="00AB13A9">
              <w:rPr>
                <w:lang w:val="en-US"/>
              </w:rPr>
              <w:t xml:space="preserve"> Visited MNO BSS and billing system – makes wholesale charge to home MNO – via TAP file – under IOT agreement for the call, with conditions applied – e.g. on time and length of call using a pre-set rating involving billing engine and mediation platform. </w:t>
            </w:r>
          </w:p>
        </w:tc>
        <w:tc>
          <w:tcPr>
            <w:tcW w:w="3139" w:type="dxa"/>
            <w:tcBorders>
              <w:top w:val="single" w:sz="4" w:space="0" w:color="000000"/>
              <w:left w:val="single" w:sz="4" w:space="0" w:color="000000"/>
              <w:bottom w:val="single" w:sz="4" w:space="0" w:color="000000"/>
            </w:tcBorders>
          </w:tcPr>
          <w:p w14:paraId="08513441" w14:textId="77777777" w:rsidR="000A7DF2" w:rsidRPr="00234CBB" w:rsidRDefault="000A7DF2" w:rsidP="00BC7EC7">
            <w:pPr>
              <w:pStyle w:val="Tabletext"/>
              <w:rPr>
                <w:lang w:val="en-US"/>
              </w:rPr>
            </w:pPr>
            <w:r w:rsidRPr="00234CBB">
              <w:rPr>
                <w:lang w:val="en-US"/>
              </w:rPr>
              <w:t>Generation of TAP file under IOT policy rules.</w:t>
            </w:r>
          </w:p>
          <w:p w14:paraId="2E4E5B89" w14:textId="77777777" w:rsidR="000A7DF2" w:rsidRPr="00234CBB" w:rsidRDefault="000A7DF2" w:rsidP="00BC7EC7">
            <w:pPr>
              <w:pStyle w:val="Tabletext"/>
              <w:rPr>
                <w:lang w:val="en-US"/>
              </w:rPr>
            </w:pPr>
            <w:r w:rsidRPr="00234CBB">
              <w:rPr>
                <w:lang w:val="en-US"/>
              </w:rPr>
              <w:t>Possible use of EDI system for exchange of IOT data in TAP file.</w:t>
            </w:r>
          </w:p>
          <w:p w14:paraId="0F1A59E9" w14:textId="77777777" w:rsidR="000A7DF2" w:rsidRPr="00234CBB" w:rsidRDefault="000A7DF2" w:rsidP="00BC7EC7">
            <w:pPr>
              <w:pStyle w:val="Tabletext"/>
              <w:rPr>
                <w:lang w:val="en-US"/>
              </w:rPr>
            </w:pPr>
          </w:p>
        </w:tc>
        <w:tc>
          <w:tcPr>
            <w:tcW w:w="3054" w:type="dxa"/>
            <w:tcBorders>
              <w:top w:val="single" w:sz="4" w:space="0" w:color="000000"/>
              <w:left w:val="single" w:sz="4" w:space="0" w:color="000000"/>
              <w:bottom w:val="single" w:sz="4" w:space="0" w:color="000000"/>
              <w:right w:val="single" w:sz="8" w:space="0" w:color="000000"/>
            </w:tcBorders>
          </w:tcPr>
          <w:p w14:paraId="00F7E989" w14:textId="77777777" w:rsidR="000A7DF2" w:rsidRPr="00234CBB" w:rsidRDefault="000A7DF2" w:rsidP="00BC7EC7">
            <w:pPr>
              <w:pStyle w:val="Tabletext"/>
              <w:rPr>
                <w:lang w:val="en-US"/>
              </w:rPr>
            </w:pPr>
            <w:r w:rsidRPr="00234CBB">
              <w:rPr>
                <w:lang w:val="en-US"/>
              </w:rPr>
              <w:t>&lt; 5% extra for billing and other BSS over domestic in assets and operations; cost/visiting subscriber varies with roaming numbers: reduces with volume.</w:t>
            </w:r>
          </w:p>
        </w:tc>
      </w:tr>
      <w:tr w:rsidR="000A7DF2" w:rsidRPr="001032A3" w14:paraId="2C78B8F5" w14:textId="77777777">
        <w:trPr>
          <w:trHeight w:val="420"/>
        </w:trPr>
        <w:tc>
          <w:tcPr>
            <w:tcW w:w="3144" w:type="dxa"/>
            <w:tcBorders>
              <w:top w:val="single" w:sz="4" w:space="0" w:color="000000"/>
              <w:left w:val="single" w:sz="8" w:space="0" w:color="000000"/>
              <w:bottom w:val="single" w:sz="4" w:space="0" w:color="000000"/>
            </w:tcBorders>
          </w:tcPr>
          <w:p w14:paraId="02EC6137" w14:textId="77777777" w:rsidR="000A7DF2" w:rsidRPr="00AB13A9" w:rsidRDefault="000A7DF2" w:rsidP="00AB13A9">
            <w:pPr>
              <w:pStyle w:val="Tabletext"/>
              <w:rPr>
                <w:lang w:val="en-US"/>
              </w:rPr>
            </w:pPr>
            <w:r w:rsidRPr="00AB13A9">
              <w:rPr>
                <w:lang w:val="en-US"/>
              </w:rPr>
              <w:t>5</w:t>
            </w:r>
            <w:r w:rsidR="00AB13A9" w:rsidRPr="00AB13A9">
              <w:rPr>
                <w:lang w:val="en-US"/>
              </w:rPr>
              <w:t>)</w:t>
            </w:r>
            <w:r w:rsidRPr="00AB13A9">
              <w:rPr>
                <w:lang w:val="en-US"/>
              </w:rPr>
              <w:t xml:space="preserve"> Home MNO BSS billing system calculates subscriber charges.</w:t>
            </w:r>
          </w:p>
        </w:tc>
        <w:tc>
          <w:tcPr>
            <w:tcW w:w="3139" w:type="dxa"/>
            <w:tcBorders>
              <w:top w:val="single" w:sz="4" w:space="0" w:color="000000"/>
              <w:left w:val="single" w:sz="4" w:space="0" w:color="000000"/>
              <w:bottom w:val="single" w:sz="4" w:space="0" w:color="000000"/>
            </w:tcBorders>
          </w:tcPr>
          <w:p w14:paraId="415A24B7" w14:textId="77777777" w:rsidR="000A7DF2" w:rsidRPr="00234CBB" w:rsidRDefault="000A7DF2" w:rsidP="00BC7EC7">
            <w:pPr>
              <w:pStyle w:val="Tabletext"/>
              <w:rPr>
                <w:lang w:val="en-US"/>
              </w:rPr>
            </w:pPr>
            <w:r w:rsidRPr="00234CBB">
              <w:rPr>
                <w:lang w:val="en-US"/>
              </w:rPr>
              <w:t>Home MNO billing system using roaming rates and TAP file.</w:t>
            </w:r>
          </w:p>
        </w:tc>
        <w:tc>
          <w:tcPr>
            <w:tcW w:w="3054" w:type="dxa"/>
            <w:tcBorders>
              <w:top w:val="single" w:sz="4" w:space="0" w:color="000000"/>
              <w:left w:val="single" w:sz="4" w:space="0" w:color="000000"/>
              <w:bottom w:val="single" w:sz="4" w:space="0" w:color="000000"/>
              <w:right w:val="single" w:sz="8" w:space="0" w:color="000000"/>
            </w:tcBorders>
          </w:tcPr>
          <w:p w14:paraId="3A3F60FE" w14:textId="77777777" w:rsidR="000A7DF2" w:rsidRPr="00234CBB" w:rsidRDefault="000A7DF2" w:rsidP="00BC7EC7">
            <w:pPr>
              <w:pStyle w:val="Tabletext"/>
              <w:rPr>
                <w:lang w:val="en-US"/>
              </w:rPr>
            </w:pPr>
            <w:r w:rsidRPr="00234CBB">
              <w:rPr>
                <w:lang w:val="en-US"/>
              </w:rPr>
              <w:t>&lt; 5% extra costs for billing system added features.</w:t>
            </w:r>
          </w:p>
        </w:tc>
      </w:tr>
      <w:tr w:rsidR="000A7DF2" w:rsidRPr="001032A3" w14:paraId="248253E0" w14:textId="77777777">
        <w:trPr>
          <w:trHeight w:val="345"/>
        </w:trPr>
        <w:tc>
          <w:tcPr>
            <w:tcW w:w="3144" w:type="dxa"/>
            <w:tcBorders>
              <w:top w:val="single" w:sz="4" w:space="0" w:color="000000"/>
              <w:left w:val="single" w:sz="8" w:space="0" w:color="000000"/>
              <w:bottom w:val="single" w:sz="8" w:space="0" w:color="000000"/>
            </w:tcBorders>
          </w:tcPr>
          <w:p w14:paraId="2E5C49D3" w14:textId="77777777" w:rsidR="000A7DF2" w:rsidRPr="00AB13A9" w:rsidRDefault="000A7DF2" w:rsidP="00AB13A9">
            <w:pPr>
              <w:pStyle w:val="Tabletext"/>
              <w:rPr>
                <w:lang w:val="en-US"/>
              </w:rPr>
            </w:pPr>
            <w:r w:rsidRPr="00AB13A9">
              <w:rPr>
                <w:lang w:val="en-US"/>
              </w:rPr>
              <w:t>6</w:t>
            </w:r>
            <w:r w:rsidR="00AB13A9" w:rsidRPr="00AB13A9">
              <w:rPr>
                <w:lang w:val="en-US"/>
              </w:rPr>
              <w:t>)</w:t>
            </w:r>
            <w:r w:rsidRPr="00AB13A9">
              <w:rPr>
                <w:lang w:val="en-US"/>
              </w:rPr>
              <w:t xml:space="preserve"> </w:t>
            </w:r>
            <w:r w:rsidRPr="004D2B38">
              <w:rPr>
                <w:spacing w:val="-2"/>
                <w:lang w:val="en-US"/>
              </w:rPr>
              <w:t>Home MNO BSS billing system: makes retail charge to subscriber for the call – either debits prepaid credit file or adds charge to postpaid contract, in each case with appropriate mark-up.</w:t>
            </w:r>
          </w:p>
        </w:tc>
        <w:tc>
          <w:tcPr>
            <w:tcW w:w="3139" w:type="dxa"/>
            <w:tcBorders>
              <w:top w:val="single" w:sz="4" w:space="0" w:color="000000"/>
              <w:left w:val="single" w:sz="4" w:space="0" w:color="000000"/>
              <w:bottom w:val="single" w:sz="8" w:space="0" w:color="000000"/>
            </w:tcBorders>
          </w:tcPr>
          <w:p w14:paraId="2588EDAF" w14:textId="77777777" w:rsidR="000A7DF2" w:rsidRPr="001032A3" w:rsidRDefault="000A7DF2" w:rsidP="00BC7EC7">
            <w:pPr>
              <w:pStyle w:val="Tabletext"/>
            </w:pPr>
            <w:r w:rsidRPr="001032A3">
              <w:t xml:space="preserve">Home MNO </w:t>
            </w:r>
            <w:r>
              <w:t>b</w:t>
            </w:r>
            <w:r w:rsidRPr="001032A3">
              <w:t>illing system</w:t>
            </w:r>
            <w:r>
              <w:t>.</w:t>
            </w:r>
          </w:p>
        </w:tc>
        <w:tc>
          <w:tcPr>
            <w:tcW w:w="3054" w:type="dxa"/>
            <w:tcBorders>
              <w:top w:val="single" w:sz="4" w:space="0" w:color="000000"/>
              <w:left w:val="single" w:sz="4" w:space="0" w:color="000000"/>
              <w:bottom w:val="single" w:sz="8" w:space="0" w:color="000000"/>
              <w:right w:val="single" w:sz="8" w:space="0" w:color="000000"/>
            </w:tcBorders>
          </w:tcPr>
          <w:p w14:paraId="111317BC" w14:textId="77777777" w:rsidR="000A7DF2" w:rsidRPr="001032A3" w:rsidRDefault="000A7DF2" w:rsidP="00BC7EC7">
            <w:pPr>
              <w:pStyle w:val="Tabletext"/>
            </w:pPr>
            <w:r w:rsidRPr="001032A3">
              <w:t>No extra cost</w:t>
            </w:r>
            <w:r>
              <w:t>.</w:t>
            </w:r>
          </w:p>
        </w:tc>
      </w:tr>
    </w:tbl>
    <w:p w14:paraId="36D88447" w14:textId="77777777" w:rsidR="000A7DF2" w:rsidRPr="001032A3" w:rsidRDefault="000A7DF2" w:rsidP="000A7DF2">
      <w:pPr>
        <w:autoSpaceDE w:val="0"/>
        <w:spacing w:after="120"/>
      </w:pPr>
      <w:r w:rsidRPr="001032A3">
        <w:lastRenderedPageBreak/>
        <w:t>Note that each of the steps above will involve the three elements of:</w:t>
      </w:r>
    </w:p>
    <w:p w14:paraId="2B5771B5" w14:textId="77777777" w:rsidR="000A7DF2" w:rsidRPr="001032A3" w:rsidRDefault="00BC7EC7" w:rsidP="00BC7EC7">
      <w:pPr>
        <w:pStyle w:val="enumlev1"/>
      </w:pPr>
      <w:r>
        <w:t>•</w:t>
      </w:r>
      <w:r>
        <w:tab/>
      </w:r>
      <w:r w:rsidR="000A7DF2" w:rsidRPr="001032A3">
        <w:t>Staff costs of handling extra call volumes and of the roaming business processes</w:t>
      </w:r>
      <w:r w:rsidR="000A7DF2">
        <w:t>.</w:t>
      </w:r>
    </w:p>
    <w:p w14:paraId="54B20565" w14:textId="77777777" w:rsidR="000A7DF2" w:rsidRPr="001032A3" w:rsidRDefault="00BC7EC7" w:rsidP="00BC7EC7">
      <w:pPr>
        <w:pStyle w:val="enumlev1"/>
      </w:pPr>
      <w:r>
        <w:t>•</w:t>
      </w:r>
      <w:r>
        <w:tab/>
      </w:r>
      <w:r w:rsidR="000A7DF2" w:rsidRPr="001032A3">
        <w:t>Network elements, both hardware and software, including additional capacity for greater calling volume, including extra effort and systems in NOCs</w:t>
      </w:r>
      <w:r w:rsidR="000A7DF2">
        <w:t>.</w:t>
      </w:r>
    </w:p>
    <w:p w14:paraId="4C85C8F6" w14:textId="77777777" w:rsidR="000A7DF2" w:rsidRPr="001032A3" w:rsidRDefault="00BC7EC7" w:rsidP="00BC7EC7">
      <w:pPr>
        <w:pStyle w:val="enumlev1"/>
      </w:pPr>
      <w:r>
        <w:t>•</w:t>
      </w:r>
      <w:r>
        <w:tab/>
      </w:r>
      <w:r w:rsidR="000A7DF2" w:rsidRPr="001032A3">
        <w:t xml:space="preserve">Extra software for billing and customer care, with the IT infrastructure such as extensions to data centres and/or IT support systems including call centres. </w:t>
      </w:r>
    </w:p>
    <w:p w14:paraId="437B53F8" w14:textId="77777777" w:rsidR="000A7DF2" w:rsidRPr="001032A3" w:rsidRDefault="000A7DF2" w:rsidP="00EF1563">
      <w:pPr>
        <w:autoSpaceDE w:val="0"/>
        <w:spacing w:after="120"/>
      </w:pPr>
      <w:r w:rsidRPr="001032A3">
        <w:t xml:space="preserve">The assets and their costs as shown are only examples that must be verified using MNO accounts collected by an NRA questionnaire survey, with actual </w:t>
      </w:r>
      <w:r>
        <w:t>o</w:t>
      </w:r>
      <w:r w:rsidRPr="001032A3">
        <w:t xml:space="preserve">pex and </w:t>
      </w:r>
      <w:r>
        <w:t>c</w:t>
      </w:r>
      <w:r w:rsidRPr="001032A3">
        <w:t xml:space="preserve">apex costs. A further example for the second use case is shown </w:t>
      </w:r>
      <w:r>
        <w:t>in Table 5</w:t>
      </w:r>
      <w:r w:rsidRPr="001032A3">
        <w:t>:</w:t>
      </w:r>
    </w:p>
    <w:p w14:paraId="6D511952" w14:textId="77777777" w:rsidR="000A7DF2" w:rsidRPr="001032A3" w:rsidRDefault="000A7DF2" w:rsidP="00BC7EC7">
      <w:pPr>
        <w:pStyle w:val="Tabletitle"/>
      </w:pPr>
      <w:r w:rsidRPr="001032A3">
        <w:t xml:space="preserve">Table </w:t>
      </w:r>
      <w:r>
        <w:t>5</w:t>
      </w:r>
      <w:r w:rsidRPr="001032A3">
        <w:t xml:space="preserve"> </w:t>
      </w:r>
      <w:r>
        <w:t xml:space="preserve">– </w:t>
      </w:r>
      <w:r w:rsidRPr="001032A3">
        <w:t>Use case 2A – Calling home</w:t>
      </w:r>
      <w:r>
        <w:t>:</w:t>
      </w:r>
      <w:r w:rsidRPr="001032A3">
        <w:t xml:space="preserve"> Example of </w:t>
      </w:r>
      <w:r>
        <w:t xml:space="preserve">voice </w:t>
      </w:r>
      <w:r w:rsidRPr="001032A3">
        <w:t>roaming assets and their extra costs</w:t>
      </w:r>
    </w:p>
    <w:tbl>
      <w:tblPr>
        <w:tblW w:w="9351" w:type="dxa"/>
        <w:tblInd w:w="76" w:type="dxa"/>
        <w:tblLayout w:type="fixed"/>
        <w:tblCellMar>
          <w:left w:w="62" w:type="dxa"/>
          <w:right w:w="62" w:type="dxa"/>
        </w:tblCellMar>
        <w:tblLook w:val="0000" w:firstRow="0" w:lastRow="0" w:firstColumn="0" w:lastColumn="0" w:noHBand="0" w:noVBand="0"/>
      </w:tblPr>
      <w:tblGrid>
        <w:gridCol w:w="3125"/>
        <w:gridCol w:w="3330"/>
        <w:gridCol w:w="2896"/>
      </w:tblGrid>
      <w:tr w:rsidR="000A7DF2" w:rsidRPr="001032A3" w14:paraId="1DDF3AFF" w14:textId="77777777">
        <w:trPr>
          <w:trHeight w:val="675"/>
        </w:trPr>
        <w:tc>
          <w:tcPr>
            <w:tcW w:w="3125" w:type="dxa"/>
            <w:tcBorders>
              <w:top w:val="single" w:sz="8" w:space="0" w:color="000000"/>
              <w:left w:val="single" w:sz="8" w:space="0" w:color="000000"/>
              <w:bottom w:val="single" w:sz="4" w:space="0" w:color="000000"/>
            </w:tcBorders>
            <w:shd w:val="clear" w:color="auto" w:fill="FFFFFF" w:themeFill="background1"/>
          </w:tcPr>
          <w:p w14:paraId="5B4562E3" w14:textId="77777777" w:rsidR="000A7DF2" w:rsidRPr="001032A3" w:rsidRDefault="000A7DF2" w:rsidP="00BC7EC7">
            <w:pPr>
              <w:pStyle w:val="Tablehead"/>
            </w:pPr>
            <w:r w:rsidRPr="001032A3">
              <w:t>Use case 2A</w:t>
            </w:r>
            <w:r>
              <w:t>:</w:t>
            </w:r>
            <w:r w:rsidRPr="001032A3">
              <w:t xml:space="preserve"> Activity</w:t>
            </w:r>
          </w:p>
        </w:tc>
        <w:tc>
          <w:tcPr>
            <w:tcW w:w="3330" w:type="dxa"/>
            <w:tcBorders>
              <w:top w:val="single" w:sz="8" w:space="0" w:color="000000"/>
              <w:left w:val="single" w:sz="4" w:space="0" w:color="000000"/>
              <w:bottom w:val="single" w:sz="4" w:space="0" w:color="000000"/>
            </w:tcBorders>
            <w:shd w:val="clear" w:color="auto" w:fill="FFFFFF" w:themeFill="background1"/>
          </w:tcPr>
          <w:p w14:paraId="0FEF814C" w14:textId="77777777" w:rsidR="000A7DF2" w:rsidRPr="001032A3" w:rsidRDefault="000A7DF2" w:rsidP="00BC7EC7">
            <w:pPr>
              <w:pStyle w:val="Tablehead"/>
            </w:pPr>
            <w:r w:rsidRPr="001032A3">
              <w:t xml:space="preserve">Assets – to be verified from NRA questionnaire with MNOs, with actual </w:t>
            </w:r>
            <w:r>
              <w:t>opex</w:t>
            </w:r>
            <w:r w:rsidRPr="001032A3">
              <w:t xml:space="preserve"> and </w:t>
            </w:r>
            <w:r>
              <w:t>c</w:t>
            </w:r>
            <w:r w:rsidRPr="001032A3">
              <w:t>apex costs; includes staff, IT systems and ops centres</w:t>
            </w:r>
          </w:p>
        </w:tc>
        <w:tc>
          <w:tcPr>
            <w:tcW w:w="2896" w:type="dxa"/>
            <w:tcBorders>
              <w:top w:val="single" w:sz="8" w:space="0" w:color="000000"/>
              <w:left w:val="single" w:sz="4" w:space="0" w:color="000000"/>
              <w:bottom w:val="single" w:sz="4" w:space="0" w:color="000000"/>
              <w:right w:val="single" w:sz="8" w:space="0" w:color="000000"/>
            </w:tcBorders>
            <w:shd w:val="clear" w:color="auto" w:fill="FFFFFF" w:themeFill="background1"/>
          </w:tcPr>
          <w:p w14:paraId="72400A7C" w14:textId="77777777" w:rsidR="000A7DF2" w:rsidRPr="001032A3" w:rsidRDefault="000A7DF2" w:rsidP="00BC7EC7">
            <w:pPr>
              <w:pStyle w:val="Tablehead"/>
            </w:pPr>
            <w:r w:rsidRPr="001032A3">
              <w:t xml:space="preserve">Percentage extra on domestic load, capex </w:t>
            </w:r>
            <w:r>
              <w:t>and</w:t>
            </w:r>
            <w:r w:rsidRPr="001032A3">
              <w:t xml:space="preserve"> opex pa – (to be MNO verified) for all assets</w:t>
            </w:r>
            <w:r>
              <w:t xml:space="preserve"> – estimated approximations</w:t>
            </w:r>
          </w:p>
        </w:tc>
      </w:tr>
      <w:tr w:rsidR="000A7DF2" w:rsidRPr="001032A3" w14:paraId="29818A9A" w14:textId="77777777">
        <w:trPr>
          <w:trHeight w:val="330"/>
        </w:trPr>
        <w:tc>
          <w:tcPr>
            <w:tcW w:w="3125" w:type="dxa"/>
            <w:tcBorders>
              <w:top w:val="single" w:sz="4" w:space="0" w:color="000000"/>
              <w:left w:val="single" w:sz="8" w:space="0" w:color="000000"/>
              <w:bottom w:val="single" w:sz="4" w:space="0" w:color="000000"/>
            </w:tcBorders>
          </w:tcPr>
          <w:p w14:paraId="17E71D89" w14:textId="77777777" w:rsidR="000A7DF2" w:rsidRPr="00AB13A9" w:rsidRDefault="000A7DF2" w:rsidP="00AB13A9">
            <w:pPr>
              <w:pStyle w:val="Tabletext"/>
              <w:rPr>
                <w:lang w:val="en-US"/>
              </w:rPr>
            </w:pPr>
            <w:r w:rsidRPr="00AB13A9">
              <w:rPr>
                <w:lang w:val="en-US"/>
              </w:rPr>
              <w:t>1</w:t>
            </w:r>
            <w:r w:rsidR="00AB13A9" w:rsidRPr="00AB13A9">
              <w:rPr>
                <w:lang w:val="en-US"/>
              </w:rPr>
              <w:t>)</w:t>
            </w:r>
            <w:r w:rsidRPr="00AB13A9">
              <w:rPr>
                <w:lang w:val="en-US"/>
              </w:rPr>
              <w:t xml:space="preserve"> Visited network – receives request for call.</w:t>
            </w:r>
          </w:p>
        </w:tc>
        <w:tc>
          <w:tcPr>
            <w:tcW w:w="3330" w:type="dxa"/>
            <w:tcBorders>
              <w:top w:val="single" w:sz="4" w:space="0" w:color="000000"/>
              <w:left w:val="single" w:sz="4" w:space="0" w:color="000000"/>
              <w:bottom w:val="single" w:sz="4" w:space="0" w:color="000000"/>
            </w:tcBorders>
          </w:tcPr>
          <w:p w14:paraId="1864BC88" w14:textId="77777777" w:rsidR="000A7DF2" w:rsidRPr="001032A3" w:rsidRDefault="000A7DF2" w:rsidP="00BC7EC7">
            <w:pPr>
              <w:pStyle w:val="Tabletext"/>
            </w:pPr>
            <w:r w:rsidRPr="001032A3">
              <w:t>RAN, core network</w:t>
            </w:r>
            <w:r>
              <w:t>.</w:t>
            </w:r>
          </w:p>
        </w:tc>
        <w:tc>
          <w:tcPr>
            <w:tcW w:w="2896" w:type="dxa"/>
            <w:tcBorders>
              <w:top w:val="single" w:sz="4" w:space="0" w:color="000000"/>
              <w:left w:val="single" w:sz="4" w:space="0" w:color="000000"/>
              <w:bottom w:val="single" w:sz="4" w:space="0" w:color="000000"/>
              <w:right w:val="single" w:sz="8" w:space="0" w:color="000000"/>
            </w:tcBorders>
          </w:tcPr>
          <w:p w14:paraId="6BA163E0" w14:textId="77777777" w:rsidR="000A7DF2" w:rsidRPr="001032A3" w:rsidRDefault="000A7DF2" w:rsidP="00BC7EC7">
            <w:pPr>
              <w:pStyle w:val="Tabletext"/>
            </w:pPr>
            <w:r w:rsidRPr="001032A3">
              <w:t>No extra</w:t>
            </w:r>
            <w:r>
              <w:t xml:space="preserve"> cost.</w:t>
            </w:r>
          </w:p>
        </w:tc>
      </w:tr>
      <w:tr w:rsidR="000A7DF2" w:rsidRPr="001032A3" w14:paraId="0339B31B" w14:textId="77777777">
        <w:trPr>
          <w:trHeight w:val="945"/>
        </w:trPr>
        <w:tc>
          <w:tcPr>
            <w:tcW w:w="3125" w:type="dxa"/>
            <w:tcBorders>
              <w:top w:val="single" w:sz="4" w:space="0" w:color="000000"/>
              <w:left w:val="single" w:sz="8" w:space="0" w:color="000000"/>
              <w:bottom w:val="single" w:sz="4" w:space="0" w:color="000000"/>
            </w:tcBorders>
          </w:tcPr>
          <w:p w14:paraId="69AF0418" w14:textId="77777777" w:rsidR="000A7DF2" w:rsidRPr="00AB13A9" w:rsidRDefault="000A7DF2" w:rsidP="00BC7EC7">
            <w:pPr>
              <w:pStyle w:val="Tabletext"/>
              <w:rPr>
                <w:lang w:val="en-US"/>
              </w:rPr>
            </w:pPr>
            <w:r w:rsidRPr="00AB13A9">
              <w:rPr>
                <w:lang w:val="en-US"/>
              </w:rPr>
              <w:t>2</w:t>
            </w:r>
            <w:r w:rsidR="00AB13A9" w:rsidRPr="00AB13A9">
              <w:rPr>
                <w:lang w:val="en-US"/>
              </w:rPr>
              <w:t>)</w:t>
            </w:r>
            <w:r w:rsidRPr="00AB13A9">
              <w:rPr>
                <w:lang w:val="en-US"/>
              </w:rPr>
              <w:t xml:space="preserve"> Visited network – checks IMSI against VLR and destination and signals to BSS to set up charging, according to whether prepaid or postpaid and any limits and IOT conditions (e.g. one minute minimum, then by second).</w:t>
            </w:r>
          </w:p>
        </w:tc>
        <w:tc>
          <w:tcPr>
            <w:tcW w:w="3330" w:type="dxa"/>
            <w:tcBorders>
              <w:top w:val="single" w:sz="4" w:space="0" w:color="000000"/>
              <w:left w:val="single" w:sz="4" w:space="0" w:color="000000"/>
              <w:bottom w:val="single" w:sz="4" w:space="0" w:color="000000"/>
            </w:tcBorders>
          </w:tcPr>
          <w:p w14:paraId="7A3CF7DD" w14:textId="77777777" w:rsidR="000A7DF2" w:rsidRPr="00234CBB" w:rsidRDefault="000A7DF2" w:rsidP="00BC7EC7">
            <w:pPr>
              <w:pStyle w:val="Tabletext"/>
              <w:rPr>
                <w:lang w:val="en-US"/>
              </w:rPr>
            </w:pPr>
            <w:r w:rsidRPr="00234CBB">
              <w:rPr>
                <w:lang w:val="en-US"/>
              </w:rPr>
              <w:t>VLR.</w:t>
            </w:r>
          </w:p>
          <w:p w14:paraId="0FFDCFC0" w14:textId="77777777" w:rsidR="000A7DF2" w:rsidRPr="00234CBB" w:rsidRDefault="000A7DF2" w:rsidP="00BC7EC7">
            <w:pPr>
              <w:pStyle w:val="Tabletext"/>
              <w:rPr>
                <w:lang w:val="en-US"/>
              </w:rPr>
            </w:pPr>
            <w:r w:rsidRPr="00234CBB">
              <w:rPr>
                <w:lang w:val="en-US"/>
              </w:rPr>
              <w:t>Visited MNO mediation and billing systems.</w:t>
            </w:r>
          </w:p>
        </w:tc>
        <w:tc>
          <w:tcPr>
            <w:tcW w:w="2896" w:type="dxa"/>
            <w:tcBorders>
              <w:top w:val="single" w:sz="4" w:space="0" w:color="000000"/>
              <w:left w:val="single" w:sz="4" w:space="0" w:color="000000"/>
              <w:bottom w:val="single" w:sz="4" w:space="0" w:color="000000"/>
              <w:right w:val="single" w:sz="8" w:space="0" w:color="000000"/>
            </w:tcBorders>
          </w:tcPr>
          <w:p w14:paraId="1717B2F9" w14:textId="77777777" w:rsidR="000A7DF2" w:rsidRPr="001032A3" w:rsidRDefault="000A7DF2" w:rsidP="00BC7EC7">
            <w:pPr>
              <w:pStyle w:val="Tabletext"/>
            </w:pPr>
            <w:r w:rsidRPr="001032A3">
              <w:t>&lt;</w:t>
            </w:r>
            <w:r>
              <w:t xml:space="preserve"> </w:t>
            </w:r>
            <w:r w:rsidRPr="001032A3">
              <w:t>5% extra</w:t>
            </w:r>
            <w:r>
              <w:t xml:space="preserve"> costs.</w:t>
            </w:r>
          </w:p>
        </w:tc>
      </w:tr>
      <w:tr w:rsidR="000A7DF2" w:rsidRPr="001032A3" w14:paraId="4C0E2D7E" w14:textId="77777777">
        <w:trPr>
          <w:trHeight w:val="825"/>
        </w:trPr>
        <w:tc>
          <w:tcPr>
            <w:tcW w:w="3125" w:type="dxa"/>
            <w:tcBorders>
              <w:top w:val="single" w:sz="4" w:space="0" w:color="000000"/>
              <w:left w:val="single" w:sz="8" w:space="0" w:color="000000"/>
              <w:bottom w:val="single" w:sz="4" w:space="0" w:color="000000"/>
            </w:tcBorders>
          </w:tcPr>
          <w:p w14:paraId="5798D292" w14:textId="77777777" w:rsidR="000A7DF2" w:rsidRPr="00AB13A9" w:rsidRDefault="000A7DF2" w:rsidP="00AB13A9">
            <w:pPr>
              <w:pStyle w:val="Tabletext"/>
              <w:rPr>
                <w:lang w:val="en-US"/>
              </w:rPr>
            </w:pPr>
            <w:r w:rsidRPr="00AB13A9">
              <w:rPr>
                <w:lang w:val="en-US"/>
              </w:rPr>
              <w:t>3</w:t>
            </w:r>
            <w:r w:rsidR="00AB13A9" w:rsidRPr="00AB13A9">
              <w:rPr>
                <w:lang w:val="en-US"/>
              </w:rPr>
              <w:t>)</w:t>
            </w:r>
            <w:r w:rsidRPr="00AB13A9">
              <w:rPr>
                <w:lang w:val="en-US"/>
              </w:rPr>
              <w:t xml:space="preserve"> Visited network – routes call and then accumulates CDRs for subsequent mediation processes at international wholesale level with fraud and limits checking.</w:t>
            </w:r>
          </w:p>
        </w:tc>
        <w:tc>
          <w:tcPr>
            <w:tcW w:w="3330" w:type="dxa"/>
            <w:tcBorders>
              <w:top w:val="single" w:sz="4" w:space="0" w:color="000000"/>
              <w:left w:val="single" w:sz="4" w:space="0" w:color="000000"/>
              <w:bottom w:val="single" w:sz="4" w:space="0" w:color="000000"/>
            </w:tcBorders>
          </w:tcPr>
          <w:p w14:paraId="1CD31AFD" w14:textId="77777777" w:rsidR="000A7DF2" w:rsidRPr="00234CBB" w:rsidRDefault="000A7DF2" w:rsidP="00BC7EC7">
            <w:pPr>
              <w:pStyle w:val="Tabletext"/>
              <w:rPr>
                <w:lang w:val="en-US"/>
              </w:rPr>
            </w:pPr>
            <w:r w:rsidRPr="00234CBB">
              <w:rPr>
                <w:lang w:val="en-US"/>
              </w:rPr>
              <w:t>Visited core and RAN network.</w:t>
            </w:r>
          </w:p>
          <w:p w14:paraId="69BF0E42" w14:textId="77777777" w:rsidR="000A7DF2" w:rsidRPr="00234CBB" w:rsidRDefault="000A7DF2" w:rsidP="00BC7EC7">
            <w:pPr>
              <w:pStyle w:val="Tabletext"/>
              <w:rPr>
                <w:lang w:val="en-US"/>
              </w:rPr>
            </w:pPr>
            <w:r w:rsidRPr="00234CBB">
              <w:rPr>
                <w:lang w:val="en-US"/>
              </w:rPr>
              <w:t>Inter domestic call handover if off-net to fixed line or other local MNO.</w:t>
            </w:r>
          </w:p>
          <w:p w14:paraId="6192FC93" w14:textId="77777777" w:rsidR="000A7DF2" w:rsidRPr="00234CBB" w:rsidRDefault="000A7DF2" w:rsidP="00BC7EC7">
            <w:pPr>
              <w:pStyle w:val="Tabletext"/>
              <w:rPr>
                <w:lang w:val="en-US"/>
              </w:rPr>
            </w:pPr>
            <w:r w:rsidRPr="00234CBB">
              <w:rPr>
                <w:lang w:val="en-US"/>
              </w:rPr>
              <w:t>Visited MNO mediation and billing.</w:t>
            </w:r>
          </w:p>
        </w:tc>
        <w:tc>
          <w:tcPr>
            <w:tcW w:w="2896" w:type="dxa"/>
            <w:tcBorders>
              <w:top w:val="single" w:sz="4" w:space="0" w:color="000000"/>
              <w:left w:val="single" w:sz="4" w:space="0" w:color="000000"/>
              <w:bottom w:val="single" w:sz="4" w:space="0" w:color="000000"/>
              <w:right w:val="single" w:sz="8" w:space="0" w:color="000000"/>
            </w:tcBorders>
          </w:tcPr>
          <w:p w14:paraId="5EF0843E" w14:textId="77777777" w:rsidR="000A7DF2" w:rsidRPr="001032A3" w:rsidRDefault="000A7DF2" w:rsidP="00BC7EC7">
            <w:pPr>
              <w:pStyle w:val="Tabletext"/>
            </w:pPr>
            <w:r w:rsidRPr="001032A3">
              <w:t>&lt;</w:t>
            </w:r>
            <w:r>
              <w:t xml:space="preserve"> </w:t>
            </w:r>
            <w:r w:rsidRPr="001032A3">
              <w:t>5% extra</w:t>
            </w:r>
            <w:r>
              <w:t xml:space="preserve"> costs.</w:t>
            </w:r>
          </w:p>
        </w:tc>
      </w:tr>
      <w:tr w:rsidR="000A7DF2" w:rsidRPr="001032A3" w14:paraId="0D2E4277" w14:textId="77777777">
        <w:trPr>
          <w:trHeight w:val="765"/>
        </w:trPr>
        <w:tc>
          <w:tcPr>
            <w:tcW w:w="3125" w:type="dxa"/>
            <w:tcBorders>
              <w:top w:val="single" w:sz="4" w:space="0" w:color="000000"/>
              <w:left w:val="single" w:sz="8" w:space="0" w:color="000000"/>
              <w:bottom w:val="single" w:sz="4" w:space="0" w:color="000000"/>
            </w:tcBorders>
          </w:tcPr>
          <w:p w14:paraId="56F414FC" w14:textId="77777777" w:rsidR="000A7DF2" w:rsidRPr="00AB13A9" w:rsidRDefault="000A7DF2" w:rsidP="00AB13A9">
            <w:pPr>
              <w:pStyle w:val="Tabletext"/>
              <w:rPr>
                <w:lang w:val="en-US"/>
              </w:rPr>
            </w:pPr>
            <w:r w:rsidRPr="00AB13A9">
              <w:rPr>
                <w:lang w:val="en-US"/>
              </w:rPr>
              <w:t>4</w:t>
            </w:r>
            <w:r w:rsidR="00AB13A9" w:rsidRPr="00AB13A9">
              <w:rPr>
                <w:lang w:val="en-US"/>
              </w:rPr>
              <w:t>)</w:t>
            </w:r>
            <w:r w:rsidRPr="00AB13A9">
              <w:rPr>
                <w:lang w:val="en-US"/>
              </w:rPr>
              <w:t xml:space="preserve"> Home network receives call via international gateway – either direct from the visited MNO, or via an intermediate fixed line LD carrier, traced via CAMEL application.</w:t>
            </w:r>
          </w:p>
        </w:tc>
        <w:tc>
          <w:tcPr>
            <w:tcW w:w="3330" w:type="dxa"/>
            <w:tcBorders>
              <w:top w:val="single" w:sz="4" w:space="0" w:color="000000"/>
              <w:left w:val="single" w:sz="4" w:space="0" w:color="000000"/>
              <w:bottom w:val="single" w:sz="4" w:space="0" w:color="000000"/>
            </w:tcBorders>
          </w:tcPr>
          <w:p w14:paraId="6CD5FC0F" w14:textId="77777777" w:rsidR="000A7DF2" w:rsidRPr="00234CBB" w:rsidRDefault="000A7DF2" w:rsidP="00BC7EC7">
            <w:pPr>
              <w:pStyle w:val="Tabletext"/>
              <w:rPr>
                <w:lang w:val="en-US"/>
              </w:rPr>
            </w:pPr>
            <w:r w:rsidRPr="00234CBB">
              <w:rPr>
                <w:lang w:val="en-US"/>
              </w:rPr>
              <w:t>Visited core network.</w:t>
            </w:r>
          </w:p>
          <w:p w14:paraId="6833B698" w14:textId="77777777" w:rsidR="000A7DF2" w:rsidRPr="00234CBB" w:rsidRDefault="000A7DF2" w:rsidP="00BC7EC7">
            <w:pPr>
              <w:pStyle w:val="Tabletext"/>
              <w:rPr>
                <w:lang w:val="en-US"/>
              </w:rPr>
            </w:pPr>
            <w:r w:rsidRPr="00234CBB">
              <w:rPr>
                <w:lang w:val="en-US"/>
              </w:rPr>
              <w:t>International gateways for home and visited network; LD international carrier.</w:t>
            </w:r>
          </w:p>
        </w:tc>
        <w:tc>
          <w:tcPr>
            <w:tcW w:w="2896" w:type="dxa"/>
            <w:tcBorders>
              <w:top w:val="single" w:sz="4" w:space="0" w:color="000000"/>
              <w:left w:val="single" w:sz="4" w:space="0" w:color="000000"/>
              <w:bottom w:val="single" w:sz="4" w:space="0" w:color="000000"/>
              <w:right w:val="single" w:sz="8" w:space="0" w:color="000000"/>
            </w:tcBorders>
          </w:tcPr>
          <w:p w14:paraId="22F0DBD5" w14:textId="77777777" w:rsidR="000A7DF2" w:rsidRPr="00234CBB" w:rsidRDefault="000A7DF2" w:rsidP="00BC7EC7">
            <w:pPr>
              <w:pStyle w:val="Tabletext"/>
              <w:rPr>
                <w:lang w:val="en-US"/>
              </w:rPr>
            </w:pPr>
            <w:r w:rsidRPr="00234CBB">
              <w:rPr>
                <w:lang w:val="en-US"/>
              </w:rPr>
              <w:t>&lt; 10% with LD carrier, else &lt; 5% depending on volume tariffs agreed for international calls.</w:t>
            </w:r>
          </w:p>
        </w:tc>
      </w:tr>
      <w:tr w:rsidR="000A7DF2" w:rsidRPr="001032A3" w14:paraId="08A8DD1D" w14:textId="77777777">
        <w:trPr>
          <w:trHeight w:val="930"/>
        </w:trPr>
        <w:tc>
          <w:tcPr>
            <w:tcW w:w="3125" w:type="dxa"/>
            <w:tcBorders>
              <w:top w:val="single" w:sz="4" w:space="0" w:color="000000"/>
              <w:left w:val="single" w:sz="8" w:space="0" w:color="000000"/>
              <w:bottom w:val="single" w:sz="4" w:space="0" w:color="000000"/>
            </w:tcBorders>
          </w:tcPr>
          <w:p w14:paraId="42B878AA" w14:textId="77777777" w:rsidR="000A7DF2" w:rsidRPr="00AB13A9" w:rsidRDefault="000A7DF2" w:rsidP="00AB13A9">
            <w:pPr>
              <w:pStyle w:val="Tabletext"/>
              <w:rPr>
                <w:lang w:val="en-US"/>
              </w:rPr>
            </w:pPr>
            <w:r w:rsidRPr="00AB13A9">
              <w:rPr>
                <w:lang w:val="en-US"/>
              </w:rPr>
              <w:t>5</w:t>
            </w:r>
            <w:r w:rsidR="00AB13A9" w:rsidRPr="00AB13A9">
              <w:rPr>
                <w:lang w:val="en-US"/>
              </w:rPr>
              <w:t>)</w:t>
            </w:r>
            <w:r w:rsidRPr="00AB13A9">
              <w:rPr>
                <w:lang w:val="en-US"/>
              </w:rPr>
              <w:t xml:space="preserve"> Visited MNO BSS billing system – makes wholesale charge to home MNO – via TAP file – under IOT agreement for the call, with conditions applied – e.g. on time and length of call using a pre-set rating and any LD charges.</w:t>
            </w:r>
          </w:p>
        </w:tc>
        <w:tc>
          <w:tcPr>
            <w:tcW w:w="3330" w:type="dxa"/>
            <w:tcBorders>
              <w:top w:val="single" w:sz="4" w:space="0" w:color="000000"/>
              <w:left w:val="single" w:sz="4" w:space="0" w:color="000000"/>
              <w:bottom w:val="single" w:sz="4" w:space="0" w:color="000000"/>
            </w:tcBorders>
          </w:tcPr>
          <w:p w14:paraId="39F9FCC2" w14:textId="77777777" w:rsidR="000A7DF2" w:rsidRPr="00234CBB" w:rsidRDefault="000A7DF2" w:rsidP="00BC7EC7">
            <w:pPr>
              <w:pStyle w:val="Tabletext"/>
              <w:rPr>
                <w:lang w:val="en-US"/>
              </w:rPr>
            </w:pPr>
            <w:r w:rsidRPr="00234CBB">
              <w:rPr>
                <w:lang w:val="en-US"/>
              </w:rPr>
              <w:t>Visited MNO mediation and billing.</w:t>
            </w:r>
          </w:p>
          <w:p w14:paraId="466260A3" w14:textId="77777777" w:rsidR="000A7DF2" w:rsidRPr="00234CBB" w:rsidRDefault="000A7DF2" w:rsidP="00BC7EC7">
            <w:pPr>
              <w:pStyle w:val="Tabletext"/>
              <w:rPr>
                <w:lang w:val="en-US"/>
              </w:rPr>
            </w:pPr>
            <w:r w:rsidRPr="00234CBB">
              <w:rPr>
                <w:lang w:val="en-US"/>
              </w:rPr>
              <w:t>Generation of TAP file under IOT policy rules.</w:t>
            </w:r>
          </w:p>
          <w:p w14:paraId="472235F7" w14:textId="77777777" w:rsidR="000A7DF2" w:rsidRPr="00234CBB" w:rsidRDefault="000A7DF2" w:rsidP="00BC7EC7">
            <w:pPr>
              <w:pStyle w:val="Tabletext"/>
              <w:rPr>
                <w:lang w:val="en-US"/>
              </w:rPr>
            </w:pPr>
            <w:r w:rsidRPr="00234CBB">
              <w:rPr>
                <w:lang w:val="en-US"/>
              </w:rPr>
              <w:t>Possible use of EDI system for exchange of IOT data in TAP file.</w:t>
            </w:r>
          </w:p>
        </w:tc>
        <w:tc>
          <w:tcPr>
            <w:tcW w:w="2896" w:type="dxa"/>
            <w:tcBorders>
              <w:top w:val="single" w:sz="4" w:space="0" w:color="000000"/>
              <w:left w:val="single" w:sz="4" w:space="0" w:color="000000"/>
              <w:bottom w:val="single" w:sz="4" w:space="0" w:color="000000"/>
              <w:right w:val="single" w:sz="8" w:space="0" w:color="000000"/>
            </w:tcBorders>
          </w:tcPr>
          <w:p w14:paraId="067D1C07" w14:textId="77777777" w:rsidR="000A7DF2" w:rsidRPr="001032A3" w:rsidRDefault="000A7DF2" w:rsidP="00BC7EC7">
            <w:pPr>
              <w:pStyle w:val="Tabletext"/>
            </w:pPr>
            <w:r w:rsidRPr="001032A3">
              <w:t>&lt;</w:t>
            </w:r>
            <w:r>
              <w:t xml:space="preserve"> </w:t>
            </w:r>
            <w:r w:rsidRPr="001032A3">
              <w:t>5% extra</w:t>
            </w:r>
            <w:r>
              <w:t xml:space="preserve"> costs.</w:t>
            </w:r>
          </w:p>
        </w:tc>
      </w:tr>
      <w:tr w:rsidR="000A7DF2" w:rsidRPr="001032A3" w14:paraId="7D4B9759" w14:textId="77777777">
        <w:trPr>
          <w:trHeight w:val="540"/>
        </w:trPr>
        <w:tc>
          <w:tcPr>
            <w:tcW w:w="3125" w:type="dxa"/>
            <w:tcBorders>
              <w:top w:val="single" w:sz="4" w:space="0" w:color="000000"/>
              <w:left w:val="single" w:sz="8" w:space="0" w:color="000000"/>
              <w:bottom w:val="single" w:sz="4" w:space="0" w:color="000000"/>
            </w:tcBorders>
          </w:tcPr>
          <w:p w14:paraId="51374739" w14:textId="77777777" w:rsidR="000A7DF2" w:rsidRPr="00AB13A9" w:rsidRDefault="000A7DF2" w:rsidP="00AB13A9">
            <w:pPr>
              <w:pStyle w:val="Tabletext"/>
              <w:rPr>
                <w:lang w:val="en-US"/>
              </w:rPr>
            </w:pPr>
            <w:r w:rsidRPr="00AB13A9">
              <w:rPr>
                <w:lang w:val="en-US"/>
              </w:rPr>
              <w:t>6</w:t>
            </w:r>
            <w:r w:rsidR="00AB13A9" w:rsidRPr="00AB13A9">
              <w:rPr>
                <w:lang w:val="en-US"/>
              </w:rPr>
              <w:t>)</w:t>
            </w:r>
            <w:r w:rsidRPr="00AB13A9">
              <w:rPr>
                <w:lang w:val="en-US"/>
              </w:rPr>
              <w:t xml:space="preserve"> Home MNO billing system calculates roaming subscriber charges.</w:t>
            </w:r>
          </w:p>
        </w:tc>
        <w:tc>
          <w:tcPr>
            <w:tcW w:w="3330" w:type="dxa"/>
            <w:tcBorders>
              <w:top w:val="single" w:sz="4" w:space="0" w:color="000000"/>
              <w:left w:val="single" w:sz="4" w:space="0" w:color="000000"/>
              <w:bottom w:val="single" w:sz="4" w:space="0" w:color="000000"/>
            </w:tcBorders>
          </w:tcPr>
          <w:p w14:paraId="50B43D8F" w14:textId="77777777" w:rsidR="000A7DF2" w:rsidRPr="001032A3" w:rsidRDefault="000A7DF2" w:rsidP="00BC7EC7">
            <w:pPr>
              <w:pStyle w:val="Tabletext"/>
            </w:pPr>
            <w:r w:rsidRPr="001032A3">
              <w:t>Home MNO billing system</w:t>
            </w:r>
            <w:r>
              <w:t>.</w:t>
            </w:r>
          </w:p>
        </w:tc>
        <w:tc>
          <w:tcPr>
            <w:tcW w:w="2896" w:type="dxa"/>
            <w:tcBorders>
              <w:top w:val="single" w:sz="4" w:space="0" w:color="000000"/>
              <w:left w:val="single" w:sz="4" w:space="0" w:color="000000"/>
              <w:bottom w:val="single" w:sz="4" w:space="0" w:color="000000"/>
              <w:right w:val="single" w:sz="8" w:space="0" w:color="000000"/>
            </w:tcBorders>
          </w:tcPr>
          <w:p w14:paraId="2DAA6759" w14:textId="77777777" w:rsidR="000A7DF2" w:rsidRPr="00234CBB" w:rsidRDefault="000A7DF2" w:rsidP="00BC7EC7">
            <w:pPr>
              <w:pStyle w:val="Tabletext"/>
              <w:rPr>
                <w:lang w:val="en-US"/>
              </w:rPr>
            </w:pPr>
            <w:r w:rsidRPr="00234CBB">
              <w:rPr>
                <w:lang w:val="en-US"/>
              </w:rPr>
              <w:t>No or small extra cost, normal billing process.</w:t>
            </w:r>
          </w:p>
        </w:tc>
      </w:tr>
      <w:tr w:rsidR="000A7DF2" w:rsidRPr="001032A3" w14:paraId="0E3833B2" w14:textId="77777777">
        <w:trPr>
          <w:trHeight w:val="765"/>
        </w:trPr>
        <w:tc>
          <w:tcPr>
            <w:tcW w:w="3125" w:type="dxa"/>
            <w:tcBorders>
              <w:top w:val="single" w:sz="4" w:space="0" w:color="000000"/>
              <w:left w:val="single" w:sz="8" w:space="0" w:color="000000"/>
              <w:bottom w:val="single" w:sz="8" w:space="0" w:color="000000"/>
            </w:tcBorders>
          </w:tcPr>
          <w:p w14:paraId="57FA1F40" w14:textId="77777777" w:rsidR="000A7DF2" w:rsidRPr="00AB13A9" w:rsidRDefault="000A7DF2" w:rsidP="00AB13A9">
            <w:pPr>
              <w:pStyle w:val="Tabletext"/>
              <w:rPr>
                <w:lang w:val="en-US"/>
              </w:rPr>
            </w:pPr>
            <w:r w:rsidRPr="00AB13A9">
              <w:rPr>
                <w:lang w:val="en-US"/>
              </w:rPr>
              <w:t>7</w:t>
            </w:r>
            <w:r w:rsidR="00AB13A9" w:rsidRPr="00AB13A9">
              <w:rPr>
                <w:lang w:val="en-US"/>
              </w:rPr>
              <w:t>)</w:t>
            </w:r>
            <w:r w:rsidRPr="00AB13A9">
              <w:rPr>
                <w:lang w:val="en-US"/>
              </w:rPr>
              <w:t xml:space="preserve"> Home MNO billing system: makes retail charge to subscriber for the call – either debits prepaid credit file or adds charge to postpaid contract, plus appropriate mark-up. </w:t>
            </w:r>
          </w:p>
        </w:tc>
        <w:tc>
          <w:tcPr>
            <w:tcW w:w="3330" w:type="dxa"/>
            <w:tcBorders>
              <w:top w:val="single" w:sz="4" w:space="0" w:color="000000"/>
              <w:left w:val="single" w:sz="4" w:space="0" w:color="000000"/>
              <w:bottom w:val="single" w:sz="8" w:space="0" w:color="000000"/>
            </w:tcBorders>
          </w:tcPr>
          <w:p w14:paraId="318DC613" w14:textId="77777777" w:rsidR="000A7DF2" w:rsidRPr="001032A3" w:rsidRDefault="000A7DF2" w:rsidP="00BC7EC7">
            <w:pPr>
              <w:pStyle w:val="Tabletext"/>
            </w:pPr>
            <w:r w:rsidRPr="001032A3">
              <w:t>Home MNO billing system</w:t>
            </w:r>
            <w:r>
              <w:t>.</w:t>
            </w:r>
          </w:p>
        </w:tc>
        <w:tc>
          <w:tcPr>
            <w:tcW w:w="2896" w:type="dxa"/>
            <w:tcBorders>
              <w:top w:val="single" w:sz="4" w:space="0" w:color="000000"/>
              <w:left w:val="single" w:sz="4" w:space="0" w:color="000000"/>
              <w:bottom w:val="single" w:sz="8" w:space="0" w:color="000000"/>
              <w:right w:val="single" w:sz="8" w:space="0" w:color="000000"/>
            </w:tcBorders>
          </w:tcPr>
          <w:p w14:paraId="26F488FE" w14:textId="77777777" w:rsidR="000A7DF2" w:rsidRPr="00234CBB" w:rsidRDefault="000A7DF2" w:rsidP="00BC7EC7">
            <w:pPr>
              <w:pStyle w:val="Tabletext"/>
              <w:rPr>
                <w:lang w:val="en-US"/>
              </w:rPr>
            </w:pPr>
            <w:r w:rsidRPr="00234CBB">
              <w:rPr>
                <w:lang w:val="en-US"/>
              </w:rPr>
              <w:t>No extra cost, normal billing.</w:t>
            </w:r>
          </w:p>
        </w:tc>
      </w:tr>
    </w:tbl>
    <w:p w14:paraId="1D23E8B7" w14:textId="77777777" w:rsidR="000A7DF2" w:rsidRPr="001032A3" w:rsidRDefault="000A7DF2" w:rsidP="000A7DF2">
      <w:r w:rsidRPr="001032A3">
        <w:t>Setup costs are included in the above table for network and billing with facilities for set up of business processes, as well as</w:t>
      </w:r>
      <w:r>
        <w:t xml:space="preserve"> with testing of everything and</w:t>
      </w:r>
      <w:r w:rsidRPr="001032A3">
        <w:t xml:space="preserve"> final </w:t>
      </w:r>
      <w:r w:rsidRPr="0037500A">
        <w:t>roll</w:t>
      </w:r>
      <w:r w:rsidRPr="003D7215">
        <w:t>out</w:t>
      </w:r>
      <w:r w:rsidRPr="001032A3">
        <w:t>.</w:t>
      </w:r>
    </w:p>
    <w:p w14:paraId="05A37F0A" w14:textId="77777777" w:rsidR="000A7DF2" w:rsidRPr="001032A3" w:rsidRDefault="000A7DF2" w:rsidP="000A7DF2">
      <w:r w:rsidRPr="008F4213">
        <w:lastRenderedPageBreak/>
        <w:t>As noted in</w:t>
      </w:r>
      <w:r w:rsidRPr="001032A3">
        <w:t xml:space="preserve"> </w:t>
      </w:r>
      <w:r>
        <w:t>c</w:t>
      </w:r>
      <w:r w:rsidRPr="001032A3">
        <w:t>hapter 2, Table 2, the added costs for the network elements, systems and processes are for:</w:t>
      </w:r>
    </w:p>
    <w:p w14:paraId="6C4D4BD7" w14:textId="77777777" w:rsidR="000A7DF2" w:rsidRPr="001032A3" w:rsidRDefault="00BC7EC7" w:rsidP="00BC7EC7">
      <w:pPr>
        <w:pStyle w:val="enumlev1"/>
      </w:pPr>
      <w:r>
        <w:t>•</w:t>
      </w:r>
      <w:r>
        <w:tab/>
      </w:r>
      <w:r w:rsidR="000A7DF2" w:rsidRPr="001032A3">
        <w:t xml:space="preserve">Extension (for volume) of inter-operator gateways for data traffic in both </w:t>
      </w:r>
      <w:r w:rsidR="000A7DF2">
        <w:t xml:space="preserve">the </w:t>
      </w:r>
      <w:r w:rsidR="000A7DF2" w:rsidRPr="001032A3">
        <w:t>home and visited network</w:t>
      </w:r>
      <w:r w:rsidR="000A7DF2">
        <w:t>.</w:t>
      </w:r>
      <w:r w:rsidR="000A7DF2" w:rsidRPr="001032A3">
        <w:rPr>
          <w:rStyle w:val="FootnoteReference"/>
        </w:rPr>
        <w:footnoteReference w:id="28"/>
      </w:r>
    </w:p>
    <w:p w14:paraId="6C63738F" w14:textId="77777777" w:rsidR="000A7DF2" w:rsidRPr="001032A3" w:rsidRDefault="00BC7EC7" w:rsidP="00BC7EC7">
      <w:pPr>
        <w:pStyle w:val="enumlev1"/>
      </w:pPr>
      <w:r>
        <w:t>•</w:t>
      </w:r>
      <w:r>
        <w:tab/>
      </w:r>
      <w:r w:rsidR="000A7DF2" w:rsidRPr="001032A3">
        <w:t>Extension (for volume) of the home network and of the visited network</w:t>
      </w:r>
      <w:r w:rsidR="000A7DF2">
        <w:t>.</w:t>
      </w:r>
      <w:r w:rsidR="000A7DF2" w:rsidRPr="001032A3">
        <w:t xml:space="preserve"> </w:t>
      </w:r>
    </w:p>
    <w:p w14:paraId="3E5529EA" w14:textId="77777777" w:rsidR="000A7DF2" w:rsidRPr="001032A3" w:rsidRDefault="00BC7EC7" w:rsidP="00BC7EC7">
      <w:pPr>
        <w:pStyle w:val="enumlev1"/>
      </w:pPr>
      <w:r>
        <w:t>•</w:t>
      </w:r>
      <w:r>
        <w:tab/>
      </w:r>
      <w:r w:rsidR="000A7DF2" w:rsidRPr="001032A3">
        <w:t>New components in the home network and in the visited network</w:t>
      </w:r>
      <w:r w:rsidR="000A7DF2">
        <w:t>.</w:t>
      </w:r>
    </w:p>
    <w:p w14:paraId="6435BE50" w14:textId="77777777" w:rsidR="000A7DF2" w:rsidRPr="001032A3" w:rsidRDefault="000A7DF2" w:rsidP="000A7DF2">
      <w:r w:rsidRPr="001032A3">
        <w:t>These added costs also affect the IOT level. For all use cases, there are also the costs of making commercial agreements for roaming at wholesale level. These form additional costs on top of the national domestic business processes, as they require negotiations to determine the IOT levels in roaming performed with each of the correspondent foreign MNOs. Use cases 3A and 4A for voice can be analysed in the same manner.</w:t>
      </w:r>
    </w:p>
    <w:p w14:paraId="7CD2E7C3" w14:textId="77777777" w:rsidR="000A7DF2" w:rsidRPr="00DD5C2E" w:rsidRDefault="000A7DF2" w:rsidP="00BF3C74">
      <w:pPr>
        <w:pStyle w:val="Heading3"/>
      </w:pPr>
      <w:bookmarkStart w:id="54" w:name="_Toc425326331"/>
      <w:r w:rsidRPr="00DD5C2E">
        <w:t xml:space="preserve">4.3.1 </w:t>
      </w:r>
      <w:r w:rsidR="00DE50C9">
        <w:tab/>
      </w:r>
      <w:r w:rsidRPr="00DD5C2E">
        <w:t>Use cases for data roaming</w:t>
      </w:r>
      <w:bookmarkEnd w:id="54"/>
    </w:p>
    <w:p w14:paraId="421228D6" w14:textId="77777777" w:rsidR="000A7DF2" w:rsidRPr="001032A3" w:rsidRDefault="000A7DF2" w:rsidP="000A7DF2">
      <w:pPr>
        <w:spacing w:before="120"/>
      </w:pPr>
      <w:r w:rsidRPr="001032A3">
        <w:t>Here we consider data roaming for applications such as e</w:t>
      </w:r>
      <w:r>
        <w:t>-</w:t>
      </w:r>
      <w:r w:rsidRPr="001032A3">
        <w:t>mail, web browsing and file transfer by mobile subscribers –</w:t>
      </w:r>
      <w:r>
        <w:t xml:space="preserve"> </w:t>
      </w:r>
      <w:r w:rsidRPr="001032A3">
        <w:t>i</w:t>
      </w:r>
      <w:r>
        <w:t>.</w:t>
      </w:r>
      <w:r w:rsidRPr="001032A3">
        <w:t>e</w:t>
      </w:r>
      <w:r>
        <w:t>.</w:t>
      </w:r>
      <w:r w:rsidRPr="001032A3">
        <w:t xml:space="preserve"> a focus on mobile access to the Internet. In the future, as pointed out above, this may embrace IP voice with VoIP and VoLTE. The cost situation is to some extent more complex than for voice with so many different technology options for data that can affect underlying costs. </w:t>
      </w:r>
      <w:r>
        <w:t>However,</w:t>
      </w:r>
      <w:r w:rsidRPr="001032A3">
        <w:t xml:space="preserve"> it should also be remembered that these differences usually affect domestic data sessions equally. </w:t>
      </w:r>
      <w:r>
        <w:t>In addition,</w:t>
      </w:r>
      <w:r w:rsidRPr="001032A3">
        <w:t xml:space="preserve"> devices used by subscribers may vary from mobile phone handsets to tablet computers to laptop </w:t>
      </w:r>
      <w:r>
        <w:t>personal computers (</w:t>
      </w:r>
      <w:r w:rsidRPr="001032A3">
        <w:t>PCs</w:t>
      </w:r>
      <w:r>
        <w:t>)</w:t>
      </w:r>
      <w:r w:rsidRPr="001032A3">
        <w:t xml:space="preserve"> with UMTS modems (</w:t>
      </w:r>
      <w:r>
        <w:t>'</w:t>
      </w:r>
      <w:r w:rsidRPr="001032A3">
        <w:t>dongles).</w:t>
      </w:r>
    </w:p>
    <w:p w14:paraId="4DB58377" w14:textId="77777777" w:rsidR="000A7DF2" w:rsidRPr="001032A3" w:rsidRDefault="000A7DF2" w:rsidP="000A7DF2">
      <w:pPr>
        <w:spacing w:before="120"/>
      </w:pPr>
      <w:r w:rsidRPr="004304DD">
        <w:t>However, there may</w:t>
      </w:r>
      <w:r w:rsidRPr="001032A3">
        <w:t xml:space="preserve"> be a greater complexity in data roaming tariffs against domestic rates than those for voice. Roaming data tariffs have changed rapidly over the last decade at both retail and wholesale levels – and the EC claims its price caps have reduced data roaming pricing by up to 91% inside the EU community.</w:t>
      </w:r>
    </w:p>
    <w:p w14:paraId="47815162" w14:textId="77777777" w:rsidR="000A7DF2" w:rsidRPr="001032A3" w:rsidRDefault="000A7DF2" w:rsidP="000A7DF2">
      <w:pPr>
        <w:spacing w:before="120"/>
      </w:pPr>
      <w:r w:rsidRPr="001032A3">
        <w:t xml:space="preserve">Roaming data tariffs are also highly variable in the wholesale agreements between MNOs, for their preferred partner MNOs and for large end-customers. For instance, in 2007, the EU average standard data IOT charges were </w:t>
      </w:r>
      <w:r>
        <w:t xml:space="preserve">EUR </w:t>
      </w:r>
      <w:r w:rsidRPr="001032A3">
        <w:t xml:space="preserve">5 to </w:t>
      </w:r>
      <w:r>
        <w:t xml:space="preserve">EUR </w:t>
      </w:r>
      <w:r w:rsidRPr="001032A3">
        <w:t xml:space="preserve">10/MB. </w:t>
      </w:r>
      <w:r>
        <w:t>However,</w:t>
      </w:r>
      <w:r w:rsidRPr="001032A3">
        <w:t xml:space="preserve"> for </w:t>
      </w:r>
      <w:r w:rsidRPr="001032A3">
        <w:rPr>
          <w:i/>
          <w:iCs/>
        </w:rPr>
        <w:t xml:space="preserve">preferred partners </w:t>
      </w:r>
      <w:r w:rsidRPr="001032A3">
        <w:t>among MNOs, IOT rates may be much lower i</w:t>
      </w:r>
      <w:r>
        <w:t>.</w:t>
      </w:r>
      <w:r w:rsidRPr="001032A3">
        <w:t>e</w:t>
      </w:r>
      <w:r>
        <w:t>.</w:t>
      </w:r>
      <w:r w:rsidRPr="001032A3">
        <w:t xml:space="preserve"> &lt; 0.5 to </w:t>
      </w:r>
      <w:r>
        <w:t xml:space="preserve">EUR </w:t>
      </w:r>
      <w:r w:rsidRPr="001032A3">
        <w:t xml:space="preserve">1/MB, with wholesale charges becoming as low as </w:t>
      </w:r>
      <w:r>
        <w:t xml:space="preserve">EUR </w:t>
      </w:r>
      <w:r w:rsidRPr="001032A3">
        <w:t xml:space="preserve">0.25/MB (2007). Vodafone offered </w:t>
      </w:r>
      <w:r>
        <w:t xml:space="preserve">EUR </w:t>
      </w:r>
      <w:r w:rsidRPr="001032A3">
        <w:t xml:space="preserve">0.5/MB for any reciprocal offer in </w:t>
      </w:r>
      <w:r>
        <w:t xml:space="preserve">the </w:t>
      </w:r>
      <w:r w:rsidRPr="001032A3">
        <w:t>EU in 2007</w:t>
      </w:r>
      <w:r w:rsidRPr="001032A3">
        <w:rPr>
          <w:rStyle w:val="FootnoteCharacters"/>
        </w:rPr>
        <w:footnoteReference w:id="29"/>
      </w:r>
      <w:r w:rsidRPr="001032A3">
        <w:t>. Overall in the EU in 2007, retail prices per M</w:t>
      </w:r>
      <w:r>
        <w:t>B</w:t>
      </w:r>
      <w:r w:rsidRPr="001032A3">
        <w:t xml:space="preserve">yte varied from </w:t>
      </w:r>
      <w:r>
        <w:t xml:space="preserve">EUR </w:t>
      </w:r>
      <w:r w:rsidRPr="001032A3">
        <w:t xml:space="preserve">10/MByte down to </w:t>
      </w:r>
      <w:r>
        <w:t xml:space="preserve">EUR </w:t>
      </w:r>
      <w:r w:rsidRPr="001032A3">
        <w:t>0.02/M</w:t>
      </w:r>
      <w:r>
        <w:t>B</w:t>
      </w:r>
      <w:r w:rsidRPr="001032A3">
        <w:t>yte for favoured large retail customers at high volume, a ratio of 500:1. Data tariffs may be set as part of a subscriber</w:t>
      </w:r>
      <w:r>
        <w:t>'</w:t>
      </w:r>
      <w:r w:rsidRPr="001032A3">
        <w:t>s bundle of services that also includes voice with SMS texts, and have limits with different charging thresholds and time</w:t>
      </w:r>
      <w:r>
        <w:t>-</w:t>
      </w:r>
      <w:r w:rsidRPr="001032A3">
        <w:t>related limits.</w:t>
      </w:r>
    </w:p>
    <w:p w14:paraId="471BFEAF" w14:textId="38F18458" w:rsidR="000A7DF2" w:rsidRPr="001032A3" w:rsidRDefault="000A7DF2" w:rsidP="000A7DF2">
      <w:pPr>
        <w:spacing w:before="120"/>
      </w:pPr>
      <w:r w:rsidRPr="001032A3">
        <w:t>Moreover</w:t>
      </w:r>
      <w:r>
        <w:t>,</w:t>
      </w:r>
      <w:r w:rsidRPr="001032A3">
        <w:t xml:space="preserve"> data traffic may need to be steered to a network suitable for data (not a voice network probably). </w:t>
      </w:r>
      <w:r>
        <w:t>Furthermore</w:t>
      </w:r>
      <w:r w:rsidRPr="001032A3">
        <w:t>, not all operators have high speed data technology in the network (e</w:t>
      </w:r>
      <w:r>
        <w:t>.</w:t>
      </w:r>
      <w:r w:rsidRPr="001032A3">
        <w:t>g</w:t>
      </w:r>
      <w:r>
        <w:t>.</w:t>
      </w:r>
      <w:r w:rsidR="009E2E58">
        <w:t> </w:t>
      </w:r>
      <w:r w:rsidRPr="001032A3">
        <w:t>HSPA/UMTS)</w:t>
      </w:r>
      <w:r>
        <w:t>;</w:t>
      </w:r>
      <w:r w:rsidRPr="001032A3">
        <w:t xml:space="preserve"> </w:t>
      </w:r>
      <w:r>
        <w:t>and as a result,</w:t>
      </w:r>
      <w:r w:rsidRPr="001032A3">
        <w:t xml:space="preserve"> a subscriber benefits if it is possible to change from the home MNO</w:t>
      </w:r>
      <w:r>
        <w:t>'</w:t>
      </w:r>
      <w:r w:rsidRPr="001032A3">
        <w:t>s preferred voice operator when the home MNO negotiates a wholesale data IOT.</w:t>
      </w:r>
    </w:p>
    <w:p w14:paraId="18065080" w14:textId="77777777" w:rsidR="000A7DF2" w:rsidRPr="001032A3" w:rsidRDefault="000A7DF2" w:rsidP="000A7DF2">
      <w:pPr>
        <w:spacing w:before="120"/>
      </w:pPr>
      <w:r w:rsidRPr="001032A3">
        <w:t>Data sessions carried over mobile networks may require additional costs on top of voice carriage. For instance, special extra base station equipment, e</w:t>
      </w:r>
      <w:r>
        <w:t>.</w:t>
      </w:r>
      <w:r w:rsidRPr="001032A3">
        <w:t>g</w:t>
      </w:r>
      <w:r>
        <w:t>.</w:t>
      </w:r>
      <w:r w:rsidRPr="001032A3">
        <w:t xml:space="preserve"> for higher downlink speeds with new protocols or new frequencies (e</w:t>
      </w:r>
      <w:r>
        <w:t>.</w:t>
      </w:r>
      <w:r w:rsidRPr="001032A3">
        <w:t>g</w:t>
      </w:r>
      <w:r>
        <w:t>.</w:t>
      </w:r>
      <w:r w:rsidRPr="001032A3">
        <w:t xml:space="preserve"> 1452-1492</w:t>
      </w:r>
      <w:r>
        <w:t xml:space="preserve"> </w:t>
      </w:r>
      <w:r w:rsidRPr="001032A3">
        <w:t xml:space="preserve">MHz for </w:t>
      </w:r>
      <w:r>
        <w:t>s</w:t>
      </w:r>
      <w:r w:rsidRPr="00406208">
        <w:t xml:space="preserve">upplementary </w:t>
      </w:r>
      <w:r>
        <w:t>d</w:t>
      </w:r>
      <w:r w:rsidRPr="00406208">
        <w:t>ownlink</w:t>
      </w:r>
      <w:r w:rsidRPr="001032A3">
        <w:t xml:space="preserve"> </w:t>
      </w:r>
      <w:r>
        <w:t>(</w:t>
      </w:r>
      <w:r w:rsidRPr="001032A3">
        <w:t>SDL</w:t>
      </w:r>
      <w:r>
        <w:t>)</w:t>
      </w:r>
      <w:r w:rsidRPr="001032A3">
        <w:t xml:space="preserve">) may be used. </w:t>
      </w:r>
      <w:r>
        <w:t>T</w:t>
      </w:r>
      <w:r w:rsidRPr="001032A3">
        <w:t xml:space="preserve">his is </w:t>
      </w:r>
      <w:r>
        <w:t xml:space="preserve">however </w:t>
      </w:r>
      <w:r w:rsidRPr="001032A3">
        <w:t xml:space="preserve">equally required for serving domestic subscribers. </w:t>
      </w:r>
      <w:r>
        <w:t>Consequently,</w:t>
      </w:r>
      <w:r w:rsidRPr="001032A3">
        <w:t xml:space="preserve"> data roaming sessions may be largely similar or the same in resources needed and processes as domestic. Thus carrying data internationally </w:t>
      </w:r>
      <w:r w:rsidRPr="001032A3">
        <w:lastRenderedPageBreak/>
        <w:t>between two MNOs may be the same as for a domestic off</w:t>
      </w:r>
      <w:r>
        <w:t>-</w:t>
      </w:r>
      <w:r w:rsidRPr="001032A3">
        <w:t xml:space="preserve">net data session between two MNOs in the same country (as for voice) apart from certain extensions explored below. </w:t>
      </w:r>
    </w:p>
    <w:p w14:paraId="454AF892" w14:textId="77777777" w:rsidR="000A7DF2" w:rsidRPr="001032A3" w:rsidRDefault="000A7DF2" w:rsidP="000A7DF2">
      <w:r w:rsidRPr="001032A3">
        <w:t>These extensions relate to differences between prepaid and postpaid roaming, which, as for voice, are different for data. However, they may be more important in costing terms than for voice. Roaming for prepaid data customers may involve some additional investment by operators for signalling and billing systems, to operate in real time or near</w:t>
      </w:r>
      <w:r>
        <w:t xml:space="preserve"> </w:t>
      </w:r>
      <w:r w:rsidRPr="001032A3">
        <w:t>real time, in order to keep up with roaming subscribers</w:t>
      </w:r>
      <w:r>
        <w:t>'</w:t>
      </w:r>
      <w:r w:rsidRPr="001032A3">
        <w:t xml:space="preserve"> credit levels. This requires rapid signalling for subscriber authentication and authori</w:t>
      </w:r>
      <w:r>
        <w:t>z</w:t>
      </w:r>
      <w:r w:rsidRPr="001032A3">
        <w:t>ation of roaming.</w:t>
      </w:r>
    </w:p>
    <w:p w14:paraId="682ECA1C" w14:textId="77777777" w:rsidR="000A7DF2" w:rsidRPr="001032A3" w:rsidRDefault="000A7DF2" w:rsidP="000A7DF2">
      <w:r w:rsidRPr="001032A3">
        <w:t>Such measures are less of a requirement for postpaid services when roaming, because as soon as the subscriber first switches on the handset abroad, the visited network checks in real time whether the home MNO authenticates the subscriber and then authori</w:t>
      </w:r>
      <w:r>
        <w:t>z</w:t>
      </w:r>
      <w:r w:rsidRPr="001032A3">
        <w:t>es roaming. For prepaid subscribers, all the call data records (CDRs), are sent to the home MNO</w:t>
      </w:r>
      <w:r w:rsidRPr="001032A3">
        <w:rPr>
          <w:rStyle w:val="FootnoteReference"/>
        </w:rPr>
        <w:footnoteReference w:id="30"/>
      </w:r>
      <w:r w:rsidRPr="001032A3">
        <w:t xml:space="preserve">. For postpaid, the details on each data session and SMS may be sent to the home MNO with some delay – possibly of several days. </w:t>
      </w:r>
    </w:p>
    <w:p w14:paraId="660C828A" w14:textId="77777777" w:rsidR="000A7DF2" w:rsidRPr="001032A3" w:rsidRDefault="000A7DF2" w:rsidP="000A7DF2">
      <w:r w:rsidRPr="001032A3">
        <w:t>For prepaid roaming, in addition to the initial authentication step, the call-related data must be exchanged between the visited and home MNOs and processed in real time. A specific mediation and billing system enhancement, CAMEL</w:t>
      </w:r>
      <w:r w:rsidRPr="001032A3">
        <w:rPr>
          <w:rStyle w:val="FootnoteReference"/>
        </w:rPr>
        <w:footnoteReference w:id="31"/>
      </w:r>
      <w:r w:rsidRPr="001032A3">
        <w:t xml:space="preserve"> (</w:t>
      </w:r>
      <w:r>
        <w:t>c</w:t>
      </w:r>
      <w:r w:rsidRPr="001032A3">
        <w:t xml:space="preserve">ustomized </w:t>
      </w:r>
      <w:r>
        <w:t>a</w:t>
      </w:r>
      <w:r w:rsidRPr="001032A3">
        <w:t xml:space="preserve">pplications for </w:t>
      </w:r>
      <w:r>
        <w:t>m</w:t>
      </w:r>
      <w:r w:rsidRPr="001032A3">
        <w:t xml:space="preserve">obile </w:t>
      </w:r>
      <w:r>
        <w:t>e</w:t>
      </w:r>
      <w:r w:rsidRPr="001032A3">
        <w:t xml:space="preserve">nhanced </w:t>
      </w:r>
      <w:r>
        <w:t>l</w:t>
      </w:r>
      <w:r w:rsidRPr="001032A3">
        <w:t>ogic)</w:t>
      </w:r>
      <w:r>
        <w:t>,</w:t>
      </w:r>
      <w:r w:rsidRPr="001032A3">
        <w:t xml:space="preserve"> is added to monitor and halt the roaming subscriber prepaid account before it is overdrawn.</w:t>
      </w:r>
    </w:p>
    <w:p w14:paraId="08F8D755" w14:textId="77777777" w:rsidR="000A7DF2" w:rsidRPr="001032A3" w:rsidRDefault="000A7DF2" w:rsidP="000A7DF2">
      <w:pPr>
        <w:spacing w:before="120"/>
      </w:pPr>
      <w:r w:rsidRPr="001032A3">
        <w:t xml:space="preserve">The data carriage architecture, and its costs, depends on the data packet transport technology used. Data advances have spread from 2G GSM into 3G UMTS with backward compatibility </w:t>
      </w:r>
      <w:r>
        <w:t xml:space="preserve">for newer advances such as LTE. </w:t>
      </w:r>
      <w:r w:rsidRPr="001032A3">
        <w:t>The 2G advances include GPRS and EDGE</w:t>
      </w:r>
      <w:r w:rsidRPr="001032A3">
        <w:rPr>
          <w:rStyle w:val="FootnoteCharacters"/>
        </w:rPr>
        <w:footnoteReference w:id="32"/>
      </w:r>
      <w:r>
        <w:t>,</w:t>
      </w:r>
      <w:r w:rsidRPr="001032A3">
        <w:t xml:space="preserve"> and for 3G, extensions such as </w:t>
      </w:r>
      <w:r>
        <w:t>high speed uplink packet access (</w:t>
      </w:r>
      <w:r w:rsidRPr="001032A3">
        <w:t>HS</w:t>
      </w:r>
      <w:r>
        <w:t>UP</w:t>
      </w:r>
      <w:r w:rsidRPr="001032A3">
        <w:t>A</w:t>
      </w:r>
      <w:r>
        <w:t>)</w:t>
      </w:r>
      <w:r w:rsidRPr="001032A3">
        <w:t xml:space="preserve"> and </w:t>
      </w:r>
      <w:r>
        <w:t>high speed downlink packet access (</w:t>
      </w:r>
      <w:r w:rsidRPr="001032A3">
        <w:t>HS</w:t>
      </w:r>
      <w:r>
        <w:t>DP</w:t>
      </w:r>
      <w:r w:rsidRPr="001032A3">
        <w:t>A</w:t>
      </w:r>
      <w:r>
        <w:t>).</w:t>
      </w:r>
    </w:p>
    <w:p w14:paraId="4D697A45" w14:textId="77777777" w:rsidR="000A7DF2" w:rsidRPr="001032A3" w:rsidRDefault="000A7DF2" w:rsidP="000A7DF2">
      <w:pPr>
        <w:spacing w:before="120"/>
      </w:pPr>
      <w:r w:rsidRPr="001C442B">
        <w:t>Radio access networks (RANs)</w:t>
      </w:r>
      <w:r w:rsidRPr="001032A3">
        <w:t xml:space="preserve"> have evolved from 2G networks with GSM handsets to 3G, which introduces IP. However, 3G networks internally do not usually offer end</w:t>
      </w:r>
      <w:r>
        <w:t>-</w:t>
      </w:r>
      <w:r w:rsidRPr="001032A3">
        <w:t>to</w:t>
      </w:r>
      <w:r>
        <w:t>-</w:t>
      </w:r>
      <w:r w:rsidRPr="001032A3">
        <w:t>end IP-based service. Rather, the data portion of the traffic is carried</w:t>
      </w:r>
      <w:r w:rsidRPr="001032A3">
        <w:rPr>
          <w:rStyle w:val="FootnoteCharacters"/>
        </w:rPr>
        <w:footnoteReference w:id="33"/>
      </w:r>
      <w:r w:rsidRPr="001032A3">
        <w:t xml:space="preserve"> to gateways into IP-based networks. Whatever generation of mobile network subscribers are attached by (3G UMTS or 2G GSM) there are two major transport routes for data, which impact the networking elements employed and so the cost structure:</w:t>
      </w:r>
    </w:p>
    <w:p w14:paraId="62849137" w14:textId="77777777" w:rsidR="000A7DF2" w:rsidRPr="001032A3" w:rsidRDefault="00A74348" w:rsidP="00A74348">
      <w:pPr>
        <w:pStyle w:val="enumlev1"/>
      </w:pPr>
      <w:r>
        <w:t>•</w:t>
      </w:r>
      <w:r>
        <w:tab/>
      </w:r>
      <w:r w:rsidR="000A7DF2" w:rsidRPr="001032A3">
        <w:t>Via the packet switching structure for data in 2G and 3G</w:t>
      </w:r>
      <w:r w:rsidR="000A7DF2" w:rsidRPr="001032A3">
        <w:rPr>
          <w:rStyle w:val="FootnoteCharacters"/>
        </w:rPr>
        <w:footnoteReference w:id="34"/>
      </w:r>
      <w:r w:rsidR="000A7DF2">
        <w:t>.</w:t>
      </w:r>
      <w:r w:rsidR="000A7DF2" w:rsidRPr="001032A3">
        <w:t xml:space="preserve"> </w:t>
      </w:r>
    </w:p>
    <w:p w14:paraId="12C3D741" w14:textId="77777777" w:rsidR="000D2CFE" w:rsidRDefault="000D2CFE" w:rsidP="00A74348">
      <w:pPr>
        <w:pStyle w:val="enumlev1"/>
      </w:pPr>
      <w:r>
        <w:br w:type="page"/>
      </w:r>
    </w:p>
    <w:p w14:paraId="7E259E25" w14:textId="77777777" w:rsidR="000A7DF2" w:rsidRPr="001032A3" w:rsidRDefault="00A74348" w:rsidP="00A74348">
      <w:pPr>
        <w:pStyle w:val="enumlev1"/>
      </w:pPr>
      <w:r>
        <w:lastRenderedPageBreak/>
        <w:t>•</w:t>
      </w:r>
      <w:r>
        <w:tab/>
      </w:r>
      <w:r w:rsidR="000A7DF2" w:rsidRPr="001032A3">
        <w:t>As soon as possible into an Internet gateway as an IP packet stream</w:t>
      </w:r>
      <w:r w:rsidR="000A7DF2" w:rsidRPr="001032A3">
        <w:rPr>
          <w:rStyle w:val="FootnoteCharacters"/>
        </w:rPr>
        <w:footnoteReference w:id="35"/>
      </w:r>
      <w:r w:rsidR="000A7DF2" w:rsidRPr="001032A3">
        <w:t xml:space="preserve"> for carriage between MNOs or to FNOs.</w:t>
      </w:r>
    </w:p>
    <w:p w14:paraId="0430E0DD" w14:textId="77777777" w:rsidR="000A7DF2" w:rsidRPr="001032A3" w:rsidRDefault="00DD2970" w:rsidP="00DD2970">
      <w:pPr>
        <w:pStyle w:val="Figuretitle"/>
      </w:pPr>
      <w:r w:rsidRPr="001032A3">
        <w:t xml:space="preserve">Figure 13 </w:t>
      </w:r>
      <w:r>
        <w:t xml:space="preserve">– </w:t>
      </w:r>
      <w:r w:rsidRPr="001032A3">
        <w:t xml:space="preserve">Mobile </w:t>
      </w:r>
      <w:r>
        <w:t>I</w:t>
      </w:r>
      <w:r w:rsidRPr="001032A3">
        <w:t>nternet access paths vary with technology</w:t>
      </w:r>
    </w:p>
    <w:p w14:paraId="622F35A8" w14:textId="77777777" w:rsidR="000A7DF2" w:rsidRDefault="000A7DF2" w:rsidP="00DD2970">
      <w:pPr>
        <w:pStyle w:val="Figuresource"/>
        <w:jc w:val="center"/>
      </w:pPr>
      <w:r w:rsidRPr="00E96752">
        <w:drawing>
          <wp:inline distT="0" distB="0" distL="0" distR="0" wp14:anchorId="2FD00F50" wp14:editId="5BE84541">
            <wp:extent cx="4297045" cy="3223895"/>
            <wp:effectExtent l="19050" t="1905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97045" cy="3223895"/>
                    </a:xfrm>
                    <a:prstGeom prst="rect">
                      <a:avLst/>
                    </a:prstGeom>
                    <a:noFill/>
                    <a:ln w="12700" cmpd="sng">
                      <a:solidFill>
                        <a:srgbClr val="008080"/>
                      </a:solidFill>
                      <a:miter lim="800000"/>
                      <a:headEnd/>
                      <a:tailEnd/>
                    </a:ln>
                    <a:effectLst/>
                  </pic:spPr>
                </pic:pic>
              </a:graphicData>
            </a:graphic>
          </wp:inline>
        </w:drawing>
      </w:r>
    </w:p>
    <w:p w14:paraId="482A50C9" w14:textId="77777777" w:rsidR="00DD2970" w:rsidRPr="00E96752" w:rsidRDefault="00DD2970" w:rsidP="00DD2970">
      <w:pPr>
        <w:pStyle w:val="Figuresource"/>
      </w:pPr>
    </w:p>
    <w:p w14:paraId="1A6A184C" w14:textId="77777777" w:rsidR="000A7DF2" w:rsidRPr="001032A3" w:rsidRDefault="000A7DF2" w:rsidP="000A7DF2">
      <w:r w:rsidRPr="001032A3">
        <w:t>LTE networks, largely following the second model for data transport, may use the Diameter signalling service standard for IMR across the 2G and 3G generations of mobile technology as well as Wi-Fi, via a dedicated IP packet switch</w:t>
      </w:r>
      <w:r w:rsidRPr="001032A3">
        <w:rPr>
          <w:rStyle w:val="FootnoteCharacters"/>
        </w:rPr>
        <w:footnoteReference w:id="36"/>
      </w:r>
      <w:r w:rsidRPr="001032A3">
        <w:t>.</w:t>
      </w:r>
    </w:p>
    <w:p w14:paraId="7332D6F3" w14:textId="77777777" w:rsidR="000A7DF2" w:rsidRPr="001032A3" w:rsidRDefault="000A7DF2" w:rsidP="000A7DF2">
      <w:r w:rsidRPr="001032A3">
        <w:t xml:space="preserve">Offloading mobile data carriage, by alternative routing with Wi-Fi, is also being increasingly invested in by MNOs, by connecting to the Wi-Fi interface in the handset over a </w:t>
      </w:r>
      <w:r>
        <w:t>wireless local area network (</w:t>
      </w:r>
      <w:r w:rsidRPr="001032A3">
        <w:t>WLAN</w:t>
      </w:r>
      <w:r>
        <w:t>)</w:t>
      </w:r>
      <w:r w:rsidRPr="001032A3">
        <w:t xml:space="preserve">. The overall aim is </w:t>
      </w:r>
      <w:r>
        <w:t xml:space="preserve">not only </w:t>
      </w:r>
      <w:r w:rsidRPr="001032A3">
        <w:t>to reduce mobile traffic in the RAN mainly but also in the core fixed network. If the MNO enters fully into the Wi-Fi offload market</w:t>
      </w:r>
      <w:r>
        <w:t>,</w:t>
      </w:r>
      <w:r w:rsidRPr="001032A3">
        <w:t xml:space="preserve"> it may invest in a high density of Wi-Fi hubs, plus their backhaul, and perhaps add Wi-Fi to its most appropriately sited mobile BTS. Then, connection via Wi-Fi may require expansion of the sending and receiving Internet gateways, if used for Wi-Fi also</w:t>
      </w:r>
      <w:r>
        <w:t>.</w:t>
      </w:r>
    </w:p>
    <w:p w14:paraId="006D2317" w14:textId="77777777" w:rsidR="000A7DF2" w:rsidRPr="001032A3" w:rsidRDefault="000A7DF2" w:rsidP="000A7DF2">
      <w:r w:rsidRPr="001032A3">
        <w:t>For billing, data sessions may be somewhat different to voice, as the download and upload data streams may be charged at different rates</w:t>
      </w:r>
      <w:r w:rsidRPr="001032A3">
        <w:rPr>
          <w:rStyle w:val="FootnoteCharacters"/>
        </w:rPr>
        <w:footnoteReference w:id="37"/>
      </w:r>
      <w:r w:rsidRPr="001032A3">
        <w:t>. It is also possible to differentiate tariffs on speed only. Actual bit rates may vary with the radio signal quality and network speeds to particular websites, so that, depending on the MNO, uplinks might be slower (and in theory cheaper). Often the MNO</w:t>
      </w:r>
      <w:r>
        <w:t>'</w:t>
      </w:r>
      <w:r w:rsidRPr="001032A3">
        <w:t xml:space="preserve">s </w:t>
      </w:r>
      <w:r>
        <w:t>"</w:t>
      </w:r>
      <w:r w:rsidRPr="001032A3">
        <w:t>guaranteed</w:t>
      </w:r>
      <w:r>
        <w:t>"</w:t>
      </w:r>
      <w:r w:rsidRPr="001032A3">
        <w:t xml:space="preserve"> advertised data rates are elusive in practice. </w:t>
      </w:r>
    </w:p>
    <w:p w14:paraId="75E7D1BD" w14:textId="77777777" w:rsidR="000A7DF2" w:rsidRDefault="000A7DF2" w:rsidP="003F7DD3">
      <w:r w:rsidRPr="001032A3">
        <w:lastRenderedPageBreak/>
        <w:t>For the wholesale rates of IOTs for inter-MNO charging for data, there are various models, often reflected in retail tariffing. For instance two common ones are:</w:t>
      </w:r>
    </w:p>
    <w:p w14:paraId="59663C31" w14:textId="77777777" w:rsidR="000A7DF2" w:rsidRPr="001032A3" w:rsidRDefault="003F7DD3" w:rsidP="003F7DD3">
      <w:pPr>
        <w:pStyle w:val="enumlev1"/>
      </w:pPr>
      <w:r>
        <w:t>•</w:t>
      </w:r>
      <w:r>
        <w:tab/>
      </w:r>
      <w:r w:rsidR="000A7DF2" w:rsidRPr="001032A3">
        <w:t xml:space="preserve">A flat rate per MByte charged with billing increments </w:t>
      </w:r>
      <w:r w:rsidR="000A7DF2">
        <w:t>–</w:t>
      </w:r>
      <w:r w:rsidR="000A7DF2" w:rsidRPr="001032A3">
        <w:t xml:space="preserve"> e</w:t>
      </w:r>
      <w:r w:rsidR="000A7DF2">
        <w:t>.</w:t>
      </w:r>
      <w:r w:rsidR="000A7DF2" w:rsidRPr="001032A3">
        <w:t>g</w:t>
      </w:r>
      <w:r w:rsidR="000A7DF2">
        <w:t>.</w:t>
      </w:r>
      <w:r w:rsidR="000A7DF2" w:rsidRPr="001032A3">
        <w:t xml:space="preserve"> every 100 </w:t>
      </w:r>
      <w:r w:rsidR="000A7DF2" w:rsidRPr="001C442B">
        <w:t>kBytes or every kByte</w:t>
      </w:r>
      <w:r w:rsidR="000A7DF2" w:rsidRPr="001032A3">
        <w:t xml:space="preserve"> for any total number of bytes.</w:t>
      </w:r>
    </w:p>
    <w:p w14:paraId="422004D5" w14:textId="77777777" w:rsidR="000A7DF2" w:rsidRPr="001032A3" w:rsidRDefault="003F7DD3" w:rsidP="003F7DD3">
      <w:pPr>
        <w:pStyle w:val="enumlev1"/>
      </w:pPr>
      <w:r>
        <w:t>•</w:t>
      </w:r>
      <w:r>
        <w:tab/>
      </w:r>
      <w:r w:rsidR="000A7DF2" w:rsidRPr="001032A3">
        <w:t xml:space="preserve">Steps in a data session by volume: </w:t>
      </w:r>
      <w:r w:rsidR="000A7DF2">
        <w:t>T</w:t>
      </w:r>
      <w:r w:rsidR="000A7DF2" w:rsidRPr="001032A3">
        <w:t>he steps in data volumes are rated differently</w:t>
      </w:r>
      <w:r w:rsidR="000A7DF2">
        <w:t>,</w:t>
      </w:r>
      <w:r w:rsidR="000A7DF2" w:rsidRPr="001032A3">
        <w:t xml:space="preserve"> e</w:t>
      </w:r>
      <w:r w:rsidR="000A7DF2">
        <w:t>.</w:t>
      </w:r>
      <w:r w:rsidR="000A7DF2" w:rsidRPr="001032A3">
        <w:t>g</w:t>
      </w:r>
      <w:r w:rsidR="000A7DF2">
        <w:t>.</w:t>
      </w:r>
      <w:r w:rsidR="000A7DF2" w:rsidRPr="001032A3">
        <w:t xml:space="preserve"> first MByte at X currency units, then the following 10</w:t>
      </w:r>
      <w:r w:rsidR="000A7DF2">
        <w:t xml:space="preserve"> </w:t>
      </w:r>
      <w:r w:rsidR="000A7DF2" w:rsidRPr="001032A3">
        <w:t>MBytes at Y, with the following 100</w:t>
      </w:r>
      <w:r w:rsidR="000A7DF2">
        <w:t xml:space="preserve"> </w:t>
      </w:r>
      <w:r w:rsidR="000A7DF2" w:rsidRPr="001032A3">
        <w:t>M</w:t>
      </w:r>
      <w:r w:rsidR="000A7DF2">
        <w:t>B</w:t>
      </w:r>
      <w:r w:rsidR="000A7DF2" w:rsidRPr="001032A3">
        <w:t xml:space="preserve">ytes at Z </w:t>
      </w:r>
      <w:r w:rsidR="000A7DF2">
        <w:t>–</w:t>
      </w:r>
      <w:r w:rsidR="000A7DF2" w:rsidRPr="001032A3">
        <w:t xml:space="preserve"> i</w:t>
      </w:r>
      <w:r w:rsidR="000A7DF2">
        <w:t>.</w:t>
      </w:r>
      <w:r w:rsidR="000A7DF2" w:rsidRPr="001032A3">
        <w:t>e</w:t>
      </w:r>
      <w:r w:rsidR="000A7DF2">
        <w:t>.</w:t>
      </w:r>
      <w:r w:rsidR="000A7DF2" w:rsidRPr="001032A3">
        <w:t xml:space="preserve"> high volume sessions have lower rates.</w:t>
      </w:r>
    </w:p>
    <w:p w14:paraId="616641D5" w14:textId="77777777" w:rsidR="000A7DF2" w:rsidRPr="001032A3" w:rsidRDefault="000A7DF2" w:rsidP="000A7DF2">
      <w:r w:rsidRPr="001032A3">
        <w:t xml:space="preserve">Costs depend on the generation of data architecture in use but all architectures indicate high entry, or one-time costs, followed by lower expansion costs for major surges in data volumes. Real costs per MByte depend on volume of data. Thus as traffic builds, the justification for a mark-up over domestic data charges may become less justified. The wholesale charges sought by MNOs reflect the roaming data volume and their revenues from roaming: generally the higher the volume, the lower the wholesale price sought for IOTs. Thus IOTs also reflect the volume of traffic expected </w:t>
      </w:r>
      <w:r>
        <w:t>–</w:t>
      </w:r>
      <w:r w:rsidRPr="001032A3">
        <w:t xml:space="preserve"> and the revenues for the MNO from that, just as for voice </w:t>
      </w:r>
      <w:r>
        <w:t>–</w:t>
      </w:r>
      <w:r w:rsidRPr="001032A3">
        <w:t xml:space="preserve"> for both the visited and home MNO. However, recent cases indicate that for data roaming, the MNOs may still not be very logical in charges as the so-called </w:t>
      </w:r>
      <w:r>
        <w:t>"</w:t>
      </w:r>
      <w:r w:rsidRPr="001032A3">
        <w:t>bill-shock</w:t>
      </w:r>
      <w:r>
        <w:t>"</w:t>
      </w:r>
      <w:r w:rsidRPr="001032A3">
        <w:t xml:space="preserve"> cases illustrate</w:t>
      </w:r>
      <w:r w:rsidRPr="001032A3">
        <w:rPr>
          <w:rStyle w:val="FootnoteCharacters"/>
        </w:rPr>
        <w:footnoteReference w:id="38"/>
      </w:r>
      <w:r w:rsidRPr="001032A3">
        <w:t>. Thus scrutiny of IOTs for data roaming may provide some surprising levels of tariffs (as the case of roaming between Sweden and Norway by overlap error at the frontier, for instance, has shown).</w:t>
      </w:r>
    </w:p>
    <w:p w14:paraId="2AF87C25" w14:textId="77777777" w:rsidR="000A7DF2" w:rsidRPr="001032A3" w:rsidRDefault="000A7DF2" w:rsidP="000A7DF2">
      <w:r w:rsidRPr="001032A3">
        <w:t xml:space="preserve">Turning to the use cases for data, as shown in </w:t>
      </w:r>
      <w:r>
        <w:t>F</w:t>
      </w:r>
      <w:r w:rsidRPr="001032A3">
        <w:t xml:space="preserve">igure </w:t>
      </w:r>
      <w:r>
        <w:t xml:space="preserve">13 </w:t>
      </w:r>
      <w:r w:rsidRPr="001032A3">
        <w:t>above, the single most important case when abroad perhaps is mobile Internet access. As illustrated, this can be via mobile broadband services which some MNOs may refer to as packet switched data (PSD), with a connection established by the visited MNO back to the home MNO network. Conventionally for this, the visited MNO passes the roaming subscriber</w:t>
      </w:r>
      <w:r>
        <w:t>'</w:t>
      </w:r>
      <w:r w:rsidRPr="001032A3">
        <w:t xml:space="preserve">s </w:t>
      </w:r>
      <w:r>
        <w:t>I</w:t>
      </w:r>
      <w:r w:rsidRPr="001C442B">
        <w:t>nternet traffic</w:t>
      </w:r>
      <w:r w:rsidRPr="001032A3">
        <w:t xml:space="preserve"> via an international gateway into a data transit network for two-way data communication with the home network. The home network then connects the roaming subscriber to the Internet, to access all the personali</w:t>
      </w:r>
      <w:r>
        <w:t>z</w:t>
      </w:r>
      <w:r w:rsidRPr="001032A3">
        <w:t>ed services such as e-mail, social networking and other data services, e</w:t>
      </w:r>
      <w:r>
        <w:t>.</w:t>
      </w:r>
      <w:r w:rsidRPr="001032A3">
        <w:t>g</w:t>
      </w:r>
      <w:r>
        <w:t>.</w:t>
      </w:r>
      <w:r w:rsidRPr="001032A3">
        <w:t xml:space="preserve"> for the cloud. The future is to move to direct local IP connection via the visited MNO</w:t>
      </w:r>
      <w:r>
        <w:t>'</w:t>
      </w:r>
      <w:r w:rsidRPr="001032A3">
        <w:t>s RAN into an Internet gateway for lower cost infrastructure, with potentially higher performance.</w:t>
      </w:r>
    </w:p>
    <w:p w14:paraId="19BF6346" w14:textId="77777777" w:rsidR="000A7DF2" w:rsidRPr="001032A3" w:rsidRDefault="000A7DF2" w:rsidP="000A7DF2">
      <w:r w:rsidRPr="001032A3">
        <w:t>The MNOs and any carriers involved then communicate billing information on data roaming customers for all data services on the visited network. This may be in a mode as near to real time as possible, in cases of tariff limits on data volumes, e</w:t>
      </w:r>
      <w:r>
        <w:t>.</w:t>
      </w:r>
      <w:r w:rsidRPr="001032A3">
        <w:t>g</w:t>
      </w:r>
      <w:r>
        <w:t>.</w:t>
      </w:r>
      <w:r w:rsidRPr="001032A3">
        <w:t xml:space="preserve"> for prepaid and possibly for postpaid, if warnings on volume-based charging thresholds must be given. </w:t>
      </w:r>
    </w:p>
    <w:p w14:paraId="5E502103" w14:textId="77777777" w:rsidR="000A7DF2" w:rsidRPr="001032A3" w:rsidRDefault="000A7DF2" w:rsidP="000A7DF2">
      <w:r w:rsidRPr="001032A3">
        <w:t xml:space="preserve">In principle, the billing process is as follows. The visited MNO captures the details of each data session as a call data record (CDR or IPDR). CDRs or IPDRs register all key data for billing, including data rate, data volume exchanged in each direction for asymmetrical billing upload/download (measured in Mbytes or kBytes), </w:t>
      </w:r>
      <w:r w:rsidRPr="001C442B">
        <w:t>session duration</w:t>
      </w:r>
      <w:r w:rsidRPr="001032A3">
        <w:t>, locations, identity of sending and receiving parties, with time of connection.</w:t>
      </w:r>
      <w:r>
        <w:t xml:space="preserve"> </w:t>
      </w:r>
      <w:r w:rsidRPr="001032A3">
        <w:t xml:space="preserve">From this record, the visited MNO calculates the wholesale roaming charge under IOT for data, payable by the home MNO. All of the data, with the CDR records, plus the wholesale charges due, are encoded in a </w:t>
      </w:r>
      <w:r>
        <w:t>t</w:t>
      </w:r>
      <w:r w:rsidRPr="001032A3">
        <w:t xml:space="preserve">ransferred </w:t>
      </w:r>
      <w:r>
        <w:t>a</w:t>
      </w:r>
      <w:r w:rsidRPr="001032A3">
        <w:t xml:space="preserve">ccount </w:t>
      </w:r>
      <w:r>
        <w:t>p</w:t>
      </w:r>
      <w:r w:rsidRPr="001032A3">
        <w:t>rocedure (TAP) file transmitted by the visited MNO to the home MNO perhaps via an intermediary</w:t>
      </w:r>
      <w:r w:rsidRPr="001032A3">
        <w:rPr>
          <w:rStyle w:val="FootnoteReference"/>
        </w:rPr>
        <w:footnoteReference w:id="39"/>
      </w:r>
      <w:r w:rsidRPr="001032A3">
        <w:t xml:space="preserve">. </w:t>
      </w:r>
    </w:p>
    <w:p w14:paraId="430F4CDA" w14:textId="77777777" w:rsidR="000A7DF2" w:rsidRDefault="000A7DF2" w:rsidP="00157FD2">
      <w:pPr>
        <w:keepLines/>
      </w:pPr>
      <w:r w:rsidRPr="001032A3">
        <w:lastRenderedPageBreak/>
        <w:t xml:space="preserve">To simplify the use cases for data roaming (designated by </w:t>
      </w:r>
      <w:r>
        <w:t>'</w:t>
      </w:r>
      <w:r w:rsidRPr="001032A3">
        <w:t>B</w:t>
      </w:r>
      <w:r>
        <w:t>'</w:t>
      </w:r>
      <w:r w:rsidRPr="001032A3">
        <w:t xml:space="preserve"> for data)</w:t>
      </w:r>
      <w:r>
        <w:t>,</w:t>
      </w:r>
      <w:r w:rsidRPr="001032A3">
        <w:t xml:space="preserve"> we focus on a generic interactive data session </w:t>
      </w:r>
      <w:r>
        <w:t>–</w:t>
      </w:r>
      <w:r w:rsidRPr="001032A3">
        <w:t xml:space="preserve"> i</w:t>
      </w:r>
      <w:r>
        <w:t>.</w:t>
      </w:r>
      <w:r w:rsidRPr="001032A3">
        <w:t>e</w:t>
      </w:r>
      <w:r>
        <w:t>.</w:t>
      </w:r>
      <w:r w:rsidRPr="001032A3">
        <w:t xml:space="preserve"> the condition that data roaming is switched on by the mobile subscriber on the handset. Note that the Internet once reached is </w:t>
      </w:r>
      <w:r>
        <w:t>'</w:t>
      </w:r>
      <w:r w:rsidRPr="001032A3">
        <w:t>locationless</w:t>
      </w:r>
      <w:r>
        <w:t>'</w:t>
      </w:r>
      <w:r w:rsidRPr="001032A3">
        <w:t>, i</w:t>
      </w:r>
      <w:r>
        <w:t>.</w:t>
      </w:r>
      <w:r w:rsidRPr="001032A3">
        <w:t>e</w:t>
      </w:r>
      <w:r>
        <w:t>.</w:t>
      </w:r>
      <w:r w:rsidRPr="001032A3">
        <w:t xml:space="preserve"> we can send data and e</w:t>
      </w:r>
      <w:r>
        <w:t>-</w:t>
      </w:r>
      <w:r w:rsidRPr="001032A3">
        <w:t>mails anywhere in the world but may be charged for delivery, if the final part of the route is over a mobile connection. Th</w:t>
      </w:r>
      <w:r>
        <w:t>is</w:t>
      </w:r>
      <w:r w:rsidRPr="001032A3">
        <w:t xml:space="preserve"> implies that the use case for sending data to </w:t>
      </w:r>
      <w:r>
        <w:t xml:space="preserve">a </w:t>
      </w:r>
      <w:r w:rsidRPr="001032A3">
        <w:t>third country only applies for reception by a mobile subscriber over a mobile connection. The final delivery via a local ISP should not be part of the tariff. Thus the interactive roaming session use case may be considered for billing purposes as of in two modes in terms of the costings of the network elements used, due to the asymmetric charging used by some MNOs for upload and download. Mobile Internet roaming consists of gaining mobile internet access, and interactively browsing the web as follows:</w:t>
      </w:r>
    </w:p>
    <w:p w14:paraId="3D041C17" w14:textId="77777777" w:rsidR="000A7DF2" w:rsidRPr="001032A3" w:rsidRDefault="003F7DD3" w:rsidP="003F7DD3">
      <w:pPr>
        <w:pStyle w:val="enumlev1"/>
      </w:pPr>
      <w:r>
        <w:t>•</w:t>
      </w:r>
      <w:r>
        <w:tab/>
      </w:r>
      <w:r w:rsidR="000A7DF2" w:rsidRPr="001032A3">
        <w:t xml:space="preserve">Use </w:t>
      </w:r>
      <w:r w:rsidR="000A7DF2">
        <w:t xml:space="preserve">case 1B: </w:t>
      </w:r>
      <w:r w:rsidR="000A7DF2" w:rsidRPr="001032A3">
        <w:t>Send e</w:t>
      </w:r>
      <w:r w:rsidR="000A7DF2">
        <w:t>-</w:t>
      </w:r>
      <w:r w:rsidR="000A7DF2" w:rsidRPr="001032A3">
        <w:t>mail or transaction responses in an interactive session with upload of data files</w:t>
      </w:r>
      <w:r w:rsidR="000A7DF2">
        <w:t>.</w:t>
      </w:r>
      <w:r w:rsidR="000A7DF2" w:rsidRPr="001032A3">
        <w:t xml:space="preserve"> </w:t>
      </w:r>
    </w:p>
    <w:p w14:paraId="61B6707A" w14:textId="77777777" w:rsidR="000A7DF2" w:rsidRPr="001032A3" w:rsidRDefault="003F7DD3" w:rsidP="003F7DD3">
      <w:pPr>
        <w:pStyle w:val="enumlev1"/>
      </w:pPr>
      <w:r>
        <w:t>•</w:t>
      </w:r>
      <w:r>
        <w:tab/>
      </w:r>
      <w:r w:rsidR="000A7DF2" w:rsidRPr="001032A3">
        <w:t xml:space="preserve">Use </w:t>
      </w:r>
      <w:r w:rsidR="000A7DF2">
        <w:t>case 2B:</w:t>
      </w:r>
      <w:r w:rsidR="000A7DF2" w:rsidRPr="001032A3">
        <w:t xml:space="preserve"> Receive e</w:t>
      </w:r>
      <w:r w:rsidR="000A7DF2">
        <w:t>-</w:t>
      </w:r>
      <w:r w:rsidR="000A7DF2" w:rsidRPr="001032A3">
        <w:t>mails and transaction responses and download data</w:t>
      </w:r>
      <w:r w:rsidR="000A7DF2">
        <w:t>.</w:t>
      </w:r>
    </w:p>
    <w:p w14:paraId="2F05D528" w14:textId="77777777" w:rsidR="000A7DF2" w:rsidRPr="001032A3" w:rsidRDefault="000A7DF2" w:rsidP="000A7DF2">
      <w:r w:rsidRPr="001032A3">
        <w:t>This encompasses all other potential roaming use cases:</w:t>
      </w:r>
    </w:p>
    <w:p w14:paraId="0DCF3B66" w14:textId="77777777" w:rsidR="000A7DF2" w:rsidRPr="001032A3" w:rsidRDefault="003F7DD3" w:rsidP="003F7DD3">
      <w:pPr>
        <w:pStyle w:val="enumlev1"/>
      </w:pPr>
      <w:r>
        <w:t>•</w:t>
      </w:r>
      <w:r>
        <w:tab/>
      </w:r>
      <w:r w:rsidR="000A7DF2" w:rsidRPr="001032A3">
        <w:t>Browse web and upload/download data files</w:t>
      </w:r>
      <w:r w:rsidR="000A7DF2">
        <w:t>.</w:t>
      </w:r>
    </w:p>
    <w:p w14:paraId="62265FB1" w14:textId="77777777" w:rsidR="000A7DF2" w:rsidRPr="001032A3" w:rsidRDefault="003F7DD3" w:rsidP="003F7DD3">
      <w:pPr>
        <w:pStyle w:val="enumlev1"/>
      </w:pPr>
      <w:r>
        <w:t>•</w:t>
      </w:r>
      <w:r>
        <w:tab/>
      </w:r>
      <w:r w:rsidR="000A7DF2" w:rsidRPr="001032A3">
        <w:t>Send e</w:t>
      </w:r>
      <w:r w:rsidR="000A7DF2">
        <w:t>-</w:t>
      </w:r>
      <w:r w:rsidR="000A7DF2" w:rsidRPr="001032A3">
        <w:t>mail or data files to destination in the visited country, including a local mobile subscriber</w:t>
      </w:r>
      <w:r w:rsidR="000A7DF2">
        <w:t>.</w:t>
      </w:r>
      <w:r w:rsidR="000A7DF2" w:rsidRPr="001032A3">
        <w:t xml:space="preserve"> </w:t>
      </w:r>
    </w:p>
    <w:p w14:paraId="7531E682" w14:textId="77777777" w:rsidR="000A7DF2" w:rsidRPr="001032A3" w:rsidRDefault="003F7DD3" w:rsidP="003F7DD3">
      <w:pPr>
        <w:pStyle w:val="enumlev1"/>
      </w:pPr>
      <w:r>
        <w:t>•</w:t>
      </w:r>
      <w:r>
        <w:tab/>
      </w:r>
      <w:r w:rsidR="000A7DF2" w:rsidRPr="001032A3">
        <w:t>Send data to home country</w:t>
      </w:r>
      <w:r w:rsidR="000A7DF2">
        <w:t>:</w:t>
      </w:r>
      <w:r w:rsidR="000A7DF2" w:rsidRPr="001032A3">
        <w:t xml:space="preserve"> a) to another mobile, either off</w:t>
      </w:r>
      <w:r w:rsidR="000A7DF2">
        <w:t>-</w:t>
      </w:r>
      <w:r w:rsidR="000A7DF2" w:rsidRPr="001032A3">
        <w:t>net or on-net</w:t>
      </w:r>
      <w:r w:rsidR="000A7DF2">
        <w:t>,</w:t>
      </w:r>
      <w:r w:rsidR="000A7DF2" w:rsidRPr="001032A3">
        <w:t xml:space="preserve"> or b) to an </w:t>
      </w:r>
      <w:r w:rsidR="000A7DF2">
        <w:t>I</w:t>
      </w:r>
      <w:r w:rsidR="000A7DF2" w:rsidRPr="001032A3">
        <w:t>nternet fixed location</w:t>
      </w:r>
      <w:r w:rsidR="000A7DF2">
        <w:t>.</w:t>
      </w:r>
      <w:r w:rsidR="000A7DF2" w:rsidRPr="001032A3">
        <w:t xml:space="preserve"> </w:t>
      </w:r>
    </w:p>
    <w:p w14:paraId="166507EF" w14:textId="77777777" w:rsidR="000A7DF2" w:rsidRPr="001032A3" w:rsidRDefault="003F7DD3" w:rsidP="003F7DD3">
      <w:pPr>
        <w:pStyle w:val="enumlev1"/>
      </w:pPr>
      <w:r>
        <w:t>•</w:t>
      </w:r>
      <w:r>
        <w:tab/>
      </w:r>
      <w:r w:rsidR="000A7DF2" w:rsidRPr="001032A3">
        <w:t>Send data/e</w:t>
      </w:r>
      <w:r w:rsidR="000A7DF2">
        <w:t>-</w:t>
      </w:r>
      <w:r w:rsidR="000A7DF2" w:rsidRPr="001032A3">
        <w:t>mail or browse while in visited country to a 3rd country</w:t>
      </w:r>
      <w:r w:rsidR="000A7DF2">
        <w:t>:</w:t>
      </w:r>
      <w:r w:rsidR="000A7DF2" w:rsidRPr="001032A3">
        <w:t xml:space="preserve"> a) to a mobile</w:t>
      </w:r>
      <w:r w:rsidR="000A7DF2">
        <w:t>,</w:t>
      </w:r>
      <w:r w:rsidR="000A7DF2" w:rsidRPr="001032A3">
        <w:t xml:space="preserve"> or b) to other off</w:t>
      </w:r>
      <w:r w:rsidR="000A7DF2">
        <w:t>-</w:t>
      </w:r>
      <w:r w:rsidR="000A7DF2" w:rsidRPr="001032A3">
        <w:t>net termination</w:t>
      </w:r>
      <w:r w:rsidR="000A7DF2">
        <w:t>.</w:t>
      </w:r>
    </w:p>
    <w:p w14:paraId="3CEE154B" w14:textId="77777777" w:rsidR="000A7DF2" w:rsidRPr="001032A3" w:rsidRDefault="003F7DD3" w:rsidP="003F7DD3">
      <w:pPr>
        <w:pStyle w:val="enumlev1"/>
      </w:pPr>
      <w:r>
        <w:t>•</w:t>
      </w:r>
      <w:r>
        <w:tab/>
      </w:r>
      <w:r w:rsidR="000A7DF2" w:rsidRPr="001032A3">
        <w:t>Receive data from home country, such as an e</w:t>
      </w:r>
      <w:r w:rsidR="000A7DF2">
        <w:t>-</w:t>
      </w:r>
      <w:r w:rsidR="000A7DF2" w:rsidRPr="001032A3">
        <w:t>mail or file download, a) from a mobile</w:t>
      </w:r>
      <w:r w:rsidR="000A7DF2">
        <w:t>,</w:t>
      </w:r>
      <w:r w:rsidR="000A7DF2" w:rsidRPr="001032A3">
        <w:t xml:space="preserve"> or b) fixed line source</w:t>
      </w:r>
      <w:r w:rsidR="000A7DF2">
        <w:t>.</w:t>
      </w:r>
    </w:p>
    <w:p w14:paraId="14B3C44D" w14:textId="77777777" w:rsidR="000A7DF2" w:rsidRPr="001032A3" w:rsidRDefault="003F7DD3" w:rsidP="003F7DD3">
      <w:pPr>
        <w:pStyle w:val="enumlev1"/>
      </w:pPr>
      <w:r>
        <w:t>•</w:t>
      </w:r>
      <w:r>
        <w:tab/>
      </w:r>
      <w:r w:rsidR="000A7DF2" w:rsidRPr="001032A3">
        <w:t>Receive e</w:t>
      </w:r>
      <w:r w:rsidR="000A7DF2">
        <w:t>-</w:t>
      </w:r>
      <w:r w:rsidR="000A7DF2" w:rsidRPr="001032A3">
        <w:t>mail or data sent from inside visited country</w:t>
      </w:r>
      <w:r w:rsidR="000A7DF2">
        <w:t>.</w:t>
      </w:r>
    </w:p>
    <w:p w14:paraId="4F7E8095" w14:textId="77777777" w:rsidR="000A7DF2" w:rsidRPr="001032A3" w:rsidRDefault="003F7DD3" w:rsidP="003F7DD3">
      <w:pPr>
        <w:pStyle w:val="enumlev1"/>
      </w:pPr>
      <w:r>
        <w:t>•</w:t>
      </w:r>
      <w:r>
        <w:tab/>
      </w:r>
      <w:r w:rsidR="000A7DF2" w:rsidRPr="001032A3">
        <w:t>Receive data/e</w:t>
      </w:r>
      <w:r w:rsidR="000A7DF2">
        <w:t>-</w:t>
      </w:r>
      <w:r w:rsidR="000A7DF2" w:rsidRPr="001032A3">
        <w:t>mail while in visited country from a third country</w:t>
      </w:r>
      <w:r w:rsidR="000A7DF2">
        <w:t>.</w:t>
      </w:r>
    </w:p>
    <w:p w14:paraId="4317C053" w14:textId="77777777" w:rsidR="000A7DF2" w:rsidRPr="001032A3" w:rsidRDefault="000A7DF2" w:rsidP="000A7DF2">
      <w:r w:rsidRPr="001032A3">
        <w:t>These transfers may use GSM/GPRS procedures and/or 3G/IP procedures, with differentiation of tariffs for data download and upload. Any such differences should appear in the cost analysis calculations for the use</w:t>
      </w:r>
      <w:r>
        <w:t xml:space="preserve"> </w:t>
      </w:r>
      <w:r w:rsidRPr="001032A3">
        <w:t>cases. However</w:t>
      </w:r>
      <w:r>
        <w:t>,</w:t>
      </w:r>
      <w:r w:rsidRPr="001032A3">
        <w:t xml:space="preserve"> a single tariff for both directions for a data session would merge the two use case cost calculations. </w:t>
      </w:r>
    </w:p>
    <w:p w14:paraId="013A1516" w14:textId="77777777" w:rsidR="000A7DF2" w:rsidRPr="001032A3" w:rsidRDefault="000A7DF2" w:rsidP="000A7DF2">
      <w:r w:rsidRPr="001032A3">
        <w:t xml:space="preserve">There may also be a situation of distance-based charging being absent if the Internet </w:t>
      </w:r>
      <w:r>
        <w:t>'</w:t>
      </w:r>
      <w:r w:rsidRPr="001032A3">
        <w:t>cloud</w:t>
      </w:r>
      <w:r>
        <w:t>'</w:t>
      </w:r>
      <w:r w:rsidRPr="001032A3">
        <w:t xml:space="preserve"> means that geographic differentiation is less meaningful and so is not applied. However, MNOs may opt to charge for roaming access to the </w:t>
      </w:r>
      <w:r>
        <w:t>'</w:t>
      </w:r>
      <w:r w:rsidRPr="001032A3">
        <w:t>cloud</w:t>
      </w:r>
      <w:r>
        <w:t>'</w:t>
      </w:r>
      <w:r w:rsidRPr="001032A3">
        <w:t xml:space="preserve"> on their own terms. In contrast, use of immediate Internet access for data roaming should enable MNOs to offer retail packages for roaming at a flat fee across many countries, especially as flat rate IOTs may be negotiated. Although the elements and their costs will vary by generation of mobile technology actually in use within each MNO, the </w:t>
      </w:r>
      <w:r w:rsidRPr="001032A3">
        <w:rPr>
          <w:i/>
          <w:iCs/>
        </w:rPr>
        <w:t>use cases</w:t>
      </w:r>
      <w:r w:rsidRPr="001032A3">
        <w:t xml:space="preserve"> </w:t>
      </w:r>
      <w:r w:rsidRPr="001032A3">
        <w:rPr>
          <w:i/>
          <w:iCs/>
        </w:rPr>
        <w:t>are technology</w:t>
      </w:r>
      <w:r>
        <w:rPr>
          <w:i/>
          <w:iCs/>
        </w:rPr>
        <w:t xml:space="preserve"> </w:t>
      </w:r>
      <w:r w:rsidRPr="001032A3">
        <w:rPr>
          <w:i/>
          <w:iCs/>
        </w:rPr>
        <w:t>neutral.</w:t>
      </w:r>
      <w:r w:rsidRPr="001032A3">
        <w:t xml:space="preserve"> They can thus be used to identify the cost elements that the subscriber</w:t>
      </w:r>
      <w:r>
        <w:t>'</w:t>
      </w:r>
      <w:r w:rsidRPr="001032A3">
        <w:t>s activity will involve across the MNOs</w:t>
      </w:r>
      <w:r>
        <w:t>' technologies.</w:t>
      </w:r>
    </w:p>
    <w:p w14:paraId="2C4793CE" w14:textId="77777777" w:rsidR="000A7DF2" w:rsidRPr="001032A3" w:rsidRDefault="000A7DF2" w:rsidP="000A7DF2">
      <w:r w:rsidRPr="001032A3">
        <w:t xml:space="preserve">Examples in outline of the technical network elements involved across the various technologies, for the use cases, are shown in </w:t>
      </w:r>
      <w:r>
        <w:t>T</w:t>
      </w:r>
      <w:r w:rsidRPr="001032A3">
        <w:t xml:space="preserve">able </w:t>
      </w:r>
      <w:r>
        <w:t xml:space="preserve">6 </w:t>
      </w:r>
      <w:r w:rsidRPr="001032A3">
        <w:t xml:space="preserve">below. It should be </w:t>
      </w:r>
      <w:r>
        <w:t>noted</w:t>
      </w:r>
      <w:r w:rsidRPr="001032A3">
        <w:t xml:space="preserve"> that this is just an example – the actual situation within each MNO may vary in terms of the network infrastructure and mixing of generations of technology. Moreover</w:t>
      </w:r>
      <w:r>
        <w:t>,</w:t>
      </w:r>
      <w:r w:rsidRPr="001032A3">
        <w:t xml:space="preserve"> the cost items for BSS systems and processes </w:t>
      </w:r>
      <w:r>
        <w:t>must be added to these costs –</w:t>
      </w:r>
      <w:r w:rsidRPr="001032A3">
        <w:t xml:space="preserve"> and any other back office systems and processes involved in data roaming. Such a network element table should be further analysed by the proportion of those elements involved during the roaming process, in order to attribute roaming costs, as well as for distinctions in uplink and downlink tariffs, if they differ:</w:t>
      </w:r>
    </w:p>
    <w:p w14:paraId="50FE231F" w14:textId="77777777" w:rsidR="00CB2141" w:rsidRDefault="00CB2141" w:rsidP="00C52436">
      <w:r>
        <w:br w:type="page"/>
      </w:r>
    </w:p>
    <w:p w14:paraId="40964713" w14:textId="77777777" w:rsidR="000A7DF2" w:rsidRPr="001032A3" w:rsidRDefault="000A7DF2" w:rsidP="003F7DD3">
      <w:pPr>
        <w:pStyle w:val="Tabletitle"/>
      </w:pPr>
      <w:r w:rsidRPr="001032A3">
        <w:lastRenderedPageBreak/>
        <w:t xml:space="preserve">Table </w:t>
      </w:r>
      <w:r>
        <w:t>6</w:t>
      </w:r>
      <w:r w:rsidRPr="001032A3">
        <w:t xml:space="preserve"> </w:t>
      </w:r>
      <w:r>
        <w:t xml:space="preserve">– </w:t>
      </w:r>
      <w:r w:rsidRPr="001032A3">
        <w:t>Examples of network elements involved in data roaming within the cellular system vary by technology and costing should take account of the differences</w:t>
      </w:r>
    </w:p>
    <w:tbl>
      <w:tblPr>
        <w:tblW w:w="9385" w:type="dxa"/>
        <w:jc w:val="center"/>
        <w:tblLayout w:type="fixed"/>
        <w:tblCellMar>
          <w:left w:w="62" w:type="dxa"/>
          <w:right w:w="62" w:type="dxa"/>
        </w:tblCellMar>
        <w:tblLook w:val="0000" w:firstRow="0" w:lastRow="0" w:firstColumn="0" w:lastColumn="0" w:noHBand="0" w:noVBand="0"/>
      </w:tblPr>
      <w:tblGrid>
        <w:gridCol w:w="1971"/>
        <w:gridCol w:w="2408"/>
        <w:gridCol w:w="2714"/>
        <w:gridCol w:w="2292"/>
      </w:tblGrid>
      <w:tr w:rsidR="000A7DF2" w:rsidRPr="001032A3" w14:paraId="23C8C28C" w14:textId="77777777" w:rsidTr="00411DF8">
        <w:trPr>
          <w:trHeight w:val="640"/>
          <w:jc w:val="center"/>
        </w:trPr>
        <w:tc>
          <w:tcPr>
            <w:tcW w:w="1971" w:type="dxa"/>
            <w:tcBorders>
              <w:top w:val="single" w:sz="8" w:space="0" w:color="000000"/>
              <w:left w:val="single" w:sz="8" w:space="0" w:color="000000"/>
              <w:bottom w:val="single" w:sz="4" w:space="0" w:color="000000"/>
            </w:tcBorders>
            <w:shd w:val="clear" w:color="auto" w:fill="FFFFFF" w:themeFill="background1"/>
            <w:vAlign w:val="center"/>
          </w:tcPr>
          <w:p w14:paraId="603167C9" w14:textId="77777777" w:rsidR="000A7DF2" w:rsidRPr="001032A3" w:rsidRDefault="000A7DF2" w:rsidP="003F7DD3">
            <w:pPr>
              <w:pStyle w:val="Tablehead"/>
              <w:rPr>
                <w:i/>
                <w:iCs/>
              </w:rPr>
            </w:pPr>
            <w:r>
              <w:t>Use case</w:t>
            </w:r>
          </w:p>
        </w:tc>
        <w:tc>
          <w:tcPr>
            <w:tcW w:w="2408" w:type="dxa"/>
            <w:tcBorders>
              <w:top w:val="single" w:sz="8" w:space="0" w:color="000000"/>
              <w:left w:val="single" w:sz="4" w:space="0" w:color="000000"/>
              <w:bottom w:val="single" w:sz="4" w:space="0" w:color="000000"/>
            </w:tcBorders>
            <w:shd w:val="clear" w:color="auto" w:fill="FFFFFF" w:themeFill="background1"/>
            <w:vAlign w:val="center"/>
          </w:tcPr>
          <w:p w14:paraId="62677996" w14:textId="77777777" w:rsidR="000A7DF2" w:rsidRPr="001032A3" w:rsidRDefault="000A7DF2" w:rsidP="003F7DD3">
            <w:pPr>
              <w:pStyle w:val="Tablehead"/>
            </w:pPr>
            <w:r w:rsidRPr="001032A3">
              <w:t>2G GPRS/EDGE</w:t>
            </w:r>
          </w:p>
          <w:p w14:paraId="36B05B17" w14:textId="77777777" w:rsidR="000A7DF2" w:rsidRPr="001032A3" w:rsidRDefault="000A7DF2" w:rsidP="003F7DD3">
            <w:pPr>
              <w:pStyle w:val="Tablehead"/>
            </w:pPr>
            <w:r>
              <w:t>e</w:t>
            </w:r>
            <w:r w:rsidRPr="001032A3">
              <w:t>xample</w:t>
            </w:r>
          </w:p>
        </w:tc>
        <w:tc>
          <w:tcPr>
            <w:tcW w:w="2714" w:type="dxa"/>
            <w:tcBorders>
              <w:top w:val="single" w:sz="8" w:space="0" w:color="000000"/>
              <w:left w:val="single" w:sz="4" w:space="0" w:color="000000"/>
              <w:bottom w:val="single" w:sz="4" w:space="0" w:color="000000"/>
            </w:tcBorders>
            <w:shd w:val="clear" w:color="auto" w:fill="FFFFFF" w:themeFill="background1"/>
            <w:vAlign w:val="center"/>
          </w:tcPr>
          <w:p w14:paraId="26A354E7" w14:textId="77777777" w:rsidR="000A7DF2" w:rsidRPr="001032A3" w:rsidRDefault="000A7DF2" w:rsidP="003F7DD3">
            <w:pPr>
              <w:pStyle w:val="Tablehead"/>
            </w:pPr>
            <w:r w:rsidRPr="001032A3">
              <w:t>3G UMTS</w:t>
            </w:r>
          </w:p>
          <w:p w14:paraId="62FCE9B3" w14:textId="77777777" w:rsidR="000A7DF2" w:rsidRPr="001032A3" w:rsidRDefault="000A7DF2" w:rsidP="00205FAB">
            <w:pPr>
              <w:pStyle w:val="Tablehead"/>
            </w:pPr>
            <w:r>
              <w:t>e</w:t>
            </w:r>
            <w:r w:rsidRPr="001032A3">
              <w:t>xample</w:t>
            </w:r>
          </w:p>
        </w:tc>
        <w:tc>
          <w:tcPr>
            <w:tcW w:w="2292" w:type="dxa"/>
            <w:tcBorders>
              <w:top w:val="single" w:sz="8" w:space="0" w:color="000000"/>
              <w:left w:val="single" w:sz="4" w:space="0" w:color="000000"/>
              <w:bottom w:val="single" w:sz="4" w:space="0" w:color="000000"/>
              <w:right w:val="single" w:sz="8" w:space="0" w:color="000000"/>
            </w:tcBorders>
            <w:shd w:val="clear" w:color="auto" w:fill="FFFFFF" w:themeFill="background1"/>
            <w:vAlign w:val="center"/>
          </w:tcPr>
          <w:p w14:paraId="1B9E5252" w14:textId="77777777" w:rsidR="000A7DF2" w:rsidRPr="001032A3" w:rsidRDefault="000A7DF2" w:rsidP="003F7DD3">
            <w:pPr>
              <w:pStyle w:val="Tablehead"/>
            </w:pPr>
            <w:r w:rsidRPr="001032A3">
              <w:t>2G GPRS example of interconnect with 3G IP streaming</w:t>
            </w:r>
          </w:p>
        </w:tc>
      </w:tr>
      <w:tr w:rsidR="000A7DF2" w:rsidRPr="001032A3" w14:paraId="0BDCAB50" w14:textId="77777777">
        <w:trPr>
          <w:trHeight w:val="1479"/>
          <w:jc w:val="center"/>
        </w:trPr>
        <w:tc>
          <w:tcPr>
            <w:tcW w:w="1971" w:type="dxa"/>
            <w:tcBorders>
              <w:top w:val="single" w:sz="4" w:space="0" w:color="000000"/>
              <w:left w:val="single" w:sz="8" w:space="0" w:color="000000"/>
              <w:bottom w:val="single" w:sz="4" w:space="0" w:color="000000"/>
            </w:tcBorders>
          </w:tcPr>
          <w:p w14:paraId="67DC3585" w14:textId="77777777" w:rsidR="000A7DF2" w:rsidRPr="00234CBB" w:rsidRDefault="000A7DF2" w:rsidP="003F7DD3">
            <w:pPr>
              <w:pStyle w:val="Tabletext"/>
              <w:rPr>
                <w:lang w:val="en-US"/>
              </w:rPr>
            </w:pPr>
            <w:r w:rsidRPr="00234CBB">
              <w:rPr>
                <w:lang w:val="en-US"/>
              </w:rPr>
              <w:t>1B: Send</w:t>
            </w:r>
            <w:r w:rsidRPr="00234CBB">
              <w:rPr>
                <w:b/>
                <w:lang w:val="en-US"/>
              </w:rPr>
              <w:t xml:space="preserve"> </w:t>
            </w:r>
            <w:r w:rsidRPr="00234CBB">
              <w:rPr>
                <w:lang w:val="en-US"/>
              </w:rPr>
              <w:t xml:space="preserve">while roaming: log on to Internet, access e-mail server and send e-mail or data to local subscriber in visited country or elsewhere, or browse web (GSM procedure) or if 3G+, download video or audio or stream video. </w:t>
            </w:r>
          </w:p>
        </w:tc>
        <w:tc>
          <w:tcPr>
            <w:tcW w:w="2408" w:type="dxa"/>
            <w:tcBorders>
              <w:top w:val="single" w:sz="4" w:space="0" w:color="000000"/>
              <w:left w:val="single" w:sz="4" w:space="0" w:color="000000"/>
              <w:bottom w:val="single" w:sz="4" w:space="0" w:color="000000"/>
            </w:tcBorders>
          </w:tcPr>
          <w:p w14:paraId="05FE2628" w14:textId="77777777" w:rsidR="000A7DF2" w:rsidRPr="00234CBB" w:rsidRDefault="000A7DF2" w:rsidP="003F7DD3">
            <w:pPr>
              <w:pStyle w:val="Tabletext"/>
              <w:rPr>
                <w:lang w:val="en-US"/>
              </w:rPr>
            </w:pPr>
            <w:r w:rsidRPr="00234CBB">
              <w:rPr>
                <w:lang w:val="en-US"/>
              </w:rPr>
              <w:t>VLR check;</w:t>
            </w:r>
          </w:p>
          <w:p w14:paraId="020A8328" w14:textId="77777777" w:rsidR="000A7DF2" w:rsidRPr="00234CBB" w:rsidRDefault="000A7DF2" w:rsidP="003F7DD3">
            <w:pPr>
              <w:pStyle w:val="Tabletext"/>
              <w:rPr>
                <w:lang w:val="en-US"/>
              </w:rPr>
            </w:pPr>
            <w:r w:rsidRPr="00234CBB">
              <w:rPr>
                <w:lang w:val="en-US"/>
              </w:rPr>
              <w:t xml:space="preserve">home network advised, authenticates and authorizes; </w:t>
            </w:r>
          </w:p>
          <w:p w14:paraId="685658F7" w14:textId="77777777" w:rsidR="000A7DF2" w:rsidRPr="00234CBB" w:rsidRDefault="000A7DF2" w:rsidP="003F7DD3">
            <w:pPr>
              <w:pStyle w:val="Tabletext"/>
              <w:rPr>
                <w:lang w:val="en-US"/>
              </w:rPr>
            </w:pPr>
            <w:r w:rsidRPr="00234CBB">
              <w:rPr>
                <w:lang w:val="en-US"/>
              </w:rPr>
              <w:t>send data to home MNO for Internet access.</w:t>
            </w:r>
          </w:p>
          <w:p w14:paraId="539FE7DA" w14:textId="77777777" w:rsidR="000A7DF2" w:rsidRPr="00234CBB" w:rsidRDefault="000A7DF2" w:rsidP="003F7DD3">
            <w:pPr>
              <w:pStyle w:val="Tabletext"/>
              <w:rPr>
                <w:lang w:val="en-US"/>
              </w:rPr>
            </w:pPr>
            <w:r w:rsidRPr="00234CBB">
              <w:rPr>
                <w:lang w:val="en-US"/>
              </w:rPr>
              <w:t>2G RAN and GGSN/SGSN network interconnect.</w:t>
            </w:r>
          </w:p>
          <w:p w14:paraId="388E8B29" w14:textId="77777777" w:rsidR="000A7DF2" w:rsidRPr="00205FAB" w:rsidRDefault="000A7DF2" w:rsidP="00205FAB">
            <w:pPr>
              <w:pStyle w:val="Tabletext"/>
              <w:rPr>
                <w:lang w:val="en-US"/>
              </w:rPr>
            </w:pPr>
            <w:r w:rsidRPr="00234CBB">
              <w:rPr>
                <w:lang w:val="en-US"/>
              </w:rPr>
              <w:t>CAMEL for prepaid data over GPRS networks and for connecting to visited Internet gateway.</w:t>
            </w:r>
          </w:p>
        </w:tc>
        <w:tc>
          <w:tcPr>
            <w:tcW w:w="2714" w:type="dxa"/>
            <w:tcBorders>
              <w:top w:val="single" w:sz="4" w:space="0" w:color="000000"/>
              <w:left w:val="single" w:sz="4" w:space="0" w:color="000000"/>
              <w:bottom w:val="single" w:sz="4" w:space="0" w:color="000000"/>
            </w:tcBorders>
          </w:tcPr>
          <w:p w14:paraId="4F7D6C20" w14:textId="77777777" w:rsidR="000A7DF2" w:rsidRPr="00234CBB" w:rsidRDefault="000A7DF2" w:rsidP="003F7DD3">
            <w:pPr>
              <w:pStyle w:val="Tabletext"/>
              <w:rPr>
                <w:lang w:val="en-US"/>
              </w:rPr>
            </w:pPr>
            <w:r w:rsidRPr="00234CBB">
              <w:rPr>
                <w:lang w:val="en-US"/>
              </w:rPr>
              <w:t>Data transfer either with or without Internet gateway. VLR check;</w:t>
            </w:r>
          </w:p>
          <w:p w14:paraId="19A9E55D" w14:textId="77777777" w:rsidR="000A7DF2" w:rsidRPr="00234CBB" w:rsidRDefault="000A7DF2" w:rsidP="003F7DD3">
            <w:pPr>
              <w:pStyle w:val="Tabletext"/>
              <w:rPr>
                <w:lang w:val="en-US"/>
              </w:rPr>
            </w:pPr>
            <w:r w:rsidRPr="00234CBB">
              <w:rPr>
                <w:lang w:val="en-US"/>
              </w:rPr>
              <w:t>home MNO advised, authenticates and authorizes.</w:t>
            </w:r>
          </w:p>
          <w:p w14:paraId="25D0DD2E" w14:textId="77777777" w:rsidR="000A7DF2" w:rsidRPr="00234CBB" w:rsidRDefault="000A7DF2" w:rsidP="003F7DD3">
            <w:pPr>
              <w:pStyle w:val="Tabletext"/>
              <w:rPr>
                <w:lang w:val="en-US"/>
              </w:rPr>
            </w:pPr>
            <w:r w:rsidRPr="00234CBB">
              <w:rPr>
                <w:lang w:val="en-US"/>
              </w:rPr>
              <w:t>For connection to 2G network: RAN and GGSN/SGSN (and CAMEL signalling for prepaid) for network interconnect.</w:t>
            </w:r>
          </w:p>
          <w:p w14:paraId="58C1F09F" w14:textId="77777777" w:rsidR="000A7DF2" w:rsidRPr="00234CBB" w:rsidRDefault="000A7DF2" w:rsidP="003F7DD3">
            <w:pPr>
              <w:pStyle w:val="Tabletext"/>
              <w:rPr>
                <w:highlight w:val="yellow"/>
                <w:lang w:val="en-US"/>
              </w:rPr>
            </w:pPr>
            <w:r w:rsidRPr="00234CBB">
              <w:rPr>
                <w:lang w:val="en-US"/>
              </w:rPr>
              <w:t>Send data to home MNO for Internet access (or 3G + perhaps data transfer via visited MNO Internet gateway).</w:t>
            </w:r>
          </w:p>
        </w:tc>
        <w:tc>
          <w:tcPr>
            <w:tcW w:w="2292" w:type="dxa"/>
            <w:tcBorders>
              <w:top w:val="single" w:sz="4" w:space="0" w:color="000000"/>
              <w:left w:val="single" w:sz="4" w:space="0" w:color="000000"/>
              <w:bottom w:val="single" w:sz="4" w:space="0" w:color="000000"/>
              <w:right w:val="single" w:sz="8" w:space="0" w:color="000000"/>
            </w:tcBorders>
          </w:tcPr>
          <w:p w14:paraId="2338E578" w14:textId="77777777" w:rsidR="000A7DF2" w:rsidRPr="00234CBB" w:rsidRDefault="000A7DF2" w:rsidP="003F7DD3">
            <w:pPr>
              <w:pStyle w:val="Tabletext"/>
              <w:rPr>
                <w:lang w:val="en-US"/>
              </w:rPr>
            </w:pPr>
            <w:r w:rsidRPr="00234CBB">
              <w:rPr>
                <w:lang w:val="en-US"/>
              </w:rPr>
              <w:t>GPRS tunnelling protocol between MNOs with CAMEL system for 2G prepaid checking.</w:t>
            </w:r>
          </w:p>
          <w:p w14:paraId="58C80109" w14:textId="77777777" w:rsidR="000A7DF2" w:rsidRPr="00234CBB" w:rsidRDefault="000A7DF2" w:rsidP="003F7DD3">
            <w:pPr>
              <w:pStyle w:val="Tabletext"/>
              <w:rPr>
                <w:lang w:val="en-US"/>
              </w:rPr>
            </w:pPr>
            <w:r w:rsidRPr="00234CBB">
              <w:rPr>
                <w:lang w:val="en-US"/>
              </w:rPr>
              <w:t>Possible direct connection to visited MNO's Internet gateway.</w:t>
            </w:r>
          </w:p>
        </w:tc>
      </w:tr>
      <w:tr w:rsidR="000A7DF2" w:rsidRPr="001032A3" w14:paraId="3C68EFB5" w14:textId="77777777">
        <w:trPr>
          <w:trHeight w:val="1204"/>
          <w:jc w:val="center"/>
        </w:trPr>
        <w:tc>
          <w:tcPr>
            <w:tcW w:w="1971" w:type="dxa"/>
            <w:tcBorders>
              <w:top w:val="single" w:sz="4" w:space="0" w:color="000000"/>
              <w:left w:val="single" w:sz="8" w:space="0" w:color="000000"/>
              <w:bottom w:val="single" w:sz="4" w:space="0" w:color="000000"/>
            </w:tcBorders>
          </w:tcPr>
          <w:p w14:paraId="2BA4C4E6" w14:textId="3207F751" w:rsidR="000A7DF2" w:rsidRPr="00234CBB" w:rsidRDefault="000A7DF2" w:rsidP="00411DF8">
            <w:pPr>
              <w:pStyle w:val="Tabletext"/>
              <w:rPr>
                <w:lang w:val="en-US"/>
              </w:rPr>
            </w:pPr>
            <w:r w:rsidRPr="00234CBB">
              <w:rPr>
                <w:lang w:val="en-US"/>
              </w:rPr>
              <w:t>2B: Receive e-mail and data from home: a)</w:t>
            </w:r>
            <w:r w:rsidR="00411DF8">
              <w:rPr>
                <w:lang w:val="en-US"/>
              </w:rPr>
              <w:t> </w:t>
            </w:r>
            <w:r w:rsidRPr="00234CBB">
              <w:rPr>
                <w:lang w:val="en-US"/>
              </w:rPr>
              <w:t>from a mobile, or b)</w:t>
            </w:r>
            <w:r w:rsidR="00411DF8">
              <w:rPr>
                <w:lang w:val="en-US"/>
              </w:rPr>
              <w:t> </w:t>
            </w:r>
            <w:r w:rsidRPr="00234CBB">
              <w:rPr>
                <w:lang w:val="en-US"/>
              </w:rPr>
              <w:t>any Internet connected source: log on to Internet and connect to e-mail server or other data sources.</w:t>
            </w:r>
          </w:p>
        </w:tc>
        <w:tc>
          <w:tcPr>
            <w:tcW w:w="2408" w:type="dxa"/>
            <w:tcBorders>
              <w:top w:val="single" w:sz="4" w:space="0" w:color="000000"/>
              <w:left w:val="single" w:sz="4" w:space="0" w:color="000000"/>
              <w:bottom w:val="single" w:sz="4" w:space="0" w:color="000000"/>
            </w:tcBorders>
          </w:tcPr>
          <w:p w14:paraId="6B22852B" w14:textId="77777777" w:rsidR="000A7DF2" w:rsidRPr="00234CBB" w:rsidRDefault="000A7DF2" w:rsidP="003F7DD3">
            <w:pPr>
              <w:pStyle w:val="Tabletext"/>
              <w:rPr>
                <w:lang w:val="en-US"/>
              </w:rPr>
            </w:pPr>
            <w:r w:rsidRPr="00234CBB">
              <w:rPr>
                <w:lang w:val="en-US"/>
              </w:rPr>
              <w:t>VLR check;</w:t>
            </w:r>
          </w:p>
          <w:p w14:paraId="24F29C94" w14:textId="3343548A" w:rsidR="000A7DF2" w:rsidRPr="00234CBB" w:rsidRDefault="000A7DF2" w:rsidP="00411DF8">
            <w:pPr>
              <w:pStyle w:val="Tabletext"/>
              <w:rPr>
                <w:lang w:val="en-US"/>
              </w:rPr>
            </w:pPr>
            <w:r w:rsidRPr="00234CBB">
              <w:rPr>
                <w:lang w:val="en-US"/>
              </w:rPr>
              <w:t>home network advised, authenticates and authorizes</w:t>
            </w:r>
            <w:r w:rsidR="00411DF8">
              <w:rPr>
                <w:lang w:val="en-US"/>
              </w:rPr>
              <w:br/>
            </w:r>
            <w:r w:rsidRPr="00234CBB">
              <w:rPr>
                <w:lang w:val="en-US"/>
              </w:rPr>
              <w:t>2G RAN and GGSN/SGSN network interconnect: CAMEL for prepaid for browsing for GPRS data networks.</w:t>
            </w:r>
          </w:p>
        </w:tc>
        <w:tc>
          <w:tcPr>
            <w:tcW w:w="2714" w:type="dxa"/>
            <w:tcBorders>
              <w:top w:val="single" w:sz="4" w:space="0" w:color="000000"/>
              <w:left w:val="single" w:sz="4" w:space="0" w:color="000000"/>
              <w:bottom w:val="single" w:sz="4" w:space="0" w:color="000000"/>
            </w:tcBorders>
          </w:tcPr>
          <w:p w14:paraId="0A6DADD7" w14:textId="77777777" w:rsidR="000A7DF2" w:rsidRPr="00234CBB" w:rsidRDefault="000A7DF2" w:rsidP="003F7DD3">
            <w:pPr>
              <w:pStyle w:val="Tabletext"/>
              <w:rPr>
                <w:lang w:val="en-US"/>
              </w:rPr>
            </w:pPr>
            <w:r w:rsidRPr="00234CBB">
              <w:rPr>
                <w:lang w:val="en-US"/>
              </w:rPr>
              <w:t>Data transfer either with or without Internet gateway, with</w:t>
            </w:r>
          </w:p>
          <w:p w14:paraId="2CB2BCF1" w14:textId="77777777" w:rsidR="000A7DF2" w:rsidRPr="00234CBB" w:rsidRDefault="000A7DF2" w:rsidP="003F7DD3">
            <w:pPr>
              <w:pStyle w:val="Tabletext"/>
              <w:rPr>
                <w:lang w:val="en-US"/>
              </w:rPr>
            </w:pPr>
            <w:r w:rsidRPr="00234CBB">
              <w:rPr>
                <w:lang w:val="en-US"/>
              </w:rPr>
              <w:t>VLR check;</w:t>
            </w:r>
          </w:p>
          <w:p w14:paraId="600726FE" w14:textId="77777777" w:rsidR="000A7DF2" w:rsidRPr="00234CBB" w:rsidRDefault="000A7DF2" w:rsidP="003F7DD3">
            <w:pPr>
              <w:pStyle w:val="Tabletext"/>
              <w:rPr>
                <w:lang w:val="en-US"/>
              </w:rPr>
            </w:pPr>
            <w:r w:rsidRPr="00234CBB">
              <w:rPr>
                <w:lang w:val="en-US"/>
              </w:rPr>
              <w:t>home network advised, authenticates and authorizes. For 2G, RAN and GGSN/ SGSN network interconnect, CAMEL for prepaid for browsing for GPRS data.</w:t>
            </w:r>
          </w:p>
        </w:tc>
        <w:tc>
          <w:tcPr>
            <w:tcW w:w="2292" w:type="dxa"/>
            <w:tcBorders>
              <w:top w:val="single" w:sz="4" w:space="0" w:color="000000"/>
              <w:left w:val="single" w:sz="4" w:space="0" w:color="000000"/>
              <w:bottom w:val="single" w:sz="4" w:space="0" w:color="000000"/>
              <w:right w:val="single" w:sz="8" w:space="0" w:color="000000"/>
            </w:tcBorders>
          </w:tcPr>
          <w:p w14:paraId="0D6FB605" w14:textId="77777777" w:rsidR="000A7DF2" w:rsidRPr="00234CBB" w:rsidRDefault="000A7DF2" w:rsidP="003F7DD3">
            <w:pPr>
              <w:pStyle w:val="Tabletext"/>
              <w:rPr>
                <w:lang w:val="en-US"/>
              </w:rPr>
            </w:pPr>
            <w:r w:rsidRPr="00234CBB">
              <w:rPr>
                <w:lang w:val="en-US"/>
              </w:rPr>
              <w:t>GPRS tunnelling protocol between MNOs with CAMEL system for 2G prepaid checking.</w:t>
            </w:r>
          </w:p>
          <w:p w14:paraId="11A685D5" w14:textId="77777777" w:rsidR="000A7DF2" w:rsidRPr="00234CBB" w:rsidRDefault="000A7DF2" w:rsidP="003F7DD3">
            <w:pPr>
              <w:pStyle w:val="Tabletext"/>
              <w:rPr>
                <w:highlight w:val="yellow"/>
                <w:lang w:val="en-US"/>
              </w:rPr>
            </w:pPr>
            <w:r w:rsidRPr="00234CBB">
              <w:rPr>
                <w:lang w:val="en-US"/>
              </w:rPr>
              <w:t>Possible direct connection to visited MNO's Internet gateway.</w:t>
            </w:r>
          </w:p>
        </w:tc>
      </w:tr>
    </w:tbl>
    <w:p w14:paraId="20C0B67E" w14:textId="77777777" w:rsidR="000A7DF2" w:rsidRPr="001032A3" w:rsidRDefault="000A7DF2" w:rsidP="000A7DF2">
      <w:pPr>
        <w:rPr>
          <w:b/>
          <w:bCs/>
          <w:i/>
          <w:iCs/>
        </w:rPr>
      </w:pPr>
      <w:r w:rsidRPr="001032A3">
        <w:t xml:space="preserve">As noted above, tariff bundles complicate the retail pricing side, especially for data. The easiest tariffs to understand are the linear tariffs, as their pricing, such as per MB or used minute for voice or SMS for texting, is easy to compare with other linear tariffs. </w:t>
      </w:r>
      <w:r>
        <w:t>However</w:t>
      </w:r>
      <w:r w:rsidRPr="001032A3">
        <w:t xml:space="preserve"> in many cases, prices are not linear but volume related with limits, and excess charges per MByte, per voice minute and per SMS or (especially for infrequent travellers). The charges for exceeding the limit are at a higher rate. Generally</w:t>
      </w:r>
      <w:r>
        <w:t>,</w:t>
      </w:r>
      <w:r w:rsidRPr="001032A3">
        <w:t xml:space="preserve"> prices are higher for customers with a linear tariff subscription than for others. Alternative linear roaming tariffs are offered by many MNOs. Most of these tariffs are not restricted to a specific time period, but are applied as long as the customer does not switch to another roaming tariff. Bundles with more than one service included are offered by a significant number of MNOs. For instance BEREC in 2013 found</w:t>
      </w:r>
      <w:r w:rsidRPr="001032A3">
        <w:rPr>
          <w:rStyle w:val="FootnoteReference"/>
        </w:rPr>
        <w:footnoteReference w:id="40"/>
      </w:r>
      <w:r w:rsidRPr="001032A3">
        <w:t xml:space="preserve"> that in the EU, 19% of providers offered tariffs that include all three services (data, voice, SMS), 18% offered bundles with minutes and SMS, 12% offered bundles with minutes and MB</w:t>
      </w:r>
      <w:r>
        <w:t>,</w:t>
      </w:r>
      <w:r w:rsidRPr="001032A3">
        <w:t xml:space="preserve"> and just six providers offered bundles with SMS and data services only.</w:t>
      </w:r>
    </w:p>
    <w:p w14:paraId="1C25BB0B" w14:textId="77777777" w:rsidR="000A7DF2" w:rsidRPr="00DD5C2E" w:rsidRDefault="000A7DF2" w:rsidP="003F7DD3">
      <w:pPr>
        <w:pStyle w:val="Heading3"/>
      </w:pPr>
      <w:bookmarkStart w:id="55" w:name="_Toc425326332"/>
      <w:r w:rsidRPr="00DD5C2E">
        <w:t xml:space="preserve">4.3.2 </w:t>
      </w:r>
      <w:r w:rsidR="00DE50C9">
        <w:tab/>
      </w:r>
      <w:r w:rsidRPr="00DD5C2E">
        <w:t>Use cases for SMS roaming</w:t>
      </w:r>
      <w:bookmarkEnd w:id="55"/>
    </w:p>
    <w:p w14:paraId="6E856278" w14:textId="77777777" w:rsidR="000A7DF2" w:rsidRPr="001032A3" w:rsidRDefault="000A7DF2" w:rsidP="000A7DF2">
      <w:r w:rsidRPr="001032A3">
        <w:t>Here the focus is on texting short messag</w:t>
      </w:r>
      <w:r>
        <w:t>e</w:t>
      </w:r>
      <w:r w:rsidRPr="001032A3">
        <w:t xml:space="preserve"> services (SMS) rather than the multimedia messaging services (MMS) which are generally at a far higher tariff but less commonly used, although the use cases generally apply to them. Naturally, as for data, SMS roaming tariffs may be part of a tariff bundle.</w:t>
      </w:r>
    </w:p>
    <w:p w14:paraId="0E1F8EC2" w14:textId="77777777" w:rsidR="000A7DF2" w:rsidRPr="001032A3" w:rsidRDefault="000A7DF2" w:rsidP="00157FD2">
      <w:pPr>
        <w:spacing w:after="120"/>
      </w:pPr>
      <w:r w:rsidRPr="001032A3">
        <w:t xml:space="preserve">As for data or voice, when the subscriber is abroad and sends an SMS home to a domestic mobile subscriber, conventionally the SMS is routed and managed by the visited MNO network into the home MNO. The visited network passes the SMS via a dedicated signalling link, and possibly via an </w:t>
      </w:r>
      <w:r w:rsidRPr="001032A3">
        <w:lastRenderedPageBreak/>
        <w:t xml:space="preserve">international transit data network that may include an IP network, perhaps the Internet. The home MNO network routes SMS to MNO for the domestic mobile subscriber, whose network delivers it to the recipient mobile handset. The uses cases for SMS (denoted by </w:t>
      </w:r>
      <w:r>
        <w:t>'</w:t>
      </w:r>
      <w:r w:rsidRPr="001032A3">
        <w:t>C</w:t>
      </w:r>
      <w:r>
        <w:t>'</w:t>
      </w:r>
      <w:r w:rsidRPr="001032A3">
        <w:t>) are as follows:</w:t>
      </w:r>
    </w:p>
    <w:tbl>
      <w:tblPr>
        <w:tblStyle w:val="TableGrid"/>
        <w:tblW w:w="0" w:type="auto"/>
        <w:tblInd w:w="108" w:type="dxa"/>
        <w:tblLook w:val="04A0" w:firstRow="1" w:lastRow="0" w:firstColumn="1" w:lastColumn="0" w:noHBand="0" w:noVBand="1"/>
      </w:tblPr>
      <w:tblGrid>
        <w:gridCol w:w="9351"/>
      </w:tblGrid>
      <w:tr w:rsidR="00157FD2" w14:paraId="305A98E6" w14:textId="77777777">
        <w:tc>
          <w:tcPr>
            <w:tcW w:w="9351" w:type="dxa"/>
          </w:tcPr>
          <w:p w14:paraId="6BB45103" w14:textId="77777777" w:rsidR="00157FD2" w:rsidRPr="00157FD2" w:rsidRDefault="00157FD2" w:rsidP="001846A4">
            <w:pPr>
              <w:pStyle w:val="enumlev1"/>
              <w:spacing w:before="0"/>
              <w:rPr>
                <w:sz w:val="22"/>
                <w:szCs w:val="22"/>
              </w:rPr>
            </w:pPr>
            <w:r w:rsidRPr="00157FD2">
              <w:rPr>
                <w:sz w:val="22"/>
                <w:szCs w:val="22"/>
              </w:rPr>
              <w:t>•</w:t>
            </w:r>
            <w:r w:rsidRPr="00157FD2">
              <w:rPr>
                <w:sz w:val="22"/>
                <w:szCs w:val="22"/>
              </w:rPr>
              <w:tab/>
              <w:t>Use case 1C: Send SMS text message within the visited country while roaming, to a subscriber in the visited country.</w:t>
            </w:r>
          </w:p>
          <w:p w14:paraId="7F94C431" w14:textId="77777777" w:rsidR="00157FD2" w:rsidRPr="00157FD2" w:rsidRDefault="00157FD2" w:rsidP="001846A4">
            <w:pPr>
              <w:pStyle w:val="enumlev1"/>
              <w:spacing w:before="60"/>
              <w:rPr>
                <w:sz w:val="22"/>
                <w:szCs w:val="22"/>
              </w:rPr>
            </w:pPr>
            <w:r w:rsidRPr="00157FD2">
              <w:rPr>
                <w:sz w:val="22"/>
                <w:szCs w:val="22"/>
              </w:rPr>
              <w:t>•</w:t>
            </w:r>
            <w:r w:rsidRPr="00157FD2">
              <w:rPr>
                <w:sz w:val="22"/>
                <w:szCs w:val="22"/>
              </w:rPr>
              <w:tab/>
              <w:t>Use case 2C: Receive SMS from home, from a mobile subscriber.</w:t>
            </w:r>
          </w:p>
          <w:p w14:paraId="09377F6B" w14:textId="77777777" w:rsidR="00157FD2" w:rsidRPr="00157FD2" w:rsidRDefault="00157FD2" w:rsidP="001846A4">
            <w:pPr>
              <w:pStyle w:val="enumlev1"/>
              <w:spacing w:before="60"/>
              <w:rPr>
                <w:sz w:val="22"/>
                <w:szCs w:val="22"/>
              </w:rPr>
            </w:pPr>
            <w:r w:rsidRPr="00157FD2">
              <w:rPr>
                <w:sz w:val="22"/>
                <w:szCs w:val="22"/>
              </w:rPr>
              <w:t>•</w:t>
            </w:r>
            <w:r w:rsidRPr="00157FD2">
              <w:rPr>
                <w:sz w:val="22"/>
                <w:szCs w:val="22"/>
              </w:rPr>
              <w:tab/>
              <w:t>Use case 3C: Send SMS to home country to another mobile, either off-net or on-net for home MNO.</w:t>
            </w:r>
          </w:p>
          <w:p w14:paraId="311FE9D7" w14:textId="77777777" w:rsidR="00157FD2" w:rsidRDefault="00157FD2" w:rsidP="001846A4">
            <w:pPr>
              <w:pStyle w:val="enumlev1"/>
              <w:spacing w:before="60" w:after="60"/>
            </w:pPr>
            <w:r w:rsidRPr="00157FD2">
              <w:rPr>
                <w:sz w:val="22"/>
                <w:szCs w:val="22"/>
              </w:rPr>
              <w:t>•</w:t>
            </w:r>
            <w:r w:rsidRPr="00157FD2">
              <w:rPr>
                <w:sz w:val="22"/>
                <w:szCs w:val="22"/>
              </w:rPr>
              <w:tab/>
              <w:t>Use case 4B: Send SMS while in visited country to a mobile in a 3rd country.</w:t>
            </w:r>
          </w:p>
        </w:tc>
      </w:tr>
    </w:tbl>
    <w:p w14:paraId="1EA88773" w14:textId="77777777" w:rsidR="000A7DF2" w:rsidRPr="001032A3" w:rsidRDefault="000A7DF2" w:rsidP="000A7DF2">
      <w:r w:rsidRPr="001032A3">
        <w:t>If a subscriber of Country A roams into country B and sends a text message to a local subscriber in Country B, the visited MNO will send the text message directly to the subscriber</w:t>
      </w:r>
      <w:r>
        <w:t>'</w:t>
      </w:r>
      <w:r w:rsidRPr="001032A3">
        <w:t xml:space="preserve">s MNO </w:t>
      </w:r>
      <w:r>
        <w:t>in Country B.</w:t>
      </w:r>
    </w:p>
    <w:p w14:paraId="4260FCBA" w14:textId="77777777" w:rsidR="000A7DF2" w:rsidRPr="001032A3" w:rsidRDefault="000A7DF2" w:rsidP="000A7DF2">
      <w:r w:rsidRPr="001032A3">
        <w:t>Examining the second use</w:t>
      </w:r>
      <w:r>
        <w:t xml:space="preserve"> </w:t>
      </w:r>
      <w:r w:rsidRPr="001032A3">
        <w:t>case of receiving an SMS while the subscriber is abroad, the activities are that the sender transmits the text via their local MNO network, addressed to the receiving mobile handset, currently roaming. The sending subscriber</w:t>
      </w:r>
      <w:r>
        <w:t>'</w:t>
      </w:r>
      <w:r w:rsidRPr="001032A3">
        <w:t>s MNO first contacts the roaming subscriber</w:t>
      </w:r>
      <w:r>
        <w:t>'</w:t>
      </w:r>
      <w:r w:rsidRPr="001032A3">
        <w:t>s home network to find out where the roaming handset is. The sender</w:t>
      </w:r>
      <w:r>
        <w:t>'</w:t>
      </w:r>
      <w:r w:rsidRPr="001032A3">
        <w:t xml:space="preserve">s MNO then routes the SMS to the visited network connected to the roaming subscriber. The visited network forwards the SMS to the roaming mobile handset. For an MMS, an additional step may be introduced, of a notification and verification of accepting to receive the more expensive MMS, performed via SMS, before delivering the MMS abroad. </w:t>
      </w:r>
    </w:p>
    <w:p w14:paraId="1DCC3D05" w14:textId="77777777" w:rsidR="00B06D1D" w:rsidRDefault="000A7DF2" w:rsidP="00B06D1D">
      <w:r w:rsidRPr="001032A3">
        <w:t>Note that for the fourth use case, visited MNOs treat SMS roamers differe</w:t>
      </w:r>
      <w:r>
        <w:t xml:space="preserve">ntly to their own subscribers. </w:t>
      </w:r>
      <w:r w:rsidRPr="001032A3">
        <w:t>For a roaming visitor in Country B, who comes from Country A, and who sends an SMS text message to a subscriber in a third country, C, then Country B</w:t>
      </w:r>
      <w:r>
        <w:t>'</w:t>
      </w:r>
      <w:r w:rsidRPr="001032A3">
        <w:t>s visited MNO will send the text message back to the roaming subscriber</w:t>
      </w:r>
      <w:r>
        <w:t>'</w:t>
      </w:r>
      <w:r w:rsidRPr="001032A3">
        <w:t xml:space="preserve">s MNO in Country A. It will then be </w:t>
      </w:r>
      <w:r>
        <w:t xml:space="preserve">the </w:t>
      </w:r>
      <w:r w:rsidRPr="001032A3">
        <w:t xml:space="preserve">home MNO in Country A </w:t>
      </w:r>
      <w:r>
        <w:t>that</w:t>
      </w:r>
      <w:r w:rsidRPr="001032A3">
        <w:t xml:space="preserve"> will forward the SMS to the recipient MNO in Country C. For all use cases, the actual network elements employed for sending or receiving SMS will vary according to the generation of mobile network employed in each communicating MNO, with similar features to </w:t>
      </w:r>
      <w:r>
        <w:t>those</w:t>
      </w:r>
      <w:r w:rsidRPr="001032A3">
        <w:t xml:space="preserve"> shown in </w:t>
      </w:r>
      <w:r>
        <w:t>T</w:t>
      </w:r>
      <w:r w:rsidRPr="001032A3">
        <w:t xml:space="preserve">able </w:t>
      </w:r>
      <w:r>
        <w:t xml:space="preserve">6 </w:t>
      </w:r>
      <w:r w:rsidRPr="001032A3">
        <w:t>above for data roaming technologies.</w:t>
      </w:r>
    </w:p>
    <w:p w14:paraId="3F4DAD4D" w14:textId="77777777" w:rsidR="000A7DF2" w:rsidRPr="001032A3" w:rsidRDefault="000A7DF2" w:rsidP="00484709">
      <w:pPr>
        <w:pStyle w:val="Heading1"/>
      </w:pPr>
      <w:bookmarkStart w:id="56" w:name="_Toc425326333"/>
      <w:bookmarkStart w:id="57" w:name="_Toc429485885"/>
      <w:r w:rsidRPr="001032A3">
        <w:t xml:space="preserve">Chapter 5 </w:t>
      </w:r>
      <w:r>
        <w:t xml:space="preserve">– </w:t>
      </w:r>
      <w:r w:rsidRPr="001032A3">
        <w:t>Using the cost model</w:t>
      </w:r>
      <w:r>
        <w:t>:</w:t>
      </w:r>
      <w:r w:rsidRPr="001032A3">
        <w:t xml:space="preserve"> </w:t>
      </w:r>
      <w:r>
        <w:t>G</w:t>
      </w:r>
      <w:r w:rsidRPr="001032A3">
        <w:t>uidelines for NRAs, with data collection</w:t>
      </w:r>
      <w:bookmarkEnd w:id="56"/>
      <w:bookmarkEnd w:id="57"/>
    </w:p>
    <w:p w14:paraId="21FE3D90" w14:textId="77777777" w:rsidR="000A7DF2" w:rsidRPr="001032A3" w:rsidRDefault="000A7DF2" w:rsidP="000A7DF2">
      <w:pPr>
        <w:spacing w:after="120"/>
      </w:pPr>
      <w:r w:rsidRPr="001032A3">
        <w:t xml:space="preserve">Here we set out </w:t>
      </w:r>
      <w:r>
        <w:t xml:space="preserve">the </w:t>
      </w:r>
      <w:r w:rsidRPr="001032A3">
        <w:t xml:space="preserve">use of the cost model by an NRA with some instructions on how to approach data gathering. Gaining the core information that the model needs is the main priority for its effective use. So the powers of NRA to achieve this </w:t>
      </w:r>
      <w:r>
        <w:t xml:space="preserve">objective </w:t>
      </w:r>
      <w:r w:rsidRPr="001032A3">
        <w:t xml:space="preserve">become a key factor in its successful use. </w:t>
      </w:r>
    </w:p>
    <w:p w14:paraId="318C87F1" w14:textId="77777777" w:rsidR="000A7DF2" w:rsidRPr="001032A3" w:rsidRDefault="000A7DF2" w:rsidP="000A7DF2">
      <w:pPr>
        <w:spacing w:after="120"/>
      </w:pPr>
      <w:r w:rsidRPr="001032A3">
        <w:t xml:space="preserve">The range of interventions available to obtain such information can be extensive for telecommunications NRAs, or for governments, or for central government bodies for consumer affairs and competition (such as the UK Competition Commission which investigated the domestic MNO accounts for roaming in 2002 in the UK) as an ex-post competition regulator. </w:t>
      </w:r>
    </w:p>
    <w:p w14:paraId="7747FF17" w14:textId="77777777" w:rsidR="000A7DF2" w:rsidRPr="001032A3" w:rsidRDefault="000A7DF2" w:rsidP="000A7DF2">
      <w:pPr>
        <w:spacing w:after="120"/>
      </w:pPr>
      <w:r w:rsidRPr="001032A3">
        <w:t xml:space="preserve">As each country will have its own relevant statutes and laws, regulatory powers reach from soft power recommendations, to powers of search and legal requisition of accounts and audits, with fines to ensure compliance. They may also extend to powers to propose and perhaps mandate directives under legislation, both for wholesale and retail tariffs. </w:t>
      </w:r>
    </w:p>
    <w:p w14:paraId="20120DB1" w14:textId="77777777" w:rsidR="000A7DF2" w:rsidRPr="001032A3" w:rsidRDefault="000A7DF2" w:rsidP="000A7DF2">
      <w:pPr>
        <w:spacing w:after="120"/>
      </w:pPr>
      <w:r w:rsidRPr="001032A3">
        <w:t>However, to even understand whether prices bear a relation to costs requires some investigative powers. Only then, if information on excessive pricing and a lack of competitive pressures becomes evident can any actions be considered as appropriate (e</w:t>
      </w:r>
      <w:r>
        <w:t>.</w:t>
      </w:r>
      <w:r w:rsidRPr="001032A3">
        <w:t>g</w:t>
      </w:r>
      <w:r>
        <w:t>.</w:t>
      </w:r>
      <w:r w:rsidRPr="001032A3">
        <w:t xml:space="preserve"> to introduce price caps or some form of structural intervention such as separation of markets for domestic and roaming services by forcing unbundling). </w:t>
      </w:r>
    </w:p>
    <w:p w14:paraId="6FA40E59" w14:textId="77777777" w:rsidR="000A7DF2" w:rsidRPr="001032A3" w:rsidRDefault="000A7DF2" w:rsidP="000A7DF2">
      <w:pPr>
        <w:spacing w:after="120"/>
      </w:pPr>
      <w:r w:rsidRPr="001032A3">
        <w:lastRenderedPageBreak/>
        <w:t>If NRA has decided to partner with a regional group of NRAs, then some additional considerations for obtaining data from MNOs can apply. Perhaps the first is whether the data given under NDA in one country to NRA can be shared with other NRAs under NDA. It may be necessary to form a multi-country view if market failure internationally is being investigated.</w:t>
      </w:r>
    </w:p>
    <w:p w14:paraId="03C75E60" w14:textId="77777777" w:rsidR="000A7DF2" w:rsidRPr="001032A3" w:rsidRDefault="000A7DF2" w:rsidP="00B320BF">
      <w:pPr>
        <w:pStyle w:val="Heading2"/>
      </w:pPr>
      <w:bookmarkStart w:id="58" w:name="_Toc425326334"/>
      <w:bookmarkStart w:id="59" w:name="_Toc429485886"/>
      <w:r w:rsidRPr="001032A3">
        <w:t xml:space="preserve">5.1 </w:t>
      </w:r>
      <w:r w:rsidR="00DE50C9">
        <w:tab/>
      </w:r>
      <w:r w:rsidRPr="001032A3">
        <w:t>How to use the cost model</w:t>
      </w:r>
      <w:bookmarkEnd w:id="58"/>
      <w:bookmarkEnd w:id="59"/>
    </w:p>
    <w:p w14:paraId="127C4E09" w14:textId="77777777" w:rsidR="000A7DF2" w:rsidRPr="001032A3" w:rsidRDefault="000A7DF2" w:rsidP="000A7DF2">
      <w:pPr>
        <w:spacing w:after="120"/>
      </w:pPr>
      <w:r w:rsidRPr="001032A3">
        <w:t xml:space="preserve">Cost </w:t>
      </w:r>
      <w:r>
        <w:t>a</w:t>
      </w:r>
      <w:r w:rsidRPr="001032A3">
        <w:t>ccounting is the basis of the data required. It is a normal part of the MNO budgeting exercise but may not be seen from the perspective of roaming for the cost accounts. Also note that the model is neutral on the form of accounting used (e</w:t>
      </w:r>
      <w:r>
        <w:t>.</w:t>
      </w:r>
      <w:r w:rsidRPr="001032A3">
        <w:t>g</w:t>
      </w:r>
      <w:r>
        <w:t>.</w:t>
      </w:r>
      <w:r w:rsidRPr="001032A3">
        <w:t xml:space="preserve"> </w:t>
      </w:r>
      <w:r>
        <w:t>long run incremental cost (</w:t>
      </w:r>
      <w:r w:rsidRPr="001032A3">
        <w:t>LRIC</w:t>
      </w:r>
      <w:r>
        <w:t>)</w:t>
      </w:r>
      <w:r w:rsidRPr="001032A3">
        <w:t xml:space="preserve">, </w:t>
      </w:r>
      <w:r>
        <w:t>and long run average incremental cost (</w:t>
      </w:r>
      <w:r w:rsidRPr="001032A3">
        <w:t>LRAIC</w:t>
      </w:r>
      <w:r>
        <w:t>)</w:t>
      </w:r>
      <w:r w:rsidRPr="001032A3">
        <w:t>, etc</w:t>
      </w:r>
      <w:r>
        <w:t>.</w:t>
      </w:r>
      <w:r w:rsidRPr="001032A3">
        <w:t>) as it simply uses the resulting costs estimated by MNO.</w:t>
      </w:r>
    </w:p>
    <w:p w14:paraId="45CA7BD9" w14:textId="77777777" w:rsidR="000A7DF2" w:rsidRPr="001032A3" w:rsidRDefault="000A7DF2" w:rsidP="000A7DF2">
      <w:pPr>
        <w:spacing w:after="120"/>
      </w:pPr>
      <w:r w:rsidRPr="001032A3">
        <w:t>If we wish to understand roaming costs, the cost model above highlights that quite detailed accounting will be necessary to locate costs, which, as emphasi</w:t>
      </w:r>
      <w:r>
        <w:t>z</w:t>
      </w:r>
      <w:r w:rsidRPr="001032A3">
        <w:t>ed will be both capex and opex. Often, opex may be the most important factor especially as the capital investments may be amorti</w:t>
      </w:r>
      <w:r>
        <w:t>z</w:t>
      </w:r>
      <w:r w:rsidRPr="001032A3">
        <w:t xml:space="preserve">ed over </w:t>
      </w:r>
      <w:r>
        <w:t>three</w:t>
      </w:r>
      <w:r w:rsidRPr="001032A3">
        <w:t xml:space="preserve">, </w:t>
      </w:r>
      <w:r>
        <w:t>five</w:t>
      </w:r>
      <w:r w:rsidRPr="001032A3">
        <w:t xml:space="preserve"> or perhaps 10 years – e</w:t>
      </w:r>
      <w:r>
        <w:t>.</w:t>
      </w:r>
      <w:r w:rsidRPr="001032A3">
        <w:t>g</w:t>
      </w:r>
      <w:r>
        <w:t>.</w:t>
      </w:r>
      <w:r w:rsidRPr="001032A3">
        <w:t xml:space="preserve"> a major </w:t>
      </w:r>
      <w:r>
        <w:t>'</w:t>
      </w:r>
      <w:r w:rsidRPr="001032A3">
        <w:t>traditional</w:t>
      </w:r>
      <w:r>
        <w:t>'</w:t>
      </w:r>
      <w:r w:rsidRPr="001032A3">
        <w:t xml:space="preserve"> voice switch may last </w:t>
      </w:r>
      <w:r>
        <w:t>five</w:t>
      </w:r>
      <w:r w:rsidRPr="001032A3">
        <w:t xml:space="preserve"> to10 years but the common 2G and 3G network equipment (BTS units and the </w:t>
      </w:r>
      <w:r>
        <w:t>SGSN</w:t>
      </w:r>
      <w:r w:rsidRPr="001032A3">
        <w:t>/GGSN network controlling elements with packet switches) may be written off far faster for technology upgrade reasons.</w:t>
      </w:r>
    </w:p>
    <w:p w14:paraId="03FDFFBD" w14:textId="77777777" w:rsidR="000A7DF2" w:rsidRPr="001032A3" w:rsidRDefault="000A7DF2" w:rsidP="000A7DF2">
      <w:pPr>
        <w:spacing w:after="120"/>
      </w:pPr>
      <w:r w:rsidRPr="001032A3">
        <w:t>Acquiring cost data is difficult but necessary</w:t>
      </w:r>
      <w:r>
        <w:t>,</w:t>
      </w:r>
      <w:r w:rsidRPr="001032A3">
        <w:t xml:space="preserve"> and we look at this further in subsequent sections of this chapter.</w:t>
      </w:r>
    </w:p>
    <w:p w14:paraId="4248A936" w14:textId="77777777" w:rsidR="000A7DF2" w:rsidRPr="001032A3" w:rsidRDefault="000A7DF2" w:rsidP="000A7DF2">
      <w:pPr>
        <w:spacing w:after="120"/>
      </w:pPr>
      <w:r w:rsidRPr="001032A3">
        <w:t>The cost model requires that NRA identify and classify those elements used for each of the use cases for each media and type of subscriber (prepaid and postpaid) in collaboration with the MNO for:</w:t>
      </w:r>
    </w:p>
    <w:p w14:paraId="78905541" w14:textId="77777777" w:rsidR="000A7DF2" w:rsidRPr="001032A3" w:rsidRDefault="00B320BF" w:rsidP="00B320BF">
      <w:pPr>
        <w:pStyle w:val="enumlev1"/>
      </w:pPr>
      <w:r>
        <w:t>•</w:t>
      </w:r>
      <w:r>
        <w:tab/>
      </w:r>
      <w:r w:rsidR="000A7DF2" w:rsidRPr="001032A3">
        <w:t>Equipment and operating costs for the BSS IT infrastructure including staff</w:t>
      </w:r>
      <w:r w:rsidR="000A7DF2">
        <w:t>.</w:t>
      </w:r>
    </w:p>
    <w:p w14:paraId="54239A3E" w14:textId="77777777" w:rsidR="000A7DF2" w:rsidRPr="001032A3" w:rsidRDefault="00B320BF" w:rsidP="00B320BF">
      <w:pPr>
        <w:pStyle w:val="enumlev1"/>
      </w:pPr>
      <w:r>
        <w:t>•</w:t>
      </w:r>
      <w:r>
        <w:tab/>
      </w:r>
      <w:r w:rsidR="000A7DF2" w:rsidRPr="001032A3">
        <w:t>Network elements and operating costs of the infrastructure including staff</w:t>
      </w:r>
      <w:r w:rsidR="000A7DF2">
        <w:t>.</w:t>
      </w:r>
    </w:p>
    <w:p w14:paraId="74E131A2" w14:textId="77777777" w:rsidR="000A7DF2" w:rsidRPr="001032A3" w:rsidRDefault="00B320BF" w:rsidP="00B320BF">
      <w:pPr>
        <w:pStyle w:val="enumlev1"/>
      </w:pPr>
      <w:r>
        <w:t>•</w:t>
      </w:r>
      <w:r>
        <w:tab/>
      </w:r>
      <w:r w:rsidR="000A7DF2" w:rsidRPr="001032A3">
        <w:t>Financial details of IOT agreements by country and operator</w:t>
      </w:r>
      <w:r w:rsidR="000A7DF2">
        <w:t>.</w:t>
      </w:r>
    </w:p>
    <w:p w14:paraId="7E3A1061" w14:textId="77777777" w:rsidR="000A7DF2" w:rsidRPr="001032A3" w:rsidRDefault="000A7DF2" w:rsidP="000A7DF2">
      <w:pPr>
        <w:spacing w:after="120"/>
      </w:pPr>
      <w:r w:rsidRPr="001032A3">
        <w:t xml:space="preserve">Ideally, data should be gathered with the home country MNOs but also where possible with </w:t>
      </w:r>
      <w:r>
        <w:t xml:space="preserve">the </w:t>
      </w:r>
      <w:r w:rsidRPr="001C442B">
        <w:t>correspondent</w:t>
      </w:r>
      <w:r w:rsidRPr="001032A3">
        <w:t xml:space="preserve"> visited MNOs, perhaps in a regional community. The latter accounting inputs are required to understand the costs on which the wholesale pricing is based.</w:t>
      </w:r>
    </w:p>
    <w:p w14:paraId="1493553F" w14:textId="77777777" w:rsidR="000A7DF2" w:rsidRPr="001032A3" w:rsidRDefault="000A7DF2" w:rsidP="000A7DF2">
      <w:pPr>
        <w:spacing w:after="120"/>
      </w:pPr>
      <w:r w:rsidRPr="001C442B">
        <w:t>In general</w:t>
      </w:r>
      <w:r w:rsidRPr="001032A3">
        <w:t>, the data gathering process will require interaction with:</w:t>
      </w:r>
    </w:p>
    <w:p w14:paraId="733A1D09" w14:textId="77777777" w:rsidR="000A7DF2" w:rsidRPr="001032A3" w:rsidRDefault="00EA6F8D" w:rsidP="00EA6F8D">
      <w:pPr>
        <w:pStyle w:val="enumlev1"/>
      </w:pPr>
      <w:r>
        <w:t>•</w:t>
      </w:r>
      <w:r>
        <w:tab/>
      </w:r>
      <w:r w:rsidR="000A7DF2" w:rsidRPr="001032A3">
        <w:t>Those responsible for the main business processes involved in roaming within the MNO, i</w:t>
      </w:r>
      <w:r w:rsidR="000A7DF2">
        <w:t>.</w:t>
      </w:r>
      <w:r w:rsidR="000A7DF2" w:rsidRPr="001032A3">
        <w:t>e</w:t>
      </w:r>
      <w:r w:rsidR="000A7DF2">
        <w:t>.</w:t>
      </w:r>
      <w:r w:rsidR="000A7DF2" w:rsidRPr="001032A3">
        <w:t xml:space="preserve"> – network operations, billing, also customer care, as well as the IOT negotiations internationally, with the setup of roaming agreements and any back office extra costs (e</w:t>
      </w:r>
      <w:r w:rsidR="000A7DF2">
        <w:t>.</w:t>
      </w:r>
      <w:r w:rsidR="000A7DF2" w:rsidRPr="001032A3">
        <w:t>g</w:t>
      </w:r>
      <w:r w:rsidR="000A7DF2">
        <w:t>.</w:t>
      </w:r>
      <w:r w:rsidR="000A7DF2" w:rsidRPr="001032A3">
        <w:t xml:space="preserve"> accounting for roaming).</w:t>
      </w:r>
    </w:p>
    <w:p w14:paraId="1778E998" w14:textId="77777777" w:rsidR="000A7DF2" w:rsidRPr="001032A3" w:rsidRDefault="00EA6F8D" w:rsidP="00EA6F8D">
      <w:pPr>
        <w:pStyle w:val="enumlev1"/>
      </w:pPr>
      <w:r>
        <w:t>•</w:t>
      </w:r>
      <w:r>
        <w:tab/>
      </w:r>
      <w:r w:rsidR="000A7DF2" w:rsidRPr="001032A3">
        <w:t>Those in charge of business operations at a more detailed level, who should know the chain of command and so who is responsible for the relevant cost accounting. This requires locating who has responsibility for budgetary costs for staff by business process activity with equipment and amorti</w:t>
      </w:r>
      <w:r w:rsidR="000A7DF2">
        <w:t>z</w:t>
      </w:r>
      <w:r w:rsidR="000A7DF2" w:rsidRPr="001032A3">
        <w:t xml:space="preserve">ation for processes that touch on roaming. </w:t>
      </w:r>
    </w:p>
    <w:p w14:paraId="14A6217F" w14:textId="77777777" w:rsidR="000A7DF2" w:rsidRPr="001032A3" w:rsidRDefault="000A7DF2" w:rsidP="000A7DF2">
      <w:pPr>
        <w:spacing w:after="120"/>
      </w:pPr>
      <w:r w:rsidRPr="001032A3">
        <w:t xml:space="preserve">The process of collection may be accelerated and possibly made more thorough with </w:t>
      </w:r>
      <w:r w:rsidRPr="001032A3">
        <w:rPr>
          <w:i/>
          <w:iCs/>
        </w:rPr>
        <w:t>a single point of contact within MNO</w:t>
      </w:r>
      <w:r w:rsidRPr="001032A3">
        <w:t>, if one can be identified who is able to take care of all the roaming accounting data collection. While that should be the optimal approach, direct contact with budget holders may still be required in some cases.</w:t>
      </w:r>
    </w:p>
    <w:p w14:paraId="445FBE3B" w14:textId="77777777" w:rsidR="000A7DF2" w:rsidRPr="001032A3" w:rsidRDefault="000A7DF2" w:rsidP="000A7DF2">
      <w:pPr>
        <w:spacing w:after="120"/>
      </w:pPr>
      <w:r w:rsidRPr="001032A3">
        <w:t>Information needed will include not just the knowledge of costs but attribution of the percentage of costs of processes to roaming with the staff, recurrent costs, consumables and equipment.</w:t>
      </w:r>
    </w:p>
    <w:p w14:paraId="2811C702" w14:textId="77777777" w:rsidR="000A7DF2" w:rsidRPr="001032A3" w:rsidRDefault="000A7DF2" w:rsidP="00512D05">
      <w:pPr>
        <w:keepNext/>
        <w:keepLines/>
        <w:spacing w:after="120"/>
      </w:pPr>
      <w:r w:rsidRPr="001032A3">
        <w:lastRenderedPageBreak/>
        <w:t>To help MNO with roaming cost accounting</w:t>
      </w:r>
      <w:r>
        <w:t>,</w:t>
      </w:r>
      <w:r w:rsidRPr="001032A3">
        <w:t xml:space="preserve"> it is likely to be necessary to:</w:t>
      </w:r>
    </w:p>
    <w:p w14:paraId="4D0C6EF1" w14:textId="77777777" w:rsidR="000A7DF2" w:rsidRPr="001032A3" w:rsidRDefault="007D3AA7" w:rsidP="007D3AA7">
      <w:pPr>
        <w:pStyle w:val="enumlev1"/>
      </w:pPr>
      <w:r>
        <w:t>•</w:t>
      </w:r>
      <w:r>
        <w:tab/>
      </w:r>
      <w:r w:rsidR="000A7DF2" w:rsidRPr="001032A3">
        <w:t xml:space="preserve">Examine the use cases </w:t>
      </w:r>
      <w:r w:rsidR="000A7DF2">
        <w:t>–</w:t>
      </w:r>
      <w:r w:rsidR="000A7DF2" w:rsidRPr="001032A3">
        <w:t xml:space="preserve"> which define both processes and the technical platform with its component equipment and software </w:t>
      </w:r>
      <w:r w:rsidR="000A7DF2">
        <w:t>–</w:t>
      </w:r>
      <w:r w:rsidR="000A7DF2" w:rsidRPr="001032A3">
        <w:t xml:space="preserve"> in a joint session with the MNO</w:t>
      </w:r>
      <w:r w:rsidR="000A7DF2">
        <w:t>.</w:t>
      </w:r>
    </w:p>
    <w:p w14:paraId="7108FDDF" w14:textId="77777777" w:rsidR="000A7DF2" w:rsidRPr="001032A3" w:rsidRDefault="007D3AA7" w:rsidP="007D3AA7">
      <w:pPr>
        <w:pStyle w:val="enumlev1"/>
      </w:pPr>
      <w:r>
        <w:t>•</w:t>
      </w:r>
      <w:r>
        <w:tab/>
      </w:r>
      <w:r w:rsidR="000A7DF2" w:rsidRPr="001032A3">
        <w:t>Then identify cost elements via the use cases with the appropriate MNO staff with the portion attributable to roaming.</w:t>
      </w:r>
    </w:p>
    <w:p w14:paraId="01004A8D" w14:textId="77777777" w:rsidR="000A7DF2" w:rsidRPr="001032A3" w:rsidRDefault="000A7DF2" w:rsidP="007D3AA7">
      <w:pPr>
        <w:pStyle w:val="Heading2"/>
      </w:pPr>
      <w:bookmarkStart w:id="60" w:name="_Toc425326335"/>
      <w:bookmarkStart w:id="61" w:name="_Toc429485887"/>
      <w:r w:rsidRPr="001032A3">
        <w:t xml:space="preserve">5.2 </w:t>
      </w:r>
      <w:r w:rsidR="00700AB3">
        <w:tab/>
      </w:r>
      <w:r w:rsidRPr="001032A3">
        <w:t xml:space="preserve">Effective data gathering – </w:t>
      </w:r>
      <w:r>
        <w:t>D</w:t>
      </w:r>
      <w:r w:rsidRPr="001032A3">
        <w:t>ata collection process and interacti</w:t>
      </w:r>
      <w:r>
        <w:t>on</w:t>
      </w:r>
      <w:r w:rsidRPr="001032A3">
        <w:t xml:space="preserve"> with MNOs</w:t>
      </w:r>
      <w:bookmarkEnd w:id="60"/>
      <w:bookmarkEnd w:id="61"/>
    </w:p>
    <w:p w14:paraId="0338C47D" w14:textId="77777777" w:rsidR="000A7DF2" w:rsidRPr="00DD5C2E" w:rsidRDefault="000A7DF2" w:rsidP="007D3AA7">
      <w:pPr>
        <w:pStyle w:val="Heading3"/>
      </w:pPr>
      <w:bookmarkStart w:id="62" w:name="_Toc425326336"/>
      <w:r w:rsidRPr="00DD5C2E">
        <w:t xml:space="preserve">5.2.1 </w:t>
      </w:r>
      <w:r w:rsidR="002B515C">
        <w:tab/>
      </w:r>
      <w:r w:rsidRPr="00DD5C2E">
        <w:t>Context</w:t>
      </w:r>
      <w:bookmarkEnd w:id="62"/>
    </w:p>
    <w:p w14:paraId="33D6AAE8" w14:textId="77777777" w:rsidR="000A7DF2" w:rsidRPr="001032A3" w:rsidRDefault="000A7DF2" w:rsidP="000A7DF2">
      <w:pPr>
        <w:spacing w:after="120"/>
      </w:pPr>
      <w:r w:rsidRPr="001032A3">
        <w:t xml:space="preserve">Here we outline some guidelines for NRAs on effective data gathering for the cost model. Much is devoted to negotiated approaches for NRA to obtain the data required. </w:t>
      </w:r>
    </w:p>
    <w:p w14:paraId="4D674DCC" w14:textId="77777777" w:rsidR="000A7DF2" w:rsidRPr="001032A3" w:rsidRDefault="000A7DF2" w:rsidP="000A7DF2">
      <w:pPr>
        <w:spacing w:after="120"/>
      </w:pPr>
      <w:r w:rsidRPr="001032A3">
        <w:t xml:space="preserve">However initially it should be noted that the mobile industry's business model is already changing, especially with two trends reshaping the cost/revenue model with possible impacts on roaming tariffs. First is the high cost of smartphones, which is forcing the abandoning of handset subsidies as freezing too much capital. </w:t>
      </w:r>
    </w:p>
    <w:p w14:paraId="0F206F8E" w14:textId="77777777" w:rsidR="000A7DF2" w:rsidRPr="001032A3" w:rsidRDefault="000A7DF2" w:rsidP="000A7DF2">
      <w:pPr>
        <w:spacing w:after="120"/>
      </w:pPr>
      <w:r w:rsidRPr="001032A3">
        <w:t>Second is the gradual saturation of many markets in terms of numbers of subscribers, (even in some developing countries, where those with the appropriate levels of disposable income are already being served). The net result is the move to inciting subscribers to use the mobile services far more – i</w:t>
      </w:r>
      <w:r>
        <w:t>.</w:t>
      </w:r>
      <w:r w:rsidRPr="001032A3">
        <w:t>e</w:t>
      </w:r>
      <w:r>
        <w:t>.</w:t>
      </w:r>
      <w:r w:rsidRPr="001032A3">
        <w:t xml:space="preserve"> to generate more traffic </w:t>
      </w:r>
      <w:r>
        <w:t>–</w:t>
      </w:r>
      <w:r w:rsidRPr="001032A3">
        <w:t xml:space="preserve"> although to do this the retail prices may have to be reduced</w:t>
      </w:r>
      <w:r w:rsidRPr="001032A3">
        <w:rPr>
          <w:rStyle w:val="FootnoteReference"/>
        </w:rPr>
        <w:footnoteReference w:id="41"/>
      </w:r>
      <w:r w:rsidRPr="001032A3">
        <w:t xml:space="preserve">. This is especially true for data tariffs. A </w:t>
      </w:r>
      <w:r>
        <w:t>"</w:t>
      </w:r>
      <w:r w:rsidRPr="001032A3">
        <w:t>perception of freeness</w:t>
      </w:r>
      <w:r>
        <w:t>"</w:t>
      </w:r>
      <w:r w:rsidRPr="001032A3">
        <w:t xml:space="preserve"> is sought to drive demand, by breaking out from the Dupuit curves for public service markets</w:t>
      </w:r>
      <w:r w:rsidRPr="001032A3">
        <w:rPr>
          <w:rStyle w:val="FootnoteReference"/>
        </w:rPr>
        <w:footnoteReference w:id="42"/>
      </w:r>
      <w:r w:rsidRPr="001032A3">
        <w:t>. Thus roaming may become viewed more as an attractive extra market for new volume revenue growth. In consequence, it may be that MNOs are sometimes far less reluctant to share detailed data on roaming as they see advantages in a positive public perception of their roaming tariffs. This may well be further driven by structural market changes (e</w:t>
      </w:r>
      <w:r>
        <w:t>.</w:t>
      </w:r>
      <w:r w:rsidRPr="001032A3">
        <w:t>g</w:t>
      </w:r>
      <w:r>
        <w:t>.</w:t>
      </w:r>
      <w:r w:rsidRPr="001032A3">
        <w:t xml:space="preserve"> regulatory intervention for separation of roaming and domestic service, i</w:t>
      </w:r>
      <w:r>
        <w:t>.</w:t>
      </w:r>
      <w:r w:rsidRPr="001032A3">
        <w:t>e</w:t>
      </w:r>
      <w:r>
        <w:t>.</w:t>
      </w:r>
      <w:r w:rsidRPr="001032A3">
        <w:t xml:space="preserve"> a transfer to roaming service providers who are not automatically the home MNOs, and who may be chosen by the subscriber</w:t>
      </w:r>
      <w:r w:rsidRPr="001032A3">
        <w:rPr>
          <w:rStyle w:val="FootnoteReference"/>
        </w:rPr>
        <w:footnoteReference w:id="43"/>
      </w:r>
      <w:r w:rsidRPr="001032A3">
        <w:t>). Discussions with MNOs with this in mind emphasi</w:t>
      </w:r>
      <w:r>
        <w:t>z</w:t>
      </w:r>
      <w:r w:rsidRPr="001032A3">
        <w:t>e the positive sides of roaming tariff reform.</w:t>
      </w:r>
    </w:p>
    <w:p w14:paraId="6A644DAF" w14:textId="77777777" w:rsidR="000A7DF2" w:rsidRPr="00DD5C2E" w:rsidRDefault="00DE50C9" w:rsidP="002B515C">
      <w:pPr>
        <w:pStyle w:val="Heading3"/>
      </w:pPr>
      <w:bookmarkStart w:id="63" w:name="_Toc425326337"/>
      <w:r>
        <w:t>5.2.2</w:t>
      </w:r>
      <w:r w:rsidR="002B515C">
        <w:tab/>
      </w:r>
      <w:r w:rsidR="000A7DF2" w:rsidRPr="00DD5C2E">
        <w:t>Negotiations with MNOs – Dealing with roaming issues</w:t>
      </w:r>
      <w:bookmarkEnd w:id="63"/>
      <w:r w:rsidR="000A7DF2" w:rsidRPr="00DD5C2E">
        <w:t xml:space="preserve"> </w:t>
      </w:r>
    </w:p>
    <w:p w14:paraId="25052E22" w14:textId="77777777" w:rsidR="000A7DF2" w:rsidRPr="001032A3" w:rsidRDefault="000A7DF2" w:rsidP="000A7DF2">
      <w:pPr>
        <w:spacing w:after="120"/>
      </w:pPr>
      <w:r w:rsidRPr="001032A3">
        <w:t xml:space="preserve">Whatever the regulatory powers </w:t>
      </w:r>
      <w:r>
        <w:t xml:space="preserve">are </w:t>
      </w:r>
      <w:r w:rsidRPr="001032A3">
        <w:t>of NRA vis-à-vis the collection of roaming data at a detailed cost level from an MNO's accounts, when interacting with MNOs the following points should be considered:</w:t>
      </w:r>
    </w:p>
    <w:p w14:paraId="52C795FB" w14:textId="77777777" w:rsidR="000A7DF2" w:rsidRPr="001032A3" w:rsidRDefault="00DE50C9" w:rsidP="00DE50C9">
      <w:pPr>
        <w:pStyle w:val="enumlev1"/>
      </w:pPr>
      <w:r>
        <w:t>•</w:t>
      </w:r>
      <w:r>
        <w:tab/>
      </w:r>
      <w:r w:rsidR="000A7DF2" w:rsidRPr="001032A3">
        <w:t>Much of the information required is likely to be labelled commercially sensitive. However</w:t>
      </w:r>
      <w:r w:rsidR="000A7DF2">
        <w:t>,</w:t>
      </w:r>
      <w:r w:rsidR="000A7DF2" w:rsidRPr="001032A3">
        <w:t xml:space="preserve"> it may be that agreement can be reached for release under a non-disclosure agreement (NDA). If released to NRA, this may be under conditions that it cannot be shared with any third party. The key point here is whether </w:t>
      </w:r>
      <w:r w:rsidR="000A7DF2">
        <w:t xml:space="preserve">information under NDA </w:t>
      </w:r>
      <w:r w:rsidR="000A7DF2" w:rsidRPr="001032A3">
        <w:t>can be shared with other NRAs as often a community of roaming countries may need to formulate a roaming policy in concert. Here the mediating role of ITU as the internationally responsible body may be important for achieving progress on sharing restricted to a closed group of NRAs.</w:t>
      </w:r>
    </w:p>
    <w:p w14:paraId="4DD1B0E6" w14:textId="77777777" w:rsidR="000A7DF2" w:rsidRPr="001032A3" w:rsidRDefault="00DE50C9" w:rsidP="00DE50C9">
      <w:pPr>
        <w:pStyle w:val="enumlev1"/>
      </w:pPr>
      <w:r>
        <w:lastRenderedPageBreak/>
        <w:t>•</w:t>
      </w:r>
      <w:r>
        <w:tab/>
      </w:r>
      <w:r w:rsidR="000A7DF2" w:rsidRPr="001032A3">
        <w:t>However contrary to expectations for the reasons given above, it may be that certain MNOs actually wish to permit sharing of the data with other NRAs – but obviously it will be necessary to seek explicit written permission for this.</w:t>
      </w:r>
    </w:p>
    <w:p w14:paraId="007C44EB" w14:textId="77777777" w:rsidR="000A7DF2" w:rsidRPr="001032A3" w:rsidRDefault="00DE50C9" w:rsidP="00DE50C9">
      <w:pPr>
        <w:pStyle w:val="enumlev1"/>
      </w:pPr>
      <w:r>
        <w:t>•</w:t>
      </w:r>
      <w:r>
        <w:tab/>
      </w:r>
      <w:r w:rsidR="000A7DF2" w:rsidRPr="001032A3">
        <w:t>NRAs should always be aware that internally MNOs may work on quite different accounting systems and principles. Moreover</w:t>
      </w:r>
      <w:r w:rsidR="000A7DF2">
        <w:t>,</w:t>
      </w:r>
      <w:r w:rsidR="000A7DF2" w:rsidRPr="001032A3">
        <w:t xml:space="preserve"> much detailed information useful for analysis of costs of roaming may be missing in the accounts. In this case</w:t>
      </w:r>
      <w:r w:rsidR="000A7DF2">
        <w:t>,</w:t>
      </w:r>
      <w:r w:rsidR="000A7DF2" w:rsidRPr="001032A3">
        <w:t xml:space="preserve"> various methods for interpolating the existing data may be necessary which will be individual to each MNO case. For instance, roaming traffic as a percentage of total traffic handled will give a first very approximate estimate of costs when applied to the total costs for capex and opex. But obviously this may tend to exaggerate roaming costs, especially if the cost of roaming is in fact covered by small increments on domestic costs which are not linearly sensitive to traffic volumes.</w:t>
      </w:r>
    </w:p>
    <w:p w14:paraId="3A6CAB49" w14:textId="77777777" w:rsidR="000A7DF2" w:rsidRPr="001032A3" w:rsidRDefault="00DE50C9" w:rsidP="00DE50C9">
      <w:pPr>
        <w:pStyle w:val="enumlev1"/>
      </w:pPr>
      <w:r>
        <w:t>•</w:t>
      </w:r>
      <w:r>
        <w:tab/>
      </w:r>
      <w:r w:rsidR="000A7DF2" w:rsidRPr="001032A3">
        <w:t>Information on IOT agreements with other operators is likely to be sensitive as it shows mark-ups on wholesale levels for retail prices and possibly wholesale mark-up over costs if corresponding visited MNO data is available</w:t>
      </w:r>
      <w:r w:rsidR="000A7DF2">
        <w:t>.</w:t>
      </w:r>
    </w:p>
    <w:p w14:paraId="75F3E709" w14:textId="77777777" w:rsidR="000A7DF2" w:rsidRPr="001032A3" w:rsidRDefault="000A7DF2" w:rsidP="000A7DF2">
      <w:pPr>
        <w:spacing w:after="120"/>
      </w:pPr>
      <w:r w:rsidRPr="001032A3">
        <w:t>In addition, there may be existing regulatory rules and requirements in vigour for the MNO's accounting that are pertinent. Note that they may originate in legislative areas other than direct mobile telecommunications, including competition, anti-trust or consumer protection regulation that apply to the roaming situation. Naturally, these protective measures vary enormously by country but may refer to specific conditions such as cross-subsidi</w:t>
      </w:r>
      <w:r>
        <w:t>z</w:t>
      </w:r>
      <w:r w:rsidRPr="001032A3">
        <w:t>ation and market distortion as well as any statutory requirements for transparency and support for subscriber roaming information.</w:t>
      </w:r>
    </w:p>
    <w:p w14:paraId="28F32F92" w14:textId="77777777" w:rsidR="000A7DF2" w:rsidRDefault="000A7DF2" w:rsidP="000A7DF2">
      <w:pPr>
        <w:spacing w:after="120"/>
      </w:pPr>
      <w:r w:rsidRPr="001032A3">
        <w:t>NRA would be well to consider the following questions on jurisdiction, either alone or in concert with NRAs form other countries, on a regional basis:</w:t>
      </w:r>
    </w:p>
    <w:p w14:paraId="1474ABB7" w14:textId="77777777" w:rsidR="000A7DF2" w:rsidRPr="001032A3" w:rsidRDefault="000A7DF2" w:rsidP="00700AB3">
      <w:pPr>
        <w:pStyle w:val="Heading3"/>
      </w:pPr>
      <w:r w:rsidRPr="001032A3">
        <w:t>Questions for the regulatory body to consider on jurisdiction</w:t>
      </w:r>
    </w:p>
    <w:p w14:paraId="5AEC3D62" w14:textId="77777777" w:rsidR="000A7DF2" w:rsidRPr="001032A3" w:rsidRDefault="00DE50C9" w:rsidP="00F8409A">
      <w:pPr>
        <w:pStyle w:val="enumlev1"/>
        <w:spacing w:before="80"/>
      </w:pPr>
      <w:r>
        <w:t>1)</w:t>
      </w:r>
      <w:r>
        <w:tab/>
      </w:r>
      <w:r w:rsidR="000A7DF2">
        <w:t>Does</w:t>
      </w:r>
      <w:r w:rsidR="000A7DF2" w:rsidRPr="001032A3">
        <w:t xml:space="preserve"> the regulatory body </w:t>
      </w:r>
      <w:r w:rsidR="000A7DF2">
        <w:t xml:space="preserve">have </w:t>
      </w:r>
      <w:r w:rsidR="000A7DF2" w:rsidRPr="001032A3">
        <w:t>the authority to obtain wholesale roaming charges that domestic mobile network operators are charged in other countries, and if so, on what basis?</w:t>
      </w:r>
    </w:p>
    <w:p w14:paraId="33FBB165" w14:textId="77777777" w:rsidR="000A7DF2" w:rsidRPr="001032A3" w:rsidRDefault="00DE50C9" w:rsidP="00F8409A">
      <w:pPr>
        <w:pStyle w:val="enumlev1"/>
        <w:spacing w:before="80"/>
      </w:pPr>
      <w:r>
        <w:t>2)</w:t>
      </w:r>
      <w:r>
        <w:tab/>
      </w:r>
      <w:r w:rsidR="000A7DF2">
        <w:t>Does</w:t>
      </w:r>
      <w:r w:rsidR="000A7DF2" w:rsidRPr="001032A3">
        <w:t xml:space="preserve"> the regulatory body </w:t>
      </w:r>
      <w:r w:rsidR="000A7DF2">
        <w:t xml:space="preserve">have </w:t>
      </w:r>
      <w:r w:rsidR="000A7DF2" w:rsidRPr="001032A3">
        <w:t>the power or authority to obtain the wholesale roaming charges that domestic mobile network operators charge operators from other countries</w:t>
      </w:r>
      <w:r w:rsidR="000A7DF2">
        <w:t>,</w:t>
      </w:r>
      <w:r w:rsidR="000A7DF2" w:rsidRPr="001032A3">
        <w:t xml:space="preserve"> and if so, on what basis?</w:t>
      </w:r>
    </w:p>
    <w:p w14:paraId="59D12C88" w14:textId="77777777" w:rsidR="000A7DF2" w:rsidRPr="001032A3" w:rsidRDefault="00DE50C9" w:rsidP="00F8409A">
      <w:pPr>
        <w:pStyle w:val="enumlev1"/>
        <w:spacing w:before="80"/>
      </w:pPr>
      <w:r>
        <w:t>3)</w:t>
      </w:r>
      <w:r>
        <w:tab/>
      </w:r>
      <w:r w:rsidR="000A7DF2" w:rsidRPr="001032A3">
        <w:t>If so</w:t>
      </w:r>
      <w:r w:rsidR="000A7DF2">
        <w:t>,</w:t>
      </w:r>
      <w:r w:rsidR="000A7DF2" w:rsidRPr="001032A3">
        <w:t xml:space="preserve"> would the regulatory body have the authority to provide this information to other regulatory authorities in other countries (e.g. in the context of bilateral/regional agreements)?</w:t>
      </w:r>
    </w:p>
    <w:p w14:paraId="48A64A21" w14:textId="77777777" w:rsidR="000A7DF2" w:rsidRPr="001032A3" w:rsidRDefault="00DE50C9" w:rsidP="00F8409A">
      <w:pPr>
        <w:pStyle w:val="enumlev1"/>
        <w:spacing w:before="80"/>
      </w:pPr>
      <w:r>
        <w:t>4)</w:t>
      </w:r>
      <w:r>
        <w:tab/>
      </w:r>
      <w:r w:rsidR="000A7DF2">
        <w:t>Does</w:t>
      </w:r>
      <w:r w:rsidR="000A7DF2" w:rsidRPr="001032A3">
        <w:t xml:space="preserve"> the regulatory body </w:t>
      </w:r>
      <w:r w:rsidR="000A7DF2">
        <w:t xml:space="preserve">have </w:t>
      </w:r>
      <w:r w:rsidR="000A7DF2" w:rsidRPr="001032A3">
        <w:t xml:space="preserve">the authority to regulate the retail roaming prices charged by domestic MNOs to their customers roaming in other countries? </w:t>
      </w:r>
    </w:p>
    <w:p w14:paraId="2E769CF8" w14:textId="77777777" w:rsidR="000A7DF2" w:rsidRPr="001032A3" w:rsidRDefault="00DE50C9" w:rsidP="00F8409A">
      <w:pPr>
        <w:pStyle w:val="enumlev1"/>
        <w:spacing w:before="80"/>
      </w:pPr>
      <w:r>
        <w:t>5)</w:t>
      </w:r>
      <w:r>
        <w:tab/>
      </w:r>
      <w:r w:rsidR="000A7DF2">
        <w:t>Does</w:t>
      </w:r>
      <w:r w:rsidR="000A7DF2" w:rsidRPr="001032A3">
        <w:t xml:space="preserve"> the regulatory body </w:t>
      </w:r>
      <w:r w:rsidR="000A7DF2">
        <w:t xml:space="preserve">have </w:t>
      </w:r>
      <w:r w:rsidR="000A7DF2" w:rsidRPr="001032A3">
        <w:t>the authority to regulate the wholesale roaming prices charged by domestic MNOs to the MNOs from visited countries, and if so, on what basis?</w:t>
      </w:r>
    </w:p>
    <w:p w14:paraId="1770ACCA" w14:textId="77777777" w:rsidR="000A7DF2" w:rsidRPr="00DD5C2E" w:rsidRDefault="000A7DF2" w:rsidP="002D77FC">
      <w:pPr>
        <w:pStyle w:val="Heading3"/>
      </w:pPr>
      <w:bookmarkStart w:id="64" w:name="_Toc425326338"/>
      <w:r w:rsidRPr="00DD5C2E">
        <w:t>5.2.3</w:t>
      </w:r>
      <w:r w:rsidR="002D77FC">
        <w:tab/>
      </w:r>
      <w:r w:rsidRPr="00DD5C2E">
        <w:t>Interviews – Data collection process</w:t>
      </w:r>
      <w:bookmarkEnd w:id="64"/>
    </w:p>
    <w:p w14:paraId="58A17AED" w14:textId="77777777" w:rsidR="000A7DF2" w:rsidRPr="001032A3" w:rsidRDefault="000A7DF2" w:rsidP="000A7DF2">
      <w:pPr>
        <w:spacing w:after="120"/>
      </w:pPr>
      <w:r w:rsidRPr="001032A3">
        <w:t>When carrying out interviews, a selection process for candidates may be useful. The first candidate MNOs to be chosen will be important both to train NRA personnel on the process and to provide key data that may be indicative during interactions with subsequent MNOs. Choices for interview are at two levels</w:t>
      </w:r>
      <w:r>
        <w:t>:</w:t>
      </w:r>
      <w:r w:rsidRPr="001032A3">
        <w:t xml:space="preserve"> at the level of the organi</w:t>
      </w:r>
      <w:r>
        <w:t>z</w:t>
      </w:r>
      <w:r w:rsidRPr="001032A3">
        <w:t>ation (i</w:t>
      </w:r>
      <w:r>
        <w:t>.</w:t>
      </w:r>
      <w:r w:rsidRPr="001032A3">
        <w:t>e</w:t>
      </w:r>
      <w:r>
        <w:t>.</w:t>
      </w:r>
      <w:r w:rsidRPr="001032A3">
        <w:t xml:space="preserve"> which MNO) to approach first, and at the level of those within the organi</w:t>
      </w:r>
      <w:r>
        <w:t>z</w:t>
      </w:r>
      <w:r w:rsidRPr="001032A3">
        <w:t xml:space="preserve">ation. </w:t>
      </w:r>
    </w:p>
    <w:p w14:paraId="45F5C31E" w14:textId="77777777" w:rsidR="000A7DF2" w:rsidRPr="001032A3" w:rsidRDefault="000A7DF2" w:rsidP="000A7DF2">
      <w:pPr>
        <w:spacing w:after="120"/>
      </w:pPr>
      <w:r w:rsidRPr="001032A3">
        <w:t>Who to choose as first among several MNOs, if there is a choice, turns on</w:t>
      </w:r>
      <w:r>
        <w:t>:</w:t>
      </w:r>
    </w:p>
    <w:p w14:paraId="004B3AC2" w14:textId="77777777" w:rsidR="000A7DF2" w:rsidRPr="001032A3" w:rsidRDefault="002D77FC" w:rsidP="00F8409A">
      <w:pPr>
        <w:pStyle w:val="enumlev1"/>
        <w:spacing w:before="80"/>
      </w:pPr>
      <w:r>
        <w:t>•</w:t>
      </w:r>
      <w:r>
        <w:tab/>
      </w:r>
      <w:r w:rsidR="000A7DF2" w:rsidRPr="001032A3">
        <w:t>The presence of a consistent and coherent internal organi</w:t>
      </w:r>
      <w:r w:rsidR="000A7DF2">
        <w:t>z</w:t>
      </w:r>
      <w:r w:rsidR="000A7DF2" w:rsidRPr="001032A3">
        <w:t>ation, with accounting for all business processes</w:t>
      </w:r>
      <w:r w:rsidR="000A7DF2">
        <w:t>.</w:t>
      </w:r>
      <w:r w:rsidR="000A7DF2" w:rsidRPr="001032A3">
        <w:t xml:space="preserve"> </w:t>
      </w:r>
    </w:p>
    <w:p w14:paraId="6119C452" w14:textId="77777777" w:rsidR="000A7DF2" w:rsidRPr="001032A3" w:rsidRDefault="002D77FC" w:rsidP="00F8409A">
      <w:pPr>
        <w:pStyle w:val="enumlev1"/>
        <w:spacing w:before="80"/>
      </w:pPr>
      <w:r>
        <w:t>•</w:t>
      </w:r>
      <w:r>
        <w:tab/>
      </w:r>
      <w:r w:rsidR="000A7DF2" w:rsidRPr="001032A3">
        <w:t>Good NRA relationship with MNO</w:t>
      </w:r>
      <w:r w:rsidR="000A7DF2">
        <w:t>.</w:t>
      </w:r>
    </w:p>
    <w:p w14:paraId="348D5F33" w14:textId="77777777" w:rsidR="000A7DF2" w:rsidRPr="001032A3" w:rsidRDefault="002D77FC" w:rsidP="00F8409A">
      <w:pPr>
        <w:pStyle w:val="enumlev1"/>
        <w:spacing w:before="80"/>
      </w:pPr>
      <w:r>
        <w:t>•</w:t>
      </w:r>
      <w:r>
        <w:tab/>
      </w:r>
      <w:r w:rsidR="000A7DF2" w:rsidRPr="001032A3">
        <w:t>Strong customer</w:t>
      </w:r>
      <w:r w:rsidR="000A7DF2">
        <w:t>-</w:t>
      </w:r>
      <w:r w:rsidR="000A7DF2" w:rsidRPr="001032A3">
        <w:t>oriented values</w:t>
      </w:r>
      <w:r w:rsidR="000A7DF2">
        <w:t>.</w:t>
      </w:r>
      <w:r w:rsidR="000A7DF2" w:rsidRPr="001032A3">
        <w:t xml:space="preserve"> </w:t>
      </w:r>
    </w:p>
    <w:p w14:paraId="2E89EE7C" w14:textId="77777777" w:rsidR="000A7DF2" w:rsidRPr="001032A3" w:rsidRDefault="002D77FC" w:rsidP="00F8409A">
      <w:pPr>
        <w:pStyle w:val="enumlev1"/>
        <w:spacing w:before="80"/>
      </w:pPr>
      <w:r>
        <w:lastRenderedPageBreak/>
        <w:t>•</w:t>
      </w:r>
      <w:r>
        <w:tab/>
      </w:r>
      <w:r w:rsidR="000A7DF2" w:rsidRPr="001032A3">
        <w:t>Stable growth with anticipation of future markets</w:t>
      </w:r>
      <w:r w:rsidR="000A7DF2">
        <w:t>.</w:t>
      </w:r>
    </w:p>
    <w:p w14:paraId="7C8EE568" w14:textId="77777777" w:rsidR="000A7DF2" w:rsidRPr="001032A3" w:rsidRDefault="002D77FC" w:rsidP="00F8409A">
      <w:pPr>
        <w:pStyle w:val="enumlev1"/>
        <w:spacing w:before="80"/>
      </w:pPr>
      <w:r>
        <w:t>•</w:t>
      </w:r>
      <w:r>
        <w:tab/>
      </w:r>
      <w:r w:rsidR="000A7DF2" w:rsidRPr="001032A3">
        <w:t>Many international partners</w:t>
      </w:r>
      <w:r w:rsidR="000A7DF2">
        <w:t>.</w:t>
      </w:r>
    </w:p>
    <w:p w14:paraId="1103C93C" w14:textId="77777777" w:rsidR="000A7DF2" w:rsidRPr="001032A3" w:rsidRDefault="000A7DF2" w:rsidP="000A7DF2">
      <w:pPr>
        <w:spacing w:after="120"/>
      </w:pPr>
      <w:r w:rsidRPr="001032A3">
        <w:t xml:space="preserve">The data collection process </w:t>
      </w:r>
      <w:r w:rsidRPr="001032A3">
        <w:rPr>
          <w:i/>
          <w:iCs/>
        </w:rPr>
        <w:t>within</w:t>
      </w:r>
      <w:r w:rsidRPr="001032A3">
        <w:t xml:space="preserve"> MNO must first consider who to choose on the MNO staff for actual data collection – if no single point of contact is offered after the initial approach on data gathering. Preferences for interviewees may be among certain major functions:</w:t>
      </w:r>
    </w:p>
    <w:p w14:paraId="594BBF6A" w14:textId="77777777" w:rsidR="000A7DF2" w:rsidRPr="001032A3" w:rsidRDefault="00E23F84" w:rsidP="00E23F84">
      <w:pPr>
        <w:pStyle w:val="enumlev1"/>
      </w:pPr>
      <w:r>
        <w:t>•</w:t>
      </w:r>
      <w:r>
        <w:tab/>
      </w:r>
      <w:r w:rsidR="000A7DF2" w:rsidRPr="001032A3">
        <w:t xml:space="preserve">Business process </w:t>
      </w:r>
      <w:r w:rsidR="000A7DF2">
        <w:t>'</w:t>
      </w:r>
      <w:r w:rsidR="000A7DF2" w:rsidRPr="001032A3">
        <w:t>owners</w:t>
      </w:r>
      <w:r w:rsidR="000A7DF2">
        <w:t>'</w:t>
      </w:r>
      <w:r w:rsidR="000A7DF2" w:rsidRPr="001032A3">
        <w:t xml:space="preserve">, such as billing or network operations </w:t>
      </w:r>
      <w:r w:rsidR="000A7DF2">
        <w:t>–</w:t>
      </w:r>
      <w:r w:rsidR="000A7DF2" w:rsidRPr="001032A3">
        <w:t xml:space="preserve"> and especially a roaming process manager, if the there is one</w:t>
      </w:r>
      <w:r w:rsidR="000A7DF2">
        <w:t>.</w:t>
      </w:r>
    </w:p>
    <w:p w14:paraId="49FB1D53" w14:textId="77777777" w:rsidR="000A7DF2" w:rsidRPr="001032A3" w:rsidRDefault="00E23F84" w:rsidP="00E23F84">
      <w:pPr>
        <w:pStyle w:val="enumlev1"/>
      </w:pPr>
      <w:r>
        <w:t>•</w:t>
      </w:r>
      <w:r>
        <w:tab/>
      </w:r>
      <w:r w:rsidR="000A7DF2" w:rsidRPr="001032A3">
        <w:t>IT staff, particularly those responsible for delivering BSS, such as the billing systems</w:t>
      </w:r>
      <w:r w:rsidR="000A7DF2">
        <w:t>.</w:t>
      </w:r>
    </w:p>
    <w:p w14:paraId="41A0CE7F" w14:textId="77777777" w:rsidR="000A7DF2" w:rsidRPr="001032A3" w:rsidRDefault="00E23F84" w:rsidP="00E23F84">
      <w:pPr>
        <w:pStyle w:val="enumlev1"/>
      </w:pPr>
      <w:r>
        <w:t>•</w:t>
      </w:r>
      <w:r>
        <w:tab/>
      </w:r>
      <w:r w:rsidR="000A7DF2" w:rsidRPr="001032A3">
        <w:t>Accounts and budgets staff who provide cost based analyses</w:t>
      </w:r>
      <w:r w:rsidR="000A7DF2">
        <w:t>.</w:t>
      </w:r>
    </w:p>
    <w:p w14:paraId="511EB3B4" w14:textId="77777777" w:rsidR="000A7DF2" w:rsidRPr="001032A3" w:rsidRDefault="00E23F84" w:rsidP="00E23F84">
      <w:pPr>
        <w:pStyle w:val="enumlev1"/>
      </w:pPr>
      <w:r>
        <w:t>•</w:t>
      </w:r>
      <w:r>
        <w:tab/>
      </w:r>
      <w:r w:rsidR="000A7DF2" w:rsidRPr="001032A3">
        <w:t>Strategic, legal and external relations staff who deal with IOTs and with outside bodies such as other correspondent MNOs and roaming exchanges</w:t>
      </w:r>
      <w:r w:rsidR="000A7DF2">
        <w:t>.</w:t>
      </w:r>
    </w:p>
    <w:p w14:paraId="21E0EADE" w14:textId="77777777" w:rsidR="000A7DF2" w:rsidRPr="001032A3" w:rsidRDefault="000A7DF2" w:rsidP="000A7DF2">
      <w:pPr>
        <w:spacing w:after="120"/>
      </w:pPr>
      <w:r w:rsidRPr="001032A3">
        <w:t xml:space="preserve">In setting up the interview, use of </w:t>
      </w:r>
      <w:r>
        <w:t>a</w:t>
      </w:r>
      <w:r w:rsidRPr="001032A3">
        <w:t xml:space="preserve"> questionnaire to explain the areas to be discussed for data collection should be a first step, together with a focus on explaining the use cases.</w:t>
      </w:r>
    </w:p>
    <w:p w14:paraId="4C9EFE65" w14:textId="77777777" w:rsidR="000A7DF2" w:rsidRPr="00DD5C2E" w:rsidRDefault="000A7DF2" w:rsidP="00E23F84">
      <w:pPr>
        <w:pStyle w:val="Heading3"/>
      </w:pPr>
      <w:bookmarkStart w:id="65" w:name="_Toc425326339"/>
      <w:r w:rsidRPr="00DD5C2E">
        <w:t xml:space="preserve">5.2.4 </w:t>
      </w:r>
      <w:r w:rsidR="00E23F84">
        <w:tab/>
      </w:r>
      <w:r w:rsidRPr="00DD5C2E">
        <w:t>Organization of data from MNOs</w:t>
      </w:r>
      <w:bookmarkEnd w:id="65"/>
    </w:p>
    <w:p w14:paraId="0A9247EE" w14:textId="77777777" w:rsidR="000A7DF2" w:rsidRPr="001032A3" w:rsidRDefault="000A7DF2" w:rsidP="000A7DF2">
      <w:r w:rsidRPr="001032A3">
        <w:t>Classifying and processing the complex data, possibly large volumes</w:t>
      </w:r>
      <w:r>
        <w:t>,</w:t>
      </w:r>
      <w:r w:rsidRPr="001032A3">
        <w:t xml:space="preserve"> requires:</w:t>
      </w:r>
    </w:p>
    <w:p w14:paraId="28DE23C5" w14:textId="77777777" w:rsidR="000A7DF2" w:rsidRPr="001032A3" w:rsidRDefault="00E23F84" w:rsidP="00E23F84">
      <w:pPr>
        <w:pStyle w:val="enumlev1"/>
      </w:pPr>
      <w:r>
        <w:t>•</w:t>
      </w:r>
      <w:r>
        <w:tab/>
      </w:r>
      <w:r w:rsidR="000A7DF2" w:rsidRPr="001032A3">
        <w:t>Organi</w:t>
      </w:r>
      <w:r w:rsidR="000A7DF2">
        <w:t>z</w:t>
      </w:r>
      <w:r w:rsidR="000A7DF2" w:rsidRPr="001032A3">
        <w:t>ing the roaming data by MNO for base costs, retail and wholesale (IOT) tariffs, plus the tariffs for domestic calls for comparison</w:t>
      </w:r>
      <w:r w:rsidR="000A7DF2">
        <w:t>.</w:t>
      </w:r>
    </w:p>
    <w:p w14:paraId="6D0EF9C8" w14:textId="77777777" w:rsidR="000A7DF2" w:rsidRPr="001032A3" w:rsidRDefault="00E23F84" w:rsidP="00E23F84">
      <w:pPr>
        <w:pStyle w:val="enumlev1"/>
      </w:pPr>
      <w:r>
        <w:t>•</w:t>
      </w:r>
      <w:r>
        <w:tab/>
      </w:r>
      <w:r w:rsidR="000A7DF2" w:rsidRPr="001032A3">
        <w:t>Laying out data as tariffs for calls between countries, using spreadsheets for voice, data and SMS for retail and wholesale (IOT)</w:t>
      </w:r>
      <w:r w:rsidR="000A7DF2">
        <w:t>,</w:t>
      </w:r>
      <w:r w:rsidR="000A7DF2" w:rsidRPr="001032A3">
        <w:t xml:space="preserve"> as in Annex 4</w:t>
      </w:r>
      <w:r w:rsidR="000A7DF2">
        <w:t>.</w:t>
      </w:r>
    </w:p>
    <w:p w14:paraId="729156DA" w14:textId="77777777" w:rsidR="000A7DF2" w:rsidRPr="001032A3" w:rsidRDefault="00E23F84" w:rsidP="00E23F84">
      <w:pPr>
        <w:pStyle w:val="enumlev1"/>
      </w:pPr>
      <w:r>
        <w:t>•</w:t>
      </w:r>
      <w:r>
        <w:tab/>
      </w:r>
      <w:r w:rsidR="000A7DF2" w:rsidRPr="001032A3">
        <w:t>Assimilating and checking the data, noting any anomalies, gaps and issues that may require further investigation with MNOs</w:t>
      </w:r>
      <w:r w:rsidR="000A7DF2">
        <w:t>.</w:t>
      </w:r>
    </w:p>
    <w:p w14:paraId="4CBDEA4C" w14:textId="77777777" w:rsidR="000A7DF2" w:rsidRPr="001032A3" w:rsidRDefault="00E23F84" w:rsidP="00E23F84">
      <w:pPr>
        <w:pStyle w:val="enumlev1"/>
      </w:pPr>
      <w:r>
        <w:t>•</w:t>
      </w:r>
      <w:r>
        <w:tab/>
      </w:r>
      <w:r w:rsidR="000A7DF2" w:rsidRPr="001032A3">
        <w:t>Classifying the results, in order to write conclusions for the roaming costs report (as a final section).</w:t>
      </w:r>
    </w:p>
    <w:p w14:paraId="2CD23E40" w14:textId="77777777" w:rsidR="000A7DF2" w:rsidRPr="00DD5C2E" w:rsidRDefault="000A7DF2" w:rsidP="008C7FC6">
      <w:pPr>
        <w:pStyle w:val="Heading3"/>
      </w:pPr>
      <w:bookmarkStart w:id="66" w:name="_Toc425326340"/>
      <w:r w:rsidRPr="00DD5C2E">
        <w:t xml:space="preserve">5.2.5 </w:t>
      </w:r>
      <w:r w:rsidR="008C7FC6">
        <w:tab/>
      </w:r>
      <w:r w:rsidRPr="00DD5C2E">
        <w:t>Standard format for final report</w:t>
      </w:r>
      <w:bookmarkEnd w:id="66"/>
    </w:p>
    <w:p w14:paraId="18AAF285" w14:textId="77777777" w:rsidR="000A7DF2" w:rsidRPr="001032A3" w:rsidRDefault="000A7DF2" w:rsidP="000A7DF2">
      <w:pPr>
        <w:spacing w:after="120"/>
      </w:pPr>
      <w:r w:rsidRPr="001032A3">
        <w:t xml:space="preserve">The final report contents should examine each MNO in turn, with a section for each MNO having the following tables of the data collected, for voice, data and SMS in the following </w:t>
      </w:r>
      <w:r>
        <w:t>steps</w:t>
      </w:r>
      <w:r w:rsidRPr="001032A3">
        <w:t xml:space="preserve"> 1 to 6:</w:t>
      </w:r>
    </w:p>
    <w:p w14:paraId="7126A6EA" w14:textId="77777777" w:rsidR="000A7DF2" w:rsidRPr="001032A3" w:rsidRDefault="0084421F" w:rsidP="0084421F">
      <w:pPr>
        <w:pStyle w:val="enumlev1"/>
      </w:pPr>
      <w:r>
        <w:t>1)</w:t>
      </w:r>
      <w:r>
        <w:tab/>
      </w:r>
      <w:r w:rsidR="000A7DF2" w:rsidRPr="001032A3">
        <w:t xml:space="preserve">Cost </w:t>
      </w:r>
      <w:r w:rsidR="000A7DF2">
        <w:t>a</w:t>
      </w:r>
      <w:r w:rsidR="000A7DF2" w:rsidRPr="001032A3">
        <w:t xml:space="preserve">nalysis of underlying costs for the home MNO for handling roaming calls to and from each country with both </w:t>
      </w:r>
      <w:r w:rsidR="000A7DF2">
        <w:t xml:space="preserve">the </w:t>
      </w:r>
      <w:r w:rsidR="000A7DF2" w:rsidRPr="001032A3">
        <w:t>home country as an itemi</w:t>
      </w:r>
      <w:r w:rsidR="000A7DF2">
        <w:t>z</w:t>
      </w:r>
      <w:r w:rsidR="000A7DF2" w:rsidRPr="001032A3">
        <w:t>ed list of costs, and also for the visited country MNO costs</w:t>
      </w:r>
      <w:r w:rsidR="000A7DF2">
        <w:t>,</w:t>
      </w:r>
      <w:r w:rsidR="000A7DF2" w:rsidRPr="001032A3">
        <w:t xml:space="preserve"> where available</w:t>
      </w:r>
      <w:r w:rsidR="000A7DF2">
        <w:t>.</w:t>
      </w:r>
    </w:p>
    <w:p w14:paraId="72DE4D99" w14:textId="77777777" w:rsidR="000A7DF2" w:rsidRPr="001032A3" w:rsidRDefault="0084421F" w:rsidP="0084421F">
      <w:pPr>
        <w:pStyle w:val="enumlev1"/>
      </w:pPr>
      <w:r>
        <w:t>2)</w:t>
      </w:r>
      <w:r>
        <w:tab/>
      </w:r>
      <w:r w:rsidR="000A7DF2" w:rsidRPr="001032A3">
        <w:t xml:space="preserve">Cost </w:t>
      </w:r>
      <w:r w:rsidR="000A7DF2">
        <w:t>a</w:t>
      </w:r>
      <w:r w:rsidR="000A7DF2" w:rsidRPr="001032A3">
        <w:t>nalysis of the MNO</w:t>
      </w:r>
      <w:r w:rsidR="000A7DF2">
        <w:t>'</w:t>
      </w:r>
      <w:r w:rsidR="000A7DF2" w:rsidRPr="001032A3">
        <w:t>s domestic costs for handling on-net and off</w:t>
      </w:r>
      <w:r w:rsidR="000A7DF2">
        <w:t>-</w:t>
      </w:r>
      <w:r w:rsidR="000A7DF2" w:rsidRPr="001032A3">
        <w:t>net calls, inbound and outbound as an itemi</w:t>
      </w:r>
      <w:r w:rsidR="000A7DF2">
        <w:t>z</w:t>
      </w:r>
      <w:r w:rsidR="000A7DF2" w:rsidRPr="001032A3">
        <w:t>ed list of costs</w:t>
      </w:r>
      <w:r w:rsidR="000A7DF2">
        <w:t>.</w:t>
      </w:r>
    </w:p>
    <w:p w14:paraId="5553EAAE" w14:textId="77777777" w:rsidR="000A7DF2" w:rsidRPr="001032A3" w:rsidRDefault="0084421F" w:rsidP="0084421F">
      <w:pPr>
        <w:pStyle w:val="enumlev1"/>
      </w:pPr>
      <w:r>
        <w:t>3)</w:t>
      </w:r>
      <w:r>
        <w:tab/>
      </w:r>
      <w:r w:rsidR="000A7DF2" w:rsidRPr="001032A3">
        <w:t>Retail roaming tariffs charged by country by MNO</w:t>
      </w:r>
      <w:r w:rsidR="000A7DF2">
        <w:t>.</w:t>
      </w:r>
    </w:p>
    <w:p w14:paraId="0F5EF80B" w14:textId="77777777" w:rsidR="000A7DF2" w:rsidRPr="001032A3" w:rsidRDefault="0084421F" w:rsidP="0084421F">
      <w:pPr>
        <w:pStyle w:val="enumlev1"/>
      </w:pPr>
      <w:r>
        <w:t>4)</w:t>
      </w:r>
      <w:r>
        <w:tab/>
      </w:r>
      <w:r w:rsidR="000A7DF2" w:rsidRPr="001032A3">
        <w:t xml:space="preserve">Wholesale roaming tariffs by country, as a table of the data collected on IOTs. This will require </w:t>
      </w:r>
      <w:r w:rsidR="000A7DF2">
        <w:t xml:space="preserve">the </w:t>
      </w:r>
      <w:r w:rsidR="000A7DF2" w:rsidRPr="001032A3">
        <w:t>study of the underlying costs (</w:t>
      </w:r>
      <w:r w:rsidR="000A7DF2">
        <w:t>step</w:t>
      </w:r>
      <w:r w:rsidR="000A7DF2" w:rsidRPr="001032A3">
        <w:t xml:space="preserve"> 1) to understand their profit margins.</w:t>
      </w:r>
    </w:p>
    <w:p w14:paraId="495E87E0" w14:textId="77777777" w:rsidR="000A7DF2" w:rsidRPr="001032A3" w:rsidRDefault="0084421F" w:rsidP="0084421F">
      <w:pPr>
        <w:pStyle w:val="enumlev1"/>
      </w:pPr>
      <w:r>
        <w:t>5)</w:t>
      </w:r>
      <w:r>
        <w:tab/>
      </w:r>
      <w:r w:rsidR="000A7DF2" w:rsidRPr="001032A3">
        <w:t>Comparison of retail and wholesale tariffs against cost</w:t>
      </w:r>
      <w:r w:rsidR="000A7DF2">
        <w:t>.</w:t>
      </w:r>
    </w:p>
    <w:p w14:paraId="4A8F79F6" w14:textId="77777777" w:rsidR="000A7DF2" w:rsidRPr="001032A3" w:rsidRDefault="0084421F" w:rsidP="0084421F">
      <w:pPr>
        <w:pStyle w:val="enumlev1"/>
      </w:pPr>
      <w:r>
        <w:t>6)</w:t>
      </w:r>
      <w:r>
        <w:tab/>
      </w:r>
      <w:r w:rsidR="000A7DF2" w:rsidRPr="001032A3">
        <w:t>Domestic tariffs for off-net calls, for mobile and fixed terminations, for calls made and calls received</w:t>
      </w:r>
      <w:r w:rsidR="000A7DF2">
        <w:t>.</w:t>
      </w:r>
    </w:p>
    <w:p w14:paraId="7D46A72F" w14:textId="77777777" w:rsidR="000A7DF2" w:rsidRPr="001032A3" w:rsidRDefault="0084421F" w:rsidP="0084421F">
      <w:pPr>
        <w:pStyle w:val="enumlev1"/>
      </w:pPr>
      <w:r>
        <w:t>7)</w:t>
      </w:r>
      <w:r>
        <w:tab/>
      </w:r>
      <w:r w:rsidR="000A7DF2" w:rsidRPr="001032A3">
        <w:t>Conclusion on roaming costs, both retail and wholesale for MNO, with a comparison against the MNOs domestic costs and domestic retail tariffs and also the differences across countries and correspondent MNOs in the same country.</w:t>
      </w:r>
    </w:p>
    <w:p w14:paraId="1A88A798" w14:textId="77777777" w:rsidR="000A7DF2" w:rsidRPr="001032A3" w:rsidRDefault="000A7DF2" w:rsidP="00F8409A">
      <w:pPr>
        <w:pStyle w:val="Heading2"/>
      </w:pPr>
      <w:bookmarkStart w:id="67" w:name="_Toc425326341"/>
      <w:bookmarkStart w:id="68" w:name="_Toc429485888"/>
      <w:r w:rsidRPr="001032A3">
        <w:lastRenderedPageBreak/>
        <w:t xml:space="preserve">5.3 </w:t>
      </w:r>
      <w:r w:rsidR="0084421F">
        <w:tab/>
      </w:r>
      <w:r>
        <w:t>S</w:t>
      </w:r>
      <w:r w:rsidRPr="001032A3">
        <w:t>ample questionnaire for NRAs, for use with the cost model</w:t>
      </w:r>
      <w:bookmarkEnd w:id="67"/>
      <w:bookmarkEnd w:id="68"/>
    </w:p>
    <w:p w14:paraId="07922CE4" w14:textId="77777777" w:rsidR="000A7DF2" w:rsidRPr="001032A3" w:rsidRDefault="000A7DF2" w:rsidP="00F8409A">
      <w:pPr>
        <w:keepNext/>
        <w:spacing w:after="120"/>
      </w:pPr>
      <w:r w:rsidRPr="001032A3">
        <w:t>A structure for a questionnaire on roaming tariffs is shown in Annex 3 as a model that can be used with MNOs. The aim of these questions is to cover the main areas of concern for voice, data and SMS in terms of wholesale and retail tariffs.</w:t>
      </w:r>
    </w:p>
    <w:p w14:paraId="0DD0E2ED" w14:textId="77777777" w:rsidR="000A7DF2" w:rsidRPr="001032A3" w:rsidRDefault="000A7DF2" w:rsidP="000A7DF2">
      <w:pPr>
        <w:spacing w:after="120"/>
      </w:pPr>
      <w:r w:rsidRPr="001032A3">
        <w:t>Thus questions cover the costs between different countries that MNO has IOTs with across the various classes of media. There are four main categories where questions for operators have been assembled:</w:t>
      </w:r>
    </w:p>
    <w:p w14:paraId="219E4523" w14:textId="77777777" w:rsidR="000A7DF2" w:rsidRPr="001032A3" w:rsidRDefault="005B30B9" w:rsidP="005B30B9">
      <w:pPr>
        <w:pStyle w:val="enumlev1"/>
      </w:pPr>
      <w:r>
        <w:t>•</w:t>
      </w:r>
      <w:r>
        <w:tab/>
      </w:r>
      <w:r w:rsidR="000A7DF2" w:rsidRPr="001032A3">
        <w:t>PART A</w:t>
      </w:r>
      <w:r w:rsidR="000A7DF2">
        <w:t>:</w:t>
      </w:r>
      <w:r w:rsidR="000A7DF2" w:rsidRPr="001032A3">
        <w:t xml:space="preserve"> Pricing of </w:t>
      </w:r>
      <w:r w:rsidR="000A7DF2">
        <w:t>w</w:t>
      </w:r>
      <w:r w:rsidR="000A7DF2" w:rsidRPr="001032A3">
        <w:t xml:space="preserve">holesale services </w:t>
      </w:r>
      <w:r w:rsidR="000A7DF2">
        <w:t>–</w:t>
      </w:r>
      <w:r w:rsidR="000A7DF2" w:rsidRPr="001032A3">
        <w:t xml:space="preserve"> for voice, data and SMS</w:t>
      </w:r>
      <w:r w:rsidR="000A7DF2">
        <w:t>.</w:t>
      </w:r>
    </w:p>
    <w:p w14:paraId="4FCF1B8B" w14:textId="77777777" w:rsidR="000A7DF2" w:rsidRPr="001032A3" w:rsidRDefault="005B30B9" w:rsidP="005B30B9">
      <w:pPr>
        <w:pStyle w:val="enumlev1"/>
      </w:pPr>
      <w:r>
        <w:t>•</w:t>
      </w:r>
      <w:r>
        <w:tab/>
      </w:r>
      <w:r w:rsidR="000A7DF2" w:rsidRPr="001032A3">
        <w:t>PART B</w:t>
      </w:r>
      <w:r w:rsidR="000A7DF2">
        <w:t>:</w:t>
      </w:r>
      <w:r w:rsidR="000A7DF2" w:rsidRPr="001032A3">
        <w:t xml:space="preserve"> Pricing of </w:t>
      </w:r>
      <w:r w:rsidR="000A7DF2">
        <w:t>r</w:t>
      </w:r>
      <w:r w:rsidR="000A7DF2" w:rsidRPr="001032A3">
        <w:t>etail services – for voice, data and SMS</w:t>
      </w:r>
      <w:r w:rsidR="000A7DF2">
        <w:t>.</w:t>
      </w:r>
    </w:p>
    <w:p w14:paraId="57607671" w14:textId="77777777" w:rsidR="000A7DF2" w:rsidRPr="001032A3" w:rsidRDefault="005B30B9" w:rsidP="005B30B9">
      <w:pPr>
        <w:pStyle w:val="enumlev1"/>
      </w:pPr>
      <w:r>
        <w:t>•</w:t>
      </w:r>
      <w:r>
        <w:tab/>
      </w:r>
      <w:r w:rsidR="000A7DF2" w:rsidRPr="001032A3">
        <w:t>PART C</w:t>
      </w:r>
      <w:r w:rsidR="000A7DF2">
        <w:t>:</w:t>
      </w:r>
      <w:r w:rsidR="000A7DF2" w:rsidRPr="001032A3">
        <w:t xml:space="preserve"> Accounting analysis</w:t>
      </w:r>
      <w:r w:rsidR="000A7DF2">
        <w:t>.</w:t>
      </w:r>
    </w:p>
    <w:p w14:paraId="2AACA9D0" w14:textId="77777777" w:rsidR="000A7DF2" w:rsidRPr="001032A3" w:rsidRDefault="005B30B9" w:rsidP="005B30B9">
      <w:pPr>
        <w:pStyle w:val="enumlev1"/>
      </w:pPr>
      <w:r>
        <w:t>•</w:t>
      </w:r>
      <w:r>
        <w:tab/>
      </w:r>
      <w:r w:rsidR="000A7DF2" w:rsidRPr="001032A3">
        <w:t>PART D</w:t>
      </w:r>
      <w:r w:rsidR="000A7DF2">
        <w:t>:</w:t>
      </w:r>
      <w:r w:rsidR="000A7DF2" w:rsidRPr="001032A3">
        <w:t xml:space="preserve"> MNO </w:t>
      </w:r>
      <w:r w:rsidR="000A7DF2">
        <w:t>c</w:t>
      </w:r>
      <w:r w:rsidR="000A7DF2" w:rsidRPr="001032A3">
        <w:t xml:space="preserve">osts base – Elements of </w:t>
      </w:r>
      <w:r w:rsidR="000A7DF2">
        <w:t>c</w:t>
      </w:r>
      <w:r w:rsidR="000A7DF2" w:rsidRPr="001032A3">
        <w:t xml:space="preserve">apex and </w:t>
      </w:r>
      <w:r w:rsidR="000A7DF2">
        <w:t>o</w:t>
      </w:r>
      <w:r w:rsidR="000A7DF2" w:rsidRPr="001032A3">
        <w:t>pex</w:t>
      </w:r>
    </w:p>
    <w:p w14:paraId="3CFB6575" w14:textId="77777777" w:rsidR="000A7DF2" w:rsidRPr="001032A3" w:rsidRDefault="000A7DF2" w:rsidP="000A7DF2">
      <w:pPr>
        <w:spacing w:after="120"/>
      </w:pPr>
      <w:r w:rsidRPr="001032A3">
        <w:t xml:space="preserve">While the first </w:t>
      </w:r>
      <w:r>
        <w:t>three</w:t>
      </w:r>
      <w:r w:rsidRPr="001032A3">
        <w:t xml:space="preserve"> are important to understand the costing basis, the main area for probing is Part D which looks </w:t>
      </w:r>
      <w:r>
        <w:t xml:space="preserve">at </w:t>
      </w:r>
      <w:r w:rsidRPr="001032A3">
        <w:t xml:space="preserve">cost elements explicitly and in detail – this is where more detail may be required to obtain a complete picture. For questions where accounting separation for roaming or detailed costing information is requested, some operators may not initially have the level of information required if it has not been analysed for roaming already. As this is a complex exercise which will require careful consideration, the timelines to respond are likely to be from one to three months, or perhaps even a month longer. These suggested timelines are only indicative as each operator will have different internal systems, accounting approaches and resources so times for response will vary between MNOs; some may be more rapid than </w:t>
      </w:r>
      <w:r>
        <w:t>others</w:t>
      </w:r>
      <w:r w:rsidRPr="001032A3">
        <w:t>.</w:t>
      </w:r>
    </w:p>
    <w:p w14:paraId="13700BA1" w14:textId="77777777" w:rsidR="000A7DF2" w:rsidRPr="001032A3" w:rsidRDefault="000A7DF2" w:rsidP="000A7DF2">
      <w:pPr>
        <w:spacing w:after="120"/>
      </w:pPr>
      <w:r w:rsidRPr="001032A3">
        <w:t xml:space="preserve">To ensure successful co-operation, </w:t>
      </w:r>
      <w:r>
        <w:t xml:space="preserve">it </w:t>
      </w:r>
      <w:r w:rsidRPr="001032A3">
        <w:t>would probably be necessary to work with MNOs in two phases:</w:t>
      </w:r>
    </w:p>
    <w:p w14:paraId="4C7AD5F6" w14:textId="77777777" w:rsidR="000A7DF2" w:rsidRPr="001032A3" w:rsidRDefault="00675D0B" w:rsidP="00675D0B">
      <w:pPr>
        <w:pStyle w:val="enumlev1"/>
      </w:pPr>
      <w:r>
        <w:t>•</w:t>
      </w:r>
      <w:r>
        <w:tab/>
      </w:r>
      <w:r w:rsidR="000A7DF2" w:rsidRPr="001032A3">
        <w:t xml:space="preserve">PHASE 1: Firstly in a pilot test phase with a questionnaire with a selected small number of operators (perhaps </w:t>
      </w:r>
      <w:r w:rsidR="000A7DF2">
        <w:t>three</w:t>
      </w:r>
      <w:r w:rsidR="000A7DF2" w:rsidRPr="001032A3">
        <w:t xml:space="preserve"> to </w:t>
      </w:r>
      <w:r w:rsidR="000A7DF2">
        <w:t>five</w:t>
      </w:r>
      <w:r w:rsidR="000A7DF2" w:rsidRPr="001032A3">
        <w:t>)</w:t>
      </w:r>
    </w:p>
    <w:p w14:paraId="1F6F1A3B" w14:textId="77777777" w:rsidR="000A7DF2" w:rsidRDefault="00675D0B" w:rsidP="00675D0B">
      <w:pPr>
        <w:pStyle w:val="enumlev1"/>
      </w:pPr>
      <w:r>
        <w:t>•</w:t>
      </w:r>
      <w:r>
        <w:tab/>
      </w:r>
      <w:r w:rsidR="000A7DF2" w:rsidRPr="001032A3">
        <w:t>PHASE 2: Secondly a final version of the questionnaire should be sent to minimi</w:t>
      </w:r>
      <w:r w:rsidR="000A7DF2">
        <w:t>z</w:t>
      </w:r>
      <w:r w:rsidR="000A7DF2" w:rsidRPr="001032A3">
        <w:t>e any issues experienced by MNOs, so that they may respond accurately to the questions.</w:t>
      </w:r>
    </w:p>
    <w:p w14:paraId="044E1770" w14:textId="77777777" w:rsidR="006819CC" w:rsidRDefault="006819CC">
      <w:pPr>
        <w:spacing w:before="0"/>
        <w:jc w:val="left"/>
      </w:pPr>
      <w:r>
        <w:br w:type="page"/>
      </w:r>
    </w:p>
    <w:p w14:paraId="42E5DA89" w14:textId="77777777" w:rsidR="000A7DF2" w:rsidRPr="001032A3" w:rsidRDefault="000A7DF2" w:rsidP="00F9137E">
      <w:pPr>
        <w:pStyle w:val="Heading1"/>
      </w:pPr>
      <w:bookmarkStart w:id="69" w:name="_Toc425326344"/>
      <w:bookmarkStart w:id="70" w:name="_Toc429485889"/>
      <w:r w:rsidRPr="001032A3">
        <w:lastRenderedPageBreak/>
        <w:t xml:space="preserve">Annex 1 </w:t>
      </w:r>
      <w:r>
        <w:t xml:space="preserve">– </w:t>
      </w:r>
      <w:r w:rsidRPr="001032A3">
        <w:t>The regulatory situation in the EU</w:t>
      </w:r>
      <w:bookmarkEnd w:id="69"/>
      <w:bookmarkEnd w:id="70"/>
    </w:p>
    <w:p w14:paraId="06FD921D" w14:textId="77777777" w:rsidR="000A7DF2" w:rsidRPr="001032A3" w:rsidRDefault="000A7DF2" w:rsidP="000A7DF2">
      <w:r w:rsidRPr="001032A3">
        <w:t xml:space="preserve">The IMR situation in the EU has been a regulatory and government concern for over a decade due to the assessment by </w:t>
      </w:r>
      <w:r w:rsidRPr="0095196B">
        <w:t>DG INFSO</w:t>
      </w:r>
      <w:r w:rsidRPr="001032A3">
        <w:t xml:space="preserve"> and others that roaming tariffs bear little or no relation to costs. A key summary of the problem and the steps to its resolution is the 2006 internal impact assessment, the Commission Staff Working paper</w:t>
      </w:r>
      <w:r w:rsidRPr="001032A3">
        <w:rPr>
          <w:rStyle w:val="FootnoteCharacters"/>
        </w:rPr>
        <w:footnoteReference w:id="44"/>
      </w:r>
      <w:r w:rsidRPr="001032A3">
        <w:t xml:space="preserve">. </w:t>
      </w:r>
    </w:p>
    <w:p w14:paraId="48DB1BEE" w14:textId="77777777" w:rsidR="000A7DF2" w:rsidRPr="001032A3" w:rsidRDefault="000A7DF2" w:rsidP="000A7DF2">
      <w:r w:rsidRPr="001032A3">
        <w:t xml:space="preserve">Since then EU regulations, often termed Roaming I and II for </w:t>
      </w:r>
      <w:r>
        <w:t>those</w:t>
      </w:r>
      <w:r w:rsidRPr="001032A3">
        <w:t xml:space="preserve"> in 2007 and in 2012, and now Roaming III in 2013, have administered a series of wholesale and retail pricing caps to reduce tariffs.</w:t>
      </w:r>
    </w:p>
    <w:p w14:paraId="18CB588C" w14:textId="77777777" w:rsidR="000A7DF2" w:rsidRPr="001032A3" w:rsidRDefault="000A7DF2" w:rsidP="000A7DF2">
      <w:r w:rsidRPr="001032A3">
        <w:t>It was firstly in 2002 that Roaming charges in the EU came under direct scrutiny, when the EC asked MNOs to lower roaming charges, which at that time were on average four times more expensive than domestic mobil</w:t>
      </w:r>
      <w:r>
        <w:t>e phone calls.</w:t>
      </w:r>
    </w:p>
    <w:p w14:paraId="4C10B997" w14:textId="77777777" w:rsidR="000A7DF2" w:rsidRPr="001032A3" w:rsidRDefault="000A7DF2" w:rsidP="000A7DF2">
      <w:r w:rsidRPr="001032A3">
        <w:t xml:space="preserve">With little response, the EC then launched a consumer website on roaming tariffs in October 2005. It exposed roaming prices of up to </w:t>
      </w:r>
      <w:r>
        <w:t xml:space="preserve">EUR </w:t>
      </w:r>
      <w:r w:rsidRPr="001032A3">
        <w:t xml:space="preserve">12 for a </w:t>
      </w:r>
      <w:r>
        <w:t>four</w:t>
      </w:r>
      <w:r w:rsidRPr="001032A3">
        <w:t>-minute call</w:t>
      </w:r>
      <w:r w:rsidRPr="001032A3">
        <w:rPr>
          <w:rStyle w:val="FootnoteCharacters"/>
        </w:rPr>
        <w:footnoteReference w:id="45"/>
      </w:r>
      <w:r w:rsidRPr="001032A3">
        <w:t>.</w:t>
      </w:r>
      <w:r>
        <w:t xml:space="preserve"> </w:t>
      </w:r>
      <w:r w:rsidRPr="001032A3">
        <w:t>For roaming data</w:t>
      </w:r>
      <w:r>
        <w:t>,</w:t>
      </w:r>
      <w:r w:rsidRPr="001032A3">
        <w:t xml:space="preserve"> the multiples were more extreme – at the top end being 500 to 1</w:t>
      </w:r>
      <w:r>
        <w:t>'</w:t>
      </w:r>
      <w:r w:rsidRPr="001032A3">
        <w:t xml:space="preserve">000 times more expensive than domestic rates. </w:t>
      </w:r>
      <w:r>
        <w:t xml:space="preserve">The </w:t>
      </w:r>
      <w:r w:rsidRPr="001032A3">
        <w:t xml:space="preserve">EC intervention was proposed following the Impact Assessment </w:t>
      </w:r>
      <w:r>
        <w:t>(</w:t>
      </w:r>
      <w:r w:rsidRPr="00406208">
        <w:rPr>
          <w:i/>
          <w:iCs/>
        </w:rPr>
        <w:t>ibid</w:t>
      </w:r>
      <w:r>
        <w:t>.</w:t>
      </w:r>
      <w:r w:rsidRPr="001032A3">
        <w:t xml:space="preserve"> COM</w:t>
      </w:r>
      <w:r>
        <w:t xml:space="preserve"> </w:t>
      </w:r>
      <w:r w:rsidRPr="001032A3">
        <w:t>(2006) 382 Final</w:t>
      </w:r>
      <w:r>
        <w:t>)</w:t>
      </w:r>
      <w:r w:rsidRPr="001032A3">
        <w:t xml:space="preserve"> leading to proposals for roaming tariff regulation within the EU. This was published by the EC in July 2006, followed by a public consultation on retail roaming tariffs. </w:t>
      </w:r>
    </w:p>
    <w:p w14:paraId="38ACC1AE" w14:textId="77777777" w:rsidR="000A7DF2" w:rsidRPr="001032A3" w:rsidRDefault="000A7DF2" w:rsidP="000A7DF2">
      <w:r w:rsidRPr="001032A3">
        <w:t xml:space="preserve">After </w:t>
      </w:r>
      <w:r>
        <w:t xml:space="preserve">this, </w:t>
      </w:r>
      <w:r w:rsidRPr="001032A3">
        <w:t xml:space="preserve">the </w:t>
      </w:r>
      <w:r>
        <w:t xml:space="preserve">European Parliament </w:t>
      </w:r>
      <w:r w:rsidRPr="001032A3">
        <w:t>Industry, Research and Energy</w:t>
      </w:r>
      <w:r>
        <w:t xml:space="preserve"> (</w:t>
      </w:r>
      <w:r w:rsidRPr="001032A3">
        <w:t>EP ITRE) Committee had also commissioned a report on the underlying costs of roaming</w:t>
      </w:r>
      <w:r w:rsidRPr="001032A3">
        <w:rPr>
          <w:rStyle w:val="FootnoteCharacters"/>
        </w:rPr>
        <w:footnoteReference w:id="46"/>
      </w:r>
      <w:r w:rsidRPr="001032A3">
        <w:t xml:space="preserve">, </w:t>
      </w:r>
      <w:r>
        <w:t xml:space="preserve">a </w:t>
      </w:r>
      <w:r w:rsidRPr="001032A3">
        <w:t xml:space="preserve">roaming regulation was approved by EP in April 2007 by </w:t>
      </w:r>
      <w:r>
        <w:t xml:space="preserve">a </w:t>
      </w:r>
      <w:r w:rsidRPr="001032A3">
        <w:t>near unanimous vote. This capped the wholesale IOTs between operators for roaming in the EU and also limited retail tariffs. On 30 June 2007, the new regulation entered into force. MNOs were required to inform customers about the new tariffs (or "Eurotariff") by 31 July 2007 and to provide an offer for switching to the new tariff, which automatically applied at the latest from 30 September 2007, for both prepaid and postpaid (contract) customers (unless a special roaming package had been</w:t>
      </w:r>
      <w:r>
        <w:t xml:space="preserve"> agreed).</w:t>
      </w:r>
    </w:p>
    <w:p w14:paraId="568EF24C" w14:textId="42B3AF23" w:rsidR="000A7DF2" w:rsidRPr="001032A3" w:rsidRDefault="000A7DF2" w:rsidP="000A7DF2">
      <w:r w:rsidRPr="001032A3">
        <w:t>Operators may only compete below the maximum price permitted – the Eurotariff – which has progressively reduced each year since 2007. Thus today in 2013 the Eu</w:t>
      </w:r>
      <w:r w:rsidR="00945A1A">
        <w:t>rotariff is available in all 28 </w:t>
      </w:r>
      <w:r w:rsidRPr="001032A3">
        <w:t xml:space="preserve">Member States of the European Union and in the </w:t>
      </w:r>
      <w:r>
        <w:t>three</w:t>
      </w:r>
      <w:r w:rsidRPr="001032A3">
        <w:t xml:space="preserve"> European Economic Area countries. Switching to a Eurotariff is free of charge with no effect on the existing mobile phone contract. Subscribers receive a free SMS when crossing the border to another EU or </w:t>
      </w:r>
      <w:r>
        <w:t>European Economic Area (</w:t>
      </w:r>
      <w:r w:rsidRPr="001032A3">
        <w:t>EEA</w:t>
      </w:r>
      <w:r>
        <w:t>)</w:t>
      </w:r>
      <w:r w:rsidRPr="001032A3">
        <w:t xml:space="preserve"> Member State. This gives price information (including all taxes) for both making and receiving calls, plus a free-call phone number for detailed pricing, given via SMS or automated voice messaging. Also, the EC specified that this applied to the</w:t>
      </w:r>
      <w:r>
        <w:t xml:space="preserve"> </w:t>
      </w:r>
      <w:r w:rsidRPr="001032A3">
        <w:t xml:space="preserve">EEA </w:t>
      </w:r>
      <w:r>
        <w:t>M</w:t>
      </w:r>
      <w:r w:rsidRPr="001032A3">
        <w:t xml:space="preserve">ember </w:t>
      </w:r>
      <w:r>
        <w:t>S</w:t>
      </w:r>
      <w:r w:rsidRPr="001032A3">
        <w:t>tates (Iceland, Liechtenstein and Norway) as well, from 1 January 2008.</w:t>
      </w:r>
    </w:p>
    <w:p w14:paraId="44F22F64" w14:textId="77777777" w:rsidR="000A7DF2" w:rsidRPr="00406208" w:rsidRDefault="000A7DF2" w:rsidP="00C462D3">
      <w:pPr>
        <w:keepNext/>
        <w:keepLines/>
        <w:rPr>
          <w:b/>
          <w:bCs/>
        </w:rPr>
      </w:pPr>
      <w:r w:rsidRPr="00406208">
        <w:rPr>
          <w:b/>
          <w:bCs/>
        </w:rPr>
        <w:lastRenderedPageBreak/>
        <w:t xml:space="preserve">SMS and </w:t>
      </w:r>
      <w:r w:rsidRPr="00A4257E">
        <w:rPr>
          <w:b/>
          <w:bCs/>
        </w:rPr>
        <w:t>d</w:t>
      </w:r>
      <w:r w:rsidRPr="00406208">
        <w:rPr>
          <w:b/>
          <w:bCs/>
        </w:rPr>
        <w:t>ata roaming</w:t>
      </w:r>
    </w:p>
    <w:p w14:paraId="1A10EABE" w14:textId="77777777" w:rsidR="000A7DF2" w:rsidRPr="001032A3" w:rsidRDefault="000A7DF2" w:rsidP="000A7DF2">
      <w:r w:rsidRPr="001032A3">
        <w:t>Roaming regulation was again reviewed in June 2008. The EC asked for comments on the review of roaming regulation, with a view to regulation extension to SMS and data roaming. Other specific issues also examined included inadvertent and involuntary roaming by use of handsets on country borders within the coverage of a foreign MNO</w:t>
      </w:r>
      <w:r>
        <w:t>,</w:t>
      </w:r>
      <w:r w:rsidRPr="001032A3">
        <w:t xml:space="preserve"> billing increments – changes from seconds to minutes</w:t>
      </w:r>
      <w:r>
        <w:t>,</w:t>
      </w:r>
      <w:r w:rsidRPr="001032A3">
        <w:t xml:space="preserve"> effects on smaller operators</w:t>
      </w:r>
      <w:r>
        <w:t>,</w:t>
      </w:r>
      <w:r w:rsidRPr="001032A3">
        <w:t xml:space="preserve"> also impacts on domestic prices</w:t>
      </w:r>
      <w:r>
        <w:t>.</w:t>
      </w:r>
    </w:p>
    <w:p w14:paraId="160A4594" w14:textId="77777777" w:rsidR="000A7DF2" w:rsidRPr="001032A3" w:rsidRDefault="000A7DF2" w:rsidP="000A7DF2">
      <w:r w:rsidRPr="001032A3">
        <w:t xml:space="preserve">Following letters from the EC on SMS pricing in early 2008 to all CEOs of EU MNOs, an assessment of replies showed high pricing. Regulation on SMS was then studied by EC and the EC Commissioner requested that MNOs lower SMS and also their data roaming charges by 1 July 2008, with a public consultation being launched. The ERG (European NRAs) suggested </w:t>
      </w:r>
      <w:r>
        <w:t xml:space="preserve">EUR </w:t>
      </w:r>
      <w:r w:rsidRPr="001032A3">
        <w:t xml:space="preserve">11 and </w:t>
      </w:r>
      <w:r>
        <w:t xml:space="preserve">EUR </w:t>
      </w:r>
      <w:r w:rsidRPr="001032A3">
        <w:t>15 cents as the price for an SMS</w:t>
      </w:r>
      <w:r>
        <w:t>,</w:t>
      </w:r>
      <w:r w:rsidRPr="001032A3">
        <w:t xml:space="preserve"> and the EC then introduced maximum SMS roaming price limits. </w:t>
      </w:r>
    </w:p>
    <w:p w14:paraId="231C0E57" w14:textId="77777777" w:rsidR="000A7DF2" w:rsidRPr="001032A3" w:rsidRDefault="000A7DF2" w:rsidP="000A7DF2">
      <w:r>
        <w:t>Moreover</w:t>
      </w:r>
      <w:r w:rsidRPr="001032A3">
        <w:t xml:space="preserve">, from 1 July 2009, subscribers had to be offered per-second billing after 30 seconds for outgoing voice calls made but with per-second billing throughout for calls received. The EC expected subscribers to save over 20% on roaming calls with this rule, due to elimination of the hidden roaming costs. </w:t>
      </w:r>
    </w:p>
    <w:p w14:paraId="065EF5B4" w14:textId="77777777" w:rsidR="000A7DF2" w:rsidRPr="001032A3" w:rsidRDefault="000A7DF2" w:rsidP="000A7DF2">
      <w:r w:rsidRPr="001032A3">
        <w:t>On 1 July 2010</w:t>
      </w:r>
      <w:r>
        <w:t>,</w:t>
      </w:r>
      <w:r w:rsidRPr="001032A3">
        <w:t xml:space="preserve"> the EC also introduced the capability for the subscriber to set cut-off limits for spend while roaming. This rule made it mandatory for MNOs to offer subscribers the facility to determine their spend in advance, before a service is disabled automatically.</w:t>
      </w:r>
    </w:p>
    <w:p w14:paraId="0404A28E" w14:textId="77777777" w:rsidR="000A7DF2" w:rsidRPr="001032A3" w:rsidRDefault="000A7DF2" w:rsidP="000A7DF2">
      <w:r w:rsidRPr="00406208">
        <w:t>Data</w:t>
      </w:r>
      <w:r w:rsidRPr="001032A3">
        <w:rPr>
          <w:i/>
          <w:iCs/>
        </w:rPr>
        <w:t xml:space="preserve"> </w:t>
      </w:r>
      <w:r w:rsidRPr="001032A3">
        <w:t xml:space="preserve">roaming was first addressed in 2009 by the EC, with a wholesale price cap on Internet roaming being published on 1 July 2009. </w:t>
      </w:r>
      <w:r>
        <w:t>However,</w:t>
      </w:r>
      <w:r w:rsidRPr="001032A3">
        <w:t xml:space="preserve"> only on 1 July 2012 was a subscriber retail tariff cap for data introduced, together with a mandatory requirement for a warning message on charges applicable when data roaming. </w:t>
      </w:r>
    </w:p>
    <w:p w14:paraId="40DCE2D9" w14:textId="77777777" w:rsidR="000A7DF2" w:rsidRPr="001032A3" w:rsidRDefault="000A7DF2" w:rsidP="000A7DF2">
      <w:r w:rsidRPr="001032A3">
        <w:t>The EC then launched a public consultation on future roaming regulation, from December 2010 to February 2011. It subsequently suggested further regulation on price caps in a report to the EP, on 6 July 2011</w:t>
      </w:r>
      <w:r w:rsidRPr="001032A3">
        <w:rPr>
          <w:rStyle w:val="FootnoteCharacters"/>
        </w:rPr>
        <w:footnoteReference w:id="47"/>
      </w:r>
      <w:r w:rsidRPr="001032A3">
        <w:t xml:space="preserve"> proposing a glide path for retail and wholesale tariffs</w:t>
      </w:r>
      <w:r>
        <w:t xml:space="preserve"> (in Euros and cents of Euros) </w:t>
      </w:r>
      <w:r w:rsidRPr="001032A3">
        <w:t>of:</w:t>
      </w:r>
    </w:p>
    <w:p w14:paraId="74F780AF" w14:textId="77777777" w:rsidR="000A7DF2" w:rsidRPr="001032A3" w:rsidRDefault="00363580" w:rsidP="000A7DF2">
      <w:r w:rsidRPr="001032A3">
        <w:rPr>
          <w:noProof/>
          <w:lang w:val="en-US"/>
        </w:rPr>
        <w:drawing>
          <wp:anchor distT="0" distB="0" distL="114935" distR="114935" simplePos="0" relativeHeight="251654144" behindDoc="0" locked="0" layoutInCell="1" allowOverlap="1" wp14:anchorId="78B5BC9B" wp14:editId="6F117905">
            <wp:simplePos x="0" y="0"/>
            <wp:positionH relativeFrom="column">
              <wp:posOffset>400050</wp:posOffset>
            </wp:positionH>
            <wp:positionV relativeFrom="paragraph">
              <wp:posOffset>69850</wp:posOffset>
            </wp:positionV>
            <wp:extent cx="4209415" cy="135191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l="4166" r="3743" b="57787"/>
                    <a:stretch>
                      <a:fillRect/>
                    </a:stretch>
                  </pic:blipFill>
                  <pic:spPr bwMode="auto">
                    <a:xfrm>
                      <a:off x="0" y="0"/>
                      <a:ext cx="4209415" cy="1351915"/>
                    </a:xfrm>
                    <a:prstGeom prst="rect">
                      <a:avLst/>
                    </a:prstGeom>
                    <a:solidFill>
                      <a:srgbClr val="FFFFFF"/>
                    </a:solidFill>
                    <a:ln>
                      <a:noFill/>
                    </a:ln>
                  </pic:spPr>
                </pic:pic>
              </a:graphicData>
            </a:graphic>
          </wp:anchor>
        </w:drawing>
      </w:r>
    </w:p>
    <w:p w14:paraId="5610C251" w14:textId="77777777" w:rsidR="000A7DF2" w:rsidRPr="001032A3" w:rsidRDefault="000A7DF2" w:rsidP="000A7DF2"/>
    <w:p w14:paraId="5BFB8A4C" w14:textId="77777777" w:rsidR="000A7DF2" w:rsidRPr="001032A3" w:rsidRDefault="000A7DF2" w:rsidP="000A7DF2">
      <w:pPr>
        <w:rPr>
          <w:shd w:val="clear" w:color="auto" w:fill="FFFF00"/>
        </w:rPr>
      </w:pPr>
    </w:p>
    <w:p w14:paraId="5BF55C86" w14:textId="77777777" w:rsidR="000A7DF2" w:rsidRPr="001032A3" w:rsidRDefault="000A7DF2" w:rsidP="000A7DF2">
      <w:pPr>
        <w:rPr>
          <w:shd w:val="clear" w:color="auto" w:fill="FFFF00"/>
        </w:rPr>
      </w:pPr>
    </w:p>
    <w:p w14:paraId="6EEB757E" w14:textId="77777777" w:rsidR="000A7DF2" w:rsidRPr="001032A3" w:rsidRDefault="003C7429" w:rsidP="000A7DF2">
      <w:pPr>
        <w:rPr>
          <w:shd w:val="clear" w:color="auto" w:fill="FFFF00"/>
        </w:rPr>
      </w:pPr>
      <w:r w:rsidRPr="001032A3">
        <w:rPr>
          <w:noProof/>
          <w:lang w:val="en-US"/>
        </w:rPr>
        <w:drawing>
          <wp:anchor distT="0" distB="0" distL="114935" distR="114935" simplePos="0" relativeHeight="251661312" behindDoc="0" locked="0" layoutInCell="1" allowOverlap="1" wp14:anchorId="0C5CB89E" wp14:editId="5C234C5B">
            <wp:simplePos x="0" y="0"/>
            <wp:positionH relativeFrom="column">
              <wp:posOffset>228600</wp:posOffset>
            </wp:positionH>
            <wp:positionV relativeFrom="paragraph">
              <wp:posOffset>304165</wp:posOffset>
            </wp:positionV>
            <wp:extent cx="4571365" cy="160401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t="49930"/>
                    <a:stretch>
                      <a:fillRect/>
                    </a:stretch>
                  </pic:blipFill>
                  <pic:spPr bwMode="auto">
                    <a:xfrm>
                      <a:off x="0" y="0"/>
                      <a:ext cx="4571365" cy="1604010"/>
                    </a:xfrm>
                    <a:prstGeom prst="rect">
                      <a:avLst/>
                    </a:prstGeom>
                    <a:solidFill>
                      <a:srgbClr val="FFFFFF"/>
                    </a:solidFill>
                    <a:ln>
                      <a:noFill/>
                    </a:ln>
                  </pic:spPr>
                </pic:pic>
              </a:graphicData>
            </a:graphic>
          </wp:anchor>
        </w:drawing>
      </w:r>
    </w:p>
    <w:p w14:paraId="5A07436E" w14:textId="77777777" w:rsidR="000A7DF2" w:rsidRPr="001032A3" w:rsidRDefault="000A7DF2" w:rsidP="000A7DF2">
      <w:pPr>
        <w:rPr>
          <w:shd w:val="clear" w:color="auto" w:fill="FFFF00"/>
        </w:rPr>
      </w:pPr>
    </w:p>
    <w:p w14:paraId="63B2B916" w14:textId="77777777" w:rsidR="000A7DF2" w:rsidRPr="001032A3" w:rsidRDefault="000A7DF2" w:rsidP="000A7DF2">
      <w:pPr>
        <w:rPr>
          <w:shd w:val="clear" w:color="auto" w:fill="FFFF00"/>
        </w:rPr>
      </w:pPr>
    </w:p>
    <w:p w14:paraId="5A7370EF" w14:textId="77777777" w:rsidR="000A7DF2" w:rsidRPr="001032A3" w:rsidRDefault="000A7DF2" w:rsidP="000A7DF2">
      <w:pPr>
        <w:rPr>
          <w:shd w:val="clear" w:color="auto" w:fill="FFFF00"/>
        </w:rPr>
      </w:pPr>
    </w:p>
    <w:p w14:paraId="19C068E7" w14:textId="77777777" w:rsidR="000A7DF2" w:rsidRPr="001032A3" w:rsidRDefault="000A7DF2" w:rsidP="000A7DF2">
      <w:pPr>
        <w:rPr>
          <w:shd w:val="clear" w:color="auto" w:fill="FFFF00"/>
        </w:rPr>
      </w:pPr>
    </w:p>
    <w:p w14:paraId="5FE3D593" w14:textId="77777777" w:rsidR="000A7DF2" w:rsidRPr="001032A3" w:rsidRDefault="000A7DF2" w:rsidP="000A7DF2">
      <w:r w:rsidRPr="001032A3">
        <w:lastRenderedPageBreak/>
        <w:t>Following this over 2011 and 2012, the EC, together with the NRAs, monitored the development of roaming prices. If normal market conditions had been established in the market for roaming calls, the regulation would have expired in three years from 2007</w:t>
      </w:r>
      <w:r>
        <w:t>,</w:t>
      </w:r>
      <w:r w:rsidRPr="001032A3">
        <w:t xml:space="preserve"> i</w:t>
      </w:r>
      <w:r>
        <w:t>.</w:t>
      </w:r>
      <w:r w:rsidRPr="001032A3">
        <w:t>e</w:t>
      </w:r>
      <w:r>
        <w:t>.</w:t>
      </w:r>
      <w:r w:rsidRPr="001032A3">
        <w:t xml:space="preserve"> on 30 June 2010. However</w:t>
      </w:r>
      <w:r>
        <w:t>,</w:t>
      </w:r>
      <w:r w:rsidRPr="001032A3">
        <w:t xml:space="preserve"> this had not been found to be so</w:t>
      </w:r>
      <w:r>
        <w:t>,</w:t>
      </w:r>
      <w:r w:rsidRPr="001032A3">
        <w:t xml:space="preserve"> and thus the above capping scheme was proposed. The Commission also reviewed the situation and reported with new proposals on 6 July 2011 on the functioning of the Roaming Regulation to the European Parliament and Council, following a Public consultation, and an Impact Assessment. </w:t>
      </w:r>
    </w:p>
    <w:p w14:paraId="42855772" w14:textId="77777777" w:rsidR="000A7DF2" w:rsidRPr="001032A3" w:rsidRDefault="000A7DF2" w:rsidP="000A7DF2">
      <w:r w:rsidRPr="001032A3">
        <w:t>Although good compliance with price caps was found, and roaming prices were down, they were clustered around the regulated caps showing competition was not yet effective and structural problems of roaming market remained</w:t>
      </w:r>
      <w:r w:rsidRPr="001032A3">
        <w:rPr>
          <w:rStyle w:val="FootnoteCharacters"/>
        </w:rPr>
        <w:footnoteReference w:id="48"/>
      </w:r>
      <w:r w:rsidRPr="001032A3">
        <w:t>. The main barriers to competition were found to be:</w:t>
      </w:r>
    </w:p>
    <w:p w14:paraId="10789199" w14:textId="77777777" w:rsidR="000A7DF2" w:rsidRPr="001032A3" w:rsidRDefault="003C7429" w:rsidP="003C7429">
      <w:pPr>
        <w:pStyle w:val="enumlev1"/>
      </w:pPr>
      <w:r>
        <w:t>•</w:t>
      </w:r>
      <w:r>
        <w:tab/>
      </w:r>
      <w:r w:rsidR="000A7DF2" w:rsidRPr="001032A3">
        <w:t xml:space="preserve">Strategic: </w:t>
      </w:r>
      <w:r w:rsidR="000A7DF2">
        <w:t>B</w:t>
      </w:r>
      <w:r w:rsidR="000A7DF2" w:rsidRPr="001032A3">
        <w:t>undling of roaming with domestic services leads to low consumer awareness of pricing structure above costs and a lack of transparency</w:t>
      </w:r>
      <w:r w:rsidR="000A7DF2">
        <w:t>.</w:t>
      </w:r>
    </w:p>
    <w:p w14:paraId="7C76649C" w14:textId="77777777" w:rsidR="000A7DF2" w:rsidRPr="001032A3" w:rsidRDefault="003C7429" w:rsidP="003C7429">
      <w:pPr>
        <w:pStyle w:val="enumlev1"/>
      </w:pPr>
      <w:r>
        <w:t>•</w:t>
      </w:r>
      <w:r>
        <w:tab/>
      </w:r>
      <w:r w:rsidR="000A7DF2" w:rsidRPr="001032A3">
        <w:t xml:space="preserve">Regulatory: </w:t>
      </w:r>
      <w:r w:rsidR="000A7DF2">
        <w:t>I</w:t>
      </w:r>
      <w:r w:rsidR="000A7DF2" w:rsidRPr="001032A3">
        <w:t>n the EU, regulation imposes too many barriers to entry of new players</w:t>
      </w:r>
      <w:r w:rsidR="000A7DF2">
        <w:t>.</w:t>
      </w:r>
    </w:p>
    <w:p w14:paraId="64FEA031" w14:textId="77777777" w:rsidR="000A7DF2" w:rsidRPr="001032A3" w:rsidRDefault="003C7429" w:rsidP="003C7429">
      <w:pPr>
        <w:pStyle w:val="enumlev1"/>
      </w:pPr>
      <w:r>
        <w:t>•</w:t>
      </w:r>
      <w:r>
        <w:tab/>
      </w:r>
      <w:r w:rsidR="000A7DF2" w:rsidRPr="001032A3">
        <w:t xml:space="preserve">Structural: </w:t>
      </w:r>
      <w:r w:rsidR="000A7DF2">
        <w:t>T</w:t>
      </w:r>
      <w:r w:rsidR="000A7DF2" w:rsidRPr="001032A3">
        <w:t>here is lack of roaming MNOs and mechanisms to introduce choice</w:t>
      </w:r>
      <w:r w:rsidR="000A7DF2">
        <w:t>.</w:t>
      </w:r>
    </w:p>
    <w:p w14:paraId="17546AD2" w14:textId="77777777" w:rsidR="000A7DF2" w:rsidRPr="001032A3" w:rsidRDefault="003C7429" w:rsidP="003C7429">
      <w:pPr>
        <w:pStyle w:val="enumlev1"/>
      </w:pPr>
      <w:r>
        <w:t>•</w:t>
      </w:r>
      <w:r>
        <w:tab/>
      </w:r>
      <w:r w:rsidR="000A7DF2" w:rsidRPr="001032A3">
        <w:t xml:space="preserve">Real costs: </w:t>
      </w:r>
      <w:r w:rsidR="000A7DF2">
        <w:t>R</w:t>
      </w:r>
      <w:r w:rsidR="000A7DF2" w:rsidRPr="001032A3">
        <w:t>etail and wholesale prices have no correlation to costs</w:t>
      </w:r>
      <w:r w:rsidR="000A7DF2">
        <w:t>.</w:t>
      </w:r>
    </w:p>
    <w:p w14:paraId="1C92A6CD" w14:textId="77777777" w:rsidR="003C7429" w:rsidRDefault="000A7DF2" w:rsidP="001846A4">
      <w:pPr>
        <w:spacing w:after="120"/>
      </w:pPr>
      <w:r w:rsidRPr="001032A3">
        <w:t xml:space="preserve">BEREC found in the EU in 2012 that retail roaming prices were on average 118% higher than </w:t>
      </w:r>
      <w:r>
        <w:t xml:space="preserve">the </w:t>
      </w:r>
      <w:r w:rsidRPr="001032A3">
        <w:t>estimated underlying costs (conservative estimations)</w:t>
      </w:r>
      <w:r>
        <w:t>,</w:t>
      </w:r>
      <w:r w:rsidRPr="001032A3">
        <w:t xml:space="preserve"> and that the costs assessed by BEREC for EU MNOs from its NRA members</w:t>
      </w:r>
      <w:r w:rsidRPr="001032A3">
        <w:rPr>
          <w:rStyle w:val="FootnoteCharacters"/>
        </w:rPr>
        <w:footnoteReference w:id="49"/>
      </w:r>
      <w:r w:rsidRPr="001032A3">
        <w:t xml:space="preserve"> were:</w:t>
      </w:r>
    </w:p>
    <w:tbl>
      <w:tblPr>
        <w:tblW w:w="0" w:type="auto"/>
        <w:jc w:val="center"/>
        <w:tblLayout w:type="fixed"/>
        <w:tblLook w:val="0000" w:firstRow="0" w:lastRow="0" w:firstColumn="0" w:lastColumn="0" w:noHBand="0" w:noVBand="0"/>
      </w:tblPr>
      <w:tblGrid>
        <w:gridCol w:w="3012"/>
        <w:gridCol w:w="3012"/>
        <w:gridCol w:w="3022"/>
      </w:tblGrid>
      <w:tr w:rsidR="000A7DF2" w:rsidRPr="001032A3" w14:paraId="0A0FCA7A" w14:textId="77777777">
        <w:trPr>
          <w:trHeight w:val="112"/>
          <w:jc w:val="center"/>
        </w:trPr>
        <w:tc>
          <w:tcPr>
            <w:tcW w:w="3012" w:type="dxa"/>
            <w:tcBorders>
              <w:top w:val="single" w:sz="4" w:space="0" w:color="000000"/>
              <w:left w:val="single" w:sz="4" w:space="0" w:color="000000"/>
              <w:bottom w:val="single" w:sz="4" w:space="0" w:color="000000"/>
            </w:tcBorders>
          </w:tcPr>
          <w:p w14:paraId="4115B5E7" w14:textId="77777777" w:rsidR="000A7DF2" w:rsidRPr="001032A3" w:rsidRDefault="000A7DF2" w:rsidP="003C7429">
            <w:pPr>
              <w:pStyle w:val="Tablehead"/>
            </w:pPr>
          </w:p>
        </w:tc>
        <w:tc>
          <w:tcPr>
            <w:tcW w:w="3012" w:type="dxa"/>
            <w:tcBorders>
              <w:top w:val="single" w:sz="4" w:space="0" w:color="000000"/>
              <w:bottom w:val="single" w:sz="4" w:space="0" w:color="000000"/>
            </w:tcBorders>
          </w:tcPr>
          <w:p w14:paraId="78F037EE" w14:textId="77777777" w:rsidR="000A7DF2" w:rsidRPr="001032A3" w:rsidRDefault="000A7DF2" w:rsidP="003C7429">
            <w:pPr>
              <w:pStyle w:val="Tablehead"/>
            </w:pPr>
            <w:r w:rsidRPr="001032A3">
              <w:t>Wholesale costs</w:t>
            </w:r>
          </w:p>
        </w:tc>
        <w:tc>
          <w:tcPr>
            <w:tcW w:w="3022" w:type="dxa"/>
            <w:tcBorders>
              <w:top w:val="single" w:sz="4" w:space="0" w:color="000000"/>
              <w:bottom w:val="single" w:sz="4" w:space="0" w:color="000000"/>
              <w:right w:val="single" w:sz="4" w:space="0" w:color="000000"/>
            </w:tcBorders>
          </w:tcPr>
          <w:p w14:paraId="329E9D92" w14:textId="77777777" w:rsidR="000A7DF2" w:rsidRPr="001032A3" w:rsidRDefault="000A7DF2" w:rsidP="003C7429">
            <w:pPr>
              <w:pStyle w:val="Tablehead"/>
            </w:pPr>
            <w:r w:rsidRPr="001032A3">
              <w:t>Wholesale + retail costs</w:t>
            </w:r>
          </w:p>
        </w:tc>
      </w:tr>
      <w:tr w:rsidR="000A7DF2" w:rsidRPr="001032A3" w14:paraId="7AECC8DC" w14:textId="77777777">
        <w:trPr>
          <w:trHeight w:val="112"/>
          <w:jc w:val="center"/>
        </w:trPr>
        <w:tc>
          <w:tcPr>
            <w:tcW w:w="3012" w:type="dxa"/>
            <w:tcBorders>
              <w:top w:val="single" w:sz="4" w:space="0" w:color="000000"/>
              <w:left w:val="single" w:sz="4" w:space="0" w:color="000000"/>
            </w:tcBorders>
          </w:tcPr>
          <w:p w14:paraId="1AD75508" w14:textId="77777777" w:rsidR="000A7DF2" w:rsidRPr="001032A3" w:rsidRDefault="000A7DF2" w:rsidP="003C7429">
            <w:pPr>
              <w:pStyle w:val="Tabletext"/>
            </w:pPr>
            <w:r w:rsidRPr="001032A3">
              <w:t>Calls made (outgoing)</w:t>
            </w:r>
          </w:p>
        </w:tc>
        <w:tc>
          <w:tcPr>
            <w:tcW w:w="3012" w:type="dxa"/>
            <w:tcBorders>
              <w:top w:val="single" w:sz="4" w:space="0" w:color="000000"/>
            </w:tcBorders>
          </w:tcPr>
          <w:p w14:paraId="51E5DBE9" w14:textId="77777777" w:rsidR="000A7DF2" w:rsidRPr="001032A3" w:rsidRDefault="000A7DF2" w:rsidP="00E45B25">
            <w:pPr>
              <w:pStyle w:val="Tabletext"/>
              <w:jc w:val="center"/>
            </w:pPr>
            <w:r w:rsidRPr="001032A3">
              <w:t xml:space="preserve">&lt; </w:t>
            </w:r>
            <w:r>
              <w:t xml:space="preserve">EUR </w:t>
            </w:r>
            <w:r w:rsidRPr="001032A3">
              <w:t>5 c/min</w:t>
            </w:r>
          </w:p>
        </w:tc>
        <w:tc>
          <w:tcPr>
            <w:tcW w:w="3022" w:type="dxa"/>
            <w:tcBorders>
              <w:top w:val="single" w:sz="4" w:space="0" w:color="000000"/>
              <w:right w:val="single" w:sz="4" w:space="0" w:color="000000"/>
            </w:tcBorders>
          </w:tcPr>
          <w:p w14:paraId="7A3268D6" w14:textId="77777777" w:rsidR="000A7DF2" w:rsidRPr="001032A3" w:rsidRDefault="000A7DF2" w:rsidP="00E45B25">
            <w:pPr>
              <w:pStyle w:val="Tabletext"/>
              <w:jc w:val="center"/>
            </w:pPr>
            <w:r w:rsidRPr="001032A3">
              <w:t xml:space="preserve">&lt; </w:t>
            </w:r>
            <w:r>
              <w:t xml:space="preserve">EUR </w:t>
            </w:r>
            <w:r w:rsidRPr="001032A3">
              <w:t>8 c/min</w:t>
            </w:r>
          </w:p>
        </w:tc>
      </w:tr>
      <w:tr w:rsidR="000A7DF2" w:rsidRPr="001032A3" w14:paraId="38F5853B" w14:textId="77777777">
        <w:trPr>
          <w:trHeight w:val="112"/>
          <w:jc w:val="center"/>
        </w:trPr>
        <w:tc>
          <w:tcPr>
            <w:tcW w:w="3012" w:type="dxa"/>
            <w:tcBorders>
              <w:left w:val="single" w:sz="4" w:space="0" w:color="000000"/>
            </w:tcBorders>
          </w:tcPr>
          <w:p w14:paraId="68E28825" w14:textId="77777777" w:rsidR="000A7DF2" w:rsidRPr="001032A3" w:rsidRDefault="000A7DF2" w:rsidP="003C7429">
            <w:pPr>
              <w:pStyle w:val="Tabletext"/>
            </w:pPr>
            <w:r w:rsidRPr="001032A3">
              <w:t xml:space="preserve">SMS </w:t>
            </w:r>
          </w:p>
        </w:tc>
        <w:tc>
          <w:tcPr>
            <w:tcW w:w="3012" w:type="dxa"/>
          </w:tcPr>
          <w:p w14:paraId="558DE6C1" w14:textId="77777777" w:rsidR="000A7DF2" w:rsidRPr="001032A3" w:rsidRDefault="000A7DF2" w:rsidP="00E45B25">
            <w:pPr>
              <w:pStyle w:val="Tabletext"/>
              <w:jc w:val="center"/>
            </w:pPr>
            <w:r w:rsidRPr="001032A3">
              <w:t xml:space="preserve">&lt; </w:t>
            </w:r>
            <w:r>
              <w:t xml:space="preserve">EUR </w:t>
            </w:r>
            <w:r w:rsidRPr="001032A3">
              <w:t>1 c</w:t>
            </w:r>
          </w:p>
        </w:tc>
        <w:tc>
          <w:tcPr>
            <w:tcW w:w="3022" w:type="dxa"/>
            <w:tcBorders>
              <w:right w:val="single" w:sz="4" w:space="0" w:color="000000"/>
            </w:tcBorders>
          </w:tcPr>
          <w:p w14:paraId="3FDA68DC" w14:textId="77777777" w:rsidR="000A7DF2" w:rsidRPr="001032A3" w:rsidRDefault="000A7DF2" w:rsidP="00E45B25">
            <w:pPr>
              <w:pStyle w:val="Tabletext"/>
              <w:jc w:val="center"/>
            </w:pPr>
            <w:r w:rsidRPr="001032A3">
              <w:t xml:space="preserve">&lt; </w:t>
            </w:r>
            <w:r>
              <w:t xml:space="preserve">EUR </w:t>
            </w:r>
            <w:r w:rsidRPr="001032A3">
              <w:t>1.6 c</w:t>
            </w:r>
          </w:p>
        </w:tc>
      </w:tr>
      <w:tr w:rsidR="000A7DF2" w:rsidRPr="001032A3" w14:paraId="3B6DC8CB" w14:textId="77777777">
        <w:trPr>
          <w:trHeight w:val="112"/>
          <w:jc w:val="center"/>
        </w:trPr>
        <w:tc>
          <w:tcPr>
            <w:tcW w:w="3012" w:type="dxa"/>
            <w:tcBorders>
              <w:left w:val="single" w:sz="4" w:space="0" w:color="000000"/>
              <w:bottom w:val="single" w:sz="4" w:space="0" w:color="000000"/>
            </w:tcBorders>
          </w:tcPr>
          <w:p w14:paraId="3E0502F3" w14:textId="77777777" w:rsidR="000A7DF2" w:rsidRPr="001032A3" w:rsidRDefault="000A7DF2" w:rsidP="003C7429">
            <w:pPr>
              <w:pStyle w:val="Tabletext"/>
            </w:pPr>
            <w:r w:rsidRPr="001032A3">
              <w:t xml:space="preserve">Data </w:t>
            </w:r>
          </w:p>
        </w:tc>
        <w:tc>
          <w:tcPr>
            <w:tcW w:w="3012" w:type="dxa"/>
            <w:tcBorders>
              <w:bottom w:val="single" w:sz="4" w:space="0" w:color="000000"/>
            </w:tcBorders>
          </w:tcPr>
          <w:p w14:paraId="614EE7F0" w14:textId="77777777" w:rsidR="000A7DF2" w:rsidRPr="001032A3" w:rsidRDefault="000A7DF2" w:rsidP="00E45B25">
            <w:pPr>
              <w:pStyle w:val="Tabletext"/>
              <w:jc w:val="center"/>
            </w:pPr>
            <w:r w:rsidRPr="001032A3">
              <w:t xml:space="preserve">&lt; </w:t>
            </w:r>
            <w:r>
              <w:t xml:space="preserve">EUR </w:t>
            </w:r>
            <w:r w:rsidRPr="001032A3">
              <w:t>5 c/MB</w:t>
            </w:r>
          </w:p>
        </w:tc>
        <w:tc>
          <w:tcPr>
            <w:tcW w:w="3022" w:type="dxa"/>
            <w:tcBorders>
              <w:bottom w:val="single" w:sz="4" w:space="0" w:color="000000"/>
              <w:right w:val="single" w:sz="4" w:space="0" w:color="000000"/>
            </w:tcBorders>
          </w:tcPr>
          <w:p w14:paraId="2B24BCDA" w14:textId="77777777" w:rsidR="000A7DF2" w:rsidRPr="001032A3" w:rsidRDefault="000A7DF2" w:rsidP="00E45B25">
            <w:pPr>
              <w:pStyle w:val="Tabletext"/>
              <w:jc w:val="center"/>
            </w:pPr>
            <w:r w:rsidRPr="001032A3">
              <w:t xml:space="preserve">&lt; </w:t>
            </w:r>
            <w:r>
              <w:t xml:space="preserve">EUR </w:t>
            </w:r>
            <w:r w:rsidRPr="001032A3">
              <w:t>9 c/MB</w:t>
            </w:r>
          </w:p>
        </w:tc>
      </w:tr>
    </w:tbl>
    <w:p w14:paraId="7DBCE62A" w14:textId="77777777" w:rsidR="000A7DF2" w:rsidRPr="001032A3" w:rsidRDefault="000A7DF2" w:rsidP="000A7DF2">
      <w:r w:rsidRPr="001032A3">
        <w:t>Moreover, reduction of wholesale prices for mobile data was not reflected at retail level. In consequence</w:t>
      </w:r>
      <w:r>
        <w:t>,</w:t>
      </w:r>
      <w:r w:rsidRPr="001032A3">
        <w:t xml:space="preserve"> in late 2011 the EC wanted to extend price ceilings for several years for all roaming services </w:t>
      </w:r>
      <w:r>
        <w:t>– both</w:t>
      </w:r>
      <w:r w:rsidRPr="001032A3">
        <w:t xml:space="preserve"> wholesale and retail limits on pricing </w:t>
      </w:r>
      <w:r>
        <w:t>–</w:t>
      </w:r>
      <w:r w:rsidRPr="001032A3">
        <w:t xml:space="preserve"> for voice, SMS and mobile Internet because price competition without regulation was not yielding reasonable pricing. New regulation for price caps would mean extensions of capping, for up to 10 years, with the limit on retail prices maintained until July 2016. </w:t>
      </w:r>
    </w:p>
    <w:p w14:paraId="52D6D1F7" w14:textId="40E8EC3F" w:rsidR="000A7DF2" w:rsidRPr="001032A3" w:rsidRDefault="000A7DF2" w:rsidP="000A7DF2">
      <w:r w:rsidRPr="001032A3">
        <w:t xml:space="preserve">Wholesale limits would be continued until 2022, with price stability enforced from 2015 to 2022. Additionally, a capability for pre-selection of different MNOs or MVNOs for roaming would be offered from July 2014. Commissioner Neelie Kroes noted that the aim of this is to reach the </w:t>
      </w:r>
      <w:r w:rsidR="00D722EA">
        <w:rPr>
          <w:i/>
          <w:iCs/>
        </w:rPr>
        <w:t>stated 2015 </w:t>
      </w:r>
      <w:r w:rsidRPr="001032A3">
        <w:rPr>
          <w:i/>
          <w:iCs/>
        </w:rPr>
        <w:t>objective of a close to zero difference between domestic and roaming prices</w:t>
      </w:r>
      <w:r w:rsidRPr="001032A3">
        <w:t>.</w:t>
      </w:r>
    </w:p>
    <w:p w14:paraId="27B16532" w14:textId="77777777" w:rsidR="003D6987" w:rsidRDefault="000A7DF2" w:rsidP="000A7DF2">
      <w:r w:rsidRPr="001032A3">
        <w:t xml:space="preserve">However, the European joint regulator for NRAs, BEREC, supported stronger action with structural market reform as well. This was seen as necessary because the relevant market forces were not considered strong enough yet to ensure reasonable pricing over the next </w:t>
      </w:r>
      <w:r>
        <w:t>five</w:t>
      </w:r>
      <w:r w:rsidRPr="001032A3">
        <w:t xml:space="preserve"> years in the EU. Thus in August 2011, BEREC critici</w:t>
      </w:r>
      <w:r>
        <w:t>z</w:t>
      </w:r>
      <w:r w:rsidRPr="001032A3">
        <w:t>ed the Commission</w:t>
      </w:r>
      <w:r>
        <w:t>'</w:t>
      </w:r>
      <w:r w:rsidRPr="001032A3">
        <w:t>s proposal as unable to bring a structural solution, in a report to the EU Parliament</w:t>
      </w:r>
      <w:r w:rsidRPr="001032A3">
        <w:rPr>
          <w:rStyle w:val="FootnoteCharacters"/>
        </w:rPr>
        <w:footnoteReference w:id="50"/>
      </w:r>
      <w:r w:rsidRPr="001032A3">
        <w:t>. In February 2012, the EP</w:t>
      </w:r>
      <w:r>
        <w:t>'</w:t>
      </w:r>
      <w:r w:rsidRPr="001032A3">
        <w:t xml:space="preserve">s ITRE </w:t>
      </w:r>
      <w:r>
        <w:t>C</w:t>
      </w:r>
      <w:r w:rsidRPr="001032A3">
        <w:t xml:space="preserve">ommittee voted for lower (and longer) retail ceilings, backing a structural solution, for which the technical details would set by BEREC. </w:t>
      </w:r>
    </w:p>
    <w:p w14:paraId="1641E28D" w14:textId="5B83FDFD" w:rsidR="000A7DF2" w:rsidRPr="001032A3" w:rsidRDefault="000A7DF2" w:rsidP="000A7DF2">
      <w:r w:rsidRPr="001032A3">
        <w:lastRenderedPageBreak/>
        <w:t xml:space="preserve">A compromise level was agreed in March 2012, between the EC, EP and the European Council of Ministers, for lower retail ceilings than originally proposed by the EC. A vote in the EP endorsed this on 10 May 2012. </w:t>
      </w:r>
    </w:p>
    <w:p w14:paraId="789CEB53" w14:textId="77777777" w:rsidR="000A7DF2" w:rsidRPr="001032A3" w:rsidRDefault="000A7DF2" w:rsidP="000A7DF2">
      <w:r w:rsidRPr="001032A3">
        <w:t>Then BEREC was asked to organi</w:t>
      </w:r>
      <w:r>
        <w:t>z</w:t>
      </w:r>
      <w:r w:rsidRPr="001032A3">
        <w:t>e the technical details, e</w:t>
      </w:r>
      <w:r>
        <w:t>.</w:t>
      </w:r>
      <w:r w:rsidRPr="001032A3">
        <w:t>g</w:t>
      </w:r>
      <w:r>
        <w:t>.</w:t>
      </w:r>
      <w:r w:rsidRPr="001032A3">
        <w:t xml:space="preserve"> possibly with a multi-</w:t>
      </w:r>
      <w:r>
        <w:t>international mobile subscriber identity (</w:t>
      </w:r>
      <w:r w:rsidRPr="001032A3">
        <w:t>IMSI</w:t>
      </w:r>
      <w:r>
        <w:t>)</w:t>
      </w:r>
      <w:r w:rsidRPr="001032A3">
        <w:t xml:space="preserve"> identification, for multiple MNOs for roaming, and analysis for a structural solution</w:t>
      </w:r>
      <w:r>
        <w:t>,</w:t>
      </w:r>
      <w:r w:rsidRPr="001032A3">
        <w:t xml:space="preserve"> e</w:t>
      </w:r>
      <w:r>
        <w:t>.</w:t>
      </w:r>
      <w:r w:rsidRPr="001032A3">
        <w:t>g</w:t>
      </w:r>
      <w:r>
        <w:t>.</w:t>
      </w:r>
      <w:r w:rsidRPr="001032A3">
        <w:t xml:space="preserve"> separation of service providers for domestic and roaming services, all by the end of 2012, in order to be implemented on a compulsory basis in the EU in July 2014 (following Articles 4 and 5 of the Roaming Regulation</w:t>
      </w:r>
      <w:r w:rsidRPr="001032A3">
        <w:rPr>
          <w:rStyle w:val="FootnoteCharacters"/>
        </w:rPr>
        <w:footnoteReference w:id="51"/>
      </w:r>
      <w:r w:rsidRPr="001032A3">
        <w:t>, also termed Roaming III). BEREC</w:t>
      </w:r>
      <w:r>
        <w:t>'</w:t>
      </w:r>
      <w:r w:rsidRPr="001032A3">
        <w:t>s document</w:t>
      </w:r>
      <w:r w:rsidRPr="001032A3">
        <w:rPr>
          <w:rStyle w:val="FootnoteCharacters"/>
        </w:rPr>
        <w:footnoteReference w:id="52"/>
      </w:r>
      <w:r w:rsidRPr="001032A3">
        <w:t xml:space="preserve"> of May 2013 has caused some debate, especially over the implementation timetable for MNOs. The schedule for implementation of structural solutions for MNOs requires that preparations are already under way. Its principles appear in the Roaming III Regulation document while the EC</w:t>
      </w:r>
      <w:r>
        <w:t>'</w:t>
      </w:r>
      <w:r w:rsidRPr="001032A3">
        <w:t xml:space="preserve">s </w:t>
      </w:r>
      <w:r w:rsidRPr="001032A3">
        <w:rPr>
          <w:i/>
          <w:iCs/>
        </w:rPr>
        <w:t>Implementing Regulation</w:t>
      </w:r>
      <w:r w:rsidRPr="001032A3">
        <w:t xml:space="preserve"> of December 2012 sets out two structural solutions to be implemented, firstly a </w:t>
      </w:r>
      <w:r>
        <w:t>l</w:t>
      </w:r>
      <w:r w:rsidRPr="001032A3">
        <w:t xml:space="preserve">ocal </w:t>
      </w:r>
      <w:r>
        <w:t>b</w:t>
      </w:r>
      <w:r w:rsidRPr="001032A3">
        <w:t xml:space="preserve">reak </w:t>
      </w:r>
      <w:r>
        <w:t>o</w:t>
      </w:r>
      <w:r w:rsidRPr="001032A3">
        <w:t xml:space="preserve">ut (LBO) solution and secondly a single IMSI. This has been the task of the </w:t>
      </w:r>
      <w:r>
        <w:t>'</w:t>
      </w:r>
      <w:r w:rsidRPr="001032A3">
        <w:t>Industry Platform</w:t>
      </w:r>
      <w:r>
        <w:t>'</w:t>
      </w:r>
      <w:r w:rsidRPr="001032A3">
        <w:t xml:space="preserve"> for roaming implementation created last year under the aegis of the EC and BEREC. </w:t>
      </w:r>
      <w:r>
        <w:t>However,</w:t>
      </w:r>
      <w:r w:rsidRPr="001032A3">
        <w:t xml:space="preserve"> technical specifications and requirements still needed to be entirely defined. </w:t>
      </w:r>
    </w:p>
    <w:p w14:paraId="36FCC085" w14:textId="77777777" w:rsidR="000A7DF2" w:rsidRPr="001032A3" w:rsidRDefault="000A7DF2" w:rsidP="000A7DF2">
      <w:r w:rsidRPr="001032A3">
        <w:t xml:space="preserve">Under the latest proposals, </w:t>
      </w:r>
      <w:r>
        <w:t xml:space="preserve">the </w:t>
      </w:r>
      <w:r w:rsidRPr="001032A3">
        <w:t>EC roaming regulation would be extended to 30 June 2016, and possibly beyond, if normal market conditions are not working. Moreover, the European Commission</w:t>
      </w:r>
      <w:r>
        <w:t>'</w:t>
      </w:r>
      <w:r w:rsidRPr="001032A3">
        <w:t xml:space="preserve">s target is to drive the difference between roaming and domestic retail tariffs prices towards zero by 2015. These aims follow analysis of the costs of failure to achieve a </w:t>
      </w:r>
      <w:r>
        <w:t>s</w:t>
      </w:r>
      <w:r w:rsidRPr="001032A3">
        <w:t xml:space="preserve">ingle </w:t>
      </w:r>
      <w:r>
        <w:t>m</w:t>
      </w:r>
      <w:r w:rsidRPr="001032A3">
        <w:t>arket in telecommunications, especially mobile.</w:t>
      </w:r>
    </w:p>
    <w:p w14:paraId="1972816A" w14:textId="77777777" w:rsidR="000A7DF2" w:rsidRPr="001032A3" w:rsidRDefault="000A7DF2" w:rsidP="000A7DF2">
      <w:r w:rsidRPr="001032A3">
        <w:t>Until the announcements of September 2013 take effect in 2014 and onwards, the current regulation in force is "</w:t>
      </w:r>
      <w:r w:rsidRPr="001032A3">
        <w:rPr>
          <w:i/>
          <w:iCs/>
        </w:rPr>
        <w:t>Regulation (EU) No 531/2012 of the European Parliament and of the Council of 13 June 2012 on roaming on public mobile communications networks within the Union</w:t>
      </w:r>
      <w:r w:rsidRPr="001032A3">
        <w:t>", which repealed and replaced the original "</w:t>
      </w:r>
      <w:r w:rsidRPr="001032A3">
        <w:rPr>
          <w:i/>
          <w:iCs/>
        </w:rPr>
        <w:t>Regulation (EC) No 717/2007 of the European Parliament and of the Council of 27 June 2007 on roaming on public mobile telephone networks within the Community and amending Directive 2002/21/EC</w:t>
      </w:r>
      <w:r w:rsidRPr="001032A3">
        <w:t xml:space="preserve">" with effect from 1 July 2012. Prices for roaming within this regulation are often referred </w:t>
      </w:r>
      <w:r>
        <w:t xml:space="preserve">to </w:t>
      </w:r>
      <w:r w:rsidRPr="001032A3">
        <w:t xml:space="preserve">as </w:t>
      </w:r>
      <w:r w:rsidRPr="001032A3">
        <w:rPr>
          <w:i/>
          <w:iCs/>
        </w:rPr>
        <w:t>Eurotariffs</w:t>
      </w:r>
      <w:r w:rsidRPr="001032A3">
        <w:t xml:space="preserve">. </w:t>
      </w:r>
    </w:p>
    <w:p w14:paraId="58DB83D7" w14:textId="77777777" w:rsidR="000A7DF2" w:rsidRPr="00406208" w:rsidRDefault="000A7DF2" w:rsidP="000A7DF2">
      <w:pPr>
        <w:rPr>
          <w:b/>
          <w:bCs/>
        </w:rPr>
      </w:pPr>
      <w:r w:rsidRPr="00406208">
        <w:rPr>
          <w:b/>
          <w:bCs/>
        </w:rPr>
        <w:t xml:space="preserve">The beginning of the end of roaming </w:t>
      </w:r>
      <w:r>
        <w:rPr>
          <w:b/>
          <w:bCs/>
        </w:rPr>
        <w:t>–</w:t>
      </w:r>
      <w:r w:rsidRPr="00406208">
        <w:rPr>
          <w:b/>
          <w:bCs/>
        </w:rPr>
        <w:t xml:space="preserve"> September 2013: EC </w:t>
      </w:r>
      <w:r>
        <w:rPr>
          <w:b/>
          <w:bCs/>
        </w:rPr>
        <w:t>l</w:t>
      </w:r>
      <w:r w:rsidRPr="00406208">
        <w:rPr>
          <w:b/>
          <w:bCs/>
        </w:rPr>
        <w:t xml:space="preserve">egislative </w:t>
      </w:r>
      <w:r>
        <w:rPr>
          <w:b/>
          <w:bCs/>
        </w:rPr>
        <w:t>p</w:t>
      </w:r>
      <w:r w:rsidRPr="00406208">
        <w:rPr>
          <w:b/>
          <w:bCs/>
        </w:rPr>
        <w:t>ackage</w:t>
      </w:r>
    </w:p>
    <w:p w14:paraId="785DC21E" w14:textId="77777777" w:rsidR="000A7DF2" w:rsidRPr="001032A3" w:rsidRDefault="000A7DF2" w:rsidP="000A7DF2">
      <w:r w:rsidRPr="001032A3">
        <w:t>Let us look more closely at what has been achieved and what is in store for the EU. As background</w:t>
      </w:r>
      <w:r>
        <w:t>,</w:t>
      </w:r>
      <w:r w:rsidRPr="001032A3">
        <w:t xml:space="preserve"> it is well to note that in July 2013, the latest stage of the current EU roaming regulation came into force and cut prices for roaming (e</w:t>
      </w:r>
      <w:r>
        <w:t>.</w:t>
      </w:r>
      <w:r w:rsidRPr="001032A3">
        <w:t>g</w:t>
      </w:r>
      <w:r>
        <w:t>.</w:t>
      </w:r>
      <w:r w:rsidRPr="001032A3">
        <w:t xml:space="preserve"> by over 30% for using mobile </w:t>
      </w:r>
      <w:r>
        <w:t>I</w:t>
      </w:r>
      <w:r w:rsidRPr="001032A3">
        <w:t>nternet abroad)</w:t>
      </w:r>
      <w:r w:rsidRPr="001032A3">
        <w:rPr>
          <w:rStyle w:val="FootnoteCharacters"/>
        </w:rPr>
        <w:footnoteReference w:id="53"/>
      </w:r>
      <w:r w:rsidRPr="001032A3">
        <w:t xml:space="preserve">. </w:t>
      </w:r>
    </w:p>
    <w:p w14:paraId="3FECF222" w14:textId="77777777" w:rsidR="000A7DF2" w:rsidRPr="001032A3" w:rsidRDefault="000A7DF2" w:rsidP="000A7DF2">
      <w:r w:rsidRPr="001032A3">
        <w:t>Commissioner Kroes outlined in her address of 11 S</w:t>
      </w:r>
      <w:r>
        <w:t>ept.</w:t>
      </w:r>
      <w:r w:rsidRPr="001032A3">
        <w:t xml:space="preserve"> 2013</w:t>
      </w:r>
      <w:r w:rsidRPr="001032A3">
        <w:rPr>
          <w:rStyle w:val="FootnoteCharacters"/>
        </w:rPr>
        <w:footnoteReference w:id="54"/>
      </w:r>
      <w:r w:rsidRPr="001032A3">
        <w:t xml:space="preserve"> that price caps are already mak</w:t>
      </w:r>
      <w:r>
        <w:t>ing</w:t>
      </w:r>
      <w:r w:rsidRPr="001032A3">
        <w:t xml:space="preserve"> EU roaming far cheaper today, compared to 2007:</w:t>
      </w:r>
    </w:p>
    <w:p w14:paraId="0011D84C" w14:textId="77777777" w:rsidR="000A7DF2" w:rsidRPr="001032A3" w:rsidRDefault="00F9137E" w:rsidP="00F9137E">
      <w:pPr>
        <w:pStyle w:val="enumlev1"/>
      </w:pPr>
      <w:r>
        <w:t>•</w:t>
      </w:r>
      <w:r>
        <w:tab/>
      </w:r>
      <w:r w:rsidR="000A7DF2" w:rsidRPr="001032A3">
        <w:t>Voice and SMS 80% cheaper in the EU; data roaming 91% cheaper</w:t>
      </w:r>
      <w:r w:rsidR="000A7DF2">
        <w:t>.</w:t>
      </w:r>
    </w:p>
    <w:p w14:paraId="47A39C33" w14:textId="77777777" w:rsidR="000A7DF2" w:rsidRPr="001032A3" w:rsidRDefault="00F9137E" w:rsidP="00F9137E">
      <w:pPr>
        <w:pStyle w:val="enumlev1"/>
      </w:pPr>
      <w:r>
        <w:t>•</w:t>
      </w:r>
      <w:r>
        <w:tab/>
      </w:r>
      <w:r w:rsidR="000A7DF2" w:rsidRPr="001032A3">
        <w:t>Data roaming has grown 630% since 2007</w:t>
      </w:r>
      <w:r w:rsidR="000A7DF2">
        <w:t>.</w:t>
      </w:r>
    </w:p>
    <w:p w14:paraId="6AAC1A08" w14:textId="77777777" w:rsidR="000A7DF2" w:rsidRPr="001032A3" w:rsidRDefault="000A7DF2" w:rsidP="000A7DF2">
      <w:r w:rsidRPr="001032A3">
        <w:t xml:space="preserve">She then made new proposals building on the 2012 Roaming Regulation which subjects operators to wholesale price cuts of 67% for data in July 2014. Commissioner Kroes also presented proposals for </w:t>
      </w:r>
      <w:r w:rsidRPr="001032A3">
        <w:lastRenderedPageBreak/>
        <w:t xml:space="preserve">telecommunications policy in a broader perspective with the move towards a </w:t>
      </w:r>
      <w:r>
        <w:t>c</w:t>
      </w:r>
      <w:r w:rsidRPr="001032A3">
        <w:t xml:space="preserve">onnected </w:t>
      </w:r>
      <w:r>
        <w:t>c</w:t>
      </w:r>
      <w:r w:rsidRPr="001032A3">
        <w:t>ontinent, i</w:t>
      </w:r>
      <w:r>
        <w:t>.</w:t>
      </w:r>
      <w:r w:rsidRPr="001032A3">
        <w:t>e</w:t>
      </w:r>
      <w:r>
        <w:t>.</w:t>
      </w:r>
      <w:r w:rsidRPr="001032A3">
        <w:t xml:space="preserve"> building a telecommunications </w:t>
      </w:r>
      <w:r>
        <w:t>s</w:t>
      </w:r>
      <w:r w:rsidRPr="001032A3">
        <w:t xml:space="preserve">ingle </w:t>
      </w:r>
      <w:r>
        <w:t>m</w:t>
      </w:r>
      <w:r w:rsidRPr="001032A3">
        <w:t>arket requiring several quite r</w:t>
      </w:r>
      <w:r>
        <w:t>adical actions:</w:t>
      </w:r>
    </w:p>
    <w:p w14:paraId="676F93A6" w14:textId="77777777" w:rsidR="000A7DF2" w:rsidRPr="001032A3" w:rsidRDefault="00F9137E" w:rsidP="00F9137E">
      <w:pPr>
        <w:pStyle w:val="enumlev1"/>
      </w:pPr>
      <w:r>
        <w:t>•</w:t>
      </w:r>
      <w:r>
        <w:tab/>
      </w:r>
      <w:r w:rsidR="000A7DF2" w:rsidRPr="001032A3">
        <w:t xml:space="preserve">A European Commission telecommunications package intended as a </w:t>
      </w:r>
      <w:r w:rsidR="000A7DF2">
        <w:t>"</w:t>
      </w:r>
      <w:r w:rsidR="000A7DF2" w:rsidRPr="001032A3">
        <w:t>reset</w:t>
      </w:r>
      <w:r w:rsidR="000A7DF2">
        <w:t>"</w:t>
      </w:r>
      <w:r w:rsidR="000A7DF2" w:rsidRPr="001032A3">
        <w:t xml:space="preserve"> with the aim of adding </w:t>
      </w:r>
      <w:r w:rsidR="000A7DF2">
        <w:t xml:space="preserve">EUR </w:t>
      </w:r>
      <w:r w:rsidR="000A7DF2" w:rsidRPr="001032A3">
        <w:t xml:space="preserve">110 </w:t>
      </w:r>
      <w:r w:rsidR="000A7DF2">
        <w:t>billion</w:t>
      </w:r>
      <w:r w:rsidR="000A7DF2" w:rsidRPr="001032A3">
        <w:t xml:space="preserve"> per year to EU GDP – note that the proposals are not yet set in legislation.</w:t>
      </w:r>
    </w:p>
    <w:p w14:paraId="3E8032FA" w14:textId="77777777" w:rsidR="000A7DF2" w:rsidRPr="001032A3" w:rsidRDefault="00F9137E" w:rsidP="00F9137E">
      <w:pPr>
        <w:pStyle w:val="enumlev1"/>
      </w:pPr>
      <w:r>
        <w:t>•</w:t>
      </w:r>
      <w:r>
        <w:tab/>
      </w:r>
      <w:r w:rsidR="000A7DF2" w:rsidRPr="001032A3">
        <w:t xml:space="preserve">Proposals for a </w:t>
      </w:r>
      <w:r w:rsidR="000A7DF2">
        <w:t>"</w:t>
      </w:r>
      <w:r w:rsidR="000A7DF2" w:rsidRPr="001032A3">
        <w:t>gradual removal of national barriers</w:t>
      </w:r>
      <w:r w:rsidR="000A7DF2">
        <w:t>"</w:t>
      </w:r>
      <w:r w:rsidR="000A7DF2" w:rsidRPr="001032A3">
        <w:t xml:space="preserve"> to cross-border competition, to create a </w:t>
      </w:r>
      <w:r w:rsidR="000A7DF2">
        <w:t>"</w:t>
      </w:r>
      <w:r w:rsidR="000A7DF2" w:rsidRPr="001032A3">
        <w:t>real single market</w:t>
      </w:r>
      <w:r w:rsidR="000A7DF2">
        <w:t>"</w:t>
      </w:r>
      <w:r w:rsidR="000A7DF2" w:rsidRPr="001032A3">
        <w:t xml:space="preserve">. </w:t>
      </w:r>
      <w:r w:rsidR="000A7DF2">
        <w:t>It is worth noting however that</w:t>
      </w:r>
      <w:r w:rsidR="000A7DF2" w:rsidRPr="001032A3">
        <w:t xml:space="preserve"> this falls short of a single EU-wide telecommunications regulator or pan-European mobile licences. </w:t>
      </w:r>
    </w:p>
    <w:p w14:paraId="57307B55" w14:textId="77777777" w:rsidR="000A7DF2" w:rsidRPr="001032A3" w:rsidRDefault="00F9137E" w:rsidP="00F9137E">
      <w:pPr>
        <w:pStyle w:val="enumlev1"/>
      </w:pPr>
      <w:r>
        <w:t>•</w:t>
      </w:r>
      <w:r>
        <w:tab/>
      </w:r>
      <w:r w:rsidR="000A7DF2" w:rsidRPr="001032A3">
        <w:t>A goal for 2016 to merge the 28 national fragments of European telecommunications markets into a single market</w:t>
      </w:r>
      <w:r w:rsidR="000A7DF2">
        <w:t>.</w:t>
      </w:r>
    </w:p>
    <w:p w14:paraId="79F855E6" w14:textId="77777777" w:rsidR="000A7DF2" w:rsidRPr="001032A3" w:rsidRDefault="000A7DF2" w:rsidP="000A7DF2">
      <w:r w:rsidRPr="001032A3">
        <w:t xml:space="preserve">The new EC Legislative Package </w:t>
      </w:r>
      <w:r>
        <w:t xml:space="preserve">of </w:t>
      </w:r>
      <w:r w:rsidRPr="001032A3">
        <w:t>S</w:t>
      </w:r>
      <w:r>
        <w:t>ept.</w:t>
      </w:r>
      <w:r w:rsidRPr="001032A3">
        <w:t xml:space="preserve"> 2013 positions roaming as one p</w:t>
      </w:r>
      <w:r>
        <w:t>art of larger industry reforms.</w:t>
      </w:r>
      <w:r w:rsidRPr="001032A3">
        <w:t xml:space="preserve"> For intra-EU roaming there are various key advances:</w:t>
      </w:r>
    </w:p>
    <w:p w14:paraId="47045995" w14:textId="77777777" w:rsidR="000A7DF2" w:rsidRPr="001032A3" w:rsidRDefault="00F9137E" w:rsidP="00F9137E">
      <w:pPr>
        <w:pStyle w:val="enumlev1"/>
      </w:pPr>
      <w:r>
        <w:t>•</w:t>
      </w:r>
      <w:r>
        <w:tab/>
      </w:r>
      <w:r w:rsidR="000A7DF2" w:rsidRPr="001032A3">
        <w:t>Remove called-party payments (i</w:t>
      </w:r>
      <w:r w:rsidR="000A7DF2">
        <w:t>.</w:t>
      </w:r>
      <w:r w:rsidR="000A7DF2" w:rsidRPr="001032A3">
        <w:t>e</w:t>
      </w:r>
      <w:r w:rsidR="000A7DF2">
        <w:t>.</w:t>
      </w:r>
      <w:r w:rsidR="000A7DF2" w:rsidRPr="001032A3">
        <w:t xml:space="preserve"> on incoming calls) from 1</w:t>
      </w:r>
      <w:r w:rsidR="00E45B25">
        <w:t xml:space="preserve"> </w:t>
      </w:r>
      <w:r w:rsidR="000A7DF2" w:rsidRPr="001032A3">
        <w:t>July 2014</w:t>
      </w:r>
      <w:r w:rsidR="000A7DF2">
        <w:t>.</w:t>
      </w:r>
    </w:p>
    <w:p w14:paraId="0CED7AE1" w14:textId="77777777" w:rsidR="000A7DF2" w:rsidRPr="001032A3" w:rsidRDefault="00F9137E" w:rsidP="00F9137E">
      <w:pPr>
        <w:pStyle w:val="enumlev1"/>
      </w:pPr>
      <w:r>
        <w:t>•</w:t>
      </w:r>
      <w:r>
        <w:tab/>
      </w:r>
      <w:r w:rsidR="000A7DF2" w:rsidRPr="001032A3">
        <w:t xml:space="preserve">Outbound, mobile-to-mobile calls intra-EU are capped at </w:t>
      </w:r>
      <w:r w:rsidR="000A7DF2">
        <w:t xml:space="preserve">EUR </w:t>
      </w:r>
      <w:r w:rsidR="000A7DF2" w:rsidRPr="001032A3">
        <w:t xml:space="preserve">0.19/minute + </w:t>
      </w:r>
      <w:r w:rsidR="000A7DF2">
        <w:t>value added tax (</w:t>
      </w:r>
      <w:r w:rsidR="000A7DF2" w:rsidRPr="001032A3">
        <w:t>VAT</w:t>
      </w:r>
      <w:r w:rsidR="000A7DF2">
        <w:t>).</w:t>
      </w:r>
    </w:p>
    <w:p w14:paraId="0D8FC3BC" w14:textId="77777777" w:rsidR="000A7DF2" w:rsidRPr="001032A3" w:rsidRDefault="00F9137E" w:rsidP="00F9137E">
      <w:pPr>
        <w:pStyle w:val="enumlev1"/>
      </w:pPr>
      <w:r>
        <w:t>•</w:t>
      </w:r>
      <w:r>
        <w:tab/>
      </w:r>
      <w:r w:rsidR="000A7DF2" w:rsidRPr="002876D2">
        <w:t>Target</w:t>
      </w:r>
      <w:r w:rsidR="000A7DF2" w:rsidRPr="001032A3">
        <w:t xml:space="preserve"> </w:t>
      </w:r>
      <w:r w:rsidR="000A7DF2">
        <w:t>–</w:t>
      </w:r>
      <w:r w:rsidR="000A7DF2" w:rsidRPr="001032A3">
        <w:t xml:space="preserve"> Phase out roaming charges altogether in 2016</w:t>
      </w:r>
      <w:r w:rsidR="000A7DF2">
        <w:t>.</w:t>
      </w:r>
    </w:p>
    <w:p w14:paraId="5F54CD66" w14:textId="77777777" w:rsidR="000A7DF2" w:rsidRPr="001032A3" w:rsidRDefault="00F9137E" w:rsidP="00F9137E">
      <w:pPr>
        <w:pStyle w:val="enumlev1"/>
      </w:pPr>
      <w:r>
        <w:t>•</w:t>
      </w:r>
      <w:r>
        <w:tab/>
      </w:r>
      <w:r w:rsidR="000A7DF2">
        <w:t>However,</w:t>
      </w:r>
      <w:r w:rsidR="000A7DF2" w:rsidRPr="001032A3">
        <w:t xml:space="preserve"> MNOs largely free of European roaming regulation, if they extend their domestic plans/bundles from 2014 so that by 2018 at latest, customers charged at domestic rates</w:t>
      </w:r>
      <w:r w:rsidR="000A7DF2" w:rsidRPr="001032A3">
        <w:rPr>
          <w:rStyle w:val="FootnoteCharacters"/>
        </w:rPr>
        <w:footnoteReference w:id="55"/>
      </w:r>
      <w:r w:rsidR="000A7DF2" w:rsidRPr="001032A3">
        <w:t xml:space="preserve"> for voice and data across all EU MS – offer at least a 17 country package</w:t>
      </w:r>
      <w:r w:rsidR="000A7DF2">
        <w:t>.</w:t>
      </w:r>
    </w:p>
    <w:p w14:paraId="5358B48B" w14:textId="77777777" w:rsidR="000A7DF2" w:rsidRPr="001032A3" w:rsidRDefault="00F9137E" w:rsidP="00F9137E">
      <w:pPr>
        <w:pStyle w:val="enumlev1"/>
      </w:pPr>
      <w:r>
        <w:t>•</w:t>
      </w:r>
      <w:r>
        <w:tab/>
      </w:r>
      <w:r w:rsidR="000A7DF2" w:rsidRPr="001032A3">
        <w:t>Transition from July 2014 (</w:t>
      </w:r>
      <w:r w:rsidR="000A7DF2">
        <w:t>'</w:t>
      </w:r>
      <w:r w:rsidR="000A7DF2" w:rsidRPr="001032A3">
        <w:t>glide</w:t>
      </w:r>
      <w:r w:rsidR="000A7DF2">
        <w:t xml:space="preserve"> </w:t>
      </w:r>
      <w:r w:rsidR="000A7DF2" w:rsidRPr="001032A3">
        <w:t>path</w:t>
      </w:r>
      <w:r w:rsidR="000A7DF2">
        <w:t>'</w:t>
      </w:r>
      <w:r w:rsidR="000A7DF2" w:rsidRPr="001032A3">
        <w:t>) allowing operators to adapt either the number of plans they offer, or the number of countries they cover at domestic rates.</w:t>
      </w:r>
    </w:p>
    <w:p w14:paraId="0D132752" w14:textId="77777777" w:rsidR="000A7DF2" w:rsidRPr="001032A3" w:rsidRDefault="00F9137E" w:rsidP="00F9137E">
      <w:pPr>
        <w:pStyle w:val="enumlev1"/>
      </w:pPr>
      <w:r>
        <w:t>•</w:t>
      </w:r>
      <w:r>
        <w:tab/>
      </w:r>
      <w:r w:rsidR="000A7DF2" w:rsidRPr="001032A3">
        <w:t>In practice, MNOs have a choice, either to:</w:t>
      </w:r>
    </w:p>
    <w:p w14:paraId="32D81AB4" w14:textId="77777777" w:rsidR="000A7DF2" w:rsidRPr="001032A3" w:rsidRDefault="000A7DF2" w:rsidP="00D722EA">
      <w:pPr>
        <w:pStyle w:val="enumlev2"/>
        <w:numPr>
          <w:ilvl w:val="0"/>
          <w:numId w:val="0"/>
        </w:numPr>
        <w:ind w:left="720" w:hanging="294"/>
      </w:pPr>
      <w:r w:rsidRPr="001032A3">
        <w:t>1)</w:t>
      </w:r>
      <w:r w:rsidR="00E45B25">
        <w:tab/>
      </w:r>
      <w:r w:rsidRPr="001032A3">
        <w:t xml:space="preserve">Offer plans that apply everywhere in the European Union ("roam like at home"), with prices driven by domestic competition, or </w:t>
      </w:r>
    </w:p>
    <w:p w14:paraId="278541C9" w14:textId="77777777" w:rsidR="000A7DF2" w:rsidRDefault="00211A45" w:rsidP="00D722EA">
      <w:pPr>
        <w:pStyle w:val="enumlev2"/>
        <w:numPr>
          <w:ilvl w:val="0"/>
          <w:numId w:val="0"/>
        </w:numPr>
        <w:ind w:left="720" w:hanging="294"/>
      </w:pPr>
      <w:r>
        <w:t>2)</w:t>
      </w:r>
      <w:r w:rsidR="00E45B25">
        <w:tab/>
      </w:r>
      <w:r w:rsidR="000A7DF2" w:rsidRPr="001032A3">
        <w:t xml:space="preserve">Permit customers to </w:t>
      </w:r>
      <w:r w:rsidR="000A7DF2">
        <w:t>"</w:t>
      </w:r>
      <w:r w:rsidR="000A7DF2" w:rsidRPr="001032A3">
        <w:t>decouple</w:t>
      </w:r>
      <w:r w:rsidR="000A7DF2">
        <w:t>",</w:t>
      </w:r>
      <w:r w:rsidR="000A7DF2" w:rsidRPr="001032A3">
        <w:t xml:space="preserve"> i</w:t>
      </w:r>
      <w:r w:rsidR="000A7DF2">
        <w:t>.</w:t>
      </w:r>
      <w:r w:rsidR="000A7DF2" w:rsidRPr="001032A3">
        <w:t>e</w:t>
      </w:r>
      <w:r w:rsidR="000A7DF2">
        <w:t>.</w:t>
      </w:r>
      <w:r w:rsidR="000A7DF2" w:rsidRPr="001032A3">
        <w:t xml:space="preserve"> opt for a separate roaming provider </w:t>
      </w:r>
      <w:r w:rsidR="000A7DF2">
        <w:t>that</w:t>
      </w:r>
      <w:r w:rsidR="000A7DF2" w:rsidRPr="001032A3">
        <w:t xml:space="preserve"> offers cheaper rates (without buying </w:t>
      </w:r>
      <w:r w:rsidR="000A7DF2">
        <w:t xml:space="preserve">a </w:t>
      </w:r>
      <w:r w:rsidR="000A7DF2" w:rsidRPr="001032A3">
        <w:t xml:space="preserve">new SIM card). </w:t>
      </w:r>
    </w:p>
    <w:p w14:paraId="3E39800E" w14:textId="77777777" w:rsidR="000A7DF2" w:rsidRPr="001032A3" w:rsidRDefault="00211A45" w:rsidP="00211A45">
      <w:pPr>
        <w:pStyle w:val="enumlev1"/>
      </w:pPr>
      <w:r>
        <w:t>•</w:t>
      </w:r>
      <w:r>
        <w:tab/>
      </w:r>
      <w:r w:rsidR="000A7DF2" w:rsidRPr="001032A3">
        <w:t>Cap prices of EU-wide calls at the level of long-distance calls within an MS</w:t>
      </w:r>
      <w:r w:rsidR="000A7DF2">
        <w:t>.</w:t>
      </w:r>
    </w:p>
    <w:p w14:paraId="3EF2703A" w14:textId="77777777" w:rsidR="000A7DF2" w:rsidRPr="001032A3" w:rsidRDefault="00211A45" w:rsidP="00211A45">
      <w:pPr>
        <w:pStyle w:val="enumlev1"/>
      </w:pPr>
      <w:r>
        <w:t>•</w:t>
      </w:r>
      <w:r>
        <w:tab/>
      </w:r>
      <w:r w:rsidR="000A7DF2" w:rsidRPr="001032A3">
        <w:t xml:space="preserve">Mobile licences in one EU </w:t>
      </w:r>
      <w:r w:rsidR="000A7DF2">
        <w:t>M</w:t>
      </w:r>
      <w:r w:rsidR="000A7DF2" w:rsidRPr="001032A3">
        <w:t xml:space="preserve">ember </w:t>
      </w:r>
      <w:r w:rsidR="000A7DF2">
        <w:t>S</w:t>
      </w:r>
      <w:r w:rsidR="000A7DF2" w:rsidRPr="001032A3">
        <w:t>tate valid in 28 MS</w:t>
      </w:r>
      <w:r w:rsidR="000A7DF2">
        <w:t>s</w:t>
      </w:r>
      <w:r w:rsidR="000A7DF2" w:rsidRPr="001032A3">
        <w:t xml:space="preserve"> </w:t>
      </w:r>
      <w:r w:rsidR="000A7DF2">
        <w:t>–</w:t>
      </w:r>
      <w:r w:rsidR="000A7DF2" w:rsidRPr="001032A3">
        <w:t xml:space="preserve"> carriers have to charge the same service rates in every EU country, forming alliances in MS</w:t>
      </w:r>
      <w:r w:rsidR="000A7DF2">
        <w:t>s</w:t>
      </w:r>
      <w:r w:rsidR="000A7DF2" w:rsidRPr="001032A3">
        <w:t xml:space="preserve"> where they do not operate</w:t>
      </w:r>
      <w:r w:rsidR="000A7DF2">
        <w:t>,</w:t>
      </w:r>
      <w:r w:rsidR="000A7DF2" w:rsidRPr="001032A3">
        <w:t xml:space="preserve"> i</w:t>
      </w:r>
      <w:r w:rsidR="000A7DF2">
        <w:t>.</w:t>
      </w:r>
      <w:r w:rsidR="000A7DF2" w:rsidRPr="001032A3">
        <w:t>e</w:t>
      </w:r>
      <w:r w:rsidR="000A7DF2">
        <w:t>.</w:t>
      </w:r>
      <w:r w:rsidR="000A7DF2" w:rsidRPr="001032A3">
        <w:t xml:space="preserve"> mandating the creation of operator alliances for Pan-European service plans</w:t>
      </w:r>
      <w:r w:rsidR="000A7DF2">
        <w:t>.</w:t>
      </w:r>
    </w:p>
    <w:p w14:paraId="75C8446C" w14:textId="77777777" w:rsidR="000A7DF2" w:rsidRPr="001032A3" w:rsidRDefault="000A7DF2" w:rsidP="000A7DF2">
      <w:r w:rsidRPr="001032A3">
        <w:t>However</w:t>
      </w:r>
      <w:r>
        <w:t>,</w:t>
      </w:r>
      <w:r w:rsidRPr="001032A3">
        <w:t xml:space="preserve"> the question has also been asked as to whether these measures </w:t>
      </w:r>
      <w:r>
        <w:t xml:space="preserve">are in effect </w:t>
      </w:r>
      <w:r w:rsidRPr="001032A3">
        <w:t>too benign to MNOs, especially the largest</w:t>
      </w:r>
      <w:r>
        <w:t xml:space="preserve"> ones</w:t>
      </w:r>
      <w:r w:rsidRPr="001032A3">
        <w:t>? Even though they seem draconian</w:t>
      </w:r>
      <w:r>
        <w:t>,</w:t>
      </w:r>
      <w:r w:rsidRPr="001032A3">
        <w:t xml:space="preserve"> roaming tariff cuts have not been mandated abruptly </w:t>
      </w:r>
      <w:r>
        <w:t>–</w:t>
      </w:r>
      <w:r w:rsidRPr="001032A3">
        <w:t xml:space="preserve"> they are gradual and do not entirely cover the whole EU, allowing for 17 country packages by 2018 at domestic pricing which still allows higher margins, especially if domestic customers are to some extent </w:t>
      </w:r>
      <w:r>
        <w:t>'</w:t>
      </w:r>
      <w:r w:rsidRPr="001032A3">
        <w:t>locked in</w:t>
      </w:r>
      <w:r>
        <w:t>'</w:t>
      </w:r>
      <w:r w:rsidRPr="001032A3">
        <w:t xml:space="preserve"> without serious alternatives. </w:t>
      </w:r>
      <w:r>
        <w:t>Moreover, for data, MNOs are even allowed to set limits on what is 'reasonable usage' before additional charges pertain.</w:t>
      </w:r>
    </w:p>
    <w:p w14:paraId="1EF5DDE5" w14:textId="77777777" w:rsidR="000A7DF2" w:rsidRPr="001032A3" w:rsidRDefault="000A7DF2" w:rsidP="000A7DF2">
      <w:r w:rsidRPr="001032A3">
        <w:t xml:space="preserve">Thus, the question has been asked by the EC of </w:t>
      </w:r>
      <w:r>
        <w:t xml:space="preserve">whether there </w:t>
      </w:r>
      <w:r w:rsidRPr="001032A3">
        <w:t>should be a stronger measure – namely unbundling of roaming from domestic service? Unbundling would mean structural changes in the retail roaming market as an essential part of the overall solution to high tariffs. This could be set up with either a wholesale roaming offer to other MNOs to resell (but a difficult market entry) or simply as an alternative retail roaming MNO offering. The latter would open the possibility for users to select an alternative MNO for roaming services only</w:t>
      </w:r>
      <w:r>
        <w:t>, or for roaming MVNOs to enter the market</w:t>
      </w:r>
      <w:r w:rsidRPr="001032A3">
        <w:t xml:space="preserve">. </w:t>
      </w:r>
    </w:p>
    <w:p w14:paraId="594E5B01" w14:textId="77777777" w:rsidR="000A7DF2" w:rsidRPr="001032A3" w:rsidRDefault="000A7DF2" w:rsidP="000A7DF2">
      <w:r w:rsidRPr="001032A3">
        <w:lastRenderedPageBreak/>
        <w:t xml:space="preserve">Such a market structure could increase subscriber awareness and transparency. The fears of </w:t>
      </w:r>
      <w:r>
        <w:t>'</w:t>
      </w:r>
      <w:r w:rsidRPr="001032A3">
        <w:t>bill shock</w:t>
      </w:r>
      <w:r>
        <w:t>'</w:t>
      </w:r>
      <w:r w:rsidRPr="001032A3">
        <w:t xml:space="preserve"> have also highlighted the far higher elasticity of demand for data than for voice when roaming – many subscribers switch off all data options when roaming, except for local Wi-Fi. Th</w:t>
      </w:r>
      <w:r>
        <w:t>is</w:t>
      </w:r>
      <w:r w:rsidRPr="001032A3">
        <w:t xml:space="preserve"> is a further factor putting pressure on MNOs to bring prices down, in order to retain existing customers </w:t>
      </w:r>
      <w:r>
        <w:t>–</w:t>
      </w:r>
      <w:r w:rsidRPr="001032A3">
        <w:t xml:space="preserve"> and in an unbundled roaming/domestic market </w:t>
      </w:r>
      <w:r>
        <w:t>–</w:t>
      </w:r>
      <w:r w:rsidRPr="001032A3">
        <w:t xml:space="preserve"> </w:t>
      </w:r>
      <w:r>
        <w:t xml:space="preserve">a business opportunity </w:t>
      </w:r>
      <w:r w:rsidRPr="001032A3">
        <w:t>to gain new ones.</w:t>
      </w:r>
    </w:p>
    <w:p w14:paraId="2E0613C6" w14:textId="77777777" w:rsidR="000A7DF2" w:rsidRPr="00316FE6" w:rsidRDefault="000A7DF2" w:rsidP="000D2CFE">
      <w:pPr>
        <w:pStyle w:val="Headingb0"/>
        <w:rPr>
          <w:lang w:val="en-US"/>
        </w:rPr>
      </w:pPr>
      <w:r w:rsidRPr="00316FE6">
        <w:rPr>
          <w:lang w:val="en-US"/>
        </w:rPr>
        <w:t>Intervention and ruling on legality on roaming regulation by the European Court of Justice (ECJ)</w:t>
      </w:r>
    </w:p>
    <w:p w14:paraId="3A3167AD" w14:textId="77777777" w:rsidR="000A7DF2" w:rsidRDefault="000A7DF2" w:rsidP="000A7DF2">
      <w:r>
        <w:t>The</w:t>
      </w:r>
      <w:r w:rsidRPr="00DA2FFE">
        <w:t xml:space="preserve"> EU-wide </w:t>
      </w:r>
      <w:r>
        <w:t xml:space="preserve">roaming </w:t>
      </w:r>
      <w:r w:rsidRPr="00DA2FFE">
        <w:t>legislation was proposed</w:t>
      </w:r>
      <w:r>
        <w:t xml:space="preserve"> by the European Commission</w:t>
      </w:r>
      <w:r w:rsidRPr="00DA2FFE">
        <w:t xml:space="preserve"> in 2006 resulting in the Roaming Regulation (Regulation (EC) No 717/2007) being adopted in 2007 under Article 95 of the EC Treaty (now Article 114 of the Treaty on the Functioning of the EU) that imposed a ceiling on</w:t>
      </w:r>
      <w:r>
        <w:t xml:space="preserve"> </w:t>
      </w:r>
      <w:r w:rsidRPr="00DA2FFE">
        <w:t xml:space="preserve">the maximum amount MNO could charge for voice calls made and received </w:t>
      </w:r>
      <w:r>
        <w:t xml:space="preserve">when travelling, </w:t>
      </w:r>
      <w:r w:rsidRPr="00DA2FFE">
        <w:t xml:space="preserve">set out in a </w:t>
      </w:r>
      <w:r>
        <w:t>E</w:t>
      </w:r>
      <w:r w:rsidRPr="00DA2FFE">
        <w:t>urotariff that MNOs had to actively offer their customers</w:t>
      </w:r>
      <w:r>
        <w:t xml:space="preserve"> and also capped </w:t>
      </w:r>
      <w:r w:rsidRPr="00DA2FFE">
        <w:t>wholesale roaming charges, i</w:t>
      </w:r>
      <w:r>
        <w:t>.</w:t>
      </w:r>
      <w:r w:rsidRPr="00DA2FFE">
        <w:t>e</w:t>
      </w:r>
      <w:r>
        <w:t>.</w:t>
      </w:r>
      <w:r w:rsidRPr="00DA2FFE">
        <w:t xml:space="preserve"> the fee paid by a customer</w:t>
      </w:r>
      <w:r>
        <w:t>'</w:t>
      </w:r>
      <w:r w:rsidRPr="00DA2FFE">
        <w:t xml:space="preserve">s home network </w:t>
      </w:r>
      <w:r>
        <w:t xml:space="preserve">MNO </w:t>
      </w:r>
      <w:r w:rsidRPr="00DA2FFE">
        <w:t xml:space="preserve">to the foreign network </w:t>
      </w:r>
      <w:r>
        <w:t xml:space="preserve">MNO used by </w:t>
      </w:r>
      <w:r w:rsidRPr="00DA2FFE">
        <w:t xml:space="preserve">the </w:t>
      </w:r>
      <w:r>
        <w:t xml:space="preserve">roaming </w:t>
      </w:r>
      <w:r w:rsidRPr="00DA2FFE">
        <w:t>consumer.</w:t>
      </w:r>
    </w:p>
    <w:p w14:paraId="14631C09" w14:textId="77777777" w:rsidR="000A7DF2" w:rsidRDefault="000A7DF2" w:rsidP="000A7DF2">
      <w:r w:rsidRPr="008D7E8C">
        <w:t xml:space="preserve">The original Roaming Regulation was time limited and was set to expire in June 2010. However, this was later amended by a new regulation that expanded its scope to cover SMS, as well as data calls and prolonged its validity until June 2012. This led to </w:t>
      </w:r>
      <w:r>
        <w:t>the</w:t>
      </w:r>
      <w:r w:rsidRPr="008D7E8C">
        <w:t xml:space="preserve"> call for judicial review by four MNOs, namely Telefónica O2, T-Mobile, Orange and Vodafone, challenging the validity of the Roaming Regulation in the High Court of England and Wales</w:t>
      </w:r>
      <w:r>
        <w:t xml:space="preserve"> (UK)</w:t>
      </w:r>
      <w:r w:rsidRPr="008D7E8C">
        <w:t>. The High Court referred t</w:t>
      </w:r>
      <w:r>
        <w:t>wo</w:t>
      </w:r>
      <w:r w:rsidRPr="008D7E8C">
        <w:t xml:space="preserve"> questions</w:t>
      </w:r>
      <w:r>
        <w:t xml:space="preserve"> </w:t>
      </w:r>
      <w:r w:rsidRPr="008D7E8C">
        <w:t>to the ECJ for a preliminary ruling</w:t>
      </w:r>
      <w:r>
        <w:t>.</w:t>
      </w:r>
      <w:r w:rsidRPr="008D7E8C">
        <w:t xml:space="preserve"> </w:t>
      </w:r>
      <w:r>
        <w:t>Firstly</w:t>
      </w:r>
      <w:r w:rsidRPr="008D7E8C">
        <w:t xml:space="preserve"> whether Article 95 of the EC Treaty formed an adequate legal basis for the adoption of the Roaming Regulation, and </w:t>
      </w:r>
      <w:r>
        <w:t xml:space="preserve">secondly </w:t>
      </w:r>
      <w:r w:rsidRPr="008D7E8C">
        <w:t xml:space="preserve">whether, by setting the aforementioned </w:t>
      </w:r>
      <w:r>
        <w:t>E</w:t>
      </w:r>
      <w:r w:rsidRPr="008D7E8C">
        <w:t xml:space="preserve">urotariff, the EC legislature had </w:t>
      </w:r>
      <w:r>
        <w:t>transgressed</w:t>
      </w:r>
      <w:r w:rsidRPr="008D7E8C">
        <w:t xml:space="preserve"> the </w:t>
      </w:r>
      <w:r w:rsidRPr="00D91459">
        <w:t>principles of</w:t>
      </w:r>
      <w:r w:rsidRPr="00D91459">
        <w:rPr>
          <w:i/>
          <w:iCs/>
        </w:rPr>
        <w:t xml:space="preserve"> proportionality</w:t>
      </w:r>
      <w:r w:rsidRPr="008D7E8C">
        <w:t xml:space="preserve"> and/or </w:t>
      </w:r>
      <w:r w:rsidRPr="00D91459">
        <w:rPr>
          <w:i/>
          <w:iCs/>
        </w:rPr>
        <w:t>subsidiarity</w:t>
      </w:r>
      <w:r w:rsidRPr="008D7E8C">
        <w:t>.</w:t>
      </w:r>
    </w:p>
    <w:p w14:paraId="393743FC" w14:textId="77777777" w:rsidR="000A7DF2" w:rsidRDefault="000A7DF2" w:rsidP="000A7DF2">
      <w:r w:rsidRPr="00F45DE9">
        <w:t>According to EC case law, the principle of proportionality mandates that any measures implemented through EC law provisions must be appropriate and must not go beyond what is necessary to attain the objectives of the legislation. Despite what appears to be a rather wide discretionary power, the EC legislature</w:t>
      </w:r>
      <w:r>
        <w:t>'</w:t>
      </w:r>
      <w:r w:rsidRPr="00F45DE9">
        <w:t xml:space="preserve">s decisions must be based on objective criteria. </w:t>
      </w:r>
      <w:r>
        <w:t>For t</w:t>
      </w:r>
      <w:r w:rsidRPr="00F45DE9">
        <w:t>he</w:t>
      </w:r>
      <w:r>
        <w:t>se,</w:t>
      </w:r>
      <w:r w:rsidRPr="00F45DE9">
        <w:t xml:space="preserve"> ECJ took note of the studies conducted by the Commission at the time of drafting the Roaming Regulation, which showed average retail rates for roaming services to be over five times higher than the actual cost of the provision of the wholesale service. </w:t>
      </w:r>
      <w:r>
        <w:t>The time limits imposed in the original legislation were also considered as important for proportionality principles. Moreover, the</w:t>
      </w:r>
      <w:r w:rsidRPr="00F45DE9">
        <w:t xml:space="preserve"> </w:t>
      </w:r>
      <w:r>
        <w:t>E</w:t>
      </w:r>
      <w:r w:rsidRPr="00F45DE9">
        <w:t>urotariff was set at a level that more accurately reflected the costs incurred by MNOs</w:t>
      </w:r>
      <w:r>
        <w:t>,</w:t>
      </w:r>
      <w:r w:rsidRPr="00F45DE9">
        <w:t xml:space="preserve"> and the ECJ considered this appropriate to protect customers against unnecessarily high charges.</w:t>
      </w:r>
      <w:r>
        <w:t xml:space="preserve"> On the issue of s</w:t>
      </w:r>
      <w:r w:rsidRPr="00F45DE9">
        <w:t>ubsidiarity</w:t>
      </w:r>
      <w:r>
        <w:t>, the principle in EU law is that i</w:t>
      </w:r>
      <w:r w:rsidRPr="00F45DE9">
        <w:t xml:space="preserve">n areas that do not fall within its exclusive competence, the EU institutions are to act only if and in so far as the </w:t>
      </w:r>
      <w:r>
        <w:t>Member S</w:t>
      </w:r>
      <w:r w:rsidRPr="00F45DE9">
        <w:t>tates</w:t>
      </w:r>
      <w:r>
        <w:t xml:space="preserve"> (MS)</w:t>
      </w:r>
      <w:r w:rsidRPr="00F45DE9">
        <w:t xml:space="preserve"> themselves cannot sufficiently achieve the objectives of the proposed action. ECJ referred once again to the interdependence of retail and wholesale roaming fees, and the significant disruption that would ensue should each </w:t>
      </w:r>
      <w:r>
        <w:t>MS</w:t>
      </w:r>
      <w:r w:rsidRPr="00F45DE9">
        <w:t xml:space="preserve"> choose to only tackle the issue of high retail charges. A joint approach was deemed necessary by the EC, and both the wholesale and retail levels, and this was wholeheartedly backed by ECJ.</w:t>
      </w:r>
      <w:r>
        <w:t xml:space="preserve"> </w:t>
      </w:r>
    </w:p>
    <w:p w14:paraId="1837F5AA" w14:textId="77777777" w:rsidR="000A7DF2" w:rsidRDefault="000A7DF2" w:rsidP="000A7DF2">
      <w:r>
        <w:t>In consequence on 8 June 2010,</w:t>
      </w:r>
      <w:r w:rsidRPr="00DA2FFE">
        <w:t xml:space="preserve"> </w:t>
      </w:r>
      <w:r>
        <w:t>ECJ</w:t>
      </w:r>
      <w:r w:rsidRPr="00DA2FFE">
        <w:t xml:space="preserve"> </w:t>
      </w:r>
      <w:r>
        <w:t>ruled to reject</w:t>
      </w:r>
      <w:r w:rsidRPr="00DA2FFE">
        <w:t xml:space="preserve"> the challenge</w:t>
      </w:r>
      <w:r>
        <w:t xml:space="preserve"> to</w:t>
      </w:r>
      <w:r w:rsidRPr="00DA2FFE">
        <w:t xml:space="preserve"> the validity of a cap imposed by the EU on the roaming fees </w:t>
      </w:r>
      <w:r>
        <w:t>MNOs</w:t>
      </w:r>
      <w:r w:rsidRPr="00DA2FFE">
        <w:t xml:space="preserve"> can charge </w:t>
      </w:r>
      <w:r>
        <w:t xml:space="preserve">in the EU, as put before it </w:t>
      </w:r>
      <w:r w:rsidRPr="00DA2FFE">
        <w:t xml:space="preserve">by various leading European </w:t>
      </w:r>
      <w:r>
        <w:t xml:space="preserve">MNOs. </w:t>
      </w:r>
      <w:r w:rsidRPr="00E81730">
        <w:t xml:space="preserve">ECJ upheld the legal validity of the Roaming Regulation </w:t>
      </w:r>
      <w:r>
        <w:t>ha</w:t>
      </w:r>
      <w:r w:rsidRPr="00E81730">
        <w:t xml:space="preserve">ving taken into account the difficulties faced by national regulatory authorities in identifying undertakings that held considerable market power and controlling the behaviour of visiting network operators in other </w:t>
      </w:r>
      <w:r>
        <w:t xml:space="preserve">MSs </w:t>
      </w:r>
      <w:r w:rsidRPr="00E81730">
        <w:t xml:space="preserve">whose services were used by customers when </w:t>
      </w:r>
      <w:r>
        <w:t>roaming</w:t>
      </w:r>
      <w:r w:rsidRPr="00E81730">
        <w:t xml:space="preserve">. </w:t>
      </w:r>
      <w:r>
        <w:t>In its decision,</w:t>
      </w:r>
      <w:r w:rsidRPr="00E81730">
        <w:t xml:space="preserve"> ECJ </w:t>
      </w:r>
      <w:r>
        <w:t xml:space="preserve">also </w:t>
      </w:r>
      <w:r w:rsidRPr="00E81730">
        <w:t>noted the Commission</w:t>
      </w:r>
      <w:r>
        <w:t>'</w:t>
      </w:r>
      <w:r w:rsidRPr="00E81730">
        <w:t xml:space="preserve">s concerns over the extremely high retail charges for international roaming services as well as failed attempts by national regulators under the existing legal framework to tackle the charges. Given the significant interdependence of retail and wholesale roaming charges, it seemed apparent to ECJ that any move by </w:t>
      </w:r>
      <w:r>
        <w:t>MS</w:t>
      </w:r>
      <w:r w:rsidRPr="00E81730">
        <w:t xml:space="preserve"> to only tackle retail charges, without lowering the wholesale costs for the provision of such EC-wide roaming services, would severely distort competition and disrupt the ‘</w:t>
      </w:r>
      <w:r w:rsidRPr="00F45DE9">
        <w:rPr>
          <w:i/>
          <w:iCs/>
        </w:rPr>
        <w:t>orderly functioning of the EC-wide roaming market’</w:t>
      </w:r>
      <w:r w:rsidRPr="00E81730">
        <w:t>.</w:t>
      </w:r>
      <w:r w:rsidRPr="00F45DE9">
        <w:t xml:space="preserve"> ECJ </w:t>
      </w:r>
      <w:r w:rsidRPr="00F45DE9">
        <w:lastRenderedPageBreak/>
        <w:t>believe</w:t>
      </w:r>
      <w:r>
        <w:t>d</w:t>
      </w:r>
      <w:r w:rsidRPr="00F45DE9">
        <w:t xml:space="preserve"> at the time </w:t>
      </w:r>
      <w:r>
        <w:t xml:space="preserve">that </w:t>
      </w:r>
      <w:r w:rsidRPr="00F45DE9">
        <w:t>the Roaming Regulation was adopted, ‘</w:t>
      </w:r>
      <w:r w:rsidRPr="00F45DE9">
        <w:rPr>
          <w:i/>
          <w:iCs/>
        </w:rPr>
        <w:t>the relationship between costs and charges was not such as would prevail in fully competitive markets</w:t>
      </w:r>
      <w:r w:rsidRPr="00F45DE9">
        <w:t>’.</w:t>
      </w:r>
    </w:p>
    <w:p w14:paraId="35D82970" w14:textId="77777777" w:rsidR="000A7DF2" w:rsidRPr="00316FE6" w:rsidRDefault="000A7DF2" w:rsidP="001846A4">
      <w:pPr>
        <w:pStyle w:val="Headingb0"/>
        <w:keepLines/>
        <w:rPr>
          <w:lang w:val="en-US"/>
        </w:rPr>
      </w:pPr>
      <w:r w:rsidRPr="00316FE6">
        <w:rPr>
          <w:lang w:val="en-US"/>
        </w:rPr>
        <w:t>In conclusion – Is the European model working and can it be applied elsewhere?</w:t>
      </w:r>
    </w:p>
    <w:p w14:paraId="40BA8DBF" w14:textId="77777777" w:rsidR="000A7DF2" w:rsidRPr="001032A3" w:rsidRDefault="000A7DF2" w:rsidP="001846A4">
      <w:pPr>
        <w:keepLines/>
      </w:pPr>
      <w:r w:rsidRPr="001032A3">
        <w:t>Certainly the EU model of constant vigilance and pressure is working and doing so fairly well, although at least six years of legislated price caps have been necessary. Roaming rates, for example for data</w:t>
      </w:r>
      <w:r>
        <w:t>,</w:t>
      </w:r>
      <w:r w:rsidRPr="001032A3">
        <w:t xml:space="preserve"> are claimed to have reduced by 90%, and perhaps by 2016 may be eliminated, certainly by 2018 if a gentler glide path is taken within the EU.</w:t>
      </w:r>
    </w:p>
    <w:p w14:paraId="4FDCACFB" w14:textId="77777777" w:rsidR="000A7DF2" w:rsidRPr="001032A3" w:rsidRDefault="000A7DF2" w:rsidP="000A7DF2">
      <w:r w:rsidRPr="001032A3">
        <w:t>What is this due to? And can it be applied elsewhere? The keys to success are threefold:</w:t>
      </w:r>
    </w:p>
    <w:p w14:paraId="5FE4F5CB" w14:textId="77777777" w:rsidR="000A7DF2" w:rsidRPr="001032A3" w:rsidRDefault="00505B0C" w:rsidP="00505B0C">
      <w:pPr>
        <w:pStyle w:val="enumlev1"/>
      </w:pPr>
      <w:r>
        <w:t>•</w:t>
      </w:r>
      <w:r>
        <w:tab/>
      </w:r>
      <w:r w:rsidR="000A7DF2" w:rsidRPr="001032A3">
        <w:t>Firstly</w:t>
      </w:r>
      <w:r w:rsidR="000A7DF2">
        <w:t>,</w:t>
      </w:r>
      <w:r w:rsidR="000A7DF2" w:rsidRPr="001032A3">
        <w:t xml:space="preserve"> it has been applied across a community of some 28 countries. </w:t>
      </w:r>
      <w:r w:rsidR="000A7DF2">
        <w:t>N</w:t>
      </w:r>
      <w:r w:rsidR="000A7DF2" w:rsidRPr="001032A3">
        <w:t xml:space="preserve">ote </w:t>
      </w:r>
      <w:r w:rsidR="000A7DF2">
        <w:t xml:space="preserve">however that </w:t>
      </w:r>
      <w:r w:rsidR="000A7DF2" w:rsidRPr="001032A3">
        <w:t>it is only applicable inside the EU – Switzerland, for instance, may exclude itself and so offers much higher roaming charges.</w:t>
      </w:r>
    </w:p>
    <w:p w14:paraId="6DB65A10" w14:textId="77777777" w:rsidR="000A7DF2" w:rsidRPr="001032A3" w:rsidRDefault="00505B0C" w:rsidP="00505B0C">
      <w:pPr>
        <w:pStyle w:val="enumlev1"/>
      </w:pPr>
      <w:r>
        <w:t>•</w:t>
      </w:r>
      <w:r>
        <w:tab/>
      </w:r>
      <w:r w:rsidR="000A7DF2">
        <w:t>Secondly, r</w:t>
      </w:r>
      <w:r w:rsidR="000A7DF2" w:rsidRPr="001032A3">
        <w:t>eduction of retail roaming tariffs towards costs has had significant and strong endorsement from the EP, i</w:t>
      </w:r>
      <w:r w:rsidR="000A7DF2">
        <w:t>.</w:t>
      </w:r>
      <w:r w:rsidR="000A7DF2" w:rsidRPr="001032A3">
        <w:t>e</w:t>
      </w:r>
      <w:r w:rsidR="000A7DF2">
        <w:t>.</w:t>
      </w:r>
      <w:r w:rsidR="000A7DF2" w:rsidRPr="001032A3">
        <w:t xml:space="preserve"> the elected representatives of the citizen. They gave the only near-unanimous vote ever in its history in May 2007 to begin the rounds of price caps. Th</w:t>
      </w:r>
      <w:r w:rsidR="000A7DF2">
        <w:t>is</w:t>
      </w:r>
      <w:r w:rsidR="000A7DF2" w:rsidRPr="001032A3">
        <w:t xml:space="preserve"> has obliged Europe</w:t>
      </w:r>
      <w:r w:rsidR="000A7DF2">
        <w:t>'</w:t>
      </w:r>
      <w:r w:rsidR="000A7DF2" w:rsidRPr="001032A3">
        <w:t>s administrative and legislation drafting body, the Commission, to act energetically and also obliged the MS governments as represented by the Council to accede to the wishes of subscribers.</w:t>
      </w:r>
    </w:p>
    <w:p w14:paraId="07AA188B" w14:textId="77777777" w:rsidR="000A7DF2" w:rsidRPr="001032A3" w:rsidRDefault="00505B0C" w:rsidP="00505B0C">
      <w:pPr>
        <w:pStyle w:val="enumlev1"/>
      </w:pPr>
      <w:r>
        <w:t>•</w:t>
      </w:r>
      <w:r>
        <w:tab/>
      </w:r>
      <w:r w:rsidR="000A7DF2" w:rsidRPr="001032A3">
        <w:t>Thirdly, the mobile industry has taken note and gradually complied, despite strong protests against this intervention. Its arguments over the need for high roaming charges to finance LTE infrastructure have been examined by the EC over several years and found wanting.</w:t>
      </w:r>
    </w:p>
    <w:p w14:paraId="237C425F" w14:textId="77777777" w:rsidR="000A7DF2" w:rsidRPr="001032A3" w:rsidRDefault="000A7DF2" w:rsidP="000A7DF2">
      <w:r w:rsidRPr="001032A3">
        <w:t xml:space="preserve">Thus if these three conditions are absent, the European experience may not be repeatable. The key condition is the first – the use of a community of countries with NRAs working in concert, over the most common roaming areas geographically so that reciprocal roaming arrangements can be set up. Thus a regional approach is probably required. </w:t>
      </w:r>
      <w:r>
        <w:t>Nonetheless,</w:t>
      </w:r>
      <w:r w:rsidRPr="001032A3">
        <w:t xml:space="preserve"> it must be backed by common legislation </w:t>
      </w:r>
      <w:r>
        <w:t>–</w:t>
      </w:r>
      <w:r w:rsidRPr="001032A3">
        <w:t xml:space="preserve"> and therefore by a group of governments in the region with the communal will to act in order to protect the citizen.</w:t>
      </w:r>
    </w:p>
    <w:p w14:paraId="710B00FD" w14:textId="77777777" w:rsidR="000A7DF2" w:rsidRPr="00316FE6" w:rsidRDefault="000A7DF2" w:rsidP="000D2CFE">
      <w:pPr>
        <w:pStyle w:val="Headingb0"/>
        <w:rPr>
          <w:bCs/>
          <w:lang w:val="en-US"/>
        </w:rPr>
      </w:pPr>
      <w:r w:rsidRPr="00316FE6">
        <w:rPr>
          <w:lang w:val="en-US"/>
        </w:rPr>
        <w:t xml:space="preserve">European States covered by European Union roaming regulation </w:t>
      </w:r>
    </w:p>
    <w:p w14:paraId="4E31D8E1" w14:textId="77777777" w:rsidR="000A7DF2" w:rsidRPr="001032A3" w:rsidRDefault="000A7DF2" w:rsidP="00505B0C">
      <w:r w:rsidRPr="001032A3">
        <w:t>Currently roaming regulation is applied within 31 European countries, that is, all members of the European Economic Area (EEA):</w:t>
      </w:r>
    </w:p>
    <w:p w14:paraId="695A0A06" w14:textId="77777777" w:rsidR="000A7DF2" w:rsidRPr="001032A3" w:rsidRDefault="00505B0C" w:rsidP="00505B0C">
      <w:pPr>
        <w:pStyle w:val="enumlev1"/>
      </w:pPr>
      <w:r>
        <w:t>•</w:t>
      </w:r>
      <w:r>
        <w:tab/>
      </w:r>
      <w:r w:rsidR="000A7DF2" w:rsidRPr="001032A3">
        <w:t xml:space="preserve">28 EU </w:t>
      </w:r>
      <w:r w:rsidR="000A7DF2">
        <w:t>M</w:t>
      </w:r>
      <w:r w:rsidR="000A7DF2" w:rsidRPr="001032A3">
        <w:t xml:space="preserve">ember </w:t>
      </w:r>
      <w:r w:rsidR="000A7DF2">
        <w:t>S</w:t>
      </w:r>
      <w:r w:rsidR="000A7DF2" w:rsidRPr="001032A3">
        <w:t>tates with Croatia</w:t>
      </w:r>
      <w:r w:rsidR="000A7DF2">
        <w:t>,</w:t>
      </w:r>
    </w:p>
    <w:p w14:paraId="3E3F83A9" w14:textId="77777777" w:rsidR="000A7DF2" w:rsidRPr="001032A3" w:rsidRDefault="00505B0C" w:rsidP="00505B0C">
      <w:pPr>
        <w:pStyle w:val="enumlev1"/>
      </w:pPr>
      <w:r>
        <w:t>•</w:t>
      </w:r>
      <w:r>
        <w:tab/>
      </w:r>
      <w:r w:rsidR="000A7DF2" w:rsidRPr="001032A3">
        <w:t>Iceland, Liechtenstein and Norway.</w:t>
      </w:r>
    </w:p>
    <w:p w14:paraId="25AAD16C" w14:textId="77777777" w:rsidR="000A7DF2" w:rsidRDefault="000A7DF2" w:rsidP="000A7DF2">
      <w:r w:rsidRPr="001032A3">
        <w:t>The EU countries have applied the Roaming Regulation in its various forms since 30 August 2007</w:t>
      </w:r>
      <w:r>
        <w:t>,</w:t>
      </w:r>
      <w:r w:rsidRPr="001032A3">
        <w:t xml:space="preserve"> while the non-EU countries have only applied it since 1 January 2008. Although it has relations with the EU in specific telecommunications fields, Switzerland is not included in this jurisdiction. Thus roaming tariffs are significantly higher for EU residents roaming in Switzerland and for Swiss residents roaming in the EU, especially for </w:t>
      </w:r>
      <w:r>
        <w:t>I</w:t>
      </w:r>
      <w:r w:rsidRPr="001032A3">
        <w:t xml:space="preserve">nternet data, which may vary, but are up to </w:t>
      </w:r>
      <w:r>
        <w:t xml:space="preserve">EUR </w:t>
      </w:r>
      <w:r w:rsidRPr="001032A3">
        <w:t>3/Mega</w:t>
      </w:r>
      <w:r>
        <w:t>B</w:t>
      </w:r>
      <w:r w:rsidRPr="001032A3">
        <w:t>yte (2012).</w:t>
      </w:r>
      <w:r>
        <w:t xml:space="preserve"> </w:t>
      </w:r>
    </w:p>
    <w:p w14:paraId="2530ECB6" w14:textId="77777777" w:rsidR="000A7DF2" w:rsidRDefault="000A7DF2" w:rsidP="000A7DF2">
      <w:r>
        <w:t>In general, it should be noted that the issue of roaming is subject to r</w:t>
      </w:r>
      <w:r w:rsidRPr="00C26B7B">
        <w:t>egional</w:t>
      </w:r>
      <w:r>
        <w:t>ly-based</w:t>
      </w:r>
      <w:r w:rsidRPr="00C26B7B">
        <w:t xml:space="preserve"> regulation</w:t>
      </w:r>
      <w:r>
        <w:t xml:space="preserve"> and therefore will be individual to each region. What is given above is for the European Union only, and other regions and economic communities may have quite different conditions and rulings.</w:t>
      </w:r>
      <w:r w:rsidRPr="00C26B7B">
        <w:t xml:space="preserve"> </w:t>
      </w:r>
      <w:r>
        <w:t>Moreover, the criteria given here are of a pragmatic economic nature</w:t>
      </w:r>
      <w:r w:rsidRPr="00C26B7B">
        <w:t xml:space="preserve"> that sometimes, </w:t>
      </w:r>
      <w:r>
        <w:t>in some regions and national jurisdictions, may be balanced by equally significant</w:t>
      </w:r>
      <w:r w:rsidRPr="00C26B7B">
        <w:t xml:space="preserve"> poli</w:t>
      </w:r>
      <w:r>
        <w:t>cy issues.</w:t>
      </w:r>
    </w:p>
    <w:p w14:paraId="60F5B8BD" w14:textId="77777777" w:rsidR="00E45B25" w:rsidRDefault="00E45B25" w:rsidP="000A7DF2">
      <w:pPr>
        <w:rPr>
          <w:b/>
          <w:bCs/>
          <w:i/>
          <w:iCs/>
        </w:rPr>
      </w:pPr>
      <w:r>
        <w:rPr>
          <w:b/>
          <w:bCs/>
          <w:i/>
          <w:iCs/>
        </w:rPr>
        <w:br w:type="page"/>
      </w:r>
    </w:p>
    <w:p w14:paraId="7847ACCA" w14:textId="77777777" w:rsidR="000A7DF2" w:rsidRPr="006721D1" w:rsidRDefault="000A7DF2" w:rsidP="00A279B5">
      <w:pPr>
        <w:pStyle w:val="Heading1"/>
      </w:pPr>
      <w:bookmarkStart w:id="71" w:name="_Toc425326345"/>
      <w:bookmarkStart w:id="72" w:name="_Toc429485890"/>
      <w:r w:rsidRPr="006721D1">
        <w:lastRenderedPageBreak/>
        <w:t xml:space="preserve">Annex 2 </w:t>
      </w:r>
      <w:r>
        <w:t xml:space="preserve">– </w:t>
      </w:r>
      <w:r w:rsidRPr="006721D1">
        <w:t xml:space="preserve">User startup – </w:t>
      </w:r>
      <w:r>
        <w:t>A</w:t>
      </w:r>
      <w:r w:rsidRPr="006721D1">
        <w:t xml:space="preserve"> one</w:t>
      </w:r>
      <w:r>
        <w:t>-</w:t>
      </w:r>
      <w:r w:rsidRPr="006721D1">
        <w:t>page summary</w:t>
      </w:r>
      <w:bookmarkEnd w:id="71"/>
      <w:bookmarkEnd w:id="72"/>
      <w:r w:rsidRPr="006721D1">
        <w:t xml:space="preserve"> </w:t>
      </w:r>
    </w:p>
    <w:p w14:paraId="70BCCA93" w14:textId="77777777" w:rsidR="000A7DF2" w:rsidRPr="001032A3" w:rsidRDefault="000A7DF2" w:rsidP="000A7DF2">
      <w:r w:rsidRPr="00B22AD6">
        <w:t>Here we give a brief summary</w:t>
      </w:r>
      <w:r w:rsidRPr="001032A3">
        <w:t xml:space="preserve"> for regulators of how to use the ITU-T cost model with the accompanying model for a questionnaire (Annex 3):</w:t>
      </w:r>
    </w:p>
    <w:p w14:paraId="15B459B9" w14:textId="77777777" w:rsidR="000A7DF2" w:rsidRDefault="00EC6378" w:rsidP="0063651F">
      <w:pPr>
        <w:pStyle w:val="enumlev1"/>
      </w:pPr>
      <w:r>
        <w:t>1)</w:t>
      </w:r>
      <w:r>
        <w:tab/>
      </w:r>
      <w:r w:rsidR="000A7DF2" w:rsidRPr="001032A3">
        <w:t>Examine the principles behind the cost model as given here, specifically:</w:t>
      </w:r>
    </w:p>
    <w:p w14:paraId="42E2CC79" w14:textId="77777777" w:rsidR="000A7DF2" w:rsidRPr="0063651F" w:rsidRDefault="0063651F" w:rsidP="00CA6108">
      <w:pPr>
        <w:pStyle w:val="enumlev2"/>
        <w:numPr>
          <w:ilvl w:val="0"/>
          <w:numId w:val="0"/>
        </w:numPr>
        <w:ind w:left="720" w:hanging="294"/>
      </w:pPr>
      <w:r>
        <w:t>–</w:t>
      </w:r>
      <w:r>
        <w:tab/>
      </w:r>
      <w:r w:rsidR="000A7DF2" w:rsidRPr="0063651F">
        <w:t>The major business processes concerned with roaming (for network operations, business support systems (BSS), and back office functions including IOT agreements and recharging).</w:t>
      </w:r>
    </w:p>
    <w:p w14:paraId="11CB15A0" w14:textId="77777777" w:rsidR="000A7DF2" w:rsidRPr="0063651F" w:rsidRDefault="0063651F" w:rsidP="00CA6108">
      <w:pPr>
        <w:pStyle w:val="enumlev2"/>
        <w:numPr>
          <w:ilvl w:val="0"/>
          <w:numId w:val="0"/>
        </w:numPr>
        <w:ind w:left="720" w:hanging="294"/>
      </w:pPr>
      <w:r>
        <w:t>–</w:t>
      </w:r>
      <w:r>
        <w:tab/>
      </w:r>
      <w:r w:rsidR="000A7DF2" w:rsidRPr="0063651F">
        <w:t>The use cases that identify the relevant cost elements for roaming and their proportion of total use.</w:t>
      </w:r>
    </w:p>
    <w:p w14:paraId="37096288" w14:textId="77777777" w:rsidR="000A7DF2" w:rsidRPr="001032A3" w:rsidRDefault="0063651F" w:rsidP="00CA6108">
      <w:pPr>
        <w:pStyle w:val="enumlev2"/>
        <w:numPr>
          <w:ilvl w:val="0"/>
          <w:numId w:val="0"/>
        </w:numPr>
        <w:ind w:left="720" w:hanging="294"/>
      </w:pPr>
      <w:r>
        <w:t>–</w:t>
      </w:r>
      <w:r>
        <w:tab/>
      </w:r>
      <w:r w:rsidR="000A7DF2" w:rsidRPr="0063651F">
        <w:t>The technical</w:t>
      </w:r>
      <w:r w:rsidR="000A7DF2" w:rsidRPr="001032A3">
        <w:t xml:space="preserve"> infrastructure for mobile operations, as it touches on roaming.</w:t>
      </w:r>
    </w:p>
    <w:p w14:paraId="7E15D937" w14:textId="77777777" w:rsidR="000A7DF2" w:rsidRPr="001032A3" w:rsidRDefault="00EC6378" w:rsidP="00EC6378">
      <w:pPr>
        <w:pStyle w:val="enumlev1"/>
      </w:pPr>
      <w:r>
        <w:t>2)</w:t>
      </w:r>
      <w:r>
        <w:tab/>
      </w:r>
      <w:r w:rsidR="000A7DF2" w:rsidRPr="001032A3">
        <w:t>Select MNOs for a cost and tariff survey in terms of organi</w:t>
      </w:r>
      <w:r w:rsidR="000A7DF2">
        <w:t>z</w:t>
      </w:r>
      <w:r w:rsidR="000A7DF2" w:rsidRPr="001032A3">
        <w:t xml:space="preserve">ational attributes and quality of relations with NRA (see </w:t>
      </w:r>
      <w:r w:rsidR="000A7DF2">
        <w:t>c</w:t>
      </w:r>
      <w:r w:rsidR="000A7DF2" w:rsidRPr="001032A3">
        <w:t>hapter 5). Decide on approach to foreign MNOs.</w:t>
      </w:r>
      <w:r w:rsidR="000A7DF2">
        <w:t xml:space="preserve"> Create an NDA in case needed.</w:t>
      </w:r>
    </w:p>
    <w:p w14:paraId="273AFCB5" w14:textId="77777777" w:rsidR="000A7DF2" w:rsidRPr="001032A3" w:rsidRDefault="00BC62A6" w:rsidP="00EC6378">
      <w:pPr>
        <w:pStyle w:val="enumlev1"/>
      </w:pPr>
      <w:r>
        <w:t>3)</w:t>
      </w:r>
      <w:r>
        <w:tab/>
      </w:r>
      <w:r w:rsidR="000A7DF2" w:rsidRPr="001032A3">
        <w:t xml:space="preserve">Meet MNOs to agree </w:t>
      </w:r>
      <w:r w:rsidR="000A7DF2">
        <w:t xml:space="preserve">on </w:t>
      </w:r>
      <w:r w:rsidR="000A7DF2" w:rsidRPr="001032A3">
        <w:t>points of contact and goals for delivery – timescales, types of information, with a set of milestones for delivery and progress meetings</w:t>
      </w:r>
      <w:r w:rsidR="000A7DF2">
        <w:t>.</w:t>
      </w:r>
    </w:p>
    <w:p w14:paraId="1CFD6A9F" w14:textId="77777777" w:rsidR="000A7DF2" w:rsidRPr="001032A3" w:rsidRDefault="00BC62A6" w:rsidP="00EC6378">
      <w:pPr>
        <w:pStyle w:val="enumlev1"/>
      </w:pPr>
      <w:r>
        <w:t>4)</w:t>
      </w:r>
      <w:r>
        <w:tab/>
      </w:r>
      <w:r w:rsidR="000A7DF2" w:rsidRPr="001032A3">
        <w:t>Organi</w:t>
      </w:r>
      <w:r w:rsidR="000A7DF2">
        <w:t>z</w:t>
      </w:r>
      <w:r w:rsidR="000A7DF2" w:rsidRPr="001032A3">
        <w:t>e a pilot exercise with a few MNOs before proceeding to a complete survey</w:t>
      </w:r>
      <w:r w:rsidR="000A7DF2">
        <w:t xml:space="preserve"> (from three to six MNOs)</w:t>
      </w:r>
      <w:r w:rsidR="000A7DF2" w:rsidRPr="001032A3">
        <w:t>.</w:t>
      </w:r>
      <w:r w:rsidR="000A7DF2">
        <w:t xml:space="preserve"> Examine how it goes and any difficulties in the data returned, identifying MNOs, etc.</w:t>
      </w:r>
    </w:p>
    <w:p w14:paraId="40F01873" w14:textId="77777777" w:rsidR="000A7DF2" w:rsidRPr="001032A3" w:rsidRDefault="00BC62A6" w:rsidP="00EC6378">
      <w:pPr>
        <w:pStyle w:val="enumlev1"/>
      </w:pPr>
      <w:r>
        <w:t>5)</w:t>
      </w:r>
      <w:r>
        <w:tab/>
      </w:r>
      <w:r w:rsidR="000A7DF2" w:rsidRPr="001032A3">
        <w:t>Use a questionnaire with MNO staff for data collection, as given in the questionnaire example.</w:t>
      </w:r>
    </w:p>
    <w:p w14:paraId="55E6C094" w14:textId="77777777" w:rsidR="000A7DF2" w:rsidRPr="001032A3" w:rsidRDefault="00BC62A6" w:rsidP="00EC6378">
      <w:pPr>
        <w:pStyle w:val="enumlev1"/>
      </w:pPr>
      <w:r>
        <w:t>6)</w:t>
      </w:r>
      <w:r>
        <w:tab/>
      </w:r>
      <w:r w:rsidR="000A7DF2" w:rsidRPr="001032A3">
        <w:t xml:space="preserve">Apply the cost model: </w:t>
      </w:r>
      <w:r w:rsidR="000A7DF2">
        <w:t>U</w:t>
      </w:r>
      <w:r w:rsidR="000A7DF2" w:rsidRPr="001032A3">
        <w:t xml:space="preserve">sing the breakdown of costs in the major categories of the MNO business processes that are touched by the roaming use cases as shown in </w:t>
      </w:r>
      <w:r w:rsidR="000A7DF2">
        <w:t>c</w:t>
      </w:r>
      <w:r w:rsidR="000A7DF2" w:rsidRPr="001032A3">
        <w:t>hapter 4. Cost elements for roaming are most likely to be largely network operations, roaming-related activities within the business support system operations, any back office and overhead attributable costs such as IOT negotiations, written off across transactions. The empirical cost structure should be built up for each use case.</w:t>
      </w:r>
    </w:p>
    <w:p w14:paraId="1076CE94" w14:textId="71AEE149" w:rsidR="000A7DF2" w:rsidRPr="001032A3" w:rsidRDefault="00BC62A6" w:rsidP="00EC6378">
      <w:pPr>
        <w:pStyle w:val="enumlev1"/>
      </w:pPr>
      <w:r>
        <w:t>7)</w:t>
      </w:r>
      <w:r>
        <w:tab/>
      </w:r>
      <w:r w:rsidR="000A7DF2" w:rsidRPr="001032A3">
        <w:t>Organi</w:t>
      </w:r>
      <w:r w:rsidR="000A7DF2">
        <w:t>z</w:t>
      </w:r>
      <w:r w:rsidR="000A7DF2" w:rsidRPr="001032A3">
        <w:t xml:space="preserve">e the data gathered for the cost elements by use case, as shown in the questionnaire, </w:t>
      </w:r>
      <w:r w:rsidR="000907DE">
        <w:t>Annex </w:t>
      </w:r>
      <w:r w:rsidR="000A7DF2">
        <w:t>3, Part</w:t>
      </w:r>
      <w:r w:rsidR="000A7DF2" w:rsidRPr="001032A3">
        <w:t xml:space="preserve"> D, and detail the opex and capex costs for each element for networking, BSS and other cost items.</w:t>
      </w:r>
    </w:p>
    <w:p w14:paraId="38DFAAF4" w14:textId="77777777" w:rsidR="000A7DF2" w:rsidRPr="001032A3" w:rsidRDefault="00BC62A6" w:rsidP="00EC6378">
      <w:pPr>
        <w:pStyle w:val="enumlev1"/>
      </w:pPr>
      <w:r>
        <w:t>8)</w:t>
      </w:r>
      <w:r>
        <w:tab/>
      </w:r>
      <w:r w:rsidR="000A7DF2" w:rsidRPr="001032A3">
        <w:t>Assemble the cost information gathered for retail and wholesale roaming tariffs by MNO.</w:t>
      </w:r>
    </w:p>
    <w:p w14:paraId="77AE2C67" w14:textId="77777777" w:rsidR="000A7DF2" w:rsidRPr="001032A3" w:rsidRDefault="00BC62A6" w:rsidP="00EC6378">
      <w:pPr>
        <w:pStyle w:val="enumlev1"/>
      </w:pPr>
      <w:r>
        <w:t>9)</w:t>
      </w:r>
      <w:r>
        <w:tab/>
      </w:r>
      <w:r w:rsidR="000A7DF2">
        <w:t>G</w:t>
      </w:r>
      <w:r w:rsidR="000A7DF2" w:rsidRPr="001032A3">
        <w:t>ather the domestic tariffs for terminating off-net voice, data and SMS from other domestic MNOs/FNOs and for handing off domestic calls to them.</w:t>
      </w:r>
    </w:p>
    <w:p w14:paraId="6FEA5C7B" w14:textId="77777777" w:rsidR="000A7DF2" w:rsidRPr="001032A3" w:rsidRDefault="00BC62A6" w:rsidP="00EC6378">
      <w:pPr>
        <w:pStyle w:val="enumlev1"/>
      </w:pPr>
      <w:r>
        <w:t>10)</w:t>
      </w:r>
      <w:r>
        <w:tab/>
      </w:r>
      <w:r w:rsidR="000A7DF2" w:rsidRPr="001032A3">
        <w:t xml:space="preserve">Process the roaming information gathered by comparing – compare the domestic and roaming tariffs, identifying any major cost differences and tracing their origin in the roaming wholesale and retail tariffs and where possible down to the empirical cost elements. </w:t>
      </w:r>
    </w:p>
    <w:p w14:paraId="0CEADEA3" w14:textId="77777777" w:rsidR="000A7DF2" w:rsidRPr="001032A3" w:rsidRDefault="00BC62A6" w:rsidP="00EC6378">
      <w:pPr>
        <w:pStyle w:val="enumlev1"/>
      </w:pPr>
      <w:r>
        <w:t>11)</w:t>
      </w:r>
      <w:r>
        <w:tab/>
      </w:r>
      <w:r w:rsidR="000A7DF2" w:rsidRPr="001032A3">
        <w:t xml:space="preserve">Draw the final conclusions: </w:t>
      </w:r>
      <w:r w:rsidR="000A7DF2">
        <w:t>E</w:t>
      </w:r>
      <w:r w:rsidR="000A7DF2" w:rsidRPr="001032A3">
        <w:t>xamine and detail the differences between roaming and domestic charges, for roaming to all relevant countries for voice, data, SMS, with itemi</w:t>
      </w:r>
      <w:r w:rsidR="000A7DF2">
        <w:t>z</w:t>
      </w:r>
      <w:r w:rsidR="000A7DF2" w:rsidRPr="001032A3">
        <w:t>ed sources of major cost differences and highlight any anomalies identified by the cost analysis.</w:t>
      </w:r>
    </w:p>
    <w:p w14:paraId="296BC1BF" w14:textId="77777777" w:rsidR="00123550" w:rsidRDefault="00123550">
      <w:pPr>
        <w:spacing w:before="0"/>
        <w:jc w:val="left"/>
      </w:pPr>
      <w:r>
        <w:br w:type="page"/>
      </w:r>
    </w:p>
    <w:p w14:paraId="25F48E83" w14:textId="77777777" w:rsidR="000A7DF2" w:rsidRPr="001032A3" w:rsidRDefault="000A7DF2" w:rsidP="00123550">
      <w:pPr>
        <w:pStyle w:val="Heading1"/>
      </w:pPr>
      <w:bookmarkStart w:id="73" w:name="_Toc425326346"/>
      <w:bookmarkStart w:id="74" w:name="_Toc429485891"/>
      <w:r w:rsidRPr="001032A3">
        <w:lastRenderedPageBreak/>
        <w:t xml:space="preserve">Annex 3 </w:t>
      </w:r>
      <w:r>
        <w:t xml:space="preserve">– </w:t>
      </w:r>
      <w:r w:rsidRPr="001032A3">
        <w:t>A model questionnaire for gathering roaming data</w:t>
      </w:r>
      <w:bookmarkEnd w:id="73"/>
      <w:bookmarkEnd w:id="74"/>
    </w:p>
    <w:p w14:paraId="320BEE10" w14:textId="77777777" w:rsidR="000A7DF2" w:rsidRPr="001032A3" w:rsidRDefault="000A7DF2" w:rsidP="000A7DF2">
      <w:pPr>
        <w:autoSpaceDE w:val="0"/>
        <w:jc w:val="left"/>
      </w:pPr>
      <w:r w:rsidRPr="008F52CF">
        <w:t>This is an</w:t>
      </w:r>
      <w:r w:rsidRPr="001032A3">
        <w:t xml:space="preserve"> example of the kinds of questions required to gather the relevant data for the roaming cost model.</w:t>
      </w:r>
      <w:r>
        <w:t xml:space="preserve"> This may require a non-disclosure agreement (NDA) to be signed between the NRA and each mobile network operator. To share the information gathered with other NRAs, an appropriate clause in the NDA would be required. </w:t>
      </w:r>
    </w:p>
    <w:p w14:paraId="0EB8B7AE" w14:textId="77777777" w:rsidR="000A7DF2" w:rsidRPr="00316FE6" w:rsidRDefault="000A7DF2" w:rsidP="000D2CFE">
      <w:pPr>
        <w:pStyle w:val="Headingb0"/>
        <w:rPr>
          <w:lang w:val="en-US"/>
        </w:rPr>
      </w:pPr>
      <w:r w:rsidRPr="00316FE6">
        <w:rPr>
          <w:lang w:val="en-US"/>
        </w:rPr>
        <w:t>Questions for the mobile network operator (MNO) on pricing</w:t>
      </w:r>
    </w:p>
    <w:p w14:paraId="5F6B35D9" w14:textId="77777777" w:rsidR="000A7DF2" w:rsidRPr="001032A3" w:rsidRDefault="000A7DF2" w:rsidP="0063651F">
      <w:r w:rsidRPr="001032A3">
        <w:t>The information required here should only cover the relevant countries</w:t>
      </w:r>
      <w:r>
        <w:t>.</w:t>
      </w:r>
    </w:p>
    <w:p w14:paraId="2EFDA30B" w14:textId="77777777" w:rsidR="000A7DF2" w:rsidRPr="001032A3" w:rsidRDefault="000A7DF2" w:rsidP="0063651F">
      <w:pPr>
        <w:pStyle w:val="Headingb"/>
      </w:pPr>
      <w:r w:rsidRPr="001032A3">
        <w:t>PART A</w:t>
      </w:r>
      <w:r>
        <w:t>:</w:t>
      </w:r>
      <w:r w:rsidRPr="001032A3">
        <w:t xml:space="preserve"> Pricing of WHOLESALE services </w:t>
      </w:r>
      <w:r>
        <w:t>–</w:t>
      </w:r>
      <w:r w:rsidRPr="001032A3">
        <w:t xml:space="preserve"> for voice, data and SMS </w:t>
      </w:r>
    </w:p>
    <w:p w14:paraId="5364B556" w14:textId="77777777" w:rsidR="000A7DF2" w:rsidRPr="001032A3" w:rsidRDefault="000A7DF2" w:rsidP="0063651F">
      <w:pPr>
        <w:pStyle w:val="enumlev1"/>
      </w:pPr>
      <w:r w:rsidRPr="001032A3">
        <w:t>1</w:t>
      </w:r>
      <w:r w:rsidR="00123550">
        <w:t>)</w:t>
      </w:r>
      <w:r w:rsidR="0063651F">
        <w:tab/>
      </w:r>
      <w:r w:rsidRPr="001032A3">
        <w:t>Please provide the inter-operator tariffs (IOTs) charged to other mobile network operators. If necessary, please use the attached spreadsheets:</w:t>
      </w:r>
    </w:p>
    <w:p w14:paraId="598D8400" w14:textId="77777777" w:rsidR="000A7DF2" w:rsidRPr="0063651F" w:rsidRDefault="00123550" w:rsidP="0063651F">
      <w:pPr>
        <w:pStyle w:val="enumlev2"/>
        <w:numPr>
          <w:ilvl w:val="0"/>
          <w:numId w:val="0"/>
        </w:numPr>
        <w:ind w:left="425"/>
      </w:pPr>
      <w:r w:rsidRPr="0063651F">
        <w:t>a)</w:t>
      </w:r>
      <w:r w:rsidRPr="0063651F">
        <w:tab/>
      </w:r>
      <w:r w:rsidR="000A7DF2" w:rsidRPr="0063651F">
        <w:t>For voice</w:t>
      </w:r>
    </w:p>
    <w:p w14:paraId="250DD316" w14:textId="77777777" w:rsidR="000A7DF2" w:rsidRPr="0063651F" w:rsidRDefault="00123550" w:rsidP="0063651F">
      <w:pPr>
        <w:pStyle w:val="enumlev2"/>
        <w:numPr>
          <w:ilvl w:val="0"/>
          <w:numId w:val="0"/>
        </w:numPr>
        <w:ind w:left="425"/>
      </w:pPr>
      <w:r w:rsidRPr="0063651F">
        <w:t>b)</w:t>
      </w:r>
      <w:r w:rsidRPr="0063651F">
        <w:tab/>
      </w:r>
      <w:r w:rsidR="000A7DF2" w:rsidRPr="0063651F">
        <w:t>For data</w:t>
      </w:r>
    </w:p>
    <w:p w14:paraId="1E67B9BA" w14:textId="77777777" w:rsidR="000A7DF2" w:rsidRPr="0063651F" w:rsidRDefault="00123550" w:rsidP="0063651F">
      <w:pPr>
        <w:pStyle w:val="enumlev2"/>
        <w:numPr>
          <w:ilvl w:val="0"/>
          <w:numId w:val="0"/>
        </w:numPr>
        <w:ind w:left="425"/>
      </w:pPr>
      <w:r w:rsidRPr="0063651F">
        <w:t>c)</w:t>
      </w:r>
      <w:r w:rsidRPr="0063651F">
        <w:tab/>
      </w:r>
      <w:r w:rsidR="000A7DF2" w:rsidRPr="0063651F">
        <w:t>For SMS</w:t>
      </w:r>
    </w:p>
    <w:p w14:paraId="0C4CDA08" w14:textId="77777777" w:rsidR="000A7DF2" w:rsidRPr="001032A3" w:rsidRDefault="000A7DF2" w:rsidP="0063651F">
      <w:r w:rsidRPr="001032A3">
        <w:t>Please also indicate and provide tariff information on any IOTs with first preferred partners:</w:t>
      </w:r>
    </w:p>
    <w:p w14:paraId="7B5526FD" w14:textId="77777777" w:rsidR="000A7DF2" w:rsidRPr="001032A3" w:rsidRDefault="00123550" w:rsidP="0063651F">
      <w:pPr>
        <w:pStyle w:val="enumlev2"/>
        <w:numPr>
          <w:ilvl w:val="0"/>
          <w:numId w:val="0"/>
        </w:numPr>
        <w:ind w:left="425"/>
      </w:pPr>
      <w:r>
        <w:t>a)</w:t>
      </w:r>
      <w:r>
        <w:tab/>
      </w:r>
      <w:r w:rsidR="000A7DF2" w:rsidRPr="001032A3">
        <w:t>For voice</w:t>
      </w:r>
    </w:p>
    <w:p w14:paraId="0CC5C00F" w14:textId="77777777" w:rsidR="000A7DF2" w:rsidRPr="001032A3" w:rsidRDefault="00123550" w:rsidP="0063651F">
      <w:pPr>
        <w:pStyle w:val="enumlev2"/>
        <w:numPr>
          <w:ilvl w:val="0"/>
          <w:numId w:val="0"/>
        </w:numPr>
        <w:ind w:left="425"/>
      </w:pPr>
      <w:r>
        <w:t>b)</w:t>
      </w:r>
      <w:r>
        <w:tab/>
      </w:r>
      <w:r w:rsidR="000A7DF2" w:rsidRPr="001032A3">
        <w:t>For data</w:t>
      </w:r>
    </w:p>
    <w:p w14:paraId="1965B493" w14:textId="77777777" w:rsidR="000A7DF2" w:rsidRPr="001032A3" w:rsidRDefault="00123550" w:rsidP="0063651F">
      <w:pPr>
        <w:pStyle w:val="enumlev2"/>
        <w:numPr>
          <w:ilvl w:val="0"/>
          <w:numId w:val="0"/>
        </w:numPr>
        <w:ind w:left="425"/>
      </w:pPr>
      <w:r>
        <w:t>c)</w:t>
      </w:r>
      <w:r>
        <w:tab/>
      </w:r>
      <w:r w:rsidR="000A7DF2" w:rsidRPr="001032A3">
        <w:t>For SMS</w:t>
      </w:r>
    </w:p>
    <w:p w14:paraId="6DCD3CEC" w14:textId="77777777" w:rsidR="000A7DF2" w:rsidRPr="001032A3" w:rsidRDefault="000A7DF2" w:rsidP="00842E39">
      <w:pPr>
        <w:pStyle w:val="enumlev1"/>
      </w:pPr>
      <w:r w:rsidRPr="001032A3">
        <w:t>2</w:t>
      </w:r>
      <w:r w:rsidR="00842E39">
        <w:t>)</w:t>
      </w:r>
      <w:r w:rsidR="0063651F">
        <w:tab/>
      </w:r>
      <w:r w:rsidRPr="001032A3">
        <w:t>Conditions in Roaming Agreements:</w:t>
      </w:r>
    </w:p>
    <w:p w14:paraId="75A71B8C" w14:textId="77777777" w:rsidR="000A7DF2" w:rsidRPr="001032A3" w:rsidRDefault="00842E39" w:rsidP="0063651F">
      <w:pPr>
        <w:pStyle w:val="enumlev2"/>
        <w:numPr>
          <w:ilvl w:val="0"/>
          <w:numId w:val="0"/>
        </w:numPr>
        <w:ind w:left="720" w:hanging="295"/>
      </w:pPr>
      <w:r>
        <w:t>a)</w:t>
      </w:r>
      <w:r>
        <w:tab/>
      </w:r>
      <w:r w:rsidR="000A7DF2" w:rsidRPr="001032A3">
        <w:t>What are the Roaming Agreements' definitions of conditions that set wholesale prices for voice services (e.g. duration of call/time of day/distance/weekend and also whether there are volume discounts)</w:t>
      </w:r>
      <w:r w:rsidR="000A7DF2">
        <w:t>?</w:t>
      </w:r>
    </w:p>
    <w:p w14:paraId="26D8C6C4" w14:textId="77777777" w:rsidR="000A7DF2" w:rsidRPr="001032A3" w:rsidRDefault="00842E39" w:rsidP="0063651F">
      <w:pPr>
        <w:pStyle w:val="enumlev2"/>
        <w:numPr>
          <w:ilvl w:val="0"/>
          <w:numId w:val="0"/>
        </w:numPr>
        <w:ind w:left="720" w:hanging="295"/>
      </w:pPr>
      <w:r>
        <w:t>b)</w:t>
      </w:r>
      <w:r>
        <w:tab/>
      </w:r>
      <w:r w:rsidR="000A7DF2" w:rsidRPr="001032A3">
        <w:t>What are the Roaming Agreements' definitions of conditions that set wholesale prices for data services (e.g. flat rate, flat rate with billing increments, step-based (i.e. higher volume sessions are priced at lower rates)</w:t>
      </w:r>
      <w:r w:rsidR="000A7DF2">
        <w:t>)</w:t>
      </w:r>
      <w:r w:rsidR="000A7DF2" w:rsidRPr="001032A3">
        <w:t>. Are there differentials in wholesale rates for</w:t>
      </w:r>
      <w:r w:rsidR="000A7DF2">
        <w:t>,</w:t>
      </w:r>
      <w:r w:rsidR="000A7DF2" w:rsidRPr="001032A3">
        <w:t xml:space="preserve"> e.g. time of day, uploading/downloading data? Please provide details.</w:t>
      </w:r>
    </w:p>
    <w:p w14:paraId="654E1F3F" w14:textId="77777777" w:rsidR="000A7DF2" w:rsidRDefault="000A7DF2" w:rsidP="0063651F">
      <w:pPr>
        <w:pStyle w:val="enumlev1"/>
      </w:pPr>
      <w:r w:rsidRPr="001032A3">
        <w:t>3</w:t>
      </w:r>
      <w:r w:rsidR="002F709B">
        <w:t>)</w:t>
      </w:r>
      <w:r w:rsidR="0063651F">
        <w:tab/>
      </w:r>
      <w:r w:rsidRPr="001032A3">
        <w:t>For comparison</w:t>
      </w:r>
      <w:r>
        <w:t>, w</w:t>
      </w:r>
      <w:r w:rsidRPr="001032A3">
        <w:t>hat are</w:t>
      </w:r>
      <w:r>
        <w:t>:</w:t>
      </w:r>
      <w:r w:rsidRPr="001032A3">
        <w:t xml:space="preserve"> </w:t>
      </w:r>
    </w:p>
    <w:p w14:paraId="0111B01F" w14:textId="77777777" w:rsidR="000A7DF2" w:rsidRDefault="002F709B" w:rsidP="0063651F">
      <w:pPr>
        <w:pStyle w:val="enumlev2"/>
        <w:numPr>
          <w:ilvl w:val="0"/>
          <w:numId w:val="0"/>
        </w:numPr>
        <w:ind w:left="720" w:hanging="295"/>
      </w:pPr>
      <w:r>
        <w:t>a)</w:t>
      </w:r>
      <w:r>
        <w:tab/>
      </w:r>
      <w:r w:rsidR="000A7DF2">
        <w:t>T</w:t>
      </w:r>
      <w:r w:rsidR="000A7DF2" w:rsidRPr="001032A3">
        <w:t xml:space="preserve">he </w:t>
      </w:r>
      <w:r w:rsidR="000A7DF2" w:rsidRPr="00406208">
        <w:rPr>
          <w:b/>
          <w:bCs/>
        </w:rPr>
        <w:t>domestic</w:t>
      </w:r>
      <w:r w:rsidR="000A7DF2" w:rsidRPr="001032A3">
        <w:t xml:space="preserve"> </w:t>
      </w:r>
      <w:r w:rsidR="000A7DF2">
        <w:t xml:space="preserve">mobile </w:t>
      </w:r>
      <w:r w:rsidR="000A7DF2" w:rsidRPr="001032A3">
        <w:t>call termination rates</w:t>
      </w:r>
      <w:r w:rsidR="000A7DF2">
        <w:t xml:space="preserve"> (MTRs)</w:t>
      </w:r>
      <w:r w:rsidR="000A7DF2" w:rsidRPr="001032A3">
        <w:t xml:space="preserve"> between the </w:t>
      </w:r>
      <w:r w:rsidR="000A7DF2" w:rsidRPr="00962F42">
        <w:rPr>
          <w:b/>
          <w:bCs/>
        </w:rPr>
        <w:t>national MNO</w:t>
      </w:r>
      <w:r w:rsidR="000A7DF2" w:rsidRPr="00962F42">
        <w:t>s</w:t>
      </w:r>
      <w:r w:rsidR="000A7DF2" w:rsidRPr="001032A3">
        <w:t xml:space="preserve"> </w:t>
      </w:r>
      <w:r w:rsidR="000A7DF2" w:rsidRPr="00962F42">
        <w:t xml:space="preserve">in the </w:t>
      </w:r>
      <w:r w:rsidR="000A7DF2" w:rsidRPr="00962F42">
        <w:rPr>
          <w:b/>
          <w:bCs/>
        </w:rPr>
        <w:t>same</w:t>
      </w:r>
      <w:r w:rsidR="000A7DF2" w:rsidRPr="00962F42">
        <w:t xml:space="preserve"> country</w:t>
      </w:r>
      <w:r w:rsidR="000A7DF2">
        <w:t>?</w:t>
      </w:r>
    </w:p>
    <w:p w14:paraId="1E9E4EE2" w14:textId="77777777" w:rsidR="000A7DF2" w:rsidRDefault="002F709B" w:rsidP="0063651F">
      <w:pPr>
        <w:pStyle w:val="enumlev2"/>
        <w:numPr>
          <w:ilvl w:val="0"/>
          <w:numId w:val="0"/>
        </w:numPr>
        <w:ind w:left="720" w:hanging="295"/>
      </w:pPr>
      <w:r>
        <w:t>b)</w:t>
      </w:r>
      <w:r>
        <w:tab/>
      </w:r>
      <w:r w:rsidR="000A7DF2">
        <w:t xml:space="preserve">The </w:t>
      </w:r>
      <w:r w:rsidR="000A7DF2" w:rsidRPr="001032A3">
        <w:t xml:space="preserve">call termination rates </w:t>
      </w:r>
      <w:r w:rsidR="000A7DF2" w:rsidRPr="00962F42">
        <w:t xml:space="preserve">with the </w:t>
      </w:r>
      <w:r w:rsidR="000A7DF2" w:rsidRPr="00962F42">
        <w:rPr>
          <w:b/>
          <w:bCs/>
        </w:rPr>
        <w:t>fixed line</w:t>
      </w:r>
      <w:r w:rsidR="000A7DF2" w:rsidRPr="00962F42">
        <w:t xml:space="preserve"> operators</w:t>
      </w:r>
      <w:r w:rsidR="000A7DF2" w:rsidRPr="001032A3">
        <w:t xml:space="preserve">? </w:t>
      </w:r>
    </w:p>
    <w:p w14:paraId="3A4501BB" w14:textId="77777777" w:rsidR="000A7DF2" w:rsidRPr="001032A3" w:rsidRDefault="002F709B" w:rsidP="0063651F">
      <w:pPr>
        <w:pStyle w:val="enumlev2"/>
        <w:numPr>
          <w:ilvl w:val="0"/>
          <w:numId w:val="0"/>
        </w:numPr>
        <w:ind w:left="720" w:hanging="295"/>
      </w:pPr>
      <w:r>
        <w:t>c)</w:t>
      </w:r>
      <w:r>
        <w:tab/>
      </w:r>
      <w:r w:rsidR="000A7DF2" w:rsidRPr="001032A3">
        <w:t>Are these rates regulated?</w:t>
      </w:r>
    </w:p>
    <w:p w14:paraId="046028CF" w14:textId="77777777" w:rsidR="000A7DF2" w:rsidRPr="001032A3" w:rsidRDefault="00C5426F" w:rsidP="0063651F">
      <w:pPr>
        <w:pStyle w:val="enumlev1"/>
      </w:pPr>
      <w:r>
        <w:t>4)</w:t>
      </w:r>
      <w:r w:rsidR="0063651F">
        <w:tab/>
      </w:r>
      <w:r w:rsidR="000A7DF2" w:rsidRPr="001032A3">
        <w:t xml:space="preserve">Please provide the values of the specific </w:t>
      </w:r>
      <w:r w:rsidR="000A7DF2" w:rsidRPr="001032A3">
        <w:rPr>
          <w:b/>
          <w:bCs/>
        </w:rPr>
        <w:t>roaming cost elements</w:t>
      </w:r>
      <w:r w:rsidR="000A7DF2" w:rsidRPr="001032A3">
        <w:t xml:space="preserve"> to MNO as listed below for making roaming </w:t>
      </w:r>
      <w:r w:rsidR="000A7DF2" w:rsidRPr="001032A3">
        <w:rPr>
          <w:b/>
          <w:bCs/>
        </w:rPr>
        <w:t>voice calls</w:t>
      </w:r>
      <w:r w:rsidR="000A7DF2" w:rsidRPr="001032A3">
        <w:t xml:space="preserve"> for various use</w:t>
      </w:r>
      <w:r w:rsidR="000A7DF2">
        <w:t xml:space="preserve"> </w:t>
      </w:r>
      <w:r w:rsidR="000A7DF2" w:rsidRPr="001032A3">
        <w:t>cases given:</w:t>
      </w:r>
    </w:p>
    <w:p w14:paraId="780A3C1A" w14:textId="77777777" w:rsidR="000A7DF2" w:rsidRPr="001032A3" w:rsidRDefault="000A7DF2" w:rsidP="000A7DF2">
      <w:pPr>
        <w:autoSpaceDE w:val="0"/>
      </w:pPr>
      <w:r w:rsidRPr="001032A3">
        <w:t>Firstly</w:t>
      </w:r>
      <w:r w:rsidRPr="001032A3">
        <w:rPr>
          <w:b/>
          <w:bCs/>
        </w:rPr>
        <w:t>, for the case of a visitor from country A calling inside the visited country (B)</w:t>
      </w:r>
      <w:r w:rsidRPr="001032A3">
        <w:t xml:space="preserve"> </w:t>
      </w:r>
      <w:r w:rsidRPr="001032A3">
        <w:rPr>
          <w:b/>
          <w:bCs/>
        </w:rPr>
        <w:t>to a mobile phone inside the visited country B</w:t>
      </w:r>
      <w:r w:rsidRPr="001032A3">
        <w:t>:</w:t>
      </w:r>
    </w:p>
    <w:p w14:paraId="3BB0A669" w14:textId="77777777" w:rsidR="000A7DF2" w:rsidRPr="001032A3" w:rsidRDefault="00C5426F" w:rsidP="0063651F">
      <w:pPr>
        <w:pStyle w:val="enumlev1"/>
      </w:pPr>
      <w:r>
        <w:t>a)</w:t>
      </w:r>
      <w:r>
        <w:tab/>
      </w:r>
      <w:r w:rsidR="000A7DF2" w:rsidRPr="001032A3">
        <w:t xml:space="preserve">What is the </w:t>
      </w:r>
      <w:r w:rsidR="000A7DF2">
        <w:t>contracted charge by the visited MNO</w:t>
      </w:r>
      <w:r w:rsidR="000A7DF2" w:rsidRPr="001032A3">
        <w:t xml:space="preserve"> of the mobile origination in country B (i.e. the IOT charged by the country B MNO)</w:t>
      </w:r>
      <w:r w:rsidR="000A7DF2">
        <w:t>?</w:t>
      </w:r>
    </w:p>
    <w:p w14:paraId="02ECD274" w14:textId="77777777" w:rsidR="000A7DF2" w:rsidRPr="001032A3" w:rsidRDefault="00C5426F" w:rsidP="0063651F">
      <w:pPr>
        <w:pStyle w:val="enumlev1"/>
      </w:pPr>
      <w:r>
        <w:t>b)</w:t>
      </w:r>
      <w:r>
        <w:tab/>
      </w:r>
      <w:r w:rsidR="000A7DF2" w:rsidRPr="001032A3">
        <w:t>What is the cost of the national transit inside country B, and maybe via a fixed line operator, i</w:t>
      </w:r>
      <w:r w:rsidR="000A7DF2">
        <w:t>.</w:t>
      </w:r>
      <w:r w:rsidR="000A7DF2" w:rsidRPr="001032A3">
        <w:t>e</w:t>
      </w:r>
      <w:r w:rsidR="000A7DF2">
        <w:t>.</w:t>
      </w:r>
      <w:r w:rsidR="000A7DF2" w:rsidRPr="001032A3">
        <w:t xml:space="preserve"> perhaps a third party</w:t>
      </w:r>
      <w:r w:rsidR="000A7DF2">
        <w:t xml:space="preserve"> (and </w:t>
      </w:r>
      <w:r w:rsidR="000A7DF2" w:rsidRPr="001032A3">
        <w:t>which is likely to be included in IOT</w:t>
      </w:r>
      <w:r w:rsidR="000A7DF2">
        <w:t>)</w:t>
      </w:r>
      <w:r w:rsidR="000A7DF2" w:rsidRPr="001032A3">
        <w:t>?</w:t>
      </w:r>
    </w:p>
    <w:p w14:paraId="52526A7B" w14:textId="77777777" w:rsidR="000A7DF2" w:rsidRPr="001032A3" w:rsidRDefault="00C5426F" w:rsidP="0063651F">
      <w:pPr>
        <w:pStyle w:val="enumlev1"/>
      </w:pPr>
      <w:r>
        <w:t>c)</w:t>
      </w:r>
      <w:r>
        <w:tab/>
      </w:r>
      <w:r w:rsidR="000A7DF2" w:rsidRPr="001032A3">
        <w:t>What is the cost of mobile termination in country B (which is likely to be included in IOT)</w:t>
      </w:r>
      <w:r w:rsidR="000A7DF2">
        <w:t>?</w:t>
      </w:r>
    </w:p>
    <w:p w14:paraId="3ECBCF52" w14:textId="77777777" w:rsidR="000A7DF2" w:rsidRPr="001032A3" w:rsidRDefault="00C5426F" w:rsidP="0063651F">
      <w:pPr>
        <w:pStyle w:val="enumlev1"/>
      </w:pPr>
      <w:r>
        <w:t>d)</w:t>
      </w:r>
      <w:r>
        <w:tab/>
      </w:r>
      <w:r w:rsidR="000A7DF2" w:rsidRPr="001032A3">
        <w:t xml:space="preserve">What are the </w:t>
      </w:r>
      <w:r w:rsidR="000A7DF2">
        <w:t>other r</w:t>
      </w:r>
      <w:r w:rsidR="000A7DF2" w:rsidRPr="001032A3">
        <w:t>oaming-specific costs (billing, signalling, etc</w:t>
      </w:r>
      <w:r w:rsidR="000A7DF2">
        <w:t>.</w:t>
      </w:r>
      <w:r w:rsidR="000A7DF2" w:rsidRPr="001032A3">
        <w:t>)</w:t>
      </w:r>
      <w:r w:rsidR="000A7DF2">
        <w:t>?</w:t>
      </w:r>
    </w:p>
    <w:p w14:paraId="2BDD5714" w14:textId="77777777" w:rsidR="000A7DF2" w:rsidRDefault="00C5426F" w:rsidP="0063651F">
      <w:pPr>
        <w:pStyle w:val="enumlev1"/>
      </w:pPr>
      <w:r>
        <w:t>e)</w:t>
      </w:r>
      <w:r>
        <w:tab/>
      </w:r>
      <w:r w:rsidR="000A7DF2" w:rsidRPr="001032A3">
        <w:t xml:space="preserve">What are the </w:t>
      </w:r>
      <w:r w:rsidR="000A7DF2">
        <w:t xml:space="preserve">home and visited MNO </w:t>
      </w:r>
      <w:r w:rsidR="000A7DF2" w:rsidRPr="001032A3">
        <w:t>retail operation specific costs (billing, customer care services, etc</w:t>
      </w:r>
      <w:r w:rsidR="000A7DF2">
        <w:t>.</w:t>
      </w:r>
      <w:r w:rsidR="000A7DF2" w:rsidRPr="001032A3">
        <w:t>)</w:t>
      </w:r>
      <w:r w:rsidR="000A7DF2">
        <w:t>?</w:t>
      </w:r>
    </w:p>
    <w:p w14:paraId="65626F62" w14:textId="77777777" w:rsidR="000A7DF2" w:rsidRPr="001032A3" w:rsidRDefault="000A7DF2" w:rsidP="000A7DF2">
      <w:pPr>
        <w:autoSpaceDE w:val="0"/>
        <w:rPr>
          <w:bCs/>
        </w:rPr>
      </w:pPr>
      <w:r w:rsidRPr="001032A3">
        <w:rPr>
          <w:bCs/>
        </w:rPr>
        <w:lastRenderedPageBreak/>
        <w:t xml:space="preserve">Secondly, </w:t>
      </w:r>
      <w:r w:rsidRPr="001032A3">
        <w:rPr>
          <w:b/>
        </w:rPr>
        <w:t>for the case of making a voice call from a visited country (B) to the home country (A)</w:t>
      </w:r>
      <w:r w:rsidRPr="00406208">
        <w:rPr>
          <w:bCs/>
        </w:rPr>
        <w:t>:</w:t>
      </w:r>
    </w:p>
    <w:p w14:paraId="0C57E9A2" w14:textId="77777777" w:rsidR="000A7DF2" w:rsidRPr="00C5426F" w:rsidRDefault="0063651F" w:rsidP="0063651F">
      <w:pPr>
        <w:pStyle w:val="enumlev1"/>
      </w:pPr>
      <w:r>
        <w:t>f</w:t>
      </w:r>
      <w:r w:rsidR="00C5426F" w:rsidRPr="00C5426F">
        <w:t>)</w:t>
      </w:r>
      <w:r w:rsidR="00C5426F">
        <w:tab/>
      </w:r>
      <w:r w:rsidR="000A7DF2" w:rsidRPr="00C5426F">
        <w:t>What is the cost of the mobile origination in country B (likely to be included in IOT)?</w:t>
      </w:r>
    </w:p>
    <w:p w14:paraId="23AA95F7" w14:textId="77777777" w:rsidR="000A7DF2" w:rsidRPr="00C5426F" w:rsidRDefault="0063651F" w:rsidP="0063651F">
      <w:pPr>
        <w:pStyle w:val="enumlev1"/>
      </w:pPr>
      <w:r>
        <w:t>g</w:t>
      </w:r>
      <w:r w:rsidR="00C5426F" w:rsidRPr="00C5426F">
        <w:t>)</w:t>
      </w:r>
      <w:r w:rsidR="00C5426F" w:rsidRPr="00C5426F">
        <w:tab/>
      </w:r>
      <w:r w:rsidR="000A7DF2" w:rsidRPr="00C5426F">
        <w:t>What is the cost of the international transit?</w:t>
      </w:r>
    </w:p>
    <w:p w14:paraId="6247DB5A" w14:textId="77777777" w:rsidR="000A7DF2" w:rsidRPr="00C5426F" w:rsidRDefault="0063651F" w:rsidP="0063651F">
      <w:pPr>
        <w:pStyle w:val="enumlev1"/>
      </w:pPr>
      <w:r>
        <w:t>h</w:t>
      </w:r>
      <w:r w:rsidR="00C5426F" w:rsidRPr="00C5426F">
        <w:t>)</w:t>
      </w:r>
      <w:r w:rsidR="00C5426F" w:rsidRPr="00C5426F">
        <w:tab/>
      </w:r>
      <w:r w:rsidR="000A7DF2" w:rsidRPr="00C5426F">
        <w:t>What is the cost of the mobile or fixed termination in country A?</w:t>
      </w:r>
    </w:p>
    <w:p w14:paraId="79B6F57E" w14:textId="77777777" w:rsidR="000A7DF2" w:rsidRPr="00C5426F" w:rsidRDefault="0063651F" w:rsidP="0063651F">
      <w:pPr>
        <w:pStyle w:val="enumlev1"/>
      </w:pPr>
      <w:r>
        <w:t>i</w:t>
      </w:r>
      <w:r w:rsidR="00C5426F" w:rsidRPr="00C5426F">
        <w:t>)</w:t>
      </w:r>
      <w:r w:rsidR="00C5426F" w:rsidRPr="00C5426F">
        <w:tab/>
      </w:r>
      <w:r w:rsidR="000A7DF2" w:rsidRPr="00C5426F">
        <w:t>What are the roaming-specific costs (billing, signalling, etc.)?</w:t>
      </w:r>
      <w:r>
        <w:t>j</w:t>
      </w:r>
    </w:p>
    <w:p w14:paraId="7AF4CEE4" w14:textId="77777777" w:rsidR="000A7DF2" w:rsidRPr="00C5426F" w:rsidRDefault="00C5426F" w:rsidP="0063651F">
      <w:pPr>
        <w:pStyle w:val="enumlev1"/>
      </w:pPr>
      <w:r w:rsidRPr="00C5426F">
        <w:t>e)</w:t>
      </w:r>
      <w:r w:rsidRPr="00C5426F">
        <w:tab/>
      </w:r>
      <w:r w:rsidR="000A7DF2" w:rsidRPr="00C5426F">
        <w:t>What are the retail operation specific costs (billing, customer care services, etc.)?</w:t>
      </w:r>
    </w:p>
    <w:p w14:paraId="1CB2053B" w14:textId="77777777" w:rsidR="000A7DF2" w:rsidRPr="001032A3" w:rsidRDefault="000A7DF2" w:rsidP="000A7DF2">
      <w:pPr>
        <w:autoSpaceDE w:val="0"/>
        <w:rPr>
          <w:bCs/>
        </w:rPr>
      </w:pPr>
      <w:r w:rsidRPr="001032A3">
        <w:rPr>
          <w:bCs/>
        </w:rPr>
        <w:t xml:space="preserve">Thirdly, </w:t>
      </w:r>
      <w:r w:rsidRPr="001032A3">
        <w:rPr>
          <w:b/>
        </w:rPr>
        <w:t>for receiving a call from home country A when in a visited country B</w:t>
      </w:r>
      <w:r w:rsidRPr="001032A3">
        <w:rPr>
          <w:bCs/>
        </w:rPr>
        <w:t>:</w:t>
      </w:r>
    </w:p>
    <w:p w14:paraId="747F5A68" w14:textId="77777777" w:rsidR="000A7DF2" w:rsidRPr="001032A3" w:rsidRDefault="0063651F" w:rsidP="0063651F">
      <w:pPr>
        <w:pStyle w:val="enumlev1"/>
      </w:pPr>
      <w:r>
        <w:t>k</w:t>
      </w:r>
      <w:r w:rsidR="00790967">
        <w:t>)</w:t>
      </w:r>
      <w:r w:rsidR="00790967">
        <w:tab/>
      </w:r>
      <w:r w:rsidR="000A7DF2" w:rsidRPr="001032A3">
        <w:t>What is the cost of the mobile termination in country B (IOT)</w:t>
      </w:r>
      <w:r w:rsidR="000A7DF2">
        <w:t>?</w:t>
      </w:r>
    </w:p>
    <w:p w14:paraId="54BC4DE7" w14:textId="77777777" w:rsidR="000A7DF2" w:rsidRPr="001032A3" w:rsidRDefault="0063651F" w:rsidP="0063651F">
      <w:pPr>
        <w:pStyle w:val="enumlev1"/>
      </w:pPr>
      <w:r>
        <w:t>l</w:t>
      </w:r>
      <w:r w:rsidR="00790967">
        <w:t>)</w:t>
      </w:r>
      <w:r w:rsidR="00790967">
        <w:tab/>
      </w:r>
      <w:r w:rsidR="000A7DF2" w:rsidRPr="001032A3">
        <w:t>International transit</w:t>
      </w:r>
    </w:p>
    <w:p w14:paraId="57057627" w14:textId="77777777" w:rsidR="000A7DF2" w:rsidRPr="001032A3" w:rsidRDefault="0063651F" w:rsidP="0063651F">
      <w:pPr>
        <w:pStyle w:val="enumlev1"/>
      </w:pPr>
      <w:r>
        <w:t>m</w:t>
      </w:r>
      <w:r w:rsidR="00790967">
        <w:t>)</w:t>
      </w:r>
      <w:r w:rsidR="00790967">
        <w:tab/>
      </w:r>
      <w:r w:rsidR="000A7DF2" w:rsidRPr="001032A3">
        <w:t>Roaming specific costs</w:t>
      </w:r>
    </w:p>
    <w:p w14:paraId="07928AD7" w14:textId="77777777" w:rsidR="000A7DF2" w:rsidRPr="001032A3" w:rsidRDefault="0063651F" w:rsidP="0063651F">
      <w:pPr>
        <w:pStyle w:val="enumlev1"/>
      </w:pPr>
      <w:r>
        <w:t>n</w:t>
      </w:r>
      <w:r w:rsidR="00790967">
        <w:t>)</w:t>
      </w:r>
      <w:r w:rsidR="00790967">
        <w:tab/>
      </w:r>
      <w:r w:rsidR="000A7DF2" w:rsidRPr="001032A3">
        <w:t>Retail specific costs</w:t>
      </w:r>
    </w:p>
    <w:p w14:paraId="1BE51753" w14:textId="77777777" w:rsidR="000A7DF2" w:rsidRPr="001032A3" w:rsidRDefault="000A7DF2" w:rsidP="00790967">
      <w:pPr>
        <w:pStyle w:val="enumlev1"/>
      </w:pPr>
      <w:r w:rsidRPr="001032A3">
        <w:t>5</w:t>
      </w:r>
      <w:r w:rsidR="00790967">
        <w:t>)</w:t>
      </w:r>
      <w:r w:rsidR="0063651F">
        <w:tab/>
      </w:r>
      <w:r w:rsidRPr="001032A3">
        <w:t xml:space="preserve">Please give the equivalent or similar cost elements involved in </w:t>
      </w:r>
      <w:r w:rsidRPr="001032A3">
        <w:rPr>
          <w:b/>
          <w:bCs/>
        </w:rPr>
        <w:t xml:space="preserve">data </w:t>
      </w:r>
      <w:r w:rsidRPr="001032A3">
        <w:t>roaming in other countries and their values for the three use</w:t>
      </w:r>
      <w:r>
        <w:t xml:space="preserve"> </w:t>
      </w:r>
      <w:r w:rsidRPr="001032A3">
        <w:t>cases above.</w:t>
      </w:r>
    </w:p>
    <w:p w14:paraId="3EBC8DFD" w14:textId="77777777" w:rsidR="000A7DF2" w:rsidRPr="001032A3" w:rsidRDefault="00790967" w:rsidP="00790967">
      <w:pPr>
        <w:pStyle w:val="enumlev1"/>
      </w:pPr>
      <w:r>
        <w:t>6)</w:t>
      </w:r>
      <w:r w:rsidR="0063651F">
        <w:tab/>
      </w:r>
      <w:r w:rsidR="000A7DF2" w:rsidRPr="001032A3">
        <w:t xml:space="preserve">Please give the equivalent or similar cost elements involved in </w:t>
      </w:r>
      <w:r w:rsidR="000A7DF2" w:rsidRPr="001032A3">
        <w:rPr>
          <w:b/>
          <w:bCs/>
        </w:rPr>
        <w:t xml:space="preserve">SMS </w:t>
      </w:r>
      <w:r w:rsidR="000A7DF2" w:rsidRPr="001032A3">
        <w:t>roaming in other countries and their values for these three use</w:t>
      </w:r>
      <w:r w:rsidR="000A7DF2">
        <w:t xml:space="preserve"> </w:t>
      </w:r>
      <w:r w:rsidR="000A7DF2" w:rsidRPr="001032A3">
        <w:t>cases.</w:t>
      </w:r>
    </w:p>
    <w:p w14:paraId="629FFDA6" w14:textId="77777777" w:rsidR="000A7DF2" w:rsidRPr="001032A3" w:rsidRDefault="0063651F" w:rsidP="0063651F">
      <w:pPr>
        <w:pStyle w:val="enumlev1"/>
      </w:pPr>
      <w:r>
        <w:t>7)</w:t>
      </w:r>
      <w:r>
        <w:tab/>
      </w:r>
      <w:r w:rsidR="000A7DF2" w:rsidRPr="001032A3">
        <w:t>How (or to what extent) do the costs for roaming by prepaid customers differ from postpaid custom</w:t>
      </w:r>
      <w:r w:rsidR="004639E8">
        <w:t>e</w:t>
      </w:r>
      <w:r w:rsidR="000A7DF2" w:rsidRPr="001032A3">
        <w:t>rs?</w:t>
      </w:r>
    </w:p>
    <w:p w14:paraId="2ED2A1DF" w14:textId="77777777" w:rsidR="000A7DF2" w:rsidRPr="001032A3" w:rsidRDefault="000A7DF2" w:rsidP="0063651F">
      <w:pPr>
        <w:pStyle w:val="Headingb"/>
      </w:pPr>
      <w:r w:rsidRPr="001032A3">
        <w:t>PART B</w:t>
      </w:r>
      <w:r>
        <w:t>:</w:t>
      </w:r>
      <w:r w:rsidRPr="001032A3">
        <w:t xml:space="preserve"> Pricing of RETAIL services – for voice, data and SMS</w:t>
      </w:r>
    </w:p>
    <w:p w14:paraId="6198B64F" w14:textId="77777777" w:rsidR="000A7DF2" w:rsidRPr="00406208" w:rsidRDefault="000A7DF2" w:rsidP="0063651F">
      <w:pPr>
        <w:pStyle w:val="enumlev1"/>
      </w:pPr>
      <w:r w:rsidRPr="001032A3">
        <w:t>8</w:t>
      </w:r>
      <w:r w:rsidR="004639E8">
        <w:t xml:space="preserve">) </w:t>
      </w:r>
      <w:r w:rsidR="0063651F">
        <w:tab/>
      </w:r>
      <w:r w:rsidRPr="001032A3">
        <w:t xml:space="preserve">What are the metered tariff rates in local currency for roaming for each country, for </w:t>
      </w:r>
      <w:r w:rsidRPr="0063651F">
        <w:rPr>
          <w:b/>
          <w:bCs/>
        </w:rPr>
        <w:t>prepaid and post-paid</w:t>
      </w:r>
      <w:r w:rsidRPr="001032A3">
        <w:t xml:space="preserve"> for voice, data and SMS (for voice, please specify whether charges are per second/per minute and whether there is an initial call setup charge and any equivalent for data or SMS) – </w:t>
      </w:r>
      <w:r w:rsidRPr="0063651F">
        <w:t>please see spreadsheets</w:t>
      </w:r>
      <w:r>
        <w:t>.</w:t>
      </w:r>
    </w:p>
    <w:p w14:paraId="3A96EDC9" w14:textId="77777777" w:rsidR="000A7DF2" w:rsidRPr="001032A3" w:rsidRDefault="000A7DF2" w:rsidP="0063651F">
      <w:pPr>
        <w:pStyle w:val="enumlev1"/>
      </w:pPr>
      <w:r w:rsidRPr="001032A3">
        <w:t>9</w:t>
      </w:r>
      <w:r w:rsidR="004639E8">
        <w:t>)</w:t>
      </w:r>
      <w:r w:rsidRPr="001032A3">
        <w:t xml:space="preserve"> </w:t>
      </w:r>
      <w:r w:rsidR="0063651F">
        <w:tab/>
      </w:r>
      <w:r w:rsidRPr="001032A3">
        <w:t>How is the price calculation performed for roaming tariffs to customers for voice, data and SMS? (i</w:t>
      </w:r>
      <w:r>
        <w:t>.</w:t>
      </w:r>
      <w:r w:rsidRPr="001032A3">
        <w:t>e</w:t>
      </w:r>
      <w:r>
        <w:t>.</w:t>
      </w:r>
      <w:r w:rsidRPr="001032A3">
        <w:t xml:space="preserve"> what factors are used in their calculation and what are their levels)</w:t>
      </w:r>
      <w:r>
        <w:t>?</w:t>
      </w:r>
    </w:p>
    <w:p w14:paraId="4B2CFFE0" w14:textId="77777777" w:rsidR="000A7DF2" w:rsidRPr="001032A3" w:rsidRDefault="000A7DF2" w:rsidP="004639E8">
      <w:pPr>
        <w:pStyle w:val="enumlev1"/>
      </w:pPr>
      <w:r w:rsidRPr="001032A3">
        <w:t>10</w:t>
      </w:r>
      <w:r w:rsidR="004639E8">
        <w:t>)</w:t>
      </w:r>
      <w:r w:rsidRPr="001032A3">
        <w:t xml:space="preserve"> </w:t>
      </w:r>
      <w:r w:rsidR="0063651F">
        <w:tab/>
      </w:r>
      <w:r w:rsidRPr="001032A3">
        <w:t xml:space="preserve">How have prepaid and postpaid prices differed over the last </w:t>
      </w:r>
      <w:r>
        <w:t>two</w:t>
      </w:r>
      <w:r w:rsidRPr="001032A3">
        <w:t xml:space="preserve"> years, for voice, data and SMS? (</w:t>
      </w:r>
      <w:r>
        <w:t>P</w:t>
      </w:r>
      <w:r w:rsidRPr="001032A3">
        <w:t>lease give quarterly rates by country</w:t>
      </w:r>
      <w:r>
        <w:t>.</w:t>
      </w:r>
      <w:r w:rsidRPr="001032A3">
        <w:t>)</w:t>
      </w:r>
    </w:p>
    <w:p w14:paraId="186115A2" w14:textId="77777777" w:rsidR="000A7DF2" w:rsidRPr="001032A3" w:rsidRDefault="000A7DF2" w:rsidP="0063651F">
      <w:pPr>
        <w:pStyle w:val="Headingb"/>
      </w:pPr>
      <w:r w:rsidRPr="001032A3">
        <w:t>PART C</w:t>
      </w:r>
      <w:r>
        <w:t>: A</w:t>
      </w:r>
      <w:r w:rsidRPr="001032A3">
        <w:t xml:space="preserve">ccounting analysis (please give the annual figures for </w:t>
      </w:r>
      <w:r>
        <w:t xml:space="preserve">the </w:t>
      </w:r>
      <w:r w:rsidRPr="001032A3">
        <w:t xml:space="preserve">last </w:t>
      </w:r>
      <w:r>
        <w:t>two</w:t>
      </w:r>
      <w:r w:rsidRPr="001032A3">
        <w:t xml:space="preserve"> financial years by month)</w:t>
      </w:r>
    </w:p>
    <w:p w14:paraId="5F87B8D9" w14:textId="77777777" w:rsidR="000A7DF2" w:rsidRPr="001032A3" w:rsidRDefault="000A7DF2" w:rsidP="000A7DF2">
      <w:pPr>
        <w:autoSpaceDE w:val="0"/>
      </w:pPr>
      <w:r w:rsidRPr="001032A3">
        <w:rPr>
          <w:b/>
          <w:i/>
        </w:rPr>
        <w:t>For ROAMING services (voice, data, SMS)</w:t>
      </w:r>
      <w:r w:rsidRPr="001032A3">
        <w:t>:</w:t>
      </w:r>
    </w:p>
    <w:p w14:paraId="74CB443B" w14:textId="77777777" w:rsidR="000A7DF2" w:rsidRDefault="000A7DF2" w:rsidP="004639E8">
      <w:pPr>
        <w:pStyle w:val="enumlev1"/>
      </w:pPr>
      <w:r w:rsidRPr="001032A3">
        <w:t>11</w:t>
      </w:r>
      <w:r w:rsidR="004639E8">
        <w:t>)</w:t>
      </w:r>
      <w:r w:rsidRPr="001032A3">
        <w:t xml:space="preserve"> </w:t>
      </w:r>
      <w:r w:rsidR="0063651F">
        <w:tab/>
      </w:r>
      <w:r w:rsidRPr="001032A3">
        <w:t xml:space="preserve">What are the total </w:t>
      </w:r>
      <w:r w:rsidRPr="002F1863">
        <w:rPr>
          <w:b/>
          <w:bCs/>
        </w:rPr>
        <w:t>revenues</w:t>
      </w:r>
      <w:r w:rsidRPr="001032A3">
        <w:t xml:space="preserve"> from roaming services (sum of outgoing and incoming call revenues)?</w:t>
      </w:r>
    </w:p>
    <w:p w14:paraId="35057EC0" w14:textId="77777777" w:rsidR="000A7DF2" w:rsidRPr="001032A3" w:rsidRDefault="0063651F" w:rsidP="0063651F">
      <w:pPr>
        <w:pStyle w:val="enumlev2"/>
        <w:numPr>
          <w:ilvl w:val="0"/>
          <w:numId w:val="0"/>
        </w:numPr>
        <w:ind w:left="720" w:hanging="295"/>
      </w:pPr>
      <w:r>
        <w:t>a)</w:t>
      </w:r>
      <w:r>
        <w:tab/>
      </w:r>
      <w:r w:rsidR="000A7DF2" w:rsidRPr="001032A3">
        <w:t>Voice (local currency):</w:t>
      </w:r>
    </w:p>
    <w:p w14:paraId="2EDC5435" w14:textId="77777777" w:rsidR="000A7DF2" w:rsidRPr="001032A3" w:rsidRDefault="0063651F" w:rsidP="0063651F">
      <w:pPr>
        <w:pStyle w:val="enumlev2"/>
        <w:numPr>
          <w:ilvl w:val="0"/>
          <w:numId w:val="0"/>
        </w:numPr>
        <w:ind w:left="720" w:hanging="295"/>
      </w:pPr>
      <w:r>
        <w:t>b)</w:t>
      </w:r>
      <w:r>
        <w:tab/>
      </w:r>
      <w:r w:rsidR="000A7DF2" w:rsidRPr="001032A3">
        <w:t>Data (local currency):</w:t>
      </w:r>
    </w:p>
    <w:p w14:paraId="55974188" w14:textId="77777777" w:rsidR="000A7DF2" w:rsidRPr="001032A3" w:rsidRDefault="0063651F" w:rsidP="0063651F">
      <w:pPr>
        <w:pStyle w:val="enumlev2"/>
        <w:numPr>
          <w:ilvl w:val="0"/>
          <w:numId w:val="0"/>
        </w:numPr>
        <w:ind w:left="720" w:hanging="295"/>
      </w:pPr>
      <w:r>
        <w:t>c)</w:t>
      </w:r>
      <w:r>
        <w:tab/>
      </w:r>
      <w:r w:rsidR="000A7DF2" w:rsidRPr="001032A3">
        <w:t>SMS (local currency):</w:t>
      </w:r>
    </w:p>
    <w:p w14:paraId="26B9D4CD" w14:textId="77777777" w:rsidR="000A7DF2" w:rsidRPr="001032A3" w:rsidRDefault="000A7DF2" w:rsidP="004639E8">
      <w:pPr>
        <w:pStyle w:val="enumlev1"/>
      </w:pPr>
      <w:r w:rsidRPr="001032A3">
        <w:t>12</w:t>
      </w:r>
      <w:r w:rsidR="004639E8">
        <w:t>)</w:t>
      </w:r>
      <w:r w:rsidRPr="001032A3">
        <w:t xml:space="preserve"> </w:t>
      </w:r>
      <w:r w:rsidR="0063651F">
        <w:tab/>
      </w:r>
      <w:r w:rsidRPr="001032A3">
        <w:t>What are the total</w:t>
      </w:r>
      <w:r>
        <w:t xml:space="preserve"> summed</w:t>
      </w:r>
      <w:r w:rsidRPr="001032A3">
        <w:t xml:space="preserve"> </w:t>
      </w:r>
      <w:r w:rsidRPr="002F1863">
        <w:rPr>
          <w:b/>
          <w:bCs/>
        </w:rPr>
        <w:t>costs</w:t>
      </w:r>
      <w:r w:rsidRPr="001032A3">
        <w:t xml:space="preserve"> </w:t>
      </w:r>
      <w:r>
        <w:t>o</w:t>
      </w:r>
      <w:r w:rsidRPr="001032A3">
        <w:t>f roaming services?</w:t>
      </w:r>
    </w:p>
    <w:p w14:paraId="42258082" w14:textId="77777777" w:rsidR="000A7DF2" w:rsidRPr="001032A3" w:rsidRDefault="0063651F" w:rsidP="0063651F">
      <w:pPr>
        <w:pStyle w:val="enumlev2"/>
        <w:numPr>
          <w:ilvl w:val="0"/>
          <w:numId w:val="0"/>
        </w:numPr>
        <w:ind w:left="720" w:hanging="295"/>
      </w:pPr>
      <w:r>
        <w:t>a)</w:t>
      </w:r>
      <w:r>
        <w:tab/>
      </w:r>
      <w:r w:rsidR="000A7DF2" w:rsidRPr="001032A3">
        <w:t>Voice (local currency):</w:t>
      </w:r>
    </w:p>
    <w:p w14:paraId="33BFD25F" w14:textId="77777777" w:rsidR="000A7DF2" w:rsidRPr="001032A3" w:rsidRDefault="0063651F" w:rsidP="0063651F">
      <w:pPr>
        <w:pStyle w:val="enumlev2"/>
        <w:numPr>
          <w:ilvl w:val="0"/>
          <w:numId w:val="0"/>
        </w:numPr>
        <w:ind w:left="720" w:hanging="295"/>
      </w:pPr>
      <w:r>
        <w:t>b)</w:t>
      </w:r>
      <w:r>
        <w:tab/>
      </w:r>
      <w:r w:rsidR="000A7DF2" w:rsidRPr="001032A3">
        <w:t>Data (local currency):</w:t>
      </w:r>
    </w:p>
    <w:p w14:paraId="60F64380" w14:textId="77777777" w:rsidR="000A7DF2" w:rsidRPr="001032A3" w:rsidRDefault="0063651F" w:rsidP="0063651F">
      <w:pPr>
        <w:pStyle w:val="enumlev2"/>
        <w:numPr>
          <w:ilvl w:val="0"/>
          <w:numId w:val="0"/>
        </w:numPr>
        <w:ind w:left="720" w:hanging="295"/>
      </w:pPr>
      <w:r>
        <w:t>c)</w:t>
      </w:r>
      <w:r>
        <w:tab/>
      </w:r>
      <w:r w:rsidR="000A7DF2" w:rsidRPr="001032A3">
        <w:t>SMS (local currency):</w:t>
      </w:r>
    </w:p>
    <w:p w14:paraId="62888028" w14:textId="77777777" w:rsidR="000A7DF2" w:rsidRPr="001032A3" w:rsidRDefault="000A7DF2" w:rsidP="004639E8">
      <w:pPr>
        <w:pStyle w:val="enumlev1"/>
      </w:pPr>
      <w:r w:rsidRPr="001032A3">
        <w:t>13</w:t>
      </w:r>
      <w:r w:rsidR="004639E8">
        <w:t>)</w:t>
      </w:r>
      <w:r w:rsidRPr="001032A3">
        <w:t xml:space="preserve"> </w:t>
      </w:r>
      <w:r w:rsidR="0063651F">
        <w:tab/>
      </w:r>
      <w:r w:rsidRPr="001032A3">
        <w:t>What are the cost items included in the accounts for roaming, for both capex and opex?</w:t>
      </w:r>
    </w:p>
    <w:p w14:paraId="29A965A2" w14:textId="77777777" w:rsidR="000A7DF2" w:rsidRPr="001032A3" w:rsidRDefault="000A7DF2" w:rsidP="000A7DF2">
      <w:pPr>
        <w:autoSpaceDE w:val="0"/>
        <w:rPr>
          <w:b/>
          <w:i/>
        </w:rPr>
      </w:pPr>
      <w:r w:rsidRPr="001032A3">
        <w:rPr>
          <w:b/>
          <w:i/>
        </w:rPr>
        <w:t>For DOMESTI</w:t>
      </w:r>
      <w:r>
        <w:rPr>
          <w:b/>
          <w:i/>
        </w:rPr>
        <w:t>C</w:t>
      </w:r>
      <w:r w:rsidRPr="001032A3">
        <w:rPr>
          <w:b/>
          <w:i/>
        </w:rPr>
        <w:t xml:space="preserve"> services (voice, data, SMS)</w:t>
      </w:r>
      <w:r>
        <w:rPr>
          <w:bCs/>
          <w:iCs/>
        </w:rPr>
        <w:t>:</w:t>
      </w:r>
    </w:p>
    <w:p w14:paraId="62ACCF4B" w14:textId="77777777" w:rsidR="000A7DF2" w:rsidRPr="001032A3" w:rsidRDefault="000A7DF2" w:rsidP="00E63514">
      <w:pPr>
        <w:pStyle w:val="enumlev1"/>
      </w:pPr>
      <w:r w:rsidRPr="001032A3">
        <w:t>14</w:t>
      </w:r>
      <w:r w:rsidR="00E63514">
        <w:t>)</w:t>
      </w:r>
      <w:r w:rsidRPr="001032A3">
        <w:t xml:space="preserve"> </w:t>
      </w:r>
      <w:r w:rsidR="0063651F">
        <w:tab/>
      </w:r>
      <w:r w:rsidRPr="001032A3">
        <w:t xml:space="preserve">What are the total </w:t>
      </w:r>
      <w:r w:rsidRPr="00C933F9">
        <w:rPr>
          <w:b/>
          <w:bCs/>
        </w:rPr>
        <w:t>revenues</w:t>
      </w:r>
      <w:r w:rsidRPr="001032A3">
        <w:t xml:space="preserve"> from domestic calls?</w:t>
      </w:r>
    </w:p>
    <w:p w14:paraId="1A99491D" w14:textId="77777777" w:rsidR="000A7DF2" w:rsidRPr="001032A3" w:rsidRDefault="00E63514" w:rsidP="0063651F">
      <w:pPr>
        <w:pStyle w:val="enumlev2"/>
        <w:numPr>
          <w:ilvl w:val="0"/>
          <w:numId w:val="0"/>
        </w:numPr>
        <w:ind w:left="720" w:hanging="295"/>
      </w:pPr>
      <w:r>
        <w:t xml:space="preserve">a) </w:t>
      </w:r>
      <w:r>
        <w:tab/>
      </w:r>
      <w:r w:rsidR="000A7DF2" w:rsidRPr="001032A3">
        <w:t>Voice (local currency):</w:t>
      </w:r>
    </w:p>
    <w:p w14:paraId="0596A159" w14:textId="77777777" w:rsidR="000A7DF2" w:rsidRPr="001032A3" w:rsidRDefault="00E63514" w:rsidP="0063651F">
      <w:pPr>
        <w:pStyle w:val="enumlev2"/>
        <w:numPr>
          <w:ilvl w:val="0"/>
          <w:numId w:val="0"/>
        </w:numPr>
        <w:ind w:left="720" w:hanging="295"/>
      </w:pPr>
      <w:r>
        <w:lastRenderedPageBreak/>
        <w:t>b)</w:t>
      </w:r>
      <w:r>
        <w:tab/>
      </w:r>
      <w:r w:rsidR="000A7DF2" w:rsidRPr="001032A3">
        <w:t>Data (local currency):</w:t>
      </w:r>
    </w:p>
    <w:p w14:paraId="7EB89591" w14:textId="77777777" w:rsidR="000A7DF2" w:rsidRPr="001032A3" w:rsidRDefault="00E63514" w:rsidP="0063651F">
      <w:pPr>
        <w:pStyle w:val="enumlev2"/>
        <w:numPr>
          <w:ilvl w:val="0"/>
          <w:numId w:val="0"/>
        </w:numPr>
        <w:ind w:left="720" w:hanging="295"/>
      </w:pPr>
      <w:r>
        <w:t>c)</w:t>
      </w:r>
      <w:r>
        <w:tab/>
      </w:r>
      <w:r w:rsidR="000A7DF2" w:rsidRPr="001032A3">
        <w:t>SMS (local currency):</w:t>
      </w:r>
    </w:p>
    <w:p w14:paraId="0A4ECB66" w14:textId="77777777" w:rsidR="000A7DF2" w:rsidRPr="001032A3" w:rsidRDefault="000A7DF2" w:rsidP="00E63514">
      <w:pPr>
        <w:pStyle w:val="enumlev1"/>
      </w:pPr>
      <w:r w:rsidRPr="001032A3">
        <w:t>15</w:t>
      </w:r>
      <w:r w:rsidR="00E63514">
        <w:t>)</w:t>
      </w:r>
      <w:r w:rsidRPr="001032A3">
        <w:t xml:space="preserve"> </w:t>
      </w:r>
      <w:r w:rsidR="0063651F">
        <w:tab/>
      </w:r>
      <w:r w:rsidRPr="001032A3">
        <w:t xml:space="preserve">What are the total </w:t>
      </w:r>
      <w:r w:rsidRPr="00C933F9">
        <w:rPr>
          <w:b/>
          <w:bCs/>
        </w:rPr>
        <w:t>costs</w:t>
      </w:r>
      <w:r w:rsidRPr="001032A3">
        <w:t xml:space="preserve"> of domestic calls?</w:t>
      </w:r>
    </w:p>
    <w:p w14:paraId="0BDDB4F1" w14:textId="77777777" w:rsidR="000A7DF2" w:rsidRPr="001032A3" w:rsidRDefault="00E63514" w:rsidP="0063651F">
      <w:pPr>
        <w:pStyle w:val="enumlev2"/>
        <w:numPr>
          <w:ilvl w:val="0"/>
          <w:numId w:val="0"/>
        </w:numPr>
        <w:ind w:left="720" w:hanging="295"/>
      </w:pPr>
      <w:r>
        <w:t>a)</w:t>
      </w:r>
      <w:r>
        <w:tab/>
      </w:r>
      <w:r w:rsidR="000A7DF2" w:rsidRPr="001032A3">
        <w:t>Voice (local currency):</w:t>
      </w:r>
    </w:p>
    <w:p w14:paraId="53732D75" w14:textId="77777777" w:rsidR="000A7DF2" w:rsidRPr="001032A3" w:rsidRDefault="00E63514" w:rsidP="0063651F">
      <w:pPr>
        <w:pStyle w:val="enumlev2"/>
        <w:numPr>
          <w:ilvl w:val="0"/>
          <w:numId w:val="0"/>
        </w:numPr>
        <w:ind w:left="720" w:hanging="295"/>
      </w:pPr>
      <w:r>
        <w:t>b)</w:t>
      </w:r>
      <w:r>
        <w:tab/>
      </w:r>
      <w:r w:rsidR="000A7DF2" w:rsidRPr="001032A3">
        <w:t>Data (local currency):</w:t>
      </w:r>
    </w:p>
    <w:p w14:paraId="04A3CC48" w14:textId="77777777" w:rsidR="000A7DF2" w:rsidRPr="001032A3" w:rsidRDefault="00E63514" w:rsidP="0063651F">
      <w:pPr>
        <w:pStyle w:val="enumlev2"/>
        <w:numPr>
          <w:ilvl w:val="0"/>
          <w:numId w:val="0"/>
        </w:numPr>
        <w:ind w:left="720" w:hanging="295"/>
      </w:pPr>
      <w:r>
        <w:t>c)</w:t>
      </w:r>
      <w:r>
        <w:tab/>
      </w:r>
      <w:r w:rsidR="000A7DF2" w:rsidRPr="001032A3">
        <w:t>SMS (local currency):</w:t>
      </w:r>
    </w:p>
    <w:p w14:paraId="1AE0936A" w14:textId="77777777" w:rsidR="000A7DF2" w:rsidRPr="001032A3" w:rsidRDefault="000A7DF2" w:rsidP="00E63514">
      <w:pPr>
        <w:pStyle w:val="enumlev1"/>
      </w:pPr>
      <w:r w:rsidRPr="001032A3">
        <w:t>16</w:t>
      </w:r>
      <w:r w:rsidR="00E63514">
        <w:t>)</w:t>
      </w:r>
      <w:r w:rsidRPr="001032A3">
        <w:t xml:space="preserve"> </w:t>
      </w:r>
      <w:r w:rsidR="0063651F">
        <w:tab/>
      </w:r>
      <w:r w:rsidRPr="001032A3">
        <w:t xml:space="preserve">What are the </w:t>
      </w:r>
      <w:r w:rsidRPr="00C933F9">
        <w:rPr>
          <w:b/>
          <w:bCs/>
        </w:rPr>
        <w:t>cost item</w:t>
      </w:r>
      <w:r w:rsidRPr="001032A3">
        <w:t>s included in the accounts, for domestic services, for both capex and opex?</w:t>
      </w:r>
    </w:p>
    <w:p w14:paraId="34841842" w14:textId="77777777" w:rsidR="000A7DF2" w:rsidRPr="001032A3" w:rsidRDefault="000A7DF2" w:rsidP="00E63514">
      <w:pPr>
        <w:pStyle w:val="enumlev1"/>
      </w:pPr>
      <w:r w:rsidRPr="001032A3">
        <w:t>17</w:t>
      </w:r>
      <w:r w:rsidR="00E63514">
        <w:t>)</w:t>
      </w:r>
      <w:r w:rsidRPr="001032A3">
        <w:t xml:space="preserve"> </w:t>
      </w:r>
      <w:r w:rsidR="0063651F">
        <w:tab/>
      </w:r>
      <w:r w:rsidRPr="001032A3">
        <w:t xml:space="preserve">What are the </w:t>
      </w:r>
      <w:r w:rsidRPr="00C933F9">
        <w:rPr>
          <w:b/>
          <w:bCs/>
        </w:rPr>
        <w:t>roaming traffic volumes</w:t>
      </w:r>
      <w:r w:rsidRPr="001032A3">
        <w:t xml:space="preserve"> </w:t>
      </w:r>
      <w:r>
        <w:t>–</w:t>
      </w:r>
      <w:r w:rsidRPr="001032A3">
        <w:t xml:space="preserve"> ingoing and outgoing for:</w:t>
      </w:r>
    </w:p>
    <w:p w14:paraId="4AA37225" w14:textId="77777777" w:rsidR="000A7DF2" w:rsidRPr="001032A3" w:rsidRDefault="00E63514" w:rsidP="0063651F">
      <w:pPr>
        <w:pStyle w:val="enumlev2"/>
        <w:numPr>
          <w:ilvl w:val="0"/>
          <w:numId w:val="0"/>
        </w:numPr>
        <w:ind w:left="720" w:hanging="295"/>
      </w:pPr>
      <w:r>
        <w:t>a)</w:t>
      </w:r>
      <w:r>
        <w:tab/>
      </w:r>
      <w:r w:rsidR="000A7DF2" w:rsidRPr="001032A3">
        <w:t>Voice (minutes):</w:t>
      </w:r>
    </w:p>
    <w:p w14:paraId="7B5ECAEE" w14:textId="77777777" w:rsidR="000A7DF2" w:rsidRPr="001032A3" w:rsidRDefault="00E63514" w:rsidP="0063651F">
      <w:pPr>
        <w:pStyle w:val="enumlev2"/>
        <w:numPr>
          <w:ilvl w:val="0"/>
          <w:numId w:val="0"/>
        </w:numPr>
        <w:ind w:left="720" w:hanging="295"/>
      </w:pPr>
      <w:r>
        <w:t>b)</w:t>
      </w:r>
      <w:r>
        <w:tab/>
      </w:r>
      <w:r w:rsidR="000A7DF2" w:rsidRPr="001032A3">
        <w:t>Data (Gigabyte):</w:t>
      </w:r>
    </w:p>
    <w:p w14:paraId="7E9C1653" w14:textId="77777777" w:rsidR="000A7DF2" w:rsidRPr="001032A3" w:rsidRDefault="00F06F7A" w:rsidP="0063651F">
      <w:pPr>
        <w:pStyle w:val="enumlev2"/>
        <w:numPr>
          <w:ilvl w:val="0"/>
          <w:numId w:val="0"/>
        </w:numPr>
        <w:ind w:left="720" w:hanging="295"/>
      </w:pPr>
      <w:r>
        <w:t>c)</w:t>
      </w:r>
      <w:r>
        <w:tab/>
      </w:r>
      <w:r w:rsidR="000A7DF2" w:rsidRPr="001032A3">
        <w:t>SMS (messages):</w:t>
      </w:r>
    </w:p>
    <w:p w14:paraId="451176BF" w14:textId="77777777" w:rsidR="000A7DF2" w:rsidRDefault="00F06F7A" w:rsidP="00F06F7A">
      <w:pPr>
        <w:pStyle w:val="enumlev1"/>
      </w:pPr>
      <w:r>
        <w:t>18)</w:t>
      </w:r>
      <w:r w:rsidR="0063651F">
        <w:tab/>
      </w:r>
      <w:r w:rsidR="000A7DF2" w:rsidRPr="001032A3">
        <w:t xml:space="preserve">What is the </w:t>
      </w:r>
      <w:r w:rsidR="000A7DF2">
        <w:t>t</w:t>
      </w:r>
      <w:r w:rsidR="000A7DF2" w:rsidRPr="001032A3">
        <w:t xml:space="preserve">raffic </w:t>
      </w:r>
      <w:r w:rsidR="000A7DF2">
        <w:t>v</w:t>
      </w:r>
      <w:r w:rsidR="000A7DF2" w:rsidRPr="001032A3">
        <w:t xml:space="preserve">olume per quarter over the last </w:t>
      </w:r>
      <w:r w:rsidR="000A7DF2">
        <w:t>two</w:t>
      </w:r>
      <w:r w:rsidR="000A7DF2" w:rsidRPr="001032A3">
        <w:t xml:space="preserve"> years, to show t</w:t>
      </w:r>
      <w:r w:rsidR="000A7DF2">
        <w:t>rends – ingoing and outgoing</w:t>
      </w:r>
      <w:r w:rsidR="000A7DF2" w:rsidRPr="001032A3">
        <w:t>:</w:t>
      </w:r>
    </w:p>
    <w:p w14:paraId="4A055C52" w14:textId="77777777" w:rsidR="000A7DF2" w:rsidRPr="001032A3" w:rsidRDefault="00F06F7A" w:rsidP="0063651F">
      <w:pPr>
        <w:pStyle w:val="enumlev2"/>
        <w:numPr>
          <w:ilvl w:val="0"/>
          <w:numId w:val="0"/>
        </w:numPr>
        <w:ind w:left="720" w:hanging="295"/>
      </w:pPr>
      <w:r w:rsidRPr="0063651F">
        <w:t>a)</w:t>
      </w:r>
      <w:r>
        <w:rPr>
          <w:b/>
          <w:bCs/>
        </w:rPr>
        <w:tab/>
      </w:r>
      <w:r w:rsidR="000A7DF2" w:rsidRPr="0063651F">
        <w:rPr>
          <w:b/>
          <w:bCs/>
        </w:rPr>
        <w:t>Roaming</w:t>
      </w:r>
      <w:r w:rsidR="000A7DF2" w:rsidRPr="001032A3">
        <w:t xml:space="preserve"> traffic </w:t>
      </w:r>
      <w:r w:rsidR="000A7DF2">
        <w:t>for</w:t>
      </w:r>
      <w:r w:rsidR="000A7DF2" w:rsidRPr="001032A3">
        <w:t xml:space="preserve"> </w:t>
      </w:r>
      <w:r w:rsidR="000A7DF2">
        <w:t>voice, data, SMS</w:t>
      </w:r>
    </w:p>
    <w:p w14:paraId="4AB394F3" w14:textId="77777777" w:rsidR="000A7DF2" w:rsidRPr="00DC26CE" w:rsidRDefault="00F06F7A" w:rsidP="0063651F">
      <w:pPr>
        <w:pStyle w:val="enumlev2"/>
        <w:numPr>
          <w:ilvl w:val="0"/>
          <w:numId w:val="0"/>
        </w:numPr>
        <w:ind w:left="720" w:hanging="295"/>
      </w:pPr>
      <w:r w:rsidRPr="0063651F">
        <w:t>b)</w:t>
      </w:r>
      <w:r w:rsidRPr="0063651F">
        <w:tab/>
      </w:r>
      <w:r w:rsidR="000A7DF2" w:rsidRPr="0063651F">
        <w:rPr>
          <w:b/>
          <w:bCs/>
        </w:rPr>
        <w:t>Domestic</w:t>
      </w:r>
      <w:r w:rsidR="000A7DF2">
        <w:t xml:space="preserve"> traffic for</w:t>
      </w:r>
      <w:r w:rsidR="000A7DF2" w:rsidRPr="001032A3">
        <w:t xml:space="preserve"> </w:t>
      </w:r>
      <w:r w:rsidR="000A7DF2">
        <w:t>voice, data, SMS</w:t>
      </w:r>
    </w:p>
    <w:p w14:paraId="6665FBFA" w14:textId="77777777" w:rsidR="000A7DF2" w:rsidRPr="001032A3" w:rsidRDefault="000A7DF2" w:rsidP="0063651F">
      <w:pPr>
        <w:pStyle w:val="Headingb"/>
      </w:pPr>
      <w:r w:rsidRPr="001032A3">
        <w:t>PART D</w:t>
      </w:r>
      <w:r>
        <w:t>:</w:t>
      </w:r>
      <w:r w:rsidRPr="001032A3">
        <w:t xml:space="preserve"> MNO </w:t>
      </w:r>
      <w:r w:rsidRPr="00013753">
        <w:t>costs</w:t>
      </w:r>
      <w:r w:rsidRPr="001032A3">
        <w:t xml:space="preserve"> base – Elements of </w:t>
      </w:r>
      <w:r>
        <w:t>c</w:t>
      </w:r>
      <w:r w:rsidRPr="001032A3">
        <w:t xml:space="preserve">apex and </w:t>
      </w:r>
      <w:r>
        <w:t>o</w:t>
      </w:r>
      <w:r w:rsidRPr="001032A3">
        <w:t xml:space="preserve">pex </w:t>
      </w:r>
    </w:p>
    <w:p w14:paraId="71808D85" w14:textId="77777777" w:rsidR="000A7DF2" w:rsidRPr="001032A3" w:rsidRDefault="000A7DF2" w:rsidP="000A7DF2">
      <w:pPr>
        <w:autoSpaceDE w:val="0"/>
      </w:pPr>
      <w:r w:rsidRPr="001032A3">
        <w:t>Here we examine overall costs, domestic services costs and roaming services costs. The cost items for roaming may either be separate items, or a portion of existing facilities and operations, or specific extensions of existing systems and processes.</w:t>
      </w:r>
      <w:r>
        <w:t xml:space="preserve"> These will be repeated for data and SMS as well as for voice.</w:t>
      </w:r>
    </w:p>
    <w:p w14:paraId="6BC21024" w14:textId="77777777" w:rsidR="000A7DF2" w:rsidRPr="001032A3" w:rsidRDefault="000A7DF2" w:rsidP="00F06F7A">
      <w:pPr>
        <w:pStyle w:val="enumlev1"/>
      </w:pPr>
      <w:r w:rsidRPr="001032A3">
        <w:t>19</w:t>
      </w:r>
      <w:r w:rsidR="00F06F7A">
        <w:t>)</w:t>
      </w:r>
      <w:r w:rsidRPr="001032A3">
        <w:t xml:space="preserve"> </w:t>
      </w:r>
      <w:r w:rsidR="0063651F">
        <w:tab/>
      </w:r>
      <w:r w:rsidRPr="001032A3">
        <w:t xml:space="preserve">What is the billing process for prepaid consumers at network, IT and </w:t>
      </w:r>
      <w:r>
        <w:t>b</w:t>
      </w:r>
      <w:r w:rsidRPr="001032A3">
        <w:t xml:space="preserve">usiness support </w:t>
      </w:r>
      <w:r>
        <w:t>systems</w:t>
      </w:r>
      <w:r w:rsidRPr="001032A3">
        <w:t xml:space="preserve"> (BSS) levels? Please describe all elements and procedures involved in the overall domestic process and in the roaming business process, with an overview of the assets used, for:</w:t>
      </w:r>
    </w:p>
    <w:p w14:paraId="0EF2136B" w14:textId="77777777" w:rsidR="000A7DF2" w:rsidRPr="001032A3" w:rsidRDefault="00F06F7A" w:rsidP="0063651F">
      <w:pPr>
        <w:pStyle w:val="enumlev2"/>
        <w:numPr>
          <w:ilvl w:val="0"/>
          <w:numId w:val="0"/>
        </w:numPr>
        <w:ind w:left="720" w:hanging="295"/>
      </w:pPr>
      <w:r>
        <w:t>a)</w:t>
      </w:r>
      <w:r>
        <w:tab/>
      </w:r>
      <w:r w:rsidR="000A7DF2" w:rsidRPr="001032A3">
        <w:t>Prepaid, at network, IT and BSS levels, for voice, data and SMS?</w:t>
      </w:r>
    </w:p>
    <w:p w14:paraId="77DF975B" w14:textId="77777777" w:rsidR="000A7DF2" w:rsidRPr="001032A3" w:rsidRDefault="00F06F7A" w:rsidP="0063651F">
      <w:pPr>
        <w:pStyle w:val="enumlev2"/>
        <w:numPr>
          <w:ilvl w:val="0"/>
          <w:numId w:val="0"/>
        </w:numPr>
        <w:ind w:left="720" w:hanging="295"/>
      </w:pPr>
      <w:r>
        <w:t>b)</w:t>
      </w:r>
      <w:r>
        <w:tab/>
      </w:r>
      <w:r w:rsidR="000A7DF2" w:rsidRPr="001032A3">
        <w:t>Postpaid, at network, IT and BSS levels, for voice, data and SMS?</w:t>
      </w:r>
    </w:p>
    <w:p w14:paraId="57BE73B2" w14:textId="77777777" w:rsidR="000A7DF2" w:rsidRPr="001032A3" w:rsidRDefault="000A7DF2" w:rsidP="000A7DF2">
      <w:pPr>
        <w:autoSpaceDE w:val="0"/>
      </w:pPr>
      <w:r w:rsidRPr="001032A3">
        <w:t xml:space="preserve">Annual </w:t>
      </w:r>
      <w:r>
        <w:t>c</w:t>
      </w:r>
      <w:r w:rsidRPr="001032A3">
        <w:t xml:space="preserve">ost estimation table – for </w:t>
      </w:r>
      <w:r>
        <w:t xml:space="preserve">the </w:t>
      </w:r>
      <w:r w:rsidRPr="001032A3">
        <w:t xml:space="preserve">last </w:t>
      </w:r>
      <w:r>
        <w:t>two</w:t>
      </w:r>
      <w:r w:rsidRPr="001032A3">
        <w:t xml:space="preserve"> years</w:t>
      </w:r>
      <w:r>
        <w:t>:</w:t>
      </w:r>
    </w:p>
    <w:tbl>
      <w:tblPr>
        <w:tblW w:w="0" w:type="auto"/>
        <w:jc w:val="center"/>
        <w:tblLayout w:type="fixed"/>
        <w:tblLook w:val="0000" w:firstRow="0" w:lastRow="0" w:firstColumn="0" w:lastColumn="0" w:noHBand="0" w:noVBand="0"/>
      </w:tblPr>
      <w:tblGrid>
        <w:gridCol w:w="4968"/>
        <w:gridCol w:w="1980"/>
        <w:gridCol w:w="2350"/>
      </w:tblGrid>
      <w:tr w:rsidR="000A7DF2" w:rsidRPr="001032A3" w14:paraId="798859C5" w14:textId="77777777">
        <w:trPr>
          <w:tblHeader/>
          <w:jc w:val="center"/>
        </w:trPr>
        <w:tc>
          <w:tcPr>
            <w:tcW w:w="4968" w:type="dxa"/>
            <w:tcBorders>
              <w:top w:val="single" w:sz="4" w:space="0" w:color="000000"/>
              <w:left w:val="single" w:sz="4" w:space="0" w:color="000000"/>
              <w:bottom w:val="single" w:sz="4" w:space="0" w:color="000000"/>
            </w:tcBorders>
          </w:tcPr>
          <w:p w14:paraId="40695466" w14:textId="77777777" w:rsidR="000A7DF2" w:rsidRPr="001032A3" w:rsidRDefault="000A7DF2" w:rsidP="003410A6">
            <w:pPr>
              <w:pStyle w:val="Tablehead"/>
            </w:pPr>
            <w:r w:rsidRPr="001032A3">
              <w:t>ITEM</w:t>
            </w:r>
          </w:p>
        </w:tc>
        <w:tc>
          <w:tcPr>
            <w:tcW w:w="1980" w:type="dxa"/>
            <w:tcBorders>
              <w:top w:val="single" w:sz="4" w:space="0" w:color="000000"/>
              <w:left w:val="single" w:sz="4" w:space="0" w:color="000000"/>
              <w:bottom w:val="single" w:sz="4" w:space="0" w:color="000000"/>
            </w:tcBorders>
          </w:tcPr>
          <w:p w14:paraId="23D793A4" w14:textId="77777777" w:rsidR="000A7DF2" w:rsidRPr="001032A3" w:rsidRDefault="000A7DF2" w:rsidP="003410A6">
            <w:pPr>
              <w:pStyle w:val="Tablehead"/>
            </w:pPr>
            <w:r w:rsidRPr="001032A3">
              <w:t>Domestic</w:t>
            </w:r>
          </w:p>
        </w:tc>
        <w:tc>
          <w:tcPr>
            <w:tcW w:w="2350" w:type="dxa"/>
            <w:tcBorders>
              <w:top w:val="single" w:sz="4" w:space="0" w:color="000000"/>
              <w:left w:val="single" w:sz="4" w:space="0" w:color="000000"/>
              <w:bottom w:val="single" w:sz="4" w:space="0" w:color="000000"/>
              <w:right w:val="single" w:sz="4" w:space="0" w:color="000000"/>
            </w:tcBorders>
          </w:tcPr>
          <w:p w14:paraId="2047B21A" w14:textId="77777777" w:rsidR="000A7DF2" w:rsidRPr="001032A3" w:rsidRDefault="000A7DF2" w:rsidP="003410A6">
            <w:pPr>
              <w:pStyle w:val="Tablehead"/>
            </w:pPr>
            <w:r w:rsidRPr="001032A3">
              <w:t>Roaming</w:t>
            </w:r>
          </w:p>
        </w:tc>
      </w:tr>
      <w:tr w:rsidR="000A7DF2" w:rsidRPr="00823C46" w14:paraId="72E9C6AC" w14:textId="77777777">
        <w:trPr>
          <w:jc w:val="center"/>
        </w:trPr>
        <w:tc>
          <w:tcPr>
            <w:tcW w:w="4968" w:type="dxa"/>
            <w:tcBorders>
              <w:top w:val="single" w:sz="4" w:space="0" w:color="000000"/>
              <w:left w:val="single" w:sz="4" w:space="0" w:color="000000"/>
              <w:bottom w:val="single" w:sz="4" w:space="0" w:color="000000"/>
            </w:tcBorders>
          </w:tcPr>
          <w:p w14:paraId="7EE8E1F5" w14:textId="77777777" w:rsidR="000A7DF2" w:rsidRPr="00823C46" w:rsidRDefault="000A7DF2" w:rsidP="003410A6">
            <w:pPr>
              <w:pStyle w:val="Tabletext"/>
              <w:rPr>
                <w:b/>
                <w:bCs w:val="0"/>
              </w:rPr>
            </w:pPr>
            <w:r w:rsidRPr="00823C46">
              <w:rPr>
                <w:b/>
                <w:bCs w:val="0"/>
              </w:rPr>
              <w:t>a) Network elements costs?</w:t>
            </w:r>
          </w:p>
        </w:tc>
        <w:tc>
          <w:tcPr>
            <w:tcW w:w="1980" w:type="dxa"/>
            <w:tcBorders>
              <w:top w:val="single" w:sz="4" w:space="0" w:color="000000"/>
              <w:left w:val="single" w:sz="4" w:space="0" w:color="000000"/>
              <w:bottom w:val="single" w:sz="4" w:space="0" w:color="000000"/>
            </w:tcBorders>
          </w:tcPr>
          <w:p w14:paraId="47317CE6" w14:textId="77777777" w:rsidR="000A7DF2" w:rsidRPr="00823C46" w:rsidRDefault="000A7DF2" w:rsidP="003410A6">
            <w:pPr>
              <w:pStyle w:val="Tabletext"/>
              <w:rPr>
                <w:b/>
                <w:bCs w:val="0"/>
              </w:rPr>
            </w:pPr>
          </w:p>
        </w:tc>
        <w:tc>
          <w:tcPr>
            <w:tcW w:w="2350" w:type="dxa"/>
            <w:tcBorders>
              <w:top w:val="single" w:sz="4" w:space="0" w:color="000000"/>
              <w:left w:val="single" w:sz="4" w:space="0" w:color="000000"/>
              <w:bottom w:val="single" w:sz="4" w:space="0" w:color="000000"/>
              <w:right w:val="single" w:sz="4" w:space="0" w:color="000000"/>
            </w:tcBorders>
          </w:tcPr>
          <w:p w14:paraId="50915800" w14:textId="77777777" w:rsidR="000A7DF2" w:rsidRPr="00823C46" w:rsidRDefault="000A7DF2" w:rsidP="003410A6">
            <w:pPr>
              <w:pStyle w:val="Tabletext"/>
              <w:rPr>
                <w:b/>
                <w:bCs w:val="0"/>
              </w:rPr>
            </w:pPr>
          </w:p>
        </w:tc>
      </w:tr>
      <w:tr w:rsidR="000A7DF2" w:rsidRPr="001032A3" w14:paraId="65AF3022" w14:textId="77777777">
        <w:trPr>
          <w:jc w:val="center"/>
        </w:trPr>
        <w:tc>
          <w:tcPr>
            <w:tcW w:w="4968" w:type="dxa"/>
            <w:tcBorders>
              <w:top w:val="single" w:sz="4" w:space="0" w:color="000000"/>
              <w:left w:val="single" w:sz="4" w:space="0" w:color="000000"/>
              <w:bottom w:val="single" w:sz="4" w:space="0" w:color="000000"/>
            </w:tcBorders>
          </w:tcPr>
          <w:p w14:paraId="0D77AA0D" w14:textId="77777777" w:rsidR="000A7DF2" w:rsidRPr="001032A3" w:rsidRDefault="000A7DF2" w:rsidP="003410A6">
            <w:pPr>
              <w:pStyle w:val="Tabletext"/>
            </w:pPr>
            <w:r w:rsidRPr="001032A3">
              <w:t>Capex</w:t>
            </w:r>
          </w:p>
        </w:tc>
        <w:tc>
          <w:tcPr>
            <w:tcW w:w="1980" w:type="dxa"/>
            <w:tcBorders>
              <w:top w:val="single" w:sz="4" w:space="0" w:color="000000"/>
              <w:left w:val="single" w:sz="4" w:space="0" w:color="000000"/>
              <w:bottom w:val="single" w:sz="4" w:space="0" w:color="000000"/>
            </w:tcBorders>
          </w:tcPr>
          <w:p w14:paraId="42C3680C"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5D7B7E75" w14:textId="77777777" w:rsidR="000A7DF2" w:rsidRPr="001032A3" w:rsidRDefault="000A7DF2" w:rsidP="003410A6">
            <w:pPr>
              <w:pStyle w:val="Tabletext"/>
            </w:pPr>
          </w:p>
        </w:tc>
      </w:tr>
      <w:tr w:rsidR="000A7DF2" w:rsidRPr="001032A3" w14:paraId="45E724EB" w14:textId="77777777">
        <w:trPr>
          <w:jc w:val="center"/>
        </w:trPr>
        <w:tc>
          <w:tcPr>
            <w:tcW w:w="4968" w:type="dxa"/>
            <w:tcBorders>
              <w:top w:val="single" w:sz="4" w:space="0" w:color="000000"/>
              <w:left w:val="single" w:sz="4" w:space="0" w:color="000000"/>
              <w:bottom w:val="single" w:sz="4" w:space="0" w:color="000000"/>
            </w:tcBorders>
          </w:tcPr>
          <w:p w14:paraId="0CD67C32" w14:textId="77777777" w:rsidR="000A7DF2" w:rsidRPr="001032A3" w:rsidRDefault="000A7DF2" w:rsidP="003410A6">
            <w:pPr>
              <w:pStyle w:val="Tabletext"/>
            </w:pPr>
            <w:r w:rsidRPr="001032A3">
              <w:t>Opex</w:t>
            </w:r>
          </w:p>
        </w:tc>
        <w:tc>
          <w:tcPr>
            <w:tcW w:w="1980" w:type="dxa"/>
            <w:tcBorders>
              <w:top w:val="single" w:sz="4" w:space="0" w:color="000000"/>
              <w:left w:val="single" w:sz="4" w:space="0" w:color="000000"/>
              <w:bottom w:val="single" w:sz="4" w:space="0" w:color="000000"/>
            </w:tcBorders>
          </w:tcPr>
          <w:p w14:paraId="1B673699"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61A65A68" w14:textId="77777777" w:rsidR="000A7DF2" w:rsidRPr="001032A3" w:rsidRDefault="000A7DF2" w:rsidP="003410A6">
            <w:pPr>
              <w:pStyle w:val="Tabletext"/>
            </w:pPr>
          </w:p>
        </w:tc>
      </w:tr>
      <w:tr w:rsidR="000A7DF2" w:rsidRPr="001032A3" w14:paraId="3F92BEBE" w14:textId="77777777">
        <w:trPr>
          <w:jc w:val="center"/>
        </w:trPr>
        <w:tc>
          <w:tcPr>
            <w:tcW w:w="4968" w:type="dxa"/>
            <w:tcBorders>
              <w:top w:val="single" w:sz="4" w:space="0" w:color="000000"/>
              <w:left w:val="single" w:sz="4" w:space="0" w:color="000000"/>
              <w:bottom w:val="single" w:sz="4" w:space="0" w:color="000000"/>
            </w:tcBorders>
          </w:tcPr>
          <w:p w14:paraId="4F801CBE" w14:textId="77777777" w:rsidR="000A7DF2" w:rsidRPr="001032A3" w:rsidRDefault="000A7DF2" w:rsidP="003410A6">
            <w:pPr>
              <w:pStyle w:val="Tabletext"/>
            </w:pPr>
          </w:p>
        </w:tc>
        <w:tc>
          <w:tcPr>
            <w:tcW w:w="1980" w:type="dxa"/>
            <w:tcBorders>
              <w:top w:val="single" w:sz="4" w:space="0" w:color="000000"/>
              <w:left w:val="single" w:sz="4" w:space="0" w:color="000000"/>
              <w:bottom w:val="single" w:sz="4" w:space="0" w:color="000000"/>
            </w:tcBorders>
          </w:tcPr>
          <w:p w14:paraId="00DB88E8"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011FE4A2" w14:textId="77777777" w:rsidR="000A7DF2" w:rsidRPr="001032A3" w:rsidRDefault="000A7DF2" w:rsidP="003410A6">
            <w:pPr>
              <w:pStyle w:val="Tabletext"/>
            </w:pPr>
          </w:p>
        </w:tc>
      </w:tr>
      <w:tr w:rsidR="000A7DF2" w:rsidRPr="00823C46" w14:paraId="3CFD9FE7" w14:textId="77777777">
        <w:trPr>
          <w:jc w:val="center"/>
        </w:trPr>
        <w:tc>
          <w:tcPr>
            <w:tcW w:w="4968" w:type="dxa"/>
            <w:tcBorders>
              <w:top w:val="single" w:sz="4" w:space="0" w:color="000000"/>
              <w:left w:val="single" w:sz="4" w:space="0" w:color="000000"/>
              <w:bottom w:val="single" w:sz="4" w:space="0" w:color="000000"/>
            </w:tcBorders>
          </w:tcPr>
          <w:p w14:paraId="7BAC6495" w14:textId="77777777" w:rsidR="000A7DF2" w:rsidRPr="00823C46" w:rsidRDefault="000A7DF2" w:rsidP="003410A6">
            <w:pPr>
              <w:pStyle w:val="Tabletext"/>
              <w:rPr>
                <w:b/>
                <w:bCs w:val="0"/>
                <w:lang w:val="en-US"/>
              </w:rPr>
            </w:pPr>
            <w:r w:rsidRPr="00823C46">
              <w:rPr>
                <w:b/>
                <w:bCs w:val="0"/>
                <w:lang w:val="en-US"/>
              </w:rPr>
              <w:t xml:space="preserve">b) Network management and its operational costs </w:t>
            </w:r>
            <w:r w:rsidRPr="00823C46">
              <w:rPr>
                <w:lang w:val="en-US"/>
              </w:rPr>
              <w:t>(OSS, NOCs, etc.)</w:t>
            </w:r>
          </w:p>
        </w:tc>
        <w:tc>
          <w:tcPr>
            <w:tcW w:w="1980" w:type="dxa"/>
            <w:tcBorders>
              <w:top w:val="single" w:sz="4" w:space="0" w:color="000000"/>
              <w:left w:val="single" w:sz="4" w:space="0" w:color="000000"/>
              <w:bottom w:val="single" w:sz="4" w:space="0" w:color="000000"/>
            </w:tcBorders>
          </w:tcPr>
          <w:p w14:paraId="1F9BACC1" w14:textId="77777777" w:rsidR="000A7DF2" w:rsidRPr="00823C46" w:rsidRDefault="000A7DF2" w:rsidP="003410A6">
            <w:pPr>
              <w:pStyle w:val="Tabletext"/>
              <w:rPr>
                <w:b/>
                <w:bCs w:val="0"/>
                <w:lang w:val="en-US"/>
              </w:rPr>
            </w:pPr>
          </w:p>
        </w:tc>
        <w:tc>
          <w:tcPr>
            <w:tcW w:w="2350" w:type="dxa"/>
            <w:tcBorders>
              <w:top w:val="single" w:sz="4" w:space="0" w:color="000000"/>
              <w:left w:val="single" w:sz="4" w:space="0" w:color="000000"/>
              <w:bottom w:val="single" w:sz="4" w:space="0" w:color="000000"/>
              <w:right w:val="single" w:sz="4" w:space="0" w:color="000000"/>
            </w:tcBorders>
          </w:tcPr>
          <w:p w14:paraId="323F2F12" w14:textId="77777777" w:rsidR="000A7DF2" w:rsidRPr="00823C46" w:rsidRDefault="000A7DF2" w:rsidP="003410A6">
            <w:pPr>
              <w:pStyle w:val="Tabletext"/>
              <w:rPr>
                <w:b/>
                <w:bCs w:val="0"/>
                <w:lang w:val="en-US"/>
              </w:rPr>
            </w:pPr>
          </w:p>
        </w:tc>
      </w:tr>
      <w:tr w:rsidR="000A7DF2" w:rsidRPr="001032A3" w14:paraId="59895779" w14:textId="77777777">
        <w:trPr>
          <w:jc w:val="center"/>
        </w:trPr>
        <w:tc>
          <w:tcPr>
            <w:tcW w:w="4968" w:type="dxa"/>
            <w:tcBorders>
              <w:top w:val="single" w:sz="4" w:space="0" w:color="000000"/>
              <w:left w:val="single" w:sz="4" w:space="0" w:color="000000"/>
              <w:bottom w:val="single" w:sz="4" w:space="0" w:color="000000"/>
            </w:tcBorders>
          </w:tcPr>
          <w:p w14:paraId="68EC3D01" w14:textId="77777777" w:rsidR="000A7DF2" w:rsidRPr="001032A3" w:rsidRDefault="000A7DF2" w:rsidP="003410A6">
            <w:pPr>
              <w:pStyle w:val="Tabletext"/>
            </w:pPr>
            <w:r w:rsidRPr="001032A3">
              <w:t>Capex</w:t>
            </w:r>
          </w:p>
        </w:tc>
        <w:tc>
          <w:tcPr>
            <w:tcW w:w="1980" w:type="dxa"/>
            <w:tcBorders>
              <w:top w:val="single" w:sz="4" w:space="0" w:color="000000"/>
              <w:left w:val="single" w:sz="4" w:space="0" w:color="000000"/>
              <w:bottom w:val="single" w:sz="4" w:space="0" w:color="000000"/>
            </w:tcBorders>
          </w:tcPr>
          <w:p w14:paraId="49ED3245"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2BAE51EA" w14:textId="77777777" w:rsidR="000A7DF2" w:rsidRPr="001032A3" w:rsidRDefault="000A7DF2" w:rsidP="003410A6">
            <w:pPr>
              <w:pStyle w:val="Tabletext"/>
            </w:pPr>
          </w:p>
        </w:tc>
      </w:tr>
      <w:tr w:rsidR="000A7DF2" w:rsidRPr="001032A3" w14:paraId="1A492104" w14:textId="77777777">
        <w:trPr>
          <w:jc w:val="center"/>
        </w:trPr>
        <w:tc>
          <w:tcPr>
            <w:tcW w:w="4968" w:type="dxa"/>
            <w:tcBorders>
              <w:top w:val="single" w:sz="4" w:space="0" w:color="000000"/>
              <w:left w:val="single" w:sz="4" w:space="0" w:color="000000"/>
              <w:bottom w:val="single" w:sz="4" w:space="0" w:color="000000"/>
            </w:tcBorders>
          </w:tcPr>
          <w:p w14:paraId="04ED9228" w14:textId="77777777" w:rsidR="000A7DF2" w:rsidRPr="001032A3" w:rsidRDefault="000A7DF2" w:rsidP="003410A6">
            <w:pPr>
              <w:pStyle w:val="Tabletext"/>
            </w:pPr>
            <w:r w:rsidRPr="001032A3">
              <w:t>Opex</w:t>
            </w:r>
          </w:p>
        </w:tc>
        <w:tc>
          <w:tcPr>
            <w:tcW w:w="1980" w:type="dxa"/>
            <w:tcBorders>
              <w:top w:val="single" w:sz="4" w:space="0" w:color="000000"/>
              <w:left w:val="single" w:sz="4" w:space="0" w:color="000000"/>
              <w:bottom w:val="single" w:sz="4" w:space="0" w:color="000000"/>
            </w:tcBorders>
          </w:tcPr>
          <w:p w14:paraId="290CA9CD"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65DAE9D3" w14:textId="77777777" w:rsidR="000A7DF2" w:rsidRPr="001032A3" w:rsidRDefault="000A7DF2" w:rsidP="003410A6">
            <w:pPr>
              <w:pStyle w:val="Tabletext"/>
            </w:pPr>
          </w:p>
        </w:tc>
      </w:tr>
      <w:tr w:rsidR="000A7DF2" w:rsidRPr="001032A3" w14:paraId="772AB5E8" w14:textId="77777777">
        <w:trPr>
          <w:jc w:val="center"/>
        </w:trPr>
        <w:tc>
          <w:tcPr>
            <w:tcW w:w="4968" w:type="dxa"/>
            <w:tcBorders>
              <w:top w:val="single" w:sz="4" w:space="0" w:color="000000"/>
              <w:left w:val="single" w:sz="4" w:space="0" w:color="000000"/>
              <w:bottom w:val="single" w:sz="4" w:space="0" w:color="000000"/>
            </w:tcBorders>
          </w:tcPr>
          <w:p w14:paraId="0284565F" w14:textId="77777777" w:rsidR="000A7DF2" w:rsidRPr="001032A3" w:rsidRDefault="000A7DF2" w:rsidP="003410A6">
            <w:pPr>
              <w:pStyle w:val="Tabletext"/>
            </w:pPr>
          </w:p>
        </w:tc>
        <w:tc>
          <w:tcPr>
            <w:tcW w:w="1980" w:type="dxa"/>
            <w:tcBorders>
              <w:top w:val="single" w:sz="4" w:space="0" w:color="000000"/>
              <w:left w:val="single" w:sz="4" w:space="0" w:color="000000"/>
              <w:bottom w:val="single" w:sz="4" w:space="0" w:color="000000"/>
            </w:tcBorders>
          </w:tcPr>
          <w:p w14:paraId="29F22BAB"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4A81F898" w14:textId="77777777" w:rsidR="000A7DF2" w:rsidRPr="001032A3" w:rsidRDefault="000A7DF2" w:rsidP="003410A6">
            <w:pPr>
              <w:pStyle w:val="Tabletext"/>
            </w:pPr>
          </w:p>
        </w:tc>
      </w:tr>
      <w:tr w:rsidR="000A7DF2" w:rsidRPr="00823C46" w14:paraId="15A71773" w14:textId="77777777">
        <w:trPr>
          <w:jc w:val="center"/>
        </w:trPr>
        <w:tc>
          <w:tcPr>
            <w:tcW w:w="4968" w:type="dxa"/>
            <w:tcBorders>
              <w:top w:val="single" w:sz="4" w:space="0" w:color="000000"/>
              <w:left w:val="single" w:sz="4" w:space="0" w:color="000000"/>
              <w:bottom w:val="single" w:sz="4" w:space="0" w:color="000000"/>
            </w:tcBorders>
          </w:tcPr>
          <w:p w14:paraId="3C918B8E" w14:textId="77777777" w:rsidR="000A7DF2" w:rsidRPr="00823C46" w:rsidRDefault="000A7DF2" w:rsidP="003410A6">
            <w:pPr>
              <w:pStyle w:val="Tabletext"/>
              <w:rPr>
                <w:b/>
                <w:bCs w:val="0"/>
                <w:lang w:val="en-US"/>
              </w:rPr>
            </w:pPr>
            <w:r w:rsidRPr="00823C46">
              <w:rPr>
                <w:b/>
                <w:bCs w:val="0"/>
                <w:lang w:val="en-US"/>
              </w:rPr>
              <w:t xml:space="preserve">c) Network attachments for roaming costs </w:t>
            </w:r>
            <w:r w:rsidRPr="00823C46">
              <w:rPr>
                <w:lang w:val="en-US"/>
              </w:rPr>
              <w:t>(e.g. CDR capture and storage with mediation)</w:t>
            </w:r>
          </w:p>
        </w:tc>
        <w:tc>
          <w:tcPr>
            <w:tcW w:w="1980" w:type="dxa"/>
            <w:tcBorders>
              <w:top w:val="single" w:sz="4" w:space="0" w:color="000000"/>
              <w:left w:val="single" w:sz="4" w:space="0" w:color="000000"/>
              <w:bottom w:val="single" w:sz="4" w:space="0" w:color="000000"/>
            </w:tcBorders>
          </w:tcPr>
          <w:p w14:paraId="36A38D3F" w14:textId="77777777" w:rsidR="000A7DF2" w:rsidRPr="00823C46" w:rsidRDefault="000A7DF2" w:rsidP="003410A6">
            <w:pPr>
              <w:pStyle w:val="Tabletext"/>
              <w:rPr>
                <w:b/>
                <w:bCs w:val="0"/>
                <w:lang w:val="en-US"/>
              </w:rPr>
            </w:pPr>
          </w:p>
        </w:tc>
        <w:tc>
          <w:tcPr>
            <w:tcW w:w="2350" w:type="dxa"/>
            <w:tcBorders>
              <w:top w:val="single" w:sz="4" w:space="0" w:color="000000"/>
              <w:left w:val="single" w:sz="4" w:space="0" w:color="000000"/>
              <w:bottom w:val="single" w:sz="4" w:space="0" w:color="000000"/>
              <w:right w:val="single" w:sz="4" w:space="0" w:color="000000"/>
            </w:tcBorders>
          </w:tcPr>
          <w:p w14:paraId="3B6E6861" w14:textId="77777777" w:rsidR="000A7DF2" w:rsidRPr="00823C46" w:rsidRDefault="000A7DF2" w:rsidP="003410A6">
            <w:pPr>
              <w:pStyle w:val="Tabletext"/>
              <w:rPr>
                <w:b/>
                <w:bCs w:val="0"/>
                <w:lang w:val="en-US"/>
              </w:rPr>
            </w:pPr>
          </w:p>
        </w:tc>
      </w:tr>
      <w:tr w:rsidR="000A7DF2" w:rsidRPr="001032A3" w14:paraId="14071B80" w14:textId="77777777">
        <w:trPr>
          <w:jc w:val="center"/>
        </w:trPr>
        <w:tc>
          <w:tcPr>
            <w:tcW w:w="4968" w:type="dxa"/>
            <w:tcBorders>
              <w:top w:val="single" w:sz="4" w:space="0" w:color="000000"/>
              <w:left w:val="single" w:sz="4" w:space="0" w:color="000000"/>
              <w:bottom w:val="single" w:sz="4" w:space="0" w:color="000000"/>
            </w:tcBorders>
          </w:tcPr>
          <w:p w14:paraId="463B51D2" w14:textId="77777777" w:rsidR="000A7DF2" w:rsidRPr="001032A3" w:rsidRDefault="000A7DF2" w:rsidP="003410A6">
            <w:pPr>
              <w:pStyle w:val="Tabletext"/>
            </w:pPr>
            <w:r w:rsidRPr="001032A3">
              <w:t>Capex</w:t>
            </w:r>
          </w:p>
        </w:tc>
        <w:tc>
          <w:tcPr>
            <w:tcW w:w="1980" w:type="dxa"/>
            <w:tcBorders>
              <w:top w:val="single" w:sz="4" w:space="0" w:color="000000"/>
              <w:left w:val="single" w:sz="4" w:space="0" w:color="000000"/>
              <w:bottom w:val="single" w:sz="4" w:space="0" w:color="000000"/>
            </w:tcBorders>
          </w:tcPr>
          <w:p w14:paraId="6CBEC439"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6D7A9DDD" w14:textId="77777777" w:rsidR="000A7DF2" w:rsidRPr="001032A3" w:rsidRDefault="000A7DF2" w:rsidP="003410A6">
            <w:pPr>
              <w:pStyle w:val="Tabletext"/>
            </w:pPr>
          </w:p>
        </w:tc>
      </w:tr>
      <w:tr w:rsidR="000A7DF2" w:rsidRPr="001032A3" w14:paraId="1FFA4BA8" w14:textId="77777777">
        <w:trPr>
          <w:jc w:val="center"/>
        </w:trPr>
        <w:tc>
          <w:tcPr>
            <w:tcW w:w="4968" w:type="dxa"/>
            <w:tcBorders>
              <w:top w:val="single" w:sz="4" w:space="0" w:color="000000"/>
              <w:left w:val="single" w:sz="4" w:space="0" w:color="000000"/>
              <w:bottom w:val="single" w:sz="4" w:space="0" w:color="000000"/>
            </w:tcBorders>
          </w:tcPr>
          <w:p w14:paraId="6FB6CCD9" w14:textId="77777777" w:rsidR="000A7DF2" w:rsidRPr="001032A3" w:rsidRDefault="000A7DF2" w:rsidP="003410A6">
            <w:pPr>
              <w:pStyle w:val="Tabletext"/>
            </w:pPr>
            <w:r w:rsidRPr="001032A3">
              <w:t>Opex</w:t>
            </w:r>
          </w:p>
        </w:tc>
        <w:tc>
          <w:tcPr>
            <w:tcW w:w="1980" w:type="dxa"/>
            <w:tcBorders>
              <w:top w:val="single" w:sz="4" w:space="0" w:color="000000"/>
              <w:left w:val="single" w:sz="4" w:space="0" w:color="000000"/>
              <w:bottom w:val="single" w:sz="4" w:space="0" w:color="000000"/>
            </w:tcBorders>
          </w:tcPr>
          <w:p w14:paraId="52DD8862"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17C5F2A4" w14:textId="77777777" w:rsidR="000A7DF2" w:rsidRPr="001032A3" w:rsidRDefault="000A7DF2" w:rsidP="003410A6">
            <w:pPr>
              <w:pStyle w:val="Tabletext"/>
            </w:pPr>
          </w:p>
        </w:tc>
      </w:tr>
      <w:tr w:rsidR="000A7DF2" w:rsidRPr="001032A3" w14:paraId="0F1DA533" w14:textId="77777777">
        <w:trPr>
          <w:jc w:val="center"/>
        </w:trPr>
        <w:tc>
          <w:tcPr>
            <w:tcW w:w="4968" w:type="dxa"/>
            <w:tcBorders>
              <w:top w:val="single" w:sz="4" w:space="0" w:color="000000"/>
              <w:left w:val="single" w:sz="4" w:space="0" w:color="000000"/>
              <w:bottom w:val="single" w:sz="4" w:space="0" w:color="000000"/>
            </w:tcBorders>
          </w:tcPr>
          <w:p w14:paraId="603529D8" w14:textId="77777777" w:rsidR="000A7DF2" w:rsidRPr="001032A3" w:rsidRDefault="000A7DF2" w:rsidP="003410A6">
            <w:pPr>
              <w:pStyle w:val="Tabletext"/>
            </w:pPr>
          </w:p>
        </w:tc>
        <w:tc>
          <w:tcPr>
            <w:tcW w:w="1980" w:type="dxa"/>
            <w:tcBorders>
              <w:top w:val="single" w:sz="4" w:space="0" w:color="000000"/>
              <w:left w:val="single" w:sz="4" w:space="0" w:color="000000"/>
              <w:bottom w:val="single" w:sz="4" w:space="0" w:color="000000"/>
            </w:tcBorders>
          </w:tcPr>
          <w:p w14:paraId="72933E0C"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15C058DC" w14:textId="77777777" w:rsidR="000A7DF2" w:rsidRPr="001032A3" w:rsidRDefault="000A7DF2" w:rsidP="003410A6">
            <w:pPr>
              <w:pStyle w:val="Tabletext"/>
            </w:pPr>
          </w:p>
        </w:tc>
      </w:tr>
      <w:tr w:rsidR="000A7DF2" w:rsidRPr="00823C46" w14:paraId="331BCFB3" w14:textId="77777777">
        <w:trPr>
          <w:jc w:val="center"/>
        </w:trPr>
        <w:tc>
          <w:tcPr>
            <w:tcW w:w="4968" w:type="dxa"/>
            <w:tcBorders>
              <w:top w:val="single" w:sz="4" w:space="0" w:color="000000"/>
              <w:left w:val="single" w:sz="4" w:space="0" w:color="000000"/>
              <w:bottom w:val="single" w:sz="4" w:space="0" w:color="000000"/>
            </w:tcBorders>
          </w:tcPr>
          <w:p w14:paraId="7F574E9F" w14:textId="77777777" w:rsidR="000A7DF2" w:rsidRPr="00823C46" w:rsidRDefault="000A7DF2" w:rsidP="003410A6">
            <w:pPr>
              <w:pStyle w:val="Tabletext"/>
              <w:rPr>
                <w:b/>
                <w:bCs w:val="0"/>
                <w:lang w:val="en-US"/>
              </w:rPr>
            </w:pPr>
            <w:r w:rsidRPr="00823C46">
              <w:rPr>
                <w:b/>
                <w:bCs w:val="0"/>
                <w:lang w:val="en-US"/>
              </w:rPr>
              <w:t>d) Network rollout, support and maintenance operational costs</w:t>
            </w:r>
          </w:p>
        </w:tc>
        <w:tc>
          <w:tcPr>
            <w:tcW w:w="1980" w:type="dxa"/>
            <w:tcBorders>
              <w:top w:val="single" w:sz="4" w:space="0" w:color="000000"/>
              <w:left w:val="single" w:sz="4" w:space="0" w:color="000000"/>
              <w:bottom w:val="single" w:sz="4" w:space="0" w:color="000000"/>
            </w:tcBorders>
          </w:tcPr>
          <w:p w14:paraId="53701356" w14:textId="77777777" w:rsidR="000A7DF2" w:rsidRPr="00823C46" w:rsidRDefault="000A7DF2" w:rsidP="003410A6">
            <w:pPr>
              <w:pStyle w:val="Tabletext"/>
              <w:rPr>
                <w:b/>
                <w:bCs w:val="0"/>
                <w:lang w:val="en-US"/>
              </w:rPr>
            </w:pPr>
          </w:p>
        </w:tc>
        <w:tc>
          <w:tcPr>
            <w:tcW w:w="2350" w:type="dxa"/>
            <w:tcBorders>
              <w:top w:val="single" w:sz="4" w:space="0" w:color="000000"/>
              <w:left w:val="single" w:sz="4" w:space="0" w:color="000000"/>
              <w:bottom w:val="single" w:sz="4" w:space="0" w:color="000000"/>
              <w:right w:val="single" w:sz="4" w:space="0" w:color="000000"/>
            </w:tcBorders>
          </w:tcPr>
          <w:p w14:paraId="0DA2A189" w14:textId="77777777" w:rsidR="000A7DF2" w:rsidRPr="00823C46" w:rsidRDefault="000A7DF2" w:rsidP="003410A6">
            <w:pPr>
              <w:pStyle w:val="Tabletext"/>
              <w:rPr>
                <w:b/>
                <w:bCs w:val="0"/>
                <w:lang w:val="en-US"/>
              </w:rPr>
            </w:pPr>
          </w:p>
        </w:tc>
      </w:tr>
      <w:tr w:rsidR="000A7DF2" w:rsidRPr="001032A3" w14:paraId="2B1E65B4" w14:textId="77777777">
        <w:trPr>
          <w:jc w:val="center"/>
        </w:trPr>
        <w:tc>
          <w:tcPr>
            <w:tcW w:w="4968" w:type="dxa"/>
            <w:tcBorders>
              <w:top w:val="single" w:sz="4" w:space="0" w:color="000000"/>
              <w:left w:val="single" w:sz="4" w:space="0" w:color="000000"/>
              <w:bottom w:val="single" w:sz="4" w:space="0" w:color="000000"/>
            </w:tcBorders>
          </w:tcPr>
          <w:p w14:paraId="4CFBD214" w14:textId="77777777" w:rsidR="000A7DF2" w:rsidRPr="001032A3" w:rsidRDefault="000A7DF2" w:rsidP="003410A6">
            <w:pPr>
              <w:pStyle w:val="Tabletext"/>
            </w:pPr>
            <w:r w:rsidRPr="001032A3">
              <w:t>Capex</w:t>
            </w:r>
          </w:p>
        </w:tc>
        <w:tc>
          <w:tcPr>
            <w:tcW w:w="1980" w:type="dxa"/>
            <w:tcBorders>
              <w:top w:val="single" w:sz="4" w:space="0" w:color="000000"/>
              <w:left w:val="single" w:sz="4" w:space="0" w:color="000000"/>
              <w:bottom w:val="single" w:sz="4" w:space="0" w:color="000000"/>
            </w:tcBorders>
          </w:tcPr>
          <w:p w14:paraId="73B7311D"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55E41C4C" w14:textId="77777777" w:rsidR="000A7DF2" w:rsidRPr="001032A3" w:rsidRDefault="000A7DF2" w:rsidP="003410A6">
            <w:pPr>
              <w:pStyle w:val="Tabletext"/>
            </w:pPr>
          </w:p>
        </w:tc>
      </w:tr>
      <w:tr w:rsidR="000A7DF2" w:rsidRPr="001032A3" w14:paraId="750B9A22" w14:textId="77777777">
        <w:trPr>
          <w:jc w:val="center"/>
        </w:trPr>
        <w:tc>
          <w:tcPr>
            <w:tcW w:w="4968" w:type="dxa"/>
            <w:tcBorders>
              <w:top w:val="single" w:sz="4" w:space="0" w:color="000000"/>
              <w:left w:val="single" w:sz="4" w:space="0" w:color="000000"/>
              <w:bottom w:val="single" w:sz="4" w:space="0" w:color="000000"/>
            </w:tcBorders>
          </w:tcPr>
          <w:p w14:paraId="483078EA" w14:textId="77777777" w:rsidR="000A7DF2" w:rsidRPr="001032A3" w:rsidRDefault="000A7DF2" w:rsidP="003410A6">
            <w:pPr>
              <w:pStyle w:val="Tabletext"/>
            </w:pPr>
            <w:r w:rsidRPr="001032A3">
              <w:t>Opex</w:t>
            </w:r>
          </w:p>
        </w:tc>
        <w:tc>
          <w:tcPr>
            <w:tcW w:w="1980" w:type="dxa"/>
            <w:tcBorders>
              <w:top w:val="single" w:sz="4" w:space="0" w:color="000000"/>
              <w:left w:val="single" w:sz="4" w:space="0" w:color="000000"/>
              <w:bottom w:val="single" w:sz="4" w:space="0" w:color="000000"/>
            </w:tcBorders>
          </w:tcPr>
          <w:p w14:paraId="069B90A3"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190878B6" w14:textId="77777777" w:rsidR="000A7DF2" w:rsidRPr="001032A3" w:rsidRDefault="000A7DF2" w:rsidP="003410A6">
            <w:pPr>
              <w:pStyle w:val="Tabletext"/>
            </w:pPr>
          </w:p>
        </w:tc>
      </w:tr>
      <w:tr w:rsidR="000A7DF2" w:rsidRPr="001032A3" w14:paraId="08FA3C03" w14:textId="77777777">
        <w:trPr>
          <w:jc w:val="center"/>
        </w:trPr>
        <w:tc>
          <w:tcPr>
            <w:tcW w:w="4968" w:type="dxa"/>
            <w:tcBorders>
              <w:top w:val="single" w:sz="4" w:space="0" w:color="000000"/>
              <w:left w:val="single" w:sz="4" w:space="0" w:color="000000"/>
              <w:bottom w:val="single" w:sz="4" w:space="0" w:color="000000"/>
            </w:tcBorders>
          </w:tcPr>
          <w:p w14:paraId="5924F725" w14:textId="77777777" w:rsidR="000A7DF2" w:rsidRPr="001032A3" w:rsidRDefault="000A7DF2" w:rsidP="003410A6">
            <w:pPr>
              <w:pStyle w:val="Tabletext"/>
            </w:pPr>
          </w:p>
        </w:tc>
        <w:tc>
          <w:tcPr>
            <w:tcW w:w="1980" w:type="dxa"/>
            <w:tcBorders>
              <w:top w:val="single" w:sz="4" w:space="0" w:color="000000"/>
              <w:left w:val="single" w:sz="4" w:space="0" w:color="000000"/>
              <w:bottom w:val="single" w:sz="4" w:space="0" w:color="000000"/>
            </w:tcBorders>
          </w:tcPr>
          <w:p w14:paraId="7A2A3CC0"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41698AAF" w14:textId="77777777" w:rsidR="000A7DF2" w:rsidRPr="001032A3" w:rsidRDefault="000A7DF2" w:rsidP="003410A6">
            <w:pPr>
              <w:pStyle w:val="Tabletext"/>
            </w:pPr>
          </w:p>
        </w:tc>
      </w:tr>
      <w:tr w:rsidR="000A7DF2" w:rsidRPr="00823C46" w14:paraId="39A1AFCA" w14:textId="77777777">
        <w:trPr>
          <w:jc w:val="center"/>
        </w:trPr>
        <w:tc>
          <w:tcPr>
            <w:tcW w:w="4968" w:type="dxa"/>
            <w:tcBorders>
              <w:top w:val="single" w:sz="4" w:space="0" w:color="000000"/>
              <w:left w:val="single" w:sz="4" w:space="0" w:color="000000"/>
              <w:bottom w:val="single" w:sz="4" w:space="0" w:color="000000"/>
            </w:tcBorders>
          </w:tcPr>
          <w:p w14:paraId="02DCE9CE" w14:textId="77777777" w:rsidR="000A7DF2" w:rsidRPr="00823C46" w:rsidRDefault="000A7DF2" w:rsidP="003410A6">
            <w:pPr>
              <w:pStyle w:val="Tabletext"/>
              <w:rPr>
                <w:b/>
                <w:bCs w:val="0"/>
              </w:rPr>
            </w:pPr>
            <w:r w:rsidRPr="00823C46">
              <w:rPr>
                <w:b/>
                <w:bCs w:val="0"/>
              </w:rPr>
              <w:t>e) IT elements</w:t>
            </w:r>
          </w:p>
        </w:tc>
        <w:tc>
          <w:tcPr>
            <w:tcW w:w="1980" w:type="dxa"/>
            <w:tcBorders>
              <w:top w:val="single" w:sz="4" w:space="0" w:color="000000"/>
              <w:left w:val="single" w:sz="4" w:space="0" w:color="000000"/>
              <w:bottom w:val="single" w:sz="4" w:space="0" w:color="000000"/>
            </w:tcBorders>
          </w:tcPr>
          <w:p w14:paraId="7002257A" w14:textId="77777777" w:rsidR="000A7DF2" w:rsidRPr="00823C46" w:rsidRDefault="000A7DF2" w:rsidP="003410A6">
            <w:pPr>
              <w:pStyle w:val="Tabletext"/>
              <w:rPr>
                <w:b/>
                <w:bCs w:val="0"/>
              </w:rPr>
            </w:pPr>
          </w:p>
        </w:tc>
        <w:tc>
          <w:tcPr>
            <w:tcW w:w="2350" w:type="dxa"/>
            <w:tcBorders>
              <w:top w:val="single" w:sz="4" w:space="0" w:color="000000"/>
              <w:left w:val="single" w:sz="4" w:space="0" w:color="000000"/>
              <w:bottom w:val="single" w:sz="4" w:space="0" w:color="000000"/>
              <w:right w:val="single" w:sz="4" w:space="0" w:color="000000"/>
            </w:tcBorders>
          </w:tcPr>
          <w:p w14:paraId="1D64A885" w14:textId="77777777" w:rsidR="000A7DF2" w:rsidRPr="00823C46" w:rsidRDefault="000A7DF2" w:rsidP="003410A6">
            <w:pPr>
              <w:pStyle w:val="Tabletext"/>
              <w:rPr>
                <w:b/>
                <w:bCs w:val="0"/>
              </w:rPr>
            </w:pPr>
          </w:p>
        </w:tc>
      </w:tr>
      <w:tr w:rsidR="000A7DF2" w:rsidRPr="001032A3" w14:paraId="71C3E7F2" w14:textId="77777777">
        <w:trPr>
          <w:jc w:val="center"/>
        </w:trPr>
        <w:tc>
          <w:tcPr>
            <w:tcW w:w="4968" w:type="dxa"/>
            <w:tcBorders>
              <w:top w:val="single" w:sz="4" w:space="0" w:color="000000"/>
              <w:left w:val="single" w:sz="4" w:space="0" w:color="000000"/>
              <w:bottom w:val="single" w:sz="4" w:space="0" w:color="000000"/>
            </w:tcBorders>
          </w:tcPr>
          <w:p w14:paraId="0AE19813" w14:textId="77777777" w:rsidR="000A7DF2" w:rsidRPr="001032A3" w:rsidRDefault="000A7DF2" w:rsidP="003410A6">
            <w:pPr>
              <w:pStyle w:val="Tabletext"/>
            </w:pPr>
            <w:r w:rsidRPr="001032A3">
              <w:t>Total Capex</w:t>
            </w:r>
          </w:p>
        </w:tc>
        <w:tc>
          <w:tcPr>
            <w:tcW w:w="1980" w:type="dxa"/>
            <w:tcBorders>
              <w:top w:val="single" w:sz="4" w:space="0" w:color="000000"/>
              <w:left w:val="single" w:sz="4" w:space="0" w:color="000000"/>
              <w:bottom w:val="single" w:sz="4" w:space="0" w:color="000000"/>
            </w:tcBorders>
          </w:tcPr>
          <w:p w14:paraId="0B93D384"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412634C9" w14:textId="77777777" w:rsidR="000A7DF2" w:rsidRPr="001032A3" w:rsidRDefault="000A7DF2" w:rsidP="003410A6">
            <w:pPr>
              <w:pStyle w:val="Tabletext"/>
            </w:pPr>
          </w:p>
        </w:tc>
      </w:tr>
      <w:tr w:rsidR="000A7DF2" w:rsidRPr="001032A3" w14:paraId="2A2178B4" w14:textId="77777777">
        <w:trPr>
          <w:jc w:val="center"/>
        </w:trPr>
        <w:tc>
          <w:tcPr>
            <w:tcW w:w="4968" w:type="dxa"/>
            <w:tcBorders>
              <w:top w:val="single" w:sz="4" w:space="0" w:color="000000"/>
              <w:left w:val="single" w:sz="4" w:space="0" w:color="000000"/>
              <w:bottom w:val="single" w:sz="4" w:space="0" w:color="000000"/>
            </w:tcBorders>
          </w:tcPr>
          <w:p w14:paraId="03A62275" w14:textId="77777777" w:rsidR="000A7DF2" w:rsidRPr="001032A3" w:rsidRDefault="000A7DF2" w:rsidP="003410A6">
            <w:pPr>
              <w:pStyle w:val="Tabletext"/>
            </w:pPr>
            <w:r w:rsidRPr="001032A3">
              <w:t>Total Opex</w:t>
            </w:r>
          </w:p>
        </w:tc>
        <w:tc>
          <w:tcPr>
            <w:tcW w:w="1980" w:type="dxa"/>
            <w:tcBorders>
              <w:top w:val="single" w:sz="4" w:space="0" w:color="000000"/>
              <w:left w:val="single" w:sz="4" w:space="0" w:color="000000"/>
              <w:bottom w:val="single" w:sz="4" w:space="0" w:color="000000"/>
            </w:tcBorders>
          </w:tcPr>
          <w:p w14:paraId="17849994"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550489A6" w14:textId="77777777" w:rsidR="000A7DF2" w:rsidRPr="001032A3" w:rsidRDefault="000A7DF2" w:rsidP="003410A6">
            <w:pPr>
              <w:pStyle w:val="Tabletext"/>
            </w:pPr>
          </w:p>
        </w:tc>
      </w:tr>
      <w:tr w:rsidR="000A7DF2" w:rsidRPr="001032A3" w14:paraId="34ECA52C" w14:textId="77777777">
        <w:trPr>
          <w:jc w:val="center"/>
        </w:trPr>
        <w:tc>
          <w:tcPr>
            <w:tcW w:w="4968" w:type="dxa"/>
            <w:tcBorders>
              <w:top w:val="single" w:sz="4" w:space="0" w:color="000000"/>
              <w:left w:val="single" w:sz="4" w:space="0" w:color="000000"/>
              <w:bottom w:val="single" w:sz="4" w:space="0" w:color="000000"/>
            </w:tcBorders>
          </w:tcPr>
          <w:p w14:paraId="61204B3C" w14:textId="77777777" w:rsidR="000A7DF2" w:rsidRPr="001032A3" w:rsidRDefault="000A7DF2" w:rsidP="003410A6">
            <w:pPr>
              <w:pStyle w:val="Tabletext"/>
            </w:pPr>
          </w:p>
        </w:tc>
        <w:tc>
          <w:tcPr>
            <w:tcW w:w="1980" w:type="dxa"/>
            <w:tcBorders>
              <w:top w:val="single" w:sz="4" w:space="0" w:color="000000"/>
              <w:left w:val="single" w:sz="4" w:space="0" w:color="000000"/>
              <w:bottom w:val="single" w:sz="4" w:space="0" w:color="000000"/>
            </w:tcBorders>
          </w:tcPr>
          <w:p w14:paraId="2EF31F54"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4005ADE3" w14:textId="77777777" w:rsidR="000A7DF2" w:rsidRPr="001032A3" w:rsidRDefault="000A7DF2" w:rsidP="003410A6">
            <w:pPr>
              <w:pStyle w:val="Tabletext"/>
            </w:pPr>
          </w:p>
        </w:tc>
      </w:tr>
      <w:tr w:rsidR="000A7DF2" w:rsidRPr="00823C46" w14:paraId="300D9FF4" w14:textId="77777777">
        <w:trPr>
          <w:jc w:val="center"/>
        </w:trPr>
        <w:tc>
          <w:tcPr>
            <w:tcW w:w="4968" w:type="dxa"/>
            <w:tcBorders>
              <w:top w:val="single" w:sz="4" w:space="0" w:color="000000"/>
              <w:left w:val="single" w:sz="4" w:space="0" w:color="000000"/>
              <w:bottom w:val="single" w:sz="4" w:space="0" w:color="000000"/>
            </w:tcBorders>
          </w:tcPr>
          <w:p w14:paraId="75895C4D" w14:textId="77777777" w:rsidR="000A7DF2" w:rsidRPr="00823C46" w:rsidRDefault="000A7DF2" w:rsidP="003410A6">
            <w:pPr>
              <w:pStyle w:val="Tabletext"/>
              <w:rPr>
                <w:b/>
                <w:bCs w:val="0"/>
                <w:lang w:val="en-US"/>
              </w:rPr>
            </w:pPr>
            <w:r w:rsidRPr="00823C46">
              <w:rPr>
                <w:b/>
                <w:bCs w:val="0"/>
                <w:lang w:val="en-US"/>
              </w:rPr>
              <w:t>f) Software</w:t>
            </w:r>
            <w:r w:rsidRPr="00823C46">
              <w:rPr>
                <w:lang w:val="en-US"/>
              </w:rPr>
              <w:t>, e.g. billing and customer care</w:t>
            </w:r>
          </w:p>
        </w:tc>
        <w:tc>
          <w:tcPr>
            <w:tcW w:w="1980" w:type="dxa"/>
            <w:tcBorders>
              <w:top w:val="single" w:sz="4" w:space="0" w:color="000000"/>
              <w:left w:val="single" w:sz="4" w:space="0" w:color="000000"/>
              <w:bottom w:val="single" w:sz="4" w:space="0" w:color="000000"/>
            </w:tcBorders>
          </w:tcPr>
          <w:p w14:paraId="31A6F594" w14:textId="77777777" w:rsidR="000A7DF2" w:rsidRPr="00823C46" w:rsidRDefault="000A7DF2" w:rsidP="003410A6">
            <w:pPr>
              <w:pStyle w:val="Tabletext"/>
              <w:rPr>
                <w:b/>
                <w:bCs w:val="0"/>
                <w:lang w:val="en-US"/>
              </w:rPr>
            </w:pPr>
          </w:p>
        </w:tc>
        <w:tc>
          <w:tcPr>
            <w:tcW w:w="2350" w:type="dxa"/>
            <w:tcBorders>
              <w:top w:val="single" w:sz="4" w:space="0" w:color="000000"/>
              <w:left w:val="single" w:sz="4" w:space="0" w:color="000000"/>
              <w:bottom w:val="single" w:sz="4" w:space="0" w:color="000000"/>
              <w:right w:val="single" w:sz="4" w:space="0" w:color="000000"/>
            </w:tcBorders>
          </w:tcPr>
          <w:p w14:paraId="6D27EF20" w14:textId="77777777" w:rsidR="000A7DF2" w:rsidRPr="00823C46" w:rsidRDefault="000A7DF2" w:rsidP="003410A6">
            <w:pPr>
              <w:pStyle w:val="Tabletext"/>
              <w:rPr>
                <w:b/>
                <w:bCs w:val="0"/>
                <w:lang w:val="en-US"/>
              </w:rPr>
            </w:pPr>
          </w:p>
        </w:tc>
      </w:tr>
      <w:tr w:rsidR="000A7DF2" w:rsidRPr="001032A3" w14:paraId="64DF84B7" w14:textId="77777777">
        <w:trPr>
          <w:jc w:val="center"/>
        </w:trPr>
        <w:tc>
          <w:tcPr>
            <w:tcW w:w="4968" w:type="dxa"/>
            <w:tcBorders>
              <w:top w:val="single" w:sz="4" w:space="0" w:color="000000"/>
              <w:left w:val="single" w:sz="4" w:space="0" w:color="000000"/>
              <w:bottom w:val="single" w:sz="4" w:space="0" w:color="000000"/>
            </w:tcBorders>
          </w:tcPr>
          <w:p w14:paraId="15BE1AE6" w14:textId="77777777" w:rsidR="000A7DF2" w:rsidRPr="001032A3" w:rsidRDefault="000A7DF2" w:rsidP="003410A6">
            <w:pPr>
              <w:pStyle w:val="Tabletext"/>
            </w:pPr>
            <w:r w:rsidRPr="001032A3">
              <w:t>Capex</w:t>
            </w:r>
          </w:p>
        </w:tc>
        <w:tc>
          <w:tcPr>
            <w:tcW w:w="1980" w:type="dxa"/>
            <w:tcBorders>
              <w:top w:val="single" w:sz="4" w:space="0" w:color="000000"/>
              <w:left w:val="single" w:sz="4" w:space="0" w:color="000000"/>
              <w:bottom w:val="single" w:sz="4" w:space="0" w:color="000000"/>
            </w:tcBorders>
          </w:tcPr>
          <w:p w14:paraId="391AB96E"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51487C90" w14:textId="77777777" w:rsidR="000A7DF2" w:rsidRPr="001032A3" w:rsidRDefault="000A7DF2" w:rsidP="003410A6">
            <w:pPr>
              <w:pStyle w:val="Tabletext"/>
            </w:pPr>
          </w:p>
        </w:tc>
      </w:tr>
      <w:tr w:rsidR="000A7DF2" w:rsidRPr="001032A3" w14:paraId="0BE91850" w14:textId="77777777">
        <w:trPr>
          <w:jc w:val="center"/>
        </w:trPr>
        <w:tc>
          <w:tcPr>
            <w:tcW w:w="4968" w:type="dxa"/>
            <w:tcBorders>
              <w:top w:val="single" w:sz="4" w:space="0" w:color="000000"/>
              <w:left w:val="single" w:sz="4" w:space="0" w:color="000000"/>
              <w:bottom w:val="single" w:sz="4" w:space="0" w:color="000000"/>
            </w:tcBorders>
          </w:tcPr>
          <w:p w14:paraId="6DF3499A" w14:textId="77777777" w:rsidR="000A7DF2" w:rsidRPr="001032A3" w:rsidRDefault="000A7DF2" w:rsidP="003410A6">
            <w:pPr>
              <w:pStyle w:val="Tabletext"/>
            </w:pPr>
            <w:r w:rsidRPr="001032A3">
              <w:t>Opex</w:t>
            </w:r>
          </w:p>
        </w:tc>
        <w:tc>
          <w:tcPr>
            <w:tcW w:w="1980" w:type="dxa"/>
            <w:tcBorders>
              <w:top w:val="single" w:sz="4" w:space="0" w:color="000000"/>
              <w:left w:val="single" w:sz="4" w:space="0" w:color="000000"/>
              <w:bottom w:val="single" w:sz="4" w:space="0" w:color="000000"/>
            </w:tcBorders>
          </w:tcPr>
          <w:p w14:paraId="295B9315"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3926431A" w14:textId="77777777" w:rsidR="000A7DF2" w:rsidRPr="001032A3" w:rsidRDefault="000A7DF2" w:rsidP="003410A6">
            <w:pPr>
              <w:pStyle w:val="Tabletext"/>
            </w:pPr>
          </w:p>
        </w:tc>
      </w:tr>
      <w:tr w:rsidR="000A7DF2" w:rsidRPr="001032A3" w14:paraId="1A2D9656" w14:textId="77777777">
        <w:trPr>
          <w:jc w:val="center"/>
        </w:trPr>
        <w:tc>
          <w:tcPr>
            <w:tcW w:w="4968" w:type="dxa"/>
            <w:tcBorders>
              <w:top w:val="single" w:sz="4" w:space="0" w:color="000000"/>
              <w:left w:val="single" w:sz="4" w:space="0" w:color="000000"/>
              <w:bottom w:val="single" w:sz="4" w:space="0" w:color="000000"/>
            </w:tcBorders>
          </w:tcPr>
          <w:p w14:paraId="08565CB4" w14:textId="77777777" w:rsidR="000A7DF2" w:rsidRPr="001032A3" w:rsidRDefault="000A7DF2" w:rsidP="003410A6">
            <w:pPr>
              <w:pStyle w:val="Tabletext"/>
            </w:pPr>
          </w:p>
        </w:tc>
        <w:tc>
          <w:tcPr>
            <w:tcW w:w="1980" w:type="dxa"/>
            <w:tcBorders>
              <w:top w:val="single" w:sz="4" w:space="0" w:color="000000"/>
              <w:left w:val="single" w:sz="4" w:space="0" w:color="000000"/>
              <w:bottom w:val="single" w:sz="4" w:space="0" w:color="000000"/>
            </w:tcBorders>
          </w:tcPr>
          <w:p w14:paraId="742F1C3C"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4E5B2880" w14:textId="77777777" w:rsidR="000A7DF2" w:rsidRPr="001032A3" w:rsidRDefault="000A7DF2" w:rsidP="003410A6">
            <w:pPr>
              <w:pStyle w:val="Tabletext"/>
            </w:pPr>
          </w:p>
        </w:tc>
      </w:tr>
      <w:tr w:rsidR="000A7DF2" w:rsidRPr="001032A3" w14:paraId="453D743F" w14:textId="77777777">
        <w:trPr>
          <w:jc w:val="center"/>
        </w:trPr>
        <w:tc>
          <w:tcPr>
            <w:tcW w:w="4968" w:type="dxa"/>
            <w:tcBorders>
              <w:top w:val="single" w:sz="4" w:space="0" w:color="000000"/>
              <w:left w:val="single" w:sz="4" w:space="0" w:color="000000"/>
              <w:bottom w:val="single" w:sz="4" w:space="0" w:color="000000"/>
            </w:tcBorders>
          </w:tcPr>
          <w:p w14:paraId="61ED20EE" w14:textId="77777777" w:rsidR="000A7DF2" w:rsidRPr="001032A3" w:rsidRDefault="000A7DF2" w:rsidP="003410A6">
            <w:pPr>
              <w:pStyle w:val="Tabletext"/>
            </w:pPr>
            <w:r w:rsidRPr="001032A3">
              <w:t>g) IT Hardware</w:t>
            </w:r>
          </w:p>
        </w:tc>
        <w:tc>
          <w:tcPr>
            <w:tcW w:w="1980" w:type="dxa"/>
            <w:tcBorders>
              <w:top w:val="single" w:sz="4" w:space="0" w:color="000000"/>
              <w:left w:val="single" w:sz="4" w:space="0" w:color="000000"/>
              <w:bottom w:val="single" w:sz="4" w:space="0" w:color="000000"/>
            </w:tcBorders>
          </w:tcPr>
          <w:p w14:paraId="6115336F"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05631586" w14:textId="77777777" w:rsidR="000A7DF2" w:rsidRPr="001032A3" w:rsidRDefault="000A7DF2" w:rsidP="003410A6">
            <w:pPr>
              <w:pStyle w:val="Tabletext"/>
            </w:pPr>
          </w:p>
        </w:tc>
      </w:tr>
      <w:tr w:rsidR="000A7DF2" w:rsidRPr="001032A3" w14:paraId="2AC2C2F8" w14:textId="77777777">
        <w:trPr>
          <w:jc w:val="center"/>
        </w:trPr>
        <w:tc>
          <w:tcPr>
            <w:tcW w:w="4968" w:type="dxa"/>
            <w:tcBorders>
              <w:top w:val="single" w:sz="4" w:space="0" w:color="000000"/>
              <w:left w:val="single" w:sz="4" w:space="0" w:color="000000"/>
              <w:bottom w:val="single" w:sz="4" w:space="0" w:color="000000"/>
            </w:tcBorders>
          </w:tcPr>
          <w:p w14:paraId="61A16210" w14:textId="77777777" w:rsidR="000A7DF2" w:rsidRPr="001032A3" w:rsidRDefault="000A7DF2" w:rsidP="003410A6">
            <w:pPr>
              <w:pStyle w:val="Tabletext"/>
            </w:pPr>
            <w:r w:rsidRPr="001032A3">
              <w:t>Capex</w:t>
            </w:r>
          </w:p>
        </w:tc>
        <w:tc>
          <w:tcPr>
            <w:tcW w:w="1980" w:type="dxa"/>
            <w:tcBorders>
              <w:top w:val="single" w:sz="4" w:space="0" w:color="000000"/>
              <w:left w:val="single" w:sz="4" w:space="0" w:color="000000"/>
              <w:bottom w:val="single" w:sz="4" w:space="0" w:color="000000"/>
            </w:tcBorders>
          </w:tcPr>
          <w:p w14:paraId="073BDD1A"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1E9DE765" w14:textId="77777777" w:rsidR="000A7DF2" w:rsidRPr="001032A3" w:rsidRDefault="000A7DF2" w:rsidP="003410A6">
            <w:pPr>
              <w:pStyle w:val="Tabletext"/>
            </w:pPr>
          </w:p>
        </w:tc>
      </w:tr>
      <w:tr w:rsidR="000A7DF2" w:rsidRPr="001032A3" w14:paraId="470080A9" w14:textId="77777777">
        <w:trPr>
          <w:jc w:val="center"/>
        </w:trPr>
        <w:tc>
          <w:tcPr>
            <w:tcW w:w="4968" w:type="dxa"/>
            <w:tcBorders>
              <w:top w:val="single" w:sz="4" w:space="0" w:color="000000"/>
              <w:left w:val="single" w:sz="4" w:space="0" w:color="000000"/>
              <w:bottom w:val="single" w:sz="4" w:space="0" w:color="000000"/>
            </w:tcBorders>
          </w:tcPr>
          <w:p w14:paraId="0CBE5D31" w14:textId="77777777" w:rsidR="000A7DF2" w:rsidRPr="001032A3" w:rsidRDefault="000A7DF2" w:rsidP="003410A6">
            <w:pPr>
              <w:pStyle w:val="Tabletext"/>
            </w:pPr>
            <w:r w:rsidRPr="001032A3">
              <w:t>Opex</w:t>
            </w:r>
          </w:p>
        </w:tc>
        <w:tc>
          <w:tcPr>
            <w:tcW w:w="1980" w:type="dxa"/>
            <w:tcBorders>
              <w:top w:val="single" w:sz="4" w:space="0" w:color="000000"/>
              <w:left w:val="single" w:sz="4" w:space="0" w:color="000000"/>
              <w:bottom w:val="single" w:sz="4" w:space="0" w:color="000000"/>
            </w:tcBorders>
          </w:tcPr>
          <w:p w14:paraId="7E09E402"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5C7D1E4E" w14:textId="77777777" w:rsidR="000A7DF2" w:rsidRPr="001032A3" w:rsidRDefault="000A7DF2" w:rsidP="003410A6">
            <w:pPr>
              <w:pStyle w:val="Tabletext"/>
            </w:pPr>
          </w:p>
        </w:tc>
      </w:tr>
      <w:tr w:rsidR="000A7DF2" w:rsidRPr="001032A3" w14:paraId="4B2DF37C" w14:textId="77777777">
        <w:trPr>
          <w:jc w:val="center"/>
        </w:trPr>
        <w:tc>
          <w:tcPr>
            <w:tcW w:w="4968" w:type="dxa"/>
            <w:tcBorders>
              <w:top w:val="single" w:sz="4" w:space="0" w:color="000000"/>
              <w:left w:val="single" w:sz="4" w:space="0" w:color="000000"/>
              <w:bottom w:val="single" w:sz="4" w:space="0" w:color="000000"/>
            </w:tcBorders>
          </w:tcPr>
          <w:p w14:paraId="7954A391" w14:textId="77777777" w:rsidR="000A7DF2" w:rsidRPr="00234CBB" w:rsidRDefault="000A7DF2" w:rsidP="003410A6">
            <w:pPr>
              <w:pStyle w:val="Tabletext"/>
              <w:rPr>
                <w:lang w:val="en-US"/>
              </w:rPr>
            </w:pPr>
            <w:r w:rsidRPr="00823C46">
              <w:rPr>
                <w:b/>
                <w:bCs w:val="0"/>
                <w:lang w:val="en-US"/>
              </w:rPr>
              <w:t>h) IT Operations including data centres and their support services</w:t>
            </w:r>
            <w:r w:rsidRPr="00234CBB">
              <w:rPr>
                <w:lang w:val="en-US"/>
              </w:rPr>
              <w:t xml:space="preserve"> (e.g. power)</w:t>
            </w:r>
          </w:p>
        </w:tc>
        <w:tc>
          <w:tcPr>
            <w:tcW w:w="1980" w:type="dxa"/>
            <w:tcBorders>
              <w:top w:val="single" w:sz="4" w:space="0" w:color="000000"/>
              <w:left w:val="single" w:sz="4" w:space="0" w:color="000000"/>
              <w:bottom w:val="single" w:sz="4" w:space="0" w:color="000000"/>
            </w:tcBorders>
          </w:tcPr>
          <w:p w14:paraId="3F13D927" w14:textId="77777777" w:rsidR="000A7DF2" w:rsidRPr="00234CBB" w:rsidRDefault="000A7DF2" w:rsidP="003410A6">
            <w:pPr>
              <w:pStyle w:val="Tabletext"/>
              <w:rPr>
                <w:lang w:val="en-US"/>
              </w:rPr>
            </w:pPr>
          </w:p>
        </w:tc>
        <w:tc>
          <w:tcPr>
            <w:tcW w:w="2350" w:type="dxa"/>
            <w:tcBorders>
              <w:top w:val="single" w:sz="4" w:space="0" w:color="000000"/>
              <w:left w:val="single" w:sz="4" w:space="0" w:color="000000"/>
              <w:bottom w:val="single" w:sz="4" w:space="0" w:color="000000"/>
              <w:right w:val="single" w:sz="4" w:space="0" w:color="000000"/>
            </w:tcBorders>
          </w:tcPr>
          <w:p w14:paraId="777E8129" w14:textId="77777777" w:rsidR="000A7DF2" w:rsidRPr="00234CBB" w:rsidRDefault="000A7DF2" w:rsidP="003410A6">
            <w:pPr>
              <w:pStyle w:val="Tabletext"/>
              <w:rPr>
                <w:lang w:val="en-US"/>
              </w:rPr>
            </w:pPr>
          </w:p>
        </w:tc>
      </w:tr>
      <w:tr w:rsidR="000A7DF2" w:rsidRPr="001032A3" w14:paraId="1ED80728" w14:textId="77777777">
        <w:trPr>
          <w:trHeight w:val="235"/>
          <w:jc w:val="center"/>
        </w:trPr>
        <w:tc>
          <w:tcPr>
            <w:tcW w:w="4968" w:type="dxa"/>
            <w:tcBorders>
              <w:top w:val="single" w:sz="4" w:space="0" w:color="000000"/>
              <w:left w:val="single" w:sz="4" w:space="0" w:color="000000"/>
              <w:bottom w:val="single" w:sz="4" w:space="0" w:color="000000"/>
            </w:tcBorders>
          </w:tcPr>
          <w:p w14:paraId="3CE2C3F9" w14:textId="77777777" w:rsidR="000A7DF2" w:rsidRPr="001032A3" w:rsidRDefault="000A7DF2" w:rsidP="003410A6">
            <w:pPr>
              <w:pStyle w:val="Tabletext"/>
            </w:pPr>
            <w:r w:rsidRPr="001032A3">
              <w:t xml:space="preserve">Capex </w:t>
            </w:r>
          </w:p>
        </w:tc>
        <w:tc>
          <w:tcPr>
            <w:tcW w:w="1980" w:type="dxa"/>
            <w:tcBorders>
              <w:top w:val="single" w:sz="4" w:space="0" w:color="000000"/>
              <w:left w:val="single" w:sz="4" w:space="0" w:color="000000"/>
              <w:bottom w:val="single" w:sz="4" w:space="0" w:color="000000"/>
            </w:tcBorders>
          </w:tcPr>
          <w:p w14:paraId="6284FED2"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2330B68D" w14:textId="77777777" w:rsidR="000A7DF2" w:rsidRPr="001032A3" w:rsidRDefault="000A7DF2" w:rsidP="003410A6">
            <w:pPr>
              <w:pStyle w:val="Tabletext"/>
            </w:pPr>
          </w:p>
        </w:tc>
      </w:tr>
      <w:tr w:rsidR="000A7DF2" w:rsidRPr="001032A3" w14:paraId="3AAD2392" w14:textId="77777777">
        <w:trPr>
          <w:jc w:val="center"/>
        </w:trPr>
        <w:tc>
          <w:tcPr>
            <w:tcW w:w="4968" w:type="dxa"/>
            <w:tcBorders>
              <w:top w:val="single" w:sz="4" w:space="0" w:color="000000"/>
              <w:left w:val="single" w:sz="4" w:space="0" w:color="000000"/>
              <w:bottom w:val="single" w:sz="4" w:space="0" w:color="000000"/>
            </w:tcBorders>
          </w:tcPr>
          <w:p w14:paraId="60974B64" w14:textId="77777777" w:rsidR="000A7DF2" w:rsidRPr="001032A3" w:rsidRDefault="000A7DF2" w:rsidP="003410A6">
            <w:pPr>
              <w:pStyle w:val="Tabletext"/>
            </w:pPr>
            <w:r w:rsidRPr="001032A3">
              <w:t>Opex</w:t>
            </w:r>
          </w:p>
        </w:tc>
        <w:tc>
          <w:tcPr>
            <w:tcW w:w="1980" w:type="dxa"/>
            <w:tcBorders>
              <w:top w:val="single" w:sz="4" w:space="0" w:color="000000"/>
              <w:left w:val="single" w:sz="4" w:space="0" w:color="000000"/>
              <w:bottom w:val="single" w:sz="4" w:space="0" w:color="000000"/>
            </w:tcBorders>
          </w:tcPr>
          <w:p w14:paraId="27342E92"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17EB5874" w14:textId="77777777" w:rsidR="000A7DF2" w:rsidRPr="001032A3" w:rsidRDefault="000A7DF2" w:rsidP="003410A6">
            <w:pPr>
              <w:pStyle w:val="Tabletext"/>
            </w:pPr>
          </w:p>
        </w:tc>
      </w:tr>
      <w:tr w:rsidR="000A7DF2" w:rsidRPr="001032A3" w14:paraId="10ED7DCF" w14:textId="77777777">
        <w:trPr>
          <w:jc w:val="center"/>
        </w:trPr>
        <w:tc>
          <w:tcPr>
            <w:tcW w:w="4968" w:type="dxa"/>
            <w:tcBorders>
              <w:top w:val="single" w:sz="4" w:space="0" w:color="000000"/>
              <w:left w:val="single" w:sz="4" w:space="0" w:color="000000"/>
              <w:bottom w:val="single" w:sz="4" w:space="0" w:color="000000"/>
            </w:tcBorders>
          </w:tcPr>
          <w:p w14:paraId="1F3A722E" w14:textId="77777777" w:rsidR="000A7DF2" w:rsidRPr="001032A3" w:rsidRDefault="000A7DF2" w:rsidP="003410A6">
            <w:pPr>
              <w:pStyle w:val="Tabletext"/>
            </w:pPr>
          </w:p>
        </w:tc>
        <w:tc>
          <w:tcPr>
            <w:tcW w:w="1980" w:type="dxa"/>
            <w:tcBorders>
              <w:top w:val="single" w:sz="4" w:space="0" w:color="000000"/>
              <w:left w:val="single" w:sz="4" w:space="0" w:color="000000"/>
              <w:bottom w:val="single" w:sz="4" w:space="0" w:color="000000"/>
            </w:tcBorders>
          </w:tcPr>
          <w:p w14:paraId="203B15E5"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15C3BB19" w14:textId="77777777" w:rsidR="000A7DF2" w:rsidRPr="001032A3" w:rsidRDefault="000A7DF2" w:rsidP="003410A6">
            <w:pPr>
              <w:pStyle w:val="Tabletext"/>
            </w:pPr>
          </w:p>
        </w:tc>
      </w:tr>
      <w:tr w:rsidR="000A7DF2" w:rsidRPr="001032A3" w14:paraId="189EBE90" w14:textId="77777777">
        <w:trPr>
          <w:jc w:val="center"/>
        </w:trPr>
        <w:tc>
          <w:tcPr>
            <w:tcW w:w="4968" w:type="dxa"/>
            <w:tcBorders>
              <w:top w:val="single" w:sz="4" w:space="0" w:color="000000"/>
              <w:left w:val="single" w:sz="4" w:space="0" w:color="000000"/>
              <w:bottom w:val="single" w:sz="4" w:space="0" w:color="000000"/>
            </w:tcBorders>
          </w:tcPr>
          <w:p w14:paraId="02002BDF" w14:textId="77777777" w:rsidR="000A7DF2" w:rsidRPr="00234CBB" w:rsidRDefault="000A7DF2" w:rsidP="003410A6">
            <w:pPr>
              <w:pStyle w:val="Tabletext"/>
              <w:rPr>
                <w:lang w:val="en-US"/>
              </w:rPr>
            </w:pPr>
            <w:r w:rsidRPr="00823C46">
              <w:rPr>
                <w:b/>
                <w:bCs w:val="0"/>
                <w:lang w:val="en-US"/>
              </w:rPr>
              <w:t>i) Other costs</w:t>
            </w:r>
            <w:r w:rsidRPr="00234CBB">
              <w:rPr>
                <w:lang w:val="en-US"/>
              </w:rPr>
              <w:t xml:space="preserve"> – e.g. special customer service</w:t>
            </w:r>
          </w:p>
        </w:tc>
        <w:tc>
          <w:tcPr>
            <w:tcW w:w="1980" w:type="dxa"/>
            <w:tcBorders>
              <w:top w:val="single" w:sz="4" w:space="0" w:color="000000"/>
              <w:left w:val="single" w:sz="4" w:space="0" w:color="000000"/>
              <w:bottom w:val="single" w:sz="4" w:space="0" w:color="000000"/>
            </w:tcBorders>
          </w:tcPr>
          <w:p w14:paraId="5B9FA9EE" w14:textId="77777777" w:rsidR="000A7DF2" w:rsidRPr="00234CBB" w:rsidRDefault="000A7DF2" w:rsidP="003410A6">
            <w:pPr>
              <w:pStyle w:val="Tabletext"/>
              <w:rPr>
                <w:lang w:val="en-US"/>
              </w:rPr>
            </w:pPr>
          </w:p>
        </w:tc>
        <w:tc>
          <w:tcPr>
            <w:tcW w:w="2350" w:type="dxa"/>
            <w:tcBorders>
              <w:top w:val="single" w:sz="4" w:space="0" w:color="000000"/>
              <w:left w:val="single" w:sz="4" w:space="0" w:color="000000"/>
              <w:bottom w:val="single" w:sz="4" w:space="0" w:color="000000"/>
              <w:right w:val="single" w:sz="4" w:space="0" w:color="000000"/>
            </w:tcBorders>
          </w:tcPr>
          <w:p w14:paraId="1746F7D7" w14:textId="77777777" w:rsidR="000A7DF2" w:rsidRPr="00234CBB" w:rsidRDefault="000A7DF2" w:rsidP="003410A6">
            <w:pPr>
              <w:pStyle w:val="Tabletext"/>
              <w:rPr>
                <w:lang w:val="en-US"/>
              </w:rPr>
            </w:pPr>
          </w:p>
        </w:tc>
      </w:tr>
      <w:tr w:rsidR="000A7DF2" w:rsidRPr="001032A3" w14:paraId="6D0D776B" w14:textId="77777777">
        <w:trPr>
          <w:jc w:val="center"/>
        </w:trPr>
        <w:tc>
          <w:tcPr>
            <w:tcW w:w="4968" w:type="dxa"/>
            <w:tcBorders>
              <w:top w:val="single" w:sz="4" w:space="0" w:color="000000"/>
              <w:left w:val="single" w:sz="4" w:space="0" w:color="000000"/>
              <w:bottom w:val="single" w:sz="4" w:space="0" w:color="000000"/>
            </w:tcBorders>
          </w:tcPr>
          <w:p w14:paraId="1D014A6B" w14:textId="77777777" w:rsidR="000A7DF2" w:rsidRPr="001032A3" w:rsidRDefault="000A7DF2" w:rsidP="003410A6">
            <w:pPr>
              <w:pStyle w:val="Tabletext"/>
            </w:pPr>
            <w:r w:rsidRPr="001032A3">
              <w:t xml:space="preserve">Capex </w:t>
            </w:r>
          </w:p>
        </w:tc>
        <w:tc>
          <w:tcPr>
            <w:tcW w:w="1980" w:type="dxa"/>
            <w:tcBorders>
              <w:top w:val="single" w:sz="4" w:space="0" w:color="000000"/>
              <w:left w:val="single" w:sz="4" w:space="0" w:color="000000"/>
              <w:bottom w:val="single" w:sz="4" w:space="0" w:color="000000"/>
            </w:tcBorders>
          </w:tcPr>
          <w:p w14:paraId="5590B5E0"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2B9E2566" w14:textId="77777777" w:rsidR="000A7DF2" w:rsidRPr="001032A3" w:rsidRDefault="000A7DF2" w:rsidP="003410A6">
            <w:pPr>
              <w:pStyle w:val="Tabletext"/>
            </w:pPr>
          </w:p>
        </w:tc>
      </w:tr>
      <w:tr w:rsidR="000A7DF2" w:rsidRPr="001032A3" w14:paraId="0BD85339" w14:textId="77777777">
        <w:trPr>
          <w:jc w:val="center"/>
        </w:trPr>
        <w:tc>
          <w:tcPr>
            <w:tcW w:w="4968" w:type="dxa"/>
            <w:tcBorders>
              <w:top w:val="single" w:sz="4" w:space="0" w:color="000000"/>
              <w:left w:val="single" w:sz="4" w:space="0" w:color="000000"/>
              <w:bottom w:val="single" w:sz="4" w:space="0" w:color="000000"/>
            </w:tcBorders>
          </w:tcPr>
          <w:p w14:paraId="38AB3B02" w14:textId="77777777" w:rsidR="000A7DF2" w:rsidRPr="001032A3" w:rsidRDefault="000A7DF2" w:rsidP="003410A6">
            <w:pPr>
              <w:pStyle w:val="Tabletext"/>
            </w:pPr>
            <w:r w:rsidRPr="001032A3">
              <w:t>Opex</w:t>
            </w:r>
          </w:p>
        </w:tc>
        <w:tc>
          <w:tcPr>
            <w:tcW w:w="1980" w:type="dxa"/>
            <w:tcBorders>
              <w:top w:val="single" w:sz="4" w:space="0" w:color="000000"/>
              <w:left w:val="single" w:sz="4" w:space="0" w:color="000000"/>
              <w:bottom w:val="single" w:sz="4" w:space="0" w:color="000000"/>
            </w:tcBorders>
          </w:tcPr>
          <w:p w14:paraId="1C038E60"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4F79B9C3" w14:textId="77777777" w:rsidR="000A7DF2" w:rsidRPr="001032A3" w:rsidRDefault="000A7DF2" w:rsidP="003410A6">
            <w:pPr>
              <w:pStyle w:val="Tabletext"/>
            </w:pPr>
          </w:p>
        </w:tc>
      </w:tr>
      <w:tr w:rsidR="000A7DF2" w:rsidRPr="001032A3" w14:paraId="6A3F6493" w14:textId="77777777">
        <w:trPr>
          <w:jc w:val="center"/>
        </w:trPr>
        <w:tc>
          <w:tcPr>
            <w:tcW w:w="4968" w:type="dxa"/>
            <w:tcBorders>
              <w:top w:val="single" w:sz="4" w:space="0" w:color="000000"/>
              <w:left w:val="single" w:sz="4" w:space="0" w:color="000000"/>
              <w:bottom w:val="single" w:sz="4" w:space="0" w:color="000000"/>
            </w:tcBorders>
          </w:tcPr>
          <w:p w14:paraId="04FD5BF8" w14:textId="77777777" w:rsidR="000A7DF2" w:rsidRPr="001032A3" w:rsidRDefault="000A7DF2" w:rsidP="003410A6">
            <w:pPr>
              <w:pStyle w:val="Tabletext"/>
            </w:pPr>
          </w:p>
        </w:tc>
        <w:tc>
          <w:tcPr>
            <w:tcW w:w="1980" w:type="dxa"/>
            <w:tcBorders>
              <w:top w:val="single" w:sz="4" w:space="0" w:color="000000"/>
              <w:left w:val="single" w:sz="4" w:space="0" w:color="000000"/>
              <w:bottom w:val="single" w:sz="4" w:space="0" w:color="000000"/>
            </w:tcBorders>
          </w:tcPr>
          <w:p w14:paraId="06BDFDA8"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41B8D13A" w14:textId="77777777" w:rsidR="000A7DF2" w:rsidRPr="001032A3" w:rsidRDefault="000A7DF2" w:rsidP="003410A6">
            <w:pPr>
              <w:pStyle w:val="Tabletext"/>
            </w:pPr>
          </w:p>
        </w:tc>
      </w:tr>
      <w:tr w:rsidR="000A7DF2" w:rsidRPr="00823C46" w14:paraId="02EAE5E0" w14:textId="77777777">
        <w:trPr>
          <w:jc w:val="center"/>
        </w:trPr>
        <w:tc>
          <w:tcPr>
            <w:tcW w:w="4968" w:type="dxa"/>
            <w:tcBorders>
              <w:top w:val="single" w:sz="4" w:space="0" w:color="000000"/>
              <w:left w:val="single" w:sz="4" w:space="0" w:color="000000"/>
              <w:bottom w:val="single" w:sz="4" w:space="0" w:color="000000"/>
            </w:tcBorders>
          </w:tcPr>
          <w:p w14:paraId="1D0258AF" w14:textId="77777777" w:rsidR="000A7DF2" w:rsidRPr="00823C46" w:rsidRDefault="000A7DF2" w:rsidP="003410A6">
            <w:pPr>
              <w:pStyle w:val="Tabletext"/>
              <w:rPr>
                <w:b/>
                <w:bCs w:val="0"/>
                <w:lang w:val="en-US"/>
              </w:rPr>
            </w:pPr>
            <w:r w:rsidRPr="00823C46">
              <w:rPr>
                <w:b/>
                <w:bCs w:val="0"/>
                <w:lang w:val="en-US"/>
              </w:rPr>
              <w:t>j) Roaming Business process – total cost of operations, including setup</w:t>
            </w:r>
          </w:p>
        </w:tc>
        <w:tc>
          <w:tcPr>
            <w:tcW w:w="1980" w:type="dxa"/>
            <w:tcBorders>
              <w:top w:val="single" w:sz="4" w:space="0" w:color="000000"/>
              <w:left w:val="single" w:sz="4" w:space="0" w:color="000000"/>
              <w:bottom w:val="single" w:sz="4" w:space="0" w:color="000000"/>
            </w:tcBorders>
          </w:tcPr>
          <w:p w14:paraId="7E110005" w14:textId="77777777" w:rsidR="000A7DF2" w:rsidRPr="00823C46" w:rsidRDefault="000A7DF2" w:rsidP="003410A6">
            <w:pPr>
              <w:pStyle w:val="Tabletext"/>
              <w:rPr>
                <w:b/>
                <w:bCs w:val="0"/>
                <w:lang w:val="en-US"/>
              </w:rPr>
            </w:pPr>
          </w:p>
        </w:tc>
        <w:tc>
          <w:tcPr>
            <w:tcW w:w="2350" w:type="dxa"/>
            <w:tcBorders>
              <w:top w:val="single" w:sz="4" w:space="0" w:color="000000"/>
              <w:left w:val="single" w:sz="4" w:space="0" w:color="000000"/>
              <w:bottom w:val="single" w:sz="4" w:space="0" w:color="000000"/>
              <w:right w:val="single" w:sz="4" w:space="0" w:color="000000"/>
            </w:tcBorders>
          </w:tcPr>
          <w:p w14:paraId="6D3AC6D6" w14:textId="77777777" w:rsidR="000A7DF2" w:rsidRPr="00823C46" w:rsidRDefault="000A7DF2" w:rsidP="003410A6">
            <w:pPr>
              <w:pStyle w:val="Tabletext"/>
              <w:rPr>
                <w:b/>
                <w:bCs w:val="0"/>
                <w:lang w:val="en-US"/>
              </w:rPr>
            </w:pPr>
          </w:p>
        </w:tc>
      </w:tr>
      <w:tr w:rsidR="000A7DF2" w:rsidRPr="001032A3" w14:paraId="3A834959" w14:textId="77777777">
        <w:trPr>
          <w:jc w:val="center"/>
        </w:trPr>
        <w:tc>
          <w:tcPr>
            <w:tcW w:w="4968" w:type="dxa"/>
            <w:tcBorders>
              <w:top w:val="single" w:sz="4" w:space="0" w:color="000000"/>
              <w:left w:val="single" w:sz="4" w:space="0" w:color="000000"/>
              <w:bottom w:val="single" w:sz="4" w:space="0" w:color="000000"/>
            </w:tcBorders>
          </w:tcPr>
          <w:p w14:paraId="088165AC" w14:textId="77777777" w:rsidR="000A7DF2" w:rsidRPr="001032A3" w:rsidRDefault="000A7DF2" w:rsidP="003410A6">
            <w:pPr>
              <w:pStyle w:val="Tabletext"/>
            </w:pPr>
            <w:r w:rsidRPr="001032A3">
              <w:t>Capex</w:t>
            </w:r>
          </w:p>
        </w:tc>
        <w:tc>
          <w:tcPr>
            <w:tcW w:w="1980" w:type="dxa"/>
            <w:tcBorders>
              <w:top w:val="single" w:sz="4" w:space="0" w:color="000000"/>
              <w:left w:val="single" w:sz="4" w:space="0" w:color="000000"/>
              <w:bottom w:val="single" w:sz="4" w:space="0" w:color="000000"/>
            </w:tcBorders>
          </w:tcPr>
          <w:p w14:paraId="672619CD"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3BB8C5A6" w14:textId="77777777" w:rsidR="000A7DF2" w:rsidRPr="001032A3" w:rsidRDefault="000A7DF2" w:rsidP="003410A6">
            <w:pPr>
              <w:pStyle w:val="Tabletext"/>
            </w:pPr>
          </w:p>
        </w:tc>
      </w:tr>
      <w:tr w:rsidR="000A7DF2" w:rsidRPr="001032A3" w14:paraId="08CC5A0D" w14:textId="77777777">
        <w:trPr>
          <w:jc w:val="center"/>
        </w:trPr>
        <w:tc>
          <w:tcPr>
            <w:tcW w:w="4968" w:type="dxa"/>
            <w:tcBorders>
              <w:top w:val="single" w:sz="4" w:space="0" w:color="000000"/>
              <w:left w:val="single" w:sz="4" w:space="0" w:color="000000"/>
              <w:bottom w:val="single" w:sz="4" w:space="0" w:color="000000"/>
            </w:tcBorders>
          </w:tcPr>
          <w:p w14:paraId="59A19F37" w14:textId="77777777" w:rsidR="000A7DF2" w:rsidRPr="001032A3" w:rsidRDefault="000A7DF2" w:rsidP="003410A6">
            <w:pPr>
              <w:pStyle w:val="Tabletext"/>
            </w:pPr>
            <w:r w:rsidRPr="001032A3">
              <w:t>Opex</w:t>
            </w:r>
          </w:p>
        </w:tc>
        <w:tc>
          <w:tcPr>
            <w:tcW w:w="1980" w:type="dxa"/>
            <w:tcBorders>
              <w:top w:val="single" w:sz="4" w:space="0" w:color="000000"/>
              <w:left w:val="single" w:sz="4" w:space="0" w:color="000000"/>
              <w:bottom w:val="single" w:sz="4" w:space="0" w:color="000000"/>
            </w:tcBorders>
          </w:tcPr>
          <w:p w14:paraId="2865F08D"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69CA1674" w14:textId="77777777" w:rsidR="000A7DF2" w:rsidRPr="001032A3" w:rsidRDefault="000A7DF2" w:rsidP="003410A6">
            <w:pPr>
              <w:pStyle w:val="Tabletext"/>
            </w:pPr>
          </w:p>
        </w:tc>
      </w:tr>
      <w:tr w:rsidR="000A7DF2" w:rsidRPr="001032A3" w14:paraId="542BB38C" w14:textId="77777777">
        <w:trPr>
          <w:jc w:val="center"/>
        </w:trPr>
        <w:tc>
          <w:tcPr>
            <w:tcW w:w="4968" w:type="dxa"/>
            <w:tcBorders>
              <w:top w:val="single" w:sz="4" w:space="0" w:color="000000"/>
              <w:left w:val="single" w:sz="4" w:space="0" w:color="000000"/>
              <w:bottom w:val="single" w:sz="4" w:space="0" w:color="000000"/>
            </w:tcBorders>
          </w:tcPr>
          <w:p w14:paraId="22A76C82" w14:textId="77777777" w:rsidR="000A7DF2" w:rsidRPr="001032A3" w:rsidRDefault="000A7DF2" w:rsidP="003410A6">
            <w:pPr>
              <w:pStyle w:val="Tabletext"/>
            </w:pPr>
          </w:p>
        </w:tc>
        <w:tc>
          <w:tcPr>
            <w:tcW w:w="1980" w:type="dxa"/>
            <w:tcBorders>
              <w:top w:val="single" w:sz="4" w:space="0" w:color="000000"/>
              <w:left w:val="single" w:sz="4" w:space="0" w:color="000000"/>
              <w:bottom w:val="single" w:sz="4" w:space="0" w:color="000000"/>
            </w:tcBorders>
          </w:tcPr>
          <w:p w14:paraId="0BFA6B28"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20ED8C4A" w14:textId="77777777" w:rsidR="000A7DF2" w:rsidRPr="001032A3" w:rsidRDefault="000A7DF2" w:rsidP="003410A6">
            <w:pPr>
              <w:pStyle w:val="Tabletext"/>
            </w:pPr>
          </w:p>
        </w:tc>
      </w:tr>
      <w:tr w:rsidR="000A7DF2" w:rsidRPr="00823C46" w14:paraId="0FFA34C1" w14:textId="77777777">
        <w:trPr>
          <w:jc w:val="center"/>
        </w:trPr>
        <w:tc>
          <w:tcPr>
            <w:tcW w:w="4968" w:type="dxa"/>
            <w:tcBorders>
              <w:top w:val="single" w:sz="4" w:space="0" w:color="000000"/>
              <w:left w:val="single" w:sz="4" w:space="0" w:color="000000"/>
              <w:bottom w:val="single" w:sz="4" w:space="0" w:color="000000"/>
            </w:tcBorders>
          </w:tcPr>
          <w:p w14:paraId="2B93D255" w14:textId="77777777" w:rsidR="000A7DF2" w:rsidRPr="00823C46" w:rsidRDefault="000A7DF2" w:rsidP="003410A6">
            <w:pPr>
              <w:pStyle w:val="Tabletext"/>
              <w:rPr>
                <w:b/>
                <w:bCs w:val="0"/>
                <w:lang w:val="en-US"/>
              </w:rPr>
            </w:pPr>
            <w:r w:rsidRPr="00823C46">
              <w:rPr>
                <w:b/>
                <w:bCs w:val="0"/>
                <w:lang w:val="en-US"/>
              </w:rPr>
              <w:t>k) Cost of accounting for roaming</w:t>
            </w:r>
          </w:p>
        </w:tc>
        <w:tc>
          <w:tcPr>
            <w:tcW w:w="1980" w:type="dxa"/>
            <w:tcBorders>
              <w:top w:val="single" w:sz="4" w:space="0" w:color="000000"/>
              <w:left w:val="single" w:sz="4" w:space="0" w:color="000000"/>
              <w:bottom w:val="single" w:sz="4" w:space="0" w:color="000000"/>
            </w:tcBorders>
          </w:tcPr>
          <w:p w14:paraId="60F8E3DD" w14:textId="77777777" w:rsidR="000A7DF2" w:rsidRPr="00823C46" w:rsidRDefault="000A7DF2" w:rsidP="003410A6">
            <w:pPr>
              <w:pStyle w:val="Tabletext"/>
              <w:rPr>
                <w:b/>
                <w:bCs w:val="0"/>
                <w:lang w:val="en-US"/>
              </w:rPr>
            </w:pPr>
          </w:p>
        </w:tc>
        <w:tc>
          <w:tcPr>
            <w:tcW w:w="2350" w:type="dxa"/>
            <w:tcBorders>
              <w:top w:val="single" w:sz="4" w:space="0" w:color="000000"/>
              <w:left w:val="single" w:sz="4" w:space="0" w:color="000000"/>
              <w:bottom w:val="single" w:sz="4" w:space="0" w:color="000000"/>
              <w:right w:val="single" w:sz="4" w:space="0" w:color="000000"/>
            </w:tcBorders>
          </w:tcPr>
          <w:p w14:paraId="474A7F15" w14:textId="77777777" w:rsidR="000A7DF2" w:rsidRPr="00823C46" w:rsidRDefault="000A7DF2" w:rsidP="003410A6">
            <w:pPr>
              <w:pStyle w:val="Tabletext"/>
              <w:rPr>
                <w:b/>
                <w:bCs w:val="0"/>
                <w:lang w:val="en-US"/>
              </w:rPr>
            </w:pPr>
          </w:p>
        </w:tc>
      </w:tr>
      <w:tr w:rsidR="000A7DF2" w:rsidRPr="001032A3" w14:paraId="6BB600B3" w14:textId="77777777">
        <w:trPr>
          <w:jc w:val="center"/>
        </w:trPr>
        <w:tc>
          <w:tcPr>
            <w:tcW w:w="4968" w:type="dxa"/>
            <w:tcBorders>
              <w:top w:val="single" w:sz="4" w:space="0" w:color="000000"/>
              <w:left w:val="single" w:sz="4" w:space="0" w:color="000000"/>
              <w:bottom w:val="single" w:sz="4" w:space="0" w:color="000000"/>
            </w:tcBorders>
          </w:tcPr>
          <w:p w14:paraId="0CC687B7" w14:textId="77777777" w:rsidR="000A7DF2" w:rsidRPr="001032A3" w:rsidRDefault="000A7DF2" w:rsidP="003410A6">
            <w:pPr>
              <w:pStyle w:val="Tabletext"/>
            </w:pPr>
            <w:r w:rsidRPr="001032A3">
              <w:t>Capex</w:t>
            </w:r>
          </w:p>
        </w:tc>
        <w:tc>
          <w:tcPr>
            <w:tcW w:w="1980" w:type="dxa"/>
            <w:tcBorders>
              <w:top w:val="single" w:sz="4" w:space="0" w:color="000000"/>
              <w:left w:val="single" w:sz="4" w:space="0" w:color="000000"/>
              <w:bottom w:val="single" w:sz="4" w:space="0" w:color="000000"/>
            </w:tcBorders>
          </w:tcPr>
          <w:p w14:paraId="3751226A"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3EA2196B" w14:textId="77777777" w:rsidR="000A7DF2" w:rsidRPr="001032A3" w:rsidRDefault="000A7DF2" w:rsidP="003410A6">
            <w:pPr>
              <w:pStyle w:val="Tabletext"/>
            </w:pPr>
          </w:p>
        </w:tc>
      </w:tr>
      <w:tr w:rsidR="000A7DF2" w:rsidRPr="001032A3" w14:paraId="203F8C59" w14:textId="77777777">
        <w:trPr>
          <w:jc w:val="center"/>
        </w:trPr>
        <w:tc>
          <w:tcPr>
            <w:tcW w:w="4968" w:type="dxa"/>
            <w:tcBorders>
              <w:top w:val="single" w:sz="4" w:space="0" w:color="000000"/>
              <w:left w:val="single" w:sz="4" w:space="0" w:color="000000"/>
              <w:bottom w:val="single" w:sz="4" w:space="0" w:color="000000"/>
            </w:tcBorders>
          </w:tcPr>
          <w:p w14:paraId="4045C345" w14:textId="77777777" w:rsidR="000A7DF2" w:rsidRPr="001032A3" w:rsidRDefault="000A7DF2" w:rsidP="003410A6">
            <w:pPr>
              <w:pStyle w:val="Tabletext"/>
            </w:pPr>
            <w:r w:rsidRPr="001032A3">
              <w:t>Opex</w:t>
            </w:r>
          </w:p>
        </w:tc>
        <w:tc>
          <w:tcPr>
            <w:tcW w:w="1980" w:type="dxa"/>
            <w:tcBorders>
              <w:top w:val="single" w:sz="4" w:space="0" w:color="000000"/>
              <w:left w:val="single" w:sz="4" w:space="0" w:color="000000"/>
              <w:bottom w:val="single" w:sz="4" w:space="0" w:color="000000"/>
            </w:tcBorders>
          </w:tcPr>
          <w:p w14:paraId="4F610BCD" w14:textId="77777777" w:rsidR="000A7DF2" w:rsidRPr="001032A3" w:rsidRDefault="000A7DF2" w:rsidP="003410A6">
            <w:pPr>
              <w:pStyle w:val="Tabletext"/>
            </w:pPr>
          </w:p>
        </w:tc>
        <w:tc>
          <w:tcPr>
            <w:tcW w:w="2350" w:type="dxa"/>
            <w:tcBorders>
              <w:top w:val="single" w:sz="4" w:space="0" w:color="000000"/>
              <w:left w:val="single" w:sz="4" w:space="0" w:color="000000"/>
              <w:bottom w:val="single" w:sz="4" w:space="0" w:color="000000"/>
              <w:right w:val="single" w:sz="4" w:space="0" w:color="000000"/>
            </w:tcBorders>
          </w:tcPr>
          <w:p w14:paraId="590E9A3A" w14:textId="77777777" w:rsidR="000A7DF2" w:rsidRPr="001032A3" w:rsidRDefault="000A7DF2" w:rsidP="003410A6">
            <w:pPr>
              <w:pStyle w:val="Tabletext"/>
            </w:pPr>
          </w:p>
        </w:tc>
      </w:tr>
    </w:tbl>
    <w:p w14:paraId="40F7EDAD" w14:textId="77777777" w:rsidR="000A7DF2" w:rsidRPr="001032A3" w:rsidRDefault="000A7DF2" w:rsidP="000A7DF2">
      <w:pPr>
        <w:autoSpaceDE w:val="0"/>
      </w:pPr>
    </w:p>
    <w:p w14:paraId="0265DA4C" w14:textId="77777777" w:rsidR="003410A6" w:rsidRDefault="003410A6">
      <w:pPr>
        <w:spacing w:before="0"/>
        <w:jc w:val="left"/>
      </w:pPr>
      <w:r>
        <w:br w:type="page"/>
      </w:r>
    </w:p>
    <w:p w14:paraId="18743DEC" w14:textId="77777777" w:rsidR="000A7DF2" w:rsidRPr="001032A3" w:rsidRDefault="000A7DF2" w:rsidP="003410A6">
      <w:pPr>
        <w:pStyle w:val="Heading1"/>
      </w:pPr>
      <w:bookmarkStart w:id="75" w:name="_Toc425326347"/>
      <w:bookmarkStart w:id="76" w:name="_Toc429485892"/>
      <w:r w:rsidRPr="001032A3">
        <w:lastRenderedPageBreak/>
        <w:t xml:space="preserve">Annex 4 </w:t>
      </w:r>
      <w:r>
        <w:t xml:space="preserve">– </w:t>
      </w:r>
      <w:r w:rsidRPr="001032A3">
        <w:t>Example of spreadsheet used to gather data</w:t>
      </w:r>
      <w:bookmarkEnd w:id="75"/>
      <w:bookmarkEnd w:id="76"/>
    </w:p>
    <w:tbl>
      <w:tblPr>
        <w:tblW w:w="0" w:type="auto"/>
        <w:jc w:val="center"/>
        <w:tblLayout w:type="fixed"/>
        <w:tblLook w:val="0000" w:firstRow="0" w:lastRow="0" w:firstColumn="0" w:lastColumn="0" w:noHBand="0" w:noVBand="0"/>
      </w:tblPr>
      <w:tblGrid>
        <w:gridCol w:w="1395"/>
        <w:gridCol w:w="1136"/>
        <w:gridCol w:w="1297"/>
        <w:gridCol w:w="1275"/>
        <w:gridCol w:w="1134"/>
        <w:gridCol w:w="993"/>
        <w:gridCol w:w="141"/>
        <w:gridCol w:w="1560"/>
      </w:tblGrid>
      <w:tr w:rsidR="000A7DF2" w:rsidRPr="001032A3" w14:paraId="2985A271" w14:textId="77777777">
        <w:trPr>
          <w:trHeight w:val="402"/>
          <w:jc w:val="center"/>
        </w:trPr>
        <w:tc>
          <w:tcPr>
            <w:tcW w:w="8931" w:type="dxa"/>
            <w:gridSpan w:val="8"/>
          </w:tcPr>
          <w:p w14:paraId="3E7855F0" w14:textId="77777777" w:rsidR="000A7DF2" w:rsidRPr="001032A3" w:rsidRDefault="000A7DF2" w:rsidP="000207E3">
            <w:pPr>
              <w:snapToGrid w:val="0"/>
              <w:jc w:val="left"/>
              <w:rPr>
                <w:b/>
                <w:bCs/>
                <w:sz w:val="24"/>
              </w:rPr>
            </w:pPr>
            <w:r w:rsidRPr="001032A3">
              <w:rPr>
                <w:b/>
                <w:bCs/>
                <w:sz w:val="24"/>
              </w:rPr>
              <w:t>VOICE – Prepaid</w:t>
            </w:r>
          </w:p>
        </w:tc>
      </w:tr>
      <w:tr w:rsidR="000A7DF2" w:rsidRPr="001032A3" w14:paraId="5ACC7AA9" w14:textId="77777777">
        <w:trPr>
          <w:trHeight w:val="402"/>
          <w:jc w:val="center"/>
        </w:trPr>
        <w:tc>
          <w:tcPr>
            <w:tcW w:w="8931" w:type="dxa"/>
            <w:gridSpan w:val="8"/>
            <w:vAlign w:val="bottom"/>
          </w:tcPr>
          <w:p w14:paraId="06B5A31E" w14:textId="77777777" w:rsidR="000A7DF2" w:rsidRDefault="000A7DF2" w:rsidP="000207E3">
            <w:pPr>
              <w:snapToGrid w:val="0"/>
            </w:pPr>
            <w:r w:rsidRPr="001032A3">
              <w:t xml:space="preserve">For a PREPAID SUBSCRIBER </w:t>
            </w:r>
            <w:r>
              <w:t>–</w:t>
            </w:r>
            <w:r w:rsidRPr="001032A3">
              <w:t xml:space="preserve"> Retail rates for voice roaming services: As of </w:t>
            </w:r>
            <w:r>
              <w:t xml:space="preserve">{latest previous quarter, please state quarter}. </w:t>
            </w:r>
            <w:r w:rsidRPr="001032A3">
              <w:t>In local currency and per minute including any taxes (please indicate if there is a setup charge</w:t>
            </w:r>
            <w:r>
              <w:t>,</w:t>
            </w:r>
            <w:r w:rsidRPr="001032A3">
              <w:t xml:space="preserve"> e</w:t>
            </w:r>
            <w:r>
              <w:t>.</w:t>
            </w:r>
            <w:r w:rsidRPr="001032A3">
              <w:t>g</w:t>
            </w:r>
            <w:r>
              <w:t>.</w:t>
            </w:r>
            <w:r w:rsidRPr="001032A3">
              <w:t xml:space="preserve"> first minute is more expensive than subsequent minutes). </w:t>
            </w:r>
          </w:p>
          <w:p w14:paraId="013F761E" w14:textId="77777777" w:rsidR="000A7DF2" w:rsidRDefault="000A7DF2" w:rsidP="000207E3">
            <w:pPr>
              <w:snapToGrid w:val="0"/>
            </w:pPr>
            <w:r w:rsidRPr="001032A3">
              <w:t>Please provide peak rate prices and indicate whether there are off-peak prices</w:t>
            </w:r>
            <w:r>
              <w:t xml:space="preserve"> and their value</w:t>
            </w:r>
            <w:r w:rsidRPr="001032A3">
              <w:t xml:space="preserve">. </w:t>
            </w:r>
          </w:p>
          <w:p w14:paraId="7AA3038F" w14:textId="77777777" w:rsidR="000A7DF2" w:rsidRPr="001032A3" w:rsidRDefault="000A7DF2" w:rsidP="000207E3">
            <w:pPr>
              <w:snapToGrid w:val="0"/>
            </w:pPr>
            <w:r w:rsidRPr="001032A3">
              <w:t>Please indicate if there are taxes additional to the normal domestic tax on mobile calls.</w:t>
            </w:r>
          </w:p>
        </w:tc>
      </w:tr>
      <w:tr w:rsidR="000A7DF2" w:rsidRPr="001032A3" w14:paraId="6E3D8E06" w14:textId="77777777">
        <w:trPr>
          <w:trHeight w:val="402"/>
          <w:jc w:val="center"/>
        </w:trPr>
        <w:tc>
          <w:tcPr>
            <w:tcW w:w="8931" w:type="dxa"/>
            <w:gridSpan w:val="8"/>
            <w:vAlign w:val="bottom"/>
          </w:tcPr>
          <w:p w14:paraId="718A988E" w14:textId="77777777" w:rsidR="000A7DF2" w:rsidRPr="001032A3" w:rsidRDefault="000A7DF2" w:rsidP="000207E3">
            <w:pPr>
              <w:jc w:val="left"/>
              <w:rPr>
                <w:sz w:val="24"/>
              </w:rPr>
            </w:pPr>
            <w:r w:rsidRPr="001032A3">
              <w:rPr>
                <w:sz w:val="24"/>
              </w:rPr>
              <w:t>Outgoing calls – roaming charges between countries</w:t>
            </w:r>
          </w:p>
          <w:p w14:paraId="6D0B86C1" w14:textId="77777777" w:rsidR="000A7DF2" w:rsidRPr="001032A3" w:rsidRDefault="000A7DF2" w:rsidP="000207E3">
            <w:pPr>
              <w:jc w:val="left"/>
            </w:pPr>
            <w:r>
              <w:t>Date of tariff:</w:t>
            </w:r>
          </w:p>
        </w:tc>
      </w:tr>
      <w:tr w:rsidR="000A7DF2" w:rsidRPr="001032A3" w14:paraId="6D555E8A" w14:textId="77777777">
        <w:trPr>
          <w:trHeight w:val="402"/>
          <w:jc w:val="center"/>
        </w:trPr>
        <w:tc>
          <w:tcPr>
            <w:tcW w:w="1395" w:type="dxa"/>
            <w:tcBorders>
              <w:top w:val="single" w:sz="4" w:space="0" w:color="000000"/>
              <w:left w:val="single" w:sz="4" w:space="0" w:color="000000"/>
              <w:bottom w:val="single" w:sz="4" w:space="0" w:color="000000"/>
            </w:tcBorders>
            <w:vAlign w:val="bottom"/>
          </w:tcPr>
          <w:p w14:paraId="4A7E7C62" w14:textId="77777777" w:rsidR="000A7DF2" w:rsidRPr="001032A3" w:rsidRDefault="000A7DF2" w:rsidP="000207E3">
            <w:pPr>
              <w:snapToGrid w:val="0"/>
              <w:jc w:val="left"/>
              <w:rPr>
                <w:b/>
                <w:bCs/>
              </w:rPr>
            </w:pPr>
            <w:r w:rsidRPr="001032A3">
              <w:rPr>
                <w:b/>
                <w:bCs/>
              </w:rPr>
              <w:t> Country</w:t>
            </w:r>
          </w:p>
        </w:tc>
        <w:tc>
          <w:tcPr>
            <w:tcW w:w="1136" w:type="dxa"/>
            <w:tcBorders>
              <w:top w:val="single" w:sz="4" w:space="0" w:color="000000"/>
              <w:left w:val="single" w:sz="4" w:space="0" w:color="000000"/>
              <w:bottom w:val="single" w:sz="4" w:space="0" w:color="000000"/>
            </w:tcBorders>
            <w:vAlign w:val="bottom"/>
          </w:tcPr>
          <w:p w14:paraId="71768D58" w14:textId="77777777" w:rsidR="000A7DF2" w:rsidRPr="001032A3" w:rsidRDefault="000A7DF2" w:rsidP="000207E3">
            <w:pPr>
              <w:snapToGrid w:val="0"/>
              <w:jc w:val="center"/>
            </w:pPr>
            <w:r w:rsidRPr="001032A3">
              <w:t>1</w:t>
            </w:r>
          </w:p>
        </w:tc>
        <w:tc>
          <w:tcPr>
            <w:tcW w:w="1297" w:type="dxa"/>
            <w:tcBorders>
              <w:top w:val="single" w:sz="4" w:space="0" w:color="000000"/>
              <w:left w:val="single" w:sz="4" w:space="0" w:color="000000"/>
              <w:bottom w:val="single" w:sz="4" w:space="0" w:color="000000"/>
            </w:tcBorders>
            <w:vAlign w:val="bottom"/>
          </w:tcPr>
          <w:p w14:paraId="6C196FB0" w14:textId="77777777" w:rsidR="000A7DF2" w:rsidRPr="001032A3" w:rsidRDefault="000A7DF2" w:rsidP="000207E3">
            <w:pPr>
              <w:snapToGrid w:val="0"/>
              <w:jc w:val="center"/>
            </w:pPr>
            <w:r w:rsidRPr="001032A3">
              <w:t>2</w:t>
            </w:r>
          </w:p>
        </w:tc>
        <w:tc>
          <w:tcPr>
            <w:tcW w:w="1275" w:type="dxa"/>
            <w:tcBorders>
              <w:top w:val="single" w:sz="4" w:space="0" w:color="000000"/>
              <w:left w:val="single" w:sz="4" w:space="0" w:color="000000"/>
              <w:bottom w:val="single" w:sz="4" w:space="0" w:color="000000"/>
            </w:tcBorders>
            <w:vAlign w:val="bottom"/>
          </w:tcPr>
          <w:p w14:paraId="26DEA38E" w14:textId="77777777" w:rsidR="000A7DF2" w:rsidRPr="001032A3" w:rsidRDefault="000A7DF2" w:rsidP="000207E3">
            <w:pPr>
              <w:snapToGrid w:val="0"/>
              <w:jc w:val="center"/>
            </w:pPr>
            <w:r w:rsidRPr="001032A3">
              <w:t>3</w:t>
            </w:r>
          </w:p>
        </w:tc>
        <w:tc>
          <w:tcPr>
            <w:tcW w:w="1134" w:type="dxa"/>
            <w:tcBorders>
              <w:top w:val="single" w:sz="4" w:space="0" w:color="000000"/>
              <w:left w:val="single" w:sz="4" w:space="0" w:color="000000"/>
              <w:bottom w:val="single" w:sz="4" w:space="0" w:color="000000"/>
            </w:tcBorders>
            <w:vAlign w:val="bottom"/>
          </w:tcPr>
          <w:p w14:paraId="463558BA" w14:textId="77777777" w:rsidR="000A7DF2" w:rsidRPr="001032A3" w:rsidRDefault="000A7DF2" w:rsidP="000207E3">
            <w:pPr>
              <w:snapToGrid w:val="0"/>
              <w:jc w:val="center"/>
            </w:pPr>
            <w:r w:rsidRPr="001032A3">
              <w:t>4</w:t>
            </w:r>
          </w:p>
        </w:tc>
        <w:tc>
          <w:tcPr>
            <w:tcW w:w="1134" w:type="dxa"/>
            <w:gridSpan w:val="2"/>
            <w:tcBorders>
              <w:top w:val="single" w:sz="4" w:space="0" w:color="000000"/>
              <w:left w:val="single" w:sz="4" w:space="0" w:color="000000"/>
              <w:bottom w:val="single" w:sz="4" w:space="0" w:color="000000"/>
            </w:tcBorders>
            <w:vAlign w:val="bottom"/>
          </w:tcPr>
          <w:p w14:paraId="07999EC2" w14:textId="77777777" w:rsidR="000A7DF2" w:rsidRPr="001032A3" w:rsidRDefault="000A7DF2" w:rsidP="000207E3">
            <w:pPr>
              <w:snapToGrid w:val="0"/>
              <w:jc w:val="center"/>
            </w:pPr>
            <w:r w:rsidRPr="001032A3">
              <w:t>5</w:t>
            </w:r>
          </w:p>
        </w:tc>
        <w:tc>
          <w:tcPr>
            <w:tcW w:w="1560" w:type="dxa"/>
            <w:tcBorders>
              <w:top w:val="single" w:sz="4" w:space="0" w:color="000000"/>
              <w:left w:val="single" w:sz="4" w:space="0" w:color="000000"/>
              <w:bottom w:val="single" w:sz="4" w:space="0" w:color="000000"/>
              <w:right w:val="single" w:sz="4" w:space="0" w:color="000000"/>
            </w:tcBorders>
            <w:vAlign w:val="bottom"/>
          </w:tcPr>
          <w:p w14:paraId="2B6C1B05" w14:textId="77777777" w:rsidR="000A7DF2" w:rsidRPr="001032A3" w:rsidRDefault="000A7DF2" w:rsidP="000207E3">
            <w:pPr>
              <w:snapToGrid w:val="0"/>
              <w:jc w:val="center"/>
            </w:pPr>
            <w:r w:rsidRPr="001032A3">
              <w:t>6</w:t>
            </w:r>
          </w:p>
        </w:tc>
      </w:tr>
      <w:tr w:rsidR="000A7DF2" w:rsidRPr="001032A3" w14:paraId="6C9601CD" w14:textId="77777777">
        <w:trPr>
          <w:trHeight w:val="402"/>
          <w:jc w:val="center"/>
        </w:trPr>
        <w:tc>
          <w:tcPr>
            <w:tcW w:w="1395" w:type="dxa"/>
            <w:tcBorders>
              <w:left w:val="single" w:sz="4" w:space="0" w:color="000000"/>
              <w:bottom w:val="single" w:sz="4" w:space="0" w:color="000000"/>
            </w:tcBorders>
            <w:vAlign w:val="bottom"/>
          </w:tcPr>
          <w:p w14:paraId="7F18B829" w14:textId="77777777" w:rsidR="000A7DF2" w:rsidRPr="001032A3" w:rsidRDefault="000A7DF2" w:rsidP="00823C46">
            <w:pPr>
              <w:pStyle w:val="Tabletext"/>
              <w:jc w:val="center"/>
            </w:pPr>
            <w:r w:rsidRPr="001032A3">
              <w:t>1</w:t>
            </w:r>
          </w:p>
        </w:tc>
        <w:tc>
          <w:tcPr>
            <w:tcW w:w="1136" w:type="dxa"/>
            <w:tcBorders>
              <w:left w:val="single" w:sz="4" w:space="0" w:color="000000"/>
              <w:bottom w:val="single" w:sz="4" w:space="0" w:color="000000"/>
            </w:tcBorders>
            <w:vAlign w:val="bottom"/>
          </w:tcPr>
          <w:p w14:paraId="725DE99D" w14:textId="77777777" w:rsidR="000A7DF2" w:rsidRPr="001032A3" w:rsidRDefault="000A7DF2" w:rsidP="00823C46">
            <w:pPr>
              <w:pStyle w:val="Tabletext"/>
              <w:jc w:val="center"/>
            </w:pPr>
            <w:r w:rsidRPr="001032A3">
              <w:t>0</w:t>
            </w:r>
          </w:p>
        </w:tc>
        <w:tc>
          <w:tcPr>
            <w:tcW w:w="1297" w:type="dxa"/>
            <w:tcBorders>
              <w:left w:val="single" w:sz="4" w:space="0" w:color="000000"/>
              <w:bottom w:val="single" w:sz="4" w:space="0" w:color="000000"/>
            </w:tcBorders>
            <w:vAlign w:val="bottom"/>
          </w:tcPr>
          <w:p w14:paraId="17D81B75" w14:textId="77777777" w:rsidR="000A7DF2" w:rsidRPr="001032A3" w:rsidRDefault="000A7DF2" w:rsidP="00823C46">
            <w:pPr>
              <w:pStyle w:val="Tabletext"/>
              <w:jc w:val="center"/>
            </w:pPr>
          </w:p>
        </w:tc>
        <w:tc>
          <w:tcPr>
            <w:tcW w:w="1275" w:type="dxa"/>
            <w:tcBorders>
              <w:left w:val="single" w:sz="4" w:space="0" w:color="000000"/>
              <w:bottom w:val="single" w:sz="4" w:space="0" w:color="000000"/>
            </w:tcBorders>
            <w:vAlign w:val="bottom"/>
          </w:tcPr>
          <w:p w14:paraId="58A20EE0" w14:textId="77777777" w:rsidR="000A7DF2" w:rsidRPr="001032A3" w:rsidRDefault="000A7DF2" w:rsidP="00823C46">
            <w:pPr>
              <w:pStyle w:val="Tabletext"/>
              <w:jc w:val="center"/>
            </w:pPr>
          </w:p>
        </w:tc>
        <w:tc>
          <w:tcPr>
            <w:tcW w:w="1134" w:type="dxa"/>
            <w:tcBorders>
              <w:left w:val="single" w:sz="4" w:space="0" w:color="000000"/>
              <w:bottom w:val="single" w:sz="4" w:space="0" w:color="000000"/>
            </w:tcBorders>
            <w:vAlign w:val="bottom"/>
          </w:tcPr>
          <w:p w14:paraId="5C218A21" w14:textId="77777777" w:rsidR="000A7DF2" w:rsidRPr="001032A3" w:rsidRDefault="000A7DF2" w:rsidP="00823C46">
            <w:pPr>
              <w:pStyle w:val="Tabletext"/>
              <w:jc w:val="center"/>
            </w:pPr>
          </w:p>
        </w:tc>
        <w:tc>
          <w:tcPr>
            <w:tcW w:w="1134" w:type="dxa"/>
            <w:gridSpan w:val="2"/>
            <w:tcBorders>
              <w:left w:val="single" w:sz="4" w:space="0" w:color="000000"/>
              <w:bottom w:val="single" w:sz="4" w:space="0" w:color="000000"/>
            </w:tcBorders>
            <w:vAlign w:val="bottom"/>
          </w:tcPr>
          <w:p w14:paraId="0DBCFD44" w14:textId="77777777" w:rsidR="000A7DF2" w:rsidRPr="001032A3" w:rsidRDefault="000A7DF2" w:rsidP="00823C46">
            <w:pPr>
              <w:pStyle w:val="Tabletext"/>
              <w:jc w:val="center"/>
            </w:pPr>
          </w:p>
        </w:tc>
        <w:tc>
          <w:tcPr>
            <w:tcW w:w="1560" w:type="dxa"/>
            <w:tcBorders>
              <w:left w:val="single" w:sz="4" w:space="0" w:color="000000"/>
              <w:bottom w:val="single" w:sz="4" w:space="0" w:color="000000"/>
              <w:right w:val="single" w:sz="4" w:space="0" w:color="000000"/>
            </w:tcBorders>
            <w:vAlign w:val="bottom"/>
          </w:tcPr>
          <w:p w14:paraId="264CD50C" w14:textId="77777777" w:rsidR="000A7DF2" w:rsidRPr="001032A3" w:rsidRDefault="000A7DF2" w:rsidP="00823C46">
            <w:pPr>
              <w:pStyle w:val="Tabletext"/>
              <w:jc w:val="center"/>
            </w:pPr>
          </w:p>
        </w:tc>
      </w:tr>
      <w:tr w:rsidR="000A7DF2" w:rsidRPr="001032A3" w14:paraId="183C3284" w14:textId="77777777">
        <w:trPr>
          <w:trHeight w:val="402"/>
          <w:jc w:val="center"/>
        </w:trPr>
        <w:tc>
          <w:tcPr>
            <w:tcW w:w="1395" w:type="dxa"/>
            <w:tcBorders>
              <w:left w:val="single" w:sz="4" w:space="0" w:color="000000"/>
              <w:bottom w:val="single" w:sz="4" w:space="0" w:color="000000"/>
            </w:tcBorders>
            <w:vAlign w:val="bottom"/>
          </w:tcPr>
          <w:p w14:paraId="51D00A83" w14:textId="77777777" w:rsidR="000A7DF2" w:rsidRPr="001032A3" w:rsidRDefault="000A7DF2" w:rsidP="00823C46">
            <w:pPr>
              <w:pStyle w:val="Tabletext"/>
              <w:jc w:val="center"/>
            </w:pPr>
            <w:r w:rsidRPr="001032A3">
              <w:t>2</w:t>
            </w:r>
          </w:p>
        </w:tc>
        <w:tc>
          <w:tcPr>
            <w:tcW w:w="1136" w:type="dxa"/>
            <w:tcBorders>
              <w:left w:val="single" w:sz="4" w:space="0" w:color="000000"/>
              <w:bottom w:val="single" w:sz="4" w:space="0" w:color="000000"/>
            </w:tcBorders>
            <w:vAlign w:val="bottom"/>
          </w:tcPr>
          <w:p w14:paraId="353012F1" w14:textId="77777777" w:rsidR="000A7DF2" w:rsidRPr="001032A3" w:rsidRDefault="000A7DF2" w:rsidP="00823C46">
            <w:pPr>
              <w:pStyle w:val="Tabletext"/>
              <w:jc w:val="center"/>
            </w:pPr>
          </w:p>
        </w:tc>
        <w:tc>
          <w:tcPr>
            <w:tcW w:w="1297" w:type="dxa"/>
            <w:tcBorders>
              <w:left w:val="single" w:sz="4" w:space="0" w:color="000000"/>
              <w:bottom w:val="single" w:sz="4" w:space="0" w:color="000000"/>
            </w:tcBorders>
            <w:vAlign w:val="bottom"/>
          </w:tcPr>
          <w:p w14:paraId="105368BE" w14:textId="77777777" w:rsidR="000A7DF2" w:rsidRPr="001032A3" w:rsidRDefault="000A7DF2" w:rsidP="00823C46">
            <w:pPr>
              <w:pStyle w:val="Tabletext"/>
              <w:jc w:val="center"/>
            </w:pPr>
            <w:r w:rsidRPr="001032A3">
              <w:t>0</w:t>
            </w:r>
          </w:p>
        </w:tc>
        <w:tc>
          <w:tcPr>
            <w:tcW w:w="1275" w:type="dxa"/>
            <w:tcBorders>
              <w:left w:val="single" w:sz="4" w:space="0" w:color="000000"/>
              <w:bottom w:val="single" w:sz="4" w:space="0" w:color="000000"/>
            </w:tcBorders>
            <w:vAlign w:val="bottom"/>
          </w:tcPr>
          <w:p w14:paraId="6AE5F58C" w14:textId="77777777" w:rsidR="000A7DF2" w:rsidRPr="001032A3" w:rsidRDefault="000A7DF2" w:rsidP="00823C46">
            <w:pPr>
              <w:pStyle w:val="Tabletext"/>
              <w:jc w:val="center"/>
            </w:pPr>
          </w:p>
        </w:tc>
        <w:tc>
          <w:tcPr>
            <w:tcW w:w="1134" w:type="dxa"/>
            <w:tcBorders>
              <w:left w:val="single" w:sz="4" w:space="0" w:color="000000"/>
              <w:bottom w:val="single" w:sz="4" w:space="0" w:color="000000"/>
            </w:tcBorders>
            <w:vAlign w:val="bottom"/>
          </w:tcPr>
          <w:p w14:paraId="1309E25D" w14:textId="77777777" w:rsidR="000A7DF2" w:rsidRPr="001032A3" w:rsidRDefault="000A7DF2" w:rsidP="00823C46">
            <w:pPr>
              <w:pStyle w:val="Tabletext"/>
              <w:jc w:val="center"/>
            </w:pPr>
          </w:p>
        </w:tc>
        <w:tc>
          <w:tcPr>
            <w:tcW w:w="1134" w:type="dxa"/>
            <w:gridSpan w:val="2"/>
            <w:tcBorders>
              <w:left w:val="single" w:sz="4" w:space="0" w:color="000000"/>
              <w:bottom w:val="single" w:sz="4" w:space="0" w:color="000000"/>
            </w:tcBorders>
            <w:vAlign w:val="bottom"/>
          </w:tcPr>
          <w:p w14:paraId="7D3DCFD7" w14:textId="77777777" w:rsidR="000A7DF2" w:rsidRPr="001032A3" w:rsidRDefault="000A7DF2" w:rsidP="00823C46">
            <w:pPr>
              <w:pStyle w:val="Tabletext"/>
              <w:jc w:val="center"/>
            </w:pPr>
          </w:p>
        </w:tc>
        <w:tc>
          <w:tcPr>
            <w:tcW w:w="1560" w:type="dxa"/>
            <w:tcBorders>
              <w:left w:val="single" w:sz="4" w:space="0" w:color="000000"/>
              <w:bottom w:val="single" w:sz="4" w:space="0" w:color="000000"/>
              <w:right w:val="single" w:sz="4" w:space="0" w:color="000000"/>
            </w:tcBorders>
            <w:vAlign w:val="bottom"/>
          </w:tcPr>
          <w:p w14:paraId="475B64F0" w14:textId="77777777" w:rsidR="000A7DF2" w:rsidRPr="001032A3" w:rsidRDefault="000A7DF2" w:rsidP="00823C46">
            <w:pPr>
              <w:pStyle w:val="Tabletext"/>
              <w:jc w:val="center"/>
            </w:pPr>
          </w:p>
        </w:tc>
      </w:tr>
      <w:tr w:rsidR="000A7DF2" w:rsidRPr="001032A3" w14:paraId="4828D9A3" w14:textId="77777777">
        <w:trPr>
          <w:trHeight w:val="402"/>
          <w:jc w:val="center"/>
        </w:trPr>
        <w:tc>
          <w:tcPr>
            <w:tcW w:w="1395" w:type="dxa"/>
            <w:tcBorders>
              <w:left w:val="single" w:sz="4" w:space="0" w:color="000000"/>
              <w:bottom w:val="single" w:sz="4" w:space="0" w:color="000000"/>
            </w:tcBorders>
            <w:vAlign w:val="bottom"/>
          </w:tcPr>
          <w:p w14:paraId="586AB7EF" w14:textId="77777777" w:rsidR="000A7DF2" w:rsidRPr="001032A3" w:rsidRDefault="000A7DF2" w:rsidP="00823C46">
            <w:pPr>
              <w:pStyle w:val="Tabletext"/>
              <w:jc w:val="center"/>
            </w:pPr>
            <w:r w:rsidRPr="001032A3">
              <w:t>3</w:t>
            </w:r>
          </w:p>
        </w:tc>
        <w:tc>
          <w:tcPr>
            <w:tcW w:w="1136" w:type="dxa"/>
            <w:tcBorders>
              <w:left w:val="single" w:sz="4" w:space="0" w:color="000000"/>
              <w:bottom w:val="single" w:sz="4" w:space="0" w:color="000000"/>
            </w:tcBorders>
            <w:vAlign w:val="bottom"/>
          </w:tcPr>
          <w:p w14:paraId="111F3EB1" w14:textId="77777777" w:rsidR="000A7DF2" w:rsidRPr="001032A3" w:rsidRDefault="000A7DF2" w:rsidP="00823C46">
            <w:pPr>
              <w:pStyle w:val="Tabletext"/>
              <w:jc w:val="center"/>
            </w:pPr>
          </w:p>
        </w:tc>
        <w:tc>
          <w:tcPr>
            <w:tcW w:w="1297" w:type="dxa"/>
            <w:tcBorders>
              <w:left w:val="single" w:sz="4" w:space="0" w:color="000000"/>
              <w:bottom w:val="single" w:sz="4" w:space="0" w:color="000000"/>
            </w:tcBorders>
            <w:vAlign w:val="bottom"/>
          </w:tcPr>
          <w:p w14:paraId="76B4D13B" w14:textId="77777777" w:rsidR="000A7DF2" w:rsidRPr="001032A3" w:rsidRDefault="000A7DF2" w:rsidP="00823C46">
            <w:pPr>
              <w:pStyle w:val="Tabletext"/>
              <w:jc w:val="center"/>
            </w:pPr>
          </w:p>
        </w:tc>
        <w:tc>
          <w:tcPr>
            <w:tcW w:w="1275" w:type="dxa"/>
            <w:tcBorders>
              <w:left w:val="single" w:sz="4" w:space="0" w:color="000000"/>
              <w:bottom w:val="single" w:sz="4" w:space="0" w:color="000000"/>
            </w:tcBorders>
            <w:vAlign w:val="bottom"/>
          </w:tcPr>
          <w:p w14:paraId="11CBC8D6" w14:textId="77777777" w:rsidR="000A7DF2" w:rsidRPr="001032A3" w:rsidRDefault="000A7DF2" w:rsidP="00823C46">
            <w:pPr>
              <w:pStyle w:val="Tabletext"/>
              <w:jc w:val="center"/>
            </w:pPr>
            <w:r w:rsidRPr="001032A3">
              <w:t>0</w:t>
            </w:r>
          </w:p>
        </w:tc>
        <w:tc>
          <w:tcPr>
            <w:tcW w:w="1134" w:type="dxa"/>
            <w:tcBorders>
              <w:left w:val="single" w:sz="4" w:space="0" w:color="000000"/>
              <w:bottom w:val="single" w:sz="4" w:space="0" w:color="000000"/>
            </w:tcBorders>
            <w:vAlign w:val="bottom"/>
          </w:tcPr>
          <w:p w14:paraId="51E46BB8" w14:textId="77777777" w:rsidR="000A7DF2" w:rsidRPr="001032A3" w:rsidRDefault="000A7DF2" w:rsidP="00823C46">
            <w:pPr>
              <w:pStyle w:val="Tabletext"/>
              <w:jc w:val="center"/>
            </w:pPr>
          </w:p>
        </w:tc>
        <w:tc>
          <w:tcPr>
            <w:tcW w:w="1134" w:type="dxa"/>
            <w:gridSpan w:val="2"/>
            <w:tcBorders>
              <w:left w:val="single" w:sz="4" w:space="0" w:color="000000"/>
              <w:bottom w:val="single" w:sz="4" w:space="0" w:color="000000"/>
            </w:tcBorders>
            <w:vAlign w:val="bottom"/>
          </w:tcPr>
          <w:p w14:paraId="4305519A" w14:textId="77777777" w:rsidR="000A7DF2" w:rsidRPr="001032A3" w:rsidRDefault="000A7DF2" w:rsidP="00823C46">
            <w:pPr>
              <w:pStyle w:val="Tabletext"/>
              <w:jc w:val="center"/>
            </w:pPr>
          </w:p>
        </w:tc>
        <w:tc>
          <w:tcPr>
            <w:tcW w:w="1560" w:type="dxa"/>
            <w:tcBorders>
              <w:left w:val="single" w:sz="4" w:space="0" w:color="000000"/>
              <w:bottom w:val="single" w:sz="4" w:space="0" w:color="000000"/>
              <w:right w:val="single" w:sz="4" w:space="0" w:color="000000"/>
            </w:tcBorders>
            <w:vAlign w:val="bottom"/>
          </w:tcPr>
          <w:p w14:paraId="3E186008" w14:textId="77777777" w:rsidR="000A7DF2" w:rsidRPr="001032A3" w:rsidRDefault="000A7DF2" w:rsidP="00823C46">
            <w:pPr>
              <w:pStyle w:val="Tabletext"/>
              <w:jc w:val="center"/>
            </w:pPr>
          </w:p>
        </w:tc>
      </w:tr>
      <w:tr w:rsidR="000A7DF2" w:rsidRPr="001032A3" w14:paraId="0266EA1A" w14:textId="77777777">
        <w:trPr>
          <w:trHeight w:val="402"/>
          <w:jc w:val="center"/>
        </w:trPr>
        <w:tc>
          <w:tcPr>
            <w:tcW w:w="1395" w:type="dxa"/>
            <w:tcBorders>
              <w:left w:val="single" w:sz="4" w:space="0" w:color="000000"/>
              <w:bottom w:val="single" w:sz="4" w:space="0" w:color="000000"/>
            </w:tcBorders>
            <w:vAlign w:val="bottom"/>
          </w:tcPr>
          <w:p w14:paraId="62322E09" w14:textId="77777777" w:rsidR="000A7DF2" w:rsidRPr="001032A3" w:rsidRDefault="000A7DF2" w:rsidP="00823C46">
            <w:pPr>
              <w:pStyle w:val="Tabletext"/>
              <w:jc w:val="center"/>
            </w:pPr>
            <w:r w:rsidRPr="001032A3">
              <w:t>4</w:t>
            </w:r>
          </w:p>
        </w:tc>
        <w:tc>
          <w:tcPr>
            <w:tcW w:w="1136" w:type="dxa"/>
            <w:tcBorders>
              <w:left w:val="single" w:sz="4" w:space="0" w:color="000000"/>
              <w:bottom w:val="single" w:sz="4" w:space="0" w:color="000000"/>
            </w:tcBorders>
            <w:vAlign w:val="bottom"/>
          </w:tcPr>
          <w:p w14:paraId="3A1CF7B8" w14:textId="77777777" w:rsidR="000A7DF2" w:rsidRPr="001032A3" w:rsidRDefault="000A7DF2" w:rsidP="00823C46">
            <w:pPr>
              <w:pStyle w:val="Tabletext"/>
              <w:jc w:val="center"/>
            </w:pPr>
          </w:p>
        </w:tc>
        <w:tc>
          <w:tcPr>
            <w:tcW w:w="1297" w:type="dxa"/>
            <w:tcBorders>
              <w:left w:val="single" w:sz="4" w:space="0" w:color="000000"/>
              <w:bottom w:val="single" w:sz="4" w:space="0" w:color="000000"/>
            </w:tcBorders>
            <w:vAlign w:val="bottom"/>
          </w:tcPr>
          <w:p w14:paraId="04582FA1" w14:textId="77777777" w:rsidR="000A7DF2" w:rsidRPr="001032A3" w:rsidRDefault="000A7DF2" w:rsidP="00823C46">
            <w:pPr>
              <w:pStyle w:val="Tabletext"/>
              <w:jc w:val="center"/>
            </w:pPr>
          </w:p>
        </w:tc>
        <w:tc>
          <w:tcPr>
            <w:tcW w:w="1275" w:type="dxa"/>
            <w:tcBorders>
              <w:left w:val="single" w:sz="4" w:space="0" w:color="000000"/>
              <w:bottom w:val="single" w:sz="4" w:space="0" w:color="000000"/>
            </w:tcBorders>
            <w:vAlign w:val="bottom"/>
          </w:tcPr>
          <w:p w14:paraId="4627E88A" w14:textId="77777777" w:rsidR="000A7DF2" w:rsidRPr="001032A3" w:rsidRDefault="000A7DF2" w:rsidP="00823C46">
            <w:pPr>
              <w:pStyle w:val="Tabletext"/>
              <w:jc w:val="center"/>
            </w:pPr>
          </w:p>
        </w:tc>
        <w:tc>
          <w:tcPr>
            <w:tcW w:w="1134" w:type="dxa"/>
            <w:tcBorders>
              <w:left w:val="single" w:sz="4" w:space="0" w:color="000000"/>
              <w:bottom w:val="single" w:sz="4" w:space="0" w:color="000000"/>
            </w:tcBorders>
            <w:vAlign w:val="bottom"/>
          </w:tcPr>
          <w:p w14:paraId="0410C0B1" w14:textId="77777777" w:rsidR="000A7DF2" w:rsidRPr="001032A3" w:rsidRDefault="000A7DF2" w:rsidP="00823C46">
            <w:pPr>
              <w:pStyle w:val="Tabletext"/>
              <w:jc w:val="center"/>
            </w:pPr>
            <w:r w:rsidRPr="001032A3">
              <w:t>0</w:t>
            </w:r>
          </w:p>
        </w:tc>
        <w:tc>
          <w:tcPr>
            <w:tcW w:w="1134" w:type="dxa"/>
            <w:gridSpan w:val="2"/>
            <w:tcBorders>
              <w:left w:val="single" w:sz="4" w:space="0" w:color="000000"/>
              <w:bottom w:val="single" w:sz="4" w:space="0" w:color="000000"/>
            </w:tcBorders>
            <w:vAlign w:val="bottom"/>
          </w:tcPr>
          <w:p w14:paraId="11BCEF84" w14:textId="77777777" w:rsidR="000A7DF2" w:rsidRPr="001032A3" w:rsidRDefault="000A7DF2" w:rsidP="00823C46">
            <w:pPr>
              <w:pStyle w:val="Tabletext"/>
              <w:jc w:val="center"/>
            </w:pPr>
          </w:p>
        </w:tc>
        <w:tc>
          <w:tcPr>
            <w:tcW w:w="1560" w:type="dxa"/>
            <w:tcBorders>
              <w:left w:val="single" w:sz="4" w:space="0" w:color="000000"/>
              <w:bottom w:val="single" w:sz="4" w:space="0" w:color="000000"/>
              <w:right w:val="single" w:sz="4" w:space="0" w:color="000000"/>
            </w:tcBorders>
            <w:vAlign w:val="bottom"/>
          </w:tcPr>
          <w:p w14:paraId="183D4AAF" w14:textId="77777777" w:rsidR="000A7DF2" w:rsidRPr="001032A3" w:rsidRDefault="000A7DF2" w:rsidP="00823C46">
            <w:pPr>
              <w:pStyle w:val="Tabletext"/>
              <w:jc w:val="center"/>
            </w:pPr>
          </w:p>
        </w:tc>
      </w:tr>
      <w:tr w:rsidR="000A7DF2" w:rsidRPr="001032A3" w14:paraId="481CF08C" w14:textId="77777777">
        <w:trPr>
          <w:trHeight w:val="402"/>
          <w:jc w:val="center"/>
        </w:trPr>
        <w:tc>
          <w:tcPr>
            <w:tcW w:w="1395" w:type="dxa"/>
            <w:tcBorders>
              <w:left w:val="single" w:sz="4" w:space="0" w:color="000000"/>
              <w:bottom w:val="single" w:sz="4" w:space="0" w:color="000000"/>
            </w:tcBorders>
            <w:vAlign w:val="bottom"/>
          </w:tcPr>
          <w:p w14:paraId="412FA8B5" w14:textId="77777777" w:rsidR="000A7DF2" w:rsidRPr="001032A3" w:rsidRDefault="000A7DF2" w:rsidP="00823C46">
            <w:pPr>
              <w:pStyle w:val="Tabletext"/>
              <w:jc w:val="center"/>
            </w:pPr>
            <w:r w:rsidRPr="001032A3">
              <w:t>5</w:t>
            </w:r>
          </w:p>
        </w:tc>
        <w:tc>
          <w:tcPr>
            <w:tcW w:w="1136" w:type="dxa"/>
            <w:tcBorders>
              <w:left w:val="single" w:sz="4" w:space="0" w:color="000000"/>
              <w:bottom w:val="single" w:sz="4" w:space="0" w:color="000000"/>
            </w:tcBorders>
            <w:vAlign w:val="bottom"/>
          </w:tcPr>
          <w:p w14:paraId="5C68099C" w14:textId="77777777" w:rsidR="000A7DF2" w:rsidRPr="001032A3" w:rsidRDefault="000A7DF2" w:rsidP="00823C46">
            <w:pPr>
              <w:pStyle w:val="Tabletext"/>
              <w:jc w:val="center"/>
            </w:pPr>
          </w:p>
        </w:tc>
        <w:tc>
          <w:tcPr>
            <w:tcW w:w="1297" w:type="dxa"/>
            <w:tcBorders>
              <w:left w:val="single" w:sz="4" w:space="0" w:color="000000"/>
              <w:bottom w:val="single" w:sz="4" w:space="0" w:color="000000"/>
            </w:tcBorders>
            <w:vAlign w:val="bottom"/>
          </w:tcPr>
          <w:p w14:paraId="1E459F0F" w14:textId="77777777" w:rsidR="000A7DF2" w:rsidRPr="001032A3" w:rsidRDefault="000A7DF2" w:rsidP="00823C46">
            <w:pPr>
              <w:pStyle w:val="Tabletext"/>
              <w:jc w:val="center"/>
            </w:pPr>
          </w:p>
        </w:tc>
        <w:tc>
          <w:tcPr>
            <w:tcW w:w="1275" w:type="dxa"/>
            <w:tcBorders>
              <w:left w:val="single" w:sz="4" w:space="0" w:color="000000"/>
              <w:bottom w:val="single" w:sz="4" w:space="0" w:color="000000"/>
            </w:tcBorders>
            <w:vAlign w:val="bottom"/>
          </w:tcPr>
          <w:p w14:paraId="6FF3BFD0" w14:textId="77777777" w:rsidR="000A7DF2" w:rsidRPr="001032A3" w:rsidRDefault="000A7DF2" w:rsidP="00823C46">
            <w:pPr>
              <w:pStyle w:val="Tabletext"/>
              <w:jc w:val="center"/>
            </w:pPr>
          </w:p>
        </w:tc>
        <w:tc>
          <w:tcPr>
            <w:tcW w:w="1134" w:type="dxa"/>
            <w:tcBorders>
              <w:left w:val="single" w:sz="4" w:space="0" w:color="000000"/>
              <w:bottom w:val="single" w:sz="4" w:space="0" w:color="000000"/>
            </w:tcBorders>
            <w:vAlign w:val="bottom"/>
          </w:tcPr>
          <w:p w14:paraId="751285B2" w14:textId="77777777" w:rsidR="000A7DF2" w:rsidRPr="001032A3" w:rsidRDefault="000A7DF2" w:rsidP="00823C46">
            <w:pPr>
              <w:pStyle w:val="Tabletext"/>
              <w:jc w:val="center"/>
            </w:pPr>
          </w:p>
        </w:tc>
        <w:tc>
          <w:tcPr>
            <w:tcW w:w="1134" w:type="dxa"/>
            <w:gridSpan w:val="2"/>
            <w:tcBorders>
              <w:left w:val="single" w:sz="4" w:space="0" w:color="000000"/>
              <w:bottom w:val="single" w:sz="4" w:space="0" w:color="000000"/>
            </w:tcBorders>
            <w:vAlign w:val="bottom"/>
          </w:tcPr>
          <w:p w14:paraId="629FF6AC" w14:textId="77777777" w:rsidR="000A7DF2" w:rsidRPr="001032A3" w:rsidRDefault="000A7DF2" w:rsidP="00823C46">
            <w:pPr>
              <w:pStyle w:val="Tabletext"/>
              <w:jc w:val="center"/>
            </w:pPr>
            <w:r w:rsidRPr="001032A3">
              <w:t>0</w:t>
            </w:r>
          </w:p>
        </w:tc>
        <w:tc>
          <w:tcPr>
            <w:tcW w:w="1560" w:type="dxa"/>
            <w:tcBorders>
              <w:left w:val="single" w:sz="4" w:space="0" w:color="000000"/>
              <w:bottom w:val="single" w:sz="4" w:space="0" w:color="000000"/>
              <w:right w:val="single" w:sz="4" w:space="0" w:color="000000"/>
            </w:tcBorders>
            <w:vAlign w:val="bottom"/>
          </w:tcPr>
          <w:p w14:paraId="2DC70BD0" w14:textId="77777777" w:rsidR="000A7DF2" w:rsidRPr="001032A3" w:rsidRDefault="000A7DF2" w:rsidP="00823C46">
            <w:pPr>
              <w:pStyle w:val="Tabletext"/>
              <w:jc w:val="center"/>
            </w:pPr>
          </w:p>
        </w:tc>
      </w:tr>
      <w:tr w:rsidR="000A7DF2" w:rsidRPr="001032A3" w14:paraId="133F3130" w14:textId="77777777">
        <w:trPr>
          <w:trHeight w:val="402"/>
          <w:jc w:val="center"/>
        </w:trPr>
        <w:tc>
          <w:tcPr>
            <w:tcW w:w="1395" w:type="dxa"/>
            <w:tcBorders>
              <w:left w:val="single" w:sz="4" w:space="0" w:color="000000"/>
              <w:bottom w:val="single" w:sz="4" w:space="0" w:color="000000"/>
            </w:tcBorders>
            <w:vAlign w:val="bottom"/>
          </w:tcPr>
          <w:p w14:paraId="1944F75D" w14:textId="77777777" w:rsidR="000A7DF2" w:rsidRPr="001032A3" w:rsidRDefault="000A7DF2" w:rsidP="00823C46">
            <w:pPr>
              <w:pStyle w:val="Tabletext"/>
              <w:jc w:val="center"/>
            </w:pPr>
            <w:r w:rsidRPr="001032A3">
              <w:t>6</w:t>
            </w:r>
          </w:p>
        </w:tc>
        <w:tc>
          <w:tcPr>
            <w:tcW w:w="1136" w:type="dxa"/>
            <w:tcBorders>
              <w:left w:val="single" w:sz="4" w:space="0" w:color="000000"/>
              <w:bottom w:val="single" w:sz="4" w:space="0" w:color="000000"/>
            </w:tcBorders>
            <w:vAlign w:val="bottom"/>
          </w:tcPr>
          <w:p w14:paraId="05D26FB9" w14:textId="77777777" w:rsidR="000A7DF2" w:rsidRPr="001032A3" w:rsidRDefault="000A7DF2" w:rsidP="00823C46">
            <w:pPr>
              <w:pStyle w:val="Tabletext"/>
              <w:jc w:val="center"/>
            </w:pPr>
          </w:p>
        </w:tc>
        <w:tc>
          <w:tcPr>
            <w:tcW w:w="1297" w:type="dxa"/>
            <w:tcBorders>
              <w:left w:val="single" w:sz="4" w:space="0" w:color="000000"/>
              <w:bottom w:val="single" w:sz="4" w:space="0" w:color="000000"/>
            </w:tcBorders>
            <w:vAlign w:val="bottom"/>
          </w:tcPr>
          <w:p w14:paraId="7514C3E0" w14:textId="77777777" w:rsidR="000A7DF2" w:rsidRPr="001032A3" w:rsidRDefault="000A7DF2" w:rsidP="00823C46">
            <w:pPr>
              <w:pStyle w:val="Tabletext"/>
              <w:jc w:val="center"/>
            </w:pPr>
          </w:p>
        </w:tc>
        <w:tc>
          <w:tcPr>
            <w:tcW w:w="1275" w:type="dxa"/>
            <w:tcBorders>
              <w:left w:val="single" w:sz="4" w:space="0" w:color="000000"/>
              <w:bottom w:val="single" w:sz="4" w:space="0" w:color="000000"/>
            </w:tcBorders>
            <w:vAlign w:val="bottom"/>
          </w:tcPr>
          <w:p w14:paraId="38AB6701" w14:textId="77777777" w:rsidR="000A7DF2" w:rsidRPr="001032A3" w:rsidRDefault="000A7DF2" w:rsidP="00823C46">
            <w:pPr>
              <w:pStyle w:val="Tabletext"/>
              <w:jc w:val="center"/>
            </w:pPr>
          </w:p>
        </w:tc>
        <w:tc>
          <w:tcPr>
            <w:tcW w:w="1134" w:type="dxa"/>
            <w:tcBorders>
              <w:left w:val="single" w:sz="4" w:space="0" w:color="000000"/>
              <w:bottom w:val="single" w:sz="4" w:space="0" w:color="000000"/>
            </w:tcBorders>
            <w:vAlign w:val="bottom"/>
          </w:tcPr>
          <w:p w14:paraId="229B6A4E" w14:textId="77777777" w:rsidR="000A7DF2" w:rsidRPr="001032A3" w:rsidRDefault="000A7DF2" w:rsidP="00823C46">
            <w:pPr>
              <w:pStyle w:val="Tabletext"/>
              <w:jc w:val="center"/>
            </w:pPr>
          </w:p>
        </w:tc>
        <w:tc>
          <w:tcPr>
            <w:tcW w:w="1134" w:type="dxa"/>
            <w:gridSpan w:val="2"/>
            <w:tcBorders>
              <w:left w:val="single" w:sz="4" w:space="0" w:color="000000"/>
              <w:bottom w:val="single" w:sz="4" w:space="0" w:color="000000"/>
            </w:tcBorders>
            <w:vAlign w:val="bottom"/>
          </w:tcPr>
          <w:p w14:paraId="3F49FD1D" w14:textId="77777777" w:rsidR="000A7DF2" w:rsidRPr="001032A3" w:rsidRDefault="000A7DF2" w:rsidP="00823C46">
            <w:pPr>
              <w:pStyle w:val="Tabletext"/>
              <w:jc w:val="center"/>
            </w:pPr>
          </w:p>
        </w:tc>
        <w:tc>
          <w:tcPr>
            <w:tcW w:w="1560" w:type="dxa"/>
            <w:tcBorders>
              <w:left w:val="single" w:sz="4" w:space="0" w:color="000000"/>
              <w:bottom w:val="single" w:sz="4" w:space="0" w:color="000000"/>
              <w:right w:val="single" w:sz="4" w:space="0" w:color="000000"/>
            </w:tcBorders>
            <w:vAlign w:val="bottom"/>
          </w:tcPr>
          <w:p w14:paraId="14802604" w14:textId="77777777" w:rsidR="000A7DF2" w:rsidRPr="001032A3" w:rsidRDefault="000A7DF2" w:rsidP="00823C46">
            <w:pPr>
              <w:pStyle w:val="Tabletext"/>
              <w:jc w:val="center"/>
            </w:pPr>
            <w:r w:rsidRPr="001032A3">
              <w:t>0</w:t>
            </w:r>
          </w:p>
        </w:tc>
      </w:tr>
      <w:tr w:rsidR="000A7DF2" w:rsidRPr="001032A3" w14:paraId="3125BE9F" w14:textId="77777777">
        <w:trPr>
          <w:trHeight w:val="360"/>
          <w:jc w:val="center"/>
        </w:trPr>
        <w:tc>
          <w:tcPr>
            <w:tcW w:w="8931" w:type="dxa"/>
            <w:gridSpan w:val="8"/>
            <w:vAlign w:val="bottom"/>
          </w:tcPr>
          <w:p w14:paraId="7A4EA7B8" w14:textId="77777777" w:rsidR="000A7DF2" w:rsidRPr="001032A3" w:rsidRDefault="000A7DF2" w:rsidP="000207E3">
            <w:pPr>
              <w:jc w:val="left"/>
              <w:rPr>
                <w:sz w:val="24"/>
              </w:rPr>
            </w:pPr>
            <w:r w:rsidRPr="001032A3">
              <w:rPr>
                <w:sz w:val="24"/>
              </w:rPr>
              <w:t>Incoming calls – roaming charges between countries</w:t>
            </w:r>
          </w:p>
          <w:p w14:paraId="36854145" w14:textId="77777777" w:rsidR="000A7DF2" w:rsidRPr="001032A3" w:rsidRDefault="000A7DF2" w:rsidP="000207E3">
            <w:pPr>
              <w:jc w:val="left"/>
            </w:pPr>
            <w:r>
              <w:t>Date of tariff:</w:t>
            </w:r>
          </w:p>
        </w:tc>
      </w:tr>
      <w:tr w:rsidR="000A7DF2" w:rsidRPr="001032A3" w14:paraId="002DE494" w14:textId="77777777">
        <w:trPr>
          <w:trHeight w:val="300"/>
          <w:jc w:val="center"/>
        </w:trPr>
        <w:tc>
          <w:tcPr>
            <w:tcW w:w="1395" w:type="dxa"/>
            <w:tcBorders>
              <w:top w:val="single" w:sz="4" w:space="0" w:color="000000"/>
              <w:left w:val="single" w:sz="4" w:space="0" w:color="000000"/>
              <w:bottom w:val="single" w:sz="4" w:space="0" w:color="000000"/>
            </w:tcBorders>
            <w:vAlign w:val="bottom"/>
          </w:tcPr>
          <w:p w14:paraId="100EA957" w14:textId="77777777" w:rsidR="000A7DF2" w:rsidRPr="001032A3" w:rsidRDefault="000A7DF2" w:rsidP="00271111">
            <w:pPr>
              <w:pStyle w:val="Tablehead"/>
            </w:pPr>
          </w:p>
        </w:tc>
        <w:tc>
          <w:tcPr>
            <w:tcW w:w="1136" w:type="dxa"/>
            <w:tcBorders>
              <w:top w:val="single" w:sz="4" w:space="0" w:color="000000"/>
              <w:left w:val="single" w:sz="4" w:space="0" w:color="000000"/>
              <w:bottom w:val="single" w:sz="4" w:space="0" w:color="000000"/>
            </w:tcBorders>
            <w:vAlign w:val="bottom"/>
          </w:tcPr>
          <w:p w14:paraId="1D831E56" w14:textId="77777777" w:rsidR="000A7DF2" w:rsidRPr="001032A3" w:rsidRDefault="000A7DF2" w:rsidP="00271111">
            <w:pPr>
              <w:pStyle w:val="Tablehead"/>
            </w:pPr>
            <w:r w:rsidRPr="001032A3">
              <w:t>1</w:t>
            </w:r>
          </w:p>
        </w:tc>
        <w:tc>
          <w:tcPr>
            <w:tcW w:w="1297" w:type="dxa"/>
            <w:tcBorders>
              <w:top w:val="single" w:sz="4" w:space="0" w:color="000000"/>
              <w:left w:val="single" w:sz="4" w:space="0" w:color="000000"/>
              <w:bottom w:val="single" w:sz="4" w:space="0" w:color="000000"/>
            </w:tcBorders>
            <w:vAlign w:val="bottom"/>
          </w:tcPr>
          <w:p w14:paraId="4A2F97C4" w14:textId="77777777" w:rsidR="000A7DF2" w:rsidRPr="001032A3" w:rsidRDefault="000A7DF2" w:rsidP="00271111">
            <w:pPr>
              <w:pStyle w:val="Tablehead"/>
            </w:pPr>
            <w:r w:rsidRPr="001032A3">
              <w:t>2</w:t>
            </w:r>
          </w:p>
        </w:tc>
        <w:tc>
          <w:tcPr>
            <w:tcW w:w="1275" w:type="dxa"/>
            <w:tcBorders>
              <w:top w:val="single" w:sz="4" w:space="0" w:color="000000"/>
              <w:left w:val="single" w:sz="4" w:space="0" w:color="000000"/>
              <w:bottom w:val="single" w:sz="4" w:space="0" w:color="000000"/>
            </w:tcBorders>
            <w:vAlign w:val="bottom"/>
          </w:tcPr>
          <w:p w14:paraId="1EDE21D5" w14:textId="77777777" w:rsidR="000A7DF2" w:rsidRPr="001032A3" w:rsidRDefault="000A7DF2" w:rsidP="00271111">
            <w:pPr>
              <w:pStyle w:val="Tablehead"/>
            </w:pPr>
            <w:r w:rsidRPr="001032A3">
              <w:t>3</w:t>
            </w:r>
          </w:p>
        </w:tc>
        <w:tc>
          <w:tcPr>
            <w:tcW w:w="1134" w:type="dxa"/>
            <w:tcBorders>
              <w:top w:val="single" w:sz="4" w:space="0" w:color="000000"/>
              <w:left w:val="single" w:sz="4" w:space="0" w:color="000000"/>
              <w:bottom w:val="single" w:sz="4" w:space="0" w:color="000000"/>
            </w:tcBorders>
            <w:vAlign w:val="bottom"/>
          </w:tcPr>
          <w:p w14:paraId="4AC4A3DF" w14:textId="77777777" w:rsidR="000A7DF2" w:rsidRPr="001032A3" w:rsidRDefault="000A7DF2" w:rsidP="00271111">
            <w:pPr>
              <w:pStyle w:val="Tablehead"/>
            </w:pPr>
            <w:r w:rsidRPr="001032A3">
              <w:t>4</w:t>
            </w:r>
          </w:p>
        </w:tc>
        <w:tc>
          <w:tcPr>
            <w:tcW w:w="993" w:type="dxa"/>
            <w:tcBorders>
              <w:top w:val="single" w:sz="4" w:space="0" w:color="000000"/>
              <w:left w:val="single" w:sz="4" w:space="0" w:color="000000"/>
              <w:bottom w:val="single" w:sz="4" w:space="0" w:color="000000"/>
            </w:tcBorders>
            <w:vAlign w:val="bottom"/>
          </w:tcPr>
          <w:p w14:paraId="74CF8464" w14:textId="77777777" w:rsidR="000A7DF2" w:rsidRPr="001032A3" w:rsidRDefault="000A7DF2" w:rsidP="00271111">
            <w:pPr>
              <w:pStyle w:val="Tablehead"/>
            </w:pPr>
            <w:r w:rsidRPr="001032A3">
              <w:t>5</w:t>
            </w:r>
          </w:p>
        </w:tc>
        <w:tc>
          <w:tcPr>
            <w:tcW w:w="1701" w:type="dxa"/>
            <w:gridSpan w:val="2"/>
            <w:tcBorders>
              <w:top w:val="single" w:sz="4" w:space="0" w:color="000000"/>
              <w:left w:val="single" w:sz="4" w:space="0" w:color="000000"/>
              <w:bottom w:val="single" w:sz="4" w:space="0" w:color="000000"/>
              <w:right w:val="single" w:sz="4" w:space="0" w:color="000000"/>
            </w:tcBorders>
            <w:vAlign w:val="bottom"/>
          </w:tcPr>
          <w:p w14:paraId="5816DD1F" w14:textId="77777777" w:rsidR="000A7DF2" w:rsidRPr="001032A3" w:rsidRDefault="000A7DF2" w:rsidP="00271111">
            <w:pPr>
              <w:pStyle w:val="Tablehead"/>
            </w:pPr>
            <w:r w:rsidRPr="001032A3">
              <w:t>6</w:t>
            </w:r>
          </w:p>
        </w:tc>
      </w:tr>
      <w:tr w:rsidR="000A7DF2" w:rsidRPr="001032A3" w14:paraId="21B318E5" w14:textId="77777777">
        <w:trPr>
          <w:trHeight w:val="300"/>
          <w:jc w:val="center"/>
        </w:trPr>
        <w:tc>
          <w:tcPr>
            <w:tcW w:w="1395" w:type="dxa"/>
            <w:tcBorders>
              <w:left w:val="single" w:sz="4" w:space="0" w:color="000000"/>
              <w:bottom w:val="single" w:sz="4" w:space="0" w:color="000000"/>
            </w:tcBorders>
            <w:vAlign w:val="bottom"/>
          </w:tcPr>
          <w:p w14:paraId="7BA6ADF8" w14:textId="77777777" w:rsidR="000A7DF2" w:rsidRPr="001032A3" w:rsidRDefault="000A7DF2" w:rsidP="00823C46">
            <w:pPr>
              <w:pStyle w:val="Tabletext"/>
              <w:jc w:val="center"/>
            </w:pPr>
            <w:r w:rsidRPr="001032A3">
              <w:t>1</w:t>
            </w:r>
          </w:p>
        </w:tc>
        <w:tc>
          <w:tcPr>
            <w:tcW w:w="1136" w:type="dxa"/>
            <w:tcBorders>
              <w:left w:val="single" w:sz="4" w:space="0" w:color="000000"/>
              <w:bottom w:val="single" w:sz="4" w:space="0" w:color="000000"/>
            </w:tcBorders>
            <w:vAlign w:val="bottom"/>
          </w:tcPr>
          <w:p w14:paraId="446D09BE" w14:textId="77777777" w:rsidR="000A7DF2" w:rsidRPr="001032A3" w:rsidRDefault="000A7DF2" w:rsidP="00823C46">
            <w:pPr>
              <w:pStyle w:val="Tabletext"/>
              <w:jc w:val="center"/>
            </w:pPr>
            <w:r w:rsidRPr="001032A3">
              <w:t>0</w:t>
            </w:r>
          </w:p>
        </w:tc>
        <w:tc>
          <w:tcPr>
            <w:tcW w:w="1297" w:type="dxa"/>
            <w:tcBorders>
              <w:left w:val="single" w:sz="4" w:space="0" w:color="000000"/>
              <w:bottom w:val="single" w:sz="4" w:space="0" w:color="000000"/>
            </w:tcBorders>
            <w:vAlign w:val="bottom"/>
          </w:tcPr>
          <w:p w14:paraId="261B8F9F" w14:textId="77777777" w:rsidR="000A7DF2" w:rsidRPr="001032A3" w:rsidRDefault="000A7DF2" w:rsidP="00823C46">
            <w:pPr>
              <w:pStyle w:val="Tabletext"/>
              <w:jc w:val="center"/>
            </w:pPr>
          </w:p>
        </w:tc>
        <w:tc>
          <w:tcPr>
            <w:tcW w:w="1275" w:type="dxa"/>
            <w:tcBorders>
              <w:left w:val="single" w:sz="4" w:space="0" w:color="000000"/>
              <w:bottom w:val="single" w:sz="4" w:space="0" w:color="000000"/>
            </w:tcBorders>
            <w:vAlign w:val="bottom"/>
          </w:tcPr>
          <w:p w14:paraId="0A619930" w14:textId="77777777" w:rsidR="000A7DF2" w:rsidRPr="001032A3" w:rsidRDefault="000A7DF2" w:rsidP="00823C46">
            <w:pPr>
              <w:pStyle w:val="Tabletext"/>
              <w:jc w:val="center"/>
            </w:pPr>
          </w:p>
        </w:tc>
        <w:tc>
          <w:tcPr>
            <w:tcW w:w="1134" w:type="dxa"/>
            <w:tcBorders>
              <w:left w:val="single" w:sz="4" w:space="0" w:color="000000"/>
              <w:bottom w:val="single" w:sz="4" w:space="0" w:color="000000"/>
            </w:tcBorders>
            <w:vAlign w:val="bottom"/>
          </w:tcPr>
          <w:p w14:paraId="5D3E726B" w14:textId="77777777" w:rsidR="000A7DF2" w:rsidRPr="001032A3" w:rsidRDefault="000A7DF2" w:rsidP="00823C46">
            <w:pPr>
              <w:pStyle w:val="Tabletext"/>
              <w:jc w:val="center"/>
            </w:pPr>
          </w:p>
        </w:tc>
        <w:tc>
          <w:tcPr>
            <w:tcW w:w="993" w:type="dxa"/>
            <w:tcBorders>
              <w:left w:val="single" w:sz="4" w:space="0" w:color="000000"/>
              <w:bottom w:val="single" w:sz="4" w:space="0" w:color="000000"/>
            </w:tcBorders>
            <w:vAlign w:val="bottom"/>
          </w:tcPr>
          <w:p w14:paraId="3FB8649D" w14:textId="77777777" w:rsidR="000A7DF2" w:rsidRPr="001032A3" w:rsidRDefault="000A7DF2" w:rsidP="00823C46">
            <w:pPr>
              <w:pStyle w:val="Tabletext"/>
              <w:jc w:val="center"/>
            </w:pPr>
          </w:p>
        </w:tc>
        <w:tc>
          <w:tcPr>
            <w:tcW w:w="1701" w:type="dxa"/>
            <w:gridSpan w:val="2"/>
            <w:tcBorders>
              <w:left w:val="single" w:sz="4" w:space="0" w:color="000000"/>
              <w:bottom w:val="single" w:sz="4" w:space="0" w:color="000000"/>
              <w:right w:val="single" w:sz="4" w:space="0" w:color="000000"/>
            </w:tcBorders>
            <w:vAlign w:val="bottom"/>
          </w:tcPr>
          <w:p w14:paraId="1FF8AA89" w14:textId="77777777" w:rsidR="000A7DF2" w:rsidRPr="001032A3" w:rsidRDefault="000A7DF2" w:rsidP="00823C46">
            <w:pPr>
              <w:pStyle w:val="Tabletext"/>
              <w:jc w:val="center"/>
            </w:pPr>
          </w:p>
        </w:tc>
      </w:tr>
      <w:tr w:rsidR="000A7DF2" w:rsidRPr="001032A3" w14:paraId="7FE3F241" w14:textId="77777777">
        <w:trPr>
          <w:trHeight w:val="300"/>
          <w:jc w:val="center"/>
        </w:trPr>
        <w:tc>
          <w:tcPr>
            <w:tcW w:w="1395" w:type="dxa"/>
            <w:tcBorders>
              <w:left w:val="single" w:sz="4" w:space="0" w:color="000000"/>
              <w:bottom w:val="single" w:sz="4" w:space="0" w:color="000000"/>
            </w:tcBorders>
            <w:vAlign w:val="bottom"/>
          </w:tcPr>
          <w:p w14:paraId="6ECEDBD6" w14:textId="77777777" w:rsidR="000A7DF2" w:rsidRPr="001032A3" w:rsidRDefault="000A7DF2" w:rsidP="00823C46">
            <w:pPr>
              <w:pStyle w:val="Tabletext"/>
              <w:jc w:val="center"/>
            </w:pPr>
            <w:r w:rsidRPr="001032A3">
              <w:t>2</w:t>
            </w:r>
          </w:p>
        </w:tc>
        <w:tc>
          <w:tcPr>
            <w:tcW w:w="1136" w:type="dxa"/>
            <w:tcBorders>
              <w:left w:val="single" w:sz="4" w:space="0" w:color="000000"/>
              <w:bottom w:val="single" w:sz="4" w:space="0" w:color="000000"/>
            </w:tcBorders>
            <w:vAlign w:val="bottom"/>
          </w:tcPr>
          <w:p w14:paraId="10D487FF" w14:textId="77777777" w:rsidR="000A7DF2" w:rsidRPr="001032A3" w:rsidRDefault="000A7DF2" w:rsidP="00823C46">
            <w:pPr>
              <w:pStyle w:val="Tabletext"/>
              <w:jc w:val="center"/>
            </w:pPr>
          </w:p>
        </w:tc>
        <w:tc>
          <w:tcPr>
            <w:tcW w:w="1297" w:type="dxa"/>
            <w:tcBorders>
              <w:left w:val="single" w:sz="4" w:space="0" w:color="000000"/>
              <w:bottom w:val="single" w:sz="4" w:space="0" w:color="000000"/>
            </w:tcBorders>
            <w:vAlign w:val="bottom"/>
          </w:tcPr>
          <w:p w14:paraId="447200CD" w14:textId="77777777" w:rsidR="000A7DF2" w:rsidRPr="001032A3" w:rsidRDefault="000A7DF2" w:rsidP="00823C46">
            <w:pPr>
              <w:pStyle w:val="Tabletext"/>
              <w:jc w:val="center"/>
            </w:pPr>
            <w:r w:rsidRPr="001032A3">
              <w:t>0</w:t>
            </w:r>
          </w:p>
        </w:tc>
        <w:tc>
          <w:tcPr>
            <w:tcW w:w="1275" w:type="dxa"/>
            <w:tcBorders>
              <w:left w:val="single" w:sz="4" w:space="0" w:color="000000"/>
              <w:bottom w:val="single" w:sz="4" w:space="0" w:color="000000"/>
            </w:tcBorders>
            <w:vAlign w:val="bottom"/>
          </w:tcPr>
          <w:p w14:paraId="64959708" w14:textId="77777777" w:rsidR="000A7DF2" w:rsidRPr="001032A3" w:rsidRDefault="000A7DF2" w:rsidP="00823C46">
            <w:pPr>
              <w:pStyle w:val="Tabletext"/>
              <w:jc w:val="center"/>
            </w:pPr>
          </w:p>
        </w:tc>
        <w:tc>
          <w:tcPr>
            <w:tcW w:w="1134" w:type="dxa"/>
            <w:tcBorders>
              <w:left w:val="single" w:sz="4" w:space="0" w:color="000000"/>
              <w:bottom w:val="single" w:sz="4" w:space="0" w:color="000000"/>
            </w:tcBorders>
            <w:vAlign w:val="bottom"/>
          </w:tcPr>
          <w:p w14:paraId="59CFF096" w14:textId="77777777" w:rsidR="000A7DF2" w:rsidRPr="001032A3" w:rsidRDefault="000A7DF2" w:rsidP="00823C46">
            <w:pPr>
              <w:pStyle w:val="Tabletext"/>
              <w:jc w:val="center"/>
            </w:pPr>
          </w:p>
        </w:tc>
        <w:tc>
          <w:tcPr>
            <w:tcW w:w="993" w:type="dxa"/>
            <w:tcBorders>
              <w:left w:val="single" w:sz="4" w:space="0" w:color="000000"/>
              <w:bottom w:val="single" w:sz="4" w:space="0" w:color="000000"/>
            </w:tcBorders>
            <w:vAlign w:val="bottom"/>
          </w:tcPr>
          <w:p w14:paraId="194D8CCD" w14:textId="77777777" w:rsidR="000A7DF2" w:rsidRPr="001032A3" w:rsidRDefault="000A7DF2" w:rsidP="00823C46">
            <w:pPr>
              <w:pStyle w:val="Tabletext"/>
              <w:jc w:val="center"/>
            </w:pPr>
          </w:p>
        </w:tc>
        <w:tc>
          <w:tcPr>
            <w:tcW w:w="1701" w:type="dxa"/>
            <w:gridSpan w:val="2"/>
            <w:tcBorders>
              <w:left w:val="single" w:sz="4" w:space="0" w:color="000000"/>
              <w:bottom w:val="single" w:sz="4" w:space="0" w:color="000000"/>
              <w:right w:val="single" w:sz="4" w:space="0" w:color="000000"/>
            </w:tcBorders>
            <w:vAlign w:val="bottom"/>
          </w:tcPr>
          <w:p w14:paraId="4F1F53F0" w14:textId="77777777" w:rsidR="000A7DF2" w:rsidRPr="001032A3" w:rsidRDefault="000A7DF2" w:rsidP="00823C46">
            <w:pPr>
              <w:pStyle w:val="Tabletext"/>
              <w:jc w:val="center"/>
            </w:pPr>
          </w:p>
        </w:tc>
      </w:tr>
      <w:tr w:rsidR="000A7DF2" w:rsidRPr="001032A3" w14:paraId="70424A8C" w14:textId="77777777">
        <w:trPr>
          <w:trHeight w:val="300"/>
          <w:jc w:val="center"/>
        </w:trPr>
        <w:tc>
          <w:tcPr>
            <w:tcW w:w="1395" w:type="dxa"/>
            <w:tcBorders>
              <w:left w:val="single" w:sz="4" w:space="0" w:color="000000"/>
              <w:bottom w:val="single" w:sz="4" w:space="0" w:color="000000"/>
            </w:tcBorders>
            <w:vAlign w:val="bottom"/>
          </w:tcPr>
          <w:p w14:paraId="66D1A02C" w14:textId="77777777" w:rsidR="000A7DF2" w:rsidRPr="001032A3" w:rsidRDefault="000A7DF2" w:rsidP="00823C46">
            <w:pPr>
              <w:pStyle w:val="Tabletext"/>
              <w:jc w:val="center"/>
            </w:pPr>
            <w:r w:rsidRPr="001032A3">
              <w:t>3</w:t>
            </w:r>
          </w:p>
        </w:tc>
        <w:tc>
          <w:tcPr>
            <w:tcW w:w="1136" w:type="dxa"/>
            <w:tcBorders>
              <w:left w:val="single" w:sz="4" w:space="0" w:color="000000"/>
              <w:bottom w:val="single" w:sz="4" w:space="0" w:color="000000"/>
            </w:tcBorders>
            <w:vAlign w:val="bottom"/>
          </w:tcPr>
          <w:p w14:paraId="12FA9BDE" w14:textId="77777777" w:rsidR="000A7DF2" w:rsidRPr="001032A3" w:rsidRDefault="000A7DF2" w:rsidP="00823C46">
            <w:pPr>
              <w:pStyle w:val="Tabletext"/>
              <w:jc w:val="center"/>
            </w:pPr>
          </w:p>
        </w:tc>
        <w:tc>
          <w:tcPr>
            <w:tcW w:w="1297" w:type="dxa"/>
            <w:tcBorders>
              <w:left w:val="single" w:sz="4" w:space="0" w:color="000000"/>
              <w:bottom w:val="single" w:sz="4" w:space="0" w:color="000000"/>
            </w:tcBorders>
            <w:vAlign w:val="bottom"/>
          </w:tcPr>
          <w:p w14:paraId="333A4BFF" w14:textId="77777777" w:rsidR="000A7DF2" w:rsidRPr="001032A3" w:rsidRDefault="000A7DF2" w:rsidP="00823C46">
            <w:pPr>
              <w:pStyle w:val="Tabletext"/>
              <w:jc w:val="center"/>
            </w:pPr>
          </w:p>
        </w:tc>
        <w:tc>
          <w:tcPr>
            <w:tcW w:w="1275" w:type="dxa"/>
            <w:tcBorders>
              <w:left w:val="single" w:sz="4" w:space="0" w:color="000000"/>
              <w:bottom w:val="single" w:sz="4" w:space="0" w:color="000000"/>
            </w:tcBorders>
            <w:vAlign w:val="bottom"/>
          </w:tcPr>
          <w:p w14:paraId="5E823FE4" w14:textId="77777777" w:rsidR="000A7DF2" w:rsidRPr="001032A3" w:rsidRDefault="000A7DF2" w:rsidP="00823C46">
            <w:pPr>
              <w:pStyle w:val="Tabletext"/>
              <w:jc w:val="center"/>
            </w:pPr>
            <w:r w:rsidRPr="001032A3">
              <w:t>0</w:t>
            </w:r>
          </w:p>
        </w:tc>
        <w:tc>
          <w:tcPr>
            <w:tcW w:w="1134" w:type="dxa"/>
            <w:tcBorders>
              <w:left w:val="single" w:sz="4" w:space="0" w:color="000000"/>
              <w:bottom w:val="single" w:sz="4" w:space="0" w:color="000000"/>
            </w:tcBorders>
            <w:vAlign w:val="bottom"/>
          </w:tcPr>
          <w:p w14:paraId="45D9E7E4" w14:textId="77777777" w:rsidR="000A7DF2" w:rsidRPr="001032A3" w:rsidRDefault="000A7DF2" w:rsidP="00823C46">
            <w:pPr>
              <w:pStyle w:val="Tabletext"/>
              <w:jc w:val="center"/>
            </w:pPr>
          </w:p>
        </w:tc>
        <w:tc>
          <w:tcPr>
            <w:tcW w:w="993" w:type="dxa"/>
            <w:tcBorders>
              <w:left w:val="single" w:sz="4" w:space="0" w:color="000000"/>
              <w:bottom w:val="single" w:sz="4" w:space="0" w:color="000000"/>
            </w:tcBorders>
            <w:vAlign w:val="bottom"/>
          </w:tcPr>
          <w:p w14:paraId="53A1FC67" w14:textId="77777777" w:rsidR="000A7DF2" w:rsidRPr="001032A3" w:rsidRDefault="000A7DF2" w:rsidP="00823C46">
            <w:pPr>
              <w:pStyle w:val="Tabletext"/>
              <w:jc w:val="center"/>
            </w:pPr>
          </w:p>
        </w:tc>
        <w:tc>
          <w:tcPr>
            <w:tcW w:w="1701" w:type="dxa"/>
            <w:gridSpan w:val="2"/>
            <w:tcBorders>
              <w:left w:val="single" w:sz="4" w:space="0" w:color="000000"/>
              <w:bottom w:val="single" w:sz="4" w:space="0" w:color="000000"/>
              <w:right w:val="single" w:sz="4" w:space="0" w:color="000000"/>
            </w:tcBorders>
            <w:vAlign w:val="bottom"/>
          </w:tcPr>
          <w:p w14:paraId="085CEED0" w14:textId="77777777" w:rsidR="000A7DF2" w:rsidRPr="001032A3" w:rsidRDefault="000A7DF2" w:rsidP="00823C46">
            <w:pPr>
              <w:pStyle w:val="Tabletext"/>
              <w:jc w:val="center"/>
            </w:pPr>
          </w:p>
        </w:tc>
      </w:tr>
      <w:tr w:rsidR="000A7DF2" w:rsidRPr="001032A3" w14:paraId="69588479" w14:textId="77777777">
        <w:trPr>
          <w:trHeight w:val="300"/>
          <w:jc w:val="center"/>
        </w:trPr>
        <w:tc>
          <w:tcPr>
            <w:tcW w:w="1395" w:type="dxa"/>
            <w:tcBorders>
              <w:left w:val="single" w:sz="4" w:space="0" w:color="000000"/>
              <w:bottom w:val="single" w:sz="4" w:space="0" w:color="000000"/>
            </w:tcBorders>
            <w:vAlign w:val="bottom"/>
          </w:tcPr>
          <w:p w14:paraId="3A32C469" w14:textId="77777777" w:rsidR="000A7DF2" w:rsidRPr="001032A3" w:rsidRDefault="000A7DF2" w:rsidP="00823C46">
            <w:pPr>
              <w:pStyle w:val="Tabletext"/>
              <w:jc w:val="center"/>
            </w:pPr>
            <w:r w:rsidRPr="001032A3">
              <w:t>4</w:t>
            </w:r>
          </w:p>
        </w:tc>
        <w:tc>
          <w:tcPr>
            <w:tcW w:w="1136" w:type="dxa"/>
            <w:tcBorders>
              <w:left w:val="single" w:sz="4" w:space="0" w:color="000000"/>
              <w:bottom w:val="single" w:sz="4" w:space="0" w:color="000000"/>
            </w:tcBorders>
            <w:vAlign w:val="bottom"/>
          </w:tcPr>
          <w:p w14:paraId="48A5CB2F" w14:textId="77777777" w:rsidR="000A7DF2" w:rsidRPr="001032A3" w:rsidRDefault="000A7DF2" w:rsidP="00823C46">
            <w:pPr>
              <w:pStyle w:val="Tabletext"/>
              <w:jc w:val="center"/>
            </w:pPr>
          </w:p>
        </w:tc>
        <w:tc>
          <w:tcPr>
            <w:tcW w:w="1297" w:type="dxa"/>
            <w:tcBorders>
              <w:left w:val="single" w:sz="4" w:space="0" w:color="000000"/>
              <w:bottom w:val="single" w:sz="4" w:space="0" w:color="000000"/>
            </w:tcBorders>
            <w:vAlign w:val="bottom"/>
          </w:tcPr>
          <w:p w14:paraId="1B709827" w14:textId="77777777" w:rsidR="000A7DF2" w:rsidRPr="001032A3" w:rsidRDefault="000A7DF2" w:rsidP="00823C46">
            <w:pPr>
              <w:pStyle w:val="Tabletext"/>
              <w:jc w:val="center"/>
            </w:pPr>
          </w:p>
        </w:tc>
        <w:tc>
          <w:tcPr>
            <w:tcW w:w="1275" w:type="dxa"/>
            <w:tcBorders>
              <w:left w:val="single" w:sz="4" w:space="0" w:color="000000"/>
              <w:bottom w:val="single" w:sz="4" w:space="0" w:color="000000"/>
            </w:tcBorders>
            <w:vAlign w:val="bottom"/>
          </w:tcPr>
          <w:p w14:paraId="4989CDFC" w14:textId="77777777" w:rsidR="000A7DF2" w:rsidRPr="001032A3" w:rsidRDefault="000A7DF2" w:rsidP="00823C46">
            <w:pPr>
              <w:pStyle w:val="Tabletext"/>
              <w:jc w:val="center"/>
            </w:pPr>
          </w:p>
        </w:tc>
        <w:tc>
          <w:tcPr>
            <w:tcW w:w="1134" w:type="dxa"/>
            <w:tcBorders>
              <w:left w:val="single" w:sz="4" w:space="0" w:color="000000"/>
              <w:bottom w:val="single" w:sz="4" w:space="0" w:color="000000"/>
            </w:tcBorders>
            <w:vAlign w:val="bottom"/>
          </w:tcPr>
          <w:p w14:paraId="46B010C4" w14:textId="77777777" w:rsidR="000A7DF2" w:rsidRPr="001032A3" w:rsidRDefault="000A7DF2" w:rsidP="00823C46">
            <w:pPr>
              <w:pStyle w:val="Tabletext"/>
              <w:jc w:val="center"/>
            </w:pPr>
            <w:r w:rsidRPr="001032A3">
              <w:t>0</w:t>
            </w:r>
          </w:p>
        </w:tc>
        <w:tc>
          <w:tcPr>
            <w:tcW w:w="993" w:type="dxa"/>
            <w:tcBorders>
              <w:left w:val="single" w:sz="4" w:space="0" w:color="000000"/>
              <w:bottom w:val="single" w:sz="4" w:space="0" w:color="000000"/>
            </w:tcBorders>
            <w:vAlign w:val="bottom"/>
          </w:tcPr>
          <w:p w14:paraId="6B800F55" w14:textId="77777777" w:rsidR="000A7DF2" w:rsidRPr="001032A3" w:rsidRDefault="000A7DF2" w:rsidP="00823C46">
            <w:pPr>
              <w:pStyle w:val="Tabletext"/>
              <w:jc w:val="center"/>
            </w:pPr>
          </w:p>
        </w:tc>
        <w:tc>
          <w:tcPr>
            <w:tcW w:w="1701" w:type="dxa"/>
            <w:gridSpan w:val="2"/>
            <w:tcBorders>
              <w:left w:val="single" w:sz="4" w:space="0" w:color="000000"/>
              <w:bottom w:val="single" w:sz="4" w:space="0" w:color="000000"/>
              <w:right w:val="single" w:sz="4" w:space="0" w:color="000000"/>
            </w:tcBorders>
            <w:vAlign w:val="bottom"/>
          </w:tcPr>
          <w:p w14:paraId="2AD931CE" w14:textId="77777777" w:rsidR="000A7DF2" w:rsidRPr="001032A3" w:rsidRDefault="000A7DF2" w:rsidP="00823C46">
            <w:pPr>
              <w:pStyle w:val="Tabletext"/>
              <w:jc w:val="center"/>
            </w:pPr>
          </w:p>
        </w:tc>
      </w:tr>
      <w:tr w:rsidR="000A7DF2" w:rsidRPr="001032A3" w14:paraId="45D77176" w14:textId="77777777">
        <w:trPr>
          <w:trHeight w:val="300"/>
          <w:jc w:val="center"/>
        </w:trPr>
        <w:tc>
          <w:tcPr>
            <w:tcW w:w="1395" w:type="dxa"/>
            <w:tcBorders>
              <w:left w:val="single" w:sz="4" w:space="0" w:color="000000"/>
              <w:bottom w:val="single" w:sz="4" w:space="0" w:color="000000"/>
            </w:tcBorders>
            <w:vAlign w:val="bottom"/>
          </w:tcPr>
          <w:p w14:paraId="03DF1198" w14:textId="77777777" w:rsidR="000A7DF2" w:rsidRPr="001032A3" w:rsidRDefault="000A7DF2" w:rsidP="00823C46">
            <w:pPr>
              <w:pStyle w:val="Tabletext"/>
              <w:jc w:val="center"/>
            </w:pPr>
            <w:r w:rsidRPr="001032A3">
              <w:t>5</w:t>
            </w:r>
          </w:p>
        </w:tc>
        <w:tc>
          <w:tcPr>
            <w:tcW w:w="1136" w:type="dxa"/>
            <w:tcBorders>
              <w:left w:val="single" w:sz="4" w:space="0" w:color="000000"/>
              <w:bottom w:val="single" w:sz="4" w:space="0" w:color="000000"/>
            </w:tcBorders>
            <w:vAlign w:val="bottom"/>
          </w:tcPr>
          <w:p w14:paraId="1FB29C75" w14:textId="77777777" w:rsidR="000A7DF2" w:rsidRPr="001032A3" w:rsidRDefault="000A7DF2" w:rsidP="00823C46">
            <w:pPr>
              <w:pStyle w:val="Tabletext"/>
              <w:jc w:val="center"/>
            </w:pPr>
          </w:p>
        </w:tc>
        <w:tc>
          <w:tcPr>
            <w:tcW w:w="1297" w:type="dxa"/>
            <w:tcBorders>
              <w:left w:val="single" w:sz="4" w:space="0" w:color="000000"/>
              <w:bottom w:val="single" w:sz="4" w:space="0" w:color="000000"/>
            </w:tcBorders>
            <w:vAlign w:val="bottom"/>
          </w:tcPr>
          <w:p w14:paraId="2228FCBD" w14:textId="77777777" w:rsidR="000A7DF2" w:rsidRPr="001032A3" w:rsidRDefault="000A7DF2" w:rsidP="00823C46">
            <w:pPr>
              <w:pStyle w:val="Tabletext"/>
              <w:jc w:val="center"/>
            </w:pPr>
          </w:p>
        </w:tc>
        <w:tc>
          <w:tcPr>
            <w:tcW w:w="1275" w:type="dxa"/>
            <w:tcBorders>
              <w:left w:val="single" w:sz="4" w:space="0" w:color="000000"/>
              <w:bottom w:val="single" w:sz="4" w:space="0" w:color="000000"/>
            </w:tcBorders>
            <w:vAlign w:val="bottom"/>
          </w:tcPr>
          <w:p w14:paraId="19749609" w14:textId="77777777" w:rsidR="000A7DF2" w:rsidRPr="001032A3" w:rsidRDefault="000A7DF2" w:rsidP="00823C46">
            <w:pPr>
              <w:pStyle w:val="Tabletext"/>
              <w:jc w:val="center"/>
            </w:pPr>
          </w:p>
        </w:tc>
        <w:tc>
          <w:tcPr>
            <w:tcW w:w="1134" w:type="dxa"/>
            <w:tcBorders>
              <w:left w:val="single" w:sz="4" w:space="0" w:color="000000"/>
              <w:bottom w:val="single" w:sz="4" w:space="0" w:color="000000"/>
            </w:tcBorders>
            <w:vAlign w:val="bottom"/>
          </w:tcPr>
          <w:p w14:paraId="28AC93AA" w14:textId="77777777" w:rsidR="000A7DF2" w:rsidRPr="001032A3" w:rsidRDefault="000A7DF2" w:rsidP="00823C46">
            <w:pPr>
              <w:pStyle w:val="Tabletext"/>
              <w:jc w:val="center"/>
            </w:pPr>
          </w:p>
        </w:tc>
        <w:tc>
          <w:tcPr>
            <w:tcW w:w="993" w:type="dxa"/>
            <w:tcBorders>
              <w:left w:val="single" w:sz="4" w:space="0" w:color="000000"/>
              <w:bottom w:val="single" w:sz="4" w:space="0" w:color="000000"/>
            </w:tcBorders>
            <w:vAlign w:val="bottom"/>
          </w:tcPr>
          <w:p w14:paraId="7FA9A3AA" w14:textId="77777777" w:rsidR="000A7DF2" w:rsidRPr="001032A3" w:rsidRDefault="000A7DF2" w:rsidP="00823C46">
            <w:pPr>
              <w:pStyle w:val="Tabletext"/>
              <w:jc w:val="center"/>
            </w:pPr>
            <w:r w:rsidRPr="001032A3">
              <w:t>0</w:t>
            </w:r>
          </w:p>
        </w:tc>
        <w:tc>
          <w:tcPr>
            <w:tcW w:w="1701" w:type="dxa"/>
            <w:gridSpan w:val="2"/>
            <w:tcBorders>
              <w:left w:val="single" w:sz="4" w:space="0" w:color="000000"/>
              <w:bottom w:val="single" w:sz="4" w:space="0" w:color="000000"/>
              <w:right w:val="single" w:sz="4" w:space="0" w:color="000000"/>
            </w:tcBorders>
            <w:vAlign w:val="bottom"/>
          </w:tcPr>
          <w:p w14:paraId="29F8B8D4" w14:textId="77777777" w:rsidR="000A7DF2" w:rsidRPr="001032A3" w:rsidRDefault="000A7DF2" w:rsidP="00823C46">
            <w:pPr>
              <w:pStyle w:val="Tabletext"/>
              <w:jc w:val="center"/>
            </w:pPr>
          </w:p>
        </w:tc>
      </w:tr>
      <w:tr w:rsidR="000A7DF2" w:rsidRPr="001032A3" w14:paraId="6C3DED9D" w14:textId="77777777">
        <w:trPr>
          <w:trHeight w:val="300"/>
          <w:jc w:val="center"/>
        </w:trPr>
        <w:tc>
          <w:tcPr>
            <w:tcW w:w="1395" w:type="dxa"/>
            <w:tcBorders>
              <w:left w:val="single" w:sz="4" w:space="0" w:color="000000"/>
              <w:bottom w:val="single" w:sz="4" w:space="0" w:color="000000"/>
            </w:tcBorders>
            <w:vAlign w:val="bottom"/>
          </w:tcPr>
          <w:p w14:paraId="75288A8A" w14:textId="77777777" w:rsidR="000A7DF2" w:rsidRPr="001032A3" w:rsidRDefault="000A7DF2" w:rsidP="00823C46">
            <w:pPr>
              <w:pStyle w:val="Tabletext"/>
              <w:jc w:val="center"/>
            </w:pPr>
            <w:r w:rsidRPr="001032A3">
              <w:t>6</w:t>
            </w:r>
          </w:p>
        </w:tc>
        <w:tc>
          <w:tcPr>
            <w:tcW w:w="1136" w:type="dxa"/>
            <w:tcBorders>
              <w:left w:val="single" w:sz="4" w:space="0" w:color="000000"/>
              <w:bottom w:val="single" w:sz="4" w:space="0" w:color="000000"/>
            </w:tcBorders>
            <w:vAlign w:val="bottom"/>
          </w:tcPr>
          <w:p w14:paraId="2F57C5B2" w14:textId="77777777" w:rsidR="000A7DF2" w:rsidRPr="001032A3" w:rsidRDefault="000A7DF2" w:rsidP="00823C46">
            <w:pPr>
              <w:pStyle w:val="Tabletext"/>
              <w:jc w:val="center"/>
            </w:pPr>
          </w:p>
        </w:tc>
        <w:tc>
          <w:tcPr>
            <w:tcW w:w="1297" w:type="dxa"/>
            <w:tcBorders>
              <w:left w:val="single" w:sz="4" w:space="0" w:color="000000"/>
              <w:bottom w:val="single" w:sz="4" w:space="0" w:color="000000"/>
            </w:tcBorders>
            <w:vAlign w:val="bottom"/>
          </w:tcPr>
          <w:p w14:paraId="5548175A" w14:textId="77777777" w:rsidR="000A7DF2" w:rsidRPr="001032A3" w:rsidRDefault="000A7DF2" w:rsidP="00823C46">
            <w:pPr>
              <w:pStyle w:val="Tabletext"/>
              <w:jc w:val="center"/>
            </w:pPr>
          </w:p>
        </w:tc>
        <w:tc>
          <w:tcPr>
            <w:tcW w:w="1275" w:type="dxa"/>
            <w:tcBorders>
              <w:left w:val="single" w:sz="4" w:space="0" w:color="000000"/>
              <w:bottom w:val="single" w:sz="4" w:space="0" w:color="000000"/>
            </w:tcBorders>
            <w:vAlign w:val="bottom"/>
          </w:tcPr>
          <w:p w14:paraId="49B4C1CB" w14:textId="77777777" w:rsidR="000A7DF2" w:rsidRPr="001032A3" w:rsidRDefault="000A7DF2" w:rsidP="00823C46">
            <w:pPr>
              <w:pStyle w:val="Tabletext"/>
              <w:jc w:val="center"/>
            </w:pPr>
          </w:p>
        </w:tc>
        <w:tc>
          <w:tcPr>
            <w:tcW w:w="1134" w:type="dxa"/>
            <w:tcBorders>
              <w:left w:val="single" w:sz="4" w:space="0" w:color="000000"/>
              <w:bottom w:val="single" w:sz="4" w:space="0" w:color="000000"/>
            </w:tcBorders>
            <w:vAlign w:val="bottom"/>
          </w:tcPr>
          <w:p w14:paraId="367B6A61" w14:textId="77777777" w:rsidR="000A7DF2" w:rsidRPr="001032A3" w:rsidRDefault="000A7DF2" w:rsidP="00823C46">
            <w:pPr>
              <w:pStyle w:val="Tabletext"/>
              <w:jc w:val="center"/>
            </w:pPr>
          </w:p>
        </w:tc>
        <w:tc>
          <w:tcPr>
            <w:tcW w:w="993" w:type="dxa"/>
            <w:tcBorders>
              <w:left w:val="single" w:sz="4" w:space="0" w:color="000000"/>
              <w:bottom w:val="single" w:sz="4" w:space="0" w:color="000000"/>
            </w:tcBorders>
            <w:vAlign w:val="bottom"/>
          </w:tcPr>
          <w:p w14:paraId="37ACD8B7" w14:textId="77777777" w:rsidR="000A7DF2" w:rsidRPr="001032A3" w:rsidRDefault="000A7DF2" w:rsidP="00823C46">
            <w:pPr>
              <w:pStyle w:val="Tabletext"/>
              <w:jc w:val="center"/>
            </w:pPr>
          </w:p>
        </w:tc>
        <w:tc>
          <w:tcPr>
            <w:tcW w:w="1701" w:type="dxa"/>
            <w:gridSpan w:val="2"/>
            <w:tcBorders>
              <w:left w:val="single" w:sz="4" w:space="0" w:color="000000"/>
              <w:bottom w:val="single" w:sz="4" w:space="0" w:color="000000"/>
              <w:right w:val="single" w:sz="4" w:space="0" w:color="000000"/>
            </w:tcBorders>
            <w:vAlign w:val="bottom"/>
          </w:tcPr>
          <w:p w14:paraId="7D02B746" w14:textId="77777777" w:rsidR="000A7DF2" w:rsidRPr="001032A3" w:rsidRDefault="000A7DF2" w:rsidP="00823C46">
            <w:pPr>
              <w:pStyle w:val="Tabletext"/>
              <w:jc w:val="center"/>
            </w:pPr>
            <w:r w:rsidRPr="001032A3">
              <w:t>0</w:t>
            </w:r>
          </w:p>
        </w:tc>
      </w:tr>
    </w:tbl>
    <w:p w14:paraId="1ED1A389" w14:textId="77777777" w:rsidR="00DD3EA9" w:rsidRDefault="000A7DF2" w:rsidP="000A7DF2">
      <w:r w:rsidRPr="001032A3">
        <w:t xml:space="preserve">Repeated for voice, data, SMS, incoming and outgoing calls also for postpaid as well as </w:t>
      </w:r>
      <w:r>
        <w:t xml:space="preserve">for </w:t>
      </w:r>
      <w:r w:rsidRPr="001032A3">
        <w:t>prepaid.</w:t>
      </w:r>
    </w:p>
    <w:p w14:paraId="6B7B9037" w14:textId="77777777" w:rsidR="00DD3EA9" w:rsidRDefault="00DD3EA9">
      <w:pPr>
        <w:spacing w:before="0"/>
        <w:jc w:val="left"/>
      </w:pPr>
    </w:p>
    <w:p w14:paraId="7E5878D3" w14:textId="77777777" w:rsidR="00DD3EA9" w:rsidRDefault="00DD3EA9">
      <w:pPr>
        <w:spacing w:before="0"/>
        <w:jc w:val="left"/>
      </w:pPr>
      <w:r>
        <w:br w:type="page"/>
      </w:r>
    </w:p>
    <w:p w14:paraId="232037C2" w14:textId="77777777" w:rsidR="000A7DF2" w:rsidRPr="001032A3" w:rsidRDefault="000A7DF2" w:rsidP="00271111">
      <w:pPr>
        <w:pStyle w:val="Heading1"/>
      </w:pPr>
      <w:bookmarkStart w:id="77" w:name="_Toc425326348"/>
      <w:bookmarkStart w:id="78" w:name="_Toc429485893"/>
      <w:r w:rsidRPr="001032A3">
        <w:lastRenderedPageBreak/>
        <w:t xml:space="preserve">Annex </w:t>
      </w:r>
      <w:r>
        <w:t>5</w:t>
      </w:r>
      <w:r w:rsidRPr="001032A3">
        <w:t xml:space="preserve"> </w:t>
      </w:r>
      <w:r>
        <w:t xml:space="preserve">– </w:t>
      </w:r>
      <w:r w:rsidRPr="001032A3">
        <w:t xml:space="preserve">Example of </w:t>
      </w:r>
      <w:r>
        <w:t>parameters used to calculate MNO costs of roaming</w:t>
      </w:r>
      <w:bookmarkEnd w:id="77"/>
      <w:bookmarkEnd w:id="78"/>
      <w:r>
        <w:t xml:space="preserve"> </w:t>
      </w:r>
    </w:p>
    <w:p w14:paraId="2607BFC1" w14:textId="77777777" w:rsidR="000A7DF2" w:rsidRDefault="000A7DF2" w:rsidP="00DD3EA9">
      <w:r>
        <w:t>The table of parameters below is drawn from the ITU NRA Training Tool for International Mobile Roaming, for which values are entered to estimate costs of roaming for both visited and home networks and for each type of communication as appropriate (voice, data and, SMS):</w:t>
      </w:r>
    </w:p>
    <w:p w14:paraId="12542463" w14:textId="77777777" w:rsidR="00DD3EA9" w:rsidRDefault="00DD3EA9" w:rsidP="00C03C87">
      <w:pPr>
        <w:spacing w:before="0"/>
      </w:pPr>
    </w:p>
    <w:tbl>
      <w:tblPr>
        <w:tblW w:w="4897" w:type="pct"/>
        <w:tblInd w:w="98" w:type="dxa"/>
        <w:tblLook w:val="0000" w:firstRow="0" w:lastRow="0" w:firstColumn="0" w:lastColumn="0" w:noHBand="0" w:noVBand="0"/>
      </w:tblPr>
      <w:tblGrid>
        <w:gridCol w:w="1144"/>
        <w:gridCol w:w="6237"/>
        <w:gridCol w:w="1995"/>
      </w:tblGrid>
      <w:tr w:rsidR="000A7DF2" w:rsidRPr="002B326F" w14:paraId="67699D1F" w14:textId="77777777">
        <w:trPr>
          <w:trHeight w:val="300"/>
        </w:trPr>
        <w:tc>
          <w:tcPr>
            <w:tcW w:w="9376" w:type="dxa"/>
            <w:gridSpan w:val="3"/>
            <w:tcBorders>
              <w:top w:val="single" w:sz="4" w:space="0" w:color="auto"/>
              <w:left w:val="single" w:sz="4" w:space="0" w:color="auto"/>
              <w:bottom w:val="single" w:sz="4" w:space="0" w:color="auto"/>
              <w:right w:val="single" w:sz="4" w:space="0" w:color="auto"/>
            </w:tcBorders>
            <w:shd w:val="clear" w:color="auto" w:fill="auto"/>
            <w:noWrap/>
          </w:tcPr>
          <w:p w14:paraId="41049234" w14:textId="77777777" w:rsidR="000A7DF2" w:rsidRPr="00C11AEA" w:rsidRDefault="000A7DF2" w:rsidP="00C11AEA">
            <w:pPr>
              <w:pStyle w:val="Tablehead"/>
              <w:jc w:val="left"/>
            </w:pPr>
            <w:r w:rsidRPr="00C11AEA">
              <w:t>Home</w:t>
            </w:r>
            <w:r>
              <w:t xml:space="preserve"> </w:t>
            </w:r>
            <w:r w:rsidRPr="00C11AEA">
              <w:t>network</w:t>
            </w:r>
          </w:p>
        </w:tc>
      </w:tr>
      <w:tr w:rsidR="000A7DF2" w:rsidRPr="002B326F" w14:paraId="3A237EA7" w14:textId="77777777">
        <w:trPr>
          <w:trHeight w:val="300"/>
        </w:trPr>
        <w:tc>
          <w:tcPr>
            <w:tcW w:w="1144" w:type="dxa"/>
            <w:tcBorders>
              <w:top w:val="nil"/>
              <w:left w:val="single" w:sz="4" w:space="0" w:color="auto"/>
              <w:bottom w:val="single" w:sz="4" w:space="0" w:color="auto"/>
              <w:right w:val="single" w:sz="4" w:space="0" w:color="auto"/>
            </w:tcBorders>
            <w:shd w:val="clear" w:color="auto" w:fill="E7E6E6"/>
            <w:noWrap/>
          </w:tcPr>
          <w:p w14:paraId="59BD8BFF" w14:textId="77777777" w:rsidR="000A7DF2" w:rsidRPr="002B326F" w:rsidRDefault="000A7DF2" w:rsidP="00271111">
            <w:pPr>
              <w:pStyle w:val="Tablehead"/>
              <w:rPr>
                <w:sz w:val="20"/>
                <w:szCs w:val="20"/>
                <w:lang w:eastAsia="ja-JP"/>
              </w:rPr>
            </w:pPr>
            <w:r w:rsidRPr="001D60F0">
              <w:t>Short code</w:t>
            </w:r>
          </w:p>
        </w:tc>
        <w:tc>
          <w:tcPr>
            <w:tcW w:w="6237" w:type="dxa"/>
            <w:tcBorders>
              <w:top w:val="single" w:sz="4" w:space="0" w:color="auto"/>
              <w:left w:val="nil"/>
              <w:bottom w:val="single" w:sz="4" w:space="0" w:color="auto"/>
              <w:right w:val="single" w:sz="4" w:space="0" w:color="auto"/>
            </w:tcBorders>
            <w:shd w:val="clear" w:color="auto" w:fill="E7E6E6"/>
            <w:noWrap/>
          </w:tcPr>
          <w:p w14:paraId="57B09864" w14:textId="77777777" w:rsidR="000A7DF2" w:rsidRPr="002B326F" w:rsidRDefault="000A7DF2" w:rsidP="00271111">
            <w:pPr>
              <w:pStyle w:val="Tablehead"/>
              <w:rPr>
                <w:sz w:val="20"/>
                <w:szCs w:val="20"/>
                <w:lang w:eastAsia="ja-JP"/>
              </w:rPr>
            </w:pPr>
            <w:r w:rsidRPr="002B326F">
              <w:rPr>
                <w:sz w:val="20"/>
                <w:szCs w:val="20"/>
                <w:lang w:eastAsia="ja-JP"/>
              </w:rPr>
              <w:t>Parameter description</w:t>
            </w:r>
          </w:p>
        </w:tc>
        <w:tc>
          <w:tcPr>
            <w:tcW w:w="1995" w:type="dxa"/>
            <w:tcBorders>
              <w:top w:val="single" w:sz="4" w:space="0" w:color="auto"/>
              <w:left w:val="nil"/>
              <w:bottom w:val="single" w:sz="4" w:space="0" w:color="auto"/>
              <w:right w:val="single" w:sz="4" w:space="0" w:color="auto"/>
            </w:tcBorders>
            <w:shd w:val="clear" w:color="auto" w:fill="E7E6E6"/>
            <w:noWrap/>
          </w:tcPr>
          <w:p w14:paraId="2CD31D9B" w14:textId="77777777" w:rsidR="000A7DF2" w:rsidRPr="00406208" w:rsidRDefault="000A7DF2" w:rsidP="00271111">
            <w:pPr>
              <w:pStyle w:val="Tablehead"/>
              <w:rPr>
                <w:sz w:val="18"/>
                <w:szCs w:val="18"/>
                <w:lang w:eastAsia="ja-JP"/>
              </w:rPr>
            </w:pPr>
            <w:r w:rsidRPr="001D60F0">
              <w:rPr>
                <w:sz w:val="18"/>
                <w:szCs w:val="18"/>
                <w:lang w:eastAsia="ja-JP"/>
              </w:rPr>
              <w:t>Unit</w:t>
            </w:r>
          </w:p>
        </w:tc>
      </w:tr>
      <w:tr w:rsidR="000A7DF2" w:rsidRPr="002B326F" w14:paraId="29B13D5C" w14:textId="77777777">
        <w:trPr>
          <w:trHeight w:val="300"/>
        </w:trPr>
        <w:tc>
          <w:tcPr>
            <w:tcW w:w="1144" w:type="dxa"/>
            <w:tcBorders>
              <w:top w:val="nil"/>
              <w:left w:val="single" w:sz="4" w:space="0" w:color="auto"/>
              <w:bottom w:val="single" w:sz="4" w:space="0" w:color="auto"/>
              <w:right w:val="single" w:sz="4" w:space="0" w:color="auto"/>
            </w:tcBorders>
            <w:shd w:val="clear" w:color="auto" w:fill="auto"/>
            <w:noWrap/>
          </w:tcPr>
          <w:p w14:paraId="7EBEA11C" w14:textId="77777777" w:rsidR="000A7DF2" w:rsidRPr="002B326F" w:rsidRDefault="000A7DF2" w:rsidP="00271111">
            <w:pPr>
              <w:pStyle w:val="Tabletext"/>
            </w:pPr>
            <w:r w:rsidRPr="002B326F">
              <w:t>NH1</w:t>
            </w:r>
          </w:p>
        </w:tc>
        <w:tc>
          <w:tcPr>
            <w:tcW w:w="6237" w:type="dxa"/>
            <w:tcBorders>
              <w:top w:val="single" w:sz="4" w:space="0" w:color="auto"/>
              <w:left w:val="nil"/>
              <w:bottom w:val="single" w:sz="4" w:space="0" w:color="auto"/>
              <w:right w:val="single" w:sz="4" w:space="0" w:color="auto"/>
            </w:tcBorders>
            <w:shd w:val="clear" w:color="auto" w:fill="auto"/>
            <w:noWrap/>
          </w:tcPr>
          <w:p w14:paraId="7237A435" w14:textId="77777777" w:rsidR="000A7DF2" w:rsidRPr="00234CBB" w:rsidRDefault="000A7DF2" w:rsidP="00271111">
            <w:pPr>
              <w:pStyle w:val="Tabletext"/>
              <w:rPr>
                <w:lang w:val="en-US"/>
              </w:rPr>
            </w:pPr>
            <w:r w:rsidRPr="00234CBB">
              <w:rPr>
                <w:lang w:val="en-US"/>
              </w:rPr>
              <w:t>Total Number of voice calls per year, all types</w:t>
            </w:r>
          </w:p>
        </w:tc>
        <w:tc>
          <w:tcPr>
            <w:tcW w:w="1995" w:type="dxa"/>
            <w:tcBorders>
              <w:top w:val="single" w:sz="4" w:space="0" w:color="auto"/>
              <w:left w:val="nil"/>
              <w:bottom w:val="single" w:sz="4" w:space="0" w:color="auto"/>
              <w:right w:val="single" w:sz="4" w:space="0" w:color="auto"/>
            </w:tcBorders>
            <w:shd w:val="clear" w:color="auto" w:fill="auto"/>
            <w:noWrap/>
          </w:tcPr>
          <w:p w14:paraId="5BA37AF7" w14:textId="77777777" w:rsidR="000A7DF2" w:rsidRPr="00406208" w:rsidRDefault="000A7DF2" w:rsidP="00271111">
            <w:pPr>
              <w:pStyle w:val="Tabletext"/>
              <w:rPr>
                <w:sz w:val="18"/>
              </w:rPr>
            </w:pPr>
            <w:r w:rsidRPr="00406208">
              <w:rPr>
                <w:sz w:val="18"/>
              </w:rPr>
              <w:t>Number of calls</w:t>
            </w:r>
          </w:p>
        </w:tc>
      </w:tr>
      <w:tr w:rsidR="000A7DF2" w:rsidRPr="002B326F" w14:paraId="22FAAECA" w14:textId="77777777">
        <w:trPr>
          <w:trHeight w:val="300"/>
        </w:trPr>
        <w:tc>
          <w:tcPr>
            <w:tcW w:w="1144" w:type="dxa"/>
            <w:tcBorders>
              <w:top w:val="nil"/>
              <w:left w:val="single" w:sz="4" w:space="0" w:color="auto"/>
              <w:bottom w:val="single" w:sz="4" w:space="0" w:color="auto"/>
              <w:right w:val="single" w:sz="4" w:space="0" w:color="auto"/>
            </w:tcBorders>
            <w:shd w:val="clear" w:color="auto" w:fill="auto"/>
            <w:noWrap/>
          </w:tcPr>
          <w:p w14:paraId="0F8BADEB" w14:textId="77777777" w:rsidR="000A7DF2" w:rsidRPr="002B326F" w:rsidRDefault="000A7DF2" w:rsidP="00271111">
            <w:pPr>
              <w:pStyle w:val="Tabletext"/>
            </w:pPr>
            <w:r w:rsidRPr="002B326F">
              <w:t>NH2</w:t>
            </w:r>
          </w:p>
        </w:tc>
        <w:tc>
          <w:tcPr>
            <w:tcW w:w="6237" w:type="dxa"/>
            <w:tcBorders>
              <w:top w:val="nil"/>
              <w:left w:val="nil"/>
              <w:bottom w:val="single" w:sz="4" w:space="0" w:color="auto"/>
              <w:right w:val="single" w:sz="4" w:space="0" w:color="auto"/>
            </w:tcBorders>
            <w:shd w:val="clear" w:color="auto" w:fill="auto"/>
            <w:noWrap/>
          </w:tcPr>
          <w:p w14:paraId="7C9BCC63" w14:textId="77777777" w:rsidR="000A7DF2" w:rsidRPr="00234CBB" w:rsidRDefault="000A7DF2" w:rsidP="00271111">
            <w:pPr>
              <w:pStyle w:val="Tabletext"/>
              <w:rPr>
                <w:lang w:val="en-US"/>
              </w:rPr>
            </w:pPr>
            <w:r w:rsidRPr="00234CBB">
              <w:rPr>
                <w:lang w:val="en-US"/>
              </w:rPr>
              <w:t>Number of inbound roaming calls to home country</w:t>
            </w:r>
          </w:p>
        </w:tc>
        <w:tc>
          <w:tcPr>
            <w:tcW w:w="1995" w:type="dxa"/>
            <w:tcBorders>
              <w:top w:val="nil"/>
              <w:left w:val="nil"/>
              <w:bottom w:val="single" w:sz="4" w:space="0" w:color="auto"/>
              <w:right w:val="single" w:sz="4" w:space="0" w:color="auto"/>
            </w:tcBorders>
            <w:shd w:val="clear" w:color="auto" w:fill="auto"/>
            <w:noWrap/>
          </w:tcPr>
          <w:p w14:paraId="7FFCDEC2" w14:textId="77777777" w:rsidR="000A7DF2" w:rsidRPr="00406208" w:rsidRDefault="000A7DF2" w:rsidP="00271111">
            <w:pPr>
              <w:pStyle w:val="Tabletext"/>
              <w:rPr>
                <w:sz w:val="18"/>
              </w:rPr>
            </w:pPr>
            <w:r w:rsidRPr="00406208">
              <w:rPr>
                <w:sz w:val="18"/>
              </w:rPr>
              <w:t>Number of calls</w:t>
            </w:r>
          </w:p>
        </w:tc>
      </w:tr>
      <w:tr w:rsidR="000A7DF2" w:rsidRPr="002B326F" w14:paraId="64705A3F" w14:textId="77777777">
        <w:trPr>
          <w:trHeight w:val="300"/>
        </w:trPr>
        <w:tc>
          <w:tcPr>
            <w:tcW w:w="1144" w:type="dxa"/>
            <w:tcBorders>
              <w:top w:val="single" w:sz="4" w:space="0" w:color="auto"/>
              <w:left w:val="single" w:sz="4" w:space="0" w:color="auto"/>
              <w:bottom w:val="single" w:sz="4" w:space="0" w:color="auto"/>
              <w:right w:val="single" w:sz="4" w:space="0" w:color="auto"/>
            </w:tcBorders>
            <w:shd w:val="clear" w:color="auto" w:fill="auto"/>
            <w:noWrap/>
          </w:tcPr>
          <w:p w14:paraId="06104E08" w14:textId="77777777" w:rsidR="000A7DF2" w:rsidRPr="002B326F" w:rsidRDefault="000A7DF2" w:rsidP="00271111">
            <w:pPr>
              <w:pStyle w:val="Tabletext"/>
            </w:pPr>
            <w:r w:rsidRPr="002B326F">
              <w:t>NH3</w:t>
            </w:r>
          </w:p>
        </w:tc>
        <w:tc>
          <w:tcPr>
            <w:tcW w:w="6237" w:type="dxa"/>
            <w:tcBorders>
              <w:top w:val="single" w:sz="4" w:space="0" w:color="auto"/>
              <w:left w:val="nil"/>
              <w:bottom w:val="single" w:sz="4" w:space="0" w:color="auto"/>
              <w:right w:val="single" w:sz="4" w:space="0" w:color="auto"/>
            </w:tcBorders>
            <w:shd w:val="clear" w:color="auto" w:fill="auto"/>
            <w:noWrap/>
          </w:tcPr>
          <w:p w14:paraId="3A8E49CB" w14:textId="77777777" w:rsidR="000A7DF2" w:rsidRPr="00234CBB" w:rsidRDefault="000A7DF2" w:rsidP="00271111">
            <w:pPr>
              <w:pStyle w:val="Tabletext"/>
              <w:rPr>
                <w:lang w:val="en-US"/>
              </w:rPr>
            </w:pPr>
            <w:r w:rsidRPr="00234CBB">
              <w:rPr>
                <w:lang w:val="en-US"/>
              </w:rPr>
              <w:t>Number of outbound calls by a roaming visitor per year</w:t>
            </w:r>
          </w:p>
        </w:tc>
        <w:tc>
          <w:tcPr>
            <w:tcW w:w="1995" w:type="dxa"/>
            <w:tcBorders>
              <w:top w:val="single" w:sz="4" w:space="0" w:color="auto"/>
              <w:left w:val="nil"/>
              <w:bottom w:val="single" w:sz="4" w:space="0" w:color="auto"/>
              <w:right w:val="single" w:sz="4" w:space="0" w:color="auto"/>
            </w:tcBorders>
            <w:shd w:val="clear" w:color="auto" w:fill="auto"/>
            <w:noWrap/>
          </w:tcPr>
          <w:p w14:paraId="7FB1D61F" w14:textId="77777777" w:rsidR="000A7DF2" w:rsidRPr="00406208" w:rsidRDefault="000A7DF2" w:rsidP="00271111">
            <w:pPr>
              <w:pStyle w:val="Tabletext"/>
              <w:rPr>
                <w:sz w:val="18"/>
              </w:rPr>
            </w:pPr>
            <w:r w:rsidRPr="00406208">
              <w:rPr>
                <w:sz w:val="18"/>
              </w:rPr>
              <w:t>Number of calls</w:t>
            </w:r>
          </w:p>
        </w:tc>
      </w:tr>
      <w:tr w:rsidR="000A7DF2" w:rsidRPr="002B326F" w14:paraId="7B32E976" w14:textId="77777777">
        <w:trPr>
          <w:trHeight w:val="300"/>
        </w:trPr>
        <w:tc>
          <w:tcPr>
            <w:tcW w:w="1144" w:type="dxa"/>
            <w:tcBorders>
              <w:top w:val="nil"/>
              <w:left w:val="single" w:sz="4" w:space="0" w:color="auto"/>
              <w:bottom w:val="single" w:sz="4" w:space="0" w:color="auto"/>
              <w:right w:val="single" w:sz="4" w:space="0" w:color="auto"/>
            </w:tcBorders>
            <w:shd w:val="clear" w:color="auto" w:fill="auto"/>
            <w:noWrap/>
          </w:tcPr>
          <w:p w14:paraId="45430DCF" w14:textId="77777777" w:rsidR="000A7DF2" w:rsidRPr="002B326F" w:rsidRDefault="000A7DF2" w:rsidP="00271111">
            <w:pPr>
              <w:pStyle w:val="Tabletext"/>
            </w:pPr>
            <w:r w:rsidRPr="002B326F">
              <w:t>NH4</w:t>
            </w:r>
          </w:p>
        </w:tc>
        <w:tc>
          <w:tcPr>
            <w:tcW w:w="6237" w:type="dxa"/>
            <w:tcBorders>
              <w:top w:val="nil"/>
              <w:left w:val="nil"/>
              <w:bottom w:val="single" w:sz="4" w:space="0" w:color="auto"/>
              <w:right w:val="single" w:sz="4" w:space="0" w:color="auto"/>
            </w:tcBorders>
            <w:shd w:val="clear" w:color="auto" w:fill="auto"/>
            <w:noWrap/>
          </w:tcPr>
          <w:p w14:paraId="38759FC2" w14:textId="77777777" w:rsidR="000A7DF2" w:rsidRPr="00234CBB" w:rsidRDefault="000A7DF2" w:rsidP="00271111">
            <w:pPr>
              <w:pStyle w:val="Tabletext"/>
              <w:rPr>
                <w:lang w:val="en-US"/>
              </w:rPr>
            </w:pPr>
            <w:r w:rsidRPr="00234CBB">
              <w:rPr>
                <w:lang w:val="en-US"/>
              </w:rPr>
              <w:t>Number of roaming voice calls per year inside visited countries</w:t>
            </w:r>
          </w:p>
        </w:tc>
        <w:tc>
          <w:tcPr>
            <w:tcW w:w="1995" w:type="dxa"/>
            <w:tcBorders>
              <w:top w:val="nil"/>
              <w:left w:val="nil"/>
              <w:bottom w:val="single" w:sz="4" w:space="0" w:color="auto"/>
              <w:right w:val="single" w:sz="4" w:space="0" w:color="auto"/>
            </w:tcBorders>
            <w:shd w:val="clear" w:color="auto" w:fill="auto"/>
            <w:noWrap/>
          </w:tcPr>
          <w:p w14:paraId="137E9BFD" w14:textId="77777777" w:rsidR="000A7DF2" w:rsidRPr="00406208" w:rsidRDefault="000A7DF2" w:rsidP="00271111">
            <w:pPr>
              <w:pStyle w:val="Tabletext"/>
              <w:rPr>
                <w:sz w:val="18"/>
              </w:rPr>
            </w:pPr>
            <w:r w:rsidRPr="00406208">
              <w:rPr>
                <w:sz w:val="18"/>
              </w:rPr>
              <w:t>Number of calls</w:t>
            </w:r>
          </w:p>
        </w:tc>
      </w:tr>
      <w:tr w:rsidR="000A7DF2" w:rsidRPr="002B326F" w14:paraId="23AB9AE5" w14:textId="77777777">
        <w:trPr>
          <w:trHeight w:val="300"/>
        </w:trPr>
        <w:tc>
          <w:tcPr>
            <w:tcW w:w="1144" w:type="dxa"/>
            <w:tcBorders>
              <w:top w:val="nil"/>
              <w:left w:val="single" w:sz="4" w:space="0" w:color="auto"/>
              <w:bottom w:val="single" w:sz="4" w:space="0" w:color="auto"/>
              <w:right w:val="single" w:sz="4" w:space="0" w:color="auto"/>
            </w:tcBorders>
            <w:shd w:val="clear" w:color="auto" w:fill="auto"/>
            <w:noWrap/>
          </w:tcPr>
          <w:p w14:paraId="6B3348AE" w14:textId="77777777" w:rsidR="000A7DF2" w:rsidRPr="002B326F" w:rsidRDefault="000A7DF2" w:rsidP="00271111">
            <w:pPr>
              <w:pStyle w:val="Tabletext"/>
            </w:pPr>
            <w:r w:rsidRPr="002B326F">
              <w:t>NH5</w:t>
            </w:r>
          </w:p>
        </w:tc>
        <w:tc>
          <w:tcPr>
            <w:tcW w:w="6237" w:type="dxa"/>
            <w:tcBorders>
              <w:top w:val="nil"/>
              <w:left w:val="nil"/>
              <w:bottom w:val="single" w:sz="4" w:space="0" w:color="auto"/>
              <w:right w:val="single" w:sz="4" w:space="0" w:color="auto"/>
            </w:tcBorders>
            <w:shd w:val="clear" w:color="auto" w:fill="auto"/>
            <w:noWrap/>
          </w:tcPr>
          <w:p w14:paraId="29781BF2" w14:textId="77777777" w:rsidR="000A7DF2" w:rsidRPr="00234CBB" w:rsidRDefault="000A7DF2" w:rsidP="00271111">
            <w:pPr>
              <w:pStyle w:val="Tabletext"/>
              <w:rPr>
                <w:lang w:val="en-US"/>
              </w:rPr>
            </w:pPr>
            <w:r w:rsidRPr="00234CBB">
              <w:rPr>
                <w:lang w:val="en-US"/>
              </w:rPr>
              <w:t>Number of total domestic voice calls per year</w:t>
            </w:r>
          </w:p>
        </w:tc>
        <w:tc>
          <w:tcPr>
            <w:tcW w:w="1995" w:type="dxa"/>
            <w:tcBorders>
              <w:top w:val="nil"/>
              <w:left w:val="nil"/>
              <w:bottom w:val="single" w:sz="4" w:space="0" w:color="auto"/>
              <w:right w:val="single" w:sz="4" w:space="0" w:color="auto"/>
            </w:tcBorders>
            <w:shd w:val="clear" w:color="auto" w:fill="auto"/>
            <w:noWrap/>
          </w:tcPr>
          <w:p w14:paraId="7FD4D991" w14:textId="77777777" w:rsidR="000A7DF2" w:rsidRPr="00406208" w:rsidRDefault="000A7DF2" w:rsidP="00271111">
            <w:pPr>
              <w:pStyle w:val="Tabletext"/>
              <w:rPr>
                <w:sz w:val="18"/>
              </w:rPr>
            </w:pPr>
            <w:r w:rsidRPr="00406208">
              <w:rPr>
                <w:sz w:val="18"/>
              </w:rPr>
              <w:t>Number of calls</w:t>
            </w:r>
          </w:p>
        </w:tc>
      </w:tr>
      <w:tr w:rsidR="000A7DF2" w:rsidRPr="002B326F" w14:paraId="1FDC980A" w14:textId="77777777">
        <w:trPr>
          <w:trHeight w:val="300"/>
        </w:trPr>
        <w:tc>
          <w:tcPr>
            <w:tcW w:w="1144" w:type="dxa"/>
            <w:tcBorders>
              <w:top w:val="nil"/>
              <w:left w:val="single" w:sz="4" w:space="0" w:color="auto"/>
              <w:bottom w:val="single" w:sz="4" w:space="0" w:color="auto"/>
              <w:right w:val="single" w:sz="4" w:space="0" w:color="auto"/>
            </w:tcBorders>
            <w:shd w:val="clear" w:color="auto" w:fill="auto"/>
            <w:noWrap/>
          </w:tcPr>
          <w:p w14:paraId="0962098D" w14:textId="77777777" w:rsidR="000A7DF2" w:rsidRPr="002B326F" w:rsidRDefault="000A7DF2" w:rsidP="00271111">
            <w:pPr>
              <w:pStyle w:val="Tabletext"/>
            </w:pPr>
            <w:r w:rsidRPr="002B326F">
              <w:t>HV1</w:t>
            </w:r>
          </w:p>
        </w:tc>
        <w:tc>
          <w:tcPr>
            <w:tcW w:w="6237" w:type="dxa"/>
            <w:tcBorders>
              <w:top w:val="nil"/>
              <w:left w:val="nil"/>
              <w:bottom w:val="single" w:sz="4" w:space="0" w:color="auto"/>
              <w:right w:val="single" w:sz="4" w:space="0" w:color="auto"/>
            </w:tcBorders>
            <w:shd w:val="clear" w:color="auto" w:fill="auto"/>
            <w:noWrap/>
          </w:tcPr>
          <w:p w14:paraId="11152F35" w14:textId="77777777" w:rsidR="000A7DF2" w:rsidRPr="00234CBB" w:rsidRDefault="000A7DF2" w:rsidP="00271111">
            <w:pPr>
              <w:pStyle w:val="Tabletext"/>
              <w:rPr>
                <w:lang w:val="en-US"/>
              </w:rPr>
            </w:pPr>
            <w:r w:rsidRPr="00234CBB">
              <w:rPr>
                <w:lang w:val="en-US"/>
              </w:rPr>
              <w:t>Volume of total voice minutes per year</w:t>
            </w:r>
          </w:p>
        </w:tc>
        <w:tc>
          <w:tcPr>
            <w:tcW w:w="1995" w:type="dxa"/>
            <w:tcBorders>
              <w:top w:val="nil"/>
              <w:left w:val="nil"/>
              <w:bottom w:val="single" w:sz="4" w:space="0" w:color="auto"/>
              <w:right w:val="single" w:sz="4" w:space="0" w:color="auto"/>
            </w:tcBorders>
            <w:shd w:val="clear" w:color="auto" w:fill="auto"/>
            <w:noWrap/>
          </w:tcPr>
          <w:p w14:paraId="74C0B494" w14:textId="77777777" w:rsidR="000A7DF2" w:rsidRPr="00406208" w:rsidRDefault="000A7DF2" w:rsidP="00271111">
            <w:pPr>
              <w:pStyle w:val="Tabletext"/>
              <w:rPr>
                <w:sz w:val="18"/>
              </w:rPr>
            </w:pPr>
            <w:r w:rsidRPr="00406208">
              <w:rPr>
                <w:sz w:val="18"/>
              </w:rPr>
              <w:t>Voice Call minutes</w:t>
            </w:r>
          </w:p>
        </w:tc>
      </w:tr>
      <w:tr w:rsidR="000A7DF2" w:rsidRPr="002B326F" w14:paraId="760C26CB" w14:textId="77777777">
        <w:trPr>
          <w:trHeight w:val="300"/>
        </w:trPr>
        <w:tc>
          <w:tcPr>
            <w:tcW w:w="1144" w:type="dxa"/>
            <w:tcBorders>
              <w:top w:val="nil"/>
              <w:left w:val="single" w:sz="4" w:space="0" w:color="auto"/>
              <w:bottom w:val="single" w:sz="4" w:space="0" w:color="auto"/>
              <w:right w:val="single" w:sz="4" w:space="0" w:color="auto"/>
            </w:tcBorders>
            <w:shd w:val="clear" w:color="auto" w:fill="auto"/>
            <w:noWrap/>
          </w:tcPr>
          <w:p w14:paraId="6CC17E4A" w14:textId="77777777" w:rsidR="000A7DF2" w:rsidRPr="002B326F" w:rsidRDefault="000A7DF2" w:rsidP="00271111">
            <w:pPr>
              <w:pStyle w:val="Tabletext"/>
            </w:pPr>
            <w:r w:rsidRPr="002B326F">
              <w:t>HV2</w:t>
            </w:r>
          </w:p>
        </w:tc>
        <w:tc>
          <w:tcPr>
            <w:tcW w:w="6237" w:type="dxa"/>
            <w:tcBorders>
              <w:top w:val="nil"/>
              <w:left w:val="nil"/>
              <w:bottom w:val="single" w:sz="4" w:space="0" w:color="auto"/>
              <w:right w:val="single" w:sz="4" w:space="0" w:color="auto"/>
            </w:tcBorders>
            <w:shd w:val="clear" w:color="auto" w:fill="auto"/>
            <w:noWrap/>
          </w:tcPr>
          <w:p w14:paraId="5616C1BC" w14:textId="77777777" w:rsidR="000A7DF2" w:rsidRPr="00234CBB" w:rsidRDefault="000A7DF2" w:rsidP="00271111">
            <w:pPr>
              <w:pStyle w:val="Tabletext"/>
              <w:rPr>
                <w:lang w:val="en-US"/>
              </w:rPr>
            </w:pPr>
            <w:r w:rsidRPr="00234CBB">
              <w:rPr>
                <w:lang w:val="en-US"/>
              </w:rPr>
              <w:t>Volume of roaming voice minutes per year</w:t>
            </w:r>
          </w:p>
        </w:tc>
        <w:tc>
          <w:tcPr>
            <w:tcW w:w="1995" w:type="dxa"/>
            <w:tcBorders>
              <w:top w:val="nil"/>
              <w:left w:val="nil"/>
              <w:bottom w:val="single" w:sz="4" w:space="0" w:color="auto"/>
              <w:right w:val="single" w:sz="4" w:space="0" w:color="auto"/>
            </w:tcBorders>
            <w:shd w:val="clear" w:color="auto" w:fill="auto"/>
            <w:noWrap/>
          </w:tcPr>
          <w:p w14:paraId="42133605" w14:textId="77777777" w:rsidR="000A7DF2" w:rsidRPr="00406208" w:rsidRDefault="000A7DF2" w:rsidP="00271111">
            <w:pPr>
              <w:pStyle w:val="Tabletext"/>
              <w:rPr>
                <w:sz w:val="18"/>
              </w:rPr>
            </w:pPr>
            <w:r w:rsidRPr="00406208">
              <w:rPr>
                <w:sz w:val="18"/>
              </w:rPr>
              <w:t>Voice Call minutes</w:t>
            </w:r>
          </w:p>
        </w:tc>
      </w:tr>
      <w:tr w:rsidR="000A7DF2" w:rsidRPr="002B326F" w14:paraId="0E9B76B9" w14:textId="77777777">
        <w:trPr>
          <w:trHeight w:val="300"/>
        </w:trPr>
        <w:tc>
          <w:tcPr>
            <w:tcW w:w="1144" w:type="dxa"/>
            <w:tcBorders>
              <w:top w:val="nil"/>
              <w:left w:val="single" w:sz="4" w:space="0" w:color="auto"/>
              <w:bottom w:val="single" w:sz="4" w:space="0" w:color="auto"/>
              <w:right w:val="single" w:sz="4" w:space="0" w:color="auto"/>
            </w:tcBorders>
            <w:shd w:val="clear" w:color="auto" w:fill="auto"/>
            <w:noWrap/>
          </w:tcPr>
          <w:p w14:paraId="4B3936CD" w14:textId="77777777" w:rsidR="000A7DF2" w:rsidRPr="002B326F" w:rsidRDefault="000A7DF2" w:rsidP="00271111">
            <w:pPr>
              <w:pStyle w:val="Tabletext"/>
            </w:pPr>
            <w:r w:rsidRPr="002B326F">
              <w:t>ND1</w:t>
            </w:r>
          </w:p>
        </w:tc>
        <w:tc>
          <w:tcPr>
            <w:tcW w:w="6237" w:type="dxa"/>
            <w:tcBorders>
              <w:top w:val="nil"/>
              <w:left w:val="nil"/>
              <w:bottom w:val="single" w:sz="4" w:space="0" w:color="auto"/>
              <w:right w:val="single" w:sz="4" w:space="0" w:color="auto"/>
            </w:tcBorders>
            <w:shd w:val="clear" w:color="auto" w:fill="auto"/>
            <w:noWrap/>
          </w:tcPr>
          <w:p w14:paraId="6CF83674" w14:textId="77777777" w:rsidR="000A7DF2" w:rsidRPr="00234CBB" w:rsidRDefault="000A7DF2" w:rsidP="00271111">
            <w:pPr>
              <w:pStyle w:val="Tabletext"/>
              <w:rPr>
                <w:lang w:val="en-US"/>
              </w:rPr>
            </w:pPr>
            <w:r w:rsidRPr="00234CBB">
              <w:rPr>
                <w:lang w:val="en-US"/>
              </w:rPr>
              <w:t>Number of roaming data sessions per year</w:t>
            </w:r>
          </w:p>
        </w:tc>
        <w:tc>
          <w:tcPr>
            <w:tcW w:w="1995" w:type="dxa"/>
            <w:tcBorders>
              <w:top w:val="nil"/>
              <w:left w:val="nil"/>
              <w:bottom w:val="single" w:sz="4" w:space="0" w:color="auto"/>
              <w:right w:val="single" w:sz="4" w:space="0" w:color="auto"/>
            </w:tcBorders>
            <w:shd w:val="clear" w:color="auto" w:fill="auto"/>
            <w:noWrap/>
          </w:tcPr>
          <w:p w14:paraId="094DF422" w14:textId="77777777" w:rsidR="000A7DF2" w:rsidRPr="00406208" w:rsidRDefault="000A7DF2" w:rsidP="00271111">
            <w:pPr>
              <w:pStyle w:val="Tabletext"/>
              <w:rPr>
                <w:sz w:val="18"/>
              </w:rPr>
            </w:pPr>
            <w:r w:rsidRPr="00406208">
              <w:rPr>
                <w:sz w:val="18"/>
              </w:rPr>
              <w:t>Number of sessions</w:t>
            </w:r>
          </w:p>
        </w:tc>
      </w:tr>
      <w:tr w:rsidR="000A7DF2" w:rsidRPr="002B326F" w14:paraId="3D892C98" w14:textId="77777777">
        <w:trPr>
          <w:trHeight w:val="300"/>
        </w:trPr>
        <w:tc>
          <w:tcPr>
            <w:tcW w:w="1144" w:type="dxa"/>
            <w:tcBorders>
              <w:top w:val="nil"/>
              <w:left w:val="single" w:sz="4" w:space="0" w:color="auto"/>
              <w:bottom w:val="single" w:sz="4" w:space="0" w:color="auto"/>
              <w:right w:val="single" w:sz="4" w:space="0" w:color="auto"/>
            </w:tcBorders>
            <w:shd w:val="clear" w:color="auto" w:fill="auto"/>
            <w:noWrap/>
          </w:tcPr>
          <w:p w14:paraId="7D265DC9" w14:textId="77777777" w:rsidR="000A7DF2" w:rsidRPr="002B326F" w:rsidRDefault="000A7DF2" w:rsidP="00271111">
            <w:pPr>
              <w:pStyle w:val="Tabletext"/>
            </w:pPr>
            <w:r w:rsidRPr="002B326F">
              <w:t>ND2</w:t>
            </w:r>
          </w:p>
        </w:tc>
        <w:tc>
          <w:tcPr>
            <w:tcW w:w="6237" w:type="dxa"/>
            <w:tcBorders>
              <w:top w:val="nil"/>
              <w:left w:val="nil"/>
              <w:bottom w:val="single" w:sz="4" w:space="0" w:color="auto"/>
              <w:right w:val="single" w:sz="4" w:space="0" w:color="auto"/>
            </w:tcBorders>
            <w:shd w:val="clear" w:color="auto" w:fill="auto"/>
            <w:noWrap/>
          </w:tcPr>
          <w:p w14:paraId="43E8EC45" w14:textId="77777777" w:rsidR="000A7DF2" w:rsidRPr="00234CBB" w:rsidRDefault="000A7DF2" w:rsidP="00271111">
            <w:pPr>
              <w:pStyle w:val="Tabletext"/>
              <w:rPr>
                <w:lang w:val="en-US"/>
              </w:rPr>
            </w:pPr>
            <w:r w:rsidRPr="00234CBB">
              <w:rPr>
                <w:lang w:val="en-US"/>
              </w:rPr>
              <w:t>Total number of data sessions per year</w:t>
            </w:r>
          </w:p>
        </w:tc>
        <w:tc>
          <w:tcPr>
            <w:tcW w:w="1995" w:type="dxa"/>
            <w:tcBorders>
              <w:top w:val="nil"/>
              <w:left w:val="nil"/>
              <w:bottom w:val="single" w:sz="4" w:space="0" w:color="auto"/>
              <w:right w:val="single" w:sz="4" w:space="0" w:color="auto"/>
            </w:tcBorders>
            <w:shd w:val="clear" w:color="auto" w:fill="auto"/>
            <w:noWrap/>
          </w:tcPr>
          <w:p w14:paraId="59BCDD78" w14:textId="77777777" w:rsidR="000A7DF2" w:rsidRPr="00406208" w:rsidRDefault="000A7DF2" w:rsidP="00271111">
            <w:pPr>
              <w:pStyle w:val="Tabletext"/>
              <w:rPr>
                <w:sz w:val="18"/>
              </w:rPr>
            </w:pPr>
            <w:r w:rsidRPr="00406208">
              <w:rPr>
                <w:sz w:val="18"/>
              </w:rPr>
              <w:t>Number of sessions</w:t>
            </w:r>
          </w:p>
        </w:tc>
      </w:tr>
      <w:tr w:rsidR="000A7DF2" w:rsidRPr="002B326F" w14:paraId="5AA3D10F" w14:textId="77777777">
        <w:trPr>
          <w:trHeight w:val="300"/>
        </w:trPr>
        <w:tc>
          <w:tcPr>
            <w:tcW w:w="1144" w:type="dxa"/>
            <w:tcBorders>
              <w:top w:val="nil"/>
              <w:left w:val="single" w:sz="4" w:space="0" w:color="auto"/>
              <w:bottom w:val="single" w:sz="4" w:space="0" w:color="auto"/>
              <w:right w:val="single" w:sz="4" w:space="0" w:color="auto"/>
            </w:tcBorders>
            <w:shd w:val="clear" w:color="auto" w:fill="auto"/>
            <w:noWrap/>
          </w:tcPr>
          <w:p w14:paraId="5280A18D" w14:textId="77777777" w:rsidR="000A7DF2" w:rsidRPr="002B326F" w:rsidRDefault="000A7DF2" w:rsidP="00271111">
            <w:pPr>
              <w:pStyle w:val="Tabletext"/>
            </w:pPr>
            <w:r w:rsidRPr="002B326F">
              <w:t>DHV1</w:t>
            </w:r>
          </w:p>
        </w:tc>
        <w:tc>
          <w:tcPr>
            <w:tcW w:w="6237" w:type="dxa"/>
            <w:tcBorders>
              <w:top w:val="nil"/>
              <w:left w:val="nil"/>
              <w:bottom w:val="single" w:sz="4" w:space="0" w:color="auto"/>
              <w:right w:val="single" w:sz="4" w:space="0" w:color="auto"/>
            </w:tcBorders>
            <w:shd w:val="clear" w:color="auto" w:fill="auto"/>
            <w:noWrap/>
          </w:tcPr>
          <w:p w14:paraId="2BC2925D" w14:textId="77777777" w:rsidR="000A7DF2" w:rsidRPr="00234CBB" w:rsidRDefault="000A7DF2" w:rsidP="00271111">
            <w:pPr>
              <w:pStyle w:val="Tabletext"/>
              <w:rPr>
                <w:lang w:val="en-US"/>
              </w:rPr>
            </w:pPr>
            <w:r w:rsidRPr="00234CBB">
              <w:rPr>
                <w:lang w:val="en-US"/>
              </w:rPr>
              <w:t>Volume of total data per year</w:t>
            </w:r>
          </w:p>
        </w:tc>
        <w:tc>
          <w:tcPr>
            <w:tcW w:w="1995" w:type="dxa"/>
            <w:tcBorders>
              <w:top w:val="nil"/>
              <w:left w:val="nil"/>
              <w:bottom w:val="single" w:sz="4" w:space="0" w:color="auto"/>
              <w:right w:val="single" w:sz="4" w:space="0" w:color="auto"/>
            </w:tcBorders>
            <w:shd w:val="clear" w:color="auto" w:fill="auto"/>
            <w:noWrap/>
          </w:tcPr>
          <w:p w14:paraId="6275C217" w14:textId="77777777" w:rsidR="000A7DF2" w:rsidRPr="00406208" w:rsidRDefault="000A7DF2" w:rsidP="00271111">
            <w:pPr>
              <w:pStyle w:val="Tabletext"/>
              <w:rPr>
                <w:sz w:val="18"/>
              </w:rPr>
            </w:pPr>
            <w:r w:rsidRPr="00406208">
              <w:rPr>
                <w:sz w:val="18"/>
              </w:rPr>
              <w:t>MB</w:t>
            </w:r>
          </w:p>
        </w:tc>
      </w:tr>
      <w:tr w:rsidR="000A7DF2" w:rsidRPr="002B326F" w14:paraId="55213806" w14:textId="77777777">
        <w:trPr>
          <w:trHeight w:val="300"/>
        </w:trPr>
        <w:tc>
          <w:tcPr>
            <w:tcW w:w="1144" w:type="dxa"/>
            <w:tcBorders>
              <w:top w:val="nil"/>
              <w:left w:val="single" w:sz="4" w:space="0" w:color="auto"/>
              <w:bottom w:val="single" w:sz="4" w:space="0" w:color="auto"/>
              <w:right w:val="single" w:sz="4" w:space="0" w:color="auto"/>
            </w:tcBorders>
            <w:shd w:val="clear" w:color="auto" w:fill="auto"/>
            <w:noWrap/>
          </w:tcPr>
          <w:p w14:paraId="59980B15" w14:textId="77777777" w:rsidR="000A7DF2" w:rsidRPr="002B326F" w:rsidRDefault="000A7DF2" w:rsidP="00271111">
            <w:pPr>
              <w:pStyle w:val="Tabletext"/>
            </w:pPr>
            <w:r w:rsidRPr="002B326F">
              <w:t>DHV2</w:t>
            </w:r>
          </w:p>
        </w:tc>
        <w:tc>
          <w:tcPr>
            <w:tcW w:w="6237" w:type="dxa"/>
            <w:tcBorders>
              <w:top w:val="nil"/>
              <w:left w:val="nil"/>
              <w:bottom w:val="single" w:sz="4" w:space="0" w:color="auto"/>
              <w:right w:val="single" w:sz="4" w:space="0" w:color="auto"/>
            </w:tcBorders>
            <w:shd w:val="clear" w:color="auto" w:fill="auto"/>
            <w:noWrap/>
          </w:tcPr>
          <w:p w14:paraId="38EE0E47" w14:textId="77777777" w:rsidR="000A7DF2" w:rsidRPr="00234CBB" w:rsidRDefault="000A7DF2" w:rsidP="00271111">
            <w:pPr>
              <w:pStyle w:val="Tabletext"/>
              <w:rPr>
                <w:lang w:val="en-US"/>
              </w:rPr>
            </w:pPr>
            <w:r w:rsidRPr="00234CBB">
              <w:rPr>
                <w:lang w:val="en-US"/>
              </w:rPr>
              <w:t>Volume of roaming data per year</w:t>
            </w:r>
          </w:p>
        </w:tc>
        <w:tc>
          <w:tcPr>
            <w:tcW w:w="1995" w:type="dxa"/>
            <w:tcBorders>
              <w:top w:val="nil"/>
              <w:left w:val="nil"/>
              <w:bottom w:val="single" w:sz="4" w:space="0" w:color="auto"/>
              <w:right w:val="single" w:sz="4" w:space="0" w:color="auto"/>
            </w:tcBorders>
            <w:shd w:val="clear" w:color="auto" w:fill="auto"/>
            <w:noWrap/>
          </w:tcPr>
          <w:p w14:paraId="1FA697FB" w14:textId="77777777" w:rsidR="000A7DF2" w:rsidRPr="00406208" w:rsidRDefault="000A7DF2" w:rsidP="00271111">
            <w:pPr>
              <w:pStyle w:val="Tabletext"/>
              <w:rPr>
                <w:sz w:val="18"/>
              </w:rPr>
            </w:pPr>
            <w:r w:rsidRPr="00406208">
              <w:rPr>
                <w:sz w:val="18"/>
              </w:rPr>
              <w:t>MB</w:t>
            </w:r>
          </w:p>
        </w:tc>
      </w:tr>
      <w:tr w:rsidR="000A7DF2" w:rsidRPr="002B326F" w14:paraId="604A824B" w14:textId="77777777">
        <w:trPr>
          <w:trHeight w:val="300"/>
        </w:trPr>
        <w:tc>
          <w:tcPr>
            <w:tcW w:w="1144" w:type="dxa"/>
            <w:tcBorders>
              <w:top w:val="nil"/>
              <w:left w:val="single" w:sz="4" w:space="0" w:color="auto"/>
              <w:bottom w:val="single" w:sz="4" w:space="0" w:color="auto"/>
              <w:right w:val="single" w:sz="4" w:space="0" w:color="auto"/>
            </w:tcBorders>
            <w:shd w:val="clear" w:color="auto" w:fill="auto"/>
            <w:noWrap/>
          </w:tcPr>
          <w:p w14:paraId="766F0EB9" w14:textId="77777777" w:rsidR="000A7DF2" w:rsidRPr="002B326F" w:rsidRDefault="000A7DF2" w:rsidP="00271111">
            <w:pPr>
              <w:pStyle w:val="Tabletext"/>
            </w:pPr>
            <w:r w:rsidRPr="002B326F">
              <w:t>LRV1</w:t>
            </w:r>
          </w:p>
        </w:tc>
        <w:tc>
          <w:tcPr>
            <w:tcW w:w="6237" w:type="dxa"/>
            <w:tcBorders>
              <w:top w:val="nil"/>
              <w:left w:val="nil"/>
              <w:bottom w:val="single" w:sz="4" w:space="0" w:color="auto"/>
              <w:right w:val="single" w:sz="4" w:space="0" w:color="auto"/>
            </w:tcBorders>
            <w:shd w:val="clear" w:color="auto" w:fill="auto"/>
            <w:noWrap/>
          </w:tcPr>
          <w:p w14:paraId="1D94D987" w14:textId="77777777" w:rsidR="000A7DF2" w:rsidRPr="00234CBB" w:rsidRDefault="000A7DF2" w:rsidP="00271111">
            <w:pPr>
              <w:pStyle w:val="Tabletext"/>
              <w:rPr>
                <w:lang w:val="en-US"/>
              </w:rPr>
            </w:pPr>
            <w:r w:rsidRPr="00234CBB">
              <w:rPr>
                <w:lang w:val="en-US"/>
              </w:rPr>
              <w:t>Visitor Location Register, VLR, cost of use for roaming per year</w:t>
            </w:r>
          </w:p>
        </w:tc>
        <w:tc>
          <w:tcPr>
            <w:tcW w:w="1995" w:type="dxa"/>
            <w:tcBorders>
              <w:top w:val="nil"/>
              <w:left w:val="nil"/>
              <w:bottom w:val="single" w:sz="4" w:space="0" w:color="auto"/>
              <w:right w:val="single" w:sz="4" w:space="0" w:color="auto"/>
            </w:tcBorders>
            <w:shd w:val="clear" w:color="auto" w:fill="auto"/>
            <w:noWrap/>
          </w:tcPr>
          <w:p w14:paraId="7269CF81" w14:textId="77777777" w:rsidR="000A7DF2" w:rsidRPr="00406208" w:rsidRDefault="000A7DF2" w:rsidP="00271111">
            <w:pPr>
              <w:pStyle w:val="Tabletext"/>
              <w:rPr>
                <w:sz w:val="18"/>
              </w:rPr>
            </w:pPr>
            <w:r w:rsidRPr="00406208">
              <w:rPr>
                <w:sz w:val="18"/>
              </w:rPr>
              <w:t>currency (USD)</w:t>
            </w:r>
          </w:p>
        </w:tc>
      </w:tr>
      <w:tr w:rsidR="000A7DF2" w:rsidRPr="002B326F" w14:paraId="64C41491" w14:textId="77777777">
        <w:trPr>
          <w:trHeight w:val="300"/>
        </w:trPr>
        <w:tc>
          <w:tcPr>
            <w:tcW w:w="1144" w:type="dxa"/>
            <w:tcBorders>
              <w:top w:val="nil"/>
              <w:left w:val="single" w:sz="4" w:space="0" w:color="auto"/>
              <w:bottom w:val="single" w:sz="4" w:space="0" w:color="auto"/>
              <w:right w:val="single" w:sz="4" w:space="0" w:color="auto"/>
            </w:tcBorders>
            <w:shd w:val="clear" w:color="auto" w:fill="auto"/>
            <w:noWrap/>
          </w:tcPr>
          <w:p w14:paraId="25756FF5" w14:textId="77777777" w:rsidR="000A7DF2" w:rsidRPr="002B326F" w:rsidRDefault="000A7DF2" w:rsidP="00271111">
            <w:pPr>
              <w:pStyle w:val="Tabletext"/>
            </w:pPr>
            <w:r w:rsidRPr="002B326F">
              <w:t>LRH1</w:t>
            </w:r>
          </w:p>
        </w:tc>
        <w:tc>
          <w:tcPr>
            <w:tcW w:w="6237" w:type="dxa"/>
            <w:tcBorders>
              <w:top w:val="nil"/>
              <w:left w:val="nil"/>
              <w:bottom w:val="single" w:sz="4" w:space="0" w:color="auto"/>
              <w:right w:val="single" w:sz="4" w:space="0" w:color="auto"/>
            </w:tcBorders>
            <w:shd w:val="clear" w:color="auto" w:fill="auto"/>
            <w:noWrap/>
          </w:tcPr>
          <w:p w14:paraId="2554D562" w14:textId="77777777" w:rsidR="000A7DF2" w:rsidRPr="00234CBB" w:rsidRDefault="000A7DF2" w:rsidP="00271111">
            <w:pPr>
              <w:pStyle w:val="Tabletext"/>
              <w:rPr>
                <w:lang w:val="en-US"/>
              </w:rPr>
            </w:pPr>
            <w:r w:rsidRPr="00234CBB">
              <w:rPr>
                <w:lang w:val="en-US"/>
              </w:rPr>
              <w:t>Home Location Register, HLR, cost of use per year for domestic and roaming</w:t>
            </w:r>
          </w:p>
        </w:tc>
        <w:tc>
          <w:tcPr>
            <w:tcW w:w="1995" w:type="dxa"/>
            <w:tcBorders>
              <w:top w:val="nil"/>
              <w:left w:val="nil"/>
              <w:bottom w:val="single" w:sz="4" w:space="0" w:color="auto"/>
              <w:right w:val="single" w:sz="4" w:space="0" w:color="auto"/>
            </w:tcBorders>
            <w:shd w:val="clear" w:color="auto" w:fill="auto"/>
            <w:noWrap/>
          </w:tcPr>
          <w:p w14:paraId="428AE01A" w14:textId="77777777" w:rsidR="000A7DF2" w:rsidRPr="00406208" w:rsidRDefault="000A7DF2" w:rsidP="00271111">
            <w:pPr>
              <w:pStyle w:val="Tabletext"/>
              <w:rPr>
                <w:sz w:val="18"/>
              </w:rPr>
            </w:pPr>
            <w:r w:rsidRPr="00406208">
              <w:rPr>
                <w:sz w:val="18"/>
              </w:rPr>
              <w:t>currency (USD)</w:t>
            </w:r>
          </w:p>
        </w:tc>
      </w:tr>
      <w:tr w:rsidR="000A7DF2" w:rsidRPr="002B326F" w14:paraId="7ECFEA87" w14:textId="77777777">
        <w:trPr>
          <w:trHeight w:val="255"/>
        </w:trPr>
        <w:tc>
          <w:tcPr>
            <w:tcW w:w="1144" w:type="dxa"/>
            <w:tcBorders>
              <w:top w:val="single" w:sz="4" w:space="0" w:color="auto"/>
              <w:left w:val="single" w:sz="4" w:space="0" w:color="auto"/>
              <w:bottom w:val="single" w:sz="4" w:space="0" w:color="auto"/>
              <w:right w:val="nil"/>
            </w:tcBorders>
            <w:shd w:val="clear" w:color="auto" w:fill="auto"/>
            <w:noWrap/>
          </w:tcPr>
          <w:p w14:paraId="5155F7AF" w14:textId="77777777" w:rsidR="000A7DF2" w:rsidRPr="002B326F" w:rsidRDefault="000A7DF2" w:rsidP="00271111">
            <w:pPr>
              <w:pStyle w:val="Tabletext"/>
            </w:pPr>
            <w:r w:rsidRPr="002B326F">
              <w:t>CAM1</w:t>
            </w:r>
          </w:p>
        </w:tc>
        <w:tc>
          <w:tcPr>
            <w:tcW w:w="6237" w:type="dxa"/>
            <w:tcBorders>
              <w:top w:val="nil"/>
              <w:left w:val="single" w:sz="4" w:space="0" w:color="auto"/>
              <w:bottom w:val="single" w:sz="4" w:space="0" w:color="auto"/>
              <w:right w:val="single" w:sz="4" w:space="0" w:color="auto"/>
            </w:tcBorders>
            <w:shd w:val="clear" w:color="auto" w:fill="auto"/>
            <w:noWrap/>
          </w:tcPr>
          <w:p w14:paraId="6A0BDBD3" w14:textId="77777777" w:rsidR="000A7DF2" w:rsidRPr="00234CBB" w:rsidRDefault="000A7DF2" w:rsidP="00271111">
            <w:pPr>
              <w:pStyle w:val="Tabletext"/>
              <w:rPr>
                <w:lang w:val="en-US"/>
              </w:rPr>
            </w:pPr>
            <w:r w:rsidRPr="00234CBB">
              <w:rPr>
                <w:lang w:val="en-US"/>
              </w:rPr>
              <w:t>GSM CAMEL Application Part for Prepaid roaming, fraud control, 3G/2G etc, cost/year</w:t>
            </w:r>
          </w:p>
        </w:tc>
        <w:tc>
          <w:tcPr>
            <w:tcW w:w="1995" w:type="dxa"/>
            <w:tcBorders>
              <w:top w:val="nil"/>
              <w:left w:val="nil"/>
              <w:bottom w:val="single" w:sz="4" w:space="0" w:color="auto"/>
              <w:right w:val="single" w:sz="4" w:space="0" w:color="auto"/>
            </w:tcBorders>
            <w:shd w:val="clear" w:color="auto" w:fill="auto"/>
            <w:noWrap/>
          </w:tcPr>
          <w:p w14:paraId="63FD1307" w14:textId="77777777" w:rsidR="000A7DF2" w:rsidRPr="00406208" w:rsidRDefault="000A7DF2" w:rsidP="00271111">
            <w:pPr>
              <w:pStyle w:val="Tabletext"/>
              <w:rPr>
                <w:sz w:val="18"/>
              </w:rPr>
            </w:pPr>
            <w:r w:rsidRPr="00406208">
              <w:rPr>
                <w:sz w:val="18"/>
              </w:rPr>
              <w:t>currency (USD)</w:t>
            </w:r>
          </w:p>
        </w:tc>
      </w:tr>
      <w:tr w:rsidR="000A7DF2" w:rsidRPr="002B326F" w14:paraId="518B1623" w14:textId="77777777">
        <w:trPr>
          <w:trHeight w:val="300"/>
        </w:trPr>
        <w:tc>
          <w:tcPr>
            <w:tcW w:w="1144" w:type="dxa"/>
            <w:tcBorders>
              <w:top w:val="single" w:sz="4" w:space="0" w:color="auto"/>
              <w:left w:val="single" w:sz="4" w:space="0" w:color="auto"/>
              <w:bottom w:val="single" w:sz="4" w:space="0" w:color="auto"/>
              <w:right w:val="single" w:sz="4" w:space="0" w:color="auto"/>
            </w:tcBorders>
            <w:shd w:val="clear" w:color="auto" w:fill="auto"/>
            <w:noWrap/>
          </w:tcPr>
          <w:p w14:paraId="096527F8" w14:textId="77777777" w:rsidR="000A7DF2" w:rsidRPr="002B326F" w:rsidRDefault="000A7DF2" w:rsidP="00271111">
            <w:pPr>
              <w:pStyle w:val="Tabletext"/>
            </w:pPr>
            <w:r w:rsidRPr="002B326F">
              <w:t>CN1</w:t>
            </w:r>
          </w:p>
        </w:tc>
        <w:tc>
          <w:tcPr>
            <w:tcW w:w="6237" w:type="dxa"/>
            <w:tcBorders>
              <w:top w:val="nil"/>
              <w:left w:val="nil"/>
              <w:bottom w:val="single" w:sz="4" w:space="0" w:color="auto"/>
              <w:right w:val="single" w:sz="4" w:space="0" w:color="auto"/>
            </w:tcBorders>
            <w:shd w:val="clear" w:color="auto" w:fill="auto"/>
            <w:noWrap/>
          </w:tcPr>
          <w:p w14:paraId="08BB105E" w14:textId="77777777" w:rsidR="000A7DF2" w:rsidRPr="00234CBB" w:rsidRDefault="000A7DF2" w:rsidP="00271111">
            <w:pPr>
              <w:pStyle w:val="Tabletext"/>
              <w:rPr>
                <w:lang w:val="en-US"/>
              </w:rPr>
            </w:pPr>
            <w:r w:rsidRPr="00234CBB">
              <w:rPr>
                <w:lang w:val="en-US"/>
              </w:rPr>
              <w:t>Core Network - use for call transport, cost/year</w:t>
            </w:r>
          </w:p>
        </w:tc>
        <w:tc>
          <w:tcPr>
            <w:tcW w:w="1995" w:type="dxa"/>
            <w:tcBorders>
              <w:top w:val="nil"/>
              <w:left w:val="nil"/>
              <w:bottom w:val="single" w:sz="4" w:space="0" w:color="auto"/>
              <w:right w:val="single" w:sz="4" w:space="0" w:color="auto"/>
            </w:tcBorders>
            <w:shd w:val="clear" w:color="auto" w:fill="auto"/>
            <w:noWrap/>
          </w:tcPr>
          <w:p w14:paraId="0B6F8D44" w14:textId="77777777" w:rsidR="000A7DF2" w:rsidRPr="00406208" w:rsidRDefault="000A7DF2" w:rsidP="00271111">
            <w:pPr>
              <w:pStyle w:val="Tabletext"/>
              <w:rPr>
                <w:sz w:val="18"/>
              </w:rPr>
            </w:pPr>
            <w:r w:rsidRPr="00406208">
              <w:rPr>
                <w:sz w:val="18"/>
              </w:rPr>
              <w:t>currency (USD)</w:t>
            </w:r>
          </w:p>
        </w:tc>
      </w:tr>
      <w:tr w:rsidR="000A7DF2" w:rsidRPr="002B326F" w14:paraId="49558E91" w14:textId="77777777">
        <w:trPr>
          <w:trHeight w:val="300"/>
        </w:trPr>
        <w:tc>
          <w:tcPr>
            <w:tcW w:w="1144" w:type="dxa"/>
            <w:tcBorders>
              <w:top w:val="nil"/>
              <w:left w:val="single" w:sz="4" w:space="0" w:color="auto"/>
              <w:bottom w:val="single" w:sz="4" w:space="0" w:color="auto"/>
              <w:right w:val="single" w:sz="4" w:space="0" w:color="auto"/>
            </w:tcBorders>
            <w:shd w:val="clear" w:color="auto" w:fill="auto"/>
            <w:noWrap/>
          </w:tcPr>
          <w:p w14:paraId="5FDD0B8A" w14:textId="77777777" w:rsidR="000A7DF2" w:rsidRPr="002B326F" w:rsidRDefault="000A7DF2" w:rsidP="00271111">
            <w:pPr>
              <w:pStyle w:val="Tabletext"/>
            </w:pPr>
            <w:r w:rsidRPr="002B326F">
              <w:t>IVG1</w:t>
            </w:r>
          </w:p>
        </w:tc>
        <w:tc>
          <w:tcPr>
            <w:tcW w:w="6237" w:type="dxa"/>
            <w:tcBorders>
              <w:top w:val="nil"/>
              <w:left w:val="nil"/>
              <w:bottom w:val="single" w:sz="4" w:space="0" w:color="auto"/>
              <w:right w:val="single" w:sz="4" w:space="0" w:color="auto"/>
            </w:tcBorders>
            <w:shd w:val="clear" w:color="auto" w:fill="auto"/>
            <w:noWrap/>
          </w:tcPr>
          <w:p w14:paraId="3E108A45" w14:textId="77777777" w:rsidR="000A7DF2" w:rsidRPr="00234CBB" w:rsidRDefault="000A7DF2" w:rsidP="00271111">
            <w:pPr>
              <w:pStyle w:val="Tabletext"/>
              <w:rPr>
                <w:lang w:val="en-US"/>
              </w:rPr>
            </w:pPr>
            <w:r w:rsidRPr="00234CBB">
              <w:rPr>
                <w:lang w:val="en-US"/>
              </w:rPr>
              <w:t>International voice gateway, cost/year</w:t>
            </w:r>
          </w:p>
        </w:tc>
        <w:tc>
          <w:tcPr>
            <w:tcW w:w="1995" w:type="dxa"/>
            <w:tcBorders>
              <w:top w:val="nil"/>
              <w:left w:val="nil"/>
              <w:bottom w:val="single" w:sz="4" w:space="0" w:color="auto"/>
              <w:right w:val="single" w:sz="4" w:space="0" w:color="auto"/>
            </w:tcBorders>
            <w:shd w:val="clear" w:color="auto" w:fill="auto"/>
            <w:noWrap/>
          </w:tcPr>
          <w:p w14:paraId="1B954A71" w14:textId="77777777" w:rsidR="000A7DF2" w:rsidRPr="00406208" w:rsidRDefault="000A7DF2" w:rsidP="00271111">
            <w:pPr>
              <w:pStyle w:val="Tabletext"/>
              <w:rPr>
                <w:sz w:val="18"/>
              </w:rPr>
            </w:pPr>
            <w:r w:rsidRPr="00406208">
              <w:rPr>
                <w:sz w:val="18"/>
              </w:rPr>
              <w:t>currency (USD)</w:t>
            </w:r>
          </w:p>
        </w:tc>
      </w:tr>
      <w:tr w:rsidR="000A7DF2" w:rsidRPr="002B326F" w14:paraId="5C0B6D3A" w14:textId="77777777">
        <w:trPr>
          <w:trHeight w:val="300"/>
        </w:trPr>
        <w:tc>
          <w:tcPr>
            <w:tcW w:w="1144" w:type="dxa"/>
            <w:tcBorders>
              <w:top w:val="nil"/>
              <w:left w:val="single" w:sz="4" w:space="0" w:color="auto"/>
              <w:bottom w:val="single" w:sz="4" w:space="0" w:color="auto"/>
              <w:right w:val="single" w:sz="4" w:space="0" w:color="auto"/>
            </w:tcBorders>
            <w:shd w:val="clear" w:color="auto" w:fill="auto"/>
            <w:noWrap/>
          </w:tcPr>
          <w:p w14:paraId="724B2F62" w14:textId="77777777" w:rsidR="000A7DF2" w:rsidRPr="002B326F" w:rsidRDefault="000A7DF2" w:rsidP="00271111">
            <w:pPr>
              <w:pStyle w:val="Tabletext"/>
            </w:pPr>
            <w:r w:rsidRPr="002B326F">
              <w:t>IDG1</w:t>
            </w:r>
          </w:p>
        </w:tc>
        <w:tc>
          <w:tcPr>
            <w:tcW w:w="6237" w:type="dxa"/>
            <w:tcBorders>
              <w:top w:val="nil"/>
              <w:left w:val="nil"/>
              <w:bottom w:val="single" w:sz="4" w:space="0" w:color="auto"/>
              <w:right w:val="single" w:sz="4" w:space="0" w:color="auto"/>
            </w:tcBorders>
            <w:shd w:val="clear" w:color="auto" w:fill="auto"/>
            <w:noWrap/>
          </w:tcPr>
          <w:p w14:paraId="4965B338" w14:textId="77777777" w:rsidR="000A7DF2" w:rsidRPr="00234CBB" w:rsidRDefault="000A7DF2" w:rsidP="00271111">
            <w:pPr>
              <w:pStyle w:val="Tabletext"/>
              <w:rPr>
                <w:lang w:val="en-US"/>
              </w:rPr>
            </w:pPr>
            <w:r w:rsidRPr="00234CBB">
              <w:rPr>
                <w:lang w:val="en-US"/>
              </w:rPr>
              <w:t>International data gateway, cost/year</w:t>
            </w:r>
          </w:p>
        </w:tc>
        <w:tc>
          <w:tcPr>
            <w:tcW w:w="1995" w:type="dxa"/>
            <w:tcBorders>
              <w:top w:val="nil"/>
              <w:left w:val="nil"/>
              <w:bottom w:val="single" w:sz="4" w:space="0" w:color="auto"/>
              <w:right w:val="single" w:sz="4" w:space="0" w:color="auto"/>
            </w:tcBorders>
            <w:shd w:val="clear" w:color="auto" w:fill="auto"/>
            <w:noWrap/>
          </w:tcPr>
          <w:p w14:paraId="5D99457B" w14:textId="77777777" w:rsidR="000A7DF2" w:rsidRPr="00406208" w:rsidRDefault="000A7DF2" w:rsidP="00271111">
            <w:pPr>
              <w:pStyle w:val="Tabletext"/>
              <w:rPr>
                <w:sz w:val="18"/>
              </w:rPr>
            </w:pPr>
            <w:r w:rsidRPr="00406208">
              <w:rPr>
                <w:sz w:val="18"/>
              </w:rPr>
              <w:t>currency (USD)</w:t>
            </w:r>
          </w:p>
        </w:tc>
      </w:tr>
      <w:tr w:rsidR="000A7DF2" w:rsidRPr="002B326F" w14:paraId="299A9125" w14:textId="77777777">
        <w:trPr>
          <w:trHeight w:val="330"/>
        </w:trPr>
        <w:tc>
          <w:tcPr>
            <w:tcW w:w="1144" w:type="dxa"/>
            <w:tcBorders>
              <w:top w:val="nil"/>
              <w:left w:val="single" w:sz="4" w:space="0" w:color="auto"/>
              <w:bottom w:val="single" w:sz="4" w:space="0" w:color="auto"/>
              <w:right w:val="single" w:sz="4" w:space="0" w:color="auto"/>
            </w:tcBorders>
            <w:shd w:val="clear" w:color="auto" w:fill="auto"/>
            <w:noWrap/>
          </w:tcPr>
          <w:p w14:paraId="3D6A3957" w14:textId="77777777" w:rsidR="000A7DF2" w:rsidRPr="002B326F" w:rsidRDefault="000A7DF2" w:rsidP="00271111">
            <w:pPr>
              <w:pStyle w:val="Tabletext"/>
            </w:pPr>
            <w:r w:rsidRPr="002B326F">
              <w:t>BMR1</w:t>
            </w:r>
          </w:p>
        </w:tc>
        <w:tc>
          <w:tcPr>
            <w:tcW w:w="6237" w:type="dxa"/>
            <w:tcBorders>
              <w:top w:val="nil"/>
              <w:left w:val="nil"/>
              <w:bottom w:val="single" w:sz="4" w:space="0" w:color="auto"/>
              <w:right w:val="single" w:sz="4" w:space="0" w:color="auto"/>
            </w:tcBorders>
            <w:shd w:val="clear" w:color="auto" w:fill="auto"/>
            <w:noWrap/>
          </w:tcPr>
          <w:p w14:paraId="2F268E55" w14:textId="77777777" w:rsidR="000A7DF2" w:rsidRPr="00234CBB" w:rsidRDefault="000A7DF2" w:rsidP="00271111">
            <w:pPr>
              <w:pStyle w:val="Tabletext"/>
              <w:rPr>
                <w:lang w:val="en-US"/>
              </w:rPr>
            </w:pPr>
            <w:r w:rsidRPr="00234CBB">
              <w:rPr>
                <w:lang w:val="en-US"/>
              </w:rPr>
              <w:t>Billing system module for roaming (home network) voice/data, cost/year</w:t>
            </w:r>
          </w:p>
        </w:tc>
        <w:tc>
          <w:tcPr>
            <w:tcW w:w="1995" w:type="dxa"/>
            <w:tcBorders>
              <w:top w:val="nil"/>
              <w:left w:val="nil"/>
              <w:bottom w:val="single" w:sz="4" w:space="0" w:color="auto"/>
              <w:right w:val="single" w:sz="4" w:space="0" w:color="auto"/>
            </w:tcBorders>
            <w:shd w:val="clear" w:color="auto" w:fill="auto"/>
            <w:noWrap/>
          </w:tcPr>
          <w:p w14:paraId="752F108B" w14:textId="77777777" w:rsidR="000A7DF2" w:rsidRPr="00234CBB" w:rsidRDefault="000A7DF2" w:rsidP="00271111">
            <w:pPr>
              <w:pStyle w:val="Tabletext"/>
              <w:rPr>
                <w:sz w:val="18"/>
                <w:lang w:val="en-US"/>
              </w:rPr>
            </w:pPr>
            <w:r w:rsidRPr="00234CBB">
              <w:rPr>
                <w:sz w:val="18"/>
                <w:lang w:val="en-US"/>
              </w:rPr>
              <w:t>currency (USD) for voice or data</w:t>
            </w:r>
          </w:p>
        </w:tc>
      </w:tr>
      <w:tr w:rsidR="000A7DF2" w:rsidRPr="002B326F" w14:paraId="4C55D6EF" w14:textId="77777777">
        <w:trPr>
          <w:trHeight w:val="510"/>
        </w:trPr>
        <w:tc>
          <w:tcPr>
            <w:tcW w:w="1144" w:type="dxa"/>
            <w:tcBorders>
              <w:top w:val="nil"/>
              <w:left w:val="single" w:sz="4" w:space="0" w:color="auto"/>
              <w:bottom w:val="single" w:sz="4" w:space="0" w:color="auto"/>
              <w:right w:val="single" w:sz="4" w:space="0" w:color="auto"/>
            </w:tcBorders>
            <w:shd w:val="clear" w:color="auto" w:fill="auto"/>
            <w:noWrap/>
          </w:tcPr>
          <w:p w14:paraId="29BEFA9B" w14:textId="77777777" w:rsidR="000A7DF2" w:rsidRPr="002B326F" w:rsidRDefault="000A7DF2" w:rsidP="00271111">
            <w:pPr>
              <w:pStyle w:val="Tabletext"/>
            </w:pPr>
            <w:r w:rsidRPr="002B326F">
              <w:t>BS1</w:t>
            </w:r>
          </w:p>
        </w:tc>
        <w:tc>
          <w:tcPr>
            <w:tcW w:w="6237" w:type="dxa"/>
            <w:tcBorders>
              <w:top w:val="nil"/>
              <w:left w:val="nil"/>
              <w:bottom w:val="single" w:sz="4" w:space="0" w:color="auto"/>
              <w:right w:val="single" w:sz="4" w:space="0" w:color="auto"/>
            </w:tcBorders>
            <w:shd w:val="clear" w:color="auto" w:fill="auto"/>
          </w:tcPr>
          <w:p w14:paraId="1EA0CEB3" w14:textId="77777777" w:rsidR="000A7DF2" w:rsidRPr="00234CBB" w:rsidRDefault="000A7DF2" w:rsidP="00271111">
            <w:pPr>
              <w:pStyle w:val="Tabletext"/>
              <w:rPr>
                <w:lang w:val="en-US"/>
              </w:rPr>
            </w:pPr>
            <w:r w:rsidRPr="00234CBB">
              <w:rPr>
                <w:lang w:val="en-US"/>
              </w:rPr>
              <w:t>Billing system (home network) with mediation, includes servers, databases and data centre slice, cost/year</w:t>
            </w:r>
          </w:p>
        </w:tc>
        <w:tc>
          <w:tcPr>
            <w:tcW w:w="1995" w:type="dxa"/>
            <w:tcBorders>
              <w:top w:val="nil"/>
              <w:left w:val="nil"/>
              <w:bottom w:val="single" w:sz="4" w:space="0" w:color="auto"/>
              <w:right w:val="single" w:sz="4" w:space="0" w:color="auto"/>
            </w:tcBorders>
            <w:shd w:val="clear" w:color="auto" w:fill="auto"/>
            <w:noWrap/>
          </w:tcPr>
          <w:p w14:paraId="1A2659F5" w14:textId="77777777" w:rsidR="000A7DF2" w:rsidRPr="00406208" w:rsidRDefault="000A7DF2" w:rsidP="00271111">
            <w:pPr>
              <w:pStyle w:val="Tabletext"/>
              <w:rPr>
                <w:sz w:val="18"/>
              </w:rPr>
            </w:pPr>
            <w:r w:rsidRPr="00406208">
              <w:rPr>
                <w:sz w:val="18"/>
              </w:rPr>
              <w:t>currency (USD)</w:t>
            </w:r>
          </w:p>
        </w:tc>
      </w:tr>
      <w:tr w:rsidR="000A7DF2" w:rsidRPr="002B326F" w14:paraId="41E7719D" w14:textId="77777777">
        <w:trPr>
          <w:trHeight w:val="300"/>
        </w:trPr>
        <w:tc>
          <w:tcPr>
            <w:tcW w:w="1144" w:type="dxa"/>
            <w:tcBorders>
              <w:top w:val="nil"/>
              <w:left w:val="single" w:sz="4" w:space="0" w:color="auto"/>
              <w:bottom w:val="single" w:sz="4" w:space="0" w:color="auto"/>
              <w:right w:val="single" w:sz="4" w:space="0" w:color="auto"/>
            </w:tcBorders>
            <w:shd w:val="clear" w:color="auto" w:fill="auto"/>
            <w:noWrap/>
          </w:tcPr>
          <w:p w14:paraId="14235AE1" w14:textId="77777777" w:rsidR="000A7DF2" w:rsidRPr="002B326F" w:rsidRDefault="000A7DF2" w:rsidP="00271111">
            <w:pPr>
              <w:pStyle w:val="Tabletext"/>
            </w:pPr>
            <w:r w:rsidRPr="002B326F">
              <w:t>TR1</w:t>
            </w:r>
          </w:p>
        </w:tc>
        <w:tc>
          <w:tcPr>
            <w:tcW w:w="6237" w:type="dxa"/>
            <w:tcBorders>
              <w:top w:val="nil"/>
              <w:left w:val="nil"/>
              <w:bottom w:val="single" w:sz="4" w:space="0" w:color="auto"/>
              <w:right w:val="single" w:sz="4" w:space="0" w:color="auto"/>
            </w:tcBorders>
            <w:shd w:val="clear" w:color="auto" w:fill="auto"/>
            <w:noWrap/>
          </w:tcPr>
          <w:p w14:paraId="2B622B3A" w14:textId="77777777" w:rsidR="000A7DF2" w:rsidRPr="00234CBB" w:rsidRDefault="000A7DF2" w:rsidP="00271111">
            <w:pPr>
              <w:pStyle w:val="Tabletext"/>
              <w:rPr>
                <w:lang w:val="en-US"/>
              </w:rPr>
            </w:pPr>
            <w:r w:rsidRPr="00234CBB">
              <w:rPr>
                <w:lang w:val="en-US"/>
              </w:rPr>
              <w:t>International transit service cost for voice carriage, cost/year</w:t>
            </w:r>
          </w:p>
        </w:tc>
        <w:tc>
          <w:tcPr>
            <w:tcW w:w="1995" w:type="dxa"/>
            <w:tcBorders>
              <w:top w:val="nil"/>
              <w:left w:val="nil"/>
              <w:bottom w:val="single" w:sz="4" w:space="0" w:color="auto"/>
              <w:right w:val="single" w:sz="4" w:space="0" w:color="auto"/>
            </w:tcBorders>
            <w:shd w:val="clear" w:color="auto" w:fill="auto"/>
            <w:noWrap/>
          </w:tcPr>
          <w:p w14:paraId="70212077" w14:textId="77777777" w:rsidR="000A7DF2" w:rsidRPr="00406208" w:rsidRDefault="000A7DF2" w:rsidP="00271111">
            <w:pPr>
              <w:pStyle w:val="Tabletext"/>
              <w:rPr>
                <w:sz w:val="18"/>
              </w:rPr>
            </w:pPr>
            <w:r w:rsidRPr="00406208">
              <w:rPr>
                <w:sz w:val="18"/>
              </w:rPr>
              <w:t>currency (USD)</w:t>
            </w:r>
          </w:p>
        </w:tc>
      </w:tr>
      <w:tr w:rsidR="000A7DF2" w:rsidRPr="002B326F" w14:paraId="09DFEF81" w14:textId="77777777">
        <w:trPr>
          <w:trHeight w:val="345"/>
        </w:trPr>
        <w:tc>
          <w:tcPr>
            <w:tcW w:w="1144" w:type="dxa"/>
            <w:tcBorders>
              <w:top w:val="nil"/>
              <w:left w:val="single" w:sz="4" w:space="0" w:color="auto"/>
              <w:bottom w:val="single" w:sz="4" w:space="0" w:color="auto"/>
              <w:right w:val="single" w:sz="4" w:space="0" w:color="auto"/>
            </w:tcBorders>
            <w:shd w:val="clear" w:color="auto" w:fill="auto"/>
            <w:noWrap/>
          </w:tcPr>
          <w:p w14:paraId="66FE5B97" w14:textId="77777777" w:rsidR="000A7DF2" w:rsidRPr="002B326F" w:rsidRDefault="000A7DF2" w:rsidP="00271111">
            <w:pPr>
              <w:pStyle w:val="Tabletext"/>
            </w:pPr>
            <w:r w:rsidRPr="002B326F">
              <w:t>TRD1</w:t>
            </w:r>
          </w:p>
        </w:tc>
        <w:tc>
          <w:tcPr>
            <w:tcW w:w="6237" w:type="dxa"/>
            <w:tcBorders>
              <w:top w:val="nil"/>
              <w:left w:val="nil"/>
              <w:bottom w:val="single" w:sz="4" w:space="0" w:color="auto"/>
              <w:right w:val="single" w:sz="4" w:space="0" w:color="auto"/>
            </w:tcBorders>
            <w:shd w:val="clear" w:color="auto" w:fill="auto"/>
            <w:noWrap/>
          </w:tcPr>
          <w:p w14:paraId="470C9B9A" w14:textId="77777777" w:rsidR="000A7DF2" w:rsidRPr="00234CBB" w:rsidRDefault="000A7DF2" w:rsidP="00271111">
            <w:pPr>
              <w:pStyle w:val="Tabletext"/>
              <w:rPr>
                <w:lang w:val="en-US"/>
              </w:rPr>
            </w:pPr>
            <w:r w:rsidRPr="00234CBB">
              <w:rPr>
                <w:lang w:val="en-US"/>
              </w:rPr>
              <w:t>International transit service cost for data files, cost/year</w:t>
            </w:r>
          </w:p>
        </w:tc>
        <w:tc>
          <w:tcPr>
            <w:tcW w:w="1995" w:type="dxa"/>
            <w:tcBorders>
              <w:top w:val="nil"/>
              <w:left w:val="nil"/>
              <w:bottom w:val="single" w:sz="4" w:space="0" w:color="auto"/>
              <w:right w:val="single" w:sz="4" w:space="0" w:color="auto"/>
            </w:tcBorders>
            <w:shd w:val="clear" w:color="auto" w:fill="auto"/>
            <w:noWrap/>
          </w:tcPr>
          <w:p w14:paraId="49BA446D" w14:textId="77777777" w:rsidR="000A7DF2" w:rsidRPr="00406208" w:rsidRDefault="000A7DF2" w:rsidP="00271111">
            <w:pPr>
              <w:pStyle w:val="Tabletext"/>
              <w:rPr>
                <w:sz w:val="18"/>
              </w:rPr>
            </w:pPr>
            <w:r w:rsidRPr="00406208">
              <w:rPr>
                <w:sz w:val="18"/>
              </w:rPr>
              <w:t>currency (USD)</w:t>
            </w:r>
          </w:p>
        </w:tc>
      </w:tr>
      <w:tr w:rsidR="000A7DF2" w:rsidRPr="002B326F" w14:paraId="15CC3F4A" w14:textId="77777777">
        <w:trPr>
          <w:trHeight w:val="270"/>
        </w:trPr>
        <w:tc>
          <w:tcPr>
            <w:tcW w:w="1144" w:type="dxa"/>
            <w:tcBorders>
              <w:top w:val="single" w:sz="4" w:space="0" w:color="auto"/>
              <w:left w:val="single" w:sz="4" w:space="0" w:color="auto"/>
              <w:bottom w:val="single" w:sz="4" w:space="0" w:color="auto"/>
              <w:right w:val="nil"/>
            </w:tcBorders>
            <w:shd w:val="clear" w:color="auto" w:fill="auto"/>
            <w:noWrap/>
          </w:tcPr>
          <w:p w14:paraId="6EF3DC89" w14:textId="77777777" w:rsidR="000A7DF2" w:rsidRPr="002B326F" w:rsidRDefault="000A7DF2" w:rsidP="00271111">
            <w:pPr>
              <w:pStyle w:val="Tabletext"/>
            </w:pPr>
            <w:r w:rsidRPr="002B326F">
              <w:t>A1</w:t>
            </w:r>
          </w:p>
        </w:tc>
        <w:tc>
          <w:tcPr>
            <w:tcW w:w="6237" w:type="dxa"/>
            <w:tcBorders>
              <w:top w:val="nil"/>
              <w:left w:val="single" w:sz="4" w:space="0" w:color="auto"/>
              <w:bottom w:val="single" w:sz="4" w:space="0" w:color="auto"/>
              <w:right w:val="single" w:sz="4" w:space="0" w:color="auto"/>
            </w:tcBorders>
            <w:shd w:val="clear" w:color="auto" w:fill="auto"/>
          </w:tcPr>
          <w:p w14:paraId="1C606836" w14:textId="77777777" w:rsidR="000A7DF2" w:rsidRPr="00234CBB" w:rsidRDefault="000A7DF2" w:rsidP="00271111">
            <w:pPr>
              <w:pStyle w:val="Tabletext"/>
              <w:rPr>
                <w:lang w:val="en-US"/>
              </w:rPr>
            </w:pPr>
            <w:r w:rsidRPr="00234CBB">
              <w:rPr>
                <w:lang w:val="en-US"/>
              </w:rPr>
              <w:t>Operational cost/year of business process element for updating HLR for roaming subscriber</w:t>
            </w:r>
          </w:p>
        </w:tc>
        <w:tc>
          <w:tcPr>
            <w:tcW w:w="1995" w:type="dxa"/>
            <w:tcBorders>
              <w:top w:val="nil"/>
              <w:left w:val="nil"/>
              <w:bottom w:val="single" w:sz="4" w:space="0" w:color="auto"/>
              <w:right w:val="single" w:sz="4" w:space="0" w:color="auto"/>
            </w:tcBorders>
            <w:shd w:val="clear" w:color="auto" w:fill="auto"/>
            <w:noWrap/>
          </w:tcPr>
          <w:p w14:paraId="398A9D95" w14:textId="77777777" w:rsidR="000A7DF2" w:rsidRPr="00406208" w:rsidRDefault="000A7DF2" w:rsidP="00271111">
            <w:pPr>
              <w:pStyle w:val="Tabletext"/>
              <w:rPr>
                <w:sz w:val="18"/>
              </w:rPr>
            </w:pPr>
            <w:r w:rsidRPr="00406208">
              <w:rPr>
                <w:sz w:val="18"/>
              </w:rPr>
              <w:t>currency (USD)</w:t>
            </w:r>
          </w:p>
        </w:tc>
      </w:tr>
      <w:tr w:rsidR="000A7DF2" w:rsidRPr="002B326F" w14:paraId="10E85921" w14:textId="77777777">
        <w:trPr>
          <w:trHeight w:val="510"/>
        </w:trPr>
        <w:tc>
          <w:tcPr>
            <w:tcW w:w="1144" w:type="dxa"/>
            <w:tcBorders>
              <w:top w:val="single" w:sz="4" w:space="0" w:color="auto"/>
              <w:left w:val="single" w:sz="4" w:space="0" w:color="auto"/>
              <w:bottom w:val="single" w:sz="4" w:space="0" w:color="auto"/>
              <w:right w:val="single" w:sz="4" w:space="0" w:color="auto"/>
            </w:tcBorders>
            <w:shd w:val="clear" w:color="auto" w:fill="auto"/>
            <w:noWrap/>
          </w:tcPr>
          <w:p w14:paraId="57A4AB69" w14:textId="77777777" w:rsidR="000A7DF2" w:rsidRPr="002B326F" w:rsidRDefault="000A7DF2" w:rsidP="00271111">
            <w:pPr>
              <w:pStyle w:val="Tabletext"/>
            </w:pPr>
            <w:r w:rsidRPr="002B326F">
              <w:t>A2</w:t>
            </w:r>
          </w:p>
        </w:tc>
        <w:tc>
          <w:tcPr>
            <w:tcW w:w="6237" w:type="dxa"/>
            <w:tcBorders>
              <w:top w:val="single" w:sz="4" w:space="0" w:color="auto"/>
              <w:left w:val="nil"/>
              <w:bottom w:val="single" w:sz="4" w:space="0" w:color="auto"/>
              <w:right w:val="single" w:sz="4" w:space="0" w:color="auto"/>
            </w:tcBorders>
            <w:shd w:val="clear" w:color="auto" w:fill="auto"/>
          </w:tcPr>
          <w:p w14:paraId="6350B774" w14:textId="77777777" w:rsidR="000A7DF2" w:rsidRPr="00234CBB" w:rsidRDefault="000A7DF2" w:rsidP="00271111">
            <w:pPr>
              <w:pStyle w:val="Tabletext"/>
              <w:rPr>
                <w:lang w:val="en-US"/>
              </w:rPr>
            </w:pPr>
            <w:r w:rsidRPr="00234CBB">
              <w:rPr>
                <w:lang w:val="en-US"/>
              </w:rPr>
              <w:t>Operational cost/year of business process element for handling TAP file, billing for roaming subscriber and making international payment</w:t>
            </w:r>
          </w:p>
        </w:tc>
        <w:tc>
          <w:tcPr>
            <w:tcW w:w="1995" w:type="dxa"/>
            <w:tcBorders>
              <w:top w:val="single" w:sz="4" w:space="0" w:color="auto"/>
              <w:left w:val="nil"/>
              <w:bottom w:val="single" w:sz="4" w:space="0" w:color="auto"/>
              <w:right w:val="single" w:sz="4" w:space="0" w:color="auto"/>
            </w:tcBorders>
            <w:shd w:val="clear" w:color="auto" w:fill="auto"/>
            <w:noWrap/>
          </w:tcPr>
          <w:p w14:paraId="2A9AD4F4" w14:textId="77777777" w:rsidR="000A7DF2" w:rsidRPr="00406208" w:rsidRDefault="000A7DF2" w:rsidP="00271111">
            <w:pPr>
              <w:pStyle w:val="Tabletext"/>
              <w:rPr>
                <w:sz w:val="18"/>
              </w:rPr>
            </w:pPr>
            <w:r w:rsidRPr="00406208">
              <w:rPr>
                <w:sz w:val="18"/>
              </w:rPr>
              <w:t>currency (USD)</w:t>
            </w:r>
          </w:p>
        </w:tc>
      </w:tr>
      <w:tr w:rsidR="000A7DF2" w:rsidRPr="002B326F" w14:paraId="265A39F4" w14:textId="77777777">
        <w:trPr>
          <w:trHeight w:val="300"/>
        </w:trPr>
        <w:tc>
          <w:tcPr>
            <w:tcW w:w="1144" w:type="dxa"/>
            <w:tcBorders>
              <w:top w:val="nil"/>
              <w:left w:val="single" w:sz="4" w:space="0" w:color="auto"/>
              <w:bottom w:val="single" w:sz="4" w:space="0" w:color="auto"/>
              <w:right w:val="single" w:sz="4" w:space="0" w:color="auto"/>
            </w:tcBorders>
            <w:shd w:val="clear" w:color="auto" w:fill="auto"/>
            <w:noWrap/>
          </w:tcPr>
          <w:p w14:paraId="3CAFFB37" w14:textId="77777777" w:rsidR="000A7DF2" w:rsidRPr="002B326F" w:rsidRDefault="000A7DF2" w:rsidP="00271111">
            <w:pPr>
              <w:pStyle w:val="Tabletext"/>
            </w:pPr>
            <w:r w:rsidRPr="002B326F">
              <w:t>A3</w:t>
            </w:r>
          </w:p>
        </w:tc>
        <w:tc>
          <w:tcPr>
            <w:tcW w:w="6237" w:type="dxa"/>
            <w:tcBorders>
              <w:top w:val="nil"/>
              <w:left w:val="nil"/>
              <w:bottom w:val="single" w:sz="4" w:space="0" w:color="auto"/>
              <w:right w:val="single" w:sz="4" w:space="0" w:color="auto"/>
            </w:tcBorders>
            <w:shd w:val="clear" w:color="auto" w:fill="auto"/>
            <w:noWrap/>
          </w:tcPr>
          <w:p w14:paraId="4645379C" w14:textId="77777777" w:rsidR="000A7DF2" w:rsidRPr="00234CBB" w:rsidRDefault="000A7DF2" w:rsidP="00271111">
            <w:pPr>
              <w:pStyle w:val="Tabletext"/>
              <w:rPr>
                <w:lang w:val="en-US"/>
              </w:rPr>
            </w:pPr>
            <w:r w:rsidRPr="00234CBB">
              <w:rPr>
                <w:lang w:val="en-US"/>
              </w:rPr>
              <w:t>Maintenance and support for core network, cost/year</w:t>
            </w:r>
          </w:p>
        </w:tc>
        <w:tc>
          <w:tcPr>
            <w:tcW w:w="1995" w:type="dxa"/>
            <w:tcBorders>
              <w:top w:val="nil"/>
              <w:left w:val="nil"/>
              <w:bottom w:val="single" w:sz="4" w:space="0" w:color="auto"/>
              <w:right w:val="single" w:sz="4" w:space="0" w:color="auto"/>
            </w:tcBorders>
            <w:shd w:val="clear" w:color="auto" w:fill="auto"/>
            <w:noWrap/>
          </w:tcPr>
          <w:p w14:paraId="68733236" w14:textId="77777777" w:rsidR="000A7DF2" w:rsidRPr="00406208" w:rsidRDefault="000A7DF2" w:rsidP="00271111">
            <w:pPr>
              <w:pStyle w:val="Tabletext"/>
              <w:rPr>
                <w:sz w:val="18"/>
              </w:rPr>
            </w:pPr>
            <w:r w:rsidRPr="00406208">
              <w:rPr>
                <w:sz w:val="18"/>
              </w:rPr>
              <w:t>currency (USD)</w:t>
            </w:r>
          </w:p>
        </w:tc>
      </w:tr>
      <w:tr w:rsidR="000A7DF2" w:rsidRPr="002B326F" w14:paraId="5BC73366" w14:textId="77777777">
        <w:trPr>
          <w:trHeight w:val="345"/>
        </w:trPr>
        <w:tc>
          <w:tcPr>
            <w:tcW w:w="1144" w:type="dxa"/>
            <w:tcBorders>
              <w:top w:val="nil"/>
              <w:left w:val="single" w:sz="4" w:space="0" w:color="auto"/>
              <w:bottom w:val="single" w:sz="4" w:space="0" w:color="auto"/>
              <w:right w:val="single" w:sz="4" w:space="0" w:color="auto"/>
            </w:tcBorders>
            <w:shd w:val="clear" w:color="auto" w:fill="auto"/>
            <w:noWrap/>
          </w:tcPr>
          <w:p w14:paraId="6E6E148A" w14:textId="77777777" w:rsidR="000A7DF2" w:rsidRPr="002B326F" w:rsidRDefault="000A7DF2" w:rsidP="00271111">
            <w:pPr>
              <w:pStyle w:val="Tabletext"/>
            </w:pPr>
            <w:r w:rsidRPr="002B326F">
              <w:t>A4</w:t>
            </w:r>
          </w:p>
        </w:tc>
        <w:tc>
          <w:tcPr>
            <w:tcW w:w="6237" w:type="dxa"/>
            <w:tcBorders>
              <w:top w:val="nil"/>
              <w:left w:val="nil"/>
              <w:bottom w:val="single" w:sz="4" w:space="0" w:color="auto"/>
              <w:right w:val="single" w:sz="4" w:space="0" w:color="auto"/>
            </w:tcBorders>
            <w:shd w:val="clear" w:color="auto" w:fill="auto"/>
            <w:noWrap/>
          </w:tcPr>
          <w:p w14:paraId="1016D63E" w14:textId="77777777" w:rsidR="000A7DF2" w:rsidRPr="00234CBB" w:rsidRDefault="000A7DF2" w:rsidP="00271111">
            <w:pPr>
              <w:pStyle w:val="Tabletext"/>
              <w:rPr>
                <w:lang w:val="en-US"/>
              </w:rPr>
            </w:pPr>
            <w:r w:rsidRPr="00234CBB">
              <w:rPr>
                <w:lang w:val="en-US"/>
              </w:rPr>
              <w:t>Maintenance and support for RAN, cost/ year</w:t>
            </w:r>
          </w:p>
        </w:tc>
        <w:tc>
          <w:tcPr>
            <w:tcW w:w="1995" w:type="dxa"/>
            <w:tcBorders>
              <w:top w:val="nil"/>
              <w:left w:val="nil"/>
              <w:bottom w:val="single" w:sz="4" w:space="0" w:color="auto"/>
              <w:right w:val="single" w:sz="4" w:space="0" w:color="auto"/>
            </w:tcBorders>
            <w:shd w:val="clear" w:color="auto" w:fill="auto"/>
            <w:noWrap/>
          </w:tcPr>
          <w:p w14:paraId="5725AF69" w14:textId="77777777" w:rsidR="000A7DF2" w:rsidRPr="00406208" w:rsidRDefault="000A7DF2" w:rsidP="00271111">
            <w:pPr>
              <w:pStyle w:val="Tabletext"/>
              <w:rPr>
                <w:sz w:val="18"/>
              </w:rPr>
            </w:pPr>
            <w:r w:rsidRPr="00406208">
              <w:rPr>
                <w:sz w:val="18"/>
              </w:rPr>
              <w:t>currency (USD)</w:t>
            </w:r>
          </w:p>
        </w:tc>
      </w:tr>
      <w:tr w:rsidR="000A7DF2" w:rsidRPr="002B326F" w14:paraId="063F18BA" w14:textId="77777777">
        <w:trPr>
          <w:trHeight w:val="510"/>
        </w:trPr>
        <w:tc>
          <w:tcPr>
            <w:tcW w:w="1144" w:type="dxa"/>
            <w:tcBorders>
              <w:top w:val="nil"/>
              <w:left w:val="single" w:sz="4" w:space="0" w:color="auto"/>
              <w:bottom w:val="single" w:sz="4" w:space="0" w:color="auto"/>
              <w:right w:val="single" w:sz="4" w:space="0" w:color="auto"/>
            </w:tcBorders>
            <w:shd w:val="clear" w:color="auto" w:fill="auto"/>
            <w:noWrap/>
          </w:tcPr>
          <w:p w14:paraId="040BAB3F" w14:textId="77777777" w:rsidR="000A7DF2" w:rsidRPr="002B326F" w:rsidRDefault="000A7DF2" w:rsidP="00271111">
            <w:pPr>
              <w:pStyle w:val="Tabletext"/>
            </w:pPr>
            <w:r w:rsidRPr="002B326F">
              <w:t>B1</w:t>
            </w:r>
          </w:p>
        </w:tc>
        <w:tc>
          <w:tcPr>
            <w:tcW w:w="6237" w:type="dxa"/>
            <w:tcBorders>
              <w:top w:val="nil"/>
              <w:left w:val="nil"/>
              <w:bottom w:val="single" w:sz="4" w:space="0" w:color="auto"/>
              <w:right w:val="single" w:sz="4" w:space="0" w:color="auto"/>
            </w:tcBorders>
            <w:shd w:val="clear" w:color="auto" w:fill="auto"/>
            <w:noWrap/>
          </w:tcPr>
          <w:p w14:paraId="4EB54589" w14:textId="77777777" w:rsidR="000A7DF2" w:rsidRPr="00234CBB" w:rsidRDefault="000A7DF2" w:rsidP="00271111">
            <w:pPr>
              <w:pStyle w:val="Tabletext"/>
              <w:rPr>
                <w:lang w:val="en-US"/>
              </w:rPr>
            </w:pPr>
            <w:r w:rsidRPr="00234CBB">
              <w:rPr>
                <w:lang w:val="en-US"/>
              </w:rPr>
              <w:t>Operational cost/year of billing transactions to charge a roaming subscriber</w:t>
            </w:r>
          </w:p>
        </w:tc>
        <w:tc>
          <w:tcPr>
            <w:tcW w:w="1995" w:type="dxa"/>
            <w:tcBorders>
              <w:top w:val="nil"/>
              <w:left w:val="nil"/>
              <w:bottom w:val="single" w:sz="4" w:space="0" w:color="auto"/>
              <w:right w:val="single" w:sz="4" w:space="0" w:color="auto"/>
            </w:tcBorders>
            <w:shd w:val="clear" w:color="auto" w:fill="auto"/>
            <w:noWrap/>
          </w:tcPr>
          <w:p w14:paraId="1B3974B6" w14:textId="77777777" w:rsidR="000A7DF2" w:rsidRPr="00406208" w:rsidRDefault="000A7DF2" w:rsidP="00271111">
            <w:pPr>
              <w:pStyle w:val="Tabletext"/>
              <w:rPr>
                <w:sz w:val="18"/>
              </w:rPr>
            </w:pPr>
            <w:r w:rsidRPr="00406208">
              <w:rPr>
                <w:sz w:val="18"/>
              </w:rPr>
              <w:t>currency (USD)</w:t>
            </w:r>
          </w:p>
        </w:tc>
      </w:tr>
      <w:tr w:rsidR="000A7DF2" w:rsidRPr="002B326F" w14:paraId="2EECF0CF" w14:textId="77777777">
        <w:trPr>
          <w:trHeight w:val="255"/>
        </w:trPr>
        <w:tc>
          <w:tcPr>
            <w:tcW w:w="1144" w:type="dxa"/>
            <w:tcBorders>
              <w:top w:val="nil"/>
              <w:left w:val="single" w:sz="4" w:space="0" w:color="auto"/>
              <w:bottom w:val="single" w:sz="4" w:space="0" w:color="auto"/>
              <w:right w:val="single" w:sz="4" w:space="0" w:color="auto"/>
            </w:tcBorders>
            <w:shd w:val="clear" w:color="auto" w:fill="auto"/>
            <w:noWrap/>
          </w:tcPr>
          <w:p w14:paraId="3DA44A4C" w14:textId="77777777" w:rsidR="000A7DF2" w:rsidRPr="002B326F" w:rsidRDefault="000A7DF2" w:rsidP="00271111">
            <w:pPr>
              <w:pStyle w:val="Tabletext"/>
            </w:pPr>
            <w:r w:rsidRPr="002B326F">
              <w:t>B2</w:t>
            </w:r>
          </w:p>
        </w:tc>
        <w:tc>
          <w:tcPr>
            <w:tcW w:w="6237" w:type="dxa"/>
            <w:tcBorders>
              <w:top w:val="nil"/>
              <w:left w:val="nil"/>
              <w:bottom w:val="single" w:sz="4" w:space="0" w:color="auto"/>
              <w:right w:val="single" w:sz="4" w:space="0" w:color="auto"/>
            </w:tcBorders>
            <w:shd w:val="clear" w:color="auto" w:fill="auto"/>
            <w:noWrap/>
          </w:tcPr>
          <w:p w14:paraId="62C31E53" w14:textId="77777777" w:rsidR="000A7DF2" w:rsidRPr="00234CBB" w:rsidRDefault="000A7DF2" w:rsidP="00271111">
            <w:pPr>
              <w:pStyle w:val="Tabletext"/>
              <w:rPr>
                <w:lang w:val="en-US"/>
              </w:rPr>
            </w:pPr>
            <w:r w:rsidRPr="00234CBB">
              <w:rPr>
                <w:lang w:val="en-US"/>
              </w:rPr>
              <w:t>Cost/year of CDR collection, management and rating</w:t>
            </w:r>
          </w:p>
        </w:tc>
        <w:tc>
          <w:tcPr>
            <w:tcW w:w="1995" w:type="dxa"/>
            <w:tcBorders>
              <w:top w:val="nil"/>
              <w:left w:val="nil"/>
              <w:bottom w:val="single" w:sz="4" w:space="0" w:color="auto"/>
              <w:right w:val="single" w:sz="4" w:space="0" w:color="auto"/>
            </w:tcBorders>
            <w:shd w:val="clear" w:color="auto" w:fill="auto"/>
            <w:noWrap/>
          </w:tcPr>
          <w:p w14:paraId="726F3263" w14:textId="77777777" w:rsidR="000A7DF2" w:rsidRPr="00406208" w:rsidRDefault="000A7DF2" w:rsidP="00271111">
            <w:pPr>
              <w:pStyle w:val="Tabletext"/>
              <w:rPr>
                <w:sz w:val="18"/>
              </w:rPr>
            </w:pPr>
            <w:r w:rsidRPr="00406208">
              <w:rPr>
                <w:sz w:val="18"/>
              </w:rPr>
              <w:t>currency (USD)</w:t>
            </w:r>
          </w:p>
        </w:tc>
      </w:tr>
      <w:tr w:rsidR="000A7DF2" w:rsidRPr="002B326F" w14:paraId="258EE891" w14:textId="77777777">
        <w:trPr>
          <w:trHeight w:val="607"/>
        </w:trPr>
        <w:tc>
          <w:tcPr>
            <w:tcW w:w="1144" w:type="dxa"/>
            <w:tcBorders>
              <w:top w:val="nil"/>
              <w:left w:val="single" w:sz="4" w:space="0" w:color="auto"/>
              <w:bottom w:val="single" w:sz="4" w:space="0" w:color="auto"/>
              <w:right w:val="single" w:sz="4" w:space="0" w:color="auto"/>
            </w:tcBorders>
            <w:shd w:val="clear" w:color="auto" w:fill="auto"/>
            <w:noWrap/>
          </w:tcPr>
          <w:p w14:paraId="52DEFDF4" w14:textId="77777777" w:rsidR="000A7DF2" w:rsidRPr="002B326F" w:rsidRDefault="000A7DF2" w:rsidP="00271111">
            <w:pPr>
              <w:pStyle w:val="Tabletext"/>
            </w:pPr>
            <w:r w:rsidRPr="002B326F">
              <w:t>BT1</w:t>
            </w:r>
          </w:p>
        </w:tc>
        <w:tc>
          <w:tcPr>
            <w:tcW w:w="6237" w:type="dxa"/>
            <w:tcBorders>
              <w:top w:val="nil"/>
              <w:left w:val="nil"/>
              <w:bottom w:val="single" w:sz="4" w:space="0" w:color="auto"/>
              <w:right w:val="single" w:sz="4" w:space="0" w:color="auto"/>
            </w:tcBorders>
            <w:shd w:val="clear" w:color="auto" w:fill="auto"/>
            <w:noWrap/>
          </w:tcPr>
          <w:p w14:paraId="4FC161CA" w14:textId="77777777" w:rsidR="000A7DF2" w:rsidRPr="00234CBB" w:rsidRDefault="000A7DF2" w:rsidP="00271111">
            <w:pPr>
              <w:pStyle w:val="Tabletext"/>
              <w:rPr>
                <w:lang w:val="en-US"/>
              </w:rPr>
            </w:pPr>
            <w:r w:rsidRPr="00234CBB">
              <w:rPr>
                <w:lang w:val="en-US"/>
              </w:rPr>
              <w:t>Operational cost/year of handling received TAP file with billing system</w:t>
            </w:r>
          </w:p>
        </w:tc>
        <w:tc>
          <w:tcPr>
            <w:tcW w:w="1995" w:type="dxa"/>
            <w:tcBorders>
              <w:top w:val="nil"/>
              <w:left w:val="nil"/>
              <w:bottom w:val="single" w:sz="4" w:space="0" w:color="auto"/>
              <w:right w:val="single" w:sz="4" w:space="0" w:color="auto"/>
            </w:tcBorders>
            <w:shd w:val="clear" w:color="auto" w:fill="auto"/>
            <w:noWrap/>
          </w:tcPr>
          <w:p w14:paraId="48D16EA7" w14:textId="77777777" w:rsidR="000A7DF2" w:rsidRPr="00406208" w:rsidRDefault="000A7DF2" w:rsidP="00271111">
            <w:pPr>
              <w:pStyle w:val="Tabletext"/>
              <w:rPr>
                <w:sz w:val="18"/>
              </w:rPr>
            </w:pPr>
            <w:r w:rsidRPr="00406208">
              <w:rPr>
                <w:sz w:val="18"/>
              </w:rPr>
              <w:t>currency (USD)</w:t>
            </w:r>
          </w:p>
        </w:tc>
      </w:tr>
    </w:tbl>
    <w:p w14:paraId="767CCBBA" w14:textId="77777777" w:rsidR="00C03C87" w:rsidRDefault="00C03C87">
      <w:pPr>
        <w:rPr>
          <w:bCs/>
        </w:rPr>
      </w:pPr>
      <w:r>
        <w:rPr>
          <w:bCs/>
        </w:rPr>
        <w:br w:type="page"/>
      </w:r>
    </w:p>
    <w:tbl>
      <w:tblPr>
        <w:tblW w:w="9366" w:type="dxa"/>
        <w:tblInd w:w="98" w:type="dxa"/>
        <w:tblLook w:val="0000" w:firstRow="0" w:lastRow="0" w:firstColumn="0" w:lastColumn="0" w:noHBand="0" w:noVBand="0"/>
      </w:tblPr>
      <w:tblGrid>
        <w:gridCol w:w="1286"/>
        <w:gridCol w:w="6237"/>
        <w:gridCol w:w="1843"/>
      </w:tblGrid>
      <w:tr w:rsidR="00C03C87" w:rsidRPr="002B326F" w14:paraId="298A7D28" w14:textId="77777777">
        <w:trPr>
          <w:trHeight w:val="300"/>
        </w:trPr>
        <w:tc>
          <w:tcPr>
            <w:tcW w:w="9366" w:type="dxa"/>
            <w:gridSpan w:val="3"/>
            <w:tcBorders>
              <w:top w:val="single" w:sz="4" w:space="0" w:color="auto"/>
              <w:left w:val="single" w:sz="4" w:space="0" w:color="auto"/>
              <w:bottom w:val="single" w:sz="4" w:space="0" w:color="auto"/>
              <w:right w:val="single" w:sz="4" w:space="0" w:color="auto"/>
            </w:tcBorders>
            <w:shd w:val="clear" w:color="auto" w:fill="auto"/>
            <w:noWrap/>
          </w:tcPr>
          <w:p w14:paraId="2CA0A298" w14:textId="77777777" w:rsidR="00C03C87" w:rsidRPr="00C11AEA" w:rsidRDefault="00C03C87" w:rsidP="006E2CC6">
            <w:pPr>
              <w:pStyle w:val="Tablehead"/>
              <w:jc w:val="left"/>
            </w:pPr>
            <w:r w:rsidRPr="00C11AEA">
              <w:lastRenderedPageBreak/>
              <w:t>Home</w:t>
            </w:r>
            <w:r>
              <w:t xml:space="preserve"> </w:t>
            </w:r>
            <w:r w:rsidRPr="00C11AEA">
              <w:t>network</w:t>
            </w:r>
          </w:p>
        </w:tc>
      </w:tr>
      <w:tr w:rsidR="00C03C87" w:rsidRPr="002B326F" w14:paraId="4CDD5D46" w14:textId="77777777">
        <w:trPr>
          <w:trHeight w:val="300"/>
        </w:trPr>
        <w:tc>
          <w:tcPr>
            <w:tcW w:w="1286" w:type="dxa"/>
            <w:tcBorders>
              <w:top w:val="nil"/>
              <w:left w:val="single" w:sz="4" w:space="0" w:color="auto"/>
              <w:bottom w:val="single" w:sz="4" w:space="0" w:color="auto"/>
              <w:right w:val="single" w:sz="4" w:space="0" w:color="auto"/>
            </w:tcBorders>
            <w:shd w:val="clear" w:color="auto" w:fill="E7E6E6"/>
            <w:noWrap/>
          </w:tcPr>
          <w:p w14:paraId="40F03C80" w14:textId="77777777" w:rsidR="00C03C87" w:rsidRPr="002B326F" w:rsidRDefault="00C03C87" w:rsidP="006E2CC6">
            <w:pPr>
              <w:pStyle w:val="Tablehead"/>
              <w:rPr>
                <w:sz w:val="20"/>
                <w:szCs w:val="20"/>
                <w:lang w:eastAsia="ja-JP"/>
              </w:rPr>
            </w:pPr>
            <w:r w:rsidRPr="001D60F0">
              <w:t>Short code</w:t>
            </w:r>
          </w:p>
        </w:tc>
        <w:tc>
          <w:tcPr>
            <w:tcW w:w="6237" w:type="dxa"/>
            <w:tcBorders>
              <w:top w:val="single" w:sz="4" w:space="0" w:color="auto"/>
              <w:left w:val="nil"/>
              <w:bottom w:val="single" w:sz="4" w:space="0" w:color="auto"/>
              <w:right w:val="single" w:sz="4" w:space="0" w:color="auto"/>
            </w:tcBorders>
            <w:shd w:val="clear" w:color="auto" w:fill="E7E6E6"/>
            <w:noWrap/>
          </w:tcPr>
          <w:p w14:paraId="5B4DD397" w14:textId="77777777" w:rsidR="00C03C87" w:rsidRPr="002B326F" w:rsidRDefault="00C03C87" w:rsidP="006E2CC6">
            <w:pPr>
              <w:pStyle w:val="Tablehead"/>
              <w:rPr>
                <w:sz w:val="20"/>
                <w:szCs w:val="20"/>
                <w:lang w:eastAsia="ja-JP"/>
              </w:rPr>
            </w:pPr>
            <w:r w:rsidRPr="002B326F">
              <w:rPr>
                <w:sz w:val="20"/>
                <w:szCs w:val="20"/>
                <w:lang w:eastAsia="ja-JP"/>
              </w:rPr>
              <w:t>Parameter description</w:t>
            </w:r>
          </w:p>
        </w:tc>
        <w:tc>
          <w:tcPr>
            <w:tcW w:w="1843" w:type="dxa"/>
            <w:tcBorders>
              <w:top w:val="single" w:sz="4" w:space="0" w:color="auto"/>
              <w:left w:val="nil"/>
              <w:bottom w:val="single" w:sz="4" w:space="0" w:color="auto"/>
              <w:right w:val="single" w:sz="4" w:space="0" w:color="auto"/>
            </w:tcBorders>
            <w:shd w:val="clear" w:color="auto" w:fill="E7E6E6"/>
            <w:noWrap/>
          </w:tcPr>
          <w:p w14:paraId="53BB2092" w14:textId="77777777" w:rsidR="00C03C87" w:rsidRPr="00406208" w:rsidRDefault="00C03C87" w:rsidP="006E2CC6">
            <w:pPr>
              <w:pStyle w:val="Tablehead"/>
              <w:rPr>
                <w:sz w:val="18"/>
                <w:szCs w:val="18"/>
                <w:lang w:eastAsia="ja-JP"/>
              </w:rPr>
            </w:pPr>
            <w:r w:rsidRPr="001D60F0">
              <w:rPr>
                <w:sz w:val="18"/>
                <w:szCs w:val="18"/>
                <w:lang w:eastAsia="ja-JP"/>
              </w:rPr>
              <w:t>Unit</w:t>
            </w:r>
          </w:p>
        </w:tc>
      </w:tr>
      <w:tr w:rsidR="000A7DF2" w:rsidRPr="002B326F" w14:paraId="2956F333" w14:textId="77777777">
        <w:trPr>
          <w:trHeight w:val="510"/>
        </w:trPr>
        <w:tc>
          <w:tcPr>
            <w:tcW w:w="1286" w:type="dxa"/>
            <w:tcBorders>
              <w:top w:val="nil"/>
              <w:left w:val="single" w:sz="4" w:space="0" w:color="auto"/>
              <w:bottom w:val="single" w:sz="4" w:space="0" w:color="auto"/>
              <w:right w:val="single" w:sz="4" w:space="0" w:color="auto"/>
            </w:tcBorders>
            <w:shd w:val="clear" w:color="auto" w:fill="auto"/>
            <w:noWrap/>
          </w:tcPr>
          <w:p w14:paraId="63503745" w14:textId="77777777" w:rsidR="000A7DF2" w:rsidRPr="002B326F" w:rsidRDefault="000A7DF2" w:rsidP="00271111">
            <w:pPr>
              <w:pStyle w:val="Tabletext"/>
            </w:pPr>
            <w:r w:rsidRPr="002B326F">
              <w:t>ID1</w:t>
            </w:r>
          </w:p>
        </w:tc>
        <w:tc>
          <w:tcPr>
            <w:tcW w:w="6237" w:type="dxa"/>
            <w:tcBorders>
              <w:top w:val="nil"/>
              <w:left w:val="nil"/>
              <w:bottom w:val="single" w:sz="4" w:space="0" w:color="auto"/>
              <w:right w:val="single" w:sz="4" w:space="0" w:color="auto"/>
            </w:tcBorders>
            <w:shd w:val="clear" w:color="auto" w:fill="auto"/>
          </w:tcPr>
          <w:p w14:paraId="1765410A" w14:textId="77777777" w:rsidR="000A7DF2" w:rsidRPr="00234CBB" w:rsidRDefault="000A7DF2" w:rsidP="00271111">
            <w:pPr>
              <w:pStyle w:val="Tabletext"/>
              <w:rPr>
                <w:lang w:val="en-US"/>
              </w:rPr>
            </w:pPr>
            <w:r w:rsidRPr="00234CBB">
              <w:rPr>
                <w:lang w:val="en-US"/>
              </w:rPr>
              <w:t>Cost/year to Verify identification of caller for roaming, authorise, prepaid limits or post-paid limit</w:t>
            </w:r>
          </w:p>
        </w:tc>
        <w:tc>
          <w:tcPr>
            <w:tcW w:w="1843" w:type="dxa"/>
            <w:tcBorders>
              <w:top w:val="nil"/>
              <w:left w:val="nil"/>
              <w:bottom w:val="single" w:sz="4" w:space="0" w:color="auto"/>
              <w:right w:val="single" w:sz="4" w:space="0" w:color="auto"/>
            </w:tcBorders>
            <w:shd w:val="clear" w:color="auto" w:fill="auto"/>
            <w:noWrap/>
          </w:tcPr>
          <w:p w14:paraId="227CD07C" w14:textId="77777777" w:rsidR="000A7DF2" w:rsidRPr="00406208" w:rsidRDefault="000A7DF2" w:rsidP="00271111">
            <w:pPr>
              <w:pStyle w:val="Tabletext"/>
              <w:rPr>
                <w:sz w:val="18"/>
              </w:rPr>
            </w:pPr>
            <w:r w:rsidRPr="00406208">
              <w:rPr>
                <w:sz w:val="18"/>
              </w:rPr>
              <w:t>currency (USD)</w:t>
            </w:r>
          </w:p>
        </w:tc>
      </w:tr>
      <w:tr w:rsidR="000A7DF2" w:rsidRPr="002B326F" w14:paraId="6CC47D75" w14:textId="77777777">
        <w:trPr>
          <w:trHeight w:val="300"/>
        </w:trPr>
        <w:tc>
          <w:tcPr>
            <w:tcW w:w="1286" w:type="dxa"/>
            <w:tcBorders>
              <w:top w:val="nil"/>
              <w:left w:val="single" w:sz="4" w:space="0" w:color="auto"/>
              <w:bottom w:val="single" w:sz="4" w:space="0" w:color="auto"/>
              <w:right w:val="single" w:sz="4" w:space="0" w:color="auto"/>
            </w:tcBorders>
            <w:shd w:val="clear" w:color="auto" w:fill="auto"/>
            <w:noWrap/>
          </w:tcPr>
          <w:p w14:paraId="07BCB051" w14:textId="77777777" w:rsidR="000A7DF2" w:rsidRPr="002B326F" w:rsidRDefault="000A7DF2" w:rsidP="00271111">
            <w:pPr>
              <w:pStyle w:val="Tabletext"/>
            </w:pPr>
            <w:r w:rsidRPr="002B326F">
              <w:t>BCAM1</w:t>
            </w:r>
          </w:p>
        </w:tc>
        <w:tc>
          <w:tcPr>
            <w:tcW w:w="6237" w:type="dxa"/>
            <w:tcBorders>
              <w:top w:val="nil"/>
              <w:left w:val="nil"/>
              <w:bottom w:val="single" w:sz="4" w:space="0" w:color="auto"/>
              <w:right w:val="single" w:sz="4" w:space="0" w:color="auto"/>
            </w:tcBorders>
            <w:shd w:val="clear" w:color="auto" w:fill="auto"/>
            <w:noWrap/>
          </w:tcPr>
          <w:p w14:paraId="6CC4BD29" w14:textId="77777777" w:rsidR="000A7DF2" w:rsidRPr="00234CBB" w:rsidRDefault="000A7DF2" w:rsidP="00271111">
            <w:pPr>
              <w:pStyle w:val="Tabletext"/>
              <w:rPr>
                <w:lang w:val="en-US"/>
              </w:rPr>
            </w:pPr>
            <w:r w:rsidRPr="00234CBB">
              <w:rPr>
                <w:lang w:val="en-US"/>
              </w:rPr>
              <w:t>Business process cost/year for CAMEL applications</w:t>
            </w:r>
          </w:p>
        </w:tc>
        <w:tc>
          <w:tcPr>
            <w:tcW w:w="1843" w:type="dxa"/>
            <w:tcBorders>
              <w:top w:val="nil"/>
              <w:left w:val="nil"/>
              <w:bottom w:val="single" w:sz="4" w:space="0" w:color="auto"/>
              <w:right w:val="single" w:sz="4" w:space="0" w:color="auto"/>
            </w:tcBorders>
            <w:shd w:val="clear" w:color="auto" w:fill="auto"/>
            <w:noWrap/>
          </w:tcPr>
          <w:p w14:paraId="5299AE67" w14:textId="77777777" w:rsidR="000A7DF2" w:rsidRPr="00406208" w:rsidRDefault="000A7DF2" w:rsidP="00271111">
            <w:pPr>
              <w:pStyle w:val="Tabletext"/>
              <w:rPr>
                <w:sz w:val="18"/>
              </w:rPr>
            </w:pPr>
            <w:r w:rsidRPr="00406208">
              <w:rPr>
                <w:sz w:val="18"/>
              </w:rPr>
              <w:t>currency (USD)</w:t>
            </w:r>
          </w:p>
        </w:tc>
      </w:tr>
      <w:tr w:rsidR="000A7DF2" w:rsidRPr="002B326F" w14:paraId="72AC6481" w14:textId="77777777">
        <w:trPr>
          <w:trHeight w:val="300"/>
        </w:trPr>
        <w:tc>
          <w:tcPr>
            <w:tcW w:w="1286" w:type="dxa"/>
            <w:tcBorders>
              <w:top w:val="nil"/>
              <w:left w:val="single" w:sz="4" w:space="0" w:color="auto"/>
              <w:bottom w:val="single" w:sz="4" w:space="0" w:color="auto"/>
              <w:right w:val="single" w:sz="4" w:space="0" w:color="auto"/>
            </w:tcBorders>
            <w:shd w:val="clear" w:color="auto" w:fill="auto"/>
            <w:noWrap/>
            <w:vAlign w:val="bottom"/>
          </w:tcPr>
          <w:p w14:paraId="490DDBC1" w14:textId="77777777" w:rsidR="000A7DF2" w:rsidRPr="002B326F" w:rsidRDefault="000A7DF2" w:rsidP="00271111">
            <w:pPr>
              <w:pStyle w:val="Tabletext"/>
            </w:pPr>
            <w:r w:rsidRPr="002B326F">
              <w:t>Neg1</w:t>
            </w:r>
          </w:p>
        </w:tc>
        <w:tc>
          <w:tcPr>
            <w:tcW w:w="6237" w:type="dxa"/>
            <w:tcBorders>
              <w:top w:val="nil"/>
              <w:left w:val="nil"/>
              <w:bottom w:val="single" w:sz="4" w:space="0" w:color="auto"/>
              <w:right w:val="single" w:sz="4" w:space="0" w:color="auto"/>
            </w:tcBorders>
            <w:shd w:val="clear" w:color="auto" w:fill="auto"/>
            <w:noWrap/>
            <w:vAlign w:val="bottom"/>
          </w:tcPr>
          <w:p w14:paraId="33B44478" w14:textId="77777777" w:rsidR="000A7DF2" w:rsidRPr="00234CBB" w:rsidRDefault="000A7DF2" w:rsidP="00271111">
            <w:pPr>
              <w:pStyle w:val="Tabletext"/>
              <w:rPr>
                <w:lang w:val="en-US"/>
              </w:rPr>
            </w:pPr>
            <w:r w:rsidRPr="00234CBB">
              <w:rPr>
                <w:lang w:val="en-US"/>
              </w:rPr>
              <w:t>Cost of inter operator negotiations (one-time)</w:t>
            </w:r>
          </w:p>
        </w:tc>
        <w:tc>
          <w:tcPr>
            <w:tcW w:w="1843" w:type="dxa"/>
            <w:tcBorders>
              <w:top w:val="nil"/>
              <w:left w:val="nil"/>
              <w:bottom w:val="single" w:sz="4" w:space="0" w:color="auto"/>
              <w:right w:val="single" w:sz="4" w:space="0" w:color="auto"/>
            </w:tcBorders>
            <w:shd w:val="clear" w:color="auto" w:fill="auto"/>
            <w:noWrap/>
          </w:tcPr>
          <w:p w14:paraId="25B382C4" w14:textId="77777777" w:rsidR="000A7DF2" w:rsidRPr="00406208" w:rsidRDefault="000A7DF2" w:rsidP="00271111">
            <w:pPr>
              <w:pStyle w:val="Tabletext"/>
              <w:rPr>
                <w:sz w:val="18"/>
              </w:rPr>
            </w:pPr>
            <w:r w:rsidRPr="00406208">
              <w:rPr>
                <w:sz w:val="18"/>
              </w:rPr>
              <w:t>currency (USD)</w:t>
            </w:r>
          </w:p>
        </w:tc>
      </w:tr>
    </w:tbl>
    <w:p w14:paraId="5A9897C1" w14:textId="77777777" w:rsidR="00C03C87" w:rsidRDefault="00C03C87"/>
    <w:tbl>
      <w:tblPr>
        <w:tblW w:w="9375" w:type="dxa"/>
        <w:tblInd w:w="98" w:type="dxa"/>
        <w:tblLook w:val="0000" w:firstRow="0" w:lastRow="0" w:firstColumn="0" w:lastColumn="0" w:noHBand="0" w:noVBand="0"/>
      </w:tblPr>
      <w:tblGrid>
        <w:gridCol w:w="1286"/>
        <w:gridCol w:w="6241"/>
        <w:gridCol w:w="1848"/>
      </w:tblGrid>
      <w:tr w:rsidR="000A7DF2" w:rsidRPr="002B326F" w14:paraId="23A84B7B" w14:textId="77777777">
        <w:trPr>
          <w:trHeight w:val="390"/>
        </w:trPr>
        <w:tc>
          <w:tcPr>
            <w:tcW w:w="9375" w:type="dxa"/>
            <w:gridSpan w:val="3"/>
            <w:tcBorders>
              <w:top w:val="single" w:sz="4" w:space="0" w:color="auto"/>
              <w:left w:val="single" w:sz="4" w:space="0" w:color="auto"/>
              <w:bottom w:val="single" w:sz="4" w:space="0" w:color="auto"/>
              <w:right w:val="single" w:sz="4" w:space="0" w:color="auto"/>
            </w:tcBorders>
            <w:shd w:val="clear" w:color="auto" w:fill="auto"/>
            <w:noWrap/>
          </w:tcPr>
          <w:p w14:paraId="2B02C0B9" w14:textId="77777777" w:rsidR="000A7DF2" w:rsidRPr="00C03C87" w:rsidRDefault="000A7DF2" w:rsidP="00C03C87">
            <w:pPr>
              <w:pStyle w:val="Tablehead"/>
              <w:jc w:val="left"/>
            </w:pPr>
            <w:r w:rsidRPr="00C03C87">
              <w:t> Visited network </w:t>
            </w:r>
          </w:p>
        </w:tc>
      </w:tr>
      <w:tr w:rsidR="000A7DF2" w:rsidRPr="002B326F" w14:paraId="6034F739" w14:textId="77777777">
        <w:trPr>
          <w:trHeight w:val="300"/>
        </w:trPr>
        <w:tc>
          <w:tcPr>
            <w:tcW w:w="1286" w:type="dxa"/>
            <w:tcBorders>
              <w:top w:val="single" w:sz="4" w:space="0" w:color="auto"/>
              <w:left w:val="single" w:sz="4" w:space="0" w:color="auto"/>
              <w:bottom w:val="single" w:sz="4" w:space="0" w:color="auto"/>
              <w:right w:val="single" w:sz="4" w:space="0" w:color="auto"/>
            </w:tcBorders>
            <w:shd w:val="clear" w:color="auto" w:fill="E7E6E6"/>
            <w:noWrap/>
          </w:tcPr>
          <w:p w14:paraId="0A647219" w14:textId="77777777" w:rsidR="000A7DF2" w:rsidRPr="00406208" w:rsidRDefault="000A7DF2" w:rsidP="00271111">
            <w:pPr>
              <w:pStyle w:val="Tablehead"/>
              <w:rPr>
                <w:sz w:val="20"/>
                <w:szCs w:val="20"/>
                <w:lang w:eastAsia="ja-JP"/>
              </w:rPr>
            </w:pPr>
            <w:r w:rsidRPr="00406208">
              <w:t>Short code</w:t>
            </w:r>
          </w:p>
        </w:tc>
        <w:tc>
          <w:tcPr>
            <w:tcW w:w="6241" w:type="dxa"/>
            <w:tcBorders>
              <w:top w:val="single" w:sz="4" w:space="0" w:color="auto"/>
              <w:left w:val="nil"/>
              <w:bottom w:val="single" w:sz="4" w:space="0" w:color="auto"/>
              <w:right w:val="nil"/>
            </w:tcBorders>
            <w:shd w:val="clear" w:color="auto" w:fill="E7E6E6"/>
            <w:noWrap/>
          </w:tcPr>
          <w:p w14:paraId="4A79D657" w14:textId="77777777" w:rsidR="000A7DF2" w:rsidRPr="002B326F" w:rsidRDefault="000A7DF2" w:rsidP="00271111">
            <w:pPr>
              <w:pStyle w:val="Tablehead"/>
              <w:rPr>
                <w:sz w:val="20"/>
                <w:szCs w:val="20"/>
                <w:lang w:eastAsia="ja-JP"/>
              </w:rPr>
            </w:pPr>
            <w:r w:rsidRPr="002B326F">
              <w:rPr>
                <w:sz w:val="20"/>
                <w:szCs w:val="20"/>
                <w:lang w:eastAsia="ja-JP"/>
              </w:rPr>
              <w:t>Parameter description</w:t>
            </w:r>
          </w:p>
        </w:tc>
        <w:tc>
          <w:tcPr>
            <w:tcW w:w="1848" w:type="dxa"/>
            <w:tcBorders>
              <w:top w:val="single" w:sz="4" w:space="0" w:color="auto"/>
              <w:left w:val="single" w:sz="4" w:space="0" w:color="auto"/>
              <w:bottom w:val="single" w:sz="4" w:space="0" w:color="auto"/>
              <w:right w:val="single" w:sz="4" w:space="0" w:color="auto"/>
            </w:tcBorders>
            <w:shd w:val="clear" w:color="auto" w:fill="E7E6E6"/>
            <w:noWrap/>
          </w:tcPr>
          <w:p w14:paraId="3F20965B" w14:textId="77777777" w:rsidR="000A7DF2" w:rsidRPr="00406208" w:rsidRDefault="000A7DF2" w:rsidP="00271111">
            <w:pPr>
              <w:pStyle w:val="Tablehead"/>
              <w:rPr>
                <w:sz w:val="18"/>
                <w:szCs w:val="18"/>
                <w:lang w:eastAsia="ja-JP"/>
              </w:rPr>
            </w:pPr>
            <w:r w:rsidRPr="00406208">
              <w:rPr>
                <w:sz w:val="18"/>
                <w:szCs w:val="18"/>
                <w:lang w:eastAsia="ja-JP"/>
              </w:rPr>
              <w:t>Unit</w:t>
            </w:r>
          </w:p>
        </w:tc>
      </w:tr>
      <w:tr w:rsidR="000A7DF2" w:rsidRPr="002B326F" w14:paraId="177E7565" w14:textId="77777777">
        <w:trPr>
          <w:trHeight w:val="315"/>
        </w:trPr>
        <w:tc>
          <w:tcPr>
            <w:tcW w:w="1286" w:type="dxa"/>
            <w:tcBorders>
              <w:top w:val="single" w:sz="4" w:space="0" w:color="auto"/>
              <w:left w:val="single" w:sz="4" w:space="0" w:color="auto"/>
              <w:bottom w:val="single" w:sz="4" w:space="0" w:color="auto"/>
              <w:right w:val="single" w:sz="4" w:space="0" w:color="auto"/>
            </w:tcBorders>
            <w:shd w:val="clear" w:color="auto" w:fill="auto"/>
            <w:noWrap/>
          </w:tcPr>
          <w:p w14:paraId="6AFD4190" w14:textId="77777777" w:rsidR="000A7DF2" w:rsidRPr="002B326F" w:rsidRDefault="000A7DF2" w:rsidP="00271111">
            <w:pPr>
              <w:pStyle w:val="Tabletext"/>
            </w:pPr>
            <w:r w:rsidRPr="002B326F">
              <w:t>NV1</w:t>
            </w:r>
          </w:p>
        </w:tc>
        <w:tc>
          <w:tcPr>
            <w:tcW w:w="6241" w:type="dxa"/>
            <w:tcBorders>
              <w:top w:val="single" w:sz="4" w:space="0" w:color="auto"/>
              <w:left w:val="nil"/>
              <w:bottom w:val="single" w:sz="4" w:space="0" w:color="auto"/>
              <w:right w:val="single" w:sz="4" w:space="0" w:color="auto"/>
            </w:tcBorders>
            <w:shd w:val="clear" w:color="auto" w:fill="auto"/>
            <w:noWrap/>
          </w:tcPr>
          <w:p w14:paraId="10C914D2" w14:textId="77777777" w:rsidR="000A7DF2" w:rsidRPr="00234CBB" w:rsidRDefault="000A7DF2" w:rsidP="00271111">
            <w:pPr>
              <w:pStyle w:val="Tabletext"/>
              <w:rPr>
                <w:lang w:val="en-US"/>
              </w:rPr>
            </w:pPr>
            <w:r w:rsidRPr="00234CBB">
              <w:rPr>
                <w:lang w:val="en-US"/>
              </w:rPr>
              <w:t>Total Number of voice calls per year, all types</w:t>
            </w:r>
          </w:p>
        </w:tc>
        <w:tc>
          <w:tcPr>
            <w:tcW w:w="1848" w:type="dxa"/>
            <w:tcBorders>
              <w:top w:val="single" w:sz="4" w:space="0" w:color="auto"/>
              <w:left w:val="nil"/>
              <w:bottom w:val="single" w:sz="4" w:space="0" w:color="auto"/>
              <w:right w:val="single" w:sz="4" w:space="0" w:color="auto"/>
            </w:tcBorders>
            <w:shd w:val="clear" w:color="auto" w:fill="auto"/>
            <w:noWrap/>
          </w:tcPr>
          <w:p w14:paraId="0D307829" w14:textId="77777777" w:rsidR="000A7DF2" w:rsidRPr="00406208" w:rsidRDefault="000A7DF2" w:rsidP="00271111">
            <w:pPr>
              <w:pStyle w:val="Tabletext"/>
              <w:rPr>
                <w:sz w:val="18"/>
              </w:rPr>
            </w:pPr>
            <w:r w:rsidRPr="00406208">
              <w:rPr>
                <w:sz w:val="18"/>
              </w:rPr>
              <w:t>Number of calls</w:t>
            </w:r>
          </w:p>
        </w:tc>
      </w:tr>
      <w:tr w:rsidR="000A7DF2" w:rsidRPr="002B326F" w14:paraId="0D3CA2FC" w14:textId="77777777">
        <w:trPr>
          <w:trHeight w:val="315"/>
        </w:trPr>
        <w:tc>
          <w:tcPr>
            <w:tcW w:w="1286" w:type="dxa"/>
            <w:tcBorders>
              <w:top w:val="nil"/>
              <w:left w:val="single" w:sz="4" w:space="0" w:color="auto"/>
              <w:bottom w:val="single" w:sz="4" w:space="0" w:color="auto"/>
              <w:right w:val="single" w:sz="4" w:space="0" w:color="auto"/>
            </w:tcBorders>
            <w:shd w:val="clear" w:color="auto" w:fill="auto"/>
            <w:noWrap/>
          </w:tcPr>
          <w:p w14:paraId="696A5584" w14:textId="77777777" w:rsidR="000A7DF2" w:rsidRPr="002B326F" w:rsidRDefault="000A7DF2" w:rsidP="00271111">
            <w:pPr>
              <w:pStyle w:val="Tabletext"/>
            </w:pPr>
            <w:r w:rsidRPr="002B326F">
              <w:t>NV2</w:t>
            </w:r>
          </w:p>
        </w:tc>
        <w:tc>
          <w:tcPr>
            <w:tcW w:w="6241" w:type="dxa"/>
            <w:tcBorders>
              <w:top w:val="nil"/>
              <w:left w:val="nil"/>
              <w:bottom w:val="single" w:sz="4" w:space="0" w:color="auto"/>
              <w:right w:val="single" w:sz="4" w:space="0" w:color="auto"/>
            </w:tcBorders>
            <w:shd w:val="clear" w:color="auto" w:fill="auto"/>
            <w:noWrap/>
          </w:tcPr>
          <w:p w14:paraId="2F5FA124" w14:textId="77777777" w:rsidR="000A7DF2" w:rsidRPr="00234CBB" w:rsidRDefault="000A7DF2" w:rsidP="00271111">
            <w:pPr>
              <w:pStyle w:val="Tabletext"/>
              <w:rPr>
                <w:lang w:val="en-US"/>
              </w:rPr>
            </w:pPr>
            <w:r w:rsidRPr="00234CBB">
              <w:rPr>
                <w:lang w:val="en-US"/>
              </w:rPr>
              <w:t>Number of outbound roaming calls, per year</w:t>
            </w:r>
          </w:p>
        </w:tc>
        <w:tc>
          <w:tcPr>
            <w:tcW w:w="1848" w:type="dxa"/>
            <w:tcBorders>
              <w:top w:val="nil"/>
              <w:left w:val="nil"/>
              <w:bottom w:val="single" w:sz="4" w:space="0" w:color="auto"/>
              <w:right w:val="single" w:sz="4" w:space="0" w:color="auto"/>
            </w:tcBorders>
            <w:shd w:val="clear" w:color="auto" w:fill="auto"/>
            <w:noWrap/>
          </w:tcPr>
          <w:p w14:paraId="02B5A30C" w14:textId="77777777" w:rsidR="000A7DF2" w:rsidRPr="00406208" w:rsidRDefault="000A7DF2" w:rsidP="00271111">
            <w:pPr>
              <w:pStyle w:val="Tabletext"/>
              <w:rPr>
                <w:sz w:val="18"/>
              </w:rPr>
            </w:pPr>
            <w:r w:rsidRPr="00406208">
              <w:rPr>
                <w:sz w:val="18"/>
              </w:rPr>
              <w:t>Number of calls</w:t>
            </w:r>
          </w:p>
        </w:tc>
      </w:tr>
      <w:tr w:rsidR="000A7DF2" w:rsidRPr="002B326F" w14:paraId="065DD806" w14:textId="77777777">
        <w:trPr>
          <w:trHeight w:val="315"/>
        </w:trPr>
        <w:tc>
          <w:tcPr>
            <w:tcW w:w="1286" w:type="dxa"/>
            <w:tcBorders>
              <w:top w:val="nil"/>
              <w:left w:val="single" w:sz="4" w:space="0" w:color="auto"/>
              <w:bottom w:val="single" w:sz="4" w:space="0" w:color="auto"/>
              <w:right w:val="single" w:sz="4" w:space="0" w:color="auto"/>
            </w:tcBorders>
            <w:shd w:val="clear" w:color="auto" w:fill="auto"/>
            <w:noWrap/>
          </w:tcPr>
          <w:p w14:paraId="6A4543AF" w14:textId="77777777" w:rsidR="000A7DF2" w:rsidRPr="002B326F" w:rsidRDefault="000A7DF2" w:rsidP="00271111">
            <w:pPr>
              <w:pStyle w:val="Tabletext"/>
            </w:pPr>
            <w:r w:rsidRPr="002B326F">
              <w:t>NV3</w:t>
            </w:r>
          </w:p>
        </w:tc>
        <w:tc>
          <w:tcPr>
            <w:tcW w:w="6241" w:type="dxa"/>
            <w:tcBorders>
              <w:top w:val="nil"/>
              <w:left w:val="nil"/>
              <w:bottom w:val="single" w:sz="4" w:space="0" w:color="auto"/>
              <w:right w:val="single" w:sz="4" w:space="0" w:color="auto"/>
            </w:tcBorders>
            <w:shd w:val="clear" w:color="auto" w:fill="auto"/>
            <w:noWrap/>
          </w:tcPr>
          <w:p w14:paraId="7E4292DD" w14:textId="77777777" w:rsidR="000A7DF2" w:rsidRPr="00234CBB" w:rsidRDefault="000A7DF2" w:rsidP="00271111">
            <w:pPr>
              <w:pStyle w:val="Tabletext"/>
              <w:rPr>
                <w:lang w:val="en-US"/>
              </w:rPr>
            </w:pPr>
            <w:r w:rsidRPr="00234CBB">
              <w:rPr>
                <w:lang w:val="en-US"/>
              </w:rPr>
              <w:t>Number of foreign calls inbound to a roaming visitor per year</w:t>
            </w:r>
          </w:p>
        </w:tc>
        <w:tc>
          <w:tcPr>
            <w:tcW w:w="1848" w:type="dxa"/>
            <w:tcBorders>
              <w:top w:val="nil"/>
              <w:left w:val="nil"/>
              <w:bottom w:val="single" w:sz="4" w:space="0" w:color="auto"/>
              <w:right w:val="single" w:sz="4" w:space="0" w:color="auto"/>
            </w:tcBorders>
            <w:shd w:val="clear" w:color="auto" w:fill="auto"/>
            <w:noWrap/>
          </w:tcPr>
          <w:p w14:paraId="5B091455" w14:textId="77777777" w:rsidR="000A7DF2" w:rsidRPr="00406208" w:rsidRDefault="000A7DF2" w:rsidP="00271111">
            <w:pPr>
              <w:pStyle w:val="Tabletext"/>
              <w:rPr>
                <w:sz w:val="18"/>
              </w:rPr>
            </w:pPr>
            <w:r w:rsidRPr="00406208">
              <w:rPr>
                <w:sz w:val="18"/>
              </w:rPr>
              <w:t>Number of calls</w:t>
            </w:r>
          </w:p>
        </w:tc>
      </w:tr>
      <w:tr w:rsidR="000A7DF2" w:rsidRPr="002B326F" w14:paraId="1A559DA3" w14:textId="77777777">
        <w:trPr>
          <w:trHeight w:val="315"/>
        </w:trPr>
        <w:tc>
          <w:tcPr>
            <w:tcW w:w="1286" w:type="dxa"/>
            <w:tcBorders>
              <w:top w:val="nil"/>
              <w:left w:val="single" w:sz="4" w:space="0" w:color="auto"/>
              <w:bottom w:val="single" w:sz="4" w:space="0" w:color="auto"/>
              <w:right w:val="single" w:sz="4" w:space="0" w:color="auto"/>
            </w:tcBorders>
            <w:shd w:val="clear" w:color="auto" w:fill="auto"/>
            <w:noWrap/>
          </w:tcPr>
          <w:p w14:paraId="59351B2C" w14:textId="77777777" w:rsidR="000A7DF2" w:rsidRPr="002B326F" w:rsidRDefault="000A7DF2" w:rsidP="00271111">
            <w:pPr>
              <w:pStyle w:val="Tabletext"/>
            </w:pPr>
            <w:r w:rsidRPr="002B326F">
              <w:t>NV4</w:t>
            </w:r>
          </w:p>
        </w:tc>
        <w:tc>
          <w:tcPr>
            <w:tcW w:w="6241" w:type="dxa"/>
            <w:tcBorders>
              <w:top w:val="nil"/>
              <w:left w:val="nil"/>
              <w:bottom w:val="single" w:sz="4" w:space="0" w:color="auto"/>
              <w:right w:val="single" w:sz="4" w:space="0" w:color="auto"/>
            </w:tcBorders>
            <w:shd w:val="clear" w:color="auto" w:fill="auto"/>
            <w:noWrap/>
          </w:tcPr>
          <w:p w14:paraId="65603B47" w14:textId="77777777" w:rsidR="000A7DF2" w:rsidRPr="00234CBB" w:rsidRDefault="000A7DF2" w:rsidP="00271111">
            <w:pPr>
              <w:pStyle w:val="Tabletext"/>
              <w:rPr>
                <w:lang w:val="en-US"/>
              </w:rPr>
            </w:pPr>
            <w:r w:rsidRPr="00234CBB">
              <w:rPr>
                <w:lang w:val="en-US"/>
              </w:rPr>
              <w:t>Volume of roaming voice calls per year in visited country</w:t>
            </w:r>
          </w:p>
        </w:tc>
        <w:tc>
          <w:tcPr>
            <w:tcW w:w="1848" w:type="dxa"/>
            <w:tcBorders>
              <w:top w:val="nil"/>
              <w:left w:val="nil"/>
              <w:bottom w:val="single" w:sz="4" w:space="0" w:color="auto"/>
              <w:right w:val="single" w:sz="4" w:space="0" w:color="auto"/>
            </w:tcBorders>
            <w:shd w:val="clear" w:color="auto" w:fill="auto"/>
            <w:noWrap/>
          </w:tcPr>
          <w:p w14:paraId="37CEF9E5" w14:textId="77777777" w:rsidR="000A7DF2" w:rsidRPr="00406208" w:rsidRDefault="000A7DF2" w:rsidP="00271111">
            <w:pPr>
              <w:pStyle w:val="Tabletext"/>
              <w:rPr>
                <w:sz w:val="18"/>
              </w:rPr>
            </w:pPr>
            <w:r w:rsidRPr="00406208">
              <w:rPr>
                <w:sz w:val="18"/>
              </w:rPr>
              <w:t>Number of calls</w:t>
            </w:r>
          </w:p>
        </w:tc>
      </w:tr>
      <w:tr w:rsidR="000A7DF2" w:rsidRPr="002B326F" w14:paraId="0484416D" w14:textId="77777777">
        <w:trPr>
          <w:trHeight w:val="300"/>
        </w:trPr>
        <w:tc>
          <w:tcPr>
            <w:tcW w:w="1286" w:type="dxa"/>
            <w:tcBorders>
              <w:top w:val="nil"/>
              <w:left w:val="single" w:sz="4" w:space="0" w:color="auto"/>
              <w:bottom w:val="single" w:sz="4" w:space="0" w:color="auto"/>
              <w:right w:val="single" w:sz="4" w:space="0" w:color="auto"/>
            </w:tcBorders>
            <w:shd w:val="clear" w:color="auto" w:fill="auto"/>
            <w:noWrap/>
          </w:tcPr>
          <w:p w14:paraId="618D28B7" w14:textId="77777777" w:rsidR="000A7DF2" w:rsidRPr="002B326F" w:rsidRDefault="000A7DF2" w:rsidP="00271111">
            <w:pPr>
              <w:pStyle w:val="Tabletext"/>
              <w:rPr>
                <w:b/>
              </w:rPr>
            </w:pPr>
            <w:r w:rsidRPr="002B326F">
              <w:rPr>
                <w:b/>
              </w:rPr>
              <w:t>NV5</w:t>
            </w:r>
          </w:p>
        </w:tc>
        <w:tc>
          <w:tcPr>
            <w:tcW w:w="6241" w:type="dxa"/>
            <w:tcBorders>
              <w:top w:val="nil"/>
              <w:left w:val="nil"/>
              <w:bottom w:val="single" w:sz="4" w:space="0" w:color="auto"/>
              <w:right w:val="single" w:sz="4" w:space="0" w:color="auto"/>
            </w:tcBorders>
            <w:shd w:val="clear" w:color="auto" w:fill="auto"/>
            <w:noWrap/>
          </w:tcPr>
          <w:p w14:paraId="7F5FDEA6" w14:textId="77777777" w:rsidR="000A7DF2" w:rsidRPr="00234CBB" w:rsidRDefault="000A7DF2" w:rsidP="00271111">
            <w:pPr>
              <w:pStyle w:val="Tabletext"/>
              <w:rPr>
                <w:lang w:val="en-US"/>
              </w:rPr>
            </w:pPr>
            <w:r w:rsidRPr="00234CBB">
              <w:rPr>
                <w:lang w:val="en-US"/>
              </w:rPr>
              <w:t>Volume of total domestic voice calls per year</w:t>
            </w:r>
          </w:p>
        </w:tc>
        <w:tc>
          <w:tcPr>
            <w:tcW w:w="1848" w:type="dxa"/>
            <w:tcBorders>
              <w:top w:val="nil"/>
              <w:left w:val="nil"/>
              <w:bottom w:val="single" w:sz="4" w:space="0" w:color="auto"/>
              <w:right w:val="single" w:sz="4" w:space="0" w:color="auto"/>
            </w:tcBorders>
            <w:shd w:val="clear" w:color="auto" w:fill="auto"/>
            <w:noWrap/>
          </w:tcPr>
          <w:p w14:paraId="1BED9545" w14:textId="77777777" w:rsidR="000A7DF2" w:rsidRPr="00406208" w:rsidRDefault="000A7DF2" w:rsidP="00271111">
            <w:pPr>
              <w:pStyle w:val="Tabletext"/>
              <w:rPr>
                <w:sz w:val="18"/>
              </w:rPr>
            </w:pPr>
            <w:r w:rsidRPr="00406208">
              <w:rPr>
                <w:sz w:val="18"/>
              </w:rPr>
              <w:t>Number of calls</w:t>
            </w:r>
          </w:p>
        </w:tc>
      </w:tr>
      <w:tr w:rsidR="000A7DF2" w:rsidRPr="002B326F" w14:paraId="4C166FED" w14:textId="77777777">
        <w:trPr>
          <w:trHeight w:val="330"/>
        </w:trPr>
        <w:tc>
          <w:tcPr>
            <w:tcW w:w="1286" w:type="dxa"/>
            <w:tcBorders>
              <w:top w:val="nil"/>
              <w:left w:val="single" w:sz="4" w:space="0" w:color="auto"/>
              <w:bottom w:val="single" w:sz="4" w:space="0" w:color="auto"/>
              <w:right w:val="single" w:sz="4" w:space="0" w:color="auto"/>
            </w:tcBorders>
            <w:shd w:val="clear" w:color="auto" w:fill="auto"/>
            <w:noWrap/>
          </w:tcPr>
          <w:p w14:paraId="60CE9F67" w14:textId="77777777" w:rsidR="000A7DF2" w:rsidRPr="002B326F" w:rsidRDefault="000A7DF2" w:rsidP="00271111">
            <w:pPr>
              <w:pStyle w:val="Tabletext"/>
            </w:pPr>
            <w:r w:rsidRPr="002B326F">
              <w:t>VV1</w:t>
            </w:r>
          </w:p>
        </w:tc>
        <w:tc>
          <w:tcPr>
            <w:tcW w:w="6241" w:type="dxa"/>
            <w:tcBorders>
              <w:top w:val="nil"/>
              <w:left w:val="nil"/>
              <w:bottom w:val="single" w:sz="4" w:space="0" w:color="auto"/>
              <w:right w:val="single" w:sz="4" w:space="0" w:color="auto"/>
            </w:tcBorders>
            <w:shd w:val="clear" w:color="auto" w:fill="auto"/>
            <w:noWrap/>
          </w:tcPr>
          <w:p w14:paraId="71C62415" w14:textId="77777777" w:rsidR="000A7DF2" w:rsidRPr="00234CBB" w:rsidRDefault="000A7DF2" w:rsidP="00271111">
            <w:pPr>
              <w:pStyle w:val="Tabletext"/>
              <w:rPr>
                <w:lang w:val="en-US"/>
              </w:rPr>
            </w:pPr>
            <w:r w:rsidRPr="00234CBB">
              <w:rPr>
                <w:lang w:val="en-US"/>
              </w:rPr>
              <w:t>Volume of total voice minutes per year</w:t>
            </w:r>
          </w:p>
        </w:tc>
        <w:tc>
          <w:tcPr>
            <w:tcW w:w="1848" w:type="dxa"/>
            <w:tcBorders>
              <w:top w:val="single" w:sz="4" w:space="0" w:color="auto"/>
              <w:left w:val="nil"/>
              <w:bottom w:val="single" w:sz="4" w:space="0" w:color="auto"/>
              <w:right w:val="single" w:sz="4" w:space="0" w:color="auto"/>
            </w:tcBorders>
            <w:shd w:val="clear" w:color="auto" w:fill="auto"/>
            <w:noWrap/>
          </w:tcPr>
          <w:p w14:paraId="59632886" w14:textId="77777777" w:rsidR="000A7DF2" w:rsidRPr="00406208" w:rsidRDefault="000A7DF2" w:rsidP="00271111">
            <w:pPr>
              <w:pStyle w:val="Tabletext"/>
              <w:rPr>
                <w:sz w:val="18"/>
              </w:rPr>
            </w:pPr>
            <w:r w:rsidRPr="00406208">
              <w:rPr>
                <w:sz w:val="18"/>
              </w:rPr>
              <w:t>Voice Call minutes</w:t>
            </w:r>
          </w:p>
        </w:tc>
      </w:tr>
      <w:tr w:rsidR="000A7DF2" w:rsidRPr="002B326F" w14:paraId="0C308BD0" w14:textId="77777777">
        <w:trPr>
          <w:trHeight w:val="315"/>
        </w:trPr>
        <w:tc>
          <w:tcPr>
            <w:tcW w:w="1286" w:type="dxa"/>
            <w:tcBorders>
              <w:top w:val="nil"/>
              <w:left w:val="single" w:sz="4" w:space="0" w:color="auto"/>
              <w:bottom w:val="single" w:sz="4" w:space="0" w:color="auto"/>
              <w:right w:val="single" w:sz="4" w:space="0" w:color="auto"/>
            </w:tcBorders>
            <w:shd w:val="clear" w:color="auto" w:fill="auto"/>
            <w:noWrap/>
          </w:tcPr>
          <w:p w14:paraId="13D0A95F" w14:textId="77777777" w:rsidR="000A7DF2" w:rsidRPr="002B326F" w:rsidRDefault="000A7DF2" w:rsidP="00271111">
            <w:pPr>
              <w:pStyle w:val="Tabletext"/>
            </w:pPr>
            <w:r w:rsidRPr="002B326F">
              <w:t>VV2</w:t>
            </w:r>
          </w:p>
        </w:tc>
        <w:tc>
          <w:tcPr>
            <w:tcW w:w="6241" w:type="dxa"/>
            <w:tcBorders>
              <w:top w:val="nil"/>
              <w:left w:val="nil"/>
              <w:bottom w:val="single" w:sz="4" w:space="0" w:color="auto"/>
              <w:right w:val="single" w:sz="4" w:space="0" w:color="auto"/>
            </w:tcBorders>
            <w:shd w:val="clear" w:color="auto" w:fill="auto"/>
            <w:noWrap/>
          </w:tcPr>
          <w:p w14:paraId="46FE65EC" w14:textId="77777777" w:rsidR="000A7DF2" w:rsidRPr="00234CBB" w:rsidRDefault="000A7DF2" w:rsidP="00271111">
            <w:pPr>
              <w:pStyle w:val="Tabletext"/>
              <w:rPr>
                <w:lang w:val="en-US"/>
              </w:rPr>
            </w:pPr>
            <w:r w:rsidRPr="00234CBB">
              <w:rPr>
                <w:lang w:val="en-US"/>
              </w:rPr>
              <w:t>Volume of roaming voice minutes per year</w:t>
            </w:r>
          </w:p>
        </w:tc>
        <w:tc>
          <w:tcPr>
            <w:tcW w:w="1848" w:type="dxa"/>
            <w:tcBorders>
              <w:top w:val="nil"/>
              <w:left w:val="nil"/>
              <w:bottom w:val="single" w:sz="4" w:space="0" w:color="auto"/>
              <w:right w:val="single" w:sz="4" w:space="0" w:color="auto"/>
            </w:tcBorders>
            <w:shd w:val="clear" w:color="auto" w:fill="auto"/>
            <w:noWrap/>
          </w:tcPr>
          <w:p w14:paraId="2898E25B" w14:textId="77777777" w:rsidR="000A7DF2" w:rsidRPr="00406208" w:rsidRDefault="000A7DF2" w:rsidP="00271111">
            <w:pPr>
              <w:pStyle w:val="Tabletext"/>
              <w:rPr>
                <w:sz w:val="18"/>
              </w:rPr>
            </w:pPr>
            <w:r w:rsidRPr="00406208">
              <w:rPr>
                <w:sz w:val="18"/>
              </w:rPr>
              <w:t>Voice Call minutes</w:t>
            </w:r>
          </w:p>
        </w:tc>
      </w:tr>
      <w:tr w:rsidR="000A7DF2" w:rsidRPr="002B326F" w14:paraId="2B7987DD" w14:textId="77777777">
        <w:trPr>
          <w:trHeight w:val="315"/>
        </w:trPr>
        <w:tc>
          <w:tcPr>
            <w:tcW w:w="1286" w:type="dxa"/>
            <w:tcBorders>
              <w:top w:val="nil"/>
              <w:left w:val="single" w:sz="4" w:space="0" w:color="auto"/>
              <w:bottom w:val="single" w:sz="4" w:space="0" w:color="auto"/>
              <w:right w:val="single" w:sz="4" w:space="0" w:color="auto"/>
            </w:tcBorders>
            <w:shd w:val="clear" w:color="auto" w:fill="auto"/>
            <w:noWrap/>
          </w:tcPr>
          <w:p w14:paraId="3D705A5E" w14:textId="77777777" w:rsidR="000A7DF2" w:rsidRPr="002B326F" w:rsidRDefault="000A7DF2" w:rsidP="00271111">
            <w:pPr>
              <w:pStyle w:val="Tabletext"/>
            </w:pPr>
            <w:r w:rsidRPr="002B326F">
              <w:t>CCM</w:t>
            </w:r>
          </w:p>
        </w:tc>
        <w:tc>
          <w:tcPr>
            <w:tcW w:w="6241" w:type="dxa"/>
            <w:tcBorders>
              <w:top w:val="nil"/>
              <w:left w:val="nil"/>
              <w:bottom w:val="single" w:sz="4" w:space="0" w:color="auto"/>
              <w:right w:val="single" w:sz="4" w:space="0" w:color="auto"/>
            </w:tcBorders>
            <w:shd w:val="clear" w:color="auto" w:fill="auto"/>
            <w:noWrap/>
          </w:tcPr>
          <w:p w14:paraId="1A479DA5" w14:textId="77777777" w:rsidR="000A7DF2" w:rsidRPr="00234CBB" w:rsidRDefault="000A7DF2" w:rsidP="00271111">
            <w:pPr>
              <w:pStyle w:val="Tabletext"/>
              <w:rPr>
                <w:lang w:val="en-US"/>
              </w:rPr>
            </w:pPr>
            <w:r w:rsidRPr="00234CBB">
              <w:rPr>
                <w:lang w:val="en-US"/>
              </w:rPr>
              <w:t>cost of inter-operator negotiations (one time)</w:t>
            </w:r>
          </w:p>
        </w:tc>
        <w:tc>
          <w:tcPr>
            <w:tcW w:w="1848" w:type="dxa"/>
            <w:tcBorders>
              <w:top w:val="nil"/>
              <w:left w:val="nil"/>
              <w:bottom w:val="single" w:sz="4" w:space="0" w:color="auto"/>
              <w:right w:val="single" w:sz="4" w:space="0" w:color="auto"/>
            </w:tcBorders>
            <w:shd w:val="clear" w:color="auto" w:fill="auto"/>
            <w:noWrap/>
          </w:tcPr>
          <w:p w14:paraId="48778015" w14:textId="77777777" w:rsidR="000A7DF2" w:rsidRPr="00406208" w:rsidRDefault="000A7DF2" w:rsidP="00271111">
            <w:pPr>
              <w:pStyle w:val="Tabletext"/>
              <w:rPr>
                <w:sz w:val="18"/>
              </w:rPr>
            </w:pPr>
            <w:r w:rsidRPr="00406208">
              <w:rPr>
                <w:sz w:val="18"/>
              </w:rPr>
              <w:t>currency (USD)</w:t>
            </w:r>
          </w:p>
        </w:tc>
      </w:tr>
      <w:tr w:rsidR="000A7DF2" w:rsidRPr="002B326F" w14:paraId="522FC0DD" w14:textId="77777777">
        <w:trPr>
          <w:trHeight w:val="360"/>
        </w:trPr>
        <w:tc>
          <w:tcPr>
            <w:tcW w:w="1286" w:type="dxa"/>
            <w:tcBorders>
              <w:top w:val="nil"/>
              <w:left w:val="single" w:sz="4" w:space="0" w:color="auto"/>
              <w:bottom w:val="single" w:sz="4" w:space="0" w:color="auto"/>
              <w:right w:val="single" w:sz="4" w:space="0" w:color="auto"/>
            </w:tcBorders>
            <w:shd w:val="clear" w:color="auto" w:fill="auto"/>
            <w:noWrap/>
          </w:tcPr>
          <w:p w14:paraId="705DE1C7" w14:textId="77777777" w:rsidR="000A7DF2" w:rsidRPr="002B326F" w:rsidRDefault="000A7DF2" w:rsidP="00271111">
            <w:pPr>
              <w:pStyle w:val="Tabletext"/>
            </w:pPr>
            <w:r w:rsidRPr="002B326F">
              <w:t>NDV1</w:t>
            </w:r>
          </w:p>
        </w:tc>
        <w:tc>
          <w:tcPr>
            <w:tcW w:w="6241" w:type="dxa"/>
            <w:tcBorders>
              <w:top w:val="nil"/>
              <w:left w:val="nil"/>
              <w:bottom w:val="single" w:sz="4" w:space="0" w:color="auto"/>
              <w:right w:val="single" w:sz="4" w:space="0" w:color="auto"/>
            </w:tcBorders>
            <w:shd w:val="clear" w:color="auto" w:fill="auto"/>
            <w:noWrap/>
          </w:tcPr>
          <w:p w14:paraId="5CAB8DD8" w14:textId="77777777" w:rsidR="000A7DF2" w:rsidRPr="00234CBB" w:rsidRDefault="000A7DF2" w:rsidP="00271111">
            <w:pPr>
              <w:pStyle w:val="Tabletext"/>
              <w:rPr>
                <w:lang w:val="en-US"/>
              </w:rPr>
            </w:pPr>
            <w:r w:rsidRPr="00234CBB">
              <w:rPr>
                <w:lang w:val="en-US"/>
              </w:rPr>
              <w:t>Number of roaming data sessions per year</w:t>
            </w:r>
          </w:p>
        </w:tc>
        <w:tc>
          <w:tcPr>
            <w:tcW w:w="1848" w:type="dxa"/>
            <w:tcBorders>
              <w:top w:val="nil"/>
              <w:left w:val="nil"/>
              <w:bottom w:val="single" w:sz="4" w:space="0" w:color="auto"/>
              <w:right w:val="single" w:sz="4" w:space="0" w:color="auto"/>
            </w:tcBorders>
            <w:shd w:val="clear" w:color="auto" w:fill="auto"/>
            <w:noWrap/>
          </w:tcPr>
          <w:p w14:paraId="3C6D8FBB" w14:textId="77777777" w:rsidR="000A7DF2" w:rsidRPr="00406208" w:rsidRDefault="000A7DF2" w:rsidP="00271111">
            <w:pPr>
              <w:pStyle w:val="Tabletext"/>
              <w:rPr>
                <w:sz w:val="18"/>
              </w:rPr>
            </w:pPr>
            <w:r w:rsidRPr="00406208">
              <w:rPr>
                <w:sz w:val="18"/>
              </w:rPr>
              <w:t>Number of sessions</w:t>
            </w:r>
          </w:p>
        </w:tc>
      </w:tr>
      <w:tr w:rsidR="000A7DF2" w:rsidRPr="002B326F" w14:paraId="12C3FB29" w14:textId="77777777">
        <w:trPr>
          <w:trHeight w:val="315"/>
        </w:trPr>
        <w:tc>
          <w:tcPr>
            <w:tcW w:w="1286" w:type="dxa"/>
            <w:tcBorders>
              <w:top w:val="nil"/>
              <w:left w:val="single" w:sz="4" w:space="0" w:color="auto"/>
              <w:bottom w:val="single" w:sz="4" w:space="0" w:color="auto"/>
              <w:right w:val="single" w:sz="4" w:space="0" w:color="auto"/>
            </w:tcBorders>
            <w:shd w:val="clear" w:color="auto" w:fill="auto"/>
            <w:noWrap/>
          </w:tcPr>
          <w:p w14:paraId="0D06C684" w14:textId="77777777" w:rsidR="000A7DF2" w:rsidRPr="002B326F" w:rsidRDefault="000A7DF2" w:rsidP="00271111">
            <w:pPr>
              <w:pStyle w:val="Tabletext"/>
            </w:pPr>
            <w:r w:rsidRPr="002B326F">
              <w:t>NDV2</w:t>
            </w:r>
          </w:p>
        </w:tc>
        <w:tc>
          <w:tcPr>
            <w:tcW w:w="6241" w:type="dxa"/>
            <w:tcBorders>
              <w:top w:val="nil"/>
              <w:left w:val="nil"/>
              <w:bottom w:val="single" w:sz="4" w:space="0" w:color="auto"/>
              <w:right w:val="single" w:sz="4" w:space="0" w:color="auto"/>
            </w:tcBorders>
            <w:shd w:val="clear" w:color="auto" w:fill="auto"/>
            <w:noWrap/>
          </w:tcPr>
          <w:p w14:paraId="57FA5C77" w14:textId="77777777" w:rsidR="000A7DF2" w:rsidRPr="00234CBB" w:rsidRDefault="000A7DF2" w:rsidP="00271111">
            <w:pPr>
              <w:pStyle w:val="Tabletext"/>
              <w:rPr>
                <w:lang w:val="en-US"/>
              </w:rPr>
            </w:pPr>
            <w:r w:rsidRPr="00234CBB">
              <w:rPr>
                <w:lang w:val="en-US"/>
              </w:rPr>
              <w:t>Total number of data sessions per year</w:t>
            </w:r>
          </w:p>
        </w:tc>
        <w:tc>
          <w:tcPr>
            <w:tcW w:w="1848" w:type="dxa"/>
            <w:tcBorders>
              <w:top w:val="nil"/>
              <w:left w:val="nil"/>
              <w:bottom w:val="single" w:sz="4" w:space="0" w:color="auto"/>
              <w:right w:val="single" w:sz="4" w:space="0" w:color="auto"/>
            </w:tcBorders>
            <w:shd w:val="clear" w:color="auto" w:fill="auto"/>
            <w:noWrap/>
          </w:tcPr>
          <w:p w14:paraId="3ABA2902" w14:textId="77777777" w:rsidR="000A7DF2" w:rsidRPr="00406208" w:rsidRDefault="000A7DF2" w:rsidP="00271111">
            <w:pPr>
              <w:pStyle w:val="Tabletext"/>
              <w:rPr>
                <w:sz w:val="18"/>
              </w:rPr>
            </w:pPr>
            <w:r w:rsidRPr="00406208">
              <w:rPr>
                <w:sz w:val="18"/>
              </w:rPr>
              <w:t>Number of sessions</w:t>
            </w:r>
          </w:p>
        </w:tc>
      </w:tr>
      <w:tr w:rsidR="000A7DF2" w:rsidRPr="002B326F" w14:paraId="7A10D957" w14:textId="77777777">
        <w:trPr>
          <w:trHeight w:val="315"/>
        </w:trPr>
        <w:tc>
          <w:tcPr>
            <w:tcW w:w="1286" w:type="dxa"/>
            <w:tcBorders>
              <w:top w:val="nil"/>
              <w:left w:val="single" w:sz="4" w:space="0" w:color="auto"/>
              <w:bottom w:val="single" w:sz="4" w:space="0" w:color="auto"/>
              <w:right w:val="single" w:sz="4" w:space="0" w:color="auto"/>
            </w:tcBorders>
            <w:shd w:val="clear" w:color="auto" w:fill="auto"/>
            <w:noWrap/>
          </w:tcPr>
          <w:p w14:paraId="038707AD" w14:textId="77777777" w:rsidR="000A7DF2" w:rsidRPr="002B326F" w:rsidRDefault="000A7DF2" w:rsidP="00271111">
            <w:pPr>
              <w:pStyle w:val="Tabletext"/>
            </w:pPr>
            <w:r w:rsidRPr="002B326F">
              <w:t>DVV1</w:t>
            </w:r>
          </w:p>
        </w:tc>
        <w:tc>
          <w:tcPr>
            <w:tcW w:w="6241" w:type="dxa"/>
            <w:tcBorders>
              <w:top w:val="nil"/>
              <w:left w:val="nil"/>
              <w:bottom w:val="single" w:sz="4" w:space="0" w:color="auto"/>
              <w:right w:val="single" w:sz="4" w:space="0" w:color="auto"/>
            </w:tcBorders>
            <w:shd w:val="clear" w:color="auto" w:fill="auto"/>
            <w:noWrap/>
          </w:tcPr>
          <w:p w14:paraId="6E3E18AA" w14:textId="77777777" w:rsidR="000A7DF2" w:rsidRPr="00234CBB" w:rsidRDefault="000A7DF2" w:rsidP="00271111">
            <w:pPr>
              <w:pStyle w:val="Tabletext"/>
              <w:rPr>
                <w:lang w:val="en-US"/>
              </w:rPr>
            </w:pPr>
            <w:r w:rsidRPr="00234CBB">
              <w:rPr>
                <w:lang w:val="en-US"/>
              </w:rPr>
              <w:t>Volume of total data per year</w:t>
            </w:r>
          </w:p>
        </w:tc>
        <w:tc>
          <w:tcPr>
            <w:tcW w:w="1848" w:type="dxa"/>
            <w:tcBorders>
              <w:top w:val="nil"/>
              <w:left w:val="nil"/>
              <w:bottom w:val="single" w:sz="4" w:space="0" w:color="auto"/>
              <w:right w:val="single" w:sz="4" w:space="0" w:color="auto"/>
            </w:tcBorders>
            <w:shd w:val="clear" w:color="auto" w:fill="auto"/>
            <w:noWrap/>
          </w:tcPr>
          <w:p w14:paraId="5F452106" w14:textId="77777777" w:rsidR="000A7DF2" w:rsidRPr="00406208" w:rsidRDefault="000A7DF2" w:rsidP="00271111">
            <w:pPr>
              <w:pStyle w:val="Tabletext"/>
              <w:rPr>
                <w:sz w:val="18"/>
              </w:rPr>
            </w:pPr>
            <w:r w:rsidRPr="00406208">
              <w:rPr>
                <w:sz w:val="18"/>
              </w:rPr>
              <w:t>MB</w:t>
            </w:r>
          </w:p>
        </w:tc>
      </w:tr>
      <w:tr w:rsidR="000A7DF2" w:rsidRPr="002B326F" w14:paraId="68AC8434" w14:textId="77777777">
        <w:trPr>
          <w:trHeight w:val="315"/>
        </w:trPr>
        <w:tc>
          <w:tcPr>
            <w:tcW w:w="1286" w:type="dxa"/>
            <w:tcBorders>
              <w:top w:val="nil"/>
              <w:left w:val="single" w:sz="4" w:space="0" w:color="auto"/>
              <w:bottom w:val="single" w:sz="4" w:space="0" w:color="auto"/>
              <w:right w:val="single" w:sz="4" w:space="0" w:color="auto"/>
            </w:tcBorders>
            <w:shd w:val="clear" w:color="auto" w:fill="auto"/>
            <w:noWrap/>
          </w:tcPr>
          <w:p w14:paraId="736EC99A" w14:textId="77777777" w:rsidR="000A7DF2" w:rsidRPr="002B326F" w:rsidRDefault="000A7DF2" w:rsidP="00271111">
            <w:pPr>
              <w:pStyle w:val="Tabletext"/>
            </w:pPr>
            <w:r w:rsidRPr="002B326F">
              <w:t>DVV2</w:t>
            </w:r>
          </w:p>
        </w:tc>
        <w:tc>
          <w:tcPr>
            <w:tcW w:w="6241" w:type="dxa"/>
            <w:tcBorders>
              <w:top w:val="nil"/>
              <w:left w:val="nil"/>
              <w:bottom w:val="single" w:sz="4" w:space="0" w:color="auto"/>
              <w:right w:val="single" w:sz="4" w:space="0" w:color="auto"/>
            </w:tcBorders>
            <w:shd w:val="clear" w:color="auto" w:fill="auto"/>
            <w:noWrap/>
          </w:tcPr>
          <w:p w14:paraId="7C390178" w14:textId="77777777" w:rsidR="000A7DF2" w:rsidRPr="00234CBB" w:rsidRDefault="000A7DF2" w:rsidP="00271111">
            <w:pPr>
              <w:pStyle w:val="Tabletext"/>
              <w:rPr>
                <w:lang w:val="en-US"/>
              </w:rPr>
            </w:pPr>
            <w:r w:rsidRPr="00234CBB">
              <w:rPr>
                <w:lang w:val="en-US"/>
              </w:rPr>
              <w:t>Volume of roaming data per year</w:t>
            </w:r>
          </w:p>
        </w:tc>
        <w:tc>
          <w:tcPr>
            <w:tcW w:w="1848" w:type="dxa"/>
            <w:tcBorders>
              <w:top w:val="nil"/>
              <w:left w:val="nil"/>
              <w:bottom w:val="single" w:sz="4" w:space="0" w:color="auto"/>
              <w:right w:val="single" w:sz="4" w:space="0" w:color="auto"/>
            </w:tcBorders>
            <w:shd w:val="clear" w:color="auto" w:fill="auto"/>
            <w:noWrap/>
          </w:tcPr>
          <w:p w14:paraId="31FA416B" w14:textId="77777777" w:rsidR="000A7DF2" w:rsidRPr="00406208" w:rsidRDefault="000A7DF2" w:rsidP="00271111">
            <w:pPr>
              <w:pStyle w:val="Tabletext"/>
              <w:rPr>
                <w:sz w:val="18"/>
              </w:rPr>
            </w:pPr>
            <w:r w:rsidRPr="00406208">
              <w:rPr>
                <w:sz w:val="18"/>
              </w:rPr>
              <w:t>MB</w:t>
            </w:r>
          </w:p>
        </w:tc>
      </w:tr>
      <w:tr w:rsidR="000A7DF2" w:rsidRPr="002B326F" w14:paraId="6BFD466C" w14:textId="77777777">
        <w:trPr>
          <w:trHeight w:val="315"/>
        </w:trPr>
        <w:tc>
          <w:tcPr>
            <w:tcW w:w="1286" w:type="dxa"/>
            <w:tcBorders>
              <w:top w:val="nil"/>
              <w:left w:val="single" w:sz="4" w:space="0" w:color="auto"/>
              <w:bottom w:val="single" w:sz="4" w:space="0" w:color="auto"/>
              <w:right w:val="single" w:sz="4" w:space="0" w:color="auto"/>
            </w:tcBorders>
            <w:shd w:val="clear" w:color="auto" w:fill="auto"/>
            <w:noWrap/>
          </w:tcPr>
          <w:p w14:paraId="3D58B308" w14:textId="77777777" w:rsidR="000A7DF2" w:rsidRPr="002B326F" w:rsidRDefault="000A7DF2" w:rsidP="00271111">
            <w:pPr>
              <w:pStyle w:val="Tabletext"/>
            </w:pPr>
            <w:r w:rsidRPr="002B326F">
              <w:t>RAV</w:t>
            </w:r>
          </w:p>
        </w:tc>
        <w:tc>
          <w:tcPr>
            <w:tcW w:w="6241" w:type="dxa"/>
            <w:tcBorders>
              <w:top w:val="nil"/>
              <w:left w:val="nil"/>
              <w:bottom w:val="single" w:sz="4" w:space="0" w:color="auto"/>
              <w:right w:val="single" w:sz="4" w:space="0" w:color="auto"/>
            </w:tcBorders>
            <w:shd w:val="clear" w:color="auto" w:fill="auto"/>
            <w:noWrap/>
          </w:tcPr>
          <w:p w14:paraId="0ED90237" w14:textId="77777777" w:rsidR="000A7DF2" w:rsidRPr="00234CBB" w:rsidRDefault="000A7DF2" w:rsidP="00271111">
            <w:pPr>
              <w:pStyle w:val="Tabletext"/>
              <w:rPr>
                <w:lang w:val="en-US"/>
              </w:rPr>
            </w:pPr>
            <w:r w:rsidRPr="00234CBB">
              <w:rPr>
                <w:lang w:val="en-US"/>
              </w:rPr>
              <w:t>RAN use, cost/year (visited network)</w:t>
            </w:r>
          </w:p>
        </w:tc>
        <w:tc>
          <w:tcPr>
            <w:tcW w:w="1848" w:type="dxa"/>
            <w:tcBorders>
              <w:top w:val="nil"/>
              <w:left w:val="nil"/>
              <w:bottom w:val="single" w:sz="4" w:space="0" w:color="auto"/>
              <w:right w:val="single" w:sz="4" w:space="0" w:color="auto"/>
            </w:tcBorders>
            <w:shd w:val="clear" w:color="auto" w:fill="auto"/>
            <w:noWrap/>
          </w:tcPr>
          <w:p w14:paraId="3636B652" w14:textId="77777777" w:rsidR="000A7DF2" w:rsidRPr="00406208" w:rsidRDefault="000A7DF2" w:rsidP="00271111">
            <w:pPr>
              <w:pStyle w:val="Tabletext"/>
              <w:rPr>
                <w:sz w:val="18"/>
              </w:rPr>
            </w:pPr>
            <w:r w:rsidRPr="00406208">
              <w:rPr>
                <w:sz w:val="18"/>
              </w:rPr>
              <w:t>currency (USD)</w:t>
            </w:r>
          </w:p>
        </w:tc>
      </w:tr>
      <w:tr w:rsidR="000A7DF2" w:rsidRPr="002B326F" w14:paraId="50E43568" w14:textId="77777777">
        <w:trPr>
          <w:trHeight w:val="315"/>
        </w:trPr>
        <w:tc>
          <w:tcPr>
            <w:tcW w:w="1286" w:type="dxa"/>
            <w:tcBorders>
              <w:top w:val="single" w:sz="4" w:space="0" w:color="auto"/>
              <w:left w:val="single" w:sz="4" w:space="0" w:color="auto"/>
              <w:bottom w:val="single" w:sz="4" w:space="0" w:color="auto"/>
              <w:right w:val="single" w:sz="4" w:space="0" w:color="auto"/>
            </w:tcBorders>
            <w:shd w:val="clear" w:color="auto" w:fill="auto"/>
            <w:noWrap/>
          </w:tcPr>
          <w:p w14:paraId="6E8386E1" w14:textId="77777777" w:rsidR="000A7DF2" w:rsidRPr="002B326F" w:rsidRDefault="000A7DF2" w:rsidP="00271111">
            <w:pPr>
              <w:pStyle w:val="Tabletext"/>
            </w:pPr>
            <w:r w:rsidRPr="002B326F">
              <w:t>LRV2</w:t>
            </w:r>
          </w:p>
        </w:tc>
        <w:tc>
          <w:tcPr>
            <w:tcW w:w="6241" w:type="dxa"/>
            <w:tcBorders>
              <w:top w:val="single" w:sz="4" w:space="0" w:color="auto"/>
              <w:left w:val="nil"/>
              <w:bottom w:val="single" w:sz="4" w:space="0" w:color="auto"/>
              <w:right w:val="single" w:sz="4" w:space="0" w:color="auto"/>
            </w:tcBorders>
            <w:shd w:val="clear" w:color="auto" w:fill="auto"/>
            <w:noWrap/>
          </w:tcPr>
          <w:p w14:paraId="46DA6A70" w14:textId="77777777" w:rsidR="000A7DF2" w:rsidRPr="002B326F" w:rsidRDefault="000A7DF2" w:rsidP="00271111">
            <w:pPr>
              <w:pStyle w:val="Tabletext"/>
            </w:pPr>
            <w:r>
              <w:t>VLR</w:t>
            </w:r>
            <w:r w:rsidRPr="002B326F">
              <w:t xml:space="preserve"> use, cost/year</w:t>
            </w:r>
          </w:p>
        </w:tc>
        <w:tc>
          <w:tcPr>
            <w:tcW w:w="1848" w:type="dxa"/>
            <w:tcBorders>
              <w:top w:val="nil"/>
              <w:left w:val="nil"/>
              <w:bottom w:val="single" w:sz="4" w:space="0" w:color="auto"/>
              <w:right w:val="single" w:sz="4" w:space="0" w:color="auto"/>
            </w:tcBorders>
            <w:shd w:val="clear" w:color="auto" w:fill="auto"/>
            <w:noWrap/>
          </w:tcPr>
          <w:p w14:paraId="4432188A" w14:textId="77777777" w:rsidR="000A7DF2" w:rsidRPr="00406208" w:rsidRDefault="000A7DF2" w:rsidP="00271111">
            <w:pPr>
              <w:pStyle w:val="Tabletext"/>
              <w:rPr>
                <w:sz w:val="18"/>
              </w:rPr>
            </w:pPr>
            <w:r w:rsidRPr="00406208">
              <w:rPr>
                <w:sz w:val="18"/>
              </w:rPr>
              <w:t>currency (USD)</w:t>
            </w:r>
          </w:p>
        </w:tc>
      </w:tr>
      <w:tr w:rsidR="000A7DF2" w:rsidRPr="002B326F" w14:paraId="2D7318F5" w14:textId="77777777">
        <w:trPr>
          <w:trHeight w:val="315"/>
        </w:trPr>
        <w:tc>
          <w:tcPr>
            <w:tcW w:w="1286" w:type="dxa"/>
            <w:tcBorders>
              <w:top w:val="single" w:sz="4" w:space="0" w:color="auto"/>
              <w:left w:val="single" w:sz="4" w:space="0" w:color="auto"/>
              <w:bottom w:val="single" w:sz="4" w:space="0" w:color="auto"/>
              <w:right w:val="single" w:sz="4" w:space="0" w:color="auto"/>
            </w:tcBorders>
            <w:shd w:val="clear" w:color="auto" w:fill="auto"/>
            <w:noWrap/>
          </w:tcPr>
          <w:p w14:paraId="5DE1B75D" w14:textId="77777777" w:rsidR="000A7DF2" w:rsidRPr="002B326F" w:rsidRDefault="000A7DF2" w:rsidP="00271111">
            <w:pPr>
              <w:pStyle w:val="Tabletext"/>
            </w:pPr>
            <w:r w:rsidRPr="002B326F">
              <w:t>LRH2</w:t>
            </w:r>
          </w:p>
        </w:tc>
        <w:tc>
          <w:tcPr>
            <w:tcW w:w="6241" w:type="dxa"/>
            <w:tcBorders>
              <w:top w:val="single" w:sz="4" w:space="0" w:color="auto"/>
              <w:left w:val="nil"/>
              <w:bottom w:val="single" w:sz="4" w:space="0" w:color="auto"/>
              <w:right w:val="single" w:sz="4" w:space="0" w:color="auto"/>
            </w:tcBorders>
            <w:shd w:val="clear" w:color="auto" w:fill="auto"/>
            <w:noWrap/>
          </w:tcPr>
          <w:p w14:paraId="374449CC" w14:textId="77777777" w:rsidR="000A7DF2" w:rsidRPr="00234CBB" w:rsidRDefault="000A7DF2" w:rsidP="00271111">
            <w:pPr>
              <w:pStyle w:val="Tabletext"/>
              <w:rPr>
                <w:lang w:val="en-US"/>
              </w:rPr>
            </w:pPr>
            <w:r w:rsidRPr="00234CBB">
              <w:rPr>
                <w:lang w:val="en-US"/>
              </w:rPr>
              <w:t>HLR cost of use/ year (for roaming)</w:t>
            </w:r>
          </w:p>
        </w:tc>
        <w:tc>
          <w:tcPr>
            <w:tcW w:w="1848" w:type="dxa"/>
            <w:tcBorders>
              <w:top w:val="single" w:sz="4" w:space="0" w:color="auto"/>
              <w:left w:val="nil"/>
              <w:bottom w:val="single" w:sz="4" w:space="0" w:color="auto"/>
              <w:right w:val="single" w:sz="4" w:space="0" w:color="auto"/>
            </w:tcBorders>
            <w:shd w:val="clear" w:color="auto" w:fill="auto"/>
            <w:noWrap/>
          </w:tcPr>
          <w:p w14:paraId="51CFD6DF" w14:textId="77777777" w:rsidR="000A7DF2" w:rsidRPr="00406208" w:rsidRDefault="000A7DF2" w:rsidP="00271111">
            <w:pPr>
              <w:pStyle w:val="Tabletext"/>
              <w:rPr>
                <w:sz w:val="18"/>
              </w:rPr>
            </w:pPr>
            <w:r w:rsidRPr="00406208">
              <w:rPr>
                <w:sz w:val="18"/>
              </w:rPr>
              <w:t>currency (USD)</w:t>
            </w:r>
          </w:p>
        </w:tc>
      </w:tr>
      <w:tr w:rsidR="000A7DF2" w:rsidRPr="002B326F" w14:paraId="5CF78687" w14:textId="77777777">
        <w:trPr>
          <w:trHeight w:val="315"/>
        </w:trPr>
        <w:tc>
          <w:tcPr>
            <w:tcW w:w="1286" w:type="dxa"/>
            <w:tcBorders>
              <w:top w:val="single" w:sz="4" w:space="0" w:color="auto"/>
              <w:left w:val="single" w:sz="4" w:space="0" w:color="auto"/>
              <w:bottom w:val="single" w:sz="4" w:space="0" w:color="auto"/>
              <w:right w:val="nil"/>
            </w:tcBorders>
            <w:shd w:val="clear" w:color="auto" w:fill="auto"/>
            <w:noWrap/>
          </w:tcPr>
          <w:p w14:paraId="339130B8" w14:textId="77777777" w:rsidR="000A7DF2" w:rsidRPr="002B326F" w:rsidRDefault="000A7DF2" w:rsidP="00271111">
            <w:pPr>
              <w:pStyle w:val="Tabletext"/>
            </w:pPr>
            <w:r w:rsidRPr="002B326F">
              <w:t>CAM2</w:t>
            </w:r>
          </w:p>
        </w:tc>
        <w:tc>
          <w:tcPr>
            <w:tcW w:w="6241" w:type="dxa"/>
            <w:tcBorders>
              <w:top w:val="single" w:sz="4" w:space="0" w:color="auto"/>
              <w:left w:val="single" w:sz="4" w:space="0" w:color="auto"/>
              <w:bottom w:val="single" w:sz="4" w:space="0" w:color="auto"/>
              <w:right w:val="single" w:sz="4" w:space="0" w:color="auto"/>
            </w:tcBorders>
            <w:shd w:val="clear" w:color="auto" w:fill="auto"/>
            <w:noWrap/>
          </w:tcPr>
          <w:p w14:paraId="6406C1C8" w14:textId="77777777" w:rsidR="000A7DF2" w:rsidRPr="00234CBB" w:rsidRDefault="000A7DF2" w:rsidP="00271111">
            <w:pPr>
              <w:pStyle w:val="Tabletext"/>
              <w:rPr>
                <w:lang w:val="en-US"/>
              </w:rPr>
            </w:pPr>
            <w:r w:rsidRPr="00234CBB">
              <w:rPr>
                <w:lang w:val="en-US"/>
              </w:rPr>
              <w:t xml:space="preserve">GSM CAMEL Application Part, Prepaid 3G/2G roaming, fraud control etc cost/year </w:t>
            </w:r>
          </w:p>
        </w:tc>
        <w:tc>
          <w:tcPr>
            <w:tcW w:w="1848" w:type="dxa"/>
            <w:tcBorders>
              <w:top w:val="nil"/>
              <w:left w:val="nil"/>
              <w:bottom w:val="single" w:sz="4" w:space="0" w:color="auto"/>
              <w:right w:val="single" w:sz="4" w:space="0" w:color="auto"/>
            </w:tcBorders>
            <w:shd w:val="clear" w:color="auto" w:fill="auto"/>
            <w:noWrap/>
          </w:tcPr>
          <w:p w14:paraId="724505AC" w14:textId="77777777" w:rsidR="000A7DF2" w:rsidRPr="00406208" w:rsidRDefault="000A7DF2" w:rsidP="00271111">
            <w:pPr>
              <w:pStyle w:val="Tabletext"/>
              <w:rPr>
                <w:sz w:val="18"/>
              </w:rPr>
            </w:pPr>
            <w:r w:rsidRPr="00406208">
              <w:rPr>
                <w:sz w:val="18"/>
              </w:rPr>
              <w:t>currency (USD)</w:t>
            </w:r>
          </w:p>
        </w:tc>
      </w:tr>
      <w:tr w:rsidR="000A7DF2" w:rsidRPr="002B326F" w14:paraId="0B36EE4B" w14:textId="77777777">
        <w:trPr>
          <w:trHeight w:val="360"/>
        </w:trPr>
        <w:tc>
          <w:tcPr>
            <w:tcW w:w="1286" w:type="dxa"/>
            <w:tcBorders>
              <w:top w:val="single" w:sz="4" w:space="0" w:color="auto"/>
              <w:left w:val="single" w:sz="4" w:space="0" w:color="auto"/>
              <w:bottom w:val="single" w:sz="4" w:space="0" w:color="auto"/>
              <w:right w:val="single" w:sz="4" w:space="0" w:color="auto"/>
            </w:tcBorders>
            <w:shd w:val="clear" w:color="auto" w:fill="auto"/>
            <w:noWrap/>
          </w:tcPr>
          <w:p w14:paraId="1EF0CA61" w14:textId="77777777" w:rsidR="000A7DF2" w:rsidRPr="002B326F" w:rsidRDefault="000A7DF2" w:rsidP="00271111">
            <w:pPr>
              <w:pStyle w:val="Tabletext"/>
            </w:pPr>
            <w:r w:rsidRPr="002B326F">
              <w:t>CN2</w:t>
            </w:r>
          </w:p>
        </w:tc>
        <w:tc>
          <w:tcPr>
            <w:tcW w:w="6241" w:type="dxa"/>
            <w:tcBorders>
              <w:top w:val="nil"/>
              <w:left w:val="nil"/>
              <w:bottom w:val="single" w:sz="4" w:space="0" w:color="auto"/>
              <w:right w:val="single" w:sz="4" w:space="0" w:color="auto"/>
            </w:tcBorders>
            <w:shd w:val="clear" w:color="auto" w:fill="auto"/>
            <w:noWrap/>
          </w:tcPr>
          <w:p w14:paraId="16909CD8" w14:textId="77777777" w:rsidR="000A7DF2" w:rsidRPr="00234CBB" w:rsidRDefault="000A7DF2" w:rsidP="00271111">
            <w:pPr>
              <w:pStyle w:val="Tabletext"/>
              <w:rPr>
                <w:lang w:val="en-US"/>
              </w:rPr>
            </w:pPr>
            <w:r w:rsidRPr="00234CBB">
              <w:rPr>
                <w:lang w:val="en-US"/>
              </w:rPr>
              <w:t>Core Network - use for call transport cost/year</w:t>
            </w:r>
          </w:p>
        </w:tc>
        <w:tc>
          <w:tcPr>
            <w:tcW w:w="1848" w:type="dxa"/>
            <w:tcBorders>
              <w:top w:val="nil"/>
              <w:left w:val="nil"/>
              <w:bottom w:val="single" w:sz="4" w:space="0" w:color="auto"/>
              <w:right w:val="single" w:sz="4" w:space="0" w:color="auto"/>
            </w:tcBorders>
            <w:shd w:val="clear" w:color="auto" w:fill="auto"/>
            <w:noWrap/>
          </w:tcPr>
          <w:p w14:paraId="44DDC763" w14:textId="77777777" w:rsidR="000A7DF2" w:rsidRPr="00406208" w:rsidRDefault="000A7DF2" w:rsidP="00271111">
            <w:pPr>
              <w:pStyle w:val="Tabletext"/>
              <w:rPr>
                <w:sz w:val="18"/>
              </w:rPr>
            </w:pPr>
            <w:r w:rsidRPr="00406208">
              <w:rPr>
                <w:sz w:val="18"/>
              </w:rPr>
              <w:t>currency (USD)</w:t>
            </w:r>
          </w:p>
        </w:tc>
      </w:tr>
      <w:tr w:rsidR="000A7DF2" w:rsidRPr="002B326F" w14:paraId="24F37455" w14:textId="77777777">
        <w:trPr>
          <w:trHeight w:val="315"/>
        </w:trPr>
        <w:tc>
          <w:tcPr>
            <w:tcW w:w="1286" w:type="dxa"/>
            <w:tcBorders>
              <w:top w:val="nil"/>
              <w:left w:val="single" w:sz="4" w:space="0" w:color="auto"/>
              <w:bottom w:val="single" w:sz="4" w:space="0" w:color="auto"/>
              <w:right w:val="single" w:sz="4" w:space="0" w:color="auto"/>
            </w:tcBorders>
            <w:shd w:val="clear" w:color="auto" w:fill="auto"/>
            <w:noWrap/>
          </w:tcPr>
          <w:p w14:paraId="5560781B" w14:textId="77777777" w:rsidR="000A7DF2" w:rsidRPr="002B326F" w:rsidRDefault="000A7DF2" w:rsidP="00271111">
            <w:pPr>
              <w:pStyle w:val="Tabletext"/>
            </w:pPr>
            <w:r w:rsidRPr="002B326F">
              <w:t>IVG2</w:t>
            </w:r>
          </w:p>
        </w:tc>
        <w:tc>
          <w:tcPr>
            <w:tcW w:w="6241" w:type="dxa"/>
            <w:tcBorders>
              <w:top w:val="nil"/>
              <w:left w:val="nil"/>
              <w:bottom w:val="single" w:sz="4" w:space="0" w:color="auto"/>
              <w:right w:val="single" w:sz="4" w:space="0" w:color="auto"/>
            </w:tcBorders>
            <w:shd w:val="clear" w:color="auto" w:fill="auto"/>
            <w:noWrap/>
          </w:tcPr>
          <w:p w14:paraId="70EC7ADF" w14:textId="77777777" w:rsidR="000A7DF2" w:rsidRPr="00234CBB" w:rsidRDefault="000A7DF2" w:rsidP="00271111">
            <w:pPr>
              <w:pStyle w:val="Tabletext"/>
              <w:rPr>
                <w:lang w:val="en-US"/>
              </w:rPr>
            </w:pPr>
            <w:r w:rsidRPr="00234CBB">
              <w:rPr>
                <w:lang w:val="en-US"/>
              </w:rPr>
              <w:t>International voice gateway (visited network) cost/year</w:t>
            </w:r>
          </w:p>
        </w:tc>
        <w:tc>
          <w:tcPr>
            <w:tcW w:w="1848" w:type="dxa"/>
            <w:tcBorders>
              <w:top w:val="nil"/>
              <w:left w:val="nil"/>
              <w:bottom w:val="single" w:sz="4" w:space="0" w:color="auto"/>
              <w:right w:val="single" w:sz="4" w:space="0" w:color="auto"/>
            </w:tcBorders>
            <w:shd w:val="clear" w:color="auto" w:fill="auto"/>
            <w:noWrap/>
          </w:tcPr>
          <w:p w14:paraId="3B32BFC3" w14:textId="77777777" w:rsidR="000A7DF2" w:rsidRPr="00406208" w:rsidRDefault="000A7DF2" w:rsidP="00271111">
            <w:pPr>
              <w:pStyle w:val="Tabletext"/>
              <w:rPr>
                <w:sz w:val="18"/>
              </w:rPr>
            </w:pPr>
            <w:r w:rsidRPr="00406208">
              <w:rPr>
                <w:sz w:val="18"/>
              </w:rPr>
              <w:t>currency (USD)</w:t>
            </w:r>
          </w:p>
        </w:tc>
      </w:tr>
      <w:tr w:rsidR="000A7DF2" w:rsidRPr="002B326F" w14:paraId="24E13F1D" w14:textId="77777777">
        <w:trPr>
          <w:trHeight w:val="315"/>
        </w:trPr>
        <w:tc>
          <w:tcPr>
            <w:tcW w:w="1286" w:type="dxa"/>
            <w:tcBorders>
              <w:top w:val="nil"/>
              <w:left w:val="single" w:sz="4" w:space="0" w:color="auto"/>
              <w:bottom w:val="single" w:sz="4" w:space="0" w:color="auto"/>
              <w:right w:val="single" w:sz="4" w:space="0" w:color="auto"/>
            </w:tcBorders>
            <w:shd w:val="clear" w:color="auto" w:fill="auto"/>
            <w:noWrap/>
          </w:tcPr>
          <w:p w14:paraId="2AC2A836" w14:textId="77777777" w:rsidR="000A7DF2" w:rsidRPr="002B326F" w:rsidRDefault="000A7DF2" w:rsidP="00271111">
            <w:pPr>
              <w:pStyle w:val="Tabletext"/>
            </w:pPr>
            <w:r w:rsidRPr="002B326F">
              <w:t>IDG2</w:t>
            </w:r>
          </w:p>
        </w:tc>
        <w:tc>
          <w:tcPr>
            <w:tcW w:w="6241" w:type="dxa"/>
            <w:tcBorders>
              <w:top w:val="nil"/>
              <w:left w:val="nil"/>
              <w:bottom w:val="single" w:sz="4" w:space="0" w:color="auto"/>
              <w:right w:val="single" w:sz="4" w:space="0" w:color="auto"/>
            </w:tcBorders>
            <w:shd w:val="clear" w:color="auto" w:fill="auto"/>
            <w:noWrap/>
          </w:tcPr>
          <w:p w14:paraId="08BBF676" w14:textId="77777777" w:rsidR="000A7DF2" w:rsidRPr="00234CBB" w:rsidRDefault="000A7DF2" w:rsidP="00271111">
            <w:pPr>
              <w:pStyle w:val="Tabletext"/>
              <w:rPr>
                <w:lang w:val="en-US"/>
              </w:rPr>
            </w:pPr>
            <w:r w:rsidRPr="00234CBB">
              <w:rPr>
                <w:lang w:val="en-US"/>
              </w:rPr>
              <w:t>International data gateway (visited network) cost/year</w:t>
            </w:r>
          </w:p>
        </w:tc>
        <w:tc>
          <w:tcPr>
            <w:tcW w:w="1848" w:type="dxa"/>
            <w:tcBorders>
              <w:top w:val="nil"/>
              <w:left w:val="nil"/>
              <w:bottom w:val="single" w:sz="4" w:space="0" w:color="auto"/>
              <w:right w:val="single" w:sz="4" w:space="0" w:color="auto"/>
            </w:tcBorders>
            <w:shd w:val="clear" w:color="auto" w:fill="auto"/>
            <w:noWrap/>
          </w:tcPr>
          <w:p w14:paraId="2DEAD45A" w14:textId="77777777" w:rsidR="000A7DF2" w:rsidRPr="00406208" w:rsidRDefault="000A7DF2" w:rsidP="00271111">
            <w:pPr>
              <w:pStyle w:val="Tabletext"/>
              <w:rPr>
                <w:sz w:val="18"/>
              </w:rPr>
            </w:pPr>
            <w:r w:rsidRPr="00406208">
              <w:rPr>
                <w:sz w:val="18"/>
              </w:rPr>
              <w:t>currency (USD)</w:t>
            </w:r>
          </w:p>
        </w:tc>
      </w:tr>
      <w:tr w:rsidR="000A7DF2" w:rsidRPr="002B326F" w14:paraId="5B6B4E5D" w14:textId="77777777">
        <w:trPr>
          <w:trHeight w:val="525"/>
        </w:trPr>
        <w:tc>
          <w:tcPr>
            <w:tcW w:w="1286" w:type="dxa"/>
            <w:tcBorders>
              <w:top w:val="nil"/>
              <w:left w:val="single" w:sz="4" w:space="0" w:color="auto"/>
              <w:bottom w:val="single" w:sz="4" w:space="0" w:color="auto"/>
              <w:right w:val="single" w:sz="4" w:space="0" w:color="auto"/>
            </w:tcBorders>
            <w:shd w:val="clear" w:color="auto" w:fill="auto"/>
            <w:noWrap/>
          </w:tcPr>
          <w:p w14:paraId="703EFAC6" w14:textId="77777777" w:rsidR="000A7DF2" w:rsidRPr="002B326F" w:rsidRDefault="000A7DF2" w:rsidP="00271111">
            <w:pPr>
              <w:pStyle w:val="Tabletext"/>
            </w:pPr>
            <w:r w:rsidRPr="002B326F">
              <w:t>BMR2</w:t>
            </w:r>
          </w:p>
        </w:tc>
        <w:tc>
          <w:tcPr>
            <w:tcW w:w="6241" w:type="dxa"/>
            <w:tcBorders>
              <w:top w:val="nil"/>
              <w:left w:val="nil"/>
              <w:bottom w:val="single" w:sz="4" w:space="0" w:color="auto"/>
              <w:right w:val="single" w:sz="4" w:space="0" w:color="auto"/>
            </w:tcBorders>
            <w:shd w:val="clear" w:color="auto" w:fill="auto"/>
          </w:tcPr>
          <w:p w14:paraId="3B276375" w14:textId="77777777" w:rsidR="000A7DF2" w:rsidRPr="00234CBB" w:rsidRDefault="000A7DF2" w:rsidP="00271111">
            <w:pPr>
              <w:pStyle w:val="Tabletext"/>
              <w:rPr>
                <w:lang w:val="en-US"/>
              </w:rPr>
            </w:pPr>
            <w:r w:rsidRPr="00234CBB">
              <w:rPr>
                <w:lang w:val="en-US"/>
              </w:rPr>
              <w:t>Billing system module for roaming (visited network) includes server and data centre slice</w:t>
            </w:r>
          </w:p>
        </w:tc>
        <w:tc>
          <w:tcPr>
            <w:tcW w:w="1848" w:type="dxa"/>
            <w:tcBorders>
              <w:top w:val="nil"/>
              <w:left w:val="nil"/>
              <w:bottom w:val="single" w:sz="4" w:space="0" w:color="auto"/>
              <w:right w:val="single" w:sz="4" w:space="0" w:color="auto"/>
            </w:tcBorders>
            <w:shd w:val="clear" w:color="auto" w:fill="auto"/>
            <w:noWrap/>
          </w:tcPr>
          <w:p w14:paraId="711F5E23" w14:textId="77777777" w:rsidR="000A7DF2" w:rsidRPr="00406208" w:rsidRDefault="000A7DF2" w:rsidP="00271111">
            <w:pPr>
              <w:pStyle w:val="Tabletext"/>
              <w:rPr>
                <w:sz w:val="18"/>
              </w:rPr>
            </w:pPr>
            <w:r w:rsidRPr="00406208">
              <w:rPr>
                <w:sz w:val="18"/>
              </w:rPr>
              <w:t>currency (USD)</w:t>
            </w:r>
          </w:p>
        </w:tc>
      </w:tr>
      <w:tr w:rsidR="000A7DF2" w:rsidRPr="002B326F" w14:paraId="4EF7A5E4" w14:textId="77777777">
        <w:trPr>
          <w:trHeight w:val="780"/>
        </w:trPr>
        <w:tc>
          <w:tcPr>
            <w:tcW w:w="1286" w:type="dxa"/>
            <w:tcBorders>
              <w:top w:val="nil"/>
              <w:left w:val="single" w:sz="4" w:space="0" w:color="auto"/>
              <w:bottom w:val="single" w:sz="4" w:space="0" w:color="auto"/>
              <w:right w:val="single" w:sz="4" w:space="0" w:color="auto"/>
            </w:tcBorders>
            <w:shd w:val="clear" w:color="auto" w:fill="auto"/>
            <w:noWrap/>
          </w:tcPr>
          <w:p w14:paraId="3EAA241F" w14:textId="77777777" w:rsidR="000A7DF2" w:rsidRPr="002B326F" w:rsidRDefault="000A7DF2" w:rsidP="00271111">
            <w:pPr>
              <w:pStyle w:val="Tabletext"/>
            </w:pPr>
            <w:r w:rsidRPr="002B326F">
              <w:t>BS2</w:t>
            </w:r>
          </w:p>
        </w:tc>
        <w:tc>
          <w:tcPr>
            <w:tcW w:w="6241" w:type="dxa"/>
            <w:tcBorders>
              <w:top w:val="nil"/>
              <w:left w:val="nil"/>
              <w:bottom w:val="single" w:sz="4" w:space="0" w:color="auto"/>
              <w:right w:val="single" w:sz="4" w:space="0" w:color="auto"/>
            </w:tcBorders>
            <w:shd w:val="clear" w:color="auto" w:fill="auto"/>
          </w:tcPr>
          <w:p w14:paraId="2038870A" w14:textId="77777777" w:rsidR="000A7DF2" w:rsidRPr="00234CBB" w:rsidRDefault="000A7DF2" w:rsidP="00271111">
            <w:pPr>
              <w:pStyle w:val="Tabletext"/>
              <w:rPr>
                <w:lang w:val="en-US"/>
              </w:rPr>
            </w:pPr>
            <w:r w:rsidRPr="00234CBB">
              <w:rPr>
                <w:lang w:val="en-US"/>
              </w:rPr>
              <w:t>Billing system (</w:t>
            </w:r>
            <w:r w:rsidRPr="00234CBB">
              <w:rPr>
                <w:b/>
                <w:i/>
                <w:iCs/>
                <w:lang w:val="en-US"/>
              </w:rPr>
              <w:t>Visited network</w:t>
            </w:r>
            <w:r w:rsidRPr="00234CBB">
              <w:rPr>
                <w:lang w:val="en-US"/>
              </w:rPr>
              <w:t>) with mediation, includes servers, databases and data centre slice, cost/year</w:t>
            </w:r>
          </w:p>
        </w:tc>
        <w:tc>
          <w:tcPr>
            <w:tcW w:w="1848" w:type="dxa"/>
            <w:tcBorders>
              <w:top w:val="nil"/>
              <w:left w:val="nil"/>
              <w:bottom w:val="single" w:sz="4" w:space="0" w:color="auto"/>
              <w:right w:val="single" w:sz="4" w:space="0" w:color="auto"/>
            </w:tcBorders>
            <w:shd w:val="clear" w:color="auto" w:fill="auto"/>
            <w:noWrap/>
          </w:tcPr>
          <w:p w14:paraId="33A152F1" w14:textId="77777777" w:rsidR="000A7DF2" w:rsidRPr="00406208" w:rsidRDefault="000A7DF2" w:rsidP="00271111">
            <w:pPr>
              <w:pStyle w:val="Tabletext"/>
              <w:rPr>
                <w:sz w:val="18"/>
              </w:rPr>
            </w:pPr>
            <w:r w:rsidRPr="00406208">
              <w:rPr>
                <w:sz w:val="18"/>
              </w:rPr>
              <w:t>currency (USD)</w:t>
            </w:r>
          </w:p>
        </w:tc>
      </w:tr>
      <w:tr w:rsidR="000A7DF2" w:rsidRPr="002B326F" w14:paraId="0553ACEC" w14:textId="77777777">
        <w:trPr>
          <w:trHeight w:val="315"/>
        </w:trPr>
        <w:tc>
          <w:tcPr>
            <w:tcW w:w="1286" w:type="dxa"/>
            <w:tcBorders>
              <w:top w:val="nil"/>
              <w:left w:val="single" w:sz="4" w:space="0" w:color="auto"/>
              <w:bottom w:val="single" w:sz="4" w:space="0" w:color="auto"/>
              <w:right w:val="single" w:sz="4" w:space="0" w:color="auto"/>
            </w:tcBorders>
            <w:shd w:val="clear" w:color="auto" w:fill="auto"/>
            <w:noWrap/>
          </w:tcPr>
          <w:p w14:paraId="0DA3FA77" w14:textId="77777777" w:rsidR="000A7DF2" w:rsidRPr="002B326F" w:rsidRDefault="000A7DF2" w:rsidP="00271111">
            <w:pPr>
              <w:pStyle w:val="Tabletext"/>
            </w:pPr>
            <w:r w:rsidRPr="002B326F">
              <w:t>TR2</w:t>
            </w:r>
          </w:p>
        </w:tc>
        <w:tc>
          <w:tcPr>
            <w:tcW w:w="6241" w:type="dxa"/>
            <w:tcBorders>
              <w:top w:val="nil"/>
              <w:left w:val="nil"/>
              <w:bottom w:val="single" w:sz="4" w:space="0" w:color="auto"/>
              <w:right w:val="single" w:sz="4" w:space="0" w:color="auto"/>
            </w:tcBorders>
            <w:shd w:val="clear" w:color="auto" w:fill="auto"/>
            <w:noWrap/>
          </w:tcPr>
          <w:p w14:paraId="66CC6A84" w14:textId="77777777" w:rsidR="000A7DF2" w:rsidRPr="00234CBB" w:rsidRDefault="000A7DF2" w:rsidP="00271111">
            <w:pPr>
              <w:pStyle w:val="Tabletext"/>
              <w:rPr>
                <w:lang w:val="en-US"/>
              </w:rPr>
            </w:pPr>
            <w:r w:rsidRPr="00234CBB">
              <w:rPr>
                <w:lang w:val="en-US"/>
              </w:rPr>
              <w:t>International transit service cost/year for voice carriage</w:t>
            </w:r>
          </w:p>
        </w:tc>
        <w:tc>
          <w:tcPr>
            <w:tcW w:w="1848" w:type="dxa"/>
            <w:tcBorders>
              <w:top w:val="nil"/>
              <w:left w:val="nil"/>
              <w:bottom w:val="single" w:sz="4" w:space="0" w:color="auto"/>
              <w:right w:val="single" w:sz="4" w:space="0" w:color="auto"/>
            </w:tcBorders>
            <w:shd w:val="clear" w:color="auto" w:fill="auto"/>
            <w:noWrap/>
          </w:tcPr>
          <w:p w14:paraId="4B1F2823" w14:textId="77777777" w:rsidR="000A7DF2" w:rsidRPr="00406208" w:rsidRDefault="000A7DF2" w:rsidP="00271111">
            <w:pPr>
              <w:pStyle w:val="Tabletext"/>
              <w:rPr>
                <w:sz w:val="18"/>
              </w:rPr>
            </w:pPr>
            <w:r w:rsidRPr="00406208">
              <w:rPr>
                <w:sz w:val="18"/>
              </w:rPr>
              <w:t>currency (USD)</w:t>
            </w:r>
          </w:p>
        </w:tc>
      </w:tr>
      <w:tr w:rsidR="000A7DF2" w:rsidRPr="002B326F" w14:paraId="0DA41442" w14:textId="77777777">
        <w:trPr>
          <w:trHeight w:val="300"/>
        </w:trPr>
        <w:tc>
          <w:tcPr>
            <w:tcW w:w="1286" w:type="dxa"/>
            <w:tcBorders>
              <w:top w:val="nil"/>
              <w:left w:val="single" w:sz="4" w:space="0" w:color="auto"/>
              <w:bottom w:val="single" w:sz="4" w:space="0" w:color="auto"/>
              <w:right w:val="single" w:sz="4" w:space="0" w:color="auto"/>
            </w:tcBorders>
            <w:shd w:val="clear" w:color="auto" w:fill="auto"/>
            <w:noWrap/>
          </w:tcPr>
          <w:p w14:paraId="761D83EB" w14:textId="77777777" w:rsidR="000A7DF2" w:rsidRPr="002B326F" w:rsidRDefault="000A7DF2" w:rsidP="00271111">
            <w:pPr>
              <w:pStyle w:val="Tabletext"/>
            </w:pPr>
            <w:r w:rsidRPr="002B326F">
              <w:t>TRD2</w:t>
            </w:r>
          </w:p>
        </w:tc>
        <w:tc>
          <w:tcPr>
            <w:tcW w:w="6241" w:type="dxa"/>
            <w:tcBorders>
              <w:top w:val="nil"/>
              <w:left w:val="nil"/>
              <w:bottom w:val="single" w:sz="4" w:space="0" w:color="auto"/>
              <w:right w:val="single" w:sz="4" w:space="0" w:color="auto"/>
            </w:tcBorders>
            <w:shd w:val="clear" w:color="auto" w:fill="auto"/>
            <w:noWrap/>
          </w:tcPr>
          <w:p w14:paraId="655AB253" w14:textId="77777777" w:rsidR="000A7DF2" w:rsidRPr="00234CBB" w:rsidRDefault="000A7DF2" w:rsidP="00271111">
            <w:pPr>
              <w:pStyle w:val="Tabletext"/>
              <w:rPr>
                <w:lang w:val="en-US"/>
              </w:rPr>
            </w:pPr>
            <w:r w:rsidRPr="00234CBB">
              <w:rPr>
                <w:lang w:val="en-US"/>
              </w:rPr>
              <w:t>International transit service cost/year for data files</w:t>
            </w:r>
          </w:p>
        </w:tc>
        <w:tc>
          <w:tcPr>
            <w:tcW w:w="1848" w:type="dxa"/>
            <w:tcBorders>
              <w:top w:val="nil"/>
              <w:left w:val="nil"/>
              <w:bottom w:val="single" w:sz="4" w:space="0" w:color="auto"/>
              <w:right w:val="single" w:sz="4" w:space="0" w:color="auto"/>
            </w:tcBorders>
            <w:shd w:val="clear" w:color="auto" w:fill="auto"/>
            <w:noWrap/>
          </w:tcPr>
          <w:p w14:paraId="6377FFFA" w14:textId="77777777" w:rsidR="000A7DF2" w:rsidRPr="00406208" w:rsidRDefault="000A7DF2" w:rsidP="00271111">
            <w:pPr>
              <w:pStyle w:val="Tabletext"/>
              <w:rPr>
                <w:sz w:val="18"/>
              </w:rPr>
            </w:pPr>
            <w:r w:rsidRPr="00406208">
              <w:rPr>
                <w:sz w:val="18"/>
              </w:rPr>
              <w:t>currency (USD)</w:t>
            </w:r>
          </w:p>
        </w:tc>
      </w:tr>
      <w:tr w:rsidR="000A7DF2" w:rsidRPr="002B326F" w14:paraId="1F253030" w14:textId="77777777">
        <w:trPr>
          <w:trHeight w:val="570"/>
        </w:trPr>
        <w:tc>
          <w:tcPr>
            <w:tcW w:w="1286" w:type="dxa"/>
            <w:tcBorders>
              <w:top w:val="nil"/>
              <w:left w:val="single" w:sz="4" w:space="0" w:color="auto"/>
              <w:bottom w:val="single" w:sz="4" w:space="0" w:color="auto"/>
              <w:right w:val="single" w:sz="4" w:space="0" w:color="auto"/>
            </w:tcBorders>
            <w:shd w:val="clear" w:color="auto" w:fill="auto"/>
            <w:noWrap/>
          </w:tcPr>
          <w:p w14:paraId="6AA9D3CF" w14:textId="77777777" w:rsidR="000A7DF2" w:rsidRPr="002B326F" w:rsidRDefault="000A7DF2" w:rsidP="00271111">
            <w:pPr>
              <w:pStyle w:val="Tabletext"/>
            </w:pPr>
            <w:r w:rsidRPr="002B326F">
              <w:t>A5</w:t>
            </w:r>
          </w:p>
        </w:tc>
        <w:tc>
          <w:tcPr>
            <w:tcW w:w="6241" w:type="dxa"/>
            <w:tcBorders>
              <w:top w:val="nil"/>
              <w:left w:val="nil"/>
              <w:bottom w:val="single" w:sz="4" w:space="0" w:color="auto"/>
              <w:right w:val="single" w:sz="4" w:space="0" w:color="auto"/>
            </w:tcBorders>
            <w:shd w:val="clear" w:color="auto" w:fill="auto"/>
          </w:tcPr>
          <w:p w14:paraId="102F9002" w14:textId="77777777" w:rsidR="000A7DF2" w:rsidRPr="00234CBB" w:rsidRDefault="000A7DF2" w:rsidP="00271111">
            <w:pPr>
              <w:pStyle w:val="Tabletext"/>
              <w:rPr>
                <w:lang w:val="en-US"/>
              </w:rPr>
            </w:pPr>
            <w:r w:rsidRPr="00234CBB">
              <w:rPr>
                <w:lang w:val="en-US"/>
              </w:rPr>
              <w:t>Operational cost/year of mobile Voice origination business process element in visited country</w:t>
            </w:r>
          </w:p>
        </w:tc>
        <w:tc>
          <w:tcPr>
            <w:tcW w:w="1848" w:type="dxa"/>
            <w:tcBorders>
              <w:top w:val="nil"/>
              <w:left w:val="nil"/>
              <w:bottom w:val="single" w:sz="4" w:space="0" w:color="auto"/>
              <w:right w:val="single" w:sz="4" w:space="0" w:color="auto"/>
            </w:tcBorders>
            <w:shd w:val="clear" w:color="auto" w:fill="auto"/>
            <w:noWrap/>
          </w:tcPr>
          <w:p w14:paraId="0BB44E1C" w14:textId="77777777" w:rsidR="000A7DF2" w:rsidRPr="00406208" w:rsidRDefault="000A7DF2" w:rsidP="00271111">
            <w:pPr>
              <w:pStyle w:val="Tabletext"/>
              <w:rPr>
                <w:sz w:val="18"/>
              </w:rPr>
            </w:pPr>
            <w:r w:rsidRPr="00406208">
              <w:rPr>
                <w:sz w:val="18"/>
              </w:rPr>
              <w:t>currency (USD)</w:t>
            </w:r>
          </w:p>
        </w:tc>
      </w:tr>
      <w:tr w:rsidR="000A7DF2" w:rsidRPr="002B326F" w14:paraId="6A5913C3" w14:textId="77777777">
        <w:trPr>
          <w:trHeight w:val="270"/>
        </w:trPr>
        <w:tc>
          <w:tcPr>
            <w:tcW w:w="1286" w:type="dxa"/>
            <w:tcBorders>
              <w:top w:val="nil"/>
              <w:left w:val="single" w:sz="4" w:space="0" w:color="auto"/>
              <w:bottom w:val="single" w:sz="4" w:space="0" w:color="auto"/>
              <w:right w:val="single" w:sz="4" w:space="0" w:color="auto"/>
            </w:tcBorders>
            <w:shd w:val="clear" w:color="auto" w:fill="auto"/>
            <w:noWrap/>
          </w:tcPr>
          <w:p w14:paraId="70B654C3" w14:textId="77777777" w:rsidR="000A7DF2" w:rsidRPr="002B326F" w:rsidRDefault="000A7DF2" w:rsidP="00271111">
            <w:pPr>
              <w:pStyle w:val="Tabletext"/>
            </w:pPr>
            <w:r w:rsidRPr="002B326F">
              <w:t>A6</w:t>
            </w:r>
          </w:p>
        </w:tc>
        <w:tc>
          <w:tcPr>
            <w:tcW w:w="6241" w:type="dxa"/>
            <w:tcBorders>
              <w:top w:val="nil"/>
              <w:left w:val="nil"/>
              <w:bottom w:val="single" w:sz="4" w:space="0" w:color="auto"/>
              <w:right w:val="single" w:sz="4" w:space="0" w:color="auto"/>
            </w:tcBorders>
            <w:shd w:val="clear" w:color="auto" w:fill="auto"/>
          </w:tcPr>
          <w:p w14:paraId="1DDEA6F1" w14:textId="77777777" w:rsidR="000A7DF2" w:rsidRPr="00234CBB" w:rsidRDefault="000A7DF2" w:rsidP="00271111">
            <w:pPr>
              <w:pStyle w:val="Tabletext"/>
              <w:rPr>
                <w:lang w:val="en-US"/>
              </w:rPr>
            </w:pPr>
            <w:r w:rsidRPr="00234CBB">
              <w:rPr>
                <w:lang w:val="en-US"/>
              </w:rPr>
              <w:t>Operational cost/year of mobile termination business process element in visited country ie an on-net call</w:t>
            </w:r>
          </w:p>
        </w:tc>
        <w:tc>
          <w:tcPr>
            <w:tcW w:w="1848" w:type="dxa"/>
            <w:tcBorders>
              <w:top w:val="nil"/>
              <w:left w:val="nil"/>
              <w:bottom w:val="single" w:sz="4" w:space="0" w:color="auto"/>
              <w:right w:val="single" w:sz="4" w:space="0" w:color="auto"/>
            </w:tcBorders>
            <w:shd w:val="clear" w:color="auto" w:fill="auto"/>
            <w:noWrap/>
          </w:tcPr>
          <w:p w14:paraId="01B726D3" w14:textId="77777777" w:rsidR="000A7DF2" w:rsidRPr="00406208" w:rsidRDefault="000A7DF2" w:rsidP="00271111">
            <w:pPr>
              <w:pStyle w:val="Tabletext"/>
              <w:rPr>
                <w:sz w:val="18"/>
              </w:rPr>
            </w:pPr>
            <w:r w:rsidRPr="00406208">
              <w:rPr>
                <w:sz w:val="18"/>
              </w:rPr>
              <w:t>currency (USD)</w:t>
            </w:r>
          </w:p>
        </w:tc>
      </w:tr>
    </w:tbl>
    <w:p w14:paraId="76581900" w14:textId="77777777" w:rsidR="00C03C87" w:rsidRDefault="00C03C87">
      <w:pPr>
        <w:rPr>
          <w:bCs/>
        </w:rPr>
      </w:pPr>
      <w:r>
        <w:rPr>
          <w:bCs/>
        </w:rPr>
        <w:br w:type="page"/>
      </w:r>
    </w:p>
    <w:tbl>
      <w:tblPr>
        <w:tblW w:w="9375" w:type="dxa"/>
        <w:tblInd w:w="98" w:type="dxa"/>
        <w:tblLook w:val="0000" w:firstRow="0" w:lastRow="0" w:firstColumn="0" w:lastColumn="0" w:noHBand="0" w:noVBand="0"/>
      </w:tblPr>
      <w:tblGrid>
        <w:gridCol w:w="1286"/>
        <w:gridCol w:w="5947"/>
        <w:gridCol w:w="2142"/>
      </w:tblGrid>
      <w:tr w:rsidR="00C03C87" w:rsidRPr="002B326F" w14:paraId="757A6B28" w14:textId="77777777">
        <w:trPr>
          <w:trHeight w:val="390"/>
        </w:trPr>
        <w:tc>
          <w:tcPr>
            <w:tcW w:w="9375" w:type="dxa"/>
            <w:gridSpan w:val="3"/>
            <w:tcBorders>
              <w:top w:val="single" w:sz="4" w:space="0" w:color="auto"/>
              <w:left w:val="single" w:sz="4" w:space="0" w:color="auto"/>
              <w:bottom w:val="single" w:sz="4" w:space="0" w:color="auto"/>
              <w:right w:val="single" w:sz="4" w:space="0" w:color="auto"/>
            </w:tcBorders>
            <w:shd w:val="clear" w:color="auto" w:fill="auto"/>
            <w:noWrap/>
          </w:tcPr>
          <w:p w14:paraId="2CC3FAD4" w14:textId="77777777" w:rsidR="00C03C87" w:rsidRPr="00C03C87" w:rsidRDefault="00C03C87" w:rsidP="006E2CC6">
            <w:pPr>
              <w:pStyle w:val="Tablehead"/>
              <w:jc w:val="left"/>
            </w:pPr>
            <w:r w:rsidRPr="00C03C87">
              <w:lastRenderedPageBreak/>
              <w:t> Visited network </w:t>
            </w:r>
          </w:p>
        </w:tc>
      </w:tr>
      <w:tr w:rsidR="00C03C87" w:rsidRPr="002B326F" w14:paraId="42625219" w14:textId="77777777">
        <w:trPr>
          <w:trHeight w:val="300"/>
        </w:trPr>
        <w:tc>
          <w:tcPr>
            <w:tcW w:w="1286" w:type="dxa"/>
            <w:tcBorders>
              <w:top w:val="single" w:sz="4" w:space="0" w:color="auto"/>
              <w:left w:val="single" w:sz="4" w:space="0" w:color="auto"/>
              <w:bottom w:val="single" w:sz="4" w:space="0" w:color="auto"/>
              <w:right w:val="single" w:sz="4" w:space="0" w:color="auto"/>
            </w:tcBorders>
            <w:shd w:val="clear" w:color="auto" w:fill="E7E6E6"/>
            <w:noWrap/>
          </w:tcPr>
          <w:p w14:paraId="746DDD0E" w14:textId="77777777" w:rsidR="00C03C87" w:rsidRPr="00406208" w:rsidRDefault="00C03C87" w:rsidP="006E2CC6">
            <w:pPr>
              <w:pStyle w:val="Tablehead"/>
              <w:rPr>
                <w:sz w:val="20"/>
                <w:szCs w:val="20"/>
                <w:lang w:eastAsia="ja-JP"/>
              </w:rPr>
            </w:pPr>
            <w:r w:rsidRPr="00406208">
              <w:t>Short code</w:t>
            </w:r>
          </w:p>
        </w:tc>
        <w:tc>
          <w:tcPr>
            <w:tcW w:w="5947" w:type="dxa"/>
            <w:tcBorders>
              <w:top w:val="single" w:sz="4" w:space="0" w:color="auto"/>
              <w:left w:val="nil"/>
              <w:bottom w:val="single" w:sz="4" w:space="0" w:color="auto"/>
              <w:right w:val="nil"/>
            </w:tcBorders>
            <w:shd w:val="clear" w:color="auto" w:fill="E7E6E6"/>
            <w:noWrap/>
          </w:tcPr>
          <w:p w14:paraId="35C66849" w14:textId="77777777" w:rsidR="00C03C87" w:rsidRPr="002B326F" w:rsidRDefault="00C03C87" w:rsidP="006E2CC6">
            <w:pPr>
              <w:pStyle w:val="Tablehead"/>
              <w:rPr>
                <w:sz w:val="20"/>
                <w:szCs w:val="20"/>
                <w:lang w:eastAsia="ja-JP"/>
              </w:rPr>
            </w:pPr>
            <w:r w:rsidRPr="002B326F">
              <w:rPr>
                <w:sz w:val="20"/>
                <w:szCs w:val="20"/>
                <w:lang w:eastAsia="ja-JP"/>
              </w:rPr>
              <w:t>Parameter description</w:t>
            </w:r>
          </w:p>
        </w:tc>
        <w:tc>
          <w:tcPr>
            <w:tcW w:w="2142" w:type="dxa"/>
            <w:tcBorders>
              <w:top w:val="single" w:sz="4" w:space="0" w:color="auto"/>
              <w:left w:val="single" w:sz="4" w:space="0" w:color="auto"/>
              <w:bottom w:val="single" w:sz="4" w:space="0" w:color="auto"/>
              <w:right w:val="single" w:sz="4" w:space="0" w:color="auto"/>
            </w:tcBorders>
            <w:shd w:val="clear" w:color="auto" w:fill="E7E6E6"/>
            <w:noWrap/>
          </w:tcPr>
          <w:p w14:paraId="179B7849" w14:textId="77777777" w:rsidR="00C03C87" w:rsidRPr="00406208" w:rsidRDefault="00C03C87" w:rsidP="006E2CC6">
            <w:pPr>
              <w:pStyle w:val="Tablehead"/>
              <w:rPr>
                <w:sz w:val="18"/>
                <w:szCs w:val="18"/>
                <w:lang w:eastAsia="ja-JP"/>
              </w:rPr>
            </w:pPr>
            <w:r w:rsidRPr="00406208">
              <w:rPr>
                <w:sz w:val="18"/>
                <w:szCs w:val="18"/>
                <w:lang w:eastAsia="ja-JP"/>
              </w:rPr>
              <w:t>Unit</w:t>
            </w:r>
          </w:p>
        </w:tc>
      </w:tr>
      <w:tr w:rsidR="000A7DF2" w:rsidRPr="002B326F" w14:paraId="636310BC" w14:textId="77777777">
        <w:trPr>
          <w:trHeight w:val="510"/>
        </w:trPr>
        <w:tc>
          <w:tcPr>
            <w:tcW w:w="1286" w:type="dxa"/>
            <w:tcBorders>
              <w:top w:val="nil"/>
              <w:left w:val="single" w:sz="4" w:space="0" w:color="auto"/>
              <w:bottom w:val="single" w:sz="4" w:space="0" w:color="auto"/>
              <w:right w:val="single" w:sz="4" w:space="0" w:color="auto"/>
            </w:tcBorders>
            <w:shd w:val="clear" w:color="auto" w:fill="auto"/>
            <w:noWrap/>
          </w:tcPr>
          <w:p w14:paraId="50F47128" w14:textId="77777777" w:rsidR="000A7DF2" w:rsidRPr="002B326F" w:rsidRDefault="000A7DF2" w:rsidP="00271111">
            <w:pPr>
              <w:pStyle w:val="Tabletext"/>
            </w:pPr>
            <w:r w:rsidRPr="002B326F">
              <w:t xml:space="preserve">A7 </w:t>
            </w:r>
          </w:p>
        </w:tc>
        <w:tc>
          <w:tcPr>
            <w:tcW w:w="5947" w:type="dxa"/>
            <w:tcBorders>
              <w:top w:val="nil"/>
              <w:left w:val="nil"/>
              <w:bottom w:val="single" w:sz="4" w:space="0" w:color="auto"/>
              <w:right w:val="single" w:sz="4" w:space="0" w:color="auto"/>
            </w:tcBorders>
            <w:shd w:val="clear" w:color="auto" w:fill="auto"/>
          </w:tcPr>
          <w:p w14:paraId="4CA5F0D5" w14:textId="77777777" w:rsidR="000A7DF2" w:rsidRPr="00234CBB" w:rsidRDefault="000A7DF2" w:rsidP="00271111">
            <w:pPr>
              <w:pStyle w:val="Tabletext"/>
              <w:rPr>
                <w:lang w:val="en-US"/>
              </w:rPr>
            </w:pPr>
            <w:r w:rsidRPr="00234CBB">
              <w:rPr>
                <w:lang w:val="en-US"/>
              </w:rPr>
              <w:t>Operational cost/year of off-net mobile termination business process element in visited country with MTR</w:t>
            </w:r>
          </w:p>
        </w:tc>
        <w:tc>
          <w:tcPr>
            <w:tcW w:w="2142" w:type="dxa"/>
            <w:tcBorders>
              <w:top w:val="nil"/>
              <w:left w:val="nil"/>
              <w:bottom w:val="single" w:sz="4" w:space="0" w:color="auto"/>
              <w:right w:val="single" w:sz="4" w:space="0" w:color="auto"/>
            </w:tcBorders>
            <w:shd w:val="clear" w:color="auto" w:fill="auto"/>
            <w:noWrap/>
          </w:tcPr>
          <w:p w14:paraId="15150B66" w14:textId="77777777" w:rsidR="000A7DF2" w:rsidRPr="00406208" w:rsidRDefault="000A7DF2" w:rsidP="00271111">
            <w:pPr>
              <w:pStyle w:val="Tabletext"/>
              <w:rPr>
                <w:sz w:val="18"/>
              </w:rPr>
            </w:pPr>
            <w:r w:rsidRPr="00406208">
              <w:rPr>
                <w:sz w:val="18"/>
              </w:rPr>
              <w:t>currency (USD)</w:t>
            </w:r>
          </w:p>
        </w:tc>
      </w:tr>
      <w:tr w:rsidR="000A7DF2" w:rsidRPr="002B326F" w14:paraId="60257627" w14:textId="77777777">
        <w:trPr>
          <w:trHeight w:val="765"/>
        </w:trPr>
        <w:tc>
          <w:tcPr>
            <w:tcW w:w="1286" w:type="dxa"/>
            <w:tcBorders>
              <w:top w:val="nil"/>
              <w:left w:val="single" w:sz="4" w:space="0" w:color="auto"/>
              <w:bottom w:val="single" w:sz="4" w:space="0" w:color="auto"/>
              <w:right w:val="single" w:sz="4" w:space="0" w:color="auto"/>
            </w:tcBorders>
            <w:shd w:val="clear" w:color="auto" w:fill="auto"/>
            <w:noWrap/>
          </w:tcPr>
          <w:p w14:paraId="6A85DD7A" w14:textId="77777777" w:rsidR="000A7DF2" w:rsidRPr="002B326F" w:rsidRDefault="000A7DF2" w:rsidP="00271111">
            <w:pPr>
              <w:pStyle w:val="Tabletext"/>
            </w:pPr>
            <w:r w:rsidRPr="002B326F">
              <w:t>A8</w:t>
            </w:r>
          </w:p>
        </w:tc>
        <w:tc>
          <w:tcPr>
            <w:tcW w:w="5947" w:type="dxa"/>
            <w:tcBorders>
              <w:top w:val="nil"/>
              <w:left w:val="nil"/>
              <w:bottom w:val="single" w:sz="4" w:space="0" w:color="auto"/>
              <w:right w:val="single" w:sz="4" w:space="0" w:color="auto"/>
            </w:tcBorders>
            <w:shd w:val="clear" w:color="auto" w:fill="auto"/>
          </w:tcPr>
          <w:p w14:paraId="2C8E81B7" w14:textId="77777777" w:rsidR="000A7DF2" w:rsidRPr="00234CBB" w:rsidRDefault="000A7DF2" w:rsidP="00271111">
            <w:pPr>
              <w:pStyle w:val="Tabletext"/>
              <w:rPr>
                <w:lang w:val="en-US"/>
              </w:rPr>
            </w:pPr>
            <w:r w:rsidRPr="00234CBB">
              <w:rPr>
                <w:lang w:val="en-US"/>
              </w:rPr>
              <w:t>Operational cost/year of business process of creating and sending TAP file from processed CDRs and billing for roaming subscriber then handling payment</w:t>
            </w:r>
          </w:p>
        </w:tc>
        <w:tc>
          <w:tcPr>
            <w:tcW w:w="2142" w:type="dxa"/>
            <w:tcBorders>
              <w:top w:val="nil"/>
              <w:left w:val="nil"/>
              <w:bottom w:val="single" w:sz="4" w:space="0" w:color="auto"/>
              <w:right w:val="single" w:sz="4" w:space="0" w:color="auto"/>
            </w:tcBorders>
            <w:shd w:val="clear" w:color="auto" w:fill="auto"/>
            <w:noWrap/>
          </w:tcPr>
          <w:p w14:paraId="72130EA3" w14:textId="77777777" w:rsidR="000A7DF2" w:rsidRPr="00406208" w:rsidRDefault="000A7DF2" w:rsidP="00271111">
            <w:pPr>
              <w:pStyle w:val="Tabletext"/>
              <w:rPr>
                <w:sz w:val="18"/>
              </w:rPr>
            </w:pPr>
            <w:r w:rsidRPr="00406208">
              <w:rPr>
                <w:sz w:val="18"/>
              </w:rPr>
              <w:t>currency (USD)</w:t>
            </w:r>
          </w:p>
        </w:tc>
      </w:tr>
      <w:tr w:rsidR="000A7DF2" w:rsidRPr="002B326F" w14:paraId="53185E25" w14:textId="77777777">
        <w:trPr>
          <w:trHeight w:val="525"/>
        </w:trPr>
        <w:tc>
          <w:tcPr>
            <w:tcW w:w="1286" w:type="dxa"/>
            <w:tcBorders>
              <w:top w:val="nil"/>
              <w:left w:val="single" w:sz="4" w:space="0" w:color="auto"/>
              <w:bottom w:val="single" w:sz="4" w:space="0" w:color="auto"/>
              <w:right w:val="single" w:sz="4" w:space="0" w:color="auto"/>
            </w:tcBorders>
            <w:shd w:val="clear" w:color="auto" w:fill="auto"/>
            <w:noWrap/>
          </w:tcPr>
          <w:p w14:paraId="1832A896" w14:textId="77777777" w:rsidR="000A7DF2" w:rsidRPr="002B326F" w:rsidRDefault="000A7DF2" w:rsidP="00271111">
            <w:pPr>
              <w:pStyle w:val="Tabletext"/>
            </w:pPr>
            <w:r w:rsidRPr="002B326F">
              <w:t>A9</w:t>
            </w:r>
          </w:p>
        </w:tc>
        <w:tc>
          <w:tcPr>
            <w:tcW w:w="5947" w:type="dxa"/>
            <w:tcBorders>
              <w:top w:val="nil"/>
              <w:left w:val="nil"/>
              <w:bottom w:val="single" w:sz="4" w:space="0" w:color="auto"/>
              <w:right w:val="single" w:sz="4" w:space="0" w:color="auto"/>
            </w:tcBorders>
            <w:shd w:val="clear" w:color="auto" w:fill="auto"/>
          </w:tcPr>
          <w:p w14:paraId="6A7A43FA" w14:textId="77777777" w:rsidR="000A7DF2" w:rsidRPr="00234CBB" w:rsidRDefault="000A7DF2" w:rsidP="00271111">
            <w:pPr>
              <w:pStyle w:val="Tabletext"/>
              <w:rPr>
                <w:lang w:val="en-US"/>
              </w:rPr>
            </w:pPr>
            <w:r w:rsidRPr="00234CBB">
              <w:rPr>
                <w:lang w:val="en-US"/>
              </w:rPr>
              <w:t>Request to HLR and location of local number with CDR update, cost/year</w:t>
            </w:r>
          </w:p>
        </w:tc>
        <w:tc>
          <w:tcPr>
            <w:tcW w:w="2142" w:type="dxa"/>
            <w:tcBorders>
              <w:top w:val="nil"/>
              <w:left w:val="nil"/>
              <w:bottom w:val="single" w:sz="4" w:space="0" w:color="auto"/>
              <w:right w:val="single" w:sz="4" w:space="0" w:color="auto"/>
            </w:tcBorders>
            <w:shd w:val="clear" w:color="auto" w:fill="auto"/>
            <w:noWrap/>
          </w:tcPr>
          <w:p w14:paraId="6F8EC494" w14:textId="77777777" w:rsidR="000A7DF2" w:rsidRPr="00406208" w:rsidRDefault="000A7DF2" w:rsidP="00271111">
            <w:pPr>
              <w:pStyle w:val="Tabletext"/>
              <w:rPr>
                <w:sz w:val="18"/>
              </w:rPr>
            </w:pPr>
            <w:r w:rsidRPr="00406208">
              <w:rPr>
                <w:sz w:val="18"/>
              </w:rPr>
              <w:t>currency (USD)</w:t>
            </w:r>
          </w:p>
        </w:tc>
      </w:tr>
      <w:tr w:rsidR="000A7DF2" w:rsidRPr="002B326F" w14:paraId="6F9C2A58" w14:textId="77777777">
        <w:trPr>
          <w:trHeight w:val="315"/>
        </w:trPr>
        <w:tc>
          <w:tcPr>
            <w:tcW w:w="1286" w:type="dxa"/>
            <w:tcBorders>
              <w:top w:val="nil"/>
              <w:left w:val="single" w:sz="4" w:space="0" w:color="auto"/>
              <w:bottom w:val="single" w:sz="4" w:space="0" w:color="auto"/>
              <w:right w:val="single" w:sz="4" w:space="0" w:color="auto"/>
            </w:tcBorders>
            <w:shd w:val="clear" w:color="auto" w:fill="auto"/>
            <w:noWrap/>
          </w:tcPr>
          <w:p w14:paraId="68E09F5C" w14:textId="77777777" w:rsidR="000A7DF2" w:rsidRPr="002B326F" w:rsidRDefault="000A7DF2" w:rsidP="00271111">
            <w:pPr>
              <w:pStyle w:val="Tabletext"/>
            </w:pPr>
            <w:r w:rsidRPr="002B326F">
              <w:t>A10</w:t>
            </w:r>
          </w:p>
        </w:tc>
        <w:tc>
          <w:tcPr>
            <w:tcW w:w="5947" w:type="dxa"/>
            <w:tcBorders>
              <w:top w:val="nil"/>
              <w:left w:val="nil"/>
              <w:bottom w:val="single" w:sz="4" w:space="0" w:color="auto"/>
              <w:right w:val="single" w:sz="4" w:space="0" w:color="auto"/>
            </w:tcBorders>
            <w:shd w:val="clear" w:color="auto" w:fill="auto"/>
            <w:noWrap/>
          </w:tcPr>
          <w:p w14:paraId="0C4E782C" w14:textId="77777777" w:rsidR="000A7DF2" w:rsidRPr="00234CBB" w:rsidRDefault="000A7DF2" w:rsidP="00271111">
            <w:pPr>
              <w:pStyle w:val="Tabletext"/>
              <w:rPr>
                <w:lang w:val="en-US"/>
              </w:rPr>
            </w:pPr>
            <w:r w:rsidRPr="00234CBB">
              <w:rPr>
                <w:lang w:val="en-US"/>
              </w:rPr>
              <w:t>Maintenance and support for core network, cost/year</w:t>
            </w:r>
          </w:p>
        </w:tc>
        <w:tc>
          <w:tcPr>
            <w:tcW w:w="2142" w:type="dxa"/>
            <w:tcBorders>
              <w:top w:val="nil"/>
              <w:left w:val="nil"/>
              <w:bottom w:val="single" w:sz="4" w:space="0" w:color="auto"/>
              <w:right w:val="single" w:sz="4" w:space="0" w:color="auto"/>
            </w:tcBorders>
            <w:shd w:val="clear" w:color="auto" w:fill="auto"/>
            <w:noWrap/>
          </w:tcPr>
          <w:p w14:paraId="3964EB1B" w14:textId="77777777" w:rsidR="000A7DF2" w:rsidRPr="00406208" w:rsidRDefault="000A7DF2" w:rsidP="00271111">
            <w:pPr>
              <w:pStyle w:val="Tabletext"/>
              <w:rPr>
                <w:sz w:val="18"/>
              </w:rPr>
            </w:pPr>
            <w:r w:rsidRPr="00406208">
              <w:rPr>
                <w:sz w:val="18"/>
              </w:rPr>
              <w:t>currency (USD)</w:t>
            </w:r>
          </w:p>
        </w:tc>
      </w:tr>
      <w:tr w:rsidR="000A7DF2" w:rsidRPr="002B326F" w14:paraId="6E064398" w14:textId="77777777">
        <w:trPr>
          <w:trHeight w:val="315"/>
        </w:trPr>
        <w:tc>
          <w:tcPr>
            <w:tcW w:w="1286" w:type="dxa"/>
            <w:tcBorders>
              <w:top w:val="nil"/>
              <w:left w:val="single" w:sz="4" w:space="0" w:color="auto"/>
              <w:bottom w:val="single" w:sz="4" w:space="0" w:color="auto"/>
              <w:right w:val="single" w:sz="4" w:space="0" w:color="auto"/>
            </w:tcBorders>
            <w:shd w:val="clear" w:color="auto" w:fill="auto"/>
            <w:noWrap/>
          </w:tcPr>
          <w:p w14:paraId="5511735E" w14:textId="77777777" w:rsidR="000A7DF2" w:rsidRPr="002B326F" w:rsidRDefault="000A7DF2" w:rsidP="00271111">
            <w:pPr>
              <w:pStyle w:val="Tabletext"/>
            </w:pPr>
            <w:r w:rsidRPr="002B326F">
              <w:t>A11</w:t>
            </w:r>
          </w:p>
        </w:tc>
        <w:tc>
          <w:tcPr>
            <w:tcW w:w="5947" w:type="dxa"/>
            <w:tcBorders>
              <w:top w:val="nil"/>
              <w:left w:val="nil"/>
              <w:bottom w:val="single" w:sz="4" w:space="0" w:color="auto"/>
              <w:right w:val="single" w:sz="4" w:space="0" w:color="auto"/>
            </w:tcBorders>
            <w:shd w:val="clear" w:color="auto" w:fill="auto"/>
            <w:noWrap/>
          </w:tcPr>
          <w:p w14:paraId="1983D1AA" w14:textId="77777777" w:rsidR="000A7DF2" w:rsidRPr="00234CBB" w:rsidRDefault="000A7DF2" w:rsidP="00271111">
            <w:pPr>
              <w:pStyle w:val="Tabletext"/>
              <w:rPr>
                <w:lang w:val="en-US"/>
              </w:rPr>
            </w:pPr>
            <w:r w:rsidRPr="00234CBB">
              <w:rPr>
                <w:lang w:val="en-US"/>
              </w:rPr>
              <w:t>Maintenance and support for RAN, cost/year</w:t>
            </w:r>
          </w:p>
        </w:tc>
        <w:tc>
          <w:tcPr>
            <w:tcW w:w="2142" w:type="dxa"/>
            <w:tcBorders>
              <w:top w:val="nil"/>
              <w:left w:val="nil"/>
              <w:bottom w:val="single" w:sz="4" w:space="0" w:color="auto"/>
              <w:right w:val="single" w:sz="4" w:space="0" w:color="auto"/>
            </w:tcBorders>
            <w:shd w:val="clear" w:color="auto" w:fill="auto"/>
            <w:noWrap/>
          </w:tcPr>
          <w:p w14:paraId="710F2B8A" w14:textId="77777777" w:rsidR="000A7DF2" w:rsidRPr="00406208" w:rsidRDefault="000A7DF2" w:rsidP="00271111">
            <w:pPr>
              <w:pStyle w:val="Tabletext"/>
              <w:rPr>
                <w:sz w:val="18"/>
              </w:rPr>
            </w:pPr>
            <w:r w:rsidRPr="00406208">
              <w:rPr>
                <w:sz w:val="18"/>
              </w:rPr>
              <w:t>currency (USD)</w:t>
            </w:r>
          </w:p>
        </w:tc>
      </w:tr>
      <w:tr w:rsidR="000A7DF2" w:rsidRPr="002B326F" w14:paraId="763C737E" w14:textId="77777777">
        <w:trPr>
          <w:trHeight w:val="255"/>
        </w:trPr>
        <w:tc>
          <w:tcPr>
            <w:tcW w:w="1286" w:type="dxa"/>
            <w:tcBorders>
              <w:top w:val="nil"/>
              <w:left w:val="single" w:sz="4" w:space="0" w:color="auto"/>
              <w:bottom w:val="single" w:sz="4" w:space="0" w:color="auto"/>
              <w:right w:val="single" w:sz="4" w:space="0" w:color="auto"/>
            </w:tcBorders>
            <w:shd w:val="clear" w:color="auto" w:fill="auto"/>
            <w:noWrap/>
          </w:tcPr>
          <w:p w14:paraId="015BFECE" w14:textId="77777777" w:rsidR="000A7DF2" w:rsidRPr="002B326F" w:rsidRDefault="000A7DF2" w:rsidP="00271111">
            <w:pPr>
              <w:pStyle w:val="Tabletext"/>
            </w:pPr>
            <w:r w:rsidRPr="002B326F">
              <w:t>B3</w:t>
            </w:r>
          </w:p>
        </w:tc>
        <w:tc>
          <w:tcPr>
            <w:tcW w:w="5947" w:type="dxa"/>
            <w:tcBorders>
              <w:top w:val="nil"/>
              <w:left w:val="nil"/>
              <w:bottom w:val="single" w:sz="4" w:space="0" w:color="auto"/>
              <w:right w:val="single" w:sz="4" w:space="0" w:color="auto"/>
            </w:tcBorders>
            <w:shd w:val="clear" w:color="auto" w:fill="auto"/>
            <w:noWrap/>
          </w:tcPr>
          <w:p w14:paraId="414ADD8F" w14:textId="77777777" w:rsidR="000A7DF2" w:rsidRPr="00234CBB" w:rsidRDefault="000A7DF2" w:rsidP="00271111">
            <w:pPr>
              <w:pStyle w:val="Tabletext"/>
              <w:rPr>
                <w:lang w:val="en-US"/>
              </w:rPr>
            </w:pPr>
            <w:r w:rsidRPr="00234CBB">
              <w:rPr>
                <w:lang w:val="en-US"/>
              </w:rPr>
              <w:t>Operational cost / year of billing transaction for visitor</w:t>
            </w:r>
          </w:p>
        </w:tc>
        <w:tc>
          <w:tcPr>
            <w:tcW w:w="2142" w:type="dxa"/>
            <w:tcBorders>
              <w:top w:val="nil"/>
              <w:left w:val="nil"/>
              <w:bottom w:val="single" w:sz="4" w:space="0" w:color="auto"/>
              <w:right w:val="single" w:sz="4" w:space="0" w:color="auto"/>
            </w:tcBorders>
            <w:shd w:val="clear" w:color="auto" w:fill="auto"/>
            <w:noWrap/>
          </w:tcPr>
          <w:p w14:paraId="70227DAE" w14:textId="77777777" w:rsidR="000A7DF2" w:rsidRPr="00406208" w:rsidRDefault="000A7DF2" w:rsidP="00271111">
            <w:pPr>
              <w:pStyle w:val="Tabletext"/>
              <w:rPr>
                <w:sz w:val="18"/>
              </w:rPr>
            </w:pPr>
            <w:r w:rsidRPr="00406208">
              <w:rPr>
                <w:sz w:val="18"/>
              </w:rPr>
              <w:t>currency (USD)</w:t>
            </w:r>
          </w:p>
        </w:tc>
      </w:tr>
      <w:tr w:rsidR="000A7DF2" w:rsidRPr="002B326F" w14:paraId="0986D45F" w14:textId="77777777">
        <w:trPr>
          <w:trHeight w:val="300"/>
        </w:trPr>
        <w:tc>
          <w:tcPr>
            <w:tcW w:w="1286" w:type="dxa"/>
            <w:tcBorders>
              <w:top w:val="nil"/>
              <w:left w:val="single" w:sz="4" w:space="0" w:color="auto"/>
              <w:bottom w:val="single" w:sz="4" w:space="0" w:color="auto"/>
              <w:right w:val="single" w:sz="4" w:space="0" w:color="auto"/>
            </w:tcBorders>
            <w:shd w:val="clear" w:color="auto" w:fill="auto"/>
            <w:noWrap/>
          </w:tcPr>
          <w:p w14:paraId="0827AF93" w14:textId="77777777" w:rsidR="000A7DF2" w:rsidRPr="002B326F" w:rsidRDefault="000A7DF2" w:rsidP="00271111">
            <w:pPr>
              <w:pStyle w:val="Tabletext"/>
            </w:pPr>
            <w:r w:rsidRPr="002B326F">
              <w:t>B4</w:t>
            </w:r>
          </w:p>
        </w:tc>
        <w:tc>
          <w:tcPr>
            <w:tcW w:w="5947" w:type="dxa"/>
            <w:tcBorders>
              <w:top w:val="nil"/>
              <w:left w:val="nil"/>
              <w:bottom w:val="single" w:sz="4" w:space="0" w:color="auto"/>
              <w:right w:val="single" w:sz="4" w:space="0" w:color="auto"/>
            </w:tcBorders>
            <w:shd w:val="clear" w:color="auto" w:fill="auto"/>
            <w:noWrap/>
          </w:tcPr>
          <w:p w14:paraId="7587452F" w14:textId="77777777" w:rsidR="000A7DF2" w:rsidRPr="00234CBB" w:rsidRDefault="000A7DF2" w:rsidP="00271111">
            <w:pPr>
              <w:pStyle w:val="Tabletext"/>
              <w:rPr>
                <w:lang w:val="en-US"/>
              </w:rPr>
            </w:pPr>
            <w:r w:rsidRPr="00234CBB">
              <w:rPr>
                <w:lang w:val="en-US"/>
              </w:rPr>
              <w:t>CDR collection, management and rating business process, cost/year</w:t>
            </w:r>
          </w:p>
        </w:tc>
        <w:tc>
          <w:tcPr>
            <w:tcW w:w="2142" w:type="dxa"/>
            <w:tcBorders>
              <w:top w:val="nil"/>
              <w:left w:val="nil"/>
              <w:bottom w:val="single" w:sz="4" w:space="0" w:color="auto"/>
              <w:right w:val="single" w:sz="4" w:space="0" w:color="auto"/>
            </w:tcBorders>
            <w:shd w:val="clear" w:color="auto" w:fill="auto"/>
            <w:noWrap/>
          </w:tcPr>
          <w:p w14:paraId="61761169" w14:textId="77777777" w:rsidR="000A7DF2" w:rsidRPr="00406208" w:rsidRDefault="000A7DF2" w:rsidP="00271111">
            <w:pPr>
              <w:pStyle w:val="Tabletext"/>
              <w:rPr>
                <w:sz w:val="18"/>
              </w:rPr>
            </w:pPr>
            <w:r w:rsidRPr="00406208">
              <w:rPr>
                <w:sz w:val="18"/>
              </w:rPr>
              <w:t>currency (USD)</w:t>
            </w:r>
          </w:p>
        </w:tc>
      </w:tr>
      <w:tr w:rsidR="000A7DF2" w:rsidRPr="002B326F" w14:paraId="1F10100B" w14:textId="77777777">
        <w:trPr>
          <w:trHeight w:val="300"/>
        </w:trPr>
        <w:tc>
          <w:tcPr>
            <w:tcW w:w="1286" w:type="dxa"/>
            <w:tcBorders>
              <w:top w:val="nil"/>
              <w:left w:val="single" w:sz="4" w:space="0" w:color="auto"/>
              <w:bottom w:val="single" w:sz="4" w:space="0" w:color="auto"/>
              <w:right w:val="single" w:sz="4" w:space="0" w:color="auto"/>
            </w:tcBorders>
            <w:shd w:val="clear" w:color="auto" w:fill="auto"/>
            <w:noWrap/>
          </w:tcPr>
          <w:p w14:paraId="148DF138" w14:textId="77777777" w:rsidR="000A7DF2" w:rsidRPr="002B326F" w:rsidRDefault="000A7DF2" w:rsidP="00271111">
            <w:pPr>
              <w:pStyle w:val="Tabletext"/>
            </w:pPr>
            <w:r w:rsidRPr="002B326F">
              <w:t>ID2</w:t>
            </w:r>
          </w:p>
        </w:tc>
        <w:tc>
          <w:tcPr>
            <w:tcW w:w="5947" w:type="dxa"/>
            <w:tcBorders>
              <w:top w:val="nil"/>
              <w:left w:val="nil"/>
              <w:bottom w:val="single" w:sz="4" w:space="0" w:color="auto"/>
              <w:right w:val="single" w:sz="4" w:space="0" w:color="auto"/>
            </w:tcBorders>
            <w:shd w:val="clear" w:color="auto" w:fill="auto"/>
            <w:noWrap/>
          </w:tcPr>
          <w:p w14:paraId="246BA75E" w14:textId="77777777" w:rsidR="000A7DF2" w:rsidRPr="00234CBB" w:rsidRDefault="000A7DF2" w:rsidP="00271111">
            <w:pPr>
              <w:pStyle w:val="Tabletext"/>
              <w:rPr>
                <w:lang w:val="en-US"/>
              </w:rPr>
            </w:pPr>
            <w:r w:rsidRPr="00234CBB">
              <w:rPr>
                <w:lang w:val="en-US"/>
              </w:rPr>
              <w:t>Verify caller against prepaid/ postpaid limits received, cost/year</w:t>
            </w:r>
          </w:p>
        </w:tc>
        <w:tc>
          <w:tcPr>
            <w:tcW w:w="2142" w:type="dxa"/>
            <w:tcBorders>
              <w:top w:val="nil"/>
              <w:left w:val="nil"/>
              <w:bottom w:val="single" w:sz="4" w:space="0" w:color="auto"/>
              <w:right w:val="single" w:sz="4" w:space="0" w:color="auto"/>
            </w:tcBorders>
            <w:shd w:val="clear" w:color="auto" w:fill="auto"/>
            <w:noWrap/>
          </w:tcPr>
          <w:p w14:paraId="51009990" w14:textId="77777777" w:rsidR="000A7DF2" w:rsidRPr="00406208" w:rsidRDefault="000A7DF2" w:rsidP="00271111">
            <w:pPr>
              <w:pStyle w:val="Tabletext"/>
              <w:rPr>
                <w:sz w:val="18"/>
              </w:rPr>
            </w:pPr>
            <w:r w:rsidRPr="00406208">
              <w:rPr>
                <w:sz w:val="18"/>
              </w:rPr>
              <w:t>currency (USD)</w:t>
            </w:r>
          </w:p>
        </w:tc>
      </w:tr>
      <w:tr w:rsidR="000A7DF2" w:rsidRPr="002B326F" w14:paraId="021C4602" w14:textId="77777777">
        <w:trPr>
          <w:trHeight w:val="525"/>
        </w:trPr>
        <w:tc>
          <w:tcPr>
            <w:tcW w:w="1286" w:type="dxa"/>
            <w:tcBorders>
              <w:top w:val="nil"/>
              <w:left w:val="single" w:sz="4" w:space="0" w:color="auto"/>
              <w:bottom w:val="single" w:sz="4" w:space="0" w:color="auto"/>
              <w:right w:val="single" w:sz="4" w:space="0" w:color="auto"/>
            </w:tcBorders>
            <w:shd w:val="clear" w:color="auto" w:fill="auto"/>
            <w:noWrap/>
          </w:tcPr>
          <w:p w14:paraId="46442A98" w14:textId="77777777" w:rsidR="000A7DF2" w:rsidRPr="002B326F" w:rsidRDefault="000A7DF2" w:rsidP="00271111">
            <w:pPr>
              <w:pStyle w:val="Tabletext"/>
            </w:pPr>
            <w:r w:rsidRPr="002B326F">
              <w:t>A5D</w:t>
            </w:r>
          </w:p>
        </w:tc>
        <w:tc>
          <w:tcPr>
            <w:tcW w:w="5947" w:type="dxa"/>
            <w:tcBorders>
              <w:top w:val="nil"/>
              <w:left w:val="nil"/>
              <w:bottom w:val="single" w:sz="4" w:space="0" w:color="auto"/>
              <w:right w:val="single" w:sz="4" w:space="0" w:color="auto"/>
            </w:tcBorders>
            <w:shd w:val="clear" w:color="auto" w:fill="auto"/>
          </w:tcPr>
          <w:p w14:paraId="4022F6B0" w14:textId="77777777" w:rsidR="000A7DF2" w:rsidRPr="00234CBB" w:rsidRDefault="000A7DF2" w:rsidP="00271111">
            <w:pPr>
              <w:pStyle w:val="Tabletext"/>
              <w:rPr>
                <w:lang w:val="en-US"/>
              </w:rPr>
            </w:pPr>
            <w:r w:rsidRPr="00234CBB">
              <w:rPr>
                <w:lang w:val="en-US"/>
              </w:rPr>
              <w:t>Operational cost/year of mobile data session origination business process element in visited country</w:t>
            </w:r>
          </w:p>
        </w:tc>
        <w:tc>
          <w:tcPr>
            <w:tcW w:w="2142" w:type="dxa"/>
            <w:tcBorders>
              <w:top w:val="nil"/>
              <w:left w:val="nil"/>
              <w:bottom w:val="single" w:sz="4" w:space="0" w:color="auto"/>
              <w:right w:val="single" w:sz="4" w:space="0" w:color="auto"/>
            </w:tcBorders>
            <w:shd w:val="clear" w:color="auto" w:fill="auto"/>
            <w:noWrap/>
          </w:tcPr>
          <w:p w14:paraId="185EA63E" w14:textId="77777777" w:rsidR="000A7DF2" w:rsidRPr="00406208" w:rsidRDefault="000A7DF2" w:rsidP="00271111">
            <w:pPr>
              <w:pStyle w:val="Tabletext"/>
              <w:rPr>
                <w:sz w:val="18"/>
              </w:rPr>
            </w:pPr>
            <w:r w:rsidRPr="00406208">
              <w:rPr>
                <w:sz w:val="18"/>
              </w:rPr>
              <w:t>currency (USD)</w:t>
            </w:r>
          </w:p>
        </w:tc>
      </w:tr>
      <w:tr w:rsidR="000A7DF2" w:rsidRPr="002B326F" w14:paraId="2D31857A" w14:textId="77777777">
        <w:trPr>
          <w:trHeight w:val="540"/>
        </w:trPr>
        <w:tc>
          <w:tcPr>
            <w:tcW w:w="1286" w:type="dxa"/>
            <w:tcBorders>
              <w:top w:val="nil"/>
              <w:left w:val="single" w:sz="4" w:space="0" w:color="auto"/>
              <w:bottom w:val="single" w:sz="4" w:space="0" w:color="auto"/>
              <w:right w:val="single" w:sz="4" w:space="0" w:color="auto"/>
            </w:tcBorders>
            <w:shd w:val="clear" w:color="auto" w:fill="auto"/>
            <w:noWrap/>
          </w:tcPr>
          <w:p w14:paraId="11B67805" w14:textId="77777777" w:rsidR="000A7DF2" w:rsidRPr="002B326F" w:rsidRDefault="000A7DF2" w:rsidP="00271111">
            <w:pPr>
              <w:pStyle w:val="Tabletext"/>
            </w:pPr>
            <w:r w:rsidRPr="002B326F">
              <w:t>BCAM2</w:t>
            </w:r>
          </w:p>
        </w:tc>
        <w:tc>
          <w:tcPr>
            <w:tcW w:w="5947" w:type="dxa"/>
            <w:tcBorders>
              <w:top w:val="nil"/>
              <w:left w:val="nil"/>
              <w:bottom w:val="single" w:sz="4" w:space="0" w:color="auto"/>
              <w:right w:val="single" w:sz="4" w:space="0" w:color="auto"/>
            </w:tcBorders>
            <w:shd w:val="clear" w:color="auto" w:fill="auto"/>
            <w:noWrap/>
          </w:tcPr>
          <w:p w14:paraId="202721A0" w14:textId="77777777" w:rsidR="000A7DF2" w:rsidRPr="00234CBB" w:rsidRDefault="000A7DF2" w:rsidP="00271111">
            <w:pPr>
              <w:pStyle w:val="Tabletext"/>
              <w:rPr>
                <w:lang w:val="en-US"/>
              </w:rPr>
            </w:pPr>
            <w:r w:rsidRPr="00234CBB">
              <w:rPr>
                <w:lang w:val="en-US"/>
              </w:rPr>
              <w:t>Business process cost/year for CAMEL applications including fraud control</w:t>
            </w:r>
          </w:p>
        </w:tc>
        <w:tc>
          <w:tcPr>
            <w:tcW w:w="2142" w:type="dxa"/>
            <w:tcBorders>
              <w:top w:val="nil"/>
              <w:left w:val="nil"/>
              <w:bottom w:val="single" w:sz="4" w:space="0" w:color="auto"/>
              <w:right w:val="single" w:sz="4" w:space="0" w:color="auto"/>
            </w:tcBorders>
            <w:shd w:val="clear" w:color="auto" w:fill="auto"/>
            <w:noWrap/>
          </w:tcPr>
          <w:p w14:paraId="1841BE62" w14:textId="77777777" w:rsidR="000A7DF2" w:rsidRPr="00406208" w:rsidRDefault="000A7DF2" w:rsidP="00271111">
            <w:pPr>
              <w:pStyle w:val="Tabletext"/>
              <w:rPr>
                <w:sz w:val="18"/>
              </w:rPr>
            </w:pPr>
            <w:r w:rsidRPr="00406208">
              <w:rPr>
                <w:sz w:val="18"/>
              </w:rPr>
              <w:t>currency (USD)</w:t>
            </w:r>
          </w:p>
        </w:tc>
      </w:tr>
      <w:tr w:rsidR="000A7DF2" w:rsidRPr="002B326F" w14:paraId="4390FCE0" w14:textId="77777777">
        <w:trPr>
          <w:trHeight w:val="300"/>
        </w:trPr>
        <w:tc>
          <w:tcPr>
            <w:tcW w:w="1286" w:type="dxa"/>
            <w:tcBorders>
              <w:top w:val="nil"/>
              <w:left w:val="single" w:sz="4" w:space="0" w:color="auto"/>
              <w:bottom w:val="single" w:sz="4" w:space="0" w:color="auto"/>
              <w:right w:val="single" w:sz="4" w:space="0" w:color="auto"/>
            </w:tcBorders>
            <w:shd w:val="clear" w:color="auto" w:fill="auto"/>
            <w:noWrap/>
          </w:tcPr>
          <w:p w14:paraId="5FDA64EC" w14:textId="77777777" w:rsidR="000A7DF2" w:rsidRPr="002B326F" w:rsidRDefault="000A7DF2" w:rsidP="00271111">
            <w:pPr>
              <w:pStyle w:val="Tabletext"/>
            </w:pPr>
            <w:r w:rsidRPr="002B326F">
              <w:t>CDS</w:t>
            </w:r>
          </w:p>
        </w:tc>
        <w:tc>
          <w:tcPr>
            <w:tcW w:w="5947" w:type="dxa"/>
            <w:tcBorders>
              <w:top w:val="nil"/>
              <w:left w:val="nil"/>
              <w:bottom w:val="single" w:sz="4" w:space="0" w:color="auto"/>
              <w:right w:val="single" w:sz="4" w:space="0" w:color="auto"/>
            </w:tcBorders>
            <w:shd w:val="clear" w:color="auto" w:fill="auto"/>
            <w:noWrap/>
          </w:tcPr>
          <w:p w14:paraId="585E9623" w14:textId="77777777" w:rsidR="000A7DF2" w:rsidRPr="00234CBB" w:rsidRDefault="000A7DF2" w:rsidP="00271111">
            <w:pPr>
              <w:pStyle w:val="Tabletext"/>
              <w:rPr>
                <w:lang w:val="en-US"/>
              </w:rPr>
            </w:pPr>
            <w:r w:rsidRPr="00234CBB">
              <w:rPr>
                <w:lang w:val="en-US"/>
              </w:rPr>
              <w:t>OPEX cost /year of CDR accumulation, storage &amp; rating</w:t>
            </w:r>
          </w:p>
        </w:tc>
        <w:tc>
          <w:tcPr>
            <w:tcW w:w="2142" w:type="dxa"/>
            <w:tcBorders>
              <w:top w:val="nil"/>
              <w:left w:val="nil"/>
              <w:bottom w:val="single" w:sz="4" w:space="0" w:color="auto"/>
              <w:right w:val="single" w:sz="4" w:space="0" w:color="auto"/>
            </w:tcBorders>
            <w:shd w:val="clear" w:color="auto" w:fill="auto"/>
            <w:noWrap/>
          </w:tcPr>
          <w:p w14:paraId="3FB2A5D7" w14:textId="77777777" w:rsidR="000A7DF2" w:rsidRPr="00406208" w:rsidRDefault="000A7DF2" w:rsidP="00271111">
            <w:pPr>
              <w:pStyle w:val="Tabletext"/>
              <w:rPr>
                <w:sz w:val="18"/>
              </w:rPr>
            </w:pPr>
            <w:r w:rsidRPr="00406208">
              <w:rPr>
                <w:sz w:val="18"/>
              </w:rPr>
              <w:t>currency (USD)</w:t>
            </w:r>
          </w:p>
        </w:tc>
      </w:tr>
    </w:tbl>
    <w:p w14:paraId="2C41FA10" w14:textId="77777777" w:rsidR="006261A3" w:rsidRDefault="006261A3" w:rsidP="006261A3">
      <w:pPr>
        <w:spacing w:before="0"/>
        <w:jc w:val="left"/>
      </w:pPr>
    </w:p>
    <w:p w14:paraId="7A2305BC" w14:textId="77777777" w:rsidR="006261A3" w:rsidRDefault="006261A3" w:rsidP="006261A3">
      <w:pPr>
        <w:spacing w:before="0"/>
        <w:jc w:val="left"/>
      </w:pPr>
      <w:r>
        <w:br w:type="page"/>
      </w:r>
    </w:p>
    <w:p w14:paraId="2C9FF9E7" w14:textId="77777777" w:rsidR="006261A3" w:rsidRPr="001032A3" w:rsidRDefault="006261A3" w:rsidP="006261A3">
      <w:pPr>
        <w:pStyle w:val="Heading1"/>
      </w:pPr>
      <w:bookmarkStart w:id="79" w:name="_Toc425326342"/>
      <w:bookmarkStart w:id="80" w:name="_Toc429485894"/>
      <w:r>
        <w:lastRenderedPageBreak/>
        <w:t>Abbreviations</w:t>
      </w:r>
      <w:bookmarkEnd w:id="79"/>
      <w:bookmarkEnd w:id="80"/>
    </w:p>
    <w:p w14:paraId="1042EF75" w14:textId="77777777" w:rsidR="006261A3" w:rsidRDefault="006261A3" w:rsidP="006261A3">
      <w:pPr>
        <w:autoSpaceDE w:val="0"/>
        <w:rPr>
          <w:sz w:val="20"/>
          <w:szCs w:val="20"/>
        </w:rPr>
      </w:pPr>
      <w:r w:rsidRPr="00406208">
        <w:t>This Technical Paper uses the following abbreviations and acronyms</w:t>
      </w:r>
      <w:r>
        <w:rPr>
          <w:sz w:val="20"/>
          <w:szCs w:val="20"/>
        </w:rPr>
        <w:t>:</w:t>
      </w:r>
    </w:p>
    <w:p w14:paraId="72E91B7D" w14:textId="77777777" w:rsidR="006261A3" w:rsidRPr="001032A3" w:rsidRDefault="006261A3" w:rsidP="006261A3">
      <w:r w:rsidRPr="00406208">
        <w:t>2G GSM</w:t>
      </w:r>
      <w:r w:rsidRPr="001032A3">
        <w:t xml:space="preserve"> </w:t>
      </w:r>
      <w:r w:rsidRPr="001032A3">
        <w:tab/>
        <w:t>Second Generation mobile services and networks – digital mobile service</w:t>
      </w:r>
    </w:p>
    <w:p w14:paraId="73D08F41" w14:textId="77777777" w:rsidR="006261A3" w:rsidRPr="001032A3" w:rsidRDefault="006261A3" w:rsidP="006261A3">
      <w:pPr>
        <w:spacing w:before="120"/>
      </w:pPr>
      <w:r w:rsidRPr="00406208">
        <w:t>3G UMTS</w:t>
      </w:r>
      <w:r w:rsidRPr="001032A3">
        <w:t xml:space="preserve"> </w:t>
      </w:r>
      <w:r w:rsidRPr="001032A3">
        <w:tab/>
        <w:t>Third Generation mobile services and networks – packet based service</w:t>
      </w:r>
    </w:p>
    <w:p w14:paraId="2314B2C4" w14:textId="77777777" w:rsidR="006261A3" w:rsidRPr="001032A3" w:rsidRDefault="006261A3" w:rsidP="006261A3">
      <w:pPr>
        <w:spacing w:before="120"/>
      </w:pPr>
      <w:r w:rsidRPr="00406208">
        <w:t>3GPP</w:t>
      </w:r>
      <w:r w:rsidRPr="001032A3">
        <w:rPr>
          <w:b/>
          <w:bCs/>
        </w:rPr>
        <w:tab/>
      </w:r>
      <w:r w:rsidRPr="001032A3">
        <w:tab/>
        <w:t>Third Generation Partnership Project (ETSI)</w:t>
      </w:r>
    </w:p>
    <w:p w14:paraId="6C1AD04F" w14:textId="77777777" w:rsidR="006261A3" w:rsidRDefault="006261A3" w:rsidP="006261A3">
      <w:pPr>
        <w:spacing w:before="120"/>
      </w:pPr>
      <w:r w:rsidRPr="00406208">
        <w:t>ABC</w:t>
      </w:r>
      <w:r w:rsidRPr="001032A3">
        <w:rPr>
          <w:b/>
          <w:bCs/>
        </w:rPr>
        <w:tab/>
      </w:r>
      <w:r w:rsidRPr="001032A3">
        <w:rPr>
          <w:b/>
          <w:bCs/>
        </w:rPr>
        <w:tab/>
      </w:r>
      <w:r w:rsidRPr="001032A3">
        <w:t>Activity Based Costing</w:t>
      </w:r>
    </w:p>
    <w:p w14:paraId="5BB64EFF" w14:textId="77777777" w:rsidR="006261A3" w:rsidRPr="001032A3" w:rsidRDefault="006261A3" w:rsidP="006261A3">
      <w:pPr>
        <w:spacing w:before="120"/>
      </w:pPr>
      <w:r>
        <w:t>ACO</w:t>
      </w:r>
      <w:r>
        <w:tab/>
      </w:r>
      <w:r>
        <w:tab/>
        <w:t>Access and Call Origination</w:t>
      </w:r>
    </w:p>
    <w:p w14:paraId="7C0186D7" w14:textId="77777777" w:rsidR="006261A3" w:rsidRDefault="006261A3" w:rsidP="006261A3">
      <w:pPr>
        <w:spacing w:before="120"/>
      </w:pPr>
      <w:r>
        <w:t>ASA</w:t>
      </w:r>
      <w:r>
        <w:tab/>
      </w:r>
      <w:r>
        <w:tab/>
        <w:t>Authorized Shared Access</w:t>
      </w:r>
    </w:p>
    <w:p w14:paraId="619EF01F" w14:textId="77777777" w:rsidR="006261A3" w:rsidRPr="001032A3" w:rsidRDefault="006261A3" w:rsidP="006261A3">
      <w:pPr>
        <w:spacing w:before="120"/>
      </w:pPr>
      <w:r>
        <w:t>BCAM</w:t>
      </w:r>
      <w:r>
        <w:tab/>
      </w:r>
      <w:r>
        <w:tab/>
        <w:t>Business process cost for CAMEL applications</w:t>
      </w:r>
    </w:p>
    <w:p w14:paraId="296EC595" w14:textId="77777777" w:rsidR="006261A3" w:rsidRPr="00B25903" w:rsidRDefault="006261A3" w:rsidP="006261A3">
      <w:pPr>
        <w:spacing w:before="120"/>
        <w:ind w:left="1440" w:hanging="1440"/>
        <w:rPr>
          <w:lang w:val="fr-FR"/>
        </w:rPr>
      </w:pPr>
      <w:r w:rsidRPr="00406208">
        <w:rPr>
          <w:lang w:val="fr-FR"/>
        </w:rPr>
        <w:t>BDT</w:t>
      </w:r>
      <w:r>
        <w:rPr>
          <w:lang w:val="fr-FR"/>
        </w:rPr>
        <w:tab/>
      </w:r>
      <w:r w:rsidRPr="00406208">
        <w:rPr>
          <w:i/>
          <w:iCs/>
          <w:lang w:val="fr-FR"/>
        </w:rPr>
        <w:t>Bureau de Développement de Télécommunications</w:t>
      </w:r>
      <w:r w:rsidRPr="00B25903">
        <w:rPr>
          <w:lang w:val="fr-FR"/>
        </w:rPr>
        <w:t xml:space="preserve"> (Telecommunication Development Bureau)</w:t>
      </w:r>
    </w:p>
    <w:p w14:paraId="199EA352" w14:textId="77777777" w:rsidR="006261A3" w:rsidRDefault="006261A3" w:rsidP="006261A3">
      <w:pPr>
        <w:spacing w:before="120"/>
      </w:pPr>
      <w:r w:rsidRPr="00406208">
        <w:t>BEREC</w:t>
      </w:r>
      <w:r w:rsidRPr="001032A3">
        <w:t xml:space="preserve"> </w:t>
      </w:r>
      <w:r>
        <w:tab/>
      </w:r>
      <w:r w:rsidRPr="001032A3">
        <w:tab/>
        <w:t>Body of European Regulators of Electronic Communications (EU NRA group)</w:t>
      </w:r>
    </w:p>
    <w:p w14:paraId="75EC517C" w14:textId="77777777" w:rsidR="006261A3" w:rsidRPr="001032A3" w:rsidRDefault="006261A3" w:rsidP="006261A3">
      <w:pPr>
        <w:spacing w:before="120"/>
      </w:pPr>
      <w:r>
        <w:t>BMR</w:t>
      </w:r>
      <w:r>
        <w:tab/>
      </w:r>
      <w:r>
        <w:tab/>
        <w:t>Billing system Module for Roaming</w:t>
      </w:r>
    </w:p>
    <w:p w14:paraId="05FEF3F1" w14:textId="77777777" w:rsidR="006261A3" w:rsidRDefault="006261A3" w:rsidP="006261A3">
      <w:pPr>
        <w:spacing w:before="120"/>
      </w:pPr>
      <w:r w:rsidRPr="00406208">
        <w:t>BPA</w:t>
      </w:r>
      <w:r w:rsidRPr="001032A3">
        <w:tab/>
      </w:r>
      <w:r w:rsidRPr="001032A3">
        <w:tab/>
        <w:t>Business Process Analysis</w:t>
      </w:r>
    </w:p>
    <w:p w14:paraId="20E11BA0" w14:textId="77777777" w:rsidR="006261A3" w:rsidRPr="001032A3" w:rsidRDefault="006261A3" w:rsidP="006261A3">
      <w:pPr>
        <w:spacing w:before="120"/>
      </w:pPr>
      <w:r>
        <w:t>BS</w:t>
      </w:r>
      <w:r>
        <w:tab/>
      </w:r>
      <w:r>
        <w:tab/>
        <w:t>Billing System</w:t>
      </w:r>
    </w:p>
    <w:p w14:paraId="76ED9001" w14:textId="77777777" w:rsidR="006261A3" w:rsidRPr="001032A3" w:rsidRDefault="006261A3" w:rsidP="006261A3">
      <w:pPr>
        <w:spacing w:before="120"/>
      </w:pPr>
      <w:r w:rsidRPr="00406208">
        <w:t>BSS</w:t>
      </w:r>
      <w:r w:rsidRPr="001032A3">
        <w:rPr>
          <w:b/>
          <w:bCs/>
        </w:rPr>
        <w:tab/>
      </w:r>
      <w:r w:rsidRPr="001032A3">
        <w:tab/>
        <w:t>Business Support System</w:t>
      </w:r>
    </w:p>
    <w:p w14:paraId="12BA7020" w14:textId="77777777" w:rsidR="006261A3" w:rsidRPr="001032A3" w:rsidRDefault="006261A3" w:rsidP="006261A3">
      <w:pPr>
        <w:spacing w:before="120"/>
      </w:pPr>
      <w:r w:rsidRPr="008228A2">
        <w:t>BTS</w:t>
      </w:r>
      <w:r w:rsidRPr="001032A3">
        <w:tab/>
      </w:r>
      <w:r w:rsidRPr="001032A3">
        <w:tab/>
        <w:t>Base Transceiver Station (as for base station)</w:t>
      </w:r>
    </w:p>
    <w:p w14:paraId="156C358C" w14:textId="77777777" w:rsidR="006261A3" w:rsidRDefault="006261A3" w:rsidP="006261A3">
      <w:pPr>
        <w:spacing w:before="120"/>
      </w:pPr>
      <w:r w:rsidRPr="00406208">
        <w:t>CAMEL</w:t>
      </w:r>
      <w:r w:rsidRPr="001032A3">
        <w:rPr>
          <w:b/>
          <w:bCs/>
        </w:rPr>
        <w:t xml:space="preserve"> </w:t>
      </w:r>
      <w:r w:rsidRPr="001032A3">
        <w:rPr>
          <w:b/>
          <w:bCs/>
        </w:rPr>
        <w:tab/>
      </w:r>
      <w:r>
        <w:rPr>
          <w:b/>
          <w:bCs/>
        </w:rPr>
        <w:tab/>
      </w:r>
      <w:r w:rsidRPr="001032A3">
        <w:t>Customized Application</w:t>
      </w:r>
      <w:r>
        <w:t>s</w:t>
      </w:r>
      <w:r w:rsidRPr="001032A3">
        <w:t xml:space="preserve"> </w:t>
      </w:r>
      <w:r>
        <w:t>for</w:t>
      </w:r>
      <w:r w:rsidRPr="001032A3">
        <w:t xml:space="preserve"> Mobile Enhanced Logic (for prepaid 2G services)</w:t>
      </w:r>
    </w:p>
    <w:p w14:paraId="734EFEFE" w14:textId="77777777" w:rsidR="006261A3" w:rsidRPr="001032A3" w:rsidRDefault="006261A3" w:rsidP="006261A3">
      <w:pPr>
        <w:spacing w:before="120"/>
      </w:pPr>
      <w:r>
        <w:t>CAP</w:t>
      </w:r>
      <w:r>
        <w:tab/>
      </w:r>
      <w:r>
        <w:tab/>
        <w:t>CAMEL Application Part</w:t>
      </w:r>
    </w:p>
    <w:p w14:paraId="38994CE3" w14:textId="77777777" w:rsidR="006261A3" w:rsidRPr="001032A3" w:rsidRDefault="006261A3" w:rsidP="006261A3">
      <w:pPr>
        <w:spacing w:before="120"/>
      </w:pPr>
      <w:r w:rsidRPr="00406208">
        <w:t>CapEx</w:t>
      </w:r>
      <w:r w:rsidRPr="001032A3">
        <w:rPr>
          <w:b/>
          <w:bCs/>
        </w:rPr>
        <w:t xml:space="preserve"> </w:t>
      </w:r>
      <w:r w:rsidRPr="001032A3">
        <w:rPr>
          <w:b/>
          <w:bCs/>
        </w:rPr>
        <w:tab/>
      </w:r>
      <w:r w:rsidRPr="001032A3">
        <w:rPr>
          <w:b/>
          <w:bCs/>
        </w:rPr>
        <w:tab/>
      </w:r>
      <w:r w:rsidRPr="001032A3">
        <w:t>Capital Expenditure</w:t>
      </w:r>
    </w:p>
    <w:p w14:paraId="6C27689E" w14:textId="77777777" w:rsidR="006261A3" w:rsidRDefault="006261A3" w:rsidP="006261A3">
      <w:pPr>
        <w:spacing w:before="120"/>
      </w:pPr>
      <w:r w:rsidRPr="00406208">
        <w:t>CATV</w:t>
      </w:r>
      <w:r w:rsidRPr="001032A3">
        <w:tab/>
      </w:r>
      <w:r w:rsidRPr="001032A3">
        <w:tab/>
        <w:t xml:space="preserve">Cable </w:t>
      </w:r>
      <w:r>
        <w:t>Television</w:t>
      </w:r>
    </w:p>
    <w:p w14:paraId="3EE57287" w14:textId="77777777" w:rsidR="006261A3" w:rsidRDefault="006261A3" w:rsidP="006261A3">
      <w:pPr>
        <w:spacing w:before="120"/>
      </w:pPr>
      <w:r>
        <w:t xml:space="preserve">CCITT </w:t>
      </w:r>
      <w:r>
        <w:tab/>
      </w:r>
      <w:r>
        <w:tab/>
        <w:t>The International Telegraph and Telephone Consultative Committee</w:t>
      </w:r>
    </w:p>
    <w:p w14:paraId="03678C13" w14:textId="77777777" w:rsidR="006261A3" w:rsidRPr="001032A3" w:rsidRDefault="006261A3" w:rsidP="006261A3">
      <w:pPr>
        <w:spacing w:before="120"/>
      </w:pPr>
      <w:r>
        <w:t>CCM</w:t>
      </w:r>
      <w:r>
        <w:tab/>
      </w:r>
      <w:r>
        <w:tab/>
        <w:t>Current Call Minutes</w:t>
      </w:r>
    </w:p>
    <w:p w14:paraId="36755F03" w14:textId="77777777" w:rsidR="006261A3" w:rsidRDefault="006261A3" w:rsidP="006261A3">
      <w:pPr>
        <w:spacing w:before="120"/>
      </w:pPr>
      <w:r w:rsidRPr="00406208">
        <w:t>CDR</w:t>
      </w:r>
      <w:r w:rsidRPr="001032A3">
        <w:rPr>
          <w:b/>
          <w:bCs/>
        </w:rPr>
        <w:t xml:space="preserve"> </w:t>
      </w:r>
      <w:r w:rsidRPr="001032A3">
        <w:rPr>
          <w:b/>
          <w:bCs/>
        </w:rPr>
        <w:tab/>
      </w:r>
      <w:r w:rsidRPr="001032A3">
        <w:rPr>
          <w:b/>
          <w:bCs/>
        </w:rPr>
        <w:tab/>
      </w:r>
      <w:r w:rsidRPr="001032A3">
        <w:t>Call Data Record (details of each call for billing) also Call Detail Record</w:t>
      </w:r>
    </w:p>
    <w:p w14:paraId="4FCAD313" w14:textId="77777777" w:rsidR="006261A3" w:rsidRPr="001032A3" w:rsidRDefault="006261A3" w:rsidP="006261A3">
      <w:pPr>
        <w:spacing w:before="120"/>
      </w:pPr>
      <w:r>
        <w:t>CDS</w:t>
      </w:r>
      <w:r>
        <w:tab/>
      </w:r>
      <w:r>
        <w:tab/>
        <w:t>Current Data Session</w:t>
      </w:r>
    </w:p>
    <w:p w14:paraId="331069B4" w14:textId="77777777" w:rsidR="006261A3" w:rsidRDefault="006261A3" w:rsidP="006261A3">
      <w:pPr>
        <w:spacing w:before="120"/>
      </w:pPr>
      <w:r w:rsidRPr="00406208">
        <w:t>CEO</w:t>
      </w:r>
      <w:r w:rsidRPr="001032A3">
        <w:tab/>
      </w:r>
      <w:r w:rsidRPr="001032A3">
        <w:tab/>
        <w:t>Chief Executive Officer</w:t>
      </w:r>
    </w:p>
    <w:p w14:paraId="17B3E427" w14:textId="77777777" w:rsidR="006261A3" w:rsidRDefault="006261A3" w:rsidP="006261A3">
      <w:pPr>
        <w:spacing w:before="120"/>
      </w:pPr>
      <w:r>
        <w:t>CN</w:t>
      </w:r>
      <w:r>
        <w:tab/>
      </w:r>
      <w:r>
        <w:tab/>
        <w:t>Core Network</w:t>
      </w:r>
    </w:p>
    <w:p w14:paraId="6B4463C3" w14:textId="77777777" w:rsidR="006261A3" w:rsidRDefault="006261A3" w:rsidP="006261A3">
      <w:pPr>
        <w:spacing w:before="120"/>
      </w:pPr>
      <w:r>
        <w:t>CRASA</w:t>
      </w:r>
      <w:r>
        <w:tab/>
      </w:r>
      <w:r>
        <w:tab/>
        <w:t>Communications Regulators' Association Southern Africa</w:t>
      </w:r>
    </w:p>
    <w:p w14:paraId="39B42780" w14:textId="77777777" w:rsidR="006261A3" w:rsidRPr="001032A3" w:rsidRDefault="006261A3" w:rsidP="006261A3">
      <w:pPr>
        <w:spacing w:before="120"/>
      </w:pPr>
      <w:r>
        <w:t>CRM</w:t>
      </w:r>
      <w:r>
        <w:tab/>
      </w:r>
      <w:r>
        <w:tab/>
        <w:t>Customer Relationship Management</w:t>
      </w:r>
    </w:p>
    <w:p w14:paraId="4F5C367C" w14:textId="77777777" w:rsidR="006261A3" w:rsidRPr="001032A3" w:rsidRDefault="006261A3" w:rsidP="006261A3">
      <w:pPr>
        <w:spacing w:before="120"/>
      </w:pPr>
      <w:r w:rsidRPr="00406208">
        <w:t>DB</w:t>
      </w:r>
      <w:r w:rsidRPr="001032A3">
        <w:tab/>
      </w:r>
      <w:r w:rsidRPr="001032A3">
        <w:tab/>
        <w:t>Database</w:t>
      </w:r>
    </w:p>
    <w:p w14:paraId="1FA31CD9" w14:textId="77777777" w:rsidR="006261A3" w:rsidRDefault="006261A3" w:rsidP="006261A3">
      <w:pPr>
        <w:spacing w:before="120"/>
        <w:ind w:left="1440" w:hanging="1440"/>
      </w:pPr>
      <w:r w:rsidRPr="00406208">
        <w:t>DG CNCT</w:t>
      </w:r>
      <w:r w:rsidRPr="001032A3">
        <w:t xml:space="preserve"> </w:t>
      </w:r>
      <w:r w:rsidRPr="001032A3">
        <w:tab/>
        <w:t>Directorate-General, of the European Commission, for Communications,</w:t>
      </w:r>
      <w:r>
        <w:t>Networks, Con</w:t>
      </w:r>
      <w:r w:rsidRPr="001032A3">
        <w:t>tent and Technology, also DG CONNECT</w:t>
      </w:r>
    </w:p>
    <w:p w14:paraId="4F967697" w14:textId="77777777" w:rsidR="006261A3" w:rsidRPr="001032A3" w:rsidRDefault="006261A3" w:rsidP="006261A3">
      <w:pPr>
        <w:spacing w:before="120"/>
      </w:pPr>
      <w:r>
        <w:t>DG INFSO</w:t>
      </w:r>
      <w:r>
        <w:tab/>
        <w:t>Directorate-General, of the European Commission, for Information Society and Media</w:t>
      </w:r>
    </w:p>
    <w:p w14:paraId="5A505CD0" w14:textId="77777777" w:rsidR="006261A3" w:rsidRDefault="006261A3" w:rsidP="006261A3">
      <w:pPr>
        <w:spacing w:before="120"/>
      </w:pPr>
      <w:r w:rsidRPr="00406208">
        <w:t>EC</w:t>
      </w:r>
      <w:r w:rsidRPr="001032A3">
        <w:tab/>
      </w:r>
      <w:r w:rsidRPr="001032A3">
        <w:tab/>
        <w:t>European Commission</w:t>
      </w:r>
    </w:p>
    <w:p w14:paraId="58058F39" w14:textId="77777777" w:rsidR="006261A3" w:rsidRPr="001032A3" w:rsidRDefault="006261A3" w:rsidP="006261A3">
      <w:pPr>
        <w:spacing w:before="120"/>
      </w:pPr>
      <w:r>
        <w:t>ECJ</w:t>
      </w:r>
      <w:r>
        <w:tab/>
      </w:r>
      <w:r>
        <w:tab/>
        <w:t>European Court of Justice</w:t>
      </w:r>
    </w:p>
    <w:p w14:paraId="68545A9E" w14:textId="77777777" w:rsidR="006261A3" w:rsidRDefault="006261A3" w:rsidP="006261A3">
      <w:pPr>
        <w:spacing w:before="120"/>
      </w:pPr>
      <w:r w:rsidRPr="00406208">
        <w:t>EDGE</w:t>
      </w:r>
      <w:r w:rsidRPr="001032A3">
        <w:rPr>
          <w:b/>
          <w:bCs/>
        </w:rPr>
        <w:tab/>
      </w:r>
      <w:r w:rsidRPr="001032A3">
        <w:tab/>
        <w:t>Enhanced Data rates for GSM Evolution (faster data protocol for 2G)</w:t>
      </w:r>
    </w:p>
    <w:p w14:paraId="0725423C" w14:textId="77777777" w:rsidR="006261A3" w:rsidRPr="001032A3" w:rsidRDefault="006261A3" w:rsidP="006261A3">
      <w:pPr>
        <w:spacing w:before="120"/>
      </w:pPr>
      <w:r>
        <w:lastRenderedPageBreak/>
        <w:t>EDI</w:t>
      </w:r>
      <w:r>
        <w:tab/>
      </w:r>
      <w:r>
        <w:tab/>
        <w:t>Electronic Data Interchange</w:t>
      </w:r>
    </w:p>
    <w:p w14:paraId="3B6A9B50" w14:textId="77777777" w:rsidR="006261A3" w:rsidRPr="001032A3" w:rsidRDefault="006261A3" w:rsidP="006261A3">
      <w:pPr>
        <w:spacing w:before="120"/>
      </w:pPr>
      <w:r>
        <w:t>EEA</w:t>
      </w:r>
      <w:r>
        <w:tab/>
      </w:r>
      <w:r>
        <w:tab/>
        <w:t>European Economic Area</w:t>
      </w:r>
    </w:p>
    <w:p w14:paraId="03D529A7" w14:textId="77777777" w:rsidR="006261A3" w:rsidRPr="001032A3" w:rsidRDefault="006261A3" w:rsidP="006261A3">
      <w:pPr>
        <w:spacing w:before="120"/>
      </w:pPr>
      <w:r w:rsidRPr="00406208">
        <w:t>EP</w:t>
      </w:r>
      <w:r w:rsidRPr="001032A3">
        <w:tab/>
      </w:r>
      <w:r w:rsidRPr="001032A3">
        <w:tab/>
        <w:t>European Parliament</w:t>
      </w:r>
    </w:p>
    <w:p w14:paraId="23AB9A20" w14:textId="77777777" w:rsidR="006261A3" w:rsidRPr="001032A3" w:rsidRDefault="006261A3" w:rsidP="006261A3">
      <w:pPr>
        <w:spacing w:before="120"/>
      </w:pPr>
      <w:r w:rsidRPr="00406208">
        <w:t>ERG</w:t>
      </w:r>
      <w:r w:rsidRPr="001032A3">
        <w:rPr>
          <w:b/>
          <w:bCs/>
        </w:rPr>
        <w:t xml:space="preserve"> </w:t>
      </w:r>
      <w:r w:rsidRPr="001032A3">
        <w:rPr>
          <w:b/>
          <w:bCs/>
        </w:rPr>
        <w:tab/>
      </w:r>
      <w:r w:rsidRPr="001032A3">
        <w:rPr>
          <w:b/>
          <w:bCs/>
        </w:rPr>
        <w:tab/>
      </w:r>
      <w:r w:rsidRPr="001032A3">
        <w:t>European Regulators Group</w:t>
      </w:r>
    </w:p>
    <w:p w14:paraId="094488C8" w14:textId="77777777" w:rsidR="006261A3" w:rsidRPr="001032A3" w:rsidRDefault="006261A3" w:rsidP="006261A3">
      <w:pPr>
        <w:spacing w:before="120"/>
      </w:pPr>
      <w:r w:rsidRPr="00406208">
        <w:t>ETSI</w:t>
      </w:r>
      <w:r w:rsidRPr="001032A3">
        <w:rPr>
          <w:b/>
          <w:bCs/>
        </w:rPr>
        <w:tab/>
      </w:r>
      <w:r w:rsidRPr="001032A3">
        <w:tab/>
        <w:t>European Telecommunications Standards Institute</w:t>
      </w:r>
    </w:p>
    <w:p w14:paraId="25401B41" w14:textId="77777777" w:rsidR="006261A3" w:rsidRPr="001032A3" w:rsidRDefault="006261A3" w:rsidP="006261A3">
      <w:pPr>
        <w:spacing w:before="120"/>
      </w:pPr>
      <w:r w:rsidRPr="00406208">
        <w:t>EU</w:t>
      </w:r>
      <w:r w:rsidRPr="001032A3">
        <w:t xml:space="preserve"> </w:t>
      </w:r>
      <w:r w:rsidRPr="001032A3">
        <w:tab/>
      </w:r>
      <w:r w:rsidRPr="001032A3">
        <w:tab/>
        <w:t>European Union</w:t>
      </w:r>
    </w:p>
    <w:p w14:paraId="276241BD" w14:textId="77777777" w:rsidR="006261A3" w:rsidRPr="001032A3" w:rsidRDefault="006261A3" w:rsidP="006261A3">
      <w:pPr>
        <w:spacing w:before="120"/>
      </w:pPr>
      <w:r w:rsidRPr="00406208">
        <w:t>FNO</w:t>
      </w:r>
      <w:r w:rsidRPr="001032A3">
        <w:t xml:space="preserve"> </w:t>
      </w:r>
      <w:r w:rsidRPr="001032A3">
        <w:tab/>
      </w:r>
      <w:r w:rsidRPr="001032A3">
        <w:tab/>
        <w:t>Fixed (line) Network Operator</w:t>
      </w:r>
    </w:p>
    <w:p w14:paraId="7F80C12E" w14:textId="77777777" w:rsidR="006261A3" w:rsidRPr="001032A3" w:rsidRDefault="006261A3" w:rsidP="006261A3">
      <w:pPr>
        <w:spacing w:before="120"/>
      </w:pPr>
      <w:r w:rsidRPr="00406208">
        <w:t>GDP</w:t>
      </w:r>
      <w:r w:rsidRPr="001032A3">
        <w:tab/>
      </w:r>
      <w:r w:rsidRPr="001032A3">
        <w:tab/>
        <w:t>Gross Domestic Product</w:t>
      </w:r>
    </w:p>
    <w:p w14:paraId="097FF388" w14:textId="77777777" w:rsidR="006261A3" w:rsidRPr="001032A3" w:rsidRDefault="006261A3" w:rsidP="006261A3">
      <w:pPr>
        <w:spacing w:before="120"/>
      </w:pPr>
      <w:r w:rsidRPr="00406208">
        <w:t>GGSN</w:t>
      </w:r>
      <w:r w:rsidRPr="001032A3">
        <w:tab/>
      </w:r>
      <w:r w:rsidRPr="001032A3">
        <w:tab/>
        <w:t>Gateway GPRS Support Node (routes subscriber GPRS data to IP networks)</w:t>
      </w:r>
    </w:p>
    <w:p w14:paraId="0CAE5897" w14:textId="77777777" w:rsidR="006261A3" w:rsidRDefault="006261A3" w:rsidP="006261A3">
      <w:pPr>
        <w:spacing w:before="120"/>
      </w:pPr>
      <w:r w:rsidRPr="00406208">
        <w:t>GPRS</w:t>
      </w:r>
      <w:r w:rsidRPr="001032A3">
        <w:rPr>
          <w:b/>
          <w:bCs/>
        </w:rPr>
        <w:t xml:space="preserve"> </w:t>
      </w:r>
      <w:r w:rsidRPr="001032A3">
        <w:rPr>
          <w:b/>
          <w:bCs/>
        </w:rPr>
        <w:tab/>
      </w:r>
      <w:r w:rsidRPr="001032A3">
        <w:rPr>
          <w:b/>
          <w:bCs/>
        </w:rPr>
        <w:tab/>
      </w:r>
      <w:r w:rsidRPr="001032A3">
        <w:t>General Packet Radio Service</w:t>
      </w:r>
    </w:p>
    <w:p w14:paraId="17894477" w14:textId="77777777" w:rsidR="006261A3" w:rsidRPr="001032A3" w:rsidRDefault="006261A3" w:rsidP="006261A3">
      <w:pPr>
        <w:spacing w:before="120"/>
      </w:pPr>
      <w:r>
        <w:t>GRX</w:t>
      </w:r>
      <w:r>
        <w:tab/>
      </w:r>
      <w:r>
        <w:tab/>
        <w:t>GPRS Roaming eXchange</w:t>
      </w:r>
    </w:p>
    <w:p w14:paraId="08145822" w14:textId="77777777" w:rsidR="006261A3" w:rsidRPr="001032A3" w:rsidRDefault="006261A3" w:rsidP="006261A3">
      <w:pPr>
        <w:spacing w:before="120"/>
      </w:pPr>
      <w:r w:rsidRPr="00406208">
        <w:t>GSM</w:t>
      </w:r>
      <w:r w:rsidRPr="001032A3">
        <w:rPr>
          <w:b/>
          <w:bCs/>
        </w:rPr>
        <w:t xml:space="preserve"> </w:t>
      </w:r>
      <w:r w:rsidRPr="001032A3">
        <w:rPr>
          <w:b/>
          <w:bCs/>
        </w:rPr>
        <w:tab/>
      </w:r>
      <w:r w:rsidRPr="001032A3">
        <w:rPr>
          <w:b/>
          <w:bCs/>
        </w:rPr>
        <w:tab/>
      </w:r>
      <w:r w:rsidRPr="001032A3">
        <w:t xml:space="preserve">Global </w:t>
      </w:r>
      <w:r>
        <w:t>S</w:t>
      </w:r>
      <w:r w:rsidRPr="001032A3">
        <w:t>ystem for Mobile communications</w:t>
      </w:r>
    </w:p>
    <w:p w14:paraId="0F85CE19" w14:textId="77777777" w:rsidR="006261A3" w:rsidRPr="001032A3" w:rsidRDefault="006261A3" w:rsidP="006261A3">
      <w:pPr>
        <w:spacing w:before="120"/>
      </w:pPr>
      <w:r w:rsidRPr="00406208">
        <w:t>GSMA</w:t>
      </w:r>
      <w:r w:rsidRPr="001032A3">
        <w:rPr>
          <w:b/>
          <w:bCs/>
        </w:rPr>
        <w:t xml:space="preserve"> </w:t>
      </w:r>
      <w:r w:rsidRPr="001032A3">
        <w:rPr>
          <w:b/>
          <w:bCs/>
        </w:rPr>
        <w:tab/>
      </w:r>
      <w:r w:rsidRPr="001032A3">
        <w:rPr>
          <w:b/>
          <w:bCs/>
        </w:rPr>
        <w:tab/>
      </w:r>
      <w:r w:rsidRPr="001032A3">
        <w:t>GSM Association</w:t>
      </w:r>
    </w:p>
    <w:p w14:paraId="1B403BF9" w14:textId="77777777" w:rsidR="006261A3" w:rsidRPr="001032A3" w:rsidRDefault="006261A3" w:rsidP="006261A3">
      <w:pPr>
        <w:spacing w:before="120"/>
      </w:pPr>
      <w:r w:rsidRPr="00406208">
        <w:t>HLR</w:t>
      </w:r>
      <w:r w:rsidRPr="001032A3">
        <w:rPr>
          <w:b/>
          <w:bCs/>
        </w:rPr>
        <w:t xml:space="preserve"> </w:t>
      </w:r>
      <w:r w:rsidRPr="001032A3">
        <w:rPr>
          <w:b/>
          <w:bCs/>
        </w:rPr>
        <w:tab/>
      </w:r>
      <w:r w:rsidRPr="001032A3">
        <w:rPr>
          <w:b/>
          <w:bCs/>
        </w:rPr>
        <w:tab/>
      </w:r>
      <w:r w:rsidRPr="001032A3">
        <w:t>Home Location Register (Local)</w:t>
      </w:r>
    </w:p>
    <w:p w14:paraId="0A497D5A" w14:textId="77777777" w:rsidR="006261A3" w:rsidRPr="001032A3" w:rsidRDefault="006261A3" w:rsidP="006261A3">
      <w:pPr>
        <w:spacing w:before="120"/>
      </w:pPr>
      <w:r w:rsidRPr="00406208">
        <w:t>HPLMN</w:t>
      </w:r>
      <w:r w:rsidRPr="001032A3">
        <w:rPr>
          <w:b/>
          <w:bCs/>
        </w:rPr>
        <w:tab/>
      </w:r>
      <w:r w:rsidRPr="001032A3">
        <w:tab/>
        <w:t>Home Public Land Mobile Network</w:t>
      </w:r>
    </w:p>
    <w:p w14:paraId="405A9A85" w14:textId="77777777" w:rsidR="006261A3" w:rsidRPr="001032A3" w:rsidRDefault="006261A3" w:rsidP="006261A3">
      <w:pPr>
        <w:spacing w:before="120"/>
      </w:pPr>
      <w:r w:rsidRPr="00406208">
        <w:t>HPMN</w:t>
      </w:r>
      <w:r w:rsidRPr="001032A3">
        <w:rPr>
          <w:b/>
          <w:bCs/>
        </w:rPr>
        <w:tab/>
      </w:r>
      <w:r w:rsidRPr="001032A3">
        <w:tab/>
        <w:t>Home Public Mobile Network</w:t>
      </w:r>
    </w:p>
    <w:p w14:paraId="6EE6BC53" w14:textId="77777777" w:rsidR="006261A3" w:rsidRPr="001032A3" w:rsidRDefault="006261A3" w:rsidP="006261A3">
      <w:pPr>
        <w:spacing w:before="120"/>
      </w:pPr>
      <w:r w:rsidRPr="00406208">
        <w:t>HSDPA</w:t>
      </w:r>
      <w:r w:rsidRPr="001032A3">
        <w:t xml:space="preserve"> </w:t>
      </w:r>
      <w:r w:rsidRPr="001032A3">
        <w:tab/>
      </w:r>
      <w:r>
        <w:tab/>
      </w:r>
      <w:r w:rsidRPr="001032A3">
        <w:t>High Speed Downlink Packet Access (3G W-CDMA data protocol)</w:t>
      </w:r>
    </w:p>
    <w:p w14:paraId="24D3BE74" w14:textId="77777777" w:rsidR="006261A3" w:rsidRPr="001032A3" w:rsidRDefault="006261A3" w:rsidP="006261A3">
      <w:pPr>
        <w:spacing w:before="120"/>
      </w:pPr>
      <w:r w:rsidRPr="00406208">
        <w:t>HSPA</w:t>
      </w:r>
      <w:r w:rsidRPr="001032A3">
        <w:tab/>
      </w:r>
      <w:r w:rsidRPr="001032A3">
        <w:tab/>
        <w:t xml:space="preserve">High Speed Packet Access </w:t>
      </w:r>
    </w:p>
    <w:p w14:paraId="6A3E3D2F" w14:textId="77777777" w:rsidR="006261A3" w:rsidRPr="001032A3" w:rsidRDefault="006261A3" w:rsidP="006261A3">
      <w:pPr>
        <w:spacing w:before="120"/>
      </w:pPr>
      <w:r w:rsidRPr="00406208">
        <w:t>HSUPA</w:t>
      </w:r>
      <w:r w:rsidRPr="001032A3">
        <w:t xml:space="preserve"> </w:t>
      </w:r>
      <w:r w:rsidRPr="001032A3">
        <w:tab/>
      </w:r>
      <w:r>
        <w:tab/>
      </w:r>
      <w:r w:rsidRPr="001032A3">
        <w:t>High Speed Uplink Packet Access (3G W-CDMA data protocol)</w:t>
      </w:r>
    </w:p>
    <w:p w14:paraId="70BE1421" w14:textId="77777777" w:rsidR="006261A3" w:rsidRDefault="006261A3" w:rsidP="006261A3">
      <w:pPr>
        <w:spacing w:before="120"/>
      </w:pPr>
      <w:r>
        <w:t>IDG</w:t>
      </w:r>
      <w:r>
        <w:tab/>
      </w:r>
      <w:r>
        <w:tab/>
        <w:t>International Date Gateway</w:t>
      </w:r>
    </w:p>
    <w:p w14:paraId="471730F2" w14:textId="77777777" w:rsidR="006261A3" w:rsidRPr="001032A3" w:rsidRDefault="006261A3" w:rsidP="006261A3">
      <w:pPr>
        <w:spacing w:before="120"/>
      </w:pPr>
      <w:r w:rsidRPr="00406208">
        <w:t>IMR</w:t>
      </w:r>
      <w:r w:rsidRPr="001032A3">
        <w:tab/>
      </w:r>
      <w:r w:rsidRPr="001032A3">
        <w:tab/>
        <w:t>International Mobile Roaming</w:t>
      </w:r>
    </w:p>
    <w:p w14:paraId="5FBD9099" w14:textId="77777777" w:rsidR="006261A3" w:rsidRPr="00FA6F0F" w:rsidRDefault="006261A3" w:rsidP="006261A3">
      <w:pPr>
        <w:spacing w:before="120"/>
        <w:rPr>
          <w:lang w:val="en-US"/>
        </w:rPr>
      </w:pPr>
      <w:r w:rsidRPr="00FA6F0F">
        <w:rPr>
          <w:lang w:val="en-US"/>
        </w:rPr>
        <w:t>IMSI</w:t>
      </w:r>
      <w:r w:rsidRPr="00FA6F0F">
        <w:rPr>
          <w:b/>
          <w:bCs/>
          <w:lang w:val="en-US"/>
        </w:rPr>
        <w:t xml:space="preserve"> </w:t>
      </w:r>
      <w:r w:rsidRPr="00FA6F0F">
        <w:rPr>
          <w:b/>
          <w:bCs/>
          <w:lang w:val="en-US"/>
        </w:rPr>
        <w:tab/>
      </w:r>
      <w:r w:rsidRPr="00FA6F0F">
        <w:rPr>
          <w:b/>
          <w:bCs/>
          <w:lang w:val="en-US"/>
        </w:rPr>
        <w:tab/>
      </w:r>
      <w:r w:rsidRPr="00FA6F0F">
        <w:rPr>
          <w:lang w:val="en-US"/>
        </w:rPr>
        <w:t>International Mobile Subscriber Identity</w:t>
      </w:r>
    </w:p>
    <w:p w14:paraId="066131E0" w14:textId="77777777" w:rsidR="006261A3" w:rsidRPr="001032A3" w:rsidRDefault="006261A3" w:rsidP="006261A3">
      <w:pPr>
        <w:spacing w:before="120"/>
      </w:pPr>
      <w:r w:rsidRPr="00406208">
        <w:t>INTUG</w:t>
      </w:r>
      <w:r w:rsidRPr="001032A3">
        <w:rPr>
          <w:b/>
          <w:bCs/>
        </w:rPr>
        <w:t xml:space="preserve"> </w:t>
      </w:r>
      <w:r w:rsidRPr="001032A3">
        <w:rPr>
          <w:b/>
          <w:bCs/>
        </w:rPr>
        <w:tab/>
      </w:r>
      <w:r w:rsidRPr="001032A3">
        <w:rPr>
          <w:b/>
          <w:bCs/>
        </w:rPr>
        <w:tab/>
      </w:r>
      <w:r w:rsidRPr="001032A3">
        <w:t>International Telecommunications Users Group</w:t>
      </w:r>
    </w:p>
    <w:p w14:paraId="59C30E41" w14:textId="77777777" w:rsidR="006261A3" w:rsidRPr="001032A3" w:rsidRDefault="006261A3" w:rsidP="006261A3">
      <w:pPr>
        <w:spacing w:before="120"/>
      </w:pPr>
      <w:r w:rsidRPr="00406208">
        <w:t>IOT</w:t>
      </w:r>
      <w:r w:rsidRPr="001032A3">
        <w:rPr>
          <w:b/>
          <w:bCs/>
        </w:rPr>
        <w:t xml:space="preserve"> </w:t>
      </w:r>
      <w:r w:rsidRPr="001032A3">
        <w:rPr>
          <w:b/>
          <w:bCs/>
        </w:rPr>
        <w:tab/>
      </w:r>
      <w:r w:rsidRPr="001032A3">
        <w:rPr>
          <w:b/>
          <w:bCs/>
        </w:rPr>
        <w:tab/>
      </w:r>
      <w:r w:rsidRPr="001032A3">
        <w:t>Inter-Operator Tariff</w:t>
      </w:r>
    </w:p>
    <w:p w14:paraId="2B06B014" w14:textId="77777777" w:rsidR="006261A3" w:rsidRPr="001032A3" w:rsidRDefault="006261A3" w:rsidP="006261A3">
      <w:pPr>
        <w:spacing w:before="120"/>
      </w:pPr>
      <w:r w:rsidRPr="00406208">
        <w:t>IP</w:t>
      </w:r>
      <w:r w:rsidRPr="001032A3">
        <w:tab/>
      </w:r>
      <w:r w:rsidRPr="001032A3">
        <w:tab/>
        <w:t>Internet Protocol (used with GPRS/3G data transfers)</w:t>
      </w:r>
    </w:p>
    <w:p w14:paraId="3A9DA849" w14:textId="77777777" w:rsidR="006261A3" w:rsidRPr="001032A3" w:rsidRDefault="006261A3" w:rsidP="006261A3">
      <w:pPr>
        <w:spacing w:before="120"/>
      </w:pPr>
      <w:r w:rsidRPr="00406208">
        <w:t>IPDR</w:t>
      </w:r>
      <w:r w:rsidRPr="001032A3">
        <w:tab/>
      </w:r>
      <w:r w:rsidRPr="001032A3">
        <w:tab/>
        <w:t>IP Data Record</w:t>
      </w:r>
    </w:p>
    <w:p w14:paraId="4D4DDB20" w14:textId="77777777" w:rsidR="006261A3" w:rsidRDefault="006261A3" w:rsidP="006261A3">
      <w:pPr>
        <w:spacing w:before="120"/>
      </w:pPr>
      <w:r w:rsidRPr="00406208">
        <w:t>ISP</w:t>
      </w:r>
      <w:r w:rsidRPr="001032A3">
        <w:tab/>
      </w:r>
      <w:r w:rsidRPr="001032A3">
        <w:tab/>
        <w:t>Internet Service Provider</w:t>
      </w:r>
    </w:p>
    <w:p w14:paraId="3EDC35F7" w14:textId="77777777" w:rsidR="006261A3" w:rsidRDefault="006261A3" w:rsidP="006261A3">
      <w:pPr>
        <w:spacing w:before="120"/>
      </w:pPr>
      <w:r>
        <w:t>IT</w:t>
      </w:r>
      <w:r>
        <w:tab/>
      </w:r>
      <w:r>
        <w:tab/>
        <w:t>Information Technology</w:t>
      </w:r>
    </w:p>
    <w:p w14:paraId="210F0851" w14:textId="77777777" w:rsidR="006261A3" w:rsidRPr="001032A3" w:rsidRDefault="006261A3" w:rsidP="006261A3">
      <w:pPr>
        <w:spacing w:before="120"/>
      </w:pPr>
      <w:r>
        <w:t>ITU-T</w:t>
      </w:r>
      <w:r>
        <w:tab/>
      </w:r>
      <w:r>
        <w:tab/>
        <w:t xml:space="preserve">The ITU Telecommunication Standardization Sector (formerly CCITT) </w:t>
      </w:r>
    </w:p>
    <w:p w14:paraId="58BEDF1F" w14:textId="77777777" w:rsidR="006261A3" w:rsidRDefault="006261A3" w:rsidP="006261A3">
      <w:pPr>
        <w:spacing w:before="120"/>
      </w:pPr>
      <w:r w:rsidRPr="00406208">
        <w:t>ITRE</w:t>
      </w:r>
      <w:r w:rsidRPr="001032A3">
        <w:rPr>
          <w:b/>
          <w:bCs/>
        </w:rPr>
        <w:t xml:space="preserve"> </w:t>
      </w:r>
      <w:r w:rsidRPr="001032A3">
        <w:rPr>
          <w:b/>
          <w:bCs/>
        </w:rPr>
        <w:tab/>
      </w:r>
      <w:r w:rsidRPr="001032A3">
        <w:tab/>
        <w:t>Industry, Research and Energy</w:t>
      </w:r>
    </w:p>
    <w:p w14:paraId="2D827DFB" w14:textId="77777777" w:rsidR="006261A3" w:rsidRDefault="006261A3" w:rsidP="006261A3">
      <w:pPr>
        <w:spacing w:before="120"/>
      </w:pPr>
      <w:r>
        <w:t>IVG</w:t>
      </w:r>
      <w:r>
        <w:tab/>
      </w:r>
      <w:r>
        <w:tab/>
        <w:t>International Voice Gateway</w:t>
      </w:r>
    </w:p>
    <w:p w14:paraId="0227D83C" w14:textId="77777777" w:rsidR="006261A3" w:rsidRDefault="006261A3" w:rsidP="006261A3">
      <w:pPr>
        <w:spacing w:before="120"/>
      </w:pPr>
      <w:r>
        <w:t>LBO</w:t>
      </w:r>
      <w:r>
        <w:tab/>
      </w:r>
      <w:r>
        <w:tab/>
        <w:t>Local Break Out</w:t>
      </w:r>
    </w:p>
    <w:p w14:paraId="4D9F254D" w14:textId="77777777" w:rsidR="006261A3" w:rsidRDefault="006261A3" w:rsidP="006261A3">
      <w:pPr>
        <w:spacing w:before="120"/>
      </w:pPr>
      <w:r>
        <w:t>LD</w:t>
      </w:r>
      <w:r>
        <w:tab/>
      </w:r>
      <w:r>
        <w:tab/>
        <w:t>Long Distance</w:t>
      </w:r>
    </w:p>
    <w:p w14:paraId="6D66DAF5" w14:textId="77777777" w:rsidR="006261A3" w:rsidRPr="001032A3" w:rsidRDefault="006261A3" w:rsidP="006261A3">
      <w:pPr>
        <w:spacing w:before="120"/>
      </w:pPr>
      <w:r>
        <w:t>LRAIC</w:t>
      </w:r>
      <w:r>
        <w:tab/>
      </w:r>
      <w:r>
        <w:tab/>
        <w:t>Long Run Average Incremental Cost</w:t>
      </w:r>
    </w:p>
    <w:p w14:paraId="1DEACDA3" w14:textId="77777777" w:rsidR="006261A3" w:rsidRPr="001032A3" w:rsidRDefault="006261A3" w:rsidP="006261A3">
      <w:pPr>
        <w:spacing w:before="120"/>
      </w:pPr>
      <w:r w:rsidRPr="00406208">
        <w:t>LRIC</w:t>
      </w:r>
      <w:r w:rsidRPr="001032A3">
        <w:rPr>
          <w:b/>
          <w:bCs/>
        </w:rPr>
        <w:tab/>
      </w:r>
      <w:r w:rsidRPr="001032A3">
        <w:tab/>
        <w:t>Long Run Incremental Cost</w:t>
      </w:r>
    </w:p>
    <w:p w14:paraId="53DF9797" w14:textId="77777777" w:rsidR="006261A3" w:rsidRPr="001032A3" w:rsidRDefault="006261A3" w:rsidP="006261A3">
      <w:pPr>
        <w:spacing w:before="120"/>
      </w:pPr>
      <w:r>
        <w:t>LSA</w:t>
      </w:r>
      <w:r>
        <w:tab/>
      </w:r>
      <w:r>
        <w:tab/>
        <w:t>Licensed Shared Access</w:t>
      </w:r>
    </w:p>
    <w:p w14:paraId="43C77098" w14:textId="77777777" w:rsidR="006261A3" w:rsidRPr="001032A3" w:rsidRDefault="006261A3" w:rsidP="006261A3">
      <w:pPr>
        <w:spacing w:before="120"/>
      </w:pPr>
      <w:r w:rsidRPr="00406208">
        <w:t>LTE</w:t>
      </w:r>
      <w:r w:rsidRPr="001032A3">
        <w:tab/>
      </w:r>
      <w:r w:rsidRPr="001032A3">
        <w:tab/>
        <w:t>Long Term Evolution (of 3G UMTS)</w:t>
      </w:r>
    </w:p>
    <w:p w14:paraId="553750E8" w14:textId="77777777" w:rsidR="006261A3" w:rsidRPr="001032A3" w:rsidRDefault="006261A3" w:rsidP="006261A3">
      <w:pPr>
        <w:spacing w:before="120"/>
        <w:rPr>
          <w:lang w:val="it-IT"/>
        </w:rPr>
      </w:pPr>
      <w:r w:rsidRPr="00406208">
        <w:rPr>
          <w:lang w:val="it-IT"/>
        </w:rPr>
        <w:lastRenderedPageBreak/>
        <w:t>MB</w:t>
      </w:r>
      <w:r w:rsidRPr="001032A3">
        <w:rPr>
          <w:lang w:val="it-IT"/>
        </w:rPr>
        <w:tab/>
      </w:r>
      <w:r w:rsidRPr="001032A3">
        <w:rPr>
          <w:lang w:val="it-IT"/>
        </w:rPr>
        <w:tab/>
        <w:t>MegaByte</w:t>
      </w:r>
    </w:p>
    <w:p w14:paraId="4627BE61" w14:textId="77777777" w:rsidR="006261A3" w:rsidRDefault="006261A3" w:rsidP="006261A3">
      <w:pPr>
        <w:spacing w:before="120"/>
        <w:rPr>
          <w:lang w:val="it-IT"/>
        </w:rPr>
      </w:pPr>
      <w:r w:rsidRPr="00406208">
        <w:rPr>
          <w:lang w:val="it-IT"/>
        </w:rPr>
        <w:t>Mbit/s</w:t>
      </w:r>
      <w:r w:rsidRPr="001032A3">
        <w:rPr>
          <w:b/>
          <w:bCs/>
          <w:lang w:val="it-IT"/>
        </w:rPr>
        <w:tab/>
      </w:r>
      <w:r>
        <w:rPr>
          <w:b/>
          <w:bCs/>
          <w:lang w:val="it-IT"/>
        </w:rPr>
        <w:tab/>
      </w:r>
      <w:r w:rsidRPr="001032A3">
        <w:rPr>
          <w:lang w:val="it-IT"/>
        </w:rPr>
        <w:t xml:space="preserve">Megabit per second </w:t>
      </w:r>
    </w:p>
    <w:p w14:paraId="7DBF70DE" w14:textId="77777777" w:rsidR="006261A3" w:rsidRPr="001032A3" w:rsidRDefault="006261A3" w:rsidP="006261A3">
      <w:pPr>
        <w:spacing w:before="120"/>
        <w:rPr>
          <w:b/>
          <w:bCs/>
          <w:lang w:val="it-IT"/>
        </w:rPr>
      </w:pPr>
      <w:r>
        <w:rPr>
          <w:lang w:val="it-IT"/>
        </w:rPr>
        <w:t>MCT</w:t>
      </w:r>
      <w:r>
        <w:rPr>
          <w:lang w:val="it-IT"/>
        </w:rPr>
        <w:tab/>
      </w:r>
      <w:r>
        <w:rPr>
          <w:lang w:val="it-IT"/>
        </w:rPr>
        <w:tab/>
        <w:t>Mobile Call Termination</w:t>
      </w:r>
      <w:r w:rsidRPr="001032A3">
        <w:rPr>
          <w:lang w:val="it-IT"/>
        </w:rPr>
        <w:t xml:space="preserve"> </w:t>
      </w:r>
    </w:p>
    <w:p w14:paraId="3459E87D" w14:textId="77777777" w:rsidR="006261A3" w:rsidRPr="001032A3" w:rsidRDefault="006261A3" w:rsidP="006261A3">
      <w:pPr>
        <w:spacing w:before="120"/>
      </w:pPr>
      <w:r w:rsidRPr="00406208">
        <w:t>MEP</w:t>
      </w:r>
      <w:r w:rsidRPr="001032A3">
        <w:rPr>
          <w:b/>
          <w:bCs/>
        </w:rPr>
        <w:t xml:space="preserve"> </w:t>
      </w:r>
      <w:r w:rsidRPr="001032A3">
        <w:tab/>
      </w:r>
      <w:r w:rsidRPr="001032A3">
        <w:tab/>
        <w:t>Member of the European Parliament</w:t>
      </w:r>
    </w:p>
    <w:p w14:paraId="7838D65A" w14:textId="77777777" w:rsidR="006261A3" w:rsidRPr="001032A3" w:rsidRDefault="006261A3" w:rsidP="006261A3">
      <w:pPr>
        <w:spacing w:before="120"/>
      </w:pPr>
      <w:r w:rsidRPr="00406208">
        <w:t>MMS</w:t>
      </w:r>
      <w:r w:rsidRPr="001032A3">
        <w:tab/>
      </w:r>
      <w:r w:rsidRPr="001032A3">
        <w:tab/>
        <w:t>Multimedia Messaging Service</w:t>
      </w:r>
    </w:p>
    <w:p w14:paraId="37843DD2" w14:textId="77777777" w:rsidR="006261A3" w:rsidRPr="001032A3" w:rsidRDefault="006261A3" w:rsidP="006261A3">
      <w:pPr>
        <w:spacing w:before="120"/>
      </w:pPr>
      <w:r w:rsidRPr="00406208">
        <w:t>MNO</w:t>
      </w:r>
      <w:r w:rsidRPr="001032A3">
        <w:rPr>
          <w:b/>
          <w:bCs/>
        </w:rPr>
        <w:t xml:space="preserve"> </w:t>
      </w:r>
      <w:r w:rsidRPr="001032A3">
        <w:rPr>
          <w:b/>
          <w:bCs/>
        </w:rPr>
        <w:tab/>
      </w:r>
      <w:r w:rsidRPr="001032A3">
        <w:rPr>
          <w:b/>
          <w:bCs/>
        </w:rPr>
        <w:tab/>
      </w:r>
      <w:r w:rsidRPr="001032A3">
        <w:t>Mobile Network Operator</w:t>
      </w:r>
    </w:p>
    <w:p w14:paraId="67447655" w14:textId="77777777" w:rsidR="006261A3" w:rsidRPr="001032A3" w:rsidRDefault="006261A3" w:rsidP="006261A3">
      <w:pPr>
        <w:spacing w:before="120"/>
        <w:ind w:left="1440" w:hanging="1440"/>
      </w:pPr>
      <w:r w:rsidRPr="00406208">
        <w:t>MS</w:t>
      </w:r>
      <w:r w:rsidRPr="001032A3">
        <w:tab/>
        <w:t>Member State (e</w:t>
      </w:r>
      <w:r>
        <w:t>.</w:t>
      </w:r>
      <w:r w:rsidRPr="001032A3">
        <w:t>g</w:t>
      </w:r>
      <w:r>
        <w:t>.</w:t>
      </w:r>
      <w:r w:rsidRPr="001032A3">
        <w:t xml:space="preserve"> of the EU or other regional community); </w:t>
      </w:r>
      <w:r>
        <w:t>or</w:t>
      </w:r>
      <w:r w:rsidRPr="001032A3">
        <w:t xml:space="preserve"> in ETSI and ITU documents: Mobile Station, i</w:t>
      </w:r>
      <w:r>
        <w:t>.</w:t>
      </w:r>
      <w:r w:rsidRPr="001032A3">
        <w:t>e</w:t>
      </w:r>
      <w:r>
        <w:t>.</w:t>
      </w:r>
      <w:r w:rsidRPr="001032A3">
        <w:t xml:space="preserve"> the handset used by a subscriber, such as a smartphone</w:t>
      </w:r>
    </w:p>
    <w:p w14:paraId="487C7AF0" w14:textId="77777777" w:rsidR="006261A3" w:rsidRPr="001032A3" w:rsidRDefault="006261A3" w:rsidP="006261A3">
      <w:pPr>
        <w:spacing w:before="120"/>
      </w:pPr>
      <w:r w:rsidRPr="00406208">
        <w:t>MTR</w:t>
      </w:r>
      <w:r w:rsidRPr="001032A3">
        <w:rPr>
          <w:b/>
          <w:bCs/>
        </w:rPr>
        <w:tab/>
      </w:r>
      <w:r>
        <w:rPr>
          <w:b/>
          <w:bCs/>
        </w:rPr>
        <w:tab/>
      </w:r>
      <w:r w:rsidRPr="001032A3">
        <w:t>Mobile Termination Rate: fee charged by MNO to terminate call on network</w:t>
      </w:r>
    </w:p>
    <w:p w14:paraId="6A851DC7" w14:textId="77777777" w:rsidR="006261A3" w:rsidRPr="001032A3" w:rsidRDefault="006261A3" w:rsidP="006261A3">
      <w:pPr>
        <w:spacing w:before="120"/>
      </w:pPr>
      <w:r w:rsidRPr="00406208">
        <w:t>MVNO</w:t>
      </w:r>
      <w:r w:rsidRPr="001032A3">
        <w:rPr>
          <w:b/>
          <w:bCs/>
        </w:rPr>
        <w:t xml:space="preserve"> </w:t>
      </w:r>
      <w:r w:rsidRPr="001032A3">
        <w:tab/>
      </w:r>
      <w:r w:rsidRPr="001032A3">
        <w:tab/>
        <w:t>Mobile Virtual Network Operator</w:t>
      </w:r>
    </w:p>
    <w:p w14:paraId="0FD45E45" w14:textId="77777777" w:rsidR="006261A3" w:rsidRPr="001032A3" w:rsidRDefault="006261A3" w:rsidP="006261A3">
      <w:pPr>
        <w:spacing w:before="120"/>
      </w:pPr>
      <w:r w:rsidRPr="00406208">
        <w:t>NDA</w:t>
      </w:r>
      <w:r w:rsidRPr="001032A3">
        <w:tab/>
      </w:r>
      <w:r w:rsidRPr="001032A3">
        <w:tab/>
        <w:t>Non-Disclosure Agreement</w:t>
      </w:r>
      <w:r>
        <w:t xml:space="preserve"> (signed contract for confidentiality of data gathering with MNOs)</w:t>
      </w:r>
    </w:p>
    <w:p w14:paraId="61314406" w14:textId="77777777" w:rsidR="006261A3" w:rsidRPr="001032A3" w:rsidRDefault="006261A3" w:rsidP="006261A3">
      <w:pPr>
        <w:spacing w:before="120"/>
      </w:pPr>
      <w:r w:rsidRPr="00406208">
        <w:t>NOC</w:t>
      </w:r>
      <w:r w:rsidRPr="001032A3">
        <w:tab/>
      </w:r>
      <w:r w:rsidRPr="001032A3">
        <w:tab/>
        <w:t>Network Operations Centre</w:t>
      </w:r>
    </w:p>
    <w:p w14:paraId="3A0B748B" w14:textId="77777777" w:rsidR="006261A3" w:rsidRPr="001032A3" w:rsidRDefault="006261A3" w:rsidP="006261A3">
      <w:pPr>
        <w:spacing w:before="120"/>
      </w:pPr>
      <w:r w:rsidRPr="00406208">
        <w:t>NRA</w:t>
      </w:r>
      <w:r w:rsidRPr="001032A3">
        <w:rPr>
          <w:b/>
          <w:bCs/>
        </w:rPr>
        <w:t xml:space="preserve"> </w:t>
      </w:r>
      <w:r w:rsidRPr="001032A3">
        <w:rPr>
          <w:b/>
          <w:bCs/>
        </w:rPr>
        <w:tab/>
      </w:r>
      <w:r w:rsidRPr="001032A3">
        <w:rPr>
          <w:b/>
          <w:bCs/>
        </w:rPr>
        <w:tab/>
      </w:r>
      <w:r w:rsidRPr="001032A3">
        <w:t>National Regulatory Authority</w:t>
      </w:r>
    </w:p>
    <w:p w14:paraId="6482D495" w14:textId="77777777" w:rsidR="006261A3" w:rsidRDefault="006261A3" w:rsidP="006261A3">
      <w:pPr>
        <w:spacing w:before="120"/>
      </w:pPr>
      <w:r w:rsidRPr="00406208">
        <w:t>NRTRDE</w:t>
      </w:r>
      <w:r w:rsidRPr="001032A3">
        <w:t xml:space="preserve"> </w:t>
      </w:r>
      <w:r w:rsidRPr="001032A3">
        <w:tab/>
        <w:t>Near Real-</w:t>
      </w:r>
      <w:r>
        <w:t>T</w:t>
      </w:r>
      <w:r w:rsidRPr="001032A3">
        <w:t>ime Roaming Data Exchange</w:t>
      </w:r>
    </w:p>
    <w:p w14:paraId="0A223B0A" w14:textId="77777777" w:rsidR="006261A3" w:rsidRPr="001032A3" w:rsidRDefault="006261A3" w:rsidP="006261A3">
      <w:pPr>
        <w:spacing w:before="120"/>
      </w:pPr>
      <w:r>
        <w:t>OECD</w:t>
      </w:r>
      <w:r>
        <w:tab/>
      </w:r>
      <w:r>
        <w:tab/>
        <w:t>The Organization for Economic Co-Operation and Development</w:t>
      </w:r>
    </w:p>
    <w:p w14:paraId="5E3F991E" w14:textId="77777777" w:rsidR="006261A3" w:rsidRPr="001032A3" w:rsidRDefault="006261A3" w:rsidP="006261A3">
      <w:pPr>
        <w:spacing w:before="120"/>
      </w:pPr>
      <w:r w:rsidRPr="00406208">
        <w:t>OpEx</w:t>
      </w:r>
      <w:r w:rsidRPr="001032A3">
        <w:rPr>
          <w:b/>
          <w:bCs/>
        </w:rPr>
        <w:t xml:space="preserve"> </w:t>
      </w:r>
      <w:r w:rsidRPr="001032A3">
        <w:rPr>
          <w:b/>
          <w:bCs/>
        </w:rPr>
        <w:tab/>
      </w:r>
      <w:r w:rsidRPr="001032A3">
        <w:rPr>
          <w:b/>
          <w:bCs/>
        </w:rPr>
        <w:tab/>
      </w:r>
      <w:r w:rsidRPr="001032A3">
        <w:t>Operating Expenditure</w:t>
      </w:r>
    </w:p>
    <w:p w14:paraId="48E1ED5D" w14:textId="77777777" w:rsidR="006261A3" w:rsidRPr="001032A3" w:rsidRDefault="006261A3" w:rsidP="006261A3">
      <w:pPr>
        <w:spacing w:before="120"/>
      </w:pPr>
      <w:r w:rsidRPr="00406208">
        <w:t>OSS</w:t>
      </w:r>
      <w:r w:rsidRPr="001032A3">
        <w:tab/>
      </w:r>
      <w:r w:rsidRPr="001032A3">
        <w:tab/>
        <w:t>Operational Support System</w:t>
      </w:r>
    </w:p>
    <w:p w14:paraId="1E5BDDFB" w14:textId="77777777" w:rsidR="006261A3" w:rsidRDefault="006261A3" w:rsidP="006261A3">
      <w:pPr>
        <w:spacing w:before="120"/>
      </w:pPr>
      <w:r w:rsidRPr="00406208">
        <w:t>OTA</w:t>
      </w:r>
      <w:r w:rsidRPr="001032A3">
        <w:rPr>
          <w:b/>
          <w:bCs/>
        </w:rPr>
        <w:t xml:space="preserve"> </w:t>
      </w:r>
      <w:r w:rsidRPr="001032A3">
        <w:rPr>
          <w:b/>
          <w:bCs/>
        </w:rPr>
        <w:tab/>
      </w:r>
      <w:r w:rsidRPr="001032A3">
        <w:rPr>
          <w:b/>
          <w:bCs/>
        </w:rPr>
        <w:tab/>
      </w:r>
      <w:r w:rsidRPr="001032A3">
        <w:t>Over-The-Air (e</w:t>
      </w:r>
      <w:r>
        <w:t>.</w:t>
      </w:r>
      <w:r w:rsidRPr="001032A3">
        <w:t>g</w:t>
      </w:r>
      <w:r>
        <w:t>.</w:t>
      </w:r>
      <w:r w:rsidRPr="001032A3">
        <w:t xml:space="preserve"> for visitor activation)</w:t>
      </w:r>
    </w:p>
    <w:p w14:paraId="455FADD1" w14:textId="77777777" w:rsidR="006261A3" w:rsidRDefault="006261A3" w:rsidP="006261A3">
      <w:pPr>
        <w:spacing w:before="120"/>
      </w:pPr>
      <w:r>
        <w:t>pa</w:t>
      </w:r>
      <w:r>
        <w:tab/>
      </w:r>
      <w:r>
        <w:tab/>
        <w:t>per annum</w:t>
      </w:r>
    </w:p>
    <w:p w14:paraId="029BF748" w14:textId="77777777" w:rsidR="006261A3" w:rsidRPr="001032A3" w:rsidRDefault="006261A3" w:rsidP="006261A3">
      <w:pPr>
        <w:spacing w:before="120"/>
      </w:pPr>
      <w:r>
        <w:t>PC</w:t>
      </w:r>
      <w:r>
        <w:tab/>
      </w:r>
      <w:r>
        <w:tab/>
        <w:t>Personal Computer</w:t>
      </w:r>
    </w:p>
    <w:p w14:paraId="346A3C28" w14:textId="77777777" w:rsidR="006261A3" w:rsidRPr="001032A3" w:rsidRDefault="006261A3" w:rsidP="006261A3">
      <w:pPr>
        <w:spacing w:before="120"/>
      </w:pPr>
      <w:r>
        <w:t>PDN</w:t>
      </w:r>
      <w:r>
        <w:tab/>
      </w:r>
      <w:r>
        <w:tab/>
        <w:t>Public Data Network</w:t>
      </w:r>
    </w:p>
    <w:p w14:paraId="6A928A72" w14:textId="77777777" w:rsidR="006261A3" w:rsidRPr="001032A3" w:rsidRDefault="006261A3" w:rsidP="006261A3">
      <w:pPr>
        <w:spacing w:before="120"/>
      </w:pPr>
      <w:r w:rsidRPr="00406208">
        <w:t>PLMN</w:t>
      </w:r>
      <w:r w:rsidRPr="001032A3">
        <w:tab/>
      </w:r>
      <w:r w:rsidRPr="001032A3">
        <w:tab/>
        <w:t>Public Land Mobile Network (as opposed to maritime or aeronautical)</w:t>
      </w:r>
    </w:p>
    <w:p w14:paraId="12D625F0" w14:textId="77777777" w:rsidR="006261A3" w:rsidRDefault="006261A3" w:rsidP="006261A3">
      <w:pPr>
        <w:spacing w:before="120"/>
      </w:pPr>
      <w:r w:rsidRPr="00406208">
        <w:t>PSD</w:t>
      </w:r>
      <w:r w:rsidRPr="001032A3">
        <w:tab/>
      </w:r>
      <w:r w:rsidRPr="001032A3">
        <w:tab/>
        <w:t xml:space="preserve">Packet Switched Data </w:t>
      </w:r>
      <w:r>
        <w:t>–</w:t>
      </w:r>
      <w:r w:rsidRPr="001032A3">
        <w:t xml:space="preserve"> mobile data service combining GPRS/3G and IP</w:t>
      </w:r>
    </w:p>
    <w:p w14:paraId="3C7A1897" w14:textId="77777777" w:rsidR="006261A3" w:rsidRPr="001032A3" w:rsidRDefault="006261A3" w:rsidP="006261A3">
      <w:pPr>
        <w:spacing w:before="120"/>
      </w:pPr>
      <w:r>
        <w:t>PSTN</w:t>
      </w:r>
      <w:r>
        <w:tab/>
      </w:r>
      <w:r>
        <w:tab/>
        <w:t>Public Switched Telephone Network</w:t>
      </w:r>
    </w:p>
    <w:p w14:paraId="330E3FBC" w14:textId="77777777" w:rsidR="006261A3" w:rsidRPr="001032A3" w:rsidRDefault="006261A3" w:rsidP="006261A3">
      <w:pPr>
        <w:spacing w:before="120"/>
      </w:pPr>
      <w:r w:rsidRPr="00406208">
        <w:t>RAN</w:t>
      </w:r>
      <w:r w:rsidRPr="001032A3">
        <w:tab/>
      </w:r>
      <w:r w:rsidRPr="001032A3">
        <w:tab/>
        <w:t>Radio Area Network</w:t>
      </w:r>
    </w:p>
    <w:p w14:paraId="44AFD1D5" w14:textId="77777777" w:rsidR="006261A3" w:rsidRPr="001032A3" w:rsidRDefault="006261A3" w:rsidP="006261A3">
      <w:pPr>
        <w:spacing w:before="120"/>
      </w:pPr>
      <w:r w:rsidRPr="00406208">
        <w:t>SADC</w:t>
      </w:r>
      <w:r w:rsidRPr="001032A3">
        <w:tab/>
      </w:r>
      <w:r w:rsidRPr="001032A3">
        <w:tab/>
        <w:t>Southern African Development Community</w:t>
      </w:r>
    </w:p>
    <w:p w14:paraId="2811BD9C" w14:textId="77777777" w:rsidR="006261A3" w:rsidRPr="001032A3" w:rsidRDefault="006261A3" w:rsidP="006261A3">
      <w:pPr>
        <w:spacing w:before="120"/>
      </w:pPr>
      <w:r w:rsidRPr="00406208">
        <w:t>SDL</w:t>
      </w:r>
      <w:r w:rsidRPr="001032A3">
        <w:tab/>
      </w:r>
      <w:r w:rsidRPr="001032A3">
        <w:tab/>
        <w:t>Supplementary Downlink</w:t>
      </w:r>
    </w:p>
    <w:p w14:paraId="4BA3CC5C" w14:textId="77777777" w:rsidR="006261A3" w:rsidRPr="001032A3" w:rsidRDefault="006261A3" w:rsidP="006261A3">
      <w:pPr>
        <w:spacing w:before="120"/>
      </w:pPr>
      <w:r w:rsidRPr="00406208">
        <w:t>SG3</w:t>
      </w:r>
      <w:r w:rsidRPr="001032A3">
        <w:rPr>
          <w:b/>
          <w:bCs/>
        </w:rPr>
        <w:t xml:space="preserve"> </w:t>
      </w:r>
      <w:r w:rsidRPr="001032A3">
        <w:tab/>
      </w:r>
      <w:r w:rsidRPr="001032A3">
        <w:tab/>
        <w:t>Study Group 3</w:t>
      </w:r>
    </w:p>
    <w:p w14:paraId="65E3B239" w14:textId="77777777" w:rsidR="006261A3" w:rsidRPr="001032A3" w:rsidRDefault="006261A3" w:rsidP="006261A3">
      <w:pPr>
        <w:spacing w:before="120"/>
      </w:pPr>
      <w:r w:rsidRPr="00406208">
        <w:t>SGSN</w:t>
      </w:r>
      <w:r w:rsidRPr="001032A3">
        <w:rPr>
          <w:b/>
          <w:bCs/>
        </w:rPr>
        <w:t xml:space="preserve"> </w:t>
      </w:r>
      <w:r w:rsidRPr="001032A3">
        <w:tab/>
      </w:r>
      <w:r w:rsidRPr="001032A3">
        <w:tab/>
        <w:t>Serving GPRS Support Node (for non-IP packet transfer in core network)</w:t>
      </w:r>
    </w:p>
    <w:p w14:paraId="6B391583" w14:textId="77777777" w:rsidR="006261A3" w:rsidRPr="001032A3" w:rsidRDefault="006261A3" w:rsidP="006261A3">
      <w:pPr>
        <w:spacing w:before="120"/>
      </w:pPr>
      <w:r w:rsidRPr="00406208">
        <w:t>SIM</w:t>
      </w:r>
      <w:r w:rsidRPr="001032A3">
        <w:rPr>
          <w:b/>
          <w:bCs/>
        </w:rPr>
        <w:t xml:space="preserve"> </w:t>
      </w:r>
      <w:r w:rsidRPr="001032A3">
        <w:rPr>
          <w:b/>
          <w:bCs/>
        </w:rPr>
        <w:tab/>
      </w:r>
      <w:r w:rsidRPr="001032A3">
        <w:rPr>
          <w:b/>
          <w:bCs/>
        </w:rPr>
        <w:tab/>
      </w:r>
      <w:r w:rsidRPr="001032A3">
        <w:t xml:space="preserve">Subscriber </w:t>
      </w:r>
      <w:r>
        <w:t>Identification</w:t>
      </w:r>
      <w:r w:rsidRPr="001032A3">
        <w:t xml:space="preserve"> </w:t>
      </w:r>
      <w:r>
        <w:t>M</w:t>
      </w:r>
      <w:r w:rsidRPr="001032A3">
        <w:t>odule, contains the IMSI and roaming network list</w:t>
      </w:r>
    </w:p>
    <w:p w14:paraId="07FB3682" w14:textId="77777777" w:rsidR="006261A3" w:rsidRPr="001032A3" w:rsidRDefault="006261A3" w:rsidP="006261A3">
      <w:pPr>
        <w:spacing w:before="120"/>
      </w:pPr>
      <w:r w:rsidRPr="00406208">
        <w:t>SLA</w:t>
      </w:r>
      <w:r w:rsidRPr="001032A3">
        <w:rPr>
          <w:b/>
          <w:bCs/>
        </w:rPr>
        <w:t xml:space="preserve"> </w:t>
      </w:r>
      <w:r w:rsidRPr="001032A3">
        <w:tab/>
      </w:r>
      <w:r w:rsidRPr="001032A3">
        <w:tab/>
        <w:t>Service Level Agreement</w:t>
      </w:r>
    </w:p>
    <w:p w14:paraId="4B66CCB4" w14:textId="77777777" w:rsidR="006261A3" w:rsidRPr="001032A3" w:rsidRDefault="006261A3" w:rsidP="006261A3">
      <w:pPr>
        <w:spacing w:before="120"/>
      </w:pPr>
      <w:r w:rsidRPr="00406208">
        <w:t>SME</w:t>
      </w:r>
      <w:r w:rsidRPr="001032A3">
        <w:tab/>
      </w:r>
      <w:r w:rsidRPr="001032A3">
        <w:tab/>
        <w:t>Small and Medium Enterprises</w:t>
      </w:r>
    </w:p>
    <w:p w14:paraId="41C7E710" w14:textId="77777777" w:rsidR="006261A3" w:rsidRDefault="006261A3" w:rsidP="006261A3">
      <w:pPr>
        <w:spacing w:before="120"/>
      </w:pPr>
      <w:r w:rsidRPr="00406208">
        <w:t>SMS</w:t>
      </w:r>
      <w:r w:rsidRPr="001032A3">
        <w:rPr>
          <w:b/>
          <w:bCs/>
        </w:rPr>
        <w:t xml:space="preserve"> </w:t>
      </w:r>
      <w:r w:rsidRPr="001032A3">
        <w:rPr>
          <w:b/>
          <w:bCs/>
        </w:rPr>
        <w:tab/>
      </w:r>
      <w:r w:rsidRPr="001032A3">
        <w:rPr>
          <w:b/>
          <w:bCs/>
        </w:rPr>
        <w:tab/>
      </w:r>
      <w:r w:rsidRPr="001032A3">
        <w:t>Short Message Service</w:t>
      </w:r>
    </w:p>
    <w:p w14:paraId="2CF82A34" w14:textId="77777777" w:rsidR="006261A3" w:rsidRPr="001032A3" w:rsidRDefault="006261A3" w:rsidP="006261A3">
      <w:pPr>
        <w:spacing w:before="120"/>
      </w:pPr>
      <w:r>
        <w:t>SS7</w:t>
      </w:r>
      <w:r>
        <w:tab/>
      </w:r>
      <w:r>
        <w:tab/>
        <w:t>Signalling System 7</w:t>
      </w:r>
    </w:p>
    <w:p w14:paraId="4777DB1E" w14:textId="77777777" w:rsidR="006261A3" w:rsidRPr="001032A3" w:rsidRDefault="006261A3" w:rsidP="006261A3">
      <w:pPr>
        <w:spacing w:before="120"/>
      </w:pPr>
      <w:r w:rsidRPr="00406208">
        <w:t>STIRA</w:t>
      </w:r>
      <w:r w:rsidRPr="001032A3">
        <w:rPr>
          <w:b/>
          <w:bCs/>
        </w:rPr>
        <w:t xml:space="preserve"> </w:t>
      </w:r>
      <w:r w:rsidRPr="001032A3">
        <w:rPr>
          <w:b/>
          <w:bCs/>
        </w:rPr>
        <w:tab/>
      </w:r>
      <w:r w:rsidRPr="001032A3">
        <w:rPr>
          <w:b/>
          <w:bCs/>
        </w:rPr>
        <w:tab/>
      </w:r>
      <w:r w:rsidRPr="001032A3">
        <w:t xml:space="preserve">Standard </w:t>
      </w:r>
      <w:r>
        <w:t xml:space="preserve">Terms for </w:t>
      </w:r>
      <w:r w:rsidRPr="001032A3">
        <w:t>International Roaming Agreement</w:t>
      </w:r>
      <w:r>
        <w:t>s</w:t>
      </w:r>
    </w:p>
    <w:p w14:paraId="5C1DD9A6" w14:textId="77777777" w:rsidR="006261A3" w:rsidRPr="001032A3" w:rsidRDefault="006261A3" w:rsidP="006261A3">
      <w:pPr>
        <w:spacing w:before="120"/>
      </w:pPr>
      <w:r w:rsidRPr="00406208">
        <w:t>TAP</w:t>
      </w:r>
      <w:r w:rsidRPr="001032A3">
        <w:t xml:space="preserve"> </w:t>
      </w:r>
      <w:r w:rsidRPr="001032A3">
        <w:tab/>
      </w:r>
      <w:r w:rsidRPr="001032A3">
        <w:tab/>
        <w:t>Transferred Account Procedure (file of roaming charges, usually wholesale)</w:t>
      </w:r>
    </w:p>
    <w:p w14:paraId="0033A7A6" w14:textId="77777777" w:rsidR="006261A3" w:rsidRDefault="006261A3" w:rsidP="006261A3">
      <w:pPr>
        <w:spacing w:before="120"/>
      </w:pPr>
      <w:r w:rsidRPr="00406208">
        <w:lastRenderedPageBreak/>
        <w:t>TMN</w:t>
      </w:r>
      <w:r w:rsidRPr="001032A3">
        <w:tab/>
      </w:r>
      <w:r w:rsidRPr="001032A3">
        <w:tab/>
        <w:t>Telecommunications Management Network</w:t>
      </w:r>
    </w:p>
    <w:p w14:paraId="58B345D3" w14:textId="77777777" w:rsidR="006261A3" w:rsidRPr="001032A3" w:rsidRDefault="006261A3" w:rsidP="006261A3">
      <w:pPr>
        <w:spacing w:before="120"/>
      </w:pPr>
      <w:r>
        <w:t>TSB</w:t>
      </w:r>
      <w:r>
        <w:tab/>
      </w:r>
      <w:r>
        <w:tab/>
        <w:t>Telecommunication Standardization Bureau</w:t>
      </w:r>
    </w:p>
    <w:p w14:paraId="708A842C" w14:textId="77777777" w:rsidR="006261A3" w:rsidRPr="001032A3" w:rsidRDefault="006261A3" w:rsidP="006261A3">
      <w:pPr>
        <w:spacing w:before="120"/>
      </w:pPr>
      <w:r w:rsidRPr="00406208">
        <w:t>UMTS</w:t>
      </w:r>
      <w:r w:rsidRPr="001032A3">
        <w:rPr>
          <w:b/>
          <w:bCs/>
        </w:rPr>
        <w:t xml:space="preserve"> </w:t>
      </w:r>
      <w:r w:rsidRPr="001032A3">
        <w:rPr>
          <w:b/>
          <w:bCs/>
        </w:rPr>
        <w:tab/>
      </w:r>
      <w:r w:rsidRPr="001032A3">
        <w:rPr>
          <w:b/>
          <w:bCs/>
        </w:rPr>
        <w:tab/>
      </w:r>
      <w:r w:rsidRPr="001032A3">
        <w:t>Universal Mobile Telecommunications System</w:t>
      </w:r>
    </w:p>
    <w:p w14:paraId="0CFD7004" w14:textId="77777777" w:rsidR="006261A3" w:rsidRPr="001032A3" w:rsidRDefault="006261A3" w:rsidP="006261A3">
      <w:pPr>
        <w:spacing w:before="120"/>
      </w:pPr>
      <w:r>
        <w:t>VAT</w:t>
      </w:r>
      <w:r>
        <w:tab/>
      </w:r>
      <w:r>
        <w:tab/>
        <w:t>Value Added Tax</w:t>
      </w:r>
    </w:p>
    <w:p w14:paraId="71BF0FCF" w14:textId="77777777" w:rsidR="006261A3" w:rsidRPr="001032A3" w:rsidRDefault="006261A3" w:rsidP="006261A3">
      <w:pPr>
        <w:spacing w:before="120"/>
      </w:pPr>
      <w:r w:rsidRPr="00406208">
        <w:t>VLR</w:t>
      </w:r>
      <w:r w:rsidRPr="001032A3">
        <w:rPr>
          <w:b/>
          <w:bCs/>
        </w:rPr>
        <w:tab/>
      </w:r>
      <w:r w:rsidRPr="001032A3">
        <w:rPr>
          <w:b/>
          <w:bCs/>
        </w:rPr>
        <w:tab/>
      </w:r>
      <w:r w:rsidRPr="001032A3">
        <w:t>Visiting Location Register</w:t>
      </w:r>
    </w:p>
    <w:p w14:paraId="49CE678B" w14:textId="77777777" w:rsidR="006261A3" w:rsidRPr="001032A3" w:rsidRDefault="006261A3" w:rsidP="006261A3">
      <w:pPr>
        <w:spacing w:before="120"/>
      </w:pPr>
      <w:r w:rsidRPr="00406208">
        <w:t>VPLMN</w:t>
      </w:r>
      <w:r w:rsidRPr="001032A3">
        <w:rPr>
          <w:b/>
          <w:bCs/>
        </w:rPr>
        <w:tab/>
      </w:r>
      <w:r>
        <w:rPr>
          <w:b/>
          <w:bCs/>
        </w:rPr>
        <w:tab/>
      </w:r>
      <w:r w:rsidRPr="001032A3">
        <w:t xml:space="preserve">Visited Public </w:t>
      </w:r>
      <w:r>
        <w:t xml:space="preserve">Land </w:t>
      </w:r>
      <w:r w:rsidRPr="001032A3">
        <w:t>Mobile Network</w:t>
      </w:r>
    </w:p>
    <w:p w14:paraId="0E671657" w14:textId="77777777" w:rsidR="006261A3" w:rsidRPr="001032A3" w:rsidRDefault="006261A3" w:rsidP="006261A3">
      <w:pPr>
        <w:spacing w:before="120"/>
      </w:pPr>
      <w:r w:rsidRPr="00406208">
        <w:t>VoIP</w:t>
      </w:r>
      <w:r w:rsidRPr="001032A3">
        <w:t xml:space="preserve"> </w:t>
      </w:r>
      <w:r w:rsidRPr="001032A3">
        <w:tab/>
      </w:r>
      <w:r w:rsidRPr="001032A3">
        <w:tab/>
        <w:t>Voice over IP</w:t>
      </w:r>
    </w:p>
    <w:p w14:paraId="23D0CF17" w14:textId="77777777" w:rsidR="006261A3" w:rsidRDefault="006261A3" w:rsidP="006261A3">
      <w:pPr>
        <w:spacing w:before="120"/>
      </w:pPr>
      <w:r w:rsidRPr="00406208">
        <w:t>VoLTE</w:t>
      </w:r>
      <w:r w:rsidRPr="001032A3">
        <w:rPr>
          <w:b/>
          <w:bCs/>
        </w:rPr>
        <w:tab/>
      </w:r>
      <w:r w:rsidRPr="001032A3">
        <w:rPr>
          <w:b/>
          <w:bCs/>
        </w:rPr>
        <w:tab/>
      </w:r>
      <w:r w:rsidRPr="001032A3">
        <w:t>Voice over LTE</w:t>
      </w:r>
    </w:p>
    <w:p w14:paraId="1CA563C6" w14:textId="77777777" w:rsidR="006261A3" w:rsidRPr="001032A3" w:rsidRDefault="006261A3" w:rsidP="006261A3">
      <w:pPr>
        <w:spacing w:before="120"/>
      </w:pPr>
      <w:r>
        <w:t>VV</w:t>
      </w:r>
      <w:r>
        <w:tab/>
      </w:r>
      <w:r>
        <w:tab/>
        <w:t>Volume of total Voice</w:t>
      </w:r>
    </w:p>
    <w:p w14:paraId="0FF1622C" w14:textId="77777777" w:rsidR="006261A3" w:rsidRPr="001032A3" w:rsidRDefault="006261A3" w:rsidP="006261A3">
      <w:pPr>
        <w:spacing w:before="120"/>
      </w:pPr>
      <w:r w:rsidRPr="00406208">
        <w:t>W-CDMA</w:t>
      </w:r>
      <w:r w:rsidRPr="001032A3">
        <w:rPr>
          <w:b/>
          <w:bCs/>
        </w:rPr>
        <w:tab/>
      </w:r>
      <w:r w:rsidRPr="001032A3">
        <w:t>Wideband Code Division Multiple Access</w:t>
      </w:r>
    </w:p>
    <w:p w14:paraId="3A4FF126" w14:textId="77777777" w:rsidR="006261A3" w:rsidRPr="001032A3" w:rsidRDefault="006261A3" w:rsidP="006261A3">
      <w:pPr>
        <w:spacing w:before="120"/>
      </w:pPr>
      <w:r w:rsidRPr="00406208">
        <w:t>Wi-Fi</w:t>
      </w:r>
      <w:r w:rsidRPr="001032A3">
        <w:tab/>
      </w:r>
      <w:r w:rsidRPr="001032A3">
        <w:tab/>
        <w:t>Wireless Fidelity, an IEEE standard for WLANs</w:t>
      </w:r>
    </w:p>
    <w:p w14:paraId="27E31D5E" w14:textId="77777777" w:rsidR="006261A3" w:rsidRDefault="006261A3" w:rsidP="006261A3">
      <w:pPr>
        <w:spacing w:before="120"/>
      </w:pPr>
      <w:r w:rsidRPr="00406208">
        <w:t>WLAN</w:t>
      </w:r>
      <w:r w:rsidRPr="001032A3">
        <w:rPr>
          <w:b/>
          <w:bCs/>
        </w:rPr>
        <w:tab/>
      </w:r>
      <w:r w:rsidRPr="001032A3">
        <w:tab/>
        <w:t>Wireless Local Area Network</w:t>
      </w:r>
    </w:p>
    <w:p w14:paraId="4EEA5B77" w14:textId="77777777" w:rsidR="006261A3" w:rsidRDefault="006261A3" w:rsidP="006261A3">
      <w:pPr>
        <w:spacing w:before="0"/>
        <w:jc w:val="left"/>
      </w:pPr>
    </w:p>
    <w:p w14:paraId="0FC3C68A" w14:textId="77777777" w:rsidR="006261A3" w:rsidRDefault="006261A3" w:rsidP="006261A3">
      <w:pPr>
        <w:spacing w:before="0"/>
        <w:jc w:val="left"/>
      </w:pPr>
      <w:r>
        <w:br w:type="page"/>
      </w:r>
    </w:p>
    <w:p w14:paraId="64A45B98" w14:textId="77777777" w:rsidR="006261A3" w:rsidRPr="001032A3" w:rsidRDefault="006261A3" w:rsidP="006261A3">
      <w:pPr>
        <w:pStyle w:val="Heading1"/>
      </w:pPr>
      <w:bookmarkStart w:id="81" w:name="_Toc425326343"/>
      <w:bookmarkStart w:id="82" w:name="_Toc429485895"/>
      <w:r w:rsidRPr="001032A3">
        <w:lastRenderedPageBreak/>
        <w:t xml:space="preserve">List of </w:t>
      </w:r>
      <w:r>
        <w:t>r</w:t>
      </w:r>
      <w:r w:rsidRPr="001032A3">
        <w:t>eferences, background, and further reading</w:t>
      </w:r>
      <w:bookmarkEnd w:id="81"/>
      <w:bookmarkEnd w:id="82"/>
    </w:p>
    <w:p w14:paraId="105AD0A8" w14:textId="5FEE6C14" w:rsidR="006261A3" w:rsidRPr="00F66CED" w:rsidRDefault="006261A3" w:rsidP="001D3CC6">
      <w:pPr>
        <w:ind w:left="340" w:hanging="340"/>
        <w:rPr>
          <w:sz w:val="20"/>
          <w:szCs w:val="20"/>
        </w:rPr>
      </w:pPr>
      <w:r w:rsidRPr="001032A3">
        <w:t xml:space="preserve">Antocicco, S. (2006), </w:t>
      </w:r>
      <w:r w:rsidRPr="001032A3">
        <w:rPr>
          <w:i/>
          <w:iCs/>
        </w:rPr>
        <w:t>Determining the impact on wholesale and retail roaming revenues and strategy after the imposition of EU (and self) regulation</w:t>
      </w:r>
      <w:r w:rsidRPr="001032A3">
        <w:t>, presentation at 1st Mobile Roaming Conference,</w:t>
      </w:r>
      <w:r>
        <w:t xml:space="preserve"> </w:t>
      </w:r>
      <w:r w:rsidRPr="001032A3">
        <w:t>Budapest,</w:t>
      </w:r>
      <w:r>
        <w:t xml:space="preserve"> </w:t>
      </w:r>
      <w:r w:rsidRPr="001032A3">
        <w:t>28</w:t>
      </w:r>
      <w:r>
        <w:t>-</w:t>
      </w:r>
      <w:r w:rsidRPr="001032A3">
        <w:t>30 November</w:t>
      </w:r>
      <w:r w:rsidR="001D3CC6">
        <w:t>.</w:t>
      </w:r>
    </w:p>
    <w:p w14:paraId="070368DE" w14:textId="50CEFA83" w:rsidR="005619D5" w:rsidRDefault="006261A3" w:rsidP="006261A3">
      <w:pPr>
        <w:ind w:left="340" w:hanging="340"/>
      </w:pPr>
      <w:r w:rsidRPr="001032A3">
        <w:t xml:space="preserve">ARCEP (2006), </w:t>
      </w:r>
      <w:r w:rsidRPr="001032A3">
        <w:rPr>
          <w:i/>
        </w:rPr>
        <w:t>The Market for International Roaming</w:t>
      </w:r>
      <w:r w:rsidRPr="001032A3">
        <w:t xml:space="preserve">, Public consultation on the national market for international roaming services on public mobile telephone networks, available at </w:t>
      </w:r>
      <w:hyperlink r:id="rId32" w:history="1">
        <w:r w:rsidR="00E55233" w:rsidRPr="008015B9">
          <w:rPr>
            <w:rStyle w:val="Hyperlink"/>
            <w:rFonts w:asciiTheme="minorHAnsi" w:hAnsiTheme="minorHAnsi" w:cs="Helvetica"/>
            <w:kern w:val="0"/>
            <w:sz w:val="20"/>
            <w:szCs w:val="20"/>
            <w:lang w:val="en-US"/>
          </w:rPr>
          <w:t>http://www.arcep.fr/fileadmin/reprise/publications/c-publique/2006/consultang-roaming-100106.pdf</w:t>
        </w:r>
      </w:hyperlink>
      <w:r w:rsidR="00E55233">
        <w:rPr>
          <w:rFonts w:ascii="Helvetica" w:hAnsi="Helvetica" w:cs="Helvetica"/>
          <w:kern w:val="0"/>
          <w:sz w:val="24"/>
          <w:szCs w:val="24"/>
          <w:lang w:val="en-US"/>
        </w:rPr>
        <w:t xml:space="preserve"> </w:t>
      </w:r>
    </w:p>
    <w:p w14:paraId="28DACA17" w14:textId="77777777" w:rsidR="006261A3" w:rsidRPr="001032A3" w:rsidRDefault="006261A3" w:rsidP="006261A3">
      <w:pPr>
        <w:ind w:left="340" w:hanging="340"/>
      </w:pPr>
      <w:r w:rsidRPr="001032A3">
        <w:t xml:space="preserve">Armstrong, M. (2002), </w:t>
      </w:r>
      <w:r w:rsidRPr="001032A3">
        <w:rPr>
          <w:i/>
        </w:rPr>
        <w:t>The Theory of Access Pricing and Interconnection</w:t>
      </w:r>
      <w:r w:rsidRPr="001032A3">
        <w:t xml:space="preserve">, Handbook of Telecommunications Economics, </w:t>
      </w:r>
      <w:r>
        <w:t>V</w:t>
      </w:r>
      <w:r w:rsidRPr="001032A3">
        <w:t>ol. 1.</w:t>
      </w:r>
    </w:p>
    <w:p w14:paraId="6C87AC18" w14:textId="77777777" w:rsidR="006261A3" w:rsidRPr="001032A3" w:rsidRDefault="006261A3" w:rsidP="006261A3">
      <w:pPr>
        <w:ind w:left="340" w:hanging="340"/>
      </w:pPr>
      <w:r w:rsidRPr="001032A3">
        <w:t>BEREC, Report on Transparency and Comparability of International Roaming Tariffs, December 2013, BoR (13) 185</w:t>
      </w:r>
      <w:r>
        <w:t>.</w:t>
      </w:r>
    </w:p>
    <w:p w14:paraId="2BE20975" w14:textId="6498BD3D" w:rsidR="005619D5" w:rsidRPr="00F66CED" w:rsidRDefault="006261A3" w:rsidP="006261A3">
      <w:pPr>
        <w:ind w:left="340" w:hanging="340"/>
        <w:rPr>
          <w:sz w:val="20"/>
          <w:szCs w:val="20"/>
        </w:rPr>
      </w:pPr>
      <w:r w:rsidRPr="001032A3">
        <w:t xml:space="preserve">Bomsel, O., Cave, M., Le Blanc, G., and Neumann, K-H. (2003), </w:t>
      </w:r>
      <w:r w:rsidRPr="001032A3">
        <w:rPr>
          <w:i/>
        </w:rPr>
        <w:t>How Mobile Termination Charges Shape the Dynamics of the Telecom Sector</w:t>
      </w:r>
      <w:r w:rsidRPr="001032A3">
        <w:t xml:space="preserve">, available at </w:t>
      </w:r>
      <w:hyperlink r:id="rId33" w:history="1">
        <w:r w:rsidR="00E55233" w:rsidRPr="00F66CED">
          <w:rPr>
            <w:rStyle w:val="Hyperlink"/>
            <w:sz w:val="20"/>
            <w:szCs w:val="20"/>
          </w:rPr>
          <w:t>http://link.springer.com/article/10.1007/s00712-008-0054-7</w:t>
        </w:r>
      </w:hyperlink>
      <w:r w:rsidR="00E55233" w:rsidRPr="00F66CED">
        <w:rPr>
          <w:sz w:val="20"/>
          <w:szCs w:val="20"/>
        </w:rPr>
        <w:t xml:space="preserve"> </w:t>
      </w:r>
    </w:p>
    <w:p w14:paraId="1991A758" w14:textId="77777777" w:rsidR="006261A3" w:rsidRPr="001032A3" w:rsidRDefault="006261A3" w:rsidP="006261A3">
      <w:pPr>
        <w:ind w:left="340" w:hanging="340"/>
      </w:pPr>
      <w:r w:rsidRPr="001032A3">
        <w:t>Carter, M. and Wright,</w:t>
      </w:r>
      <w:r>
        <w:t xml:space="preserve"> J.</w:t>
      </w:r>
      <w:r w:rsidRPr="001032A3">
        <w:t xml:space="preserve"> (1999), </w:t>
      </w:r>
      <w:r w:rsidRPr="001032A3">
        <w:rPr>
          <w:i/>
        </w:rPr>
        <w:t>Interconnection in Network Industries</w:t>
      </w:r>
      <w:r w:rsidRPr="001032A3">
        <w:t>, Review of Industrial Organization, 14:1-25.</w:t>
      </w:r>
    </w:p>
    <w:p w14:paraId="03CDACA5" w14:textId="77777777" w:rsidR="006261A3" w:rsidRPr="001032A3" w:rsidRDefault="006261A3" w:rsidP="006261A3">
      <w:pPr>
        <w:ind w:left="340" w:hanging="340"/>
      </w:pPr>
      <w:r w:rsidRPr="001032A3">
        <w:t>Carter, M. and Wright, J. (1994)</w:t>
      </w:r>
      <w:r>
        <w:t>,</w:t>
      </w:r>
      <w:r w:rsidRPr="001032A3">
        <w:t xml:space="preserve"> </w:t>
      </w:r>
      <w:r w:rsidRPr="001032A3">
        <w:rPr>
          <w:i/>
        </w:rPr>
        <w:t>Symbiotic Production: The case of Telecommunication Pricing</w:t>
      </w:r>
      <w:r>
        <w:rPr>
          <w:i/>
        </w:rPr>
        <w:t>,</w:t>
      </w:r>
      <w:r w:rsidRPr="001032A3">
        <w:t xml:space="preserve"> Review of Industrial Organization, 9:365{378}. </w:t>
      </w:r>
    </w:p>
    <w:p w14:paraId="0464E8F9" w14:textId="02E96CF7" w:rsidR="006261A3" w:rsidRPr="001032A3" w:rsidRDefault="006261A3" w:rsidP="006261A3">
      <w:pPr>
        <w:ind w:left="340" w:hanging="340"/>
      </w:pPr>
      <w:r w:rsidRPr="001032A3">
        <w:t>Commission Communication on a Proposal for a Regulation of the European Parliament and of the Council on Roaming on Public Mobile Networks within the Community, COM (2006)</w:t>
      </w:r>
      <w:r>
        <w:t xml:space="preserve"> </w:t>
      </w:r>
      <w:r w:rsidRPr="001032A3">
        <w:t>382 Final, J</w:t>
      </w:r>
      <w:r w:rsidR="00E55233">
        <w:t>uly </w:t>
      </w:r>
      <w:r w:rsidRPr="001032A3">
        <w:t>2006.</w:t>
      </w:r>
    </w:p>
    <w:p w14:paraId="2E4A4052" w14:textId="0FD9EB64" w:rsidR="005779EC" w:rsidRDefault="006261A3" w:rsidP="006845BF">
      <w:pPr>
        <w:ind w:left="340" w:hanging="340"/>
      </w:pPr>
      <w:r w:rsidRPr="001032A3">
        <w:t>Competition Commission (2002), Vodafone, O2, Orange and T-Mobile: Reports on references under section 13 of the Telecommunications Act 1984 on the charges made by Vodafone, O2, Orange and T-Mobile for terminating calls from fixed and mobile networks, available at</w:t>
      </w:r>
      <w:r w:rsidR="005779EC">
        <w:t xml:space="preserve"> </w:t>
      </w:r>
      <w:hyperlink r:id="rId34" w:history="1">
        <w:r w:rsidR="00E55233" w:rsidRPr="008015B9">
          <w:rPr>
            <w:rStyle w:val="Hyperlink"/>
            <w:rFonts w:asciiTheme="minorHAnsi" w:hAnsiTheme="minorHAnsi" w:cs="Helvetica"/>
            <w:kern w:val="0"/>
            <w:sz w:val="20"/>
            <w:szCs w:val="20"/>
            <w:lang w:val="en-US"/>
          </w:rPr>
          <w:t>http://webarchive.nationalarchives.gov.uk/+/http:/www.competition-commission.org.uk/rep_pub/reports/2003/475mobilephones.htm</w:t>
        </w:r>
      </w:hyperlink>
      <w:r w:rsidR="00E55233">
        <w:rPr>
          <w:rFonts w:ascii="Helvetica" w:hAnsi="Helvetica" w:cs="Helvetica"/>
          <w:kern w:val="0"/>
          <w:sz w:val="24"/>
          <w:szCs w:val="24"/>
          <w:lang w:val="en-US"/>
        </w:rPr>
        <w:t xml:space="preserve"> </w:t>
      </w:r>
    </w:p>
    <w:p w14:paraId="3C68F409" w14:textId="7F4CF023" w:rsidR="006845BF" w:rsidRDefault="006261A3" w:rsidP="006845BF">
      <w:pPr>
        <w:ind w:left="340" w:hanging="340"/>
      </w:pPr>
      <w:r w:rsidRPr="009F5406">
        <w:t xml:space="preserve">CRA International (2006), </w:t>
      </w:r>
      <w:r w:rsidRPr="009F5406">
        <w:rPr>
          <w:i/>
        </w:rPr>
        <w:t>Impact of EC Proposed Regulation of International Roaming</w:t>
      </w:r>
      <w:r w:rsidRPr="009F5406">
        <w:t xml:space="preserve">, available </w:t>
      </w:r>
      <w:r w:rsidR="002A4DB6">
        <w:t>as Annex </w:t>
      </w:r>
      <w:r w:rsidR="00C5033A">
        <w:t>3 in the GSMA document</w:t>
      </w:r>
      <w:r w:rsidR="00273B3C" w:rsidRPr="00273B3C">
        <w:t>: The GSM Association’s response to the second phase of public consultation on a proposal for a Regulation (EC) of the European parliament and Council on roaming services in the Single Market, 12 May 2006</w:t>
      </w:r>
      <w:r w:rsidR="00273B3C">
        <w:t>.</w:t>
      </w:r>
    </w:p>
    <w:p w14:paraId="5FFE067E" w14:textId="77777777" w:rsidR="006845BF" w:rsidRDefault="00A262F2" w:rsidP="006845BF">
      <w:pPr>
        <w:spacing w:before="0"/>
        <w:ind w:left="340"/>
      </w:pPr>
      <w:hyperlink r:id="rId35" w:history="1">
        <w:r w:rsidR="006845BF" w:rsidRPr="00F66CED">
          <w:rPr>
            <w:rFonts w:asciiTheme="minorHAnsi" w:hAnsiTheme="minorHAnsi" w:cs="Times"/>
            <w:color w:val="001EE6"/>
            <w:kern w:val="0"/>
            <w:sz w:val="20"/>
            <w:szCs w:val="20"/>
            <w:u w:val="single" w:color="001EE6"/>
            <w:lang w:val="en-US"/>
          </w:rPr>
          <w:t>http://ec.europa.eu/information_society/activities/roaming/docs/phase2/gsm_association.pdf</w:t>
        </w:r>
      </w:hyperlink>
    </w:p>
    <w:p w14:paraId="13BBDFFE" w14:textId="45315A7A" w:rsidR="00BC0988" w:rsidRPr="00F66CED" w:rsidRDefault="006845BF" w:rsidP="006845BF">
      <w:pPr>
        <w:ind w:left="340" w:hanging="340"/>
        <w:rPr>
          <w:rFonts w:asciiTheme="minorHAnsi" w:hAnsiTheme="minorHAnsi"/>
          <w:sz w:val="20"/>
          <w:szCs w:val="20"/>
        </w:rPr>
      </w:pPr>
      <w:r w:rsidRPr="001032A3">
        <w:t xml:space="preserve">Directive 2002/19/EC of the European Parliament and of the Council of 7 March 2002 on access to, and interconnection of, electronic communications networks and associated facilities (Access Directive), Official Journal L 108, 24/04/2002 </w:t>
      </w:r>
    </w:p>
    <w:p w14:paraId="19FC168D" w14:textId="77777777" w:rsidR="006261A3" w:rsidRPr="001032A3" w:rsidRDefault="006261A3" w:rsidP="006261A3">
      <w:pPr>
        <w:ind w:left="340" w:hanging="340"/>
      </w:pPr>
      <w:r w:rsidRPr="001032A3">
        <w:t xml:space="preserve">ERG Consultation Report on the Common Position on Wholesale International Roaming (Consultation Doc. N. Erg (05)20), September 2005. </w:t>
      </w:r>
    </w:p>
    <w:p w14:paraId="76F9EB0C" w14:textId="67EBC493" w:rsidR="006261A3" w:rsidRPr="001032A3" w:rsidRDefault="006261A3" w:rsidP="002A4DB6">
      <w:pPr>
        <w:ind w:left="340" w:hanging="340"/>
      </w:pPr>
      <w:r w:rsidRPr="001032A3">
        <w:t xml:space="preserve">European Regulators Group (2005), </w:t>
      </w:r>
      <w:r w:rsidRPr="001032A3">
        <w:rPr>
          <w:i/>
        </w:rPr>
        <w:t>ERG Common Position on the Coordinated Analysis of the Markets for Wholesale International Roaming</w:t>
      </w:r>
      <w:r w:rsidRPr="001032A3">
        <w:t xml:space="preserve">, ERG (05)20rev1, </w:t>
      </w:r>
      <w:r w:rsidR="003049B8">
        <w:t xml:space="preserve">summary available in </w:t>
      </w:r>
      <w:r w:rsidR="00BC0988" w:rsidRPr="008015B9">
        <w:rPr>
          <w:rFonts w:asciiTheme="minorHAnsi" w:hAnsiTheme="minorHAnsi" w:cs="Helvetica"/>
          <w:i/>
          <w:kern w:val="0"/>
          <w:lang w:val="en-US"/>
        </w:rPr>
        <w:t>ERG response to the European Commission’s call for input on its proposed EC Regulation in the international  roaming marke</w:t>
      </w:r>
      <w:r w:rsidR="00BC0988" w:rsidRPr="008015B9">
        <w:rPr>
          <w:rFonts w:asciiTheme="minorHAnsi" w:hAnsiTheme="minorHAnsi" w:cs="Helvetica"/>
          <w:kern w:val="0"/>
          <w:lang w:val="en-US"/>
        </w:rPr>
        <w:t>t</w:t>
      </w:r>
      <w:r w:rsidR="003049B8" w:rsidRPr="008015B9">
        <w:rPr>
          <w:rFonts w:asciiTheme="minorHAnsi" w:hAnsiTheme="minorHAnsi" w:cs="Helvetica"/>
          <w:kern w:val="0"/>
          <w:lang w:val="en-US"/>
        </w:rPr>
        <w:t xml:space="preserve"> </w:t>
      </w:r>
      <w:r w:rsidRPr="008015B9">
        <w:rPr>
          <w:rFonts w:asciiTheme="minorHAnsi" w:hAnsiTheme="minorHAnsi"/>
        </w:rPr>
        <w:t>available at</w:t>
      </w:r>
      <w:r w:rsidR="003049B8">
        <w:t xml:space="preserve"> </w:t>
      </w:r>
      <w:hyperlink r:id="rId36" w:history="1">
        <w:r w:rsidR="002A4DB6" w:rsidRPr="00F66CED">
          <w:rPr>
            <w:rStyle w:val="Hyperlink"/>
            <w:sz w:val="20"/>
            <w:szCs w:val="20"/>
          </w:rPr>
          <w:t>http://www.awt.be/contenu/tel/mob/roaming_erg_response.pdf</w:t>
        </w:r>
      </w:hyperlink>
      <w:r w:rsidR="002A4DB6">
        <w:t xml:space="preserve"> </w:t>
      </w:r>
      <w:r>
        <w:t xml:space="preserve"> </w:t>
      </w:r>
    </w:p>
    <w:p w14:paraId="6CBB24AA" w14:textId="26BC96FB" w:rsidR="006261A3" w:rsidRPr="001032A3" w:rsidRDefault="006261A3" w:rsidP="006261A3">
      <w:pPr>
        <w:ind w:left="340" w:hanging="340"/>
      </w:pPr>
      <w:r w:rsidRPr="001032A3">
        <w:lastRenderedPageBreak/>
        <w:t xml:space="preserve">ERG Report (2005b), Report of the Project Team on International Retail </w:t>
      </w:r>
      <w:r w:rsidR="00083EEE">
        <w:t>Tariff Transparency, ERG (05)43 </w:t>
      </w:r>
      <w:r w:rsidRPr="001032A3">
        <w:t>rev 1.</w:t>
      </w:r>
    </w:p>
    <w:p w14:paraId="627A90F5" w14:textId="77777777" w:rsidR="006261A3" w:rsidRPr="001032A3" w:rsidRDefault="006261A3" w:rsidP="006261A3">
      <w:pPr>
        <w:ind w:left="340" w:hanging="340"/>
      </w:pPr>
      <w:r w:rsidRPr="001032A3">
        <w:t>ERG Report, ERG Project Team on International Roaming Retail Tariff Transparency, ERG Report (05) 43.</w:t>
      </w:r>
    </w:p>
    <w:p w14:paraId="1317E2F2" w14:textId="77777777" w:rsidR="006261A3" w:rsidRPr="001032A3" w:rsidRDefault="006261A3" w:rsidP="006261A3">
      <w:pPr>
        <w:ind w:left="340" w:hanging="340"/>
      </w:pPr>
      <w:r w:rsidRPr="001032A3">
        <w:t>ERG Response to the European Commission</w:t>
      </w:r>
      <w:r>
        <w:t>'</w:t>
      </w:r>
      <w:r w:rsidRPr="001032A3">
        <w:t>s Call for Input on its Proposed EC Regulation in the International Roaming Market, March 2006.</w:t>
      </w:r>
    </w:p>
    <w:p w14:paraId="166A0C86" w14:textId="77777777" w:rsidR="006261A3" w:rsidRPr="001032A3" w:rsidRDefault="006261A3" w:rsidP="006261A3">
      <w:pPr>
        <w:ind w:left="340" w:hanging="340"/>
      </w:pPr>
      <w:r w:rsidRPr="001032A3">
        <w:t>ERG Response to the European Commission</w:t>
      </w:r>
      <w:r>
        <w:t>'</w:t>
      </w:r>
      <w:r w:rsidRPr="001032A3">
        <w:t xml:space="preserve">s Second Phase Public Consultation on a Proposal for a Regulation (EC) of the European Parliament and of the Council on Mobile Roaming Services in the Single Market, May 2006. </w:t>
      </w:r>
    </w:p>
    <w:p w14:paraId="7D6F2367" w14:textId="77777777" w:rsidR="006261A3" w:rsidRPr="001032A3" w:rsidRDefault="006261A3" w:rsidP="006261A3">
      <w:pPr>
        <w:ind w:left="340" w:hanging="340"/>
      </w:pPr>
      <w:r w:rsidRPr="001032A3">
        <w:t>Eurobarometer Survey on Roaming. Fieldwork September-October 2006, November 2006. Special Eurobarometer 206/Wave 66.1 - TNS Opinion &amp; Social.</w:t>
      </w:r>
    </w:p>
    <w:p w14:paraId="2BAE257F" w14:textId="77777777" w:rsidR="006261A3" w:rsidRPr="001032A3" w:rsidRDefault="006261A3" w:rsidP="006261A3">
      <w:pPr>
        <w:ind w:left="340" w:hanging="340"/>
      </w:pPr>
      <w:r w:rsidRPr="001032A3">
        <w:t>European Commission (2000), On the initial findings of the sector inquiry into mobile roaming charges, Working document.</w:t>
      </w:r>
    </w:p>
    <w:p w14:paraId="52E1555F" w14:textId="77777777" w:rsidR="006261A3" w:rsidRPr="00406208" w:rsidRDefault="006261A3" w:rsidP="006261A3">
      <w:pPr>
        <w:ind w:left="340" w:hanging="340"/>
      </w:pPr>
      <w:r w:rsidRPr="001032A3">
        <w:t>European Commission (2006) COM</w:t>
      </w:r>
      <w:r>
        <w:t xml:space="preserve"> </w:t>
      </w:r>
      <w:r w:rsidRPr="001032A3">
        <w:t>(2006) 382 Final, 12 July 2006, SEC</w:t>
      </w:r>
      <w:r>
        <w:t xml:space="preserve"> </w:t>
      </w:r>
      <w:r w:rsidRPr="001032A3">
        <w:t>(2006) 925, Impact Assessment of policy options relating to a Commission proposal for a regulation of the European Parliament and of the Council on roaming on public mobile networks with the Community</w:t>
      </w:r>
      <w:r>
        <w:t>.</w:t>
      </w:r>
    </w:p>
    <w:p w14:paraId="29950E5B" w14:textId="77777777" w:rsidR="006261A3" w:rsidRPr="001032A3" w:rsidRDefault="006261A3" w:rsidP="006261A3">
      <w:pPr>
        <w:ind w:left="340" w:hanging="340"/>
      </w:pPr>
      <w:r w:rsidRPr="001032A3">
        <w:t>European Commission, Tariffs: Roaming Around Europe</w:t>
      </w:r>
      <w:r>
        <w:t>.</w:t>
      </w:r>
      <w:r w:rsidRPr="001032A3">
        <w:t xml:space="preserve"> </w:t>
      </w:r>
    </w:p>
    <w:p w14:paraId="405A0176" w14:textId="183BF721" w:rsidR="006914E4" w:rsidRPr="00B24263" w:rsidRDefault="006261A3" w:rsidP="006914E4">
      <w:pPr>
        <w:spacing w:before="0"/>
        <w:ind w:left="425"/>
        <w:jc w:val="left"/>
      </w:pPr>
      <w:r w:rsidRPr="001032A3">
        <w:t xml:space="preserve">FICORA (2005a), </w:t>
      </w:r>
      <w:r w:rsidRPr="001032A3">
        <w:rPr>
          <w:i/>
        </w:rPr>
        <w:t xml:space="preserve">Decision on Significant Market Power in Wholesale Market for International </w:t>
      </w:r>
      <w:r w:rsidRPr="00B24263">
        <w:t>Roaming in Finland</w:t>
      </w:r>
      <w:r w:rsidR="00B24263">
        <w:t>, 1201/934/2005.</w:t>
      </w:r>
    </w:p>
    <w:p w14:paraId="02FF30FA" w14:textId="755A7C35" w:rsidR="006261A3" w:rsidRPr="00083EEE" w:rsidRDefault="006261A3" w:rsidP="006914E4">
      <w:pPr>
        <w:ind w:left="340" w:hanging="340"/>
      </w:pPr>
      <w:r w:rsidRPr="001032A3">
        <w:t>FICORA (2005b)</w:t>
      </w:r>
      <w:r>
        <w:t>,</w:t>
      </w:r>
      <w:r w:rsidRPr="001032A3">
        <w:t xml:space="preserve"> Survey on Mobile Phone Usage Abroad</w:t>
      </w:r>
      <w:r>
        <w:t xml:space="preserve">. </w:t>
      </w:r>
      <w:r w:rsidRPr="001032A3">
        <w:t xml:space="preserve">FICORA (2005), Decision on Significant Market </w:t>
      </w:r>
      <w:r w:rsidRPr="00083EEE">
        <w:t>Power in Wholesale Market for International Roa</w:t>
      </w:r>
      <w:r w:rsidR="006914E4">
        <w:t>ming in Finland, 1201/934/2005.</w:t>
      </w:r>
    </w:p>
    <w:p w14:paraId="13068E9C" w14:textId="77777777" w:rsidR="006261A3" w:rsidRPr="001032A3" w:rsidRDefault="006261A3" w:rsidP="006261A3">
      <w:pPr>
        <w:ind w:left="340" w:hanging="340"/>
      </w:pPr>
      <w:r w:rsidRPr="001032A3">
        <w:t>Forge, S</w:t>
      </w:r>
      <w:r>
        <w:t>.</w:t>
      </w:r>
      <w:r w:rsidRPr="001032A3">
        <w:t xml:space="preserve"> (2006), </w:t>
      </w:r>
      <w:r w:rsidRPr="001032A3">
        <w:rPr>
          <w:i/>
        </w:rPr>
        <w:t>The rain forest and the rock garden: the economic impacts of open source software</w:t>
      </w:r>
      <w:r w:rsidRPr="001032A3">
        <w:t>, info, Vol</w:t>
      </w:r>
      <w:r>
        <w:t>.</w:t>
      </w:r>
      <w:r w:rsidRPr="001032A3">
        <w:t xml:space="preserve"> 8, No</w:t>
      </w:r>
      <w:r>
        <w:t>. 3,</w:t>
      </w:r>
      <w:r w:rsidRPr="001032A3">
        <w:t xml:space="preserve"> discusses effects of increasing returns of software and network effects of software.</w:t>
      </w:r>
    </w:p>
    <w:p w14:paraId="7D99BB74" w14:textId="77777777" w:rsidR="006261A3" w:rsidRPr="001032A3" w:rsidRDefault="006261A3" w:rsidP="006261A3">
      <w:pPr>
        <w:ind w:left="340" w:hanging="340"/>
      </w:pPr>
      <w:r w:rsidRPr="001032A3">
        <w:t>Green, E</w:t>
      </w:r>
      <w:r>
        <w:t>.</w:t>
      </w:r>
      <w:r w:rsidRPr="001032A3">
        <w:t xml:space="preserve"> and Porter</w:t>
      </w:r>
      <w:r>
        <w:t>, R.</w:t>
      </w:r>
      <w:r w:rsidRPr="001032A3">
        <w:t xml:space="preserve"> (1984), </w:t>
      </w:r>
      <w:r w:rsidRPr="001032A3">
        <w:rPr>
          <w:i/>
        </w:rPr>
        <w:t>Non-cooperative collusion under imperfect price competition</w:t>
      </w:r>
      <w:r w:rsidRPr="001032A3">
        <w:t>, Econometrica, 52, 87-100.</w:t>
      </w:r>
    </w:p>
    <w:p w14:paraId="0DB95E9C" w14:textId="77777777" w:rsidR="006261A3" w:rsidRPr="001032A3" w:rsidRDefault="006261A3" w:rsidP="006261A3">
      <w:pPr>
        <w:ind w:left="340" w:hanging="340"/>
      </w:pPr>
      <w:r w:rsidRPr="001032A3">
        <w:t>GSM Association, Review of the Commission's Impact Assessment by A.T. Kearney, September 2006.</w:t>
      </w:r>
    </w:p>
    <w:p w14:paraId="1B6F37C1" w14:textId="77777777" w:rsidR="006261A3" w:rsidRPr="001032A3" w:rsidRDefault="006261A3" w:rsidP="006261A3">
      <w:pPr>
        <w:ind w:left="340" w:hanging="340"/>
      </w:pPr>
      <w:r w:rsidRPr="001032A3">
        <w:t>GSM Association</w:t>
      </w:r>
      <w:r>
        <w:t>'</w:t>
      </w:r>
      <w:r w:rsidRPr="001032A3">
        <w:t>s Response to the European Commission</w:t>
      </w:r>
      <w:r>
        <w:t>'</w:t>
      </w:r>
      <w:r w:rsidRPr="001032A3">
        <w:t>s Call for Input on Potential EU Regulation on International Roaming, March 2006.</w:t>
      </w:r>
    </w:p>
    <w:p w14:paraId="14BA999E" w14:textId="77777777" w:rsidR="006261A3" w:rsidRPr="001032A3" w:rsidRDefault="006261A3" w:rsidP="006261A3">
      <w:pPr>
        <w:ind w:left="340" w:hanging="340"/>
      </w:pPr>
      <w:r w:rsidRPr="001032A3">
        <w:t>GSM Europe Code of Conduct for Information on International Roaming Retail Prices Code of Conduct Monitoring: Results for First Year of Implementation (December 2001-October 2002), October 2002.</w:t>
      </w:r>
    </w:p>
    <w:p w14:paraId="55A40635" w14:textId="77777777" w:rsidR="006261A3" w:rsidRPr="001032A3" w:rsidRDefault="006261A3" w:rsidP="006261A3">
      <w:pPr>
        <w:ind w:left="340" w:hanging="340"/>
      </w:pPr>
      <w:r w:rsidRPr="001032A3">
        <w:t>GSM Europe Code of Conduct for Information on International Roaming Retail Prices Revised, October 2003.</w:t>
      </w:r>
    </w:p>
    <w:p w14:paraId="108F07DB" w14:textId="54A43A3C" w:rsidR="006261A3" w:rsidRPr="00083EEE" w:rsidRDefault="006261A3" w:rsidP="00CF1BF5">
      <w:pPr>
        <w:ind w:left="340" w:hanging="340"/>
      </w:pPr>
      <w:r w:rsidRPr="001032A3">
        <w:t>GSM Europe Website</w:t>
      </w:r>
      <w:r w:rsidRPr="00083EEE">
        <w:t xml:space="preserve"> (Incl. GSME Tariff Comparator Website </w:t>
      </w:r>
      <w:hyperlink r:id="rId37" w:history="1">
        <w:r w:rsidRPr="00083EEE">
          <w:rPr>
            <w:rStyle w:val="Hyperlink"/>
          </w:rPr>
          <w:t>http://www.roaming.gsmeurope.org/</w:t>
        </w:r>
      </w:hyperlink>
      <w:r w:rsidRPr="00083EEE">
        <w:t>).</w:t>
      </w:r>
    </w:p>
    <w:p w14:paraId="5A2D25EA" w14:textId="77777777" w:rsidR="006261A3" w:rsidRPr="001032A3" w:rsidRDefault="006261A3" w:rsidP="006261A3">
      <w:pPr>
        <w:ind w:left="340" w:hanging="340"/>
      </w:pPr>
      <w:r w:rsidRPr="001032A3">
        <w:t>Impact Assessment of Policy Options in Relation to a Commission Proposal for a Regulation of the European Parliament and of the Council on Roaming on Public Mobile Networks Within the Community, SEC (2006) 926.</w:t>
      </w:r>
    </w:p>
    <w:p w14:paraId="1114552E" w14:textId="77777777" w:rsidR="006261A3" w:rsidRPr="001032A3" w:rsidRDefault="006261A3" w:rsidP="006261A3">
      <w:pPr>
        <w:ind w:left="340" w:hanging="340"/>
      </w:pPr>
      <w:r w:rsidRPr="001032A3">
        <w:t xml:space="preserve">INTUG (2005), International mobile roaming: an INTUG submission to DG Information </w:t>
      </w:r>
      <w:r>
        <w:t>Society and Media, available at</w:t>
      </w:r>
      <w:r w:rsidR="00BF1AA3">
        <w:tab/>
      </w:r>
      <w:hyperlink r:id="rId38" w:history="1">
        <w:r w:rsidR="0079667C" w:rsidRPr="008015B9">
          <w:rPr>
            <w:rFonts w:asciiTheme="minorHAnsi" w:hAnsiTheme="minorHAnsi" w:cs="Times"/>
            <w:color w:val="001EE6"/>
            <w:kern w:val="0"/>
            <w:sz w:val="20"/>
            <w:szCs w:val="20"/>
            <w:u w:val="single" w:color="001EE6"/>
            <w:lang w:val="en-US"/>
          </w:rPr>
          <w:t>http://ec.europa.eu/information_society/activities/roaming/docs/phase2/intug.pdf</w:t>
        </w:r>
      </w:hyperlink>
    </w:p>
    <w:p w14:paraId="54149103" w14:textId="77777777" w:rsidR="006261A3" w:rsidRPr="00F66CED" w:rsidRDefault="006261A3" w:rsidP="00BF1AA3">
      <w:pPr>
        <w:ind w:left="340" w:hanging="340"/>
        <w:rPr>
          <w:sz w:val="20"/>
          <w:szCs w:val="20"/>
          <w:u w:val="single"/>
          <w:lang w:val="fr-CH" w:eastAsia="ja-JP"/>
        </w:rPr>
      </w:pPr>
      <w:r w:rsidRPr="001032A3">
        <w:rPr>
          <w:lang w:val="en-US"/>
        </w:rPr>
        <w:lastRenderedPageBreak/>
        <w:t xml:space="preserve">ITU-T </w:t>
      </w:r>
      <w:r>
        <w:rPr>
          <w:lang w:val="en-US"/>
        </w:rPr>
        <w:t xml:space="preserve">D-series Recommendations, </w:t>
      </w:r>
      <w:r w:rsidRPr="00406208">
        <w:rPr>
          <w:lang w:val="en-US"/>
        </w:rPr>
        <w:t>General tariff principles –</w:t>
      </w:r>
      <w:r w:rsidRPr="001032A3">
        <w:rPr>
          <w:lang w:val="en-US"/>
        </w:rPr>
        <w:t xml:space="preserve"> Charging and accounting in the international telephone service</w:t>
      </w:r>
      <w:r>
        <w:rPr>
          <w:lang w:val="en-US"/>
        </w:rPr>
        <w:t>.</w:t>
      </w:r>
      <w:r w:rsidRPr="001032A3">
        <w:rPr>
          <w:lang w:val="en-US"/>
        </w:rPr>
        <w:t xml:space="preserve"> Recommendation </w:t>
      </w:r>
      <w:r>
        <w:rPr>
          <w:lang w:val="en-US"/>
        </w:rPr>
        <w:t xml:space="preserve">ITU-T </w:t>
      </w:r>
      <w:r w:rsidRPr="001032A3">
        <w:rPr>
          <w:lang w:val="en-US"/>
        </w:rPr>
        <w:t xml:space="preserve">D.140 </w:t>
      </w:r>
      <w:r>
        <w:rPr>
          <w:lang w:val="en-US"/>
        </w:rPr>
        <w:t>(2002),</w:t>
      </w:r>
      <w:r w:rsidRPr="001032A3">
        <w:rPr>
          <w:lang w:val="en-US"/>
        </w:rPr>
        <w:t xml:space="preserve"> Accounting rate principles for the </w:t>
      </w:r>
      <w:r w:rsidRPr="00FC7C8A">
        <w:rPr>
          <w:lang w:val="en-US"/>
        </w:rPr>
        <w:t xml:space="preserve">international telephone service. </w:t>
      </w:r>
      <w:hyperlink r:id="rId39" w:history="1">
        <w:r w:rsidR="00BF1AA3" w:rsidRPr="00F66CED">
          <w:rPr>
            <w:rStyle w:val="Hyperlink"/>
            <w:sz w:val="20"/>
            <w:szCs w:val="20"/>
            <w:lang w:val="fr-CH" w:eastAsia="ja-JP"/>
          </w:rPr>
          <w:t>http://www.itu.int/rec/T-REC-D.140-200206-I/en</w:t>
        </w:r>
      </w:hyperlink>
      <w:r w:rsidR="00BF1AA3" w:rsidRPr="00F66CED">
        <w:rPr>
          <w:sz w:val="20"/>
          <w:szCs w:val="20"/>
          <w:u w:val="single"/>
          <w:lang w:val="fr-CH" w:eastAsia="ja-JP"/>
        </w:rPr>
        <w:t xml:space="preserve"> </w:t>
      </w:r>
    </w:p>
    <w:p w14:paraId="340C0EFC" w14:textId="77777777" w:rsidR="006261A3" w:rsidRPr="001032A3" w:rsidRDefault="006261A3" w:rsidP="006261A3">
      <w:pPr>
        <w:ind w:left="340" w:hanging="340"/>
      </w:pPr>
      <w:r w:rsidRPr="007E1F67">
        <w:rPr>
          <w:lang w:val="fr-CH"/>
        </w:rPr>
        <w:t xml:space="preserve">ITU (2003). </w:t>
      </w:r>
      <w:r w:rsidRPr="001032A3">
        <w:rPr>
          <w:i/>
        </w:rPr>
        <w:t>Mobile Overtakes Fixed: Implications For Policy And Regulation</w:t>
      </w:r>
      <w:r w:rsidRPr="001032A3">
        <w:t>. Paper prepared for the International Telecommunication Union (ITU) Strategy and Policy Unit (SPU).</w:t>
      </w:r>
    </w:p>
    <w:p w14:paraId="4DA7ACCB" w14:textId="3B8A4E3A" w:rsidR="006261A3" w:rsidRPr="00FC7C8A" w:rsidRDefault="006261A3" w:rsidP="006261A3">
      <w:pPr>
        <w:ind w:left="340" w:hanging="340"/>
      </w:pPr>
      <w:r w:rsidRPr="00840C8E">
        <w:t>ITU-T</w:t>
      </w:r>
      <w:r>
        <w:t xml:space="preserve"> D-series Recommendations, </w:t>
      </w:r>
      <w:r w:rsidRPr="00406208">
        <w:t>General tariff principles – Charging and accounting in the mobile</w:t>
      </w:r>
      <w:r>
        <w:t xml:space="preserve"> </w:t>
      </w:r>
      <w:r w:rsidRPr="00406208">
        <w:t>services</w:t>
      </w:r>
      <w:r>
        <w:t>.</w:t>
      </w:r>
      <w:r w:rsidRPr="001032A3">
        <w:t xml:space="preserve"> Recommendation </w:t>
      </w:r>
      <w:r>
        <w:t xml:space="preserve">ITU-T </w:t>
      </w:r>
      <w:r w:rsidRPr="001032A3">
        <w:t>D.98 (2012), Charging in international mobile roaming service</w:t>
      </w:r>
      <w:r>
        <w:t>.</w:t>
      </w:r>
      <w:r w:rsidRPr="001032A3">
        <w:t xml:space="preserve"> </w:t>
      </w:r>
      <w:hyperlink r:id="rId40" w:history="1">
        <w:r w:rsidR="008858E8">
          <w:rPr>
            <w:rStyle w:val="Hyperlink"/>
            <w:sz w:val="20"/>
            <w:szCs w:val="20"/>
          </w:rPr>
          <w:t>http://www.itu.int/ITU-T/recommendations/rec.aspx?rec=11556</w:t>
        </w:r>
      </w:hyperlink>
    </w:p>
    <w:p w14:paraId="349CBA05" w14:textId="441A5172" w:rsidR="006261A3" w:rsidRPr="00D83650" w:rsidRDefault="006261A3" w:rsidP="00D83650">
      <w:pPr>
        <w:ind w:left="340" w:hanging="340"/>
        <w:rPr>
          <w:rStyle w:val="Hyperlink"/>
        </w:rPr>
      </w:pPr>
      <w:r w:rsidRPr="001032A3">
        <w:t>ITU-T</w:t>
      </w:r>
      <w:r>
        <w:t xml:space="preserve"> D-series Recommendations</w:t>
      </w:r>
      <w:r w:rsidRPr="001032A3">
        <w:t xml:space="preserve">, </w:t>
      </w:r>
      <w:r w:rsidRPr="00406208">
        <w:rPr>
          <w:i/>
          <w:iCs/>
        </w:rPr>
        <w:t>General tariff principles – Charging and accounting in the mobile services</w:t>
      </w:r>
      <w:r>
        <w:t xml:space="preserve">. </w:t>
      </w:r>
      <w:r w:rsidRPr="001032A3">
        <w:t xml:space="preserve">Recommendation </w:t>
      </w:r>
      <w:r>
        <w:t xml:space="preserve">ITU-T </w:t>
      </w:r>
      <w:r w:rsidRPr="001032A3">
        <w:t>D.99 (2012)</w:t>
      </w:r>
      <w:r>
        <w:t>,</w:t>
      </w:r>
      <w:r w:rsidRPr="001032A3">
        <w:t xml:space="preserve"> </w:t>
      </w:r>
      <w:r w:rsidRPr="001032A3">
        <w:rPr>
          <w:i/>
          <w:iCs/>
        </w:rPr>
        <w:t>Indicative rate for international mobile termination</w:t>
      </w:r>
      <w:r>
        <w:t>.</w:t>
      </w:r>
      <w:r w:rsidRPr="001032A3">
        <w:t xml:space="preserve"> </w:t>
      </w:r>
      <w:hyperlink r:id="rId41" w:history="1">
        <w:r w:rsidR="00FC7C8A" w:rsidRPr="008015B9">
          <w:rPr>
            <w:rStyle w:val="Hyperlink"/>
            <w:rFonts w:asciiTheme="minorHAnsi" w:hAnsiTheme="minorHAnsi" w:cs="Helvetica"/>
            <w:kern w:val="0"/>
            <w:sz w:val="20"/>
            <w:szCs w:val="20"/>
            <w:lang w:val="en-US"/>
          </w:rPr>
          <w:t>http://www.itu.int/dms_pages/itu-t/rec/d/T-REC-D-RSS.xml</w:t>
        </w:r>
      </w:hyperlink>
      <w:r w:rsidR="00FC7C8A">
        <w:rPr>
          <w:rFonts w:ascii="Helvetica" w:hAnsi="Helvetica" w:cs="Helvetica"/>
          <w:kern w:val="0"/>
          <w:szCs w:val="28"/>
          <w:lang w:val="en-US"/>
        </w:rPr>
        <w:t xml:space="preserve"> </w:t>
      </w:r>
    </w:p>
    <w:p w14:paraId="7B991639" w14:textId="6D09D590" w:rsidR="006261A3" w:rsidRPr="001032A3" w:rsidRDefault="006261A3" w:rsidP="008015B9">
      <w:pPr>
        <w:ind w:left="340" w:hanging="340"/>
      </w:pPr>
      <w:r w:rsidRPr="001032A3">
        <w:t xml:space="preserve">Joseph, A. (2006), </w:t>
      </w:r>
      <w:r w:rsidRPr="00406208">
        <w:rPr>
          <w:i/>
          <w:iCs/>
        </w:rPr>
        <w:t>Jewel in the crown</w:t>
      </w:r>
      <w:r w:rsidRPr="001032A3">
        <w:t xml:space="preserve">, </w:t>
      </w:r>
      <w:r w:rsidRPr="00406208">
        <w:rPr>
          <w:iCs/>
        </w:rPr>
        <w:t>Mobile Europe</w:t>
      </w:r>
      <w:r w:rsidRPr="001032A3">
        <w:t>, 26 April 2006</w:t>
      </w:r>
      <w:r w:rsidR="00FC7C8A">
        <w:t>.</w:t>
      </w:r>
      <w:r w:rsidRPr="001032A3">
        <w:t xml:space="preserve"> </w:t>
      </w:r>
    </w:p>
    <w:p w14:paraId="3AF682B1" w14:textId="77777777" w:rsidR="006261A3" w:rsidRPr="001032A3" w:rsidRDefault="006261A3" w:rsidP="006261A3">
      <w:pPr>
        <w:ind w:left="340" w:hanging="340"/>
      </w:pPr>
      <w:r w:rsidRPr="001032A3">
        <w:t xml:space="preserve">Laffont, J. J. and Tirole, </w:t>
      </w:r>
      <w:r>
        <w:t xml:space="preserve">J. </w:t>
      </w:r>
      <w:r w:rsidRPr="001032A3">
        <w:t xml:space="preserve">(2002), </w:t>
      </w:r>
      <w:r w:rsidRPr="001032A3">
        <w:rPr>
          <w:i/>
        </w:rPr>
        <w:t>Competition in Telecommunications</w:t>
      </w:r>
      <w:r w:rsidRPr="001032A3">
        <w:t>, MIT</w:t>
      </w:r>
      <w:r>
        <w:t>.</w:t>
      </w:r>
    </w:p>
    <w:p w14:paraId="1E008F0E" w14:textId="5C57BA9B" w:rsidR="006261A3" w:rsidRPr="001032A3" w:rsidRDefault="006261A3" w:rsidP="00B24263">
      <w:pPr>
        <w:ind w:left="340" w:hanging="340"/>
      </w:pPr>
      <w:r w:rsidRPr="001032A3">
        <w:t xml:space="preserve">Littlechild, S.C. (2006), </w:t>
      </w:r>
      <w:r w:rsidRPr="00406208">
        <w:rPr>
          <w:i/>
          <w:iCs/>
        </w:rPr>
        <w:t>Mobile termination charges: Calling Party Pays versus Receiving Party Pays</w:t>
      </w:r>
      <w:r w:rsidRPr="001032A3">
        <w:t xml:space="preserve">, </w:t>
      </w:r>
      <w:r w:rsidRPr="00406208">
        <w:rPr>
          <w:iCs/>
        </w:rPr>
        <w:t>Telecommunications Policy</w:t>
      </w:r>
      <w:r w:rsidRPr="001032A3">
        <w:t>, Vol</w:t>
      </w:r>
      <w:r>
        <w:t>.</w:t>
      </w:r>
      <w:r w:rsidRPr="001032A3">
        <w:t xml:space="preserve"> 30, No</w:t>
      </w:r>
      <w:r>
        <w:t>.</w:t>
      </w:r>
      <w:r w:rsidRPr="001032A3">
        <w:t xml:space="preserve"> 5-6, pp</w:t>
      </w:r>
      <w:r>
        <w:t>.</w:t>
      </w:r>
      <w:r w:rsidR="00B24263">
        <w:t xml:space="preserve"> 242-77.</w:t>
      </w:r>
    </w:p>
    <w:p w14:paraId="167CBBE5" w14:textId="77777777" w:rsidR="006261A3" w:rsidRPr="001032A3" w:rsidRDefault="006261A3" w:rsidP="006261A3">
      <w:pPr>
        <w:ind w:left="340" w:hanging="340"/>
      </w:pPr>
      <w:r w:rsidRPr="001032A3">
        <w:t>Lupi, P., and Manenti, F. M.</w:t>
      </w:r>
      <w:r>
        <w:t xml:space="preserve"> (2006)</w:t>
      </w:r>
      <w:r w:rsidRPr="001032A3">
        <w:t>, Roaming the woods of regulation: public intervention vs. firms</w:t>
      </w:r>
      <w:r>
        <w:t>'</w:t>
      </w:r>
      <w:r w:rsidRPr="001032A3">
        <w:t xml:space="preserve"> cooperation in the wholesale international roaming market, May. </w:t>
      </w:r>
    </w:p>
    <w:p w14:paraId="4A40EF52" w14:textId="77777777" w:rsidR="006261A3" w:rsidRPr="001032A3" w:rsidRDefault="006261A3" w:rsidP="006261A3">
      <w:pPr>
        <w:ind w:left="340" w:hanging="340"/>
      </w:pPr>
      <w:r w:rsidRPr="001032A3">
        <w:t>Malueg</w:t>
      </w:r>
      <w:r>
        <w:t>,</w:t>
      </w:r>
      <w:r w:rsidRPr="001032A3">
        <w:t xml:space="preserve"> D. and Schwartz, </w:t>
      </w:r>
      <w:r>
        <w:t xml:space="preserve">M. </w:t>
      </w:r>
      <w:r w:rsidRPr="001032A3">
        <w:t>(1998), Where Have All the Minutes Gone? Asymmetric Telecom Liberalization, Carrier Alliances, and Gaming of International Settlements.</w:t>
      </w:r>
    </w:p>
    <w:p w14:paraId="382A004B" w14:textId="77777777" w:rsidR="006261A3" w:rsidRPr="001032A3" w:rsidRDefault="006261A3" w:rsidP="006261A3">
      <w:pPr>
        <w:ind w:left="340" w:hanging="340"/>
      </w:pPr>
      <w:r w:rsidRPr="001032A3">
        <w:t>NPTA (2004). Working Document Regarding Joint Dominance on the National Wholesale Market for International Roaming Services on Public Mobile Networks.</w:t>
      </w:r>
    </w:p>
    <w:p w14:paraId="3E5A1F7A" w14:textId="77777777" w:rsidR="006261A3" w:rsidRPr="001032A3" w:rsidRDefault="006261A3" w:rsidP="006261A3">
      <w:pPr>
        <w:ind w:left="340" w:hanging="340"/>
      </w:pPr>
      <w:r w:rsidRPr="001032A3">
        <w:t>OECD (2005) Communications Outlook 2005, Paris.</w:t>
      </w:r>
    </w:p>
    <w:p w14:paraId="22766A2F" w14:textId="77777777" w:rsidR="006261A3" w:rsidRPr="001032A3" w:rsidRDefault="006261A3" w:rsidP="006261A3">
      <w:pPr>
        <w:ind w:left="340" w:hanging="340"/>
      </w:pPr>
      <w:r w:rsidRPr="001032A3">
        <w:t>OECD (2006), Infrastructure to 2030: Telecom, Land transport, Water and Electricity, Paris.</w:t>
      </w:r>
    </w:p>
    <w:p w14:paraId="33D43EE7" w14:textId="77777777" w:rsidR="006261A3" w:rsidRPr="001032A3" w:rsidRDefault="006261A3" w:rsidP="006261A3">
      <w:pPr>
        <w:ind w:left="340" w:hanging="340"/>
      </w:pPr>
      <w:r w:rsidRPr="001032A3">
        <w:t xml:space="preserve">OECD (2009), </w:t>
      </w:r>
      <w:r w:rsidRPr="001032A3">
        <w:rPr>
          <w:i/>
          <w:iCs/>
        </w:rPr>
        <w:t>International Mobile Roaming Charging in the OECD Area</w:t>
      </w:r>
      <w:r w:rsidRPr="001032A3">
        <w:t>, Working Party on Communication Infrastructures and Services Policy, DSTI/ICCP/CISP(2009)8/FINAL, 21 Dec</w:t>
      </w:r>
      <w:r>
        <w:t>.</w:t>
      </w:r>
      <w:r w:rsidRPr="001032A3">
        <w:t xml:space="preserve"> 2009, </w:t>
      </w:r>
      <w:hyperlink r:id="rId42" w:history="1">
        <w:r w:rsidR="008002F3" w:rsidRPr="008002F3">
          <w:rPr>
            <w:rStyle w:val="Hyperlink"/>
            <w:sz w:val="20"/>
            <w:szCs w:val="20"/>
          </w:rPr>
          <w:t>http://www.oecd.org/internet/broadband/44381810.pdf</w:t>
        </w:r>
      </w:hyperlink>
      <w:r w:rsidR="008002F3">
        <w:rPr>
          <w:u w:val="single"/>
        </w:rPr>
        <w:t xml:space="preserve"> </w:t>
      </w:r>
    </w:p>
    <w:p w14:paraId="707DF5BD" w14:textId="77777777" w:rsidR="006261A3" w:rsidRPr="001032A3" w:rsidRDefault="006261A3" w:rsidP="006261A3">
      <w:pPr>
        <w:ind w:left="340" w:hanging="340"/>
      </w:pPr>
      <w:r w:rsidRPr="001032A3">
        <w:t>OECD Information Technology Outlook 2006.</w:t>
      </w:r>
    </w:p>
    <w:p w14:paraId="2B493AFD" w14:textId="77777777" w:rsidR="006261A3" w:rsidRPr="001032A3" w:rsidRDefault="006261A3" w:rsidP="006261A3">
      <w:pPr>
        <w:ind w:left="340" w:hanging="340"/>
      </w:pPr>
      <w:r w:rsidRPr="001032A3">
        <w:t>Oftel (2002), Mobile international roaming research reports.</w:t>
      </w:r>
    </w:p>
    <w:p w14:paraId="3368C1F8" w14:textId="77777777" w:rsidR="006261A3" w:rsidRPr="001032A3" w:rsidRDefault="006261A3" w:rsidP="006261A3">
      <w:pPr>
        <w:ind w:left="340" w:hanging="340"/>
      </w:pPr>
      <w:r w:rsidRPr="001032A3">
        <w:t>Oftel-ODTR (2002)</w:t>
      </w:r>
      <w:r>
        <w:t>,</w:t>
      </w:r>
      <w:r w:rsidRPr="001032A3">
        <w:t xml:space="preserve"> </w:t>
      </w:r>
      <w:r w:rsidRPr="001032A3">
        <w:rPr>
          <w:i/>
        </w:rPr>
        <w:t>Consumer Awar</w:t>
      </w:r>
      <w:r>
        <w:rPr>
          <w:i/>
        </w:rPr>
        <w:t>e</w:t>
      </w:r>
      <w:r w:rsidRPr="001032A3">
        <w:rPr>
          <w:i/>
        </w:rPr>
        <w:t>ness of Mobile Roaming</w:t>
      </w:r>
      <w:r>
        <w:t>,</w:t>
      </w:r>
      <w:r w:rsidRPr="001032A3">
        <w:t xml:space="preserve"> Joint ODTR/Oftel study on mobile roaming.</w:t>
      </w:r>
    </w:p>
    <w:p w14:paraId="54E61A90" w14:textId="77777777" w:rsidR="006261A3" w:rsidRPr="001032A3" w:rsidRDefault="006261A3" w:rsidP="006261A3">
      <w:pPr>
        <w:ind w:left="340" w:hanging="340"/>
      </w:pPr>
      <w:r w:rsidRPr="001032A3">
        <w:t>OPTA (2005)</w:t>
      </w:r>
      <w:r>
        <w:t>,</w:t>
      </w:r>
      <w:r w:rsidRPr="001032A3">
        <w:t xml:space="preserve"> International Mobile Roaming. A Scenario for Wholesale Market Definition and Remedies. Regulatory Policy Note, n. 4.</w:t>
      </w:r>
    </w:p>
    <w:p w14:paraId="1A95ED7E" w14:textId="77777777" w:rsidR="006261A3" w:rsidRPr="001032A3" w:rsidRDefault="006261A3" w:rsidP="006261A3">
      <w:pPr>
        <w:ind w:left="340" w:hanging="340"/>
      </w:pPr>
      <w:r w:rsidRPr="001032A3">
        <w:t>Ovum (2004), Mobile regulation: international roaming.</w:t>
      </w:r>
    </w:p>
    <w:p w14:paraId="04C4B2D3" w14:textId="77777777" w:rsidR="006261A3" w:rsidRDefault="006261A3" w:rsidP="006261A3">
      <w:pPr>
        <w:ind w:left="340" w:hanging="340"/>
      </w:pPr>
      <w:r w:rsidRPr="001032A3">
        <w:t>Salsas, R. and Koboldt, C. (2004)</w:t>
      </w:r>
      <w:r>
        <w:t>,</w:t>
      </w:r>
      <w:r w:rsidRPr="001032A3">
        <w:t xml:space="preserve"> </w:t>
      </w:r>
      <w:r w:rsidRPr="001032A3">
        <w:rPr>
          <w:i/>
        </w:rPr>
        <w:t>Roaming free? Roaming network selection and inter-operator tariffs</w:t>
      </w:r>
      <w:r>
        <w:t>,</w:t>
      </w:r>
      <w:r w:rsidRPr="001032A3">
        <w:t xml:space="preserve"> Information Economics and Policy, 16:497-517.</w:t>
      </w:r>
    </w:p>
    <w:p w14:paraId="090CF709" w14:textId="77777777" w:rsidR="006261A3" w:rsidRPr="00406208" w:rsidRDefault="006261A3" w:rsidP="006261A3">
      <w:pPr>
        <w:ind w:left="340" w:hanging="340"/>
      </w:pPr>
      <w:r w:rsidRPr="00FF44B6">
        <w:lastRenderedPageBreak/>
        <w:t>Recommendation ITU-T</w:t>
      </w:r>
      <w:r>
        <w:t xml:space="preserve"> X.25 (1996), </w:t>
      </w:r>
      <w:r w:rsidRPr="00406208">
        <w:t>Interface between Data Terminal Equipment (DTE) and Data Circuit-terminating Equipment (DCE) for terminals operating in the packet mode and connected to public data networks by dedicated circuit</w:t>
      </w:r>
      <w:r>
        <w:t>.</w:t>
      </w:r>
    </w:p>
    <w:p w14:paraId="516DD874" w14:textId="77777777" w:rsidR="006261A3" w:rsidRPr="001032A3" w:rsidRDefault="006261A3" w:rsidP="006261A3">
      <w:pPr>
        <w:ind w:left="340" w:hanging="340"/>
      </w:pPr>
      <w:r w:rsidRPr="001032A3">
        <w:t xml:space="preserve">Stumpf, U. (2001), </w:t>
      </w:r>
      <w:r w:rsidRPr="001032A3">
        <w:rPr>
          <w:i/>
        </w:rPr>
        <w:t>Prospects for improving competition in mobile roaming</w:t>
      </w:r>
      <w:r w:rsidRPr="001032A3">
        <w:t>, Paper prepared for the 29th TPRC 2001, 27-29 October.</w:t>
      </w:r>
    </w:p>
    <w:p w14:paraId="7E15BF37" w14:textId="77777777" w:rsidR="006261A3" w:rsidRPr="001032A3" w:rsidRDefault="006261A3" w:rsidP="006261A3">
      <w:pPr>
        <w:ind w:left="340" w:hanging="340"/>
      </w:pPr>
      <w:r w:rsidRPr="001032A3">
        <w:t xml:space="preserve">Stumpf, U. (2001), </w:t>
      </w:r>
      <w:r w:rsidRPr="00406208">
        <w:rPr>
          <w:i/>
          <w:iCs/>
        </w:rPr>
        <w:t>Prospects for improving competition in mobile roaming</w:t>
      </w:r>
      <w:r w:rsidRPr="001032A3">
        <w:t>, Paper prepared for the 29th TPRC 2001, 27-29 October, available at http://arxiv.org/pdf/cs.CY/0109115</w:t>
      </w:r>
    </w:p>
    <w:p w14:paraId="2355A275" w14:textId="610DBFD3" w:rsidR="006261A3" w:rsidRPr="001032A3" w:rsidRDefault="006261A3" w:rsidP="006261A3">
      <w:pPr>
        <w:ind w:left="340" w:hanging="340"/>
      </w:pPr>
      <w:r w:rsidRPr="001032A3">
        <w:t xml:space="preserve">Stumpf, U. (2004), </w:t>
      </w:r>
      <w:r w:rsidRPr="001032A3">
        <w:rPr>
          <w:i/>
        </w:rPr>
        <w:t>International roaming: A way forward</w:t>
      </w:r>
      <w:r w:rsidRPr="001032A3">
        <w:t>, wik-consult – discussion paper, Paper presented at IBC</w:t>
      </w:r>
      <w:r>
        <w:t>'</w:t>
      </w:r>
      <w:r w:rsidRPr="001032A3">
        <w:t>s 9th Annual Conference</w:t>
      </w:r>
      <w:r>
        <w:t>,</w:t>
      </w:r>
      <w:r w:rsidRPr="001032A3">
        <w:t xml:space="preserve"> </w:t>
      </w:r>
      <w:r w:rsidRPr="00406208">
        <w:rPr>
          <w:i/>
          <w:iCs/>
        </w:rPr>
        <w:t>Communications and EC Competition Law</w:t>
      </w:r>
      <w:r w:rsidR="00F66CED">
        <w:t>, Brussels, 14</w:t>
      </w:r>
      <w:r w:rsidR="00F66CED">
        <w:noBreakHyphen/>
        <w:t>15 </w:t>
      </w:r>
      <w:r w:rsidRPr="001032A3">
        <w:t>October.</w:t>
      </w:r>
    </w:p>
    <w:p w14:paraId="2746378D" w14:textId="77777777" w:rsidR="006261A3" w:rsidRPr="001032A3" w:rsidRDefault="006261A3" w:rsidP="006261A3">
      <w:pPr>
        <w:ind w:left="340" w:hanging="340"/>
      </w:pPr>
      <w:r w:rsidRPr="001032A3">
        <w:t>Sutherland, E. (2001)</w:t>
      </w:r>
      <w:r>
        <w:t>,</w:t>
      </w:r>
      <w:r w:rsidRPr="001032A3">
        <w:t xml:space="preserve"> </w:t>
      </w:r>
      <w:r w:rsidRPr="00406208">
        <w:t>International roaming charges: over-charging and competition law</w:t>
      </w:r>
      <w:r>
        <w:t>,</w:t>
      </w:r>
      <w:r w:rsidRPr="001032A3">
        <w:t xml:space="preserve"> Telecommunications Policy, 25:5-20. </w:t>
      </w:r>
    </w:p>
    <w:p w14:paraId="4BCDD5EB" w14:textId="77777777" w:rsidR="006261A3" w:rsidRPr="001032A3" w:rsidRDefault="006261A3" w:rsidP="006261A3">
      <w:pPr>
        <w:ind w:left="340" w:hanging="340"/>
        <w:rPr>
          <w:sz w:val="20"/>
          <w:szCs w:val="20"/>
        </w:rPr>
      </w:pPr>
      <w:r w:rsidRPr="0030252C">
        <w:t xml:space="preserve">Swan, M. (2003), </w:t>
      </w:r>
      <w:r w:rsidRPr="0030252C">
        <w:rPr>
          <w:i/>
          <w:iCs/>
        </w:rPr>
        <w:t>Total cost of charging and billing: CapEx and OpEx</w:t>
      </w:r>
      <w:r w:rsidRPr="0030252C">
        <w:t xml:space="preserve">, unpublished paper, available at </w:t>
      </w:r>
      <w:hyperlink r:id="rId43" w:history="1">
        <w:r w:rsidRPr="008002F3">
          <w:rPr>
            <w:rStyle w:val="Hyperlink"/>
            <w:sz w:val="20"/>
            <w:szCs w:val="20"/>
          </w:rPr>
          <w:t>http://www.netlab.tkk.fi/opetus/s38041/k05/swan.pdf</w:t>
        </w:r>
      </w:hyperlink>
    </w:p>
    <w:p w14:paraId="32946CF7" w14:textId="77777777" w:rsidR="006261A3" w:rsidRPr="009F5406" w:rsidRDefault="006261A3" w:rsidP="006261A3">
      <w:pPr>
        <w:ind w:left="340" w:hanging="340"/>
      </w:pPr>
      <w:r w:rsidRPr="009F5406">
        <w:t xml:space="preserve">Valletti, T. (2004), </w:t>
      </w:r>
      <w:r w:rsidRPr="009F5406">
        <w:rPr>
          <w:i/>
        </w:rPr>
        <w:t>Obligations that can be imposed on operators with significant market power under the new regulatory framework for electronic communications</w:t>
      </w:r>
      <w:r w:rsidRPr="009F5406">
        <w:t>, Journal of Network Industries, 5, 51-81.</w:t>
      </w:r>
    </w:p>
    <w:p w14:paraId="03251C59" w14:textId="5DAF0D98" w:rsidR="006261A3" w:rsidRPr="009F5406" w:rsidRDefault="006261A3" w:rsidP="00B24263">
      <w:pPr>
        <w:ind w:left="340" w:hanging="340"/>
      </w:pPr>
      <w:r w:rsidRPr="009F5406">
        <w:t xml:space="preserve">Valletti, T. and Houpis, G. (2005), </w:t>
      </w:r>
      <w:r w:rsidRPr="009F5406">
        <w:rPr>
          <w:i/>
          <w:iCs/>
        </w:rPr>
        <w:t>Mobile termination: what is the "right" charge?</w:t>
      </w:r>
      <w:r w:rsidRPr="009F5406">
        <w:t xml:space="preserve">, </w:t>
      </w:r>
      <w:r w:rsidRPr="009F5406">
        <w:br/>
      </w:r>
    </w:p>
    <w:p w14:paraId="41BD22ED" w14:textId="77777777" w:rsidR="006261A3" w:rsidRPr="009F5406" w:rsidRDefault="006261A3" w:rsidP="006261A3">
      <w:pPr>
        <w:ind w:left="340" w:hanging="340"/>
      </w:pPr>
      <w:r w:rsidRPr="009F5406">
        <w:t xml:space="preserve">Valletti, T.M. (2003), </w:t>
      </w:r>
      <w:r w:rsidRPr="009F5406">
        <w:rPr>
          <w:i/>
        </w:rPr>
        <w:t>Is Mobile Telephony a Natural Oligopoly?</w:t>
      </w:r>
      <w:r w:rsidRPr="009F5406">
        <w:t xml:space="preserve"> Review of Industrial Organization, Vol. 22, No. 1, 47-65.</w:t>
      </w:r>
    </w:p>
    <w:p w14:paraId="0FF1B877" w14:textId="77777777" w:rsidR="000A7DF2" w:rsidRDefault="000A7DF2" w:rsidP="006261A3">
      <w:pPr>
        <w:suppressAutoHyphens/>
        <w:rPr>
          <w:lang w:val="en-US"/>
        </w:rPr>
      </w:pPr>
    </w:p>
    <w:sectPr w:rsidR="000A7DF2" w:rsidSect="004A1BCA">
      <w:headerReference w:type="even" r:id="rId44"/>
      <w:headerReference w:type="default" r:id="rId45"/>
      <w:footerReference w:type="even" r:id="rId46"/>
      <w:footerReference w:type="default" r:id="rId47"/>
      <w:headerReference w:type="first" r:id="rId48"/>
      <w:endnotePr>
        <w:numFmt w:val="decimal"/>
      </w:endnotePr>
      <w:type w:val="oddPage"/>
      <w:pgSz w:w="11909" w:h="16834" w:code="9"/>
      <w:pgMar w:top="1418" w:right="1134" w:bottom="1134" w:left="1134" w:header="567" w:footer="567" w:gutter="284"/>
      <w:pgNumType w:start="1"/>
      <w:cols w:sep="1"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E335AC" w14:textId="77777777" w:rsidR="00095C8B" w:rsidRDefault="00095C8B" w:rsidP="005A1263">
      <w:r>
        <w:separator/>
      </w:r>
    </w:p>
  </w:endnote>
  <w:endnote w:type="continuationSeparator" w:id="0">
    <w:p w14:paraId="02864663" w14:textId="77777777" w:rsidR="00095C8B" w:rsidRDefault="00095C8B" w:rsidP="005A1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Times New Roman Bold">
    <w:altName w:val="Times New Roman"/>
    <w:panose1 w:val="02020803070505020304"/>
    <w:charset w:val="00"/>
    <w:family w:val="roman"/>
    <w:pitch w:val="variable"/>
    <w:sig w:usb0="00003A87" w:usb1="00000000" w:usb2="00000000" w:usb3="00000000" w:csb0="000000FF" w:csb1="00000000"/>
  </w:font>
  <w:font w:name="SimHei">
    <w:altName w:val="黑体"/>
    <w:panose1 w:val="02010609060101010101"/>
    <w:charset w:val="86"/>
    <w:family w:val="modern"/>
    <w:notTrueType/>
    <w:pitch w:val="fixed"/>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HDSLRF+Caecilia-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OpenSymbol">
    <w:altName w:val="Courier New"/>
    <w:charset w:val="00"/>
    <w:family w:val="auto"/>
    <w:pitch w:val="variable"/>
    <w:sig w:usb0="00000003"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8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90429" w14:textId="77777777" w:rsidR="008858E8" w:rsidRPr="00234E6B" w:rsidRDefault="008858E8" w:rsidP="00D630D9">
    <w:pPr>
      <w:pBdr>
        <w:top w:val="single" w:sz="8" w:space="1" w:color="CC0099"/>
      </w:pBdr>
      <w:tabs>
        <w:tab w:val="right" w:pos="9071"/>
      </w:tabs>
      <w:ind w:left="6804"/>
      <w:jc w:val="right"/>
    </w:pPr>
    <w:r w:rsidRPr="009E2BB9">
      <w:tab/>
    </w:r>
    <w:r>
      <w:fldChar w:fldCharType="begin"/>
    </w:r>
    <w:r>
      <w:instrText xml:space="preserve"> PAGE </w:instrText>
    </w:r>
    <w:r>
      <w:fldChar w:fldCharType="separate"/>
    </w:r>
    <w:r>
      <w:rPr>
        <w:noProof/>
      </w:rPr>
      <w:t>iii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079BE" w14:textId="77777777" w:rsidR="008858E8" w:rsidRDefault="008858E8" w:rsidP="00D630D9">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9EBC1" w14:textId="77777777" w:rsidR="008858E8" w:rsidRPr="006C149F" w:rsidRDefault="008858E8" w:rsidP="00C20BC7">
    <w:pPr>
      <w:pStyle w:val="Footer"/>
      <w:tabs>
        <w:tab w:val="clear" w:pos="9570"/>
        <w:tab w:val="right" w:pos="9356"/>
      </w:tabs>
      <w:spacing w:before="0"/>
      <w:ind w:right="0"/>
      <w:jc w:val="left"/>
      <w:rPr>
        <w:rFonts w:cs="Calibri"/>
        <w:b/>
        <w:bCs/>
        <w:color w:val="93BBE0"/>
        <w:sz w:val="22"/>
        <w:szCs w:val="22"/>
        <w:lang w:val="en-US"/>
      </w:rPr>
    </w:pPr>
    <w:r>
      <w:rPr>
        <w:rFonts w:cs="Calibri"/>
        <w:b/>
        <w:bCs/>
        <w:color w:val="93BBE0"/>
        <w:sz w:val="22"/>
        <w:szCs w:val="22"/>
        <w:lang w:val="en-US"/>
      </w:rPr>
      <w:tab/>
    </w:r>
    <w:r w:rsidRPr="00767E33">
      <w:rPr>
        <w:rStyle w:val="PageNumber"/>
        <w:rFonts w:cs="Calibri"/>
        <w:sz w:val="22"/>
        <w:szCs w:val="22"/>
        <w:lang w:val="en-US"/>
      </w:rPr>
      <w:fldChar w:fldCharType="begin"/>
    </w:r>
    <w:r w:rsidRPr="00767E33">
      <w:rPr>
        <w:rStyle w:val="PageNumber"/>
        <w:rFonts w:cs="Calibri"/>
        <w:sz w:val="22"/>
        <w:szCs w:val="22"/>
        <w:lang w:val="en-US"/>
      </w:rPr>
      <w:instrText xml:space="preserve"> PAGE </w:instrText>
    </w:r>
    <w:r w:rsidRPr="00767E33">
      <w:rPr>
        <w:rStyle w:val="PageNumber"/>
        <w:rFonts w:cs="Calibri"/>
        <w:sz w:val="22"/>
        <w:szCs w:val="22"/>
        <w:lang w:val="en-US"/>
      </w:rPr>
      <w:fldChar w:fldCharType="separate"/>
    </w:r>
    <w:r w:rsidR="00A262F2">
      <w:rPr>
        <w:rStyle w:val="PageNumber"/>
        <w:rFonts w:cs="Calibri"/>
        <w:noProof/>
        <w:sz w:val="22"/>
        <w:szCs w:val="22"/>
        <w:lang w:val="en-US"/>
      </w:rPr>
      <w:t>i</w:t>
    </w:r>
    <w:r w:rsidRPr="00767E33">
      <w:rPr>
        <w:rStyle w:val="PageNumber"/>
        <w:rFonts w:cs="Calibri"/>
        <w:sz w:val="22"/>
        <w:szCs w:val="22"/>
        <w:lang w:val="en-US"/>
      </w:rPr>
      <w:fldChar w:fldCharType="end"/>
    </w:r>
  </w:p>
  <w:p w14:paraId="13A61C7D" w14:textId="77777777" w:rsidR="008858E8" w:rsidRPr="008215A4" w:rsidRDefault="008858E8" w:rsidP="008215A4">
    <w:pPr>
      <w:pStyle w:val="Footer"/>
      <w:spacing w:before="0"/>
      <w:ind w:right="0"/>
      <w:rPr>
        <w:rFonts w:cs="Calibri"/>
        <w:color w:val="FFFFFF"/>
        <w:sz w:val="22"/>
        <w:szCs w:val="22"/>
        <w:shd w:val="clear" w:color="auto" w:fill="002060"/>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3D25C" w14:textId="77777777" w:rsidR="008858E8" w:rsidRPr="00C71CEF" w:rsidRDefault="008858E8" w:rsidP="001A02AA">
    <w:pPr>
      <w:pStyle w:val="Footer"/>
      <w:tabs>
        <w:tab w:val="clear" w:pos="9570"/>
        <w:tab w:val="left" w:pos="0"/>
        <w:tab w:val="right" w:pos="9356"/>
      </w:tabs>
      <w:spacing w:before="0"/>
      <w:ind w:right="0"/>
      <w:jc w:val="right"/>
      <w:rPr>
        <w:rFonts w:cs="Calibri"/>
        <w:color w:val="FFFFFF"/>
        <w:sz w:val="22"/>
        <w:szCs w:val="22"/>
        <w:shd w:val="clear" w:color="auto" w:fill="002060"/>
        <w:lang w:val="en-US"/>
      </w:rPr>
    </w:pPr>
    <w:r w:rsidRPr="00767E33">
      <w:rPr>
        <w:rStyle w:val="PageNumber"/>
        <w:rFonts w:cs="Calibri"/>
        <w:sz w:val="22"/>
        <w:szCs w:val="22"/>
        <w:lang w:val="en-US"/>
      </w:rPr>
      <w:fldChar w:fldCharType="begin"/>
    </w:r>
    <w:r w:rsidRPr="00767E33">
      <w:rPr>
        <w:rStyle w:val="PageNumber"/>
        <w:rFonts w:cs="Calibri"/>
        <w:sz w:val="22"/>
        <w:szCs w:val="22"/>
        <w:lang w:val="en-US"/>
      </w:rPr>
      <w:instrText xml:space="preserve"> PAGE </w:instrText>
    </w:r>
    <w:r w:rsidRPr="00767E33">
      <w:rPr>
        <w:rStyle w:val="PageNumber"/>
        <w:rFonts w:cs="Calibri"/>
        <w:sz w:val="22"/>
        <w:szCs w:val="22"/>
        <w:lang w:val="en-US"/>
      </w:rPr>
      <w:fldChar w:fldCharType="separate"/>
    </w:r>
    <w:r w:rsidR="00A262F2">
      <w:rPr>
        <w:rStyle w:val="PageNumber"/>
        <w:rFonts w:cs="Calibri"/>
        <w:noProof/>
        <w:sz w:val="22"/>
        <w:szCs w:val="22"/>
        <w:lang w:val="en-US"/>
      </w:rPr>
      <w:t>ii</w:t>
    </w:r>
    <w:r w:rsidRPr="00767E33">
      <w:rPr>
        <w:rStyle w:val="PageNumber"/>
        <w:rFonts w:cs="Calibri"/>
        <w:sz w:val="22"/>
        <w:szCs w:val="22"/>
        <w:lang w:val="en-US"/>
      </w:rPr>
      <w:fldChar w:fldCharType="end"/>
    </w:r>
    <w:r>
      <w:rPr>
        <w:rStyle w:val="PageNumber"/>
        <w:rFonts w:cs="Calibri"/>
        <w:sz w:val="22"/>
        <w:szCs w:val="22"/>
        <w:lang w:val="en-US"/>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11321" w14:textId="77777777" w:rsidR="008858E8" w:rsidRPr="006C149F" w:rsidRDefault="008858E8" w:rsidP="00696F1C">
    <w:pPr>
      <w:pStyle w:val="Footer"/>
      <w:tabs>
        <w:tab w:val="clear" w:pos="9570"/>
        <w:tab w:val="right" w:pos="9356"/>
      </w:tabs>
      <w:spacing w:before="0"/>
      <w:ind w:right="0"/>
      <w:jc w:val="left"/>
      <w:rPr>
        <w:rFonts w:cs="Calibri"/>
        <w:b/>
        <w:bCs/>
        <w:color w:val="93BBE0"/>
        <w:sz w:val="22"/>
        <w:szCs w:val="22"/>
        <w:lang w:val="en-US"/>
      </w:rPr>
    </w:pPr>
    <w:r>
      <w:rPr>
        <w:rFonts w:cs="Calibri"/>
        <w:b/>
        <w:bCs/>
        <w:color w:val="93BBE0"/>
        <w:sz w:val="22"/>
        <w:szCs w:val="22"/>
        <w:lang w:val="en-US"/>
      </w:rPr>
      <w:tab/>
    </w:r>
    <w:r w:rsidRPr="00767E33">
      <w:rPr>
        <w:rStyle w:val="PageNumber"/>
        <w:rFonts w:cs="Calibri"/>
        <w:sz w:val="22"/>
        <w:szCs w:val="22"/>
        <w:lang w:val="en-US"/>
      </w:rPr>
      <w:fldChar w:fldCharType="begin"/>
    </w:r>
    <w:r w:rsidRPr="00767E33">
      <w:rPr>
        <w:rStyle w:val="PageNumber"/>
        <w:rFonts w:cs="Calibri"/>
        <w:sz w:val="22"/>
        <w:szCs w:val="22"/>
        <w:lang w:val="en-US"/>
      </w:rPr>
      <w:instrText xml:space="preserve"> PAGE </w:instrText>
    </w:r>
    <w:r w:rsidRPr="00767E33">
      <w:rPr>
        <w:rStyle w:val="PageNumber"/>
        <w:rFonts w:cs="Calibri"/>
        <w:sz w:val="22"/>
        <w:szCs w:val="22"/>
        <w:lang w:val="en-US"/>
      </w:rPr>
      <w:fldChar w:fldCharType="separate"/>
    </w:r>
    <w:r w:rsidR="00A262F2">
      <w:rPr>
        <w:rStyle w:val="PageNumber"/>
        <w:rFonts w:cs="Calibri"/>
        <w:noProof/>
        <w:sz w:val="22"/>
        <w:szCs w:val="22"/>
        <w:lang w:val="en-US"/>
      </w:rPr>
      <w:t>iii</w:t>
    </w:r>
    <w:r w:rsidRPr="00767E33">
      <w:rPr>
        <w:rStyle w:val="PageNumber"/>
        <w:rFonts w:cs="Calibri"/>
        <w:sz w:val="22"/>
        <w:szCs w:val="22"/>
        <w:lang w:val="en-U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34AC1" w14:textId="77777777" w:rsidR="008858E8" w:rsidRPr="00C71CEF" w:rsidRDefault="008858E8" w:rsidP="00B740D0">
    <w:pPr>
      <w:pStyle w:val="Footer"/>
      <w:tabs>
        <w:tab w:val="clear" w:pos="9570"/>
        <w:tab w:val="left" w:pos="0"/>
        <w:tab w:val="right" w:pos="9356"/>
      </w:tabs>
      <w:spacing w:before="0"/>
      <w:ind w:right="0"/>
      <w:jc w:val="right"/>
      <w:rPr>
        <w:rFonts w:cs="Calibri"/>
        <w:color w:val="FFFFFF"/>
        <w:sz w:val="22"/>
        <w:szCs w:val="22"/>
        <w:shd w:val="clear" w:color="auto" w:fill="002060"/>
        <w:lang w:val="en-US"/>
      </w:rPr>
    </w:pPr>
    <w:r w:rsidRPr="00767E33">
      <w:rPr>
        <w:rStyle w:val="PageNumber"/>
        <w:rFonts w:cs="Calibri"/>
        <w:sz w:val="22"/>
        <w:szCs w:val="22"/>
        <w:lang w:val="en-US"/>
      </w:rPr>
      <w:fldChar w:fldCharType="begin"/>
    </w:r>
    <w:r w:rsidRPr="00767E33">
      <w:rPr>
        <w:rStyle w:val="PageNumber"/>
        <w:rFonts w:cs="Calibri"/>
        <w:sz w:val="22"/>
        <w:szCs w:val="22"/>
        <w:lang w:val="en-US"/>
      </w:rPr>
      <w:instrText xml:space="preserve"> PAGE </w:instrText>
    </w:r>
    <w:r w:rsidRPr="00767E33">
      <w:rPr>
        <w:rStyle w:val="PageNumber"/>
        <w:rFonts w:cs="Calibri"/>
        <w:sz w:val="22"/>
        <w:szCs w:val="22"/>
        <w:lang w:val="en-US"/>
      </w:rPr>
      <w:fldChar w:fldCharType="separate"/>
    </w:r>
    <w:r w:rsidR="00A262F2">
      <w:rPr>
        <w:rStyle w:val="PageNumber"/>
        <w:rFonts w:cs="Calibri"/>
        <w:noProof/>
        <w:sz w:val="22"/>
        <w:szCs w:val="22"/>
        <w:lang w:val="en-US"/>
      </w:rPr>
      <w:t>10</w:t>
    </w:r>
    <w:r w:rsidRPr="00767E33">
      <w:rPr>
        <w:rStyle w:val="PageNumber"/>
        <w:rFonts w:cs="Calibri"/>
        <w:sz w:val="22"/>
        <w:szCs w:val="22"/>
        <w:lang w:val="en-US"/>
      </w:rPr>
      <w:fldChar w:fldCharType="end"/>
    </w:r>
    <w:r>
      <w:rPr>
        <w:rStyle w:val="PageNumber"/>
        <w:rFonts w:cs="Calibri"/>
        <w:sz w:val="22"/>
        <w:szCs w:val="22"/>
        <w:lang w:val="en-US"/>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B3AF4" w14:textId="77777777" w:rsidR="008858E8" w:rsidRPr="006C149F" w:rsidRDefault="008858E8" w:rsidP="00336ED6">
    <w:pPr>
      <w:pStyle w:val="Footer"/>
      <w:tabs>
        <w:tab w:val="clear" w:pos="9570"/>
        <w:tab w:val="right" w:pos="9356"/>
      </w:tabs>
      <w:spacing w:before="0"/>
      <w:ind w:right="0"/>
      <w:jc w:val="left"/>
      <w:rPr>
        <w:rFonts w:cs="Calibri"/>
        <w:b/>
        <w:bCs/>
        <w:color w:val="93BBE0"/>
        <w:sz w:val="22"/>
        <w:szCs w:val="22"/>
        <w:lang w:val="en-US"/>
      </w:rPr>
    </w:pPr>
    <w:r>
      <w:rPr>
        <w:rFonts w:cs="Calibri"/>
        <w:b/>
        <w:bCs/>
        <w:color w:val="93BBE0"/>
        <w:sz w:val="22"/>
        <w:szCs w:val="22"/>
        <w:lang w:val="en-US"/>
      </w:rPr>
      <w:tab/>
    </w:r>
    <w:r w:rsidRPr="00767E33">
      <w:rPr>
        <w:rStyle w:val="PageNumber"/>
        <w:rFonts w:cs="Calibri"/>
        <w:sz w:val="22"/>
        <w:szCs w:val="22"/>
        <w:lang w:val="en-US"/>
      </w:rPr>
      <w:fldChar w:fldCharType="begin"/>
    </w:r>
    <w:r w:rsidRPr="00767E33">
      <w:rPr>
        <w:rStyle w:val="PageNumber"/>
        <w:rFonts w:cs="Calibri"/>
        <w:sz w:val="22"/>
        <w:szCs w:val="22"/>
        <w:lang w:val="en-US"/>
      </w:rPr>
      <w:instrText xml:space="preserve"> PAGE </w:instrText>
    </w:r>
    <w:r w:rsidRPr="00767E33">
      <w:rPr>
        <w:rStyle w:val="PageNumber"/>
        <w:rFonts w:cs="Calibri"/>
        <w:sz w:val="22"/>
        <w:szCs w:val="22"/>
        <w:lang w:val="en-US"/>
      </w:rPr>
      <w:fldChar w:fldCharType="separate"/>
    </w:r>
    <w:r w:rsidR="00A262F2">
      <w:rPr>
        <w:rStyle w:val="PageNumber"/>
        <w:rFonts w:cs="Calibri"/>
        <w:noProof/>
        <w:sz w:val="22"/>
        <w:szCs w:val="22"/>
        <w:lang w:val="en-US"/>
      </w:rPr>
      <w:t>11</w:t>
    </w:r>
    <w:r w:rsidRPr="00767E33">
      <w:rPr>
        <w:rStyle w:val="PageNumber"/>
        <w:rFonts w:cs="Calibri"/>
        <w:sz w:val="22"/>
        <w:szCs w:val="22"/>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73F1A2" w14:textId="77777777" w:rsidR="00095C8B" w:rsidRDefault="00095C8B" w:rsidP="00271DD6">
      <w:pPr>
        <w:spacing w:before="0"/>
      </w:pPr>
      <w:r>
        <w:separator/>
      </w:r>
    </w:p>
  </w:footnote>
  <w:footnote w:type="continuationSeparator" w:id="0">
    <w:p w14:paraId="5D176AF7" w14:textId="77777777" w:rsidR="00095C8B" w:rsidRPr="00271DD6" w:rsidRDefault="00095C8B" w:rsidP="00271DD6">
      <w:pPr>
        <w:pStyle w:val="Footer"/>
      </w:pPr>
    </w:p>
  </w:footnote>
  <w:footnote w:type="continuationNotice" w:id="1">
    <w:p w14:paraId="5D07EF4D" w14:textId="77777777" w:rsidR="00095C8B" w:rsidRDefault="00095C8B">
      <w:pPr>
        <w:spacing w:before="0"/>
      </w:pPr>
    </w:p>
  </w:footnote>
  <w:footnote w:id="2">
    <w:p w14:paraId="28AF4502" w14:textId="77777777" w:rsidR="008858E8" w:rsidRPr="0059229B" w:rsidRDefault="008858E8" w:rsidP="00316FE6">
      <w:pPr>
        <w:pStyle w:val="FootnoteText"/>
        <w:tabs>
          <w:tab w:val="left" w:pos="284"/>
        </w:tabs>
        <w:rPr>
          <w:lang w:val="en-US"/>
        </w:rPr>
      </w:pPr>
      <w:r>
        <w:rPr>
          <w:rStyle w:val="FootnoteReference"/>
        </w:rPr>
        <w:t>i</w:t>
      </w:r>
      <w:r>
        <w:tab/>
      </w:r>
      <w:r>
        <w:rPr>
          <w:lang w:val="en-US"/>
        </w:rPr>
        <w:t xml:space="preserve">The United States neither supports nor approves this document. </w:t>
      </w:r>
    </w:p>
  </w:footnote>
  <w:footnote w:id="3">
    <w:p w14:paraId="66F72B80" w14:textId="77777777" w:rsidR="008858E8" w:rsidRPr="00271DD6" w:rsidRDefault="008858E8" w:rsidP="0060717B">
      <w:pPr>
        <w:pStyle w:val="FootnoteText"/>
        <w:tabs>
          <w:tab w:val="left" w:pos="284"/>
        </w:tabs>
      </w:pPr>
      <w:r>
        <w:rPr>
          <w:rStyle w:val="FootnoteReference"/>
        </w:rPr>
        <w:footnoteRef/>
      </w:r>
      <w:r>
        <w:t xml:space="preserve"> </w:t>
      </w:r>
      <w:r>
        <w:tab/>
        <w:t xml:space="preserve">Recommendation </w:t>
      </w:r>
      <w:r>
        <w:rPr>
          <w:lang w:val="en-US"/>
        </w:rPr>
        <w:t xml:space="preserve">ITU-T </w:t>
      </w:r>
      <w:r>
        <w:t>D</w:t>
      </w:r>
      <w:r>
        <w:rPr>
          <w:lang w:val="en-US"/>
        </w:rPr>
        <w:t>.</w:t>
      </w:r>
      <w:r>
        <w:t>98</w:t>
      </w:r>
      <w:r>
        <w:rPr>
          <w:lang w:val="en-US"/>
        </w:rPr>
        <w:t xml:space="preserve"> (2012)</w:t>
      </w:r>
      <w:r>
        <w:t>, Charging in international mobile roaming service</w:t>
      </w:r>
      <w:r>
        <w:rPr>
          <w:lang w:val="en-US"/>
        </w:rPr>
        <w:t>.</w:t>
      </w:r>
    </w:p>
  </w:footnote>
  <w:footnote w:id="4">
    <w:p w14:paraId="334CBC2C" w14:textId="77777777" w:rsidR="008858E8" w:rsidRPr="00AB31EE" w:rsidRDefault="008858E8" w:rsidP="005D7FBE">
      <w:pPr>
        <w:pStyle w:val="FootnoteText"/>
        <w:tabs>
          <w:tab w:val="left" w:pos="284"/>
        </w:tabs>
        <w:ind w:left="284" w:hanging="284"/>
        <w:rPr>
          <w:lang w:val="en-US"/>
        </w:rPr>
      </w:pPr>
      <w:r w:rsidRPr="001A067E">
        <w:rPr>
          <w:rFonts w:asciiTheme="minorHAnsi" w:hAnsiTheme="minorHAnsi"/>
          <w:vertAlign w:val="superscript"/>
        </w:rPr>
        <w:footnoteRef/>
      </w:r>
      <w:r>
        <w:tab/>
        <w:t>European Commission, Peter Stuckmann</w:t>
      </w:r>
      <w:r>
        <w:rPr>
          <w:i/>
          <w:iCs/>
        </w:rPr>
        <w:t xml:space="preserve">, EU Roaming Regulation </w:t>
      </w:r>
      <w:r>
        <w:rPr>
          <w:i/>
          <w:iCs/>
          <w:lang w:val="en-US"/>
        </w:rPr>
        <w:t>–</w:t>
      </w:r>
      <w:r>
        <w:rPr>
          <w:i/>
          <w:iCs/>
        </w:rPr>
        <w:t xml:space="preserve"> Towards structural solutions</w:t>
      </w:r>
      <w:r>
        <w:t>, presentation, Geneva, March 2012, EC/DG Information Society and Media</w:t>
      </w:r>
      <w:r>
        <w:rPr>
          <w:lang w:val="en-US"/>
        </w:rPr>
        <w:t>.</w:t>
      </w:r>
    </w:p>
  </w:footnote>
  <w:footnote w:id="5">
    <w:p w14:paraId="21DBA254" w14:textId="3B7A994C" w:rsidR="008858E8" w:rsidRPr="008349CF" w:rsidRDefault="008858E8" w:rsidP="005D7FBE">
      <w:pPr>
        <w:pStyle w:val="FootnoteText"/>
        <w:tabs>
          <w:tab w:val="left" w:pos="284"/>
        </w:tabs>
        <w:ind w:left="284" w:hanging="284"/>
      </w:pPr>
      <w:r>
        <w:rPr>
          <w:rStyle w:val="FootnoteReference"/>
        </w:rPr>
        <w:footnoteRef/>
      </w:r>
      <w:r>
        <w:t xml:space="preserve"> </w:t>
      </w:r>
      <w:r>
        <w:tab/>
      </w:r>
      <w:r w:rsidRPr="009E4192">
        <w:t>International Mobile Roaming Charging In The OECD Area</w:t>
      </w:r>
      <w:r>
        <w:t>:</w:t>
      </w:r>
      <w:r>
        <w:tab/>
        <w:t xml:space="preserve"> </w:t>
      </w:r>
      <w:hyperlink r:id="rId1" w:history="1">
        <w:r w:rsidRPr="00EE6415">
          <w:rPr>
            <w:rStyle w:val="Hyperlink"/>
          </w:rPr>
          <w:t>http://www.oecd.org/internet/broadband/44381810.pdf</w:t>
        </w:r>
      </w:hyperlink>
    </w:p>
  </w:footnote>
  <w:footnote w:id="6">
    <w:p w14:paraId="01EF28CA" w14:textId="3B88D7D7" w:rsidR="008858E8" w:rsidRDefault="008858E8" w:rsidP="0028494C">
      <w:pPr>
        <w:pStyle w:val="FootnoteText"/>
        <w:tabs>
          <w:tab w:val="left" w:pos="284"/>
        </w:tabs>
        <w:ind w:left="284" w:hanging="284"/>
      </w:pPr>
      <w:r w:rsidRPr="0028494C">
        <w:rPr>
          <w:rFonts w:asciiTheme="minorHAnsi" w:hAnsiTheme="minorHAnsi"/>
          <w:vertAlign w:val="superscript"/>
        </w:rPr>
        <w:footnoteRef/>
      </w:r>
      <w:r>
        <w:tab/>
        <w:t xml:space="preserve">For European Parliament's ITRE Committee, January 2007, </w:t>
      </w:r>
      <w:r>
        <w:rPr>
          <w:i/>
          <w:iCs/>
        </w:rPr>
        <w:t>Technical Issues on Roaming - Transparency, Technical Aspects and Data</w:t>
      </w:r>
      <w:r>
        <w:t xml:space="preserve"> Report IP/A/ITRE/NT/2006-17/Lot2/SC1, PE 382.177, published as an EP policy document for the European Parliament; SCF Associates Ltd contributed the Technical Issues chapter, with cost analysis. Plenary near-unanimous vote on roaming in European Parliament, May 2007. </w:t>
      </w:r>
    </w:p>
  </w:footnote>
  <w:footnote w:id="7">
    <w:p w14:paraId="4EFC90AB" w14:textId="77777777" w:rsidR="008858E8" w:rsidRPr="00AB31EE" w:rsidRDefault="008858E8" w:rsidP="0028494C">
      <w:pPr>
        <w:pStyle w:val="FootnoteText"/>
        <w:tabs>
          <w:tab w:val="left" w:pos="284"/>
        </w:tabs>
        <w:ind w:left="284" w:hanging="284"/>
        <w:rPr>
          <w:lang w:val="en-US"/>
        </w:rPr>
      </w:pPr>
      <w:r w:rsidRPr="0028494C">
        <w:rPr>
          <w:rStyle w:val="FootnoteReference"/>
        </w:rPr>
        <w:footnoteRef/>
      </w:r>
      <w:r w:rsidRPr="0028494C">
        <w:rPr>
          <w:vertAlign w:val="superscript"/>
        </w:rPr>
        <w:t xml:space="preserve"> </w:t>
      </w:r>
      <w:r>
        <w:tab/>
        <w:t>EC, DG CONNECT, Commissioner Neelie Kroes, Presentation speech, 12 September 2013</w:t>
      </w:r>
      <w:r>
        <w:rPr>
          <w:lang w:val="en-US"/>
        </w:rPr>
        <w:t>.</w:t>
      </w:r>
    </w:p>
  </w:footnote>
  <w:footnote w:id="8">
    <w:p w14:paraId="4A46CE4F" w14:textId="77777777" w:rsidR="008858E8" w:rsidRDefault="008858E8" w:rsidP="0028494C">
      <w:pPr>
        <w:pStyle w:val="FootnoteText"/>
        <w:tabs>
          <w:tab w:val="left" w:pos="284"/>
        </w:tabs>
        <w:ind w:left="284" w:hanging="284"/>
      </w:pPr>
      <w:r w:rsidRPr="0028494C">
        <w:rPr>
          <w:rStyle w:val="FootnoteCharacters"/>
        </w:rPr>
        <w:footnoteRef/>
      </w:r>
      <w:r>
        <w:t xml:space="preserve"> </w:t>
      </w:r>
      <w:r>
        <w:tab/>
        <w:t>Maliranta, Mika and Rouvinen, Petri</w:t>
      </w:r>
      <w:r>
        <w:rPr>
          <w:lang w:val="en-US"/>
        </w:rPr>
        <w:t xml:space="preserve"> (2006)</w:t>
      </w:r>
      <w:r>
        <w:t xml:space="preserve">, </w:t>
      </w:r>
      <w:r w:rsidRPr="00AB31EE">
        <w:rPr>
          <w:i/>
        </w:rPr>
        <w:t>Informational mobility and productivity: Finnish evidence</w:t>
      </w:r>
      <w:r>
        <w:t xml:space="preserve">, </w:t>
      </w:r>
      <w:r w:rsidRPr="00AB31EE">
        <w:rPr>
          <w:iCs/>
        </w:rPr>
        <w:t>Economics</w:t>
      </w:r>
      <w:r>
        <w:rPr>
          <w:i/>
        </w:rPr>
        <w:t xml:space="preserve"> </w:t>
      </w:r>
      <w:r w:rsidRPr="00AB31EE">
        <w:rPr>
          <w:iCs/>
        </w:rPr>
        <w:t>of Innovation and New Technology</w:t>
      </w:r>
      <w:r>
        <w:t>, Vol</w:t>
      </w:r>
      <w:r>
        <w:rPr>
          <w:lang w:val="en-US"/>
        </w:rPr>
        <w:t>.</w:t>
      </w:r>
      <w:r>
        <w:t xml:space="preserve"> 15, No</w:t>
      </w:r>
      <w:r>
        <w:rPr>
          <w:lang w:val="en-US"/>
        </w:rPr>
        <w:t>.</w:t>
      </w:r>
      <w:r>
        <w:t xml:space="preserve"> 6, September, pp. 605</w:t>
      </w:r>
      <w:r>
        <w:rPr>
          <w:lang w:val="en-US"/>
        </w:rPr>
        <w:t>-</w:t>
      </w:r>
      <w:r>
        <w:t>616.</w:t>
      </w:r>
    </w:p>
  </w:footnote>
  <w:footnote w:id="9">
    <w:p w14:paraId="1965838B" w14:textId="55DB18C5" w:rsidR="008858E8" w:rsidRPr="00450D81" w:rsidRDefault="008858E8" w:rsidP="0001308B">
      <w:pPr>
        <w:pStyle w:val="FootnoteText"/>
        <w:tabs>
          <w:tab w:val="left" w:pos="284"/>
        </w:tabs>
        <w:ind w:left="284" w:hanging="284"/>
      </w:pPr>
      <w:r>
        <w:rPr>
          <w:rStyle w:val="FootnoteReference"/>
        </w:rPr>
        <w:footnoteRef/>
      </w:r>
      <w:r>
        <w:t xml:space="preserve"> </w:t>
      </w:r>
      <w:r>
        <w:tab/>
        <w:t xml:space="preserve">Speech, Commissioner Neelie Kroes, 12 September 2013, </w:t>
      </w:r>
      <w:r w:rsidRPr="00AB31EE">
        <w:rPr>
          <w:i/>
          <w:iCs/>
        </w:rPr>
        <w:t>We must act now – time for a Connected Continent</w:t>
      </w:r>
      <w:r>
        <w:rPr>
          <w:i/>
          <w:iCs/>
        </w:rPr>
        <w:t>.</w:t>
      </w:r>
      <w:r w:rsidRPr="00AA4CA8">
        <w:t xml:space="preserve"> </w:t>
      </w:r>
    </w:p>
  </w:footnote>
  <w:footnote w:id="10">
    <w:p w14:paraId="667432FA" w14:textId="77777777" w:rsidR="008858E8" w:rsidRDefault="008858E8" w:rsidP="0028494C">
      <w:pPr>
        <w:pStyle w:val="FootnoteText"/>
        <w:tabs>
          <w:tab w:val="left" w:pos="284"/>
        </w:tabs>
        <w:ind w:left="284" w:hanging="284"/>
      </w:pPr>
      <w:r w:rsidRPr="0028494C">
        <w:rPr>
          <w:rStyle w:val="FootnoteCharacters"/>
        </w:rPr>
        <w:footnoteRef/>
      </w:r>
      <w:r w:rsidRPr="0028494C">
        <w:rPr>
          <w:rFonts w:asciiTheme="minorHAnsi" w:hAnsiTheme="minorHAnsi"/>
        </w:rPr>
        <w:t xml:space="preserve"> </w:t>
      </w:r>
      <w:r>
        <w:tab/>
        <w:t xml:space="preserve">D. Thomas, </w:t>
      </w:r>
      <w:r>
        <w:rPr>
          <w:i/>
          <w:iCs/>
        </w:rPr>
        <w:t>Cameron calls for mobile bill cuts</w:t>
      </w:r>
      <w:r>
        <w:t>, Financial Times, 14 Nov. 2013.</w:t>
      </w:r>
    </w:p>
  </w:footnote>
  <w:footnote w:id="11">
    <w:p w14:paraId="12D4859A" w14:textId="77777777" w:rsidR="008858E8" w:rsidRDefault="008858E8" w:rsidP="00232C2F">
      <w:pPr>
        <w:pStyle w:val="FootnoteText"/>
        <w:tabs>
          <w:tab w:val="left" w:pos="284"/>
        </w:tabs>
      </w:pPr>
      <w:r w:rsidRPr="0028494C">
        <w:rPr>
          <w:rStyle w:val="FootnoteCharacters"/>
        </w:rPr>
        <w:footnoteRef/>
      </w:r>
      <w:r>
        <w:t xml:space="preserve"> </w:t>
      </w:r>
      <w:r>
        <w:tab/>
      </w:r>
      <w:hyperlink r:id="rId2" w:history="1">
        <w:r w:rsidRPr="00092648">
          <w:rPr>
            <w:rStyle w:val="Hyperlink"/>
          </w:rPr>
          <w:t>http://www.techweekeurope.co.uk/news/t-mobile-usa-roaming-129287</w:t>
        </w:r>
      </w:hyperlink>
      <w:r>
        <w:t xml:space="preserve"> </w:t>
      </w:r>
    </w:p>
  </w:footnote>
  <w:footnote w:id="12">
    <w:p w14:paraId="7E16242E" w14:textId="77777777" w:rsidR="008858E8" w:rsidRDefault="008858E8" w:rsidP="00232C2F">
      <w:pPr>
        <w:pStyle w:val="FootnoteText"/>
        <w:tabs>
          <w:tab w:val="left" w:pos="284"/>
        </w:tabs>
      </w:pPr>
      <w:r w:rsidRPr="0028494C">
        <w:rPr>
          <w:rStyle w:val="FootnoteCharacters"/>
        </w:rPr>
        <w:footnoteRef/>
      </w:r>
      <w:r>
        <w:t xml:space="preserve"> </w:t>
      </w:r>
      <w:r>
        <w:tab/>
        <w:t xml:space="preserve">Financial Times, Lex Column, </w:t>
      </w:r>
      <w:r>
        <w:rPr>
          <w:i/>
          <w:iCs/>
        </w:rPr>
        <w:t xml:space="preserve">The wages of SIM, </w:t>
      </w:r>
      <w:r>
        <w:t>8 November 2013.</w:t>
      </w:r>
    </w:p>
  </w:footnote>
  <w:footnote w:id="13">
    <w:p w14:paraId="3277049A" w14:textId="77777777" w:rsidR="008858E8" w:rsidRDefault="008858E8" w:rsidP="00103619">
      <w:pPr>
        <w:pStyle w:val="FootnoteText"/>
        <w:tabs>
          <w:tab w:val="left" w:pos="284"/>
        </w:tabs>
      </w:pPr>
      <w:r w:rsidRPr="0028494C">
        <w:rPr>
          <w:rStyle w:val="FootnoteCharacters"/>
        </w:rPr>
        <w:footnoteRef/>
      </w:r>
      <w:r>
        <w:tab/>
        <w:t>BBC Radio 4, 23 November 2013, Paul Lewis, Moneybox investigation.</w:t>
      </w:r>
    </w:p>
  </w:footnote>
  <w:footnote w:id="14">
    <w:p w14:paraId="1AF86695" w14:textId="77777777" w:rsidR="008858E8" w:rsidRPr="00987071" w:rsidRDefault="008858E8" w:rsidP="004945C8">
      <w:pPr>
        <w:pStyle w:val="FootnoteText"/>
        <w:tabs>
          <w:tab w:val="left" w:pos="284"/>
        </w:tabs>
        <w:ind w:left="284" w:hanging="284"/>
      </w:pPr>
      <w:r>
        <w:rPr>
          <w:rStyle w:val="FootnoteReference"/>
        </w:rPr>
        <w:footnoteRef/>
      </w:r>
      <w:r>
        <w:t xml:space="preserve"> </w:t>
      </w:r>
      <w:r>
        <w:tab/>
      </w:r>
      <w:r w:rsidRPr="00F669FC">
        <w:t>BEREC Report on Transparency and Comparability of International Roaming Tariffs, December 2013, BoR (13) 185</w:t>
      </w:r>
      <w:r>
        <w:t xml:space="preserve">. It should also be noted that </w:t>
      </w:r>
      <w:r w:rsidRPr="008668FB">
        <w:t>MNOs</w:t>
      </w:r>
      <w:r>
        <w:t xml:space="preserve"> may</w:t>
      </w:r>
      <w:r w:rsidRPr="008668FB">
        <w:t xml:space="preserve"> offer </w:t>
      </w:r>
      <w:r>
        <w:t xml:space="preserve">a </w:t>
      </w:r>
      <w:r w:rsidRPr="008668FB">
        <w:t>bundle</w:t>
      </w:r>
      <w:r>
        <w:t xml:space="preserve">d </w:t>
      </w:r>
      <w:r w:rsidRPr="008668FB">
        <w:t xml:space="preserve">roaming </w:t>
      </w:r>
      <w:r>
        <w:t>tariff</w:t>
      </w:r>
      <w:r w:rsidRPr="008668FB">
        <w:t xml:space="preserve"> that </w:t>
      </w:r>
      <w:r>
        <w:t>is</w:t>
      </w:r>
      <w:r w:rsidRPr="008668FB">
        <w:t xml:space="preserve"> for a relatively long period of time (</w:t>
      </w:r>
      <w:r>
        <w:t>e</w:t>
      </w:r>
      <w:r>
        <w:rPr>
          <w:lang w:val="en-US"/>
        </w:rPr>
        <w:t>.</w:t>
      </w:r>
      <w:r>
        <w:t>g</w:t>
      </w:r>
      <w:r>
        <w:rPr>
          <w:lang w:val="en-US"/>
        </w:rPr>
        <w:t>.</w:t>
      </w:r>
      <w:r>
        <w:t xml:space="preserve"> </w:t>
      </w:r>
      <w:r w:rsidRPr="008668FB">
        <w:t>one month) so that they are not always cheaper than a linear tariff if the user is staying abroad for less than a month and is not a high user</w:t>
      </w:r>
      <w:r>
        <w:t>.</w:t>
      </w:r>
    </w:p>
  </w:footnote>
  <w:footnote w:id="15">
    <w:p w14:paraId="4684256A" w14:textId="77777777" w:rsidR="008858E8" w:rsidRPr="00B91ABD" w:rsidRDefault="008858E8" w:rsidP="006F4DFA">
      <w:pPr>
        <w:pStyle w:val="FootnoteText"/>
        <w:tabs>
          <w:tab w:val="left" w:pos="284"/>
        </w:tabs>
        <w:ind w:left="284" w:hanging="284"/>
      </w:pPr>
      <w:r>
        <w:rPr>
          <w:rStyle w:val="FootnoteReference"/>
        </w:rPr>
        <w:footnoteRef/>
      </w:r>
      <w:r>
        <w:t xml:space="preserve"> </w:t>
      </w:r>
      <w:r>
        <w:tab/>
      </w:r>
      <w:r w:rsidRPr="00B91ABD">
        <w:t xml:space="preserve">In fact annual charges are </w:t>
      </w:r>
      <w:r>
        <w:t xml:space="preserve">often </w:t>
      </w:r>
      <w:r w:rsidRPr="00B91ABD">
        <w:t xml:space="preserve">much less than </w:t>
      </w:r>
      <w:r>
        <w:t xml:space="preserve">a 10% level </w:t>
      </w:r>
      <w:r w:rsidRPr="00B91ABD">
        <w:t>– Ofcom</w:t>
      </w:r>
      <w:r>
        <w:rPr>
          <w:lang w:val="en-US"/>
        </w:rPr>
        <w:t>'</w:t>
      </w:r>
      <w:r>
        <w:t>s revised annual charges for 900</w:t>
      </w:r>
      <w:r>
        <w:rPr>
          <w:lang w:val="en-US"/>
        </w:rPr>
        <w:t xml:space="preserve"> </w:t>
      </w:r>
      <w:r>
        <w:t xml:space="preserve">MHz licences in the UK are </w:t>
      </w:r>
      <w:r>
        <w:rPr>
          <w:lang w:val="en-US"/>
        </w:rPr>
        <w:t xml:space="preserve">EUR </w:t>
      </w:r>
      <w:r>
        <w:t>163 million per year for 900</w:t>
      </w:r>
      <w:r>
        <w:rPr>
          <w:lang w:val="en-US"/>
        </w:rPr>
        <w:t xml:space="preserve"> </w:t>
      </w:r>
      <w:r>
        <w:t xml:space="preserve">MHz and </w:t>
      </w:r>
      <w:r>
        <w:rPr>
          <w:lang w:val="en-US"/>
        </w:rPr>
        <w:t xml:space="preserve">EUR </w:t>
      </w:r>
      <w:r>
        <w:t>200 million per year for 1800</w:t>
      </w:r>
      <w:r>
        <w:rPr>
          <w:lang w:val="en-US"/>
        </w:rPr>
        <w:t xml:space="preserve"> </w:t>
      </w:r>
      <w:r>
        <w:t xml:space="preserve">MHz. Thus Ofcom makes a total charge of </w:t>
      </w:r>
      <w:r>
        <w:rPr>
          <w:lang w:val="en-US"/>
        </w:rPr>
        <w:t xml:space="preserve">EUR </w:t>
      </w:r>
      <w:r>
        <w:t>363 million (that is the sum for all the 4 MNOs together).</w:t>
      </w:r>
    </w:p>
  </w:footnote>
  <w:footnote w:id="16">
    <w:p w14:paraId="569C31B1" w14:textId="7817AD3C" w:rsidR="008858E8" w:rsidRPr="002C27E0" w:rsidRDefault="008858E8" w:rsidP="006F4DFA">
      <w:pPr>
        <w:pStyle w:val="FootnoteText"/>
        <w:tabs>
          <w:tab w:val="left" w:pos="284"/>
        </w:tabs>
        <w:ind w:left="284" w:hanging="284"/>
      </w:pPr>
      <w:r>
        <w:rPr>
          <w:rStyle w:val="FootnoteReference"/>
        </w:rPr>
        <w:footnoteRef/>
      </w:r>
      <w:r>
        <w:t xml:space="preserve"> </w:t>
      </w:r>
      <w:r>
        <w:tab/>
        <w:t>Communications Fraud Control Association, Revector, 2013, Mistry, D. (2014)</w:t>
      </w:r>
      <w:r>
        <w:rPr>
          <w:lang w:val="en-US"/>
        </w:rPr>
        <w:t>,</w:t>
      </w:r>
      <w:r>
        <w:t xml:space="preserve"> </w:t>
      </w:r>
      <w:r w:rsidRPr="00794907">
        <w:rPr>
          <w:i/>
          <w:iCs/>
        </w:rPr>
        <w:t>Roaming – The most costly type of fraud</w:t>
      </w:r>
      <w:r>
        <w:t>, 14 Oct</w:t>
      </w:r>
      <w:r>
        <w:rPr>
          <w:lang w:val="en-US"/>
        </w:rPr>
        <w:t>.</w:t>
      </w:r>
      <w:r>
        <w:t xml:space="preserve"> 2014.</w:t>
      </w:r>
    </w:p>
  </w:footnote>
  <w:footnote w:id="17">
    <w:p w14:paraId="412B3981" w14:textId="3F5DE0BD" w:rsidR="008858E8" w:rsidRPr="00434574" w:rsidRDefault="008858E8" w:rsidP="003B0BA4">
      <w:pPr>
        <w:pStyle w:val="FootnoteText"/>
        <w:tabs>
          <w:tab w:val="left" w:pos="284"/>
        </w:tabs>
        <w:ind w:left="284" w:hanging="284"/>
      </w:pPr>
      <w:r>
        <w:rPr>
          <w:rStyle w:val="FootnoteReference"/>
        </w:rPr>
        <w:footnoteRef/>
      </w:r>
      <w:r>
        <w:t xml:space="preserve"> </w:t>
      </w:r>
      <w:r>
        <w:tab/>
        <w:t xml:space="preserve">GSMA (2012) Global and mobile revenue trends </w:t>
      </w:r>
      <w:r w:rsidRPr="00434574">
        <w:t>gsmaintelligence.com/analysis/2013/01/global-and-regional-mobile-revenue-trends/367/</w:t>
      </w:r>
    </w:p>
  </w:footnote>
  <w:footnote w:id="18">
    <w:p w14:paraId="3249DA6A" w14:textId="47020188" w:rsidR="008858E8" w:rsidRPr="00E00F91" w:rsidRDefault="008858E8" w:rsidP="003B0BA4">
      <w:pPr>
        <w:pStyle w:val="FootnoteText"/>
        <w:tabs>
          <w:tab w:val="left" w:pos="284"/>
        </w:tabs>
        <w:ind w:left="284" w:hanging="284"/>
      </w:pPr>
      <w:r>
        <w:rPr>
          <w:rStyle w:val="FootnoteReference"/>
        </w:rPr>
        <w:footnoteRef/>
      </w:r>
      <w:r>
        <w:t xml:space="preserve"> </w:t>
      </w:r>
      <w:r>
        <w:tab/>
        <w:t>Juniper Research (2012) puts total losses from billing system errors and fraud together at USD</w:t>
      </w:r>
      <w:r>
        <w:rPr>
          <w:lang w:val="en-US"/>
        </w:rPr>
        <w:t xml:space="preserve"> </w:t>
      </w:r>
      <w:r>
        <w:t xml:space="preserve">58 </w:t>
      </w:r>
      <w:r>
        <w:rPr>
          <w:lang w:val="en-US"/>
        </w:rPr>
        <w:t>b</w:t>
      </w:r>
      <w:r>
        <w:t xml:space="preserve">illion, or some 6% of total mobile revenues of USD 967 </w:t>
      </w:r>
      <w:r>
        <w:rPr>
          <w:lang w:val="en-US"/>
        </w:rPr>
        <w:t>b</w:t>
      </w:r>
      <w:r>
        <w:t xml:space="preserve">illion total for 2011. Investments in billing could reduce this to 4% by 2016, from </w:t>
      </w:r>
      <w:r w:rsidRPr="00C266FF">
        <w:rPr>
          <w:i/>
          <w:iCs/>
        </w:rPr>
        <w:t>Mobile industry loses over US$</w:t>
      </w:r>
      <w:r>
        <w:rPr>
          <w:i/>
          <w:iCs/>
          <w:lang w:val="en-US"/>
        </w:rPr>
        <w:t xml:space="preserve"> </w:t>
      </w:r>
      <w:r w:rsidRPr="00C266FF">
        <w:rPr>
          <w:i/>
          <w:iCs/>
        </w:rPr>
        <w:t>58 Billion</w:t>
      </w:r>
      <w:r>
        <w:rPr>
          <w:i/>
          <w:iCs/>
        </w:rPr>
        <w:tab/>
        <w:t xml:space="preserve"> </w:t>
      </w:r>
      <w:hyperlink r:id="rId3" w:history="1">
        <w:r w:rsidRPr="00573D0D">
          <w:rPr>
            <w:rStyle w:val="Hyperlink"/>
          </w:rPr>
          <w:t>www.business.myjoyonline.com/pages/news/201203/83922.php</w:t>
        </w:r>
      </w:hyperlink>
      <w:r>
        <w:t xml:space="preserve"> </w:t>
      </w:r>
    </w:p>
  </w:footnote>
  <w:footnote w:id="19">
    <w:p w14:paraId="564CD219" w14:textId="77777777" w:rsidR="008858E8" w:rsidRPr="00AB31EE" w:rsidRDefault="008858E8" w:rsidP="006F4DFA">
      <w:pPr>
        <w:pStyle w:val="FootnoteText"/>
        <w:tabs>
          <w:tab w:val="left" w:pos="284"/>
        </w:tabs>
        <w:rPr>
          <w:lang w:val="en-US"/>
        </w:rPr>
      </w:pPr>
      <w:r>
        <w:rPr>
          <w:rStyle w:val="FootnoteReference"/>
        </w:rPr>
        <w:footnoteRef/>
      </w:r>
      <w:r>
        <w:t xml:space="preserve"> </w:t>
      </w:r>
      <w:r>
        <w:tab/>
        <w:t>Aaron Schiff (2008)</w:t>
      </w:r>
      <w:r>
        <w:rPr>
          <w:lang w:val="en-US"/>
        </w:rPr>
        <w:t>,</w:t>
      </w:r>
      <w:r>
        <w:t xml:space="preserve"> </w:t>
      </w:r>
      <w:r w:rsidRPr="00B84C6C">
        <w:rPr>
          <w:i/>
          <w:iCs/>
        </w:rPr>
        <w:t>The waterbed effect and price regulation</w:t>
      </w:r>
      <w:r>
        <w:t>, Review of Network Economics, Vol. 7 No.3</w:t>
      </w:r>
      <w:r>
        <w:rPr>
          <w:lang w:val="en-US"/>
        </w:rPr>
        <w:t>.</w:t>
      </w:r>
    </w:p>
  </w:footnote>
  <w:footnote w:id="20">
    <w:p w14:paraId="5C24EEC2" w14:textId="77777777" w:rsidR="008858E8" w:rsidRPr="00AB31EE" w:rsidRDefault="008858E8" w:rsidP="006F4DFA">
      <w:pPr>
        <w:pStyle w:val="FootnoteText"/>
        <w:tabs>
          <w:tab w:val="left" w:pos="284"/>
        </w:tabs>
        <w:rPr>
          <w:lang w:val="en-US"/>
        </w:rPr>
      </w:pPr>
      <w:r>
        <w:rPr>
          <w:rStyle w:val="FootnoteReference"/>
        </w:rPr>
        <w:footnoteRef/>
      </w:r>
      <w:r>
        <w:t xml:space="preserve"> </w:t>
      </w:r>
      <w:r>
        <w:tab/>
        <w:t xml:space="preserve">Angela Stainthorpe (2008), </w:t>
      </w:r>
      <w:r w:rsidRPr="007850C8">
        <w:t>Global mobile roaming: operator strategies and market trends</w:t>
      </w:r>
      <w:r>
        <w:t>, Informa Telecoms</w:t>
      </w:r>
      <w:r>
        <w:rPr>
          <w:lang w:val="en-US"/>
        </w:rPr>
        <w:t>.</w:t>
      </w:r>
    </w:p>
  </w:footnote>
  <w:footnote w:id="21">
    <w:p w14:paraId="0FE874FA" w14:textId="77777777" w:rsidR="008858E8" w:rsidRPr="00AB31EE" w:rsidRDefault="008858E8" w:rsidP="006F4DFA">
      <w:pPr>
        <w:pStyle w:val="FootnoteText"/>
        <w:tabs>
          <w:tab w:val="left" w:pos="284"/>
        </w:tabs>
        <w:rPr>
          <w:lang w:val="en-US"/>
        </w:rPr>
      </w:pPr>
      <w:r>
        <w:rPr>
          <w:rStyle w:val="FootnoteReference"/>
        </w:rPr>
        <w:footnoteRef/>
      </w:r>
      <w:r>
        <w:t xml:space="preserve"> </w:t>
      </w:r>
      <w:r>
        <w:tab/>
        <w:t>BEREC (2010) International Mobile Roaming Regulation, BEREC Report BoR</w:t>
      </w:r>
      <w:r>
        <w:rPr>
          <w:lang w:val="en-US"/>
        </w:rPr>
        <w:t xml:space="preserve"> </w:t>
      </w:r>
      <w:r>
        <w:t>(1058) December 2010</w:t>
      </w:r>
      <w:r>
        <w:rPr>
          <w:lang w:val="en-US"/>
        </w:rPr>
        <w:t>.</w:t>
      </w:r>
    </w:p>
  </w:footnote>
  <w:footnote w:id="22">
    <w:p w14:paraId="63DC4EE5" w14:textId="77777777" w:rsidR="008858E8" w:rsidRDefault="008858E8" w:rsidP="004F1304">
      <w:pPr>
        <w:pStyle w:val="FootnoteText"/>
        <w:tabs>
          <w:tab w:val="left" w:pos="284"/>
        </w:tabs>
        <w:rPr>
          <w:lang w:val="en-US"/>
        </w:rPr>
      </w:pPr>
      <w:r>
        <w:rPr>
          <w:rStyle w:val="FootnoteCharacters"/>
          <w:rFonts w:ascii="Arial" w:hAnsi="Arial"/>
        </w:rPr>
        <w:footnoteRef/>
      </w:r>
      <w:r>
        <w:t xml:space="preserve"> </w:t>
      </w:r>
      <w:r>
        <w:tab/>
      </w:r>
      <w:r>
        <w:rPr>
          <w:lang w:val="en-US"/>
        </w:rPr>
        <w:t xml:space="preserve">Jacobson, I., Booch, G., Rumbaugh, J. (2010), </w:t>
      </w:r>
      <w:r w:rsidRPr="00AB31EE">
        <w:rPr>
          <w:i/>
          <w:iCs/>
          <w:lang w:val="en-US"/>
        </w:rPr>
        <w:t>The Unified Software Development Process</w:t>
      </w:r>
      <w:r>
        <w:rPr>
          <w:lang w:val="en-US"/>
        </w:rPr>
        <w:t>, Addison Wesley, USA.</w:t>
      </w:r>
    </w:p>
  </w:footnote>
  <w:footnote w:id="23">
    <w:p w14:paraId="15CB8A40" w14:textId="1B066091" w:rsidR="008858E8" w:rsidRDefault="008858E8" w:rsidP="00234CBB">
      <w:pPr>
        <w:pStyle w:val="FootnoteText"/>
        <w:tabs>
          <w:tab w:val="left" w:pos="284"/>
        </w:tabs>
        <w:ind w:left="284" w:hanging="284"/>
      </w:pPr>
      <w:r w:rsidRPr="004945C8">
        <w:rPr>
          <w:rStyle w:val="FootnoteCharacters"/>
        </w:rPr>
        <w:footnoteRef/>
      </w:r>
      <w:r>
        <w:t xml:space="preserve"> </w:t>
      </w:r>
      <w:r>
        <w:tab/>
        <w:t>Buchanan, Iain</w:t>
      </w:r>
      <w:r>
        <w:rPr>
          <w:lang w:val="en-US"/>
        </w:rPr>
        <w:t xml:space="preserve"> (2001),</w:t>
      </w:r>
      <w:r>
        <w:t xml:space="preserve"> </w:t>
      </w:r>
      <w:r w:rsidRPr="00AB31EE">
        <w:rPr>
          <w:i/>
          <w:iCs/>
        </w:rPr>
        <w:t>Pricing and billing for new services, Content and Entertainment Strategies</w:t>
      </w:r>
      <w:r>
        <w:t>, Mobile Europe, Cannes, May.</w:t>
      </w:r>
    </w:p>
  </w:footnote>
  <w:footnote w:id="24">
    <w:p w14:paraId="3C8371AC" w14:textId="77777777" w:rsidR="008858E8" w:rsidRDefault="008858E8" w:rsidP="00234CBB">
      <w:pPr>
        <w:pStyle w:val="FootnoteText"/>
        <w:tabs>
          <w:tab w:val="left" w:pos="284"/>
        </w:tabs>
        <w:ind w:left="284" w:hanging="284"/>
      </w:pPr>
      <w:r w:rsidRPr="004945C8">
        <w:rPr>
          <w:rStyle w:val="FootnoteCharacters"/>
        </w:rPr>
        <w:footnoteRef/>
      </w:r>
      <w:r>
        <w:t xml:space="preserve"> </w:t>
      </w:r>
      <w:r>
        <w:tab/>
        <w:t>UMTS network elements fell nearly 60% in one year in some countries as the technology rollout accelerated between 2003 and 2006.</w:t>
      </w:r>
    </w:p>
  </w:footnote>
  <w:footnote w:id="25">
    <w:p w14:paraId="19ACA4B6" w14:textId="77777777" w:rsidR="008858E8" w:rsidRDefault="008858E8" w:rsidP="00234CBB">
      <w:pPr>
        <w:pStyle w:val="FootnoteText"/>
        <w:tabs>
          <w:tab w:val="left" w:pos="284"/>
        </w:tabs>
        <w:ind w:left="284" w:hanging="284"/>
      </w:pPr>
      <w:r w:rsidRPr="004945C8">
        <w:rPr>
          <w:rStyle w:val="FootnoteCharacters"/>
        </w:rPr>
        <w:footnoteRef/>
      </w:r>
      <w:r w:rsidRPr="004945C8">
        <w:rPr>
          <w:rFonts w:asciiTheme="minorHAnsi" w:hAnsiTheme="minorHAnsi"/>
        </w:rPr>
        <w:t xml:space="preserve"> </w:t>
      </w:r>
      <w:r>
        <w:tab/>
        <w:t>SCF Associates Ltd, from projects for design of new billing systems</w:t>
      </w:r>
      <w:r>
        <w:rPr>
          <w:lang w:val="en-US"/>
        </w:rPr>
        <w:t>.</w:t>
      </w:r>
      <w:r>
        <w:t xml:space="preserve"> </w:t>
      </w:r>
    </w:p>
  </w:footnote>
  <w:footnote w:id="26">
    <w:p w14:paraId="0F3789B3" w14:textId="3AFBB29D" w:rsidR="008858E8" w:rsidRDefault="008858E8" w:rsidP="00234CBB">
      <w:pPr>
        <w:pStyle w:val="FootnoteText"/>
        <w:tabs>
          <w:tab w:val="left" w:pos="284"/>
        </w:tabs>
        <w:ind w:left="284" w:hanging="284"/>
      </w:pPr>
      <w:r w:rsidRPr="004945C8">
        <w:rPr>
          <w:rStyle w:val="FootnoteCharacters"/>
        </w:rPr>
        <w:footnoteRef/>
      </w:r>
      <w:r w:rsidRPr="004945C8">
        <w:rPr>
          <w:rFonts w:asciiTheme="minorHAnsi" w:hAnsiTheme="minorHAnsi"/>
        </w:rPr>
        <w:t xml:space="preserve"> </w:t>
      </w:r>
      <w:r>
        <w:tab/>
        <w:t>Cushnie, John</w:t>
      </w:r>
      <w:r>
        <w:rPr>
          <w:lang w:val="en-US"/>
        </w:rPr>
        <w:t>,</w:t>
      </w:r>
      <w:r>
        <w:t xml:space="preserve"> Hutchinson, David</w:t>
      </w:r>
      <w:r>
        <w:rPr>
          <w:lang w:val="en-US"/>
        </w:rPr>
        <w:t>,</w:t>
      </w:r>
      <w:r>
        <w:t xml:space="preserve"> </w:t>
      </w:r>
      <w:r w:rsidRPr="00AB31EE">
        <w:rPr>
          <w:i/>
          <w:iCs/>
        </w:rPr>
        <w:t>Charging and Billing models for GSM and Future Mobile Internet Services</w:t>
      </w:r>
      <w:r>
        <w:t>.</w:t>
      </w:r>
    </w:p>
  </w:footnote>
  <w:footnote w:id="27">
    <w:p w14:paraId="60AA589D" w14:textId="77777777" w:rsidR="008858E8" w:rsidRDefault="008858E8" w:rsidP="00EF1563">
      <w:pPr>
        <w:pStyle w:val="FootnoteText"/>
        <w:tabs>
          <w:tab w:val="left" w:pos="284"/>
        </w:tabs>
        <w:ind w:left="284" w:hanging="284"/>
      </w:pPr>
      <w:r w:rsidRPr="004945C8">
        <w:rPr>
          <w:rStyle w:val="FootnoteCharacters"/>
        </w:rPr>
        <w:footnoteRef/>
      </w:r>
      <w:r>
        <w:tab/>
      </w:r>
      <w:r>
        <w:rPr>
          <w:lang w:val="en-US"/>
        </w:rPr>
        <w:t>C</w:t>
      </w:r>
      <w:r>
        <w:t xml:space="preserve">ustomized </w:t>
      </w:r>
      <w:r>
        <w:rPr>
          <w:lang w:val="en-US"/>
        </w:rPr>
        <w:t>a</w:t>
      </w:r>
      <w:r>
        <w:t>pplication</w:t>
      </w:r>
      <w:r>
        <w:rPr>
          <w:lang w:val="en-US"/>
        </w:rPr>
        <w:t>s</w:t>
      </w:r>
      <w:r>
        <w:t xml:space="preserve"> </w:t>
      </w:r>
      <w:r>
        <w:rPr>
          <w:lang w:val="en-US"/>
        </w:rPr>
        <w:t>for</w:t>
      </w:r>
      <w:r>
        <w:t xml:space="preserve"> </w:t>
      </w:r>
      <w:r>
        <w:rPr>
          <w:lang w:val="en-US"/>
        </w:rPr>
        <w:t>m</w:t>
      </w:r>
      <w:r>
        <w:t xml:space="preserve">obile </w:t>
      </w:r>
      <w:r>
        <w:rPr>
          <w:lang w:val="en-US"/>
        </w:rPr>
        <w:t>e</w:t>
      </w:r>
      <w:r>
        <w:t xml:space="preserve">nhanced </w:t>
      </w:r>
      <w:r>
        <w:rPr>
          <w:lang w:val="en-US"/>
        </w:rPr>
        <w:t>l</w:t>
      </w:r>
      <w:r>
        <w:t>ogic</w:t>
      </w:r>
      <w:r>
        <w:rPr>
          <w:lang w:val="en-US"/>
        </w:rPr>
        <w:t xml:space="preserve"> (CAMEL)</w:t>
      </w:r>
      <w:r>
        <w:t>, an ETSI standard</w:t>
      </w:r>
      <w:r>
        <w:rPr>
          <w:lang w:val="en-US"/>
        </w:rPr>
        <w:t>,</w:t>
      </w:r>
      <w:r>
        <w:t xml:space="preserve"> is a network management application for GSM/GPRS networks that enables a home network to monitor and control calls made by a roaming prepaid subscriber. The </w:t>
      </w:r>
      <w:r>
        <w:rPr>
          <w:lang w:val="en-US"/>
        </w:rPr>
        <w:t>"</w:t>
      </w:r>
      <w:r>
        <w:t>CAMEL application part</w:t>
      </w:r>
      <w:r>
        <w:rPr>
          <w:lang w:val="en-US"/>
        </w:rPr>
        <w:t xml:space="preserve"> (CAP)"</w:t>
      </w:r>
      <w:r>
        <w:t xml:space="preserve"> may also provide other services, such as fraud control and closed user groups.</w:t>
      </w:r>
    </w:p>
  </w:footnote>
  <w:footnote w:id="28">
    <w:p w14:paraId="02166EE8" w14:textId="77777777" w:rsidR="008858E8" w:rsidRPr="00AB31EE" w:rsidRDefault="008858E8" w:rsidP="000D2CFE">
      <w:pPr>
        <w:pStyle w:val="FootnoteText"/>
        <w:tabs>
          <w:tab w:val="left" w:pos="284"/>
        </w:tabs>
        <w:ind w:left="284" w:hanging="284"/>
        <w:rPr>
          <w:lang w:val="en-US"/>
        </w:rPr>
      </w:pPr>
      <w:r w:rsidRPr="000D2CFE">
        <w:rPr>
          <w:rStyle w:val="FootnoteCharacters"/>
        </w:rPr>
        <w:footnoteRef/>
      </w:r>
      <w:r>
        <w:t xml:space="preserve"> </w:t>
      </w:r>
      <w:r>
        <w:tab/>
        <w:t xml:space="preserve">For instance, the added components may include a </w:t>
      </w:r>
      <w:r>
        <w:rPr>
          <w:lang w:val="en-US"/>
        </w:rPr>
        <w:t>g</w:t>
      </w:r>
      <w:r>
        <w:t xml:space="preserve">lobal/GPRS </w:t>
      </w:r>
      <w:r>
        <w:rPr>
          <w:lang w:val="en-US"/>
        </w:rPr>
        <w:t xml:space="preserve">roaming </w:t>
      </w:r>
      <w:r>
        <w:t xml:space="preserve">exchange </w:t>
      </w:r>
      <w:r>
        <w:rPr>
          <w:lang w:val="en-US"/>
        </w:rPr>
        <w:t xml:space="preserve">(GRX) </w:t>
      </w:r>
      <w:r>
        <w:t xml:space="preserve">for data, cost varying with MNO size and data volumes (approximate order of </w:t>
      </w:r>
      <w:r>
        <w:rPr>
          <w:lang w:val="en-US"/>
        </w:rPr>
        <w:t xml:space="preserve">EUR </w:t>
      </w:r>
      <w:r>
        <w:t>5000-10</w:t>
      </w:r>
      <w:r>
        <w:rPr>
          <w:lang w:val="en-US"/>
        </w:rPr>
        <w:t>'</w:t>
      </w:r>
      <w:r>
        <w:t>000/month)</w:t>
      </w:r>
      <w:r>
        <w:rPr>
          <w:lang w:val="en-US"/>
        </w:rPr>
        <w:t>.</w:t>
      </w:r>
    </w:p>
  </w:footnote>
  <w:footnote w:id="29">
    <w:p w14:paraId="31A97507" w14:textId="0352F07E" w:rsidR="008858E8" w:rsidRDefault="008858E8" w:rsidP="00CB2141">
      <w:pPr>
        <w:pStyle w:val="FootnoteText"/>
        <w:tabs>
          <w:tab w:val="left" w:pos="284"/>
        </w:tabs>
      </w:pPr>
      <w:r w:rsidRPr="000D2CFE">
        <w:rPr>
          <w:rStyle w:val="FootnoteCharacters"/>
        </w:rPr>
        <w:footnoteRef/>
      </w:r>
      <w:r w:rsidRPr="000D2CFE">
        <w:rPr>
          <w:rFonts w:asciiTheme="minorHAnsi" w:hAnsiTheme="minorHAnsi"/>
        </w:rPr>
        <w:tab/>
      </w:r>
      <w:r>
        <w:t xml:space="preserve">European </w:t>
      </w:r>
      <w:r w:rsidRPr="00EE6415">
        <w:t>Commission</w:t>
      </w:r>
      <w:r w:rsidRPr="00EE6415">
        <w:rPr>
          <w:rFonts w:ascii="Arial" w:eastAsia="Times New Roman" w:hAnsi="Arial" w:cs="Arial"/>
          <w:b/>
          <w:i/>
          <w:color w:val="0000FF"/>
          <w:lang w:val="en-US"/>
        </w:rPr>
        <w:t xml:space="preserve"> </w:t>
      </w:r>
      <w:r w:rsidRPr="00EE6415">
        <w:t xml:space="preserve">Europa Digital Agenda for </w:t>
      </w:r>
      <w:smartTag w:uri="urn:schemas-microsoft-com:office:smarttags" w:element="place">
        <w:r w:rsidRPr="00EE6415">
          <w:t>Europe</w:t>
        </w:r>
      </w:smartTag>
      <w:r w:rsidRPr="00EE6415">
        <w:t xml:space="preserve"> : Roaming update with EU  roaming tariffs,</w:t>
      </w:r>
      <w:r>
        <w:t xml:space="preserve"> </w:t>
      </w:r>
      <w:hyperlink r:id="rId4" w:history="1">
        <w:r w:rsidRPr="00EE6415">
          <w:rPr>
            <w:rStyle w:val="Hyperlink"/>
          </w:rPr>
          <w:t>ec.europa.eu/information_society/activities/roaming/data/index_en.htm</w:t>
        </w:r>
      </w:hyperlink>
    </w:p>
  </w:footnote>
  <w:footnote w:id="30">
    <w:p w14:paraId="4CFB509B" w14:textId="77777777" w:rsidR="008858E8" w:rsidRPr="00C57CBB" w:rsidRDefault="008858E8" w:rsidP="00CB2141">
      <w:pPr>
        <w:pStyle w:val="FootnoteText"/>
        <w:tabs>
          <w:tab w:val="left" w:pos="284"/>
        </w:tabs>
        <w:ind w:left="284" w:hanging="284"/>
      </w:pPr>
      <w:r>
        <w:rPr>
          <w:rStyle w:val="FootnoteReference"/>
        </w:rPr>
        <w:footnoteRef/>
      </w:r>
      <w:r>
        <w:t xml:space="preserve"> </w:t>
      </w:r>
      <w:r>
        <w:tab/>
        <w:t>N</w:t>
      </w:r>
      <w:r w:rsidRPr="00C57CBB">
        <w:t xml:space="preserve">ote that for some MNOs a data equivalent </w:t>
      </w:r>
      <w:r>
        <w:t>to a CDR voice</w:t>
      </w:r>
      <w:r w:rsidRPr="00C57CBB">
        <w:t xml:space="preserve"> record </w:t>
      </w:r>
      <w:r>
        <w:t>may be</w:t>
      </w:r>
      <w:r w:rsidRPr="00C57CBB">
        <w:t xml:space="preserve"> used, termed </w:t>
      </w:r>
      <w:r>
        <w:rPr>
          <w:lang w:val="en-US"/>
        </w:rPr>
        <w:t>IP data record</w:t>
      </w:r>
      <w:r w:rsidRPr="00C57CBB">
        <w:t xml:space="preserve"> </w:t>
      </w:r>
      <w:r>
        <w:rPr>
          <w:lang w:val="en-US"/>
        </w:rPr>
        <w:t>(</w:t>
      </w:r>
      <w:r w:rsidRPr="00C57CBB">
        <w:t>IPDR</w:t>
      </w:r>
      <w:r>
        <w:rPr>
          <w:lang w:val="en-US"/>
        </w:rPr>
        <w:t>)</w:t>
      </w:r>
      <w:r w:rsidRPr="00C57CBB">
        <w:t>, for use of IP packet streams</w:t>
      </w:r>
      <w:r>
        <w:t>.</w:t>
      </w:r>
    </w:p>
  </w:footnote>
  <w:footnote w:id="31">
    <w:p w14:paraId="60502A97" w14:textId="77777777" w:rsidR="008858E8" w:rsidRPr="00AB31EE" w:rsidRDefault="008858E8" w:rsidP="00CB2141">
      <w:pPr>
        <w:pStyle w:val="FootnoteText"/>
        <w:tabs>
          <w:tab w:val="left" w:pos="284"/>
        </w:tabs>
        <w:ind w:left="284" w:hanging="284"/>
        <w:rPr>
          <w:i/>
          <w:iCs/>
          <w:lang w:val="en-US"/>
        </w:rPr>
      </w:pPr>
      <w:r>
        <w:rPr>
          <w:rStyle w:val="FootnoteReference"/>
        </w:rPr>
        <w:footnoteRef/>
      </w:r>
      <w:r>
        <w:t xml:space="preserve"> </w:t>
      </w:r>
      <w:r>
        <w:tab/>
        <w:t xml:space="preserve">ETSI </w:t>
      </w:r>
      <w:r w:rsidRPr="004304DD">
        <w:t>TS 29.078,</w:t>
      </w:r>
      <w:r w:rsidRPr="00AC2035">
        <w:t xml:space="preserve"> </w:t>
      </w:r>
      <w:r w:rsidRPr="00AC2035">
        <w:rPr>
          <w:i/>
          <w:iCs/>
        </w:rPr>
        <w:t>The 3GPP specification for CAP, the CAMEL Application Part</w:t>
      </w:r>
      <w:r>
        <w:rPr>
          <w:i/>
          <w:iCs/>
        </w:rPr>
        <w:t xml:space="preserve">, </w:t>
      </w:r>
      <w:r>
        <w:t xml:space="preserve">designed by a committee, ETSI </w:t>
      </w:r>
      <w:r w:rsidRPr="00AC2035">
        <w:t>3GPP</w:t>
      </w:r>
      <w:r>
        <w:rPr>
          <w:lang w:val="en-US"/>
        </w:rPr>
        <w:t>.</w:t>
      </w:r>
    </w:p>
  </w:footnote>
  <w:footnote w:id="32">
    <w:p w14:paraId="7E7ECC5A" w14:textId="77777777" w:rsidR="008858E8" w:rsidRDefault="008858E8" w:rsidP="00CB2141">
      <w:pPr>
        <w:pStyle w:val="FootnoteText"/>
        <w:tabs>
          <w:tab w:val="left" w:pos="284"/>
        </w:tabs>
        <w:ind w:left="284" w:hanging="284"/>
      </w:pPr>
      <w:r w:rsidRPr="00CB2141">
        <w:rPr>
          <w:rStyle w:val="FootnoteCharacters"/>
        </w:rPr>
        <w:footnoteRef/>
      </w:r>
      <w:r w:rsidRPr="00CB2141">
        <w:rPr>
          <w:rFonts w:asciiTheme="minorHAnsi" w:hAnsiTheme="minorHAnsi"/>
        </w:rPr>
        <w:t xml:space="preserve"> </w:t>
      </w:r>
      <w:r>
        <w:tab/>
        <w:t xml:space="preserve">For instance, </w:t>
      </w:r>
      <w:r>
        <w:rPr>
          <w:lang w:val="en-US"/>
        </w:rPr>
        <w:t>e</w:t>
      </w:r>
      <w:r>
        <w:t xml:space="preserve">nhanced </w:t>
      </w:r>
      <w:r>
        <w:rPr>
          <w:lang w:val="en-US"/>
        </w:rPr>
        <w:t>d</w:t>
      </w:r>
      <w:r>
        <w:t xml:space="preserve">ata rates for GSM </w:t>
      </w:r>
      <w:r>
        <w:rPr>
          <w:lang w:val="en-US"/>
        </w:rPr>
        <w:t>e</w:t>
      </w:r>
      <w:r>
        <w:t>volution</w:t>
      </w:r>
      <w:r>
        <w:rPr>
          <w:lang w:val="en-US"/>
        </w:rPr>
        <w:t xml:space="preserve"> (</w:t>
      </w:r>
      <w:r>
        <w:t>EDGE) is a 2G mobile data transport technology for higher data transmission rates. EDGE can be used for any packet switched application, such as an Internet connection. It offers a backward-compatible extension for data for 2G GSM, tripling capacity and performance per radio channel over a GSM/GPRS connection through improved coding and transmission. EDGE was first deployed on GSM networks in 2003 and is now a standardi</w:t>
      </w:r>
      <w:r>
        <w:rPr>
          <w:lang w:val="en-US"/>
        </w:rPr>
        <w:t>z</w:t>
      </w:r>
      <w:r>
        <w:t>ed part of the GSM norms (from 3GPP, ETSI).</w:t>
      </w:r>
    </w:p>
  </w:footnote>
  <w:footnote w:id="33">
    <w:p w14:paraId="61728F4E" w14:textId="77777777" w:rsidR="008858E8" w:rsidRDefault="008858E8" w:rsidP="00CB2141">
      <w:pPr>
        <w:pStyle w:val="FootnoteText"/>
        <w:tabs>
          <w:tab w:val="left" w:pos="284"/>
        </w:tabs>
        <w:ind w:left="284" w:hanging="284"/>
      </w:pPr>
      <w:r w:rsidRPr="00CB2141">
        <w:rPr>
          <w:rStyle w:val="FootnoteCharacters"/>
        </w:rPr>
        <w:footnoteRef/>
      </w:r>
      <w:r>
        <w:t xml:space="preserve"> </w:t>
      </w:r>
      <w:r>
        <w:tab/>
        <w:t xml:space="preserve">Packets are carried over </w:t>
      </w:r>
      <w:r>
        <w:rPr>
          <w:lang w:val="en-US"/>
        </w:rPr>
        <w:t>serving GPRS support node (SGSN)</w:t>
      </w:r>
      <w:r>
        <w:t xml:space="preserve"> </w:t>
      </w:r>
      <w:r>
        <w:rPr>
          <w:lang w:val="en-US"/>
        </w:rPr>
        <w:t>'</w:t>
      </w:r>
      <w:r>
        <w:t>tunnels</w:t>
      </w:r>
      <w:r>
        <w:rPr>
          <w:lang w:val="en-US"/>
        </w:rPr>
        <w:t>'</w:t>
      </w:r>
      <w:r>
        <w:t>, i</w:t>
      </w:r>
      <w:r>
        <w:rPr>
          <w:lang w:val="en-US"/>
        </w:rPr>
        <w:t>.</w:t>
      </w:r>
      <w:r>
        <w:t>e</w:t>
      </w:r>
      <w:r>
        <w:rPr>
          <w:lang w:val="en-US"/>
        </w:rPr>
        <w:t>.</w:t>
      </w:r>
      <w:r>
        <w:t xml:space="preserve"> as pseudo packet protocol, to GPRS routers which act as gateways to IP-based networks. The next advance in mobile networks, commonly called </w:t>
      </w:r>
      <w:r>
        <w:rPr>
          <w:lang w:val="en-US"/>
        </w:rPr>
        <w:t>l</w:t>
      </w:r>
      <w:r>
        <w:t>ong</w:t>
      </w:r>
      <w:r>
        <w:rPr>
          <w:lang w:val="en-US"/>
        </w:rPr>
        <w:t xml:space="preserve"> t</w:t>
      </w:r>
      <w:r>
        <w:t xml:space="preserve">erm </w:t>
      </w:r>
      <w:r>
        <w:rPr>
          <w:lang w:val="en-US"/>
        </w:rPr>
        <w:t>e</w:t>
      </w:r>
      <w:r>
        <w:t>volution (LTE), introduces more IP into mobile backhaul networks, transforming RAN networks into IP RAN networks. In LTE networks, voice packets are encapsulated into IP packets and are transmitted over IP RAN, not over the legacy PSTN network as is the case with 3G.</w:t>
      </w:r>
    </w:p>
  </w:footnote>
  <w:footnote w:id="34">
    <w:p w14:paraId="02F091DC" w14:textId="77777777" w:rsidR="008858E8" w:rsidRDefault="008858E8" w:rsidP="00CB2141">
      <w:pPr>
        <w:pStyle w:val="FootnoteText"/>
        <w:tabs>
          <w:tab w:val="left" w:pos="284"/>
        </w:tabs>
        <w:ind w:left="284" w:hanging="284"/>
      </w:pPr>
      <w:r w:rsidRPr="00CB2141">
        <w:rPr>
          <w:rStyle w:val="FootnoteCharacters"/>
        </w:rPr>
        <w:footnoteRef/>
      </w:r>
      <w:r w:rsidRPr="00CB2141">
        <w:rPr>
          <w:rFonts w:asciiTheme="minorHAnsi" w:hAnsiTheme="minorHAnsi"/>
        </w:rPr>
        <w:t xml:space="preserve"> </w:t>
      </w:r>
      <w:r>
        <w:tab/>
        <w:t>In this case, data is sent via the sending MNO</w:t>
      </w:r>
      <w:r>
        <w:rPr>
          <w:lang w:val="en-US"/>
        </w:rPr>
        <w:t>'</w:t>
      </w:r>
      <w:r>
        <w:t xml:space="preserve">s RAN (home or visited) and its core network backhaul, into a gateway to be then routed via a fixed line data carrier, perhaps a packet network, into the receiving MNO, or direct into </w:t>
      </w:r>
      <w:r>
        <w:rPr>
          <w:lang w:val="en-US"/>
        </w:rPr>
        <w:t xml:space="preserve">a </w:t>
      </w:r>
      <w:r>
        <w:t>second MNO, i</w:t>
      </w:r>
      <w:r>
        <w:rPr>
          <w:lang w:val="en-US"/>
        </w:rPr>
        <w:t>.</w:t>
      </w:r>
      <w:r>
        <w:t>e</w:t>
      </w:r>
      <w:r>
        <w:rPr>
          <w:lang w:val="en-US"/>
        </w:rPr>
        <w:t>.</w:t>
      </w:r>
      <w:r>
        <w:t xml:space="preserve"> via a point</w:t>
      </w:r>
      <w:r>
        <w:rPr>
          <w:lang w:val="en-US"/>
        </w:rPr>
        <w:t>-</w:t>
      </w:r>
      <w:r>
        <w:t>to</w:t>
      </w:r>
      <w:r>
        <w:rPr>
          <w:lang w:val="en-US"/>
        </w:rPr>
        <w:t>-</w:t>
      </w:r>
      <w:r>
        <w:t>point MNO/FNO network. In this scheme</w:t>
      </w:r>
      <w:r>
        <w:rPr>
          <w:lang w:val="en-US"/>
        </w:rPr>
        <w:t>,</w:t>
      </w:r>
      <w:r>
        <w:t xml:space="preserve"> IP packets may also be carried in public data network packets (e</w:t>
      </w:r>
      <w:r>
        <w:rPr>
          <w:lang w:val="en-US"/>
        </w:rPr>
        <w:t>.</w:t>
      </w:r>
      <w:r>
        <w:t>g</w:t>
      </w:r>
      <w:r>
        <w:rPr>
          <w:lang w:val="en-US"/>
        </w:rPr>
        <w:t>.</w:t>
      </w:r>
      <w:r>
        <w:t xml:space="preserve"> </w:t>
      </w:r>
      <w:r>
        <w:rPr>
          <w:lang w:val="en-US"/>
        </w:rPr>
        <w:t xml:space="preserve">Recommendation ITU-T </w:t>
      </w:r>
      <w:r>
        <w:t>X</w:t>
      </w:r>
      <w:r>
        <w:rPr>
          <w:lang w:val="en-US"/>
        </w:rPr>
        <w:t>.</w:t>
      </w:r>
      <w:r>
        <w:t>25) which may add overhead costs and performance penalties – and so be generally a more expensive routing.</w:t>
      </w:r>
    </w:p>
  </w:footnote>
  <w:footnote w:id="35">
    <w:p w14:paraId="62185553" w14:textId="77777777" w:rsidR="008858E8" w:rsidRDefault="008858E8" w:rsidP="00CB2141">
      <w:pPr>
        <w:pStyle w:val="FootnoteText"/>
        <w:tabs>
          <w:tab w:val="left" w:pos="284"/>
        </w:tabs>
        <w:ind w:left="284" w:hanging="284"/>
      </w:pPr>
      <w:r w:rsidRPr="00CB2141">
        <w:rPr>
          <w:rStyle w:val="FootnoteCharacters"/>
        </w:rPr>
        <w:footnoteRef/>
      </w:r>
      <w:r w:rsidRPr="00CB2141">
        <w:rPr>
          <w:rFonts w:asciiTheme="minorHAnsi" w:hAnsiTheme="minorHAnsi"/>
        </w:rPr>
        <w:t xml:space="preserve"> </w:t>
      </w:r>
      <w:r>
        <w:tab/>
        <w:t xml:space="preserve">Here, access is via the RAN and core network backhaul of the visited MNO, then to an </w:t>
      </w:r>
      <w:r>
        <w:rPr>
          <w:lang w:val="en-US"/>
        </w:rPr>
        <w:t>I</w:t>
      </w:r>
      <w:r>
        <w:t>nternet gateway for standard IP traffic, to be carried internationally (perhaps long distance) via a wholesale Internet carrier for delivery to a browsing destination, e</w:t>
      </w:r>
      <w:r>
        <w:rPr>
          <w:lang w:val="en-US"/>
        </w:rPr>
        <w:t>.</w:t>
      </w:r>
      <w:r>
        <w:t>g</w:t>
      </w:r>
      <w:r>
        <w:rPr>
          <w:lang w:val="en-US"/>
        </w:rPr>
        <w:t>.</w:t>
      </w:r>
      <w:r>
        <w:t xml:space="preserve"> shopping website, or e</w:t>
      </w:r>
      <w:r>
        <w:rPr>
          <w:lang w:val="en-US"/>
        </w:rPr>
        <w:t>-</w:t>
      </w:r>
      <w:r>
        <w:t>mail server, etc</w:t>
      </w:r>
      <w:r>
        <w:rPr>
          <w:lang w:val="en-US"/>
        </w:rPr>
        <w:t>.</w:t>
      </w:r>
      <w:r>
        <w:t>, or to a second Internet gateway into the (home) MNO</w:t>
      </w:r>
      <w:r>
        <w:rPr>
          <w:lang w:val="en-US"/>
        </w:rPr>
        <w:t>'</w:t>
      </w:r>
      <w:r>
        <w:t>s RAN, for mobile</w:t>
      </w:r>
      <w:r>
        <w:rPr>
          <w:lang w:val="en-US"/>
        </w:rPr>
        <w:t>-</w:t>
      </w:r>
      <w:r>
        <w:t>to</w:t>
      </w:r>
      <w:r>
        <w:rPr>
          <w:lang w:val="en-US"/>
        </w:rPr>
        <w:t>-</w:t>
      </w:r>
      <w:r>
        <w:t>mobile IP, often a cheaper route.</w:t>
      </w:r>
    </w:p>
  </w:footnote>
  <w:footnote w:id="36">
    <w:p w14:paraId="5A8E3808" w14:textId="29E1EBA4" w:rsidR="008858E8" w:rsidRDefault="008858E8" w:rsidP="00CB2141">
      <w:pPr>
        <w:pStyle w:val="FootnoteText"/>
        <w:tabs>
          <w:tab w:val="left" w:pos="284"/>
        </w:tabs>
        <w:ind w:left="284" w:hanging="284"/>
        <w:rPr>
          <w:color w:val="3366FF"/>
          <w:u w:val="single"/>
        </w:rPr>
      </w:pPr>
      <w:r w:rsidRPr="00CB2141">
        <w:rPr>
          <w:rStyle w:val="FootnoteCharacters"/>
        </w:rPr>
        <w:footnoteRef/>
      </w:r>
      <w:r>
        <w:tab/>
        <w:t>Deutsche Telekom offers wholesale LTE Diameter signaling service for roaming, 18 N</w:t>
      </w:r>
      <w:r>
        <w:rPr>
          <w:lang w:val="en-US"/>
        </w:rPr>
        <w:t xml:space="preserve">ov. </w:t>
      </w:r>
      <w:r>
        <w:t>2013, Cellular-News; at</w:t>
      </w:r>
      <w:r w:rsidRPr="00AA4CA8">
        <w:t xml:space="preserve"> </w:t>
      </w:r>
      <w:hyperlink r:id="rId5" w:history="1">
        <w:r w:rsidRPr="00EE6415">
          <w:rPr>
            <w:rStyle w:val="Hyperlink"/>
          </w:rPr>
          <w:t>http://www.cellular-news.com/story/63036.php</w:t>
        </w:r>
      </w:hyperlink>
    </w:p>
  </w:footnote>
  <w:footnote w:id="37">
    <w:p w14:paraId="1D086473" w14:textId="77777777" w:rsidR="008858E8" w:rsidRDefault="008858E8" w:rsidP="00CB2141">
      <w:pPr>
        <w:pStyle w:val="FootnoteText"/>
        <w:tabs>
          <w:tab w:val="left" w:pos="284"/>
        </w:tabs>
        <w:ind w:left="284" w:hanging="284"/>
      </w:pPr>
      <w:r w:rsidRPr="00CB2141">
        <w:rPr>
          <w:rStyle w:val="FootnoteCharacters"/>
        </w:rPr>
        <w:footnoteRef/>
      </w:r>
      <w:r>
        <w:t xml:space="preserve"> </w:t>
      </w:r>
      <w:r>
        <w:tab/>
        <w:t>Download may possibly be lower cost per byte and delivered at a higher data rate, while upload is slower and may be more expensive per byte, if differentiation is made that way.</w:t>
      </w:r>
    </w:p>
  </w:footnote>
  <w:footnote w:id="38">
    <w:p w14:paraId="00340248" w14:textId="02CAFD6C" w:rsidR="008858E8" w:rsidRDefault="008858E8" w:rsidP="00AA6EEC">
      <w:pPr>
        <w:pStyle w:val="FootnoteText"/>
        <w:tabs>
          <w:tab w:val="left" w:pos="284"/>
        </w:tabs>
        <w:ind w:left="284" w:hanging="284"/>
        <w:rPr>
          <w:color w:val="3366FF"/>
          <w:u w:val="single"/>
        </w:rPr>
      </w:pPr>
      <w:r w:rsidRPr="00CB2141">
        <w:rPr>
          <w:rStyle w:val="FootnoteCharacters"/>
        </w:rPr>
        <w:footnoteRef/>
      </w:r>
      <w:r>
        <w:t xml:space="preserve"> </w:t>
      </w:r>
      <w:r>
        <w:tab/>
      </w:r>
      <w:r>
        <w:rPr>
          <w:i/>
          <w:iCs/>
        </w:rPr>
        <w:t>Mobile workers report average monthly data roaming bill shock of US$1089</w:t>
      </w:r>
      <w:r>
        <w:t>, Cellular-news, 22 Aug</w:t>
      </w:r>
      <w:r>
        <w:rPr>
          <w:lang w:val="en-US"/>
        </w:rPr>
        <w:t>.</w:t>
      </w:r>
      <w:r>
        <w:t xml:space="preserve"> 2012</w:t>
      </w:r>
      <w:r>
        <w:rPr>
          <w:lang w:val="en-US"/>
        </w:rPr>
        <w:t>,</w:t>
      </w:r>
      <w:r>
        <w:t xml:space="preserve"> for mobile workers, monthly bill, 1.4 times per year on average, at: </w:t>
      </w:r>
      <w:hyperlink r:id="rId6" w:history="1">
        <w:r w:rsidRPr="00EE6415">
          <w:rPr>
            <w:rStyle w:val="Hyperlink"/>
          </w:rPr>
          <w:t>http://www.cellular-news.com/story/55980.php</w:t>
        </w:r>
      </w:hyperlink>
    </w:p>
  </w:footnote>
  <w:footnote w:id="39">
    <w:p w14:paraId="66482A84" w14:textId="77777777" w:rsidR="008858E8" w:rsidRPr="00D17785" w:rsidRDefault="008858E8" w:rsidP="00CB2141">
      <w:pPr>
        <w:pStyle w:val="FootnoteText"/>
        <w:tabs>
          <w:tab w:val="left" w:pos="284"/>
        </w:tabs>
        <w:ind w:left="284" w:hanging="284"/>
      </w:pPr>
      <w:r>
        <w:rPr>
          <w:rStyle w:val="FootnoteReference"/>
        </w:rPr>
        <w:footnoteRef/>
      </w:r>
      <w:r>
        <w:t xml:space="preserve"> </w:t>
      </w:r>
      <w:r>
        <w:tab/>
      </w:r>
      <w:r w:rsidRPr="00D17785">
        <w:t>Th</w:t>
      </w:r>
      <w:r>
        <w:t>e</w:t>
      </w:r>
      <w:r w:rsidRPr="00D17785">
        <w:t xml:space="preserve"> file transfer may be performed via a data clearing house, which provides a hub service for the distribution of TAP files between MNOs, with auditable records and accounting history for roaming subscribers.</w:t>
      </w:r>
    </w:p>
  </w:footnote>
  <w:footnote w:id="40">
    <w:p w14:paraId="79940A27" w14:textId="7AA5C918" w:rsidR="008858E8" w:rsidRPr="00AB31EE" w:rsidRDefault="008858E8" w:rsidP="00205FAB">
      <w:pPr>
        <w:pStyle w:val="FootnoteText"/>
        <w:tabs>
          <w:tab w:val="left" w:pos="284"/>
        </w:tabs>
        <w:ind w:left="284" w:hanging="284"/>
        <w:rPr>
          <w:lang w:val="en-US"/>
        </w:rPr>
      </w:pPr>
      <w:r>
        <w:rPr>
          <w:rStyle w:val="FootnoteReference"/>
        </w:rPr>
        <w:footnoteRef/>
      </w:r>
      <w:r>
        <w:t xml:space="preserve"> </w:t>
      </w:r>
      <w:r>
        <w:tab/>
      </w:r>
      <w:r w:rsidRPr="006474A9">
        <w:t>BEREC Report on Transparency and Comparability of International Roaming T</w:t>
      </w:r>
      <w:r>
        <w:t>ariffs, December 2013, BoR (13) </w:t>
      </w:r>
      <w:r w:rsidRPr="006474A9">
        <w:t>185</w:t>
      </w:r>
      <w:r>
        <w:rPr>
          <w:lang w:val="en-US"/>
        </w:rPr>
        <w:t>.</w:t>
      </w:r>
    </w:p>
  </w:footnote>
  <w:footnote w:id="41">
    <w:p w14:paraId="3F568097" w14:textId="77777777" w:rsidR="008858E8" w:rsidRDefault="008858E8" w:rsidP="00700AB3">
      <w:pPr>
        <w:pStyle w:val="FootnoteText"/>
        <w:tabs>
          <w:tab w:val="left" w:pos="284"/>
        </w:tabs>
        <w:ind w:left="284" w:hanging="284"/>
        <w:rPr>
          <w:shd w:val="clear" w:color="auto" w:fill="FFFF00"/>
        </w:rPr>
      </w:pPr>
      <w:r w:rsidRPr="00700AB3">
        <w:rPr>
          <w:rStyle w:val="FootnoteCharacters"/>
        </w:rPr>
        <w:footnoteRef/>
      </w:r>
      <w:r>
        <w:t xml:space="preserve"> </w:t>
      </w:r>
      <w:r>
        <w:tab/>
        <w:t>For instance AT&amp;T and T-Mobile are pursuing this in their developed country markets but this is spreading to developing markets via flat rate roaming plans, e</w:t>
      </w:r>
      <w:r>
        <w:rPr>
          <w:lang w:val="en-US"/>
        </w:rPr>
        <w:t>.</w:t>
      </w:r>
      <w:r>
        <w:t>g</w:t>
      </w:r>
      <w:r>
        <w:rPr>
          <w:lang w:val="en-US"/>
        </w:rPr>
        <w:t>.</w:t>
      </w:r>
      <w:r>
        <w:t xml:space="preserve"> see Taylor, P. </w:t>
      </w:r>
      <w:r>
        <w:rPr>
          <w:lang w:val="en-US"/>
        </w:rPr>
        <w:t xml:space="preserve">(2013), </w:t>
      </w:r>
      <w:r w:rsidRPr="00963226">
        <w:rPr>
          <w:i/>
          <w:iCs/>
        </w:rPr>
        <w:t>T-Mobile shakes up US market</w:t>
      </w:r>
      <w:r>
        <w:t>, Financial Times, 18 December</w:t>
      </w:r>
      <w:r>
        <w:rPr>
          <w:lang w:val="en-US"/>
        </w:rPr>
        <w:t>.</w:t>
      </w:r>
    </w:p>
  </w:footnote>
  <w:footnote w:id="42">
    <w:p w14:paraId="748FF599" w14:textId="77777777" w:rsidR="008858E8" w:rsidRDefault="008858E8" w:rsidP="00700AB3">
      <w:pPr>
        <w:pStyle w:val="FootnoteText"/>
        <w:tabs>
          <w:tab w:val="left" w:pos="284"/>
        </w:tabs>
        <w:ind w:left="284" w:hanging="284"/>
      </w:pPr>
      <w:r w:rsidRPr="00700AB3">
        <w:rPr>
          <w:rStyle w:val="FootnoteCharacters"/>
        </w:rPr>
        <w:footnoteRef/>
      </w:r>
      <w:r w:rsidRPr="00700AB3">
        <w:rPr>
          <w:rFonts w:asciiTheme="minorHAnsi" w:hAnsiTheme="minorHAnsi"/>
        </w:rPr>
        <w:t xml:space="preserve"> </w:t>
      </w:r>
      <w:r>
        <w:tab/>
        <w:t>Forge, S.</w:t>
      </w:r>
      <w:r>
        <w:rPr>
          <w:lang w:val="en-US"/>
        </w:rPr>
        <w:t xml:space="preserve"> (2013)</w:t>
      </w:r>
      <w:r>
        <w:t xml:space="preserve">, </w:t>
      </w:r>
      <w:r>
        <w:rPr>
          <w:i/>
          <w:iCs/>
        </w:rPr>
        <w:t>Approaching roaming charges pragmatically</w:t>
      </w:r>
      <w:r>
        <w:t>, Presentation, ITU Geneva, 23</w:t>
      </w:r>
      <w:r>
        <w:rPr>
          <w:lang w:val="en-US"/>
        </w:rPr>
        <w:t xml:space="preserve"> </w:t>
      </w:r>
      <w:r>
        <w:t>Sept</w:t>
      </w:r>
      <w:r>
        <w:rPr>
          <w:lang w:val="en-US"/>
        </w:rPr>
        <w:t>.</w:t>
      </w:r>
    </w:p>
  </w:footnote>
  <w:footnote w:id="43">
    <w:p w14:paraId="51CDD921" w14:textId="10995ED5" w:rsidR="008858E8" w:rsidRPr="001725F6" w:rsidRDefault="008858E8" w:rsidP="00700AB3">
      <w:pPr>
        <w:pStyle w:val="FootnoteText"/>
        <w:tabs>
          <w:tab w:val="left" w:pos="284"/>
        </w:tabs>
        <w:ind w:left="284" w:hanging="284"/>
        <w:rPr>
          <w:i/>
          <w:iCs/>
        </w:rPr>
      </w:pPr>
      <w:r w:rsidRPr="00700AB3">
        <w:rPr>
          <w:rStyle w:val="FootnoteCharacters"/>
        </w:rPr>
        <w:footnoteRef/>
      </w:r>
      <w:r w:rsidRPr="00700AB3">
        <w:rPr>
          <w:rFonts w:asciiTheme="minorHAnsi" w:eastAsia="MS Mincho" w:hAnsiTheme="minorHAnsi"/>
        </w:rPr>
        <w:t xml:space="preserve"> </w:t>
      </w:r>
      <w:r w:rsidRPr="00700AB3">
        <w:rPr>
          <w:rFonts w:asciiTheme="minorHAnsi" w:eastAsia="MS Mincho" w:hAnsiTheme="minorHAnsi"/>
        </w:rPr>
        <w:tab/>
        <w:t xml:space="preserve">See ITU (2012). ITU-T D-Series Recommendations, General Tariff principles – Charging and Accounting in the Mobile Services, Recommendation ITU-T D.98 (2012), available at </w:t>
      </w:r>
      <w:hyperlink r:id="rId7" w:history="1">
        <w:r w:rsidRPr="00071C1C">
          <w:rPr>
            <w:rStyle w:val="Hyperlink"/>
            <w:rFonts w:asciiTheme="minorHAnsi" w:eastAsia="MS Mincho" w:hAnsiTheme="minorHAnsi"/>
          </w:rPr>
          <w:t>https://www.itu.int/rec/T-REC-D.98</w:t>
        </w:r>
      </w:hyperlink>
      <w:r>
        <w:rPr>
          <w:rFonts w:asciiTheme="minorHAnsi" w:eastAsia="MS Mincho" w:hAnsiTheme="minorHAnsi"/>
        </w:rPr>
        <w:t xml:space="preserve">  </w:t>
      </w:r>
    </w:p>
  </w:footnote>
  <w:footnote w:id="44">
    <w:p w14:paraId="610FAC37" w14:textId="77777777" w:rsidR="008858E8" w:rsidRDefault="008858E8" w:rsidP="00E45B25">
      <w:pPr>
        <w:pStyle w:val="FootnoteText"/>
        <w:tabs>
          <w:tab w:val="left" w:pos="284"/>
        </w:tabs>
        <w:ind w:left="284" w:hanging="284"/>
      </w:pPr>
      <w:r w:rsidRPr="00E45B25">
        <w:rPr>
          <w:rStyle w:val="FootnoteCharacters"/>
        </w:rPr>
        <w:footnoteRef/>
      </w:r>
      <w:r w:rsidRPr="00E45B25">
        <w:rPr>
          <w:rFonts w:asciiTheme="minorHAnsi" w:hAnsiTheme="minorHAnsi"/>
        </w:rPr>
        <w:t xml:space="preserve"> </w:t>
      </w:r>
      <w:r>
        <w:tab/>
        <w:t>OM (2006) 382 Final, 12 July 2006, SEC (2006) 925, Impact Assessment of policy options relating to a Commission proposal for a regulation of the European Parliament and of the Council on roaming on public mobile networks with the Community.</w:t>
      </w:r>
    </w:p>
  </w:footnote>
  <w:footnote w:id="45">
    <w:p w14:paraId="314EA308" w14:textId="77777777" w:rsidR="008858E8" w:rsidRDefault="008858E8" w:rsidP="00E45B25">
      <w:pPr>
        <w:pStyle w:val="FootnoteText"/>
        <w:tabs>
          <w:tab w:val="left" w:pos="284"/>
        </w:tabs>
        <w:ind w:left="284" w:hanging="284"/>
      </w:pPr>
      <w:r w:rsidRPr="00E45B25">
        <w:rPr>
          <w:rStyle w:val="FootnoteCharacters"/>
        </w:rPr>
        <w:footnoteRef/>
      </w:r>
      <w:r>
        <w:t xml:space="preserve"> </w:t>
      </w:r>
      <w:r>
        <w:tab/>
      </w:r>
      <w:r w:rsidRPr="00AB31EE">
        <w:rPr>
          <w:i/>
          <w:iCs/>
        </w:rPr>
        <w:t>Ibid</w:t>
      </w:r>
      <w:r>
        <w:rPr>
          <w:lang w:val="en-US"/>
        </w:rPr>
        <w:t>.</w:t>
      </w:r>
      <w:r>
        <w:t>, COM</w:t>
      </w:r>
      <w:r>
        <w:rPr>
          <w:lang w:val="en-US"/>
        </w:rPr>
        <w:t xml:space="preserve"> </w:t>
      </w:r>
      <w:r>
        <w:t>(2006) 382 Final, 12 July 2006, SEC</w:t>
      </w:r>
      <w:r>
        <w:rPr>
          <w:lang w:val="en-US"/>
        </w:rPr>
        <w:t xml:space="preserve"> </w:t>
      </w:r>
      <w:r>
        <w:t>(2006) 925.</w:t>
      </w:r>
    </w:p>
  </w:footnote>
  <w:footnote w:id="46">
    <w:p w14:paraId="30D136B6" w14:textId="77777777" w:rsidR="008858E8" w:rsidRDefault="008858E8" w:rsidP="00E45B25">
      <w:pPr>
        <w:pStyle w:val="FootnoteText"/>
        <w:tabs>
          <w:tab w:val="left" w:pos="284"/>
        </w:tabs>
        <w:ind w:left="284" w:hanging="284"/>
      </w:pPr>
      <w:r w:rsidRPr="00E45B25">
        <w:rPr>
          <w:rStyle w:val="FootnoteCharacters"/>
        </w:rPr>
        <w:footnoteRef/>
      </w:r>
      <w:r>
        <w:t xml:space="preserve"> </w:t>
      </w:r>
      <w:r>
        <w:tab/>
        <w:t xml:space="preserve">European Parliament - DG Internal Policies of The Union, Policy Department Economic and Scientific Policy, </w:t>
      </w:r>
      <w:r>
        <w:rPr>
          <w:i/>
          <w:iCs/>
        </w:rPr>
        <w:t>Technical Issues On Roaming Transparency, Technical Aspects and Data, Overview related to the Proposed Regulation on Roaming, Briefing Not</w:t>
      </w:r>
      <w:r>
        <w:t xml:space="preserve">e (IP/A/ITRE/FWC/2006-087/Lot2/SC1), IP/A/ITRE/NT/2006-17 PE 382.177, requested by the European Parliament's </w:t>
      </w:r>
      <w:r>
        <w:rPr>
          <w:lang w:val="en-US"/>
        </w:rPr>
        <w:t>C</w:t>
      </w:r>
      <w:r>
        <w:t>ommittee on Industry, Research and Energy (ITRE), January 2007.</w:t>
      </w:r>
    </w:p>
  </w:footnote>
  <w:footnote w:id="47">
    <w:p w14:paraId="652C9E8F" w14:textId="45A32502" w:rsidR="008858E8" w:rsidRPr="001D3CC6" w:rsidRDefault="008858E8" w:rsidP="001D3CC6">
      <w:pPr>
        <w:pStyle w:val="FootnoteText"/>
        <w:tabs>
          <w:tab w:val="left" w:pos="284"/>
        </w:tabs>
        <w:ind w:left="284" w:hanging="284"/>
      </w:pPr>
      <w:r w:rsidRPr="00E45B25">
        <w:rPr>
          <w:rStyle w:val="FootnoteCharacters"/>
        </w:rPr>
        <w:footnoteRef/>
      </w:r>
      <w:r>
        <w:tab/>
      </w:r>
      <w:r w:rsidRPr="00E45B25">
        <w:rPr>
          <w:i/>
          <w:iCs/>
        </w:rPr>
        <w:t>Digital Agenda: Commission proposes more competition, more choice, lower prices for mobile phone users abroad</w:t>
      </w:r>
      <w:r>
        <w:t xml:space="preserve">, </w:t>
      </w:r>
      <w:r w:rsidRPr="001D3CC6">
        <w:t>EC Press Release, Brussels 06JULY 2011</w:t>
      </w:r>
      <w:r>
        <w:t>.</w:t>
      </w:r>
    </w:p>
  </w:footnote>
  <w:footnote w:id="48">
    <w:p w14:paraId="7BCBC7DC" w14:textId="77777777" w:rsidR="008858E8" w:rsidRPr="00AB31EE" w:rsidRDefault="008858E8" w:rsidP="00E45B25">
      <w:pPr>
        <w:pStyle w:val="FootnoteText"/>
        <w:tabs>
          <w:tab w:val="left" w:pos="284"/>
        </w:tabs>
        <w:ind w:left="284" w:hanging="284"/>
        <w:rPr>
          <w:lang w:val="en-US"/>
        </w:rPr>
      </w:pPr>
      <w:r w:rsidRPr="00E45B25">
        <w:rPr>
          <w:rStyle w:val="FootnoteCharacters"/>
        </w:rPr>
        <w:footnoteRef/>
      </w:r>
      <w:r w:rsidRPr="00E45B25">
        <w:rPr>
          <w:rFonts w:asciiTheme="minorHAnsi" w:hAnsiTheme="minorHAnsi"/>
        </w:rPr>
        <w:t xml:space="preserve"> </w:t>
      </w:r>
      <w:r>
        <w:tab/>
        <w:t xml:space="preserve">European Commission, Peter Stuckmann, DG Information Society and Media, 2012, </w:t>
      </w:r>
      <w:r>
        <w:rPr>
          <w:i/>
          <w:iCs/>
        </w:rPr>
        <w:t>EU Roaming Regulation - towards structural solutions</w:t>
      </w:r>
      <w:r>
        <w:t>, presentation, Geneva, March 2012</w:t>
      </w:r>
      <w:r>
        <w:rPr>
          <w:lang w:val="en-US"/>
        </w:rPr>
        <w:t>.</w:t>
      </w:r>
    </w:p>
  </w:footnote>
  <w:footnote w:id="49">
    <w:p w14:paraId="53BF430C" w14:textId="77777777" w:rsidR="008858E8" w:rsidRPr="00AB31EE" w:rsidRDefault="008858E8" w:rsidP="00E45B25">
      <w:pPr>
        <w:pStyle w:val="FootnoteText"/>
        <w:tabs>
          <w:tab w:val="left" w:pos="284"/>
        </w:tabs>
        <w:ind w:left="284" w:hanging="284"/>
        <w:rPr>
          <w:lang w:val="en-US"/>
        </w:rPr>
      </w:pPr>
      <w:r w:rsidRPr="00E45B25">
        <w:rPr>
          <w:rStyle w:val="FootnoteCharacters"/>
        </w:rPr>
        <w:footnoteRef/>
      </w:r>
      <w:r w:rsidRPr="00E45B25">
        <w:rPr>
          <w:rFonts w:asciiTheme="minorHAnsi" w:hAnsiTheme="minorHAnsi"/>
        </w:rPr>
        <w:t xml:space="preserve"> </w:t>
      </w:r>
      <w:r>
        <w:tab/>
      </w:r>
      <w:r w:rsidRPr="00AB31EE">
        <w:rPr>
          <w:i/>
          <w:iCs/>
        </w:rPr>
        <w:t>Ibid</w:t>
      </w:r>
      <w:r>
        <w:rPr>
          <w:lang w:val="en-US"/>
        </w:rPr>
        <w:t>.</w:t>
      </w:r>
      <w:r>
        <w:t xml:space="preserve">, EU Roaming Regulation </w:t>
      </w:r>
      <w:r>
        <w:rPr>
          <w:lang w:val="en-US"/>
        </w:rPr>
        <w:t>–</w:t>
      </w:r>
      <w:r>
        <w:t xml:space="preserve"> towards structural solutions, Geneva, March 2012</w:t>
      </w:r>
      <w:r>
        <w:rPr>
          <w:lang w:val="en-US"/>
        </w:rPr>
        <w:t>.</w:t>
      </w:r>
    </w:p>
  </w:footnote>
  <w:footnote w:id="50">
    <w:p w14:paraId="6B7C1493" w14:textId="0E59BC16" w:rsidR="008858E8" w:rsidRDefault="008858E8" w:rsidP="001D3CC6">
      <w:pPr>
        <w:pStyle w:val="FootnoteText"/>
        <w:tabs>
          <w:tab w:val="left" w:pos="284"/>
        </w:tabs>
        <w:ind w:left="284" w:hanging="284"/>
        <w:jc w:val="left"/>
        <w:rPr>
          <w:color w:val="3366FF"/>
          <w:u w:val="single"/>
        </w:rPr>
      </w:pPr>
      <w:r w:rsidRPr="00E45B25">
        <w:rPr>
          <w:rStyle w:val="FootnoteCharacters"/>
        </w:rPr>
        <w:footnoteRef/>
      </w:r>
      <w:r>
        <w:t xml:space="preserve"> </w:t>
      </w:r>
      <w:r>
        <w:tab/>
        <w:t xml:space="preserve">BEREC </w:t>
      </w:r>
      <w:r w:rsidRPr="00680E5E">
        <w:t>BEREC Analysis of the European Commission’s Proposal for a regulation on Roaming COM(2011) 402 as of 06July 2011, BEREC report, AUGUST 2011, Riga</w:t>
      </w:r>
      <w:r>
        <w:t xml:space="preserve">, available from: </w:t>
      </w:r>
      <w:hyperlink r:id="rId8" w:history="1">
        <w:r w:rsidRPr="00680E5E">
          <w:rPr>
            <w:rStyle w:val="Hyperlink"/>
          </w:rPr>
          <w:t>http://berec.europa.eu/doc/berec/bor_11_46.pdf</w:t>
        </w:r>
      </w:hyperlink>
    </w:p>
  </w:footnote>
  <w:footnote w:id="51">
    <w:p w14:paraId="122E36DA" w14:textId="77777777" w:rsidR="008858E8" w:rsidRPr="00AB31EE" w:rsidRDefault="008858E8" w:rsidP="00E45B25">
      <w:pPr>
        <w:pStyle w:val="FootnoteText"/>
        <w:tabs>
          <w:tab w:val="left" w:pos="284"/>
        </w:tabs>
        <w:ind w:left="284" w:hanging="284"/>
        <w:rPr>
          <w:lang w:val="en-US"/>
        </w:rPr>
      </w:pPr>
      <w:r w:rsidRPr="00E45B25">
        <w:rPr>
          <w:rStyle w:val="FootnoteCharacters"/>
        </w:rPr>
        <w:footnoteRef/>
      </w:r>
      <w:r>
        <w:t xml:space="preserve"> </w:t>
      </w:r>
      <w:r>
        <w:tab/>
        <w:t>Regulation (EU) No 531/2012</w:t>
      </w:r>
      <w:r>
        <w:rPr>
          <w:lang w:val="en-US"/>
        </w:rPr>
        <w:t>.</w:t>
      </w:r>
    </w:p>
  </w:footnote>
  <w:footnote w:id="52">
    <w:p w14:paraId="11FB0EF5" w14:textId="77777777" w:rsidR="008858E8" w:rsidRPr="00AB31EE" w:rsidRDefault="008858E8" w:rsidP="00E45B25">
      <w:pPr>
        <w:pStyle w:val="FootnoteText"/>
        <w:tabs>
          <w:tab w:val="left" w:pos="284"/>
        </w:tabs>
        <w:ind w:left="284" w:hanging="284"/>
        <w:rPr>
          <w:lang w:val="en-US"/>
        </w:rPr>
      </w:pPr>
      <w:r w:rsidRPr="00E45B25">
        <w:rPr>
          <w:rStyle w:val="FootnoteCharacters"/>
        </w:rPr>
        <w:footnoteRef/>
      </w:r>
      <w:r w:rsidRPr="00E45B25">
        <w:rPr>
          <w:rFonts w:asciiTheme="minorHAnsi" w:hAnsiTheme="minorHAnsi"/>
        </w:rPr>
        <w:t xml:space="preserve"> </w:t>
      </w:r>
      <w:r>
        <w:tab/>
        <w:t>BEREC Guidelines on the separate sale of regulated retail roaming services and the implementation of separate sale of regulated retail roaming services under article 4 &amp; 5 of the Roaming Regulation – a consultation</w:t>
      </w:r>
      <w:r>
        <w:rPr>
          <w:lang w:val="en-US"/>
        </w:rPr>
        <w:t>,</w:t>
      </w:r>
      <w:r>
        <w:t xml:space="preserve"> May 2013</w:t>
      </w:r>
      <w:r>
        <w:rPr>
          <w:lang w:val="en-US"/>
        </w:rPr>
        <w:t>.</w:t>
      </w:r>
    </w:p>
  </w:footnote>
  <w:footnote w:id="53">
    <w:p w14:paraId="67798499" w14:textId="77777777" w:rsidR="008858E8" w:rsidRPr="00AB31EE" w:rsidRDefault="008858E8" w:rsidP="00E45B25">
      <w:pPr>
        <w:pStyle w:val="FootnoteText"/>
        <w:tabs>
          <w:tab w:val="left" w:pos="284"/>
        </w:tabs>
        <w:ind w:left="284" w:hanging="284"/>
        <w:rPr>
          <w:lang w:val="en-US"/>
        </w:rPr>
      </w:pPr>
      <w:r w:rsidRPr="00E45B25">
        <w:rPr>
          <w:rStyle w:val="FootnoteCharacters"/>
        </w:rPr>
        <w:footnoteRef/>
      </w:r>
      <w:r w:rsidRPr="00E45B25">
        <w:rPr>
          <w:rFonts w:asciiTheme="minorHAnsi" w:hAnsiTheme="minorHAnsi"/>
        </w:rPr>
        <w:t xml:space="preserve"> </w:t>
      </w:r>
      <w:r>
        <w:tab/>
        <w:t>European Commission, Digital Agenda for Europe</w:t>
      </w:r>
      <w:r>
        <w:rPr>
          <w:lang w:val="en-US"/>
        </w:rPr>
        <w:t>,</w:t>
      </w:r>
      <w:r>
        <w:t xml:space="preserve"> website</w:t>
      </w:r>
      <w:r>
        <w:rPr>
          <w:lang w:val="en-US"/>
        </w:rPr>
        <w:t>,</w:t>
      </w:r>
      <w:r>
        <w:t xml:space="preserve"> 12 September 2013</w:t>
      </w:r>
      <w:r>
        <w:rPr>
          <w:lang w:val="en-US"/>
        </w:rPr>
        <w:t>.</w:t>
      </w:r>
    </w:p>
  </w:footnote>
  <w:footnote w:id="54">
    <w:p w14:paraId="3BE0D93E" w14:textId="297A53C6" w:rsidR="008858E8" w:rsidRDefault="008858E8" w:rsidP="00E45B25">
      <w:pPr>
        <w:pStyle w:val="FootnoteText"/>
        <w:tabs>
          <w:tab w:val="left" w:pos="284"/>
        </w:tabs>
        <w:ind w:left="284" w:hanging="284"/>
        <w:rPr>
          <w:color w:val="3366FF"/>
          <w:u w:val="single"/>
          <w:lang w:val="en-US"/>
        </w:rPr>
      </w:pPr>
      <w:r w:rsidRPr="00E45B25">
        <w:rPr>
          <w:rStyle w:val="FootnoteCharacters"/>
        </w:rPr>
        <w:footnoteRef/>
      </w:r>
      <w:r>
        <w:t xml:space="preserve"> </w:t>
      </w:r>
      <w:r>
        <w:tab/>
      </w:r>
      <w:hyperlink r:id="rId9" w:anchor="roaming" w:history="1">
        <w:r w:rsidRPr="00680E5E">
          <w:rPr>
            <w:rStyle w:val="Hyperlink"/>
            <w:lang w:val="en-US"/>
          </w:rPr>
          <w:t>http://ec.europa.eu/digital-agenda/en/node/67489/#roaming</w:t>
        </w:r>
      </w:hyperlink>
    </w:p>
  </w:footnote>
  <w:footnote w:id="55">
    <w:p w14:paraId="3BFAFC6F" w14:textId="77777777" w:rsidR="008858E8" w:rsidRDefault="008858E8" w:rsidP="00E45B25">
      <w:pPr>
        <w:pStyle w:val="FootnoteText"/>
        <w:tabs>
          <w:tab w:val="left" w:pos="284"/>
        </w:tabs>
        <w:rPr>
          <w:lang w:val="en-US"/>
        </w:rPr>
      </w:pPr>
      <w:r w:rsidRPr="00E45B25">
        <w:rPr>
          <w:rStyle w:val="FootnoteCharacters"/>
        </w:rPr>
        <w:footnoteRef/>
      </w:r>
      <w:r>
        <w:tab/>
      </w:r>
      <w:hyperlink r:id="rId10" w:anchor="roaming" w:history="1">
        <w:r w:rsidRPr="00986CA1">
          <w:rPr>
            <w:rStyle w:val="Hyperlink"/>
            <w:lang w:val="en-US"/>
          </w:rPr>
          <w:t>http://ec.europa.eu/digital-agenda/en/node/67489/#roaming</w:t>
        </w:r>
      </w:hyperlink>
      <w:r>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6F6CF" w14:textId="77777777" w:rsidR="008858E8" w:rsidRPr="00B578F1" w:rsidRDefault="008858E8" w:rsidP="007D2BAB">
    <w:pPr>
      <w:pStyle w:val="Header"/>
      <w:pBdr>
        <w:bottom w:val="single" w:sz="12" w:space="1" w:color="93BBE0"/>
      </w:pBdr>
      <w:jc w:val="center"/>
      <w:rPr>
        <w:i/>
        <w:iCs/>
        <w:lang w:val="en-US"/>
      </w:rPr>
    </w:pPr>
    <w:r w:rsidRPr="001A02AA">
      <w:rPr>
        <w:i/>
        <w:iCs/>
      </w:rPr>
      <w:t>Guide for NRAs on International Mobile Roaming Cost analysis – Technical Paper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79535" w14:textId="77777777" w:rsidR="008858E8" w:rsidRPr="00AC4228" w:rsidRDefault="008858E8" w:rsidP="007D2BAB">
    <w:pPr>
      <w:pStyle w:val="Header"/>
      <w:pBdr>
        <w:bottom w:val="single" w:sz="12" w:space="1" w:color="93BBE0"/>
      </w:pBdr>
      <w:jc w:val="center"/>
      <w:rPr>
        <w:i/>
        <w:iCs/>
        <w:lang w:val="en-US"/>
      </w:rPr>
    </w:pPr>
    <w:r w:rsidRPr="001A02AA">
      <w:rPr>
        <w:i/>
        <w:iCs/>
      </w:rPr>
      <w:t>Guide for NRAs on International Mobile Roaming Cost analysis – Technical Paper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E4B09" w14:textId="77777777" w:rsidR="008858E8" w:rsidRPr="00B578F1" w:rsidRDefault="008858E8" w:rsidP="001E6107">
    <w:pPr>
      <w:pStyle w:val="Header"/>
      <w:pBdr>
        <w:bottom w:val="single" w:sz="12" w:space="1" w:color="93BBE0"/>
      </w:pBdr>
      <w:jc w:val="center"/>
      <w:rPr>
        <w:i/>
        <w:iCs/>
        <w:lang w:val="en-US"/>
      </w:rPr>
    </w:pPr>
    <w:r w:rsidRPr="001A02AA">
      <w:rPr>
        <w:i/>
        <w:iCs/>
      </w:rPr>
      <w:t>Guide for NRAs on International Mobile Roaming Cost analysis – Technical Paper</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C4986" w14:textId="77777777" w:rsidR="008858E8" w:rsidRPr="00AC4228" w:rsidRDefault="008858E8" w:rsidP="001E6107">
    <w:pPr>
      <w:pStyle w:val="Header"/>
      <w:pBdr>
        <w:bottom w:val="single" w:sz="12" w:space="1" w:color="93BBE0"/>
      </w:pBdr>
      <w:jc w:val="center"/>
      <w:rPr>
        <w:i/>
        <w:iCs/>
        <w:lang w:val="en-US"/>
      </w:rPr>
    </w:pPr>
    <w:r w:rsidRPr="001A02AA">
      <w:rPr>
        <w:i/>
        <w:iCs/>
      </w:rPr>
      <w:t>Guide for NRAs on International Mobile Roaming Cost analysis – Technical Paper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AA029" w14:textId="77777777" w:rsidR="008858E8" w:rsidRDefault="008858E8" w:rsidP="005A12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B1274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65631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F92D6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83E26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E018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F3094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588D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E9204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5E22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500C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440"/>
        </w:tabs>
        <w:ind w:left="1440" w:hanging="360"/>
      </w:pPr>
      <w:rPr>
        <w:rFonts w:ascii="Symbol" w:hAnsi="Symbol"/>
        <w:color w:val="800000"/>
        <w:sz w:val="24"/>
      </w:rPr>
    </w:lvl>
    <w:lvl w:ilvl="2">
      <w:numFmt w:val="bullet"/>
      <w:lvlText w:val="–"/>
      <w:lvlJc w:val="left"/>
      <w:pPr>
        <w:tabs>
          <w:tab w:val="num" w:pos="2160"/>
        </w:tabs>
        <w:ind w:left="2160" w:hanging="360"/>
      </w:pPr>
      <w:rPr>
        <w:rFonts w:ascii="Verdana" w:hAnsi="Verdana"/>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color w:val="0000FF"/>
        <w:sz w:val="20"/>
      </w:rPr>
    </w:lvl>
  </w:abstractNum>
  <w:abstractNum w:abstractNumId="12"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color w:val="0000FF"/>
        <w:sz w:val="24"/>
      </w:rPr>
    </w:lvl>
  </w:abstractNum>
  <w:abstractNum w:abstractNumId="13" w15:restartNumberingAfterBreak="0">
    <w:nsid w:val="00000006"/>
    <w:multiLevelType w:val="singleLevel"/>
    <w:tmpl w:val="00000006"/>
    <w:name w:val="WW8Num6"/>
    <w:lvl w:ilvl="0">
      <w:start w:val="1"/>
      <w:numFmt w:val="bullet"/>
      <w:lvlText w:val=""/>
      <w:lvlJc w:val="left"/>
      <w:pPr>
        <w:tabs>
          <w:tab w:val="num" w:pos="300"/>
        </w:tabs>
        <w:ind w:left="300" w:hanging="360"/>
      </w:pPr>
      <w:rPr>
        <w:rFonts w:ascii="Wingdings" w:hAnsi="Wingdings"/>
        <w:color w:val="0000FF"/>
        <w:sz w:val="24"/>
      </w:rPr>
    </w:lvl>
  </w:abstractNum>
  <w:abstractNum w:abstractNumId="14"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color w:val="0000FF"/>
        <w:sz w:val="24"/>
      </w:rPr>
    </w:lvl>
  </w:abstractNum>
  <w:abstractNum w:abstractNumId="15" w15:restartNumberingAfterBreak="0">
    <w:nsid w:val="00000008"/>
    <w:multiLevelType w:val="singleLevel"/>
    <w:tmpl w:val="00000008"/>
    <w:name w:val="WW8Num8"/>
    <w:lvl w:ilvl="0">
      <w:start w:val="1"/>
      <w:numFmt w:val="lowerLetter"/>
      <w:lvlText w:val="%1)"/>
      <w:lvlJc w:val="left"/>
      <w:pPr>
        <w:tabs>
          <w:tab w:val="num" w:pos="720"/>
        </w:tabs>
        <w:ind w:left="720" w:hanging="360"/>
      </w:pPr>
    </w:lvl>
  </w:abstractNum>
  <w:abstractNum w:abstractNumId="16"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Wingdings" w:hAnsi="Wingdings"/>
      </w:rPr>
    </w:lvl>
  </w:abstractNum>
  <w:abstractNum w:abstractNumId="17"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Wingdings" w:hAnsi="Wingdings"/>
      </w:rPr>
    </w:lvl>
  </w:abstractNum>
  <w:abstractNum w:abstractNumId="18" w15:restartNumberingAfterBreak="0">
    <w:nsid w:val="0000000B"/>
    <w:multiLevelType w:val="singleLevel"/>
    <w:tmpl w:val="0000000B"/>
    <w:name w:val="WW8Num11"/>
    <w:lvl w:ilvl="0">
      <w:start w:val="1"/>
      <w:numFmt w:val="lowerLetter"/>
      <w:lvlText w:val="%1)"/>
      <w:lvlJc w:val="left"/>
      <w:pPr>
        <w:tabs>
          <w:tab w:val="num" w:pos="720"/>
        </w:tabs>
        <w:ind w:left="720" w:hanging="360"/>
      </w:pPr>
    </w:lvl>
  </w:abstractNum>
  <w:abstractNum w:abstractNumId="19" w15:restartNumberingAfterBreak="0">
    <w:nsid w:val="0000000C"/>
    <w:multiLevelType w:val="singleLevel"/>
    <w:tmpl w:val="0000000C"/>
    <w:name w:val="WW8Num12"/>
    <w:lvl w:ilvl="0">
      <w:start w:val="1"/>
      <w:numFmt w:val="lowerLetter"/>
      <w:lvlText w:val="%1)"/>
      <w:lvlJc w:val="left"/>
      <w:pPr>
        <w:tabs>
          <w:tab w:val="num" w:pos="1440"/>
        </w:tabs>
        <w:ind w:left="1440" w:hanging="360"/>
      </w:pPr>
    </w:lvl>
  </w:abstractNum>
  <w:abstractNum w:abstractNumId="20" w15:restartNumberingAfterBreak="0">
    <w:nsid w:val="0000000D"/>
    <w:multiLevelType w:val="singleLevel"/>
    <w:tmpl w:val="0000000D"/>
    <w:name w:val="WW8Num14"/>
    <w:lvl w:ilvl="0">
      <w:start w:val="1"/>
      <w:numFmt w:val="lowerLetter"/>
      <w:lvlText w:val="%1)"/>
      <w:lvlJc w:val="left"/>
      <w:pPr>
        <w:tabs>
          <w:tab w:val="num" w:pos="360"/>
        </w:tabs>
        <w:ind w:left="360" w:hanging="360"/>
      </w:pPr>
    </w:lvl>
  </w:abstractNum>
  <w:abstractNum w:abstractNumId="21" w15:restartNumberingAfterBreak="0">
    <w:nsid w:val="0000000F"/>
    <w:multiLevelType w:val="singleLevel"/>
    <w:tmpl w:val="0000000F"/>
    <w:name w:val="WW8Num16"/>
    <w:lvl w:ilvl="0">
      <w:start w:val="1"/>
      <w:numFmt w:val="bullet"/>
      <w:lvlText w:val=""/>
      <w:lvlJc w:val="left"/>
      <w:pPr>
        <w:tabs>
          <w:tab w:val="num" w:pos="360"/>
        </w:tabs>
        <w:ind w:left="360" w:hanging="360"/>
      </w:pPr>
      <w:rPr>
        <w:rFonts w:ascii="Wingdings" w:hAnsi="Wingdings"/>
      </w:rPr>
    </w:lvl>
  </w:abstractNum>
  <w:abstractNum w:abstractNumId="22" w15:restartNumberingAfterBreak="0">
    <w:nsid w:val="00000010"/>
    <w:multiLevelType w:val="singleLevel"/>
    <w:tmpl w:val="00000010"/>
    <w:name w:val="WW8Num17"/>
    <w:lvl w:ilvl="0">
      <w:start w:val="1"/>
      <w:numFmt w:val="bullet"/>
      <w:lvlText w:val=""/>
      <w:lvlJc w:val="left"/>
      <w:pPr>
        <w:tabs>
          <w:tab w:val="num" w:pos="360"/>
        </w:tabs>
        <w:ind w:left="360" w:hanging="360"/>
      </w:pPr>
      <w:rPr>
        <w:rFonts w:ascii="Wingdings" w:hAnsi="Wingdings"/>
      </w:rPr>
    </w:lvl>
  </w:abstractNum>
  <w:abstractNum w:abstractNumId="23" w15:restartNumberingAfterBreak="0">
    <w:nsid w:val="00000011"/>
    <w:multiLevelType w:val="singleLevel"/>
    <w:tmpl w:val="00000011"/>
    <w:name w:val="WW8Num18"/>
    <w:lvl w:ilvl="0">
      <w:start w:val="1"/>
      <w:numFmt w:val="bullet"/>
      <w:lvlText w:val="•"/>
      <w:lvlJc w:val="left"/>
      <w:pPr>
        <w:tabs>
          <w:tab w:val="num" w:pos="720"/>
        </w:tabs>
        <w:ind w:left="720" w:hanging="360"/>
      </w:pPr>
      <w:rPr>
        <w:rFonts w:ascii="Times New Roman" w:hAnsi="Times New Roman"/>
      </w:rPr>
    </w:lvl>
  </w:abstractNum>
  <w:abstractNum w:abstractNumId="24" w15:restartNumberingAfterBreak="0">
    <w:nsid w:val="00000012"/>
    <w:multiLevelType w:val="singleLevel"/>
    <w:tmpl w:val="00000012"/>
    <w:name w:val="WW8Num19"/>
    <w:lvl w:ilvl="0">
      <w:start w:val="1"/>
      <w:numFmt w:val="bullet"/>
      <w:lvlText w:val=""/>
      <w:lvlJc w:val="left"/>
      <w:pPr>
        <w:tabs>
          <w:tab w:val="num" w:pos="360"/>
        </w:tabs>
        <w:ind w:left="360" w:hanging="360"/>
      </w:pPr>
      <w:rPr>
        <w:rFonts w:ascii="Wingdings" w:hAnsi="Wingdings"/>
      </w:rPr>
    </w:lvl>
  </w:abstractNum>
  <w:abstractNum w:abstractNumId="25"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Wingdings" w:hAnsi="Wingdings"/>
      </w:rPr>
    </w:lvl>
  </w:abstractNum>
  <w:abstractNum w:abstractNumId="26"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7" w15:restartNumberingAfterBreak="0">
    <w:nsid w:val="00000016"/>
    <w:multiLevelType w:val="singleLevel"/>
    <w:tmpl w:val="00000016"/>
    <w:name w:val="WW8Num23"/>
    <w:lvl w:ilvl="0">
      <w:start w:val="1"/>
      <w:numFmt w:val="bullet"/>
      <w:lvlText w:val=""/>
      <w:lvlJc w:val="left"/>
      <w:pPr>
        <w:tabs>
          <w:tab w:val="num" w:pos="720"/>
        </w:tabs>
        <w:ind w:left="720" w:hanging="360"/>
      </w:pPr>
      <w:rPr>
        <w:rFonts w:ascii="Wingdings" w:hAnsi="Wingdings"/>
      </w:rPr>
    </w:lvl>
  </w:abstractNum>
  <w:abstractNum w:abstractNumId="28" w15:restartNumberingAfterBreak="0">
    <w:nsid w:val="00000017"/>
    <w:multiLevelType w:val="singleLevel"/>
    <w:tmpl w:val="00000017"/>
    <w:name w:val="WW8Num24"/>
    <w:lvl w:ilvl="0">
      <w:start w:val="1"/>
      <w:numFmt w:val="bullet"/>
      <w:lvlText w:val=""/>
      <w:lvlJc w:val="left"/>
      <w:pPr>
        <w:tabs>
          <w:tab w:val="num" w:pos="360"/>
        </w:tabs>
        <w:ind w:left="360" w:hanging="360"/>
      </w:pPr>
      <w:rPr>
        <w:rFonts w:ascii="Wingdings" w:hAnsi="Wingdings"/>
      </w:rPr>
    </w:lvl>
  </w:abstractNum>
  <w:abstractNum w:abstractNumId="29" w15:restartNumberingAfterBreak="0">
    <w:nsid w:val="00000018"/>
    <w:multiLevelType w:val="singleLevel"/>
    <w:tmpl w:val="00000018"/>
    <w:name w:val="WW8Num25"/>
    <w:lvl w:ilvl="0">
      <w:start w:val="1"/>
      <w:numFmt w:val="bullet"/>
      <w:lvlText w:val="•"/>
      <w:lvlJc w:val="left"/>
      <w:pPr>
        <w:tabs>
          <w:tab w:val="num" w:pos="360"/>
        </w:tabs>
        <w:ind w:left="360" w:hanging="360"/>
      </w:pPr>
      <w:rPr>
        <w:rFonts w:ascii="Times New Roman" w:hAnsi="Times New Roman"/>
      </w:rPr>
    </w:lvl>
  </w:abstractNum>
  <w:abstractNum w:abstractNumId="30" w15:restartNumberingAfterBreak="0">
    <w:nsid w:val="00000019"/>
    <w:multiLevelType w:val="singleLevel"/>
    <w:tmpl w:val="00000019"/>
    <w:name w:val="WW8Num26"/>
    <w:lvl w:ilvl="0">
      <w:start w:val="1"/>
      <w:numFmt w:val="bullet"/>
      <w:lvlText w:val=""/>
      <w:lvlJc w:val="left"/>
      <w:pPr>
        <w:tabs>
          <w:tab w:val="num" w:pos="720"/>
        </w:tabs>
        <w:ind w:left="720" w:hanging="360"/>
      </w:pPr>
      <w:rPr>
        <w:rFonts w:ascii="Wingdings" w:hAnsi="Wingdings"/>
      </w:rPr>
    </w:lvl>
  </w:abstractNum>
  <w:abstractNum w:abstractNumId="31" w15:restartNumberingAfterBreak="0">
    <w:nsid w:val="0000001A"/>
    <w:multiLevelType w:val="singleLevel"/>
    <w:tmpl w:val="0000001A"/>
    <w:name w:val="WW8Num27"/>
    <w:lvl w:ilvl="0">
      <w:start w:val="1"/>
      <w:numFmt w:val="decimal"/>
      <w:lvlText w:val="%1."/>
      <w:lvlJc w:val="left"/>
      <w:pPr>
        <w:tabs>
          <w:tab w:val="num" w:pos="360"/>
        </w:tabs>
        <w:ind w:left="360" w:hanging="360"/>
      </w:pPr>
    </w:lvl>
  </w:abstractNum>
  <w:abstractNum w:abstractNumId="32" w15:restartNumberingAfterBreak="0">
    <w:nsid w:val="0000001B"/>
    <w:multiLevelType w:val="singleLevel"/>
    <w:tmpl w:val="0000001B"/>
    <w:name w:val="WW8Num28"/>
    <w:lvl w:ilvl="0">
      <w:start w:val="1"/>
      <w:numFmt w:val="bullet"/>
      <w:lvlText w:val=""/>
      <w:lvlJc w:val="left"/>
      <w:pPr>
        <w:tabs>
          <w:tab w:val="num" w:pos="720"/>
        </w:tabs>
        <w:ind w:left="720" w:hanging="360"/>
      </w:pPr>
      <w:rPr>
        <w:rFonts w:ascii="Wingdings" w:hAnsi="Wingdings"/>
      </w:rPr>
    </w:lvl>
  </w:abstractNum>
  <w:abstractNum w:abstractNumId="33" w15:restartNumberingAfterBreak="0">
    <w:nsid w:val="0000001C"/>
    <w:multiLevelType w:val="singleLevel"/>
    <w:tmpl w:val="0000001C"/>
    <w:name w:val="WW8Num29"/>
    <w:lvl w:ilvl="0">
      <w:start w:val="1"/>
      <w:numFmt w:val="bullet"/>
      <w:lvlText w:val=""/>
      <w:lvlJc w:val="left"/>
      <w:pPr>
        <w:tabs>
          <w:tab w:val="num" w:pos="720"/>
        </w:tabs>
        <w:ind w:left="720" w:hanging="360"/>
      </w:pPr>
      <w:rPr>
        <w:rFonts w:ascii="Wingdings" w:hAnsi="Wingdings"/>
      </w:rPr>
    </w:lvl>
  </w:abstractNum>
  <w:abstractNum w:abstractNumId="34" w15:restartNumberingAfterBreak="0">
    <w:nsid w:val="0000001D"/>
    <w:multiLevelType w:val="singleLevel"/>
    <w:tmpl w:val="0000001D"/>
    <w:name w:val="WW8Num30"/>
    <w:lvl w:ilvl="0">
      <w:start w:val="1"/>
      <w:numFmt w:val="bullet"/>
      <w:lvlText w:val=""/>
      <w:lvlJc w:val="left"/>
      <w:pPr>
        <w:tabs>
          <w:tab w:val="num" w:pos="360"/>
        </w:tabs>
        <w:ind w:left="360" w:hanging="360"/>
      </w:pPr>
      <w:rPr>
        <w:rFonts w:ascii="Wingdings" w:hAnsi="Wingdings"/>
      </w:rPr>
    </w:lvl>
  </w:abstractNum>
  <w:abstractNum w:abstractNumId="35" w15:restartNumberingAfterBreak="0">
    <w:nsid w:val="0000001E"/>
    <w:multiLevelType w:val="singleLevel"/>
    <w:tmpl w:val="0000001E"/>
    <w:name w:val="WW8Num31"/>
    <w:lvl w:ilvl="0">
      <w:start w:val="1"/>
      <w:numFmt w:val="lowerLetter"/>
      <w:lvlText w:val="%1)"/>
      <w:lvlJc w:val="left"/>
      <w:pPr>
        <w:tabs>
          <w:tab w:val="num" w:pos="720"/>
        </w:tabs>
        <w:ind w:left="720" w:hanging="360"/>
      </w:pPr>
    </w:lvl>
  </w:abstractNum>
  <w:abstractNum w:abstractNumId="36" w15:restartNumberingAfterBreak="0">
    <w:nsid w:val="00000020"/>
    <w:multiLevelType w:val="singleLevel"/>
    <w:tmpl w:val="00000020"/>
    <w:name w:val="WW8Num33"/>
    <w:lvl w:ilvl="0">
      <w:start w:val="1"/>
      <w:numFmt w:val="lowerLetter"/>
      <w:lvlText w:val="%1)"/>
      <w:lvlJc w:val="left"/>
      <w:pPr>
        <w:tabs>
          <w:tab w:val="num" w:pos="720"/>
        </w:tabs>
        <w:ind w:left="720" w:hanging="360"/>
      </w:pPr>
    </w:lvl>
  </w:abstractNum>
  <w:abstractNum w:abstractNumId="37" w15:restartNumberingAfterBreak="0">
    <w:nsid w:val="00000021"/>
    <w:multiLevelType w:val="singleLevel"/>
    <w:tmpl w:val="00000021"/>
    <w:name w:val="WW8Num34"/>
    <w:lvl w:ilvl="0">
      <w:start w:val="1"/>
      <w:numFmt w:val="bullet"/>
      <w:lvlText w:val="•"/>
      <w:lvlJc w:val="left"/>
      <w:pPr>
        <w:tabs>
          <w:tab w:val="num" w:pos="360"/>
        </w:tabs>
        <w:ind w:left="360" w:hanging="360"/>
      </w:pPr>
      <w:rPr>
        <w:rFonts w:ascii="Times New Roman" w:hAnsi="Times New Roman"/>
      </w:rPr>
    </w:lvl>
  </w:abstractNum>
  <w:abstractNum w:abstractNumId="38" w15:restartNumberingAfterBreak="0">
    <w:nsid w:val="00000022"/>
    <w:multiLevelType w:val="singleLevel"/>
    <w:tmpl w:val="00000022"/>
    <w:name w:val="WW8Num35"/>
    <w:lvl w:ilvl="0">
      <w:start w:val="1"/>
      <w:numFmt w:val="bullet"/>
      <w:lvlText w:val=""/>
      <w:lvlJc w:val="left"/>
      <w:pPr>
        <w:tabs>
          <w:tab w:val="num" w:pos="360"/>
        </w:tabs>
        <w:ind w:left="360" w:hanging="360"/>
      </w:pPr>
      <w:rPr>
        <w:rFonts w:ascii="Wingdings" w:hAnsi="Wingdings"/>
      </w:rPr>
    </w:lvl>
  </w:abstractNum>
  <w:abstractNum w:abstractNumId="39" w15:restartNumberingAfterBreak="0">
    <w:nsid w:val="00000023"/>
    <w:multiLevelType w:val="singleLevel"/>
    <w:tmpl w:val="00000023"/>
    <w:name w:val="WW8Num36"/>
    <w:lvl w:ilvl="0">
      <w:start w:val="1"/>
      <w:numFmt w:val="bullet"/>
      <w:lvlText w:val=""/>
      <w:lvlJc w:val="left"/>
      <w:pPr>
        <w:tabs>
          <w:tab w:val="num" w:pos="720"/>
        </w:tabs>
        <w:ind w:left="720" w:hanging="360"/>
      </w:pPr>
      <w:rPr>
        <w:rFonts w:ascii="Wingdings" w:hAnsi="Wingdings"/>
      </w:rPr>
    </w:lvl>
  </w:abstractNum>
  <w:abstractNum w:abstractNumId="40" w15:restartNumberingAfterBreak="0">
    <w:nsid w:val="00000024"/>
    <w:multiLevelType w:val="singleLevel"/>
    <w:tmpl w:val="00000024"/>
    <w:name w:val="WW8Num37"/>
    <w:lvl w:ilvl="0">
      <w:start w:val="1"/>
      <w:numFmt w:val="bullet"/>
      <w:lvlText w:val=""/>
      <w:lvlJc w:val="left"/>
      <w:pPr>
        <w:tabs>
          <w:tab w:val="num" w:pos="720"/>
        </w:tabs>
        <w:ind w:left="720" w:hanging="360"/>
      </w:pPr>
      <w:rPr>
        <w:rFonts w:ascii="Wingdings" w:hAnsi="Wingdings"/>
      </w:rPr>
    </w:lvl>
  </w:abstractNum>
  <w:abstractNum w:abstractNumId="41" w15:restartNumberingAfterBreak="0">
    <w:nsid w:val="00000025"/>
    <w:multiLevelType w:val="singleLevel"/>
    <w:tmpl w:val="00000025"/>
    <w:name w:val="WW8Num38"/>
    <w:lvl w:ilvl="0">
      <w:start w:val="1"/>
      <w:numFmt w:val="bullet"/>
      <w:lvlText w:val=""/>
      <w:lvlJc w:val="left"/>
      <w:pPr>
        <w:tabs>
          <w:tab w:val="num" w:pos="720"/>
        </w:tabs>
        <w:ind w:left="720" w:hanging="360"/>
      </w:pPr>
      <w:rPr>
        <w:rFonts w:ascii="Wingdings" w:hAnsi="Wingdings"/>
      </w:rPr>
    </w:lvl>
  </w:abstractNum>
  <w:abstractNum w:abstractNumId="42" w15:restartNumberingAfterBreak="0">
    <w:nsid w:val="00000026"/>
    <w:multiLevelType w:val="multilevel"/>
    <w:tmpl w:val="D7AED44E"/>
    <w:name w:val="WW8Num39"/>
    <w:lvl w:ilvl="0">
      <w:start w:val="1"/>
      <w:numFmt w:val="decimal"/>
      <w:lvlText w:val="%1."/>
      <w:lvlJc w:val="left"/>
      <w:pPr>
        <w:tabs>
          <w:tab w:val="num" w:pos="720"/>
        </w:tabs>
        <w:ind w:left="720" w:hanging="360"/>
      </w:pPr>
    </w:lvl>
    <w:lvl w:ilvl="1">
      <w:start w:val="2"/>
      <w:numFmt w:val="decimal"/>
      <w:isLgl/>
      <w:lvlText w:val="%1.%2"/>
      <w:lvlJc w:val="left"/>
      <w:pPr>
        <w:tabs>
          <w:tab w:val="num" w:pos="900"/>
        </w:tabs>
        <w:ind w:left="900" w:hanging="540"/>
      </w:pPr>
      <w:rPr>
        <w:rFonts w:hint="default"/>
      </w:rPr>
    </w:lvl>
    <w:lvl w:ilvl="2">
      <w:start w:val="4"/>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3" w15:restartNumberingAfterBreak="0">
    <w:nsid w:val="00000027"/>
    <w:multiLevelType w:val="singleLevel"/>
    <w:tmpl w:val="00000027"/>
    <w:name w:val="WW8Num40"/>
    <w:lvl w:ilvl="0">
      <w:start w:val="1"/>
      <w:numFmt w:val="bullet"/>
      <w:lvlText w:val=""/>
      <w:lvlJc w:val="left"/>
      <w:pPr>
        <w:tabs>
          <w:tab w:val="num" w:pos="720"/>
        </w:tabs>
        <w:ind w:left="720" w:hanging="360"/>
      </w:pPr>
      <w:rPr>
        <w:rFonts w:ascii="Wingdings" w:hAnsi="Wingdings"/>
      </w:rPr>
    </w:lvl>
  </w:abstractNum>
  <w:abstractNum w:abstractNumId="44" w15:restartNumberingAfterBreak="0">
    <w:nsid w:val="00000028"/>
    <w:multiLevelType w:val="singleLevel"/>
    <w:tmpl w:val="00000028"/>
    <w:name w:val="WW8Num41"/>
    <w:lvl w:ilvl="0">
      <w:start w:val="1"/>
      <w:numFmt w:val="lowerLetter"/>
      <w:lvlText w:val="%1)"/>
      <w:lvlJc w:val="left"/>
      <w:pPr>
        <w:tabs>
          <w:tab w:val="num" w:pos="720"/>
        </w:tabs>
        <w:ind w:left="720" w:hanging="360"/>
      </w:pPr>
    </w:lvl>
  </w:abstractNum>
  <w:abstractNum w:abstractNumId="45" w15:restartNumberingAfterBreak="0">
    <w:nsid w:val="0000002C"/>
    <w:multiLevelType w:val="singleLevel"/>
    <w:tmpl w:val="0000002C"/>
    <w:name w:val="WW8Num46"/>
    <w:lvl w:ilvl="0">
      <w:start w:val="1"/>
      <w:numFmt w:val="lowerLetter"/>
      <w:lvlText w:val="%1)"/>
      <w:lvlJc w:val="left"/>
      <w:pPr>
        <w:tabs>
          <w:tab w:val="num" w:pos="1440"/>
        </w:tabs>
        <w:ind w:left="1440" w:hanging="360"/>
      </w:pPr>
    </w:lvl>
  </w:abstractNum>
  <w:abstractNum w:abstractNumId="46" w15:restartNumberingAfterBreak="0">
    <w:nsid w:val="0000002D"/>
    <w:multiLevelType w:val="singleLevel"/>
    <w:tmpl w:val="0000002D"/>
    <w:name w:val="WW8Num47"/>
    <w:lvl w:ilvl="0">
      <w:start w:val="1"/>
      <w:numFmt w:val="bullet"/>
      <w:lvlText w:val=""/>
      <w:lvlJc w:val="left"/>
      <w:pPr>
        <w:tabs>
          <w:tab w:val="num" w:pos="360"/>
        </w:tabs>
        <w:ind w:left="360" w:hanging="360"/>
      </w:pPr>
      <w:rPr>
        <w:rFonts w:ascii="Wingdings" w:hAnsi="Wingdings"/>
      </w:rPr>
    </w:lvl>
  </w:abstractNum>
  <w:abstractNum w:abstractNumId="47" w15:restartNumberingAfterBreak="0">
    <w:nsid w:val="3154139F"/>
    <w:multiLevelType w:val="hybridMultilevel"/>
    <w:tmpl w:val="BD14631E"/>
    <w:name w:val="WW8Num22"/>
    <w:lvl w:ilvl="0" w:tplc="F8B28710">
      <w:start w:val="1"/>
      <w:numFmt w:val="bullet"/>
      <w:lvlText w:val=""/>
      <w:lvlJc w:val="left"/>
      <w:pPr>
        <w:tabs>
          <w:tab w:val="num" w:pos="360"/>
        </w:tabs>
        <w:ind w:left="360" w:hanging="360"/>
      </w:pPr>
      <w:rPr>
        <w:rFonts w:ascii="Symbol" w:hAnsi="Symbol" w:hint="default"/>
        <w:color w:val="0000FF"/>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77F0A2A"/>
    <w:multiLevelType w:val="hybridMultilevel"/>
    <w:tmpl w:val="6172C8FA"/>
    <w:lvl w:ilvl="0" w:tplc="924ACD80">
      <w:start w:val="1"/>
      <w:numFmt w:val="decimal"/>
      <w:lvlText w:val="%1."/>
      <w:lvlJc w:val="left"/>
      <w:pPr>
        <w:tabs>
          <w:tab w:val="num" w:pos="360"/>
        </w:tabs>
        <w:ind w:left="360" w:hanging="360"/>
      </w:pPr>
      <w:rPr>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15:restartNumberingAfterBreak="0">
    <w:nsid w:val="52EF5F15"/>
    <w:multiLevelType w:val="hybridMultilevel"/>
    <w:tmpl w:val="D408CC02"/>
    <w:name w:val="WW8Num42"/>
    <w:lvl w:ilvl="0" w:tplc="C87254F4">
      <w:start w:val="1"/>
      <w:numFmt w:val="bullet"/>
      <w:lvlText w:val=""/>
      <w:lvlJc w:val="left"/>
      <w:pPr>
        <w:tabs>
          <w:tab w:val="num" w:pos="360"/>
        </w:tabs>
        <w:ind w:left="360" w:hanging="360"/>
      </w:pPr>
      <w:rPr>
        <w:rFonts w:ascii="Symbol" w:hAnsi="Symbol" w:hint="default"/>
        <w:color w:val="0000FF"/>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DD20B4E"/>
    <w:multiLevelType w:val="hybridMultilevel"/>
    <w:tmpl w:val="B8EA6E5C"/>
    <w:name w:val="WW8Num72"/>
    <w:lvl w:ilvl="0" w:tplc="B8E23A9C">
      <w:start w:val="1"/>
      <w:numFmt w:val="bullet"/>
      <w:lvlText w:val=""/>
      <w:lvlJc w:val="left"/>
      <w:pPr>
        <w:tabs>
          <w:tab w:val="num" w:pos="360"/>
        </w:tabs>
        <w:ind w:left="360" w:hanging="360"/>
      </w:pPr>
      <w:rPr>
        <w:rFonts w:ascii="Symbol" w:hAnsi="Symbol" w:hint="default"/>
        <w:color w:val="0000FF"/>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524244F"/>
    <w:multiLevelType w:val="hybridMultilevel"/>
    <w:tmpl w:val="6720C6E6"/>
    <w:name w:val="WW8Num722"/>
    <w:lvl w:ilvl="0" w:tplc="B8E23A9C">
      <w:start w:val="1"/>
      <w:numFmt w:val="bullet"/>
      <w:lvlText w:val=""/>
      <w:lvlJc w:val="left"/>
      <w:pPr>
        <w:tabs>
          <w:tab w:val="num" w:pos="360"/>
        </w:tabs>
        <w:ind w:left="360" w:hanging="360"/>
      </w:pPr>
      <w:rPr>
        <w:rFonts w:ascii="Symbol" w:hAnsi="Symbol" w:hint="default"/>
        <w:color w:val="0000FF"/>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5CE2630"/>
    <w:multiLevelType w:val="hybridMultilevel"/>
    <w:tmpl w:val="27D0DBE2"/>
    <w:lvl w:ilvl="0" w:tplc="0DFA95DA">
      <w:start w:val="1"/>
      <w:numFmt w:val="bullet"/>
      <w:pStyle w:val="enumlev2"/>
      <w:lvlText w:val=""/>
      <w:lvlJc w:val="left"/>
      <w:pPr>
        <w:tabs>
          <w:tab w:val="num" w:pos="680"/>
        </w:tabs>
        <w:ind w:left="680" w:hanging="323"/>
      </w:pPr>
      <w:rPr>
        <w:rFonts w:ascii="Symbol" w:hAnsi="Symbol" w:hint="default"/>
        <w:color w:val="666699"/>
      </w:rPr>
    </w:lvl>
    <w:lvl w:ilvl="1" w:tplc="04090003" w:tentative="1">
      <w:start w:val="1"/>
      <w:numFmt w:val="bullet"/>
      <w:lvlText w:val="o"/>
      <w:lvlJc w:val="left"/>
      <w:pPr>
        <w:tabs>
          <w:tab w:val="num" w:pos="1440"/>
        </w:tabs>
        <w:ind w:left="1440" w:hanging="360"/>
      </w:pPr>
      <w:rPr>
        <w:rFonts w:ascii="Courier New" w:hAnsi="Courier New" w:hint="default"/>
      </w:rPr>
    </w:lvl>
    <w:lvl w:ilvl="2" w:tplc="4D1A31FE">
      <w:start w:val="1"/>
      <w:numFmt w:val="bullet"/>
      <w:lvlText w:val=""/>
      <w:lvlJc w:val="left"/>
      <w:pPr>
        <w:tabs>
          <w:tab w:val="num" w:pos="680"/>
        </w:tabs>
        <w:ind w:left="680" w:hanging="323"/>
      </w:pPr>
      <w:rPr>
        <w:rFonts w:ascii="Symbol" w:hAnsi="Symbol" w:hint="default"/>
        <w:color w:val="8000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FFA6314"/>
    <w:multiLevelType w:val="hybridMultilevel"/>
    <w:tmpl w:val="87C64660"/>
    <w:name w:val="WW8Num62"/>
    <w:lvl w:ilvl="0" w:tplc="30B27A12">
      <w:start w:val="1"/>
      <w:numFmt w:val="bullet"/>
      <w:lvlText w:val=""/>
      <w:lvlJc w:val="left"/>
      <w:pPr>
        <w:tabs>
          <w:tab w:val="num" w:pos="300"/>
        </w:tabs>
        <w:ind w:left="300" w:hanging="360"/>
      </w:pPr>
      <w:rPr>
        <w:rFonts w:ascii="Symbol" w:hAnsi="Symbol" w:hint="default"/>
        <w:color w:val="0000F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48"/>
  </w:num>
  <w:num w:numId="3">
    <w:abstractNumId w:val="5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5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mirrorMargin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hyphenationZone w:val="425"/>
  <w:evenAndOddHeaders/>
  <w:drawingGridHorizontalSpacing w:val="113"/>
  <w:drawingGridVerticalSpacing w:val="284"/>
  <w:displayHorizontalDrawingGridEvery w:val="2"/>
  <w:noPunctuationKerning/>
  <w:characterSpacingControl w:val="doNotCompress"/>
  <w:hdrShapeDefaults>
    <o:shapedefaults v:ext="edit" spidmax="6145"/>
  </w:hdrShapeDefaults>
  <w:footnotePr>
    <w:footnote w:id="-1"/>
    <w:footnote w:id="0"/>
    <w:footnote w:id="1"/>
  </w:footnotePr>
  <w:endnotePr>
    <w:numFmt w:val="decimal"/>
    <w:endnote w:id="-1"/>
    <w:endnote w:id="0"/>
  </w:endnotePr>
  <w:compat>
    <w:useFELayout/>
    <w:compatSetting w:name="compatibilityMode" w:uri="http://schemas.microsoft.com/office/word" w:val="12"/>
  </w:compat>
  <w:rsids>
    <w:rsidRoot w:val="00E75A1D"/>
    <w:rsid w:val="000006C6"/>
    <w:rsid w:val="00000DCF"/>
    <w:rsid w:val="00002C21"/>
    <w:rsid w:val="00002E53"/>
    <w:rsid w:val="00002F69"/>
    <w:rsid w:val="00004159"/>
    <w:rsid w:val="0000483D"/>
    <w:rsid w:val="0000495E"/>
    <w:rsid w:val="00005958"/>
    <w:rsid w:val="000071E9"/>
    <w:rsid w:val="00007276"/>
    <w:rsid w:val="00007F4E"/>
    <w:rsid w:val="000108C3"/>
    <w:rsid w:val="00011040"/>
    <w:rsid w:val="000111F3"/>
    <w:rsid w:val="0001152B"/>
    <w:rsid w:val="00011875"/>
    <w:rsid w:val="000122EB"/>
    <w:rsid w:val="00012894"/>
    <w:rsid w:val="0001308B"/>
    <w:rsid w:val="00013306"/>
    <w:rsid w:val="00013D50"/>
    <w:rsid w:val="00014F7B"/>
    <w:rsid w:val="00015296"/>
    <w:rsid w:val="00015E04"/>
    <w:rsid w:val="000160A7"/>
    <w:rsid w:val="00016266"/>
    <w:rsid w:val="00016CCC"/>
    <w:rsid w:val="0001749A"/>
    <w:rsid w:val="00017B5E"/>
    <w:rsid w:val="00017BBB"/>
    <w:rsid w:val="000207E3"/>
    <w:rsid w:val="00021417"/>
    <w:rsid w:val="00021E24"/>
    <w:rsid w:val="00022F34"/>
    <w:rsid w:val="00023774"/>
    <w:rsid w:val="000257AB"/>
    <w:rsid w:val="0002625F"/>
    <w:rsid w:val="00027155"/>
    <w:rsid w:val="00027CB1"/>
    <w:rsid w:val="00031BB9"/>
    <w:rsid w:val="00032CD6"/>
    <w:rsid w:val="00033CD4"/>
    <w:rsid w:val="000348DA"/>
    <w:rsid w:val="000348EF"/>
    <w:rsid w:val="00035B72"/>
    <w:rsid w:val="00037B8D"/>
    <w:rsid w:val="00037E49"/>
    <w:rsid w:val="00040EA6"/>
    <w:rsid w:val="00041E52"/>
    <w:rsid w:val="00041F7B"/>
    <w:rsid w:val="0004209A"/>
    <w:rsid w:val="00042AB6"/>
    <w:rsid w:val="00043C38"/>
    <w:rsid w:val="00044305"/>
    <w:rsid w:val="00044A1E"/>
    <w:rsid w:val="00044C6C"/>
    <w:rsid w:val="00044D98"/>
    <w:rsid w:val="0004595F"/>
    <w:rsid w:val="0004673A"/>
    <w:rsid w:val="000475E8"/>
    <w:rsid w:val="000506C5"/>
    <w:rsid w:val="00051C63"/>
    <w:rsid w:val="00052478"/>
    <w:rsid w:val="00052B85"/>
    <w:rsid w:val="00052D89"/>
    <w:rsid w:val="00052E1E"/>
    <w:rsid w:val="000536EE"/>
    <w:rsid w:val="000539DC"/>
    <w:rsid w:val="00054393"/>
    <w:rsid w:val="00054629"/>
    <w:rsid w:val="00054974"/>
    <w:rsid w:val="00055080"/>
    <w:rsid w:val="00055AF5"/>
    <w:rsid w:val="00056B84"/>
    <w:rsid w:val="0005703C"/>
    <w:rsid w:val="00057B39"/>
    <w:rsid w:val="00057EAA"/>
    <w:rsid w:val="00060557"/>
    <w:rsid w:val="00060560"/>
    <w:rsid w:val="00060E18"/>
    <w:rsid w:val="00061AB1"/>
    <w:rsid w:val="000620C1"/>
    <w:rsid w:val="0006233B"/>
    <w:rsid w:val="0006272F"/>
    <w:rsid w:val="00062C34"/>
    <w:rsid w:val="00063BCF"/>
    <w:rsid w:val="00063D94"/>
    <w:rsid w:val="000644F3"/>
    <w:rsid w:val="00064A15"/>
    <w:rsid w:val="00064B26"/>
    <w:rsid w:val="0006553A"/>
    <w:rsid w:val="00065FBA"/>
    <w:rsid w:val="000661AA"/>
    <w:rsid w:val="00066D9D"/>
    <w:rsid w:val="00066E24"/>
    <w:rsid w:val="00067161"/>
    <w:rsid w:val="000678A5"/>
    <w:rsid w:val="00067C53"/>
    <w:rsid w:val="00067E7B"/>
    <w:rsid w:val="0007028E"/>
    <w:rsid w:val="00070BE8"/>
    <w:rsid w:val="00071655"/>
    <w:rsid w:val="000716E4"/>
    <w:rsid w:val="00072425"/>
    <w:rsid w:val="00072527"/>
    <w:rsid w:val="00072FDA"/>
    <w:rsid w:val="000737AD"/>
    <w:rsid w:val="000740E4"/>
    <w:rsid w:val="00074864"/>
    <w:rsid w:val="000748E9"/>
    <w:rsid w:val="000749F7"/>
    <w:rsid w:val="00075215"/>
    <w:rsid w:val="00076087"/>
    <w:rsid w:val="00077921"/>
    <w:rsid w:val="00080DF6"/>
    <w:rsid w:val="00081694"/>
    <w:rsid w:val="00081D6C"/>
    <w:rsid w:val="0008226C"/>
    <w:rsid w:val="0008248B"/>
    <w:rsid w:val="00083EEE"/>
    <w:rsid w:val="00083F6C"/>
    <w:rsid w:val="00084DF3"/>
    <w:rsid w:val="00085A4C"/>
    <w:rsid w:val="000867D9"/>
    <w:rsid w:val="0008693B"/>
    <w:rsid w:val="00087B52"/>
    <w:rsid w:val="00087BD9"/>
    <w:rsid w:val="00087D79"/>
    <w:rsid w:val="000907DE"/>
    <w:rsid w:val="000909DE"/>
    <w:rsid w:val="00090A76"/>
    <w:rsid w:val="00090C85"/>
    <w:rsid w:val="00090F40"/>
    <w:rsid w:val="0009163C"/>
    <w:rsid w:val="0009179D"/>
    <w:rsid w:val="00092435"/>
    <w:rsid w:val="000926DA"/>
    <w:rsid w:val="0009283E"/>
    <w:rsid w:val="00092B29"/>
    <w:rsid w:val="0009348B"/>
    <w:rsid w:val="00093C69"/>
    <w:rsid w:val="00093CE4"/>
    <w:rsid w:val="0009430E"/>
    <w:rsid w:val="000943DD"/>
    <w:rsid w:val="00094493"/>
    <w:rsid w:val="000945CE"/>
    <w:rsid w:val="000949D6"/>
    <w:rsid w:val="00094E9C"/>
    <w:rsid w:val="00095964"/>
    <w:rsid w:val="00095C8B"/>
    <w:rsid w:val="00096173"/>
    <w:rsid w:val="000968CF"/>
    <w:rsid w:val="00097498"/>
    <w:rsid w:val="000A12D3"/>
    <w:rsid w:val="000A176F"/>
    <w:rsid w:val="000A27CE"/>
    <w:rsid w:val="000A2B13"/>
    <w:rsid w:val="000A38E3"/>
    <w:rsid w:val="000A3906"/>
    <w:rsid w:val="000A3966"/>
    <w:rsid w:val="000A39B9"/>
    <w:rsid w:val="000A4284"/>
    <w:rsid w:val="000A4936"/>
    <w:rsid w:val="000A4A23"/>
    <w:rsid w:val="000A5071"/>
    <w:rsid w:val="000A578F"/>
    <w:rsid w:val="000A6CF0"/>
    <w:rsid w:val="000A6F8E"/>
    <w:rsid w:val="000A74E6"/>
    <w:rsid w:val="000A7D55"/>
    <w:rsid w:val="000A7DF2"/>
    <w:rsid w:val="000B116E"/>
    <w:rsid w:val="000B30ED"/>
    <w:rsid w:val="000B3694"/>
    <w:rsid w:val="000B3CD1"/>
    <w:rsid w:val="000B45DC"/>
    <w:rsid w:val="000B48E2"/>
    <w:rsid w:val="000B4913"/>
    <w:rsid w:val="000B51E7"/>
    <w:rsid w:val="000B5497"/>
    <w:rsid w:val="000B67F5"/>
    <w:rsid w:val="000B6BF8"/>
    <w:rsid w:val="000B6F25"/>
    <w:rsid w:val="000B7199"/>
    <w:rsid w:val="000B71F0"/>
    <w:rsid w:val="000C01B4"/>
    <w:rsid w:val="000C0230"/>
    <w:rsid w:val="000C1B90"/>
    <w:rsid w:val="000C1BAF"/>
    <w:rsid w:val="000C1E64"/>
    <w:rsid w:val="000C20C9"/>
    <w:rsid w:val="000C244E"/>
    <w:rsid w:val="000C50F0"/>
    <w:rsid w:val="000C5314"/>
    <w:rsid w:val="000C5555"/>
    <w:rsid w:val="000C5784"/>
    <w:rsid w:val="000C5F1A"/>
    <w:rsid w:val="000C604D"/>
    <w:rsid w:val="000C665E"/>
    <w:rsid w:val="000C684B"/>
    <w:rsid w:val="000C7281"/>
    <w:rsid w:val="000C73BC"/>
    <w:rsid w:val="000C740D"/>
    <w:rsid w:val="000C763F"/>
    <w:rsid w:val="000C7845"/>
    <w:rsid w:val="000D0221"/>
    <w:rsid w:val="000D0F85"/>
    <w:rsid w:val="000D1553"/>
    <w:rsid w:val="000D1BBE"/>
    <w:rsid w:val="000D2BCE"/>
    <w:rsid w:val="000D2CFE"/>
    <w:rsid w:val="000D30B6"/>
    <w:rsid w:val="000D3F2F"/>
    <w:rsid w:val="000D4148"/>
    <w:rsid w:val="000D4A96"/>
    <w:rsid w:val="000D5003"/>
    <w:rsid w:val="000D5778"/>
    <w:rsid w:val="000D6A0E"/>
    <w:rsid w:val="000D6FE5"/>
    <w:rsid w:val="000D7198"/>
    <w:rsid w:val="000E0926"/>
    <w:rsid w:val="000E0E1F"/>
    <w:rsid w:val="000E0FCE"/>
    <w:rsid w:val="000E12D6"/>
    <w:rsid w:val="000E1E04"/>
    <w:rsid w:val="000E2101"/>
    <w:rsid w:val="000E22EA"/>
    <w:rsid w:val="000E29BB"/>
    <w:rsid w:val="000E4010"/>
    <w:rsid w:val="000E4835"/>
    <w:rsid w:val="000E483B"/>
    <w:rsid w:val="000E4C21"/>
    <w:rsid w:val="000E4CA3"/>
    <w:rsid w:val="000E4F42"/>
    <w:rsid w:val="000E5C96"/>
    <w:rsid w:val="000E5D06"/>
    <w:rsid w:val="000E65AE"/>
    <w:rsid w:val="000E68F3"/>
    <w:rsid w:val="000E6F29"/>
    <w:rsid w:val="000E740F"/>
    <w:rsid w:val="000E74B2"/>
    <w:rsid w:val="000E77C5"/>
    <w:rsid w:val="000E7F66"/>
    <w:rsid w:val="000F0DBE"/>
    <w:rsid w:val="000F0ECE"/>
    <w:rsid w:val="000F0F08"/>
    <w:rsid w:val="000F186B"/>
    <w:rsid w:val="000F2D11"/>
    <w:rsid w:val="000F37B9"/>
    <w:rsid w:val="000F3F81"/>
    <w:rsid w:val="000F445E"/>
    <w:rsid w:val="000F4613"/>
    <w:rsid w:val="000F46F6"/>
    <w:rsid w:val="000F4A0C"/>
    <w:rsid w:val="000F4A60"/>
    <w:rsid w:val="000F56BC"/>
    <w:rsid w:val="000F61DD"/>
    <w:rsid w:val="000F6DFC"/>
    <w:rsid w:val="000F7E6E"/>
    <w:rsid w:val="00100D36"/>
    <w:rsid w:val="00101077"/>
    <w:rsid w:val="00101579"/>
    <w:rsid w:val="00102577"/>
    <w:rsid w:val="00102D06"/>
    <w:rsid w:val="001034D4"/>
    <w:rsid w:val="00103619"/>
    <w:rsid w:val="00103AB8"/>
    <w:rsid w:val="00104851"/>
    <w:rsid w:val="00104DB1"/>
    <w:rsid w:val="0010548A"/>
    <w:rsid w:val="001057B4"/>
    <w:rsid w:val="00105EA2"/>
    <w:rsid w:val="0010608A"/>
    <w:rsid w:val="00106C2B"/>
    <w:rsid w:val="00106C78"/>
    <w:rsid w:val="00106F79"/>
    <w:rsid w:val="00107AA8"/>
    <w:rsid w:val="00107C53"/>
    <w:rsid w:val="00107CA8"/>
    <w:rsid w:val="0011015E"/>
    <w:rsid w:val="00110526"/>
    <w:rsid w:val="001105E8"/>
    <w:rsid w:val="0011067A"/>
    <w:rsid w:val="001106E8"/>
    <w:rsid w:val="00110EE9"/>
    <w:rsid w:val="00111A3F"/>
    <w:rsid w:val="00111AC9"/>
    <w:rsid w:val="001122EF"/>
    <w:rsid w:val="00112903"/>
    <w:rsid w:val="00113B1F"/>
    <w:rsid w:val="001143B7"/>
    <w:rsid w:val="001156C1"/>
    <w:rsid w:val="00115A06"/>
    <w:rsid w:val="00115A63"/>
    <w:rsid w:val="00115D6A"/>
    <w:rsid w:val="001169BC"/>
    <w:rsid w:val="00116F0C"/>
    <w:rsid w:val="0011723E"/>
    <w:rsid w:val="00117809"/>
    <w:rsid w:val="0011787E"/>
    <w:rsid w:val="00120158"/>
    <w:rsid w:val="0012021E"/>
    <w:rsid w:val="00120385"/>
    <w:rsid w:val="00120806"/>
    <w:rsid w:val="00121488"/>
    <w:rsid w:val="001217E8"/>
    <w:rsid w:val="0012265D"/>
    <w:rsid w:val="00122723"/>
    <w:rsid w:val="001228E9"/>
    <w:rsid w:val="00123550"/>
    <w:rsid w:val="001246C9"/>
    <w:rsid w:val="001246E1"/>
    <w:rsid w:val="00124EE3"/>
    <w:rsid w:val="001260F3"/>
    <w:rsid w:val="001274FD"/>
    <w:rsid w:val="0012765B"/>
    <w:rsid w:val="00127CA5"/>
    <w:rsid w:val="00130353"/>
    <w:rsid w:val="00130708"/>
    <w:rsid w:val="00131541"/>
    <w:rsid w:val="00133674"/>
    <w:rsid w:val="001337CD"/>
    <w:rsid w:val="001347F2"/>
    <w:rsid w:val="001350B9"/>
    <w:rsid w:val="00135682"/>
    <w:rsid w:val="001366D8"/>
    <w:rsid w:val="001366FC"/>
    <w:rsid w:val="001369DD"/>
    <w:rsid w:val="001377A7"/>
    <w:rsid w:val="00140369"/>
    <w:rsid w:val="00140588"/>
    <w:rsid w:val="001418A5"/>
    <w:rsid w:val="001419E3"/>
    <w:rsid w:val="00141BAA"/>
    <w:rsid w:val="00141DFA"/>
    <w:rsid w:val="00142149"/>
    <w:rsid w:val="001421E8"/>
    <w:rsid w:val="00143989"/>
    <w:rsid w:val="00144B0D"/>
    <w:rsid w:val="001450FB"/>
    <w:rsid w:val="0014784A"/>
    <w:rsid w:val="00147979"/>
    <w:rsid w:val="001504A1"/>
    <w:rsid w:val="00150687"/>
    <w:rsid w:val="00150A67"/>
    <w:rsid w:val="00150A76"/>
    <w:rsid w:val="00151677"/>
    <w:rsid w:val="0015211A"/>
    <w:rsid w:val="001523F8"/>
    <w:rsid w:val="001524C0"/>
    <w:rsid w:val="001526B5"/>
    <w:rsid w:val="001526BD"/>
    <w:rsid w:val="00152BF2"/>
    <w:rsid w:val="00153353"/>
    <w:rsid w:val="00153E09"/>
    <w:rsid w:val="0015420C"/>
    <w:rsid w:val="0015462F"/>
    <w:rsid w:val="00155522"/>
    <w:rsid w:val="00155624"/>
    <w:rsid w:val="00156D4B"/>
    <w:rsid w:val="001577AE"/>
    <w:rsid w:val="00157C46"/>
    <w:rsid w:val="00157FD2"/>
    <w:rsid w:val="00157FFB"/>
    <w:rsid w:val="0016068A"/>
    <w:rsid w:val="00160F66"/>
    <w:rsid w:val="00161C04"/>
    <w:rsid w:val="00162653"/>
    <w:rsid w:val="0016330D"/>
    <w:rsid w:val="00163AF1"/>
    <w:rsid w:val="00163FCC"/>
    <w:rsid w:val="0016437D"/>
    <w:rsid w:val="00164564"/>
    <w:rsid w:val="00166130"/>
    <w:rsid w:val="00167912"/>
    <w:rsid w:val="00170174"/>
    <w:rsid w:val="0017169E"/>
    <w:rsid w:val="00171CC6"/>
    <w:rsid w:val="00172BB5"/>
    <w:rsid w:val="00172C82"/>
    <w:rsid w:val="0017332B"/>
    <w:rsid w:val="00173E1D"/>
    <w:rsid w:val="00174014"/>
    <w:rsid w:val="00174A1A"/>
    <w:rsid w:val="00174C5D"/>
    <w:rsid w:val="00175380"/>
    <w:rsid w:val="0017568D"/>
    <w:rsid w:val="0017599F"/>
    <w:rsid w:val="00175D7D"/>
    <w:rsid w:val="00176690"/>
    <w:rsid w:val="001767C1"/>
    <w:rsid w:val="00176EAE"/>
    <w:rsid w:val="001777CE"/>
    <w:rsid w:val="00177A14"/>
    <w:rsid w:val="00177F5B"/>
    <w:rsid w:val="0018018A"/>
    <w:rsid w:val="00180660"/>
    <w:rsid w:val="001817FC"/>
    <w:rsid w:val="00181BC3"/>
    <w:rsid w:val="00182292"/>
    <w:rsid w:val="001827C0"/>
    <w:rsid w:val="00182E4E"/>
    <w:rsid w:val="00183F13"/>
    <w:rsid w:val="00183F62"/>
    <w:rsid w:val="001844EC"/>
    <w:rsid w:val="0018454F"/>
    <w:rsid w:val="001846A4"/>
    <w:rsid w:val="001853D2"/>
    <w:rsid w:val="001853E0"/>
    <w:rsid w:val="001856D1"/>
    <w:rsid w:val="001856EE"/>
    <w:rsid w:val="00185F8F"/>
    <w:rsid w:val="0018625C"/>
    <w:rsid w:val="001862FA"/>
    <w:rsid w:val="00186470"/>
    <w:rsid w:val="00186612"/>
    <w:rsid w:val="00187639"/>
    <w:rsid w:val="00187A5F"/>
    <w:rsid w:val="00190196"/>
    <w:rsid w:val="001907DC"/>
    <w:rsid w:val="001907F6"/>
    <w:rsid w:val="00191652"/>
    <w:rsid w:val="0019224A"/>
    <w:rsid w:val="00192480"/>
    <w:rsid w:val="00192FFB"/>
    <w:rsid w:val="001931DA"/>
    <w:rsid w:val="00193AF5"/>
    <w:rsid w:val="00194243"/>
    <w:rsid w:val="00194AC2"/>
    <w:rsid w:val="0019513A"/>
    <w:rsid w:val="001954E7"/>
    <w:rsid w:val="001955F6"/>
    <w:rsid w:val="00195F52"/>
    <w:rsid w:val="00196107"/>
    <w:rsid w:val="001965AB"/>
    <w:rsid w:val="001968BC"/>
    <w:rsid w:val="001A02AA"/>
    <w:rsid w:val="001A067E"/>
    <w:rsid w:val="001A0B3E"/>
    <w:rsid w:val="001A1509"/>
    <w:rsid w:val="001A1E7D"/>
    <w:rsid w:val="001A2337"/>
    <w:rsid w:val="001A236E"/>
    <w:rsid w:val="001A3841"/>
    <w:rsid w:val="001A38D3"/>
    <w:rsid w:val="001A3A9C"/>
    <w:rsid w:val="001A3ED6"/>
    <w:rsid w:val="001A4396"/>
    <w:rsid w:val="001A4963"/>
    <w:rsid w:val="001A55EB"/>
    <w:rsid w:val="001A5AD3"/>
    <w:rsid w:val="001A6F77"/>
    <w:rsid w:val="001A7976"/>
    <w:rsid w:val="001A7A55"/>
    <w:rsid w:val="001B0773"/>
    <w:rsid w:val="001B09AE"/>
    <w:rsid w:val="001B0EAD"/>
    <w:rsid w:val="001B1176"/>
    <w:rsid w:val="001B2AE7"/>
    <w:rsid w:val="001B3228"/>
    <w:rsid w:val="001B46CE"/>
    <w:rsid w:val="001B5168"/>
    <w:rsid w:val="001B529F"/>
    <w:rsid w:val="001B697F"/>
    <w:rsid w:val="001B714A"/>
    <w:rsid w:val="001B79AC"/>
    <w:rsid w:val="001C151A"/>
    <w:rsid w:val="001C155E"/>
    <w:rsid w:val="001C19A9"/>
    <w:rsid w:val="001C36EA"/>
    <w:rsid w:val="001C3896"/>
    <w:rsid w:val="001C3AA0"/>
    <w:rsid w:val="001C3B62"/>
    <w:rsid w:val="001C42EE"/>
    <w:rsid w:val="001C45FC"/>
    <w:rsid w:val="001C48BB"/>
    <w:rsid w:val="001C4EC2"/>
    <w:rsid w:val="001C56F9"/>
    <w:rsid w:val="001C5978"/>
    <w:rsid w:val="001C69B0"/>
    <w:rsid w:val="001C71B6"/>
    <w:rsid w:val="001C7204"/>
    <w:rsid w:val="001C7338"/>
    <w:rsid w:val="001C749E"/>
    <w:rsid w:val="001D0133"/>
    <w:rsid w:val="001D055D"/>
    <w:rsid w:val="001D09A0"/>
    <w:rsid w:val="001D357E"/>
    <w:rsid w:val="001D36C8"/>
    <w:rsid w:val="001D39FC"/>
    <w:rsid w:val="001D3CC6"/>
    <w:rsid w:val="001D3E3A"/>
    <w:rsid w:val="001D49DC"/>
    <w:rsid w:val="001D4AE7"/>
    <w:rsid w:val="001D526B"/>
    <w:rsid w:val="001D58B0"/>
    <w:rsid w:val="001D58EC"/>
    <w:rsid w:val="001E1070"/>
    <w:rsid w:val="001E13CD"/>
    <w:rsid w:val="001E1533"/>
    <w:rsid w:val="001E184D"/>
    <w:rsid w:val="001E1F81"/>
    <w:rsid w:val="001E2343"/>
    <w:rsid w:val="001E26B7"/>
    <w:rsid w:val="001E3D75"/>
    <w:rsid w:val="001E4155"/>
    <w:rsid w:val="001E4473"/>
    <w:rsid w:val="001E4B88"/>
    <w:rsid w:val="001E4C53"/>
    <w:rsid w:val="001E5417"/>
    <w:rsid w:val="001E542F"/>
    <w:rsid w:val="001E6107"/>
    <w:rsid w:val="001E641C"/>
    <w:rsid w:val="001E6F3F"/>
    <w:rsid w:val="001E729C"/>
    <w:rsid w:val="001E73BD"/>
    <w:rsid w:val="001E759B"/>
    <w:rsid w:val="001E7F19"/>
    <w:rsid w:val="001F036A"/>
    <w:rsid w:val="001F1AB3"/>
    <w:rsid w:val="001F2A76"/>
    <w:rsid w:val="001F2F6D"/>
    <w:rsid w:val="001F4BCE"/>
    <w:rsid w:val="001F4C53"/>
    <w:rsid w:val="001F4E0C"/>
    <w:rsid w:val="001F53F4"/>
    <w:rsid w:val="001F54CC"/>
    <w:rsid w:val="001F55AB"/>
    <w:rsid w:val="001F5F9D"/>
    <w:rsid w:val="001F656E"/>
    <w:rsid w:val="001F6642"/>
    <w:rsid w:val="001F6C75"/>
    <w:rsid w:val="001F72CC"/>
    <w:rsid w:val="001F770B"/>
    <w:rsid w:val="001F7965"/>
    <w:rsid w:val="001F7A14"/>
    <w:rsid w:val="002002BA"/>
    <w:rsid w:val="002013DC"/>
    <w:rsid w:val="00201B00"/>
    <w:rsid w:val="002026C1"/>
    <w:rsid w:val="00202FA6"/>
    <w:rsid w:val="00203106"/>
    <w:rsid w:val="0020365F"/>
    <w:rsid w:val="00204433"/>
    <w:rsid w:val="002045F9"/>
    <w:rsid w:val="0020464C"/>
    <w:rsid w:val="002047A2"/>
    <w:rsid w:val="00205010"/>
    <w:rsid w:val="00205B90"/>
    <w:rsid w:val="00205FAB"/>
    <w:rsid w:val="00207123"/>
    <w:rsid w:val="0020733C"/>
    <w:rsid w:val="00207FC8"/>
    <w:rsid w:val="002102FE"/>
    <w:rsid w:val="002104BA"/>
    <w:rsid w:val="00210895"/>
    <w:rsid w:val="00211494"/>
    <w:rsid w:val="00211832"/>
    <w:rsid w:val="00211A45"/>
    <w:rsid w:val="00211EF1"/>
    <w:rsid w:val="00211F20"/>
    <w:rsid w:val="0021306A"/>
    <w:rsid w:val="00213334"/>
    <w:rsid w:val="00214049"/>
    <w:rsid w:val="002157E8"/>
    <w:rsid w:val="002165AA"/>
    <w:rsid w:val="002173B8"/>
    <w:rsid w:val="0021748D"/>
    <w:rsid w:val="002177EC"/>
    <w:rsid w:val="0022021D"/>
    <w:rsid w:val="00220987"/>
    <w:rsid w:val="002216A6"/>
    <w:rsid w:val="00221ED3"/>
    <w:rsid w:val="002221D3"/>
    <w:rsid w:val="0022255B"/>
    <w:rsid w:val="002228CC"/>
    <w:rsid w:val="00222FBE"/>
    <w:rsid w:val="00224020"/>
    <w:rsid w:val="00224B69"/>
    <w:rsid w:val="00225276"/>
    <w:rsid w:val="00226C54"/>
    <w:rsid w:val="0022708E"/>
    <w:rsid w:val="002279AF"/>
    <w:rsid w:val="002279B7"/>
    <w:rsid w:val="0023090D"/>
    <w:rsid w:val="00231492"/>
    <w:rsid w:val="00231D95"/>
    <w:rsid w:val="00231F13"/>
    <w:rsid w:val="00231FD4"/>
    <w:rsid w:val="00232084"/>
    <w:rsid w:val="00232C2F"/>
    <w:rsid w:val="00232E74"/>
    <w:rsid w:val="0023310A"/>
    <w:rsid w:val="00233BE4"/>
    <w:rsid w:val="00233C75"/>
    <w:rsid w:val="00234CBB"/>
    <w:rsid w:val="00235E83"/>
    <w:rsid w:val="00235EC3"/>
    <w:rsid w:val="00236315"/>
    <w:rsid w:val="00236A41"/>
    <w:rsid w:val="00236AD4"/>
    <w:rsid w:val="00236FE6"/>
    <w:rsid w:val="00237EBC"/>
    <w:rsid w:val="002404B0"/>
    <w:rsid w:val="00240F46"/>
    <w:rsid w:val="002427AF"/>
    <w:rsid w:val="00243154"/>
    <w:rsid w:val="00244FE5"/>
    <w:rsid w:val="00245366"/>
    <w:rsid w:val="00246153"/>
    <w:rsid w:val="002467CB"/>
    <w:rsid w:val="00246A6C"/>
    <w:rsid w:val="0024725A"/>
    <w:rsid w:val="00247656"/>
    <w:rsid w:val="002478C6"/>
    <w:rsid w:val="00250B88"/>
    <w:rsid w:val="002511BA"/>
    <w:rsid w:val="002513FC"/>
    <w:rsid w:val="00251D80"/>
    <w:rsid w:val="00252119"/>
    <w:rsid w:val="0025211A"/>
    <w:rsid w:val="00252ADA"/>
    <w:rsid w:val="002531B9"/>
    <w:rsid w:val="00254013"/>
    <w:rsid w:val="00254595"/>
    <w:rsid w:val="00254EB1"/>
    <w:rsid w:val="002555F7"/>
    <w:rsid w:val="00255A9F"/>
    <w:rsid w:val="00255B2B"/>
    <w:rsid w:val="002570AD"/>
    <w:rsid w:val="00260395"/>
    <w:rsid w:val="00260D8A"/>
    <w:rsid w:val="00260FC2"/>
    <w:rsid w:val="002612EB"/>
    <w:rsid w:val="00263B0D"/>
    <w:rsid w:val="00263DBC"/>
    <w:rsid w:val="00264C4B"/>
    <w:rsid w:val="00264E45"/>
    <w:rsid w:val="002656D0"/>
    <w:rsid w:val="00265AE3"/>
    <w:rsid w:val="0026680E"/>
    <w:rsid w:val="002668BF"/>
    <w:rsid w:val="00266C53"/>
    <w:rsid w:val="00266DFB"/>
    <w:rsid w:val="00267108"/>
    <w:rsid w:val="002673B2"/>
    <w:rsid w:val="002703F2"/>
    <w:rsid w:val="002710F9"/>
    <w:rsid w:val="00271111"/>
    <w:rsid w:val="002714AF"/>
    <w:rsid w:val="00271DD6"/>
    <w:rsid w:val="00271FB7"/>
    <w:rsid w:val="0027229E"/>
    <w:rsid w:val="00273013"/>
    <w:rsid w:val="00273101"/>
    <w:rsid w:val="00273305"/>
    <w:rsid w:val="0027349A"/>
    <w:rsid w:val="00273A7F"/>
    <w:rsid w:val="00273B3C"/>
    <w:rsid w:val="0027497B"/>
    <w:rsid w:val="00275222"/>
    <w:rsid w:val="002753B3"/>
    <w:rsid w:val="0027570E"/>
    <w:rsid w:val="00275A29"/>
    <w:rsid w:val="00275A94"/>
    <w:rsid w:val="00275ADA"/>
    <w:rsid w:val="00275F5C"/>
    <w:rsid w:val="00275FBF"/>
    <w:rsid w:val="00276A92"/>
    <w:rsid w:val="002770DC"/>
    <w:rsid w:val="002778A4"/>
    <w:rsid w:val="002809FB"/>
    <w:rsid w:val="00280E59"/>
    <w:rsid w:val="002810DA"/>
    <w:rsid w:val="00281D30"/>
    <w:rsid w:val="00281FCE"/>
    <w:rsid w:val="00282E6E"/>
    <w:rsid w:val="002831A0"/>
    <w:rsid w:val="002834F2"/>
    <w:rsid w:val="00283562"/>
    <w:rsid w:val="00283F96"/>
    <w:rsid w:val="002841C6"/>
    <w:rsid w:val="00284243"/>
    <w:rsid w:val="00284335"/>
    <w:rsid w:val="00284521"/>
    <w:rsid w:val="002848D6"/>
    <w:rsid w:val="0028494C"/>
    <w:rsid w:val="00284E55"/>
    <w:rsid w:val="00285E4A"/>
    <w:rsid w:val="00286801"/>
    <w:rsid w:val="00290201"/>
    <w:rsid w:val="00290352"/>
    <w:rsid w:val="0029049D"/>
    <w:rsid w:val="00290527"/>
    <w:rsid w:val="00290664"/>
    <w:rsid w:val="00291BD5"/>
    <w:rsid w:val="00291F3E"/>
    <w:rsid w:val="00292485"/>
    <w:rsid w:val="00292713"/>
    <w:rsid w:val="00292BFD"/>
    <w:rsid w:val="00292D22"/>
    <w:rsid w:val="002954CA"/>
    <w:rsid w:val="00295512"/>
    <w:rsid w:val="002964EA"/>
    <w:rsid w:val="00296B46"/>
    <w:rsid w:val="002A053C"/>
    <w:rsid w:val="002A0E1F"/>
    <w:rsid w:val="002A23C7"/>
    <w:rsid w:val="002A25B6"/>
    <w:rsid w:val="002A2BA7"/>
    <w:rsid w:val="002A2C29"/>
    <w:rsid w:val="002A36DA"/>
    <w:rsid w:val="002A3EAD"/>
    <w:rsid w:val="002A403B"/>
    <w:rsid w:val="002A4079"/>
    <w:rsid w:val="002A4289"/>
    <w:rsid w:val="002A46DA"/>
    <w:rsid w:val="002A4CDA"/>
    <w:rsid w:val="002A4DB6"/>
    <w:rsid w:val="002A5A05"/>
    <w:rsid w:val="002A7280"/>
    <w:rsid w:val="002A74A3"/>
    <w:rsid w:val="002B04FB"/>
    <w:rsid w:val="002B08C9"/>
    <w:rsid w:val="002B2197"/>
    <w:rsid w:val="002B2F96"/>
    <w:rsid w:val="002B2FF3"/>
    <w:rsid w:val="002B31AA"/>
    <w:rsid w:val="002B3789"/>
    <w:rsid w:val="002B384E"/>
    <w:rsid w:val="002B398B"/>
    <w:rsid w:val="002B3A3F"/>
    <w:rsid w:val="002B515C"/>
    <w:rsid w:val="002B5467"/>
    <w:rsid w:val="002B5F8F"/>
    <w:rsid w:val="002B7A06"/>
    <w:rsid w:val="002C0A97"/>
    <w:rsid w:val="002C0C71"/>
    <w:rsid w:val="002C0D69"/>
    <w:rsid w:val="002C13BF"/>
    <w:rsid w:val="002C186E"/>
    <w:rsid w:val="002C1FDE"/>
    <w:rsid w:val="002C221E"/>
    <w:rsid w:val="002C2607"/>
    <w:rsid w:val="002C2A73"/>
    <w:rsid w:val="002C3181"/>
    <w:rsid w:val="002C36AF"/>
    <w:rsid w:val="002C3F52"/>
    <w:rsid w:val="002C414C"/>
    <w:rsid w:val="002C4158"/>
    <w:rsid w:val="002C4EE2"/>
    <w:rsid w:val="002C65F2"/>
    <w:rsid w:val="002C7505"/>
    <w:rsid w:val="002C758F"/>
    <w:rsid w:val="002C78CA"/>
    <w:rsid w:val="002C7E87"/>
    <w:rsid w:val="002C7F65"/>
    <w:rsid w:val="002D01FE"/>
    <w:rsid w:val="002D1572"/>
    <w:rsid w:val="002D438C"/>
    <w:rsid w:val="002D441F"/>
    <w:rsid w:val="002D5C87"/>
    <w:rsid w:val="002D5D92"/>
    <w:rsid w:val="002D5F46"/>
    <w:rsid w:val="002D6700"/>
    <w:rsid w:val="002D6FC1"/>
    <w:rsid w:val="002D7311"/>
    <w:rsid w:val="002D7503"/>
    <w:rsid w:val="002D77FC"/>
    <w:rsid w:val="002E1037"/>
    <w:rsid w:val="002E14C1"/>
    <w:rsid w:val="002E1688"/>
    <w:rsid w:val="002E1B3F"/>
    <w:rsid w:val="002E1B54"/>
    <w:rsid w:val="002E2AE8"/>
    <w:rsid w:val="002E2BCE"/>
    <w:rsid w:val="002E31B8"/>
    <w:rsid w:val="002E334B"/>
    <w:rsid w:val="002E3DF4"/>
    <w:rsid w:val="002E42D5"/>
    <w:rsid w:val="002E484D"/>
    <w:rsid w:val="002E4960"/>
    <w:rsid w:val="002E4C16"/>
    <w:rsid w:val="002E54FB"/>
    <w:rsid w:val="002E6572"/>
    <w:rsid w:val="002E68F9"/>
    <w:rsid w:val="002E709A"/>
    <w:rsid w:val="002E7A03"/>
    <w:rsid w:val="002E7A0B"/>
    <w:rsid w:val="002E7DB2"/>
    <w:rsid w:val="002F0EAD"/>
    <w:rsid w:val="002F0FDE"/>
    <w:rsid w:val="002F10E8"/>
    <w:rsid w:val="002F1426"/>
    <w:rsid w:val="002F15E9"/>
    <w:rsid w:val="002F1F45"/>
    <w:rsid w:val="002F208E"/>
    <w:rsid w:val="002F312B"/>
    <w:rsid w:val="002F3E9B"/>
    <w:rsid w:val="002F4958"/>
    <w:rsid w:val="002F5EEC"/>
    <w:rsid w:val="002F610A"/>
    <w:rsid w:val="002F66D2"/>
    <w:rsid w:val="002F68B3"/>
    <w:rsid w:val="002F6A38"/>
    <w:rsid w:val="002F6F0F"/>
    <w:rsid w:val="002F7068"/>
    <w:rsid w:val="002F709B"/>
    <w:rsid w:val="0030011A"/>
    <w:rsid w:val="00300A63"/>
    <w:rsid w:val="0030252C"/>
    <w:rsid w:val="00303415"/>
    <w:rsid w:val="0030348E"/>
    <w:rsid w:val="0030350D"/>
    <w:rsid w:val="00303ABB"/>
    <w:rsid w:val="003049B8"/>
    <w:rsid w:val="00304F42"/>
    <w:rsid w:val="00305C05"/>
    <w:rsid w:val="00305C68"/>
    <w:rsid w:val="00305EBB"/>
    <w:rsid w:val="003075B8"/>
    <w:rsid w:val="003077A0"/>
    <w:rsid w:val="0031099D"/>
    <w:rsid w:val="003112BE"/>
    <w:rsid w:val="003132A2"/>
    <w:rsid w:val="00313711"/>
    <w:rsid w:val="00314485"/>
    <w:rsid w:val="00315080"/>
    <w:rsid w:val="003167A7"/>
    <w:rsid w:val="00316AFC"/>
    <w:rsid w:val="00316F6F"/>
    <w:rsid w:val="00316FE6"/>
    <w:rsid w:val="00317A53"/>
    <w:rsid w:val="00320078"/>
    <w:rsid w:val="003204A0"/>
    <w:rsid w:val="0032074A"/>
    <w:rsid w:val="0032107F"/>
    <w:rsid w:val="00321221"/>
    <w:rsid w:val="003216D9"/>
    <w:rsid w:val="00321F13"/>
    <w:rsid w:val="00322100"/>
    <w:rsid w:val="00322118"/>
    <w:rsid w:val="00322580"/>
    <w:rsid w:val="00322755"/>
    <w:rsid w:val="00322B40"/>
    <w:rsid w:val="00322BE4"/>
    <w:rsid w:val="00322C20"/>
    <w:rsid w:val="00322CC5"/>
    <w:rsid w:val="0032315C"/>
    <w:rsid w:val="003237D9"/>
    <w:rsid w:val="00323F60"/>
    <w:rsid w:val="00325696"/>
    <w:rsid w:val="0032772D"/>
    <w:rsid w:val="00327A09"/>
    <w:rsid w:val="00327D42"/>
    <w:rsid w:val="00331413"/>
    <w:rsid w:val="003318D6"/>
    <w:rsid w:val="00331B53"/>
    <w:rsid w:val="00331D75"/>
    <w:rsid w:val="00332664"/>
    <w:rsid w:val="00333746"/>
    <w:rsid w:val="003344FC"/>
    <w:rsid w:val="003351AF"/>
    <w:rsid w:val="003355F2"/>
    <w:rsid w:val="00336ED6"/>
    <w:rsid w:val="00340A30"/>
    <w:rsid w:val="00340DF4"/>
    <w:rsid w:val="003410A6"/>
    <w:rsid w:val="00341A8F"/>
    <w:rsid w:val="00341E07"/>
    <w:rsid w:val="003425A6"/>
    <w:rsid w:val="00342F14"/>
    <w:rsid w:val="00343221"/>
    <w:rsid w:val="00343A91"/>
    <w:rsid w:val="003458BB"/>
    <w:rsid w:val="003458FE"/>
    <w:rsid w:val="00345A99"/>
    <w:rsid w:val="00346652"/>
    <w:rsid w:val="00347DCB"/>
    <w:rsid w:val="003504DE"/>
    <w:rsid w:val="00350F51"/>
    <w:rsid w:val="00351410"/>
    <w:rsid w:val="00352D0A"/>
    <w:rsid w:val="0035356D"/>
    <w:rsid w:val="00353615"/>
    <w:rsid w:val="00353FB1"/>
    <w:rsid w:val="0035404F"/>
    <w:rsid w:val="0035488F"/>
    <w:rsid w:val="00355D14"/>
    <w:rsid w:val="00355E13"/>
    <w:rsid w:val="00356CFA"/>
    <w:rsid w:val="0036069D"/>
    <w:rsid w:val="003609AA"/>
    <w:rsid w:val="00362DC5"/>
    <w:rsid w:val="00362DD4"/>
    <w:rsid w:val="00363580"/>
    <w:rsid w:val="00363FBD"/>
    <w:rsid w:val="00364DE8"/>
    <w:rsid w:val="00365A8E"/>
    <w:rsid w:val="00365B6A"/>
    <w:rsid w:val="00366BE4"/>
    <w:rsid w:val="00366DEA"/>
    <w:rsid w:val="003671D2"/>
    <w:rsid w:val="003672BD"/>
    <w:rsid w:val="003675F4"/>
    <w:rsid w:val="00367641"/>
    <w:rsid w:val="00370885"/>
    <w:rsid w:val="00371720"/>
    <w:rsid w:val="0037256F"/>
    <w:rsid w:val="00374E7F"/>
    <w:rsid w:val="003754E9"/>
    <w:rsid w:val="00375751"/>
    <w:rsid w:val="003763A8"/>
    <w:rsid w:val="0037778D"/>
    <w:rsid w:val="003777E5"/>
    <w:rsid w:val="00377CF7"/>
    <w:rsid w:val="00377EC6"/>
    <w:rsid w:val="003811B5"/>
    <w:rsid w:val="00381497"/>
    <w:rsid w:val="003819A5"/>
    <w:rsid w:val="003821D7"/>
    <w:rsid w:val="00382769"/>
    <w:rsid w:val="0038338C"/>
    <w:rsid w:val="0038351B"/>
    <w:rsid w:val="0038397D"/>
    <w:rsid w:val="00383A61"/>
    <w:rsid w:val="0038552B"/>
    <w:rsid w:val="00385633"/>
    <w:rsid w:val="00385784"/>
    <w:rsid w:val="00386594"/>
    <w:rsid w:val="00390145"/>
    <w:rsid w:val="003901E6"/>
    <w:rsid w:val="00390208"/>
    <w:rsid w:val="003908EE"/>
    <w:rsid w:val="003913F8"/>
    <w:rsid w:val="0039150F"/>
    <w:rsid w:val="003917DB"/>
    <w:rsid w:val="00391BA1"/>
    <w:rsid w:val="00391E0B"/>
    <w:rsid w:val="00392A90"/>
    <w:rsid w:val="00392ADA"/>
    <w:rsid w:val="00393019"/>
    <w:rsid w:val="003932FF"/>
    <w:rsid w:val="00393711"/>
    <w:rsid w:val="003941F1"/>
    <w:rsid w:val="0039521D"/>
    <w:rsid w:val="00395B0C"/>
    <w:rsid w:val="00396C31"/>
    <w:rsid w:val="003972C6"/>
    <w:rsid w:val="00397365"/>
    <w:rsid w:val="003973D2"/>
    <w:rsid w:val="003975DE"/>
    <w:rsid w:val="003A0165"/>
    <w:rsid w:val="003A0AB9"/>
    <w:rsid w:val="003A0EDB"/>
    <w:rsid w:val="003A2619"/>
    <w:rsid w:val="003A4447"/>
    <w:rsid w:val="003A4CDE"/>
    <w:rsid w:val="003A4E69"/>
    <w:rsid w:val="003A5250"/>
    <w:rsid w:val="003A5310"/>
    <w:rsid w:val="003A5A0A"/>
    <w:rsid w:val="003A7F3F"/>
    <w:rsid w:val="003B0BA4"/>
    <w:rsid w:val="003B0DE4"/>
    <w:rsid w:val="003B153D"/>
    <w:rsid w:val="003B26FD"/>
    <w:rsid w:val="003B2DC7"/>
    <w:rsid w:val="003B2F26"/>
    <w:rsid w:val="003B314D"/>
    <w:rsid w:val="003B3425"/>
    <w:rsid w:val="003B349F"/>
    <w:rsid w:val="003B3644"/>
    <w:rsid w:val="003B3864"/>
    <w:rsid w:val="003B3CCA"/>
    <w:rsid w:val="003B3F3D"/>
    <w:rsid w:val="003B44F5"/>
    <w:rsid w:val="003B4A0C"/>
    <w:rsid w:val="003B553F"/>
    <w:rsid w:val="003B574C"/>
    <w:rsid w:val="003B5C2D"/>
    <w:rsid w:val="003B5E83"/>
    <w:rsid w:val="003B60C6"/>
    <w:rsid w:val="003B70AE"/>
    <w:rsid w:val="003B7B34"/>
    <w:rsid w:val="003B7E44"/>
    <w:rsid w:val="003C0473"/>
    <w:rsid w:val="003C09DC"/>
    <w:rsid w:val="003C0AD0"/>
    <w:rsid w:val="003C0DE4"/>
    <w:rsid w:val="003C0EBF"/>
    <w:rsid w:val="003C1293"/>
    <w:rsid w:val="003C14C5"/>
    <w:rsid w:val="003C1672"/>
    <w:rsid w:val="003C20B7"/>
    <w:rsid w:val="003C20E1"/>
    <w:rsid w:val="003C2958"/>
    <w:rsid w:val="003C40F1"/>
    <w:rsid w:val="003C6360"/>
    <w:rsid w:val="003C6852"/>
    <w:rsid w:val="003C6F28"/>
    <w:rsid w:val="003C7429"/>
    <w:rsid w:val="003C7511"/>
    <w:rsid w:val="003C7539"/>
    <w:rsid w:val="003D0023"/>
    <w:rsid w:val="003D10E6"/>
    <w:rsid w:val="003D1137"/>
    <w:rsid w:val="003D16DA"/>
    <w:rsid w:val="003D1D58"/>
    <w:rsid w:val="003D3257"/>
    <w:rsid w:val="003D41FA"/>
    <w:rsid w:val="003D4FFE"/>
    <w:rsid w:val="003D5357"/>
    <w:rsid w:val="003D5E90"/>
    <w:rsid w:val="003D61ED"/>
    <w:rsid w:val="003D6378"/>
    <w:rsid w:val="003D67FA"/>
    <w:rsid w:val="003D6987"/>
    <w:rsid w:val="003D7280"/>
    <w:rsid w:val="003E011B"/>
    <w:rsid w:val="003E0F56"/>
    <w:rsid w:val="003E1133"/>
    <w:rsid w:val="003E11E9"/>
    <w:rsid w:val="003E2440"/>
    <w:rsid w:val="003E2640"/>
    <w:rsid w:val="003E31AF"/>
    <w:rsid w:val="003E3BAD"/>
    <w:rsid w:val="003E3CB9"/>
    <w:rsid w:val="003E41AB"/>
    <w:rsid w:val="003E506B"/>
    <w:rsid w:val="003E5427"/>
    <w:rsid w:val="003E5917"/>
    <w:rsid w:val="003E5C6B"/>
    <w:rsid w:val="003E6246"/>
    <w:rsid w:val="003E6620"/>
    <w:rsid w:val="003E749E"/>
    <w:rsid w:val="003E7886"/>
    <w:rsid w:val="003E7A5D"/>
    <w:rsid w:val="003E7D8F"/>
    <w:rsid w:val="003E7F1B"/>
    <w:rsid w:val="003F04A9"/>
    <w:rsid w:val="003F05E8"/>
    <w:rsid w:val="003F06F4"/>
    <w:rsid w:val="003F0D07"/>
    <w:rsid w:val="003F105F"/>
    <w:rsid w:val="003F1404"/>
    <w:rsid w:val="003F1490"/>
    <w:rsid w:val="003F1A63"/>
    <w:rsid w:val="003F1CD2"/>
    <w:rsid w:val="003F1F9B"/>
    <w:rsid w:val="003F2085"/>
    <w:rsid w:val="003F3D4B"/>
    <w:rsid w:val="003F5657"/>
    <w:rsid w:val="003F6387"/>
    <w:rsid w:val="003F7DD3"/>
    <w:rsid w:val="004003C5"/>
    <w:rsid w:val="0040140C"/>
    <w:rsid w:val="00402A4D"/>
    <w:rsid w:val="00402AD8"/>
    <w:rsid w:val="00402CEC"/>
    <w:rsid w:val="00403209"/>
    <w:rsid w:val="004042B3"/>
    <w:rsid w:val="00404950"/>
    <w:rsid w:val="00404E8F"/>
    <w:rsid w:val="004050CE"/>
    <w:rsid w:val="00405540"/>
    <w:rsid w:val="00405695"/>
    <w:rsid w:val="00406E39"/>
    <w:rsid w:val="0040740A"/>
    <w:rsid w:val="00407501"/>
    <w:rsid w:val="00407681"/>
    <w:rsid w:val="00407C53"/>
    <w:rsid w:val="00407CA6"/>
    <w:rsid w:val="00407D76"/>
    <w:rsid w:val="0041048C"/>
    <w:rsid w:val="00410C0A"/>
    <w:rsid w:val="0041190E"/>
    <w:rsid w:val="00411944"/>
    <w:rsid w:val="00411C65"/>
    <w:rsid w:val="00411DF8"/>
    <w:rsid w:val="00411E90"/>
    <w:rsid w:val="00412969"/>
    <w:rsid w:val="004147BF"/>
    <w:rsid w:val="004149D4"/>
    <w:rsid w:val="00415B76"/>
    <w:rsid w:val="00417E7C"/>
    <w:rsid w:val="0042102C"/>
    <w:rsid w:val="00421604"/>
    <w:rsid w:val="00421790"/>
    <w:rsid w:val="00422AA1"/>
    <w:rsid w:val="00422E77"/>
    <w:rsid w:val="00422F4C"/>
    <w:rsid w:val="004234D7"/>
    <w:rsid w:val="004246D4"/>
    <w:rsid w:val="00424C18"/>
    <w:rsid w:val="00425097"/>
    <w:rsid w:val="004256B6"/>
    <w:rsid w:val="00425C52"/>
    <w:rsid w:val="00425CC2"/>
    <w:rsid w:val="00426D0B"/>
    <w:rsid w:val="00427734"/>
    <w:rsid w:val="00427784"/>
    <w:rsid w:val="0042788B"/>
    <w:rsid w:val="00427C2A"/>
    <w:rsid w:val="004305C2"/>
    <w:rsid w:val="004309D5"/>
    <w:rsid w:val="0043249A"/>
    <w:rsid w:val="00433C15"/>
    <w:rsid w:val="00434582"/>
    <w:rsid w:val="00434586"/>
    <w:rsid w:val="00434D01"/>
    <w:rsid w:val="00435C1E"/>
    <w:rsid w:val="00436D92"/>
    <w:rsid w:val="00436F32"/>
    <w:rsid w:val="004370C0"/>
    <w:rsid w:val="00437B9C"/>
    <w:rsid w:val="00437CD1"/>
    <w:rsid w:val="00440E2C"/>
    <w:rsid w:val="00441077"/>
    <w:rsid w:val="00441829"/>
    <w:rsid w:val="00441E25"/>
    <w:rsid w:val="00442062"/>
    <w:rsid w:val="004425D3"/>
    <w:rsid w:val="00442F15"/>
    <w:rsid w:val="004433A7"/>
    <w:rsid w:val="00443B53"/>
    <w:rsid w:val="00444FAB"/>
    <w:rsid w:val="00446D56"/>
    <w:rsid w:val="00447575"/>
    <w:rsid w:val="00450311"/>
    <w:rsid w:val="0045081E"/>
    <w:rsid w:val="00450B1A"/>
    <w:rsid w:val="00450C19"/>
    <w:rsid w:val="0045140F"/>
    <w:rsid w:val="0045176C"/>
    <w:rsid w:val="00452604"/>
    <w:rsid w:val="004526F8"/>
    <w:rsid w:val="00452E6B"/>
    <w:rsid w:val="00453531"/>
    <w:rsid w:val="0045438E"/>
    <w:rsid w:val="00454A4D"/>
    <w:rsid w:val="004554C0"/>
    <w:rsid w:val="004561D1"/>
    <w:rsid w:val="004607D9"/>
    <w:rsid w:val="0046171C"/>
    <w:rsid w:val="004625BD"/>
    <w:rsid w:val="00463364"/>
    <w:rsid w:val="00463508"/>
    <w:rsid w:val="004639E8"/>
    <w:rsid w:val="0046499C"/>
    <w:rsid w:val="00464B76"/>
    <w:rsid w:val="00464D2C"/>
    <w:rsid w:val="00465F33"/>
    <w:rsid w:val="00466115"/>
    <w:rsid w:val="00466590"/>
    <w:rsid w:val="00466870"/>
    <w:rsid w:val="00466F60"/>
    <w:rsid w:val="00467733"/>
    <w:rsid w:val="00467747"/>
    <w:rsid w:val="00467B01"/>
    <w:rsid w:val="00467B99"/>
    <w:rsid w:val="00467C9E"/>
    <w:rsid w:val="00467F54"/>
    <w:rsid w:val="00470BF9"/>
    <w:rsid w:val="00471A18"/>
    <w:rsid w:val="00471F3E"/>
    <w:rsid w:val="00472305"/>
    <w:rsid w:val="004727DB"/>
    <w:rsid w:val="00473065"/>
    <w:rsid w:val="004733EB"/>
    <w:rsid w:val="004738CC"/>
    <w:rsid w:val="00473A43"/>
    <w:rsid w:val="00474C9A"/>
    <w:rsid w:val="004760C5"/>
    <w:rsid w:val="004778BB"/>
    <w:rsid w:val="004809C8"/>
    <w:rsid w:val="00480B4E"/>
    <w:rsid w:val="0048181B"/>
    <w:rsid w:val="004825B5"/>
    <w:rsid w:val="00482DBA"/>
    <w:rsid w:val="00482F43"/>
    <w:rsid w:val="0048348D"/>
    <w:rsid w:val="004836ED"/>
    <w:rsid w:val="00483A82"/>
    <w:rsid w:val="00483CA4"/>
    <w:rsid w:val="00483EF5"/>
    <w:rsid w:val="004843B2"/>
    <w:rsid w:val="0048457E"/>
    <w:rsid w:val="00484709"/>
    <w:rsid w:val="00485839"/>
    <w:rsid w:val="00485BE6"/>
    <w:rsid w:val="00485D99"/>
    <w:rsid w:val="00485ECA"/>
    <w:rsid w:val="00486038"/>
    <w:rsid w:val="00486890"/>
    <w:rsid w:val="00486CD3"/>
    <w:rsid w:val="00486EEB"/>
    <w:rsid w:val="0048771B"/>
    <w:rsid w:val="00487D0E"/>
    <w:rsid w:val="00490A73"/>
    <w:rsid w:val="00490D6D"/>
    <w:rsid w:val="00491667"/>
    <w:rsid w:val="00491B7F"/>
    <w:rsid w:val="00491E23"/>
    <w:rsid w:val="00491E9C"/>
    <w:rsid w:val="00492EA2"/>
    <w:rsid w:val="00493218"/>
    <w:rsid w:val="00493A3C"/>
    <w:rsid w:val="00493C16"/>
    <w:rsid w:val="00493DA2"/>
    <w:rsid w:val="004945C8"/>
    <w:rsid w:val="004954BA"/>
    <w:rsid w:val="0049567F"/>
    <w:rsid w:val="00495A6F"/>
    <w:rsid w:val="004976AC"/>
    <w:rsid w:val="004A0310"/>
    <w:rsid w:val="004A07D5"/>
    <w:rsid w:val="004A0BB6"/>
    <w:rsid w:val="004A13F9"/>
    <w:rsid w:val="004A1BCA"/>
    <w:rsid w:val="004A20E9"/>
    <w:rsid w:val="004A2171"/>
    <w:rsid w:val="004A2F68"/>
    <w:rsid w:val="004A4040"/>
    <w:rsid w:val="004A4466"/>
    <w:rsid w:val="004A4C98"/>
    <w:rsid w:val="004A52DF"/>
    <w:rsid w:val="004A5C19"/>
    <w:rsid w:val="004A5D58"/>
    <w:rsid w:val="004A5EAE"/>
    <w:rsid w:val="004A6476"/>
    <w:rsid w:val="004A6DDB"/>
    <w:rsid w:val="004A786A"/>
    <w:rsid w:val="004B0D6C"/>
    <w:rsid w:val="004B0F80"/>
    <w:rsid w:val="004B1428"/>
    <w:rsid w:val="004B18EF"/>
    <w:rsid w:val="004B22C7"/>
    <w:rsid w:val="004B361B"/>
    <w:rsid w:val="004B4949"/>
    <w:rsid w:val="004B5477"/>
    <w:rsid w:val="004B54E9"/>
    <w:rsid w:val="004B590C"/>
    <w:rsid w:val="004B69F3"/>
    <w:rsid w:val="004B6F52"/>
    <w:rsid w:val="004B750E"/>
    <w:rsid w:val="004C15DF"/>
    <w:rsid w:val="004C1C68"/>
    <w:rsid w:val="004C1E5C"/>
    <w:rsid w:val="004C2244"/>
    <w:rsid w:val="004C26D5"/>
    <w:rsid w:val="004C2B46"/>
    <w:rsid w:val="004C2B55"/>
    <w:rsid w:val="004C300A"/>
    <w:rsid w:val="004C3549"/>
    <w:rsid w:val="004C37BA"/>
    <w:rsid w:val="004C3EA9"/>
    <w:rsid w:val="004C4129"/>
    <w:rsid w:val="004C53D5"/>
    <w:rsid w:val="004C5668"/>
    <w:rsid w:val="004C5999"/>
    <w:rsid w:val="004C5AD2"/>
    <w:rsid w:val="004C5BB8"/>
    <w:rsid w:val="004C63C5"/>
    <w:rsid w:val="004C67D8"/>
    <w:rsid w:val="004C6A50"/>
    <w:rsid w:val="004C7240"/>
    <w:rsid w:val="004D0337"/>
    <w:rsid w:val="004D13E2"/>
    <w:rsid w:val="004D1DBA"/>
    <w:rsid w:val="004D245D"/>
    <w:rsid w:val="004D29EF"/>
    <w:rsid w:val="004D2B38"/>
    <w:rsid w:val="004D3883"/>
    <w:rsid w:val="004D3F4B"/>
    <w:rsid w:val="004D40BF"/>
    <w:rsid w:val="004D4989"/>
    <w:rsid w:val="004D54E7"/>
    <w:rsid w:val="004D58AD"/>
    <w:rsid w:val="004D595A"/>
    <w:rsid w:val="004D5AF5"/>
    <w:rsid w:val="004D5B10"/>
    <w:rsid w:val="004D5B49"/>
    <w:rsid w:val="004D622A"/>
    <w:rsid w:val="004D7331"/>
    <w:rsid w:val="004E0B89"/>
    <w:rsid w:val="004E1702"/>
    <w:rsid w:val="004E1907"/>
    <w:rsid w:val="004E2012"/>
    <w:rsid w:val="004E25C7"/>
    <w:rsid w:val="004E3537"/>
    <w:rsid w:val="004E3AF9"/>
    <w:rsid w:val="004E3BE3"/>
    <w:rsid w:val="004E55A9"/>
    <w:rsid w:val="004E5770"/>
    <w:rsid w:val="004E5822"/>
    <w:rsid w:val="004E5CD4"/>
    <w:rsid w:val="004E720B"/>
    <w:rsid w:val="004F1304"/>
    <w:rsid w:val="004F1434"/>
    <w:rsid w:val="004F2410"/>
    <w:rsid w:val="004F2C19"/>
    <w:rsid w:val="004F2C56"/>
    <w:rsid w:val="004F3EB6"/>
    <w:rsid w:val="004F4560"/>
    <w:rsid w:val="004F4751"/>
    <w:rsid w:val="004F48B1"/>
    <w:rsid w:val="004F5227"/>
    <w:rsid w:val="004F53EF"/>
    <w:rsid w:val="004F5A66"/>
    <w:rsid w:val="004F6707"/>
    <w:rsid w:val="004F71CF"/>
    <w:rsid w:val="004F780A"/>
    <w:rsid w:val="00500BE1"/>
    <w:rsid w:val="00501C7F"/>
    <w:rsid w:val="00502C4F"/>
    <w:rsid w:val="005038C6"/>
    <w:rsid w:val="00504776"/>
    <w:rsid w:val="005057B6"/>
    <w:rsid w:val="00505B0C"/>
    <w:rsid w:val="00506433"/>
    <w:rsid w:val="00507187"/>
    <w:rsid w:val="005076A3"/>
    <w:rsid w:val="005076C8"/>
    <w:rsid w:val="005112CF"/>
    <w:rsid w:val="0051142B"/>
    <w:rsid w:val="005116A7"/>
    <w:rsid w:val="0051198F"/>
    <w:rsid w:val="00511B76"/>
    <w:rsid w:val="00512002"/>
    <w:rsid w:val="00512212"/>
    <w:rsid w:val="00512792"/>
    <w:rsid w:val="00512C5B"/>
    <w:rsid w:val="00512CBE"/>
    <w:rsid w:val="00512D05"/>
    <w:rsid w:val="005130FF"/>
    <w:rsid w:val="0051347E"/>
    <w:rsid w:val="00515660"/>
    <w:rsid w:val="00515E59"/>
    <w:rsid w:val="00516754"/>
    <w:rsid w:val="00516C06"/>
    <w:rsid w:val="00517048"/>
    <w:rsid w:val="00517FA7"/>
    <w:rsid w:val="0052155C"/>
    <w:rsid w:val="00521BC0"/>
    <w:rsid w:val="00523110"/>
    <w:rsid w:val="00523A85"/>
    <w:rsid w:val="005241F5"/>
    <w:rsid w:val="00524FF6"/>
    <w:rsid w:val="00525094"/>
    <w:rsid w:val="00525308"/>
    <w:rsid w:val="00525CDD"/>
    <w:rsid w:val="00525D4E"/>
    <w:rsid w:val="0052643F"/>
    <w:rsid w:val="00526732"/>
    <w:rsid w:val="005268EA"/>
    <w:rsid w:val="00527092"/>
    <w:rsid w:val="00527AB3"/>
    <w:rsid w:val="00530486"/>
    <w:rsid w:val="0053071A"/>
    <w:rsid w:val="00530A01"/>
    <w:rsid w:val="005314B3"/>
    <w:rsid w:val="005319D9"/>
    <w:rsid w:val="00531C77"/>
    <w:rsid w:val="00532F23"/>
    <w:rsid w:val="005333A5"/>
    <w:rsid w:val="00533A76"/>
    <w:rsid w:val="00533EBD"/>
    <w:rsid w:val="005344F5"/>
    <w:rsid w:val="005345CF"/>
    <w:rsid w:val="00535276"/>
    <w:rsid w:val="005355CB"/>
    <w:rsid w:val="00535983"/>
    <w:rsid w:val="00535D11"/>
    <w:rsid w:val="00536E49"/>
    <w:rsid w:val="00536FE5"/>
    <w:rsid w:val="00537980"/>
    <w:rsid w:val="005405E1"/>
    <w:rsid w:val="00540621"/>
    <w:rsid w:val="0054069E"/>
    <w:rsid w:val="00540CB7"/>
    <w:rsid w:val="00541113"/>
    <w:rsid w:val="0054126C"/>
    <w:rsid w:val="005412EB"/>
    <w:rsid w:val="005413F4"/>
    <w:rsid w:val="00541AA9"/>
    <w:rsid w:val="0054202B"/>
    <w:rsid w:val="00542088"/>
    <w:rsid w:val="005421EE"/>
    <w:rsid w:val="0054262F"/>
    <w:rsid w:val="0054371F"/>
    <w:rsid w:val="00543FDB"/>
    <w:rsid w:val="00544B3E"/>
    <w:rsid w:val="005451F7"/>
    <w:rsid w:val="0054521E"/>
    <w:rsid w:val="00545E09"/>
    <w:rsid w:val="0054746B"/>
    <w:rsid w:val="005501B3"/>
    <w:rsid w:val="0055088D"/>
    <w:rsid w:val="0055110D"/>
    <w:rsid w:val="00552125"/>
    <w:rsid w:val="0055290D"/>
    <w:rsid w:val="00552AFC"/>
    <w:rsid w:val="00553ABC"/>
    <w:rsid w:val="00553BCF"/>
    <w:rsid w:val="00554287"/>
    <w:rsid w:val="00554DF0"/>
    <w:rsid w:val="0055502B"/>
    <w:rsid w:val="00557667"/>
    <w:rsid w:val="00557B7B"/>
    <w:rsid w:val="00557C3D"/>
    <w:rsid w:val="00557E52"/>
    <w:rsid w:val="005601E9"/>
    <w:rsid w:val="00561569"/>
    <w:rsid w:val="005619D5"/>
    <w:rsid w:val="00561E90"/>
    <w:rsid w:val="0056214A"/>
    <w:rsid w:val="00562424"/>
    <w:rsid w:val="00562A05"/>
    <w:rsid w:val="00562EFF"/>
    <w:rsid w:val="005630F3"/>
    <w:rsid w:val="00564B2A"/>
    <w:rsid w:val="005651D9"/>
    <w:rsid w:val="00565482"/>
    <w:rsid w:val="00566620"/>
    <w:rsid w:val="00566C15"/>
    <w:rsid w:val="00567552"/>
    <w:rsid w:val="005676D3"/>
    <w:rsid w:val="00570B76"/>
    <w:rsid w:val="00572F9A"/>
    <w:rsid w:val="00573783"/>
    <w:rsid w:val="00573B71"/>
    <w:rsid w:val="005747AA"/>
    <w:rsid w:val="005753E0"/>
    <w:rsid w:val="005756C4"/>
    <w:rsid w:val="0057572A"/>
    <w:rsid w:val="0057653D"/>
    <w:rsid w:val="005769DC"/>
    <w:rsid w:val="0057768F"/>
    <w:rsid w:val="0057783E"/>
    <w:rsid w:val="0057798B"/>
    <w:rsid w:val="005779EC"/>
    <w:rsid w:val="00580217"/>
    <w:rsid w:val="00580532"/>
    <w:rsid w:val="00580D00"/>
    <w:rsid w:val="00581C0F"/>
    <w:rsid w:val="00583095"/>
    <w:rsid w:val="005841E4"/>
    <w:rsid w:val="005851B6"/>
    <w:rsid w:val="00585473"/>
    <w:rsid w:val="00586301"/>
    <w:rsid w:val="005872A2"/>
    <w:rsid w:val="00587DB9"/>
    <w:rsid w:val="0059124B"/>
    <w:rsid w:val="00591989"/>
    <w:rsid w:val="00591A09"/>
    <w:rsid w:val="00592A47"/>
    <w:rsid w:val="00593242"/>
    <w:rsid w:val="00593BE9"/>
    <w:rsid w:val="00596242"/>
    <w:rsid w:val="005A1263"/>
    <w:rsid w:val="005A288F"/>
    <w:rsid w:val="005A293B"/>
    <w:rsid w:val="005A33F0"/>
    <w:rsid w:val="005A3D33"/>
    <w:rsid w:val="005A4097"/>
    <w:rsid w:val="005A425D"/>
    <w:rsid w:val="005A4FCD"/>
    <w:rsid w:val="005A5296"/>
    <w:rsid w:val="005A6473"/>
    <w:rsid w:val="005A6813"/>
    <w:rsid w:val="005A685E"/>
    <w:rsid w:val="005A6A4B"/>
    <w:rsid w:val="005A6E3F"/>
    <w:rsid w:val="005A7574"/>
    <w:rsid w:val="005A7DFE"/>
    <w:rsid w:val="005B011D"/>
    <w:rsid w:val="005B0614"/>
    <w:rsid w:val="005B0AF6"/>
    <w:rsid w:val="005B194B"/>
    <w:rsid w:val="005B1CAC"/>
    <w:rsid w:val="005B2108"/>
    <w:rsid w:val="005B2154"/>
    <w:rsid w:val="005B26E7"/>
    <w:rsid w:val="005B2E9B"/>
    <w:rsid w:val="005B30B9"/>
    <w:rsid w:val="005B37BB"/>
    <w:rsid w:val="005B3B0B"/>
    <w:rsid w:val="005B4062"/>
    <w:rsid w:val="005B489F"/>
    <w:rsid w:val="005B4C29"/>
    <w:rsid w:val="005B6387"/>
    <w:rsid w:val="005B7132"/>
    <w:rsid w:val="005B733A"/>
    <w:rsid w:val="005C09FC"/>
    <w:rsid w:val="005C0CB4"/>
    <w:rsid w:val="005C218B"/>
    <w:rsid w:val="005C2894"/>
    <w:rsid w:val="005C29D9"/>
    <w:rsid w:val="005C2BBC"/>
    <w:rsid w:val="005C3B30"/>
    <w:rsid w:val="005C44E6"/>
    <w:rsid w:val="005C4505"/>
    <w:rsid w:val="005C4812"/>
    <w:rsid w:val="005C70CA"/>
    <w:rsid w:val="005C77A4"/>
    <w:rsid w:val="005C785F"/>
    <w:rsid w:val="005D127E"/>
    <w:rsid w:val="005D1939"/>
    <w:rsid w:val="005D2323"/>
    <w:rsid w:val="005D522F"/>
    <w:rsid w:val="005D57B0"/>
    <w:rsid w:val="005D5AE2"/>
    <w:rsid w:val="005D74A2"/>
    <w:rsid w:val="005D75E2"/>
    <w:rsid w:val="005D7F2A"/>
    <w:rsid w:val="005D7FBE"/>
    <w:rsid w:val="005E0F12"/>
    <w:rsid w:val="005E1182"/>
    <w:rsid w:val="005E129A"/>
    <w:rsid w:val="005E133A"/>
    <w:rsid w:val="005E1E1D"/>
    <w:rsid w:val="005E1E4E"/>
    <w:rsid w:val="005E2427"/>
    <w:rsid w:val="005E28C4"/>
    <w:rsid w:val="005E3560"/>
    <w:rsid w:val="005E3D1B"/>
    <w:rsid w:val="005E3E8A"/>
    <w:rsid w:val="005E4236"/>
    <w:rsid w:val="005E47EC"/>
    <w:rsid w:val="005E511E"/>
    <w:rsid w:val="005E563A"/>
    <w:rsid w:val="005E6054"/>
    <w:rsid w:val="005E73D4"/>
    <w:rsid w:val="005E7F1B"/>
    <w:rsid w:val="005F0413"/>
    <w:rsid w:val="005F0505"/>
    <w:rsid w:val="005F085F"/>
    <w:rsid w:val="005F17BD"/>
    <w:rsid w:val="005F1A4D"/>
    <w:rsid w:val="005F24DC"/>
    <w:rsid w:val="005F3A0E"/>
    <w:rsid w:val="005F3D8E"/>
    <w:rsid w:val="005F3FC2"/>
    <w:rsid w:val="005F3FFE"/>
    <w:rsid w:val="005F5717"/>
    <w:rsid w:val="005F5746"/>
    <w:rsid w:val="005F57A1"/>
    <w:rsid w:val="005F58CE"/>
    <w:rsid w:val="005F60FD"/>
    <w:rsid w:val="005F64F6"/>
    <w:rsid w:val="005F7139"/>
    <w:rsid w:val="005F750B"/>
    <w:rsid w:val="005F77E3"/>
    <w:rsid w:val="005F79BF"/>
    <w:rsid w:val="005F7E54"/>
    <w:rsid w:val="0060035B"/>
    <w:rsid w:val="006006B2"/>
    <w:rsid w:val="00600842"/>
    <w:rsid w:val="006025B4"/>
    <w:rsid w:val="00602C41"/>
    <w:rsid w:val="00602CBD"/>
    <w:rsid w:val="006045A2"/>
    <w:rsid w:val="006045C0"/>
    <w:rsid w:val="00604CAC"/>
    <w:rsid w:val="00605015"/>
    <w:rsid w:val="0060656D"/>
    <w:rsid w:val="0060658B"/>
    <w:rsid w:val="00606F44"/>
    <w:rsid w:val="0060717B"/>
    <w:rsid w:val="00607A60"/>
    <w:rsid w:val="00610248"/>
    <w:rsid w:val="00610DDD"/>
    <w:rsid w:val="006116D5"/>
    <w:rsid w:val="006122BB"/>
    <w:rsid w:val="006126DA"/>
    <w:rsid w:val="0061422C"/>
    <w:rsid w:val="006144E2"/>
    <w:rsid w:val="00614C1A"/>
    <w:rsid w:val="00614FA0"/>
    <w:rsid w:val="0061638F"/>
    <w:rsid w:val="00616567"/>
    <w:rsid w:val="0061659E"/>
    <w:rsid w:val="00616961"/>
    <w:rsid w:val="00620571"/>
    <w:rsid w:val="006205EA"/>
    <w:rsid w:val="006206F6"/>
    <w:rsid w:val="00620A60"/>
    <w:rsid w:val="00620B70"/>
    <w:rsid w:val="00622222"/>
    <w:rsid w:val="006223EF"/>
    <w:rsid w:val="006227FA"/>
    <w:rsid w:val="00622E5A"/>
    <w:rsid w:val="0062373B"/>
    <w:rsid w:val="006247C6"/>
    <w:rsid w:val="00624ADF"/>
    <w:rsid w:val="00624FC1"/>
    <w:rsid w:val="00625357"/>
    <w:rsid w:val="006253B3"/>
    <w:rsid w:val="006254A0"/>
    <w:rsid w:val="006254E5"/>
    <w:rsid w:val="0062568F"/>
    <w:rsid w:val="006258A5"/>
    <w:rsid w:val="006261A3"/>
    <w:rsid w:val="00626F13"/>
    <w:rsid w:val="00627938"/>
    <w:rsid w:val="0063065B"/>
    <w:rsid w:val="0063104B"/>
    <w:rsid w:val="0063218A"/>
    <w:rsid w:val="00632E41"/>
    <w:rsid w:val="00632F74"/>
    <w:rsid w:val="00633534"/>
    <w:rsid w:val="00633759"/>
    <w:rsid w:val="00633B67"/>
    <w:rsid w:val="00633CD3"/>
    <w:rsid w:val="006340FB"/>
    <w:rsid w:val="00634828"/>
    <w:rsid w:val="00635699"/>
    <w:rsid w:val="006356CC"/>
    <w:rsid w:val="00635D3F"/>
    <w:rsid w:val="00635F2F"/>
    <w:rsid w:val="0063651F"/>
    <w:rsid w:val="00636AA4"/>
    <w:rsid w:val="006372B3"/>
    <w:rsid w:val="0063791A"/>
    <w:rsid w:val="00637D5D"/>
    <w:rsid w:val="00637F5A"/>
    <w:rsid w:val="0064118A"/>
    <w:rsid w:val="0064213F"/>
    <w:rsid w:val="0064225F"/>
    <w:rsid w:val="00642750"/>
    <w:rsid w:val="0064455D"/>
    <w:rsid w:val="00646416"/>
    <w:rsid w:val="00647D8B"/>
    <w:rsid w:val="0065064D"/>
    <w:rsid w:val="00650998"/>
    <w:rsid w:val="00650BF4"/>
    <w:rsid w:val="00651B0F"/>
    <w:rsid w:val="00651F2E"/>
    <w:rsid w:val="00652429"/>
    <w:rsid w:val="006529CD"/>
    <w:rsid w:val="00652CFE"/>
    <w:rsid w:val="00652E16"/>
    <w:rsid w:val="00653137"/>
    <w:rsid w:val="0065397F"/>
    <w:rsid w:val="00654458"/>
    <w:rsid w:val="00654B06"/>
    <w:rsid w:val="00654B88"/>
    <w:rsid w:val="00654E2C"/>
    <w:rsid w:val="0065543E"/>
    <w:rsid w:val="00655A01"/>
    <w:rsid w:val="00656996"/>
    <w:rsid w:val="00657AB6"/>
    <w:rsid w:val="00657FE3"/>
    <w:rsid w:val="00660910"/>
    <w:rsid w:val="00660DF8"/>
    <w:rsid w:val="00660F44"/>
    <w:rsid w:val="00660FFD"/>
    <w:rsid w:val="006640A1"/>
    <w:rsid w:val="0066432A"/>
    <w:rsid w:val="00665590"/>
    <w:rsid w:val="006655C2"/>
    <w:rsid w:val="00665AFD"/>
    <w:rsid w:val="00665F6C"/>
    <w:rsid w:val="006661C6"/>
    <w:rsid w:val="006666A4"/>
    <w:rsid w:val="00667E3B"/>
    <w:rsid w:val="0067006A"/>
    <w:rsid w:val="0067049D"/>
    <w:rsid w:val="00670CCF"/>
    <w:rsid w:val="00670E6D"/>
    <w:rsid w:val="00670F1B"/>
    <w:rsid w:val="00671213"/>
    <w:rsid w:val="00672D92"/>
    <w:rsid w:val="00673526"/>
    <w:rsid w:val="006737B7"/>
    <w:rsid w:val="006746D4"/>
    <w:rsid w:val="006747E6"/>
    <w:rsid w:val="006757F3"/>
    <w:rsid w:val="00675D0B"/>
    <w:rsid w:val="00675D9D"/>
    <w:rsid w:val="0067636B"/>
    <w:rsid w:val="00677A05"/>
    <w:rsid w:val="00677C53"/>
    <w:rsid w:val="0068005C"/>
    <w:rsid w:val="00680E5E"/>
    <w:rsid w:val="0068114B"/>
    <w:rsid w:val="00681531"/>
    <w:rsid w:val="006818F6"/>
    <w:rsid w:val="006819CC"/>
    <w:rsid w:val="00682004"/>
    <w:rsid w:val="0068273D"/>
    <w:rsid w:val="00682853"/>
    <w:rsid w:val="006829C3"/>
    <w:rsid w:val="00683489"/>
    <w:rsid w:val="006836C4"/>
    <w:rsid w:val="0068428A"/>
    <w:rsid w:val="006845BF"/>
    <w:rsid w:val="00684A82"/>
    <w:rsid w:val="006851C0"/>
    <w:rsid w:val="00686178"/>
    <w:rsid w:val="0068637E"/>
    <w:rsid w:val="00686767"/>
    <w:rsid w:val="006867AC"/>
    <w:rsid w:val="006909FA"/>
    <w:rsid w:val="006914E4"/>
    <w:rsid w:val="00691DDE"/>
    <w:rsid w:val="00692651"/>
    <w:rsid w:val="00693149"/>
    <w:rsid w:val="00693D92"/>
    <w:rsid w:val="006949F0"/>
    <w:rsid w:val="00694F93"/>
    <w:rsid w:val="00695362"/>
    <w:rsid w:val="0069599C"/>
    <w:rsid w:val="00696407"/>
    <w:rsid w:val="006964F8"/>
    <w:rsid w:val="00696F1C"/>
    <w:rsid w:val="00697A4A"/>
    <w:rsid w:val="006A07F3"/>
    <w:rsid w:val="006A115A"/>
    <w:rsid w:val="006A1B26"/>
    <w:rsid w:val="006A2F0C"/>
    <w:rsid w:val="006A37A7"/>
    <w:rsid w:val="006A37DD"/>
    <w:rsid w:val="006A5D12"/>
    <w:rsid w:val="006A5E04"/>
    <w:rsid w:val="006A7355"/>
    <w:rsid w:val="006A73FF"/>
    <w:rsid w:val="006A741C"/>
    <w:rsid w:val="006B0621"/>
    <w:rsid w:val="006B103C"/>
    <w:rsid w:val="006B1D4C"/>
    <w:rsid w:val="006B2265"/>
    <w:rsid w:val="006B38EC"/>
    <w:rsid w:val="006B39AE"/>
    <w:rsid w:val="006B46E1"/>
    <w:rsid w:val="006B49C7"/>
    <w:rsid w:val="006B4ABC"/>
    <w:rsid w:val="006B5819"/>
    <w:rsid w:val="006B5DD5"/>
    <w:rsid w:val="006B79D6"/>
    <w:rsid w:val="006B7C82"/>
    <w:rsid w:val="006C0075"/>
    <w:rsid w:val="006C0CF6"/>
    <w:rsid w:val="006C149F"/>
    <w:rsid w:val="006C1885"/>
    <w:rsid w:val="006C194D"/>
    <w:rsid w:val="006C2F49"/>
    <w:rsid w:val="006C319E"/>
    <w:rsid w:val="006C3C94"/>
    <w:rsid w:val="006C49C7"/>
    <w:rsid w:val="006C5154"/>
    <w:rsid w:val="006C5A98"/>
    <w:rsid w:val="006C5D5E"/>
    <w:rsid w:val="006C6186"/>
    <w:rsid w:val="006C6B84"/>
    <w:rsid w:val="006C6CFD"/>
    <w:rsid w:val="006C6FDE"/>
    <w:rsid w:val="006C7711"/>
    <w:rsid w:val="006D08B1"/>
    <w:rsid w:val="006D0BEA"/>
    <w:rsid w:val="006D212E"/>
    <w:rsid w:val="006D2787"/>
    <w:rsid w:val="006D2FC2"/>
    <w:rsid w:val="006D3207"/>
    <w:rsid w:val="006D4946"/>
    <w:rsid w:val="006D5564"/>
    <w:rsid w:val="006D56C9"/>
    <w:rsid w:val="006D7344"/>
    <w:rsid w:val="006D77AD"/>
    <w:rsid w:val="006D77CE"/>
    <w:rsid w:val="006E03F3"/>
    <w:rsid w:val="006E1446"/>
    <w:rsid w:val="006E2171"/>
    <w:rsid w:val="006E21C3"/>
    <w:rsid w:val="006E281D"/>
    <w:rsid w:val="006E2971"/>
    <w:rsid w:val="006E2CC6"/>
    <w:rsid w:val="006E32C0"/>
    <w:rsid w:val="006E386C"/>
    <w:rsid w:val="006E39F9"/>
    <w:rsid w:val="006E4408"/>
    <w:rsid w:val="006E4875"/>
    <w:rsid w:val="006E53AC"/>
    <w:rsid w:val="006E77BF"/>
    <w:rsid w:val="006E7AB5"/>
    <w:rsid w:val="006F0D9A"/>
    <w:rsid w:val="006F1F25"/>
    <w:rsid w:val="006F2284"/>
    <w:rsid w:val="006F2D74"/>
    <w:rsid w:val="006F2DC8"/>
    <w:rsid w:val="006F2E0C"/>
    <w:rsid w:val="006F3272"/>
    <w:rsid w:val="006F3B8F"/>
    <w:rsid w:val="006F4071"/>
    <w:rsid w:val="006F4216"/>
    <w:rsid w:val="006F4720"/>
    <w:rsid w:val="006F4793"/>
    <w:rsid w:val="006F4CD4"/>
    <w:rsid w:val="006F4DFA"/>
    <w:rsid w:val="006F5092"/>
    <w:rsid w:val="006F5F83"/>
    <w:rsid w:val="006F6621"/>
    <w:rsid w:val="006F76FA"/>
    <w:rsid w:val="006F7B5C"/>
    <w:rsid w:val="00700093"/>
    <w:rsid w:val="007009B0"/>
    <w:rsid w:val="00700AB3"/>
    <w:rsid w:val="00700C73"/>
    <w:rsid w:val="007015E4"/>
    <w:rsid w:val="0070166A"/>
    <w:rsid w:val="00701D79"/>
    <w:rsid w:val="00701ED5"/>
    <w:rsid w:val="00702361"/>
    <w:rsid w:val="00702A58"/>
    <w:rsid w:val="007038DA"/>
    <w:rsid w:val="00703E96"/>
    <w:rsid w:val="00704AF6"/>
    <w:rsid w:val="00704D77"/>
    <w:rsid w:val="00705A4D"/>
    <w:rsid w:val="007064AE"/>
    <w:rsid w:val="007064ED"/>
    <w:rsid w:val="007068A9"/>
    <w:rsid w:val="00706FEA"/>
    <w:rsid w:val="007078F6"/>
    <w:rsid w:val="00707DDB"/>
    <w:rsid w:val="00707F34"/>
    <w:rsid w:val="007101BB"/>
    <w:rsid w:val="0071038B"/>
    <w:rsid w:val="007113CA"/>
    <w:rsid w:val="00711D8A"/>
    <w:rsid w:val="00712648"/>
    <w:rsid w:val="00712D9C"/>
    <w:rsid w:val="00713444"/>
    <w:rsid w:val="00713CB7"/>
    <w:rsid w:val="007147E6"/>
    <w:rsid w:val="00714862"/>
    <w:rsid w:val="007152A2"/>
    <w:rsid w:val="0071579C"/>
    <w:rsid w:val="007160E3"/>
    <w:rsid w:val="0071654C"/>
    <w:rsid w:val="007166E9"/>
    <w:rsid w:val="007167DC"/>
    <w:rsid w:val="00716A9A"/>
    <w:rsid w:val="00717B5F"/>
    <w:rsid w:val="00717DDA"/>
    <w:rsid w:val="00717E54"/>
    <w:rsid w:val="007206D2"/>
    <w:rsid w:val="00720937"/>
    <w:rsid w:val="00721167"/>
    <w:rsid w:val="00721A55"/>
    <w:rsid w:val="007224D6"/>
    <w:rsid w:val="00723A48"/>
    <w:rsid w:val="0072421B"/>
    <w:rsid w:val="007249E1"/>
    <w:rsid w:val="0072553A"/>
    <w:rsid w:val="00726673"/>
    <w:rsid w:val="00727266"/>
    <w:rsid w:val="0072765A"/>
    <w:rsid w:val="00727934"/>
    <w:rsid w:val="00730855"/>
    <w:rsid w:val="0073087A"/>
    <w:rsid w:val="00730C49"/>
    <w:rsid w:val="007314B6"/>
    <w:rsid w:val="00731C51"/>
    <w:rsid w:val="00732186"/>
    <w:rsid w:val="00732318"/>
    <w:rsid w:val="0073314F"/>
    <w:rsid w:val="00733627"/>
    <w:rsid w:val="00735115"/>
    <w:rsid w:val="007352BD"/>
    <w:rsid w:val="007354BF"/>
    <w:rsid w:val="00735A24"/>
    <w:rsid w:val="00735AF2"/>
    <w:rsid w:val="00735E45"/>
    <w:rsid w:val="0073633C"/>
    <w:rsid w:val="00736A5B"/>
    <w:rsid w:val="00737349"/>
    <w:rsid w:val="007377D5"/>
    <w:rsid w:val="0074094C"/>
    <w:rsid w:val="007416F4"/>
    <w:rsid w:val="007419E4"/>
    <w:rsid w:val="007420F6"/>
    <w:rsid w:val="0074255D"/>
    <w:rsid w:val="0074282A"/>
    <w:rsid w:val="00742A49"/>
    <w:rsid w:val="00743D6C"/>
    <w:rsid w:val="00745229"/>
    <w:rsid w:val="007453D9"/>
    <w:rsid w:val="007459D7"/>
    <w:rsid w:val="0074613C"/>
    <w:rsid w:val="00746611"/>
    <w:rsid w:val="00746BF3"/>
    <w:rsid w:val="00747246"/>
    <w:rsid w:val="007472B3"/>
    <w:rsid w:val="00747501"/>
    <w:rsid w:val="00747C3F"/>
    <w:rsid w:val="007509C8"/>
    <w:rsid w:val="00750E43"/>
    <w:rsid w:val="00751338"/>
    <w:rsid w:val="00751470"/>
    <w:rsid w:val="0075161E"/>
    <w:rsid w:val="00752905"/>
    <w:rsid w:val="0075307A"/>
    <w:rsid w:val="007530BB"/>
    <w:rsid w:val="007532BC"/>
    <w:rsid w:val="00753369"/>
    <w:rsid w:val="007533B7"/>
    <w:rsid w:val="007538B1"/>
    <w:rsid w:val="00753966"/>
    <w:rsid w:val="00754200"/>
    <w:rsid w:val="00754307"/>
    <w:rsid w:val="00755796"/>
    <w:rsid w:val="00755833"/>
    <w:rsid w:val="007558BF"/>
    <w:rsid w:val="00755B11"/>
    <w:rsid w:val="00755D28"/>
    <w:rsid w:val="00756C57"/>
    <w:rsid w:val="0075710E"/>
    <w:rsid w:val="00757878"/>
    <w:rsid w:val="00757A39"/>
    <w:rsid w:val="00757E13"/>
    <w:rsid w:val="00761788"/>
    <w:rsid w:val="00761791"/>
    <w:rsid w:val="00761B84"/>
    <w:rsid w:val="00761D96"/>
    <w:rsid w:val="007625FA"/>
    <w:rsid w:val="0076263A"/>
    <w:rsid w:val="00763285"/>
    <w:rsid w:val="007634B4"/>
    <w:rsid w:val="00763655"/>
    <w:rsid w:val="0076402E"/>
    <w:rsid w:val="007648D0"/>
    <w:rsid w:val="00764910"/>
    <w:rsid w:val="00764A9B"/>
    <w:rsid w:val="00764F29"/>
    <w:rsid w:val="00765011"/>
    <w:rsid w:val="0076607B"/>
    <w:rsid w:val="00766606"/>
    <w:rsid w:val="00766EFF"/>
    <w:rsid w:val="00767C10"/>
    <w:rsid w:val="0077027B"/>
    <w:rsid w:val="0077028F"/>
    <w:rsid w:val="00770790"/>
    <w:rsid w:val="007707D8"/>
    <w:rsid w:val="0077091E"/>
    <w:rsid w:val="00771EF2"/>
    <w:rsid w:val="00772E37"/>
    <w:rsid w:val="00773CE9"/>
    <w:rsid w:val="007742A6"/>
    <w:rsid w:val="00775030"/>
    <w:rsid w:val="00775166"/>
    <w:rsid w:val="00775A12"/>
    <w:rsid w:val="00775BBD"/>
    <w:rsid w:val="007760EE"/>
    <w:rsid w:val="0077676D"/>
    <w:rsid w:val="0077681D"/>
    <w:rsid w:val="007770FC"/>
    <w:rsid w:val="007771AA"/>
    <w:rsid w:val="00780A9A"/>
    <w:rsid w:val="007819E8"/>
    <w:rsid w:val="00781AEF"/>
    <w:rsid w:val="00781B8A"/>
    <w:rsid w:val="00781ED9"/>
    <w:rsid w:val="00782A5B"/>
    <w:rsid w:val="007839C4"/>
    <w:rsid w:val="007843C3"/>
    <w:rsid w:val="0078519D"/>
    <w:rsid w:val="00785286"/>
    <w:rsid w:val="00785467"/>
    <w:rsid w:val="0078617C"/>
    <w:rsid w:val="007869D3"/>
    <w:rsid w:val="007872A0"/>
    <w:rsid w:val="007872FA"/>
    <w:rsid w:val="00790967"/>
    <w:rsid w:val="00790CE4"/>
    <w:rsid w:val="00791032"/>
    <w:rsid w:val="00792E88"/>
    <w:rsid w:val="00793520"/>
    <w:rsid w:val="00793654"/>
    <w:rsid w:val="00793707"/>
    <w:rsid w:val="007939D6"/>
    <w:rsid w:val="00793C33"/>
    <w:rsid w:val="00793FD7"/>
    <w:rsid w:val="007940ED"/>
    <w:rsid w:val="007941AD"/>
    <w:rsid w:val="00794344"/>
    <w:rsid w:val="007944FA"/>
    <w:rsid w:val="007947BD"/>
    <w:rsid w:val="0079572C"/>
    <w:rsid w:val="00796242"/>
    <w:rsid w:val="0079667C"/>
    <w:rsid w:val="007972D3"/>
    <w:rsid w:val="007978EC"/>
    <w:rsid w:val="007A06B2"/>
    <w:rsid w:val="007A2EC5"/>
    <w:rsid w:val="007A3524"/>
    <w:rsid w:val="007A4B4C"/>
    <w:rsid w:val="007A4DAD"/>
    <w:rsid w:val="007A5FB1"/>
    <w:rsid w:val="007A684F"/>
    <w:rsid w:val="007A685A"/>
    <w:rsid w:val="007A6A9B"/>
    <w:rsid w:val="007A7712"/>
    <w:rsid w:val="007B16DC"/>
    <w:rsid w:val="007B1EAD"/>
    <w:rsid w:val="007B231E"/>
    <w:rsid w:val="007B25F0"/>
    <w:rsid w:val="007B2AC5"/>
    <w:rsid w:val="007B2D53"/>
    <w:rsid w:val="007B3545"/>
    <w:rsid w:val="007B4826"/>
    <w:rsid w:val="007B544A"/>
    <w:rsid w:val="007B7D96"/>
    <w:rsid w:val="007C056F"/>
    <w:rsid w:val="007C0C43"/>
    <w:rsid w:val="007C1373"/>
    <w:rsid w:val="007C1E46"/>
    <w:rsid w:val="007C1FC8"/>
    <w:rsid w:val="007C27FD"/>
    <w:rsid w:val="007C2E15"/>
    <w:rsid w:val="007C3051"/>
    <w:rsid w:val="007C34A5"/>
    <w:rsid w:val="007C3845"/>
    <w:rsid w:val="007C3A12"/>
    <w:rsid w:val="007C48EE"/>
    <w:rsid w:val="007C4DF0"/>
    <w:rsid w:val="007C5926"/>
    <w:rsid w:val="007C5A42"/>
    <w:rsid w:val="007C5AE2"/>
    <w:rsid w:val="007C676A"/>
    <w:rsid w:val="007C6A96"/>
    <w:rsid w:val="007C6FE1"/>
    <w:rsid w:val="007C7414"/>
    <w:rsid w:val="007C7A24"/>
    <w:rsid w:val="007C7EF2"/>
    <w:rsid w:val="007D0173"/>
    <w:rsid w:val="007D06A8"/>
    <w:rsid w:val="007D2193"/>
    <w:rsid w:val="007D27B9"/>
    <w:rsid w:val="007D2824"/>
    <w:rsid w:val="007D2A97"/>
    <w:rsid w:val="007D2BAB"/>
    <w:rsid w:val="007D2EEA"/>
    <w:rsid w:val="007D3AA7"/>
    <w:rsid w:val="007D53C3"/>
    <w:rsid w:val="007D74B9"/>
    <w:rsid w:val="007D76E9"/>
    <w:rsid w:val="007D7EED"/>
    <w:rsid w:val="007E01D4"/>
    <w:rsid w:val="007E094A"/>
    <w:rsid w:val="007E0F2A"/>
    <w:rsid w:val="007E1230"/>
    <w:rsid w:val="007E1F67"/>
    <w:rsid w:val="007E2170"/>
    <w:rsid w:val="007E2373"/>
    <w:rsid w:val="007E23C5"/>
    <w:rsid w:val="007E30E0"/>
    <w:rsid w:val="007E325F"/>
    <w:rsid w:val="007E33CE"/>
    <w:rsid w:val="007E4457"/>
    <w:rsid w:val="007E4667"/>
    <w:rsid w:val="007E50F5"/>
    <w:rsid w:val="007E54C0"/>
    <w:rsid w:val="007E569C"/>
    <w:rsid w:val="007E576E"/>
    <w:rsid w:val="007E5E01"/>
    <w:rsid w:val="007E7B5A"/>
    <w:rsid w:val="007F050C"/>
    <w:rsid w:val="007F06E5"/>
    <w:rsid w:val="007F0FF8"/>
    <w:rsid w:val="007F113B"/>
    <w:rsid w:val="007F11D7"/>
    <w:rsid w:val="007F1E00"/>
    <w:rsid w:val="007F1E09"/>
    <w:rsid w:val="007F20C9"/>
    <w:rsid w:val="007F259A"/>
    <w:rsid w:val="007F2704"/>
    <w:rsid w:val="007F635D"/>
    <w:rsid w:val="007F6D0E"/>
    <w:rsid w:val="007F7E0B"/>
    <w:rsid w:val="008002F3"/>
    <w:rsid w:val="008004A3"/>
    <w:rsid w:val="0080102C"/>
    <w:rsid w:val="00801246"/>
    <w:rsid w:val="008015B9"/>
    <w:rsid w:val="00801693"/>
    <w:rsid w:val="00801983"/>
    <w:rsid w:val="00801B91"/>
    <w:rsid w:val="00802A8A"/>
    <w:rsid w:val="00803E6D"/>
    <w:rsid w:val="00804129"/>
    <w:rsid w:val="00805C27"/>
    <w:rsid w:val="00805D82"/>
    <w:rsid w:val="00805F7D"/>
    <w:rsid w:val="008065C6"/>
    <w:rsid w:val="00807C2D"/>
    <w:rsid w:val="008119BA"/>
    <w:rsid w:val="008129C8"/>
    <w:rsid w:val="0081391E"/>
    <w:rsid w:val="00813C68"/>
    <w:rsid w:val="008155A1"/>
    <w:rsid w:val="0081561B"/>
    <w:rsid w:val="00815915"/>
    <w:rsid w:val="00815D6F"/>
    <w:rsid w:val="0081603E"/>
    <w:rsid w:val="00816312"/>
    <w:rsid w:val="00816674"/>
    <w:rsid w:val="00817C53"/>
    <w:rsid w:val="0082080A"/>
    <w:rsid w:val="008215A4"/>
    <w:rsid w:val="00821AE2"/>
    <w:rsid w:val="00821C1B"/>
    <w:rsid w:val="00822610"/>
    <w:rsid w:val="0082278F"/>
    <w:rsid w:val="00822A1C"/>
    <w:rsid w:val="00822C89"/>
    <w:rsid w:val="00822FF3"/>
    <w:rsid w:val="008236FF"/>
    <w:rsid w:val="00823C46"/>
    <w:rsid w:val="00824C1E"/>
    <w:rsid w:val="00824FD5"/>
    <w:rsid w:val="00825215"/>
    <w:rsid w:val="00825A71"/>
    <w:rsid w:val="00826143"/>
    <w:rsid w:val="00826248"/>
    <w:rsid w:val="00827CFF"/>
    <w:rsid w:val="00827E73"/>
    <w:rsid w:val="00827FD0"/>
    <w:rsid w:val="0083061C"/>
    <w:rsid w:val="008310E8"/>
    <w:rsid w:val="00832171"/>
    <w:rsid w:val="00832E47"/>
    <w:rsid w:val="00833901"/>
    <w:rsid w:val="00833964"/>
    <w:rsid w:val="00833DC5"/>
    <w:rsid w:val="00836DF3"/>
    <w:rsid w:val="008373B0"/>
    <w:rsid w:val="00837B6B"/>
    <w:rsid w:val="008403EF"/>
    <w:rsid w:val="008405A6"/>
    <w:rsid w:val="00841325"/>
    <w:rsid w:val="00842856"/>
    <w:rsid w:val="00842E39"/>
    <w:rsid w:val="00843153"/>
    <w:rsid w:val="0084354F"/>
    <w:rsid w:val="008437D2"/>
    <w:rsid w:val="00843A23"/>
    <w:rsid w:val="0084421F"/>
    <w:rsid w:val="00844381"/>
    <w:rsid w:val="00844DAA"/>
    <w:rsid w:val="0084515B"/>
    <w:rsid w:val="008459CA"/>
    <w:rsid w:val="0084610C"/>
    <w:rsid w:val="00846380"/>
    <w:rsid w:val="00846BE6"/>
    <w:rsid w:val="00847A62"/>
    <w:rsid w:val="00850354"/>
    <w:rsid w:val="00850F17"/>
    <w:rsid w:val="00851414"/>
    <w:rsid w:val="008514D3"/>
    <w:rsid w:val="008516FE"/>
    <w:rsid w:val="0085189F"/>
    <w:rsid w:val="008523E9"/>
    <w:rsid w:val="0085384E"/>
    <w:rsid w:val="00853AEF"/>
    <w:rsid w:val="008546A3"/>
    <w:rsid w:val="00854921"/>
    <w:rsid w:val="00854A35"/>
    <w:rsid w:val="008551A1"/>
    <w:rsid w:val="00856204"/>
    <w:rsid w:val="00857253"/>
    <w:rsid w:val="00857437"/>
    <w:rsid w:val="0085780A"/>
    <w:rsid w:val="008578BD"/>
    <w:rsid w:val="00857944"/>
    <w:rsid w:val="008579A9"/>
    <w:rsid w:val="00860680"/>
    <w:rsid w:val="00861D39"/>
    <w:rsid w:val="00861DB4"/>
    <w:rsid w:val="0086254E"/>
    <w:rsid w:val="00862C03"/>
    <w:rsid w:val="00862D33"/>
    <w:rsid w:val="00863809"/>
    <w:rsid w:val="0086394A"/>
    <w:rsid w:val="00863E9D"/>
    <w:rsid w:val="00864050"/>
    <w:rsid w:val="00864A99"/>
    <w:rsid w:val="00864DFC"/>
    <w:rsid w:val="00865845"/>
    <w:rsid w:val="008658F3"/>
    <w:rsid w:val="00865A13"/>
    <w:rsid w:val="008660C4"/>
    <w:rsid w:val="00866CB9"/>
    <w:rsid w:val="008675D3"/>
    <w:rsid w:val="008677DB"/>
    <w:rsid w:val="00870129"/>
    <w:rsid w:val="00870538"/>
    <w:rsid w:val="00871A39"/>
    <w:rsid w:val="00871F27"/>
    <w:rsid w:val="00871F9E"/>
    <w:rsid w:val="0087233B"/>
    <w:rsid w:val="00872513"/>
    <w:rsid w:val="00872B94"/>
    <w:rsid w:val="00873776"/>
    <w:rsid w:val="00875DE8"/>
    <w:rsid w:val="008766C5"/>
    <w:rsid w:val="00880C14"/>
    <w:rsid w:val="00880F28"/>
    <w:rsid w:val="008812F8"/>
    <w:rsid w:val="00882769"/>
    <w:rsid w:val="00882FCD"/>
    <w:rsid w:val="00883274"/>
    <w:rsid w:val="008835AD"/>
    <w:rsid w:val="0088374B"/>
    <w:rsid w:val="008839FB"/>
    <w:rsid w:val="008846A7"/>
    <w:rsid w:val="00885140"/>
    <w:rsid w:val="008858E8"/>
    <w:rsid w:val="00887183"/>
    <w:rsid w:val="00887255"/>
    <w:rsid w:val="00890501"/>
    <w:rsid w:val="00890D87"/>
    <w:rsid w:val="008911A1"/>
    <w:rsid w:val="0089173C"/>
    <w:rsid w:val="00891BFC"/>
    <w:rsid w:val="008921D5"/>
    <w:rsid w:val="008924DB"/>
    <w:rsid w:val="00892F71"/>
    <w:rsid w:val="00893C35"/>
    <w:rsid w:val="008963D4"/>
    <w:rsid w:val="00896FBB"/>
    <w:rsid w:val="0089713F"/>
    <w:rsid w:val="008972D2"/>
    <w:rsid w:val="00897ECB"/>
    <w:rsid w:val="008A033D"/>
    <w:rsid w:val="008A1534"/>
    <w:rsid w:val="008A162E"/>
    <w:rsid w:val="008A2A93"/>
    <w:rsid w:val="008A2F7D"/>
    <w:rsid w:val="008A2FE5"/>
    <w:rsid w:val="008A2FEA"/>
    <w:rsid w:val="008A386D"/>
    <w:rsid w:val="008A3EAB"/>
    <w:rsid w:val="008A4765"/>
    <w:rsid w:val="008A56C2"/>
    <w:rsid w:val="008A6CF9"/>
    <w:rsid w:val="008A6F38"/>
    <w:rsid w:val="008A6FC8"/>
    <w:rsid w:val="008B0214"/>
    <w:rsid w:val="008B0240"/>
    <w:rsid w:val="008B08D4"/>
    <w:rsid w:val="008B108A"/>
    <w:rsid w:val="008B2062"/>
    <w:rsid w:val="008B25EA"/>
    <w:rsid w:val="008B2B9A"/>
    <w:rsid w:val="008B4925"/>
    <w:rsid w:val="008B4EB6"/>
    <w:rsid w:val="008B5220"/>
    <w:rsid w:val="008B5653"/>
    <w:rsid w:val="008B6458"/>
    <w:rsid w:val="008B663D"/>
    <w:rsid w:val="008B66CF"/>
    <w:rsid w:val="008B785F"/>
    <w:rsid w:val="008B7F91"/>
    <w:rsid w:val="008C15A0"/>
    <w:rsid w:val="008C1C63"/>
    <w:rsid w:val="008C2310"/>
    <w:rsid w:val="008C283C"/>
    <w:rsid w:val="008C3BBC"/>
    <w:rsid w:val="008C4299"/>
    <w:rsid w:val="008C473E"/>
    <w:rsid w:val="008C5726"/>
    <w:rsid w:val="008C5C37"/>
    <w:rsid w:val="008C5DE3"/>
    <w:rsid w:val="008C6098"/>
    <w:rsid w:val="008C68F8"/>
    <w:rsid w:val="008C6C02"/>
    <w:rsid w:val="008C6CB6"/>
    <w:rsid w:val="008C7E56"/>
    <w:rsid w:val="008C7F3A"/>
    <w:rsid w:val="008C7FC6"/>
    <w:rsid w:val="008D104E"/>
    <w:rsid w:val="008D135C"/>
    <w:rsid w:val="008D1C4F"/>
    <w:rsid w:val="008D2B12"/>
    <w:rsid w:val="008D2FBE"/>
    <w:rsid w:val="008D346F"/>
    <w:rsid w:val="008D35AF"/>
    <w:rsid w:val="008D3A04"/>
    <w:rsid w:val="008D3D44"/>
    <w:rsid w:val="008D3D4A"/>
    <w:rsid w:val="008D3D74"/>
    <w:rsid w:val="008D4050"/>
    <w:rsid w:val="008D47F9"/>
    <w:rsid w:val="008D5CF5"/>
    <w:rsid w:val="008D649D"/>
    <w:rsid w:val="008E05CF"/>
    <w:rsid w:val="008E0AAC"/>
    <w:rsid w:val="008E0CBE"/>
    <w:rsid w:val="008E15F7"/>
    <w:rsid w:val="008E1EDC"/>
    <w:rsid w:val="008E23FA"/>
    <w:rsid w:val="008E2C2E"/>
    <w:rsid w:val="008E3A8D"/>
    <w:rsid w:val="008E3B9C"/>
    <w:rsid w:val="008E49D9"/>
    <w:rsid w:val="008E4E8E"/>
    <w:rsid w:val="008E5370"/>
    <w:rsid w:val="008E5CED"/>
    <w:rsid w:val="008E5F10"/>
    <w:rsid w:val="008E65B9"/>
    <w:rsid w:val="008E74D8"/>
    <w:rsid w:val="008E7800"/>
    <w:rsid w:val="008E78A2"/>
    <w:rsid w:val="008E7A2E"/>
    <w:rsid w:val="008E7C71"/>
    <w:rsid w:val="008F01AB"/>
    <w:rsid w:val="008F0289"/>
    <w:rsid w:val="008F02AB"/>
    <w:rsid w:val="008F0346"/>
    <w:rsid w:val="008F0414"/>
    <w:rsid w:val="008F2089"/>
    <w:rsid w:val="008F27BF"/>
    <w:rsid w:val="008F27CF"/>
    <w:rsid w:val="008F2930"/>
    <w:rsid w:val="008F48CE"/>
    <w:rsid w:val="008F4CDC"/>
    <w:rsid w:val="008F59A3"/>
    <w:rsid w:val="008F5DF5"/>
    <w:rsid w:val="008F62B5"/>
    <w:rsid w:val="008F651F"/>
    <w:rsid w:val="008F699E"/>
    <w:rsid w:val="008F794E"/>
    <w:rsid w:val="00901463"/>
    <w:rsid w:val="00901532"/>
    <w:rsid w:val="00901BCF"/>
    <w:rsid w:val="00903B3C"/>
    <w:rsid w:val="00903B78"/>
    <w:rsid w:val="00903F1C"/>
    <w:rsid w:val="00903F2A"/>
    <w:rsid w:val="00905585"/>
    <w:rsid w:val="00905704"/>
    <w:rsid w:val="00905C12"/>
    <w:rsid w:val="00905FDE"/>
    <w:rsid w:val="009066E6"/>
    <w:rsid w:val="009075B8"/>
    <w:rsid w:val="00907B05"/>
    <w:rsid w:val="0091014C"/>
    <w:rsid w:val="00910471"/>
    <w:rsid w:val="009109B8"/>
    <w:rsid w:val="00910BD7"/>
    <w:rsid w:val="00910D01"/>
    <w:rsid w:val="00910FBD"/>
    <w:rsid w:val="009113CC"/>
    <w:rsid w:val="009114EB"/>
    <w:rsid w:val="00911A16"/>
    <w:rsid w:val="00911A31"/>
    <w:rsid w:val="009122F1"/>
    <w:rsid w:val="00912E24"/>
    <w:rsid w:val="0091341B"/>
    <w:rsid w:val="00913544"/>
    <w:rsid w:val="0091396A"/>
    <w:rsid w:val="009139FD"/>
    <w:rsid w:val="00914375"/>
    <w:rsid w:val="00914680"/>
    <w:rsid w:val="0091579A"/>
    <w:rsid w:val="0091589C"/>
    <w:rsid w:val="00915D25"/>
    <w:rsid w:val="00916BD2"/>
    <w:rsid w:val="00916E11"/>
    <w:rsid w:val="00917490"/>
    <w:rsid w:val="00917910"/>
    <w:rsid w:val="0092039D"/>
    <w:rsid w:val="0092063F"/>
    <w:rsid w:val="009214EF"/>
    <w:rsid w:val="009220CD"/>
    <w:rsid w:val="00922447"/>
    <w:rsid w:val="00922781"/>
    <w:rsid w:val="00924489"/>
    <w:rsid w:val="009249B6"/>
    <w:rsid w:val="009258C6"/>
    <w:rsid w:val="00925C2B"/>
    <w:rsid w:val="00926CF6"/>
    <w:rsid w:val="00927278"/>
    <w:rsid w:val="00927854"/>
    <w:rsid w:val="00931B3E"/>
    <w:rsid w:val="00931BDA"/>
    <w:rsid w:val="0093216A"/>
    <w:rsid w:val="00932305"/>
    <w:rsid w:val="0093310E"/>
    <w:rsid w:val="0093346F"/>
    <w:rsid w:val="009336AE"/>
    <w:rsid w:val="00935041"/>
    <w:rsid w:val="00935950"/>
    <w:rsid w:val="00935A58"/>
    <w:rsid w:val="00935C59"/>
    <w:rsid w:val="0093643A"/>
    <w:rsid w:val="009365F8"/>
    <w:rsid w:val="00936B29"/>
    <w:rsid w:val="009376F2"/>
    <w:rsid w:val="00940205"/>
    <w:rsid w:val="0094057C"/>
    <w:rsid w:val="00940651"/>
    <w:rsid w:val="009409F9"/>
    <w:rsid w:val="00941677"/>
    <w:rsid w:val="00942CFD"/>
    <w:rsid w:val="00943A50"/>
    <w:rsid w:val="00943F29"/>
    <w:rsid w:val="0094421B"/>
    <w:rsid w:val="009444DF"/>
    <w:rsid w:val="00944CA5"/>
    <w:rsid w:val="009457B2"/>
    <w:rsid w:val="00945A1A"/>
    <w:rsid w:val="00945C47"/>
    <w:rsid w:val="00946440"/>
    <w:rsid w:val="00946652"/>
    <w:rsid w:val="00946BD5"/>
    <w:rsid w:val="00946D05"/>
    <w:rsid w:val="00946EB9"/>
    <w:rsid w:val="009470C4"/>
    <w:rsid w:val="0094725B"/>
    <w:rsid w:val="009472A6"/>
    <w:rsid w:val="00947975"/>
    <w:rsid w:val="00951F25"/>
    <w:rsid w:val="00952509"/>
    <w:rsid w:val="00952877"/>
    <w:rsid w:val="00952B70"/>
    <w:rsid w:val="00954228"/>
    <w:rsid w:val="00954AFB"/>
    <w:rsid w:val="0095549C"/>
    <w:rsid w:val="0095663A"/>
    <w:rsid w:val="0095690F"/>
    <w:rsid w:val="00957721"/>
    <w:rsid w:val="00957B42"/>
    <w:rsid w:val="00957E07"/>
    <w:rsid w:val="00957F4D"/>
    <w:rsid w:val="00960A6F"/>
    <w:rsid w:val="009616C4"/>
    <w:rsid w:val="00962E73"/>
    <w:rsid w:val="009632F1"/>
    <w:rsid w:val="00963DBE"/>
    <w:rsid w:val="0096424D"/>
    <w:rsid w:val="0096442D"/>
    <w:rsid w:val="00964C9B"/>
    <w:rsid w:val="00964F71"/>
    <w:rsid w:val="00965016"/>
    <w:rsid w:val="009657AB"/>
    <w:rsid w:val="00965AED"/>
    <w:rsid w:val="009666CB"/>
    <w:rsid w:val="00967B5D"/>
    <w:rsid w:val="0097111F"/>
    <w:rsid w:val="009714EC"/>
    <w:rsid w:val="00971F61"/>
    <w:rsid w:val="00972238"/>
    <w:rsid w:val="0097272F"/>
    <w:rsid w:val="00972A12"/>
    <w:rsid w:val="00972EF3"/>
    <w:rsid w:val="0097336D"/>
    <w:rsid w:val="00973394"/>
    <w:rsid w:val="00975484"/>
    <w:rsid w:val="009754B6"/>
    <w:rsid w:val="00975973"/>
    <w:rsid w:val="00976254"/>
    <w:rsid w:val="0097736C"/>
    <w:rsid w:val="009776CB"/>
    <w:rsid w:val="009777A6"/>
    <w:rsid w:val="00977C28"/>
    <w:rsid w:val="00977F73"/>
    <w:rsid w:val="00980034"/>
    <w:rsid w:val="009806F1"/>
    <w:rsid w:val="00981270"/>
    <w:rsid w:val="0098195F"/>
    <w:rsid w:val="00982EB1"/>
    <w:rsid w:val="00982F21"/>
    <w:rsid w:val="00983179"/>
    <w:rsid w:val="00983EBD"/>
    <w:rsid w:val="009841DF"/>
    <w:rsid w:val="0098474A"/>
    <w:rsid w:val="00984BB9"/>
    <w:rsid w:val="009859ED"/>
    <w:rsid w:val="00985D10"/>
    <w:rsid w:val="009860BB"/>
    <w:rsid w:val="00986413"/>
    <w:rsid w:val="00990755"/>
    <w:rsid w:val="00990A0A"/>
    <w:rsid w:val="0099171A"/>
    <w:rsid w:val="00992011"/>
    <w:rsid w:val="00992AA6"/>
    <w:rsid w:val="00992DBF"/>
    <w:rsid w:val="0099332B"/>
    <w:rsid w:val="009934E2"/>
    <w:rsid w:val="00993AB4"/>
    <w:rsid w:val="00994699"/>
    <w:rsid w:val="00994974"/>
    <w:rsid w:val="0099548A"/>
    <w:rsid w:val="009957F2"/>
    <w:rsid w:val="00995B41"/>
    <w:rsid w:val="00995CCF"/>
    <w:rsid w:val="00996639"/>
    <w:rsid w:val="009966B5"/>
    <w:rsid w:val="00996962"/>
    <w:rsid w:val="00997804"/>
    <w:rsid w:val="00997E5F"/>
    <w:rsid w:val="009A0477"/>
    <w:rsid w:val="009A33EF"/>
    <w:rsid w:val="009A366F"/>
    <w:rsid w:val="009A4FFF"/>
    <w:rsid w:val="009A5240"/>
    <w:rsid w:val="009A5437"/>
    <w:rsid w:val="009A59E0"/>
    <w:rsid w:val="009A5E45"/>
    <w:rsid w:val="009A6626"/>
    <w:rsid w:val="009A774B"/>
    <w:rsid w:val="009A7CAB"/>
    <w:rsid w:val="009A7D47"/>
    <w:rsid w:val="009A7F22"/>
    <w:rsid w:val="009B17B3"/>
    <w:rsid w:val="009B1CD5"/>
    <w:rsid w:val="009B20EF"/>
    <w:rsid w:val="009B2662"/>
    <w:rsid w:val="009B3177"/>
    <w:rsid w:val="009B3B34"/>
    <w:rsid w:val="009B41BB"/>
    <w:rsid w:val="009B4443"/>
    <w:rsid w:val="009B481E"/>
    <w:rsid w:val="009B4DE0"/>
    <w:rsid w:val="009B50BD"/>
    <w:rsid w:val="009B5AD1"/>
    <w:rsid w:val="009B5E8F"/>
    <w:rsid w:val="009B613D"/>
    <w:rsid w:val="009B6C55"/>
    <w:rsid w:val="009B7EA0"/>
    <w:rsid w:val="009B7F87"/>
    <w:rsid w:val="009C05E7"/>
    <w:rsid w:val="009C18AF"/>
    <w:rsid w:val="009C2577"/>
    <w:rsid w:val="009C293F"/>
    <w:rsid w:val="009C2952"/>
    <w:rsid w:val="009C3A86"/>
    <w:rsid w:val="009C3D31"/>
    <w:rsid w:val="009C512B"/>
    <w:rsid w:val="009C598C"/>
    <w:rsid w:val="009C5D7B"/>
    <w:rsid w:val="009C5DF7"/>
    <w:rsid w:val="009C5ED6"/>
    <w:rsid w:val="009C6C4B"/>
    <w:rsid w:val="009D0D7A"/>
    <w:rsid w:val="009D19A3"/>
    <w:rsid w:val="009D21A5"/>
    <w:rsid w:val="009D2403"/>
    <w:rsid w:val="009D2810"/>
    <w:rsid w:val="009D3560"/>
    <w:rsid w:val="009D3793"/>
    <w:rsid w:val="009D52AF"/>
    <w:rsid w:val="009D5B95"/>
    <w:rsid w:val="009D5F32"/>
    <w:rsid w:val="009D6051"/>
    <w:rsid w:val="009D7449"/>
    <w:rsid w:val="009E057C"/>
    <w:rsid w:val="009E0683"/>
    <w:rsid w:val="009E09B0"/>
    <w:rsid w:val="009E13B6"/>
    <w:rsid w:val="009E1E1B"/>
    <w:rsid w:val="009E22CC"/>
    <w:rsid w:val="009E2E58"/>
    <w:rsid w:val="009E351A"/>
    <w:rsid w:val="009E37F6"/>
    <w:rsid w:val="009E3974"/>
    <w:rsid w:val="009E3AC0"/>
    <w:rsid w:val="009E3C5E"/>
    <w:rsid w:val="009E46D2"/>
    <w:rsid w:val="009E6566"/>
    <w:rsid w:val="009E6F92"/>
    <w:rsid w:val="009F01EC"/>
    <w:rsid w:val="009F06D1"/>
    <w:rsid w:val="009F06FB"/>
    <w:rsid w:val="009F07E8"/>
    <w:rsid w:val="009F0F00"/>
    <w:rsid w:val="009F209A"/>
    <w:rsid w:val="009F34AC"/>
    <w:rsid w:val="009F357A"/>
    <w:rsid w:val="009F3851"/>
    <w:rsid w:val="009F3C3F"/>
    <w:rsid w:val="009F3DD2"/>
    <w:rsid w:val="009F4943"/>
    <w:rsid w:val="009F516F"/>
    <w:rsid w:val="009F5406"/>
    <w:rsid w:val="009F5B95"/>
    <w:rsid w:val="009F5F60"/>
    <w:rsid w:val="009F6474"/>
    <w:rsid w:val="009F6C8D"/>
    <w:rsid w:val="009F6DDD"/>
    <w:rsid w:val="009F728D"/>
    <w:rsid w:val="009F7543"/>
    <w:rsid w:val="009F7B26"/>
    <w:rsid w:val="009F7F4D"/>
    <w:rsid w:val="00A00314"/>
    <w:rsid w:val="00A01128"/>
    <w:rsid w:val="00A0133D"/>
    <w:rsid w:val="00A019CA"/>
    <w:rsid w:val="00A02DEB"/>
    <w:rsid w:val="00A02F1D"/>
    <w:rsid w:val="00A03491"/>
    <w:rsid w:val="00A039DD"/>
    <w:rsid w:val="00A03F13"/>
    <w:rsid w:val="00A05006"/>
    <w:rsid w:val="00A05493"/>
    <w:rsid w:val="00A06314"/>
    <w:rsid w:val="00A06754"/>
    <w:rsid w:val="00A067A4"/>
    <w:rsid w:val="00A06B81"/>
    <w:rsid w:val="00A07D56"/>
    <w:rsid w:val="00A1096D"/>
    <w:rsid w:val="00A10D87"/>
    <w:rsid w:val="00A11E65"/>
    <w:rsid w:val="00A12766"/>
    <w:rsid w:val="00A1362D"/>
    <w:rsid w:val="00A13710"/>
    <w:rsid w:val="00A1380E"/>
    <w:rsid w:val="00A13B6F"/>
    <w:rsid w:val="00A13F7E"/>
    <w:rsid w:val="00A145DE"/>
    <w:rsid w:val="00A1578A"/>
    <w:rsid w:val="00A16A7C"/>
    <w:rsid w:val="00A16BF8"/>
    <w:rsid w:val="00A1787F"/>
    <w:rsid w:val="00A17C30"/>
    <w:rsid w:val="00A2056E"/>
    <w:rsid w:val="00A20618"/>
    <w:rsid w:val="00A2276C"/>
    <w:rsid w:val="00A227B5"/>
    <w:rsid w:val="00A2305A"/>
    <w:rsid w:val="00A233C0"/>
    <w:rsid w:val="00A238A0"/>
    <w:rsid w:val="00A238B3"/>
    <w:rsid w:val="00A23C68"/>
    <w:rsid w:val="00A23FFB"/>
    <w:rsid w:val="00A247D1"/>
    <w:rsid w:val="00A24DFE"/>
    <w:rsid w:val="00A25056"/>
    <w:rsid w:val="00A260CB"/>
    <w:rsid w:val="00A262F2"/>
    <w:rsid w:val="00A2631B"/>
    <w:rsid w:val="00A265EC"/>
    <w:rsid w:val="00A2742B"/>
    <w:rsid w:val="00A274F1"/>
    <w:rsid w:val="00A277F0"/>
    <w:rsid w:val="00A279B5"/>
    <w:rsid w:val="00A27B62"/>
    <w:rsid w:val="00A30392"/>
    <w:rsid w:val="00A30790"/>
    <w:rsid w:val="00A30A43"/>
    <w:rsid w:val="00A31109"/>
    <w:rsid w:val="00A33D44"/>
    <w:rsid w:val="00A347C6"/>
    <w:rsid w:val="00A34972"/>
    <w:rsid w:val="00A36D04"/>
    <w:rsid w:val="00A37145"/>
    <w:rsid w:val="00A376D5"/>
    <w:rsid w:val="00A37DC0"/>
    <w:rsid w:val="00A40BE7"/>
    <w:rsid w:val="00A41272"/>
    <w:rsid w:val="00A41CFE"/>
    <w:rsid w:val="00A41E5A"/>
    <w:rsid w:val="00A41E8C"/>
    <w:rsid w:val="00A42100"/>
    <w:rsid w:val="00A42BFB"/>
    <w:rsid w:val="00A4352B"/>
    <w:rsid w:val="00A4352C"/>
    <w:rsid w:val="00A4437C"/>
    <w:rsid w:val="00A4464B"/>
    <w:rsid w:val="00A45424"/>
    <w:rsid w:val="00A47668"/>
    <w:rsid w:val="00A5000F"/>
    <w:rsid w:val="00A50D48"/>
    <w:rsid w:val="00A50FAE"/>
    <w:rsid w:val="00A5127F"/>
    <w:rsid w:val="00A514D7"/>
    <w:rsid w:val="00A51A5E"/>
    <w:rsid w:val="00A5281B"/>
    <w:rsid w:val="00A52B88"/>
    <w:rsid w:val="00A53314"/>
    <w:rsid w:val="00A536DD"/>
    <w:rsid w:val="00A53DE6"/>
    <w:rsid w:val="00A54200"/>
    <w:rsid w:val="00A5432B"/>
    <w:rsid w:val="00A547BC"/>
    <w:rsid w:val="00A555EA"/>
    <w:rsid w:val="00A5568D"/>
    <w:rsid w:val="00A55841"/>
    <w:rsid w:val="00A55B59"/>
    <w:rsid w:val="00A564A7"/>
    <w:rsid w:val="00A56830"/>
    <w:rsid w:val="00A56CB5"/>
    <w:rsid w:val="00A57481"/>
    <w:rsid w:val="00A60065"/>
    <w:rsid w:val="00A60E18"/>
    <w:rsid w:val="00A62080"/>
    <w:rsid w:val="00A6225D"/>
    <w:rsid w:val="00A6280A"/>
    <w:rsid w:val="00A63E5F"/>
    <w:rsid w:val="00A63F50"/>
    <w:rsid w:val="00A6443A"/>
    <w:rsid w:val="00A64825"/>
    <w:rsid w:val="00A651A8"/>
    <w:rsid w:val="00A651FD"/>
    <w:rsid w:val="00A651FE"/>
    <w:rsid w:val="00A6537D"/>
    <w:rsid w:val="00A6555E"/>
    <w:rsid w:val="00A6565E"/>
    <w:rsid w:val="00A659FA"/>
    <w:rsid w:val="00A65DA4"/>
    <w:rsid w:val="00A65E30"/>
    <w:rsid w:val="00A66459"/>
    <w:rsid w:val="00A67E64"/>
    <w:rsid w:val="00A70467"/>
    <w:rsid w:val="00A70CB6"/>
    <w:rsid w:val="00A70FCE"/>
    <w:rsid w:val="00A71D96"/>
    <w:rsid w:val="00A72940"/>
    <w:rsid w:val="00A72DC7"/>
    <w:rsid w:val="00A7379F"/>
    <w:rsid w:val="00A73DD1"/>
    <w:rsid w:val="00A74348"/>
    <w:rsid w:val="00A747FD"/>
    <w:rsid w:val="00A74B15"/>
    <w:rsid w:val="00A74F8C"/>
    <w:rsid w:val="00A75470"/>
    <w:rsid w:val="00A76743"/>
    <w:rsid w:val="00A7748A"/>
    <w:rsid w:val="00A80131"/>
    <w:rsid w:val="00A8077F"/>
    <w:rsid w:val="00A82121"/>
    <w:rsid w:val="00A827EE"/>
    <w:rsid w:val="00A82964"/>
    <w:rsid w:val="00A833A0"/>
    <w:rsid w:val="00A836F0"/>
    <w:rsid w:val="00A83918"/>
    <w:rsid w:val="00A85565"/>
    <w:rsid w:val="00A85A60"/>
    <w:rsid w:val="00A87B10"/>
    <w:rsid w:val="00A87B28"/>
    <w:rsid w:val="00A87F0D"/>
    <w:rsid w:val="00A90928"/>
    <w:rsid w:val="00A91A28"/>
    <w:rsid w:val="00A91E33"/>
    <w:rsid w:val="00A92AFE"/>
    <w:rsid w:val="00A93415"/>
    <w:rsid w:val="00A93CF4"/>
    <w:rsid w:val="00A94B1C"/>
    <w:rsid w:val="00A95012"/>
    <w:rsid w:val="00A96059"/>
    <w:rsid w:val="00A96357"/>
    <w:rsid w:val="00A969B6"/>
    <w:rsid w:val="00A97163"/>
    <w:rsid w:val="00A9786A"/>
    <w:rsid w:val="00A979D6"/>
    <w:rsid w:val="00A97BE3"/>
    <w:rsid w:val="00AA1C1B"/>
    <w:rsid w:val="00AA260E"/>
    <w:rsid w:val="00AA2F7D"/>
    <w:rsid w:val="00AA3980"/>
    <w:rsid w:val="00AA3D71"/>
    <w:rsid w:val="00AA439D"/>
    <w:rsid w:val="00AA4C9E"/>
    <w:rsid w:val="00AA4DF6"/>
    <w:rsid w:val="00AA5CBB"/>
    <w:rsid w:val="00AA5D9F"/>
    <w:rsid w:val="00AA5F2C"/>
    <w:rsid w:val="00AA688B"/>
    <w:rsid w:val="00AA6A6A"/>
    <w:rsid w:val="00AA6C62"/>
    <w:rsid w:val="00AA6EEC"/>
    <w:rsid w:val="00AA71EB"/>
    <w:rsid w:val="00AA7BAC"/>
    <w:rsid w:val="00AB000C"/>
    <w:rsid w:val="00AB026A"/>
    <w:rsid w:val="00AB09CC"/>
    <w:rsid w:val="00AB0BC7"/>
    <w:rsid w:val="00AB13A9"/>
    <w:rsid w:val="00AB1C77"/>
    <w:rsid w:val="00AB2126"/>
    <w:rsid w:val="00AB29A4"/>
    <w:rsid w:val="00AB38E8"/>
    <w:rsid w:val="00AB3A2F"/>
    <w:rsid w:val="00AB3EBB"/>
    <w:rsid w:val="00AB4526"/>
    <w:rsid w:val="00AB5223"/>
    <w:rsid w:val="00AB530D"/>
    <w:rsid w:val="00AB5505"/>
    <w:rsid w:val="00AB5CDF"/>
    <w:rsid w:val="00AB5DAD"/>
    <w:rsid w:val="00AB5F5D"/>
    <w:rsid w:val="00AB603F"/>
    <w:rsid w:val="00AB62AD"/>
    <w:rsid w:val="00AB69F3"/>
    <w:rsid w:val="00AB6F5F"/>
    <w:rsid w:val="00AC05C4"/>
    <w:rsid w:val="00AC0724"/>
    <w:rsid w:val="00AC2E4B"/>
    <w:rsid w:val="00AC3930"/>
    <w:rsid w:val="00AC3966"/>
    <w:rsid w:val="00AC4228"/>
    <w:rsid w:val="00AC4D53"/>
    <w:rsid w:val="00AC6695"/>
    <w:rsid w:val="00AC6DFB"/>
    <w:rsid w:val="00AC6FEB"/>
    <w:rsid w:val="00AC7348"/>
    <w:rsid w:val="00AC771B"/>
    <w:rsid w:val="00AC7F2F"/>
    <w:rsid w:val="00AD04B9"/>
    <w:rsid w:val="00AD0650"/>
    <w:rsid w:val="00AD07FF"/>
    <w:rsid w:val="00AD0FF3"/>
    <w:rsid w:val="00AD12B0"/>
    <w:rsid w:val="00AD1CD7"/>
    <w:rsid w:val="00AD1CF7"/>
    <w:rsid w:val="00AD2AA2"/>
    <w:rsid w:val="00AD2AF3"/>
    <w:rsid w:val="00AD2B7E"/>
    <w:rsid w:val="00AD4641"/>
    <w:rsid w:val="00AD47A3"/>
    <w:rsid w:val="00AD5201"/>
    <w:rsid w:val="00AD5414"/>
    <w:rsid w:val="00AD58E3"/>
    <w:rsid w:val="00AD5B4F"/>
    <w:rsid w:val="00AD615A"/>
    <w:rsid w:val="00AD6B00"/>
    <w:rsid w:val="00AD6D9D"/>
    <w:rsid w:val="00AE01F3"/>
    <w:rsid w:val="00AE0333"/>
    <w:rsid w:val="00AE0E06"/>
    <w:rsid w:val="00AE113C"/>
    <w:rsid w:val="00AE169C"/>
    <w:rsid w:val="00AE17A0"/>
    <w:rsid w:val="00AE17BD"/>
    <w:rsid w:val="00AE1832"/>
    <w:rsid w:val="00AE2522"/>
    <w:rsid w:val="00AE2C70"/>
    <w:rsid w:val="00AE2DE7"/>
    <w:rsid w:val="00AE3997"/>
    <w:rsid w:val="00AE4226"/>
    <w:rsid w:val="00AE4769"/>
    <w:rsid w:val="00AE645B"/>
    <w:rsid w:val="00AE67EE"/>
    <w:rsid w:val="00AE70AD"/>
    <w:rsid w:val="00AE7BC4"/>
    <w:rsid w:val="00AE7F90"/>
    <w:rsid w:val="00AF0327"/>
    <w:rsid w:val="00AF03AC"/>
    <w:rsid w:val="00AF070F"/>
    <w:rsid w:val="00AF1882"/>
    <w:rsid w:val="00AF2826"/>
    <w:rsid w:val="00AF29AF"/>
    <w:rsid w:val="00AF3B77"/>
    <w:rsid w:val="00AF4728"/>
    <w:rsid w:val="00AF4E98"/>
    <w:rsid w:val="00AF5510"/>
    <w:rsid w:val="00AF5BAC"/>
    <w:rsid w:val="00AF5C95"/>
    <w:rsid w:val="00AF62D4"/>
    <w:rsid w:val="00AF63E3"/>
    <w:rsid w:val="00AF69C4"/>
    <w:rsid w:val="00AF79D7"/>
    <w:rsid w:val="00AF7CC6"/>
    <w:rsid w:val="00B0038C"/>
    <w:rsid w:val="00B00A07"/>
    <w:rsid w:val="00B00B75"/>
    <w:rsid w:val="00B00BAA"/>
    <w:rsid w:val="00B00C4F"/>
    <w:rsid w:val="00B018E0"/>
    <w:rsid w:val="00B02A0B"/>
    <w:rsid w:val="00B04193"/>
    <w:rsid w:val="00B041B8"/>
    <w:rsid w:val="00B04637"/>
    <w:rsid w:val="00B04760"/>
    <w:rsid w:val="00B04AE1"/>
    <w:rsid w:val="00B055C3"/>
    <w:rsid w:val="00B05BAB"/>
    <w:rsid w:val="00B063E0"/>
    <w:rsid w:val="00B06D1D"/>
    <w:rsid w:val="00B07093"/>
    <w:rsid w:val="00B07556"/>
    <w:rsid w:val="00B07C37"/>
    <w:rsid w:val="00B102C2"/>
    <w:rsid w:val="00B1106E"/>
    <w:rsid w:val="00B12869"/>
    <w:rsid w:val="00B1325B"/>
    <w:rsid w:val="00B140C1"/>
    <w:rsid w:val="00B14B47"/>
    <w:rsid w:val="00B16112"/>
    <w:rsid w:val="00B1659C"/>
    <w:rsid w:val="00B16AF4"/>
    <w:rsid w:val="00B17C83"/>
    <w:rsid w:val="00B17FCF"/>
    <w:rsid w:val="00B20666"/>
    <w:rsid w:val="00B21174"/>
    <w:rsid w:val="00B21F70"/>
    <w:rsid w:val="00B2238A"/>
    <w:rsid w:val="00B232FF"/>
    <w:rsid w:val="00B23CFB"/>
    <w:rsid w:val="00B23FDA"/>
    <w:rsid w:val="00B24263"/>
    <w:rsid w:val="00B246FC"/>
    <w:rsid w:val="00B25948"/>
    <w:rsid w:val="00B2740D"/>
    <w:rsid w:val="00B3046E"/>
    <w:rsid w:val="00B30FAD"/>
    <w:rsid w:val="00B3118F"/>
    <w:rsid w:val="00B320BF"/>
    <w:rsid w:val="00B320D4"/>
    <w:rsid w:val="00B323C3"/>
    <w:rsid w:val="00B32C40"/>
    <w:rsid w:val="00B33BF8"/>
    <w:rsid w:val="00B33DC4"/>
    <w:rsid w:val="00B33DDD"/>
    <w:rsid w:val="00B33E49"/>
    <w:rsid w:val="00B34046"/>
    <w:rsid w:val="00B3553B"/>
    <w:rsid w:val="00B36095"/>
    <w:rsid w:val="00B3639C"/>
    <w:rsid w:val="00B36ABF"/>
    <w:rsid w:val="00B36BCF"/>
    <w:rsid w:val="00B36F22"/>
    <w:rsid w:val="00B37C26"/>
    <w:rsid w:val="00B40D49"/>
    <w:rsid w:val="00B41D15"/>
    <w:rsid w:val="00B4230F"/>
    <w:rsid w:val="00B425C8"/>
    <w:rsid w:val="00B43408"/>
    <w:rsid w:val="00B438BA"/>
    <w:rsid w:val="00B43C4E"/>
    <w:rsid w:val="00B44F0D"/>
    <w:rsid w:val="00B45497"/>
    <w:rsid w:val="00B457E0"/>
    <w:rsid w:val="00B45988"/>
    <w:rsid w:val="00B45D7E"/>
    <w:rsid w:val="00B4605D"/>
    <w:rsid w:val="00B46069"/>
    <w:rsid w:val="00B503F6"/>
    <w:rsid w:val="00B5162A"/>
    <w:rsid w:val="00B51E05"/>
    <w:rsid w:val="00B53347"/>
    <w:rsid w:val="00B54211"/>
    <w:rsid w:val="00B55540"/>
    <w:rsid w:val="00B55DEE"/>
    <w:rsid w:val="00B55E70"/>
    <w:rsid w:val="00B56607"/>
    <w:rsid w:val="00B567BF"/>
    <w:rsid w:val="00B56CF8"/>
    <w:rsid w:val="00B570FC"/>
    <w:rsid w:val="00B5788F"/>
    <w:rsid w:val="00B578F1"/>
    <w:rsid w:val="00B57B5A"/>
    <w:rsid w:val="00B6117C"/>
    <w:rsid w:val="00B613DC"/>
    <w:rsid w:val="00B619CC"/>
    <w:rsid w:val="00B62137"/>
    <w:rsid w:val="00B642B3"/>
    <w:rsid w:val="00B6481B"/>
    <w:rsid w:val="00B66416"/>
    <w:rsid w:val="00B66C2B"/>
    <w:rsid w:val="00B66DD4"/>
    <w:rsid w:val="00B66DEC"/>
    <w:rsid w:val="00B6711E"/>
    <w:rsid w:val="00B6716A"/>
    <w:rsid w:val="00B671EA"/>
    <w:rsid w:val="00B673E6"/>
    <w:rsid w:val="00B67C94"/>
    <w:rsid w:val="00B70BE1"/>
    <w:rsid w:val="00B716BE"/>
    <w:rsid w:val="00B719E0"/>
    <w:rsid w:val="00B71C2F"/>
    <w:rsid w:val="00B72838"/>
    <w:rsid w:val="00B72BDF"/>
    <w:rsid w:val="00B72C27"/>
    <w:rsid w:val="00B73372"/>
    <w:rsid w:val="00B73541"/>
    <w:rsid w:val="00B73901"/>
    <w:rsid w:val="00B7397A"/>
    <w:rsid w:val="00B73DB2"/>
    <w:rsid w:val="00B73FE5"/>
    <w:rsid w:val="00B740D0"/>
    <w:rsid w:val="00B742E2"/>
    <w:rsid w:val="00B748AD"/>
    <w:rsid w:val="00B74AD5"/>
    <w:rsid w:val="00B75368"/>
    <w:rsid w:val="00B75462"/>
    <w:rsid w:val="00B75539"/>
    <w:rsid w:val="00B765FD"/>
    <w:rsid w:val="00B7696A"/>
    <w:rsid w:val="00B76A31"/>
    <w:rsid w:val="00B770B6"/>
    <w:rsid w:val="00B77B57"/>
    <w:rsid w:val="00B802E8"/>
    <w:rsid w:val="00B8043A"/>
    <w:rsid w:val="00B81036"/>
    <w:rsid w:val="00B815F8"/>
    <w:rsid w:val="00B81BBB"/>
    <w:rsid w:val="00B81BF3"/>
    <w:rsid w:val="00B8253E"/>
    <w:rsid w:val="00B83805"/>
    <w:rsid w:val="00B83D41"/>
    <w:rsid w:val="00B8434C"/>
    <w:rsid w:val="00B8483D"/>
    <w:rsid w:val="00B85F80"/>
    <w:rsid w:val="00B8668E"/>
    <w:rsid w:val="00B87C81"/>
    <w:rsid w:val="00B9168D"/>
    <w:rsid w:val="00B91815"/>
    <w:rsid w:val="00B91F6D"/>
    <w:rsid w:val="00B932C2"/>
    <w:rsid w:val="00B9402C"/>
    <w:rsid w:val="00B942A6"/>
    <w:rsid w:val="00B94CA7"/>
    <w:rsid w:val="00B953B1"/>
    <w:rsid w:val="00B95932"/>
    <w:rsid w:val="00B95B71"/>
    <w:rsid w:val="00B95EEF"/>
    <w:rsid w:val="00B9630C"/>
    <w:rsid w:val="00B96541"/>
    <w:rsid w:val="00B96E91"/>
    <w:rsid w:val="00B97B14"/>
    <w:rsid w:val="00B97CCD"/>
    <w:rsid w:val="00B97F9B"/>
    <w:rsid w:val="00BA0970"/>
    <w:rsid w:val="00BA0A9A"/>
    <w:rsid w:val="00BA36FB"/>
    <w:rsid w:val="00BA382D"/>
    <w:rsid w:val="00BA493D"/>
    <w:rsid w:val="00BA5974"/>
    <w:rsid w:val="00BA65AB"/>
    <w:rsid w:val="00BA6972"/>
    <w:rsid w:val="00BA6B36"/>
    <w:rsid w:val="00BA6F33"/>
    <w:rsid w:val="00BA7EF7"/>
    <w:rsid w:val="00BB0B66"/>
    <w:rsid w:val="00BB2316"/>
    <w:rsid w:val="00BB2460"/>
    <w:rsid w:val="00BB2F8C"/>
    <w:rsid w:val="00BB34FD"/>
    <w:rsid w:val="00BB358E"/>
    <w:rsid w:val="00BB3745"/>
    <w:rsid w:val="00BB3BDE"/>
    <w:rsid w:val="00BB738C"/>
    <w:rsid w:val="00BB780D"/>
    <w:rsid w:val="00BC0788"/>
    <w:rsid w:val="00BC0988"/>
    <w:rsid w:val="00BC15CD"/>
    <w:rsid w:val="00BC16D9"/>
    <w:rsid w:val="00BC1CE9"/>
    <w:rsid w:val="00BC248D"/>
    <w:rsid w:val="00BC33E6"/>
    <w:rsid w:val="00BC3D92"/>
    <w:rsid w:val="00BC4073"/>
    <w:rsid w:val="00BC4410"/>
    <w:rsid w:val="00BC5248"/>
    <w:rsid w:val="00BC5805"/>
    <w:rsid w:val="00BC5ADA"/>
    <w:rsid w:val="00BC6204"/>
    <w:rsid w:val="00BC6251"/>
    <w:rsid w:val="00BC62A6"/>
    <w:rsid w:val="00BC76FB"/>
    <w:rsid w:val="00BC7EC7"/>
    <w:rsid w:val="00BD0930"/>
    <w:rsid w:val="00BD1BFA"/>
    <w:rsid w:val="00BD2480"/>
    <w:rsid w:val="00BD54A2"/>
    <w:rsid w:val="00BD59FF"/>
    <w:rsid w:val="00BD625C"/>
    <w:rsid w:val="00BD6871"/>
    <w:rsid w:val="00BD68B7"/>
    <w:rsid w:val="00BD6D69"/>
    <w:rsid w:val="00BD6EEB"/>
    <w:rsid w:val="00BD712B"/>
    <w:rsid w:val="00BD7317"/>
    <w:rsid w:val="00BD75E5"/>
    <w:rsid w:val="00BD79C2"/>
    <w:rsid w:val="00BD7F2A"/>
    <w:rsid w:val="00BE02AC"/>
    <w:rsid w:val="00BE03C6"/>
    <w:rsid w:val="00BE154C"/>
    <w:rsid w:val="00BE21CD"/>
    <w:rsid w:val="00BE2D3E"/>
    <w:rsid w:val="00BE2D64"/>
    <w:rsid w:val="00BE443D"/>
    <w:rsid w:val="00BE45E4"/>
    <w:rsid w:val="00BE4D22"/>
    <w:rsid w:val="00BE50ED"/>
    <w:rsid w:val="00BE5368"/>
    <w:rsid w:val="00BE6058"/>
    <w:rsid w:val="00BE684D"/>
    <w:rsid w:val="00BF0938"/>
    <w:rsid w:val="00BF0A01"/>
    <w:rsid w:val="00BF0C44"/>
    <w:rsid w:val="00BF0EC3"/>
    <w:rsid w:val="00BF1877"/>
    <w:rsid w:val="00BF1AA3"/>
    <w:rsid w:val="00BF1F51"/>
    <w:rsid w:val="00BF2762"/>
    <w:rsid w:val="00BF3179"/>
    <w:rsid w:val="00BF3320"/>
    <w:rsid w:val="00BF3AA7"/>
    <w:rsid w:val="00BF3B3D"/>
    <w:rsid w:val="00BF3C74"/>
    <w:rsid w:val="00BF5057"/>
    <w:rsid w:val="00BF51D5"/>
    <w:rsid w:val="00BF56B1"/>
    <w:rsid w:val="00BF59D9"/>
    <w:rsid w:val="00BF6353"/>
    <w:rsid w:val="00BF6649"/>
    <w:rsid w:val="00BF7CE2"/>
    <w:rsid w:val="00C00896"/>
    <w:rsid w:val="00C00CA2"/>
    <w:rsid w:val="00C00F20"/>
    <w:rsid w:val="00C01AF7"/>
    <w:rsid w:val="00C02A98"/>
    <w:rsid w:val="00C031EF"/>
    <w:rsid w:val="00C039B4"/>
    <w:rsid w:val="00C03C69"/>
    <w:rsid w:val="00C03C87"/>
    <w:rsid w:val="00C04232"/>
    <w:rsid w:val="00C043B2"/>
    <w:rsid w:val="00C04A63"/>
    <w:rsid w:val="00C050D3"/>
    <w:rsid w:val="00C0594D"/>
    <w:rsid w:val="00C05E64"/>
    <w:rsid w:val="00C05F17"/>
    <w:rsid w:val="00C06032"/>
    <w:rsid w:val="00C06F97"/>
    <w:rsid w:val="00C07CF3"/>
    <w:rsid w:val="00C07D16"/>
    <w:rsid w:val="00C105D0"/>
    <w:rsid w:val="00C109B3"/>
    <w:rsid w:val="00C10BB9"/>
    <w:rsid w:val="00C10D1C"/>
    <w:rsid w:val="00C1133F"/>
    <w:rsid w:val="00C11927"/>
    <w:rsid w:val="00C11AEA"/>
    <w:rsid w:val="00C1211C"/>
    <w:rsid w:val="00C12300"/>
    <w:rsid w:val="00C12BA7"/>
    <w:rsid w:val="00C13FF6"/>
    <w:rsid w:val="00C146B5"/>
    <w:rsid w:val="00C14772"/>
    <w:rsid w:val="00C147A3"/>
    <w:rsid w:val="00C158BC"/>
    <w:rsid w:val="00C163DA"/>
    <w:rsid w:val="00C16422"/>
    <w:rsid w:val="00C168C0"/>
    <w:rsid w:val="00C1706A"/>
    <w:rsid w:val="00C173C1"/>
    <w:rsid w:val="00C1790F"/>
    <w:rsid w:val="00C17949"/>
    <w:rsid w:val="00C20792"/>
    <w:rsid w:val="00C20BC7"/>
    <w:rsid w:val="00C21672"/>
    <w:rsid w:val="00C21891"/>
    <w:rsid w:val="00C21B70"/>
    <w:rsid w:val="00C21C91"/>
    <w:rsid w:val="00C25EDE"/>
    <w:rsid w:val="00C269B0"/>
    <w:rsid w:val="00C26CEB"/>
    <w:rsid w:val="00C270F3"/>
    <w:rsid w:val="00C277FE"/>
    <w:rsid w:val="00C27F49"/>
    <w:rsid w:val="00C30472"/>
    <w:rsid w:val="00C30CEC"/>
    <w:rsid w:val="00C318BF"/>
    <w:rsid w:val="00C3196F"/>
    <w:rsid w:val="00C31C6F"/>
    <w:rsid w:val="00C32DAB"/>
    <w:rsid w:val="00C365CB"/>
    <w:rsid w:val="00C36829"/>
    <w:rsid w:val="00C406D2"/>
    <w:rsid w:val="00C40EDF"/>
    <w:rsid w:val="00C411E4"/>
    <w:rsid w:val="00C4166A"/>
    <w:rsid w:val="00C43E5B"/>
    <w:rsid w:val="00C44046"/>
    <w:rsid w:val="00C4528E"/>
    <w:rsid w:val="00C45558"/>
    <w:rsid w:val="00C4577B"/>
    <w:rsid w:val="00C45B9F"/>
    <w:rsid w:val="00C4610D"/>
    <w:rsid w:val="00C462D3"/>
    <w:rsid w:val="00C47754"/>
    <w:rsid w:val="00C5033A"/>
    <w:rsid w:val="00C50701"/>
    <w:rsid w:val="00C50A4F"/>
    <w:rsid w:val="00C52436"/>
    <w:rsid w:val="00C5246F"/>
    <w:rsid w:val="00C5270D"/>
    <w:rsid w:val="00C5282A"/>
    <w:rsid w:val="00C52A75"/>
    <w:rsid w:val="00C52D94"/>
    <w:rsid w:val="00C5426F"/>
    <w:rsid w:val="00C542DD"/>
    <w:rsid w:val="00C54DC8"/>
    <w:rsid w:val="00C5546A"/>
    <w:rsid w:val="00C56BA3"/>
    <w:rsid w:val="00C56C40"/>
    <w:rsid w:val="00C5703B"/>
    <w:rsid w:val="00C609D5"/>
    <w:rsid w:val="00C63128"/>
    <w:rsid w:val="00C642BC"/>
    <w:rsid w:val="00C647D0"/>
    <w:rsid w:val="00C65661"/>
    <w:rsid w:val="00C65826"/>
    <w:rsid w:val="00C6602E"/>
    <w:rsid w:val="00C666F7"/>
    <w:rsid w:val="00C6687F"/>
    <w:rsid w:val="00C66AB1"/>
    <w:rsid w:val="00C67680"/>
    <w:rsid w:val="00C708C5"/>
    <w:rsid w:val="00C709C5"/>
    <w:rsid w:val="00C71CEF"/>
    <w:rsid w:val="00C7289C"/>
    <w:rsid w:val="00C72955"/>
    <w:rsid w:val="00C72F19"/>
    <w:rsid w:val="00C7306E"/>
    <w:rsid w:val="00C73CAD"/>
    <w:rsid w:val="00C74111"/>
    <w:rsid w:val="00C742AE"/>
    <w:rsid w:val="00C75906"/>
    <w:rsid w:val="00C75A6A"/>
    <w:rsid w:val="00C765F6"/>
    <w:rsid w:val="00C7794B"/>
    <w:rsid w:val="00C800D6"/>
    <w:rsid w:val="00C813A0"/>
    <w:rsid w:val="00C821C5"/>
    <w:rsid w:val="00C828B7"/>
    <w:rsid w:val="00C82AE9"/>
    <w:rsid w:val="00C82D14"/>
    <w:rsid w:val="00C82D17"/>
    <w:rsid w:val="00C83595"/>
    <w:rsid w:val="00C835DB"/>
    <w:rsid w:val="00C8405D"/>
    <w:rsid w:val="00C843D8"/>
    <w:rsid w:val="00C85D47"/>
    <w:rsid w:val="00C861A2"/>
    <w:rsid w:val="00C864DA"/>
    <w:rsid w:val="00C86773"/>
    <w:rsid w:val="00C86CA8"/>
    <w:rsid w:val="00C8700D"/>
    <w:rsid w:val="00C872C7"/>
    <w:rsid w:val="00C90259"/>
    <w:rsid w:val="00C90B20"/>
    <w:rsid w:val="00C91310"/>
    <w:rsid w:val="00C918C5"/>
    <w:rsid w:val="00C91F3E"/>
    <w:rsid w:val="00C925B5"/>
    <w:rsid w:val="00C92865"/>
    <w:rsid w:val="00C929C8"/>
    <w:rsid w:val="00C93193"/>
    <w:rsid w:val="00C9363C"/>
    <w:rsid w:val="00C94443"/>
    <w:rsid w:val="00C96B22"/>
    <w:rsid w:val="00C97332"/>
    <w:rsid w:val="00C9771B"/>
    <w:rsid w:val="00CA094E"/>
    <w:rsid w:val="00CA13AC"/>
    <w:rsid w:val="00CA14D7"/>
    <w:rsid w:val="00CA1B8C"/>
    <w:rsid w:val="00CA1E89"/>
    <w:rsid w:val="00CA2386"/>
    <w:rsid w:val="00CA24D1"/>
    <w:rsid w:val="00CA2BD2"/>
    <w:rsid w:val="00CA31EF"/>
    <w:rsid w:val="00CA3F5B"/>
    <w:rsid w:val="00CA4D7E"/>
    <w:rsid w:val="00CA6108"/>
    <w:rsid w:val="00CA6899"/>
    <w:rsid w:val="00CA6BF4"/>
    <w:rsid w:val="00CA72AE"/>
    <w:rsid w:val="00CA7DB1"/>
    <w:rsid w:val="00CA7DF2"/>
    <w:rsid w:val="00CA7DFE"/>
    <w:rsid w:val="00CA7F14"/>
    <w:rsid w:val="00CB08E5"/>
    <w:rsid w:val="00CB1751"/>
    <w:rsid w:val="00CB19CA"/>
    <w:rsid w:val="00CB2141"/>
    <w:rsid w:val="00CB24FD"/>
    <w:rsid w:val="00CB333E"/>
    <w:rsid w:val="00CB390A"/>
    <w:rsid w:val="00CB4393"/>
    <w:rsid w:val="00CB4A66"/>
    <w:rsid w:val="00CB4DF2"/>
    <w:rsid w:val="00CB5257"/>
    <w:rsid w:val="00CB5330"/>
    <w:rsid w:val="00CB5498"/>
    <w:rsid w:val="00CB557E"/>
    <w:rsid w:val="00CB590A"/>
    <w:rsid w:val="00CB5CAE"/>
    <w:rsid w:val="00CB5CCB"/>
    <w:rsid w:val="00CB6113"/>
    <w:rsid w:val="00CB659F"/>
    <w:rsid w:val="00CB65D6"/>
    <w:rsid w:val="00CB6D81"/>
    <w:rsid w:val="00CB73D6"/>
    <w:rsid w:val="00CB74BB"/>
    <w:rsid w:val="00CB76BD"/>
    <w:rsid w:val="00CC048D"/>
    <w:rsid w:val="00CC0492"/>
    <w:rsid w:val="00CC231F"/>
    <w:rsid w:val="00CC23A3"/>
    <w:rsid w:val="00CC2587"/>
    <w:rsid w:val="00CC33D1"/>
    <w:rsid w:val="00CC3409"/>
    <w:rsid w:val="00CC4A14"/>
    <w:rsid w:val="00CC4FA0"/>
    <w:rsid w:val="00CC5365"/>
    <w:rsid w:val="00CC54FF"/>
    <w:rsid w:val="00CC55F3"/>
    <w:rsid w:val="00CC5A0B"/>
    <w:rsid w:val="00CC5BEA"/>
    <w:rsid w:val="00CC6573"/>
    <w:rsid w:val="00CC74CE"/>
    <w:rsid w:val="00CC7626"/>
    <w:rsid w:val="00CD07F3"/>
    <w:rsid w:val="00CD0F5F"/>
    <w:rsid w:val="00CD153A"/>
    <w:rsid w:val="00CD1C12"/>
    <w:rsid w:val="00CD2BDB"/>
    <w:rsid w:val="00CD32E4"/>
    <w:rsid w:val="00CD459E"/>
    <w:rsid w:val="00CD4BF6"/>
    <w:rsid w:val="00CD4EC7"/>
    <w:rsid w:val="00CD4FD8"/>
    <w:rsid w:val="00CD5B00"/>
    <w:rsid w:val="00CD6700"/>
    <w:rsid w:val="00CD6CBD"/>
    <w:rsid w:val="00CE086A"/>
    <w:rsid w:val="00CE13EB"/>
    <w:rsid w:val="00CE2352"/>
    <w:rsid w:val="00CE274E"/>
    <w:rsid w:val="00CE2A57"/>
    <w:rsid w:val="00CE2A82"/>
    <w:rsid w:val="00CE2F33"/>
    <w:rsid w:val="00CE3489"/>
    <w:rsid w:val="00CE4920"/>
    <w:rsid w:val="00CE59DE"/>
    <w:rsid w:val="00CE682F"/>
    <w:rsid w:val="00CF0734"/>
    <w:rsid w:val="00CF1B99"/>
    <w:rsid w:val="00CF1BF5"/>
    <w:rsid w:val="00CF1F15"/>
    <w:rsid w:val="00CF27B0"/>
    <w:rsid w:val="00CF2943"/>
    <w:rsid w:val="00CF3CFA"/>
    <w:rsid w:val="00CF41B1"/>
    <w:rsid w:val="00CF486C"/>
    <w:rsid w:val="00CF558A"/>
    <w:rsid w:val="00CF574A"/>
    <w:rsid w:val="00CF5CBB"/>
    <w:rsid w:val="00CF636A"/>
    <w:rsid w:val="00CF655A"/>
    <w:rsid w:val="00CF6A89"/>
    <w:rsid w:val="00CF6C72"/>
    <w:rsid w:val="00CF79B0"/>
    <w:rsid w:val="00D00537"/>
    <w:rsid w:val="00D00C34"/>
    <w:rsid w:val="00D012D4"/>
    <w:rsid w:val="00D016BD"/>
    <w:rsid w:val="00D0198D"/>
    <w:rsid w:val="00D01A5A"/>
    <w:rsid w:val="00D01FC2"/>
    <w:rsid w:val="00D029E4"/>
    <w:rsid w:val="00D0364D"/>
    <w:rsid w:val="00D04018"/>
    <w:rsid w:val="00D040A6"/>
    <w:rsid w:val="00D041F9"/>
    <w:rsid w:val="00D04796"/>
    <w:rsid w:val="00D0510A"/>
    <w:rsid w:val="00D059F4"/>
    <w:rsid w:val="00D05F48"/>
    <w:rsid w:val="00D06204"/>
    <w:rsid w:val="00D06D71"/>
    <w:rsid w:val="00D07A35"/>
    <w:rsid w:val="00D10112"/>
    <w:rsid w:val="00D1092E"/>
    <w:rsid w:val="00D11192"/>
    <w:rsid w:val="00D12224"/>
    <w:rsid w:val="00D12C5A"/>
    <w:rsid w:val="00D132A5"/>
    <w:rsid w:val="00D13A51"/>
    <w:rsid w:val="00D13EF8"/>
    <w:rsid w:val="00D140F2"/>
    <w:rsid w:val="00D144E5"/>
    <w:rsid w:val="00D14AEB"/>
    <w:rsid w:val="00D14C42"/>
    <w:rsid w:val="00D14E6B"/>
    <w:rsid w:val="00D14F18"/>
    <w:rsid w:val="00D1608E"/>
    <w:rsid w:val="00D17E01"/>
    <w:rsid w:val="00D204E3"/>
    <w:rsid w:val="00D20F5F"/>
    <w:rsid w:val="00D21514"/>
    <w:rsid w:val="00D21F8C"/>
    <w:rsid w:val="00D221EB"/>
    <w:rsid w:val="00D23E31"/>
    <w:rsid w:val="00D24105"/>
    <w:rsid w:val="00D24414"/>
    <w:rsid w:val="00D24FEF"/>
    <w:rsid w:val="00D2517E"/>
    <w:rsid w:val="00D25BD2"/>
    <w:rsid w:val="00D266E5"/>
    <w:rsid w:val="00D27E30"/>
    <w:rsid w:val="00D30236"/>
    <w:rsid w:val="00D30E9C"/>
    <w:rsid w:val="00D31243"/>
    <w:rsid w:val="00D31549"/>
    <w:rsid w:val="00D31DE0"/>
    <w:rsid w:val="00D32636"/>
    <w:rsid w:val="00D32F5D"/>
    <w:rsid w:val="00D35EC3"/>
    <w:rsid w:val="00D35F82"/>
    <w:rsid w:val="00D363C6"/>
    <w:rsid w:val="00D3655B"/>
    <w:rsid w:val="00D36AB7"/>
    <w:rsid w:val="00D37C80"/>
    <w:rsid w:val="00D410F4"/>
    <w:rsid w:val="00D41333"/>
    <w:rsid w:val="00D413D0"/>
    <w:rsid w:val="00D417A6"/>
    <w:rsid w:val="00D41C87"/>
    <w:rsid w:val="00D41D4D"/>
    <w:rsid w:val="00D4222F"/>
    <w:rsid w:val="00D425EC"/>
    <w:rsid w:val="00D43E16"/>
    <w:rsid w:val="00D4446E"/>
    <w:rsid w:val="00D44740"/>
    <w:rsid w:val="00D4635C"/>
    <w:rsid w:val="00D46EB8"/>
    <w:rsid w:val="00D476EA"/>
    <w:rsid w:val="00D47926"/>
    <w:rsid w:val="00D479D4"/>
    <w:rsid w:val="00D500A6"/>
    <w:rsid w:val="00D515E6"/>
    <w:rsid w:val="00D518B2"/>
    <w:rsid w:val="00D51EA9"/>
    <w:rsid w:val="00D52698"/>
    <w:rsid w:val="00D53C55"/>
    <w:rsid w:val="00D53FE2"/>
    <w:rsid w:val="00D542CF"/>
    <w:rsid w:val="00D54698"/>
    <w:rsid w:val="00D557FC"/>
    <w:rsid w:val="00D5633E"/>
    <w:rsid w:val="00D579FF"/>
    <w:rsid w:val="00D604A8"/>
    <w:rsid w:val="00D60615"/>
    <w:rsid w:val="00D60A80"/>
    <w:rsid w:val="00D60C39"/>
    <w:rsid w:val="00D618F5"/>
    <w:rsid w:val="00D6218D"/>
    <w:rsid w:val="00D625C8"/>
    <w:rsid w:val="00D6277F"/>
    <w:rsid w:val="00D630D9"/>
    <w:rsid w:val="00D636FF"/>
    <w:rsid w:val="00D6371E"/>
    <w:rsid w:val="00D63CDF"/>
    <w:rsid w:val="00D63D05"/>
    <w:rsid w:val="00D643E7"/>
    <w:rsid w:val="00D64F84"/>
    <w:rsid w:val="00D6671A"/>
    <w:rsid w:val="00D667E6"/>
    <w:rsid w:val="00D668F4"/>
    <w:rsid w:val="00D67368"/>
    <w:rsid w:val="00D67845"/>
    <w:rsid w:val="00D67FAE"/>
    <w:rsid w:val="00D703EC"/>
    <w:rsid w:val="00D707BF"/>
    <w:rsid w:val="00D722EA"/>
    <w:rsid w:val="00D723D1"/>
    <w:rsid w:val="00D72E29"/>
    <w:rsid w:val="00D73A92"/>
    <w:rsid w:val="00D73AC7"/>
    <w:rsid w:val="00D74B4D"/>
    <w:rsid w:val="00D7596B"/>
    <w:rsid w:val="00D762EA"/>
    <w:rsid w:val="00D763D0"/>
    <w:rsid w:val="00D764CB"/>
    <w:rsid w:val="00D772AE"/>
    <w:rsid w:val="00D816B4"/>
    <w:rsid w:val="00D81BE3"/>
    <w:rsid w:val="00D82C21"/>
    <w:rsid w:val="00D8333B"/>
    <w:rsid w:val="00D83650"/>
    <w:rsid w:val="00D83B5F"/>
    <w:rsid w:val="00D83CFE"/>
    <w:rsid w:val="00D84F21"/>
    <w:rsid w:val="00D8669F"/>
    <w:rsid w:val="00D87721"/>
    <w:rsid w:val="00D8779A"/>
    <w:rsid w:val="00D877EA"/>
    <w:rsid w:val="00D87D01"/>
    <w:rsid w:val="00D90D33"/>
    <w:rsid w:val="00D91BC0"/>
    <w:rsid w:val="00D9259A"/>
    <w:rsid w:val="00D931A3"/>
    <w:rsid w:val="00D9373B"/>
    <w:rsid w:val="00D93EDC"/>
    <w:rsid w:val="00D93F73"/>
    <w:rsid w:val="00D9423B"/>
    <w:rsid w:val="00D95184"/>
    <w:rsid w:val="00D96CFB"/>
    <w:rsid w:val="00D97024"/>
    <w:rsid w:val="00D9736B"/>
    <w:rsid w:val="00D97F79"/>
    <w:rsid w:val="00DA0167"/>
    <w:rsid w:val="00DA0252"/>
    <w:rsid w:val="00DA0280"/>
    <w:rsid w:val="00DA08BA"/>
    <w:rsid w:val="00DA1109"/>
    <w:rsid w:val="00DA153F"/>
    <w:rsid w:val="00DA17C3"/>
    <w:rsid w:val="00DA273E"/>
    <w:rsid w:val="00DA2BC7"/>
    <w:rsid w:val="00DA2D7E"/>
    <w:rsid w:val="00DA2DBA"/>
    <w:rsid w:val="00DA3FCB"/>
    <w:rsid w:val="00DA4069"/>
    <w:rsid w:val="00DA436F"/>
    <w:rsid w:val="00DA460B"/>
    <w:rsid w:val="00DA5005"/>
    <w:rsid w:val="00DA52E6"/>
    <w:rsid w:val="00DA5D56"/>
    <w:rsid w:val="00DA5DBC"/>
    <w:rsid w:val="00DA665A"/>
    <w:rsid w:val="00DA6800"/>
    <w:rsid w:val="00DA6A49"/>
    <w:rsid w:val="00DA6EA2"/>
    <w:rsid w:val="00DB00A3"/>
    <w:rsid w:val="00DB0593"/>
    <w:rsid w:val="00DB0FA1"/>
    <w:rsid w:val="00DB21DD"/>
    <w:rsid w:val="00DB2518"/>
    <w:rsid w:val="00DB27B2"/>
    <w:rsid w:val="00DB2DAD"/>
    <w:rsid w:val="00DB2E47"/>
    <w:rsid w:val="00DB3A08"/>
    <w:rsid w:val="00DB4D4B"/>
    <w:rsid w:val="00DB4EA9"/>
    <w:rsid w:val="00DB5056"/>
    <w:rsid w:val="00DB583C"/>
    <w:rsid w:val="00DB5B9C"/>
    <w:rsid w:val="00DB6FAD"/>
    <w:rsid w:val="00DC1140"/>
    <w:rsid w:val="00DC13D0"/>
    <w:rsid w:val="00DC2BA4"/>
    <w:rsid w:val="00DC2D37"/>
    <w:rsid w:val="00DC2E84"/>
    <w:rsid w:val="00DC30D3"/>
    <w:rsid w:val="00DC3817"/>
    <w:rsid w:val="00DC39D6"/>
    <w:rsid w:val="00DC3A4A"/>
    <w:rsid w:val="00DC3A61"/>
    <w:rsid w:val="00DC3DB2"/>
    <w:rsid w:val="00DC419D"/>
    <w:rsid w:val="00DC4887"/>
    <w:rsid w:val="00DC4997"/>
    <w:rsid w:val="00DC4A47"/>
    <w:rsid w:val="00DC6537"/>
    <w:rsid w:val="00DC67B1"/>
    <w:rsid w:val="00DC6C4B"/>
    <w:rsid w:val="00DC7012"/>
    <w:rsid w:val="00DD0920"/>
    <w:rsid w:val="00DD0A4D"/>
    <w:rsid w:val="00DD1323"/>
    <w:rsid w:val="00DD132D"/>
    <w:rsid w:val="00DD1615"/>
    <w:rsid w:val="00DD228F"/>
    <w:rsid w:val="00DD2970"/>
    <w:rsid w:val="00DD2E15"/>
    <w:rsid w:val="00DD308E"/>
    <w:rsid w:val="00DD3268"/>
    <w:rsid w:val="00DD3B28"/>
    <w:rsid w:val="00DD3EA9"/>
    <w:rsid w:val="00DD3F4F"/>
    <w:rsid w:val="00DD54DE"/>
    <w:rsid w:val="00DD56A9"/>
    <w:rsid w:val="00DD6903"/>
    <w:rsid w:val="00DD6A6E"/>
    <w:rsid w:val="00DD6F02"/>
    <w:rsid w:val="00DD731E"/>
    <w:rsid w:val="00DD79DD"/>
    <w:rsid w:val="00DD7E5A"/>
    <w:rsid w:val="00DD7F79"/>
    <w:rsid w:val="00DE0087"/>
    <w:rsid w:val="00DE09D4"/>
    <w:rsid w:val="00DE1BCA"/>
    <w:rsid w:val="00DE1BD1"/>
    <w:rsid w:val="00DE2B81"/>
    <w:rsid w:val="00DE2DB3"/>
    <w:rsid w:val="00DE4A5E"/>
    <w:rsid w:val="00DE50C9"/>
    <w:rsid w:val="00DE63BD"/>
    <w:rsid w:val="00DE6639"/>
    <w:rsid w:val="00DE66C2"/>
    <w:rsid w:val="00DE674A"/>
    <w:rsid w:val="00DE6FB4"/>
    <w:rsid w:val="00DE75A4"/>
    <w:rsid w:val="00DE79C7"/>
    <w:rsid w:val="00DF0675"/>
    <w:rsid w:val="00DF138E"/>
    <w:rsid w:val="00DF155B"/>
    <w:rsid w:val="00DF2C82"/>
    <w:rsid w:val="00DF3823"/>
    <w:rsid w:val="00DF4142"/>
    <w:rsid w:val="00DF525F"/>
    <w:rsid w:val="00DF53EE"/>
    <w:rsid w:val="00DF55E1"/>
    <w:rsid w:val="00DF5D14"/>
    <w:rsid w:val="00DF636E"/>
    <w:rsid w:val="00DF677D"/>
    <w:rsid w:val="00DF7067"/>
    <w:rsid w:val="00DF717F"/>
    <w:rsid w:val="00DF76A4"/>
    <w:rsid w:val="00E00241"/>
    <w:rsid w:val="00E0051F"/>
    <w:rsid w:val="00E00988"/>
    <w:rsid w:val="00E01C5F"/>
    <w:rsid w:val="00E023F8"/>
    <w:rsid w:val="00E02FE7"/>
    <w:rsid w:val="00E0302C"/>
    <w:rsid w:val="00E031C0"/>
    <w:rsid w:val="00E032F5"/>
    <w:rsid w:val="00E0379F"/>
    <w:rsid w:val="00E04198"/>
    <w:rsid w:val="00E06BE5"/>
    <w:rsid w:val="00E06D84"/>
    <w:rsid w:val="00E07148"/>
    <w:rsid w:val="00E07151"/>
    <w:rsid w:val="00E07FC4"/>
    <w:rsid w:val="00E1003D"/>
    <w:rsid w:val="00E112BD"/>
    <w:rsid w:val="00E1171A"/>
    <w:rsid w:val="00E11ED5"/>
    <w:rsid w:val="00E13350"/>
    <w:rsid w:val="00E136B0"/>
    <w:rsid w:val="00E1372E"/>
    <w:rsid w:val="00E13991"/>
    <w:rsid w:val="00E13A41"/>
    <w:rsid w:val="00E13D13"/>
    <w:rsid w:val="00E15052"/>
    <w:rsid w:val="00E15816"/>
    <w:rsid w:val="00E15A72"/>
    <w:rsid w:val="00E15F26"/>
    <w:rsid w:val="00E16B59"/>
    <w:rsid w:val="00E17233"/>
    <w:rsid w:val="00E1751A"/>
    <w:rsid w:val="00E17922"/>
    <w:rsid w:val="00E2116E"/>
    <w:rsid w:val="00E220BC"/>
    <w:rsid w:val="00E224E4"/>
    <w:rsid w:val="00E22AD2"/>
    <w:rsid w:val="00E22AE3"/>
    <w:rsid w:val="00E231B3"/>
    <w:rsid w:val="00E23434"/>
    <w:rsid w:val="00E23F84"/>
    <w:rsid w:val="00E254E9"/>
    <w:rsid w:val="00E25533"/>
    <w:rsid w:val="00E25651"/>
    <w:rsid w:val="00E2671C"/>
    <w:rsid w:val="00E274E3"/>
    <w:rsid w:val="00E2774B"/>
    <w:rsid w:val="00E27DEE"/>
    <w:rsid w:val="00E302FF"/>
    <w:rsid w:val="00E303FC"/>
    <w:rsid w:val="00E30487"/>
    <w:rsid w:val="00E30801"/>
    <w:rsid w:val="00E30CAE"/>
    <w:rsid w:val="00E30D90"/>
    <w:rsid w:val="00E3120B"/>
    <w:rsid w:val="00E342A1"/>
    <w:rsid w:val="00E34B3D"/>
    <w:rsid w:val="00E34F4C"/>
    <w:rsid w:val="00E352CE"/>
    <w:rsid w:val="00E36767"/>
    <w:rsid w:val="00E36AD9"/>
    <w:rsid w:val="00E36B51"/>
    <w:rsid w:val="00E36C78"/>
    <w:rsid w:val="00E40D25"/>
    <w:rsid w:val="00E410D6"/>
    <w:rsid w:val="00E41FB9"/>
    <w:rsid w:val="00E435A4"/>
    <w:rsid w:val="00E43854"/>
    <w:rsid w:val="00E43FC2"/>
    <w:rsid w:val="00E4419F"/>
    <w:rsid w:val="00E44230"/>
    <w:rsid w:val="00E45583"/>
    <w:rsid w:val="00E45B25"/>
    <w:rsid w:val="00E45B99"/>
    <w:rsid w:val="00E47DD0"/>
    <w:rsid w:val="00E51211"/>
    <w:rsid w:val="00E5153E"/>
    <w:rsid w:val="00E51C3C"/>
    <w:rsid w:val="00E52189"/>
    <w:rsid w:val="00E5247C"/>
    <w:rsid w:val="00E53823"/>
    <w:rsid w:val="00E542B1"/>
    <w:rsid w:val="00E55114"/>
    <w:rsid w:val="00E55233"/>
    <w:rsid w:val="00E5535B"/>
    <w:rsid w:val="00E5561E"/>
    <w:rsid w:val="00E56F72"/>
    <w:rsid w:val="00E57112"/>
    <w:rsid w:val="00E57449"/>
    <w:rsid w:val="00E5764D"/>
    <w:rsid w:val="00E60896"/>
    <w:rsid w:val="00E610A5"/>
    <w:rsid w:val="00E612F6"/>
    <w:rsid w:val="00E61C0E"/>
    <w:rsid w:val="00E62E7D"/>
    <w:rsid w:val="00E630CA"/>
    <w:rsid w:val="00E63514"/>
    <w:rsid w:val="00E635AB"/>
    <w:rsid w:val="00E6375A"/>
    <w:rsid w:val="00E63AAA"/>
    <w:rsid w:val="00E644CC"/>
    <w:rsid w:val="00E6486E"/>
    <w:rsid w:val="00E64970"/>
    <w:rsid w:val="00E65393"/>
    <w:rsid w:val="00E65D6B"/>
    <w:rsid w:val="00E665E6"/>
    <w:rsid w:val="00E67034"/>
    <w:rsid w:val="00E670C9"/>
    <w:rsid w:val="00E6775E"/>
    <w:rsid w:val="00E67FEB"/>
    <w:rsid w:val="00E705A9"/>
    <w:rsid w:val="00E70F08"/>
    <w:rsid w:val="00E7318E"/>
    <w:rsid w:val="00E73274"/>
    <w:rsid w:val="00E73689"/>
    <w:rsid w:val="00E73849"/>
    <w:rsid w:val="00E73EEF"/>
    <w:rsid w:val="00E743E8"/>
    <w:rsid w:val="00E749C0"/>
    <w:rsid w:val="00E756E0"/>
    <w:rsid w:val="00E75A1D"/>
    <w:rsid w:val="00E75E04"/>
    <w:rsid w:val="00E75FD4"/>
    <w:rsid w:val="00E761DA"/>
    <w:rsid w:val="00E7651A"/>
    <w:rsid w:val="00E76A87"/>
    <w:rsid w:val="00E76B55"/>
    <w:rsid w:val="00E776F4"/>
    <w:rsid w:val="00E80113"/>
    <w:rsid w:val="00E80302"/>
    <w:rsid w:val="00E8159E"/>
    <w:rsid w:val="00E81D1A"/>
    <w:rsid w:val="00E81E7F"/>
    <w:rsid w:val="00E81F98"/>
    <w:rsid w:val="00E8339E"/>
    <w:rsid w:val="00E8371D"/>
    <w:rsid w:val="00E83A10"/>
    <w:rsid w:val="00E83B34"/>
    <w:rsid w:val="00E83E0F"/>
    <w:rsid w:val="00E842D1"/>
    <w:rsid w:val="00E84CFE"/>
    <w:rsid w:val="00E85126"/>
    <w:rsid w:val="00E859FB"/>
    <w:rsid w:val="00E86691"/>
    <w:rsid w:val="00E87800"/>
    <w:rsid w:val="00E91356"/>
    <w:rsid w:val="00E9155B"/>
    <w:rsid w:val="00E91C3B"/>
    <w:rsid w:val="00E91DA0"/>
    <w:rsid w:val="00E92701"/>
    <w:rsid w:val="00E92A6B"/>
    <w:rsid w:val="00E92DDC"/>
    <w:rsid w:val="00E93443"/>
    <w:rsid w:val="00E93CC7"/>
    <w:rsid w:val="00E9442B"/>
    <w:rsid w:val="00E946FA"/>
    <w:rsid w:val="00E9496F"/>
    <w:rsid w:val="00E94AF5"/>
    <w:rsid w:val="00E95C97"/>
    <w:rsid w:val="00EA07EA"/>
    <w:rsid w:val="00EA0B3A"/>
    <w:rsid w:val="00EA12A0"/>
    <w:rsid w:val="00EA1765"/>
    <w:rsid w:val="00EA1E1C"/>
    <w:rsid w:val="00EA1ED7"/>
    <w:rsid w:val="00EA1F91"/>
    <w:rsid w:val="00EA2158"/>
    <w:rsid w:val="00EA223F"/>
    <w:rsid w:val="00EA29D9"/>
    <w:rsid w:val="00EA2B6D"/>
    <w:rsid w:val="00EA2B8D"/>
    <w:rsid w:val="00EA3C76"/>
    <w:rsid w:val="00EA45E2"/>
    <w:rsid w:val="00EA58D0"/>
    <w:rsid w:val="00EA6F8D"/>
    <w:rsid w:val="00EA774D"/>
    <w:rsid w:val="00EA7BCA"/>
    <w:rsid w:val="00EB09E9"/>
    <w:rsid w:val="00EB147E"/>
    <w:rsid w:val="00EB170F"/>
    <w:rsid w:val="00EB2E95"/>
    <w:rsid w:val="00EB357E"/>
    <w:rsid w:val="00EB35BE"/>
    <w:rsid w:val="00EB3CC1"/>
    <w:rsid w:val="00EB3D0B"/>
    <w:rsid w:val="00EB420F"/>
    <w:rsid w:val="00EB4674"/>
    <w:rsid w:val="00EB4998"/>
    <w:rsid w:val="00EB4B49"/>
    <w:rsid w:val="00EB5E48"/>
    <w:rsid w:val="00EB621B"/>
    <w:rsid w:val="00EB6841"/>
    <w:rsid w:val="00EB6E27"/>
    <w:rsid w:val="00EB6FC7"/>
    <w:rsid w:val="00EB7409"/>
    <w:rsid w:val="00EB7F09"/>
    <w:rsid w:val="00EC1044"/>
    <w:rsid w:val="00EC14E8"/>
    <w:rsid w:val="00EC2F21"/>
    <w:rsid w:val="00EC2FFD"/>
    <w:rsid w:val="00EC4166"/>
    <w:rsid w:val="00EC4193"/>
    <w:rsid w:val="00EC496D"/>
    <w:rsid w:val="00EC4B6E"/>
    <w:rsid w:val="00EC52E6"/>
    <w:rsid w:val="00EC5E17"/>
    <w:rsid w:val="00EC6378"/>
    <w:rsid w:val="00EC6924"/>
    <w:rsid w:val="00EC6BA8"/>
    <w:rsid w:val="00ED11EA"/>
    <w:rsid w:val="00ED2EB4"/>
    <w:rsid w:val="00ED2FAB"/>
    <w:rsid w:val="00ED3855"/>
    <w:rsid w:val="00ED45BF"/>
    <w:rsid w:val="00ED4791"/>
    <w:rsid w:val="00ED4859"/>
    <w:rsid w:val="00ED59B9"/>
    <w:rsid w:val="00ED6982"/>
    <w:rsid w:val="00ED7582"/>
    <w:rsid w:val="00ED7D15"/>
    <w:rsid w:val="00EE047F"/>
    <w:rsid w:val="00EE0DE2"/>
    <w:rsid w:val="00EE0E33"/>
    <w:rsid w:val="00EE12C4"/>
    <w:rsid w:val="00EE4361"/>
    <w:rsid w:val="00EE4626"/>
    <w:rsid w:val="00EE48CB"/>
    <w:rsid w:val="00EE4D75"/>
    <w:rsid w:val="00EE584B"/>
    <w:rsid w:val="00EE5949"/>
    <w:rsid w:val="00EE595D"/>
    <w:rsid w:val="00EE6415"/>
    <w:rsid w:val="00EE6A66"/>
    <w:rsid w:val="00EE7F3D"/>
    <w:rsid w:val="00EF0E1B"/>
    <w:rsid w:val="00EF14FE"/>
    <w:rsid w:val="00EF1563"/>
    <w:rsid w:val="00EF2A35"/>
    <w:rsid w:val="00EF2F90"/>
    <w:rsid w:val="00EF326D"/>
    <w:rsid w:val="00EF3425"/>
    <w:rsid w:val="00EF3D12"/>
    <w:rsid w:val="00EF4800"/>
    <w:rsid w:val="00EF51DA"/>
    <w:rsid w:val="00EF5944"/>
    <w:rsid w:val="00EF5C6B"/>
    <w:rsid w:val="00EF7322"/>
    <w:rsid w:val="00EF7504"/>
    <w:rsid w:val="00EF7CCF"/>
    <w:rsid w:val="00EF7F0E"/>
    <w:rsid w:val="00F0001E"/>
    <w:rsid w:val="00F005E4"/>
    <w:rsid w:val="00F01E14"/>
    <w:rsid w:val="00F01E96"/>
    <w:rsid w:val="00F020EE"/>
    <w:rsid w:val="00F02B9C"/>
    <w:rsid w:val="00F035FC"/>
    <w:rsid w:val="00F03BDF"/>
    <w:rsid w:val="00F04076"/>
    <w:rsid w:val="00F040F3"/>
    <w:rsid w:val="00F04D4F"/>
    <w:rsid w:val="00F0526A"/>
    <w:rsid w:val="00F06070"/>
    <w:rsid w:val="00F06F7A"/>
    <w:rsid w:val="00F11C44"/>
    <w:rsid w:val="00F11F25"/>
    <w:rsid w:val="00F11FAF"/>
    <w:rsid w:val="00F1209E"/>
    <w:rsid w:val="00F12694"/>
    <w:rsid w:val="00F1343A"/>
    <w:rsid w:val="00F142D2"/>
    <w:rsid w:val="00F148EB"/>
    <w:rsid w:val="00F14C5C"/>
    <w:rsid w:val="00F14CB9"/>
    <w:rsid w:val="00F15819"/>
    <w:rsid w:val="00F15AD8"/>
    <w:rsid w:val="00F176C2"/>
    <w:rsid w:val="00F20C41"/>
    <w:rsid w:val="00F214CC"/>
    <w:rsid w:val="00F217ED"/>
    <w:rsid w:val="00F21937"/>
    <w:rsid w:val="00F21B00"/>
    <w:rsid w:val="00F22C4E"/>
    <w:rsid w:val="00F238A0"/>
    <w:rsid w:val="00F23BAC"/>
    <w:rsid w:val="00F244A0"/>
    <w:rsid w:val="00F24701"/>
    <w:rsid w:val="00F24AFA"/>
    <w:rsid w:val="00F25993"/>
    <w:rsid w:val="00F25A14"/>
    <w:rsid w:val="00F25C2C"/>
    <w:rsid w:val="00F25D9E"/>
    <w:rsid w:val="00F264B2"/>
    <w:rsid w:val="00F2651B"/>
    <w:rsid w:val="00F267D0"/>
    <w:rsid w:val="00F27295"/>
    <w:rsid w:val="00F30178"/>
    <w:rsid w:val="00F30D9D"/>
    <w:rsid w:val="00F31470"/>
    <w:rsid w:val="00F31C4D"/>
    <w:rsid w:val="00F3357E"/>
    <w:rsid w:val="00F341C1"/>
    <w:rsid w:val="00F36497"/>
    <w:rsid w:val="00F3685F"/>
    <w:rsid w:val="00F377B3"/>
    <w:rsid w:val="00F37EDB"/>
    <w:rsid w:val="00F40681"/>
    <w:rsid w:val="00F40723"/>
    <w:rsid w:val="00F40A15"/>
    <w:rsid w:val="00F40C0E"/>
    <w:rsid w:val="00F419CB"/>
    <w:rsid w:val="00F41D5B"/>
    <w:rsid w:val="00F42060"/>
    <w:rsid w:val="00F42554"/>
    <w:rsid w:val="00F43007"/>
    <w:rsid w:val="00F43096"/>
    <w:rsid w:val="00F437A0"/>
    <w:rsid w:val="00F44983"/>
    <w:rsid w:val="00F45B57"/>
    <w:rsid w:val="00F46932"/>
    <w:rsid w:val="00F469BB"/>
    <w:rsid w:val="00F46B52"/>
    <w:rsid w:val="00F46DEB"/>
    <w:rsid w:val="00F475CD"/>
    <w:rsid w:val="00F47ABB"/>
    <w:rsid w:val="00F47ADF"/>
    <w:rsid w:val="00F50054"/>
    <w:rsid w:val="00F50103"/>
    <w:rsid w:val="00F5035D"/>
    <w:rsid w:val="00F50784"/>
    <w:rsid w:val="00F50CCC"/>
    <w:rsid w:val="00F51523"/>
    <w:rsid w:val="00F51732"/>
    <w:rsid w:val="00F51A2D"/>
    <w:rsid w:val="00F54292"/>
    <w:rsid w:val="00F542A1"/>
    <w:rsid w:val="00F54B5B"/>
    <w:rsid w:val="00F56575"/>
    <w:rsid w:val="00F60118"/>
    <w:rsid w:val="00F6134B"/>
    <w:rsid w:val="00F6139F"/>
    <w:rsid w:val="00F6154E"/>
    <w:rsid w:val="00F615BC"/>
    <w:rsid w:val="00F6233B"/>
    <w:rsid w:val="00F62492"/>
    <w:rsid w:val="00F6276E"/>
    <w:rsid w:val="00F62CD8"/>
    <w:rsid w:val="00F62DDC"/>
    <w:rsid w:val="00F644D4"/>
    <w:rsid w:val="00F66450"/>
    <w:rsid w:val="00F66580"/>
    <w:rsid w:val="00F66693"/>
    <w:rsid w:val="00F66CED"/>
    <w:rsid w:val="00F67124"/>
    <w:rsid w:val="00F67389"/>
    <w:rsid w:val="00F67647"/>
    <w:rsid w:val="00F67779"/>
    <w:rsid w:val="00F70622"/>
    <w:rsid w:val="00F70739"/>
    <w:rsid w:val="00F70D7A"/>
    <w:rsid w:val="00F71251"/>
    <w:rsid w:val="00F7133B"/>
    <w:rsid w:val="00F719F7"/>
    <w:rsid w:val="00F72861"/>
    <w:rsid w:val="00F73A9E"/>
    <w:rsid w:val="00F74094"/>
    <w:rsid w:val="00F743F0"/>
    <w:rsid w:val="00F74505"/>
    <w:rsid w:val="00F74B9C"/>
    <w:rsid w:val="00F7569C"/>
    <w:rsid w:val="00F75D13"/>
    <w:rsid w:val="00F76469"/>
    <w:rsid w:val="00F76694"/>
    <w:rsid w:val="00F76DD5"/>
    <w:rsid w:val="00F771BD"/>
    <w:rsid w:val="00F77D2E"/>
    <w:rsid w:val="00F80024"/>
    <w:rsid w:val="00F80BCE"/>
    <w:rsid w:val="00F813DB"/>
    <w:rsid w:val="00F82904"/>
    <w:rsid w:val="00F8299A"/>
    <w:rsid w:val="00F82A64"/>
    <w:rsid w:val="00F82C08"/>
    <w:rsid w:val="00F83010"/>
    <w:rsid w:val="00F83040"/>
    <w:rsid w:val="00F83558"/>
    <w:rsid w:val="00F83711"/>
    <w:rsid w:val="00F8395F"/>
    <w:rsid w:val="00F83DEA"/>
    <w:rsid w:val="00F8409A"/>
    <w:rsid w:val="00F8420A"/>
    <w:rsid w:val="00F842E5"/>
    <w:rsid w:val="00F84AFB"/>
    <w:rsid w:val="00F854FE"/>
    <w:rsid w:val="00F8589E"/>
    <w:rsid w:val="00F87559"/>
    <w:rsid w:val="00F8769D"/>
    <w:rsid w:val="00F8780D"/>
    <w:rsid w:val="00F878D8"/>
    <w:rsid w:val="00F87DEF"/>
    <w:rsid w:val="00F87E37"/>
    <w:rsid w:val="00F90295"/>
    <w:rsid w:val="00F91073"/>
    <w:rsid w:val="00F9137E"/>
    <w:rsid w:val="00F91B6B"/>
    <w:rsid w:val="00F921D6"/>
    <w:rsid w:val="00F9237F"/>
    <w:rsid w:val="00F928C7"/>
    <w:rsid w:val="00F92CC5"/>
    <w:rsid w:val="00F96664"/>
    <w:rsid w:val="00F969C0"/>
    <w:rsid w:val="00F96D09"/>
    <w:rsid w:val="00F973E6"/>
    <w:rsid w:val="00F973E9"/>
    <w:rsid w:val="00FA18AD"/>
    <w:rsid w:val="00FA1CCE"/>
    <w:rsid w:val="00FA247B"/>
    <w:rsid w:val="00FA3341"/>
    <w:rsid w:val="00FA5805"/>
    <w:rsid w:val="00FA61B2"/>
    <w:rsid w:val="00FA6A2F"/>
    <w:rsid w:val="00FA6E7B"/>
    <w:rsid w:val="00FA6F0F"/>
    <w:rsid w:val="00FA7DEB"/>
    <w:rsid w:val="00FB03EE"/>
    <w:rsid w:val="00FB0900"/>
    <w:rsid w:val="00FB0B6A"/>
    <w:rsid w:val="00FB0E1F"/>
    <w:rsid w:val="00FB1184"/>
    <w:rsid w:val="00FB13DB"/>
    <w:rsid w:val="00FB1B26"/>
    <w:rsid w:val="00FB20E2"/>
    <w:rsid w:val="00FB30EE"/>
    <w:rsid w:val="00FB3C62"/>
    <w:rsid w:val="00FB40CD"/>
    <w:rsid w:val="00FB4765"/>
    <w:rsid w:val="00FB6E05"/>
    <w:rsid w:val="00FB73B9"/>
    <w:rsid w:val="00FB74CE"/>
    <w:rsid w:val="00FC0A14"/>
    <w:rsid w:val="00FC1625"/>
    <w:rsid w:val="00FC2121"/>
    <w:rsid w:val="00FC2506"/>
    <w:rsid w:val="00FC3455"/>
    <w:rsid w:val="00FC368C"/>
    <w:rsid w:val="00FC4E9B"/>
    <w:rsid w:val="00FC56D2"/>
    <w:rsid w:val="00FC57AC"/>
    <w:rsid w:val="00FC5E93"/>
    <w:rsid w:val="00FC5F49"/>
    <w:rsid w:val="00FC6480"/>
    <w:rsid w:val="00FC648B"/>
    <w:rsid w:val="00FC6B0B"/>
    <w:rsid w:val="00FC7C8A"/>
    <w:rsid w:val="00FD0CE1"/>
    <w:rsid w:val="00FD0E63"/>
    <w:rsid w:val="00FD10B6"/>
    <w:rsid w:val="00FD1112"/>
    <w:rsid w:val="00FD11BF"/>
    <w:rsid w:val="00FD16F7"/>
    <w:rsid w:val="00FD18E9"/>
    <w:rsid w:val="00FD1C87"/>
    <w:rsid w:val="00FD2D12"/>
    <w:rsid w:val="00FD328C"/>
    <w:rsid w:val="00FD4E62"/>
    <w:rsid w:val="00FD50D7"/>
    <w:rsid w:val="00FD77AE"/>
    <w:rsid w:val="00FD7A12"/>
    <w:rsid w:val="00FD7C3D"/>
    <w:rsid w:val="00FD7F1C"/>
    <w:rsid w:val="00FE25F7"/>
    <w:rsid w:val="00FE2922"/>
    <w:rsid w:val="00FE2CC8"/>
    <w:rsid w:val="00FE3BED"/>
    <w:rsid w:val="00FE43B5"/>
    <w:rsid w:val="00FE4937"/>
    <w:rsid w:val="00FE5383"/>
    <w:rsid w:val="00FE56E5"/>
    <w:rsid w:val="00FE5F41"/>
    <w:rsid w:val="00FE63D3"/>
    <w:rsid w:val="00FE7066"/>
    <w:rsid w:val="00FE7213"/>
    <w:rsid w:val="00FE7A3B"/>
    <w:rsid w:val="00FF247F"/>
    <w:rsid w:val="00FF27EA"/>
    <w:rsid w:val="00FF28F3"/>
    <w:rsid w:val="00FF2F90"/>
    <w:rsid w:val="00FF30DB"/>
    <w:rsid w:val="00FF32EA"/>
    <w:rsid w:val="00FF34BE"/>
    <w:rsid w:val="00FF3B01"/>
    <w:rsid w:val="00FF411A"/>
    <w:rsid w:val="00FF43AF"/>
    <w:rsid w:val="00FF4AA5"/>
    <w:rsid w:val="00FF5870"/>
    <w:rsid w:val="00FF6DFD"/>
    <w:rsid w:val="00FF6F7B"/>
    <w:rsid w:val="00FF714F"/>
    <w:rsid w:val="00FF74E2"/>
    <w:rsid w:val="00FF7677"/>
  </w:rsids>
  <m:mathPr>
    <m:mathFont m:val="Cambria Math"/>
    <m:brkBin m:val="before"/>
    <m:brkBinSub m:val="--"/>
    <m:smallFrac/>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6145"/>
    <o:shapelayout v:ext="edit">
      <o:idmap v:ext="edit" data="1"/>
    </o:shapelayout>
  </w:shapeDefaults>
  <w:decimalSymbol w:val="."/>
  <w:listSeparator w:val=","/>
  <w14:docId w14:val="666BD344"/>
  <w15:docId w15:val="{389817F0-3BF3-4003-8DE4-FE8E94230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qFormat="1"/>
    <w:lsdException w:name="heading 5" w:locked="1" w:semiHidden="1" w:uiPriority="0"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iPriority="0"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iPriority="0"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94C"/>
    <w:pPr>
      <w:spacing w:before="240"/>
      <w:jc w:val="both"/>
    </w:pPr>
    <w:rPr>
      <w:rFonts w:ascii="Calibri" w:hAnsi="Calibri"/>
      <w:kern w:val="2"/>
      <w:lang w:val="en-GB"/>
    </w:rPr>
  </w:style>
  <w:style w:type="paragraph" w:styleId="Heading1">
    <w:name w:val="heading 1"/>
    <w:basedOn w:val="Normal"/>
    <w:next w:val="Normal"/>
    <w:link w:val="Heading1Char"/>
    <w:uiPriority w:val="9"/>
    <w:qFormat/>
    <w:rsid w:val="00D500A6"/>
    <w:pPr>
      <w:keepNext/>
      <w:shd w:val="clear" w:color="auto" w:fill="93BBE0"/>
      <w:spacing w:before="360" w:after="120"/>
      <w:outlineLvl w:val="0"/>
    </w:pPr>
    <w:rPr>
      <w:rFonts w:cs="Arial"/>
      <w:color w:val="FFFFFF"/>
      <w:kern w:val="32"/>
      <w:sz w:val="32"/>
      <w:szCs w:val="28"/>
    </w:rPr>
  </w:style>
  <w:style w:type="paragraph" w:styleId="Heading2">
    <w:name w:val="heading 2"/>
    <w:basedOn w:val="Normal"/>
    <w:next w:val="Normal"/>
    <w:link w:val="Heading2Char"/>
    <w:uiPriority w:val="9"/>
    <w:qFormat/>
    <w:rsid w:val="00D500A6"/>
    <w:pPr>
      <w:keepNext/>
      <w:spacing w:after="60"/>
      <w:outlineLvl w:val="1"/>
    </w:pPr>
    <w:rPr>
      <w:rFonts w:cs="Arial"/>
      <w:b/>
      <w:bCs/>
      <w:i/>
      <w:iCs/>
      <w:color w:val="93BBE0"/>
      <w:sz w:val="26"/>
    </w:rPr>
  </w:style>
  <w:style w:type="paragraph" w:styleId="Heading3">
    <w:name w:val="heading 3"/>
    <w:basedOn w:val="Normal"/>
    <w:next w:val="Normal"/>
    <w:link w:val="Heading3Char"/>
    <w:qFormat/>
    <w:rsid w:val="00D500A6"/>
    <w:pPr>
      <w:keepNext/>
      <w:spacing w:after="60"/>
      <w:jc w:val="left"/>
      <w:outlineLvl w:val="2"/>
    </w:pPr>
    <w:rPr>
      <w:rFonts w:cs="Arial"/>
      <w:b/>
      <w:bCs/>
    </w:rPr>
  </w:style>
  <w:style w:type="paragraph" w:styleId="Heading4">
    <w:name w:val="heading 4"/>
    <w:basedOn w:val="Heading3"/>
    <w:next w:val="Normal"/>
    <w:link w:val="Heading4Char"/>
    <w:uiPriority w:val="99"/>
    <w:qFormat/>
    <w:rsid w:val="00D500A6"/>
    <w:pPr>
      <w:outlineLvl w:val="3"/>
    </w:pPr>
    <w:rPr>
      <w:b w:val="0"/>
      <w:bCs w:val="0"/>
      <w:i/>
      <w:iCs/>
      <w:lang w:val="en-US" w:eastAsia="en-US"/>
    </w:rPr>
  </w:style>
  <w:style w:type="paragraph" w:styleId="Heading5">
    <w:name w:val="heading 5"/>
    <w:basedOn w:val="Normal"/>
    <w:next w:val="Normal"/>
    <w:link w:val="Heading5Char"/>
    <w:qFormat/>
    <w:locked/>
    <w:rsid w:val="000A7DF2"/>
    <w:pPr>
      <w:keepNext/>
      <w:keepLines/>
      <w:widowControl w:val="0"/>
      <w:suppressAutoHyphens/>
      <w:spacing w:before="200" w:line="264" w:lineRule="auto"/>
      <w:outlineLvl w:val="4"/>
    </w:pPr>
    <w:rPr>
      <w:rFonts w:eastAsia="MS Gothic" w:cs="Cambria"/>
      <w:color w:val="243F60"/>
      <w:kern w:val="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500A6"/>
    <w:rPr>
      <w:rFonts w:ascii="Calibri" w:hAnsi="Calibri" w:cs="Arial"/>
      <w:color w:val="FFFFFF"/>
      <w:kern w:val="32"/>
      <w:sz w:val="32"/>
      <w:szCs w:val="28"/>
      <w:shd w:val="clear" w:color="auto" w:fill="93BBE0"/>
      <w:lang w:val="en-GB"/>
    </w:rPr>
  </w:style>
  <w:style w:type="character" w:customStyle="1" w:styleId="Heading2Char">
    <w:name w:val="Heading 2 Char"/>
    <w:basedOn w:val="DefaultParagraphFont"/>
    <w:link w:val="Heading2"/>
    <w:uiPriority w:val="9"/>
    <w:locked/>
    <w:rsid w:val="00D500A6"/>
    <w:rPr>
      <w:rFonts w:ascii="Calibri" w:hAnsi="Calibri" w:cs="Arial"/>
      <w:b/>
      <w:bCs/>
      <w:i/>
      <w:iCs/>
      <w:color w:val="93BBE0"/>
      <w:kern w:val="2"/>
      <w:sz w:val="26"/>
      <w:lang w:val="en-GB"/>
    </w:rPr>
  </w:style>
  <w:style w:type="character" w:customStyle="1" w:styleId="Heading3Char">
    <w:name w:val="Heading 3 Char"/>
    <w:basedOn w:val="DefaultParagraphFont"/>
    <w:link w:val="Heading3"/>
    <w:locked/>
    <w:rsid w:val="00D500A6"/>
    <w:rPr>
      <w:rFonts w:ascii="Calibri" w:hAnsi="Calibri" w:cs="Arial"/>
      <w:b/>
      <w:bCs/>
      <w:kern w:val="2"/>
      <w:lang w:val="en-GB"/>
    </w:rPr>
  </w:style>
  <w:style w:type="character" w:customStyle="1" w:styleId="Heading4Char">
    <w:name w:val="Heading 4 Char"/>
    <w:basedOn w:val="DefaultParagraphFont"/>
    <w:link w:val="Heading4"/>
    <w:uiPriority w:val="99"/>
    <w:locked/>
    <w:rsid w:val="00D500A6"/>
    <w:rPr>
      <w:rFonts w:ascii="Calibri" w:hAnsi="Calibri" w:cs="Arial"/>
      <w:i/>
      <w:iCs/>
      <w:kern w:val="2"/>
      <w:lang w:eastAsia="en-US"/>
    </w:rPr>
  </w:style>
  <w:style w:type="paragraph" w:styleId="Header">
    <w:name w:val="header"/>
    <w:basedOn w:val="Normal"/>
    <w:link w:val="HeaderChar"/>
    <w:uiPriority w:val="99"/>
    <w:rsid w:val="00D500A6"/>
    <w:pPr>
      <w:tabs>
        <w:tab w:val="center" w:pos="4703"/>
        <w:tab w:val="right" w:pos="9406"/>
      </w:tabs>
    </w:pPr>
  </w:style>
  <w:style w:type="character" w:customStyle="1" w:styleId="HeaderChar">
    <w:name w:val="Header Char"/>
    <w:basedOn w:val="DefaultParagraphFont"/>
    <w:link w:val="Header"/>
    <w:uiPriority w:val="99"/>
    <w:locked/>
    <w:rsid w:val="00D500A6"/>
    <w:rPr>
      <w:rFonts w:ascii="Calibri" w:hAnsi="Calibri"/>
      <w:kern w:val="2"/>
      <w:lang w:val="en-GB"/>
    </w:rPr>
  </w:style>
  <w:style w:type="paragraph" w:styleId="Footer">
    <w:name w:val="footer"/>
    <w:basedOn w:val="Normal"/>
    <w:link w:val="FooterChar"/>
    <w:uiPriority w:val="99"/>
    <w:rsid w:val="00D500A6"/>
    <w:pPr>
      <w:tabs>
        <w:tab w:val="right" w:pos="9570"/>
      </w:tabs>
      <w:ind w:right="360"/>
    </w:pPr>
    <w:rPr>
      <w:sz w:val="18"/>
      <w:szCs w:val="18"/>
      <w:lang w:val="fr-CH"/>
    </w:rPr>
  </w:style>
  <w:style w:type="character" w:customStyle="1" w:styleId="FooterChar">
    <w:name w:val="Footer Char"/>
    <w:basedOn w:val="DefaultParagraphFont"/>
    <w:link w:val="Footer"/>
    <w:uiPriority w:val="99"/>
    <w:locked/>
    <w:rsid w:val="00D500A6"/>
    <w:rPr>
      <w:rFonts w:ascii="Calibri" w:hAnsi="Calibri"/>
      <w:kern w:val="2"/>
      <w:sz w:val="18"/>
      <w:szCs w:val="18"/>
      <w:lang w:val="fr-CH"/>
    </w:rPr>
  </w:style>
  <w:style w:type="paragraph" w:styleId="FootnoteText">
    <w:name w:val="footnote text"/>
    <w:basedOn w:val="Normal"/>
    <w:link w:val="FootnoteTextChar"/>
    <w:unhideWhenUsed/>
    <w:locked/>
    <w:rsid w:val="0028494C"/>
    <w:pPr>
      <w:spacing w:before="60"/>
    </w:pPr>
    <w:rPr>
      <w:sz w:val="20"/>
      <w:szCs w:val="20"/>
    </w:rPr>
  </w:style>
  <w:style w:type="character" w:styleId="PageNumber">
    <w:name w:val="page number"/>
    <w:basedOn w:val="DefaultParagraphFont"/>
    <w:rsid w:val="00D500A6"/>
    <w:rPr>
      <w:rFonts w:cs="Times New Roman"/>
    </w:rPr>
  </w:style>
  <w:style w:type="table" w:styleId="TableGrid">
    <w:name w:val="Table Grid"/>
    <w:basedOn w:val="TableNormal"/>
    <w:uiPriority w:val="59"/>
    <w:rsid w:val="00D500A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link w:val="enumlev1Char"/>
    <w:rsid w:val="00D500A6"/>
    <w:pPr>
      <w:spacing w:before="120"/>
      <w:ind w:left="425" w:hanging="425"/>
    </w:pPr>
  </w:style>
  <w:style w:type="character" w:customStyle="1" w:styleId="enumlev1Char">
    <w:name w:val="enumlev1 Char"/>
    <w:basedOn w:val="DefaultParagraphFont"/>
    <w:link w:val="enumlev1"/>
    <w:rsid w:val="00D500A6"/>
    <w:rPr>
      <w:rFonts w:ascii="Calibri" w:hAnsi="Calibri"/>
      <w:kern w:val="2"/>
      <w:lang w:val="en-GB"/>
    </w:rPr>
  </w:style>
  <w:style w:type="paragraph" w:customStyle="1" w:styleId="enumlev2">
    <w:name w:val="enumlev2"/>
    <w:basedOn w:val="Normal"/>
    <w:uiPriority w:val="99"/>
    <w:rsid w:val="0063651F"/>
    <w:pPr>
      <w:numPr>
        <w:numId w:val="3"/>
      </w:numPr>
      <w:spacing w:before="0"/>
    </w:pPr>
  </w:style>
  <w:style w:type="character" w:styleId="Hyperlink">
    <w:name w:val="Hyperlink"/>
    <w:basedOn w:val="DefaultParagraphFont"/>
    <w:uiPriority w:val="99"/>
    <w:rsid w:val="00D500A6"/>
    <w:rPr>
      <w:rFonts w:cs="Times New Roman"/>
      <w:color w:val="0000FF"/>
      <w:u w:val="single"/>
    </w:rPr>
  </w:style>
  <w:style w:type="paragraph" w:customStyle="1" w:styleId="Filesource">
    <w:name w:val="File source"/>
    <w:basedOn w:val="Source"/>
    <w:link w:val="FilesourceChar"/>
    <w:uiPriority w:val="99"/>
    <w:rsid w:val="00D500A6"/>
  </w:style>
  <w:style w:type="paragraph" w:customStyle="1" w:styleId="Source">
    <w:name w:val="Source"/>
    <w:basedOn w:val="Normal"/>
    <w:rsid w:val="00D500A6"/>
    <w:pPr>
      <w:jc w:val="left"/>
    </w:pPr>
    <w:rPr>
      <w:i/>
      <w:iCs/>
      <w:sz w:val="18"/>
      <w:szCs w:val="18"/>
    </w:rPr>
  </w:style>
  <w:style w:type="character" w:customStyle="1" w:styleId="FilesourceChar">
    <w:name w:val="File source Char"/>
    <w:basedOn w:val="DefaultParagraphFont"/>
    <w:link w:val="Filesource"/>
    <w:uiPriority w:val="99"/>
    <w:locked/>
    <w:rsid w:val="00D500A6"/>
    <w:rPr>
      <w:rFonts w:ascii="Calibri" w:hAnsi="Calibri"/>
      <w:i/>
      <w:iCs/>
      <w:kern w:val="2"/>
      <w:sz w:val="18"/>
      <w:szCs w:val="18"/>
      <w:lang w:val="en-GB"/>
    </w:rPr>
  </w:style>
  <w:style w:type="character" w:styleId="EndnoteReference">
    <w:name w:val="endnote reference"/>
    <w:basedOn w:val="DefaultParagraphFont"/>
    <w:rsid w:val="00D500A6"/>
    <w:rPr>
      <w:rFonts w:cs="Times New Roman"/>
      <w:vertAlign w:val="superscript"/>
    </w:rPr>
  </w:style>
  <w:style w:type="paragraph" w:customStyle="1" w:styleId="Figure">
    <w:name w:val="Figure"/>
    <w:basedOn w:val="Normal"/>
    <w:next w:val="Filesource"/>
    <w:uiPriority w:val="99"/>
    <w:rsid w:val="00D500A6"/>
    <w:pPr>
      <w:pBdr>
        <w:top w:val="single" w:sz="12" w:space="1" w:color="93BBE0"/>
        <w:left w:val="single" w:sz="12" w:space="4" w:color="93BBE0"/>
        <w:bottom w:val="single" w:sz="12" w:space="1" w:color="93BBE0"/>
        <w:right w:val="single" w:sz="12" w:space="4" w:color="93BBE0"/>
      </w:pBdr>
      <w:shd w:val="clear" w:color="auto" w:fill="D2E3F2"/>
      <w:ind w:left="142" w:right="142"/>
      <w:jc w:val="center"/>
    </w:pPr>
    <w:rPr>
      <w:lang w:val="en-US"/>
    </w:rPr>
  </w:style>
  <w:style w:type="paragraph" w:customStyle="1" w:styleId="Titlereport">
    <w:name w:val="Title report"/>
    <w:basedOn w:val="Heading1"/>
    <w:link w:val="TitlereportChar"/>
    <w:qFormat/>
    <w:rsid w:val="00D500A6"/>
    <w:pPr>
      <w:shd w:val="clear" w:color="auto" w:fill="auto"/>
      <w:spacing w:before="480" w:after="240"/>
      <w:jc w:val="center"/>
    </w:pPr>
    <w:rPr>
      <w:rFonts w:eastAsiaTheme="minorEastAsia" w:cs="Arial Bold"/>
      <w:b/>
      <w:bCs/>
      <w:color w:val="93BBE0"/>
      <w:sz w:val="36"/>
      <w:szCs w:val="36"/>
      <w:lang w:eastAsia="fr-FR"/>
    </w:rPr>
  </w:style>
  <w:style w:type="paragraph" w:customStyle="1" w:styleId="Figuretitle">
    <w:name w:val="Figure title"/>
    <w:basedOn w:val="Normal"/>
    <w:next w:val="Figure"/>
    <w:link w:val="FiguretitleChar"/>
    <w:uiPriority w:val="99"/>
    <w:rsid w:val="00D500A6"/>
    <w:pPr>
      <w:pBdr>
        <w:top w:val="single" w:sz="12" w:space="1" w:color="93BBE0"/>
        <w:left w:val="single" w:sz="12" w:space="4" w:color="93BBE0"/>
        <w:bottom w:val="single" w:sz="12" w:space="1" w:color="93BBE0"/>
        <w:right w:val="single" w:sz="12" w:space="4" w:color="93BBE0"/>
      </w:pBdr>
      <w:shd w:val="clear" w:color="auto" w:fill="D2E3F2"/>
      <w:ind w:left="142" w:right="142"/>
      <w:jc w:val="left"/>
    </w:pPr>
    <w:rPr>
      <w:rFonts w:cs="Times New Roman Bold"/>
      <w:b/>
      <w:bCs/>
      <w:noProof/>
    </w:rPr>
  </w:style>
  <w:style w:type="character" w:customStyle="1" w:styleId="FiguretitleChar">
    <w:name w:val="Figure title Char"/>
    <w:basedOn w:val="DefaultParagraphFont"/>
    <w:link w:val="Figuretitle"/>
    <w:uiPriority w:val="99"/>
    <w:locked/>
    <w:rsid w:val="00D500A6"/>
    <w:rPr>
      <w:rFonts w:ascii="Calibri" w:hAnsi="Calibri" w:cs="Times New Roman Bold"/>
      <w:b/>
      <w:bCs/>
      <w:noProof/>
      <w:kern w:val="2"/>
      <w:shd w:val="clear" w:color="auto" w:fill="D2E3F2"/>
      <w:lang w:val="en-GB"/>
    </w:rPr>
  </w:style>
  <w:style w:type="character" w:customStyle="1" w:styleId="FootnoteTextChar">
    <w:name w:val="Footnote Text Char"/>
    <w:basedOn w:val="DefaultParagraphFont"/>
    <w:link w:val="FootnoteText"/>
    <w:rsid w:val="0028494C"/>
    <w:rPr>
      <w:rFonts w:ascii="Calibri" w:hAnsi="Calibri"/>
      <w:kern w:val="2"/>
      <w:sz w:val="20"/>
      <w:szCs w:val="20"/>
      <w:lang w:val="en-GB"/>
    </w:rPr>
  </w:style>
  <w:style w:type="paragraph" w:customStyle="1" w:styleId="Headingb">
    <w:name w:val="Heading b"/>
    <w:basedOn w:val="Normal"/>
    <w:uiPriority w:val="99"/>
    <w:rsid w:val="00D500A6"/>
    <w:pPr>
      <w:spacing w:before="200"/>
      <w:jc w:val="left"/>
    </w:pPr>
    <w:rPr>
      <w:rFonts w:cs="Times New Roman Bold"/>
      <w:b/>
      <w:bCs/>
      <w:color w:val="93BBE0"/>
      <w:szCs w:val="18"/>
    </w:rPr>
  </w:style>
  <w:style w:type="character" w:styleId="FootnoteReference">
    <w:name w:val="footnote reference"/>
    <w:basedOn w:val="DefaultParagraphFont"/>
    <w:uiPriority w:val="99"/>
    <w:rsid w:val="00D500A6"/>
    <w:rPr>
      <w:rFonts w:cs="Times New Roman"/>
      <w:vertAlign w:val="superscript"/>
    </w:rPr>
  </w:style>
  <w:style w:type="paragraph" w:customStyle="1" w:styleId="SPUBox">
    <w:name w:val="SPU_Box"/>
    <w:basedOn w:val="Normal"/>
    <w:uiPriority w:val="99"/>
    <w:rsid w:val="00D500A6"/>
    <w:pPr>
      <w:ind w:right="113"/>
    </w:pPr>
    <w:rPr>
      <w:rFonts w:ascii="Times New Roman" w:hAnsi="Times New Roman"/>
      <w:lang w:val="fr-FR"/>
    </w:rPr>
  </w:style>
  <w:style w:type="paragraph" w:customStyle="1" w:styleId="Enumlev1-tableau">
    <w:name w:val="Enumlev1-tableau"/>
    <w:basedOn w:val="ListParagraph"/>
    <w:uiPriority w:val="99"/>
    <w:rsid w:val="00D500A6"/>
    <w:pPr>
      <w:framePr w:hSpace="181" w:wrap="around" w:vAnchor="text" w:hAnchor="margin" w:xAlign="center" w:y="1"/>
      <w:spacing w:before="120" w:after="0" w:line="240" w:lineRule="auto"/>
      <w:ind w:left="1276" w:hanging="556"/>
      <w:jc w:val="both"/>
    </w:pPr>
    <w:rPr>
      <w:rFonts w:asciiTheme="minorHAnsi" w:hAnsiTheme="minorHAnsi"/>
      <w:sz w:val="20"/>
      <w:szCs w:val="20"/>
      <w:lang w:eastAsia="ko-KR"/>
    </w:rPr>
  </w:style>
  <w:style w:type="paragraph" w:styleId="ListParagraph">
    <w:name w:val="List Paragraph"/>
    <w:basedOn w:val="Normal"/>
    <w:uiPriority w:val="99"/>
    <w:qFormat/>
    <w:rsid w:val="00D500A6"/>
    <w:pPr>
      <w:spacing w:before="0" w:after="200" w:line="276" w:lineRule="auto"/>
      <w:ind w:left="720"/>
      <w:contextualSpacing/>
      <w:jc w:val="left"/>
    </w:pPr>
    <w:rPr>
      <w:rFonts w:ascii="Cambria" w:eastAsia="SimHei" w:hAnsi="Cambria"/>
    </w:rPr>
  </w:style>
  <w:style w:type="paragraph" w:customStyle="1" w:styleId="EndnoteText1">
    <w:name w:val="Endnote Text1"/>
    <w:basedOn w:val="Normal"/>
    <w:link w:val="EndnotetextChar"/>
    <w:uiPriority w:val="99"/>
    <w:rsid w:val="00D500A6"/>
    <w:pPr>
      <w:spacing w:before="0"/>
      <w:ind w:left="440" w:hanging="440"/>
      <w:jc w:val="left"/>
    </w:pPr>
    <w:rPr>
      <w:sz w:val="16"/>
      <w:szCs w:val="16"/>
      <w:lang w:eastAsia="en-US"/>
    </w:rPr>
  </w:style>
  <w:style w:type="character" w:customStyle="1" w:styleId="EndnotetextChar">
    <w:name w:val="Endnote text Char"/>
    <w:basedOn w:val="DefaultParagraphFont"/>
    <w:link w:val="EndnoteText1"/>
    <w:uiPriority w:val="99"/>
    <w:locked/>
    <w:rsid w:val="00D500A6"/>
    <w:rPr>
      <w:rFonts w:ascii="Calibri" w:hAnsi="Calibri"/>
      <w:kern w:val="2"/>
      <w:sz w:val="16"/>
      <w:szCs w:val="16"/>
      <w:lang w:val="en-GB" w:eastAsia="en-US"/>
    </w:rPr>
  </w:style>
  <w:style w:type="paragraph" w:styleId="EndnoteText">
    <w:name w:val="endnote text"/>
    <w:basedOn w:val="Normal"/>
    <w:link w:val="EndnoteTextChar0"/>
    <w:rsid w:val="00D500A6"/>
    <w:pPr>
      <w:tabs>
        <w:tab w:val="left" w:pos="284"/>
      </w:tabs>
      <w:spacing w:before="0"/>
      <w:ind w:left="284" w:hanging="284"/>
    </w:pPr>
    <w:rPr>
      <w:rFonts w:ascii="Times New Roman" w:hAnsi="Times New Roman"/>
      <w:sz w:val="18"/>
      <w:szCs w:val="20"/>
      <w:lang w:eastAsia="en-US"/>
    </w:rPr>
  </w:style>
  <w:style w:type="character" w:customStyle="1" w:styleId="EndnoteTextChar0">
    <w:name w:val="Endnote Text Char"/>
    <w:basedOn w:val="DefaultParagraphFont"/>
    <w:link w:val="EndnoteText"/>
    <w:locked/>
    <w:rsid w:val="00D500A6"/>
    <w:rPr>
      <w:kern w:val="2"/>
      <w:sz w:val="18"/>
      <w:szCs w:val="20"/>
      <w:lang w:val="en-GB" w:eastAsia="en-US"/>
    </w:rPr>
  </w:style>
  <w:style w:type="character" w:styleId="FollowedHyperlink">
    <w:name w:val="FollowedHyperlink"/>
    <w:basedOn w:val="DefaultParagraphFont"/>
    <w:rsid w:val="00D500A6"/>
    <w:rPr>
      <w:rFonts w:cs="Times New Roman"/>
      <w:color w:val="606420"/>
      <w:u w:val="single"/>
    </w:rPr>
  </w:style>
  <w:style w:type="paragraph" w:customStyle="1" w:styleId="Normal11pt">
    <w:name w:val="Normal + 11 pt."/>
    <w:basedOn w:val="Normal"/>
    <w:link w:val="Normal11ptCar"/>
    <w:uiPriority w:val="99"/>
    <w:rsid w:val="00D500A6"/>
    <w:pPr>
      <w:spacing w:before="0" w:after="100" w:afterAutospacing="1"/>
      <w:jc w:val="left"/>
    </w:pPr>
    <w:rPr>
      <w:rFonts w:ascii="Times New Roman" w:hAnsi="Times New Roman"/>
      <w:b/>
      <w:bCs/>
      <w:sz w:val="24"/>
    </w:rPr>
  </w:style>
  <w:style w:type="character" w:customStyle="1" w:styleId="Normal11ptCar">
    <w:name w:val="Normal + 11 pt. Car"/>
    <w:basedOn w:val="DefaultParagraphFont"/>
    <w:link w:val="Normal11pt"/>
    <w:uiPriority w:val="99"/>
    <w:locked/>
    <w:rsid w:val="00D500A6"/>
    <w:rPr>
      <w:b/>
      <w:bCs/>
      <w:kern w:val="2"/>
      <w:sz w:val="24"/>
      <w:lang w:val="en-GB"/>
    </w:rPr>
  </w:style>
  <w:style w:type="character" w:customStyle="1" w:styleId="EndnoteCharacters">
    <w:name w:val="Endnote Characters"/>
    <w:basedOn w:val="DefaultParagraphFont"/>
    <w:uiPriority w:val="99"/>
    <w:rsid w:val="00D500A6"/>
    <w:rPr>
      <w:rFonts w:cs="Times New Roman"/>
      <w:vertAlign w:val="superscript"/>
    </w:rPr>
  </w:style>
  <w:style w:type="character" w:customStyle="1" w:styleId="WW-EndnoteCharacters">
    <w:name w:val="WW-Endnote Characters"/>
    <w:basedOn w:val="DefaultParagraphFont"/>
    <w:uiPriority w:val="99"/>
    <w:rsid w:val="00D500A6"/>
    <w:rPr>
      <w:rFonts w:cs="Times New Roman"/>
      <w:vertAlign w:val="superscript"/>
    </w:rPr>
  </w:style>
  <w:style w:type="character" w:styleId="HTMLCite">
    <w:name w:val="HTML Cite"/>
    <w:basedOn w:val="DefaultParagraphFont"/>
    <w:uiPriority w:val="99"/>
    <w:rsid w:val="00D500A6"/>
    <w:rPr>
      <w:rFonts w:cs="Times New Roman"/>
      <w:i/>
      <w:iCs/>
    </w:rPr>
  </w:style>
  <w:style w:type="character" w:styleId="CommentReference">
    <w:name w:val="annotation reference"/>
    <w:basedOn w:val="DefaultParagraphFont"/>
    <w:rsid w:val="00D500A6"/>
    <w:rPr>
      <w:rFonts w:cs="Times New Roman"/>
      <w:sz w:val="16"/>
      <w:szCs w:val="16"/>
    </w:rPr>
  </w:style>
  <w:style w:type="paragraph" w:styleId="CommentText">
    <w:name w:val="annotation text"/>
    <w:basedOn w:val="Normal"/>
    <w:link w:val="CommentTextChar"/>
    <w:rsid w:val="00D500A6"/>
    <w:rPr>
      <w:szCs w:val="20"/>
    </w:rPr>
  </w:style>
  <w:style w:type="character" w:customStyle="1" w:styleId="CommentTextChar">
    <w:name w:val="Comment Text Char"/>
    <w:basedOn w:val="DefaultParagraphFont"/>
    <w:link w:val="CommentText"/>
    <w:locked/>
    <w:rsid w:val="00D500A6"/>
    <w:rPr>
      <w:rFonts w:ascii="Calibri" w:hAnsi="Calibri"/>
      <w:kern w:val="2"/>
      <w:szCs w:val="20"/>
      <w:lang w:val="en-GB"/>
    </w:rPr>
  </w:style>
  <w:style w:type="paragraph" w:styleId="CommentSubject">
    <w:name w:val="annotation subject"/>
    <w:basedOn w:val="CommentText"/>
    <w:next w:val="CommentText"/>
    <w:link w:val="CommentSubjectChar"/>
    <w:rsid w:val="00D500A6"/>
    <w:rPr>
      <w:b/>
      <w:bCs/>
    </w:rPr>
  </w:style>
  <w:style w:type="character" w:customStyle="1" w:styleId="CommentSubjectChar">
    <w:name w:val="Comment Subject Char"/>
    <w:basedOn w:val="CommentTextChar"/>
    <w:link w:val="CommentSubject"/>
    <w:locked/>
    <w:rsid w:val="00D500A6"/>
    <w:rPr>
      <w:rFonts w:ascii="Calibri" w:hAnsi="Calibri"/>
      <w:b/>
      <w:bCs/>
      <w:kern w:val="2"/>
      <w:szCs w:val="20"/>
      <w:lang w:val="en-GB"/>
    </w:rPr>
  </w:style>
  <w:style w:type="paragraph" w:styleId="NormalWeb">
    <w:name w:val="Normal (Web)"/>
    <w:basedOn w:val="Normal"/>
    <w:uiPriority w:val="99"/>
    <w:rsid w:val="00D500A6"/>
    <w:pPr>
      <w:spacing w:before="100" w:beforeAutospacing="1" w:after="100" w:afterAutospacing="1"/>
      <w:jc w:val="left"/>
    </w:pPr>
    <w:rPr>
      <w:rFonts w:ascii="Times New Roman" w:hAnsi="Times New Roman"/>
      <w:sz w:val="24"/>
    </w:rPr>
  </w:style>
  <w:style w:type="paragraph" w:styleId="DocumentMap">
    <w:name w:val="Document Map"/>
    <w:basedOn w:val="Normal"/>
    <w:link w:val="DocumentMapChar"/>
    <w:uiPriority w:val="99"/>
    <w:semiHidden/>
    <w:rsid w:val="00D500A6"/>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locked/>
    <w:rsid w:val="00D500A6"/>
    <w:rPr>
      <w:rFonts w:ascii="Tahoma" w:hAnsi="Tahoma" w:cs="Tahoma"/>
      <w:kern w:val="2"/>
      <w:szCs w:val="20"/>
      <w:shd w:val="clear" w:color="auto" w:fill="000080"/>
      <w:lang w:val="en-GB"/>
    </w:rPr>
  </w:style>
  <w:style w:type="paragraph" w:styleId="Caption">
    <w:name w:val="caption"/>
    <w:basedOn w:val="Normal"/>
    <w:next w:val="Normal"/>
    <w:uiPriority w:val="35"/>
    <w:qFormat/>
    <w:rsid w:val="00D500A6"/>
    <w:pPr>
      <w:spacing w:before="0" w:after="200"/>
    </w:pPr>
    <w:rPr>
      <w:b/>
      <w:bCs/>
      <w:color w:val="4F81BD"/>
      <w:sz w:val="18"/>
      <w:szCs w:val="18"/>
    </w:rPr>
  </w:style>
  <w:style w:type="paragraph" w:customStyle="1" w:styleId="TechwatchHeading">
    <w:name w:val="Techwatch Heading"/>
    <w:basedOn w:val="Heading1"/>
    <w:link w:val="TechwatchHeadingChar"/>
    <w:uiPriority w:val="99"/>
    <w:rsid w:val="00D500A6"/>
    <w:rPr>
      <w:b/>
    </w:rPr>
  </w:style>
  <w:style w:type="character" w:customStyle="1" w:styleId="TechwatchHeadingChar">
    <w:name w:val="Techwatch Heading Char"/>
    <w:basedOn w:val="Heading1Char"/>
    <w:link w:val="TechwatchHeading"/>
    <w:uiPriority w:val="99"/>
    <w:locked/>
    <w:rsid w:val="00D500A6"/>
    <w:rPr>
      <w:rFonts w:ascii="Calibri" w:hAnsi="Calibri" w:cs="Arial"/>
      <w:b/>
      <w:color w:val="FFFFFF"/>
      <w:kern w:val="32"/>
      <w:sz w:val="32"/>
      <w:szCs w:val="28"/>
      <w:shd w:val="clear" w:color="auto" w:fill="93BBE0"/>
      <w:lang w:val="en-GB"/>
    </w:rPr>
  </w:style>
  <w:style w:type="paragraph" w:customStyle="1" w:styleId="Default">
    <w:name w:val="Default"/>
    <w:uiPriority w:val="99"/>
    <w:rsid w:val="00D500A6"/>
    <w:pPr>
      <w:autoSpaceDE w:val="0"/>
      <w:autoSpaceDN w:val="0"/>
      <w:adjustRightInd w:val="0"/>
    </w:pPr>
    <w:rPr>
      <w:rFonts w:ascii="HDSLRF+Caecilia-Roman" w:hAnsi="HDSLRF+Caecilia-Roman" w:cs="HDSLRF+Caecilia-Roman"/>
      <w:color w:val="000000"/>
      <w:sz w:val="24"/>
      <w:szCs w:val="24"/>
    </w:rPr>
  </w:style>
  <w:style w:type="character" w:styleId="Emphasis">
    <w:name w:val="Emphasis"/>
    <w:basedOn w:val="DefaultParagraphFont"/>
    <w:uiPriority w:val="20"/>
    <w:qFormat/>
    <w:rsid w:val="00D500A6"/>
    <w:rPr>
      <w:rFonts w:cs="Times New Roman"/>
      <w:i/>
      <w:iCs/>
    </w:rPr>
  </w:style>
  <w:style w:type="character" w:styleId="Strong">
    <w:name w:val="Strong"/>
    <w:basedOn w:val="DefaultParagraphFont"/>
    <w:uiPriority w:val="22"/>
    <w:qFormat/>
    <w:locked/>
    <w:rsid w:val="00D500A6"/>
    <w:rPr>
      <w:b/>
      <w:bCs/>
    </w:rPr>
  </w:style>
  <w:style w:type="paragraph" w:styleId="PlainText">
    <w:name w:val="Plain Text"/>
    <w:basedOn w:val="Normal"/>
    <w:link w:val="PlainTextChar"/>
    <w:uiPriority w:val="99"/>
    <w:semiHidden/>
    <w:unhideWhenUsed/>
    <w:locked/>
    <w:rsid w:val="00D500A6"/>
    <w:pPr>
      <w:spacing w:before="0"/>
      <w:jc w:val="left"/>
    </w:pPr>
    <w:rPr>
      <w:rFonts w:ascii="Consolas" w:eastAsiaTheme="minorEastAsia" w:hAnsi="Consolas" w:cstheme="minorBidi"/>
      <w:sz w:val="21"/>
      <w:szCs w:val="21"/>
    </w:rPr>
  </w:style>
  <w:style w:type="character" w:customStyle="1" w:styleId="PlainTextChar">
    <w:name w:val="Plain Text Char"/>
    <w:basedOn w:val="DefaultParagraphFont"/>
    <w:link w:val="PlainText"/>
    <w:uiPriority w:val="99"/>
    <w:semiHidden/>
    <w:rsid w:val="00D500A6"/>
    <w:rPr>
      <w:rFonts w:ascii="Consolas" w:eastAsiaTheme="minorEastAsia" w:hAnsi="Consolas" w:cstheme="minorBidi"/>
      <w:kern w:val="2"/>
      <w:sz w:val="21"/>
      <w:szCs w:val="21"/>
      <w:lang w:val="en-GB"/>
    </w:rPr>
  </w:style>
  <w:style w:type="paragraph" w:styleId="TOC1">
    <w:name w:val="toc 1"/>
    <w:basedOn w:val="Normal"/>
    <w:next w:val="Normal"/>
    <w:uiPriority w:val="39"/>
    <w:unhideWhenUsed/>
    <w:locked/>
    <w:rsid w:val="00D500A6"/>
    <w:pPr>
      <w:tabs>
        <w:tab w:val="left" w:pos="440"/>
        <w:tab w:val="right" w:leader="dot" w:pos="9631"/>
      </w:tabs>
      <w:spacing w:before="120"/>
      <w:jc w:val="left"/>
    </w:pPr>
    <w:rPr>
      <w:b/>
      <w:bCs/>
      <w:noProof/>
      <w:color w:val="93BBE0"/>
    </w:rPr>
  </w:style>
  <w:style w:type="paragraph" w:styleId="TOC2">
    <w:name w:val="toc 2"/>
    <w:basedOn w:val="Normal"/>
    <w:next w:val="Normal"/>
    <w:autoRedefine/>
    <w:uiPriority w:val="39"/>
    <w:unhideWhenUsed/>
    <w:locked/>
    <w:rsid w:val="00D500A6"/>
    <w:pPr>
      <w:tabs>
        <w:tab w:val="left" w:pos="880"/>
        <w:tab w:val="right" w:leader="dot" w:pos="9631"/>
      </w:tabs>
      <w:spacing w:before="120"/>
      <w:ind w:left="221"/>
      <w:jc w:val="left"/>
    </w:pPr>
    <w:rPr>
      <w:noProof/>
    </w:rPr>
  </w:style>
  <w:style w:type="paragraph" w:styleId="TOC9">
    <w:name w:val="toc 9"/>
    <w:basedOn w:val="Normal"/>
    <w:next w:val="Normal"/>
    <w:autoRedefine/>
    <w:uiPriority w:val="39"/>
    <w:unhideWhenUsed/>
    <w:locked/>
    <w:rsid w:val="00D500A6"/>
    <w:pPr>
      <w:keepNext/>
      <w:spacing w:after="100"/>
      <w:ind w:left="1758"/>
      <w:jc w:val="right"/>
    </w:pPr>
    <w:rPr>
      <w:i/>
      <w:iCs/>
    </w:rPr>
  </w:style>
  <w:style w:type="paragraph" w:styleId="Title">
    <w:name w:val="Title"/>
    <w:basedOn w:val="Normal"/>
    <w:next w:val="Normal"/>
    <w:link w:val="TitleChar"/>
    <w:uiPriority w:val="10"/>
    <w:qFormat/>
    <w:locked/>
    <w:rsid w:val="00D500A6"/>
    <w:pPr>
      <w:pBdr>
        <w:bottom w:val="single" w:sz="8" w:space="4" w:color="4F81BD" w:themeColor="accent1"/>
      </w:pBdr>
      <w:spacing w:before="0" w:after="300"/>
      <w:contextualSpacing/>
    </w:pPr>
    <w:rPr>
      <w:rFonts w:asciiTheme="majorHAnsi" w:eastAsiaTheme="majorEastAsia" w:hAnsiTheme="majorHAnsi" w:cstheme="majorBidi"/>
      <w:color w:val="1F554D"/>
      <w:spacing w:val="5"/>
      <w:kern w:val="28"/>
      <w:sz w:val="52"/>
      <w:szCs w:val="52"/>
    </w:rPr>
  </w:style>
  <w:style w:type="character" w:customStyle="1" w:styleId="TitleChar">
    <w:name w:val="Title Char"/>
    <w:basedOn w:val="DefaultParagraphFont"/>
    <w:link w:val="Title"/>
    <w:uiPriority w:val="10"/>
    <w:rsid w:val="00D500A6"/>
    <w:rPr>
      <w:rFonts w:asciiTheme="majorHAnsi" w:eastAsiaTheme="majorEastAsia" w:hAnsiTheme="majorHAnsi" w:cstheme="majorBidi"/>
      <w:color w:val="1F554D"/>
      <w:spacing w:val="5"/>
      <w:kern w:val="28"/>
      <w:sz w:val="52"/>
      <w:szCs w:val="52"/>
      <w:lang w:val="en-GB"/>
    </w:rPr>
  </w:style>
  <w:style w:type="character" w:customStyle="1" w:styleId="Header1">
    <w:name w:val="Header1"/>
    <w:basedOn w:val="DefaultParagraphFont"/>
    <w:rsid w:val="00D500A6"/>
  </w:style>
  <w:style w:type="paragraph" w:customStyle="1" w:styleId="Citation">
    <w:name w:val="Citation"/>
    <w:basedOn w:val="Normal"/>
    <w:qFormat/>
    <w:rsid w:val="00D500A6"/>
    <w:pPr>
      <w:pBdr>
        <w:top w:val="single" w:sz="12" w:space="1" w:color="B2A1C7" w:themeColor="accent4" w:themeTint="99"/>
        <w:left w:val="single" w:sz="12" w:space="4" w:color="B2A1C7" w:themeColor="accent4" w:themeTint="99"/>
        <w:bottom w:val="single" w:sz="12" w:space="1" w:color="B2A1C7" w:themeColor="accent4" w:themeTint="99"/>
        <w:right w:val="single" w:sz="12" w:space="4" w:color="B2A1C7" w:themeColor="accent4" w:themeTint="99"/>
      </w:pBdr>
      <w:shd w:val="clear" w:color="auto" w:fill="E5DFEC" w:themeFill="accent4" w:themeFillTint="33"/>
      <w:spacing w:after="240"/>
      <w:ind w:left="567" w:right="495"/>
    </w:pPr>
    <w:rPr>
      <w:rFonts w:eastAsiaTheme="minorEastAsia"/>
      <w:bCs/>
      <w:i/>
      <w:iCs/>
      <w:kern w:val="0"/>
      <w:sz w:val="21"/>
      <w:lang w:val="en-US" w:eastAsia="fr-FR"/>
    </w:rPr>
  </w:style>
  <w:style w:type="paragraph" w:styleId="TOCHeading">
    <w:name w:val="TOC Heading"/>
    <w:basedOn w:val="Heading1"/>
    <w:next w:val="Normal"/>
    <w:uiPriority w:val="39"/>
    <w:unhideWhenUsed/>
    <w:qFormat/>
    <w:rsid w:val="00D500A6"/>
    <w:pPr>
      <w:keepLines/>
      <w:shd w:val="clear" w:color="auto" w:fill="auto"/>
      <w:spacing w:before="480" w:after="0" w:line="276" w:lineRule="auto"/>
      <w:jc w:val="left"/>
      <w:outlineLvl w:val="9"/>
    </w:pPr>
    <w:rPr>
      <w:rFonts w:asciiTheme="majorHAnsi" w:eastAsiaTheme="majorEastAsia" w:hAnsiTheme="majorHAnsi" w:cstheme="majorBidi"/>
      <w:b/>
      <w:bCs/>
      <w:color w:val="365F91" w:themeColor="accent1" w:themeShade="BF"/>
      <w:kern w:val="0"/>
      <w:sz w:val="28"/>
      <w:lang w:val="en-US" w:eastAsia="en-US"/>
    </w:rPr>
  </w:style>
  <w:style w:type="paragraph" w:customStyle="1" w:styleId="Techwatchnumbered">
    <w:name w:val="Techwatch numbered"/>
    <w:basedOn w:val="TechwatchHeading"/>
    <w:next w:val="Normal"/>
    <w:link w:val="TechwatchnumberedChar"/>
    <w:qFormat/>
    <w:rsid w:val="00D500A6"/>
    <w:pPr>
      <w:shd w:val="clear" w:color="auto" w:fill="002060"/>
      <w:spacing w:before="100" w:after="100"/>
      <w:ind w:left="405" w:hanging="405"/>
    </w:pPr>
    <w:rPr>
      <w:b w:val="0"/>
      <w:bCs/>
      <w:lang w:eastAsia="en-US"/>
    </w:rPr>
  </w:style>
  <w:style w:type="character" w:customStyle="1" w:styleId="TechwatchnumberedChar">
    <w:name w:val="Techwatch numbered Char"/>
    <w:basedOn w:val="TechwatchHeadingChar"/>
    <w:link w:val="Techwatchnumbered"/>
    <w:rsid w:val="00D500A6"/>
    <w:rPr>
      <w:rFonts w:ascii="Calibri" w:hAnsi="Calibri" w:cs="Arial"/>
      <w:b w:val="0"/>
      <w:bCs/>
      <w:color w:val="FFFFFF"/>
      <w:kern w:val="32"/>
      <w:sz w:val="32"/>
      <w:szCs w:val="28"/>
      <w:shd w:val="clear" w:color="auto" w:fill="002060"/>
      <w:lang w:val="en-GB" w:eastAsia="en-US"/>
    </w:rPr>
  </w:style>
  <w:style w:type="paragraph" w:customStyle="1" w:styleId="Figuresource">
    <w:name w:val="Figure source"/>
    <w:basedOn w:val="Normal"/>
    <w:link w:val="FiguresourceChar"/>
    <w:qFormat/>
    <w:rsid w:val="00D500A6"/>
    <w:pPr>
      <w:pBdr>
        <w:top w:val="single" w:sz="12" w:space="1" w:color="93BBE0"/>
        <w:left w:val="single" w:sz="12" w:space="4" w:color="93BBE0"/>
        <w:bottom w:val="single" w:sz="12" w:space="1" w:color="93BBE0"/>
        <w:right w:val="single" w:sz="12" w:space="4" w:color="93BBE0"/>
      </w:pBdr>
      <w:shd w:val="clear" w:color="auto" w:fill="D2E3F2"/>
      <w:ind w:left="142" w:right="142"/>
      <w:jc w:val="left"/>
    </w:pPr>
    <w:rPr>
      <w:rFonts w:cs="Times New Roman Bold"/>
      <w:i/>
      <w:iCs/>
      <w:noProof/>
      <w:sz w:val="20"/>
      <w:szCs w:val="20"/>
      <w:lang w:val="en-US"/>
    </w:rPr>
  </w:style>
  <w:style w:type="character" w:customStyle="1" w:styleId="FiguresourceChar">
    <w:name w:val="Figure source Char"/>
    <w:basedOn w:val="DefaultParagraphFont"/>
    <w:link w:val="Figuresource"/>
    <w:rsid w:val="00D500A6"/>
    <w:rPr>
      <w:rFonts w:ascii="Calibri" w:hAnsi="Calibri" w:cs="Times New Roman Bold"/>
      <w:i/>
      <w:iCs/>
      <w:noProof/>
      <w:kern w:val="2"/>
      <w:sz w:val="20"/>
      <w:szCs w:val="20"/>
      <w:shd w:val="clear" w:color="auto" w:fill="D2E3F2"/>
    </w:rPr>
  </w:style>
  <w:style w:type="paragraph" w:customStyle="1" w:styleId="Tabletitle">
    <w:name w:val="Table title"/>
    <w:basedOn w:val="Figuretitle"/>
    <w:link w:val="TabletitleChar"/>
    <w:qFormat/>
    <w:rsid w:val="00D500A6"/>
    <w:pPr>
      <w:pBdr>
        <w:top w:val="none" w:sz="0" w:space="0" w:color="auto"/>
        <w:left w:val="none" w:sz="0" w:space="0" w:color="auto"/>
        <w:bottom w:val="none" w:sz="0" w:space="0" w:color="auto"/>
        <w:right w:val="none" w:sz="0" w:space="0" w:color="auto"/>
      </w:pBdr>
      <w:shd w:val="clear" w:color="auto" w:fill="auto"/>
      <w:spacing w:after="120"/>
      <w:jc w:val="center"/>
    </w:pPr>
    <w:rPr>
      <w:color w:val="0070C0"/>
    </w:rPr>
  </w:style>
  <w:style w:type="character" w:customStyle="1" w:styleId="TabletitleChar">
    <w:name w:val="Table title Char"/>
    <w:basedOn w:val="FiguretitleChar"/>
    <w:link w:val="Tabletitle"/>
    <w:rsid w:val="00D500A6"/>
    <w:rPr>
      <w:rFonts w:ascii="Calibri" w:hAnsi="Calibri" w:cs="Times New Roman Bold"/>
      <w:b/>
      <w:bCs/>
      <w:noProof/>
      <w:color w:val="0070C0"/>
      <w:kern w:val="2"/>
      <w:shd w:val="clear" w:color="auto" w:fill="D2E3F2"/>
      <w:lang w:val="en-GB"/>
    </w:rPr>
  </w:style>
  <w:style w:type="character" w:customStyle="1" w:styleId="FootnoteTextChar1">
    <w:name w:val="Footnote Text Char1"/>
    <w:aliases w:val="Geneva 9 Char,Font: Geneva 9 Char,Boston 10 Char,f Char"/>
    <w:uiPriority w:val="99"/>
    <w:locked/>
    <w:rsid w:val="00D500A6"/>
    <w:rPr>
      <w:rFonts w:ascii="Calibri" w:eastAsia="Calibri" w:hAnsi="Calibri" w:cs="Times New Roman"/>
      <w:sz w:val="20"/>
      <w:szCs w:val="20"/>
      <w:lang w:val="en-GB" w:eastAsia="en-US"/>
    </w:rPr>
  </w:style>
  <w:style w:type="paragraph" w:customStyle="1" w:styleId="Equation">
    <w:name w:val="Equation"/>
    <w:basedOn w:val="Normal"/>
    <w:link w:val="EquationChar"/>
    <w:qFormat/>
    <w:rsid w:val="00D500A6"/>
    <w:pPr>
      <w:spacing w:after="240"/>
      <w:ind w:left="1440"/>
      <w:jc w:val="left"/>
    </w:pPr>
    <w:rPr>
      <w:rFonts w:ascii="Cambria Math" w:eastAsiaTheme="minorEastAsia" w:hAnsi="Cambria Math" w:cstheme="minorBidi"/>
      <w:i/>
      <w:kern w:val="0"/>
      <w:sz w:val="24"/>
      <w:szCs w:val="20"/>
      <w:lang w:val="en-US" w:eastAsia="ja-JP"/>
    </w:rPr>
  </w:style>
  <w:style w:type="character" w:customStyle="1" w:styleId="EquationChar">
    <w:name w:val="Equation Char"/>
    <w:basedOn w:val="DefaultParagraphFont"/>
    <w:link w:val="Equation"/>
    <w:rsid w:val="00D500A6"/>
    <w:rPr>
      <w:rFonts w:ascii="Cambria Math" w:eastAsiaTheme="minorEastAsia" w:hAnsi="Cambria Math" w:cstheme="minorBidi"/>
      <w:i/>
      <w:sz w:val="24"/>
      <w:szCs w:val="20"/>
      <w:lang w:eastAsia="ja-JP"/>
    </w:rPr>
  </w:style>
  <w:style w:type="paragraph" w:styleId="TOC3">
    <w:name w:val="toc 3"/>
    <w:basedOn w:val="Normal"/>
    <w:next w:val="Normal"/>
    <w:autoRedefine/>
    <w:uiPriority w:val="39"/>
    <w:unhideWhenUsed/>
    <w:locked/>
    <w:rsid w:val="00D500A6"/>
    <w:pPr>
      <w:tabs>
        <w:tab w:val="left" w:pos="1320"/>
        <w:tab w:val="right" w:leader="dot" w:pos="9631"/>
      </w:tabs>
      <w:spacing w:before="60"/>
      <w:ind w:left="442"/>
      <w:jc w:val="left"/>
    </w:pPr>
  </w:style>
  <w:style w:type="character" w:customStyle="1" w:styleId="BodyTextChar">
    <w:name w:val="Body Text Char"/>
    <w:link w:val="BodyText"/>
    <w:rsid w:val="00D500A6"/>
    <w:rPr>
      <w:rFonts w:ascii="Times" w:eastAsia="Times" w:hAnsi="Times"/>
      <w:noProof/>
    </w:rPr>
  </w:style>
  <w:style w:type="paragraph" w:styleId="BodyText">
    <w:name w:val="Body Text"/>
    <w:basedOn w:val="Normal"/>
    <w:link w:val="BodyTextChar"/>
    <w:locked/>
    <w:rsid w:val="00D500A6"/>
    <w:pPr>
      <w:spacing w:before="0"/>
    </w:pPr>
    <w:rPr>
      <w:rFonts w:ascii="Times" w:eastAsia="Times" w:hAnsi="Times"/>
      <w:noProof/>
      <w:kern w:val="0"/>
      <w:lang w:val="en-US"/>
    </w:rPr>
  </w:style>
  <w:style w:type="character" w:customStyle="1" w:styleId="BodyTextChar1">
    <w:name w:val="Body Text Char1"/>
    <w:basedOn w:val="DefaultParagraphFont"/>
    <w:rsid w:val="00D500A6"/>
    <w:rPr>
      <w:rFonts w:ascii="Calibri" w:hAnsi="Calibri"/>
      <w:kern w:val="2"/>
      <w:lang w:val="en-GB"/>
    </w:rPr>
  </w:style>
  <w:style w:type="paragraph" w:customStyle="1" w:styleId="Chapttitle">
    <w:name w:val="Chapt title"/>
    <w:basedOn w:val="Normal"/>
    <w:link w:val="ChapttitleChar"/>
    <w:qFormat/>
    <w:rsid w:val="00D500A6"/>
    <w:pPr>
      <w:keepNext/>
      <w:keepLines/>
      <w:tabs>
        <w:tab w:val="left" w:pos="851"/>
      </w:tabs>
      <w:spacing w:before="0"/>
      <w:jc w:val="center"/>
      <w:outlineLvl w:val="0"/>
    </w:pPr>
    <w:rPr>
      <w:rFonts w:eastAsiaTheme="minorEastAsia" w:cs="Helvetica"/>
      <w:b/>
      <w:bCs/>
      <w:color w:val="31849B"/>
      <w:kern w:val="0"/>
      <w:sz w:val="40"/>
      <w:szCs w:val="28"/>
      <w:lang w:val="en-US" w:eastAsia="fr-FR"/>
    </w:rPr>
  </w:style>
  <w:style w:type="character" w:customStyle="1" w:styleId="ChapttitleChar">
    <w:name w:val="Chapt title Char"/>
    <w:basedOn w:val="DefaultParagraphFont"/>
    <w:link w:val="Chapttitle"/>
    <w:rsid w:val="00D500A6"/>
    <w:rPr>
      <w:rFonts w:ascii="Calibri" w:eastAsiaTheme="minorEastAsia" w:hAnsi="Calibri" w:cs="Helvetica"/>
      <w:b/>
      <w:bCs/>
      <w:color w:val="31849B"/>
      <w:sz w:val="40"/>
      <w:szCs w:val="28"/>
      <w:lang w:eastAsia="fr-FR"/>
    </w:rPr>
  </w:style>
  <w:style w:type="paragraph" w:customStyle="1" w:styleId="Acknowledgements">
    <w:name w:val="Acknowledgements"/>
    <w:basedOn w:val="Figure"/>
    <w:link w:val="AcknowledgementsChar"/>
    <w:qFormat/>
    <w:rsid w:val="00D500A6"/>
    <w:pPr>
      <w:keepNext/>
      <w:pBdr>
        <w:top w:val="single" w:sz="12" w:space="1" w:color="31849B"/>
        <w:left w:val="single" w:sz="12" w:space="1" w:color="31849B"/>
        <w:bottom w:val="single" w:sz="12" w:space="1" w:color="31849B"/>
        <w:right w:val="single" w:sz="12" w:space="1" w:color="31849B"/>
      </w:pBdr>
      <w:shd w:val="clear" w:color="auto" w:fill="DAEEF3"/>
      <w:autoSpaceDE w:val="0"/>
      <w:autoSpaceDN w:val="0"/>
      <w:adjustRightInd w:val="0"/>
      <w:spacing w:before="0"/>
      <w:ind w:left="0" w:right="0"/>
      <w:jc w:val="both"/>
    </w:pPr>
    <w:rPr>
      <w:rFonts w:cs="Arial"/>
      <w:bCs/>
      <w:color w:val="000000" w:themeColor="text1"/>
      <w:kern w:val="0"/>
      <w:sz w:val="21"/>
      <w:lang w:val="en-GB" w:eastAsia="fr-FR"/>
    </w:rPr>
  </w:style>
  <w:style w:type="table" w:customStyle="1" w:styleId="TableGrid1">
    <w:name w:val="Table Grid1"/>
    <w:basedOn w:val="TableNormal"/>
    <w:next w:val="TableGrid"/>
    <w:rsid w:val="00D500A6"/>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knowledgementsChar">
    <w:name w:val="Acknowledgements Char"/>
    <w:basedOn w:val="DefaultParagraphFont"/>
    <w:link w:val="Acknowledgements"/>
    <w:rsid w:val="00D500A6"/>
    <w:rPr>
      <w:rFonts w:ascii="Calibri" w:hAnsi="Calibri" w:cs="Arial"/>
      <w:bCs/>
      <w:color w:val="000000" w:themeColor="text1"/>
      <w:sz w:val="21"/>
      <w:shd w:val="clear" w:color="auto" w:fill="DAEEF3"/>
      <w:lang w:val="en-GB" w:eastAsia="fr-FR"/>
    </w:rPr>
  </w:style>
  <w:style w:type="paragraph" w:customStyle="1" w:styleId="Titlereportdate">
    <w:name w:val="Title report date"/>
    <w:basedOn w:val="Normal"/>
    <w:link w:val="TitlereportdateChar"/>
    <w:qFormat/>
    <w:rsid w:val="00D500A6"/>
    <w:pPr>
      <w:keepNext/>
      <w:keepLines/>
      <w:tabs>
        <w:tab w:val="left" w:pos="851"/>
      </w:tabs>
      <w:jc w:val="right"/>
      <w:outlineLvl w:val="0"/>
    </w:pPr>
    <w:rPr>
      <w:rFonts w:eastAsiaTheme="minorEastAsia" w:cs="Helvetica"/>
      <w:b/>
      <w:bCs/>
      <w:i/>
      <w:iCs/>
      <w:kern w:val="0"/>
      <w:sz w:val="48"/>
      <w:szCs w:val="36"/>
      <w:lang w:eastAsia="fr-FR"/>
    </w:rPr>
  </w:style>
  <w:style w:type="character" w:customStyle="1" w:styleId="TitlereportChar">
    <w:name w:val="Title report Char"/>
    <w:basedOn w:val="ChapttitleChar"/>
    <w:link w:val="Titlereport"/>
    <w:rsid w:val="00D500A6"/>
    <w:rPr>
      <w:rFonts w:ascii="Calibri" w:eastAsiaTheme="minorEastAsia" w:hAnsi="Calibri" w:cs="Arial Bold"/>
      <w:b/>
      <w:bCs/>
      <w:color w:val="93BBE0"/>
      <w:kern w:val="32"/>
      <w:sz w:val="36"/>
      <w:szCs w:val="36"/>
      <w:lang w:val="en-GB" w:eastAsia="fr-FR"/>
    </w:rPr>
  </w:style>
  <w:style w:type="character" w:customStyle="1" w:styleId="TitlereportdateChar">
    <w:name w:val="Title report date Char"/>
    <w:basedOn w:val="DefaultParagraphFont"/>
    <w:link w:val="Titlereportdate"/>
    <w:rsid w:val="00D500A6"/>
    <w:rPr>
      <w:rFonts w:ascii="Calibri" w:eastAsiaTheme="minorEastAsia" w:hAnsi="Calibri" w:cs="Helvetica"/>
      <w:b/>
      <w:bCs/>
      <w:i/>
      <w:iCs/>
      <w:sz w:val="48"/>
      <w:szCs w:val="36"/>
      <w:lang w:val="en-GB" w:eastAsia="fr-FR"/>
    </w:rPr>
  </w:style>
  <w:style w:type="paragraph" w:customStyle="1" w:styleId="Headingb0">
    <w:name w:val="Heading_b"/>
    <w:next w:val="Normal"/>
    <w:rsid w:val="0081391E"/>
    <w:pPr>
      <w:keepNext/>
      <w:pBdr>
        <w:top w:val="nil"/>
        <w:left w:val="nil"/>
        <w:bottom w:val="nil"/>
        <w:right w:val="nil"/>
        <w:between w:val="nil"/>
        <w:bar w:val="nil"/>
      </w:pBdr>
      <w:tabs>
        <w:tab w:val="left" w:pos="794"/>
        <w:tab w:val="left" w:pos="1191"/>
        <w:tab w:val="left" w:pos="1588"/>
        <w:tab w:val="left" w:pos="1985"/>
      </w:tabs>
      <w:spacing w:before="160"/>
    </w:pPr>
    <w:rPr>
      <w:rFonts w:asciiTheme="minorHAnsi" w:eastAsia="Times New Roman Bold" w:hAnsiTheme="minorHAnsi" w:cs="Times New Roman Bold"/>
      <w:b/>
      <w:color w:val="000000"/>
      <w:szCs w:val="24"/>
      <w:u w:color="000000"/>
      <w:bdr w:val="nil"/>
      <w:lang w:val="es-ES_tradnl" w:eastAsia="es-ES"/>
    </w:rPr>
  </w:style>
  <w:style w:type="paragraph" w:styleId="Revision">
    <w:name w:val="Revision"/>
    <w:hidden/>
    <w:uiPriority w:val="99"/>
    <w:semiHidden/>
    <w:rsid w:val="00D43E16"/>
    <w:rPr>
      <w:rFonts w:ascii="Calibri" w:hAnsi="Calibri"/>
      <w:kern w:val="2"/>
      <w:lang w:val="en-GB"/>
    </w:rPr>
  </w:style>
  <w:style w:type="paragraph" w:customStyle="1" w:styleId="Table">
    <w:name w:val="Table"/>
    <w:basedOn w:val="Normal"/>
    <w:rsid w:val="001A067E"/>
  </w:style>
  <w:style w:type="paragraph" w:customStyle="1" w:styleId="Tablehead">
    <w:name w:val="Table head"/>
    <w:basedOn w:val="Normal"/>
    <w:link w:val="TableheadChar"/>
    <w:qFormat/>
    <w:rsid w:val="005B4062"/>
    <w:pPr>
      <w:autoSpaceDE w:val="0"/>
      <w:autoSpaceDN w:val="0"/>
      <w:adjustRightInd w:val="0"/>
      <w:spacing w:before="80" w:after="80"/>
      <w:jc w:val="center"/>
    </w:pPr>
    <w:rPr>
      <w:rFonts w:eastAsiaTheme="minorEastAsia" w:cs="Arial"/>
      <w:b/>
      <w:bCs/>
      <w:kern w:val="0"/>
      <w:sz w:val="19"/>
      <w:lang w:val="en-US" w:eastAsia="fr-FR"/>
    </w:rPr>
  </w:style>
  <w:style w:type="character" w:customStyle="1" w:styleId="TableheadChar">
    <w:name w:val="Table head Char"/>
    <w:basedOn w:val="DefaultParagraphFont"/>
    <w:link w:val="Tablehead"/>
    <w:rsid w:val="005B4062"/>
    <w:rPr>
      <w:rFonts w:ascii="Calibri" w:eastAsiaTheme="minorEastAsia" w:hAnsi="Calibri" w:cs="Arial"/>
      <w:b/>
      <w:bCs/>
      <w:sz w:val="19"/>
      <w:lang w:eastAsia="fr-FR"/>
    </w:rPr>
  </w:style>
  <w:style w:type="paragraph" w:customStyle="1" w:styleId="Tabletext">
    <w:name w:val="Table text"/>
    <w:basedOn w:val="Normal"/>
    <w:link w:val="TabletextChar"/>
    <w:qFormat/>
    <w:rsid w:val="005B4062"/>
    <w:pPr>
      <w:spacing w:before="40" w:after="40"/>
      <w:jc w:val="left"/>
    </w:pPr>
    <w:rPr>
      <w:rFonts w:asciiTheme="minorHAnsi" w:eastAsiaTheme="minorEastAsia" w:hAnsiTheme="minorHAnsi"/>
      <w:bCs/>
      <w:kern w:val="0"/>
      <w:sz w:val="19"/>
      <w:szCs w:val="18"/>
      <w:lang w:val="fr-FR" w:eastAsia="fr-FR"/>
    </w:rPr>
  </w:style>
  <w:style w:type="character" w:customStyle="1" w:styleId="TabletextChar">
    <w:name w:val="Table text Char"/>
    <w:basedOn w:val="DefaultParagraphFont"/>
    <w:link w:val="Tabletext"/>
    <w:rsid w:val="005B4062"/>
    <w:rPr>
      <w:rFonts w:asciiTheme="minorHAnsi" w:eastAsiaTheme="minorEastAsia" w:hAnsiTheme="minorHAnsi"/>
      <w:bCs/>
      <w:sz w:val="19"/>
      <w:szCs w:val="18"/>
      <w:lang w:val="fr-FR" w:eastAsia="fr-FR"/>
    </w:rPr>
  </w:style>
  <w:style w:type="character" w:customStyle="1" w:styleId="Heading5Char">
    <w:name w:val="Heading 5 Char"/>
    <w:basedOn w:val="DefaultParagraphFont"/>
    <w:link w:val="Heading5"/>
    <w:rsid w:val="000A7DF2"/>
    <w:rPr>
      <w:rFonts w:ascii="Calibri" w:eastAsia="MS Gothic" w:hAnsi="Calibri" w:cs="Cambria"/>
      <w:color w:val="243F60"/>
      <w:szCs w:val="20"/>
      <w:lang w:eastAsia="ar-SA"/>
    </w:rPr>
  </w:style>
  <w:style w:type="character" w:customStyle="1" w:styleId="CharChar5">
    <w:name w:val="Char Char5"/>
    <w:rsid w:val="000A7DF2"/>
    <w:rPr>
      <w:rFonts w:ascii="Lucida Grande" w:hAnsi="Lucida Grande" w:cs="Lucida Grande"/>
      <w:sz w:val="18"/>
      <w:szCs w:val="18"/>
    </w:rPr>
  </w:style>
  <w:style w:type="character" w:customStyle="1" w:styleId="CharChar10">
    <w:name w:val="Char Char10"/>
    <w:rsid w:val="000A7DF2"/>
    <w:rPr>
      <w:rFonts w:ascii="Calibri" w:eastAsia="MS Gothic" w:hAnsi="Calibri" w:cs="Times New Roman"/>
      <w:b/>
      <w:bCs/>
      <w:color w:val="345A8A"/>
      <w:sz w:val="32"/>
      <w:szCs w:val="32"/>
    </w:rPr>
  </w:style>
  <w:style w:type="character" w:customStyle="1" w:styleId="CharChar4">
    <w:name w:val="Char Char4"/>
    <w:basedOn w:val="DefaultParagraphFont"/>
    <w:rsid w:val="000A7DF2"/>
  </w:style>
  <w:style w:type="character" w:customStyle="1" w:styleId="CharChar3">
    <w:name w:val="Char Char3"/>
    <w:rsid w:val="000A7DF2"/>
    <w:rPr>
      <w:rFonts w:ascii="Times New Roman" w:hAnsi="Times New Roman"/>
      <w:sz w:val="20"/>
    </w:rPr>
  </w:style>
  <w:style w:type="character" w:customStyle="1" w:styleId="FootnoteCharacters">
    <w:name w:val="Footnote Characters"/>
    <w:rsid w:val="00CB2141"/>
    <w:rPr>
      <w:rFonts w:asciiTheme="minorHAnsi" w:hAnsiTheme="minorHAnsi"/>
      <w:vertAlign w:val="superscript"/>
    </w:rPr>
  </w:style>
  <w:style w:type="character" w:customStyle="1" w:styleId="CharChar9">
    <w:name w:val="Char Char9"/>
    <w:rsid w:val="000A7DF2"/>
    <w:rPr>
      <w:rFonts w:ascii="Calibri" w:eastAsia="MS Gothic" w:hAnsi="Calibri" w:cs="Times New Roman"/>
      <w:b/>
      <w:bCs/>
      <w:color w:val="4F81BD"/>
      <w:sz w:val="26"/>
      <w:szCs w:val="26"/>
    </w:rPr>
  </w:style>
  <w:style w:type="character" w:customStyle="1" w:styleId="CharChar8">
    <w:name w:val="Char Char8"/>
    <w:rsid w:val="000A7DF2"/>
    <w:rPr>
      <w:rFonts w:ascii="Calibri" w:eastAsia="MS Gothic" w:hAnsi="Calibri" w:cs="Times New Roman"/>
      <w:b/>
      <w:bCs/>
      <w:color w:val="4F81BD"/>
      <w:sz w:val="22"/>
    </w:rPr>
  </w:style>
  <w:style w:type="character" w:customStyle="1" w:styleId="CharChar7">
    <w:name w:val="Char Char7"/>
    <w:rsid w:val="000A7DF2"/>
    <w:rPr>
      <w:rFonts w:ascii="Calibri" w:eastAsia="MS Gothic" w:hAnsi="Calibri" w:cs="Times New Roman"/>
      <w:b/>
      <w:bCs/>
      <w:i/>
      <w:iCs/>
      <w:color w:val="4F81BD"/>
      <w:sz w:val="22"/>
    </w:rPr>
  </w:style>
  <w:style w:type="character" w:customStyle="1" w:styleId="CharChar6">
    <w:name w:val="Char Char6"/>
    <w:rsid w:val="000A7DF2"/>
    <w:rPr>
      <w:rFonts w:ascii="Calibri" w:eastAsia="MS Gothic" w:hAnsi="Calibri" w:cs="Times New Roman"/>
      <w:color w:val="243F60"/>
      <w:sz w:val="22"/>
    </w:rPr>
  </w:style>
  <w:style w:type="character" w:customStyle="1" w:styleId="CharChar2">
    <w:name w:val="Char Char2"/>
    <w:rsid w:val="000A7DF2"/>
    <w:rPr>
      <w:rFonts w:ascii="Arial Narrow" w:eastAsia="Times New Roman" w:hAnsi="Arial Narrow" w:cs="Times New Roman"/>
      <w:sz w:val="20"/>
      <w:szCs w:val="20"/>
      <w:lang w:val="es-NI"/>
    </w:rPr>
  </w:style>
  <w:style w:type="character" w:customStyle="1" w:styleId="CharChar1">
    <w:name w:val="Char Char1"/>
    <w:rsid w:val="000A7DF2"/>
    <w:rPr>
      <w:rFonts w:ascii="Times New Roman" w:hAnsi="Times New Roman"/>
      <w:sz w:val="24"/>
      <w:szCs w:val="24"/>
    </w:rPr>
  </w:style>
  <w:style w:type="character" w:customStyle="1" w:styleId="CharChar">
    <w:name w:val="Char Char"/>
    <w:rsid w:val="000A7DF2"/>
    <w:rPr>
      <w:rFonts w:ascii="Times New Roman" w:hAnsi="Times New Roman"/>
      <w:b/>
      <w:bCs/>
      <w:sz w:val="24"/>
      <w:szCs w:val="24"/>
    </w:rPr>
  </w:style>
  <w:style w:type="character" w:customStyle="1" w:styleId="Bullets">
    <w:name w:val="Bullets"/>
    <w:rsid w:val="000A7DF2"/>
    <w:rPr>
      <w:rFonts w:ascii="OpenSymbol" w:eastAsia="OpenSymbol" w:hAnsi="OpenSymbol" w:cs="OpenSymbol"/>
    </w:rPr>
  </w:style>
  <w:style w:type="paragraph" w:customStyle="1" w:styleId="Index">
    <w:name w:val="Index"/>
    <w:basedOn w:val="Normal"/>
    <w:rsid w:val="000A7DF2"/>
    <w:pPr>
      <w:widowControl w:val="0"/>
      <w:suppressLineNumbers/>
      <w:suppressAutoHyphens/>
      <w:spacing w:before="0" w:after="220" w:line="264" w:lineRule="auto"/>
    </w:pPr>
    <w:rPr>
      <w:rFonts w:ascii="Times New Roman" w:eastAsia="MS Mincho" w:hAnsi="Times New Roman" w:cs="Tahoma"/>
      <w:kern w:val="0"/>
      <w:szCs w:val="24"/>
      <w:lang w:eastAsia="ar-SA"/>
    </w:rPr>
  </w:style>
  <w:style w:type="paragraph" w:styleId="TOC4">
    <w:name w:val="toc 4"/>
    <w:basedOn w:val="Normal"/>
    <w:next w:val="Normal"/>
    <w:locked/>
    <w:rsid w:val="000A7DF2"/>
    <w:pPr>
      <w:widowControl w:val="0"/>
      <w:suppressAutoHyphens/>
      <w:spacing w:before="0" w:after="220" w:line="264" w:lineRule="auto"/>
      <w:ind w:left="720"/>
    </w:pPr>
    <w:rPr>
      <w:rFonts w:ascii="Times New Roman" w:eastAsia="MS Mincho" w:hAnsi="Times New Roman" w:cs="Cambria"/>
      <w:kern w:val="0"/>
      <w:szCs w:val="24"/>
      <w:lang w:eastAsia="ar-SA"/>
    </w:rPr>
  </w:style>
  <w:style w:type="paragraph" w:styleId="TOC5">
    <w:name w:val="toc 5"/>
    <w:basedOn w:val="Normal"/>
    <w:next w:val="Normal"/>
    <w:locked/>
    <w:rsid w:val="000A7DF2"/>
    <w:pPr>
      <w:widowControl w:val="0"/>
      <w:suppressAutoHyphens/>
      <w:spacing w:before="0" w:after="220" w:line="264" w:lineRule="auto"/>
      <w:ind w:left="960"/>
    </w:pPr>
    <w:rPr>
      <w:rFonts w:ascii="Times New Roman" w:eastAsia="MS Mincho" w:hAnsi="Times New Roman" w:cs="Cambria"/>
      <w:kern w:val="0"/>
      <w:szCs w:val="24"/>
      <w:lang w:eastAsia="ar-SA"/>
    </w:rPr>
  </w:style>
  <w:style w:type="paragraph" w:styleId="TOC6">
    <w:name w:val="toc 6"/>
    <w:basedOn w:val="Normal"/>
    <w:next w:val="Normal"/>
    <w:locked/>
    <w:rsid w:val="000A7DF2"/>
    <w:pPr>
      <w:widowControl w:val="0"/>
      <w:suppressAutoHyphens/>
      <w:spacing w:before="0" w:after="220" w:line="264" w:lineRule="auto"/>
      <w:ind w:left="1200"/>
    </w:pPr>
    <w:rPr>
      <w:rFonts w:ascii="Times New Roman" w:eastAsia="MS Mincho" w:hAnsi="Times New Roman" w:cs="Cambria"/>
      <w:kern w:val="0"/>
      <w:szCs w:val="24"/>
      <w:lang w:eastAsia="ar-SA"/>
    </w:rPr>
  </w:style>
  <w:style w:type="paragraph" w:styleId="TOC7">
    <w:name w:val="toc 7"/>
    <w:basedOn w:val="Normal"/>
    <w:next w:val="Normal"/>
    <w:locked/>
    <w:rsid w:val="000A7DF2"/>
    <w:pPr>
      <w:widowControl w:val="0"/>
      <w:suppressAutoHyphens/>
      <w:spacing w:before="0" w:after="220" w:line="264" w:lineRule="auto"/>
      <w:ind w:left="1440"/>
    </w:pPr>
    <w:rPr>
      <w:rFonts w:ascii="Times New Roman" w:eastAsia="MS Mincho" w:hAnsi="Times New Roman" w:cs="Cambria"/>
      <w:kern w:val="0"/>
      <w:szCs w:val="24"/>
      <w:lang w:eastAsia="ar-SA"/>
    </w:rPr>
  </w:style>
  <w:style w:type="paragraph" w:styleId="TOC8">
    <w:name w:val="toc 8"/>
    <w:basedOn w:val="Normal"/>
    <w:next w:val="Normal"/>
    <w:locked/>
    <w:rsid w:val="000A7DF2"/>
    <w:pPr>
      <w:widowControl w:val="0"/>
      <w:suppressAutoHyphens/>
      <w:spacing w:before="0" w:after="220" w:line="264" w:lineRule="auto"/>
      <w:ind w:left="1680"/>
    </w:pPr>
    <w:rPr>
      <w:rFonts w:ascii="Times New Roman" w:eastAsia="MS Mincho" w:hAnsi="Times New Roman" w:cs="Cambria"/>
      <w:kern w:val="0"/>
      <w:szCs w:val="24"/>
      <w:lang w:eastAsia="ar-SA"/>
    </w:rPr>
  </w:style>
  <w:style w:type="paragraph" w:styleId="BodyText2">
    <w:name w:val="Body Text 2"/>
    <w:basedOn w:val="Normal"/>
    <w:link w:val="BodyText2Char"/>
    <w:locked/>
    <w:rsid w:val="000A7DF2"/>
    <w:pPr>
      <w:widowControl w:val="0"/>
      <w:suppressAutoHyphens/>
      <w:spacing w:before="0" w:after="120"/>
    </w:pPr>
    <w:rPr>
      <w:rFonts w:ascii="Garamond" w:eastAsia="Times New Roman" w:hAnsi="Garamond" w:cs="Cambria"/>
      <w:i/>
      <w:kern w:val="0"/>
      <w:szCs w:val="20"/>
      <w:lang w:eastAsia="ar-SA"/>
    </w:rPr>
  </w:style>
  <w:style w:type="character" w:customStyle="1" w:styleId="BodyText2Char">
    <w:name w:val="Body Text 2 Char"/>
    <w:basedOn w:val="DefaultParagraphFont"/>
    <w:link w:val="BodyText2"/>
    <w:rsid w:val="000A7DF2"/>
    <w:rPr>
      <w:rFonts w:ascii="Garamond" w:eastAsia="Times New Roman" w:hAnsi="Garamond" w:cs="Cambria"/>
      <w:i/>
      <w:szCs w:val="20"/>
      <w:lang w:val="en-GB" w:eastAsia="ar-SA"/>
    </w:rPr>
  </w:style>
  <w:style w:type="paragraph" w:styleId="BodyText3">
    <w:name w:val="Body Text 3"/>
    <w:basedOn w:val="Normal"/>
    <w:link w:val="BodyText3Char"/>
    <w:locked/>
    <w:rsid w:val="000A7DF2"/>
    <w:pPr>
      <w:widowControl w:val="0"/>
      <w:suppressAutoHyphens/>
      <w:spacing w:before="0" w:after="120"/>
    </w:pPr>
    <w:rPr>
      <w:rFonts w:ascii="Adobe Garamond Pro Bold" w:eastAsia="Times New Roman" w:hAnsi="Adobe Garamond Pro Bold" w:cs="Cambria"/>
      <w:b/>
      <w:kern w:val="0"/>
      <w:szCs w:val="20"/>
      <w:lang w:eastAsia="ar-SA"/>
    </w:rPr>
  </w:style>
  <w:style w:type="character" w:customStyle="1" w:styleId="BodyText3Char">
    <w:name w:val="Body Text 3 Char"/>
    <w:basedOn w:val="DefaultParagraphFont"/>
    <w:link w:val="BodyText3"/>
    <w:rsid w:val="000A7DF2"/>
    <w:rPr>
      <w:rFonts w:ascii="Adobe Garamond Pro Bold" w:eastAsia="Times New Roman" w:hAnsi="Adobe Garamond Pro Bold" w:cs="Cambria"/>
      <w:b/>
      <w:szCs w:val="20"/>
      <w:lang w:val="en-GB" w:eastAsia="ar-SA"/>
    </w:rPr>
  </w:style>
  <w:style w:type="paragraph" w:customStyle="1" w:styleId="TableContents">
    <w:name w:val="Table Contents"/>
    <w:basedOn w:val="Normal"/>
    <w:rsid w:val="000A7DF2"/>
    <w:pPr>
      <w:widowControl w:val="0"/>
      <w:suppressLineNumbers/>
      <w:suppressAutoHyphens/>
      <w:spacing w:before="0" w:after="220" w:line="264" w:lineRule="auto"/>
    </w:pPr>
    <w:rPr>
      <w:rFonts w:ascii="Times New Roman" w:eastAsia="MS Mincho" w:hAnsi="Times New Roman" w:cs="Cambria"/>
      <w:kern w:val="0"/>
      <w:szCs w:val="24"/>
      <w:lang w:eastAsia="ar-SA"/>
    </w:rPr>
  </w:style>
  <w:style w:type="paragraph" w:customStyle="1" w:styleId="TableHeading">
    <w:name w:val="Table Heading"/>
    <w:basedOn w:val="TableContents"/>
    <w:rsid w:val="000A7DF2"/>
    <w:pPr>
      <w:jc w:val="center"/>
    </w:pPr>
    <w:rPr>
      <w:b/>
      <w:bCs/>
    </w:rPr>
  </w:style>
  <w:style w:type="paragraph" w:customStyle="1" w:styleId="Contents10">
    <w:name w:val="Contents 10"/>
    <w:basedOn w:val="Index"/>
    <w:rsid w:val="000A7DF2"/>
    <w:pPr>
      <w:tabs>
        <w:tab w:val="right" w:leader="dot" w:pos="7090"/>
      </w:tabs>
      <w:ind w:left="2547"/>
    </w:pPr>
  </w:style>
  <w:style w:type="paragraph" w:customStyle="1" w:styleId="Framecontents">
    <w:name w:val="Frame contents"/>
    <w:basedOn w:val="BodyText"/>
    <w:rsid w:val="000A7DF2"/>
    <w:pPr>
      <w:widowControl w:val="0"/>
      <w:suppressAutoHyphens/>
      <w:spacing w:after="120"/>
    </w:pPr>
    <w:rPr>
      <w:rFonts w:ascii="Garamond" w:eastAsia="Times New Roman" w:hAnsi="Garamond" w:cs="Cambria"/>
      <w:noProof w:val="0"/>
      <w:szCs w:val="20"/>
      <w:lang w:val="en-GB" w:eastAsia="ar-SA"/>
    </w:rPr>
  </w:style>
  <w:style w:type="paragraph" w:customStyle="1" w:styleId="Docnumber">
    <w:name w:val="Docnumber"/>
    <w:basedOn w:val="Normal"/>
    <w:link w:val="DocnumberChar"/>
    <w:rsid w:val="000A7DF2"/>
    <w:pPr>
      <w:widowControl w:val="0"/>
      <w:suppressAutoHyphens/>
      <w:spacing w:before="120" w:after="220" w:line="264" w:lineRule="auto"/>
      <w:jc w:val="right"/>
    </w:pPr>
    <w:rPr>
      <w:rFonts w:ascii="Times New Roman" w:eastAsia="MS Mincho" w:hAnsi="Times New Roman"/>
      <w:b/>
      <w:bCs/>
      <w:kern w:val="0"/>
      <w:sz w:val="40"/>
      <w:szCs w:val="24"/>
      <w:lang w:eastAsia="ar-SA"/>
    </w:rPr>
  </w:style>
  <w:style w:type="character" w:customStyle="1" w:styleId="DocnumberChar">
    <w:name w:val="Docnumber Char"/>
    <w:link w:val="Docnumber"/>
    <w:rsid w:val="000A7DF2"/>
    <w:rPr>
      <w:rFonts w:eastAsia="MS Mincho"/>
      <w:b/>
      <w:bCs/>
      <w:sz w:val="40"/>
      <w:szCs w:val="24"/>
      <w:lang w:val="en-GB" w:eastAsia="ar-SA"/>
    </w:rPr>
  </w:style>
  <w:style w:type="paragraph" w:customStyle="1" w:styleId="Abb">
    <w:name w:val="Abb"/>
    <w:basedOn w:val="Normal"/>
    <w:rsid w:val="00675D0B"/>
    <w:pPr>
      <w:autoSpaceDE w:val="0"/>
    </w:pPr>
    <w:rPr>
      <w:sz w:val="20"/>
      <w:szCs w:val="20"/>
    </w:rPr>
  </w:style>
  <w:style w:type="paragraph" w:customStyle="1" w:styleId="An">
    <w:name w:val="An"/>
    <w:basedOn w:val="Normal"/>
    <w:rsid w:val="003C7429"/>
  </w:style>
  <w:style w:type="paragraph" w:customStyle="1" w:styleId="ref">
    <w:name w:val="ref"/>
    <w:basedOn w:val="Normal"/>
    <w:rsid w:val="006819CC"/>
    <w:rPr>
      <w:sz w:val="20"/>
      <w:szCs w:val="20"/>
    </w:rPr>
  </w:style>
  <w:style w:type="paragraph" w:styleId="BalloonText">
    <w:name w:val="Balloon Text"/>
    <w:basedOn w:val="Normal"/>
    <w:link w:val="BalloonTextChar"/>
    <w:semiHidden/>
    <w:unhideWhenUsed/>
    <w:locked/>
    <w:rsid w:val="005619D5"/>
    <w:pPr>
      <w:spacing w:before="0"/>
    </w:pPr>
    <w:rPr>
      <w:rFonts w:ascii="Lucida Grande" w:hAnsi="Lucida Grande"/>
      <w:sz w:val="18"/>
      <w:szCs w:val="18"/>
    </w:rPr>
  </w:style>
  <w:style w:type="character" w:customStyle="1" w:styleId="BalloonTextChar">
    <w:name w:val="Balloon Text Char"/>
    <w:basedOn w:val="DefaultParagraphFont"/>
    <w:link w:val="BalloonText"/>
    <w:semiHidden/>
    <w:rsid w:val="005619D5"/>
    <w:rPr>
      <w:rFonts w:ascii="Lucida Grande" w:hAnsi="Lucida Grande"/>
      <w:kern w:val="2"/>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906114">
      <w:bodyDiv w:val="1"/>
      <w:marLeft w:val="0"/>
      <w:marRight w:val="0"/>
      <w:marTop w:val="0"/>
      <w:marBottom w:val="0"/>
      <w:divBdr>
        <w:top w:val="none" w:sz="0" w:space="0" w:color="auto"/>
        <w:left w:val="none" w:sz="0" w:space="0" w:color="auto"/>
        <w:bottom w:val="none" w:sz="0" w:space="0" w:color="auto"/>
        <w:right w:val="none" w:sz="0" w:space="0" w:color="auto"/>
      </w:divBdr>
    </w:div>
    <w:div w:id="369498000">
      <w:bodyDiv w:val="1"/>
      <w:marLeft w:val="0"/>
      <w:marRight w:val="0"/>
      <w:marTop w:val="0"/>
      <w:marBottom w:val="0"/>
      <w:divBdr>
        <w:top w:val="none" w:sz="0" w:space="0" w:color="auto"/>
        <w:left w:val="none" w:sz="0" w:space="0" w:color="auto"/>
        <w:bottom w:val="none" w:sz="0" w:space="0" w:color="auto"/>
        <w:right w:val="none" w:sz="0" w:space="0" w:color="auto"/>
      </w:divBdr>
      <w:divsChild>
        <w:div w:id="1957103060">
          <w:marLeft w:val="0"/>
          <w:marRight w:val="0"/>
          <w:marTop w:val="0"/>
          <w:marBottom w:val="0"/>
          <w:divBdr>
            <w:top w:val="none" w:sz="0" w:space="0" w:color="auto"/>
            <w:left w:val="single" w:sz="12" w:space="0" w:color="F1F1F1"/>
            <w:bottom w:val="none" w:sz="0" w:space="0" w:color="auto"/>
            <w:right w:val="single" w:sz="12" w:space="0" w:color="F1F1F1"/>
          </w:divBdr>
          <w:divsChild>
            <w:div w:id="1644429815">
              <w:marLeft w:val="0"/>
              <w:marRight w:val="0"/>
              <w:marTop w:val="0"/>
              <w:marBottom w:val="0"/>
              <w:divBdr>
                <w:top w:val="none" w:sz="0" w:space="0" w:color="auto"/>
                <w:left w:val="none" w:sz="0" w:space="0" w:color="auto"/>
                <w:bottom w:val="none" w:sz="0" w:space="0" w:color="auto"/>
                <w:right w:val="none" w:sz="0" w:space="0" w:color="auto"/>
              </w:divBdr>
              <w:divsChild>
                <w:div w:id="760179468">
                  <w:marLeft w:val="0"/>
                  <w:marRight w:val="0"/>
                  <w:marTop w:val="0"/>
                  <w:marBottom w:val="0"/>
                  <w:divBdr>
                    <w:top w:val="none" w:sz="0" w:space="0" w:color="auto"/>
                    <w:left w:val="none" w:sz="0" w:space="0" w:color="auto"/>
                    <w:bottom w:val="none" w:sz="0" w:space="0" w:color="auto"/>
                    <w:right w:val="none" w:sz="0" w:space="0" w:color="auto"/>
                  </w:divBdr>
                  <w:divsChild>
                    <w:div w:id="269897174">
                      <w:marLeft w:val="0"/>
                      <w:marRight w:val="0"/>
                      <w:marTop w:val="0"/>
                      <w:marBottom w:val="0"/>
                      <w:divBdr>
                        <w:top w:val="none" w:sz="0" w:space="0" w:color="auto"/>
                        <w:left w:val="none" w:sz="0" w:space="0" w:color="auto"/>
                        <w:bottom w:val="none" w:sz="0" w:space="0" w:color="auto"/>
                        <w:right w:val="none" w:sz="0" w:space="0" w:color="auto"/>
                      </w:divBdr>
                      <w:divsChild>
                        <w:div w:id="1264798999">
                          <w:marLeft w:val="0"/>
                          <w:marRight w:val="0"/>
                          <w:marTop w:val="0"/>
                          <w:marBottom w:val="0"/>
                          <w:divBdr>
                            <w:top w:val="none" w:sz="0" w:space="0" w:color="auto"/>
                            <w:left w:val="none" w:sz="0" w:space="0" w:color="auto"/>
                            <w:bottom w:val="none" w:sz="0" w:space="0" w:color="auto"/>
                            <w:right w:val="none" w:sz="0" w:space="0" w:color="auto"/>
                          </w:divBdr>
                          <w:divsChild>
                            <w:div w:id="7388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386297">
      <w:bodyDiv w:val="1"/>
      <w:marLeft w:val="0"/>
      <w:marRight w:val="0"/>
      <w:marTop w:val="0"/>
      <w:marBottom w:val="0"/>
      <w:divBdr>
        <w:top w:val="none" w:sz="0" w:space="0" w:color="auto"/>
        <w:left w:val="none" w:sz="0" w:space="0" w:color="auto"/>
        <w:bottom w:val="none" w:sz="0" w:space="0" w:color="auto"/>
        <w:right w:val="none" w:sz="0" w:space="0" w:color="auto"/>
      </w:divBdr>
      <w:divsChild>
        <w:div w:id="1934703707">
          <w:marLeft w:val="0"/>
          <w:marRight w:val="0"/>
          <w:marTop w:val="0"/>
          <w:marBottom w:val="0"/>
          <w:divBdr>
            <w:top w:val="none" w:sz="0" w:space="0" w:color="auto"/>
            <w:left w:val="none" w:sz="0" w:space="0" w:color="auto"/>
            <w:bottom w:val="none" w:sz="0" w:space="0" w:color="auto"/>
            <w:right w:val="none" w:sz="0" w:space="0" w:color="auto"/>
          </w:divBdr>
          <w:divsChild>
            <w:div w:id="1596554332">
              <w:marLeft w:val="0"/>
              <w:marRight w:val="0"/>
              <w:marTop w:val="0"/>
              <w:marBottom w:val="0"/>
              <w:divBdr>
                <w:top w:val="none" w:sz="0" w:space="0" w:color="auto"/>
                <w:left w:val="none" w:sz="0" w:space="0" w:color="auto"/>
                <w:bottom w:val="none" w:sz="0" w:space="0" w:color="auto"/>
                <w:right w:val="none" w:sz="0" w:space="0" w:color="auto"/>
              </w:divBdr>
              <w:divsChild>
                <w:div w:id="18033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80846">
      <w:bodyDiv w:val="1"/>
      <w:marLeft w:val="0"/>
      <w:marRight w:val="0"/>
      <w:marTop w:val="0"/>
      <w:marBottom w:val="0"/>
      <w:divBdr>
        <w:top w:val="none" w:sz="0" w:space="0" w:color="auto"/>
        <w:left w:val="none" w:sz="0" w:space="0" w:color="auto"/>
        <w:bottom w:val="none" w:sz="0" w:space="0" w:color="auto"/>
        <w:right w:val="none" w:sz="0" w:space="0" w:color="auto"/>
      </w:divBdr>
      <w:divsChild>
        <w:div w:id="376127663">
          <w:marLeft w:val="0"/>
          <w:marRight w:val="0"/>
          <w:marTop w:val="0"/>
          <w:marBottom w:val="0"/>
          <w:divBdr>
            <w:top w:val="none" w:sz="0" w:space="0" w:color="auto"/>
            <w:left w:val="none" w:sz="0" w:space="0" w:color="auto"/>
            <w:bottom w:val="none" w:sz="0" w:space="0" w:color="auto"/>
            <w:right w:val="none" w:sz="0" w:space="0" w:color="auto"/>
          </w:divBdr>
          <w:divsChild>
            <w:div w:id="1436707705">
              <w:marLeft w:val="0"/>
              <w:marRight w:val="0"/>
              <w:marTop w:val="0"/>
              <w:marBottom w:val="0"/>
              <w:divBdr>
                <w:top w:val="none" w:sz="0" w:space="0" w:color="auto"/>
                <w:left w:val="none" w:sz="0" w:space="0" w:color="auto"/>
                <w:bottom w:val="none" w:sz="0" w:space="0" w:color="auto"/>
                <w:right w:val="none" w:sz="0" w:space="0" w:color="auto"/>
              </w:divBdr>
              <w:divsChild>
                <w:div w:id="359860357">
                  <w:marLeft w:val="0"/>
                  <w:marRight w:val="0"/>
                  <w:marTop w:val="0"/>
                  <w:marBottom w:val="0"/>
                  <w:divBdr>
                    <w:top w:val="none" w:sz="0" w:space="0" w:color="auto"/>
                    <w:left w:val="none" w:sz="0" w:space="0" w:color="auto"/>
                    <w:bottom w:val="none" w:sz="0" w:space="0" w:color="auto"/>
                    <w:right w:val="none" w:sz="0" w:space="0" w:color="auto"/>
                  </w:divBdr>
                  <w:divsChild>
                    <w:div w:id="1318265972">
                      <w:marLeft w:val="0"/>
                      <w:marRight w:val="0"/>
                      <w:marTop w:val="0"/>
                      <w:marBottom w:val="0"/>
                      <w:divBdr>
                        <w:top w:val="none" w:sz="0" w:space="0" w:color="auto"/>
                        <w:left w:val="none" w:sz="0" w:space="0" w:color="auto"/>
                        <w:bottom w:val="none" w:sz="0" w:space="0" w:color="auto"/>
                        <w:right w:val="none" w:sz="0" w:space="0" w:color="auto"/>
                      </w:divBdr>
                      <w:divsChild>
                        <w:div w:id="818154699">
                          <w:marLeft w:val="0"/>
                          <w:marRight w:val="0"/>
                          <w:marTop w:val="0"/>
                          <w:marBottom w:val="0"/>
                          <w:divBdr>
                            <w:top w:val="none" w:sz="0" w:space="0" w:color="auto"/>
                            <w:left w:val="none" w:sz="0" w:space="0" w:color="auto"/>
                            <w:bottom w:val="none" w:sz="0" w:space="0" w:color="auto"/>
                            <w:right w:val="none" w:sz="0" w:space="0" w:color="auto"/>
                          </w:divBdr>
                          <w:divsChild>
                            <w:div w:id="2032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066153">
      <w:bodyDiv w:val="1"/>
      <w:marLeft w:val="0"/>
      <w:marRight w:val="0"/>
      <w:marTop w:val="0"/>
      <w:marBottom w:val="0"/>
      <w:divBdr>
        <w:top w:val="none" w:sz="0" w:space="0" w:color="auto"/>
        <w:left w:val="none" w:sz="0" w:space="0" w:color="auto"/>
        <w:bottom w:val="none" w:sz="0" w:space="0" w:color="auto"/>
        <w:right w:val="none" w:sz="0" w:space="0" w:color="auto"/>
      </w:divBdr>
    </w:div>
    <w:div w:id="720594606">
      <w:bodyDiv w:val="1"/>
      <w:marLeft w:val="0"/>
      <w:marRight w:val="0"/>
      <w:marTop w:val="0"/>
      <w:marBottom w:val="0"/>
      <w:divBdr>
        <w:top w:val="none" w:sz="0" w:space="0" w:color="auto"/>
        <w:left w:val="none" w:sz="0" w:space="0" w:color="auto"/>
        <w:bottom w:val="none" w:sz="0" w:space="0" w:color="auto"/>
        <w:right w:val="none" w:sz="0" w:space="0" w:color="auto"/>
      </w:divBdr>
      <w:divsChild>
        <w:div w:id="1101494145">
          <w:marLeft w:val="446"/>
          <w:marRight w:val="0"/>
          <w:marTop w:val="115"/>
          <w:marBottom w:val="0"/>
          <w:divBdr>
            <w:top w:val="none" w:sz="0" w:space="0" w:color="auto"/>
            <w:left w:val="none" w:sz="0" w:space="0" w:color="auto"/>
            <w:bottom w:val="none" w:sz="0" w:space="0" w:color="auto"/>
            <w:right w:val="none" w:sz="0" w:space="0" w:color="auto"/>
          </w:divBdr>
        </w:div>
      </w:divsChild>
    </w:div>
    <w:div w:id="1048450933">
      <w:bodyDiv w:val="1"/>
      <w:marLeft w:val="0"/>
      <w:marRight w:val="0"/>
      <w:marTop w:val="0"/>
      <w:marBottom w:val="0"/>
      <w:divBdr>
        <w:top w:val="none" w:sz="0" w:space="0" w:color="auto"/>
        <w:left w:val="none" w:sz="0" w:space="0" w:color="auto"/>
        <w:bottom w:val="none" w:sz="0" w:space="0" w:color="auto"/>
        <w:right w:val="none" w:sz="0" w:space="0" w:color="auto"/>
      </w:divBdr>
    </w:div>
    <w:div w:id="1535187832">
      <w:bodyDiv w:val="1"/>
      <w:marLeft w:val="0"/>
      <w:marRight w:val="0"/>
      <w:marTop w:val="0"/>
      <w:marBottom w:val="0"/>
      <w:divBdr>
        <w:top w:val="none" w:sz="0" w:space="0" w:color="auto"/>
        <w:left w:val="none" w:sz="0" w:space="0" w:color="auto"/>
        <w:bottom w:val="none" w:sz="0" w:space="0" w:color="auto"/>
        <w:right w:val="none" w:sz="0" w:space="0" w:color="auto"/>
      </w:divBdr>
    </w:div>
    <w:div w:id="1817992628">
      <w:bodyDiv w:val="1"/>
      <w:marLeft w:val="0"/>
      <w:marRight w:val="0"/>
      <w:marTop w:val="0"/>
      <w:marBottom w:val="0"/>
      <w:divBdr>
        <w:top w:val="none" w:sz="0" w:space="0" w:color="auto"/>
        <w:left w:val="none" w:sz="0" w:space="0" w:color="auto"/>
        <w:bottom w:val="none" w:sz="0" w:space="0" w:color="auto"/>
        <w:right w:val="none" w:sz="0" w:space="0" w:color="auto"/>
      </w:divBdr>
    </w:div>
    <w:div w:id="1913395496">
      <w:marLeft w:val="0"/>
      <w:marRight w:val="0"/>
      <w:marTop w:val="0"/>
      <w:marBottom w:val="0"/>
      <w:divBdr>
        <w:top w:val="none" w:sz="0" w:space="0" w:color="auto"/>
        <w:left w:val="none" w:sz="0" w:space="0" w:color="auto"/>
        <w:bottom w:val="none" w:sz="0" w:space="0" w:color="auto"/>
        <w:right w:val="none" w:sz="0" w:space="0" w:color="auto"/>
      </w:divBdr>
      <w:divsChild>
        <w:div w:id="1913395558">
          <w:marLeft w:val="0"/>
          <w:marRight w:val="0"/>
          <w:marTop w:val="0"/>
          <w:marBottom w:val="0"/>
          <w:divBdr>
            <w:top w:val="none" w:sz="0" w:space="0" w:color="auto"/>
            <w:left w:val="none" w:sz="0" w:space="0" w:color="auto"/>
            <w:bottom w:val="none" w:sz="0" w:space="0" w:color="auto"/>
            <w:right w:val="none" w:sz="0" w:space="0" w:color="auto"/>
          </w:divBdr>
          <w:divsChild>
            <w:div w:id="1913395549">
              <w:marLeft w:val="0"/>
              <w:marRight w:val="0"/>
              <w:marTop w:val="0"/>
              <w:marBottom w:val="0"/>
              <w:divBdr>
                <w:top w:val="none" w:sz="0" w:space="0" w:color="auto"/>
                <w:left w:val="none" w:sz="0" w:space="0" w:color="auto"/>
                <w:bottom w:val="none" w:sz="0" w:space="0" w:color="auto"/>
                <w:right w:val="none" w:sz="0" w:space="0" w:color="auto"/>
              </w:divBdr>
              <w:divsChild>
                <w:div w:id="19133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95498">
      <w:marLeft w:val="0"/>
      <w:marRight w:val="0"/>
      <w:marTop w:val="0"/>
      <w:marBottom w:val="0"/>
      <w:divBdr>
        <w:top w:val="none" w:sz="0" w:space="0" w:color="auto"/>
        <w:left w:val="none" w:sz="0" w:space="0" w:color="auto"/>
        <w:bottom w:val="none" w:sz="0" w:space="0" w:color="auto"/>
        <w:right w:val="none" w:sz="0" w:space="0" w:color="auto"/>
      </w:divBdr>
      <w:divsChild>
        <w:div w:id="1913395521">
          <w:marLeft w:val="0"/>
          <w:marRight w:val="0"/>
          <w:marTop w:val="0"/>
          <w:marBottom w:val="0"/>
          <w:divBdr>
            <w:top w:val="none" w:sz="0" w:space="0" w:color="auto"/>
            <w:left w:val="none" w:sz="0" w:space="0" w:color="auto"/>
            <w:bottom w:val="none" w:sz="0" w:space="0" w:color="auto"/>
            <w:right w:val="none" w:sz="0" w:space="0" w:color="auto"/>
          </w:divBdr>
          <w:divsChild>
            <w:div w:id="1913395538">
              <w:marLeft w:val="0"/>
              <w:marRight w:val="0"/>
              <w:marTop w:val="0"/>
              <w:marBottom w:val="0"/>
              <w:divBdr>
                <w:top w:val="none" w:sz="0" w:space="0" w:color="auto"/>
                <w:left w:val="none" w:sz="0" w:space="0" w:color="auto"/>
                <w:bottom w:val="none" w:sz="0" w:space="0" w:color="auto"/>
                <w:right w:val="none" w:sz="0" w:space="0" w:color="auto"/>
              </w:divBdr>
              <w:divsChild>
                <w:div w:id="1913395527">
                  <w:marLeft w:val="204"/>
                  <w:marRight w:val="30"/>
                  <w:marTop w:val="0"/>
                  <w:marBottom w:val="0"/>
                  <w:divBdr>
                    <w:top w:val="none" w:sz="0" w:space="0" w:color="auto"/>
                    <w:left w:val="none" w:sz="0" w:space="0" w:color="auto"/>
                    <w:bottom w:val="none" w:sz="0" w:space="0" w:color="auto"/>
                    <w:right w:val="none" w:sz="0" w:space="0" w:color="auto"/>
                  </w:divBdr>
                  <w:divsChild>
                    <w:div w:id="1913395595">
                      <w:marLeft w:val="0"/>
                      <w:marRight w:val="0"/>
                      <w:marTop w:val="0"/>
                      <w:marBottom w:val="0"/>
                      <w:divBdr>
                        <w:top w:val="none" w:sz="0" w:space="0" w:color="auto"/>
                        <w:left w:val="single" w:sz="6" w:space="10" w:color="CCCCCC"/>
                        <w:bottom w:val="none" w:sz="0" w:space="0" w:color="auto"/>
                        <w:right w:val="none" w:sz="0" w:space="0" w:color="auto"/>
                      </w:divBdr>
                      <w:divsChild>
                        <w:div w:id="1913395495">
                          <w:marLeft w:val="0"/>
                          <w:marRight w:val="0"/>
                          <w:marTop w:val="0"/>
                          <w:marBottom w:val="0"/>
                          <w:divBdr>
                            <w:top w:val="none" w:sz="0" w:space="0" w:color="auto"/>
                            <w:left w:val="none" w:sz="0" w:space="0" w:color="auto"/>
                            <w:bottom w:val="none" w:sz="0" w:space="0" w:color="auto"/>
                            <w:right w:val="none" w:sz="0" w:space="0" w:color="auto"/>
                          </w:divBdr>
                          <w:divsChild>
                            <w:div w:id="1913395536">
                              <w:marLeft w:val="0"/>
                              <w:marRight w:val="0"/>
                              <w:marTop w:val="0"/>
                              <w:marBottom w:val="204"/>
                              <w:divBdr>
                                <w:top w:val="single" w:sz="6" w:space="5" w:color="CCCCCC"/>
                                <w:left w:val="single" w:sz="6" w:space="12" w:color="CCCCCC"/>
                                <w:bottom w:val="single" w:sz="6" w:space="3" w:color="CCCCCC"/>
                                <w:right w:val="single" w:sz="6" w:space="12" w:color="CCCCCC"/>
                              </w:divBdr>
                              <w:divsChild>
                                <w:div w:id="1913395531">
                                  <w:marLeft w:val="0"/>
                                  <w:marRight w:val="0"/>
                                  <w:marTop w:val="0"/>
                                  <w:marBottom w:val="0"/>
                                  <w:divBdr>
                                    <w:top w:val="none" w:sz="0" w:space="0" w:color="auto"/>
                                    <w:left w:val="none" w:sz="0" w:space="0" w:color="auto"/>
                                    <w:bottom w:val="none" w:sz="0" w:space="0" w:color="auto"/>
                                    <w:right w:val="none" w:sz="0" w:space="0" w:color="auto"/>
                                  </w:divBdr>
                                  <w:divsChild>
                                    <w:div w:id="1913395500">
                                      <w:marLeft w:val="0"/>
                                      <w:marRight w:val="0"/>
                                      <w:marTop w:val="0"/>
                                      <w:marBottom w:val="0"/>
                                      <w:divBdr>
                                        <w:top w:val="none" w:sz="0" w:space="0" w:color="auto"/>
                                        <w:left w:val="none" w:sz="0" w:space="0" w:color="auto"/>
                                        <w:bottom w:val="none" w:sz="0" w:space="0" w:color="auto"/>
                                        <w:right w:val="none" w:sz="0" w:space="0" w:color="auto"/>
                                      </w:divBdr>
                                    </w:div>
                                    <w:div w:id="1913395511">
                                      <w:marLeft w:val="0"/>
                                      <w:marRight w:val="0"/>
                                      <w:marTop w:val="0"/>
                                      <w:marBottom w:val="0"/>
                                      <w:divBdr>
                                        <w:top w:val="none" w:sz="0" w:space="0" w:color="auto"/>
                                        <w:left w:val="none" w:sz="0" w:space="0" w:color="auto"/>
                                        <w:bottom w:val="none" w:sz="0" w:space="0" w:color="auto"/>
                                        <w:right w:val="none" w:sz="0" w:space="0" w:color="auto"/>
                                      </w:divBdr>
                                    </w:div>
                                    <w:div w:id="1913395517">
                                      <w:marLeft w:val="0"/>
                                      <w:marRight w:val="0"/>
                                      <w:marTop w:val="0"/>
                                      <w:marBottom w:val="0"/>
                                      <w:divBdr>
                                        <w:top w:val="none" w:sz="0" w:space="0" w:color="auto"/>
                                        <w:left w:val="none" w:sz="0" w:space="0" w:color="auto"/>
                                        <w:bottom w:val="none" w:sz="0" w:space="0" w:color="auto"/>
                                        <w:right w:val="none" w:sz="0" w:space="0" w:color="auto"/>
                                      </w:divBdr>
                                    </w:div>
                                    <w:div w:id="1913395537">
                                      <w:marLeft w:val="0"/>
                                      <w:marRight w:val="0"/>
                                      <w:marTop w:val="0"/>
                                      <w:marBottom w:val="0"/>
                                      <w:divBdr>
                                        <w:top w:val="none" w:sz="0" w:space="0" w:color="auto"/>
                                        <w:left w:val="none" w:sz="0" w:space="0" w:color="auto"/>
                                        <w:bottom w:val="none" w:sz="0" w:space="0" w:color="auto"/>
                                        <w:right w:val="none" w:sz="0" w:space="0" w:color="auto"/>
                                      </w:divBdr>
                                    </w:div>
                                    <w:div w:id="1913395547">
                                      <w:marLeft w:val="0"/>
                                      <w:marRight w:val="0"/>
                                      <w:marTop w:val="0"/>
                                      <w:marBottom w:val="0"/>
                                      <w:divBdr>
                                        <w:top w:val="none" w:sz="0" w:space="0" w:color="auto"/>
                                        <w:left w:val="none" w:sz="0" w:space="0" w:color="auto"/>
                                        <w:bottom w:val="none" w:sz="0" w:space="0" w:color="auto"/>
                                        <w:right w:val="none" w:sz="0" w:space="0" w:color="auto"/>
                                      </w:divBdr>
                                    </w:div>
                                    <w:div w:id="1913395563">
                                      <w:marLeft w:val="0"/>
                                      <w:marRight w:val="0"/>
                                      <w:marTop w:val="0"/>
                                      <w:marBottom w:val="0"/>
                                      <w:divBdr>
                                        <w:top w:val="none" w:sz="0" w:space="0" w:color="auto"/>
                                        <w:left w:val="none" w:sz="0" w:space="0" w:color="auto"/>
                                        <w:bottom w:val="none" w:sz="0" w:space="0" w:color="auto"/>
                                        <w:right w:val="none" w:sz="0" w:space="0" w:color="auto"/>
                                      </w:divBdr>
                                    </w:div>
                                    <w:div w:id="1913395564">
                                      <w:marLeft w:val="0"/>
                                      <w:marRight w:val="0"/>
                                      <w:marTop w:val="0"/>
                                      <w:marBottom w:val="0"/>
                                      <w:divBdr>
                                        <w:top w:val="none" w:sz="0" w:space="0" w:color="auto"/>
                                        <w:left w:val="none" w:sz="0" w:space="0" w:color="auto"/>
                                        <w:bottom w:val="none" w:sz="0" w:space="0" w:color="auto"/>
                                        <w:right w:val="none" w:sz="0" w:space="0" w:color="auto"/>
                                      </w:divBdr>
                                    </w:div>
                                    <w:div w:id="1913395570">
                                      <w:marLeft w:val="0"/>
                                      <w:marRight w:val="0"/>
                                      <w:marTop w:val="0"/>
                                      <w:marBottom w:val="0"/>
                                      <w:divBdr>
                                        <w:top w:val="none" w:sz="0" w:space="0" w:color="auto"/>
                                        <w:left w:val="none" w:sz="0" w:space="0" w:color="auto"/>
                                        <w:bottom w:val="none" w:sz="0" w:space="0" w:color="auto"/>
                                        <w:right w:val="none" w:sz="0" w:space="0" w:color="auto"/>
                                      </w:divBdr>
                                    </w:div>
                                    <w:div w:id="191339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3395499">
      <w:marLeft w:val="0"/>
      <w:marRight w:val="0"/>
      <w:marTop w:val="0"/>
      <w:marBottom w:val="0"/>
      <w:divBdr>
        <w:top w:val="none" w:sz="0" w:space="0" w:color="auto"/>
        <w:left w:val="none" w:sz="0" w:space="0" w:color="auto"/>
        <w:bottom w:val="none" w:sz="0" w:space="0" w:color="auto"/>
        <w:right w:val="none" w:sz="0" w:space="0" w:color="auto"/>
      </w:divBdr>
    </w:div>
    <w:div w:id="1913395501">
      <w:marLeft w:val="0"/>
      <w:marRight w:val="0"/>
      <w:marTop w:val="0"/>
      <w:marBottom w:val="0"/>
      <w:divBdr>
        <w:top w:val="none" w:sz="0" w:space="0" w:color="auto"/>
        <w:left w:val="none" w:sz="0" w:space="0" w:color="auto"/>
        <w:bottom w:val="none" w:sz="0" w:space="0" w:color="auto"/>
        <w:right w:val="none" w:sz="0" w:space="0" w:color="auto"/>
      </w:divBdr>
      <w:divsChild>
        <w:div w:id="1913395529">
          <w:marLeft w:val="0"/>
          <w:marRight w:val="0"/>
          <w:marTop w:val="0"/>
          <w:marBottom w:val="0"/>
          <w:divBdr>
            <w:top w:val="none" w:sz="0" w:space="0" w:color="auto"/>
            <w:left w:val="none" w:sz="0" w:space="0" w:color="auto"/>
            <w:bottom w:val="none" w:sz="0" w:space="0" w:color="auto"/>
            <w:right w:val="none" w:sz="0" w:space="0" w:color="auto"/>
          </w:divBdr>
        </w:div>
      </w:divsChild>
    </w:div>
    <w:div w:id="1913395505">
      <w:marLeft w:val="0"/>
      <w:marRight w:val="0"/>
      <w:marTop w:val="0"/>
      <w:marBottom w:val="0"/>
      <w:divBdr>
        <w:top w:val="none" w:sz="0" w:space="0" w:color="auto"/>
        <w:left w:val="none" w:sz="0" w:space="0" w:color="auto"/>
        <w:bottom w:val="none" w:sz="0" w:space="0" w:color="auto"/>
        <w:right w:val="none" w:sz="0" w:space="0" w:color="auto"/>
      </w:divBdr>
      <w:divsChild>
        <w:div w:id="1913395522">
          <w:marLeft w:val="0"/>
          <w:marRight w:val="0"/>
          <w:marTop w:val="0"/>
          <w:marBottom w:val="0"/>
          <w:divBdr>
            <w:top w:val="none" w:sz="0" w:space="0" w:color="auto"/>
            <w:left w:val="none" w:sz="0" w:space="0" w:color="auto"/>
            <w:bottom w:val="none" w:sz="0" w:space="0" w:color="auto"/>
            <w:right w:val="none" w:sz="0" w:space="0" w:color="auto"/>
          </w:divBdr>
        </w:div>
      </w:divsChild>
    </w:div>
    <w:div w:id="1913395514">
      <w:marLeft w:val="0"/>
      <w:marRight w:val="0"/>
      <w:marTop w:val="0"/>
      <w:marBottom w:val="0"/>
      <w:divBdr>
        <w:top w:val="none" w:sz="0" w:space="0" w:color="auto"/>
        <w:left w:val="none" w:sz="0" w:space="0" w:color="auto"/>
        <w:bottom w:val="none" w:sz="0" w:space="0" w:color="auto"/>
        <w:right w:val="none" w:sz="0" w:space="0" w:color="auto"/>
      </w:divBdr>
    </w:div>
    <w:div w:id="1913395515">
      <w:marLeft w:val="0"/>
      <w:marRight w:val="0"/>
      <w:marTop w:val="0"/>
      <w:marBottom w:val="0"/>
      <w:divBdr>
        <w:top w:val="none" w:sz="0" w:space="0" w:color="auto"/>
        <w:left w:val="none" w:sz="0" w:space="0" w:color="auto"/>
        <w:bottom w:val="none" w:sz="0" w:space="0" w:color="auto"/>
        <w:right w:val="none" w:sz="0" w:space="0" w:color="auto"/>
      </w:divBdr>
      <w:divsChild>
        <w:div w:id="1913395567">
          <w:marLeft w:val="0"/>
          <w:marRight w:val="0"/>
          <w:marTop w:val="0"/>
          <w:marBottom w:val="0"/>
          <w:divBdr>
            <w:top w:val="none" w:sz="0" w:space="0" w:color="auto"/>
            <w:left w:val="none" w:sz="0" w:space="0" w:color="auto"/>
            <w:bottom w:val="none" w:sz="0" w:space="0" w:color="auto"/>
            <w:right w:val="none" w:sz="0" w:space="0" w:color="auto"/>
          </w:divBdr>
          <w:divsChild>
            <w:div w:id="191339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95516">
      <w:marLeft w:val="0"/>
      <w:marRight w:val="0"/>
      <w:marTop w:val="0"/>
      <w:marBottom w:val="0"/>
      <w:divBdr>
        <w:top w:val="none" w:sz="0" w:space="0" w:color="auto"/>
        <w:left w:val="none" w:sz="0" w:space="0" w:color="auto"/>
        <w:bottom w:val="none" w:sz="0" w:space="0" w:color="auto"/>
        <w:right w:val="none" w:sz="0" w:space="0" w:color="auto"/>
      </w:divBdr>
    </w:div>
    <w:div w:id="1913395523">
      <w:marLeft w:val="0"/>
      <w:marRight w:val="0"/>
      <w:marTop w:val="0"/>
      <w:marBottom w:val="0"/>
      <w:divBdr>
        <w:top w:val="none" w:sz="0" w:space="0" w:color="auto"/>
        <w:left w:val="none" w:sz="0" w:space="0" w:color="auto"/>
        <w:bottom w:val="none" w:sz="0" w:space="0" w:color="auto"/>
        <w:right w:val="none" w:sz="0" w:space="0" w:color="auto"/>
      </w:divBdr>
      <w:divsChild>
        <w:div w:id="1913395502">
          <w:marLeft w:val="0"/>
          <w:marRight w:val="0"/>
          <w:marTop w:val="0"/>
          <w:marBottom w:val="0"/>
          <w:divBdr>
            <w:top w:val="none" w:sz="0" w:space="0" w:color="auto"/>
            <w:left w:val="none" w:sz="0" w:space="0" w:color="auto"/>
            <w:bottom w:val="none" w:sz="0" w:space="0" w:color="auto"/>
            <w:right w:val="none" w:sz="0" w:space="0" w:color="auto"/>
          </w:divBdr>
          <w:divsChild>
            <w:div w:id="1913395583">
              <w:marLeft w:val="0"/>
              <w:marRight w:val="0"/>
              <w:marTop w:val="0"/>
              <w:marBottom w:val="0"/>
              <w:divBdr>
                <w:top w:val="none" w:sz="0" w:space="0" w:color="auto"/>
                <w:left w:val="none" w:sz="0" w:space="0" w:color="auto"/>
                <w:bottom w:val="none" w:sz="0" w:space="0" w:color="auto"/>
                <w:right w:val="none" w:sz="0" w:space="0" w:color="auto"/>
              </w:divBdr>
              <w:divsChild>
                <w:div w:id="1913395579">
                  <w:marLeft w:val="0"/>
                  <w:marRight w:val="0"/>
                  <w:marTop w:val="0"/>
                  <w:marBottom w:val="0"/>
                  <w:divBdr>
                    <w:top w:val="none" w:sz="0" w:space="0" w:color="auto"/>
                    <w:left w:val="none" w:sz="0" w:space="0" w:color="auto"/>
                    <w:bottom w:val="none" w:sz="0" w:space="0" w:color="auto"/>
                    <w:right w:val="none" w:sz="0" w:space="0" w:color="auto"/>
                  </w:divBdr>
                  <w:divsChild>
                    <w:div w:id="1913395518">
                      <w:marLeft w:val="0"/>
                      <w:marRight w:val="0"/>
                      <w:marTop w:val="0"/>
                      <w:marBottom w:val="0"/>
                      <w:divBdr>
                        <w:top w:val="none" w:sz="0" w:space="0" w:color="auto"/>
                        <w:left w:val="none" w:sz="0" w:space="0" w:color="auto"/>
                        <w:bottom w:val="none" w:sz="0" w:space="0" w:color="auto"/>
                        <w:right w:val="none" w:sz="0" w:space="0" w:color="auto"/>
                      </w:divBdr>
                      <w:divsChild>
                        <w:div w:id="1913395494">
                          <w:marLeft w:val="0"/>
                          <w:marRight w:val="0"/>
                          <w:marTop w:val="0"/>
                          <w:marBottom w:val="0"/>
                          <w:divBdr>
                            <w:top w:val="none" w:sz="0" w:space="0" w:color="auto"/>
                            <w:left w:val="none" w:sz="0" w:space="0" w:color="auto"/>
                            <w:bottom w:val="none" w:sz="0" w:space="0" w:color="auto"/>
                            <w:right w:val="none" w:sz="0" w:space="0" w:color="auto"/>
                          </w:divBdr>
                          <w:divsChild>
                            <w:div w:id="1913395497">
                              <w:marLeft w:val="0"/>
                              <w:marRight w:val="0"/>
                              <w:marTop w:val="0"/>
                              <w:marBottom w:val="0"/>
                              <w:divBdr>
                                <w:top w:val="none" w:sz="0" w:space="0" w:color="auto"/>
                                <w:left w:val="none" w:sz="0" w:space="0" w:color="auto"/>
                                <w:bottom w:val="none" w:sz="0" w:space="0" w:color="auto"/>
                                <w:right w:val="none" w:sz="0" w:space="0" w:color="auto"/>
                              </w:divBdr>
                              <w:divsChild>
                                <w:div w:id="1913395581">
                                  <w:marLeft w:val="0"/>
                                  <w:marRight w:val="0"/>
                                  <w:marTop w:val="0"/>
                                  <w:marBottom w:val="0"/>
                                  <w:divBdr>
                                    <w:top w:val="none" w:sz="0" w:space="0" w:color="auto"/>
                                    <w:left w:val="none" w:sz="0" w:space="0" w:color="auto"/>
                                    <w:bottom w:val="none" w:sz="0" w:space="0" w:color="auto"/>
                                    <w:right w:val="none" w:sz="0" w:space="0" w:color="auto"/>
                                  </w:divBdr>
                                  <w:divsChild>
                                    <w:div w:id="1913395588">
                                      <w:marLeft w:val="0"/>
                                      <w:marRight w:val="0"/>
                                      <w:marTop w:val="0"/>
                                      <w:marBottom w:val="0"/>
                                      <w:divBdr>
                                        <w:top w:val="none" w:sz="0" w:space="0" w:color="auto"/>
                                        <w:left w:val="none" w:sz="0" w:space="0" w:color="auto"/>
                                        <w:bottom w:val="none" w:sz="0" w:space="0" w:color="auto"/>
                                        <w:right w:val="none" w:sz="0" w:space="0" w:color="auto"/>
                                      </w:divBdr>
                                      <w:divsChild>
                                        <w:div w:id="1913395568">
                                          <w:marLeft w:val="136"/>
                                          <w:marRight w:val="136"/>
                                          <w:marTop w:val="136"/>
                                          <w:marBottom w:val="272"/>
                                          <w:divBdr>
                                            <w:top w:val="none" w:sz="0" w:space="0" w:color="auto"/>
                                            <w:left w:val="none" w:sz="0" w:space="0" w:color="auto"/>
                                            <w:bottom w:val="none" w:sz="0" w:space="0" w:color="auto"/>
                                            <w:right w:val="none" w:sz="0" w:space="0" w:color="auto"/>
                                          </w:divBdr>
                                          <w:divsChild>
                                            <w:div w:id="1913395534">
                                              <w:marLeft w:val="0"/>
                                              <w:marRight w:val="0"/>
                                              <w:marTop w:val="0"/>
                                              <w:marBottom w:val="0"/>
                                              <w:divBdr>
                                                <w:top w:val="none" w:sz="0" w:space="0" w:color="auto"/>
                                                <w:left w:val="none" w:sz="0" w:space="0" w:color="auto"/>
                                                <w:bottom w:val="none" w:sz="0" w:space="0" w:color="auto"/>
                                                <w:right w:val="none" w:sz="0" w:space="0" w:color="auto"/>
                                              </w:divBdr>
                                              <w:divsChild>
                                                <w:div w:id="1913395524">
                                                  <w:marLeft w:val="0"/>
                                                  <w:marRight w:val="0"/>
                                                  <w:marTop w:val="0"/>
                                                  <w:marBottom w:val="0"/>
                                                  <w:divBdr>
                                                    <w:top w:val="none" w:sz="0" w:space="0" w:color="auto"/>
                                                    <w:left w:val="none" w:sz="0" w:space="0" w:color="auto"/>
                                                    <w:bottom w:val="none" w:sz="0" w:space="0" w:color="auto"/>
                                                    <w:right w:val="none" w:sz="0" w:space="0" w:color="auto"/>
                                                  </w:divBdr>
                                                  <w:divsChild>
                                                    <w:div w:id="1913395528">
                                                      <w:marLeft w:val="0"/>
                                                      <w:marRight w:val="0"/>
                                                      <w:marTop w:val="0"/>
                                                      <w:marBottom w:val="0"/>
                                                      <w:divBdr>
                                                        <w:top w:val="none" w:sz="0" w:space="0" w:color="auto"/>
                                                        <w:left w:val="none" w:sz="0" w:space="0" w:color="auto"/>
                                                        <w:bottom w:val="none" w:sz="0" w:space="0" w:color="auto"/>
                                                        <w:right w:val="none" w:sz="0" w:space="0" w:color="auto"/>
                                                      </w:divBdr>
                                                      <w:divsChild>
                                                        <w:div w:id="1913395584">
                                                          <w:marLeft w:val="0"/>
                                                          <w:marRight w:val="0"/>
                                                          <w:marTop w:val="0"/>
                                                          <w:marBottom w:val="0"/>
                                                          <w:divBdr>
                                                            <w:top w:val="none" w:sz="0" w:space="0" w:color="auto"/>
                                                            <w:left w:val="none" w:sz="0" w:space="0" w:color="auto"/>
                                                            <w:bottom w:val="none" w:sz="0" w:space="0" w:color="auto"/>
                                                            <w:right w:val="none" w:sz="0" w:space="0" w:color="auto"/>
                                                          </w:divBdr>
                                                          <w:divsChild>
                                                            <w:div w:id="1913395535">
                                                              <w:marLeft w:val="0"/>
                                                              <w:marRight w:val="0"/>
                                                              <w:marTop w:val="0"/>
                                                              <w:marBottom w:val="0"/>
                                                              <w:divBdr>
                                                                <w:top w:val="none" w:sz="0" w:space="0" w:color="auto"/>
                                                                <w:left w:val="none" w:sz="0" w:space="0" w:color="auto"/>
                                                                <w:bottom w:val="none" w:sz="0" w:space="0" w:color="auto"/>
                                                                <w:right w:val="none" w:sz="0" w:space="0" w:color="auto"/>
                                                              </w:divBdr>
                                                            </w:div>
                                                            <w:div w:id="1913395539">
                                                              <w:marLeft w:val="0"/>
                                                              <w:marRight w:val="0"/>
                                                              <w:marTop w:val="0"/>
                                                              <w:marBottom w:val="0"/>
                                                              <w:divBdr>
                                                                <w:top w:val="none" w:sz="0" w:space="0" w:color="auto"/>
                                                                <w:left w:val="none" w:sz="0" w:space="0" w:color="auto"/>
                                                                <w:bottom w:val="none" w:sz="0" w:space="0" w:color="auto"/>
                                                                <w:right w:val="none" w:sz="0" w:space="0" w:color="auto"/>
                                                              </w:divBdr>
                                                            </w:div>
                                                            <w:div w:id="1913395556">
                                                              <w:marLeft w:val="0"/>
                                                              <w:marRight w:val="0"/>
                                                              <w:marTop w:val="0"/>
                                                              <w:marBottom w:val="0"/>
                                                              <w:divBdr>
                                                                <w:top w:val="none" w:sz="0" w:space="0" w:color="auto"/>
                                                                <w:left w:val="none" w:sz="0" w:space="0" w:color="auto"/>
                                                                <w:bottom w:val="none" w:sz="0" w:space="0" w:color="auto"/>
                                                                <w:right w:val="none" w:sz="0" w:space="0" w:color="auto"/>
                                                              </w:divBdr>
                                                            </w:div>
                                                            <w:div w:id="1913395559">
                                                              <w:marLeft w:val="0"/>
                                                              <w:marRight w:val="0"/>
                                                              <w:marTop w:val="0"/>
                                                              <w:marBottom w:val="0"/>
                                                              <w:divBdr>
                                                                <w:top w:val="none" w:sz="0" w:space="0" w:color="auto"/>
                                                                <w:left w:val="none" w:sz="0" w:space="0" w:color="auto"/>
                                                                <w:bottom w:val="none" w:sz="0" w:space="0" w:color="auto"/>
                                                                <w:right w:val="none" w:sz="0" w:space="0" w:color="auto"/>
                                                              </w:divBdr>
                                                            </w:div>
                                                            <w:div w:id="191339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3395525">
      <w:marLeft w:val="0"/>
      <w:marRight w:val="0"/>
      <w:marTop w:val="0"/>
      <w:marBottom w:val="0"/>
      <w:divBdr>
        <w:top w:val="none" w:sz="0" w:space="0" w:color="auto"/>
        <w:left w:val="none" w:sz="0" w:space="0" w:color="auto"/>
        <w:bottom w:val="none" w:sz="0" w:space="0" w:color="auto"/>
        <w:right w:val="none" w:sz="0" w:space="0" w:color="auto"/>
      </w:divBdr>
      <w:divsChild>
        <w:div w:id="1913395578">
          <w:marLeft w:val="0"/>
          <w:marRight w:val="0"/>
          <w:marTop w:val="0"/>
          <w:marBottom w:val="0"/>
          <w:divBdr>
            <w:top w:val="none" w:sz="0" w:space="0" w:color="auto"/>
            <w:left w:val="none" w:sz="0" w:space="0" w:color="auto"/>
            <w:bottom w:val="none" w:sz="0" w:space="0" w:color="auto"/>
            <w:right w:val="none" w:sz="0" w:space="0" w:color="auto"/>
          </w:divBdr>
          <w:divsChild>
            <w:div w:id="191339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95526">
      <w:marLeft w:val="0"/>
      <w:marRight w:val="0"/>
      <w:marTop w:val="0"/>
      <w:marBottom w:val="0"/>
      <w:divBdr>
        <w:top w:val="none" w:sz="0" w:space="0" w:color="auto"/>
        <w:left w:val="none" w:sz="0" w:space="0" w:color="auto"/>
        <w:bottom w:val="none" w:sz="0" w:space="0" w:color="auto"/>
        <w:right w:val="none" w:sz="0" w:space="0" w:color="auto"/>
      </w:divBdr>
    </w:div>
    <w:div w:id="1913395530">
      <w:marLeft w:val="0"/>
      <w:marRight w:val="0"/>
      <w:marTop w:val="0"/>
      <w:marBottom w:val="0"/>
      <w:divBdr>
        <w:top w:val="none" w:sz="0" w:space="0" w:color="auto"/>
        <w:left w:val="none" w:sz="0" w:space="0" w:color="auto"/>
        <w:bottom w:val="none" w:sz="0" w:space="0" w:color="auto"/>
        <w:right w:val="none" w:sz="0" w:space="0" w:color="auto"/>
      </w:divBdr>
    </w:div>
    <w:div w:id="1913395532">
      <w:marLeft w:val="0"/>
      <w:marRight w:val="0"/>
      <w:marTop w:val="0"/>
      <w:marBottom w:val="0"/>
      <w:divBdr>
        <w:top w:val="none" w:sz="0" w:space="0" w:color="auto"/>
        <w:left w:val="none" w:sz="0" w:space="0" w:color="auto"/>
        <w:bottom w:val="none" w:sz="0" w:space="0" w:color="auto"/>
        <w:right w:val="none" w:sz="0" w:space="0" w:color="auto"/>
      </w:divBdr>
      <w:divsChild>
        <w:div w:id="1913395593">
          <w:marLeft w:val="0"/>
          <w:marRight w:val="0"/>
          <w:marTop w:val="0"/>
          <w:marBottom w:val="0"/>
          <w:divBdr>
            <w:top w:val="none" w:sz="0" w:space="0" w:color="auto"/>
            <w:left w:val="none" w:sz="0" w:space="0" w:color="auto"/>
            <w:bottom w:val="none" w:sz="0" w:space="0" w:color="auto"/>
            <w:right w:val="none" w:sz="0" w:space="0" w:color="auto"/>
          </w:divBdr>
        </w:div>
      </w:divsChild>
    </w:div>
    <w:div w:id="1913395533">
      <w:marLeft w:val="0"/>
      <w:marRight w:val="0"/>
      <w:marTop w:val="0"/>
      <w:marBottom w:val="0"/>
      <w:divBdr>
        <w:top w:val="none" w:sz="0" w:space="0" w:color="auto"/>
        <w:left w:val="none" w:sz="0" w:space="0" w:color="auto"/>
        <w:bottom w:val="none" w:sz="0" w:space="0" w:color="auto"/>
        <w:right w:val="none" w:sz="0" w:space="0" w:color="auto"/>
      </w:divBdr>
      <w:divsChild>
        <w:div w:id="1913395504">
          <w:marLeft w:val="1166"/>
          <w:marRight w:val="0"/>
          <w:marTop w:val="96"/>
          <w:marBottom w:val="0"/>
          <w:divBdr>
            <w:top w:val="none" w:sz="0" w:space="0" w:color="auto"/>
            <w:left w:val="none" w:sz="0" w:space="0" w:color="auto"/>
            <w:bottom w:val="none" w:sz="0" w:space="0" w:color="auto"/>
            <w:right w:val="none" w:sz="0" w:space="0" w:color="auto"/>
          </w:divBdr>
        </w:div>
        <w:div w:id="1913395507">
          <w:marLeft w:val="1166"/>
          <w:marRight w:val="0"/>
          <w:marTop w:val="115"/>
          <w:marBottom w:val="0"/>
          <w:divBdr>
            <w:top w:val="none" w:sz="0" w:space="0" w:color="auto"/>
            <w:left w:val="none" w:sz="0" w:space="0" w:color="auto"/>
            <w:bottom w:val="none" w:sz="0" w:space="0" w:color="auto"/>
            <w:right w:val="none" w:sz="0" w:space="0" w:color="auto"/>
          </w:divBdr>
        </w:div>
        <w:div w:id="1913395519">
          <w:marLeft w:val="1166"/>
          <w:marRight w:val="0"/>
          <w:marTop w:val="96"/>
          <w:marBottom w:val="0"/>
          <w:divBdr>
            <w:top w:val="none" w:sz="0" w:space="0" w:color="auto"/>
            <w:left w:val="none" w:sz="0" w:space="0" w:color="auto"/>
            <w:bottom w:val="none" w:sz="0" w:space="0" w:color="auto"/>
            <w:right w:val="none" w:sz="0" w:space="0" w:color="auto"/>
          </w:divBdr>
        </w:div>
        <w:div w:id="1913395540">
          <w:marLeft w:val="1166"/>
          <w:marRight w:val="0"/>
          <w:marTop w:val="96"/>
          <w:marBottom w:val="0"/>
          <w:divBdr>
            <w:top w:val="none" w:sz="0" w:space="0" w:color="auto"/>
            <w:left w:val="none" w:sz="0" w:space="0" w:color="auto"/>
            <w:bottom w:val="none" w:sz="0" w:space="0" w:color="auto"/>
            <w:right w:val="none" w:sz="0" w:space="0" w:color="auto"/>
          </w:divBdr>
        </w:div>
        <w:div w:id="1913395543">
          <w:marLeft w:val="1166"/>
          <w:marRight w:val="0"/>
          <w:marTop w:val="96"/>
          <w:marBottom w:val="0"/>
          <w:divBdr>
            <w:top w:val="none" w:sz="0" w:space="0" w:color="auto"/>
            <w:left w:val="none" w:sz="0" w:space="0" w:color="auto"/>
            <w:bottom w:val="none" w:sz="0" w:space="0" w:color="auto"/>
            <w:right w:val="none" w:sz="0" w:space="0" w:color="auto"/>
          </w:divBdr>
        </w:div>
        <w:div w:id="1913395591">
          <w:marLeft w:val="547"/>
          <w:marRight w:val="0"/>
          <w:marTop w:val="115"/>
          <w:marBottom w:val="0"/>
          <w:divBdr>
            <w:top w:val="none" w:sz="0" w:space="0" w:color="auto"/>
            <w:left w:val="none" w:sz="0" w:space="0" w:color="auto"/>
            <w:bottom w:val="none" w:sz="0" w:space="0" w:color="auto"/>
            <w:right w:val="none" w:sz="0" w:space="0" w:color="auto"/>
          </w:divBdr>
        </w:div>
      </w:divsChild>
    </w:div>
    <w:div w:id="1913395541">
      <w:marLeft w:val="0"/>
      <w:marRight w:val="0"/>
      <w:marTop w:val="0"/>
      <w:marBottom w:val="0"/>
      <w:divBdr>
        <w:top w:val="none" w:sz="0" w:space="0" w:color="auto"/>
        <w:left w:val="none" w:sz="0" w:space="0" w:color="auto"/>
        <w:bottom w:val="none" w:sz="0" w:space="0" w:color="auto"/>
        <w:right w:val="none" w:sz="0" w:space="0" w:color="auto"/>
      </w:divBdr>
      <w:divsChild>
        <w:div w:id="1913395520">
          <w:marLeft w:val="0"/>
          <w:marRight w:val="0"/>
          <w:marTop w:val="0"/>
          <w:marBottom w:val="0"/>
          <w:divBdr>
            <w:top w:val="none" w:sz="0" w:space="0" w:color="auto"/>
            <w:left w:val="single" w:sz="12" w:space="0" w:color="F1F1F1"/>
            <w:bottom w:val="none" w:sz="0" w:space="0" w:color="auto"/>
            <w:right w:val="single" w:sz="12" w:space="0" w:color="F1F1F1"/>
          </w:divBdr>
          <w:divsChild>
            <w:div w:id="1913395550">
              <w:marLeft w:val="0"/>
              <w:marRight w:val="0"/>
              <w:marTop w:val="0"/>
              <w:marBottom w:val="0"/>
              <w:divBdr>
                <w:top w:val="none" w:sz="0" w:space="0" w:color="auto"/>
                <w:left w:val="none" w:sz="0" w:space="0" w:color="auto"/>
                <w:bottom w:val="none" w:sz="0" w:space="0" w:color="auto"/>
                <w:right w:val="none" w:sz="0" w:space="0" w:color="auto"/>
              </w:divBdr>
              <w:divsChild>
                <w:div w:id="1913395548">
                  <w:marLeft w:val="0"/>
                  <w:marRight w:val="0"/>
                  <w:marTop w:val="0"/>
                  <w:marBottom w:val="0"/>
                  <w:divBdr>
                    <w:top w:val="none" w:sz="0" w:space="0" w:color="auto"/>
                    <w:left w:val="none" w:sz="0" w:space="0" w:color="auto"/>
                    <w:bottom w:val="none" w:sz="0" w:space="0" w:color="auto"/>
                    <w:right w:val="none" w:sz="0" w:space="0" w:color="auto"/>
                  </w:divBdr>
                  <w:divsChild>
                    <w:div w:id="1913395513">
                      <w:marLeft w:val="0"/>
                      <w:marRight w:val="0"/>
                      <w:marTop w:val="0"/>
                      <w:marBottom w:val="0"/>
                      <w:divBdr>
                        <w:top w:val="none" w:sz="0" w:space="0" w:color="auto"/>
                        <w:left w:val="none" w:sz="0" w:space="0" w:color="auto"/>
                        <w:bottom w:val="none" w:sz="0" w:space="0" w:color="auto"/>
                        <w:right w:val="none" w:sz="0" w:space="0" w:color="auto"/>
                      </w:divBdr>
                      <w:divsChild>
                        <w:div w:id="1913395587">
                          <w:marLeft w:val="0"/>
                          <w:marRight w:val="0"/>
                          <w:marTop w:val="0"/>
                          <w:marBottom w:val="0"/>
                          <w:divBdr>
                            <w:top w:val="none" w:sz="0" w:space="0" w:color="auto"/>
                            <w:left w:val="none" w:sz="0" w:space="0" w:color="auto"/>
                            <w:bottom w:val="none" w:sz="0" w:space="0" w:color="auto"/>
                            <w:right w:val="none" w:sz="0" w:space="0" w:color="auto"/>
                          </w:divBdr>
                          <w:divsChild>
                            <w:div w:id="1913395552">
                              <w:marLeft w:val="0"/>
                              <w:marRight w:val="0"/>
                              <w:marTop w:val="0"/>
                              <w:marBottom w:val="0"/>
                              <w:divBdr>
                                <w:top w:val="none" w:sz="0" w:space="0" w:color="auto"/>
                                <w:left w:val="none" w:sz="0" w:space="0" w:color="auto"/>
                                <w:bottom w:val="none" w:sz="0" w:space="0" w:color="auto"/>
                                <w:right w:val="none" w:sz="0" w:space="0" w:color="auto"/>
                              </w:divBdr>
                              <w:divsChild>
                                <w:div w:id="1913395508">
                                  <w:marLeft w:val="240"/>
                                  <w:marRight w:val="240"/>
                                  <w:marTop w:val="0"/>
                                  <w:marBottom w:val="240"/>
                                  <w:divBdr>
                                    <w:top w:val="single" w:sz="6" w:space="0" w:color="DDE0EE"/>
                                    <w:left w:val="single" w:sz="6" w:space="0" w:color="DDE0EE"/>
                                    <w:bottom w:val="single" w:sz="6" w:space="0" w:color="DDE0EE"/>
                                    <w:right w:val="single" w:sz="6" w:space="0" w:color="DDE0EE"/>
                                  </w:divBdr>
                                </w:div>
                              </w:divsChild>
                            </w:div>
                          </w:divsChild>
                        </w:div>
                      </w:divsChild>
                    </w:div>
                  </w:divsChild>
                </w:div>
              </w:divsChild>
            </w:div>
          </w:divsChild>
        </w:div>
      </w:divsChild>
    </w:div>
    <w:div w:id="1913395545">
      <w:marLeft w:val="0"/>
      <w:marRight w:val="0"/>
      <w:marTop w:val="0"/>
      <w:marBottom w:val="0"/>
      <w:divBdr>
        <w:top w:val="none" w:sz="0" w:space="0" w:color="auto"/>
        <w:left w:val="none" w:sz="0" w:space="0" w:color="auto"/>
        <w:bottom w:val="none" w:sz="0" w:space="0" w:color="auto"/>
        <w:right w:val="none" w:sz="0" w:space="0" w:color="auto"/>
      </w:divBdr>
    </w:div>
    <w:div w:id="1913395553">
      <w:marLeft w:val="0"/>
      <w:marRight w:val="0"/>
      <w:marTop w:val="0"/>
      <w:marBottom w:val="0"/>
      <w:divBdr>
        <w:top w:val="none" w:sz="0" w:space="0" w:color="auto"/>
        <w:left w:val="none" w:sz="0" w:space="0" w:color="auto"/>
        <w:bottom w:val="none" w:sz="0" w:space="0" w:color="auto"/>
        <w:right w:val="none" w:sz="0" w:space="0" w:color="auto"/>
      </w:divBdr>
    </w:div>
    <w:div w:id="1913395554">
      <w:marLeft w:val="0"/>
      <w:marRight w:val="0"/>
      <w:marTop w:val="0"/>
      <w:marBottom w:val="0"/>
      <w:divBdr>
        <w:top w:val="none" w:sz="0" w:space="0" w:color="auto"/>
        <w:left w:val="none" w:sz="0" w:space="0" w:color="auto"/>
        <w:bottom w:val="none" w:sz="0" w:space="0" w:color="auto"/>
        <w:right w:val="none" w:sz="0" w:space="0" w:color="auto"/>
      </w:divBdr>
    </w:div>
    <w:div w:id="1913395561">
      <w:marLeft w:val="0"/>
      <w:marRight w:val="0"/>
      <w:marTop w:val="0"/>
      <w:marBottom w:val="0"/>
      <w:divBdr>
        <w:top w:val="none" w:sz="0" w:space="0" w:color="auto"/>
        <w:left w:val="none" w:sz="0" w:space="0" w:color="auto"/>
        <w:bottom w:val="none" w:sz="0" w:space="0" w:color="auto"/>
        <w:right w:val="none" w:sz="0" w:space="0" w:color="auto"/>
      </w:divBdr>
      <w:divsChild>
        <w:div w:id="1913395506">
          <w:marLeft w:val="0"/>
          <w:marRight w:val="0"/>
          <w:marTop w:val="0"/>
          <w:marBottom w:val="0"/>
          <w:divBdr>
            <w:top w:val="none" w:sz="0" w:space="0" w:color="auto"/>
            <w:left w:val="none" w:sz="0" w:space="0" w:color="auto"/>
            <w:bottom w:val="none" w:sz="0" w:space="0" w:color="auto"/>
            <w:right w:val="none" w:sz="0" w:space="0" w:color="auto"/>
          </w:divBdr>
          <w:divsChild>
            <w:div w:id="1913395542">
              <w:marLeft w:val="0"/>
              <w:marRight w:val="0"/>
              <w:marTop w:val="0"/>
              <w:marBottom w:val="240"/>
              <w:divBdr>
                <w:top w:val="none" w:sz="0" w:space="0" w:color="auto"/>
                <w:left w:val="none" w:sz="0" w:space="0" w:color="auto"/>
                <w:bottom w:val="none" w:sz="0" w:space="0" w:color="auto"/>
                <w:right w:val="none" w:sz="0" w:space="0" w:color="auto"/>
              </w:divBdr>
              <w:divsChild>
                <w:div w:id="1913395503">
                  <w:marLeft w:val="0"/>
                  <w:marRight w:val="0"/>
                  <w:marTop w:val="0"/>
                  <w:marBottom w:val="0"/>
                  <w:divBdr>
                    <w:top w:val="none" w:sz="0" w:space="0" w:color="auto"/>
                    <w:left w:val="none" w:sz="0" w:space="0" w:color="auto"/>
                    <w:bottom w:val="none" w:sz="0" w:space="0" w:color="auto"/>
                    <w:right w:val="none" w:sz="0" w:space="0" w:color="auto"/>
                  </w:divBdr>
                </w:div>
                <w:div w:id="1913395546">
                  <w:marLeft w:val="0"/>
                  <w:marRight w:val="0"/>
                  <w:marTop w:val="0"/>
                  <w:marBottom w:val="0"/>
                  <w:divBdr>
                    <w:top w:val="none" w:sz="0" w:space="0" w:color="auto"/>
                    <w:left w:val="none" w:sz="0" w:space="0" w:color="auto"/>
                    <w:bottom w:val="none" w:sz="0" w:space="0" w:color="auto"/>
                    <w:right w:val="none" w:sz="0" w:space="0" w:color="auto"/>
                  </w:divBdr>
                </w:div>
                <w:div w:id="1913395551">
                  <w:marLeft w:val="0"/>
                  <w:marRight w:val="0"/>
                  <w:marTop w:val="0"/>
                  <w:marBottom w:val="0"/>
                  <w:divBdr>
                    <w:top w:val="none" w:sz="0" w:space="0" w:color="auto"/>
                    <w:left w:val="none" w:sz="0" w:space="0" w:color="auto"/>
                    <w:bottom w:val="none" w:sz="0" w:space="0" w:color="auto"/>
                    <w:right w:val="none" w:sz="0" w:space="0" w:color="auto"/>
                  </w:divBdr>
                </w:div>
                <w:div w:id="1913395560">
                  <w:marLeft w:val="0"/>
                  <w:marRight w:val="0"/>
                  <w:marTop w:val="0"/>
                  <w:marBottom w:val="0"/>
                  <w:divBdr>
                    <w:top w:val="none" w:sz="0" w:space="0" w:color="auto"/>
                    <w:left w:val="none" w:sz="0" w:space="0" w:color="auto"/>
                    <w:bottom w:val="none" w:sz="0" w:space="0" w:color="auto"/>
                    <w:right w:val="none" w:sz="0" w:space="0" w:color="auto"/>
                  </w:divBdr>
                </w:div>
                <w:div w:id="1913395586">
                  <w:marLeft w:val="0"/>
                  <w:marRight w:val="0"/>
                  <w:marTop w:val="0"/>
                  <w:marBottom w:val="0"/>
                  <w:divBdr>
                    <w:top w:val="none" w:sz="0" w:space="0" w:color="auto"/>
                    <w:left w:val="none" w:sz="0" w:space="0" w:color="auto"/>
                    <w:bottom w:val="none" w:sz="0" w:space="0" w:color="auto"/>
                    <w:right w:val="none" w:sz="0" w:space="0" w:color="auto"/>
                  </w:divBdr>
                </w:div>
                <w:div w:id="19133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95562">
      <w:marLeft w:val="0"/>
      <w:marRight w:val="0"/>
      <w:marTop w:val="0"/>
      <w:marBottom w:val="0"/>
      <w:divBdr>
        <w:top w:val="none" w:sz="0" w:space="0" w:color="auto"/>
        <w:left w:val="none" w:sz="0" w:space="0" w:color="auto"/>
        <w:bottom w:val="none" w:sz="0" w:space="0" w:color="auto"/>
        <w:right w:val="none" w:sz="0" w:space="0" w:color="auto"/>
      </w:divBdr>
    </w:div>
    <w:div w:id="1913395569">
      <w:marLeft w:val="0"/>
      <w:marRight w:val="0"/>
      <w:marTop w:val="0"/>
      <w:marBottom w:val="0"/>
      <w:divBdr>
        <w:top w:val="none" w:sz="0" w:space="0" w:color="auto"/>
        <w:left w:val="none" w:sz="0" w:space="0" w:color="auto"/>
        <w:bottom w:val="none" w:sz="0" w:space="0" w:color="auto"/>
        <w:right w:val="none" w:sz="0" w:space="0" w:color="auto"/>
      </w:divBdr>
    </w:div>
    <w:div w:id="1913395571">
      <w:marLeft w:val="0"/>
      <w:marRight w:val="0"/>
      <w:marTop w:val="0"/>
      <w:marBottom w:val="0"/>
      <w:divBdr>
        <w:top w:val="none" w:sz="0" w:space="0" w:color="auto"/>
        <w:left w:val="none" w:sz="0" w:space="0" w:color="auto"/>
        <w:bottom w:val="none" w:sz="0" w:space="0" w:color="auto"/>
        <w:right w:val="none" w:sz="0" w:space="0" w:color="auto"/>
      </w:divBdr>
    </w:div>
    <w:div w:id="1913395572">
      <w:marLeft w:val="0"/>
      <w:marRight w:val="0"/>
      <w:marTop w:val="0"/>
      <w:marBottom w:val="0"/>
      <w:divBdr>
        <w:top w:val="none" w:sz="0" w:space="0" w:color="auto"/>
        <w:left w:val="none" w:sz="0" w:space="0" w:color="auto"/>
        <w:bottom w:val="none" w:sz="0" w:space="0" w:color="auto"/>
        <w:right w:val="none" w:sz="0" w:space="0" w:color="auto"/>
      </w:divBdr>
      <w:divsChild>
        <w:div w:id="1913395596">
          <w:marLeft w:val="0"/>
          <w:marRight w:val="0"/>
          <w:marTop w:val="0"/>
          <w:marBottom w:val="0"/>
          <w:divBdr>
            <w:top w:val="none" w:sz="0" w:space="0" w:color="auto"/>
            <w:left w:val="none" w:sz="0" w:space="0" w:color="auto"/>
            <w:bottom w:val="none" w:sz="0" w:space="0" w:color="auto"/>
            <w:right w:val="none" w:sz="0" w:space="0" w:color="auto"/>
          </w:divBdr>
          <w:divsChild>
            <w:div w:id="1913395580">
              <w:marLeft w:val="0"/>
              <w:marRight w:val="0"/>
              <w:marTop w:val="0"/>
              <w:marBottom w:val="0"/>
              <w:divBdr>
                <w:top w:val="none" w:sz="0" w:space="0" w:color="auto"/>
                <w:left w:val="none" w:sz="0" w:space="0" w:color="auto"/>
                <w:bottom w:val="none" w:sz="0" w:space="0" w:color="auto"/>
                <w:right w:val="none" w:sz="0" w:space="0" w:color="auto"/>
              </w:divBdr>
              <w:divsChild>
                <w:div w:id="1913395565">
                  <w:marLeft w:val="0"/>
                  <w:marRight w:val="0"/>
                  <w:marTop w:val="0"/>
                  <w:marBottom w:val="0"/>
                  <w:divBdr>
                    <w:top w:val="none" w:sz="0" w:space="0" w:color="auto"/>
                    <w:left w:val="none" w:sz="0" w:space="0" w:color="auto"/>
                    <w:bottom w:val="none" w:sz="0" w:space="0" w:color="auto"/>
                    <w:right w:val="none" w:sz="0" w:space="0" w:color="auto"/>
                  </w:divBdr>
                  <w:divsChild>
                    <w:div w:id="191339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5573">
      <w:marLeft w:val="0"/>
      <w:marRight w:val="0"/>
      <w:marTop w:val="0"/>
      <w:marBottom w:val="0"/>
      <w:divBdr>
        <w:top w:val="none" w:sz="0" w:space="0" w:color="auto"/>
        <w:left w:val="none" w:sz="0" w:space="0" w:color="auto"/>
        <w:bottom w:val="none" w:sz="0" w:space="0" w:color="auto"/>
        <w:right w:val="none" w:sz="0" w:space="0" w:color="auto"/>
      </w:divBdr>
    </w:div>
    <w:div w:id="1913395577">
      <w:marLeft w:val="0"/>
      <w:marRight w:val="0"/>
      <w:marTop w:val="0"/>
      <w:marBottom w:val="0"/>
      <w:divBdr>
        <w:top w:val="none" w:sz="0" w:space="0" w:color="auto"/>
        <w:left w:val="none" w:sz="0" w:space="0" w:color="auto"/>
        <w:bottom w:val="none" w:sz="0" w:space="0" w:color="auto"/>
        <w:right w:val="none" w:sz="0" w:space="0" w:color="auto"/>
      </w:divBdr>
    </w:div>
    <w:div w:id="1913395590">
      <w:marLeft w:val="0"/>
      <w:marRight w:val="0"/>
      <w:marTop w:val="0"/>
      <w:marBottom w:val="0"/>
      <w:divBdr>
        <w:top w:val="none" w:sz="0" w:space="0" w:color="auto"/>
        <w:left w:val="none" w:sz="0" w:space="0" w:color="auto"/>
        <w:bottom w:val="none" w:sz="0" w:space="0" w:color="auto"/>
        <w:right w:val="none" w:sz="0" w:space="0" w:color="auto"/>
      </w:divBdr>
      <w:divsChild>
        <w:div w:id="1913395555">
          <w:marLeft w:val="0"/>
          <w:marRight w:val="0"/>
          <w:marTop w:val="0"/>
          <w:marBottom w:val="0"/>
          <w:divBdr>
            <w:top w:val="none" w:sz="0" w:space="0" w:color="auto"/>
            <w:left w:val="none" w:sz="0" w:space="0" w:color="auto"/>
            <w:bottom w:val="none" w:sz="0" w:space="0" w:color="auto"/>
            <w:right w:val="none" w:sz="0" w:space="0" w:color="auto"/>
          </w:divBdr>
          <w:divsChild>
            <w:div w:id="1913395574">
              <w:marLeft w:val="0"/>
              <w:marRight w:val="0"/>
              <w:marTop w:val="0"/>
              <w:marBottom w:val="0"/>
              <w:divBdr>
                <w:top w:val="none" w:sz="0" w:space="0" w:color="auto"/>
                <w:left w:val="none" w:sz="0" w:space="0" w:color="auto"/>
                <w:bottom w:val="none" w:sz="0" w:space="0" w:color="auto"/>
                <w:right w:val="none" w:sz="0" w:space="0" w:color="auto"/>
              </w:divBdr>
              <w:divsChild>
                <w:div w:id="1913395592">
                  <w:marLeft w:val="0"/>
                  <w:marRight w:val="0"/>
                  <w:marTop w:val="0"/>
                  <w:marBottom w:val="0"/>
                  <w:divBdr>
                    <w:top w:val="none" w:sz="0" w:space="0" w:color="auto"/>
                    <w:left w:val="none" w:sz="0" w:space="0" w:color="auto"/>
                    <w:bottom w:val="none" w:sz="0" w:space="0" w:color="auto"/>
                    <w:right w:val="none" w:sz="0" w:space="0" w:color="auto"/>
                  </w:divBdr>
                  <w:divsChild>
                    <w:div w:id="1913395575">
                      <w:marLeft w:val="0"/>
                      <w:marRight w:val="0"/>
                      <w:marTop w:val="0"/>
                      <w:marBottom w:val="0"/>
                      <w:divBdr>
                        <w:top w:val="none" w:sz="0" w:space="0" w:color="auto"/>
                        <w:left w:val="none" w:sz="0" w:space="0" w:color="auto"/>
                        <w:bottom w:val="none" w:sz="0" w:space="0" w:color="auto"/>
                        <w:right w:val="none" w:sz="0" w:space="0" w:color="auto"/>
                      </w:divBdr>
                      <w:divsChild>
                        <w:div w:id="1913395566">
                          <w:marLeft w:val="0"/>
                          <w:marRight w:val="0"/>
                          <w:marTop w:val="0"/>
                          <w:marBottom w:val="177"/>
                          <w:divBdr>
                            <w:top w:val="none" w:sz="0" w:space="0" w:color="auto"/>
                            <w:left w:val="none" w:sz="0" w:space="0" w:color="auto"/>
                            <w:bottom w:val="none" w:sz="0" w:space="0" w:color="auto"/>
                            <w:right w:val="none" w:sz="0" w:space="0" w:color="auto"/>
                          </w:divBdr>
                          <w:divsChild>
                            <w:div w:id="1913395557">
                              <w:marLeft w:val="0"/>
                              <w:marRight w:val="0"/>
                              <w:marTop w:val="0"/>
                              <w:marBottom w:val="0"/>
                              <w:divBdr>
                                <w:top w:val="none" w:sz="0" w:space="0" w:color="auto"/>
                                <w:left w:val="none" w:sz="0" w:space="0" w:color="auto"/>
                                <w:bottom w:val="none" w:sz="0" w:space="0" w:color="auto"/>
                                <w:right w:val="none" w:sz="0" w:space="0" w:color="auto"/>
                              </w:divBdr>
                              <w:divsChild>
                                <w:div w:id="19133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395594">
      <w:marLeft w:val="0"/>
      <w:marRight w:val="0"/>
      <w:marTop w:val="0"/>
      <w:marBottom w:val="0"/>
      <w:divBdr>
        <w:top w:val="none" w:sz="0" w:space="0" w:color="auto"/>
        <w:left w:val="none" w:sz="0" w:space="0" w:color="auto"/>
        <w:bottom w:val="none" w:sz="0" w:space="0" w:color="auto"/>
        <w:right w:val="none" w:sz="0" w:space="0" w:color="auto"/>
      </w:divBdr>
    </w:div>
    <w:div w:id="1913395597">
      <w:marLeft w:val="0"/>
      <w:marRight w:val="0"/>
      <w:marTop w:val="0"/>
      <w:marBottom w:val="0"/>
      <w:divBdr>
        <w:top w:val="none" w:sz="0" w:space="0" w:color="auto"/>
        <w:left w:val="none" w:sz="0" w:space="0" w:color="auto"/>
        <w:bottom w:val="none" w:sz="0" w:space="0" w:color="auto"/>
        <w:right w:val="none" w:sz="0" w:space="0" w:color="auto"/>
      </w:divBdr>
      <w:divsChild>
        <w:div w:id="1913395544">
          <w:marLeft w:val="0"/>
          <w:marRight w:val="0"/>
          <w:marTop w:val="0"/>
          <w:marBottom w:val="0"/>
          <w:divBdr>
            <w:top w:val="none" w:sz="0" w:space="0" w:color="auto"/>
            <w:left w:val="none" w:sz="0" w:space="0" w:color="auto"/>
            <w:bottom w:val="none" w:sz="0" w:space="0" w:color="auto"/>
            <w:right w:val="none" w:sz="0" w:space="0" w:color="auto"/>
          </w:divBdr>
        </w:div>
      </w:divsChild>
    </w:div>
    <w:div w:id="199841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emf"/><Relationship Id="rId26" Type="http://schemas.openxmlformats.org/officeDocument/2006/relationships/image" Target="media/image10.emf"/><Relationship Id="rId39" Type="http://schemas.openxmlformats.org/officeDocument/2006/relationships/hyperlink" Target="http://www.itu.int/rec/T-REC-D.140-200206-I/en"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webarchive.nationalarchives.gov.uk/+/http:/www.competition-commission.org.uk/rep_pub/reports/2003/475mobilephones.htm" TargetMode="External"/><Relationship Id="rId42" Type="http://schemas.openxmlformats.org/officeDocument/2006/relationships/hyperlink" Target="http://www.oecd.org/internet/broadband/44381810.pdf" TargetMode="External"/><Relationship Id="rId47" Type="http://schemas.openxmlformats.org/officeDocument/2006/relationships/footer" Target="footer7.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rec/T-REC-D.98-201209-I" TargetMode="External"/><Relationship Id="rId17" Type="http://schemas.openxmlformats.org/officeDocument/2006/relationships/hyperlink" Target="http://www.itu.int/en/ITU-D/Regulatory-Market/Pages/Events2013/GE_Roaming/home.aspx" TargetMode="External"/><Relationship Id="rId25" Type="http://schemas.openxmlformats.org/officeDocument/2006/relationships/image" Target="media/image9.emf"/><Relationship Id="rId33" Type="http://schemas.openxmlformats.org/officeDocument/2006/relationships/hyperlink" Target="http://link.springer.com/article/10.1007/s00712-008-0054-7" TargetMode="External"/><Relationship Id="rId38" Type="http://schemas.openxmlformats.org/officeDocument/2006/relationships/hyperlink" Target="http://ec.europa.eu/information_society/activities/roaming/docs/phase2/intug.pdf" TargetMode="Externa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emf"/><Relationship Id="rId29" Type="http://schemas.openxmlformats.org/officeDocument/2006/relationships/image" Target="media/image13.emf"/><Relationship Id="rId41" Type="http://schemas.openxmlformats.org/officeDocument/2006/relationships/hyperlink" Target="http://www.itu.int/dms_pages/itu-t/rec/d/T-REC-D-RSS.x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8.emf"/><Relationship Id="rId32" Type="http://schemas.openxmlformats.org/officeDocument/2006/relationships/hyperlink" Target="http://www.arcep.fr/fileadmin/reprise/publications/c-publique/2006/consultang-roaming-100106.pdf" TargetMode="External"/><Relationship Id="rId37" Type="http://schemas.openxmlformats.org/officeDocument/2006/relationships/hyperlink" Target="http://www.roaming.gsmeurope.org/" TargetMode="External"/><Relationship Id="rId40" Type="http://schemas.openxmlformats.org/officeDocument/2006/relationships/hyperlink" Target="http://www.itu.int/ITU-T/recommendations/rec.aspx?rec=11556"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hyperlink" Target="http://www.awt.be/contenu/tel/mob/roaming_erg_response.pdf" TargetMode="External"/><Relationship Id="rId49"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3.emf"/><Relationship Id="rId31" Type="http://schemas.openxmlformats.org/officeDocument/2006/relationships/image" Target="media/image15.emf"/><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hyperlink" Target="http://ec.europa.eu/information_society/activities/roaming/docs/phase2/gsm_association.pdf" TargetMode="External"/><Relationship Id="rId43" Type="http://schemas.openxmlformats.org/officeDocument/2006/relationships/hyperlink" Target="http://www.netlab.tkk.fi/opetus/s38041/k05/swan.pdf" TargetMode="External"/><Relationship Id="rId48" Type="http://schemas.openxmlformats.org/officeDocument/2006/relationships/header" Target="header5.xml"/><Relationship Id="rId8"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berec.europa.eu/doc/berec/bor_11_46.pdf" TargetMode="External"/><Relationship Id="rId3" Type="http://schemas.openxmlformats.org/officeDocument/2006/relationships/hyperlink" Target="http://www.business.myjoyonline.com/pages/news/201203/83922.php" TargetMode="External"/><Relationship Id="rId7" Type="http://schemas.openxmlformats.org/officeDocument/2006/relationships/hyperlink" Target="https://www.itu.int/rec/T-REC-D.98" TargetMode="External"/><Relationship Id="rId2" Type="http://schemas.openxmlformats.org/officeDocument/2006/relationships/hyperlink" Target="http://www.techweekeurope.co.uk/news/t-mobile-usa-roaming-129287" TargetMode="External"/><Relationship Id="rId1" Type="http://schemas.openxmlformats.org/officeDocument/2006/relationships/hyperlink" Target="http://www.oecd.org/internet/broadband/44381810.pdf" TargetMode="External"/><Relationship Id="rId6" Type="http://schemas.openxmlformats.org/officeDocument/2006/relationships/hyperlink" Target="http://www.cellular-news.com/story/55980.php" TargetMode="External"/><Relationship Id="rId5" Type="http://schemas.openxmlformats.org/officeDocument/2006/relationships/hyperlink" Target="http://www.cellular-news.com/story/63036.php" TargetMode="External"/><Relationship Id="rId10" Type="http://schemas.openxmlformats.org/officeDocument/2006/relationships/hyperlink" Target="http://ec.europa.eu/digital-agenda/en/node/67489/" TargetMode="External"/><Relationship Id="rId4" Type="http://schemas.openxmlformats.org/officeDocument/2006/relationships/hyperlink" Target="http://ec.europa.eu/digital-agenda/roaming" TargetMode="External"/><Relationship Id="rId9" Type="http://schemas.openxmlformats.org/officeDocument/2006/relationships/hyperlink" Target="http://ec.europa.eu/digital-agenda/en/node/674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NmericalSquare.XSL" StyleName="APA - Numerical with Square Brackets">
  <b:Source>
    <b:Tag>MBa03</b:Tag>
    <b:SourceType>DocumentFromInternetSite</b:SourceType>
    <b:Guid>{6F544623-1085-4183-9CEE-3A41D1B7438B}</b:Guid>
    <b:Author>
      <b:Author>
        <b:NameList>
          <b:Person>
            <b:Last>Najib</b:Last>
            <b:First>M.</b:First>
            <b:Middle>Bazza and R.</b:Middle>
          </b:Person>
        </b:NameList>
      </b:Author>
    </b:Author>
    <b:Title>Towards Improved Water Demand Management in Agriculture in the Syrian Arab Republic </b:Title>
    <b:InternetSiteTitle>FAO Website</b:InternetSiteTitle>
    <b:Year>2003</b:Year>
    <b:URL>ftp://ftp.fao.org/docrep/fao/008/af981e/af981e00.pdf</b:URL>
    <b:RefOrder>1</b:RefOrder>
  </b:Source>
  <b:Source>
    <b:Tag>NHT06</b:Tag>
    <b:SourceType>DocumentFromInternetSite</b:SourceType>
    <b:Guid>{5F65C7B9-857B-441D-BD7C-7250E5E9F8F3}</b:Guid>
    <b:Author>
      <b:Author>
        <b:Corporate>NHTSA</b:Corporate>
      </b:Author>
    </b:Author>
    <b:Title>The Impact of Driver Inattention on Near-Crash/Crash Risk</b:Title>
    <b:Year>2006</b:Year>
    <b:URL>http://www.nhtsa.gov/DOT/NHTSA/NRD/Multimedia/PDFs/Crash%20Avoidance/Driver%20Distraction/810594.pdf</b:URL>
    <b:RefOrder>1</b:RefOrder>
  </b:Source>
  <b:Source>
    <b:Tag>CTI10</b:Tag>
    <b:SourceType>DocumentFromInternetSite</b:SourceType>
    <b:Guid>{A1B01D42-8E0E-4DEB-876B-A1856404C801}</b:Guid>
    <b:Author>
      <b:Author>
        <b:Corporate>CTIA</b:Corporate>
      </b:Author>
    </b:Author>
    <b:Title>CTIA-The Wireless Association® Announces Semi-Annual Wireless Industry Survey Results</b:Title>
    <b:Year>2010</b:Year>
    <b:Month>March</b:Month>
    <b:Day>23</b:Day>
    <b:URL>http://www.ctia.org/media/press/body.cfm/prid/1936</b:URL>
    <b:RefOrder>2</b:RefOrder>
  </b:Source>
  <b:Source>
    <b:Tag>AAA09</b:Tag>
    <b:SourceType>DocumentFromInternetSite</b:SourceType>
    <b:Guid>{D9D66D7A-92BC-41BC-BE41-FB64393BFA75}</b:Guid>
    <b:Author>
      <b:Author>
        <b:Corporate>AAA Foundation for Traffic Safety</b:Corporate>
      </b:Author>
    </b:Author>
    <b:Title>Text Messaging and Cell Phone Use While Driving</b:Title>
    <b:InternetSiteTitle>Safety Culture</b:InternetSiteTitle>
    <b:Year>2009</b:Year>
    <b:Month>October</b:Month>
    <b:Day>12</b:Day>
    <b:URL>http://www.aaafoundation.org/pdf/TextingFS091012.pdf</b:URL>
    <b:RefOrder>3</b:RefOrder>
  </b:Source>
  <b:Source>
    <b:Tag>Hos06</b:Tag>
    <b:SourceType>DocumentFromInternetSite</b:SourceType>
    <b:Guid>{C709CD8E-AD9E-4DF5-AD7F-A8375195839E}</b:Guid>
    <b:Author>
      <b:Author>
        <b:NameList>
          <b:Person>
            <b:Last>Hosking</b:Last>
            <b:First>S.G.</b:First>
          </b:Person>
          <b:Person>
            <b:Last>Young</b:Last>
            <b:First>K.L.</b:First>
          </b:Person>
          <b:Person>
            <b:Last>Regan</b:Last>
            <b:First>M.A.</b:First>
          </b:Person>
        </b:NameList>
      </b:Author>
    </b:Author>
    <b:Title>The effects of text messaging on young novice driver performance</b:Title>
    <b:InternetSiteTitle>Monash University Accident Research Centre, Report No. 246</b:InternetSiteTitle>
    <b:Year>2006</b:Year>
    <b:URL>http://www.monash.edu.au/muarc/reports/muarc246.html</b:URL>
    <b:RefOrder>4</b:RefOrder>
  </b:Source>
  <b:Source>
    <b:Tag>The10</b:Tag>
    <b:SourceType>DocumentFromInternetSite</b:SourceType>
    <b:Guid>{F300927F-0618-4285-981B-4EFFF122B44A}</b:Guid>
    <b:Author>
      <b:Author>
        <b:Corporate>The Washington Post</b:Corporate>
      </b:Author>
    </b:Author>
    <b:Title>Campaign against cellphone use while driving goes global</b:Title>
    <b:Year>2010</b:Year>
    <b:Month>May</b:Month>
    <b:Day>19</b:Day>
    <b:URL>http://www.washingtonpost.com/wp-dyn/content/article/2010/05/19/AR2010051906161.html</b:URL>
    <b:RefOrder>5</b:RefOrder>
  </b:Source>
  <b:Source>
    <b:Tag>Fai10</b:Tag>
    <b:SourceType>DocumentFromInternetSite</b:SourceType>
    <b:Guid>{0104B570-0705-48B6-B95E-42BB1361A5D5}</b:Guid>
    <b:Author>
      <b:Author>
        <b:Corporate>FairWarning</b:Corporate>
      </b:Author>
    </b:Author>
    <b:Title>Lobbyists Target Distracted Driving Campaigns by Oprah, Ray LaHood</b:Title>
    <b:Year>2010</b:Year>
    <b:Month>June</b:Month>
    <b:Day>30</b:Day>
    <b:URL>http://www.fairwarning.org/2010/06/lobbyists-target-distracted-driving-campaigns-by-oprah-ray-lahood/</b:URL>
    <b:RefOrder>6</b:RefOrder>
  </b:Source>
  <b:Source>
    <b:Tag>You03</b:Tag>
    <b:SourceType>DocumentFromInternetSite</b:SourceType>
    <b:Guid>{9F35ABF7-A761-4171-B259-B5EE7FEBA28F}</b:Guid>
    <b:Author>
      <b:Author>
        <b:NameList>
          <b:Person>
            <b:Last>Young</b:Last>
            <b:First>K.L.</b:First>
          </b:Person>
          <b:Person>
            <b:Last>Regan</b:Last>
            <b:First>M.A.</b:First>
          </b:Person>
          <b:Person>
            <b:Last>Hammer</b:Last>
            <b:First>M.</b:First>
          </b:Person>
        </b:NameList>
      </b:Author>
    </b:Author>
    <b:Title>Driver Distraction: A Review of the Literature</b:Title>
    <b:InternetSiteTitle>Monash University Accident Research Centre, Report No. 206</b:InternetSiteTitle>
    <b:Year>2003</b:Year>
    <b:URL>http://www.monash.edu.au/muarc/reports/muarc206.html</b:URL>
    <b:RefOrder>7</b:RefOrder>
  </b:Source>
  <b:Source>
    <b:Tag>Ham</b:Tag>
    <b:SourceType>BookSection</b:SourceType>
    <b:Guid>{432888B1-D5FB-4C70-A857-E64B38FBCBEE}</b:Guid>
    <b:Author>
      <b:Author>
        <b:NameList>
          <b:Person>
            <b:Last>Hammer</b:Last>
            <b:First>M.R.F.</b:First>
          </b:Person>
          <b:Person>
            <b:Last>Douglas</b:Last>
            <b:First>F.C.</b:First>
          </b:Person>
          <b:Person>
            <b:Last>Tobin</b:Last>
            <b:First>D.</b:First>
          </b:Person>
        </b:NameList>
      </b:Author>
      <b:Editor>
        <b:NameList>
          <b:Person>
            <b:Last>Faulks</b:Last>
            <b:First>I.J.</b:First>
          </b:Person>
          <b:Person>
            <b:Last>Regan</b:Last>
            <b:First>M.</b:First>
          </b:Person>
          <b:Person>
            <b:Last>Stevenson</b:Last>
            <b:First>M.</b:First>
          </b:Person>
          <b:Person>
            <b:Last>Brown</b:Last>
            <b:First>J.</b:First>
          </b:Person>
          <b:Person>
            <b:Last>Porter</b:Last>
            <b:First>A.</b:First>
          </b:Person>
          <b:Person>
            <b:Last>Irwin</b:Last>
            <b:First>J.D.</b:First>
          </b:Person>
        </b:NameList>
      </b:Editor>
    </b:Author>
    <b:Title>Technology and driver distraction—the need for industry guidelines</b:Title>
    <b:BookTitle>Distracted driving</b:BookTitle>
    <b:Year>2007</b:Year>
    <b:Pages>525-576</b:Pages>
    <b:City>Sydney</b:City>
    <b:Publisher>Australasian College of Road Safety</b:Publisher>
    <b:StateProvince>NSW</b:StateProvince>
    <b:RefOrder>8</b:RefOrder>
  </b:Source>
  <b:Source>
    <b:Tag>Gre08</b:Tag>
    <b:SourceType>BookSection</b:SourceType>
    <b:Guid>{A902EB5D-88F5-43F0-B9AD-22EC2BF1293B}</b:Guid>
    <b:Author>
      <b:Author>
        <b:NameList>
          <b:Person>
            <b:Last>Green</b:Last>
            <b:First>P.</b:First>
          </b:Person>
        </b:NameList>
      </b:Author>
      <b:BookAuthor>
        <b:NameList>
          <b:Person>
            <b:Last>Regan</b:Last>
            <b:First>M.A.</b:First>
          </b:Person>
          <b:Person>
            <b:Last>Lee</b:Last>
            <b:First>J.D.</b:First>
          </b:Person>
          <b:Person>
            <b:Last>Young</b:Last>
            <b:First>K.L.</b:First>
          </b:Person>
        </b:NameList>
      </b:BookAuthor>
    </b:Author>
    <b:Title>Driver Interface Safety and Usability Standards: An Overview</b:Title>
    <b:BookTitle>Driver Distraction: Theory, Effects, and Mitigation</b:BookTitle>
    <b:Year>2008</b:Year>
    <b:Publisher>CRC Press</b:Publisher>
    <b:RefOrder>9</b:RefOrder>
  </b:Source>
  <b:Source>
    <b:Tag>Dri02</b:Tag>
    <b:SourceType>DocumentFromInternetSite</b:SourceType>
    <b:Guid>{8E11A5F0-0B5D-4588-8832-405FB3D74939}</b:Guid>
    <b:Author>
      <b:Author>
        <b:Corporate>Driver Focus-Telematics Working Group</b:Corporate>
      </b:Author>
    </b:Author>
    <b:Title>Statement of Principles, Criteria and Verification Procedures on Driver Interactions with Advanced In-Vehicle Information and Communication Systems (Version 2.0)</b:Title>
    <b:Year>2002</b:Year>
    <b:URL>http://www.umich.edu/~driving/guidelines/AAM_DriverFocus_Guidelines.pdf</b:URL>
    <b:RefOrder>10</b:RefOrder>
  </b:Source>
  <b:Source>
    <b:Tag>JAM04</b:Tag>
    <b:SourceType>DocumentFromInternetSite</b:SourceType>
    <b:Guid>{867E0315-70FB-4588-938D-F83C6C4D2378}</b:Guid>
    <b:Author>
      <b:Author>
        <b:Corporate>JAMA</b:Corporate>
      </b:Author>
    </b:Author>
    <b:Title>Guidelines for In-vehicle Display systems (Version 3.0)</b:Title>
    <b:Year>2004</b:Year>
    <b:URL>http://www.jama.or.jp/safe/guideline/pdf/jama_guideline_v30_en.pdf</b:URL>
    <b:RefOrder>11</b:RefOrder>
  </b:Source>
  <b:Source>
    <b:Tag>Uni99</b:Tag>
    <b:SourceType>DocumentFromInternetSite</b:SourceType>
    <b:Guid>{BB535138-C595-4229-836B-EB8B36CF1574}</b:Guid>
    <b:Author>
      <b:Author>
        <b:Corporate>United Kingdom Transport Research Laboratory</b:Corporate>
      </b:Author>
    </b:Author>
    <b:Title>A safety checklist for the assessment of in-vehicle information systems: a user's manual</b:Title>
    <b:Year>1999</b:Year>
    <b:URL>http://www.trl.co.uk/online_store/reports_publications/trl_reports/cat_intelligent_transport_systems/report_a_safety_checklist_for_the_assessment_of_in-vehicle_information_systems_a_users_manual.htm</b:URL>
    <b:RefOrder>12</b:RefOrder>
  </b:Source>
  <b:Source>
    <b:Tag>Eur06</b:Tag>
    <b:SourceType>DocumentFromInternetSite</b:SourceType>
    <b:Guid>{09BDD0A4-70AC-422B-B60E-B41763A31BED}</b:Guid>
    <b:Author>
      <b:Author>
        <b:Corporate>European Commission</b:Corporate>
      </b:Author>
    </b:Author>
    <b:Title>Recommendation on safe and efficient in-vehicle information and communication systems: update of the European Statement of Principles on human machine interface</b:Title>
    <b:Year>2006</b:Year>
    <b:URL>http://eur-lex.europa.eu/LexUriServ/LexUriServ.do?uri=OJ:L:2007:032:0200:0241:EN:PDF</b:URL>
    <b:RefOrder>13</b:RefOrder>
  </b:Source>
  <b:Source>
    <b:Tag>Eur98</b:Tag>
    <b:SourceType>DocumentFromInternetSite</b:SourceType>
    <b:Guid>{E32B631D-5664-4A14-A05D-8A3450F5B892}</b:Guid>
    <b:Author>
      <b:Author>
        <b:Corporate>European Commission</b:Corporate>
      </b:Author>
    </b:Author>
    <b:Title>A European statement of principles on human machine interface</b:Title>
    <b:Year>1998</b:Year>
    <b:URL>ftp://ftp.cordis.europa.eu/pub/telematics/docs/tap_transport/hmi.pdf</b:URL>
    <b:RefOrder>14</b:RefOrder>
  </b:Source>
  <b:Source>
    <b:Tag>Har08</b:Tag>
    <b:SourceType>DocumentFromInternetSite</b:SourceType>
    <b:Guid>{D2D84BB0-F8AD-4012-92AA-B8A9EEF15F60}</b:Guid>
    <b:Author>
      <b:Author>
        <b:Corporate>Harman International</b:Corporate>
      </b:Author>
    </b:Author>
    <b:Title>ESoP: Applicable for Nomadic Devices? Analysis of currently available PND Devices</b:Title>
    <b:InternetSiteTitle>Presentation slides by A. Weimper</b:InternetSiteTitle>
    <b:Year>2008</b:Year>
    <b:URL>http://www.esafetysupport.org/download/eSafety_Activities/eSafety_Working_Groups/Nomadic_Device_WG/European%20NDF%20WS%20080410%20Brussels.pdf</b:URL>
    <b:RefOrder>15</b:RefOrder>
  </b:Source>
  <b:Source>
    <b:Tag>ITU10</b:Tag>
    <b:SourceType>DocumentFromInternetSite</b:SourceType>
    <b:Guid>{170A9088-A7DE-411C-96B0-7ED1121DE757}</b:Guid>
    <b:Author>
      <b:Author>
        <b:Corporate>ITU</b:Corporate>
      </b:Author>
    </b:Author>
    <b:Title>ITU's role in ICTs and improving Road Safety</b:Title>
    <b:InternetSiteTitle>ITU Council Resolution 1318</b:InternetSiteTitle>
    <b:Year>2010</b:Year>
    <b:Month>April</b:Month>
    <b:Day>23</b:Day>
    <b:URL>http://www.itu.int/md/S10-CL-C-0087/en</b:URL>
    <b:RefOrder>16</b:RefOrder>
  </b:Source>
  <b:Source>
    <b:Tag>ITU101</b:Tag>
    <b:SourceType>DocumentFromInternetSite</b:SourceType>
    <b:Guid>{15FD1704-FDDB-4C38-9243-A93EE82EC65F}</b:Guid>
    <b:Author>
      <b:Author>
        <b:Corporate>ITU</b:Corporate>
      </b:Author>
    </b:Author>
    <b:Title>Final Report of The Fully Networked Car Workshop 2010</b:Title>
    <b:InternetSiteTitle>ITU-T website</b:InternetSiteTitle>
    <b:Year>2010</b:Year>
    <b:Month>March</b:Month>
    <b:Day>3-4</b:Day>
    <b:URL>http://www.itu.int/ITU-T/worksem/ict-auto/201003/report.html</b:URL>
    <b:RefOrder>17</b:RefOrder>
  </b:Source>
</b:Sources>
</file>

<file path=customXml/itemProps1.xml><?xml version="1.0" encoding="utf-8"?>
<ds:datastoreItem xmlns:ds="http://schemas.openxmlformats.org/officeDocument/2006/customXml" ds:itemID="{19DA2C5C-457B-4008-AC33-8E5AF2F80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27379</Words>
  <Characters>156063</Characters>
  <Application>Microsoft Office Word</Application>
  <DocSecurity>0</DocSecurity>
  <Lines>1300</Lines>
  <Paragraphs>366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 Strategy and Roadmap:</vt:lpstr>
      <vt:lpstr>A Strategy and Roadmap:</vt:lpstr>
    </vt:vector>
  </TitlesOfParts>
  <Company>ITU-T</Company>
  <LinksUpToDate>false</LinksUpToDate>
  <CharactersWithSpaces>183076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Strategy and Roadmap:</dc:title>
  <dc:subject>ITU-T Technology Watch Report</dc:subject>
  <dc:creator>Catalano Moreira, Rossana</dc:creator>
  <cp:lastModifiedBy>De Nicola, Simon</cp:lastModifiedBy>
  <cp:revision>2</cp:revision>
  <cp:lastPrinted>2015-09-08T12:31:00Z</cp:lastPrinted>
  <dcterms:created xsi:type="dcterms:W3CDTF">2016-05-03T08:24:00Z</dcterms:created>
  <dcterms:modified xsi:type="dcterms:W3CDTF">2016-05-03T08:24:00Z</dcterms:modified>
</cp:coreProperties>
</file>