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B1" w:rsidRPr="00BB7786" w:rsidRDefault="002A3AB1" w:rsidP="00BB7786">
      <w:pPr>
        <w:jc w:val="center"/>
        <w:rPr>
          <w:b/>
          <w:bCs/>
          <w:sz w:val="28"/>
          <w:szCs w:val="28"/>
        </w:rPr>
      </w:pPr>
      <w:r w:rsidRPr="00BB7786">
        <w:rPr>
          <w:b/>
          <w:bCs/>
          <w:sz w:val="28"/>
          <w:szCs w:val="28"/>
        </w:rPr>
        <w:t>Chec</w:t>
      </w:r>
      <w:r w:rsidR="00BB7786">
        <w:rPr>
          <w:b/>
          <w:bCs/>
          <w:sz w:val="28"/>
          <w:szCs w:val="28"/>
        </w:rPr>
        <w:t>k list to draft Recommendations</w:t>
      </w:r>
    </w:p>
    <w:p w:rsidR="002A3AB1" w:rsidRDefault="002A3AB1" w:rsidP="002A3AB1">
      <w:pPr>
        <w:jc w:val="both"/>
      </w:pPr>
    </w:p>
    <w:p w:rsidR="002A3AB1" w:rsidRDefault="002A3AB1" w:rsidP="002A3AB1">
      <w:pPr>
        <w:jc w:val="both"/>
      </w:pPr>
      <w:r w:rsidRPr="00BF19F3">
        <w:t xml:space="preserve">TSAG, at its meeting on 8-11 February 2010 </w:t>
      </w:r>
      <w:r w:rsidRPr="00914F77">
        <w:t>agreed to convey the need to apply the checklist below</w:t>
      </w:r>
      <w:r>
        <w:t xml:space="preserve"> to draft Recommendations.</w:t>
      </w:r>
    </w:p>
    <w:p w:rsidR="002A3AB1" w:rsidRDefault="002A3AB1" w:rsidP="002A3AB1">
      <w:pPr>
        <w:jc w:val="both"/>
      </w:pPr>
      <w:r>
        <w:t xml:space="preserve">In an ITU-T meeting on a Question and before a draft Recommendation is proposed for approval, consent or determination, the </w:t>
      </w:r>
      <w:proofErr w:type="spellStart"/>
      <w:r>
        <w:t>Rapporteur</w:t>
      </w:r>
      <w:proofErr w:type="spellEnd"/>
      <w:r>
        <w:t xml:space="preserve"> should ensure that all of the bullet points of the check list have been reviewed and that they have been fulfilled adequately. This should also be reflected in the report of the Question.</w:t>
      </w:r>
    </w:p>
    <w:p w:rsidR="002A3AB1" w:rsidRPr="00F72D1C" w:rsidRDefault="002A3AB1" w:rsidP="002A3AB1">
      <w:pPr>
        <w:spacing w:before="240" w:after="120"/>
        <w:jc w:val="both"/>
        <w:rPr>
          <w:szCs w:val="24"/>
        </w:rPr>
      </w:pPr>
      <w:r w:rsidRPr="00FA4F15">
        <w:rPr>
          <w:szCs w:val="24"/>
        </w:rPr>
        <w:t>Draft &lt;title of the draft&gt;, which is proposed for approval, consent or determination:</w:t>
      </w:r>
    </w:p>
    <w:p w:rsidR="002A3AB1" w:rsidRPr="00DE4D34"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b/>
          <w:bCs/>
          <w:szCs w:val="24"/>
        </w:rPr>
      </w:pPr>
      <w:r w:rsidRPr="00DE4D34">
        <w:rPr>
          <w:szCs w:val="24"/>
        </w:rPr>
        <w:t>has been thoroughly reviewed for technical accuracy</w:t>
      </w:r>
    </w:p>
    <w:p w:rsidR="002A3AB1" w:rsidRPr="00DE4D34"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szCs w:val="24"/>
        </w:rPr>
      </w:pPr>
      <w:r w:rsidRPr="00DE4D34">
        <w:rPr>
          <w:szCs w:val="24"/>
        </w:rPr>
        <w:t>is technically sound</w:t>
      </w:r>
      <w:r w:rsidRPr="00DE4D34">
        <w:rPr>
          <w:b/>
          <w:bCs/>
          <w:szCs w:val="24"/>
        </w:rPr>
        <w:t xml:space="preserve"> </w:t>
      </w:r>
      <w:r w:rsidRPr="00DE4D34">
        <w:rPr>
          <w:szCs w:val="24"/>
        </w:rPr>
        <w:t>with as few options as feasible</w:t>
      </w:r>
    </w:p>
    <w:p w:rsidR="002A3AB1" w:rsidRPr="00DE4D34"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szCs w:val="24"/>
        </w:rPr>
      </w:pPr>
      <w:r w:rsidRPr="00DE4D34">
        <w:rPr>
          <w:szCs w:val="24"/>
        </w:rPr>
        <w:t>has content that do</w:t>
      </w:r>
      <w:r>
        <w:rPr>
          <w:szCs w:val="24"/>
        </w:rPr>
        <w:t>es</w:t>
      </w:r>
      <w:r w:rsidRPr="00DE4D34">
        <w:rPr>
          <w:szCs w:val="24"/>
        </w:rPr>
        <w:t xml:space="preserve"> not conflict with the content of an already approved Recommendation</w:t>
      </w:r>
    </w:p>
    <w:p w:rsidR="002A3AB1"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szCs w:val="24"/>
        </w:rPr>
      </w:pPr>
      <w:r w:rsidRPr="00192F30">
        <w:rPr>
          <w:szCs w:val="24"/>
        </w:rPr>
        <w:t>does not contain case studies within the normative part</w:t>
      </w:r>
    </w:p>
    <w:p w:rsidR="002A3AB1" w:rsidRPr="001A3916"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szCs w:val="24"/>
        </w:rPr>
      </w:pPr>
      <w:r w:rsidRPr="001A3916">
        <w:rPr>
          <w:szCs w:val="24"/>
        </w:rPr>
        <w:t>only short illustrative examples, if necessary, have been included in the normative part</w:t>
      </w:r>
    </w:p>
    <w:p w:rsidR="002A3AB1" w:rsidRPr="00DE4D34"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szCs w:val="24"/>
        </w:rPr>
      </w:pPr>
      <w:r w:rsidRPr="00DE4D34">
        <w:rPr>
          <w:szCs w:val="24"/>
        </w:rPr>
        <w:t>follows the author’s guidelines (including the use of the ITU-T template)</w:t>
      </w:r>
    </w:p>
    <w:p w:rsidR="002A3AB1" w:rsidRPr="00DE4D34"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szCs w:val="24"/>
        </w:rPr>
      </w:pPr>
      <w:r w:rsidRPr="00DE4D34">
        <w:rPr>
          <w:szCs w:val="24"/>
        </w:rPr>
        <w:t>has been spell-checked and is grammatically correct, to the extent practicable</w:t>
      </w:r>
    </w:p>
    <w:p w:rsidR="002A3AB1" w:rsidRPr="00DE4D34"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szCs w:val="24"/>
        </w:rPr>
      </w:pPr>
      <w:r w:rsidRPr="00DE4D34">
        <w:rPr>
          <w:szCs w:val="24"/>
        </w:rPr>
        <w:t>contains definitions that have been developed after consulting the ITU-T terms and definitions database and following standardization committee for vocabulary (SCV) guidance</w:t>
      </w:r>
    </w:p>
    <w:p w:rsidR="002A3AB1" w:rsidRPr="00DE4D34"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szCs w:val="24"/>
        </w:rPr>
      </w:pPr>
      <w:r w:rsidRPr="00DE4D34">
        <w:rPr>
          <w:szCs w:val="24"/>
        </w:rPr>
        <w:t>has all acronyms, including those in the figures and tables correctly spelled out</w:t>
      </w:r>
    </w:p>
    <w:p w:rsidR="002A3AB1" w:rsidRPr="00DE4D34"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b/>
          <w:bCs/>
          <w:szCs w:val="24"/>
        </w:rPr>
      </w:pPr>
      <w:r w:rsidRPr="00DE4D34">
        <w:rPr>
          <w:szCs w:val="24"/>
        </w:rPr>
        <w:t>has the normative part making use of all references in clause 2</w:t>
      </w:r>
    </w:p>
    <w:p w:rsidR="002A3AB1" w:rsidRPr="00DE4D34" w:rsidRDefault="002A3AB1" w:rsidP="002A3AB1">
      <w:pPr>
        <w:pStyle w:val="ListParagraph"/>
        <w:numPr>
          <w:ilvl w:val="0"/>
          <w:numId w:val="1"/>
        </w:numPr>
        <w:tabs>
          <w:tab w:val="clear" w:pos="794"/>
          <w:tab w:val="clear" w:pos="1191"/>
          <w:tab w:val="clear" w:pos="1588"/>
          <w:tab w:val="clear" w:pos="1985"/>
        </w:tabs>
        <w:overflowPunct/>
        <w:autoSpaceDE/>
        <w:autoSpaceDN/>
        <w:adjustRightInd/>
        <w:spacing w:before="0" w:after="200" w:line="276" w:lineRule="auto"/>
        <w:jc w:val="both"/>
        <w:textAlignment w:val="auto"/>
        <w:rPr>
          <w:szCs w:val="24"/>
        </w:rPr>
      </w:pPr>
      <w:r w:rsidRPr="00DE4D34">
        <w:rPr>
          <w:szCs w:val="24"/>
        </w:rPr>
        <w:t>has all references in clause 2 (references) compliant with Recommendation ITU-T A.5</w:t>
      </w:r>
    </w:p>
    <w:p w:rsidR="002A3AB1" w:rsidRPr="00DE4D34" w:rsidRDefault="002A3AB1" w:rsidP="002A3AB1">
      <w:pPr>
        <w:keepNext/>
        <w:keepLines/>
        <w:spacing w:before="240" w:after="120"/>
        <w:jc w:val="both"/>
        <w:rPr>
          <w:szCs w:val="24"/>
        </w:rPr>
      </w:pPr>
      <w:r>
        <w:rPr>
          <w:szCs w:val="24"/>
        </w:rPr>
        <w:t xml:space="preserve">The </w:t>
      </w:r>
      <w:proofErr w:type="spellStart"/>
      <w:r>
        <w:rPr>
          <w:szCs w:val="24"/>
        </w:rPr>
        <w:t>Rapporteur</w:t>
      </w:r>
      <w:proofErr w:type="spellEnd"/>
      <w:r>
        <w:rPr>
          <w:szCs w:val="24"/>
        </w:rPr>
        <w:t xml:space="preserve"> should also ensure that</w:t>
      </w:r>
    </w:p>
    <w:p w:rsidR="002A3AB1" w:rsidRDefault="002A3AB1" w:rsidP="002A3AB1">
      <w:pPr>
        <w:pStyle w:val="ListParagraph"/>
        <w:numPr>
          <w:ilvl w:val="0"/>
          <w:numId w:val="2"/>
        </w:numPr>
        <w:tabs>
          <w:tab w:val="clear" w:pos="794"/>
          <w:tab w:val="clear" w:pos="1191"/>
          <w:tab w:val="clear" w:pos="1588"/>
          <w:tab w:val="clear" w:pos="1985"/>
        </w:tabs>
        <w:overflowPunct/>
        <w:autoSpaceDE/>
        <w:autoSpaceDN/>
        <w:adjustRightInd/>
        <w:spacing w:before="0" w:after="200" w:line="276" w:lineRule="auto"/>
        <w:jc w:val="both"/>
        <w:textAlignment w:val="auto"/>
        <w:rPr>
          <w:b/>
          <w:bCs/>
          <w:szCs w:val="24"/>
        </w:rPr>
      </w:pPr>
      <w:r w:rsidRPr="00922379">
        <w:rPr>
          <w:szCs w:val="24"/>
        </w:rPr>
        <w:t xml:space="preserve">the conditions for the desired approval procedure </w:t>
      </w:r>
      <w:r>
        <w:rPr>
          <w:szCs w:val="24"/>
        </w:rPr>
        <w:t>are</w:t>
      </w:r>
      <w:r w:rsidRPr="00922379">
        <w:rPr>
          <w:szCs w:val="24"/>
        </w:rPr>
        <w:t xml:space="preserve"> </w:t>
      </w:r>
      <w:r>
        <w:rPr>
          <w:szCs w:val="24"/>
        </w:rPr>
        <w:t>satisfied</w:t>
      </w:r>
      <w:r w:rsidRPr="00922379">
        <w:rPr>
          <w:szCs w:val="24"/>
        </w:rPr>
        <w:t xml:space="preserve"> (</w:t>
      </w:r>
      <w:r>
        <w:rPr>
          <w:szCs w:val="24"/>
        </w:rPr>
        <w:t>refer to the rules given in WTSA-08 Resolution 1, section 8</w:t>
      </w:r>
      <w:r w:rsidRPr="00922379">
        <w:rPr>
          <w:szCs w:val="24"/>
        </w:rPr>
        <w:t>)</w:t>
      </w:r>
    </w:p>
    <w:p w:rsidR="002A3AB1" w:rsidRPr="00FF182F" w:rsidRDefault="002A3AB1" w:rsidP="002A3AB1">
      <w:pPr>
        <w:pStyle w:val="ListParagraph"/>
        <w:numPr>
          <w:ilvl w:val="0"/>
          <w:numId w:val="2"/>
        </w:numPr>
        <w:tabs>
          <w:tab w:val="clear" w:pos="794"/>
          <w:tab w:val="clear" w:pos="1191"/>
          <w:tab w:val="clear" w:pos="1588"/>
          <w:tab w:val="clear" w:pos="1985"/>
        </w:tabs>
        <w:overflowPunct/>
        <w:autoSpaceDE/>
        <w:autoSpaceDN/>
        <w:adjustRightInd/>
        <w:spacing w:before="0" w:after="200" w:line="276" w:lineRule="auto"/>
        <w:jc w:val="both"/>
        <w:textAlignment w:val="auto"/>
        <w:rPr>
          <w:b/>
          <w:bCs/>
          <w:szCs w:val="24"/>
        </w:rPr>
      </w:pPr>
      <w:r>
        <w:rPr>
          <w:szCs w:val="24"/>
        </w:rPr>
        <w:t xml:space="preserve">coordination with </w:t>
      </w:r>
      <w:r w:rsidRPr="00922379">
        <w:rPr>
          <w:szCs w:val="24"/>
        </w:rPr>
        <w:t xml:space="preserve">other </w:t>
      </w:r>
      <w:r>
        <w:rPr>
          <w:szCs w:val="24"/>
        </w:rPr>
        <w:t xml:space="preserve">relevant </w:t>
      </w:r>
      <w:r w:rsidRPr="00922379">
        <w:rPr>
          <w:szCs w:val="24"/>
        </w:rPr>
        <w:t>study groups</w:t>
      </w:r>
      <w:r>
        <w:rPr>
          <w:szCs w:val="24"/>
        </w:rPr>
        <w:t>,</w:t>
      </w:r>
      <w:r w:rsidRPr="00922379">
        <w:rPr>
          <w:szCs w:val="24"/>
        </w:rPr>
        <w:t xml:space="preserve"> ITU sectors</w:t>
      </w:r>
      <w:r>
        <w:rPr>
          <w:szCs w:val="24"/>
        </w:rPr>
        <w:t xml:space="preserve"> </w:t>
      </w:r>
      <w:r w:rsidRPr="00433602">
        <w:rPr>
          <w:szCs w:val="24"/>
        </w:rPr>
        <w:t>and</w:t>
      </w:r>
      <w:r>
        <w:rPr>
          <w:szCs w:val="24"/>
        </w:rPr>
        <w:t>/or</w:t>
      </w:r>
      <w:r w:rsidRPr="00433602">
        <w:rPr>
          <w:szCs w:val="24"/>
        </w:rPr>
        <w:t xml:space="preserve"> </w:t>
      </w:r>
      <w:r>
        <w:rPr>
          <w:szCs w:val="24"/>
        </w:rPr>
        <w:t>relevant recognized</w:t>
      </w:r>
      <w:r w:rsidRPr="00433602">
        <w:rPr>
          <w:szCs w:val="24"/>
        </w:rPr>
        <w:t xml:space="preserve"> external SDOs</w:t>
      </w:r>
      <w:r>
        <w:rPr>
          <w:szCs w:val="24"/>
        </w:rPr>
        <w:t xml:space="preserve"> has been adequately achieved.</w:t>
      </w:r>
    </w:p>
    <w:p w:rsidR="002A3AB1" w:rsidRDefault="002A3AB1" w:rsidP="002A3AB1">
      <w:pPr>
        <w:pStyle w:val="ListParagraph"/>
        <w:tabs>
          <w:tab w:val="clear" w:pos="794"/>
          <w:tab w:val="clear" w:pos="1191"/>
          <w:tab w:val="clear" w:pos="1588"/>
          <w:tab w:val="clear" w:pos="1985"/>
        </w:tabs>
        <w:overflowPunct/>
        <w:autoSpaceDE/>
        <w:autoSpaceDN/>
        <w:adjustRightInd/>
        <w:spacing w:before="0" w:after="200" w:line="276" w:lineRule="auto"/>
        <w:textAlignment w:val="auto"/>
        <w:rPr>
          <w:szCs w:val="24"/>
        </w:rPr>
      </w:pPr>
    </w:p>
    <w:p w:rsidR="002A3AB1" w:rsidRPr="00AF44D4" w:rsidRDefault="002A3AB1" w:rsidP="002A3AB1">
      <w:pPr>
        <w:pStyle w:val="ListParagraph"/>
        <w:tabs>
          <w:tab w:val="clear" w:pos="794"/>
          <w:tab w:val="clear" w:pos="1191"/>
          <w:tab w:val="clear" w:pos="1588"/>
          <w:tab w:val="clear" w:pos="1985"/>
        </w:tabs>
        <w:overflowPunct/>
        <w:autoSpaceDE/>
        <w:autoSpaceDN/>
        <w:adjustRightInd/>
        <w:spacing w:before="0" w:after="200" w:line="276" w:lineRule="auto"/>
        <w:jc w:val="center"/>
        <w:textAlignment w:val="auto"/>
        <w:rPr>
          <w:b/>
          <w:bCs/>
          <w:szCs w:val="24"/>
        </w:rPr>
      </w:pPr>
      <w:r>
        <w:rPr>
          <w:szCs w:val="24"/>
        </w:rPr>
        <w:t>_________________</w:t>
      </w:r>
    </w:p>
    <w:p w:rsidR="00B80AA4" w:rsidRDefault="00B80AA4"/>
    <w:sectPr w:rsidR="00B80AA4" w:rsidSect="00B80A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754CC"/>
    <w:multiLevelType w:val="hybridMultilevel"/>
    <w:tmpl w:val="BF188DB2"/>
    <w:lvl w:ilvl="0" w:tplc="04090001">
      <w:start w:val="1"/>
      <w:numFmt w:val="bullet"/>
      <w:lvlText w:val=""/>
      <w:lvlJc w:val="left"/>
      <w:pPr>
        <w:tabs>
          <w:tab w:val="num" w:pos="720"/>
        </w:tabs>
        <w:ind w:left="720" w:hanging="360"/>
      </w:pPr>
      <w:rPr>
        <w:rFonts w:ascii="Symbol" w:hAnsi="Symbo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1617CD"/>
    <w:multiLevelType w:val="hybridMultilevel"/>
    <w:tmpl w:val="A66033CA"/>
    <w:lvl w:ilvl="0" w:tplc="04090001">
      <w:start w:val="1"/>
      <w:numFmt w:val="bullet"/>
      <w:lvlText w:val=""/>
      <w:lvlJc w:val="left"/>
      <w:pPr>
        <w:tabs>
          <w:tab w:val="num" w:pos="720"/>
        </w:tabs>
        <w:ind w:left="720" w:hanging="360"/>
      </w:pPr>
      <w:rPr>
        <w:rFonts w:ascii="Symbol" w:hAnsi="Symbo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characterSpacingControl w:val="doNotCompress"/>
  <w:compat>
    <w:useFELayout/>
  </w:compat>
  <w:rsids>
    <w:rsidRoot w:val="002A3AB1"/>
    <w:rsid w:val="001B45BD"/>
    <w:rsid w:val="002A3AB1"/>
    <w:rsid w:val="00B80AA4"/>
    <w:rsid w:val="00BB778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B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3AB1"/>
    <w:rPr>
      <w:color w:val="0000FF"/>
      <w:u w:val="single"/>
    </w:rPr>
  </w:style>
  <w:style w:type="paragraph" w:styleId="ListParagraph">
    <w:name w:val="List Paragraph"/>
    <w:basedOn w:val="Normal"/>
    <w:qFormat/>
    <w:rsid w:val="002A3A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1517</Characters>
  <Application>Microsoft Office Word</Application>
  <DocSecurity>0</DocSecurity>
  <Lines>12</Lines>
  <Paragraphs>3</Paragraphs>
  <ScaleCrop>false</ScaleCrop>
  <Company>ITU</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Masamichi Niiya</dc:creator>
  <cp:keywords/>
  <dc:description/>
  <cp:lastModifiedBy>Masamichi Niiya</cp:lastModifiedBy>
  <cp:revision>2</cp:revision>
  <dcterms:created xsi:type="dcterms:W3CDTF">2010-07-19T14:20:00Z</dcterms:created>
  <dcterms:modified xsi:type="dcterms:W3CDTF">2010-07-19T14:33:00Z</dcterms:modified>
</cp:coreProperties>
</file>