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2" w:type="dxa"/>
        <w:tblLayout w:type="fixed"/>
        <w:tblCellMar>
          <w:left w:w="57" w:type="dxa"/>
          <w:right w:w="57" w:type="dxa"/>
        </w:tblCellMar>
        <w:tblLook w:val="0000" w:firstRow="0" w:lastRow="0" w:firstColumn="0" w:lastColumn="0" w:noHBand="0" w:noVBand="0"/>
      </w:tblPr>
      <w:tblGrid>
        <w:gridCol w:w="1385"/>
        <w:gridCol w:w="195"/>
        <w:gridCol w:w="3261"/>
        <w:gridCol w:w="483"/>
        <w:gridCol w:w="1093"/>
        <w:gridCol w:w="3265"/>
      </w:tblGrid>
      <w:tr w:rsidR="0065234D" w:rsidTr="0091162D">
        <w:tblPrEx>
          <w:tblCellMar>
            <w:top w:w="0" w:type="dxa"/>
            <w:bottom w:w="0" w:type="dxa"/>
          </w:tblCellMar>
        </w:tblPrEx>
        <w:trPr>
          <w:cantSplit/>
        </w:trPr>
        <w:tc>
          <w:tcPr>
            <w:tcW w:w="1385" w:type="dxa"/>
            <w:vMerge w:val="restart"/>
          </w:tcPr>
          <w:p w:rsidR="0065234D" w:rsidRDefault="003A6BCB">
            <w:bookmarkStart w:id="0" w:name="dtableau"/>
            <w:bookmarkStart w:id="1" w:name="InsertLogo"/>
            <w:bookmarkStart w:id="2" w:name="dnum" w:colFirst="2" w:colLast="2"/>
            <w:bookmarkEnd w:id="1"/>
            <w:r>
              <w:rPr>
                <w:b/>
                <w:noProof/>
                <w:sz w:val="36"/>
                <w:lang w:val="en-US" w:eastAsia="zh-CN"/>
              </w:rPr>
              <w:drawing>
                <wp:inline distT="0" distB="0" distL="0" distR="0" wp14:anchorId="2320E3E4" wp14:editId="3FD36CFB">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5032" w:type="dxa"/>
            <w:gridSpan w:val="4"/>
          </w:tcPr>
          <w:p w:rsidR="0065234D" w:rsidRDefault="0065234D">
            <w:pPr>
              <w:rPr>
                <w:sz w:val="20"/>
              </w:rPr>
            </w:pPr>
            <w:r>
              <w:rPr>
                <w:sz w:val="20"/>
              </w:rPr>
              <w:t>INTERNATIONAL TELECOMMUNICATION UNION</w:t>
            </w:r>
          </w:p>
        </w:tc>
        <w:tc>
          <w:tcPr>
            <w:tcW w:w="3265" w:type="dxa"/>
          </w:tcPr>
          <w:p w:rsidR="0065234D" w:rsidRDefault="0065234D">
            <w:pPr>
              <w:jc w:val="right"/>
              <w:rPr>
                <w:b/>
                <w:sz w:val="28"/>
              </w:rPr>
            </w:pPr>
            <w:r>
              <w:rPr>
                <w:b/>
                <w:sz w:val="28"/>
              </w:rPr>
              <w:t>Document No 1</w:t>
            </w:r>
          </w:p>
        </w:tc>
      </w:tr>
      <w:tr w:rsidR="0065234D" w:rsidTr="0091162D">
        <w:tblPrEx>
          <w:tblCellMar>
            <w:top w:w="0" w:type="dxa"/>
            <w:bottom w:w="0" w:type="dxa"/>
          </w:tblCellMar>
        </w:tblPrEx>
        <w:trPr>
          <w:cantSplit/>
          <w:trHeight w:val="355"/>
        </w:trPr>
        <w:tc>
          <w:tcPr>
            <w:tcW w:w="1385" w:type="dxa"/>
            <w:vMerge/>
          </w:tcPr>
          <w:p w:rsidR="0065234D" w:rsidRDefault="0065234D">
            <w:bookmarkStart w:id="3" w:name="ddate" w:colFirst="2" w:colLast="2"/>
            <w:bookmarkEnd w:id="2"/>
          </w:p>
        </w:tc>
        <w:tc>
          <w:tcPr>
            <w:tcW w:w="3939" w:type="dxa"/>
            <w:gridSpan w:val="3"/>
            <w:vMerge w:val="restart"/>
          </w:tcPr>
          <w:p w:rsidR="0065234D" w:rsidRDefault="0065234D">
            <w:pPr>
              <w:rPr>
                <w:b/>
                <w:bCs/>
                <w:sz w:val="26"/>
              </w:rPr>
            </w:pPr>
            <w:r>
              <w:rPr>
                <w:b/>
                <w:bCs/>
                <w:sz w:val="26"/>
              </w:rPr>
              <w:t>TELECOMMUNICATION</w:t>
            </w:r>
            <w:r>
              <w:rPr>
                <w:b/>
                <w:bCs/>
                <w:sz w:val="26"/>
              </w:rPr>
              <w:br/>
              <w:t>STANDARDIZATION SECTOR</w:t>
            </w:r>
          </w:p>
          <w:p w:rsidR="0065234D" w:rsidRDefault="003A6BCB">
            <w:pPr>
              <w:rPr>
                <w:smallCaps/>
                <w:sz w:val="20"/>
              </w:rPr>
            </w:pPr>
            <w:r w:rsidRPr="003A6BCB">
              <w:rPr>
                <w:sz w:val="20"/>
              </w:rPr>
              <w:t>STUDY PERIOD 2009-2012</w:t>
            </w:r>
          </w:p>
        </w:tc>
        <w:tc>
          <w:tcPr>
            <w:tcW w:w="4358" w:type="dxa"/>
            <w:gridSpan w:val="2"/>
          </w:tcPr>
          <w:p w:rsidR="0065234D" w:rsidRDefault="00FF7E1E" w:rsidP="00FF7E1E">
            <w:pPr>
              <w:jc w:val="right"/>
              <w:rPr>
                <w:b/>
                <w:bCs/>
                <w:sz w:val="28"/>
              </w:rPr>
            </w:pPr>
            <w:r>
              <w:rPr>
                <w:b/>
                <w:bCs/>
                <w:sz w:val="28"/>
              </w:rPr>
              <w:t xml:space="preserve">9 </w:t>
            </w:r>
            <w:r w:rsidR="003A6BCB">
              <w:rPr>
                <w:b/>
                <w:bCs/>
                <w:sz w:val="28"/>
              </w:rPr>
              <w:t>May 2012</w:t>
            </w:r>
          </w:p>
        </w:tc>
      </w:tr>
      <w:tr w:rsidR="0065234D" w:rsidTr="0091162D">
        <w:tblPrEx>
          <w:tblCellMar>
            <w:top w:w="0" w:type="dxa"/>
            <w:bottom w:w="0" w:type="dxa"/>
          </w:tblCellMar>
        </w:tblPrEx>
        <w:trPr>
          <w:cantSplit/>
          <w:trHeight w:val="780"/>
        </w:trPr>
        <w:tc>
          <w:tcPr>
            <w:tcW w:w="1385" w:type="dxa"/>
            <w:vMerge/>
            <w:tcBorders>
              <w:bottom w:val="single" w:sz="12" w:space="0" w:color="auto"/>
            </w:tcBorders>
          </w:tcPr>
          <w:p w:rsidR="0065234D" w:rsidRDefault="0065234D">
            <w:bookmarkStart w:id="4" w:name="dorlang" w:colFirst="2" w:colLast="2"/>
            <w:bookmarkEnd w:id="3"/>
          </w:p>
        </w:tc>
        <w:tc>
          <w:tcPr>
            <w:tcW w:w="3939" w:type="dxa"/>
            <w:gridSpan w:val="3"/>
            <w:vMerge/>
            <w:tcBorders>
              <w:bottom w:val="single" w:sz="12" w:space="0" w:color="auto"/>
            </w:tcBorders>
          </w:tcPr>
          <w:p w:rsidR="0065234D" w:rsidRDefault="0065234D">
            <w:pPr>
              <w:rPr>
                <w:b/>
                <w:bCs/>
                <w:sz w:val="26"/>
              </w:rPr>
            </w:pPr>
          </w:p>
        </w:tc>
        <w:tc>
          <w:tcPr>
            <w:tcW w:w="4358" w:type="dxa"/>
            <w:gridSpan w:val="2"/>
            <w:tcBorders>
              <w:bottom w:val="single" w:sz="12" w:space="0" w:color="auto"/>
            </w:tcBorders>
            <w:vAlign w:val="center"/>
          </w:tcPr>
          <w:p w:rsidR="0065234D" w:rsidRDefault="0065234D" w:rsidP="003A6BCB">
            <w:pPr>
              <w:jc w:val="right"/>
              <w:rPr>
                <w:b/>
                <w:bCs/>
                <w:sz w:val="28"/>
              </w:rPr>
            </w:pPr>
            <w:r>
              <w:rPr>
                <w:b/>
                <w:bCs/>
                <w:sz w:val="28"/>
              </w:rPr>
              <w:t xml:space="preserve">Original: </w:t>
            </w:r>
            <w:r w:rsidR="003A6BCB">
              <w:rPr>
                <w:b/>
                <w:bCs/>
                <w:sz w:val="28"/>
              </w:rPr>
              <w:t>Spanish</w:t>
            </w:r>
            <w:r>
              <w:rPr>
                <w:b/>
                <w:bCs/>
                <w:sz w:val="28"/>
              </w:rPr>
              <w:t xml:space="preserve">    </w:t>
            </w:r>
          </w:p>
        </w:tc>
      </w:tr>
      <w:tr w:rsidR="00FF7E1E" w:rsidTr="00FF7E1E">
        <w:tblPrEx>
          <w:tblCellMar>
            <w:top w:w="0" w:type="dxa"/>
            <w:bottom w:w="0" w:type="dxa"/>
          </w:tblCellMar>
        </w:tblPrEx>
        <w:trPr>
          <w:cantSplit/>
          <w:trHeight w:val="357"/>
        </w:trPr>
        <w:tc>
          <w:tcPr>
            <w:tcW w:w="4841" w:type="dxa"/>
            <w:gridSpan w:val="3"/>
          </w:tcPr>
          <w:p w:rsidR="00FF7E1E" w:rsidRDefault="00FF7E1E" w:rsidP="00FF7E1E">
            <w:pPr>
              <w:rPr>
                <w:b/>
                <w:bCs/>
              </w:rPr>
            </w:pPr>
            <w:bookmarkStart w:id="5" w:name="dtitle" w:colFirst="0" w:colLast="0"/>
            <w:bookmarkEnd w:id="4"/>
            <w:r>
              <w:rPr>
                <w:b/>
                <w:bCs/>
              </w:rPr>
              <w:t>WTSA/WCIT-12 Preparatory Meeting Buenos Aires, Argentina</w:t>
            </w:r>
          </w:p>
        </w:tc>
        <w:tc>
          <w:tcPr>
            <w:tcW w:w="4841" w:type="dxa"/>
            <w:gridSpan w:val="3"/>
          </w:tcPr>
          <w:p w:rsidR="00FF7E1E" w:rsidRDefault="00FF7E1E" w:rsidP="00FF7E1E">
            <w:pPr>
              <w:jc w:val="right"/>
              <w:rPr>
                <w:b/>
                <w:bCs/>
              </w:rPr>
            </w:pPr>
            <w:r>
              <w:rPr>
                <w:b/>
                <w:bCs/>
              </w:rPr>
              <w:t>14-15 May 2012</w:t>
            </w:r>
          </w:p>
        </w:tc>
      </w:tr>
      <w:tr w:rsidR="00FF7E1E" w:rsidTr="00FF7E1E">
        <w:tblPrEx>
          <w:tblCellMar>
            <w:top w:w="0" w:type="dxa"/>
            <w:bottom w:w="0" w:type="dxa"/>
          </w:tblCellMar>
        </w:tblPrEx>
        <w:trPr>
          <w:cantSplit/>
          <w:trHeight w:val="357"/>
        </w:trPr>
        <w:tc>
          <w:tcPr>
            <w:tcW w:w="9682" w:type="dxa"/>
            <w:gridSpan w:val="6"/>
          </w:tcPr>
          <w:p w:rsidR="00FF7E1E" w:rsidRDefault="00FF7E1E" w:rsidP="00FF7E1E">
            <w:pPr>
              <w:jc w:val="center"/>
            </w:pPr>
            <w:r w:rsidRPr="00FF7E1E">
              <w:t>CONTRIBUTION No 1</w:t>
            </w:r>
          </w:p>
        </w:tc>
      </w:tr>
      <w:tr w:rsidR="0065234D" w:rsidTr="0091162D">
        <w:tblPrEx>
          <w:tblCellMar>
            <w:top w:w="0" w:type="dxa"/>
            <w:bottom w:w="0" w:type="dxa"/>
          </w:tblCellMar>
        </w:tblPrEx>
        <w:trPr>
          <w:cantSplit/>
          <w:trHeight w:val="357"/>
        </w:trPr>
        <w:tc>
          <w:tcPr>
            <w:tcW w:w="1580" w:type="dxa"/>
            <w:gridSpan w:val="2"/>
          </w:tcPr>
          <w:p w:rsidR="0065234D" w:rsidRDefault="0065234D">
            <w:pPr>
              <w:rPr>
                <w:b/>
                <w:bCs/>
              </w:rPr>
            </w:pPr>
            <w:bookmarkStart w:id="6" w:name="dsource" w:colFirst="1" w:colLast="1"/>
            <w:bookmarkEnd w:id="5"/>
            <w:r>
              <w:rPr>
                <w:b/>
                <w:bCs/>
              </w:rPr>
              <w:t>Source:</w:t>
            </w:r>
          </w:p>
        </w:tc>
        <w:tc>
          <w:tcPr>
            <w:tcW w:w="8102" w:type="dxa"/>
            <w:gridSpan w:val="4"/>
          </w:tcPr>
          <w:p w:rsidR="0065234D" w:rsidRDefault="003A6BCB">
            <w:r>
              <w:t>Paraguay</w:t>
            </w:r>
          </w:p>
        </w:tc>
      </w:tr>
      <w:tr w:rsidR="0065234D" w:rsidRPr="0091162D" w:rsidTr="0091162D">
        <w:tblPrEx>
          <w:tblCellMar>
            <w:top w:w="0" w:type="dxa"/>
            <w:bottom w:w="0" w:type="dxa"/>
          </w:tblCellMar>
        </w:tblPrEx>
        <w:trPr>
          <w:cantSplit/>
          <w:trHeight w:val="357"/>
        </w:trPr>
        <w:tc>
          <w:tcPr>
            <w:tcW w:w="1580" w:type="dxa"/>
            <w:gridSpan w:val="2"/>
            <w:tcBorders>
              <w:bottom w:val="single" w:sz="12" w:space="0" w:color="auto"/>
            </w:tcBorders>
          </w:tcPr>
          <w:p w:rsidR="0065234D" w:rsidRDefault="0065234D">
            <w:pPr>
              <w:spacing w:after="120"/>
            </w:pPr>
            <w:bookmarkStart w:id="7" w:name="dtitle1" w:colFirst="1" w:colLast="1"/>
            <w:bookmarkEnd w:id="6"/>
            <w:r>
              <w:rPr>
                <w:b/>
                <w:bCs/>
              </w:rPr>
              <w:t>Title:</w:t>
            </w:r>
          </w:p>
        </w:tc>
        <w:tc>
          <w:tcPr>
            <w:tcW w:w="8102" w:type="dxa"/>
            <w:gridSpan w:val="4"/>
            <w:tcBorders>
              <w:bottom w:val="single" w:sz="12" w:space="0" w:color="auto"/>
            </w:tcBorders>
          </w:tcPr>
          <w:p w:rsidR="0065234D" w:rsidRPr="0091162D" w:rsidRDefault="0091162D" w:rsidP="0091162D">
            <w:pPr>
              <w:pStyle w:val="Equation"/>
              <w:tabs>
                <w:tab w:val="clear" w:pos="4820"/>
                <w:tab w:val="clear" w:pos="9639"/>
                <w:tab w:val="left" w:pos="1191"/>
                <w:tab w:val="left" w:pos="1588"/>
                <w:tab w:val="left" w:pos="1985"/>
              </w:tabs>
              <w:spacing w:after="120"/>
              <w:rPr>
                <w:bCs/>
                <w:caps/>
                <w:szCs w:val="24"/>
                <w:lang w:val="es-ES_tradnl"/>
              </w:rPr>
            </w:pPr>
            <w:r w:rsidRPr="0091162D">
              <w:rPr>
                <w:bCs/>
                <w:szCs w:val="24"/>
                <w:lang w:val="es-ES_tradnl"/>
              </w:rPr>
              <w:t xml:space="preserve">Proyecto </w:t>
            </w:r>
            <w:r>
              <w:rPr>
                <w:bCs/>
                <w:szCs w:val="24"/>
                <w:lang w:val="es-ES_tradnl"/>
              </w:rPr>
              <w:t>d</w:t>
            </w:r>
            <w:r w:rsidRPr="0091162D">
              <w:rPr>
                <w:bCs/>
                <w:szCs w:val="24"/>
                <w:lang w:val="es-ES_tradnl"/>
              </w:rPr>
              <w:t xml:space="preserve">e Propuesta </w:t>
            </w:r>
            <w:r>
              <w:rPr>
                <w:bCs/>
                <w:szCs w:val="24"/>
                <w:lang w:val="es-ES_tradnl"/>
              </w:rPr>
              <w:t>p</w:t>
            </w:r>
            <w:r w:rsidRPr="0091162D">
              <w:rPr>
                <w:bCs/>
                <w:szCs w:val="24"/>
                <w:lang w:val="es-ES_tradnl"/>
              </w:rPr>
              <w:t xml:space="preserve">ara </w:t>
            </w:r>
            <w:r>
              <w:rPr>
                <w:bCs/>
                <w:szCs w:val="24"/>
                <w:lang w:val="es-ES_tradnl"/>
              </w:rPr>
              <w:t>l</w:t>
            </w:r>
            <w:r w:rsidRPr="0091162D">
              <w:rPr>
                <w:bCs/>
                <w:szCs w:val="24"/>
                <w:lang w:val="es-ES_tradnl"/>
              </w:rPr>
              <w:t xml:space="preserve">a Conferencia Mundial </w:t>
            </w:r>
            <w:r>
              <w:rPr>
                <w:bCs/>
                <w:szCs w:val="24"/>
                <w:lang w:val="es-ES_tradnl"/>
              </w:rPr>
              <w:t>d</w:t>
            </w:r>
            <w:r w:rsidRPr="0091162D">
              <w:rPr>
                <w:bCs/>
                <w:szCs w:val="24"/>
                <w:lang w:val="es-ES_tradnl"/>
              </w:rPr>
              <w:t xml:space="preserve">e Telecomunicaciones Internacionales Sobre Servicios </w:t>
            </w:r>
            <w:r>
              <w:rPr>
                <w:bCs/>
                <w:szCs w:val="24"/>
                <w:lang w:val="es-ES_tradnl"/>
              </w:rPr>
              <w:t>d</w:t>
            </w:r>
            <w:r w:rsidRPr="0091162D">
              <w:rPr>
                <w:bCs/>
                <w:szCs w:val="24"/>
                <w:lang w:val="es-ES_tradnl"/>
              </w:rPr>
              <w:t xml:space="preserve">e Telecomunicaciones </w:t>
            </w:r>
            <w:r>
              <w:rPr>
                <w:bCs/>
                <w:szCs w:val="24"/>
                <w:lang w:val="es-ES_tradnl"/>
              </w:rPr>
              <w:t>e</w:t>
            </w:r>
            <w:r w:rsidRPr="0091162D">
              <w:rPr>
                <w:bCs/>
                <w:szCs w:val="24"/>
                <w:lang w:val="es-ES_tradnl"/>
              </w:rPr>
              <w:t xml:space="preserve">n </w:t>
            </w:r>
            <w:proofErr w:type="spellStart"/>
            <w:r w:rsidRPr="0091162D">
              <w:rPr>
                <w:bCs/>
                <w:szCs w:val="24"/>
                <w:lang w:val="es-ES_tradnl"/>
              </w:rPr>
              <w:t>Itinerancia</w:t>
            </w:r>
            <w:proofErr w:type="spellEnd"/>
            <w:r w:rsidRPr="0091162D">
              <w:rPr>
                <w:bCs/>
                <w:szCs w:val="24"/>
                <w:lang w:val="es-ES_tradnl"/>
              </w:rPr>
              <w:t xml:space="preserve"> Internacional</w:t>
            </w:r>
            <w:r>
              <w:rPr>
                <w:bCs/>
                <w:szCs w:val="24"/>
                <w:lang w:val="es-ES_tradnl"/>
              </w:rPr>
              <w:t xml:space="preserve"> </w:t>
            </w:r>
            <w:r w:rsidRPr="0091162D">
              <w:rPr>
                <w:bCs/>
                <w:szCs w:val="24"/>
                <w:lang w:val="es-ES_tradnl"/>
              </w:rPr>
              <w:t>(Punto del temario: 3.1.8)</w:t>
            </w:r>
          </w:p>
        </w:tc>
      </w:tr>
    </w:tbl>
    <w:bookmarkEnd w:id="0"/>
    <w:bookmarkEnd w:id="7"/>
    <w:p w:rsidR="0091162D" w:rsidRDefault="0091162D" w:rsidP="00FF7E1E">
      <w:pPr>
        <w:rPr>
          <w:b/>
          <w:lang w:val="es-ES_tradnl"/>
        </w:rPr>
      </w:pPr>
      <w:r w:rsidRPr="0091162D">
        <w:rPr>
          <w:b/>
          <w:lang w:val="es-ES_tradnl"/>
        </w:rPr>
        <w:t>Nota: Este documento tomó como base la Contribución 85 del GTC-CMTI12 (o REL-AMNT/CMTI/doc. 048/12)</w:t>
      </w:r>
    </w:p>
    <w:p w:rsidR="0091162D" w:rsidRPr="0091162D" w:rsidRDefault="0091162D" w:rsidP="00FF7E1E">
      <w:pPr>
        <w:rPr>
          <w:b/>
          <w:lang w:val="es-ES_tradnl"/>
        </w:rPr>
      </w:pPr>
    </w:p>
    <w:p w:rsidR="0091162D" w:rsidRPr="0091162D" w:rsidRDefault="0091162D" w:rsidP="00FF7E1E">
      <w:pPr>
        <w:rPr>
          <w:b/>
          <w:szCs w:val="24"/>
          <w:lang w:val="es-ES_tradnl"/>
        </w:rPr>
      </w:pPr>
      <w:r>
        <w:rPr>
          <w:b/>
          <w:szCs w:val="24"/>
          <w:lang w:val="es-ES_tradnl"/>
        </w:rPr>
        <w:t>1</w:t>
      </w:r>
      <w:r>
        <w:rPr>
          <w:b/>
          <w:szCs w:val="24"/>
          <w:lang w:val="es-ES_tradnl"/>
        </w:rPr>
        <w:tab/>
      </w:r>
      <w:r w:rsidRPr="0091162D">
        <w:rPr>
          <w:b/>
          <w:szCs w:val="24"/>
          <w:lang w:val="es-ES_tradnl"/>
        </w:rPr>
        <w:t>Introducción</w:t>
      </w:r>
    </w:p>
    <w:p w:rsidR="0091162D" w:rsidRDefault="0091162D" w:rsidP="00FF7E1E">
      <w:pPr>
        <w:jc w:val="both"/>
        <w:rPr>
          <w:szCs w:val="24"/>
          <w:lang w:val="es-ES"/>
        </w:rPr>
      </w:pPr>
      <w:r w:rsidRPr="00222329">
        <w:rPr>
          <w:szCs w:val="24"/>
          <w:lang w:val="es-ES"/>
        </w:rPr>
        <w:t>Existe un consenso extendido</w:t>
      </w:r>
      <w:r>
        <w:rPr>
          <w:szCs w:val="24"/>
          <w:lang w:val="es-ES"/>
        </w:rPr>
        <w:t xml:space="preserve"> </w:t>
      </w:r>
      <w:r w:rsidRPr="00222329">
        <w:rPr>
          <w:szCs w:val="24"/>
          <w:lang w:val="es-ES"/>
        </w:rPr>
        <w:t>acerca de cuáles han</w:t>
      </w:r>
      <w:r>
        <w:rPr>
          <w:szCs w:val="24"/>
          <w:lang w:val="es-ES"/>
        </w:rPr>
        <w:t xml:space="preserve"> </w:t>
      </w:r>
      <w:r w:rsidRPr="00222329">
        <w:rPr>
          <w:szCs w:val="24"/>
          <w:lang w:val="es-ES"/>
        </w:rPr>
        <w:t>sido y son todavía l</w:t>
      </w:r>
      <w:r>
        <w:rPr>
          <w:szCs w:val="24"/>
          <w:lang w:val="es-ES"/>
        </w:rPr>
        <w:t>o</w:t>
      </w:r>
      <w:r w:rsidRPr="00222329">
        <w:rPr>
          <w:szCs w:val="24"/>
          <w:lang w:val="es-ES"/>
        </w:rPr>
        <w:t>s mayores obstáculos que enfrenta el desarrollo de</w:t>
      </w:r>
      <w:r>
        <w:rPr>
          <w:szCs w:val="24"/>
          <w:lang w:val="es-ES"/>
        </w:rPr>
        <w:t xml:space="preserve"> servicios de telecomunicaciones en </w:t>
      </w:r>
      <w:proofErr w:type="spellStart"/>
      <w:r>
        <w:rPr>
          <w:szCs w:val="24"/>
          <w:lang w:val="es-ES"/>
        </w:rPr>
        <w:t>itinerancia</w:t>
      </w:r>
      <w:proofErr w:type="spellEnd"/>
      <w:r>
        <w:rPr>
          <w:szCs w:val="24"/>
          <w:lang w:val="es-ES"/>
        </w:rPr>
        <w:t xml:space="preserve"> internacional</w:t>
      </w:r>
      <w:r w:rsidRPr="00222329">
        <w:rPr>
          <w:szCs w:val="24"/>
          <w:lang w:val="es-ES"/>
        </w:rPr>
        <w:t>,</w:t>
      </w:r>
      <w:r>
        <w:rPr>
          <w:szCs w:val="24"/>
          <w:lang w:val="es-ES"/>
        </w:rPr>
        <w:t xml:space="preserve"> </w:t>
      </w:r>
      <w:r w:rsidRPr="00222329">
        <w:rPr>
          <w:szCs w:val="24"/>
          <w:lang w:val="es-ES"/>
        </w:rPr>
        <w:t>que tiene que ver con los mayores riesgos de fraude y los precios más elevados,</w:t>
      </w:r>
      <w:r>
        <w:rPr>
          <w:szCs w:val="24"/>
          <w:lang w:val="es-ES"/>
        </w:rPr>
        <w:t xml:space="preserve"> </w:t>
      </w:r>
      <w:r w:rsidRPr="00222329">
        <w:rPr>
          <w:szCs w:val="24"/>
          <w:lang w:val="es-ES"/>
        </w:rPr>
        <w:t>así como el desconocimiento de los consumidores sobre los costos del servicio y</w:t>
      </w:r>
      <w:r>
        <w:rPr>
          <w:szCs w:val="24"/>
          <w:lang w:val="es-ES"/>
        </w:rPr>
        <w:t xml:space="preserve"> </w:t>
      </w:r>
      <w:r w:rsidRPr="00222329">
        <w:rPr>
          <w:szCs w:val="24"/>
          <w:lang w:val="es-ES"/>
        </w:rPr>
        <w:t>en general la baja transparencia desde la perspectiva del consumidor</w:t>
      </w:r>
      <w:r>
        <w:rPr>
          <w:szCs w:val="24"/>
          <w:lang w:val="es-ES"/>
        </w:rPr>
        <w:t>,</w:t>
      </w:r>
      <w:r w:rsidRPr="00222329">
        <w:rPr>
          <w:szCs w:val="24"/>
          <w:lang w:val="es-ES"/>
        </w:rPr>
        <w:t xml:space="preserve"> sobreprecios y demás condicione</w:t>
      </w:r>
      <w:r>
        <w:rPr>
          <w:szCs w:val="24"/>
          <w:lang w:val="es-ES"/>
        </w:rPr>
        <w:t>s de prestación.</w:t>
      </w:r>
    </w:p>
    <w:p w:rsidR="0091162D" w:rsidRDefault="0091162D" w:rsidP="00FF7E1E">
      <w:pPr>
        <w:jc w:val="both"/>
        <w:rPr>
          <w:szCs w:val="24"/>
          <w:lang w:val="es-ES"/>
        </w:rPr>
      </w:pPr>
      <w:r>
        <w:rPr>
          <w:szCs w:val="24"/>
          <w:lang w:val="es-ES"/>
        </w:rPr>
        <w:t>Por ello se han desarrollado distintas iniciativas</w:t>
      </w:r>
      <w:r>
        <w:rPr>
          <w:rStyle w:val="FootnoteReference"/>
          <w:szCs w:val="24"/>
          <w:lang w:val="es-ES"/>
        </w:rPr>
        <w:footnoteReference w:id="1"/>
      </w:r>
      <w:r>
        <w:rPr>
          <w:szCs w:val="24"/>
          <w:lang w:val="es-ES"/>
        </w:rPr>
        <w:t xml:space="preserve"> desde los reguladores; la industria, los operadores y proveedores de servicios; y de los usuarios o consumidores para enfrentar los desafíos que plantea este tema.</w:t>
      </w:r>
    </w:p>
    <w:p w:rsidR="0091162D" w:rsidRDefault="0091162D" w:rsidP="00FF7E1E">
      <w:pPr>
        <w:jc w:val="both"/>
        <w:rPr>
          <w:szCs w:val="24"/>
          <w:lang w:val="es-ES"/>
        </w:rPr>
      </w:pPr>
      <w:r w:rsidRPr="001C46CA">
        <w:rPr>
          <w:szCs w:val="24"/>
          <w:lang w:val="es-ES"/>
        </w:rPr>
        <w:t xml:space="preserve">En </w:t>
      </w:r>
      <w:proofErr w:type="spellStart"/>
      <w:r>
        <w:rPr>
          <w:szCs w:val="24"/>
          <w:lang w:val="es-ES"/>
        </w:rPr>
        <w:t>itinerancia</w:t>
      </w:r>
      <w:proofErr w:type="spellEnd"/>
      <w:r>
        <w:rPr>
          <w:szCs w:val="24"/>
          <w:lang w:val="es-ES"/>
        </w:rPr>
        <w:t xml:space="preserve"> internacional</w:t>
      </w:r>
      <w:r w:rsidRPr="001C46CA">
        <w:rPr>
          <w:szCs w:val="24"/>
          <w:lang w:val="es-ES"/>
        </w:rPr>
        <w:t xml:space="preserve"> la información es imprescindible</w:t>
      </w:r>
      <w:r>
        <w:rPr>
          <w:szCs w:val="24"/>
          <w:lang w:val="es-ES"/>
        </w:rPr>
        <w:t xml:space="preserve"> para que los usuarios puedan</w:t>
      </w:r>
      <w:r w:rsidRPr="001C46CA">
        <w:rPr>
          <w:szCs w:val="24"/>
          <w:lang w:val="es-ES"/>
        </w:rPr>
        <w:t xml:space="preserve"> hacer un uso racional y económicamente sostenible de</w:t>
      </w:r>
      <w:r>
        <w:rPr>
          <w:szCs w:val="24"/>
          <w:lang w:val="es-ES"/>
        </w:rPr>
        <w:t xml:space="preserve"> los servicios de telecomunicaciones fuera de su país de residencia</w:t>
      </w:r>
      <w:r w:rsidRPr="001C46CA">
        <w:rPr>
          <w:szCs w:val="24"/>
          <w:lang w:val="es-ES"/>
        </w:rPr>
        <w:t xml:space="preserve">. Esta información resulta especialmente necesaria </w:t>
      </w:r>
      <w:r>
        <w:rPr>
          <w:szCs w:val="24"/>
          <w:lang w:val="es-ES"/>
        </w:rPr>
        <w:t>al estar</w:t>
      </w:r>
      <w:r w:rsidRPr="001C46CA">
        <w:rPr>
          <w:szCs w:val="24"/>
          <w:lang w:val="es-ES"/>
        </w:rPr>
        <w:t xml:space="preserve"> ante un mercado muy competitivo, dividido en diferentes áreas geográficas, con  distintas modalidades tarifarias, ofertas, banda</w:t>
      </w:r>
      <w:r>
        <w:rPr>
          <w:szCs w:val="24"/>
          <w:lang w:val="es-ES"/>
        </w:rPr>
        <w:t>s de frecuencias y tecnologías diferentes.</w:t>
      </w:r>
    </w:p>
    <w:p w:rsidR="0091162D" w:rsidRPr="0091162D" w:rsidRDefault="0091162D" w:rsidP="00FF7E1E">
      <w:pPr>
        <w:jc w:val="both"/>
        <w:rPr>
          <w:b/>
          <w:szCs w:val="24"/>
          <w:lang w:val="es-ES_tradnl"/>
        </w:rPr>
      </w:pPr>
      <w:r>
        <w:rPr>
          <w:b/>
          <w:szCs w:val="24"/>
          <w:lang w:val="es-ES_tradnl"/>
        </w:rPr>
        <w:t>2</w:t>
      </w:r>
      <w:r>
        <w:rPr>
          <w:b/>
          <w:szCs w:val="24"/>
          <w:lang w:val="es-ES_tradnl"/>
        </w:rPr>
        <w:tab/>
      </w:r>
      <w:r w:rsidRPr="0091162D">
        <w:rPr>
          <w:b/>
          <w:szCs w:val="24"/>
          <w:lang w:val="es-ES_tradnl"/>
        </w:rPr>
        <w:t>Antecedentes</w:t>
      </w:r>
    </w:p>
    <w:p w:rsidR="0091162D" w:rsidRDefault="0091162D" w:rsidP="00FF7E1E">
      <w:pPr>
        <w:jc w:val="both"/>
        <w:rPr>
          <w:szCs w:val="24"/>
          <w:lang w:val="es-ES"/>
        </w:rPr>
      </w:pPr>
      <w:r>
        <w:rPr>
          <w:szCs w:val="24"/>
          <w:lang w:val="es-ES"/>
        </w:rPr>
        <w:t xml:space="preserve">A fin de garantizar la calidad y la transparencia de los servicios de telecomunicaciones en </w:t>
      </w:r>
      <w:proofErr w:type="spellStart"/>
      <w:r>
        <w:rPr>
          <w:szCs w:val="24"/>
          <w:lang w:val="es-ES"/>
        </w:rPr>
        <w:t>itinerancia</w:t>
      </w:r>
      <w:proofErr w:type="spellEnd"/>
      <w:r>
        <w:rPr>
          <w:szCs w:val="24"/>
          <w:lang w:val="es-ES"/>
        </w:rPr>
        <w:t xml:space="preserve"> internacional diferentes medidas han sido implementadas en algunas regiones.</w:t>
      </w:r>
    </w:p>
    <w:p w:rsidR="0091162D" w:rsidRDefault="0091162D" w:rsidP="00FF7E1E">
      <w:pPr>
        <w:jc w:val="both"/>
        <w:rPr>
          <w:szCs w:val="24"/>
          <w:lang w:val="es-PY"/>
        </w:rPr>
      </w:pPr>
      <w:r w:rsidRPr="00AA498F">
        <w:rPr>
          <w:szCs w:val="24"/>
          <w:lang w:val="es-PY"/>
        </w:rPr>
        <w:t>La</w:t>
      </w:r>
      <w:r>
        <w:rPr>
          <w:szCs w:val="24"/>
          <w:lang w:val="es-PY"/>
        </w:rPr>
        <w:t xml:space="preserve"> Comisión Europea ha establecido una </w:t>
      </w:r>
      <w:r w:rsidRPr="00AA498F">
        <w:rPr>
          <w:szCs w:val="24"/>
          <w:lang w:val="es-PY"/>
        </w:rPr>
        <w:t xml:space="preserve">regulación sobre </w:t>
      </w:r>
      <w:proofErr w:type="spellStart"/>
      <w:r w:rsidRPr="00AA498F">
        <w:rPr>
          <w:szCs w:val="24"/>
          <w:lang w:val="es-PY"/>
        </w:rPr>
        <w:t>itinerancia</w:t>
      </w:r>
      <w:proofErr w:type="spellEnd"/>
      <w:r w:rsidRPr="00AA498F">
        <w:rPr>
          <w:szCs w:val="24"/>
          <w:lang w:val="es-PY"/>
        </w:rPr>
        <w:t xml:space="preserve"> de la Unión Europea</w:t>
      </w:r>
      <w:r>
        <w:rPr>
          <w:rStyle w:val="FootnoteReference"/>
          <w:szCs w:val="24"/>
          <w:lang w:val="es-PY"/>
        </w:rPr>
        <w:footnoteReference w:id="2"/>
      </w:r>
      <w:r w:rsidRPr="00AA498F">
        <w:rPr>
          <w:szCs w:val="24"/>
          <w:lang w:val="es-PY"/>
        </w:rPr>
        <w:t xml:space="preserve"> (</w:t>
      </w:r>
      <w:proofErr w:type="spellStart"/>
      <w:r w:rsidRPr="00AA498F">
        <w:rPr>
          <w:szCs w:val="24"/>
          <w:lang w:val="es-PY"/>
        </w:rPr>
        <w:t>Eurotariff</w:t>
      </w:r>
      <w:proofErr w:type="spellEnd"/>
      <w:r w:rsidRPr="00AA498F">
        <w:rPr>
          <w:szCs w:val="24"/>
          <w:lang w:val="es-PY"/>
        </w:rPr>
        <w:t xml:space="preserve"> de 2007 y posteriores actualizaciones</w:t>
      </w:r>
      <w:r>
        <w:rPr>
          <w:szCs w:val="24"/>
          <w:lang w:val="es-PY"/>
        </w:rPr>
        <w:t>)</w:t>
      </w:r>
      <w:r w:rsidRPr="00AA498F">
        <w:rPr>
          <w:szCs w:val="24"/>
          <w:lang w:val="es-PY"/>
        </w:rPr>
        <w:t xml:space="preserve"> que entre otros puntos dispone que los usuarios </w:t>
      </w:r>
      <w:proofErr w:type="gramStart"/>
      <w:r w:rsidRPr="00AA498F">
        <w:rPr>
          <w:szCs w:val="24"/>
          <w:lang w:val="es-PY"/>
        </w:rPr>
        <w:t>reciban</w:t>
      </w:r>
      <w:proofErr w:type="gramEnd"/>
      <w:r>
        <w:rPr>
          <w:szCs w:val="24"/>
          <w:lang w:val="es-PY"/>
        </w:rPr>
        <w:t xml:space="preserve"> un SMS cuando están atravesando las fronteras internas de la UE informando los precios </w:t>
      </w:r>
      <w:r>
        <w:rPr>
          <w:szCs w:val="24"/>
          <w:lang w:val="es-PY"/>
        </w:rPr>
        <w:lastRenderedPageBreak/>
        <w:t>esperados por hacer y recibir llamadas; la posibilidad de que los usuarios soliciten más detalles a través de una llamada o de un SMS.</w:t>
      </w:r>
    </w:p>
    <w:p w:rsidR="0091162D" w:rsidRDefault="0091162D" w:rsidP="00FF7E1E">
      <w:pPr>
        <w:jc w:val="both"/>
        <w:rPr>
          <w:szCs w:val="24"/>
          <w:lang w:val="es-ES"/>
        </w:rPr>
      </w:pPr>
      <w:r>
        <w:rPr>
          <w:szCs w:val="24"/>
          <w:lang w:val="es-ES"/>
        </w:rPr>
        <w:t xml:space="preserve">El Consejo Árabe de Ministros de Telecomunicaciones e Información ha adoptado la Resolución 187 de 2006 que establece que todos los operadores informen a los usuarios en </w:t>
      </w:r>
      <w:proofErr w:type="spellStart"/>
      <w:r>
        <w:rPr>
          <w:szCs w:val="24"/>
          <w:lang w:val="es-ES"/>
        </w:rPr>
        <w:t>itinerancia</w:t>
      </w:r>
      <w:proofErr w:type="spellEnd"/>
      <w:r>
        <w:rPr>
          <w:szCs w:val="24"/>
          <w:lang w:val="es-ES"/>
        </w:rPr>
        <w:t xml:space="preserve"> una vez que arriben al destino sobre las tarifas vía SMS; y la Resolución 219 de 2008 que  apoya las recomendaciones de la Red de Reguladores Árabes (AREGNET en inglés) sobre medidas para aumentar la transparencia de las tarifas de </w:t>
      </w:r>
      <w:proofErr w:type="spellStart"/>
      <w:r>
        <w:rPr>
          <w:szCs w:val="24"/>
          <w:lang w:val="es-ES"/>
        </w:rPr>
        <w:t>itinerancia</w:t>
      </w:r>
      <w:proofErr w:type="spellEnd"/>
      <w:r>
        <w:rPr>
          <w:szCs w:val="24"/>
          <w:lang w:val="es-ES"/>
        </w:rPr>
        <w:t>, entre ellas la utilización de un sitio web</w:t>
      </w:r>
      <w:r>
        <w:rPr>
          <w:rStyle w:val="FootnoteReference"/>
          <w:szCs w:val="24"/>
          <w:lang w:val="es-ES"/>
        </w:rPr>
        <w:footnoteReference w:id="3"/>
      </w:r>
      <w:r>
        <w:rPr>
          <w:szCs w:val="24"/>
          <w:lang w:val="es-ES"/>
        </w:rPr>
        <w:t>.</w:t>
      </w:r>
    </w:p>
    <w:p w:rsidR="0091162D" w:rsidRDefault="0091162D" w:rsidP="00FF7E1E">
      <w:pPr>
        <w:jc w:val="both"/>
        <w:rPr>
          <w:szCs w:val="24"/>
          <w:lang w:val="es-ES"/>
        </w:rPr>
      </w:pPr>
      <w:r>
        <w:rPr>
          <w:szCs w:val="24"/>
          <w:lang w:val="es-ES"/>
        </w:rPr>
        <w:t>Por su lado la industria también ha hecho esfuerzos como la GSMA Europa</w:t>
      </w:r>
      <w:r>
        <w:rPr>
          <w:rStyle w:val="FootnoteReference"/>
          <w:szCs w:val="24"/>
          <w:lang w:val="es-ES"/>
        </w:rPr>
        <w:footnoteReference w:id="4"/>
      </w:r>
      <w:r>
        <w:rPr>
          <w:szCs w:val="24"/>
          <w:lang w:val="es-ES"/>
        </w:rPr>
        <w:t xml:space="preserve"> que adoptó un Código de Conducta para Información sobre Precios de </w:t>
      </w:r>
      <w:proofErr w:type="spellStart"/>
      <w:r>
        <w:rPr>
          <w:szCs w:val="24"/>
          <w:lang w:val="es-ES"/>
        </w:rPr>
        <w:t>Itinerancia</w:t>
      </w:r>
      <w:proofErr w:type="spellEnd"/>
      <w:r>
        <w:rPr>
          <w:szCs w:val="24"/>
          <w:lang w:val="es-ES"/>
        </w:rPr>
        <w:t xml:space="preserve"> por la cual se hace disponible información a través de un servicio de atención  al cliente y un sitio web corporativo. Asimismo, GSMA  Árabe</w:t>
      </w:r>
      <w:r>
        <w:rPr>
          <w:rStyle w:val="FootnoteReference"/>
          <w:szCs w:val="24"/>
          <w:lang w:val="es-ES"/>
        </w:rPr>
        <w:footnoteReference w:id="5"/>
      </w:r>
      <w:r>
        <w:rPr>
          <w:szCs w:val="24"/>
          <w:lang w:val="es-ES"/>
        </w:rPr>
        <w:t xml:space="preserve">  hace lo suyo a través de los canales antes mencionados y además, por mensajes de texto.</w:t>
      </w:r>
    </w:p>
    <w:p w:rsidR="0091162D" w:rsidRDefault="0091162D" w:rsidP="00FF7E1E">
      <w:pPr>
        <w:jc w:val="both"/>
        <w:rPr>
          <w:szCs w:val="24"/>
          <w:lang w:val="es-ES"/>
        </w:rPr>
      </w:pPr>
      <w:r>
        <w:rPr>
          <w:szCs w:val="24"/>
          <w:lang w:val="es-ES"/>
        </w:rPr>
        <w:t>Recientemente, en febrero del año en curso, el Consejo de la Organización para la Cooperación y el Desarrollo Económico (OECD por sus siglas en inglés)</w:t>
      </w:r>
      <w:r>
        <w:rPr>
          <w:rStyle w:val="FootnoteReference"/>
          <w:szCs w:val="24"/>
          <w:lang w:val="es-ES"/>
        </w:rPr>
        <w:footnoteReference w:id="6"/>
      </w:r>
      <w:r>
        <w:rPr>
          <w:szCs w:val="24"/>
          <w:lang w:val="es-ES"/>
        </w:rPr>
        <w:t xml:space="preserve"> ha recomendado medidas, entre ellas, para promocionar la transparencia de la información sobre servicios en </w:t>
      </w:r>
      <w:proofErr w:type="spellStart"/>
      <w:r>
        <w:rPr>
          <w:szCs w:val="24"/>
          <w:lang w:val="es-ES"/>
        </w:rPr>
        <w:t>itinerancia</w:t>
      </w:r>
      <w:proofErr w:type="spellEnd"/>
      <w:r>
        <w:rPr>
          <w:szCs w:val="24"/>
          <w:lang w:val="es-ES"/>
        </w:rPr>
        <w:t>.</w:t>
      </w:r>
    </w:p>
    <w:p w:rsidR="0091162D" w:rsidRPr="00AD721B" w:rsidRDefault="0091162D" w:rsidP="00FF7E1E">
      <w:pPr>
        <w:jc w:val="both"/>
        <w:rPr>
          <w:szCs w:val="24"/>
          <w:lang w:val="es-ES"/>
        </w:rPr>
      </w:pPr>
      <w:r w:rsidRPr="00AD721B">
        <w:rPr>
          <w:szCs w:val="24"/>
          <w:lang w:val="es-ES"/>
        </w:rPr>
        <w:t xml:space="preserve">Por lo expuesto, </w:t>
      </w:r>
      <w:r>
        <w:rPr>
          <w:szCs w:val="24"/>
          <w:lang w:val="es-ES"/>
        </w:rPr>
        <w:t>reconociendo</w:t>
      </w:r>
      <w:r w:rsidRPr="00AD721B">
        <w:rPr>
          <w:szCs w:val="24"/>
          <w:lang w:val="es-ES"/>
        </w:rPr>
        <w:t xml:space="preserve"> los desafíos comunes de los Estados con respecto a los servicios de telecomunicaciones en </w:t>
      </w:r>
      <w:proofErr w:type="spellStart"/>
      <w:r w:rsidRPr="00AD721B">
        <w:rPr>
          <w:szCs w:val="24"/>
          <w:lang w:val="es-ES"/>
        </w:rPr>
        <w:t>itinerancia</w:t>
      </w:r>
      <w:proofErr w:type="spellEnd"/>
      <w:r w:rsidRPr="00AD721B">
        <w:rPr>
          <w:szCs w:val="24"/>
          <w:lang w:val="es-ES"/>
        </w:rPr>
        <w:t xml:space="preserve"> internacional y la dimensión transnacional de estos servicios; </w:t>
      </w:r>
      <w:r w:rsidRPr="0091162D">
        <w:rPr>
          <w:szCs w:val="24"/>
          <w:lang w:val="es-ES_tradnl"/>
        </w:rPr>
        <w:t>la necesidad de aumentar la sensibilización de los usuarios y las operadoras respecto al costo de estos servicios</w:t>
      </w:r>
      <w:r w:rsidRPr="00AD721B">
        <w:rPr>
          <w:szCs w:val="24"/>
          <w:lang w:val="es-ES"/>
        </w:rPr>
        <w:t xml:space="preserve">, </w:t>
      </w:r>
      <w:r w:rsidRPr="0091162D">
        <w:rPr>
          <w:szCs w:val="24"/>
          <w:lang w:val="es-ES_tradnl"/>
        </w:rPr>
        <w:t xml:space="preserve">la disponibilidad, los beneficios y </w:t>
      </w:r>
      <w:r>
        <w:rPr>
          <w:szCs w:val="24"/>
          <w:lang w:val="es-ES"/>
        </w:rPr>
        <w:t xml:space="preserve">la variedad de </w:t>
      </w:r>
      <w:r w:rsidRPr="0091162D">
        <w:rPr>
          <w:szCs w:val="24"/>
          <w:lang w:val="es-ES_tradnl"/>
        </w:rPr>
        <w:t>proveedores</w:t>
      </w:r>
      <w:r w:rsidRPr="00AD721B">
        <w:rPr>
          <w:szCs w:val="24"/>
          <w:lang w:val="es-ES"/>
        </w:rPr>
        <w:t>;</w:t>
      </w:r>
      <w:r>
        <w:rPr>
          <w:szCs w:val="24"/>
          <w:lang w:val="es-ES"/>
        </w:rPr>
        <w:t xml:space="preserve"> y a fin de garantizar una protección transparente y efectiva del usuario, es necesario acordar medidas mínimas en cuanto a calidad y transparencia de información de estos servicios.</w:t>
      </w:r>
    </w:p>
    <w:p w:rsidR="0091162D" w:rsidRPr="0091162D" w:rsidRDefault="0091162D" w:rsidP="00FF7E1E">
      <w:pPr>
        <w:rPr>
          <w:b/>
          <w:szCs w:val="24"/>
          <w:lang w:val="es-ES_tradnl"/>
        </w:rPr>
      </w:pPr>
      <w:bookmarkStart w:id="8" w:name="_GoBack"/>
      <w:r>
        <w:rPr>
          <w:b/>
          <w:szCs w:val="24"/>
          <w:lang w:val="es-ES_tradnl"/>
        </w:rPr>
        <w:t>3</w:t>
      </w:r>
      <w:r>
        <w:rPr>
          <w:b/>
          <w:szCs w:val="24"/>
          <w:lang w:val="es-ES_tradnl"/>
        </w:rPr>
        <w:tab/>
      </w:r>
      <w:r w:rsidRPr="0091162D">
        <w:rPr>
          <w:b/>
          <w:szCs w:val="24"/>
          <w:lang w:val="es-ES_tradnl"/>
        </w:rPr>
        <w:t>Propuesta</w:t>
      </w:r>
    </w:p>
    <w:bookmarkEnd w:id="8"/>
    <w:p w:rsidR="0091162D" w:rsidRPr="0091162D" w:rsidRDefault="0091162D" w:rsidP="00FF7E1E">
      <w:pPr>
        <w:jc w:val="both"/>
        <w:rPr>
          <w:szCs w:val="24"/>
          <w:lang w:val="es-ES_tradnl"/>
        </w:rPr>
      </w:pPr>
      <w:r w:rsidRPr="001B7F15">
        <w:rPr>
          <w:szCs w:val="24"/>
          <w:lang w:val="es-ES"/>
        </w:rPr>
        <w:t xml:space="preserve">Los Estados Miembros de la CITEL proponen a la Conferencia Mundial de Telecomunicaciones Internacionales, CMTI-12, para tal efecto la </w:t>
      </w:r>
      <w:r w:rsidRPr="0091162D">
        <w:rPr>
          <w:szCs w:val="24"/>
          <w:lang w:val="es-ES_tradnl"/>
        </w:rPr>
        <w:t>adición de un nuevo Artículo 4.X al Reglamento de las Telecomunicaciones Internacionales con el texto siguiente:</w:t>
      </w:r>
    </w:p>
    <w:p w:rsidR="0091162D" w:rsidRPr="00164095" w:rsidRDefault="0091162D" w:rsidP="00FF7E1E">
      <w:pPr>
        <w:tabs>
          <w:tab w:val="left" w:pos="708"/>
        </w:tabs>
        <w:spacing w:after="120"/>
        <w:ind w:left="720"/>
        <w:jc w:val="both"/>
        <w:rPr>
          <w:i/>
          <w:szCs w:val="24"/>
          <w:lang w:val="es-PY"/>
        </w:rPr>
      </w:pPr>
      <w:r w:rsidRPr="0091162D">
        <w:rPr>
          <w:i/>
          <w:szCs w:val="24"/>
          <w:lang w:val="es-ES_tradnl"/>
        </w:rPr>
        <w:t xml:space="preserve">Los acuerdos entre </w:t>
      </w:r>
      <w:r w:rsidRPr="00164095">
        <w:rPr>
          <w:i/>
          <w:szCs w:val="24"/>
          <w:lang w:val="es-PY"/>
        </w:rPr>
        <w:t>administraciones</w:t>
      </w:r>
      <w:r>
        <w:rPr>
          <w:i/>
          <w:szCs w:val="24"/>
          <w:vertAlign w:val="superscript"/>
          <w:lang w:val="es-PY"/>
        </w:rPr>
        <w:t>**</w:t>
      </w:r>
      <w:r>
        <w:rPr>
          <w:i/>
          <w:szCs w:val="24"/>
          <w:lang w:val="es-PY"/>
        </w:rPr>
        <w:t xml:space="preserve"> </w:t>
      </w:r>
      <w:r w:rsidRPr="00164095">
        <w:rPr>
          <w:i/>
          <w:szCs w:val="24"/>
          <w:lang w:val="es-PY"/>
        </w:rPr>
        <w:t xml:space="preserve"> para prestar servicios de telecomunicaciones en </w:t>
      </w:r>
      <w:proofErr w:type="spellStart"/>
      <w:r w:rsidRPr="00164095">
        <w:rPr>
          <w:i/>
          <w:szCs w:val="24"/>
          <w:lang w:val="es-PY"/>
        </w:rPr>
        <w:t>itinerancia</w:t>
      </w:r>
      <w:proofErr w:type="spellEnd"/>
      <w:r w:rsidRPr="00164095">
        <w:rPr>
          <w:i/>
          <w:szCs w:val="24"/>
          <w:lang w:val="es-PY"/>
        </w:rPr>
        <w:t xml:space="preserve"> internacional deberán contemplar que la prestación se haga:</w:t>
      </w:r>
    </w:p>
    <w:p w:rsidR="0091162D" w:rsidRPr="00164095" w:rsidRDefault="0091162D" w:rsidP="0091162D">
      <w:pPr>
        <w:pStyle w:val="ListParagraph"/>
        <w:numPr>
          <w:ilvl w:val="0"/>
          <w:numId w:val="13"/>
        </w:numPr>
        <w:tabs>
          <w:tab w:val="clear" w:pos="1191"/>
          <w:tab w:val="left" w:pos="708"/>
          <w:tab w:val="left" w:pos="1276"/>
        </w:tabs>
        <w:overflowPunct/>
        <w:autoSpaceDE/>
        <w:adjustRightInd/>
        <w:spacing w:after="120"/>
        <w:ind w:left="1276" w:hanging="357"/>
        <w:jc w:val="both"/>
        <w:rPr>
          <w:i/>
          <w:szCs w:val="24"/>
          <w:lang w:val="es-PY"/>
        </w:rPr>
      </w:pPr>
      <w:r w:rsidRPr="00164095">
        <w:rPr>
          <w:i/>
          <w:szCs w:val="24"/>
          <w:lang w:val="es-PY"/>
        </w:rPr>
        <w:t>A los usuarios visitantes con una calidad similar a la que prestan a sus propios usuarios, y</w:t>
      </w:r>
    </w:p>
    <w:p w:rsidR="0091162D" w:rsidRPr="00164095" w:rsidRDefault="0091162D" w:rsidP="0091162D">
      <w:pPr>
        <w:pStyle w:val="ListParagraph"/>
        <w:numPr>
          <w:ilvl w:val="0"/>
          <w:numId w:val="13"/>
        </w:numPr>
        <w:tabs>
          <w:tab w:val="clear" w:pos="1191"/>
          <w:tab w:val="left" w:pos="708"/>
          <w:tab w:val="left" w:pos="1276"/>
        </w:tabs>
        <w:overflowPunct/>
        <w:autoSpaceDE/>
        <w:adjustRightInd/>
        <w:spacing w:after="120"/>
        <w:ind w:left="1276" w:hanging="357"/>
        <w:jc w:val="both"/>
        <w:rPr>
          <w:i/>
          <w:szCs w:val="24"/>
          <w:lang w:val="es-PY"/>
        </w:rPr>
      </w:pPr>
      <w:r w:rsidRPr="00164095">
        <w:rPr>
          <w:i/>
          <w:szCs w:val="24"/>
          <w:lang w:val="es-PY"/>
        </w:rPr>
        <w:t>Con la disponibilidad</w:t>
      </w:r>
      <w:r>
        <w:rPr>
          <w:i/>
          <w:szCs w:val="24"/>
          <w:lang w:val="es-PY"/>
        </w:rPr>
        <w:t xml:space="preserve"> </w:t>
      </w:r>
      <w:r w:rsidRPr="00164095">
        <w:rPr>
          <w:i/>
          <w:szCs w:val="24"/>
          <w:lang w:val="es-PY"/>
        </w:rPr>
        <w:t xml:space="preserve"> rápida y clara de la información acerca de los mecanismos de acceso a los servicios y los respectivos precios implicados.</w:t>
      </w:r>
    </w:p>
    <w:p w:rsidR="0091162D" w:rsidRPr="0091162D" w:rsidRDefault="0091162D" w:rsidP="00FF7E1E">
      <w:pPr>
        <w:tabs>
          <w:tab w:val="left" w:pos="708"/>
        </w:tabs>
        <w:spacing w:after="120"/>
        <w:ind w:left="720"/>
        <w:jc w:val="both"/>
        <w:rPr>
          <w:i/>
          <w:szCs w:val="24"/>
          <w:lang w:val="es-ES_tradnl"/>
        </w:rPr>
      </w:pPr>
      <w:r w:rsidRPr="00164095">
        <w:rPr>
          <w:i/>
          <w:szCs w:val="24"/>
          <w:lang w:val="es-PY"/>
        </w:rPr>
        <w:t>Asimismo, deberán establecer mecanismos que permitan</w:t>
      </w:r>
      <w:r>
        <w:rPr>
          <w:i/>
          <w:szCs w:val="24"/>
          <w:lang w:val="es-PY"/>
        </w:rPr>
        <w:t xml:space="preserve"> </w:t>
      </w:r>
      <w:r w:rsidRPr="00164095">
        <w:rPr>
          <w:i/>
          <w:szCs w:val="24"/>
          <w:lang w:val="es-PY"/>
        </w:rPr>
        <w:t xml:space="preserve"> el monitoreo del cumplimiento de los puntos mencionados.</w:t>
      </w:r>
    </w:p>
    <w:p w:rsidR="0065234D" w:rsidRDefault="0065234D">
      <w:pPr>
        <w:pStyle w:val="Title1"/>
        <w:spacing w:before="0"/>
      </w:pPr>
      <w:r>
        <w:t xml:space="preserve">_______________ </w:t>
      </w:r>
      <w:r>
        <w:tab/>
      </w:r>
    </w:p>
    <w:sectPr w:rsidR="0065234D">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1E" w:rsidRDefault="00FF7E1E">
      <w:r>
        <w:separator/>
      </w:r>
    </w:p>
  </w:endnote>
  <w:endnote w:type="continuationSeparator" w:id="0">
    <w:p w:rsidR="00FF7E1E" w:rsidRDefault="00FF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F7E1E" w:rsidTr="005F1AC3">
      <w:tblPrEx>
        <w:tblCellMar>
          <w:top w:w="0" w:type="dxa"/>
          <w:bottom w:w="0" w:type="dxa"/>
        </w:tblCellMar>
      </w:tblPrEx>
      <w:trPr>
        <w:cantSplit/>
        <w:trHeight w:val="204"/>
        <w:jc w:val="center"/>
      </w:trPr>
      <w:tc>
        <w:tcPr>
          <w:tcW w:w="1617" w:type="dxa"/>
          <w:tcBorders>
            <w:top w:val="single" w:sz="12" w:space="0" w:color="auto"/>
          </w:tcBorders>
        </w:tcPr>
        <w:p w:rsidR="00FF7E1E" w:rsidRDefault="00FF7E1E" w:rsidP="005F1AC3">
          <w:pPr>
            <w:rPr>
              <w:b/>
              <w:bCs/>
              <w:sz w:val="22"/>
            </w:rPr>
          </w:pPr>
        </w:p>
      </w:tc>
      <w:tc>
        <w:tcPr>
          <w:tcW w:w="4394" w:type="dxa"/>
          <w:tcBorders>
            <w:top w:val="single" w:sz="12" w:space="0" w:color="auto"/>
          </w:tcBorders>
        </w:tcPr>
        <w:p w:rsidR="00FF7E1E" w:rsidRDefault="00FF7E1E" w:rsidP="005F1AC3">
          <w:pPr>
            <w:spacing w:before="0"/>
            <w:rPr>
              <w:sz w:val="22"/>
            </w:rPr>
          </w:pPr>
        </w:p>
      </w:tc>
      <w:tc>
        <w:tcPr>
          <w:tcW w:w="3912" w:type="dxa"/>
          <w:tcBorders>
            <w:top w:val="single" w:sz="12" w:space="0" w:color="auto"/>
          </w:tcBorders>
        </w:tcPr>
        <w:p w:rsidR="00FF7E1E" w:rsidRPr="00AB52AF" w:rsidRDefault="00FF7E1E" w:rsidP="005F1AC3">
          <w:pPr>
            <w:spacing w:before="0"/>
            <w:rPr>
              <w:sz w:val="22"/>
            </w:rPr>
          </w:pPr>
        </w:p>
      </w:tc>
    </w:tr>
    <w:tr w:rsidR="00FF7E1E" w:rsidTr="005F1AC3">
      <w:tblPrEx>
        <w:tblCellMar>
          <w:top w:w="0" w:type="dxa"/>
          <w:left w:w="108" w:type="dxa"/>
          <w:bottom w:w="0"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F7E1E" w:rsidRDefault="00FF7E1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F7E1E" w:rsidRDefault="00FF7E1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1E" w:rsidRDefault="00FF7E1E">
      <w:r>
        <w:separator/>
      </w:r>
    </w:p>
  </w:footnote>
  <w:footnote w:type="continuationSeparator" w:id="0">
    <w:p w:rsidR="00FF7E1E" w:rsidRDefault="00FF7E1E">
      <w:r>
        <w:continuationSeparator/>
      </w:r>
    </w:p>
  </w:footnote>
  <w:footnote w:id="1">
    <w:p w:rsidR="00FF7E1E" w:rsidRPr="0091162D" w:rsidRDefault="00FF7E1E" w:rsidP="00FF7E1E">
      <w:pPr>
        <w:pStyle w:val="FootnoteText"/>
        <w:rPr>
          <w:sz w:val="18"/>
          <w:szCs w:val="18"/>
          <w:lang w:val="es-PY"/>
        </w:rPr>
      </w:pPr>
      <w:r>
        <w:rPr>
          <w:rStyle w:val="FootnoteReference"/>
        </w:rPr>
        <w:footnoteRef/>
      </w:r>
      <w:r w:rsidRPr="0091162D">
        <w:rPr>
          <w:sz w:val="18"/>
          <w:szCs w:val="18"/>
          <w:lang w:val="es-PY"/>
        </w:rPr>
        <w:t xml:space="preserve">Estudio Regional del Mercado Suramericano del Servicio de </w:t>
      </w:r>
      <w:proofErr w:type="spellStart"/>
      <w:r w:rsidRPr="0091162D">
        <w:rPr>
          <w:sz w:val="18"/>
          <w:szCs w:val="18"/>
          <w:lang w:val="es-PY"/>
        </w:rPr>
        <w:t>Roaming</w:t>
      </w:r>
      <w:proofErr w:type="spellEnd"/>
      <w:r w:rsidRPr="0091162D">
        <w:rPr>
          <w:sz w:val="18"/>
          <w:szCs w:val="18"/>
          <w:lang w:val="es-PY"/>
        </w:rPr>
        <w:t xml:space="preserve"> –  José María Díaz Batanero – BID: </w:t>
      </w:r>
      <w:hyperlink r:id="rId1" w:history="1">
        <w:r w:rsidRPr="0091162D">
          <w:rPr>
            <w:rStyle w:val="Hyperlink"/>
            <w:sz w:val="18"/>
            <w:szCs w:val="18"/>
            <w:lang w:val="es-PY"/>
          </w:rPr>
          <w:t>http://www.slideshare.net/jbossio/estudio-regional-mercado-de-roaming-sudamericano-presentation-636696</w:t>
        </w:r>
      </w:hyperlink>
    </w:p>
  </w:footnote>
  <w:footnote w:id="2">
    <w:p w:rsidR="00FF7E1E" w:rsidRPr="0091162D" w:rsidRDefault="00FF7E1E" w:rsidP="0091162D">
      <w:pPr>
        <w:pStyle w:val="FootnoteText"/>
        <w:spacing w:before="0"/>
        <w:rPr>
          <w:sz w:val="18"/>
          <w:szCs w:val="18"/>
          <w:lang w:val="en-US"/>
        </w:rPr>
      </w:pPr>
      <w:r w:rsidRPr="0091162D">
        <w:rPr>
          <w:rStyle w:val="FootnoteReference"/>
          <w:szCs w:val="18"/>
        </w:rPr>
        <w:footnoteRef/>
      </w:r>
      <w:r w:rsidRPr="0091162D">
        <w:rPr>
          <w:sz w:val="18"/>
          <w:szCs w:val="18"/>
          <w:lang w:val="en-US"/>
        </w:rPr>
        <w:t xml:space="preserve"> EU Roaming Rules: </w:t>
      </w:r>
      <w:hyperlink r:id="rId2" w:history="1">
        <w:r w:rsidRPr="0091162D">
          <w:rPr>
            <w:rStyle w:val="Hyperlink"/>
            <w:sz w:val="18"/>
            <w:szCs w:val="18"/>
            <w:lang w:val="en-US"/>
          </w:rPr>
          <w:t>http://ec.europa.eu/information_society/activities/roaming/regulation/archives/current_rules/index_en.htm</w:t>
        </w:r>
      </w:hyperlink>
    </w:p>
    <w:p w:rsidR="00FF7E1E" w:rsidRPr="0091162D" w:rsidRDefault="00FF7E1E" w:rsidP="0091162D">
      <w:pPr>
        <w:pStyle w:val="FootnoteText"/>
        <w:spacing w:before="0"/>
        <w:rPr>
          <w:sz w:val="18"/>
          <w:szCs w:val="18"/>
          <w:lang w:val="en-US"/>
        </w:rPr>
      </w:pPr>
    </w:p>
  </w:footnote>
  <w:footnote w:id="3">
    <w:p w:rsidR="00FF7E1E" w:rsidRPr="0091162D" w:rsidRDefault="00FF7E1E" w:rsidP="00FF7E1E">
      <w:pPr>
        <w:pStyle w:val="FootnoteText"/>
        <w:spacing w:before="0"/>
        <w:rPr>
          <w:sz w:val="18"/>
          <w:szCs w:val="18"/>
          <w:lang w:val="en-US"/>
        </w:rPr>
      </w:pPr>
      <w:r w:rsidRPr="0091162D">
        <w:rPr>
          <w:rStyle w:val="FootnoteReference"/>
          <w:szCs w:val="18"/>
        </w:rPr>
        <w:footnoteRef/>
      </w:r>
      <w:r w:rsidRPr="0091162D">
        <w:rPr>
          <w:sz w:val="18"/>
          <w:szCs w:val="18"/>
          <w:lang w:val="en-US"/>
        </w:rPr>
        <w:t xml:space="preserve"> Proposals of the AREGNET Working Group on International Roaming: </w:t>
      </w:r>
      <w:hyperlink r:id="rId3" w:history="1">
        <w:r w:rsidRPr="0091162D">
          <w:rPr>
            <w:rStyle w:val="Hyperlink"/>
            <w:sz w:val="18"/>
            <w:szCs w:val="18"/>
            <w:lang w:val="en-US"/>
          </w:rPr>
          <w:t>http://www.tra.org.bh/en/pdf/Presentation_Background_Roaming-MOU.pdf</w:t>
        </w:r>
      </w:hyperlink>
    </w:p>
  </w:footnote>
  <w:footnote w:id="4">
    <w:p w:rsidR="00FF7E1E" w:rsidRPr="0091162D" w:rsidRDefault="00FF7E1E" w:rsidP="00FF7E1E">
      <w:pPr>
        <w:pStyle w:val="FootnoteText"/>
        <w:spacing w:before="0"/>
        <w:rPr>
          <w:sz w:val="18"/>
          <w:szCs w:val="18"/>
          <w:lang w:val="en-US"/>
        </w:rPr>
      </w:pPr>
      <w:r w:rsidRPr="0091162D">
        <w:rPr>
          <w:rStyle w:val="FootnoteReference"/>
          <w:szCs w:val="18"/>
        </w:rPr>
        <w:footnoteRef/>
      </w:r>
      <w:hyperlink r:id="rId4" w:history="1">
        <w:r w:rsidRPr="0091162D">
          <w:rPr>
            <w:rStyle w:val="Hyperlink"/>
            <w:sz w:val="18"/>
            <w:szCs w:val="18"/>
            <w:lang w:val="en-US"/>
          </w:rPr>
          <w:t>http://www.eesc.europa.eu/self-and-coregulation/documents/codes/private/039-private-act.pdf</w:t>
        </w:r>
      </w:hyperlink>
    </w:p>
  </w:footnote>
  <w:footnote w:id="5">
    <w:p w:rsidR="00FF7E1E" w:rsidRPr="0091162D" w:rsidRDefault="00FF7E1E" w:rsidP="00FF7E1E">
      <w:pPr>
        <w:pStyle w:val="FootnoteText"/>
        <w:spacing w:before="0"/>
        <w:rPr>
          <w:sz w:val="18"/>
          <w:szCs w:val="18"/>
          <w:lang w:val="en-US"/>
        </w:rPr>
      </w:pPr>
      <w:r w:rsidRPr="0091162D">
        <w:rPr>
          <w:rStyle w:val="FootnoteReference"/>
          <w:szCs w:val="18"/>
        </w:rPr>
        <w:footnoteRef/>
      </w:r>
      <w:hyperlink r:id="rId5" w:history="1">
        <w:r w:rsidRPr="0091162D">
          <w:rPr>
            <w:rStyle w:val="Hyperlink"/>
            <w:sz w:val="18"/>
            <w:szCs w:val="18"/>
            <w:lang w:val="en-US"/>
          </w:rPr>
          <w:t>http://www.gsmaw.org/documents/gsme_coc_int_roaming.pdf</w:t>
        </w:r>
      </w:hyperlink>
    </w:p>
  </w:footnote>
  <w:footnote w:id="6">
    <w:p w:rsidR="00FF7E1E" w:rsidRPr="0091162D" w:rsidRDefault="00FF7E1E" w:rsidP="00FF7E1E">
      <w:pPr>
        <w:pStyle w:val="FootnoteText"/>
        <w:spacing w:before="0"/>
        <w:rPr>
          <w:sz w:val="18"/>
          <w:szCs w:val="18"/>
          <w:lang w:val="en-US"/>
        </w:rPr>
      </w:pPr>
      <w:r w:rsidRPr="0091162D">
        <w:rPr>
          <w:rStyle w:val="FootnoteReference"/>
          <w:szCs w:val="18"/>
        </w:rPr>
        <w:footnoteRef/>
      </w:r>
      <w:hyperlink r:id="rId6" w:history="1">
        <w:r w:rsidRPr="0091162D">
          <w:rPr>
            <w:rStyle w:val="Hyperlink"/>
            <w:sz w:val="18"/>
            <w:szCs w:val="18"/>
            <w:lang w:val="en-US"/>
          </w:rPr>
          <w:t>http://webnet.oecd.org/OECDACTS/Instruments/ShowInstrumentView.aspx?InstrumentID=271&amp;InstrumentPID=276&amp;Lang=en&amp;Book=False</w:t>
        </w:r>
      </w:hyperlink>
    </w:p>
    <w:p w:rsidR="00FF7E1E" w:rsidRPr="0091162D" w:rsidRDefault="00FF7E1E">
      <w:pPr>
        <w:pStyle w:val="FootnoteText"/>
        <w:rPr>
          <w:sz w:val="18"/>
          <w:szCs w:val="18"/>
          <w:lang w:val="en-US"/>
        </w:rPr>
      </w:pPr>
      <w:r w:rsidRPr="0091162D">
        <w:rPr>
          <w:sz w:val="18"/>
          <w:szCs w:val="18"/>
          <w:vertAlign w:val="superscript"/>
          <w:lang w:val="en-US"/>
        </w:rPr>
        <w:t xml:space="preserve">** </w:t>
      </w:r>
      <w:proofErr w:type="spellStart"/>
      <w:r w:rsidRPr="0091162D">
        <w:rPr>
          <w:sz w:val="18"/>
          <w:szCs w:val="18"/>
          <w:lang w:val="en-US"/>
        </w:rPr>
        <w:t>empresas</w:t>
      </w:r>
      <w:proofErr w:type="spellEnd"/>
      <w:r w:rsidRPr="0091162D">
        <w:rPr>
          <w:sz w:val="18"/>
          <w:szCs w:val="18"/>
          <w:lang w:val="en-US"/>
        </w:rPr>
        <w:t xml:space="preserve"> de </w:t>
      </w:r>
      <w:proofErr w:type="spellStart"/>
      <w:r w:rsidRPr="0091162D">
        <w:rPr>
          <w:sz w:val="18"/>
          <w:szCs w:val="18"/>
          <w:lang w:val="en-US"/>
        </w:rPr>
        <w:t>explotación</w:t>
      </w:r>
      <w:proofErr w:type="spellEnd"/>
      <w:r w:rsidRPr="0091162D">
        <w:rPr>
          <w:sz w:val="18"/>
          <w:szCs w:val="18"/>
          <w:lang w:val="en-US"/>
        </w:rPr>
        <w:t xml:space="preserve"> </w:t>
      </w:r>
      <w:proofErr w:type="spellStart"/>
      <w:r w:rsidRPr="0091162D">
        <w:rPr>
          <w:sz w:val="18"/>
          <w:szCs w:val="18"/>
          <w:lang w:val="en-US"/>
        </w:rPr>
        <w:t>reconocidas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1E" w:rsidRDefault="00FF7E1E" w:rsidP="005F1AC3">
    <w:pPr>
      <w:pStyle w:val="Header"/>
    </w:pPr>
    <w:r>
      <w:t xml:space="preserve">- </w:t>
    </w:r>
    <w:r>
      <w:fldChar w:fldCharType="begin"/>
    </w:r>
    <w:r>
      <w:instrText xml:space="preserve"> PAGE  \* MERGEFORMAT </w:instrText>
    </w:r>
    <w:r>
      <w:fldChar w:fldCharType="separate"/>
    </w:r>
    <w:r w:rsidR="00D46733">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7">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7"/>
  </w:num>
  <w:num w:numId="8">
    <w:abstractNumId w:val="8"/>
  </w:num>
  <w:num w:numId="9">
    <w:abstractNumId w:val="1"/>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3A6BCB"/>
    <w:rsid w:val="005F1AC3"/>
    <w:rsid w:val="0065234D"/>
    <w:rsid w:val="0091162D"/>
    <w:rsid w:val="00C51AB5"/>
    <w:rsid w:val="00D46733"/>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99"/>
    <w:qFormat/>
    <w:rsid w:val="0091162D"/>
    <w:pPr>
      <w:tabs>
        <w:tab w:val="left" w:pos="794"/>
        <w:tab w:val="left" w:pos="1191"/>
        <w:tab w:val="left" w:pos="1588"/>
        <w:tab w:val="left" w:pos="1985"/>
      </w:tabs>
      <w:ind w:left="720"/>
      <w:contextualSpacing/>
      <w:textAlignment w:val="auto"/>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99"/>
    <w:qFormat/>
    <w:rsid w:val="0091162D"/>
    <w:pPr>
      <w:tabs>
        <w:tab w:val="left" w:pos="794"/>
        <w:tab w:val="left" w:pos="1191"/>
        <w:tab w:val="left" w:pos="1588"/>
        <w:tab w:val="left" w:pos="1985"/>
      </w:tabs>
      <w:ind w:left="720"/>
      <w:contextualSpacing/>
      <w:textAlignment w:val="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tra.org.bh/en/pdf/Presentation_Background_Roaming-MOU.pdf" TargetMode="External"/><Relationship Id="rId2" Type="http://schemas.openxmlformats.org/officeDocument/2006/relationships/hyperlink" Target="http://ec.europa.eu/information_society/activities/roaming/regulation/archives/current_rules/index_en.htm" TargetMode="External"/><Relationship Id="rId1" Type="http://schemas.openxmlformats.org/officeDocument/2006/relationships/hyperlink" Target="http://www.slideshare.net/jbossio/estudio-regional-mercado-de-roaming-sudamericano-presentation-636696" TargetMode="External"/><Relationship Id="rId6" Type="http://schemas.openxmlformats.org/officeDocument/2006/relationships/hyperlink" Target="http://webnet.oecd.org/OECDACTS/Instruments/ShowInstrumentView.aspx?InstrumentID=271&amp;InstrumentPID=276&amp;Lang=en&amp;Book=False" TargetMode="External"/><Relationship Id="rId5" Type="http://schemas.openxmlformats.org/officeDocument/2006/relationships/hyperlink" Target="http://www.gsmaw.org/documents/gsme_coc_int_roaming.pdf" TargetMode="External"/><Relationship Id="rId4" Type="http://schemas.openxmlformats.org/officeDocument/2006/relationships/hyperlink" Target="http://www.eesc.europa.eu/self-and-coregulation/documents/codes/private/039-private-a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0</TotalTime>
  <Pages>2</Pages>
  <Words>701</Words>
  <Characters>4075</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2</cp:revision>
  <cp:lastPrinted>2012-05-09T07:33:00Z</cp:lastPrinted>
  <dcterms:created xsi:type="dcterms:W3CDTF">2012-05-09T07:42:00Z</dcterms:created>
  <dcterms:modified xsi:type="dcterms:W3CDTF">2012-05-09T07:42:00Z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