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2" w:type="dxa"/>
        <w:tblLayout w:type="fixed"/>
        <w:tblCellMar>
          <w:left w:w="57" w:type="dxa"/>
          <w:right w:w="57" w:type="dxa"/>
        </w:tblCellMar>
        <w:tblLook w:val="0000" w:firstRow="0" w:lastRow="0" w:firstColumn="0" w:lastColumn="0" w:noHBand="0" w:noVBand="0"/>
      </w:tblPr>
      <w:tblGrid>
        <w:gridCol w:w="1324"/>
        <w:gridCol w:w="186"/>
        <w:gridCol w:w="3097"/>
        <w:gridCol w:w="459"/>
        <w:gridCol w:w="1037"/>
        <w:gridCol w:w="3109"/>
      </w:tblGrid>
      <w:tr w:rsidR="0065234D" w:rsidTr="0064646F">
        <w:tblPrEx>
          <w:tblCellMar>
            <w:top w:w="0" w:type="dxa"/>
            <w:bottom w:w="0" w:type="dxa"/>
          </w:tblCellMar>
        </w:tblPrEx>
        <w:trPr>
          <w:cantSplit/>
        </w:trPr>
        <w:tc>
          <w:tcPr>
            <w:tcW w:w="1324" w:type="dxa"/>
            <w:vMerge w:val="restart"/>
          </w:tcPr>
          <w:p w:rsidR="0065234D" w:rsidRDefault="003A6BCB">
            <w:bookmarkStart w:id="0" w:name="dtableau"/>
            <w:bookmarkStart w:id="1" w:name="InsertLogo"/>
            <w:bookmarkStart w:id="2" w:name="dnum" w:colFirst="2" w:colLast="2"/>
            <w:bookmarkEnd w:id="1"/>
            <w:r>
              <w:rPr>
                <w:b/>
                <w:noProof/>
                <w:sz w:val="36"/>
                <w:lang w:val="en-US" w:eastAsia="zh-CN"/>
              </w:rPr>
              <w:drawing>
                <wp:inline distT="0" distB="0" distL="0" distR="0" wp14:anchorId="0BD2AC64" wp14:editId="2C2C4235">
                  <wp:extent cx="766445" cy="843280"/>
                  <wp:effectExtent l="0" t="0" r="0" b="0"/>
                  <wp:docPr id="1" name="Picture 1" descr="itu-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ol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6445" cy="843280"/>
                          </a:xfrm>
                          <a:prstGeom prst="rect">
                            <a:avLst/>
                          </a:prstGeom>
                          <a:noFill/>
                          <a:ln>
                            <a:noFill/>
                          </a:ln>
                        </pic:spPr>
                      </pic:pic>
                    </a:graphicData>
                  </a:graphic>
                </wp:inline>
              </w:drawing>
            </w:r>
          </w:p>
        </w:tc>
        <w:tc>
          <w:tcPr>
            <w:tcW w:w="4779" w:type="dxa"/>
            <w:gridSpan w:val="4"/>
          </w:tcPr>
          <w:p w:rsidR="0065234D" w:rsidRDefault="0065234D">
            <w:pPr>
              <w:rPr>
                <w:sz w:val="20"/>
              </w:rPr>
            </w:pPr>
            <w:r>
              <w:rPr>
                <w:sz w:val="20"/>
              </w:rPr>
              <w:t>INTERNATIONAL TELECOMMUNICATION UNION</w:t>
            </w:r>
          </w:p>
        </w:tc>
        <w:tc>
          <w:tcPr>
            <w:tcW w:w="3109" w:type="dxa"/>
          </w:tcPr>
          <w:p w:rsidR="0065234D" w:rsidRDefault="0065234D" w:rsidP="0064646F">
            <w:pPr>
              <w:jc w:val="right"/>
              <w:rPr>
                <w:b/>
                <w:sz w:val="28"/>
              </w:rPr>
            </w:pPr>
            <w:r>
              <w:rPr>
                <w:b/>
                <w:sz w:val="28"/>
              </w:rPr>
              <w:t xml:space="preserve">Document No </w:t>
            </w:r>
            <w:r w:rsidR="0064646F">
              <w:rPr>
                <w:b/>
                <w:sz w:val="28"/>
              </w:rPr>
              <w:t>2</w:t>
            </w:r>
          </w:p>
        </w:tc>
      </w:tr>
      <w:tr w:rsidR="0065234D" w:rsidTr="0064646F">
        <w:tblPrEx>
          <w:tblCellMar>
            <w:top w:w="0" w:type="dxa"/>
            <w:bottom w:w="0" w:type="dxa"/>
          </w:tblCellMar>
        </w:tblPrEx>
        <w:trPr>
          <w:cantSplit/>
          <w:trHeight w:val="355"/>
        </w:trPr>
        <w:tc>
          <w:tcPr>
            <w:tcW w:w="1324" w:type="dxa"/>
            <w:vMerge/>
          </w:tcPr>
          <w:p w:rsidR="0065234D" w:rsidRDefault="0065234D">
            <w:bookmarkStart w:id="3" w:name="ddate" w:colFirst="2" w:colLast="2"/>
            <w:bookmarkEnd w:id="2"/>
          </w:p>
        </w:tc>
        <w:tc>
          <w:tcPr>
            <w:tcW w:w="3742" w:type="dxa"/>
            <w:gridSpan w:val="3"/>
            <w:vMerge w:val="restart"/>
          </w:tcPr>
          <w:p w:rsidR="0065234D" w:rsidRDefault="0065234D">
            <w:pPr>
              <w:rPr>
                <w:b/>
                <w:bCs/>
                <w:sz w:val="26"/>
              </w:rPr>
            </w:pPr>
            <w:r>
              <w:rPr>
                <w:b/>
                <w:bCs/>
                <w:sz w:val="26"/>
              </w:rPr>
              <w:t>TELECOMMUNICATION</w:t>
            </w:r>
            <w:r>
              <w:rPr>
                <w:b/>
                <w:bCs/>
                <w:sz w:val="26"/>
              </w:rPr>
              <w:br/>
              <w:t>STANDARDIZATION SECTOR</w:t>
            </w:r>
          </w:p>
          <w:p w:rsidR="0065234D" w:rsidRDefault="003A6BCB">
            <w:pPr>
              <w:rPr>
                <w:smallCaps/>
                <w:sz w:val="20"/>
              </w:rPr>
            </w:pPr>
            <w:r w:rsidRPr="003A6BCB">
              <w:rPr>
                <w:sz w:val="20"/>
              </w:rPr>
              <w:t>STUDY PERIOD 2009-2012</w:t>
            </w:r>
          </w:p>
        </w:tc>
        <w:tc>
          <w:tcPr>
            <w:tcW w:w="4146" w:type="dxa"/>
            <w:gridSpan w:val="2"/>
          </w:tcPr>
          <w:p w:rsidR="0065234D" w:rsidRDefault="00FF7E1E" w:rsidP="00FF7E1E">
            <w:pPr>
              <w:jc w:val="right"/>
              <w:rPr>
                <w:b/>
                <w:bCs/>
                <w:sz w:val="28"/>
              </w:rPr>
            </w:pPr>
            <w:r>
              <w:rPr>
                <w:b/>
                <w:bCs/>
                <w:sz w:val="28"/>
              </w:rPr>
              <w:t xml:space="preserve">9 </w:t>
            </w:r>
            <w:r w:rsidR="003A6BCB">
              <w:rPr>
                <w:b/>
                <w:bCs/>
                <w:sz w:val="28"/>
              </w:rPr>
              <w:t>May 2012</w:t>
            </w:r>
          </w:p>
        </w:tc>
      </w:tr>
      <w:tr w:rsidR="0065234D" w:rsidTr="0064646F">
        <w:tblPrEx>
          <w:tblCellMar>
            <w:top w:w="0" w:type="dxa"/>
            <w:bottom w:w="0" w:type="dxa"/>
          </w:tblCellMar>
        </w:tblPrEx>
        <w:trPr>
          <w:cantSplit/>
          <w:trHeight w:val="780"/>
        </w:trPr>
        <w:tc>
          <w:tcPr>
            <w:tcW w:w="1324" w:type="dxa"/>
            <w:vMerge/>
            <w:tcBorders>
              <w:bottom w:val="single" w:sz="12" w:space="0" w:color="auto"/>
            </w:tcBorders>
          </w:tcPr>
          <w:p w:rsidR="0065234D" w:rsidRDefault="0065234D">
            <w:bookmarkStart w:id="4" w:name="dorlang" w:colFirst="2" w:colLast="2"/>
            <w:bookmarkEnd w:id="3"/>
          </w:p>
        </w:tc>
        <w:tc>
          <w:tcPr>
            <w:tcW w:w="3742" w:type="dxa"/>
            <w:gridSpan w:val="3"/>
            <w:vMerge/>
            <w:tcBorders>
              <w:bottom w:val="single" w:sz="12" w:space="0" w:color="auto"/>
            </w:tcBorders>
          </w:tcPr>
          <w:p w:rsidR="0065234D" w:rsidRDefault="0065234D">
            <w:pPr>
              <w:rPr>
                <w:b/>
                <w:bCs/>
                <w:sz w:val="26"/>
              </w:rPr>
            </w:pPr>
          </w:p>
        </w:tc>
        <w:tc>
          <w:tcPr>
            <w:tcW w:w="4146" w:type="dxa"/>
            <w:gridSpan w:val="2"/>
            <w:tcBorders>
              <w:bottom w:val="single" w:sz="12" w:space="0" w:color="auto"/>
            </w:tcBorders>
            <w:vAlign w:val="center"/>
          </w:tcPr>
          <w:p w:rsidR="0065234D" w:rsidRDefault="0065234D" w:rsidP="003A6BCB">
            <w:pPr>
              <w:jc w:val="right"/>
              <w:rPr>
                <w:b/>
                <w:bCs/>
                <w:sz w:val="28"/>
              </w:rPr>
            </w:pPr>
            <w:r>
              <w:rPr>
                <w:b/>
                <w:bCs/>
                <w:sz w:val="28"/>
              </w:rPr>
              <w:t xml:space="preserve">Original: </w:t>
            </w:r>
            <w:r w:rsidR="003A6BCB">
              <w:rPr>
                <w:b/>
                <w:bCs/>
                <w:sz w:val="28"/>
              </w:rPr>
              <w:t>Spanish</w:t>
            </w:r>
            <w:r>
              <w:rPr>
                <w:b/>
                <w:bCs/>
                <w:sz w:val="28"/>
              </w:rPr>
              <w:t xml:space="preserve">    </w:t>
            </w:r>
          </w:p>
        </w:tc>
      </w:tr>
      <w:tr w:rsidR="00FF7E1E" w:rsidTr="0064646F">
        <w:tblPrEx>
          <w:tblCellMar>
            <w:top w:w="0" w:type="dxa"/>
            <w:bottom w:w="0" w:type="dxa"/>
          </w:tblCellMar>
        </w:tblPrEx>
        <w:trPr>
          <w:cantSplit/>
          <w:trHeight w:val="357"/>
        </w:trPr>
        <w:tc>
          <w:tcPr>
            <w:tcW w:w="4607" w:type="dxa"/>
            <w:gridSpan w:val="3"/>
          </w:tcPr>
          <w:p w:rsidR="00FF7E1E" w:rsidRDefault="00FF7E1E" w:rsidP="00FF7E1E">
            <w:pPr>
              <w:rPr>
                <w:b/>
                <w:bCs/>
              </w:rPr>
            </w:pPr>
            <w:bookmarkStart w:id="5" w:name="dtitle" w:colFirst="0" w:colLast="0"/>
            <w:bookmarkEnd w:id="4"/>
            <w:r>
              <w:rPr>
                <w:b/>
                <w:bCs/>
              </w:rPr>
              <w:t>WTSA/WCIT-12 Preparatory Meeting Buenos Aires, Argentina</w:t>
            </w:r>
          </w:p>
        </w:tc>
        <w:tc>
          <w:tcPr>
            <w:tcW w:w="4605" w:type="dxa"/>
            <w:gridSpan w:val="3"/>
          </w:tcPr>
          <w:p w:rsidR="00FF7E1E" w:rsidRDefault="00FF7E1E" w:rsidP="00FF7E1E">
            <w:pPr>
              <w:jc w:val="right"/>
              <w:rPr>
                <w:b/>
                <w:bCs/>
              </w:rPr>
            </w:pPr>
            <w:r>
              <w:rPr>
                <w:b/>
                <w:bCs/>
              </w:rPr>
              <w:t>14-15 May 2012</w:t>
            </w:r>
          </w:p>
        </w:tc>
      </w:tr>
      <w:tr w:rsidR="00FF7E1E" w:rsidTr="0064646F">
        <w:tblPrEx>
          <w:tblCellMar>
            <w:top w:w="0" w:type="dxa"/>
            <w:bottom w:w="0" w:type="dxa"/>
          </w:tblCellMar>
        </w:tblPrEx>
        <w:trPr>
          <w:cantSplit/>
          <w:trHeight w:val="357"/>
        </w:trPr>
        <w:tc>
          <w:tcPr>
            <w:tcW w:w="9212" w:type="dxa"/>
            <w:gridSpan w:val="6"/>
          </w:tcPr>
          <w:p w:rsidR="00FF7E1E" w:rsidRDefault="00FF7E1E" w:rsidP="0064646F">
            <w:pPr>
              <w:jc w:val="center"/>
            </w:pPr>
            <w:r w:rsidRPr="00FF7E1E">
              <w:t xml:space="preserve">CONTRIBUTION No </w:t>
            </w:r>
            <w:r w:rsidR="0064646F">
              <w:t>2</w:t>
            </w:r>
          </w:p>
        </w:tc>
      </w:tr>
      <w:tr w:rsidR="0065234D" w:rsidTr="0064646F">
        <w:tblPrEx>
          <w:tblCellMar>
            <w:top w:w="0" w:type="dxa"/>
            <w:bottom w:w="0" w:type="dxa"/>
          </w:tblCellMar>
        </w:tblPrEx>
        <w:trPr>
          <w:cantSplit/>
          <w:trHeight w:val="357"/>
        </w:trPr>
        <w:tc>
          <w:tcPr>
            <w:tcW w:w="1510" w:type="dxa"/>
            <w:gridSpan w:val="2"/>
          </w:tcPr>
          <w:p w:rsidR="0065234D" w:rsidRDefault="0065234D">
            <w:pPr>
              <w:rPr>
                <w:b/>
                <w:bCs/>
              </w:rPr>
            </w:pPr>
            <w:bookmarkStart w:id="6" w:name="dsource" w:colFirst="1" w:colLast="1"/>
            <w:bookmarkEnd w:id="5"/>
            <w:r>
              <w:rPr>
                <w:b/>
                <w:bCs/>
              </w:rPr>
              <w:t>Source:</w:t>
            </w:r>
          </w:p>
        </w:tc>
        <w:tc>
          <w:tcPr>
            <w:tcW w:w="7702" w:type="dxa"/>
            <w:gridSpan w:val="4"/>
          </w:tcPr>
          <w:p w:rsidR="0065234D" w:rsidRDefault="003A6BCB">
            <w:r>
              <w:t>Paraguay</w:t>
            </w:r>
          </w:p>
        </w:tc>
      </w:tr>
      <w:tr w:rsidR="0065234D" w:rsidRPr="0091162D" w:rsidTr="0064646F">
        <w:tblPrEx>
          <w:tblCellMar>
            <w:top w:w="0" w:type="dxa"/>
            <w:bottom w:w="0" w:type="dxa"/>
          </w:tblCellMar>
        </w:tblPrEx>
        <w:trPr>
          <w:cantSplit/>
          <w:trHeight w:val="357"/>
        </w:trPr>
        <w:tc>
          <w:tcPr>
            <w:tcW w:w="1510" w:type="dxa"/>
            <w:gridSpan w:val="2"/>
            <w:tcBorders>
              <w:bottom w:val="single" w:sz="12" w:space="0" w:color="auto"/>
            </w:tcBorders>
          </w:tcPr>
          <w:p w:rsidR="0065234D" w:rsidRDefault="0065234D">
            <w:pPr>
              <w:spacing w:after="120"/>
            </w:pPr>
            <w:bookmarkStart w:id="7" w:name="dtitle1" w:colFirst="1" w:colLast="1"/>
            <w:bookmarkEnd w:id="6"/>
            <w:r>
              <w:rPr>
                <w:b/>
                <w:bCs/>
              </w:rPr>
              <w:t>Title:</w:t>
            </w:r>
          </w:p>
        </w:tc>
        <w:tc>
          <w:tcPr>
            <w:tcW w:w="7702" w:type="dxa"/>
            <w:gridSpan w:val="4"/>
            <w:tcBorders>
              <w:bottom w:val="single" w:sz="12" w:space="0" w:color="auto"/>
            </w:tcBorders>
          </w:tcPr>
          <w:p w:rsidR="0065234D" w:rsidRPr="0091162D" w:rsidRDefault="0064646F" w:rsidP="0064646F">
            <w:pPr>
              <w:pStyle w:val="Equation"/>
              <w:spacing w:after="120"/>
              <w:rPr>
                <w:bCs/>
                <w:caps/>
                <w:szCs w:val="24"/>
                <w:lang w:val="es-ES_tradnl"/>
              </w:rPr>
            </w:pPr>
            <w:r w:rsidRPr="0064646F">
              <w:rPr>
                <w:bCs/>
                <w:szCs w:val="24"/>
                <w:lang w:val="es-ES_tradnl"/>
              </w:rPr>
              <w:t xml:space="preserve">Proyecto </w:t>
            </w:r>
            <w:r>
              <w:rPr>
                <w:bCs/>
                <w:szCs w:val="24"/>
                <w:lang w:val="es-ES_tradnl"/>
              </w:rPr>
              <w:t>d</w:t>
            </w:r>
            <w:r w:rsidRPr="0064646F">
              <w:rPr>
                <w:bCs/>
                <w:szCs w:val="24"/>
                <w:lang w:val="es-ES_tradnl"/>
              </w:rPr>
              <w:t xml:space="preserve">e Propuesta </w:t>
            </w:r>
            <w:r>
              <w:rPr>
                <w:bCs/>
                <w:szCs w:val="24"/>
                <w:lang w:val="es-ES_tradnl"/>
              </w:rPr>
              <w:t>p</w:t>
            </w:r>
            <w:r w:rsidRPr="0064646F">
              <w:rPr>
                <w:bCs/>
                <w:szCs w:val="24"/>
                <w:lang w:val="es-ES_tradnl"/>
              </w:rPr>
              <w:t xml:space="preserve">ara </w:t>
            </w:r>
            <w:r>
              <w:rPr>
                <w:bCs/>
                <w:szCs w:val="24"/>
                <w:lang w:val="es-ES_tradnl"/>
              </w:rPr>
              <w:t>l</w:t>
            </w:r>
            <w:r w:rsidRPr="0064646F">
              <w:rPr>
                <w:bCs/>
                <w:szCs w:val="24"/>
                <w:lang w:val="es-ES_tradnl"/>
              </w:rPr>
              <w:t xml:space="preserve">a Conferencia Mundial </w:t>
            </w:r>
            <w:r>
              <w:rPr>
                <w:bCs/>
                <w:szCs w:val="24"/>
                <w:lang w:val="es-ES_tradnl"/>
              </w:rPr>
              <w:t>d</w:t>
            </w:r>
            <w:r w:rsidRPr="0064646F">
              <w:rPr>
                <w:bCs/>
                <w:szCs w:val="24"/>
                <w:lang w:val="es-ES_tradnl"/>
              </w:rPr>
              <w:t>e Telecomunicaciones Internacionales</w:t>
            </w:r>
            <w:r>
              <w:rPr>
                <w:bCs/>
                <w:szCs w:val="24"/>
                <w:lang w:val="es-ES_tradnl"/>
              </w:rPr>
              <w:t xml:space="preserve"> s</w:t>
            </w:r>
            <w:r w:rsidRPr="0064646F">
              <w:rPr>
                <w:bCs/>
                <w:szCs w:val="24"/>
                <w:lang w:val="es-ES_tradnl"/>
              </w:rPr>
              <w:t xml:space="preserve">obre Conectividad Internacional </w:t>
            </w:r>
            <w:r>
              <w:rPr>
                <w:bCs/>
                <w:szCs w:val="24"/>
                <w:lang w:val="es-ES_tradnl"/>
              </w:rPr>
              <w:t>p</w:t>
            </w:r>
            <w:r w:rsidRPr="0064646F">
              <w:rPr>
                <w:bCs/>
                <w:szCs w:val="24"/>
                <w:lang w:val="es-ES_tradnl"/>
              </w:rPr>
              <w:t>or Internet</w:t>
            </w:r>
            <w:r>
              <w:rPr>
                <w:bCs/>
                <w:szCs w:val="24"/>
                <w:lang w:val="es-ES_tradnl"/>
              </w:rPr>
              <w:t xml:space="preserve"> </w:t>
            </w:r>
            <w:r w:rsidR="0091162D" w:rsidRPr="0091162D">
              <w:rPr>
                <w:bCs/>
                <w:szCs w:val="24"/>
                <w:lang w:val="es-ES_tradnl"/>
              </w:rPr>
              <w:t>(Punto del temario: 3.1.8)</w:t>
            </w:r>
          </w:p>
        </w:tc>
      </w:tr>
    </w:tbl>
    <w:bookmarkEnd w:id="0"/>
    <w:bookmarkEnd w:id="7"/>
    <w:p w:rsidR="0064646F" w:rsidRPr="002B4436" w:rsidRDefault="0064646F">
      <w:pPr>
        <w:tabs>
          <w:tab w:val="left" w:pos="699"/>
          <w:tab w:val="left" w:pos="1080"/>
          <w:tab w:val="left" w:pos="7257"/>
          <w:tab w:val="left" w:pos="7920"/>
          <w:tab w:val="left" w:pos="8508"/>
          <w:tab w:val="left" w:pos="9216"/>
        </w:tabs>
        <w:jc w:val="both"/>
        <w:rPr>
          <w:b/>
          <w:szCs w:val="22"/>
          <w:lang w:val="es-ES"/>
        </w:rPr>
      </w:pPr>
      <w:r>
        <w:rPr>
          <w:b/>
          <w:szCs w:val="22"/>
          <w:lang w:val="es-ES"/>
        </w:rPr>
        <w:t>1</w:t>
      </w:r>
      <w:r>
        <w:rPr>
          <w:b/>
          <w:szCs w:val="22"/>
          <w:lang w:val="es-ES"/>
        </w:rPr>
        <w:tab/>
      </w:r>
      <w:r w:rsidRPr="002B4436">
        <w:rPr>
          <w:b/>
          <w:szCs w:val="22"/>
          <w:lang w:val="es-ES"/>
        </w:rPr>
        <w:t>Introducción</w:t>
      </w:r>
    </w:p>
    <w:p w:rsidR="0064646F" w:rsidRPr="002B4436" w:rsidRDefault="0064646F">
      <w:pPr>
        <w:jc w:val="both"/>
        <w:rPr>
          <w:szCs w:val="22"/>
          <w:lang w:val="es-ES"/>
        </w:rPr>
      </w:pPr>
      <w:r w:rsidRPr="0064646F">
        <w:rPr>
          <w:szCs w:val="22"/>
          <w:lang w:val="es-ES_tradnl"/>
        </w:rPr>
        <w:t>Los países del mundo vienen realizando esfuerzos significativos para el cumplimiento de las metas</w:t>
      </w:r>
      <w:r w:rsidRPr="0064646F">
        <w:rPr>
          <w:lang w:val="es-ES_tradnl"/>
        </w:rPr>
        <w:t xml:space="preserve"> de los Objetivos de Desarrollo del Milenio (ODM) y las de la Cumbre Mundial de la Sociedad de la Información </w:t>
      </w:r>
      <w:r w:rsidRPr="002B4436">
        <w:rPr>
          <w:szCs w:val="22"/>
          <w:lang w:val="es-ES"/>
        </w:rPr>
        <w:t>(CMSI). Así, en muchos países, el despliegue de una infraestructura de red y de aplicaciones de las tecnologías de la información y las comunicaciones, que, de ser posible, utilicen en mayor medida la banda ancha y otras tecnologías innovadoras, se ha vuelto prioritario en sus agendas de desarrollo.</w:t>
      </w:r>
    </w:p>
    <w:p w:rsidR="0064646F" w:rsidRPr="0064646F" w:rsidRDefault="0064646F">
      <w:pPr>
        <w:jc w:val="both"/>
        <w:rPr>
          <w:szCs w:val="22"/>
          <w:lang w:val="es-ES_tradnl"/>
        </w:rPr>
      </w:pPr>
      <w:r w:rsidRPr="0064646F">
        <w:rPr>
          <w:szCs w:val="22"/>
          <w:lang w:val="es-ES_tradnl"/>
        </w:rPr>
        <w:t>Los gobiernos han comprendido la necesidad de establecer políticas públicas y la importancia de la regulación de las telecomunicaciones que permitan acelerar el progreso económico y social de sus países, así como el bienestar de todas las personas, comunidades y pueblos.</w:t>
      </w:r>
    </w:p>
    <w:p w:rsidR="0064646F" w:rsidRPr="0064646F" w:rsidRDefault="0064646F">
      <w:pPr>
        <w:jc w:val="both"/>
        <w:rPr>
          <w:szCs w:val="22"/>
          <w:lang w:val="es-ES_tradnl"/>
        </w:rPr>
      </w:pPr>
      <w:r w:rsidRPr="0064646F">
        <w:rPr>
          <w:szCs w:val="22"/>
          <w:lang w:val="es-ES_tradnl"/>
        </w:rPr>
        <w:t>El papel de los gobiernos incluye el suministro de un marco jurídico claro, coherente y previsible, con el fin de promover un entorno favorable en el que las redes mundiales, incluidas las redes de Internet, sean ampliamente accesibles a todos los ciudadanos sin discriminación alguna y el de garantizar la adecuada protección de los intereses públicos en la gestión de los recursos de Internet.</w:t>
      </w:r>
    </w:p>
    <w:p w:rsidR="0064646F" w:rsidRPr="00672450" w:rsidRDefault="0064646F">
      <w:pPr>
        <w:jc w:val="both"/>
        <w:rPr>
          <w:b/>
          <w:szCs w:val="22"/>
          <w:lang w:val="es-ES"/>
        </w:rPr>
      </w:pPr>
      <w:r>
        <w:rPr>
          <w:b/>
          <w:szCs w:val="22"/>
          <w:lang w:val="es-ES"/>
        </w:rPr>
        <w:t>2</w:t>
      </w:r>
      <w:r>
        <w:rPr>
          <w:b/>
          <w:szCs w:val="22"/>
          <w:lang w:val="es-ES"/>
        </w:rPr>
        <w:tab/>
      </w:r>
      <w:r w:rsidRPr="00672450">
        <w:rPr>
          <w:b/>
          <w:szCs w:val="22"/>
          <w:lang w:val="es-ES"/>
        </w:rPr>
        <w:t>Antecedentes</w:t>
      </w:r>
    </w:p>
    <w:p w:rsidR="0064646F" w:rsidRDefault="0064646F">
      <w:pPr>
        <w:jc w:val="both"/>
        <w:rPr>
          <w:szCs w:val="22"/>
          <w:lang w:val="es-ES"/>
        </w:rPr>
      </w:pPr>
      <w:r>
        <w:rPr>
          <w:szCs w:val="22"/>
          <w:lang w:val="es-ES"/>
        </w:rPr>
        <w:t>Algunos estudios como lo realizado por la BDT sobre conectividad Internacional de Internet, para América Latina y el Caribe y para África, presentados en Ginebra, Suiza (</w:t>
      </w:r>
      <w:hyperlink r:id="rId9" w:history="1">
        <w:r w:rsidRPr="00DA49A8">
          <w:rPr>
            <w:rStyle w:val="Hyperlink"/>
            <w:szCs w:val="22"/>
            <w:lang w:val="es-ES"/>
          </w:rPr>
          <w:t>www.itu.int/ITU-D/finance/work-cost-tariffs/events/tariff-seminars/Geneva-IIC/Agenda.htm</w:t>
        </w:r>
      </w:hyperlink>
      <w:r>
        <w:rPr>
          <w:szCs w:val="22"/>
          <w:lang w:val="es-ES"/>
        </w:rPr>
        <w:t>), en enero del 2012 en el Taller de UIT sobre Reparto de los Ingresos y Conectividad Internet Internacional; se referencia entre otros la dificultad de la conectividad internacional, influencia de la conectividad internacional sobre la conectividad nacional, los costos de la conectividad internacional como una restricción para los sectores con menos recursos y principalmente la Concentración de pocos operadores en los servicios de conectividad internacional y banda ancha.</w:t>
      </w:r>
    </w:p>
    <w:p w:rsidR="0064646F" w:rsidRDefault="0064646F">
      <w:pPr>
        <w:jc w:val="both"/>
        <w:rPr>
          <w:szCs w:val="22"/>
          <w:lang w:val="es-ES"/>
        </w:rPr>
      </w:pPr>
      <w:r>
        <w:rPr>
          <w:szCs w:val="22"/>
          <w:lang w:val="es-ES"/>
        </w:rPr>
        <w:t xml:space="preserve">En la actualidad y desde hace un buen tiempo la mayor parte del tráfico internacional se cursa a través de conexiones por internet (Redes de Redes) y se intercambia con arreglo a acuerdos basados en el mercado, entre operadores que funcionan en entornos competitivos o al menos en el juego de la competitividad, en diferentes escenarios con relación a la existencia o no de múltiples operadores del servicio, y fuera del Reglamento de las Telecomunicaciones Internacionales hoy vigente. Desde luego, es deseable desde todo punto de vista evitar recurrir a reglamentaciones para el desarrollo del </w:t>
      </w:r>
      <w:r>
        <w:rPr>
          <w:szCs w:val="22"/>
          <w:lang w:val="es-ES"/>
        </w:rPr>
        <w:lastRenderedPageBreak/>
        <w:t>mercado, y consecuentemente de la infraestructura necesaria para satisfacer un tráfico cada ve</w:t>
      </w:r>
      <w:bookmarkStart w:id="8" w:name="_GoBack"/>
      <w:bookmarkEnd w:id="8"/>
      <w:r>
        <w:rPr>
          <w:szCs w:val="22"/>
          <w:lang w:val="es-ES"/>
        </w:rPr>
        <w:t xml:space="preserve">z más creciente de los diferentes servicios, pero no es menos cierto que ante un escenario donde no existen múltiples operadores de conexiones internacionales o donde existen más de un operador con un mercado ineficiente, que es el caso de muchos países, es necesario recurrir a un marco reglamentario, en la búsqueda de una solución mundial, incluyendo en el Reglamento de las Telecomunicaciones Internacionales disposiciones sobre la Conectividad Internacional por Internet. </w:t>
      </w:r>
    </w:p>
    <w:p w:rsidR="0064646F" w:rsidRDefault="0064646F" w:rsidP="0064646F">
      <w:pPr>
        <w:jc w:val="both"/>
        <w:rPr>
          <w:b/>
          <w:szCs w:val="22"/>
          <w:lang w:val="es-ES"/>
        </w:rPr>
      </w:pPr>
      <w:r>
        <w:rPr>
          <w:szCs w:val="22"/>
          <w:lang w:val="es-ES"/>
        </w:rPr>
        <w:t>3</w:t>
      </w:r>
      <w:r>
        <w:rPr>
          <w:szCs w:val="22"/>
          <w:lang w:val="es-ES"/>
        </w:rPr>
        <w:tab/>
      </w:r>
      <w:r>
        <w:rPr>
          <w:b/>
          <w:szCs w:val="22"/>
          <w:lang w:val="es-ES"/>
        </w:rPr>
        <w:t xml:space="preserve">Propuesta </w:t>
      </w:r>
    </w:p>
    <w:p w:rsidR="0064646F" w:rsidRDefault="0064646F">
      <w:pPr>
        <w:jc w:val="both"/>
        <w:rPr>
          <w:szCs w:val="22"/>
          <w:lang w:val="es-ES"/>
        </w:rPr>
      </w:pPr>
      <w:r>
        <w:rPr>
          <w:szCs w:val="22"/>
          <w:lang w:val="es-ES"/>
        </w:rPr>
        <w:t>Los Estados Miembros de la CITEL proponen incluir en el Futuro Reglamento de las Telecomunicaciones Internacionales (RTI) la adición de una disposición sobre Conectividad Internacional por Internet, como un artículo 3.X con el texto siguiente:</w:t>
      </w:r>
    </w:p>
    <w:p w:rsidR="0064646F" w:rsidRDefault="0064646F">
      <w:pPr>
        <w:jc w:val="both"/>
        <w:rPr>
          <w:szCs w:val="22"/>
          <w:lang w:val="es-ES"/>
        </w:rPr>
      </w:pPr>
    </w:p>
    <w:p w:rsidR="0064646F" w:rsidRPr="0064646F" w:rsidRDefault="0064646F" w:rsidP="00795C1A">
      <w:pPr>
        <w:ind w:left="720"/>
        <w:jc w:val="both"/>
        <w:rPr>
          <w:i/>
          <w:lang w:val="es-ES_tradnl"/>
        </w:rPr>
      </w:pPr>
      <w:r w:rsidRPr="0064646F">
        <w:rPr>
          <w:i/>
          <w:lang w:val="es-ES_tradnl"/>
        </w:rPr>
        <w:t>Las administraciones</w:t>
      </w:r>
      <w:r w:rsidRPr="0064646F">
        <w:rPr>
          <w:i/>
          <w:vertAlign w:val="superscript"/>
          <w:lang w:val="es-ES_tradnl"/>
        </w:rPr>
        <w:t>*</w:t>
      </w:r>
      <w:r w:rsidRPr="0064646F">
        <w:rPr>
          <w:i/>
          <w:lang w:val="es-ES_tradnl"/>
        </w:rPr>
        <w:t xml:space="preserve"> deberán tomar las medidas adecuadas en el plano nacional que garanticen que todas las partes (incluidas las empresas de explotación reconocidas) que intervienen en el suministro de conexiones internacionales por Internet negocien y concierten acuerdos comerciales bilaterales, u otro tipo de acuerdos entre administraciones</w:t>
      </w:r>
      <w:r w:rsidRPr="0064646F">
        <w:rPr>
          <w:i/>
          <w:vertAlign w:val="superscript"/>
          <w:lang w:val="es-ES_tradnl"/>
        </w:rPr>
        <w:t>**</w:t>
      </w:r>
      <w:r w:rsidRPr="0064646F">
        <w:rPr>
          <w:i/>
          <w:lang w:val="es-ES_tradnl"/>
        </w:rPr>
        <w:t>, que permitan establecer conexiones internacionales directas por Internet y tengan en cuenta la posible necesidad de compensación entre dichas administraciones</w:t>
      </w:r>
      <w:r w:rsidRPr="0064646F">
        <w:rPr>
          <w:i/>
          <w:vertAlign w:val="superscript"/>
          <w:lang w:val="es-ES_tradnl"/>
        </w:rPr>
        <w:t>***</w:t>
      </w:r>
      <w:r w:rsidRPr="0064646F">
        <w:rPr>
          <w:i/>
          <w:lang w:val="es-ES_tradnl"/>
        </w:rPr>
        <w:t xml:space="preserve"> en lo concerniente al valor de elementos como, entre otros, el flujo de tráfico, el número de rutas, la cobertura geográfica y el costo de la transmisión internacional, y la posible aplicación de externalidad de la red.</w:t>
      </w:r>
    </w:p>
    <w:p w:rsidR="0064646F" w:rsidRPr="0064646F" w:rsidRDefault="0064646F">
      <w:pPr>
        <w:jc w:val="both"/>
        <w:rPr>
          <w:szCs w:val="22"/>
          <w:lang w:val="es-ES_tradnl"/>
        </w:rPr>
      </w:pPr>
    </w:p>
    <w:p w:rsidR="0064646F" w:rsidRDefault="0064646F">
      <w:pPr>
        <w:jc w:val="both"/>
        <w:rPr>
          <w:szCs w:val="22"/>
          <w:lang w:val="es-ES"/>
        </w:rPr>
      </w:pPr>
    </w:p>
    <w:p w:rsidR="0064646F" w:rsidRDefault="0064646F" w:rsidP="00795C1A">
      <w:pPr>
        <w:jc w:val="center"/>
        <w:rPr>
          <w:szCs w:val="22"/>
          <w:lang w:val="es-ES"/>
        </w:rPr>
      </w:pPr>
      <w:r>
        <w:rPr>
          <w:szCs w:val="22"/>
          <w:lang w:val="es-ES"/>
        </w:rPr>
        <w:t>__________________________________________</w:t>
      </w:r>
    </w:p>
    <w:p w:rsidR="0064646F" w:rsidRDefault="0064646F">
      <w:pPr>
        <w:jc w:val="both"/>
        <w:rPr>
          <w:szCs w:val="22"/>
          <w:lang w:val="es-ES"/>
        </w:rPr>
      </w:pPr>
    </w:p>
    <w:p w:rsidR="0064646F" w:rsidRDefault="0064646F">
      <w:pPr>
        <w:jc w:val="both"/>
        <w:rPr>
          <w:szCs w:val="22"/>
          <w:lang w:val="es-ES"/>
        </w:rPr>
      </w:pPr>
    </w:p>
    <w:p w:rsidR="0064646F" w:rsidRDefault="0064646F">
      <w:pPr>
        <w:jc w:val="both"/>
        <w:rPr>
          <w:szCs w:val="22"/>
          <w:lang w:val="es-ES"/>
        </w:rPr>
      </w:pPr>
    </w:p>
    <w:p w:rsidR="0064646F" w:rsidRDefault="0064646F" w:rsidP="00261F10">
      <w:pPr>
        <w:jc w:val="both"/>
        <w:rPr>
          <w:szCs w:val="22"/>
          <w:lang w:val="es-ES"/>
        </w:rPr>
      </w:pPr>
    </w:p>
    <w:p w:rsidR="0064646F" w:rsidRPr="00FB4AB3" w:rsidRDefault="0064646F" w:rsidP="00FB4AB3">
      <w:pPr>
        <w:jc w:val="both"/>
        <w:rPr>
          <w:szCs w:val="22"/>
          <w:lang w:val="es-ES"/>
        </w:rPr>
      </w:pPr>
      <w:r>
        <w:rPr>
          <w:szCs w:val="22"/>
          <w:lang w:val="es-ES"/>
        </w:rPr>
        <w:t xml:space="preserve">*  </w:t>
      </w:r>
      <w:r w:rsidRPr="00FB4AB3">
        <w:rPr>
          <w:szCs w:val="22"/>
          <w:lang w:val="es-ES"/>
        </w:rPr>
        <w:t xml:space="preserve"> </w:t>
      </w:r>
      <w:r>
        <w:rPr>
          <w:szCs w:val="22"/>
          <w:lang w:val="es-ES"/>
        </w:rPr>
        <w:t xml:space="preserve">  </w:t>
      </w:r>
      <w:r w:rsidRPr="00FB4AB3">
        <w:rPr>
          <w:szCs w:val="22"/>
          <w:lang w:val="es-ES"/>
        </w:rPr>
        <w:t>Estados Miembros</w:t>
      </w:r>
    </w:p>
    <w:p w:rsidR="0064646F" w:rsidRDefault="0064646F" w:rsidP="0064646F">
      <w:pPr>
        <w:jc w:val="both"/>
        <w:rPr>
          <w:szCs w:val="22"/>
          <w:lang w:val="es-ES"/>
        </w:rPr>
      </w:pPr>
      <w:r>
        <w:rPr>
          <w:szCs w:val="22"/>
          <w:lang w:val="es-ES"/>
        </w:rPr>
        <w:t xml:space="preserve">**   Estados Miembros/empresas de explotación reconocidas </w:t>
      </w:r>
    </w:p>
    <w:p w:rsidR="0064646F" w:rsidRPr="000765D0" w:rsidRDefault="0064646F" w:rsidP="0064646F">
      <w:pPr>
        <w:jc w:val="both"/>
        <w:rPr>
          <w:szCs w:val="22"/>
          <w:vertAlign w:val="superscript"/>
          <w:lang w:val="es-ES"/>
        </w:rPr>
      </w:pPr>
      <w:r>
        <w:rPr>
          <w:szCs w:val="22"/>
          <w:lang w:val="es-ES"/>
        </w:rPr>
        <w:t xml:space="preserve">*** </w:t>
      </w:r>
      <w:proofErr w:type="gramStart"/>
      <w:r>
        <w:rPr>
          <w:szCs w:val="22"/>
          <w:lang w:val="es-ES"/>
        </w:rPr>
        <w:t>empresas</w:t>
      </w:r>
      <w:proofErr w:type="gramEnd"/>
      <w:r>
        <w:rPr>
          <w:szCs w:val="22"/>
          <w:lang w:val="es-ES"/>
        </w:rPr>
        <w:t xml:space="preserve"> de explotación reconocidas</w:t>
      </w:r>
      <w:r>
        <w:rPr>
          <w:szCs w:val="22"/>
          <w:vertAlign w:val="superscript"/>
          <w:lang w:val="es-ES"/>
        </w:rPr>
        <w:t xml:space="preserve"> </w:t>
      </w:r>
    </w:p>
    <w:p w:rsidR="0064646F" w:rsidRDefault="0064646F">
      <w:pPr>
        <w:jc w:val="both"/>
        <w:rPr>
          <w:szCs w:val="22"/>
          <w:lang w:val="es-ES"/>
        </w:rPr>
      </w:pPr>
    </w:p>
    <w:p w:rsidR="0064646F" w:rsidRDefault="0064646F">
      <w:pPr>
        <w:jc w:val="both"/>
        <w:rPr>
          <w:szCs w:val="22"/>
          <w:lang w:val="es-ES"/>
        </w:rPr>
      </w:pPr>
    </w:p>
    <w:p w:rsidR="0064646F" w:rsidRDefault="0064646F">
      <w:pPr>
        <w:jc w:val="both"/>
        <w:rPr>
          <w:szCs w:val="22"/>
          <w:lang w:val="es-ES"/>
        </w:rPr>
      </w:pPr>
    </w:p>
    <w:p w:rsidR="0064646F" w:rsidRDefault="0064646F">
      <w:pPr>
        <w:jc w:val="both"/>
        <w:rPr>
          <w:szCs w:val="22"/>
          <w:lang w:val="es-ES"/>
        </w:rPr>
      </w:pPr>
    </w:p>
    <w:p w:rsidR="0064646F" w:rsidRDefault="0064646F">
      <w:pPr>
        <w:jc w:val="both"/>
        <w:rPr>
          <w:szCs w:val="22"/>
          <w:lang w:val="es-ES"/>
        </w:rPr>
      </w:pPr>
    </w:p>
    <w:p w:rsidR="0064646F" w:rsidRDefault="0064646F">
      <w:pPr>
        <w:jc w:val="both"/>
        <w:rPr>
          <w:szCs w:val="22"/>
          <w:lang w:val="es-ES"/>
        </w:rPr>
      </w:pPr>
    </w:p>
    <w:p w:rsidR="0064646F" w:rsidRDefault="0064646F">
      <w:pPr>
        <w:jc w:val="both"/>
        <w:rPr>
          <w:szCs w:val="22"/>
          <w:lang w:val="es-ES"/>
        </w:rPr>
      </w:pPr>
    </w:p>
    <w:p w:rsidR="0064646F" w:rsidRDefault="0064646F">
      <w:pPr>
        <w:jc w:val="both"/>
        <w:rPr>
          <w:szCs w:val="22"/>
          <w:lang w:val="es-ES"/>
        </w:rPr>
      </w:pPr>
    </w:p>
    <w:p w:rsidR="0064646F" w:rsidRDefault="0064646F" w:rsidP="00CB4201">
      <w:pPr>
        <w:ind w:left="700"/>
        <w:jc w:val="both"/>
        <w:rPr>
          <w:szCs w:val="22"/>
        </w:rPr>
      </w:pPr>
      <w:r>
        <w:rPr>
          <w:szCs w:val="22"/>
        </w:rPr>
        <w:tab/>
      </w:r>
    </w:p>
    <w:p w:rsidR="0065234D" w:rsidRDefault="0065234D" w:rsidP="0064646F"/>
    <w:sectPr w:rsidR="0065234D">
      <w:headerReference w:type="default" r:id="rId10"/>
      <w:footerReference w:type="first" r:id="rId11"/>
      <w:pgSz w:w="11907" w:h="16840" w:code="9"/>
      <w:pgMar w:top="1418" w:right="1134" w:bottom="1134"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E1E" w:rsidRDefault="00FF7E1E">
      <w:r>
        <w:separator/>
      </w:r>
    </w:p>
  </w:endnote>
  <w:endnote w:type="continuationSeparator" w:id="0">
    <w:p w:rsidR="00FF7E1E" w:rsidRDefault="00FF7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FF7E1E" w:rsidTr="005F1AC3">
      <w:tblPrEx>
        <w:tblCellMar>
          <w:top w:w="0" w:type="dxa"/>
          <w:bottom w:w="0" w:type="dxa"/>
        </w:tblCellMar>
      </w:tblPrEx>
      <w:trPr>
        <w:cantSplit/>
        <w:trHeight w:val="204"/>
        <w:jc w:val="center"/>
      </w:trPr>
      <w:tc>
        <w:tcPr>
          <w:tcW w:w="1617" w:type="dxa"/>
          <w:tcBorders>
            <w:top w:val="single" w:sz="12" w:space="0" w:color="auto"/>
          </w:tcBorders>
        </w:tcPr>
        <w:p w:rsidR="00FF7E1E" w:rsidRDefault="00FF7E1E" w:rsidP="005F1AC3">
          <w:pPr>
            <w:rPr>
              <w:b/>
              <w:bCs/>
              <w:sz w:val="22"/>
            </w:rPr>
          </w:pPr>
        </w:p>
      </w:tc>
      <w:tc>
        <w:tcPr>
          <w:tcW w:w="4394" w:type="dxa"/>
          <w:tcBorders>
            <w:top w:val="single" w:sz="12" w:space="0" w:color="auto"/>
          </w:tcBorders>
        </w:tcPr>
        <w:p w:rsidR="00FF7E1E" w:rsidRDefault="00FF7E1E" w:rsidP="005F1AC3">
          <w:pPr>
            <w:spacing w:before="0"/>
            <w:rPr>
              <w:sz w:val="22"/>
            </w:rPr>
          </w:pPr>
        </w:p>
      </w:tc>
      <w:tc>
        <w:tcPr>
          <w:tcW w:w="3912" w:type="dxa"/>
          <w:tcBorders>
            <w:top w:val="single" w:sz="12" w:space="0" w:color="auto"/>
          </w:tcBorders>
        </w:tcPr>
        <w:p w:rsidR="00FF7E1E" w:rsidRPr="00AB52AF" w:rsidRDefault="00FF7E1E" w:rsidP="005F1AC3">
          <w:pPr>
            <w:spacing w:before="0"/>
            <w:rPr>
              <w:sz w:val="22"/>
            </w:rPr>
          </w:pPr>
        </w:p>
      </w:tc>
    </w:tr>
    <w:tr w:rsidR="00FF7E1E" w:rsidTr="005F1AC3">
      <w:tblPrEx>
        <w:tblCellMar>
          <w:top w:w="0" w:type="dxa"/>
          <w:left w:w="108" w:type="dxa"/>
          <w:bottom w:w="0" w:type="dxa"/>
          <w:right w:w="108" w:type="dxa"/>
        </w:tblCellMar>
      </w:tblPrEx>
      <w:trPr>
        <w:cantSplit/>
        <w:jc w:val="center"/>
      </w:trPr>
      <w:tc>
        <w:tcPr>
          <w:tcW w:w="9923" w:type="dxa"/>
          <w:gridSpan w:val="3"/>
          <w:tcBorders>
            <w:top w:val="single" w:sz="4" w:space="0" w:color="auto"/>
            <w:left w:val="single" w:sz="4" w:space="0" w:color="auto"/>
            <w:bottom w:val="single" w:sz="4" w:space="0" w:color="auto"/>
            <w:right w:val="single" w:sz="4" w:space="0" w:color="auto"/>
          </w:tcBorders>
          <w:tcMar>
            <w:left w:w="57" w:type="dxa"/>
            <w:right w:w="57" w:type="dxa"/>
          </w:tcMar>
        </w:tcPr>
        <w:p w:rsidR="00FF7E1E" w:rsidRDefault="00FF7E1E" w:rsidP="005F1AC3">
          <w:pPr>
            <w:spacing w:before="0"/>
            <w:rPr>
              <w:sz w:val="18"/>
            </w:rPr>
          </w:pPr>
          <w:r>
            <w:rPr>
              <w:b/>
              <w:bCs/>
              <w:sz w:val="18"/>
            </w:rPr>
            <w:t>Attention:</w:t>
          </w:r>
          <w:r>
            <w:rPr>
              <w:sz w:val="18"/>
            </w:rPr>
            <w:t xml:space="preserve"> This is not a publication made available to the public, but </w:t>
          </w:r>
          <w:r>
            <w:rPr>
              <w:b/>
              <w:bCs/>
              <w:sz w:val="18"/>
            </w:rPr>
            <w:t>an internal ITU-T Document</w:t>
          </w:r>
          <w:r>
            <w:rPr>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rsidR="00FF7E1E" w:rsidRDefault="00FF7E1E">
    <w:pPr>
      <w:spacing w:before="0"/>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E1E" w:rsidRDefault="00FF7E1E">
      <w:r>
        <w:separator/>
      </w:r>
    </w:p>
  </w:footnote>
  <w:footnote w:type="continuationSeparator" w:id="0">
    <w:p w:rsidR="00FF7E1E" w:rsidRDefault="00FF7E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E1E" w:rsidRDefault="00FF7E1E" w:rsidP="005F1AC3">
    <w:pPr>
      <w:pStyle w:val="Header"/>
    </w:pPr>
    <w:r>
      <w:t xml:space="preserve">- </w:t>
    </w:r>
    <w:r>
      <w:fldChar w:fldCharType="begin"/>
    </w:r>
    <w:r>
      <w:instrText xml:space="preserve"> PAGE  \* MERGEFORMAT </w:instrText>
    </w:r>
    <w:r>
      <w:fldChar w:fldCharType="separate"/>
    </w:r>
    <w:r w:rsidR="0064646F">
      <w:rPr>
        <w:noProof/>
      </w:rPr>
      <w:t>2</w:t>
    </w:r>
    <w: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20FF0447"/>
    <w:multiLevelType w:val="hybridMultilevel"/>
    <w:tmpl w:val="6F824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1F25DA6"/>
    <w:multiLevelType w:val="hybridMultilevel"/>
    <w:tmpl w:val="FF4A7712"/>
    <w:lvl w:ilvl="0" w:tplc="04160001">
      <w:start w:val="1"/>
      <w:numFmt w:val="bullet"/>
      <w:lvlText w:val=""/>
      <w:lvlJc w:val="left"/>
      <w:pPr>
        <w:tabs>
          <w:tab w:val="num" w:pos="1068"/>
        </w:tabs>
        <w:ind w:left="1068" w:hanging="360"/>
      </w:pPr>
      <w:rPr>
        <w:rFonts w:ascii="Symbol" w:hAnsi="Symbol" w:hint="default"/>
      </w:rPr>
    </w:lvl>
    <w:lvl w:ilvl="1" w:tplc="04160003" w:tentative="1">
      <w:start w:val="1"/>
      <w:numFmt w:val="bullet"/>
      <w:lvlText w:val="o"/>
      <w:lvlJc w:val="left"/>
      <w:pPr>
        <w:tabs>
          <w:tab w:val="num" w:pos="1788"/>
        </w:tabs>
        <w:ind w:left="1788" w:hanging="360"/>
      </w:pPr>
      <w:rPr>
        <w:rFonts w:ascii="Courier New" w:hAnsi="Courier New" w:cs="Courier New" w:hint="default"/>
      </w:rPr>
    </w:lvl>
    <w:lvl w:ilvl="2" w:tplc="04160005" w:tentative="1">
      <w:start w:val="1"/>
      <w:numFmt w:val="bullet"/>
      <w:lvlText w:val=""/>
      <w:lvlJc w:val="left"/>
      <w:pPr>
        <w:tabs>
          <w:tab w:val="num" w:pos="2508"/>
        </w:tabs>
        <w:ind w:left="2508" w:hanging="360"/>
      </w:pPr>
      <w:rPr>
        <w:rFonts w:ascii="Wingdings" w:hAnsi="Wingdings"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cs="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cs="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abstractNum w:abstractNumId="3">
    <w:nsid w:val="3D8962ED"/>
    <w:multiLevelType w:val="hybridMultilevel"/>
    <w:tmpl w:val="DF4881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6EE49E7"/>
    <w:multiLevelType w:val="hybridMultilevel"/>
    <w:tmpl w:val="B52E48B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596E2707"/>
    <w:multiLevelType w:val="hybridMultilevel"/>
    <w:tmpl w:val="EB2A62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6B3219C"/>
    <w:multiLevelType w:val="hybridMultilevel"/>
    <w:tmpl w:val="3654C64C"/>
    <w:lvl w:ilvl="0" w:tplc="39806B70">
      <w:start w:val="1"/>
      <w:numFmt w:val="bullet"/>
      <w:lvlText w:val="-"/>
      <w:lvlJc w:val="left"/>
      <w:pPr>
        <w:ind w:left="1080" w:hanging="360"/>
      </w:pPr>
      <w:rPr>
        <w:rFonts w:ascii="Times New Roman" w:eastAsia="Calibri" w:hAnsi="Times New Roman" w:cs="Times New Roman" w:hint="default"/>
      </w:rPr>
    </w:lvl>
    <w:lvl w:ilvl="1" w:tplc="3C0A0003">
      <w:start w:val="1"/>
      <w:numFmt w:val="decimal"/>
      <w:lvlText w:val="%2."/>
      <w:lvlJc w:val="left"/>
      <w:pPr>
        <w:tabs>
          <w:tab w:val="num" w:pos="1440"/>
        </w:tabs>
        <w:ind w:left="1440" w:hanging="360"/>
      </w:pPr>
    </w:lvl>
    <w:lvl w:ilvl="2" w:tplc="3C0A0005">
      <w:start w:val="1"/>
      <w:numFmt w:val="decimal"/>
      <w:lvlText w:val="%3."/>
      <w:lvlJc w:val="left"/>
      <w:pPr>
        <w:tabs>
          <w:tab w:val="num" w:pos="2160"/>
        </w:tabs>
        <w:ind w:left="2160" w:hanging="360"/>
      </w:pPr>
    </w:lvl>
    <w:lvl w:ilvl="3" w:tplc="3C0A0001">
      <w:start w:val="1"/>
      <w:numFmt w:val="decimal"/>
      <w:lvlText w:val="%4."/>
      <w:lvlJc w:val="left"/>
      <w:pPr>
        <w:tabs>
          <w:tab w:val="num" w:pos="2880"/>
        </w:tabs>
        <w:ind w:left="2880" w:hanging="360"/>
      </w:pPr>
    </w:lvl>
    <w:lvl w:ilvl="4" w:tplc="3C0A0003">
      <w:start w:val="1"/>
      <w:numFmt w:val="decimal"/>
      <w:lvlText w:val="%5."/>
      <w:lvlJc w:val="left"/>
      <w:pPr>
        <w:tabs>
          <w:tab w:val="num" w:pos="3600"/>
        </w:tabs>
        <w:ind w:left="3600" w:hanging="360"/>
      </w:pPr>
    </w:lvl>
    <w:lvl w:ilvl="5" w:tplc="3C0A0005">
      <w:start w:val="1"/>
      <w:numFmt w:val="decimal"/>
      <w:lvlText w:val="%6."/>
      <w:lvlJc w:val="left"/>
      <w:pPr>
        <w:tabs>
          <w:tab w:val="num" w:pos="4320"/>
        </w:tabs>
        <w:ind w:left="4320" w:hanging="360"/>
      </w:pPr>
    </w:lvl>
    <w:lvl w:ilvl="6" w:tplc="3C0A0001">
      <w:start w:val="1"/>
      <w:numFmt w:val="decimal"/>
      <w:lvlText w:val="%7."/>
      <w:lvlJc w:val="left"/>
      <w:pPr>
        <w:tabs>
          <w:tab w:val="num" w:pos="5040"/>
        </w:tabs>
        <w:ind w:left="5040" w:hanging="360"/>
      </w:pPr>
    </w:lvl>
    <w:lvl w:ilvl="7" w:tplc="3C0A0003">
      <w:start w:val="1"/>
      <w:numFmt w:val="decimal"/>
      <w:lvlText w:val="%8."/>
      <w:lvlJc w:val="left"/>
      <w:pPr>
        <w:tabs>
          <w:tab w:val="num" w:pos="5760"/>
        </w:tabs>
        <w:ind w:left="5760" w:hanging="360"/>
      </w:pPr>
    </w:lvl>
    <w:lvl w:ilvl="8" w:tplc="3C0A0005">
      <w:start w:val="1"/>
      <w:numFmt w:val="decimal"/>
      <w:lvlText w:val="%9."/>
      <w:lvlJc w:val="left"/>
      <w:pPr>
        <w:tabs>
          <w:tab w:val="num" w:pos="6480"/>
        </w:tabs>
        <w:ind w:left="6480" w:hanging="360"/>
      </w:pPr>
    </w:lvl>
  </w:abstractNum>
  <w:abstractNum w:abstractNumId="7">
    <w:nsid w:val="7079325F"/>
    <w:multiLevelType w:val="hybridMultilevel"/>
    <w:tmpl w:val="54CEBE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15E6394"/>
    <w:multiLevelType w:val="hybridMultilevel"/>
    <w:tmpl w:val="D7DA7F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5"/>
  </w:num>
  <w:num w:numId="7">
    <w:abstractNumId w:val="7"/>
  </w:num>
  <w:num w:numId="8">
    <w:abstractNumId w:val="8"/>
  </w:num>
  <w:num w:numId="9">
    <w:abstractNumId w:val="1"/>
  </w:num>
  <w:num w:numId="10">
    <w:abstractNumId w:val="3"/>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intFractionalCharacterWidth/>
  <w:activeWritingStyle w:appName="MSWord" w:lang="de-DE" w:vendorID="9" w:dllVersion="512" w:checkStyle="0"/>
  <w:activeWritingStyle w:appName="MSWord" w:lang="pt-BR" w:vendorID="1"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34D"/>
    <w:rsid w:val="003A6BCB"/>
    <w:rsid w:val="005F1AC3"/>
    <w:rsid w:val="0064646F"/>
    <w:rsid w:val="0065234D"/>
    <w:rsid w:val="0091162D"/>
    <w:rsid w:val="00A4511B"/>
    <w:rsid w:val="00C51AB5"/>
    <w:rsid w:val="00D46733"/>
    <w:rsid w:val="00FF7E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nnexNotitle">
    <w:name w:val="Annex_No &amp; title"/>
    <w:basedOn w:val="Normal"/>
    <w:next w:val="Normal"/>
    <w:pPr>
      <w:keepNext/>
      <w:keepLines/>
      <w:spacing w:before="480"/>
      <w:jc w:val="center"/>
    </w:pPr>
    <w:rPr>
      <w:b/>
      <w:sz w:val="28"/>
    </w:r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AppendixNotitle">
    <w:name w:val="Appendix_No &amp; title"/>
    <w:basedOn w:val="AnnexNotitle"/>
    <w:next w:val="Normal"/>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
    <w:pPr>
      <w:spacing w:before="480"/>
      <w:jc w:val="center"/>
    </w:pPr>
    <w:rPr>
      <w:b/>
      <w:sz w:val="28"/>
    </w:rPr>
  </w:style>
  <w:style w:type="paragraph" w:customStyle="1" w:styleId="ArtNo">
    <w:name w:val="Art_No"/>
    <w:basedOn w:val="Normal"/>
    <w:next w:val="Normal"/>
    <w:pPr>
      <w:keepNext/>
      <w:keepLines/>
      <w:spacing w:before="480"/>
      <w:jc w:val="center"/>
    </w:pPr>
    <w:rPr>
      <w:caps/>
      <w:sz w:val="28"/>
    </w:rPr>
  </w:style>
  <w:style w:type="character" w:customStyle="1" w:styleId="Artref">
    <w:name w:val="Art_ref"/>
    <w:basedOn w:val="DefaultParagraphFont"/>
  </w:style>
  <w:style w:type="paragraph" w:customStyle="1" w:styleId="Arttitle">
    <w:name w:val="Art_title"/>
    <w:basedOn w:val="Normal"/>
    <w:next w:val="Normal"/>
    <w:pPr>
      <w:keepNext/>
      <w:keepLines/>
      <w:spacing w:before="240"/>
      <w:jc w:val="center"/>
    </w:pPr>
    <w:rPr>
      <w:b/>
      <w:sz w:val="28"/>
    </w:r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Normal"/>
    <w:pPr>
      <w:keepNext/>
      <w:keepLines/>
      <w:tabs>
        <w:tab w:val="left" w:pos="794"/>
        <w:tab w:val="left" w:pos="1191"/>
        <w:tab w:val="left" w:pos="1588"/>
        <w:tab w:val="left" w:pos="1985"/>
      </w:tabs>
      <w:spacing w:before="480"/>
      <w:jc w:val="center"/>
    </w:pPr>
    <w:rPr>
      <w:b/>
      <w:caps/>
      <w:sz w:val="28"/>
    </w:rPr>
  </w:style>
  <w:style w:type="paragraph" w:customStyle="1" w:styleId="Chaptitle">
    <w:name w:val="Chap_title"/>
    <w:basedOn w:val="Normal"/>
    <w:next w:val="Normal"/>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
    <w:name w:val="Figure"/>
    <w:basedOn w:val="Normal"/>
    <w:next w:val="Normal"/>
    <w:pPr>
      <w:keepNext/>
      <w:keepLines/>
      <w:spacing w:before="240" w:after="120"/>
      <w:jc w:val="center"/>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pPr>
      <w:keepLines/>
      <w:spacing w:before="240" w:after="120"/>
      <w:jc w:val="center"/>
    </w:pPr>
    <w:rPr>
      <w:b/>
    </w:rPr>
  </w:style>
  <w:style w:type="paragraph" w:customStyle="1" w:styleId="FigureNoBR">
    <w:name w:val="Figure_No_BR"/>
    <w:basedOn w:val="Normal"/>
    <w:next w:val="Normal"/>
    <w:pPr>
      <w:keepNext/>
      <w:keepLines/>
      <w:spacing w:before="480" w:after="120"/>
      <w:jc w:val="center"/>
    </w:pPr>
    <w:rPr>
      <w:caps/>
    </w:rPr>
  </w:style>
  <w:style w:type="paragraph" w:customStyle="1" w:styleId="TabletitleBR">
    <w:name w:val="Table_title_BR"/>
    <w:basedOn w:val="Normal"/>
    <w:next w:val="Normal"/>
    <w:pPr>
      <w:keepNext/>
      <w:keepLines/>
      <w:spacing w:before="0" w:after="120"/>
      <w:jc w:val="center"/>
    </w:pPr>
    <w:rPr>
      <w:b/>
    </w:rPr>
  </w:style>
  <w:style w:type="paragraph" w:customStyle="1" w:styleId="FiguretitleBR">
    <w:name w:val="Figure_title_BR"/>
    <w:basedOn w:val="TabletitleBR"/>
    <w:next w:val="Normal"/>
    <w:pPr>
      <w:keepNext w:val="0"/>
      <w:spacing w:after="480"/>
    </w:pPr>
  </w:style>
  <w:style w:type="paragraph" w:customStyle="1" w:styleId="Figurewithouttitle">
    <w:name w:val="Figure_without_title"/>
    <w:basedOn w:val="Normal"/>
    <w:next w:val="Normal"/>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semiHidden/>
    <w:rPr>
      <w:position w:val="6"/>
      <w:sz w:val="18"/>
    </w:rPr>
  </w:style>
  <w:style w:type="paragraph" w:customStyle="1" w:styleId="Note">
    <w:name w:val="Note"/>
    <w:basedOn w:val="Normal"/>
    <w:pPr>
      <w:tabs>
        <w:tab w:val="left" w:pos="794"/>
        <w:tab w:val="left" w:pos="1191"/>
        <w:tab w:val="left" w:pos="1588"/>
        <w:tab w:val="left" w:pos="1985"/>
      </w:tabs>
      <w:spacing w:before="80"/>
    </w:pPr>
  </w:style>
  <w:style w:type="paragraph" w:styleId="FootnoteText">
    <w:name w:val="footnote text"/>
    <w:basedOn w:val="Note"/>
    <w:semiHidden/>
    <w:pPr>
      <w:keepLines/>
      <w:tabs>
        <w:tab w:val="left" w:pos="255"/>
      </w:tabs>
      <w:ind w:left="255" w:hanging="255"/>
    </w:pPr>
  </w:style>
  <w:style w:type="paragraph" w:customStyle="1" w:styleId="Formal">
    <w:name w:val="Formal"/>
    <w:basedOn w:val="ASN1"/>
    <w:pPr>
      <w:tabs>
        <w:tab w:val="left" w:pos="567"/>
        <w:tab w:val="left" w:pos="1134"/>
        <w:tab w:val="left" w:pos="1701"/>
        <w:tab w:val="left" w:pos="2268"/>
        <w:tab w:val="left" w:pos="2835"/>
        <w:tab w:val="left" w:pos="3402"/>
        <w:tab w:val="left" w:pos="3969"/>
        <w:tab w:val="left" w:pos="4536"/>
        <w:tab w:val="left" w:pos="5103"/>
        <w:tab w:val="left" w:pos="5670"/>
      </w:tabs>
    </w:pPr>
    <w:rPr>
      <w:b w:val="0"/>
    </w:r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Normalaftertitle">
    <w:name w:val="Normal_after_title"/>
    <w:basedOn w:val="Normal"/>
    <w:next w:val="Normal"/>
    <w:pPr>
      <w:spacing w:before="360"/>
    </w:pPr>
  </w:style>
  <w:style w:type="character" w:styleId="PageNumber">
    <w:name w:val="page number"/>
    <w:basedOn w:val="DefaultParagraphFont"/>
  </w:style>
  <w:style w:type="paragraph" w:customStyle="1" w:styleId="PartNo">
    <w:name w:val="Part_No"/>
    <w:basedOn w:val="Normal"/>
    <w:next w:val="Normal"/>
    <w:pPr>
      <w:keepNext/>
      <w:keepLines/>
      <w:spacing w:before="480" w:after="80"/>
      <w:jc w:val="center"/>
    </w:pPr>
    <w:rPr>
      <w:caps/>
      <w:sz w:val="28"/>
    </w:rPr>
  </w:style>
  <w:style w:type="paragraph" w:customStyle="1" w:styleId="Partref">
    <w:name w:val="Part_ref"/>
    <w:basedOn w:val="Normal"/>
    <w:next w:val="Normal"/>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style>
  <w:style w:type="paragraph" w:customStyle="1" w:styleId="RecNo">
    <w:name w:val="Rec_No"/>
    <w:basedOn w:val="Normal"/>
    <w:next w:val="Normal"/>
    <w:pPr>
      <w:keepNext/>
      <w:keepLines/>
      <w:spacing w:before="0"/>
    </w:pPr>
    <w:rPr>
      <w:b/>
      <w:sz w:val="28"/>
    </w:rPr>
  </w:style>
  <w:style w:type="paragraph" w:customStyle="1" w:styleId="QuestionNo">
    <w:name w:val="Question_No"/>
    <w:basedOn w:val="RecNo"/>
    <w:next w:val="Normal"/>
  </w:style>
  <w:style w:type="paragraph" w:customStyle="1" w:styleId="RecNoBR">
    <w:name w:val="Rec_No_BR"/>
    <w:basedOn w:val="Normal"/>
    <w:next w:val="Normal"/>
    <w:pPr>
      <w:keepNext/>
      <w:keepLines/>
      <w:spacing w:before="480"/>
      <w:jc w:val="center"/>
    </w:pPr>
    <w:rPr>
      <w:caps/>
      <w:sz w:val="28"/>
    </w:rPr>
  </w:style>
  <w:style w:type="paragraph" w:customStyle="1" w:styleId="QuestionNoBR">
    <w:name w:val="Question_No_BR"/>
    <w:basedOn w:val="RecNoBR"/>
    <w:next w:val="Normal"/>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style>
  <w:style w:type="paragraph" w:customStyle="1" w:styleId="Rectitle">
    <w:name w:val="Rec_title"/>
    <w:basedOn w:val="Normal"/>
    <w:next w:val="Normalaftertitle"/>
    <w:pPr>
      <w:keepNext/>
      <w:keepLines/>
      <w:spacing w:before="360"/>
      <w:jc w:val="center"/>
    </w:pPr>
    <w:rPr>
      <w:b/>
      <w:sz w:val="28"/>
    </w:rPr>
  </w:style>
  <w:style w:type="paragraph" w:customStyle="1" w:styleId="Questiontitle">
    <w:name w:val="Question_title"/>
    <w:basedOn w:val="Rectitle"/>
    <w:next w:val="Questionref"/>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date">
    <w:name w:val="Rep_date"/>
    <w:basedOn w:val="Recdate"/>
    <w:next w:val="Normalaftertitle"/>
  </w:style>
  <w:style w:type="paragraph" w:customStyle="1" w:styleId="RepNo">
    <w:name w:val="Rep_No"/>
    <w:basedOn w:val="RecNo"/>
    <w:next w:val="Normal"/>
  </w:style>
  <w:style w:type="paragraph" w:customStyle="1" w:styleId="RepNoBR">
    <w:name w:val="Rep_No_BR"/>
    <w:basedOn w:val="RecNoBR"/>
    <w:next w:val="Normal"/>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Normal"/>
  </w:style>
  <w:style w:type="paragraph" w:customStyle="1" w:styleId="ResNoBR">
    <w:name w:val="Res_No_BR"/>
    <w:basedOn w:val="RecNoBR"/>
    <w:next w:val="Normal"/>
  </w:style>
  <w:style w:type="paragraph" w:customStyle="1" w:styleId="Resref">
    <w:name w:val="Res_ref"/>
    <w:basedOn w:val="Recref"/>
    <w:next w:val="Resdate"/>
  </w:style>
  <w:style w:type="paragraph" w:customStyle="1" w:styleId="Restitle">
    <w:name w:val="Res_title"/>
    <w:basedOn w:val="Rectitle"/>
    <w:next w:val="Resref"/>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head">
    <w:name w:val="Table_head"/>
    <w:basedOn w:val="Normal"/>
    <w:next w:val="Normal"/>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style>
  <w:style w:type="paragraph" w:customStyle="1" w:styleId="Title3">
    <w:name w:val="Title 3"/>
    <w:basedOn w:val="Title2"/>
    <w:next w:val="Normal"/>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tabs>
        <w:tab w:val="clear" w:pos="794"/>
        <w:tab w:val="clear" w:pos="1191"/>
        <w:tab w:val="clear" w:pos="1588"/>
        <w:tab w:val="clear" w:pos="1985"/>
      </w:tabs>
      <w:overflowPunct/>
      <w:autoSpaceDE/>
      <w:autoSpaceDN/>
      <w:adjustRightInd/>
      <w:spacing w:before="0" w:after="120"/>
      <w:ind w:firstLine="720"/>
      <w:textAlignment w:val="auto"/>
    </w:pPr>
    <w:rPr>
      <w:sz w:val="26"/>
      <w:szCs w:val="24"/>
      <w:lang w:val="en-US" w:eastAsia="pt-BR"/>
    </w:rPr>
  </w:style>
  <w:style w:type="paragraph" w:customStyle="1" w:styleId="Normalaftertitle0">
    <w:name w:val="Normal after title"/>
    <w:basedOn w:val="Normal"/>
    <w:next w:val="Normal"/>
    <w:pPr>
      <w:tabs>
        <w:tab w:val="clear" w:pos="794"/>
        <w:tab w:val="clear" w:pos="1191"/>
        <w:tab w:val="clear" w:pos="1588"/>
        <w:tab w:val="clear" w:pos="1985"/>
        <w:tab w:val="left" w:pos="567"/>
        <w:tab w:val="left" w:pos="1134"/>
        <w:tab w:val="left" w:pos="1701"/>
        <w:tab w:val="left" w:pos="2268"/>
        <w:tab w:val="left" w:pos="2835"/>
      </w:tabs>
      <w:spacing w:before="240"/>
      <w:textAlignment w:val="auto"/>
    </w:pPr>
  </w:style>
  <w:style w:type="paragraph" w:styleId="ListParagraph">
    <w:name w:val="List Paragraph"/>
    <w:basedOn w:val="Normal"/>
    <w:uiPriority w:val="99"/>
    <w:qFormat/>
    <w:rsid w:val="0091162D"/>
    <w:pPr>
      <w:tabs>
        <w:tab w:val="left" w:pos="794"/>
        <w:tab w:val="left" w:pos="1191"/>
        <w:tab w:val="left" w:pos="1588"/>
        <w:tab w:val="left" w:pos="1985"/>
      </w:tabs>
      <w:ind w:left="720"/>
      <w:contextualSpacing/>
      <w:textAlignment w:val="auto"/>
    </w:pPr>
    <w:rPr>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nnexNotitle">
    <w:name w:val="Annex_No &amp; title"/>
    <w:basedOn w:val="Normal"/>
    <w:next w:val="Normal"/>
    <w:pPr>
      <w:keepNext/>
      <w:keepLines/>
      <w:spacing w:before="480"/>
      <w:jc w:val="center"/>
    </w:pPr>
    <w:rPr>
      <w:b/>
      <w:sz w:val="28"/>
    </w:r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AppendixNotitle">
    <w:name w:val="Appendix_No &amp; title"/>
    <w:basedOn w:val="AnnexNotitle"/>
    <w:next w:val="Normal"/>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
    <w:pPr>
      <w:spacing w:before="480"/>
      <w:jc w:val="center"/>
    </w:pPr>
    <w:rPr>
      <w:b/>
      <w:sz w:val="28"/>
    </w:rPr>
  </w:style>
  <w:style w:type="paragraph" w:customStyle="1" w:styleId="ArtNo">
    <w:name w:val="Art_No"/>
    <w:basedOn w:val="Normal"/>
    <w:next w:val="Normal"/>
    <w:pPr>
      <w:keepNext/>
      <w:keepLines/>
      <w:spacing w:before="480"/>
      <w:jc w:val="center"/>
    </w:pPr>
    <w:rPr>
      <w:caps/>
      <w:sz w:val="28"/>
    </w:rPr>
  </w:style>
  <w:style w:type="character" w:customStyle="1" w:styleId="Artref">
    <w:name w:val="Art_ref"/>
    <w:basedOn w:val="DefaultParagraphFont"/>
  </w:style>
  <w:style w:type="paragraph" w:customStyle="1" w:styleId="Arttitle">
    <w:name w:val="Art_title"/>
    <w:basedOn w:val="Normal"/>
    <w:next w:val="Normal"/>
    <w:pPr>
      <w:keepNext/>
      <w:keepLines/>
      <w:spacing w:before="240"/>
      <w:jc w:val="center"/>
    </w:pPr>
    <w:rPr>
      <w:b/>
      <w:sz w:val="28"/>
    </w:r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Normal"/>
    <w:pPr>
      <w:keepNext/>
      <w:keepLines/>
      <w:tabs>
        <w:tab w:val="left" w:pos="794"/>
        <w:tab w:val="left" w:pos="1191"/>
        <w:tab w:val="left" w:pos="1588"/>
        <w:tab w:val="left" w:pos="1985"/>
      </w:tabs>
      <w:spacing w:before="480"/>
      <w:jc w:val="center"/>
    </w:pPr>
    <w:rPr>
      <w:b/>
      <w:caps/>
      <w:sz w:val="28"/>
    </w:rPr>
  </w:style>
  <w:style w:type="paragraph" w:customStyle="1" w:styleId="Chaptitle">
    <w:name w:val="Chap_title"/>
    <w:basedOn w:val="Normal"/>
    <w:next w:val="Normal"/>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
    <w:name w:val="Figure"/>
    <w:basedOn w:val="Normal"/>
    <w:next w:val="Normal"/>
    <w:pPr>
      <w:keepNext/>
      <w:keepLines/>
      <w:spacing w:before="240" w:after="120"/>
      <w:jc w:val="center"/>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pPr>
      <w:keepLines/>
      <w:spacing w:before="240" w:after="120"/>
      <w:jc w:val="center"/>
    </w:pPr>
    <w:rPr>
      <w:b/>
    </w:rPr>
  </w:style>
  <w:style w:type="paragraph" w:customStyle="1" w:styleId="FigureNoBR">
    <w:name w:val="Figure_No_BR"/>
    <w:basedOn w:val="Normal"/>
    <w:next w:val="Normal"/>
    <w:pPr>
      <w:keepNext/>
      <w:keepLines/>
      <w:spacing w:before="480" w:after="120"/>
      <w:jc w:val="center"/>
    </w:pPr>
    <w:rPr>
      <w:caps/>
    </w:rPr>
  </w:style>
  <w:style w:type="paragraph" w:customStyle="1" w:styleId="TabletitleBR">
    <w:name w:val="Table_title_BR"/>
    <w:basedOn w:val="Normal"/>
    <w:next w:val="Normal"/>
    <w:pPr>
      <w:keepNext/>
      <w:keepLines/>
      <w:spacing w:before="0" w:after="120"/>
      <w:jc w:val="center"/>
    </w:pPr>
    <w:rPr>
      <w:b/>
    </w:rPr>
  </w:style>
  <w:style w:type="paragraph" w:customStyle="1" w:styleId="FiguretitleBR">
    <w:name w:val="Figure_title_BR"/>
    <w:basedOn w:val="TabletitleBR"/>
    <w:next w:val="Normal"/>
    <w:pPr>
      <w:keepNext w:val="0"/>
      <w:spacing w:after="480"/>
    </w:pPr>
  </w:style>
  <w:style w:type="paragraph" w:customStyle="1" w:styleId="Figurewithouttitle">
    <w:name w:val="Figure_without_title"/>
    <w:basedOn w:val="Normal"/>
    <w:next w:val="Normal"/>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semiHidden/>
    <w:rPr>
      <w:position w:val="6"/>
      <w:sz w:val="18"/>
    </w:rPr>
  </w:style>
  <w:style w:type="paragraph" w:customStyle="1" w:styleId="Note">
    <w:name w:val="Note"/>
    <w:basedOn w:val="Normal"/>
    <w:pPr>
      <w:tabs>
        <w:tab w:val="left" w:pos="794"/>
        <w:tab w:val="left" w:pos="1191"/>
        <w:tab w:val="left" w:pos="1588"/>
        <w:tab w:val="left" w:pos="1985"/>
      </w:tabs>
      <w:spacing w:before="80"/>
    </w:pPr>
  </w:style>
  <w:style w:type="paragraph" w:styleId="FootnoteText">
    <w:name w:val="footnote text"/>
    <w:basedOn w:val="Note"/>
    <w:semiHidden/>
    <w:pPr>
      <w:keepLines/>
      <w:tabs>
        <w:tab w:val="left" w:pos="255"/>
      </w:tabs>
      <w:ind w:left="255" w:hanging="255"/>
    </w:pPr>
  </w:style>
  <w:style w:type="paragraph" w:customStyle="1" w:styleId="Formal">
    <w:name w:val="Formal"/>
    <w:basedOn w:val="ASN1"/>
    <w:pPr>
      <w:tabs>
        <w:tab w:val="left" w:pos="567"/>
        <w:tab w:val="left" w:pos="1134"/>
        <w:tab w:val="left" w:pos="1701"/>
        <w:tab w:val="left" w:pos="2268"/>
        <w:tab w:val="left" w:pos="2835"/>
        <w:tab w:val="left" w:pos="3402"/>
        <w:tab w:val="left" w:pos="3969"/>
        <w:tab w:val="left" w:pos="4536"/>
        <w:tab w:val="left" w:pos="5103"/>
        <w:tab w:val="left" w:pos="5670"/>
      </w:tabs>
    </w:pPr>
    <w:rPr>
      <w:b w:val="0"/>
    </w:r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Normalaftertitle">
    <w:name w:val="Normal_after_title"/>
    <w:basedOn w:val="Normal"/>
    <w:next w:val="Normal"/>
    <w:pPr>
      <w:spacing w:before="360"/>
    </w:pPr>
  </w:style>
  <w:style w:type="character" w:styleId="PageNumber">
    <w:name w:val="page number"/>
    <w:basedOn w:val="DefaultParagraphFont"/>
  </w:style>
  <w:style w:type="paragraph" w:customStyle="1" w:styleId="PartNo">
    <w:name w:val="Part_No"/>
    <w:basedOn w:val="Normal"/>
    <w:next w:val="Normal"/>
    <w:pPr>
      <w:keepNext/>
      <w:keepLines/>
      <w:spacing w:before="480" w:after="80"/>
      <w:jc w:val="center"/>
    </w:pPr>
    <w:rPr>
      <w:caps/>
      <w:sz w:val="28"/>
    </w:rPr>
  </w:style>
  <w:style w:type="paragraph" w:customStyle="1" w:styleId="Partref">
    <w:name w:val="Part_ref"/>
    <w:basedOn w:val="Normal"/>
    <w:next w:val="Normal"/>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style>
  <w:style w:type="paragraph" w:customStyle="1" w:styleId="RecNo">
    <w:name w:val="Rec_No"/>
    <w:basedOn w:val="Normal"/>
    <w:next w:val="Normal"/>
    <w:pPr>
      <w:keepNext/>
      <w:keepLines/>
      <w:spacing w:before="0"/>
    </w:pPr>
    <w:rPr>
      <w:b/>
      <w:sz w:val="28"/>
    </w:rPr>
  </w:style>
  <w:style w:type="paragraph" w:customStyle="1" w:styleId="QuestionNo">
    <w:name w:val="Question_No"/>
    <w:basedOn w:val="RecNo"/>
    <w:next w:val="Normal"/>
  </w:style>
  <w:style w:type="paragraph" w:customStyle="1" w:styleId="RecNoBR">
    <w:name w:val="Rec_No_BR"/>
    <w:basedOn w:val="Normal"/>
    <w:next w:val="Normal"/>
    <w:pPr>
      <w:keepNext/>
      <w:keepLines/>
      <w:spacing w:before="480"/>
      <w:jc w:val="center"/>
    </w:pPr>
    <w:rPr>
      <w:caps/>
      <w:sz w:val="28"/>
    </w:rPr>
  </w:style>
  <w:style w:type="paragraph" w:customStyle="1" w:styleId="QuestionNoBR">
    <w:name w:val="Question_No_BR"/>
    <w:basedOn w:val="RecNoBR"/>
    <w:next w:val="Normal"/>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style>
  <w:style w:type="paragraph" w:customStyle="1" w:styleId="Rectitle">
    <w:name w:val="Rec_title"/>
    <w:basedOn w:val="Normal"/>
    <w:next w:val="Normalaftertitle"/>
    <w:pPr>
      <w:keepNext/>
      <w:keepLines/>
      <w:spacing w:before="360"/>
      <w:jc w:val="center"/>
    </w:pPr>
    <w:rPr>
      <w:b/>
      <w:sz w:val="28"/>
    </w:rPr>
  </w:style>
  <w:style w:type="paragraph" w:customStyle="1" w:styleId="Questiontitle">
    <w:name w:val="Question_title"/>
    <w:basedOn w:val="Rectitle"/>
    <w:next w:val="Questionref"/>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date">
    <w:name w:val="Rep_date"/>
    <w:basedOn w:val="Recdate"/>
    <w:next w:val="Normalaftertitle"/>
  </w:style>
  <w:style w:type="paragraph" w:customStyle="1" w:styleId="RepNo">
    <w:name w:val="Rep_No"/>
    <w:basedOn w:val="RecNo"/>
    <w:next w:val="Normal"/>
  </w:style>
  <w:style w:type="paragraph" w:customStyle="1" w:styleId="RepNoBR">
    <w:name w:val="Rep_No_BR"/>
    <w:basedOn w:val="RecNoBR"/>
    <w:next w:val="Normal"/>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Normal"/>
  </w:style>
  <w:style w:type="paragraph" w:customStyle="1" w:styleId="ResNoBR">
    <w:name w:val="Res_No_BR"/>
    <w:basedOn w:val="RecNoBR"/>
    <w:next w:val="Normal"/>
  </w:style>
  <w:style w:type="paragraph" w:customStyle="1" w:styleId="Resref">
    <w:name w:val="Res_ref"/>
    <w:basedOn w:val="Recref"/>
    <w:next w:val="Resdate"/>
  </w:style>
  <w:style w:type="paragraph" w:customStyle="1" w:styleId="Restitle">
    <w:name w:val="Res_title"/>
    <w:basedOn w:val="Rectitle"/>
    <w:next w:val="Resref"/>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head">
    <w:name w:val="Table_head"/>
    <w:basedOn w:val="Normal"/>
    <w:next w:val="Normal"/>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style>
  <w:style w:type="paragraph" w:customStyle="1" w:styleId="Title3">
    <w:name w:val="Title 3"/>
    <w:basedOn w:val="Title2"/>
    <w:next w:val="Normal"/>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tabs>
        <w:tab w:val="clear" w:pos="794"/>
        <w:tab w:val="clear" w:pos="1191"/>
        <w:tab w:val="clear" w:pos="1588"/>
        <w:tab w:val="clear" w:pos="1985"/>
      </w:tabs>
      <w:overflowPunct/>
      <w:autoSpaceDE/>
      <w:autoSpaceDN/>
      <w:adjustRightInd/>
      <w:spacing w:before="0" w:after="120"/>
      <w:ind w:firstLine="720"/>
      <w:textAlignment w:val="auto"/>
    </w:pPr>
    <w:rPr>
      <w:sz w:val="26"/>
      <w:szCs w:val="24"/>
      <w:lang w:val="en-US" w:eastAsia="pt-BR"/>
    </w:rPr>
  </w:style>
  <w:style w:type="paragraph" w:customStyle="1" w:styleId="Normalaftertitle0">
    <w:name w:val="Normal after title"/>
    <w:basedOn w:val="Normal"/>
    <w:next w:val="Normal"/>
    <w:pPr>
      <w:tabs>
        <w:tab w:val="clear" w:pos="794"/>
        <w:tab w:val="clear" w:pos="1191"/>
        <w:tab w:val="clear" w:pos="1588"/>
        <w:tab w:val="clear" w:pos="1985"/>
        <w:tab w:val="left" w:pos="567"/>
        <w:tab w:val="left" w:pos="1134"/>
        <w:tab w:val="left" w:pos="1701"/>
        <w:tab w:val="left" w:pos="2268"/>
        <w:tab w:val="left" w:pos="2835"/>
      </w:tabs>
      <w:spacing w:before="240"/>
      <w:textAlignment w:val="auto"/>
    </w:pPr>
  </w:style>
  <w:style w:type="paragraph" w:styleId="ListParagraph">
    <w:name w:val="List Paragraph"/>
    <w:basedOn w:val="Normal"/>
    <w:uiPriority w:val="99"/>
    <w:qFormat/>
    <w:rsid w:val="0091162D"/>
    <w:pPr>
      <w:tabs>
        <w:tab w:val="left" w:pos="794"/>
        <w:tab w:val="left" w:pos="1191"/>
        <w:tab w:val="left" w:pos="1588"/>
        <w:tab w:val="left" w:pos="1985"/>
      </w:tabs>
      <w:ind w:left="720"/>
      <w:contextualSpacing/>
      <w:textAlignment w:val="auto"/>
    </w:pPr>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tu.int/ITU-D/finance/work-cost-tariffs/events/tariff-seminars/Geneva-IIC/Agenda.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ravail\Word\SauveGarde\Anglais\ItutBasic-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ItutBasic-Template.dot</Template>
  <TotalTime>4</TotalTime>
  <Pages>2</Pages>
  <Words>670</Words>
  <Characters>4160</Characters>
  <Application>Microsoft Office Word</Application>
  <DocSecurity>0</DocSecurity>
  <Lines>34</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Allocation and Management of IP addresses</vt:lpstr>
      <vt:lpstr>Allocation and Management of IP addresses</vt:lpstr>
    </vt:vector>
  </TitlesOfParts>
  <Manager>ITU-T</Manager>
  <Company>International Telecommunication Union (ITU)</Company>
  <LinksUpToDate>false</LinksUpToDate>
  <CharactersWithSpaces>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Allocation and Management of IP addresses</dc:title>
  <dc:creator>United States of America</dc:creator>
  <cp:keywords>2/3</cp:keywords>
  <dc:description>COM 3 – C 57 – E  For: _x000d_Document date: March 2008_x000d_Saved by MCB106896 at 10:51:29 on 25.03.2008</dc:description>
  <cp:lastModifiedBy>Jones, Leslie</cp:lastModifiedBy>
  <cp:revision>3</cp:revision>
  <cp:lastPrinted>2012-05-09T07:45:00Z</cp:lastPrinted>
  <dcterms:created xsi:type="dcterms:W3CDTF">2012-05-09T07:42:00Z</dcterms:created>
  <dcterms:modified xsi:type="dcterms:W3CDTF">2012-05-09T07:47:00Z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COM 3 – C 57 – E</vt:lpwstr>
  </property>
  <property fmtid="{D5CDD505-2E9C-101B-9397-08002B2CF9AE}" pid="3" name="Docdate">
    <vt:lpwstr>March 2008</vt:lpwstr>
  </property>
  <property fmtid="{D5CDD505-2E9C-101B-9397-08002B2CF9AE}" pid="4" name="Docorlang">
    <vt:lpwstr>English only Original: English</vt:lpwstr>
  </property>
  <property fmtid="{D5CDD505-2E9C-101B-9397-08002B2CF9AE}" pid="5" name="Docbluepink">
    <vt:lpwstr>2/3</vt:lpwstr>
  </property>
  <property fmtid="{D5CDD505-2E9C-101B-9397-08002B2CF9AE}" pid="6" name="Docdest">
    <vt:lpwstr/>
  </property>
  <property fmtid="{D5CDD505-2E9C-101B-9397-08002B2CF9AE}" pid="7" name="Docauthor">
    <vt:lpwstr>United States of America</vt:lpwstr>
  </property>
</Properties>
</file>