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57" w:type="dxa"/>
          <w:right w:w="57" w:type="dxa"/>
        </w:tblCellMar>
        <w:tblLook w:val="0000" w:firstRow="0" w:lastRow="0" w:firstColumn="0" w:lastColumn="0" w:noHBand="0" w:noVBand="0"/>
      </w:tblPr>
      <w:tblGrid>
        <w:gridCol w:w="1324"/>
        <w:gridCol w:w="186"/>
        <w:gridCol w:w="3097"/>
        <w:gridCol w:w="459"/>
        <w:gridCol w:w="1037"/>
        <w:gridCol w:w="3109"/>
      </w:tblGrid>
      <w:tr w:rsidR="0065234D" w:rsidTr="0064646F">
        <w:trPr>
          <w:cantSplit/>
        </w:trPr>
        <w:tc>
          <w:tcPr>
            <w:tcW w:w="1324"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0BD2AC64" wp14:editId="2C2C4235">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779" w:type="dxa"/>
            <w:gridSpan w:val="4"/>
          </w:tcPr>
          <w:p w:rsidR="0065234D" w:rsidRDefault="0065234D">
            <w:pPr>
              <w:rPr>
                <w:sz w:val="20"/>
              </w:rPr>
            </w:pPr>
            <w:r>
              <w:rPr>
                <w:sz w:val="20"/>
              </w:rPr>
              <w:t>INTERNATIONAL TELECOMMUNICATION UNION</w:t>
            </w:r>
          </w:p>
        </w:tc>
        <w:tc>
          <w:tcPr>
            <w:tcW w:w="3109" w:type="dxa"/>
          </w:tcPr>
          <w:p w:rsidR="0065234D" w:rsidRDefault="0065234D" w:rsidP="00E13497">
            <w:pPr>
              <w:jc w:val="right"/>
              <w:rPr>
                <w:b/>
                <w:sz w:val="28"/>
              </w:rPr>
            </w:pPr>
            <w:r>
              <w:rPr>
                <w:b/>
                <w:sz w:val="28"/>
              </w:rPr>
              <w:t xml:space="preserve">Document No </w:t>
            </w:r>
            <w:r w:rsidR="00E13497">
              <w:rPr>
                <w:b/>
                <w:sz w:val="28"/>
              </w:rPr>
              <w:t>5</w:t>
            </w:r>
          </w:p>
        </w:tc>
      </w:tr>
      <w:tr w:rsidR="0065234D" w:rsidTr="0064646F">
        <w:trPr>
          <w:cantSplit/>
          <w:trHeight w:val="355"/>
        </w:trPr>
        <w:tc>
          <w:tcPr>
            <w:tcW w:w="1324" w:type="dxa"/>
            <w:vMerge/>
          </w:tcPr>
          <w:p w:rsidR="0065234D" w:rsidRDefault="0065234D">
            <w:bookmarkStart w:id="3" w:name="ddate" w:colFirst="2" w:colLast="2"/>
            <w:bookmarkEnd w:id="1"/>
          </w:p>
        </w:tc>
        <w:tc>
          <w:tcPr>
            <w:tcW w:w="3742" w:type="dxa"/>
            <w:gridSpan w:val="3"/>
            <w:vMerge w:val="restart"/>
          </w:tcPr>
          <w:p w:rsidR="0065234D" w:rsidRDefault="0065234D">
            <w:pPr>
              <w:rPr>
                <w:b/>
                <w:bCs/>
                <w:sz w:val="26"/>
              </w:rPr>
            </w:pPr>
            <w:r>
              <w:rPr>
                <w:b/>
                <w:bCs/>
                <w:sz w:val="26"/>
              </w:rPr>
              <w:t>TELECOMMUNICATION</w:t>
            </w:r>
            <w:r>
              <w:rPr>
                <w:b/>
                <w:bCs/>
                <w:sz w:val="26"/>
              </w:rPr>
              <w:br/>
              <w:t>STANDARDIZATION SECTOR</w:t>
            </w:r>
          </w:p>
          <w:p w:rsidR="0065234D" w:rsidRDefault="003A6BCB">
            <w:pPr>
              <w:rPr>
                <w:smallCaps/>
                <w:sz w:val="20"/>
              </w:rPr>
            </w:pPr>
            <w:r w:rsidRPr="003A6BCB">
              <w:rPr>
                <w:sz w:val="20"/>
              </w:rPr>
              <w:t>STUDY PERIOD 2009-2012</w:t>
            </w:r>
          </w:p>
        </w:tc>
        <w:tc>
          <w:tcPr>
            <w:tcW w:w="4146" w:type="dxa"/>
            <w:gridSpan w:val="2"/>
          </w:tcPr>
          <w:p w:rsidR="0065234D" w:rsidRDefault="00FF7E1E" w:rsidP="00FF7E1E">
            <w:pPr>
              <w:jc w:val="right"/>
              <w:rPr>
                <w:b/>
                <w:bCs/>
                <w:sz w:val="28"/>
              </w:rPr>
            </w:pPr>
            <w:r>
              <w:rPr>
                <w:b/>
                <w:bCs/>
                <w:sz w:val="28"/>
              </w:rPr>
              <w:t xml:space="preserve">9 </w:t>
            </w:r>
            <w:r w:rsidR="003A6BCB">
              <w:rPr>
                <w:b/>
                <w:bCs/>
                <w:sz w:val="28"/>
              </w:rPr>
              <w:t>May 2012</w:t>
            </w:r>
          </w:p>
        </w:tc>
      </w:tr>
      <w:tr w:rsidR="0065234D" w:rsidTr="0064646F">
        <w:trPr>
          <w:cantSplit/>
          <w:trHeight w:val="780"/>
        </w:trPr>
        <w:tc>
          <w:tcPr>
            <w:tcW w:w="1324" w:type="dxa"/>
            <w:vMerge/>
            <w:tcBorders>
              <w:bottom w:val="single" w:sz="12" w:space="0" w:color="auto"/>
            </w:tcBorders>
          </w:tcPr>
          <w:p w:rsidR="0065234D" w:rsidRDefault="0065234D">
            <w:bookmarkStart w:id="4" w:name="dorlang" w:colFirst="2" w:colLast="2"/>
            <w:bookmarkEnd w:id="3"/>
          </w:p>
        </w:tc>
        <w:tc>
          <w:tcPr>
            <w:tcW w:w="3742" w:type="dxa"/>
            <w:gridSpan w:val="3"/>
            <w:vMerge/>
            <w:tcBorders>
              <w:bottom w:val="single" w:sz="12" w:space="0" w:color="auto"/>
            </w:tcBorders>
          </w:tcPr>
          <w:p w:rsidR="0065234D" w:rsidRDefault="0065234D">
            <w:pPr>
              <w:rPr>
                <w:b/>
                <w:bCs/>
                <w:sz w:val="26"/>
              </w:rPr>
            </w:pPr>
          </w:p>
        </w:tc>
        <w:tc>
          <w:tcPr>
            <w:tcW w:w="4146" w:type="dxa"/>
            <w:gridSpan w:val="2"/>
            <w:tcBorders>
              <w:bottom w:val="single" w:sz="12" w:space="0" w:color="auto"/>
            </w:tcBorders>
            <w:vAlign w:val="center"/>
          </w:tcPr>
          <w:p w:rsidR="0065234D" w:rsidRDefault="0065234D" w:rsidP="00A951BC">
            <w:pPr>
              <w:jc w:val="right"/>
              <w:rPr>
                <w:b/>
                <w:bCs/>
                <w:sz w:val="28"/>
              </w:rPr>
            </w:pPr>
            <w:r>
              <w:rPr>
                <w:b/>
                <w:bCs/>
                <w:sz w:val="28"/>
              </w:rPr>
              <w:t xml:space="preserve">Original: </w:t>
            </w:r>
            <w:r w:rsidR="00A951BC">
              <w:rPr>
                <w:b/>
                <w:bCs/>
                <w:sz w:val="28"/>
              </w:rPr>
              <w:t>English</w:t>
            </w:r>
            <w:r>
              <w:rPr>
                <w:b/>
                <w:bCs/>
                <w:sz w:val="28"/>
              </w:rPr>
              <w:t xml:space="preserve">    </w:t>
            </w:r>
          </w:p>
        </w:tc>
      </w:tr>
      <w:tr w:rsidR="00FF7E1E" w:rsidTr="0064646F">
        <w:trPr>
          <w:cantSplit/>
          <w:trHeight w:val="357"/>
        </w:trPr>
        <w:tc>
          <w:tcPr>
            <w:tcW w:w="4607" w:type="dxa"/>
            <w:gridSpan w:val="3"/>
          </w:tcPr>
          <w:p w:rsidR="00FF7E1E" w:rsidRDefault="00FF7E1E" w:rsidP="00FF7E1E">
            <w:pPr>
              <w:rPr>
                <w:b/>
                <w:bCs/>
              </w:rPr>
            </w:pPr>
            <w:bookmarkStart w:id="5" w:name="dtitle" w:colFirst="0" w:colLast="0"/>
            <w:bookmarkEnd w:id="4"/>
            <w:r>
              <w:rPr>
                <w:b/>
                <w:bCs/>
              </w:rPr>
              <w:t>WTSA/WCIT-12 Preparatory Meeting Buenos Aires, Argentina</w:t>
            </w:r>
          </w:p>
        </w:tc>
        <w:tc>
          <w:tcPr>
            <w:tcW w:w="4605" w:type="dxa"/>
            <w:gridSpan w:val="3"/>
          </w:tcPr>
          <w:p w:rsidR="00FF7E1E" w:rsidRDefault="00FF7E1E" w:rsidP="00FF7E1E">
            <w:pPr>
              <w:jc w:val="right"/>
              <w:rPr>
                <w:b/>
                <w:bCs/>
              </w:rPr>
            </w:pPr>
            <w:r>
              <w:rPr>
                <w:b/>
                <w:bCs/>
              </w:rPr>
              <w:t>14-15 May 2012</w:t>
            </w:r>
          </w:p>
        </w:tc>
      </w:tr>
      <w:tr w:rsidR="00FF7E1E" w:rsidTr="0064646F">
        <w:trPr>
          <w:cantSplit/>
          <w:trHeight w:val="357"/>
        </w:trPr>
        <w:tc>
          <w:tcPr>
            <w:tcW w:w="9212" w:type="dxa"/>
            <w:gridSpan w:val="6"/>
          </w:tcPr>
          <w:p w:rsidR="00FF7E1E" w:rsidRDefault="00FF7E1E" w:rsidP="00E13497">
            <w:pPr>
              <w:jc w:val="center"/>
            </w:pPr>
            <w:r w:rsidRPr="00FF7E1E">
              <w:t xml:space="preserve">CONTRIBUTION No </w:t>
            </w:r>
            <w:r w:rsidR="00E13497">
              <w:t>5</w:t>
            </w:r>
          </w:p>
        </w:tc>
      </w:tr>
      <w:tr w:rsidR="0065234D" w:rsidTr="0064646F">
        <w:trPr>
          <w:cantSplit/>
          <w:trHeight w:val="357"/>
        </w:trPr>
        <w:tc>
          <w:tcPr>
            <w:tcW w:w="1510" w:type="dxa"/>
            <w:gridSpan w:val="2"/>
          </w:tcPr>
          <w:p w:rsidR="0065234D" w:rsidRDefault="0065234D">
            <w:pPr>
              <w:rPr>
                <w:b/>
                <w:bCs/>
              </w:rPr>
            </w:pPr>
            <w:bookmarkStart w:id="6" w:name="dsource" w:colFirst="1" w:colLast="1"/>
            <w:bookmarkEnd w:id="5"/>
            <w:r>
              <w:rPr>
                <w:b/>
                <w:bCs/>
              </w:rPr>
              <w:t>Source:</w:t>
            </w:r>
          </w:p>
        </w:tc>
        <w:tc>
          <w:tcPr>
            <w:tcW w:w="7702" w:type="dxa"/>
            <w:gridSpan w:val="4"/>
          </w:tcPr>
          <w:p w:rsidR="0065234D" w:rsidRDefault="00A951BC">
            <w:r>
              <w:t>Brazil</w:t>
            </w:r>
          </w:p>
        </w:tc>
      </w:tr>
      <w:tr w:rsidR="0065234D" w:rsidRPr="00A951BC" w:rsidTr="0064646F">
        <w:trPr>
          <w:cantSplit/>
          <w:trHeight w:val="357"/>
        </w:trPr>
        <w:tc>
          <w:tcPr>
            <w:tcW w:w="1510" w:type="dxa"/>
            <w:gridSpan w:val="2"/>
            <w:tcBorders>
              <w:bottom w:val="single" w:sz="12" w:space="0" w:color="auto"/>
            </w:tcBorders>
          </w:tcPr>
          <w:p w:rsidR="0065234D" w:rsidRDefault="0065234D">
            <w:pPr>
              <w:spacing w:after="120"/>
            </w:pPr>
            <w:bookmarkStart w:id="7" w:name="dtitle1" w:colFirst="1" w:colLast="1"/>
            <w:bookmarkEnd w:id="6"/>
            <w:r>
              <w:rPr>
                <w:b/>
                <w:bCs/>
              </w:rPr>
              <w:t>Title:</w:t>
            </w:r>
          </w:p>
        </w:tc>
        <w:tc>
          <w:tcPr>
            <w:tcW w:w="7702" w:type="dxa"/>
            <w:gridSpan w:val="4"/>
            <w:tcBorders>
              <w:bottom w:val="single" w:sz="12" w:space="0" w:color="auto"/>
            </w:tcBorders>
          </w:tcPr>
          <w:p w:rsidR="0065234D" w:rsidRPr="00A951BC" w:rsidRDefault="00E13497" w:rsidP="00E13497">
            <w:pPr>
              <w:pStyle w:val="Equation"/>
              <w:spacing w:after="120"/>
              <w:rPr>
                <w:bCs/>
                <w:caps/>
                <w:szCs w:val="24"/>
                <w:lang w:val="en-US"/>
              </w:rPr>
            </w:pPr>
            <w:r w:rsidRPr="00E13497">
              <w:rPr>
                <w:bCs/>
                <w:szCs w:val="24"/>
                <w:lang w:val="en-US"/>
              </w:rPr>
              <w:t xml:space="preserve">Measures </w:t>
            </w:r>
            <w:r>
              <w:rPr>
                <w:bCs/>
                <w:szCs w:val="24"/>
                <w:lang w:val="en-US"/>
              </w:rPr>
              <w:t>t</w:t>
            </w:r>
            <w:r w:rsidRPr="00E13497">
              <w:rPr>
                <w:bCs/>
                <w:szCs w:val="24"/>
                <w:lang w:val="en-US"/>
              </w:rPr>
              <w:t xml:space="preserve">o Increase </w:t>
            </w:r>
            <w:r>
              <w:rPr>
                <w:bCs/>
                <w:szCs w:val="24"/>
                <w:lang w:val="en-US"/>
              </w:rPr>
              <w:t>t</w:t>
            </w:r>
            <w:r w:rsidRPr="00E13497">
              <w:rPr>
                <w:bCs/>
                <w:szCs w:val="24"/>
                <w:lang w:val="en-US"/>
              </w:rPr>
              <w:t xml:space="preserve">he Efficiency </w:t>
            </w:r>
            <w:r>
              <w:rPr>
                <w:bCs/>
                <w:szCs w:val="24"/>
                <w:lang w:val="en-US"/>
              </w:rPr>
              <w:t>o</w:t>
            </w:r>
            <w:r w:rsidRPr="00E13497">
              <w:rPr>
                <w:bCs/>
                <w:szCs w:val="24"/>
                <w:lang w:val="en-US"/>
              </w:rPr>
              <w:t>f International Telecommunication Services Charging</w:t>
            </w:r>
          </w:p>
        </w:tc>
      </w:tr>
      <w:bookmarkEnd w:id="2"/>
      <w:bookmarkEnd w:id="7"/>
    </w:tbl>
    <w:p w:rsidR="00E13497" w:rsidRDefault="00E13497" w:rsidP="00657B76">
      <w:pPr>
        <w:jc w:val="both"/>
        <w:rPr>
          <w:b/>
          <w:sz w:val="22"/>
          <w:szCs w:val="22"/>
        </w:rPr>
      </w:pPr>
    </w:p>
    <w:p w:rsidR="00E13497" w:rsidRDefault="00E13497" w:rsidP="00657B76">
      <w:pPr>
        <w:spacing w:after="120"/>
        <w:rPr>
          <w:b/>
          <w:sz w:val="22"/>
          <w:szCs w:val="22"/>
        </w:rPr>
      </w:pPr>
      <w:r>
        <w:rPr>
          <w:b/>
          <w:sz w:val="22"/>
          <w:szCs w:val="22"/>
        </w:rPr>
        <w:t>Background:</w:t>
      </w:r>
    </w:p>
    <w:p w:rsidR="00E13497" w:rsidRDefault="00E13497" w:rsidP="00657B76">
      <w:pPr>
        <w:rPr>
          <w:sz w:val="22"/>
          <w:szCs w:val="22"/>
        </w:rPr>
      </w:pPr>
      <w:r>
        <w:rPr>
          <w:sz w:val="22"/>
          <w:szCs w:val="22"/>
        </w:rPr>
        <w:t>The charging of international telecommunications services takes into consideration parameters such as type of service, origin, destination, quantity, duration and volume of data transferred. Operating agencies are usually free to determine their own charging methodologies and combination of charging parameters and measuring units, dependent on their individual market strategies.</w:t>
      </w:r>
    </w:p>
    <w:p w:rsidR="00E13497" w:rsidRDefault="00E13497" w:rsidP="00657B76">
      <w:pPr>
        <w:rPr>
          <w:sz w:val="22"/>
          <w:szCs w:val="22"/>
        </w:rPr>
      </w:pPr>
      <w:r>
        <w:rPr>
          <w:sz w:val="22"/>
          <w:szCs w:val="22"/>
        </w:rPr>
        <w:t>There are, however, discrepancies in the utilization of such parameters and measuring units, and this can result in unfair and inefficient charging to end consumers. These discrepancies can be noticed particularly on international mobile roaming charges, where the parameters and measuring units used for charging local and roaming customers can be very different. A mobile operator can, for example, determine that calls originated in the national network will be fractionated by seconds, while its users will pay by minutes for calls originated when roaming abroad. The parameters and measuring units for charging access to mobile broadband are also usually different for local users and for the same users when roaming.</w:t>
      </w:r>
    </w:p>
    <w:p w:rsidR="00E13497" w:rsidRDefault="00E13497" w:rsidP="00657B76">
      <w:pPr>
        <w:jc w:val="both"/>
        <w:rPr>
          <w:sz w:val="22"/>
          <w:szCs w:val="22"/>
        </w:rPr>
      </w:pPr>
      <w:r w:rsidRPr="00B6058D">
        <w:rPr>
          <w:sz w:val="22"/>
          <w:szCs w:val="22"/>
        </w:rPr>
        <w:t xml:space="preserve">The </w:t>
      </w:r>
      <w:r>
        <w:rPr>
          <w:sz w:val="22"/>
          <w:szCs w:val="22"/>
        </w:rPr>
        <w:t>use of different fractioning and measuring units for charging telecommunication services is a discrepancy that can lead to unfair charging and unfair rounding up of charges, and it deviates from the basic principle of charging consumers only for what they are effectively consuming. The utilization of reasonable and consistent measuring units can help in developing a market environment less susceptible to unfairness in the charging of telecommunication services.</w:t>
      </w:r>
    </w:p>
    <w:p w:rsidR="00E13497" w:rsidRDefault="00E13497" w:rsidP="00657B76">
      <w:pPr>
        <w:jc w:val="both"/>
        <w:rPr>
          <w:b/>
          <w:sz w:val="22"/>
          <w:szCs w:val="22"/>
        </w:rPr>
      </w:pPr>
    </w:p>
    <w:p w:rsidR="00E13497" w:rsidRDefault="00E13497" w:rsidP="00657B76">
      <w:pPr>
        <w:jc w:val="both"/>
        <w:rPr>
          <w:b/>
          <w:sz w:val="22"/>
          <w:szCs w:val="22"/>
        </w:rPr>
      </w:pPr>
      <w:r w:rsidRPr="00CD6AA7">
        <w:rPr>
          <w:b/>
          <w:sz w:val="22"/>
          <w:szCs w:val="22"/>
        </w:rPr>
        <w:t>Proposal</w:t>
      </w:r>
      <w:r>
        <w:rPr>
          <w:b/>
          <w:sz w:val="22"/>
          <w:szCs w:val="22"/>
        </w:rPr>
        <w:t>:</w:t>
      </w:r>
    </w:p>
    <w:p w:rsidR="00E13497" w:rsidRDefault="00E13497" w:rsidP="00657B76">
      <w:pPr>
        <w:rPr>
          <w:sz w:val="22"/>
          <w:szCs w:val="22"/>
        </w:rPr>
      </w:pPr>
      <w:r w:rsidRPr="00CF7343">
        <w:rPr>
          <w:sz w:val="22"/>
          <w:szCs w:val="22"/>
        </w:rPr>
        <w:t xml:space="preserve">To include </w:t>
      </w:r>
      <w:r>
        <w:rPr>
          <w:sz w:val="22"/>
          <w:szCs w:val="22"/>
        </w:rPr>
        <w:t>the following provisions</w:t>
      </w:r>
      <w:r w:rsidRPr="00CF7343">
        <w:rPr>
          <w:sz w:val="22"/>
          <w:szCs w:val="22"/>
        </w:rPr>
        <w:t xml:space="preserve"> in Article </w:t>
      </w:r>
      <w:r>
        <w:rPr>
          <w:sz w:val="22"/>
          <w:szCs w:val="22"/>
        </w:rPr>
        <w:t>6, “Charging and Accounting”,</w:t>
      </w:r>
      <w:r w:rsidRPr="00CF7343">
        <w:rPr>
          <w:sz w:val="22"/>
          <w:szCs w:val="22"/>
        </w:rPr>
        <w:t xml:space="preserve"> of the International Telecommunication Regulations</w:t>
      </w:r>
      <w:r>
        <w:rPr>
          <w:sz w:val="22"/>
          <w:szCs w:val="22"/>
        </w:rPr>
        <w:t>:</w:t>
      </w:r>
    </w:p>
    <w:p w:rsidR="00E13497" w:rsidRDefault="00E13497" w:rsidP="00657B76">
      <w:pPr>
        <w:rPr>
          <w:sz w:val="22"/>
          <w:szCs w:val="22"/>
        </w:rPr>
      </w:pPr>
      <w:bookmarkStart w:id="8" w:name="_GoBack"/>
      <w:bookmarkEnd w:id="8"/>
      <w:r>
        <w:rPr>
          <w:sz w:val="22"/>
          <w:szCs w:val="22"/>
        </w:rPr>
        <w:t>“Member States shall ensure that Operating Agencies establish charging units and parameters that bill telecommunication service consumers for what is effectively consumed.”</w:t>
      </w:r>
    </w:p>
    <w:p w:rsidR="00E13497" w:rsidRDefault="00E13497" w:rsidP="00657B76">
      <w:pPr>
        <w:rPr>
          <w:b/>
          <w:sz w:val="22"/>
          <w:szCs w:val="22"/>
        </w:rPr>
      </w:pPr>
    </w:p>
    <w:p w:rsidR="00E13497" w:rsidRDefault="00E13497" w:rsidP="00657B76">
      <w:pPr>
        <w:rPr>
          <w:b/>
          <w:sz w:val="22"/>
          <w:szCs w:val="22"/>
        </w:rPr>
      </w:pPr>
    </w:p>
    <w:p w:rsidR="00E13497" w:rsidRPr="00C74E62" w:rsidRDefault="00E13497" w:rsidP="00657B76">
      <w:pPr>
        <w:jc w:val="center"/>
      </w:pPr>
      <w:r w:rsidRPr="00CD6AA7">
        <w:rPr>
          <w:sz w:val="22"/>
          <w:szCs w:val="22"/>
        </w:rPr>
        <w:t>__________</w:t>
      </w:r>
    </w:p>
    <w:p w:rsidR="0065234D" w:rsidRDefault="0065234D" w:rsidP="00E13497">
      <w:pPr>
        <w:spacing w:after="120"/>
      </w:pPr>
    </w:p>
    <w:sectPr w:rsidR="0065234D">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1E" w:rsidRDefault="00FF7E1E">
      <w:r>
        <w:separator/>
      </w:r>
    </w:p>
  </w:endnote>
  <w:endnote w:type="continuationSeparator" w:id="0">
    <w:p w:rsidR="00FF7E1E" w:rsidRDefault="00F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F7E1E" w:rsidTr="005F1AC3">
      <w:trPr>
        <w:cantSplit/>
        <w:trHeight w:val="204"/>
        <w:jc w:val="center"/>
      </w:trPr>
      <w:tc>
        <w:tcPr>
          <w:tcW w:w="1617" w:type="dxa"/>
          <w:tcBorders>
            <w:top w:val="single" w:sz="12" w:space="0" w:color="auto"/>
          </w:tcBorders>
        </w:tcPr>
        <w:p w:rsidR="00FF7E1E" w:rsidRDefault="00FF7E1E" w:rsidP="005F1AC3">
          <w:pPr>
            <w:rPr>
              <w:b/>
              <w:bCs/>
              <w:sz w:val="22"/>
            </w:rPr>
          </w:pPr>
        </w:p>
      </w:tc>
      <w:tc>
        <w:tcPr>
          <w:tcW w:w="4394" w:type="dxa"/>
          <w:tcBorders>
            <w:top w:val="single" w:sz="12" w:space="0" w:color="auto"/>
          </w:tcBorders>
        </w:tcPr>
        <w:p w:rsidR="00FF7E1E" w:rsidRDefault="00FF7E1E" w:rsidP="005F1AC3">
          <w:pPr>
            <w:spacing w:before="0"/>
            <w:rPr>
              <w:sz w:val="22"/>
            </w:rPr>
          </w:pPr>
        </w:p>
      </w:tc>
      <w:tc>
        <w:tcPr>
          <w:tcW w:w="3912" w:type="dxa"/>
          <w:tcBorders>
            <w:top w:val="single" w:sz="12" w:space="0" w:color="auto"/>
          </w:tcBorders>
        </w:tcPr>
        <w:p w:rsidR="00FF7E1E" w:rsidRPr="00AB52AF" w:rsidRDefault="00FF7E1E" w:rsidP="005F1AC3">
          <w:pPr>
            <w:spacing w:before="0"/>
            <w:rPr>
              <w:sz w:val="22"/>
            </w:rPr>
          </w:pPr>
        </w:p>
      </w:tc>
    </w:tr>
    <w:tr w:rsidR="00FF7E1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F7E1E" w:rsidRDefault="00FF7E1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F7E1E" w:rsidRDefault="00FF7E1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1E" w:rsidRDefault="00FF7E1E">
      <w:r>
        <w:separator/>
      </w:r>
    </w:p>
  </w:footnote>
  <w:footnote w:type="continuationSeparator" w:id="0">
    <w:p w:rsidR="00FF7E1E" w:rsidRDefault="00FF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1E" w:rsidRDefault="00FF7E1E" w:rsidP="005F1AC3">
    <w:pPr>
      <w:pStyle w:val="Header"/>
    </w:pPr>
    <w:r>
      <w:t xml:space="preserve">- </w:t>
    </w:r>
    <w:r>
      <w:fldChar w:fldCharType="begin"/>
    </w:r>
    <w:r>
      <w:instrText xml:space="preserve"> PAGE  \* MERGEFORMAT </w:instrText>
    </w:r>
    <w:r>
      <w:fldChar w:fldCharType="separate"/>
    </w:r>
    <w:r w:rsidR="00E13497">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7">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7"/>
  </w:num>
  <w:num w:numId="8">
    <w:abstractNumId w:val="8"/>
  </w:num>
  <w:num w:numId="9">
    <w:abstractNumId w:val="1"/>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020E80"/>
    <w:rsid w:val="00191E9A"/>
    <w:rsid w:val="003A6BCB"/>
    <w:rsid w:val="005F1AC3"/>
    <w:rsid w:val="00635472"/>
    <w:rsid w:val="0064646F"/>
    <w:rsid w:val="0065234D"/>
    <w:rsid w:val="0091162D"/>
    <w:rsid w:val="00A4511B"/>
    <w:rsid w:val="00A951BC"/>
    <w:rsid w:val="00C30F2A"/>
    <w:rsid w:val="00C51AB5"/>
    <w:rsid w:val="00D46733"/>
    <w:rsid w:val="00E13497"/>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ind w:left="720"/>
      <w:contextualSpacing/>
      <w:textAlignment w:val="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99"/>
    <w:qFormat/>
    <w:rsid w:val="0091162D"/>
    <w:pPr>
      <w:ind w:left="720"/>
      <w:contextualSpacing/>
      <w:textAlignment w:val="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1</TotalTime>
  <Pages>1</Pages>
  <Words>311</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3</cp:revision>
  <cp:lastPrinted>2012-05-09T07:45:00Z</cp:lastPrinted>
  <dcterms:created xsi:type="dcterms:W3CDTF">2012-05-09T07:54:00Z</dcterms:created>
  <dcterms:modified xsi:type="dcterms:W3CDTF">2012-05-09T07:55:00Z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