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Layout w:type="fixed"/>
        <w:tblCellMar>
          <w:left w:w="57" w:type="dxa"/>
          <w:right w:w="57" w:type="dxa"/>
        </w:tblCellMar>
        <w:tblLook w:val="0000" w:firstRow="0" w:lastRow="0" w:firstColumn="0" w:lastColumn="0" w:noHBand="0" w:noVBand="0"/>
      </w:tblPr>
      <w:tblGrid>
        <w:gridCol w:w="1324"/>
        <w:gridCol w:w="186"/>
        <w:gridCol w:w="3097"/>
        <w:gridCol w:w="459"/>
        <w:gridCol w:w="1037"/>
        <w:gridCol w:w="3109"/>
      </w:tblGrid>
      <w:tr w:rsidR="0065234D" w:rsidTr="0064646F">
        <w:trPr>
          <w:cantSplit/>
        </w:trPr>
        <w:tc>
          <w:tcPr>
            <w:tcW w:w="1324" w:type="dxa"/>
            <w:vMerge w:val="restart"/>
          </w:tcPr>
          <w:p w:rsidR="0065234D" w:rsidRDefault="003A6BCB">
            <w:bookmarkStart w:id="0" w:name="InsertLogo"/>
            <w:bookmarkStart w:id="1" w:name="dnum" w:colFirst="2" w:colLast="2"/>
            <w:bookmarkStart w:id="2" w:name="dtableau"/>
            <w:bookmarkEnd w:id="0"/>
            <w:r>
              <w:rPr>
                <w:b/>
                <w:noProof/>
                <w:sz w:val="36"/>
                <w:lang w:val="en-US" w:eastAsia="zh-CN"/>
              </w:rPr>
              <w:drawing>
                <wp:inline distT="0" distB="0" distL="0" distR="0" wp14:anchorId="0BD2AC64" wp14:editId="2C2C4235">
                  <wp:extent cx="766445" cy="84328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843280"/>
                          </a:xfrm>
                          <a:prstGeom prst="rect">
                            <a:avLst/>
                          </a:prstGeom>
                          <a:noFill/>
                          <a:ln>
                            <a:noFill/>
                          </a:ln>
                        </pic:spPr>
                      </pic:pic>
                    </a:graphicData>
                  </a:graphic>
                </wp:inline>
              </w:drawing>
            </w:r>
          </w:p>
        </w:tc>
        <w:tc>
          <w:tcPr>
            <w:tcW w:w="4779" w:type="dxa"/>
            <w:gridSpan w:val="4"/>
          </w:tcPr>
          <w:p w:rsidR="0065234D" w:rsidRDefault="0065234D">
            <w:pPr>
              <w:rPr>
                <w:sz w:val="20"/>
              </w:rPr>
            </w:pPr>
            <w:r>
              <w:rPr>
                <w:sz w:val="20"/>
              </w:rPr>
              <w:t>INTERNATIONAL TELECOMMUNICATION UNION</w:t>
            </w:r>
          </w:p>
        </w:tc>
        <w:tc>
          <w:tcPr>
            <w:tcW w:w="3109" w:type="dxa"/>
          </w:tcPr>
          <w:p w:rsidR="0065234D" w:rsidRDefault="0065234D" w:rsidP="00AD301E">
            <w:pPr>
              <w:jc w:val="right"/>
              <w:rPr>
                <w:b/>
                <w:sz w:val="28"/>
              </w:rPr>
            </w:pPr>
            <w:r>
              <w:rPr>
                <w:b/>
                <w:sz w:val="28"/>
              </w:rPr>
              <w:t xml:space="preserve">Document No </w:t>
            </w:r>
            <w:r w:rsidR="00AD301E">
              <w:rPr>
                <w:b/>
                <w:sz w:val="28"/>
              </w:rPr>
              <w:t>7</w:t>
            </w:r>
          </w:p>
        </w:tc>
      </w:tr>
      <w:tr w:rsidR="0065234D" w:rsidTr="0064646F">
        <w:trPr>
          <w:cantSplit/>
          <w:trHeight w:val="355"/>
        </w:trPr>
        <w:tc>
          <w:tcPr>
            <w:tcW w:w="1324" w:type="dxa"/>
            <w:vMerge/>
          </w:tcPr>
          <w:p w:rsidR="0065234D" w:rsidRDefault="0065234D">
            <w:bookmarkStart w:id="3" w:name="ddate" w:colFirst="2" w:colLast="2"/>
            <w:bookmarkEnd w:id="1"/>
          </w:p>
        </w:tc>
        <w:tc>
          <w:tcPr>
            <w:tcW w:w="3742" w:type="dxa"/>
            <w:gridSpan w:val="3"/>
            <w:vMerge w:val="restart"/>
          </w:tcPr>
          <w:p w:rsidR="0065234D" w:rsidRDefault="0065234D">
            <w:pPr>
              <w:rPr>
                <w:b/>
                <w:bCs/>
                <w:sz w:val="26"/>
              </w:rPr>
            </w:pPr>
            <w:r>
              <w:rPr>
                <w:b/>
                <w:bCs/>
                <w:sz w:val="26"/>
              </w:rPr>
              <w:t>TELECOMMUNICATION</w:t>
            </w:r>
            <w:r>
              <w:rPr>
                <w:b/>
                <w:bCs/>
                <w:sz w:val="26"/>
              </w:rPr>
              <w:br/>
              <w:t>STANDARDIZATION SECTOR</w:t>
            </w:r>
          </w:p>
          <w:p w:rsidR="0065234D" w:rsidRDefault="003A6BCB">
            <w:pPr>
              <w:rPr>
                <w:smallCaps/>
                <w:sz w:val="20"/>
              </w:rPr>
            </w:pPr>
            <w:r w:rsidRPr="003A6BCB">
              <w:rPr>
                <w:sz w:val="20"/>
              </w:rPr>
              <w:t>STUDY PERIOD 2009-2012</w:t>
            </w:r>
          </w:p>
        </w:tc>
        <w:tc>
          <w:tcPr>
            <w:tcW w:w="4146" w:type="dxa"/>
            <w:gridSpan w:val="2"/>
          </w:tcPr>
          <w:p w:rsidR="0065234D" w:rsidRDefault="00FF7E1E" w:rsidP="00FF7E1E">
            <w:pPr>
              <w:jc w:val="right"/>
              <w:rPr>
                <w:b/>
                <w:bCs/>
                <w:sz w:val="28"/>
              </w:rPr>
            </w:pPr>
            <w:r>
              <w:rPr>
                <w:b/>
                <w:bCs/>
                <w:sz w:val="28"/>
              </w:rPr>
              <w:t xml:space="preserve">9 </w:t>
            </w:r>
            <w:r w:rsidR="003A6BCB">
              <w:rPr>
                <w:b/>
                <w:bCs/>
                <w:sz w:val="28"/>
              </w:rPr>
              <w:t>May 2012</w:t>
            </w:r>
          </w:p>
        </w:tc>
      </w:tr>
      <w:tr w:rsidR="0065234D" w:rsidTr="0064646F">
        <w:trPr>
          <w:cantSplit/>
          <w:trHeight w:val="780"/>
        </w:trPr>
        <w:tc>
          <w:tcPr>
            <w:tcW w:w="1324" w:type="dxa"/>
            <w:vMerge/>
            <w:tcBorders>
              <w:bottom w:val="single" w:sz="12" w:space="0" w:color="auto"/>
            </w:tcBorders>
          </w:tcPr>
          <w:p w:rsidR="0065234D" w:rsidRDefault="0065234D">
            <w:bookmarkStart w:id="4" w:name="dorlang" w:colFirst="2" w:colLast="2"/>
            <w:bookmarkEnd w:id="3"/>
          </w:p>
        </w:tc>
        <w:tc>
          <w:tcPr>
            <w:tcW w:w="3742" w:type="dxa"/>
            <w:gridSpan w:val="3"/>
            <w:vMerge/>
            <w:tcBorders>
              <w:bottom w:val="single" w:sz="12" w:space="0" w:color="auto"/>
            </w:tcBorders>
          </w:tcPr>
          <w:p w:rsidR="0065234D" w:rsidRDefault="0065234D">
            <w:pPr>
              <w:rPr>
                <w:b/>
                <w:bCs/>
                <w:sz w:val="26"/>
              </w:rPr>
            </w:pPr>
          </w:p>
        </w:tc>
        <w:tc>
          <w:tcPr>
            <w:tcW w:w="4146" w:type="dxa"/>
            <w:gridSpan w:val="2"/>
            <w:tcBorders>
              <w:bottom w:val="single" w:sz="12" w:space="0" w:color="auto"/>
            </w:tcBorders>
            <w:vAlign w:val="center"/>
          </w:tcPr>
          <w:p w:rsidR="0065234D" w:rsidRDefault="0065234D" w:rsidP="00A951BC">
            <w:pPr>
              <w:jc w:val="right"/>
              <w:rPr>
                <w:b/>
                <w:bCs/>
                <w:sz w:val="28"/>
              </w:rPr>
            </w:pPr>
            <w:r>
              <w:rPr>
                <w:b/>
                <w:bCs/>
                <w:sz w:val="28"/>
              </w:rPr>
              <w:t xml:space="preserve">Original: </w:t>
            </w:r>
            <w:r w:rsidR="00A951BC">
              <w:rPr>
                <w:b/>
                <w:bCs/>
                <w:sz w:val="28"/>
              </w:rPr>
              <w:t>English</w:t>
            </w:r>
            <w:r>
              <w:rPr>
                <w:b/>
                <w:bCs/>
                <w:sz w:val="28"/>
              </w:rPr>
              <w:t xml:space="preserve">    </w:t>
            </w:r>
          </w:p>
        </w:tc>
      </w:tr>
      <w:tr w:rsidR="00FF7E1E" w:rsidTr="0064646F">
        <w:trPr>
          <w:cantSplit/>
          <w:trHeight w:val="357"/>
        </w:trPr>
        <w:tc>
          <w:tcPr>
            <w:tcW w:w="4607" w:type="dxa"/>
            <w:gridSpan w:val="3"/>
          </w:tcPr>
          <w:p w:rsidR="00FF7E1E" w:rsidRDefault="00FF7E1E" w:rsidP="00FF7E1E">
            <w:pPr>
              <w:rPr>
                <w:b/>
                <w:bCs/>
              </w:rPr>
            </w:pPr>
            <w:bookmarkStart w:id="5" w:name="dtitle" w:colFirst="0" w:colLast="0"/>
            <w:bookmarkEnd w:id="4"/>
            <w:r>
              <w:rPr>
                <w:b/>
                <w:bCs/>
              </w:rPr>
              <w:t>WTSA/WCIT-12 Preparatory Meeting Buenos Aires, Argentina</w:t>
            </w:r>
          </w:p>
        </w:tc>
        <w:tc>
          <w:tcPr>
            <w:tcW w:w="4605" w:type="dxa"/>
            <w:gridSpan w:val="3"/>
          </w:tcPr>
          <w:p w:rsidR="00FF7E1E" w:rsidRDefault="00FF7E1E" w:rsidP="00FF7E1E">
            <w:pPr>
              <w:jc w:val="right"/>
              <w:rPr>
                <w:b/>
                <w:bCs/>
              </w:rPr>
            </w:pPr>
            <w:r>
              <w:rPr>
                <w:b/>
                <w:bCs/>
              </w:rPr>
              <w:t>14-15 May 2012</w:t>
            </w:r>
          </w:p>
        </w:tc>
      </w:tr>
      <w:tr w:rsidR="00FF7E1E" w:rsidTr="0064646F">
        <w:trPr>
          <w:cantSplit/>
          <w:trHeight w:val="357"/>
        </w:trPr>
        <w:tc>
          <w:tcPr>
            <w:tcW w:w="9212" w:type="dxa"/>
            <w:gridSpan w:val="6"/>
          </w:tcPr>
          <w:p w:rsidR="00FF7E1E" w:rsidRDefault="00FF7E1E" w:rsidP="00AD301E">
            <w:pPr>
              <w:jc w:val="center"/>
            </w:pPr>
            <w:r w:rsidRPr="00FF7E1E">
              <w:t xml:space="preserve">CONTRIBUTION No </w:t>
            </w:r>
            <w:r w:rsidR="00AD301E">
              <w:t>7</w:t>
            </w:r>
          </w:p>
        </w:tc>
      </w:tr>
      <w:tr w:rsidR="0065234D" w:rsidTr="0064646F">
        <w:trPr>
          <w:cantSplit/>
          <w:trHeight w:val="357"/>
        </w:trPr>
        <w:tc>
          <w:tcPr>
            <w:tcW w:w="1510" w:type="dxa"/>
            <w:gridSpan w:val="2"/>
          </w:tcPr>
          <w:p w:rsidR="0065234D" w:rsidRDefault="0065234D">
            <w:pPr>
              <w:rPr>
                <w:b/>
                <w:bCs/>
              </w:rPr>
            </w:pPr>
            <w:bookmarkStart w:id="6" w:name="dsource" w:colFirst="1" w:colLast="1"/>
            <w:bookmarkEnd w:id="5"/>
            <w:r>
              <w:rPr>
                <w:b/>
                <w:bCs/>
              </w:rPr>
              <w:t>Source:</w:t>
            </w:r>
          </w:p>
        </w:tc>
        <w:tc>
          <w:tcPr>
            <w:tcW w:w="7702" w:type="dxa"/>
            <w:gridSpan w:val="4"/>
          </w:tcPr>
          <w:p w:rsidR="0065234D" w:rsidRDefault="00A951BC">
            <w:r>
              <w:t>Brazil</w:t>
            </w:r>
          </w:p>
        </w:tc>
      </w:tr>
      <w:tr w:rsidR="0065234D" w:rsidRPr="00A951BC" w:rsidTr="0064646F">
        <w:trPr>
          <w:cantSplit/>
          <w:trHeight w:val="357"/>
        </w:trPr>
        <w:tc>
          <w:tcPr>
            <w:tcW w:w="1510" w:type="dxa"/>
            <w:gridSpan w:val="2"/>
            <w:tcBorders>
              <w:bottom w:val="single" w:sz="12" w:space="0" w:color="auto"/>
            </w:tcBorders>
          </w:tcPr>
          <w:p w:rsidR="0065234D" w:rsidRDefault="0065234D">
            <w:pPr>
              <w:spacing w:after="120"/>
            </w:pPr>
            <w:bookmarkStart w:id="7" w:name="dtitle1" w:colFirst="1" w:colLast="1"/>
            <w:bookmarkEnd w:id="6"/>
            <w:r>
              <w:rPr>
                <w:b/>
                <w:bCs/>
              </w:rPr>
              <w:t>Title:</w:t>
            </w:r>
          </w:p>
        </w:tc>
        <w:tc>
          <w:tcPr>
            <w:tcW w:w="7702" w:type="dxa"/>
            <w:gridSpan w:val="4"/>
            <w:tcBorders>
              <w:bottom w:val="single" w:sz="12" w:space="0" w:color="auto"/>
            </w:tcBorders>
          </w:tcPr>
          <w:p w:rsidR="0065234D" w:rsidRPr="00A951BC" w:rsidRDefault="00AD301E" w:rsidP="00E13497">
            <w:pPr>
              <w:pStyle w:val="Equation"/>
              <w:spacing w:after="120"/>
              <w:rPr>
                <w:bCs/>
                <w:caps/>
                <w:szCs w:val="24"/>
                <w:lang w:val="en-US"/>
              </w:rPr>
            </w:pPr>
            <w:r w:rsidRPr="00AD301E">
              <w:rPr>
                <w:bCs/>
                <w:szCs w:val="24"/>
                <w:lang w:val="en-US"/>
              </w:rPr>
              <w:t>Proposal of principles to be observed in the revision of the International Telecommunication Regulations</w:t>
            </w:r>
          </w:p>
        </w:tc>
      </w:tr>
    </w:tbl>
    <w:bookmarkEnd w:id="2"/>
    <w:bookmarkEnd w:id="7"/>
    <w:p w:rsidR="00AD301E" w:rsidRDefault="00AD301E" w:rsidP="004841C7">
      <w:pPr>
        <w:rPr>
          <w:sz w:val="22"/>
          <w:szCs w:val="22"/>
        </w:rPr>
      </w:pPr>
      <w:r>
        <w:rPr>
          <w:sz w:val="22"/>
          <w:szCs w:val="22"/>
        </w:rPr>
        <w:t>The Brazilian administration presents its points of view and understandings regarding the principles to be observed in revising the International Telecommunication Regulations (ITRs):</w:t>
      </w:r>
    </w:p>
    <w:p w:rsidR="00AD301E" w:rsidRDefault="00AD301E" w:rsidP="00AD301E">
      <w:pPr>
        <w:rPr>
          <w:sz w:val="22"/>
          <w:szCs w:val="22"/>
        </w:rPr>
      </w:pPr>
    </w:p>
    <w:p w:rsidR="00AD301E" w:rsidRPr="00AD301E" w:rsidRDefault="00AD301E" w:rsidP="00AD301E">
      <w:pPr>
        <w:pStyle w:val="ListParagraph"/>
        <w:numPr>
          <w:ilvl w:val="0"/>
          <w:numId w:val="15"/>
        </w:numPr>
        <w:tabs>
          <w:tab w:val="clear" w:pos="794"/>
          <w:tab w:val="clear" w:pos="1191"/>
          <w:tab w:val="clear" w:pos="1588"/>
          <w:tab w:val="clear" w:pos="1985"/>
        </w:tabs>
        <w:overflowPunct/>
        <w:autoSpaceDE/>
        <w:autoSpaceDN/>
        <w:adjustRightInd/>
        <w:spacing w:before="0"/>
        <w:jc w:val="both"/>
        <w:rPr>
          <w:sz w:val="22"/>
          <w:szCs w:val="22"/>
        </w:rPr>
      </w:pPr>
      <w:r w:rsidRPr="00AD301E">
        <w:rPr>
          <w:sz w:val="22"/>
          <w:szCs w:val="22"/>
        </w:rPr>
        <w:t>The ITRs should contain provisions concerning obligations to the signatory Member States, not to direct private parties, and the Member States shall adopt the necessary measures to implement the ITRs at the national and international levels, whenever the provisions apply;</w:t>
      </w:r>
    </w:p>
    <w:p w:rsidR="00AD301E" w:rsidRDefault="00AD301E" w:rsidP="00AD301E">
      <w:pPr>
        <w:ind w:left="360"/>
        <w:jc w:val="both"/>
        <w:rPr>
          <w:sz w:val="22"/>
          <w:szCs w:val="22"/>
        </w:rPr>
      </w:pPr>
    </w:p>
    <w:p w:rsidR="00AD301E" w:rsidRPr="00AD301E" w:rsidRDefault="00AD301E" w:rsidP="00AD301E">
      <w:pPr>
        <w:pStyle w:val="ListParagraph"/>
        <w:numPr>
          <w:ilvl w:val="0"/>
          <w:numId w:val="15"/>
        </w:numPr>
        <w:tabs>
          <w:tab w:val="clear" w:pos="794"/>
          <w:tab w:val="clear" w:pos="1191"/>
          <w:tab w:val="clear" w:pos="1588"/>
          <w:tab w:val="clear" w:pos="1985"/>
        </w:tabs>
        <w:overflowPunct/>
        <w:autoSpaceDE/>
        <w:autoSpaceDN/>
        <w:adjustRightInd/>
        <w:spacing w:before="0"/>
        <w:jc w:val="both"/>
        <w:rPr>
          <w:sz w:val="22"/>
          <w:szCs w:val="22"/>
        </w:rPr>
      </w:pPr>
      <w:r w:rsidRPr="00AD301E">
        <w:rPr>
          <w:sz w:val="22"/>
          <w:szCs w:val="22"/>
        </w:rPr>
        <w:t>The ITRs should mostly address high-level matters regarding international telecommunications, however, if a certain technical aspect requires, technical specificities could be discussed and included in the scope of the ITRs;</w:t>
      </w:r>
    </w:p>
    <w:p w:rsidR="00AD301E" w:rsidRPr="00AD301E" w:rsidRDefault="00AD301E" w:rsidP="00AD301E">
      <w:pPr>
        <w:pStyle w:val="ListParagraph"/>
        <w:rPr>
          <w:sz w:val="22"/>
          <w:szCs w:val="22"/>
          <w:lang w:val="en-US"/>
        </w:rPr>
      </w:pPr>
    </w:p>
    <w:p w:rsidR="00AD301E" w:rsidRPr="00AD301E" w:rsidRDefault="00AD301E" w:rsidP="00AD301E">
      <w:pPr>
        <w:pStyle w:val="ListParagraph"/>
        <w:numPr>
          <w:ilvl w:val="0"/>
          <w:numId w:val="15"/>
        </w:numPr>
        <w:tabs>
          <w:tab w:val="clear" w:pos="794"/>
          <w:tab w:val="clear" w:pos="1191"/>
          <w:tab w:val="clear" w:pos="1588"/>
          <w:tab w:val="clear" w:pos="1985"/>
        </w:tabs>
        <w:overflowPunct/>
        <w:autoSpaceDE/>
        <w:autoSpaceDN/>
        <w:adjustRightInd/>
        <w:spacing w:before="0"/>
        <w:jc w:val="both"/>
        <w:rPr>
          <w:sz w:val="22"/>
          <w:szCs w:val="22"/>
        </w:rPr>
      </w:pPr>
      <w:r w:rsidRPr="00AD301E">
        <w:rPr>
          <w:sz w:val="22"/>
          <w:szCs w:val="22"/>
        </w:rPr>
        <w:t>The ITRs should be viewed as provisions that complement the ITU Constitution (CS) and Convention (CV), so any proposal that is “unconstitutional” or goes against what is defined in the CS and CV should not be approved;</w:t>
      </w:r>
    </w:p>
    <w:p w:rsidR="00AD301E" w:rsidRPr="00AD301E" w:rsidRDefault="00AD301E" w:rsidP="00AD301E">
      <w:pPr>
        <w:pStyle w:val="ListParagraph"/>
        <w:rPr>
          <w:sz w:val="22"/>
          <w:szCs w:val="22"/>
          <w:lang w:val="en-US"/>
        </w:rPr>
      </w:pPr>
    </w:p>
    <w:p w:rsidR="00AD301E" w:rsidRPr="00AD301E" w:rsidRDefault="00AD301E" w:rsidP="00AD301E">
      <w:pPr>
        <w:pStyle w:val="ListParagraph"/>
        <w:numPr>
          <w:ilvl w:val="0"/>
          <w:numId w:val="15"/>
        </w:numPr>
        <w:tabs>
          <w:tab w:val="clear" w:pos="794"/>
          <w:tab w:val="clear" w:pos="1191"/>
          <w:tab w:val="clear" w:pos="1588"/>
          <w:tab w:val="clear" w:pos="1985"/>
        </w:tabs>
        <w:overflowPunct/>
        <w:autoSpaceDE/>
        <w:autoSpaceDN/>
        <w:adjustRightInd/>
        <w:spacing w:before="0"/>
        <w:jc w:val="both"/>
        <w:rPr>
          <w:sz w:val="22"/>
          <w:szCs w:val="22"/>
        </w:rPr>
      </w:pPr>
      <w:r w:rsidRPr="00AD301E">
        <w:rPr>
          <w:sz w:val="22"/>
          <w:szCs w:val="22"/>
        </w:rPr>
        <w:t>The ITRs shall not state that they are subordinate to any other treaties;</w:t>
      </w:r>
    </w:p>
    <w:p w:rsidR="00AD301E" w:rsidRPr="00AD301E" w:rsidRDefault="00AD301E" w:rsidP="00AD301E">
      <w:pPr>
        <w:pStyle w:val="ListParagraph"/>
        <w:rPr>
          <w:sz w:val="22"/>
          <w:szCs w:val="22"/>
          <w:lang w:val="en-US"/>
        </w:rPr>
      </w:pPr>
    </w:p>
    <w:p w:rsidR="00AD301E" w:rsidRPr="00AD301E" w:rsidRDefault="00AD301E" w:rsidP="00AD301E">
      <w:pPr>
        <w:pStyle w:val="ListParagraph"/>
        <w:numPr>
          <w:ilvl w:val="0"/>
          <w:numId w:val="15"/>
        </w:numPr>
        <w:tabs>
          <w:tab w:val="clear" w:pos="794"/>
          <w:tab w:val="clear" w:pos="1191"/>
          <w:tab w:val="clear" w:pos="1588"/>
          <w:tab w:val="clear" w:pos="1985"/>
        </w:tabs>
        <w:overflowPunct/>
        <w:autoSpaceDE/>
        <w:autoSpaceDN/>
        <w:adjustRightInd/>
        <w:spacing w:before="0"/>
        <w:jc w:val="both"/>
        <w:rPr>
          <w:sz w:val="22"/>
          <w:szCs w:val="22"/>
        </w:rPr>
      </w:pPr>
      <w:r w:rsidRPr="00AD301E">
        <w:rPr>
          <w:sz w:val="22"/>
          <w:szCs w:val="22"/>
        </w:rPr>
        <w:t>The ITRs should, to the greatest extent possible, avoid duplicating provisions that already exist in the ITU CS and CV;</w:t>
      </w:r>
    </w:p>
    <w:p w:rsidR="00AD301E" w:rsidRPr="00AD301E" w:rsidRDefault="00AD301E" w:rsidP="00AD301E">
      <w:pPr>
        <w:pStyle w:val="ListParagraph"/>
        <w:rPr>
          <w:sz w:val="22"/>
          <w:szCs w:val="22"/>
          <w:lang w:val="en-US"/>
        </w:rPr>
      </w:pPr>
    </w:p>
    <w:p w:rsidR="00AD301E" w:rsidRPr="00AD301E" w:rsidRDefault="00AD301E" w:rsidP="00AD301E">
      <w:pPr>
        <w:pStyle w:val="ListParagraph"/>
        <w:numPr>
          <w:ilvl w:val="0"/>
          <w:numId w:val="15"/>
        </w:numPr>
        <w:tabs>
          <w:tab w:val="clear" w:pos="794"/>
          <w:tab w:val="clear" w:pos="1191"/>
          <w:tab w:val="clear" w:pos="1588"/>
          <w:tab w:val="clear" w:pos="1985"/>
        </w:tabs>
        <w:overflowPunct/>
        <w:autoSpaceDE/>
        <w:autoSpaceDN/>
        <w:adjustRightInd/>
        <w:spacing w:before="0"/>
        <w:jc w:val="both"/>
        <w:rPr>
          <w:sz w:val="22"/>
          <w:szCs w:val="22"/>
        </w:rPr>
      </w:pPr>
      <w:r w:rsidRPr="00AD301E">
        <w:rPr>
          <w:sz w:val="22"/>
          <w:szCs w:val="22"/>
        </w:rPr>
        <w:t>The term “Member” should be systematically replaced by “Member States”;</w:t>
      </w:r>
    </w:p>
    <w:p w:rsidR="00AD301E" w:rsidRPr="00AD301E" w:rsidRDefault="00AD301E" w:rsidP="00AD301E">
      <w:pPr>
        <w:pStyle w:val="ListParagraph"/>
        <w:rPr>
          <w:sz w:val="22"/>
          <w:szCs w:val="22"/>
          <w:lang w:val="en-US"/>
        </w:rPr>
      </w:pPr>
    </w:p>
    <w:p w:rsidR="00AD301E" w:rsidRPr="00AD301E" w:rsidRDefault="00AD301E" w:rsidP="00AD301E">
      <w:pPr>
        <w:pStyle w:val="ListParagraph"/>
        <w:numPr>
          <w:ilvl w:val="0"/>
          <w:numId w:val="15"/>
        </w:numPr>
        <w:tabs>
          <w:tab w:val="clear" w:pos="794"/>
          <w:tab w:val="clear" w:pos="1191"/>
          <w:tab w:val="clear" w:pos="1588"/>
          <w:tab w:val="clear" w:pos="1985"/>
        </w:tabs>
        <w:overflowPunct/>
        <w:autoSpaceDE/>
        <w:autoSpaceDN/>
        <w:adjustRightInd/>
        <w:spacing w:before="0"/>
        <w:jc w:val="both"/>
        <w:rPr>
          <w:sz w:val="22"/>
          <w:szCs w:val="22"/>
        </w:rPr>
      </w:pPr>
      <w:r w:rsidRPr="00AD301E">
        <w:rPr>
          <w:sz w:val="22"/>
          <w:szCs w:val="22"/>
        </w:rPr>
        <w:t>The term “CCITT” should be systematically replaced by “ITU-T”;</w:t>
      </w:r>
    </w:p>
    <w:p w:rsidR="00AD301E" w:rsidRPr="00AD301E" w:rsidRDefault="00AD301E" w:rsidP="00AD301E">
      <w:pPr>
        <w:pStyle w:val="ListParagraph"/>
        <w:rPr>
          <w:sz w:val="22"/>
          <w:szCs w:val="22"/>
          <w:lang w:val="en-US"/>
        </w:rPr>
      </w:pPr>
    </w:p>
    <w:p w:rsidR="00AD301E" w:rsidRPr="00AD301E" w:rsidRDefault="00AD301E" w:rsidP="00AD301E">
      <w:pPr>
        <w:pStyle w:val="ListParagraph"/>
        <w:numPr>
          <w:ilvl w:val="0"/>
          <w:numId w:val="15"/>
        </w:numPr>
        <w:tabs>
          <w:tab w:val="clear" w:pos="794"/>
          <w:tab w:val="clear" w:pos="1191"/>
          <w:tab w:val="clear" w:pos="1588"/>
          <w:tab w:val="clear" w:pos="1985"/>
        </w:tabs>
        <w:overflowPunct/>
        <w:autoSpaceDE/>
        <w:autoSpaceDN/>
        <w:adjustRightInd/>
        <w:spacing w:before="0"/>
        <w:jc w:val="both"/>
        <w:rPr>
          <w:sz w:val="22"/>
          <w:szCs w:val="22"/>
        </w:rPr>
      </w:pPr>
      <w:r w:rsidRPr="00AD301E">
        <w:rPr>
          <w:sz w:val="22"/>
          <w:szCs w:val="22"/>
        </w:rPr>
        <w:t>The term “Recognized Operating Agencies “ should be systematically replaced by “Operating Agencies”;</w:t>
      </w:r>
    </w:p>
    <w:p w:rsidR="00AD301E" w:rsidRPr="00AD301E" w:rsidRDefault="00AD301E" w:rsidP="00AD301E">
      <w:pPr>
        <w:pStyle w:val="ListParagraph"/>
        <w:rPr>
          <w:sz w:val="22"/>
          <w:szCs w:val="22"/>
          <w:lang w:val="en-US"/>
        </w:rPr>
      </w:pPr>
    </w:p>
    <w:p w:rsidR="00AD301E" w:rsidRPr="00AD301E" w:rsidRDefault="00AD301E" w:rsidP="00AD301E">
      <w:pPr>
        <w:pStyle w:val="ListParagraph"/>
        <w:numPr>
          <w:ilvl w:val="0"/>
          <w:numId w:val="15"/>
        </w:numPr>
        <w:tabs>
          <w:tab w:val="clear" w:pos="794"/>
          <w:tab w:val="clear" w:pos="1191"/>
          <w:tab w:val="clear" w:pos="1588"/>
          <w:tab w:val="clear" w:pos="1985"/>
        </w:tabs>
        <w:overflowPunct/>
        <w:autoSpaceDE/>
        <w:autoSpaceDN/>
        <w:adjustRightInd/>
        <w:spacing w:before="0"/>
        <w:jc w:val="both"/>
        <w:rPr>
          <w:sz w:val="22"/>
          <w:szCs w:val="22"/>
        </w:rPr>
      </w:pPr>
      <w:r w:rsidRPr="00AD301E">
        <w:rPr>
          <w:sz w:val="22"/>
          <w:szCs w:val="22"/>
        </w:rPr>
        <w:t>Specific ITU Recommendations, independent of the sector, should not be quoted and made mandatory by the ITRs. If a specific ITU Recommendation is discussed and deemed mandatory, its text should be incorporated directly into the ITRs.</w:t>
      </w:r>
    </w:p>
    <w:p w:rsidR="00AD301E" w:rsidRPr="00AD301E" w:rsidRDefault="00AD301E" w:rsidP="00AD301E">
      <w:pPr>
        <w:pStyle w:val="ListParagraph"/>
        <w:rPr>
          <w:sz w:val="22"/>
          <w:szCs w:val="22"/>
          <w:lang w:val="en-US"/>
        </w:rPr>
      </w:pPr>
    </w:p>
    <w:p w:rsidR="00AD301E" w:rsidRPr="00AD301E" w:rsidRDefault="00AD301E" w:rsidP="00AD301E">
      <w:pPr>
        <w:pStyle w:val="ListParagraph"/>
        <w:numPr>
          <w:ilvl w:val="0"/>
          <w:numId w:val="15"/>
        </w:numPr>
        <w:tabs>
          <w:tab w:val="clear" w:pos="794"/>
          <w:tab w:val="clear" w:pos="1191"/>
          <w:tab w:val="clear" w:pos="1588"/>
          <w:tab w:val="clear" w:pos="1985"/>
        </w:tabs>
        <w:overflowPunct/>
        <w:autoSpaceDE/>
        <w:autoSpaceDN/>
        <w:adjustRightInd/>
        <w:spacing w:before="0"/>
        <w:jc w:val="both"/>
        <w:rPr>
          <w:sz w:val="22"/>
          <w:szCs w:val="22"/>
        </w:rPr>
      </w:pPr>
      <w:r w:rsidRPr="00AD301E">
        <w:rPr>
          <w:sz w:val="22"/>
          <w:szCs w:val="22"/>
        </w:rPr>
        <w:t>The provisions of the ITRs shall be aligned with the decisions of ITU Plenipotentiary Conferences.</w:t>
      </w:r>
    </w:p>
    <w:p w:rsidR="00AD301E" w:rsidRDefault="00AD301E" w:rsidP="004841C7">
      <w:pPr>
        <w:jc w:val="center"/>
      </w:pPr>
      <w:bookmarkStart w:id="8" w:name="_GoBack"/>
      <w:bookmarkEnd w:id="8"/>
      <w:r w:rsidRPr="00CD6AA7">
        <w:rPr>
          <w:sz w:val="22"/>
          <w:szCs w:val="22"/>
        </w:rPr>
        <w:t>__________</w:t>
      </w:r>
    </w:p>
    <w:p w:rsidR="0065234D" w:rsidRDefault="0065234D" w:rsidP="00AD301E">
      <w:pPr>
        <w:jc w:val="both"/>
      </w:pPr>
    </w:p>
    <w:sectPr w:rsidR="0065234D">
      <w:headerReference w:type="default" r:id="rId9"/>
      <w:footerReference w:type="first" r:id="rId10"/>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1E" w:rsidRDefault="00FF7E1E">
      <w:r>
        <w:separator/>
      </w:r>
    </w:p>
  </w:endnote>
  <w:endnote w:type="continuationSeparator" w:id="0">
    <w:p w:rsidR="00FF7E1E" w:rsidRDefault="00FF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FF7E1E" w:rsidTr="005F1AC3">
      <w:trPr>
        <w:cantSplit/>
        <w:trHeight w:val="204"/>
        <w:jc w:val="center"/>
      </w:trPr>
      <w:tc>
        <w:tcPr>
          <w:tcW w:w="1617" w:type="dxa"/>
          <w:tcBorders>
            <w:top w:val="single" w:sz="12" w:space="0" w:color="auto"/>
          </w:tcBorders>
        </w:tcPr>
        <w:p w:rsidR="00FF7E1E" w:rsidRDefault="00FF7E1E" w:rsidP="005F1AC3">
          <w:pPr>
            <w:rPr>
              <w:b/>
              <w:bCs/>
              <w:sz w:val="22"/>
            </w:rPr>
          </w:pPr>
        </w:p>
      </w:tc>
      <w:tc>
        <w:tcPr>
          <w:tcW w:w="4394" w:type="dxa"/>
          <w:tcBorders>
            <w:top w:val="single" w:sz="12" w:space="0" w:color="auto"/>
          </w:tcBorders>
        </w:tcPr>
        <w:p w:rsidR="00FF7E1E" w:rsidRDefault="00FF7E1E" w:rsidP="005F1AC3">
          <w:pPr>
            <w:spacing w:before="0"/>
            <w:rPr>
              <w:sz w:val="22"/>
            </w:rPr>
          </w:pPr>
        </w:p>
      </w:tc>
      <w:tc>
        <w:tcPr>
          <w:tcW w:w="3912" w:type="dxa"/>
          <w:tcBorders>
            <w:top w:val="single" w:sz="12" w:space="0" w:color="auto"/>
          </w:tcBorders>
        </w:tcPr>
        <w:p w:rsidR="00FF7E1E" w:rsidRPr="00AB52AF" w:rsidRDefault="00FF7E1E" w:rsidP="005F1AC3">
          <w:pPr>
            <w:spacing w:before="0"/>
            <w:rPr>
              <w:sz w:val="22"/>
            </w:rPr>
          </w:pPr>
        </w:p>
      </w:tc>
    </w:tr>
    <w:tr w:rsidR="00FF7E1E" w:rsidTr="005F1AC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F7E1E" w:rsidRDefault="00FF7E1E" w:rsidP="005F1AC3">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F7E1E" w:rsidRDefault="00FF7E1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1E" w:rsidRDefault="00FF7E1E">
      <w:r>
        <w:separator/>
      </w:r>
    </w:p>
  </w:footnote>
  <w:footnote w:type="continuationSeparator" w:id="0">
    <w:p w:rsidR="00FF7E1E" w:rsidRDefault="00FF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1E" w:rsidRDefault="00FF7E1E" w:rsidP="005F1AC3">
    <w:pPr>
      <w:pStyle w:val="Header"/>
    </w:pPr>
    <w:r>
      <w:t xml:space="preserve">- </w:t>
    </w:r>
    <w:r>
      <w:fldChar w:fldCharType="begin"/>
    </w:r>
    <w:r>
      <w:instrText xml:space="preserve"> PAGE  \* MERGEFORMAT </w:instrText>
    </w:r>
    <w:r>
      <w:fldChar w:fldCharType="separate"/>
    </w:r>
    <w:r w:rsidR="00AD301E">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C803536"/>
    <w:multiLevelType w:val="hybridMultilevel"/>
    <w:tmpl w:val="72AEF9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FF0447"/>
    <w:multiLevelType w:val="hybridMultilevel"/>
    <w:tmpl w:val="6F82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F25DA6"/>
    <w:multiLevelType w:val="hybridMultilevel"/>
    <w:tmpl w:val="FF4A771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
    <w:nsid w:val="3D8962ED"/>
    <w:multiLevelType w:val="hybridMultilevel"/>
    <w:tmpl w:val="DF488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EE49E7"/>
    <w:multiLevelType w:val="hybridMultilevel"/>
    <w:tmpl w:val="B52E48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596E2707"/>
    <w:multiLevelType w:val="hybridMultilevel"/>
    <w:tmpl w:val="EB2A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B3219C"/>
    <w:multiLevelType w:val="hybridMultilevel"/>
    <w:tmpl w:val="3654C64C"/>
    <w:lvl w:ilvl="0" w:tplc="39806B70">
      <w:start w:val="1"/>
      <w:numFmt w:val="bullet"/>
      <w:lvlText w:val="-"/>
      <w:lvlJc w:val="left"/>
      <w:pPr>
        <w:ind w:left="1080" w:hanging="360"/>
      </w:pPr>
      <w:rPr>
        <w:rFonts w:ascii="Times New Roman" w:eastAsia="Calibri" w:hAnsi="Times New Roman" w:cs="Times New Roman" w:hint="default"/>
      </w:rPr>
    </w:lvl>
    <w:lvl w:ilvl="1" w:tplc="3C0A0003">
      <w:start w:val="1"/>
      <w:numFmt w:val="decimal"/>
      <w:lvlText w:val="%2."/>
      <w:lvlJc w:val="left"/>
      <w:pPr>
        <w:tabs>
          <w:tab w:val="num" w:pos="1440"/>
        </w:tabs>
        <w:ind w:left="1440" w:hanging="360"/>
      </w:pPr>
    </w:lvl>
    <w:lvl w:ilvl="2" w:tplc="3C0A0005">
      <w:start w:val="1"/>
      <w:numFmt w:val="decimal"/>
      <w:lvlText w:val="%3."/>
      <w:lvlJc w:val="left"/>
      <w:pPr>
        <w:tabs>
          <w:tab w:val="num" w:pos="2160"/>
        </w:tabs>
        <w:ind w:left="2160" w:hanging="360"/>
      </w:pPr>
    </w:lvl>
    <w:lvl w:ilvl="3" w:tplc="3C0A0001">
      <w:start w:val="1"/>
      <w:numFmt w:val="decimal"/>
      <w:lvlText w:val="%4."/>
      <w:lvlJc w:val="left"/>
      <w:pPr>
        <w:tabs>
          <w:tab w:val="num" w:pos="2880"/>
        </w:tabs>
        <w:ind w:left="2880" w:hanging="360"/>
      </w:pPr>
    </w:lvl>
    <w:lvl w:ilvl="4" w:tplc="3C0A0003">
      <w:start w:val="1"/>
      <w:numFmt w:val="decimal"/>
      <w:lvlText w:val="%5."/>
      <w:lvlJc w:val="left"/>
      <w:pPr>
        <w:tabs>
          <w:tab w:val="num" w:pos="3600"/>
        </w:tabs>
        <w:ind w:left="3600" w:hanging="360"/>
      </w:pPr>
    </w:lvl>
    <w:lvl w:ilvl="5" w:tplc="3C0A0005">
      <w:start w:val="1"/>
      <w:numFmt w:val="decimal"/>
      <w:lvlText w:val="%6."/>
      <w:lvlJc w:val="left"/>
      <w:pPr>
        <w:tabs>
          <w:tab w:val="num" w:pos="4320"/>
        </w:tabs>
        <w:ind w:left="4320" w:hanging="360"/>
      </w:pPr>
    </w:lvl>
    <w:lvl w:ilvl="6" w:tplc="3C0A0001">
      <w:start w:val="1"/>
      <w:numFmt w:val="decimal"/>
      <w:lvlText w:val="%7."/>
      <w:lvlJc w:val="left"/>
      <w:pPr>
        <w:tabs>
          <w:tab w:val="num" w:pos="5040"/>
        </w:tabs>
        <w:ind w:left="5040" w:hanging="360"/>
      </w:pPr>
    </w:lvl>
    <w:lvl w:ilvl="7" w:tplc="3C0A0003">
      <w:start w:val="1"/>
      <w:numFmt w:val="decimal"/>
      <w:lvlText w:val="%8."/>
      <w:lvlJc w:val="left"/>
      <w:pPr>
        <w:tabs>
          <w:tab w:val="num" w:pos="5760"/>
        </w:tabs>
        <w:ind w:left="5760" w:hanging="360"/>
      </w:pPr>
    </w:lvl>
    <w:lvl w:ilvl="8" w:tplc="3C0A0005">
      <w:start w:val="1"/>
      <w:numFmt w:val="decimal"/>
      <w:lvlText w:val="%9."/>
      <w:lvlJc w:val="left"/>
      <w:pPr>
        <w:tabs>
          <w:tab w:val="num" w:pos="6480"/>
        </w:tabs>
        <w:ind w:left="6480" w:hanging="360"/>
      </w:pPr>
    </w:lvl>
  </w:abstractNum>
  <w:abstractNum w:abstractNumId="8">
    <w:nsid w:val="7079325F"/>
    <w:multiLevelType w:val="hybridMultilevel"/>
    <w:tmpl w:val="54CE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5E6394"/>
    <w:multiLevelType w:val="hybridMultilevel"/>
    <w:tmpl w:val="D7DA7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2B79EF"/>
    <w:multiLevelType w:val="hybridMultilevel"/>
    <w:tmpl w:val="18CA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8"/>
  </w:num>
  <w:num w:numId="8">
    <w:abstractNumId w:val="9"/>
  </w:num>
  <w:num w:numId="9">
    <w:abstractNumId w:val="2"/>
  </w:num>
  <w:num w:numId="10">
    <w:abstractNumId w:val="4"/>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4D"/>
    <w:rsid w:val="00020E80"/>
    <w:rsid w:val="001777E2"/>
    <w:rsid w:val="00191E9A"/>
    <w:rsid w:val="001E6A39"/>
    <w:rsid w:val="003A6BCB"/>
    <w:rsid w:val="005F1AC3"/>
    <w:rsid w:val="00635472"/>
    <w:rsid w:val="0064646F"/>
    <w:rsid w:val="0065234D"/>
    <w:rsid w:val="0091162D"/>
    <w:rsid w:val="00A4511B"/>
    <w:rsid w:val="00A951BC"/>
    <w:rsid w:val="00AD301E"/>
    <w:rsid w:val="00C30F2A"/>
    <w:rsid w:val="00C51AB5"/>
    <w:rsid w:val="00D46733"/>
    <w:rsid w:val="00E13497"/>
    <w:rsid w:val="00EB2911"/>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1</TotalTime>
  <Pages>1</Pages>
  <Words>303</Words>
  <Characters>1761</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Allocation and Management of IP addresses</vt:lpstr>
      <vt:lpstr>Allocation and Management of IP addresses</vt:lpstr>
    </vt:vector>
  </TitlesOfParts>
  <Manager>ITU-T</Manager>
  <Company>International Telecommunication Union (ITU)</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and Management of IP addresses</dc:title>
  <dc:creator>United States of America</dc:creator>
  <cp:keywords>2/3</cp:keywords>
  <dc:description>COM 3 – C 57 – E  For: _x000d_Document date: March 2008_x000d_Saved by MCB106896 at 10:51:29 on 25.03.2008</dc:description>
  <cp:lastModifiedBy>Jones, Leslie</cp:lastModifiedBy>
  <cp:revision>3</cp:revision>
  <cp:lastPrinted>2012-05-09T07:45:00Z</cp:lastPrinted>
  <dcterms:created xsi:type="dcterms:W3CDTF">2012-05-09T07:58:00Z</dcterms:created>
  <dcterms:modified xsi:type="dcterms:W3CDTF">2012-05-09T07:59:00Z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3 – C 57 – E</vt:lpwstr>
  </property>
  <property fmtid="{D5CDD505-2E9C-101B-9397-08002B2CF9AE}" pid="3" name="Docdate">
    <vt:lpwstr>March 2008</vt:lpwstr>
  </property>
  <property fmtid="{D5CDD505-2E9C-101B-9397-08002B2CF9AE}" pid="4" name="Docorlang">
    <vt:lpwstr>English only Original: English</vt:lpwstr>
  </property>
  <property fmtid="{D5CDD505-2E9C-101B-9397-08002B2CF9AE}" pid="5" name="Docbluepink">
    <vt:lpwstr>2/3</vt:lpwstr>
  </property>
  <property fmtid="{D5CDD505-2E9C-101B-9397-08002B2CF9AE}" pid="6" name="Docdest">
    <vt:lpwstr/>
  </property>
  <property fmtid="{D5CDD505-2E9C-101B-9397-08002B2CF9AE}" pid="7" name="Docauthor">
    <vt:lpwstr>United States of America</vt:lpwstr>
  </property>
</Properties>
</file>