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560"/>
        <w:gridCol w:w="3000"/>
        <w:gridCol w:w="840"/>
        <w:gridCol w:w="1080"/>
        <w:gridCol w:w="3026"/>
      </w:tblGrid>
      <w:tr w:rsidR="00A23447" w:rsidRPr="00A23447">
        <w:trPr>
          <w:cantSplit/>
        </w:trPr>
        <w:tc>
          <w:tcPr>
            <w:tcW w:w="1417" w:type="dxa"/>
            <w:vMerge w:val="restart"/>
          </w:tcPr>
          <w:p w:rsidR="00A23447" w:rsidRPr="00A23447" w:rsidRDefault="00A23447" w:rsidP="00A23447">
            <w:bookmarkStart w:id="0" w:name="InsertLogo"/>
            <w:bookmarkStart w:id="1" w:name="dnum" w:colFirst="2" w:colLast="2"/>
            <w:bookmarkStart w:id="2" w:name="dtableau"/>
            <w:bookmarkStart w:id="3" w:name="_GoBack"/>
            <w:bookmarkEnd w:id="0"/>
            <w:bookmarkEnd w:id="3"/>
            <w:r w:rsidRPr="00A23447">
              <w:rPr>
                <w:b/>
                <w:noProof/>
                <w:sz w:val="36"/>
                <w:lang w:val="en-US" w:eastAsia="zh-CN"/>
              </w:rPr>
              <w:drawing>
                <wp:inline distT="0" distB="0" distL="0" distR="0" wp14:anchorId="25BDB696" wp14:editId="7A12673D">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4"/>
          </w:tcPr>
          <w:p w:rsidR="00A23447" w:rsidRPr="00A23447" w:rsidRDefault="00A23447" w:rsidP="00A23447">
            <w:pPr>
              <w:rPr>
                <w:sz w:val="20"/>
                <w:lang w:val="fr-CH"/>
              </w:rPr>
            </w:pPr>
            <w:r w:rsidRPr="00A23447">
              <w:rPr>
                <w:sz w:val="20"/>
                <w:lang w:val="fr-CH"/>
              </w:rPr>
              <w:t>UNIÓN INTERNACIONAL DE TELECOMUNICACIONES</w:t>
            </w:r>
          </w:p>
        </w:tc>
        <w:tc>
          <w:tcPr>
            <w:tcW w:w="3026" w:type="dxa"/>
          </w:tcPr>
          <w:p w:rsidR="00A23447" w:rsidRDefault="00A23447" w:rsidP="009E7264">
            <w:pPr>
              <w:jc w:val="right"/>
              <w:rPr>
                <w:b/>
                <w:sz w:val="28"/>
              </w:rPr>
            </w:pPr>
            <w:r>
              <w:rPr>
                <w:b/>
                <w:sz w:val="28"/>
              </w:rPr>
              <w:t>Documento Nº 7</w:t>
            </w:r>
          </w:p>
        </w:tc>
      </w:tr>
      <w:tr w:rsidR="00A23447" w:rsidRPr="00A23447">
        <w:trPr>
          <w:cantSplit/>
          <w:trHeight w:val="355"/>
        </w:trPr>
        <w:tc>
          <w:tcPr>
            <w:tcW w:w="1417" w:type="dxa"/>
            <w:vMerge/>
          </w:tcPr>
          <w:p w:rsidR="00A23447" w:rsidRPr="00A23447" w:rsidRDefault="00A23447" w:rsidP="00A23447">
            <w:pPr>
              <w:rPr>
                <w:lang w:val="fr-CH"/>
              </w:rPr>
            </w:pPr>
            <w:bookmarkStart w:id="4" w:name="ddate" w:colFirst="2" w:colLast="2"/>
            <w:bookmarkEnd w:id="1"/>
          </w:p>
        </w:tc>
        <w:tc>
          <w:tcPr>
            <w:tcW w:w="4400" w:type="dxa"/>
            <w:gridSpan w:val="3"/>
            <w:vMerge w:val="restart"/>
          </w:tcPr>
          <w:p w:rsidR="00A23447" w:rsidRPr="00A23447" w:rsidRDefault="00A23447" w:rsidP="00A23447">
            <w:pPr>
              <w:rPr>
                <w:b/>
                <w:bCs/>
                <w:sz w:val="26"/>
                <w:lang w:val="es-ES"/>
              </w:rPr>
            </w:pPr>
            <w:r w:rsidRPr="00A23447">
              <w:rPr>
                <w:b/>
                <w:bCs/>
                <w:sz w:val="26"/>
                <w:lang w:val="es-ES"/>
              </w:rPr>
              <w:t>OFICINA DE NORMALIZACIÓN DE LAS TELECOMUNICACIONES</w:t>
            </w:r>
          </w:p>
          <w:p w:rsidR="00A23447" w:rsidRPr="00A23447" w:rsidRDefault="00A23447" w:rsidP="00A23447">
            <w:pPr>
              <w:rPr>
                <w:smallCaps/>
                <w:sz w:val="20"/>
                <w:lang w:val="fr-CH"/>
              </w:rPr>
            </w:pPr>
            <w:r w:rsidRPr="00A23447">
              <w:rPr>
                <w:sz w:val="20"/>
                <w:lang w:val="fr-CH"/>
              </w:rPr>
              <w:t xml:space="preserve">PERIODO </w:t>
            </w:r>
            <w:proofErr w:type="gramStart"/>
            <w:r w:rsidRPr="00A23447">
              <w:rPr>
                <w:sz w:val="20"/>
                <w:lang w:val="fr-CH"/>
              </w:rPr>
              <w:t>DE ESTUDIOS</w:t>
            </w:r>
            <w:proofErr w:type="gramEnd"/>
            <w:r w:rsidRPr="00A23447">
              <w:rPr>
                <w:sz w:val="20"/>
                <w:lang w:val="fr-CH"/>
              </w:rPr>
              <w:t xml:space="preserve"> </w:t>
            </w:r>
            <w:r>
              <w:rPr>
                <w:sz w:val="20"/>
                <w:lang w:val="fr-CH"/>
              </w:rPr>
              <w:t>2009-2012</w:t>
            </w:r>
          </w:p>
        </w:tc>
        <w:tc>
          <w:tcPr>
            <w:tcW w:w="4106" w:type="dxa"/>
            <w:gridSpan w:val="2"/>
            <w:vAlign w:val="center"/>
          </w:tcPr>
          <w:p w:rsidR="00A23447" w:rsidRPr="00A23447" w:rsidRDefault="00A23447" w:rsidP="00A23447">
            <w:pPr>
              <w:jc w:val="right"/>
              <w:rPr>
                <w:b/>
                <w:bCs/>
                <w:sz w:val="28"/>
                <w:lang w:val="fr-CH"/>
              </w:rPr>
            </w:pPr>
            <w:r>
              <w:rPr>
                <w:b/>
                <w:bCs/>
                <w:sz w:val="28"/>
                <w:lang w:val="fr-CH"/>
              </w:rPr>
              <w:t>9 de mayo de 2012</w:t>
            </w:r>
          </w:p>
        </w:tc>
      </w:tr>
      <w:tr w:rsidR="00A23447" w:rsidRPr="00A23447">
        <w:trPr>
          <w:cantSplit/>
          <w:trHeight w:val="780"/>
        </w:trPr>
        <w:tc>
          <w:tcPr>
            <w:tcW w:w="1417" w:type="dxa"/>
            <w:vMerge/>
            <w:tcBorders>
              <w:bottom w:val="single" w:sz="12" w:space="0" w:color="auto"/>
            </w:tcBorders>
          </w:tcPr>
          <w:p w:rsidR="00A23447" w:rsidRPr="00A23447" w:rsidRDefault="00A23447" w:rsidP="00A23447">
            <w:pPr>
              <w:rPr>
                <w:lang w:val="fr-CH"/>
              </w:rPr>
            </w:pPr>
            <w:bookmarkStart w:id="5" w:name="dorlang" w:colFirst="2" w:colLast="2"/>
            <w:bookmarkEnd w:id="4"/>
          </w:p>
        </w:tc>
        <w:tc>
          <w:tcPr>
            <w:tcW w:w="4400" w:type="dxa"/>
            <w:gridSpan w:val="3"/>
            <w:vMerge/>
            <w:tcBorders>
              <w:bottom w:val="single" w:sz="12" w:space="0" w:color="auto"/>
            </w:tcBorders>
          </w:tcPr>
          <w:p w:rsidR="00A23447" w:rsidRPr="00A23447" w:rsidRDefault="00A23447" w:rsidP="00A23447">
            <w:pPr>
              <w:rPr>
                <w:b/>
                <w:bCs/>
                <w:sz w:val="26"/>
                <w:lang w:val="fr-CH"/>
              </w:rPr>
            </w:pPr>
          </w:p>
        </w:tc>
        <w:tc>
          <w:tcPr>
            <w:tcW w:w="4106" w:type="dxa"/>
            <w:gridSpan w:val="2"/>
            <w:tcBorders>
              <w:bottom w:val="single" w:sz="12" w:space="0" w:color="auto"/>
            </w:tcBorders>
            <w:vAlign w:val="center"/>
          </w:tcPr>
          <w:p w:rsidR="00A23447" w:rsidRPr="00A23447" w:rsidRDefault="00A23447" w:rsidP="00A23447">
            <w:pPr>
              <w:jc w:val="right"/>
              <w:rPr>
                <w:b/>
                <w:bCs/>
                <w:sz w:val="28"/>
                <w:lang w:val="fr-CH"/>
              </w:rPr>
            </w:pPr>
            <w:r>
              <w:rPr>
                <w:b/>
                <w:bCs/>
                <w:sz w:val="28"/>
                <w:lang w:val="fr-CH"/>
              </w:rPr>
              <w:t xml:space="preserve">Original: </w:t>
            </w:r>
            <w:proofErr w:type="spellStart"/>
            <w:r>
              <w:rPr>
                <w:b/>
                <w:bCs/>
                <w:sz w:val="28"/>
                <w:lang w:val="fr-CH"/>
              </w:rPr>
              <w:t>inglés</w:t>
            </w:r>
            <w:proofErr w:type="spellEnd"/>
          </w:p>
        </w:tc>
      </w:tr>
      <w:tr w:rsidR="00A23447" w:rsidRPr="00A23447" w:rsidTr="00775269">
        <w:trPr>
          <w:cantSplit/>
          <w:trHeight w:val="357"/>
        </w:trPr>
        <w:tc>
          <w:tcPr>
            <w:tcW w:w="4977" w:type="dxa"/>
            <w:gridSpan w:val="3"/>
          </w:tcPr>
          <w:p w:rsidR="00A23447" w:rsidRPr="00A23447" w:rsidRDefault="00A23447" w:rsidP="00A23447">
            <w:bookmarkStart w:id="6" w:name="dbluepink" w:colFirst="1" w:colLast="1"/>
            <w:bookmarkStart w:id="7" w:name="dmeeting" w:colFirst="2" w:colLast="2"/>
            <w:bookmarkEnd w:id="5"/>
            <w:r w:rsidRPr="00F82F7B">
              <w:rPr>
                <w:b/>
                <w:bCs/>
              </w:rPr>
              <w:t>Reunión preparatoria AMNT/CM</w:t>
            </w:r>
            <w:r>
              <w:rPr>
                <w:b/>
                <w:bCs/>
              </w:rPr>
              <w:t>T</w:t>
            </w:r>
            <w:r w:rsidRPr="00F82F7B">
              <w:rPr>
                <w:b/>
                <w:bCs/>
              </w:rPr>
              <w:t>I-12 Buenos Aires, Argentina</w:t>
            </w:r>
          </w:p>
        </w:tc>
        <w:tc>
          <w:tcPr>
            <w:tcW w:w="4946" w:type="dxa"/>
            <w:gridSpan w:val="3"/>
          </w:tcPr>
          <w:p w:rsidR="00A23447" w:rsidRPr="00A23447" w:rsidRDefault="00A23447" w:rsidP="00A23447">
            <w:pPr>
              <w:jc w:val="right"/>
            </w:pPr>
          </w:p>
        </w:tc>
      </w:tr>
      <w:tr w:rsidR="00A23447" w:rsidRPr="00A23447">
        <w:trPr>
          <w:cantSplit/>
          <w:trHeight w:val="357"/>
        </w:trPr>
        <w:tc>
          <w:tcPr>
            <w:tcW w:w="9923" w:type="dxa"/>
            <w:gridSpan w:val="6"/>
          </w:tcPr>
          <w:p w:rsidR="00A23447" w:rsidRPr="00A23447" w:rsidRDefault="00A23447" w:rsidP="00A23447">
            <w:pPr>
              <w:jc w:val="center"/>
              <w:rPr>
                <w:b/>
                <w:bCs/>
              </w:rPr>
            </w:pPr>
            <w:bookmarkStart w:id="8" w:name="dtitle" w:colFirst="0" w:colLast="0"/>
            <w:bookmarkEnd w:id="6"/>
            <w:bookmarkEnd w:id="7"/>
            <w:r w:rsidRPr="00A23447">
              <w:rPr>
                <w:b/>
                <w:bCs/>
              </w:rPr>
              <w:t xml:space="preserve">CONTRIBUCIÓN </w:t>
            </w:r>
            <w:r>
              <w:rPr>
                <w:b/>
                <w:bCs/>
              </w:rPr>
              <w:t>Nº 7</w:t>
            </w:r>
          </w:p>
        </w:tc>
      </w:tr>
      <w:tr w:rsidR="00A23447" w:rsidRPr="00A23447">
        <w:trPr>
          <w:cantSplit/>
          <w:trHeight w:val="357"/>
        </w:trPr>
        <w:tc>
          <w:tcPr>
            <w:tcW w:w="1977" w:type="dxa"/>
            <w:gridSpan w:val="2"/>
          </w:tcPr>
          <w:p w:rsidR="00A23447" w:rsidRPr="00A23447" w:rsidRDefault="00A23447" w:rsidP="00A23447">
            <w:pPr>
              <w:rPr>
                <w:b/>
                <w:bCs/>
                <w:lang w:val="en-GB"/>
              </w:rPr>
            </w:pPr>
            <w:bookmarkStart w:id="9" w:name="dsource" w:colFirst="1" w:colLast="1"/>
            <w:bookmarkEnd w:id="8"/>
            <w:r w:rsidRPr="00A23447">
              <w:rPr>
                <w:b/>
                <w:bCs/>
                <w:lang w:val="en-GB"/>
              </w:rPr>
              <w:t>Origen:</w:t>
            </w:r>
          </w:p>
        </w:tc>
        <w:tc>
          <w:tcPr>
            <w:tcW w:w="7946" w:type="dxa"/>
            <w:gridSpan w:val="4"/>
          </w:tcPr>
          <w:p w:rsidR="00A23447" w:rsidRPr="00A23447" w:rsidRDefault="00A23447" w:rsidP="00A23447">
            <w:pPr>
              <w:rPr>
                <w:lang w:val="en-GB"/>
              </w:rPr>
            </w:pPr>
            <w:r>
              <w:t>Brasil</w:t>
            </w:r>
          </w:p>
        </w:tc>
      </w:tr>
      <w:tr w:rsidR="00A23447" w:rsidRPr="00A23447">
        <w:trPr>
          <w:cantSplit/>
          <w:trHeight w:val="357"/>
        </w:trPr>
        <w:tc>
          <w:tcPr>
            <w:tcW w:w="1977" w:type="dxa"/>
            <w:gridSpan w:val="2"/>
            <w:tcBorders>
              <w:bottom w:val="single" w:sz="12" w:space="0" w:color="auto"/>
            </w:tcBorders>
          </w:tcPr>
          <w:p w:rsidR="00A23447" w:rsidRPr="00A23447" w:rsidRDefault="00A23447" w:rsidP="00A23447">
            <w:pPr>
              <w:spacing w:after="120"/>
              <w:rPr>
                <w:b/>
                <w:bCs/>
                <w:lang w:val="fr-CH"/>
              </w:rPr>
            </w:pPr>
            <w:bookmarkStart w:id="10" w:name="dtitle1" w:colFirst="1" w:colLast="1"/>
            <w:bookmarkEnd w:id="9"/>
            <w:proofErr w:type="spellStart"/>
            <w:r w:rsidRPr="00A23447">
              <w:rPr>
                <w:b/>
                <w:bCs/>
                <w:lang w:val="fr-CH"/>
              </w:rPr>
              <w:t>Título</w:t>
            </w:r>
            <w:proofErr w:type="spellEnd"/>
            <w:r w:rsidRPr="00A23447">
              <w:rPr>
                <w:b/>
                <w:bCs/>
                <w:lang w:val="fr-CH"/>
              </w:rPr>
              <w:t>:</w:t>
            </w:r>
          </w:p>
        </w:tc>
        <w:tc>
          <w:tcPr>
            <w:tcW w:w="7946" w:type="dxa"/>
            <w:gridSpan w:val="4"/>
            <w:tcBorders>
              <w:bottom w:val="single" w:sz="12" w:space="0" w:color="auto"/>
            </w:tcBorders>
          </w:tcPr>
          <w:p w:rsidR="00A23447" w:rsidRPr="00A23447" w:rsidRDefault="00A23447" w:rsidP="00A23447">
            <w:pPr>
              <w:spacing w:after="120"/>
            </w:pPr>
            <w:r w:rsidRPr="00AC1F78">
              <w:rPr>
                <w:bCs/>
                <w:szCs w:val="24"/>
              </w:rPr>
              <w:t xml:space="preserve">Propuesta de principios que deben observarse en la revisión del Reglamento de </w:t>
            </w:r>
            <w:r>
              <w:rPr>
                <w:bCs/>
                <w:szCs w:val="24"/>
              </w:rPr>
              <w:t xml:space="preserve">las </w:t>
            </w:r>
            <w:r w:rsidRPr="00AC1F78">
              <w:rPr>
                <w:bCs/>
                <w:szCs w:val="24"/>
              </w:rPr>
              <w:t>Telecomunicaciones Internacionales</w:t>
            </w:r>
          </w:p>
        </w:tc>
      </w:tr>
    </w:tbl>
    <w:bookmarkEnd w:id="2"/>
    <w:bookmarkEnd w:id="10"/>
    <w:p w:rsidR="00A23447" w:rsidRPr="00902D82" w:rsidRDefault="00A23447" w:rsidP="00A23447">
      <w:pPr>
        <w:pStyle w:val="Normalaftertitle"/>
      </w:pPr>
      <w:r w:rsidRPr="004E71AB">
        <w:t xml:space="preserve">La </w:t>
      </w:r>
      <w:r>
        <w:t>A</w:t>
      </w:r>
      <w:r w:rsidRPr="004E71AB">
        <w:t>dministración de Brasil presenta sus puntos de vista y su interpretación sobre los principios que deben observarse en la revisión del Reglamento de las Telecomunicaciones Internacionales (RTI):</w:t>
      </w:r>
    </w:p>
    <w:p w:rsidR="00A23447" w:rsidRPr="004E71AB" w:rsidRDefault="00A23447" w:rsidP="00A23447">
      <w:pPr>
        <w:pStyle w:val="enumlev1"/>
      </w:pPr>
      <w:r>
        <w:t>1)</w:t>
      </w:r>
      <w:r>
        <w:tab/>
      </w:r>
      <w:r w:rsidRPr="004E71AB">
        <w:t>El RTI debe contener disposiciones relativas a las obligaciones de los Estados Miembros signatarios, no de las partes privadas directas, y los Estados Miembros adoptarán las medidas necesarias para la aplicación del RTI en el plano nacional e internacional, cuando se apliquen sus disposiciones</w:t>
      </w:r>
      <w:r>
        <w:t>.</w:t>
      </w:r>
    </w:p>
    <w:p w:rsidR="00A23447" w:rsidRPr="004E71AB" w:rsidRDefault="00A23447" w:rsidP="00A23447">
      <w:pPr>
        <w:pStyle w:val="enumlev1"/>
      </w:pPr>
      <w:r>
        <w:t>2)</w:t>
      </w:r>
      <w:r>
        <w:tab/>
      </w:r>
      <w:r w:rsidRPr="004E71AB">
        <w:t>El RTI debe abordar principalmente cuestiones de alto nivel en materia de telecomunicaciones internacionales; sin embargo, si ciertos aspectos técnicos lo exigen, podrán examinarse especificaciones técnicas e incluirlas en el ámbito del RTI</w:t>
      </w:r>
      <w:r>
        <w:t>.</w:t>
      </w:r>
    </w:p>
    <w:p w:rsidR="00A23447" w:rsidRPr="004E71AB" w:rsidRDefault="00A23447" w:rsidP="00A23447">
      <w:pPr>
        <w:pStyle w:val="enumlev1"/>
      </w:pPr>
      <w:r>
        <w:t>3)</w:t>
      </w:r>
      <w:r>
        <w:tab/>
      </w:r>
      <w:r w:rsidRPr="004E71AB">
        <w:t>El RTI debe considerarse un conjunto de disposiciones que complementan la Constitución (CS) y el Convenio (CV) de la UIT, de modo que no deberá aprobarse ninguna propuesta que sea "inconstitucional" o vaya en detrimento de las definiciones contempladas en la CS y el CV</w:t>
      </w:r>
      <w:r>
        <w:t>.</w:t>
      </w:r>
    </w:p>
    <w:p w:rsidR="00A23447" w:rsidRPr="004E71AB" w:rsidRDefault="00A23447" w:rsidP="00A23447">
      <w:pPr>
        <w:pStyle w:val="enumlev1"/>
      </w:pPr>
      <w:r>
        <w:t>4)</w:t>
      </w:r>
      <w:r>
        <w:tab/>
      </w:r>
      <w:r w:rsidRPr="004E71AB">
        <w:t>El RTI no establecerá que sus disposiciones están subordinadas a cualquier otro tratado</w:t>
      </w:r>
      <w:r>
        <w:t>.</w:t>
      </w:r>
    </w:p>
    <w:p w:rsidR="00A23447" w:rsidRPr="004E71AB" w:rsidRDefault="00A23447" w:rsidP="00A23447">
      <w:pPr>
        <w:pStyle w:val="enumlev1"/>
      </w:pPr>
      <w:r>
        <w:t>5)</w:t>
      </w:r>
      <w:r>
        <w:tab/>
      </w:r>
      <w:r w:rsidRPr="004E71AB">
        <w:t>El RTI, en la mayor medida de lo posible, deberá evitar la duplicación de disposiciones que ya existen en la CS y el CV de la UIT</w:t>
      </w:r>
      <w:r>
        <w:t>.</w:t>
      </w:r>
    </w:p>
    <w:p w:rsidR="00A23447" w:rsidRPr="004E71AB" w:rsidRDefault="00A23447" w:rsidP="00A23447">
      <w:pPr>
        <w:pStyle w:val="enumlev1"/>
      </w:pPr>
      <w:r>
        <w:t>6)</w:t>
      </w:r>
      <w:r>
        <w:tab/>
      </w:r>
      <w:r w:rsidRPr="004E71AB">
        <w:t xml:space="preserve">El término </w:t>
      </w:r>
      <w:r>
        <w:t>"</w:t>
      </w:r>
      <w:r w:rsidRPr="004E71AB">
        <w:t>Miembro</w:t>
      </w:r>
      <w:r>
        <w:t>"</w:t>
      </w:r>
      <w:r w:rsidRPr="004E71AB">
        <w:t xml:space="preserve"> debe ser sistemáticamente sustituido por </w:t>
      </w:r>
      <w:r>
        <w:t>"</w:t>
      </w:r>
      <w:r w:rsidRPr="004E71AB">
        <w:t>Estados Miembros</w:t>
      </w:r>
      <w:r>
        <w:t>".</w:t>
      </w:r>
    </w:p>
    <w:p w:rsidR="00A23447" w:rsidRPr="004E71AB" w:rsidRDefault="00A23447" w:rsidP="00A23447">
      <w:pPr>
        <w:pStyle w:val="enumlev1"/>
      </w:pPr>
      <w:r>
        <w:t>7)</w:t>
      </w:r>
      <w:r>
        <w:tab/>
      </w:r>
      <w:r w:rsidRPr="004E71AB">
        <w:t xml:space="preserve">El término </w:t>
      </w:r>
      <w:r>
        <w:t>"</w:t>
      </w:r>
      <w:r w:rsidRPr="004E71AB">
        <w:t>CCITT</w:t>
      </w:r>
      <w:r>
        <w:t>"</w:t>
      </w:r>
      <w:r w:rsidRPr="004E71AB">
        <w:t xml:space="preserve"> debe ser sistemáticamente sustituido por </w:t>
      </w:r>
      <w:r>
        <w:t>"</w:t>
      </w:r>
      <w:r w:rsidRPr="004E71AB">
        <w:t>UIT-T</w:t>
      </w:r>
      <w:r>
        <w:t>".</w:t>
      </w:r>
    </w:p>
    <w:p w:rsidR="00A23447" w:rsidRPr="004E71AB" w:rsidRDefault="00A23447" w:rsidP="00A23447">
      <w:pPr>
        <w:pStyle w:val="enumlev1"/>
      </w:pPr>
      <w:r>
        <w:t>8)</w:t>
      </w:r>
      <w:r>
        <w:tab/>
      </w:r>
      <w:r w:rsidRPr="004E71AB">
        <w:t xml:space="preserve">El término </w:t>
      </w:r>
      <w:r>
        <w:t>"</w:t>
      </w:r>
      <w:r w:rsidRPr="004E71AB">
        <w:t>empresas de explotación reconocida</w:t>
      </w:r>
      <w:r>
        <w:t>"</w:t>
      </w:r>
      <w:r w:rsidRPr="004E71AB">
        <w:t xml:space="preserve"> debe ser sistemáticamente sustituido por </w:t>
      </w:r>
      <w:r>
        <w:t>"</w:t>
      </w:r>
      <w:r w:rsidRPr="004E71AB">
        <w:t>empresas de explotación</w:t>
      </w:r>
      <w:r>
        <w:t>".</w:t>
      </w:r>
    </w:p>
    <w:p w:rsidR="00A23447" w:rsidRPr="004E71AB" w:rsidRDefault="00A23447" w:rsidP="00A23447">
      <w:pPr>
        <w:pStyle w:val="enumlev1"/>
      </w:pPr>
      <w:r>
        <w:t>9)</w:t>
      </w:r>
      <w:r>
        <w:tab/>
      </w:r>
      <w:r w:rsidRPr="004E71AB">
        <w:t>El RTI no debe citar ni declarar obligatorias Recomendaciones específicas de la UIT, con independencia del Sector de que provengan. Si se examina una Recomendación específica de la UIT considerándola obligatoria, su texto será incorporado directamente en el RTI</w:t>
      </w:r>
      <w:r>
        <w:t>.</w:t>
      </w:r>
    </w:p>
    <w:p w:rsidR="00A23447" w:rsidRDefault="00A23447" w:rsidP="00A23447">
      <w:pPr>
        <w:pStyle w:val="enumlev1"/>
      </w:pPr>
      <w:r>
        <w:t>10)</w:t>
      </w:r>
      <w:r>
        <w:tab/>
      </w:r>
      <w:r w:rsidRPr="004E71AB">
        <w:t>Las disposiciones del RTI se ajustarán a las decisiones de las Conferencias de Plenipotenciarios de la UIT.</w:t>
      </w:r>
    </w:p>
    <w:p w:rsidR="00A23447" w:rsidRDefault="00A23447" w:rsidP="00A23447">
      <w:pPr>
        <w:jc w:val="center"/>
      </w:pPr>
      <w:r>
        <w:t>______________</w:t>
      </w:r>
    </w:p>
    <w:p w:rsidR="003865B1" w:rsidRPr="00A23447" w:rsidRDefault="003865B1" w:rsidP="00103412"/>
    <w:sectPr w:rsidR="003865B1" w:rsidRPr="00A23447" w:rsidSect="00A23447">
      <w:headerReference w:type="default" r:id="rId8"/>
      <w:footerReference w:type="default" r:id="rId9"/>
      <w:footerReference w:type="first" r:id="rId10"/>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47" w:rsidRDefault="00A23447">
      <w:r>
        <w:separator/>
      </w:r>
    </w:p>
  </w:endnote>
  <w:endnote w:type="continuationSeparator" w:id="0">
    <w:p w:rsidR="00A23447" w:rsidRDefault="00A2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447" w:rsidRPr="00A23447" w:rsidRDefault="00A23447" w:rsidP="00A23447">
    <w:pPr>
      <w:pStyle w:val="Footer"/>
      <w:rPr>
        <w:lang w:val="fr-CH"/>
      </w:rPr>
    </w:pPr>
    <w:r w:rsidRPr="00A23447">
      <w:rPr>
        <w:lang w:val="fr-CH"/>
      </w:rPr>
      <w:t>ITU-T\COM-T\COM02\C\S.DOC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A23447" w:rsidRPr="00A23447">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A23447" w:rsidRPr="00A23447" w:rsidRDefault="00A23447" w:rsidP="00A23447">
          <w:pPr>
            <w:spacing w:before="0"/>
            <w:rPr>
              <w:rFonts w:eastAsia="SimSun"/>
              <w:sz w:val="18"/>
              <w:szCs w:val="18"/>
              <w:lang w:val="es-ES" w:eastAsia="zh-CN"/>
            </w:rPr>
          </w:pPr>
          <w:r w:rsidRPr="00A23447">
            <w:rPr>
              <w:b/>
              <w:bCs/>
              <w:sz w:val="18"/>
              <w:szCs w:val="18"/>
              <w:lang w:val="es-ES" w:eastAsia="zh-CN"/>
            </w:rPr>
            <w:t>Atención</w:t>
          </w:r>
          <w:r w:rsidRPr="00A23447">
            <w:rPr>
              <w:sz w:val="18"/>
              <w:szCs w:val="18"/>
              <w:lang w:val="es-ES" w:eastAsia="zh-CN"/>
            </w:rPr>
            <w:t>: La presente publicación no está destinada al público, se trata de </w:t>
          </w:r>
          <w:r w:rsidRPr="00A23447">
            <w:rPr>
              <w:b/>
              <w:bCs/>
              <w:sz w:val="18"/>
              <w:szCs w:val="18"/>
              <w:lang w:val="es-ES" w:eastAsia="zh-CN"/>
            </w:rPr>
            <w:t xml:space="preserve">un documento interno del UIT-T </w:t>
          </w:r>
          <w:r w:rsidRPr="00A23447">
            <w:rPr>
              <w:sz w:val="18"/>
              <w:szCs w:val="18"/>
              <w:lang w:val="es-ES" w:eastAsia="zh-CN"/>
            </w:rPr>
            <w:t>destinado únicamente a los Estados Miembros de la UIT, los Miembros de Sector del UIT-T y los Asociados, así como a sus respectivos empleados y colaboradores en los trabajos relacionados con la UIT. Ninguna otra persona o entidad podrá disponer o hacer uso de ella sin previo consentimiento por escrito del UIT-T.</w:t>
          </w:r>
        </w:p>
      </w:tc>
    </w:tr>
  </w:tbl>
  <w:p w:rsidR="00A23447" w:rsidRDefault="00A23447" w:rsidP="00A23447">
    <w:pPr>
      <w:spacing w:before="0"/>
      <w:rPr>
        <w:sz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47" w:rsidRDefault="00A23447">
      <w:r>
        <w:t>____________________</w:t>
      </w:r>
    </w:p>
  </w:footnote>
  <w:footnote w:type="continuationSeparator" w:id="0">
    <w:p w:rsidR="00A23447" w:rsidRDefault="00A23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447" w:rsidRPr="00A23447" w:rsidRDefault="00A23447" w:rsidP="00A23447">
    <w:pPr>
      <w:pStyle w:val="Header"/>
    </w:pPr>
    <w:r w:rsidRPr="00A23447">
      <w:t xml:space="preserve">- </w:t>
    </w:r>
    <w:r w:rsidRPr="00A23447">
      <w:fldChar w:fldCharType="begin"/>
    </w:r>
    <w:r w:rsidRPr="00A23447">
      <w:instrText xml:space="preserve"> PAGE  \* MERGEFORMAT </w:instrText>
    </w:r>
    <w:r w:rsidRPr="00A23447">
      <w:fldChar w:fldCharType="separate"/>
    </w:r>
    <w:r w:rsidR="00037E1C">
      <w:rPr>
        <w:noProof/>
      </w:rPr>
      <w:t>1</w:t>
    </w:r>
    <w:r w:rsidRPr="00A23447">
      <w:fldChar w:fldCharType="end"/>
    </w:r>
    <w:r w:rsidRPr="00A23447">
      <w:t xml:space="preserve"> -</w:t>
    </w:r>
  </w:p>
  <w:p w:rsidR="00A23447" w:rsidRPr="00A23447" w:rsidRDefault="00A23447" w:rsidP="00A23447">
    <w:pPr>
      <w:pStyle w:val="Header"/>
      <w:spacing w:after="240"/>
    </w:pPr>
    <w:r w:rsidRPr="00A23447">
      <w:t>COM 2 – C  – 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47"/>
    <w:rsid w:val="00037E1C"/>
    <w:rsid w:val="000D200E"/>
    <w:rsid w:val="00103412"/>
    <w:rsid w:val="003373DD"/>
    <w:rsid w:val="003865B1"/>
    <w:rsid w:val="004F26FB"/>
    <w:rsid w:val="00A234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4F26FB"/>
    <w:pPr>
      <w:spacing w:before="0"/>
    </w:pPr>
    <w:rPr>
      <w:rFonts w:ascii="Tahoma" w:hAnsi="Tahoma" w:cs="Tahoma"/>
      <w:sz w:val="16"/>
      <w:szCs w:val="16"/>
    </w:rPr>
  </w:style>
  <w:style w:type="character" w:customStyle="1" w:styleId="BalloonTextChar">
    <w:name w:val="Balloon Text Char"/>
    <w:basedOn w:val="DefaultParagraphFont"/>
    <w:link w:val="BalloonText"/>
    <w:rsid w:val="004F26FB"/>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4F26FB"/>
    <w:pPr>
      <w:spacing w:before="0"/>
    </w:pPr>
    <w:rPr>
      <w:rFonts w:ascii="Tahoma" w:hAnsi="Tahoma" w:cs="Tahoma"/>
      <w:sz w:val="16"/>
      <w:szCs w:val="16"/>
    </w:rPr>
  </w:style>
  <w:style w:type="character" w:customStyle="1" w:styleId="BalloonTextChar">
    <w:name w:val="Balloon Text Char"/>
    <w:basedOn w:val="DefaultParagraphFont"/>
    <w:link w:val="BalloonText"/>
    <w:rsid w:val="004F26FB"/>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PS_TSB.dotm</Template>
  <TotalTime>1</TotalTime>
  <Pages>1</Pages>
  <Words>341</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COMISIÓN DE ESTUDIO 2 – CONTRIBUCIÓN</vt:lpstr>
    </vt:vector>
  </TitlesOfParts>
  <Manager>ITU-T</Manager>
  <Company>International Telecommunication Union (ITU)</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ESTUDIO 2 – CONTRIBUCIÓN</dc:title>
  <dc:creator>tello</dc:creator>
  <dc:description>COM 2 – C – S  For: _x000d_Document date: Mayo de 2012_x000d_Saved by MJT106334 at 08:54:15 on 11.05.2012</dc:description>
  <cp:lastModifiedBy>Jones, Leslie</cp:lastModifiedBy>
  <cp:revision>2</cp:revision>
  <cp:lastPrinted>2012-05-11T06:56:00Z</cp:lastPrinted>
  <dcterms:created xsi:type="dcterms:W3CDTF">2012-05-11T08:19:00Z</dcterms:created>
  <dcterms:modified xsi:type="dcterms:W3CDTF">2012-05-11T08:19:00Z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2 – C – S</vt:lpwstr>
  </property>
  <property fmtid="{D5CDD505-2E9C-101B-9397-08002B2CF9AE}" pid="3" name="Docdate">
    <vt:lpwstr>Mayo de 2012</vt:lpwstr>
  </property>
  <property fmtid="{D5CDD505-2E9C-101B-9397-08002B2CF9AE}" pid="4" name="Docorlang">
    <vt:lpwstr>Original: inglés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