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79D9C" w14:textId="77777777" w:rsidR="00FE79FE" w:rsidRPr="003F6C7E" w:rsidRDefault="00FE79FE">
      <w:pPr>
        <w:rPr>
          <w:lang w:val="en-GB"/>
        </w:rPr>
      </w:pPr>
    </w:p>
    <w:p w14:paraId="69B62430" w14:textId="77777777" w:rsidR="00013002" w:rsidRPr="003F6C7E" w:rsidRDefault="00013002" w:rsidP="00DE5556">
      <w:pPr>
        <w:tabs>
          <w:tab w:val="clear" w:pos="794"/>
          <w:tab w:val="clear" w:pos="1191"/>
          <w:tab w:val="clear" w:pos="1588"/>
          <w:tab w:val="clear" w:pos="1985"/>
        </w:tabs>
        <w:rPr>
          <w:lang w:val="en-GB"/>
        </w:rPr>
      </w:pPr>
    </w:p>
    <w:p w14:paraId="0B974053" w14:textId="4BF6CF62" w:rsidR="00D5024B" w:rsidRPr="003F6C7E" w:rsidRDefault="00D5024B" w:rsidP="00D5024B">
      <w:pPr>
        <w:pStyle w:val="CoverNumber"/>
        <w:rPr>
          <w:lang w:val="en-GB"/>
        </w:rPr>
      </w:pPr>
      <w:r w:rsidRPr="003F6C7E">
        <w:rPr>
          <w:lang w:val="en-GB"/>
        </w:rPr>
        <w:t xml:space="preserve">Recommendation ITU-R </w:t>
      </w:r>
      <w:r w:rsidR="00B76D85" w:rsidRPr="003F6C7E">
        <w:rPr>
          <w:lang w:val="en-GB"/>
        </w:rPr>
        <w:t>BS</w:t>
      </w:r>
      <w:r w:rsidRPr="003F6C7E">
        <w:rPr>
          <w:lang w:val="en-GB"/>
        </w:rPr>
        <w:t>.</w:t>
      </w:r>
      <w:r w:rsidR="00744436" w:rsidRPr="003F6C7E">
        <w:rPr>
          <w:lang w:val="en-GB"/>
        </w:rPr>
        <w:t>1285-1</w:t>
      </w:r>
    </w:p>
    <w:p w14:paraId="448B5F6F" w14:textId="709929AC" w:rsidR="00D5024B" w:rsidRPr="003F6C7E" w:rsidRDefault="00D5024B" w:rsidP="00D5024B">
      <w:pPr>
        <w:pStyle w:val="CoverDate"/>
        <w:rPr>
          <w:lang w:val="en-GB"/>
        </w:rPr>
      </w:pPr>
      <w:r w:rsidRPr="003F6C7E">
        <w:rPr>
          <w:lang w:val="en-GB"/>
        </w:rPr>
        <w:t>(</w:t>
      </w:r>
      <w:r w:rsidR="00744436" w:rsidRPr="003F6C7E">
        <w:rPr>
          <w:lang w:val="en-GB"/>
        </w:rPr>
        <w:t>05</w:t>
      </w:r>
      <w:r w:rsidRPr="003F6C7E">
        <w:rPr>
          <w:lang w:val="en-GB"/>
        </w:rPr>
        <w:t>/</w:t>
      </w:r>
      <w:r w:rsidR="00744436" w:rsidRPr="003F6C7E">
        <w:rPr>
          <w:lang w:val="en-GB"/>
        </w:rPr>
        <w:t>2023</w:t>
      </w:r>
      <w:r w:rsidRPr="003F6C7E">
        <w:rPr>
          <w:lang w:val="en-GB"/>
        </w:rPr>
        <w:t>)</w:t>
      </w:r>
    </w:p>
    <w:p w14:paraId="31D8F067" w14:textId="77777777" w:rsidR="00D5024B" w:rsidRPr="003F6C7E" w:rsidRDefault="00B76D85" w:rsidP="00D5024B">
      <w:pPr>
        <w:pStyle w:val="CoverSeries"/>
        <w:rPr>
          <w:lang w:val="en-GB"/>
        </w:rPr>
      </w:pPr>
      <w:r w:rsidRPr="003F6C7E">
        <w:rPr>
          <w:lang w:val="en-GB"/>
        </w:rPr>
        <w:t>BS</w:t>
      </w:r>
      <w:r w:rsidR="00D5024B" w:rsidRPr="003F6C7E">
        <w:rPr>
          <w:lang w:val="en-GB"/>
        </w:rPr>
        <w:t xml:space="preserve"> Series: </w:t>
      </w:r>
      <w:r w:rsidRPr="003F6C7E">
        <w:rPr>
          <w:bCs w:val="0"/>
          <w:lang w:val="en-GB"/>
        </w:rPr>
        <w:t>Broadcasting service (sound)</w:t>
      </w:r>
    </w:p>
    <w:p w14:paraId="6A8B7968" w14:textId="0EA1AFCE" w:rsidR="00D5024B" w:rsidRPr="003F6C7E" w:rsidRDefault="00744436" w:rsidP="00D5024B">
      <w:pPr>
        <w:pStyle w:val="CoverTitle"/>
        <w:rPr>
          <w:lang w:val="en-GB"/>
        </w:rPr>
      </w:pPr>
      <w:r w:rsidRPr="003F6C7E">
        <w:rPr>
          <w:lang w:val="en-GB"/>
        </w:rPr>
        <w:t>Pre-selection methods for the subjective assessment of small impairments in audio systems</w:t>
      </w:r>
    </w:p>
    <w:p w14:paraId="03BD6A65" w14:textId="77777777" w:rsidR="00FE79FE" w:rsidRPr="003F6C7E" w:rsidRDefault="00FE79FE" w:rsidP="005373E0">
      <w:pPr>
        <w:rPr>
          <w:lang w:val="en-GB"/>
        </w:rPr>
      </w:pPr>
    </w:p>
    <w:p w14:paraId="14A74F7A" w14:textId="77777777" w:rsidR="00A71FE5" w:rsidRPr="003F6C7E" w:rsidRDefault="00A71FE5" w:rsidP="005373E0">
      <w:pPr>
        <w:rPr>
          <w:lang w:val="en-GB"/>
        </w:rPr>
      </w:pPr>
    </w:p>
    <w:p w14:paraId="71A0CA4B" w14:textId="77777777" w:rsidR="00EE47C4" w:rsidRPr="003F6C7E" w:rsidRDefault="00EE47C4" w:rsidP="005373E0">
      <w:pPr>
        <w:rPr>
          <w:lang w:val="en-GB"/>
        </w:rPr>
        <w:sectPr w:rsidR="00EE47C4" w:rsidRPr="003F6C7E" w:rsidSect="0027411A">
          <w:headerReference w:type="even" r:id="rId10"/>
          <w:headerReference w:type="default" r:id="rId11"/>
          <w:footerReference w:type="even" r:id="rId12"/>
          <w:footerReference w:type="default" r:id="rId13"/>
          <w:headerReference w:type="first" r:id="rId14"/>
          <w:footerReference w:type="first" r:id="rId15"/>
          <w:pgSz w:w="11907" w:h="16840" w:code="9"/>
          <w:pgMar w:top="1089" w:right="1089" w:bottom="284" w:left="1089" w:header="737" w:footer="284" w:gutter="0"/>
          <w:pgNumType w:start="1"/>
          <w:cols w:space="720"/>
          <w:docGrid w:linePitch="326"/>
        </w:sectPr>
      </w:pPr>
    </w:p>
    <w:p w14:paraId="407D8A52" w14:textId="77777777" w:rsidR="00D5024B" w:rsidRPr="003F6C7E" w:rsidRDefault="00D5024B"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GB"/>
        </w:rPr>
      </w:pPr>
      <w:bookmarkStart w:id="0" w:name="c2tope"/>
      <w:bookmarkEnd w:id="0"/>
      <w:r w:rsidRPr="003F6C7E">
        <w:rPr>
          <w:bCs/>
          <w:sz w:val="24"/>
          <w:szCs w:val="24"/>
          <w:lang w:val="en-GB"/>
        </w:rPr>
        <w:lastRenderedPageBreak/>
        <w:t>Foreword</w:t>
      </w:r>
    </w:p>
    <w:p w14:paraId="2B3034FF" w14:textId="77777777" w:rsidR="00D5024B" w:rsidRPr="003F6C7E" w:rsidRDefault="00D5024B" w:rsidP="00D5024B">
      <w:pPr>
        <w:spacing w:before="240"/>
        <w:rPr>
          <w:sz w:val="20"/>
          <w:lang w:val="en-GB"/>
        </w:rPr>
      </w:pPr>
      <w:r w:rsidRPr="003F6C7E">
        <w:rPr>
          <w:sz w:val="20"/>
          <w:lang w:val="en-GB"/>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736DDFDE" w14:textId="77777777" w:rsidR="00D5024B" w:rsidRPr="003F6C7E" w:rsidRDefault="00D5024B" w:rsidP="00D5024B">
      <w:pPr>
        <w:rPr>
          <w:sz w:val="20"/>
          <w:lang w:val="en-GB"/>
        </w:rPr>
      </w:pPr>
      <w:r w:rsidRPr="003F6C7E">
        <w:rPr>
          <w:sz w:val="20"/>
          <w:lang w:val="en-GB"/>
        </w:rPr>
        <w:t>The regulatory and policy functions of the Radiocommunication Sector are performed by World and Regional Radiocommunication Conferences and Radiocommunication Assemblies supported by Study Groups.</w:t>
      </w:r>
    </w:p>
    <w:p w14:paraId="5932418E" w14:textId="77777777" w:rsidR="00D5024B" w:rsidRPr="003F6C7E" w:rsidRDefault="00D5024B" w:rsidP="00D5024B">
      <w:pPr>
        <w:pStyle w:val="Heading1"/>
        <w:spacing w:before="680"/>
        <w:jc w:val="center"/>
        <w:rPr>
          <w:szCs w:val="24"/>
          <w:lang w:val="en-GB"/>
        </w:rPr>
      </w:pPr>
      <w:r w:rsidRPr="003F6C7E">
        <w:rPr>
          <w:szCs w:val="24"/>
          <w:lang w:val="en-GB"/>
        </w:rPr>
        <w:t>Policy on Intellectual Property Right (IPR)</w:t>
      </w:r>
    </w:p>
    <w:p w14:paraId="7809D2CD" w14:textId="77777777" w:rsidR="00D5024B" w:rsidRPr="003F6C7E" w:rsidRDefault="00D5024B" w:rsidP="00D5024B">
      <w:pPr>
        <w:tabs>
          <w:tab w:val="clear" w:pos="794"/>
          <w:tab w:val="clear" w:pos="1191"/>
          <w:tab w:val="clear" w:pos="1588"/>
          <w:tab w:val="clear" w:pos="1985"/>
        </w:tabs>
        <w:spacing w:before="240"/>
        <w:rPr>
          <w:sz w:val="20"/>
          <w:lang w:val="en-GB"/>
        </w:rPr>
      </w:pPr>
      <w:r w:rsidRPr="003F6C7E">
        <w:rPr>
          <w:sz w:val="20"/>
          <w:lang w:val="en-GB"/>
        </w:rPr>
        <w:t>ITU-R policy on IPR is described in the Common Patent Policy for ITU-T/ITU-R/ISO/IEC referenced in Resolution ITU</w:t>
      </w:r>
      <w:r w:rsidR="00477729" w:rsidRPr="003F6C7E">
        <w:rPr>
          <w:sz w:val="20"/>
          <w:lang w:val="en-GB"/>
        </w:rPr>
        <w:noBreakHyphen/>
      </w:r>
      <w:r w:rsidRPr="003F6C7E">
        <w:rPr>
          <w:sz w:val="20"/>
          <w:lang w:val="en-GB"/>
        </w:rPr>
        <w:t xml:space="preserve">R 1. Forms to be used for the submission of patent statements and licensing declarations by patent holders are available from </w:t>
      </w:r>
      <w:hyperlink r:id="rId16" w:history="1">
        <w:r w:rsidRPr="003F6C7E">
          <w:rPr>
            <w:rStyle w:val="Hyperlink"/>
            <w:sz w:val="20"/>
            <w:lang w:val="en-GB"/>
          </w:rPr>
          <w:t>http://www.itu.int/ITU-R/go/patents/en</w:t>
        </w:r>
      </w:hyperlink>
      <w:r w:rsidRPr="003F6C7E">
        <w:rPr>
          <w:sz w:val="20"/>
          <w:lang w:val="en-GB"/>
        </w:rPr>
        <w:t xml:space="preserve"> where the Guidelines for Implementation of the Common Patent Policy for ITU</w:t>
      </w:r>
      <w:r w:rsidRPr="003F6C7E">
        <w:rPr>
          <w:sz w:val="20"/>
          <w:lang w:val="en-GB"/>
        </w:rPr>
        <w:noBreakHyphen/>
        <w:t>T/ITU</w:t>
      </w:r>
      <w:r w:rsidRPr="003F6C7E">
        <w:rPr>
          <w:sz w:val="20"/>
          <w:lang w:val="en-GB"/>
        </w:rPr>
        <w:noBreakHyphen/>
        <w:t xml:space="preserve">R/ISO/IEC and the ITU-R patent information database can also be found. </w:t>
      </w:r>
    </w:p>
    <w:p w14:paraId="2BE90A18" w14:textId="77777777" w:rsidR="00D5024B" w:rsidRPr="003F6C7E" w:rsidRDefault="00D5024B" w:rsidP="00D5024B">
      <w:pPr>
        <w:jc w:val="center"/>
        <w:rPr>
          <w:sz w:val="22"/>
          <w:lang w:val="en-GB"/>
        </w:rPr>
      </w:pPr>
    </w:p>
    <w:p w14:paraId="26350BDE" w14:textId="77777777" w:rsidR="00A76007" w:rsidRPr="003F6C7E" w:rsidRDefault="00A76007" w:rsidP="00D5024B">
      <w:pPr>
        <w:jc w:val="center"/>
        <w:rPr>
          <w:sz w:val="22"/>
          <w:lang w:val="en-GB"/>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D5024B" w:rsidRPr="003F6C7E" w14:paraId="348F02E0" w14:textId="77777777" w:rsidTr="00A76007">
        <w:tc>
          <w:tcPr>
            <w:tcW w:w="9360" w:type="dxa"/>
            <w:gridSpan w:val="2"/>
          </w:tcPr>
          <w:p w14:paraId="5C15129F" w14:textId="77777777" w:rsidR="00D5024B" w:rsidRPr="003F6C7E" w:rsidRDefault="00D5024B" w:rsidP="000B4BD9">
            <w:pPr>
              <w:pStyle w:val="Chaptitle"/>
              <w:keepLines w:val="0"/>
              <w:tabs>
                <w:tab w:val="clear" w:pos="794"/>
                <w:tab w:val="clear" w:pos="1191"/>
                <w:tab w:val="clear" w:pos="1588"/>
                <w:tab w:val="clear" w:pos="1985"/>
              </w:tabs>
              <w:overflowPunct/>
              <w:spacing w:before="180"/>
              <w:textAlignment w:val="auto"/>
              <w:rPr>
                <w:sz w:val="22"/>
                <w:szCs w:val="22"/>
                <w:lang w:val="en-GB"/>
              </w:rPr>
            </w:pPr>
            <w:r w:rsidRPr="003F6C7E">
              <w:rPr>
                <w:sz w:val="22"/>
                <w:szCs w:val="22"/>
                <w:lang w:val="en-GB"/>
              </w:rPr>
              <w:t xml:space="preserve">Series of ITU-R Recommendations </w:t>
            </w:r>
          </w:p>
          <w:p w14:paraId="2F7848D6" w14:textId="77777777" w:rsidR="00D5024B" w:rsidRPr="003F6C7E"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GB"/>
              </w:rPr>
            </w:pPr>
            <w:r w:rsidRPr="003F6C7E">
              <w:rPr>
                <w:b w:val="0"/>
                <w:sz w:val="18"/>
                <w:szCs w:val="18"/>
                <w:lang w:val="en-GB"/>
              </w:rPr>
              <w:t xml:space="preserve">(Also available online at </w:t>
            </w:r>
            <w:hyperlink r:id="rId17" w:history="1">
              <w:r w:rsidR="00940D16" w:rsidRPr="003F6C7E">
                <w:rPr>
                  <w:rStyle w:val="Hyperlink"/>
                  <w:b w:val="0"/>
                  <w:sz w:val="18"/>
                  <w:szCs w:val="18"/>
                  <w:lang w:val="en-GB"/>
                </w:rPr>
                <w:t>https://www.itu.int/publ/R-REC/en</w:t>
              </w:r>
            </w:hyperlink>
            <w:r w:rsidRPr="003F6C7E">
              <w:rPr>
                <w:b w:val="0"/>
                <w:sz w:val="18"/>
                <w:szCs w:val="18"/>
                <w:lang w:val="en-GB"/>
              </w:rPr>
              <w:t>)</w:t>
            </w:r>
          </w:p>
        </w:tc>
      </w:tr>
      <w:tr w:rsidR="00D5024B" w:rsidRPr="003F6C7E" w14:paraId="649A2871" w14:textId="77777777" w:rsidTr="00BD4283">
        <w:tc>
          <w:tcPr>
            <w:tcW w:w="1140" w:type="dxa"/>
            <w:tcBorders>
              <w:bottom w:val="nil"/>
            </w:tcBorders>
            <w:vAlign w:val="bottom"/>
          </w:tcPr>
          <w:p w14:paraId="6D6E09A3" w14:textId="77777777" w:rsidR="00D5024B" w:rsidRPr="003F6C7E" w:rsidRDefault="00D5024B" w:rsidP="00BD4283">
            <w:pPr>
              <w:spacing w:before="200" w:after="100"/>
              <w:ind w:left="57"/>
              <w:jc w:val="left"/>
              <w:rPr>
                <w:b/>
                <w:bCs/>
                <w:sz w:val="20"/>
                <w:lang w:val="en-GB"/>
              </w:rPr>
            </w:pPr>
            <w:r w:rsidRPr="003F6C7E">
              <w:rPr>
                <w:b/>
                <w:bCs/>
                <w:sz w:val="20"/>
                <w:lang w:val="en-GB"/>
              </w:rPr>
              <w:t>Series</w:t>
            </w:r>
          </w:p>
        </w:tc>
        <w:tc>
          <w:tcPr>
            <w:tcW w:w="8220" w:type="dxa"/>
            <w:tcBorders>
              <w:bottom w:val="nil"/>
            </w:tcBorders>
            <w:vAlign w:val="bottom"/>
          </w:tcPr>
          <w:p w14:paraId="3174B03F" w14:textId="77777777" w:rsidR="00D5024B" w:rsidRPr="003F6C7E" w:rsidRDefault="00D5024B" w:rsidP="00BD428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GB"/>
              </w:rPr>
            </w:pPr>
            <w:r w:rsidRPr="003F6C7E">
              <w:rPr>
                <w:bCs/>
                <w:sz w:val="20"/>
                <w:lang w:val="en-GB"/>
              </w:rPr>
              <w:t>Title</w:t>
            </w:r>
          </w:p>
        </w:tc>
      </w:tr>
      <w:tr w:rsidR="00D5024B" w:rsidRPr="003F6C7E" w14:paraId="45A33FC2" w14:textId="77777777" w:rsidTr="00A76007">
        <w:tc>
          <w:tcPr>
            <w:tcW w:w="1140" w:type="dxa"/>
            <w:tcBorders>
              <w:top w:val="nil"/>
              <w:bottom w:val="nil"/>
            </w:tcBorders>
            <w:shd w:val="clear" w:color="auto" w:fill="auto"/>
          </w:tcPr>
          <w:p w14:paraId="090E62CD" w14:textId="77777777" w:rsidR="00D5024B" w:rsidRPr="003F6C7E" w:rsidRDefault="00D5024B" w:rsidP="000B4BD9">
            <w:pPr>
              <w:spacing w:before="30" w:after="30"/>
              <w:ind w:left="57"/>
              <w:jc w:val="left"/>
              <w:rPr>
                <w:b/>
                <w:sz w:val="20"/>
                <w:lang w:val="en-GB"/>
              </w:rPr>
            </w:pPr>
            <w:r w:rsidRPr="003F6C7E">
              <w:rPr>
                <w:b/>
                <w:sz w:val="20"/>
                <w:lang w:val="en-GB"/>
              </w:rPr>
              <w:t>BO</w:t>
            </w:r>
          </w:p>
        </w:tc>
        <w:tc>
          <w:tcPr>
            <w:tcW w:w="8220" w:type="dxa"/>
            <w:tcBorders>
              <w:top w:val="nil"/>
              <w:bottom w:val="nil"/>
            </w:tcBorders>
            <w:shd w:val="clear" w:color="auto" w:fill="auto"/>
          </w:tcPr>
          <w:p w14:paraId="07F10D98" w14:textId="77777777" w:rsidR="00D5024B" w:rsidRPr="003F6C7E"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GB"/>
              </w:rPr>
            </w:pPr>
            <w:r w:rsidRPr="003F6C7E">
              <w:rPr>
                <w:b w:val="0"/>
                <w:bCs/>
                <w:sz w:val="20"/>
                <w:lang w:val="en-GB"/>
              </w:rPr>
              <w:t>Satellite delivery</w:t>
            </w:r>
          </w:p>
        </w:tc>
      </w:tr>
      <w:tr w:rsidR="00D5024B" w:rsidRPr="003F6C7E" w14:paraId="3974BEB9" w14:textId="77777777" w:rsidTr="00A76007">
        <w:tc>
          <w:tcPr>
            <w:tcW w:w="1140" w:type="dxa"/>
            <w:tcBorders>
              <w:top w:val="nil"/>
            </w:tcBorders>
          </w:tcPr>
          <w:p w14:paraId="22D1D084" w14:textId="77777777" w:rsidR="00D5024B" w:rsidRPr="003F6C7E" w:rsidRDefault="00D5024B" w:rsidP="000B4BD9">
            <w:pPr>
              <w:spacing w:before="30" w:after="30"/>
              <w:ind w:left="57"/>
              <w:jc w:val="left"/>
              <w:rPr>
                <w:b/>
                <w:bCs/>
                <w:sz w:val="20"/>
                <w:lang w:val="en-GB"/>
              </w:rPr>
            </w:pPr>
            <w:r w:rsidRPr="003F6C7E">
              <w:rPr>
                <w:b/>
                <w:bCs/>
                <w:sz w:val="20"/>
                <w:lang w:val="en-GB"/>
              </w:rPr>
              <w:t>BR</w:t>
            </w:r>
          </w:p>
        </w:tc>
        <w:tc>
          <w:tcPr>
            <w:tcW w:w="8220" w:type="dxa"/>
            <w:tcBorders>
              <w:top w:val="nil"/>
            </w:tcBorders>
          </w:tcPr>
          <w:p w14:paraId="66392607" w14:textId="77777777" w:rsidR="00D5024B" w:rsidRPr="003F6C7E"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GB"/>
              </w:rPr>
            </w:pPr>
            <w:r w:rsidRPr="003F6C7E">
              <w:rPr>
                <w:b w:val="0"/>
                <w:sz w:val="20"/>
                <w:lang w:val="en-GB"/>
              </w:rPr>
              <w:t>Recording for production, archival and play-out; film for television</w:t>
            </w:r>
          </w:p>
        </w:tc>
      </w:tr>
      <w:tr w:rsidR="00D5024B" w:rsidRPr="003F6C7E" w14:paraId="2E4A8D7F" w14:textId="77777777" w:rsidTr="00B76D85">
        <w:tc>
          <w:tcPr>
            <w:tcW w:w="1140" w:type="dxa"/>
            <w:shd w:val="clear" w:color="auto" w:fill="F2F2F2" w:themeFill="background1" w:themeFillShade="F2"/>
          </w:tcPr>
          <w:p w14:paraId="4EC5936D" w14:textId="77777777" w:rsidR="00D5024B" w:rsidRPr="003F6C7E" w:rsidRDefault="00D5024B" w:rsidP="000B4BD9">
            <w:pPr>
              <w:spacing w:before="30" w:after="30"/>
              <w:ind w:left="57"/>
              <w:jc w:val="left"/>
              <w:rPr>
                <w:b/>
                <w:bCs/>
                <w:color w:val="000080"/>
                <w:sz w:val="20"/>
                <w:lang w:val="en-GB"/>
              </w:rPr>
            </w:pPr>
            <w:r w:rsidRPr="003F6C7E">
              <w:rPr>
                <w:b/>
                <w:bCs/>
                <w:color w:val="000080"/>
                <w:sz w:val="20"/>
                <w:lang w:val="en-GB"/>
              </w:rPr>
              <w:t>BS</w:t>
            </w:r>
          </w:p>
        </w:tc>
        <w:tc>
          <w:tcPr>
            <w:tcW w:w="8220" w:type="dxa"/>
            <w:shd w:val="clear" w:color="auto" w:fill="F2F2F2" w:themeFill="background1" w:themeFillShade="F2"/>
          </w:tcPr>
          <w:p w14:paraId="0CB59CBC" w14:textId="77777777" w:rsidR="00D5024B" w:rsidRPr="003F6C7E" w:rsidRDefault="00D5024B" w:rsidP="006A0778">
            <w:pPr>
              <w:spacing w:before="30" w:after="30"/>
              <w:jc w:val="left"/>
              <w:rPr>
                <w:b/>
                <w:bCs/>
                <w:color w:val="000080"/>
                <w:sz w:val="20"/>
                <w:lang w:val="en-GB"/>
              </w:rPr>
            </w:pPr>
            <w:r w:rsidRPr="003F6C7E">
              <w:rPr>
                <w:b/>
                <w:bCs/>
                <w:color w:val="000080"/>
                <w:sz w:val="20"/>
                <w:lang w:val="en-GB"/>
              </w:rPr>
              <w:t>Broadcasting service (sound)</w:t>
            </w:r>
          </w:p>
        </w:tc>
      </w:tr>
      <w:tr w:rsidR="00D5024B" w:rsidRPr="003F6C7E" w14:paraId="42E1DB22" w14:textId="77777777" w:rsidTr="00A76007">
        <w:tc>
          <w:tcPr>
            <w:tcW w:w="1140" w:type="dxa"/>
            <w:shd w:val="clear" w:color="auto" w:fill="auto"/>
          </w:tcPr>
          <w:p w14:paraId="7D2319A0" w14:textId="77777777" w:rsidR="00D5024B" w:rsidRPr="003F6C7E" w:rsidRDefault="00D5024B" w:rsidP="000B4BD9">
            <w:pPr>
              <w:spacing w:before="30" w:after="30"/>
              <w:ind w:left="57"/>
              <w:jc w:val="left"/>
              <w:rPr>
                <w:b/>
                <w:bCs/>
                <w:sz w:val="20"/>
                <w:lang w:val="en-GB"/>
              </w:rPr>
            </w:pPr>
            <w:r w:rsidRPr="003F6C7E">
              <w:rPr>
                <w:b/>
                <w:bCs/>
                <w:sz w:val="20"/>
                <w:lang w:val="en-GB"/>
              </w:rPr>
              <w:t>BT</w:t>
            </w:r>
          </w:p>
        </w:tc>
        <w:tc>
          <w:tcPr>
            <w:tcW w:w="8220" w:type="dxa"/>
            <w:shd w:val="clear" w:color="auto" w:fill="auto"/>
          </w:tcPr>
          <w:p w14:paraId="469AFCD2" w14:textId="77777777" w:rsidR="00D5024B" w:rsidRPr="003F6C7E"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GB"/>
              </w:rPr>
            </w:pPr>
            <w:r w:rsidRPr="003F6C7E">
              <w:rPr>
                <w:b w:val="0"/>
                <w:sz w:val="20"/>
                <w:lang w:val="en-GB"/>
              </w:rPr>
              <w:t>Broadcasting service (television)</w:t>
            </w:r>
          </w:p>
        </w:tc>
      </w:tr>
      <w:tr w:rsidR="00D5024B" w:rsidRPr="003F6C7E" w14:paraId="3766D236" w14:textId="77777777" w:rsidTr="00A76007">
        <w:tc>
          <w:tcPr>
            <w:tcW w:w="1140" w:type="dxa"/>
            <w:shd w:val="clear" w:color="auto" w:fill="auto"/>
          </w:tcPr>
          <w:p w14:paraId="6DA06ED5" w14:textId="77777777" w:rsidR="00D5024B" w:rsidRPr="003F6C7E" w:rsidRDefault="00D5024B" w:rsidP="000B4BD9">
            <w:pPr>
              <w:spacing w:before="30" w:after="30"/>
              <w:ind w:left="57"/>
              <w:jc w:val="left"/>
              <w:rPr>
                <w:b/>
                <w:bCs/>
                <w:sz w:val="20"/>
                <w:lang w:val="en-GB"/>
              </w:rPr>
            </w:pPr>
            <w:r w:rsidRPr="003F6C7E">
              <w:rPr>
                <w:b/>
                <w:bCs/>
                <w:sz w:val="20"/>
                <w:lang w:val="en-GB"/>
              </w:rPr>
              <w:t>F</w:t>
            </w:r>
          </w:p>
        </w:tc>
        <w:tc>
          <w:tcPr>
            <w:tcW w:w="8220" w:type="dxa"/>
            <w:shd w:val="clear" w:color="auto" w:fill="auto"/>
          </w:tcPr>
          <w:p w14:paraId="3EC8C628" w14:textId="77777777" w:rsidR="00D5024B" w:rsidRPr="003F6C7E" w:rsidRDefault="00D5024B"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GB"/>
              </w:rPr>
            </w:pPr>
            <w:r w:rsidRPr="003F6C7E">
              <w:rPr>
                <w:sz w:val="20"/>
                <w:lang w:val="en-GB"/>
              </w:rPr>
              <w:t>Fixed service</w:t>
            </w:r>
          </w:p>
        </w:tc>
      </w:tr>
      <w:tr w:rsidR="00D5024B" w:rsidRPr="003F6C7E" w14:paraId="338FD392" w14:textId="77777777" w:rsidTr="00A76007">
        <w:tc>
          <w:tcPr>
            <w:tcW w:w="1140" w:type="dxa"/>
            <w:shd w:val="clear" w:color="auto" w:fill="auto"/>
          </w:tcPr>
          <w:p w14:paraId="7E9B27BF" w14:textId="77777777" w:rsidR="00D5024B" w:rsidRPr="003F6C7E" w:rsidRDefault="00D5024B" w:rsidP="000B4BD9">
            <w:pPr>
              <w:spacing w:before="30" w:after="30"/>
              <w:ind w:left="57"/>
              <w:jc w:val="left"/>
              <w:rPr>
                <w:b/>
                <w:bCs/>
                <w:sz w:val="20"/>
                <w:lang w:val="en-GB"/>
              </w:rPr>
            </w:pPr>
            <w:r w:rsidRPr="003F6C7E">
              <w:rPr>
                <w:b/>
                <w:bCs/>
                <w:sz w:val="20"/>
                <w:lang w:val="en-GB"/>
              </w:rPr>
              <w:t>M</w:t>
            </w:r>
          </w:p>
        </w:tc>
        <w:tc>
          <w:tcPr>
            <w:tcW w:w="8220" w:type="dxa"/>
            <w:shd w:val="clear" w:color="auto" w:fill="auto"/>
          </w:tcPr>
          <w:p w14:paraId="2150CB31" w14:textId="77777777" w:rsidR="00D5024B" w:rsidRPr="003F6C7E"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GB"/>
              </w:rPr>
            </w:pPr>
            <w:r w:rsidRPr="003F6C7E">
              <w:rPr>
                <w:b w:val="0"/>
                <w:sz w:val="20"/>
                <w:lang w:val="en-GB"/>
              </w:rPr>
              <w:t>Mobile, radiodetermination, amateur and related satellite services</w:t>
            </w:r>
          </w:p>
        </w:tc>
      </w:tr>
      <w:tr w:rsidR="00D5024B" w:rsidRPr="003F6C7E" w14:paraId="537F8021" w14:textId="77777777" w:rsidTr="00A76007">
        <w:tc>
          <w:tcPr>
            <w:tcW w:w="1140" w:type="dxa"/>
          </w:tcPr>
          <w:p w14:paraId="2FB4476E" w14:textId="77777777" w:rsidR="00D5024B" w:rsidRPr="003F6C7E" w:rsidRDefault="00D5024B" w:rsidP="000B4BD9">
            <w:pPr>
              <w:spacing w:before="30" w:after="30"/>
              <w:ind w:left="57"/>
              <w:jc w:val="left"/>
              <w:rPr>
                <w:b/>
                <w:bCs/>
                <w:sz w:val="20"/>
                <w:lang w:val="en-GB"/>
              </w:rPr>
            </w:pPr>
            <w:r w:rsidRPr="003F6C7E">
              <w:rPr>
                <w:b/>
                <w:bCs/>
                <w:sz w:val="20"/>
                <w:lang w:val="en-GB"/>
              </w:rPr>
              <w:t>P</w:t>
            </w:r>
          </w:p>
        </w:tc>
        <w:tc>
          <w:tcPr>
            <w:tcW w:w="8220" w:type="dxa"/>
          </w:tcPr>
          <w:p w14:paraId="32251410" w14:textId="77777777" w:rsidR="00D5024B" w:rsidRPr="003F6C7E" w:rsidRDefault="00D5024B" w:rsidP="000B4BD9">
            <w:pPr>
              <w:spacing w:before="30" w:after="30"/>
              <w:jc w:val="left"/>
              <w:rPr>
                <w:sz w:val="20"/>
                <w:lang w:val="en-GB"/>
              </w:rPr>
            </w:pPr>
            <w:proofErr w:type="spellStart"/>
            <w:r w:rsidRPr="003F6C7E">
              <w:rPr>
                <w:sz w:val="20"/>
                <w:lang w:val="en-GB"/>
              </w:rPr>
              <w:t>Radiowave</w:t>
            </w:r>
            <w:proofErr w:type="spellEnd"/>
            <w:r w:rsidRPr="003F6C7E">
              <w:rPr>
                <w:sz w:val="20"/>
                <w:lang w:val="en-GB"/>
              </w:rPr>
              <w:t xml:space="preserve"> propagation</w:t>
            </w:r>
          </w:p>
        </w:tc>
      </w:tr>
      <w:tr w:rsidR="00D5024B" w:rsidRPr="003F6C7E" w14:paraId="52278C55" w14:textId="77777777" w:rsidTr="00A76007">
        <w:tc>
          <w:tcPr>
            <w:tcW w:w="1140" w:type="dxa"/>
          </w:tcPr>
          <w:p w14:paraId="5D63556B" w14:textId="77777777" w:rsidR="00D5024B" w:rsidRPr="003F6C7E" w:rsidRDefault="00D5024B" w:rsidP="000B4BD9">
            <w:pPr>
              <w:spacing w:before="30" w:after="30"/>
              <w:ind w:left="57"/>
              <w:jc w:val="left"/>
              <w:rPr>
                <w:b/>
                <w:bCs/>
                <w:sz w:val="20"/>
                <w:lang w:val="en-GB"/>
              </w:rPr>
            </w:pPr>
            <w:r w:rsidRPr="003F6C7E">
              <w:rPr>
                <w:b/>
                <w:bCs/>
                <w:sz w:val="20"/>
                <w:lang w:val="en-GB"/>
              </w:rPr>
              <w:t>RA</w:t>
            </w:r>
          </w:p>
        </w:tc>
        <w:tc>
          <w:tcPr>
            <w:tcW w:w="8220" w:type="dxa"/>
          </w:tcPr>
          <w:p w14:paraId="46D0C522" w14:textId="77777777" w:rsidR="00D5024B" w:rsidRPr="003F6C7E" w:rsidRDefault="00D5024B"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GB"/>
              </w:rPr>
            </w:pPr>
            <w:r w:rsidRPr="003F6C7E">
              <w:rPr>
                <w:sz w:val="20"/>
                <w:lang w:val="en-GB"/>
              </w:rPr>
              <w:t>Radio astronomy</w:t>
            </w:r>
          </w:p>
        </w:tc>
      </w:tr>
      <w:tr w:rsidR="00D5024B" w:rsidRPr="003F6C7E" w14:paraId="4F324C4B" w14:textId="77777777" w:rsidTr="00A76007">
        <w:tc>
          <w:tcPr>
            <w:tcW w:w="1140" w:type="dxa"/>
          </w:tcPr>
          <w:p w14:paraId="523F70B2" w14:textId="77777777" w:rsidR="00D5024B" w:rsidRPr="003F6C7E" w:rsidRDefault="00D5024B" w:rsidP="000B4BD9">
            <w:pPr>
              <w:spacing w:before="30" w:after="30"/>
              <w:ind w:left="57"/>
              <w:jc w:val="left"/>
              <w:rPr>
                <w:b/>
                <w:bCs/>
                <w:sz w:val="20"/>
                <w:lang w:val="en-GB"/>
              </w:rPr>
            </w:pPr>
            <w:r w:rsidRPr="003F6C7E">
              <w:rPr>
                <w:b/>
                <w:bCs/>
                <w:sz w:val="20"/>
                <w:lang w:val="en-GB"/>
              </w:rPr>
              <w:t>RS</w:t>
            </w:r>
          </w:p>
        </w:tc>
        <w:tc>
          <w:tcPr>
            <w:tcW w:w="8220" w:type="dxa"/>
          </w:tcPr>
          <w:p w14:paraId="66D33201" w14:textId="77777777" w:rsidR="00D5024B" w:rsidRPr="003F6C7E" w:rsidRDefault="00D5024B"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GB"/>
              </w:rPr>
            </w:pPr>
            <w:r w:rsidRPr="003F6C7E">
              <w:rPr>
                <w:sz w:val="20"/>
                <w:lang w:val="en-GB"/>
              </w:rPr>
              <w:t>Remote sensing systems</w:t>
            </w:r>
          </w:p>
        </w:tc>
      </w:tr>
      <w:tr w:rsidR="00D5024B" w:rsidRPr="003F6C7E" w14:paraId="289F3AE0" w14:textId="77777777" w:rsidTr="00A76007">
        <w:tc>
          <w:tcPr>
            <w:tcW w:w="1140" w:type="dxa"/>
            <w:tcBorders>
              <w:bottom w:val="nil"/>
            </w:tcBorders>
          </w:tcPr>
          <w:p w14:paraId="57A5C3B8" w14:textId="77777777" w:rsidR="00D5024B" w:rsidRPr="003F6C7E" w:rsidRDefault="00D5024B" w:rsidP="000B4BD9">
            <w:pPr>
              <w:spacing w:before="30" w:after="30"/>
              <w:ind w:left="57"/>
              <w:jc w:val="left"/>
              <w:rPr>
                <w:b/>
                <w:bCs/>
                <w:sz w:val="20"/>
                <w:lang w:val="en-GB"/>
              </w:rPr>
            </w:pPr>
            <w:r w:rsidRPr="003F6C7E">
              <w:rPr>
                <w:b/>
                <w:bCs/>
                <w:sz w:val="20"/>
                <w:lang w:val="en-GB"/>
              </w:rPr>
              <w:t>S</w:t>
            </w:r>
          </w:p>
        </w:tc>
        <w:tc>
          <w:tcPr>
            <w:tcW w:w="8220" w:type="dxa"/>
            <w:tcBorders>
              <w:bottom w:val="nil"/>
            </w:tcBorders>
          </w:tcPr>
          <w:p w14:paraId="0D5247F5" w14:textId="77777777" w:rsidR="00D5024B" w:rsidRPr="003F6C7E" w:rsidRDefault="00D5024B" w:rsidP="000B4BD9">
            <w:pPr>
              <w:spacing w:before="30" w:after="30"/>
              <w:jc w:val="left"/>
              <w:rPr>
                <w:sz w:val="20"/>
                <w:lang w:val="en-GB"/>
              </w:rPr>
            </w:pPr>
            <w:r w:rsidRPr="003F6C7E">
              <w:rPr>
                <w:sz w:val="20"/>
                <w:lang w:val="en-GB"/>
              </w:rPr>
              <w:t>Fixed-satellite service</w:t>
            </w:r>
          </w:p>
        </w:tc>
      </w:tr>
      <w:tr w:rsidR="00D5024B" w:rsidRPr="003F6C7E" w14:paraId="48E8EDAD" w14:textId="77777777" w:rsidTr="006A0778">
        <w:tc>
          <w:tcPr>
            <w:tcW w:w="1140" w:type="dxa"/>
            <w:tcBorders>
              <w:top w:val="nil"/>
              <w:bottom w:val="nil"/>
            </w:tcBorders>
            <w:shd w:val="clear" w:color="auto" w:fill="FFFFFF" w:themeFill="background1"/>
          </w:tcPr>
          <w:p w14:paraId="7FA2780A" w14:textId="77777777" w:rsidR="00D5024B" w:rsidRPr="003F6C7E" w:rsidRDefault="00D5024B" w:rsidP="000B4BD9">
            <w:pPr>
              <w:spacing w:before="30" w:after="30"/>
              <w:ind w:left="57"/>
              <w:jc w:val="left"/>
              <w:rPr>
                <w:b/>
                <w:bCs/>
                <w:sz w:val="20"/>
                <w:lang w:val="en-GB"/>
              </w:rPr>
            </w:pPr>
            <w:r w:rsidRPr="003F6C7E">
              <w:rPr>
                <w:b/>
                <w:bCs/>
                <w:sz w:val="20"/>
                <w:lang w:val="en-GB"/>
              </w:rPr>
              <w:t>SA</w:t>
            </w:r>
          </w:p>
        </w:tc>
        <w:tc>
          <w:tcPr>
            <w:tcW w:w="8220" w:type="dxa"/>
            <w:tcBorders>
              <w:top w:val="nil"/>
              <w:bottom w:val="nil"/>
            </w:tcBorders>
            <w:shd w:val="clear" w:color="auto" w:fill="FFFFFF" w:themeFill="background1"/>
          </w:tcPr>
          <w:p w14:paraId="16E42194" w14:textId="77777777" w:rsidR="00D5024B" w:rsidRPr="003F6C7E" w:rsidRDefault="00D5024B" w:rsidP="006A0778">
            <w:pPr>
              <w:spacing w:before="30" w:after="30"/>
              <w:jc w:val="left"/>
              <w:rPr>
                <w:sz w:val="20"/>
                <w:lang w:val="en-GB"/>
              </w:rPr>
            </w:pPr>
            <w:r w:rsidRPr="003F6C7E">
              <w:rPr>
                <w:sz w:val="20"/>
                <w:lang w:val="en-GB"/>
              </w:rPr>
              <w:t>Space applications and meteorology</w:t>
            </w:r>
          </w:p>
        </w:tc>
      </w:tr>
      <w:tr w:rsidR="00D5024B" w:rsidRPr="003F6C7E" w14:paraId="6CDC8C94" w14:textId="77777777" w:rsidTr="00A76007">
        <w:tc>
          <w:tcPr>
            <w:tcW w:w="1140" w:type="dxa"/>
            <w:tcBorders>
              <w:top w:val="nil"/>
              <w:bottom w:val="nil"/>
            </w:tcBorders>
          </w:tcPr>
          <w:p w14:paraId="2AF2E78E" w14:textId="77777777" w:rsidR="00D5024B" w:rsidRPr="003F6C7E" w:rsidRDefault="00D5024B" w:rsidP="000B4BD9">
            <w:pPr>
              <w:spacing w:before="30" w:after="30"/>
              <w:ind w:left="57"/>
              <w:jc w:val="left"/>
              <w:rPr>
                <w:b/>
                <w:bCs/>
                <w:sz w:val="20"/>
                <w:lang w:val="en-GB"/>
              </w:rPr>
            </w:pPr>
            <w:r w:rsidRPr="003F6C7E">
              <w:rPr>
                <w:b/>
                <w:bCs/>
                <w:sz w:val="20"/>
                <w:lang w:val="en-GB"/>
              </w:rPr>
              <w:t>SF</w:t>
            </w:r>
          </w:p>
        </w:tc>
        <w:tc>
          <w:tcPr>
            <w:tcW w:w="8220" w:type="dxa"/>
            <w:tcBorders>
              <w:top w:val="nil"/>
              <w:bottom w:val="nil"/>
            </w:tcBorders>
          </w:tcPr>
          <w:p w14:paraId="43AA0708" w14:textId="77777777" w:rsidR="00D5024B" w:rsidRPr="003F6C7E" w:rsidRDefault="00D5024B" w:rsidP="000B4BD9">
            <w:pPr>
              <w:spacing w:before="30" w:after="30"/>
              <w:jc w:val="left"/>
              <w:rPr>
                <w:sz w:val="20"/>
                <w:lang w:val="en-GB"/>
              </w:rPr>
            </w:pPr>
            <w:r w:rsidRPr="003F6C7E">
              <w:rPr>
                <w:sz w:val="20"/>
                <w:lang w:val="en-GB"/>
              </w:rPr>
              <w:t>Frequency sharing and coordination between fixed-satellite and fixed service systems</w:t>
            </w:r>
          </w:p>
        </w:tc>
      </w:tr>
      <w:tr w:rsidR="00D5024B" w:rsidRPr="003F6C7E" w14:paraId="680E9BFD" w14:textId="77777777" w:rsidTr="00A76007">
        <w:tc>
          <w:tcPr>
            <w:tcW w:w="1140" w:type="dxa"/>
            <w:tcBorders>
              <w:top w:val="nil"/>
              <w:bottom w:val="nil"/>
            </w:tcBorders>
            <w:shd w:val="clear" w:color="auto" w:fill="auto"/>
          </w:tcPr>
          <w:p w14:paraId="6409FF54" w14:textId="77777777" w:rsidR="00D5024B" w:rsidRPr="003F6C7E" w:rsidRDefault="00D5024B" w:rsidP="000B4BD9">
            <w:pPr>
              <w:spacing w:before="30" w:after="30"/>
              <w:ind w:left="57"/>
              <w:jc w:val="left"/>
              <w:rPr>
                <w:rFonts w:ascii="Times New Roman Bold" w:hAnsi="Times New Roman Bold" w:cs="Times New Roman Bold"/>
                <w:b/>
                <w:bCs/>
                <w:sz w:val="20"/>
                <w:lang w:val="en-GB"/>
              </w:rPr>
            </w:pPr>
            <w:r w:rsidRPr="003F6C7E">
              <w:rPr>
                <w:rFonts w:ascii="Times New Roman Bold" w:hAnsi="Times New Roman Bold" w:cs="Times New Roman Bold"/>
                <w:b/>
                <w:bCs/>
                <w:sz w:val="20"/>
                <w:lang w:val="en-GB"/>
              </w:rPr>
              <w:t>SM</w:t>
            </w:r>
          </w:p>
        </w:tc>
        <w:tc>
          <w:tcPr>
            <w:tcW w:w="8220" w:type="dxa"/>
            <w:tcBorders>
              <w:top w:val="nil"/>
              <w:bottom w:val="nil"/>
            </w:tcBorders>
            <w:shd w:val="clear" w:color="auto" w:fill="auto"/>
          </w:tcPr>
          <w:p w14:paraId="6E951334" w14:textId="77777777" w:rsidR="00D5024B" w:rsidRPr="003F6C7E" w:rsidRDefault="00D5024B" w:rsidP="000B4BD9">
            <w:pPr>
              <w:spacing w:before="30" w:after="30"/>
              <w:jc w:val="left"/>
              <w:rPr>
                <w:rFonts w:hAnsi="Times New Roman Bold"/>
                <w:sz w:val="20"/>
                <w:lang w:val="en-GB"/>
              </w:rPr>
            </w:pPr>
            <w:r w:rsidRPr="003F6C7E">
              <w:rPr>
                <w:rFonts w:hAnsi="Times New Roman Bold"/>
                <w:sz w:val="20"/>
                <w:lang w:val="en-GB"/>
              </w:rPr>
              <w:t>Spectrum management</w:t>
            </w:r>
          </w:p>
        </w:tc>
      </w:tr>
      <w:tr w:rsidR="00D5024B" w:rsidRPr="003F6C7E" w14:paraId="76710A40" w14:textId="77777777" w:rsidTr="00A76007">
        <w:tc>
          <w:tcPr>
            <w:tcW w:w="1140" w:type="dxa"/>
            <w:tcBorders>
              <w:top w:val="nil"/>
            </w:tcBorders>
          </w:tcPr>
          <w:p w14:paraId="13831A8B" w14:textId="77777777" w:rsidR="00D5024B" w:rsidRPr="003F6C7E" w:rsidRDefault="00D5024B" w:rsidP="000B4BD9">
            <w:pPr>
              <w:spacing w:before="30" w:after="30"/>
              <w:ind w:left="57"/>
              <w:jc w:val="left"/>
              <w:rPr>
                <w:b/>
                <w:bCs/>
                <w:sz w:val="20"/>
                <w:lang w:val="en-GB"/>
              </w:rPr>
            </w:pPr>
            <w:r w:rsidRPr="003F6C7E">
              <w:rPr>
                <w:b/>
                <w:bCs/>
                <w:sz w:val="20"/>
                <w:lang w:val="en-GB"/>
              </w:rPr>
              <w:t>SNG</w:t>
            </w:r>
          </w:p>
        </w:tc>
        <w:tc>
          <w:tcPr>
            <w:tcW w:w="8220" w:type="dxa"/>
            <w:tcBorders>
              <w:top w:val="nil"/>
            </w:tcBorders>
          </w:tcPr>
          <w:p w14:paraId="279E13F9" w14:textId="77777777" w:rsidR="00D5024B" w:rsidRPr="003F6C7E" w:rsidRDefault="00D5024B" w:rsidP="000B4BD9">
            <w:pPr>
              <w:spacing w:before="30" w:after="30"/>
              <w:jc w:val="left"/>
              <w:rPr>
                <w:sz w:val="20"/>
                <w:lang w:val="en-GB"/>
              </w:rPr>
            </w:pPr>
            <w:r w:rsidRPr="003F6C7E">
              <w:rPr>
                <w:sz w:val="20"/>
                <w:lang w:val="en-GB"/>
              </w:rPr>
              <w:t>Satellite news gathering</w:t>
            </w:r>
          </w:p>
        </w:tc>
      </w:tr>
      <w:tr w:rsidR="00D5024B" w:rsidRPr="003F6C7E" w14:paraId="17847F07" w14:textId="77777777" w:rsidTr="00A76007">
        <w:tc>
          <w:tcPr>
            <w:tcW w:w="1140" w:type="dxa"/>
          </w:tcPr>
          <w:p w14:paraId="69A32E70" w14:textId="77777777" w:rsidR="00D5024B" w:rsidRPr="003F6C7E" w:rsidRDefault="00D5024B" w:rsidP="000B4BD9">
            <w:pPr>
              <w:spacing w:before="30" w:after="30"/>
              <w:ind w:left="57"/>
              <w:jc w:val="left"/>
              <w:rPr>
                <w:b/>
                <w:bCs/>
                <w:sz w:val="20"/>
                <w:lang w:val="en-GB"/>
              </w:rPr>
            </w:pPr>
            <w:r w:rsidRPr="003F6C7E">
              <w:rPr>
                <w:b/>
                <w:bCs/>
                <w:sz w:val="20"/>
                <w:lang w:val="en-GB"/>
              </w:rPr>
              <w:t>TF</w:t>
            </w:r>
          </w:p>
        </w:tc>
        <w:tc>
          <w:tcPr>
            <w:tcW w:w="8220" w:type="dxa"/>
          </w:tcPr>
          <w:p w14:paraId="34395BD3" w14:textId="77777777" w:rsidR="00D5024B" w:rsidRPr="003F6C7E" w:rsidRDefault="00D5024B" w:rsidP="000B4BD9">
            <w:pPr>
              <w:spacing w:before="30" w:after="30"/>
              <w:jc w:val="left"/>
              <w:rPr>
                <w:sz w:val="20"/>
                <w:lang w:val="en-GB"/>
              </w:rPr>
            </w:pPr>
            <w:r w:rsidRPr="003F6C7E">
              <w:rPr>
                <w:sz w:val="20"/>
                <w:lang w:val="en-GB"/>
              </w:rPr>
              <w:t>Time signals and frequency standards emissions</w:t>
            </w:r>
          </w:p>
        </w:tc>
      </w:tr>
      <w:tr w:rsidR="00D5024B" w:rsidRPr="003F6C7E" w14:paraId="75C8EA25" w14:textId="77777777" w:rsidTr="00A76007">
        <w:tc>
          <w:tcPr>
            <w:tcW w:w="1140" w:type="dxa"/>
          </w:tcPr>
          <w:p w14:paraId="5109ED0F" w14:textId="77777777" w:rsidR="00D5024B" w:rsidRPr="003F6C7E" w:rsidRDefault="00D5024B" w:rsidP="000B4BD9">
            <w:pPr>
              <w:spacing w:before="30" w:after="30"/>
              <w:ind w:left="57"/>
              <w:jc w:val="left"/>
              <w:rPr>
                <w:b/>
                <w:bCs/>
                <w:sz w:val="20"/>
                <w:lang w:val="en-GB"/>
              </w:rPr>
            </w:pPr>
            <w:r w:rsidRPr="003F6C7E">
              <w:rPr>
                <w:b/>
                <w:bCs/>
                <w:sz w:val="20"/>
                <w:lang w:val="en-GB"/>
              </w:rPr>
              <w:t>V</w:t>
            </w:r>
          </w:p>
        </w:tc>
        <w:tc>
          <w:tcPr>
            <w:tcW w:w="8220" w:type="dxa"/>
          </w:tcPr>
          <w:p w14:paraId="04D8372A" w14:textId="77777777" w:rsidR="00D5024B" w:rsidRPr="003F6C7E" w:rsidRDefault="00D5024B" w:rsidP="000B4BD9">
            <w:pPr>
              <w:spacing w:before="30" w:after="180"/>
              <w:jc w:val="left"/>
              <w:rPr>
                <w:sz w:val="20"/>
                <w:lang w:val="en-GB"/>
              </w:rPr>
            </w:pPr>
            <w:r w:rsidRPr="003F6C7E">
              <w:rPr>
                <w:sz w:val="20"/>
                <w:lang w:val="en-GB"/>
              </w:rPr>
              <w:t>Vocabulary and related subjects</w:t>
            </w:r>
          </w:p>
        </w:tc>
      </w:tr>
    </w:tbl>
    <w:p w14:paraId="37CB8DDF" w14:textId="77777777" w:rsidR="00D5024B" w:rsidRPr="003F6C7E" w:rsidRDefault="00D5024B" w:rsidP="00D5024B">
      <w:pPr>
        <w:spacing w:before="30" w:after="30"/>
        <w:jc w:val="center"/>
        <w:rPr>
          <w:sz w:val="20"/>
          <w:lang w:val="en-GB"/>
        </w:rPr>
      </w:pPr>
    </w:p>
    <w:tbl>
      <w:tblPr>
        <w:tblpPr w:leftFromText="180" w:rightFromText="180" w:vertAnchor="text" w:tblpX="-5771" w:tblpY="-4031"/>
        <w:tblW w:w="0" w:type="auto"/>
        <w:tblLook w:val="0000" w:firstRow="0" w:lastRow="0" w:firstColumn="0" w:lastColumn="0" w:noHBand="0" w:noVBand="0"/>
      </w:tblPr>
      <w:tblGrid>
        <w:gridCol w:w="720"/>
      </w:tblGrid>
      <w:tr w:rsidR="00D5024B" w:rsidRPr="003F6C7E" w14:paraId="1E2D91D7" w14:textId="77777777" w:rsidTr="000B4BD9">
        <w:tc>
          <w:tcPr>
            <w:tcW w:w="720" w:type="dxa"/>
          </w:tcPr>
          <w:p w14:paraId="170E6461" w14:textId="77777777" w:rsidR="00D5024B" w:rsidRPr="003F6C7E" w:rsidRDefault="00D5024B" w:rsidP="000B4BD9">
            <w:pPr>
              <w:jc w:val="center"/>
              <w:rPr>
                <w:sz w:val="22"/>
                <w:lang w:val="en-GB"/>
              </w:rPr>
            </w:pPr>
          </w:p>
        </w:tc>
      </w:tr>
    </w:tbl>
    <w:p w14:paraId="5540AC36" w14:textId="77777777" w:rsidR="00D5024B" w:rsidRPr="003F6C7E" w:rsidRDefault="00D5024B" w:rsidP="00D5024B">
      <w:pPr>
        <w:spacing w:before="0"/>
        <w:jc w:val="center"/>
        <w:rPr>
          <w:sz w:val="22"/>
          <w:lang w:val="en-GB"/>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D5024B" w:rsidRPr="003F6C7E" w14:paraId="126DBA38" w14:textId="77777777" w:rsidTr="00A76007">
        <w:tc>
          <w:tcPr>
            <w:tcW w:w="9360" w:type="dxa"/>
          </w:tcPr>
          <w:p w14:paraId="2D1B7BEB" w14:textId="77777777" w:rsidR="00D5024B" w:rsidRPr="003F6C7E" w:rsidRDefault="00D5024B" w:rsidP="00B76D85">
            <w:pPr>
              <w:spacing w:after="120"/>
              <w:jc w:val="left"/>
              <w:rPr>
                <w:sz w:val="20"/>
                <w:lang w:val="en-GB"/>
              </w:rPr>
            </w:pPr>
            <w:r w:rsidRPr="003F6C7E">
              <w:rPr>
                <w:b/>
                <w:bCs/>
                <w:i/>
                <w:iCs/>
                <w:sz w:val="20"/>
                <w:lang w:val="en-GB"/>
              </w:rPr>
              <w:t>Note</w:t>
            </w:r>
            <w:r w:rsidRPr="003F6C7E">
              <w:rPr>
                <w:sz w:val="20"/>
                <w:lang w:val="en-GB"/>
              </w:rPr>
              <w:t xml:space="preserve">: </w:t>
            </w:r>
            <w:r w:rsidRPr="003F6C7E">
              <w:rPr>
                <w:i/>
                <w:iCs/>
                <w:sz w:val="20"/>
                <w:lang w:val="en-GB"/>
              </w:rPr>
              <w:t>This ITU-R Recommendation was approved in English under the procedure detailed in Resolution ITU-R 1.</w:t>
            </w:r>
          </w:p>
        </w:tc>
      </w:tr>
    </w:tbl>
    <w:p w14:paraId="168DB3A3" w14:textId="77777777" w:rsidR="00D5024B" w:rsidRPr="003F6C7E" w:rsidRDefault="00D5024B" w:rsidP="00D5024B">
      <w:pPr>
        <w:spacing w:before="0"/>
        <w:jc w:val="center"/>
        <w:rPr>
          <w:sz w:val="22"/>
          <w:lang w:val="en-GB"/>
        </w:rPr>
      </w:pPr>
    </w:p>
    <w:p w14:paraId="55313E05" w14:textId="77777777" w:rsidR="00D5024B" w:rsidRPr="003F6C7E" w:rsidRDefault="00D5024B" w:rsidP="00D5024B">
      <w:pPr>
        <w:spacing w:before="0"/>
        <w:jc w:val="center"/>
        <w:rPr>
          <w:sz w:val="22"/>
          <w:lang w:val="en-GB"/>
        </w:rPr>
      </w:pPr>
    </w:p>
    <w:p w14:paraId="5D251C6F" w14:textId="77777777" w:rsidR="00D5024B" w:rsidRPr="003F6C7E" w:rsidRDefault="00D5024B" w:rsidP="00D5024B">
      <w:pPr>
        <w:spacing w:before="0"/>
        <w:jc w:val="right"/>
        <w:rPr>
          <w:i/>
          <w:iCs/>
          <w:sz w:val="20"/>
          <w:lang w:val="en-GB"/>
        </w:rPr>
      </w:pPr>
      <w:r w:rsidRPr="003F6C7E">
        <w:rPr>
          <w:i/>
          <w:iCs/>
          <w:sz w:val="20"/>
          <w:lang w:val="en-GB"/>
        </w:rPr>
        <w:t>Electronic Publication</w:t>
      </w:r>
    </w:p>
    <w:p w14:paraId="73C0A743" w14:textId="77777777" w:rsidR="00D5024B" w:rsidRPr="003F6C7E" w:rsidRDefault="00D5024B" w:rsidP="00D5024B">
      <w:pPr>
        <w:spacing w:before="0"/>
        <w:jc w:val="right"/>
        <w:rPr>
          <w:sz w:val="20"/>
          <w:lang w:val="en-GB"/>
        </w:rPr>
      </w:pPr>
      <w:r w:rsidRPr="003F6C7E">
        <w:rPr>
          <w:sz w:val="20"/>
          <w:lang w:val="en-GB"/>
        </w:rPr>
        <w:t>Geneva, 2023</w:t>
      </w:r>
    </w:p>
    <w:p w14:paraId="40DDA67B" w14:textId="77777777" w:rsidR="00D5024B" w:rsidRPr="003F6C7E" w:rsidRDefault="00D5024B" w:rsidP="00D5024B">
      <w:pPr>
        <w:jc w:val="center"/>
        <w:rPr>
          <w:sz w:val="22"/>
          <w:lang w:val="en-GB"/>
        </w:rPr>
      </w:pPr>
    </w:p>
    <w:p w14:paraId="1248A151" w14:textId="77777777" w:rsidR="00D5024B" w:rsidRPr="003F6C7E" w:rsidRDefault="00D5024B" w:rsidP="00D5024B">
      <w:pPr>
        <w:jc w:val="center"/>
        <w:rPr>
          <w:sz w:val="20"/>
          <w:lang w:val="en-GB"/>
        </w:rPr>
      </w:pPr>
      <w:r w:rsidRPr="003F6C7E">
        <w:rPr>
          <w:sz w:val="20"/>
          <w:lang w:val="en-GB"/>
        </w:rPr>
        <w:sym w:font="Symbol" w:char="F0E3"/>
      </w:r>
      <w:r w:rsidRPr="003F6C7E">
        <w:rPr>
          <w:sz w:val="20"/>
          <w:lang w:val="en-GB"/>
        </w:rPr>
        <w:t xml:space="preserve"> ITU </w:t>
      </w:r>
      <w:bookmarkStart w:id="1" w:name="iiannee"/>
      <w:bookmarkEnd w:id="1"/>
      <w:r w:rsidRPr="003F6C7E">
        <w:rPr>
          <w:sz w:val="20"/>
          <w:lang w:val="en-GB"/>
        </w:rPr>
        <w:t>2023</w:t>
      </w:r>
    </w:p>
    <w:p w14:paraId="076151BB" w14:textId="77777777" w:rsidR="00D5024B" w:rsidRPr="003F6C7E" w:rsidRDefault="00D5024B" w:rsidP="00D5024B">
      <w:pPr>
        <w:rPr>
          <w:sz w:val="18"/>
          <w:szCs w:val="18"/>
          <w:lang w:val="en-GB"/>
        </w:rPr>
      </w:pPr>
      <w:r w:rsidRPr="003F6C7E">
        <w:rPr>
          <w:sz w:val="18"/>
          <w:szCs w:val="18"/>
          <w:lang w:val="en-GB"/>
        </w:rPr>
        <w:t>All rights reserved. No part of this publication may be reproduced, by any means whatsoever, without written permission of ITU.</w:t>
      </w:r>
    </w:p>
    <w:p w14:paraId="3B893A57" w14:textId="77777777" w:rsidR="007565CC" w:rsidRPr="003F6C7E" w:rsidRDefault="007565CC" w:rsidP="00A971A1">
      <w:pPr>
        <w:spacing w:before="160"/>
        <w:rPr>
          <w:i/>
          <w:sz w:val="20"/>
          <w:lang w:val="en-GB"/>
        </w:rPr>
        <w:sectPr w:rsidR="007565CC" w:rsidRPr="003F6C7E" w:rsidSect="002058CE">
          <w:headerReference w:type="even" r:id="rId18"/>
          <w:headerReference w:type="default" r:id="rId19"/>
          <w:pgSz w:w="11907" w:h="16834" w:code="9"/>
          <w:pgMar w:top="1418" w:right="1134" w:bottom="1134" w:left="1134" w:header="720" w:footer="482" w:gutter="0"/>
          <w:paperSrc w:first="15" w:other="15"/>
          <w:pgNumType w:fmt="lowerRoman" w:start="2"/>
          <w:cols w:space="720"/>
        </w:sectPr>
      </w:pPr>
    </w:p>
    <w:p w14:paraId="1A8FF96B" w14:textId="7ECCB315" w:rsidR="00B874C6" w:rsidRPr="003F6C7E" w:rsidRDefault="00B874C6" w:rsidP="00A936CB">
      <w:pPr>
        <w:pStyle w:val="RecNo"/>
        <w:spacing w:before="0"/>
        <w:rPr>
          <w:lang w:val="en-GB"/>
        </w:rPr>
      </w:pPr>
      <w:bookmarkStart w:id="2" w:name="irecnoe"/>
      <w:bookmarkEnd w:id="2"/>
      <w:proofErr w:type="gramStart"/>
      <w:r w:rsidRPr="003F6C7E">
        <w:rPr>
          <w:lang w:val="en-GB"/>
        </w:rPr>
        <w:lastRenderedPageBreak/>
        <w:t xml:space="preserve">RECOMMENDATION  </w:t>
      </w:r>
      <w:r w:rsidRPr="003F6C7E">
        <w:rPr>
          <w:rStyle w:val="href"/>
          <w:lang w:val="en-GB"/>
        </w:rPr>
        <w:t>ITU</w:t>
      </w:r>
      <w:proofErr w:type="gramEnd"/>
      <w:r w:rsidRPr="003F6C7E">
        <w:rPr>
          <w:rStyle w:val="href"/>
          <w:lang w:val="en-GB"/>
        </w:rPr>
        <w:t xml:space="preserve">-R  </w:t>
      </w:r>
      <w:r w:rsidR="00B76D85" w:rsidRPr="003F6C7E">
        <w:rPr>
          <w:rStyle w:val="href"/>
          <w:lang w:val="en-GB"/>
        </w:rPr>
        <w:t>BS</w:t>
      </w:r>
      <w:r w:rsidRPr="003F6C7E">
        <w:rPr>
          <w:rStyle w:val="href"/>
          <w:lang w:val="en-GB"/>
        </w:rPr>
        <w:t>.</w:t>
      </w:r>
      <w:r w:rsidR="00744436" w:rsidRPr="003F6C7E">
        <w:rPr>
          <w:rStyle w:val="href"/>
          <w:lang w:val="en-GB"/>
        </w:rPr>
        <w:t>1285-1</w:t>
      </w:r>
    </w:p>
    <w:p w14:paraId="2060413C" w14:textId="47B1FCBD" w:rsidR="00934ED7" w:rsidRPr="003F6C7E" w:rsidRDefault="00744436" w:rsidP="00744436">
      <w:pPr>
        <w:pStyle w:val="Rectitle"/>
        <w:rPr>
          <w:lang w:val="en-GB"/>
        </w:rPr>
      </w:pPr>
      <w:r w:rsidRPr="003F6C7E">
        <w:rPr>
          <w:lang w:val="en-GB" w:eastAsia="zh-CN"/>
        </w:rPr>
        <w:t>Pre-selection methods for the subjective assessment</w:t>
      </w:r>
      <w:r w:rsidRPr="003F6C7E">
        <w:rPr>
          <w:lang w:val="en-GB" w:eastAsia="zh-CN"/>
        </w:rPr>
        <w:br/>
        <w:t>of small impairments in audio systems</w:t>
      </w:r>
    </w:p>
    <w:p w14:paraId="78BCAFFB" w14:textId="77777777" w:rsidR="00744436" w:rsidRPr="003F6C7E" w:rsidRDefault="00744436" w:rsidP="00744436">
      <w:pPr>
        <w:pStyle w:val="Recdate"/>
        <w:rPr>
          <w:lang w:val="en-GB"/>
        </w:rPr>
      </w:pPr>
      <w:r w:rsidRPr="003F6C7E">
        <w:rPr>
          <w:lang w:val="en-GB"/>
        </w:rPr>
        <w:t>(1997-2023)</w:t>
      </w:r>
    </w:p>
    <w:p w14:paraId="79B82B70" w14:textId="77777777" w:rsidR="00744436" w:rsidRPr="003F6C7E" w:rsidRDefault="00744436" w:rsidP="00744436">
      <w:pPr>
        <w:pStyle w:val="HeadingSum"/>
        <w:rPr>
          <w:sz w:val="22"/>
          <w:szCs w:val="22"/>
          <w:lang w:val="en-GB"/>
        </w:rPr>
      </w:pPr>
      <w:r w:rsidRPr="003F6C7E">
        <w:rPr>
          <w:sz w:val="22"/>
          <w:szCs w:val="22"/>
          <w:lang w:val="en-GB"/>
        </w:rPr>
        <w:t>Scope</w:t>
      </w:r>
    </w:p>
    <w:p w14:paraId="29676040" w14:textId="77777777" w:rsidR="00744436" w:rsidRPr="003F6C7E" w:rsidRDefault="00744436" w:rsidP="00744436">
      <w:pPr>
        <w:pStyle w:val="Summary"/>
        <w:rPr>
          <w:sz w:val="22"/>
          <w:szCs w:val="22"/>
          <w:lang w:val="en-GB"/>
        </w:rPr>
      </w:pPr>
      <w:r w:rsidRPr="003F6C7E">
        <w:rPr>
          <w:sz w:val="22"/>
          <w:szCs w:val="22"/>
          <w:lang w:val="en-GB"/>
        </w:rPr>
        <w:t>This Recommendation describes pre-selection methods for the subjective assessment of small impairments in audio systems.</w:t>
      </w:r>
    </w:p>
    <w:p w14:paraId="7DE434C3" w14:textId="77777777" w:rsidR="00744436" w:rsidRPr="003F6C7E" w:rsidRDefault="00744436" w:rsidP="00744436">
      <w:pPr>
        <w:pStyle w:val="Headingb"/>
        <w:rPr>
          <w:lang w:val="en-GB"/>
        </w:rPr>
      </w:pPr>
      <w:r w:rsidRPr="003F6C7E">
        <w:rPr>
          <w:lang w:val="en-GB"/>
        </w:rPr>
        <w:t>Keywords</w:t>
      </w:r>
    </w:p>
    <w:p w14:paraId="36C921EA" w14:textId="77777777" w:rsidR="00744436" w:rsidRPr="003F6C7E" w:rsidRDefault="00744436" w:rsidP="00744436">
      <w:pPr>
        <w:pStyle w:val="Normalaftertitle"/>
        <w:spacing w:before="120"/>
        <w:rPr>
          <w:lang w:val="en-GB" w:eastAsia="ja-JP"/>
        </w:rPr>
      </w:pPr>
      <w:r w:rsidRPr="003F6C7E">
        <w:rPr>
          <w:lang w:val="en-GB" w:eastAsia="ja-JP"/>
        </w:rPr>
        <w:t>Pre-selection method, audio quality, subjective assessment, listening test</w:t>
      </w:r>
    </w:p>
    <w:p w14:paraId="5D26D843" w14:textId="77777777" w:rsidR="00744436" w:rsidRPr="003F6C7E" w:rsidRDefault="00744436" w:rsidP="00744436">
      <w:pPr>
        <w:pStyle w:val="Normalaftertitle"/>
        <w:rPr>
          <w:lang w:val="en-GB"/>
        </w:rPr>
      </w:pPr>
      <w:r w:rsidRPr="003F6C7E">
        <w:rPr>
          <w:lang w:val="en-GB"/>
        </w:rPr>
        <w:t>The ITU Radiocommunication Assembly,</w:t>
      </w:r>
    </w:p>
    <w:p w14:paraId="36435C68" w14:textId="77777777" w:rsidR="00744436" w:rsidRPr="003F6C7E" w:rsidRDefault="00744436" w:rsidP="00744436">
      <w:pPr>
        <w:pStyle w:val="Call"/>
        <w:rPr>
          <w:lang w:val="en-GB"/>
        </w:rPr>
      </w:pPr>
      <w:r w:rsidRPr="003F6C7E">
        <w:rPr>
          <w:lang w:val="en-GB"/>
        </w:rPr>
        <w:t>considering</w:t>
      </w:r>
    </w:p>
    <w:p w14:paraId="513CC1FE" w14:textId="77777777" w:rsidR="00744436" w:rsidRPr="003F6C7E" w:rsidRDefault="00744436" w:rsidP="00744436">
      <w:pPr>
        <w:rPr>
          <w:lang w:val="en-GB"/>
        </w:rPr>
      </w:pPr>
      <w:r w:rsidRPr="003F6C7E">
        <w:rPr>
          <w:i/>
          <w:iCs/>
          <w:lang w:val="en-GB"/>
        </w:rPr>
        <w:t>a)</w:t>
      </w:r>
      <w:r w:rsidRPr="003F6C7E">
        <w:rPr>
          <w:lang w:val="en-GB"/>
        </w:rPr>
        <w:tab/>
        <w:t>that Recommendations ITU-R BS.1116, ITU-R BT.500 and ITU-R BS.1284 have established some methods for assessing the subjective quality of audio and video systems;</w:t>
      </w:r>
    </w:p>
    <w:p w14:paraId="22EB20AA" w14:textId="77777777" w:rsidR="00744436" w:rsidRPr="003F6C7E" w:rsidRDefault="00744436" w:rsidP="00744436">
      <w:pPr>
        <w:rPr>
          <w:lang w:val="en-GB"/>
        </w:rPr>
      </w:pPr>
      <w:r w:rsidRPr="003F6C7E">
        <w:rPr>
          <w:i/>
          <w:iCs/>
          <w:lang w:val="en-GB"/>
        </w:rPr>
        <w:t>b)</w:t>
      </w:r>
      <w:r w:rsidRPr="003F6C7E">
        <w:rPr>
          <w:lang w:val="en-GB"/>
        </w:rPr>
        <w:tab/>
        <w:t>that subjective listening tests permit assessment of the degree of annoyance caused to the listener by any impairment of the wanted signal during its transmission between the source and the listener;</w:t>
      </w:r>
    </w:p>
    <w:p w14:paraId="3150E91C" w14:textId="77777777" w:rsidR="00744436" w:rsidRPr="003F6C7E" w:rsidRDefault="00744436" w:rsidP="00744436">
      <w:pPr>
        <w:rPr>
          <w:lang w:val="en-GB"/>
        </w:rPr>
      </w:pPr>
      <w:r w:rsidRPr="003F6C7E">
        <w:rPr>
          <w:i/>
          <w:iCs/>
          <w:lang w:val="en-GB"/>
        </w:rPr>
        <w:t>c)</w:t>
      </w:r>
      <w:r w:rsidRPr="003F6C7E">
        <w:rPr>
          <w:lang w:val="en-GB"/>
        </w:rPr>
        <w:tab/>
        <w:t>that classical objective methods may not be adequate for assessing advanced audio coding schemes and that perceptual objective assessment methods are being developed for testing the sound quality of sound systems;</w:t>
      </w:r>
    </w:p>
    <w:p w14:paraId="080B985D" w14:textId="77777777" w:rsidR="00744436" w:rsidRPr="003F6C7E" w:rsidRDefault="00744436" w:rsidP="00744436">
      <w:pPr>
        <w:rPr>
          <w:lang w:val="en-GB"/>
        </w:rPr>
      </w:pPr>
      <w:r w:rsidRPr="003F6C7E">
        <w:rPr>
          <w:i/>
          <w:iCs/>
          <w:lang w:val="en-GB"/>
        </w:rPr>
        <w:t>d)</w:t>
      </w:r>
      <w:r w:rsidRPr="003F6C7E">
        <w:rPr>
          <w:lang w:val="en-GB"/>
        </w:rPr>
        <w:tab/>
        <w:t>that the use of standardized methods is important for the exchange, compatibility and correct evaluation of the test data;</w:t>
      </w:r>
    </w:p>
    <w:p w14:paraId="3FE0DC4F" w14:textId="77777777" w:rsidR="00744436" w:rsidRPr="003F6C7E" w:rsidRDefault="00744436" w:rsidP="00744436">
      <w:pPr>
        <w:rPr>
          <w:lang w:val="en-GB"/>
        </w:rPr>
      </w:pPr>
      <w:r w:rsidRPr="003F6C7E">
        <w:rPr>
          <w:i/>
          <w:iCs/>
          <w:lang w:val="en-GB"/>
        </w:rPr>
        <w:t>e)</w:t>
      </w:r>
      <w:r w:rsidRPr="003F6C7E">
        <w:rPr>
          <w:lang w:val="en-GB"/>
        </w:rPr>
        <w:tab/>
        <w:t>that the introduction of new advanced digital audio systems exploiting psycho-acoustic properties, especially with small impairments, requires advancements in subjective assessment methods;</w:t>
      </w:r>
    </w:p>
    <w:p w14:paraId="3070A934" w14:textId="77777777" w:rsidR="00744436" w:rsidRPr="003F6C7E" w:rsidRDefault="00744436" w:rsidP="00744436">
      <w:pPr>
        <w:rPr>
          <w:lang w:val="en-GB"/>
        </w:rPr>
      </w:pPr>
      <w:r w:rsidRPr="003F6C7E">
        <w:rPr>
          <w:i/>
          <w:iCs/>
          <w:lang w:val="en-GB"/>
        </w:rPr>
        <w:t>f)</w:t>
      </w:r>
      <w:r w:rsidRPr="003F6C7E">
        <w:rPr>
          <w:lang w:val="en-GB"/>
        </w:rPr>
        <w:tab/>
        <w:t>that Recommendation ITU-R BS.1116 has established a method for the evaluation of the sound quality of sound systems which introduce small impairments;</w:t>
      </w:r>
    </w:p>
    <w:p w14:paraId="6D17F5F2" w14:textId="77777777" w:rsidR="00744436" w:rsidRPr="003F6C7E" w:rsidRDefault="00744436" w:rsidP="00744436">
      <w:pPr>
        <w:rPr>
          <w:lang w:val="en-GB"/>
        </w:rPr>
      </w:pPr>
      <w:r w:rsidRPr="003F6C7E">
        <w:rPr>
          <w:i/>
          <w:iCs/>
          <w:lang w:val="en-GB"/>
        </w:rPr>
        <w:t>g)</w:t>
      </w:r>
      <w:r w:rsidRPr="003F6C7E">
        <w:rPr>
          <w:lang w:val="en-GB"/>
        </w:rPr>
        <w:tab/>
        <w:t>that the detailed procedures of Recommendation ITU-R BS.1116 can be time-consuming and comparatively expensive to carry out and therefore a pre-selection method for rejecting systems which introduce large impairments is desirable,</w:t>
      </w:r>
    </w:p>
    <w:p w14:paraId="4B433EBF" w14:textId="77777777" w:rsidR="00744436" w:rsidRPr="003F6C7E" w:rsidRDefault="00744436" w:rsidP="00744436">
      <w:pPr>
        <w:pStyle w:val="Call"/>
        <w:rPr>
          <w:lang w:val="en-GB"/>
        </w:rPr>
      </w:pPr>
      <w:r w:rsidRPr="003F6C7E">
        <w:rPr>
          <w:lang w:val="en-GB"/>
        </w:rPr>
        <w:t>recommends</w:t>
      </w:r>
    </w:p>
    <w:p w14:paraId="6DCB0CB6" w14:textId="77777777" w:rsidR="00744436" w:rsidRPr="003F6C7E" w:rsidRDefault="00744436" w:rsidP="00744436">
      <w:pPr>
        <w:rPr>
          <w:lang w:val="en-GB"/>
        </w:rPr>
      </w:pPr>
      <w:r w:rsidRPr="003F6C7E">
        <w:rPr>
          <w:lang w:val="en-GB"/>
        </w:rPr>
        <w:t>that the testing, evaluation and reporting procedures given in Annex 1 should be used as a means of distinguishing between those audio systems which introduce large impairments and other systems.</w:t>
      </w:r>
    </w:p>
    <w:p w14:paraId="21B38E77" w14:textId="77777777" w:rsidR="00744436" w:rsidRPr="003F6C7E" w:rsidRDefault="00744436" w:rsidP="00744436">
      <w:pPr>
        <w:rPr>
          <w:lang w:val="en-GB"/>
        </w:rPr>
      </w:pPr>
    </w:p>
    <w:p w14:paraId="006D37E3" w14:textId="77777777" w:rsidR="00744436" w:rsidRPr="003F6C7E" w:rsidRDefault="00744436" w:rsidP="00744436">
      <w:pPr>
        <w:rPr>
          <w:lang w:val="en-GB"/>
        </w:rPr>
      </w:pPr>
    </w:p>
    <w:p w14:paraId="7905ABF8" w14:textId="491B73DB" w:rsidR="00744436" w:rsidRPr="003F6C7E" w:rsidRDefault="00744436" w:rsidP="00744436">
      <w:pPr>
        <w:pStyle w:val="AnnexNoTitle"/>
        <w:rPr>
          <w:lang w:val="en-GB"/>
        </w:rPr>
      </w:pPr>
      <w:r w:rsidRPr="003F6C7E">
        <w:rPr>
          <w:lang w:val="en-GB"/>
        </w:rPr>
        <w:lastRenderedPageBreak/>
        <w:t>Annex</w:t>
      </w:r>
      <w:r w:rsidR="00B43781" w:rsidRPr="003F6C7E">
        <w:rPr>
          <w:lang w:val="en-GB"/>
        </w:rPr>
        <w:t xml:space="preserve"> 1</w:t>
      </w:r>
    </w:p>
    <w:p w14:paraId="69A34540" w14:textId="77777777" w:rsidR="00744436" w:rsidRPr="003F6C7E" w:rsidRDefault="00744436" w:rsidP="00744436">
      <w:pPr>
        <w:pStyle w:val="Heading1"/>
        <w:rPr>
          <w:lang w:val="en-GB"/>
        </w:rPr>
      </w:pPr>
      <w:r w:rsidRPr="003F6C7E">
        <w:rPr>
          <w:lang w:val="en-GB"/>
        </w:rPr>
        <w:t>1</w:t>
      </w:r>
      <w:r w:rsidRPr="003F6C7E">
        <w:rPr>
          <w:lang w:val="en-GB"/>
        </w:rPr>
        <w:tab/>
        <w:t>General</w:t>
      </w:r>
    </w:p>
    <w:p w14:paraId="37A48CE1" w14:textId="77777777" w:rsidR="00744436" w:rsidRPr="003F6C7E" w:rsidRDefault="00744436" w:rsidP="00744436">
      <w:pPr>
        <w:rPr>
          <w:lang w:val="en-GB"/>
        </w:rPr>
      </w:pPr>
      <w:r w:rsidRPr="003F6C7E">
        <w:rPr>
          <w:lang w:val="en-GB"/>
        </w:rPr>
        <w:t>This Annex is divided into the following sections, giving detailed requirements for various aspects of the tests:</w:t>
      </w:r>
    </w:p>
    <w:p w14:paraId="3EBD6B68" w14:textId="77777777" w:rsidR="00744436" w:rsidRPr="003F6C7E" w:rsidRDefault="00744436" w:rsidP="00744436">
      <w:pPr>
        <w:pStyle w:val="enumlev1"/>
        <w:rPr>
          <w:lang w:val="en-GB"/>
        </w:rPr>
      </w:pPr>
      <w:r w:rsidRPr="003F6C7E">
        <w:rPr>
          <w:lang w:val="en-GB"/>
        </w:rPr>
        <w:t>1</w:t>
      </w:r>
      <w:r w:rsidRPr="003F6C7E">
        <w:rPr>
          <w:lang w:val="en-GB"/>
        </w:rPr>
        <w:tab/>
        <w:t>General</w:t>
      </w:r>
    </w:p>
    <w:p w14:paraId="03CE3C31" w14:textId="77777777" w:rsidR="00744436" w:rsidRPr="003F6C7E" w:rsidRDefault="00744436" w:rsidP="00744436">
      <w:pPr>
        <w:pStyle w:val="enumlev1"/>
        <w:rPr>
          <w:lang w:val="en-GB"/>
        </w:rPr>
      </w:pPr>
      <w:r w:rsidRPr="003F6C7E">
        <w:rPr>
          <w:lang w:val="en-GB"/>
        </w:rPr>
        <w:t>2</w:t>
      </w:r>
      <w:r w:rsidRPr="003F6C7E">
        <w:rPr>
          <w:lang w:val="en-GB"/>
        </w:rPr>
        <w:tab/>
        <w:t xml:space="preserve">Experimental </w:t>
      </w:r>
      <w:proofErr w:type="gramStart"/>
      <w:r w:rsidRPr="003F6C7E">
        <w:rPr>
          <w:lang w:val="en-GB"/>
        </w:rPr>
        <w:t>design</w:t>
      </w:r>
      <w:proofErr w:type="gramEnd"/>
    </w:p>
    <w:p w14:paraId="19E7DB40" w14:textId="77777777" w:rsidR="00744436" w:rsidRPr="003F6C7E" w:rsidRDefault="00744436" w:rsidP="00744436">
      <w:pPr>
        <w:pStyle w:val="enumlev1"/>
        <w:rPr>
          <w:lang w:val="en-GB"/>
        </w:rPr>
      </w:pPr>
      <w:r w:rsidRPr="003F6C7E">
        <w:rPr>
          <w:lang w:val="en-GB"/>
        </w:rPr>
        <w:t>3</w:t>
      </w:r>
      <w:r w:rsidRPr="003F6C7E">
        <w:rPr>
          <w:lang w:val="en-GB"/>
        </w:rPr>
        <w:tab/>
        <w:t>Selection of the listening panel</w:t>
      </w:r>
    </w:p>
    <w:p w14:paraId="6ED2E99C" w14:textId="77777777" w:rsidR="00744436" w:rsidRPr="003F6C7E" w:rsidRDefault="00744436" w:rsidP="00744436">
      <w:pPr>
        <w:pStyle w:val="enumlev1"/>
        <w:rPr>
          <w:lang w:val="en-GB"/>
        </w:rPr>
      </w:pPr>
      <w:r w:rsidRPr="003F6C7E">
        <w:rPr>
          <w:lang w:val="en-GB"/>
        </w:rPr>
        <w:t>4</w:t>
      </w:r>
      <w:r w:rsidRPr="003F6C7E">
        <w:rPr>
          <w:lang w:val="en-GB"/>
        </w:rPr>
        <w:tab/>
        <w:t>Test method</w:t>
      </w:r>
    </w:p>
    <w:p w14:paraId="2C58EAD4" w14:textId="77777777" w:rsidR="00744436" w:rsidRPr="003F6C7E" w:rsidRDefault="00744436" w:rsidP="00744436">
      <w:pPr>
        <w:pStyle w:val="enumlev1"/>
        <w:rPr>
          <w:lang w:val="en-GB"/>
        </w:rPr>
      </w:pPr>
      <w:r w:rsidRPr="003F6C7E">
        <w:rPr>
          <w:lang w:val="en-GB"/>
        </w:rPr>
        <w:t>5</w:t>
      </w:r>
      <w:r w:rsidRPr="003F6C7E">
        <w:rPr>
          <w:lang w:val="en-GB"/>
        </w:rPr>
        <w:tab/>
        <w:t>Attributes</w:t>
      </w:r>
    </w:p>
    <w:p w14:paraId="6A3582E2" w14:textId="77777777" w:rsidR="00744436" w:rsidRPr="003F6C7E" w:rsidRDefault="00744436" w:rsidP="00744436">
      <w:pPr>
        <w:pStyle w:val="enumlev1"/>
        <w:rPr>
          <w:lang w:val="en-GB"/>
        </w:rPr>
      </w:pPr>
      <w:r w:rsidRPr="003F6C7E">
        <w:rPr>
          <w:lang w:val="en-GB"/>
        </w:rPr>
        <w:t>6</w:t>
      </w:r>
      <w:r w:rsidRPr="003F6C7E">
        <w:rPr>
          <w:lang w:val="en-GB"/>
        </w:rPr>
        <w:tab/>
        <w:t>Programme material</w:t>
      </w:r>
    </w:p>
    <w:p w14:paraId="21EAF6F7" w14:textId="77777777" w:rsidR="00744436" w:rsidRPr="003F6C7E" w:rsidRDefault="00744436" w:rsidP="00744436">
      <w:pPr>
        <w:pStyle w:val="enumlev1"/>
        <w:rPr>
          <w:lang w:val="en-GB"/>
        </w:rPr>
      </w:pPr>
      <w:r w:rsidRPr="003F6C7E">
        <w:rPr>
          <w:lang w:val="en-GB"/>
        </w:rPr>
        <w:t>7</w:t>
      </w:r>
      <w:r w:rsidRPr="003F6C7E">
        <w:rPr>
          <w:lang w:val="en-GB"/>
        </w:rPr>
        <w:tab/>
        <w:t>Choice of reproduction devices</w:t>
      </w:r>
    </w:p>
    <w:p w14:paraId="4E11138F" w14:textId="77777777" w:rsidR="00744436" w:rsidRPr="003F6C7E" w:rsidRDefault="00744436" w:rsidP="00744436">
      <w:pPr>
        <w:pStyle w:val="enumlev1"/>
        <w:rPr>
          <w:lang w:val="en-GB"/>
        </w:rPr>
      </w:pPr>
      <w:r w:rsidRPr="003F6C7E">
        <w:rPr>
          <w:lang w:val="en-GB"/>
        </w:rPr>
        <w:t>8</w:t>
      </w:r>
      <w:r w:rsidRPr="003F6C7E">
        <w:rPr>
          <w:lang w:val="en-GB"/>
        </w:rPr>
        <w:tab/>
        <w:t>Listening conditions</w:t>
      </w:r>
    </w:p>
    <w:p w14:paraId="002826C6" w14:textId="77777777" w:rsidR="00744436" w:rsidRPr="003F6C7E" w:rsidRDefault="00744436" w:rsidP="00744436">
      <w:pPr>
        <w:pStyle w:val="enumlev1"/>
        <w:rPr>
          <w:lang w:val="en-GB"/>
        </w:rPr>
      </w:pPr>
      <w:r w:rsidRPr="003F6C7E">
        <w:rPr>
          <w:lang w:val="en-GB"/>
        </w:rPr>
        <w:t>9</w:t>
      </w:r>
      <w:r w:rsidRPr="003F6C7E">
        <w:rPr>
          <w:lang w:val="en-GB"/>
        </w:rPr>
        <w:tab/>
        <w:t xml:space="preserve">Statistical </w:t>
      </w:r>
      <w:proofErr w:type="gramStart"/>
      <w:r w:rsidRPr="003F6C7E">
        <w:rPr>
          <w:lang w:val="en-GB"/>
        </w:rPr>
        <w:t>analysis</w:t>
      </w:r>
      <w:proofErr w:type="gramEnd"/>
    </w:p>
    <w:p w14:paraId="1F643AE5" w14:textId="77777777" w:rsidR="00744436" w:rsidRPr="003F6C7E" w:rsidRDefault="00744436" w:rsidP="00744436">
      <w:pPr>
        <w:pStyle w:val="enumlev1"/>
        <w:rPr>
          <w:lang w:val="en-GB"/>
        </w:rPr>
      </w:pPr>
      <w:r w:rsidRPr="003F6C7E">
        <w:rPr>
          <w:lang w:val="en-GB"/>
        </w:rPr>
        <w:t>10</w:t>
      </w:r>
      <w:r w:rsidRPr="003F6C7E">
        <w:rPr>
          <w:lang w:val="en-GB"/>
        </w:rPr>
        <w:tab/>
        <w:t>Presentation of results</w:t>
      </w:r>
    </w:p>
    <w:p w14:paraId="6334292D" w14:textId="77777777" w:rsidR="00744436" w:rsidRPr="003F6C7E" w:rsidRDefault="00744436" w:rsidP="00744436">
      <w:pPr>
        <w:pStyle w:val="enumlev1"/>
        <w:rPr>
          <w:lang w:val="en-GB"/>
        </w:rPr>
      </w:pPr>
      <w:r w:rsidRPr="003F6C7E">
        <w:rPr>
          <w:lang w:val="en-GB"/>
        </w:rPr>
        <w:t>11</w:t>
      </w:r>
      <w:r w:rsidRPr="003F6C7E">
        <w:rPr>
          <w:lang w:val="en-GB"/>
        </w:rPr>
        <w:tab/>
        <w:t>Contents of test report.</w:t>
      </w:r>
    </w:p>
    <w:p w14:paraId="631C7E3C" w14:textId="77777777" w:rsidR="00744436" w:rsidRPr="003F6C7E" w:rsidRDefault="00744436" w:rsidP="00744436">
      <w:pPr>
        <w:rPr>
          <w:lang w:val="en-GB"/>
        </w:rPr>
      </w:pPr>
      <w:r w:rsidRPr="003F6C7E">
        <w:rPr>
          <w:lang w:val="en-GB"/>
        </w:rPr>
        <w:t xml:space="preserve">This Recommendation is based on Recommendation ITU-R </w:t>
      </w:r>
      <w:hyperlink r:id="rId20" w:history="1">
        <w:r w:rsidRPr="003F6C7E">
          <w:rPr>
            <w:rStyle w:val="Hyperlink"/>
            <w:color w:val="auto"/>
            <w:u w:val="none"/>
            <w:lang w:val="en-GB"/>
          </w:rPr>
          <w:t>BS.1116</w:t>
        </w:r>
      </w:hyperlink>
      <w:r w:rsidRPr="003F6C7E">
        <w:rPr>
          <w:lang w:val="en-GB"/>
        </w:rPr>
        <w:t>. It differs mainly in the section referring to test method.</w:t>
      </w:r>
    </w:p>
    <w:p w14:paraId="5723AA4C" w14:textId="12CA80B7" w:rsidR="00744436" w:rsidRPr="003F6C7E" w:rsidRDefault="00744436" w:rsidP="00744436">
      <w:pPr>
        <w:rPr>
          <w:lang w:val="en-GB"/>
        </w:rPr>
      </w:pPr>
      <w:r w:rsidRPr="003F6C7E">
        <w:rPr>
          <w:lang w:val="en-GB"/>
        </w:rPr>
        <w:t xml:space="preserve">Recommendation ITU-R </w:t>
      </w:r>
      <w:hyperlink r:id="rId21" w:history="1">
        <w:r w:rsidRPr="003F6C7E">
          <w:rPr>
            <w:rStyle w:val="Hyperlink"/>
            <w:color w:val="auto"/>
            <w:u w:val="none"/>
            <w:lang w:val="en-GB"/>
          </w:rPr>
          <w:t>BS.1116</w:t>
        </w:r>
      </w:hyperlink>
      <w:r w:rsidRPr="003F6C7E">
        <w:rPr>
          <w:lang w:val="en-GB"/>
        </w:rPr>
        <w:t xml:space="preserve"> – Methods for the subjective assessment of small impairments in audio systems including multichannel sound systems</w:t>
      </w:r>
      <w:r w:rsidR="00DC565A" w:rsidRPr="003F6C7E">
        <w:rPr>
          <w:lang w:val="en-GB"/>
        </w:rPr>
        <w:t>,</w:t>
      </w:r>
      <w:r w:rsidRPr="003F6C7E">
        <w:rPr>
          <w:lang w:val="en-GB"/>
        </w:rPr>
        <w:t xml:space="preserve"> is intended for the assessment of audio systems which introduce impairments that can be hard to detect. For that purpose, it is necessary to control as many of the test parameters as possible and to carry out a sufficient number of assessments to produce statistically reliable estimates of the impairments. The requirements of Recommendation ITU</w:t>
      </w:r>
      <w:r w:rsidRPr="003F6C7E">
        <w:rPr>
          <w:lang w:val="en-GB"/>
        </w:rPr>
        <w:noBreakHyphen/>
        <w:t xml:space="preserve">R </w:t>
      </w:r>
      <w:hyperlink r:id="rId22" w:history="1">
        <w:r w:rsidRPr="003F6C7E">
          <w:rPr>
            <w:rStyle w:val="Hyperlink"/>
            <w:color w:val="auto"/>
            <w:u w:val="none"/>
            <w:lang w:val="en-GB"/>
          </w:rPr>
          <w:t>BS.1116</w:t>
        </w:r>
      </w:hyperlink>
      <w:r w:rsidRPr="003F6C7E">
        <w:rPr>
          <w:lang w:val="en-GB"/>
        </w:rPr>
        <w:t xml:space="preserve"> are consequently stringent. The procedure is costly in time and effort and is unneces</w:t>
      </w:r>
      <w:r w:rsidRPr="003F6C7E">
        <w:rPr>
          <w:lang w:val="en-GB"/>
        </w:rPr>
        <w:softHyphen/>
        <w:t>sary if the systems under test produce significant impairments.</w:t>
      </w:r>
    </w:p>
    <w:p w14:paraId="0E491209" w14:textId="77777777" w:rsidR="00744436" w:rsidRPr="003F6C7E" w:rsidRDefault="00744436" w:rsidP="00744436">
      <w:pPr>
        <w:rPr>
          <w:lang w:val="en-GB"/>
        </w:rPr>
      </w:pPr>
      <w:r w:rsidRPr="003F6C7E">
        <w:rPr>
          <w:lang w:val="en-GB"/>
        </w:rPr>
        <w:t>In order to avoid carrying out such tests unnecessarily, a pre-selection methodology that can reliably reject systems introducing large impairments is desirable. This reduction in the extent of the test method may reduce its sensitivity, but the method must still be capable of distinguishing between systems which introduce large impairments and those that do not.</w:t>
      </w:r>
    </w:p>
    <w:p w14:paraId="24459061" w14:textId="77777777" w:rsidR="00744436" w:rsidRPr="003F6C7E" w:rsidRDefault="00744436" w:rsidP="00744436">
      <w:pPr>
        <w:pStyle w:val="Heading1"/>
        <w:rPr>
          <w:lang w:val="en-GB"/>
        </w:rPr>
      </w:pPr>
      <w:r w:rsidRPr="003F6C7E">
        <w:rPr>
          <w:lang w:val="en-GB"/>
        </w:rPr>
        <w:t>2</w:t>
      </w:r>
      <w:r w:rsidRPr="003F6C7E">
        <w:rPr>
          <w:lang w:val="en-GB"/>
        </w:rPr>
        <w:tab/>
        <w:t xml:space="preserve">Experimental </w:t>
      </w:r>
      <w:proofErr w:type="gramStart"/>
      <w:r w:rsidRPr="003F6C7E">
        <w:rPr>
          <w:lang w:val="en-GB"/>
        </w:rPr>
        <w:t>design</w:t>
      </w:r>
      <w:proofErr w:type="gramEnd"/>
    </w:p>
    <w:p w14:paraId="1BC09A0E" w14:textId="77777777" w:rsidR="00744436" w:rsidRPr="003F6C7E" w:rsidRDefault="00744436" w:rsidP="00744436">
      <w:pPr>
        <w:rPr>
          <w:lang w:val="en-GB"/>
        </w:rPr>
      </w:pPr>
      <w:r w:rsidRPr="003F6C7E">
        <w:rPr>
          <w:lang w:val="en-GB"/>
        </w:rPr>
        <w:t>In designing the tests, the considerations of Recommendation ITU</w:t>
      </w:r>
      <w:r w:rsidRPr="003F6C7E">
        <w:rPr>
          <w:lang w:val="en-GB"/>
        </w:rPr>
        <w:noBreakHyphen/>
        <w:t xml:space="preserve">R </w:t>
      </w:r>
      <w:hyperlink r:id="rId23" w:history="1">
        <w:r w:rsidRPr="003F6C7E">
          <w:rPr>
            <w:rStyle w:val="Hyperlink"/>
            <w:color w:val="auto"/>
            <w:u w:val="none"/>
            <w:lang w:val="en-GB"/>
          </w:rPr>
          <w:t>BS.1116</w:t>
        </w:r>
      </w:hyperlink>
      <w:r w:rsidRPr="003F6C7E">
        <w:rPr>
          <w:lang w:val="en-GB"/>
        </w:rPr>
        <w:t>, § 2, should be taken into account.</w:t>
      </w:r>
    </w:p>
    <w:p w14:paraId="46E2C322" w14:textId="77777777" w:rsidR="00744436" w:rsidRPr="003F6C7E" w:rsidRDefault="00744436" w:rsidP="00744436">
      <w:pPr>
        <w:pStyle w:val="Heading1"/>
        <w:rPr>
          <w:lang w:val="en-GB"/>
        </w:rPr>
      </w:pPr>
      <w:r w:rsidRPr="003F6C7E">
        <w:rPr>
          <w:lang w:val="en-GB"/>
        </w:rPr>
        <w:t>3</w:t>
      </w:r>
      <w:r w:rsidRPr="003F6C7E">
        <w:rPr>
          <w:lang w:val="en-GB"/>
        </w:rPr>
        <w:tab/>
        <w:t>Selection of the listening panel</w:t>
      </w:r>
    </w:p>
    <w:p w14:paraId="0464C419" w14:textId="77777777" w:rsidR="00744436" w:rsidRPr="003F6C7E" w:rsidRDefault="00744436" w:rsidP="00744436">
      <w:pPr>
        <w:rPr>
          <w:lang w:val="en-GB"/>
        </w:rPr>
      </w:pPr>
      <w:r w:rsidRPr="003F6C7E">
        <w:rPr>
          <w:lang w:val="en-GB"/>
        </w:rPr>
        <w:t>For the selection of the listening panel, the considerations of Recommendation ITU</w:t>
      </w:r>
      <w:r w:rsidRPr="003F6C7E">
        <w:rPr>
          <w:lang w:val="en-GB"/>
        </w:rPr>
        <w:noBreakHyphen/>
        <w:t xml:space="preserve">R </w:t>
      </w:r>
      <w:hyperlink r:id="rId24" w:history="1">
        <w:r w:rsidRPr="003F6C7E">
          <w:rPr>
            <w:rStyle w:val="Hyperlink"/>
            <w:color w:val="auto"/>
            <w:u w:val="none"/>
            <w:lang w:val="en-GB"/>
          </w:rPr>
          <w:t>BS.1116</w:t>
        </w:r>
      </w:hyperlink>
      <w:r w:rsidRPr="003F6C7E">
        <w:rPr>
          <w:lang w:val="en-GB"/>
        </w:rPr>
        <w:t>, § 3, should be taken into account.</w:t>
      </w:r>
    </w:p>
    <w:p w14:paraId="28C3B745" w14:textId="77777777" w:rsidR="00744436" w:rsidRPr="003F6C7E" w:rsidRDefault="00744436" w:rsidP="00744436">
      <w:pPr>
        <w:rPr>
          <w:lang w:val="en-GB"/>
        </w:rPr>
      </w:pPr>
      <w:r w:rsidRPr="003F6C7E">
        <w:rPr>
          <w:lang w:val="en-GB"/>
        </w:rPr>
        <w:t>However, to maximize the sensitivity of the test and minimize the number of trials required to obtain reliable results, the expert listeners should be thoroughly familiar with the types of impairment expected. That is, they should preferably be specialists in the assessment of the types of coding systems under test.</w:t>
      </w:r>
    </w:p>
    <w:p w14:paraId="775A90C7" w14:textId="77777777" w:rsidR="00744436" w:rsidRPr="003F6C7E" w:rsidRDefault="00744436" w:rsidP="00744436">
      <w:pPr>
        <w:pStyle w:val="Heading1"/>
        <w:rPr>
          <w:lang w:val="en-GB" w:eastAsia="ja-JP"/>
        </w:rPr>
      </w:pPr>
      <w:r w:rsidRPr="003F6C7E">
        <w:rPr>
          <w:lang w:val="en-GB" w:eastAsia="ja-JP"/>
        </w:rPr>
        <w:lastRenderedPageBreak/>
        <w:t>4</w:t>
      </w:r>
      <w:r w:rsidRPr="003F6C7E">
        <w:rPr>
          <w:lang w:val="en-GB" w:eastAsia="ja-JP"/>
        </w:rPr>
        <w:tab/>
        <w:t>Test method</w:t>
      </w:r>
    </w:p>
    <w:p w14:paraId="687123C4" w14:textId="77777777" w:rsidR="00744436" w:rsidRPr="003F6C7E" w:rsidRDefault="00744436" w:rsidP="00744436">
      <w:pPr>
        <w:rPr>
          <w:lang w:val="en-GB"/>
        </w:rPr>
      </w:pPr>
      <w:r w:rsidRPr="003F6C7E">
        <w:rPr>
          <w:lang w:val="en-GB"/>
        </w:rPr>
        <w:t>For the details of the test method, the general considerations of Recommendation ITU</w:t>
      </w:r>
      <w:r w:rsidRPr="003F6C7E">
        <w:rPr>
          <w:lang w:val="en-GB"/>
        </w:rPr>
        <w:noBreakHyphen/>
        <w:t xml:space="preserve">R </w:t>
      </w:r>
      <w:hyperlink r:id="rId25" w:history="1">
        <w:r w:rsidRPr="003F6C7E">
          <w:rPr>
            <w:rStyle w:val="Hyperlink"/>
            <w:color w:val="auto"/>
            <w:u w:val="none"/>
            <w:lang w:val="en-GB"/>
          </w:rPr>
          <w:t>BS.1116</w:t>
        </w:r>
      </w:hyperlink>
      <w:r w:rsidRPr="003F6C7E">
        <w:rPr>
          <w:lang w:val="en-GB"/>
        </w:rPr>
        <w:t xml:space="preserve">, § 4, should be taken into account. As the test procedure is the most time-consuming aspect of Recommendation ITU-R </w:t>
      </w:r>
      <w:hyperlink r:id="rId26" w:history="1">
        <w:r w:rsidRPr="003F6C7E">
          <w:rPr>
            <w:rStyle w:val="Hyperlink"/>
            <w:color w:val="auto"/>
            <w:u w:val="none"/>
            <w:lang w:val="en-GB"/>
          </w:rPr>
          <w:t>BS.1116</w:t>
        </w:r>
      </w:hyperlink>
      <w:r w:rsidRPr="003F6C7E">
        <w:rPr>
          <w:lang w:val="en-GB"/>
        </w:rPr>
        <w:t>, it is by reduction of the test methodology that most savings in time and effort can be made. At present, the following methods can be recommended.</w:t>
      </w:r>
    </w:p>
    <w:p w14:paraId="5776119C" w14:textId="77777777" w:rsidR="00744436" w:rsidRPr="003F6C7E" w:rsidRDefault="00744436" w:rsidP="00744436">
      <w:pPr>
        <w:pStyle w:val="Heading2"/>
        <w:rPr>
          <w:lang w:val="en-GB"/>
        </w:rPr>
      </w:pPr>
      <w:r w:rsidRPr="003F6C7E">
        <w:rPr>
          <w:lang w:val="en-GB"/>
        </w:rPr>
        <w:t>4.1</w:t>
      </w:r>
      <w:r w:rsidRPr="003F6C7E">
        <w:rPr>
          <w:lang w:val="en-GB"/>
        </w:rPr>
        <w:tab/>
        <w:t>Assessment using headphones</w:t>
      </w:r>
    </w:p>
    <w:p w14:paraId="678E6DBA" w14:textId="77777777" w:rsidR="00744436" w:rsidRPr="003F6C7E" w:rsidRDefault="00744436" w:rsidP="00744436">
      <w:pPr>
        <w:rPr>
          <w:lang w:val="en-GB"/>
        </w:rPr>
      </w:pPr>
      <w:r w:rsidRPr="003F6C7E">
        <w:rPr>
          <w:lang w:val="en-GB"/>
        </w:rPr>
        <w:t>If it can be shown that the systems under test can be properly assessed using headphone listening, then the assessments may be carried out by more than one subject at the same time. This excludes systems which inherently require the use of loudspeakers, any systems or tests which involve the acoustics of the listening environment and systems involving any spatial effects which cannot be properly reproduced by headphones.</w:t>
      </w:r>
    </w:p>
    <w:p w14:paraId="5E147387" w14:textId="77777777" w:rsidR="00744436" w:rsidRPr="003F6C7E" w:rsidRDefault="00744436" w:rsidP="00744436">
      <w:pPr>
        <w:rPr>
          <w:lang w:val="en-GB"/>
        </w:rPr>
      </w:pPr>
      <w:r w:rsidRPr="003F6C7E">
        <w:rPr>
          <w:lang w:val="en-GB"/>
        </w:rPr>
        <w:t xml:space="preserve">Using subjects in groups, individual switching is not </w:t>
      </w:r>
      <w:proofErr w:type="gramStart"/>
      <w:r w:rsidRPr="003F6C7E">
        <w:rPr>
          <w:lang w:val="en-GB"/>
        </w:rPr>
        <w:t>practical</w:t>
      </w:r>
      <w:proofErr w:type="gramEnd"/>
      <w:r w:rsidRPr="003F6C7E">
        <w:rPr>
          <w:lang w:val="en-GB"/>
        </w:rPr>
        <w:t xml:space="preserve"> and it is not possible to randomize the order of presentation of stimuli for each test subject within a group. Between groups, different orders of presentation should be used. The principle of double-blind testing should be maintained.</w:t>
      </w:r>
    </w:p>
    <w:p w14:paraId="51A0DEA7" w14:textId="77777777" w:rsidR="00744436" w:rsidRPr="003F6C7E" w:rsidRDefault="00744436" w:rsidP="00744436">
      <w:pPr>
        <w:rPr>
          <w:lang w:val="en-GB"/>
        </w:rPr>
      </w:pPr>
      <w:r w:rsidRPr="003F6C7E">
        <w:rPr>
          <w:lang w:val="en-GB"/>
        </w:rPr>
        <w:t>The data analysis should be carried out according to Recommendation ITU</w:t>
      </w:r>
      <w:r w:rsidRPr="003F6C7E">
        <w:rPr>
          <w:lang w:val="en-GB"/>
        </w:rPr>
        <w:noBreakHyphen/>
        <w:t>R </w:t>
      </w:r>
      <w:hyperlink r:id="rId27" w:history="1">
        <w:r w:rsidRPr="003F6C7E">
          <w:rPr>
            <w:rStyle w:val="Hyperlink"/>
            <w:color w:val="auto"/>
            <w:u w:val="none"/>
            <w:lang w:val="en-GB"/>
          </w:rPr>
          <w:t>BS.1116</w:t>
        </w:r>
      </w:hyperlink>
      <w:r w:rsidRPr="003F6C7E">
        <w:rPr>
          <w:lang w:val="en-GB"/>
        </w:rPr>
        <w:t>, § 9, as far as is appropriate. The analysis should take into account the sub-division of the test subjects into groups.</w:t>
      </w:r>
    </w:p>
    <w:p w14:paraId="238A99FE" w14:textId="77777777" w:rsidR="00744436" w:rsidRPr="003F6C7E" w:rsidRDefault="00744436" w:rsidP="00744436">
      <w:pPr>
        <w:pStyle w:val="Heading2"/>
        <w:rPr>
          <w:lang w:val="en-GB"/>
        </w:rPr>
      </w:pPr>
      <w:r w:rsidRPr="003F6C7E">
        <w:rPr>
          <w:lang w:val="en-GB"/>
        </w:rPr>
        <w:t>4.2</w:t>
      </w:r>
      <w:r w:rsidRPr="003F6C7E">
        <w:rPr>
          <w:lang w:val="en-GB"/>
        </w:rPr>
        <w:tab/>
        <w:t>Assessment using small numbers of expert listeners</w:t>
      </w:r>
    </w:p>
    <w:p w14:paraId="17425947" w14:textId="77777777" w:rsidR="00744436" w:rsidRPr="003F6C7E" w:rsidRDefault="00744436" w:rsidP="00744436">
      <w:pPr>
        <w:rPr>
          <w:lang w:val="en-GB"/>
        </w:rPr>
      </w:pPr>
      <w:r w:rsidRPr="003F6C7E">
        <w:rPr>
          <w:lang w:val="en-GB"/>
        </w:rPr>
        <w:t>The time taken by the test procedure can be reduced greatly by reducing the number of listeners. This is only practicable with expert listeners, who have previously demonstrated high levels of accuracy and consistency in similar tests.</w:t>
      </w:r>
    </w:p>
    <w:p w14:paraId="6767AE84" w14:textId="77777777" w:rsidR="00744436" w:rsidRPr="003F6C7E" w:rsidRDefault="00744436" w:rsidP="00744436">
      <w:pPr>
        <w:rPr>
          <w:lang w:val="en-GB"/>
        </w:rPr>
      </w:pPr>
      <w:r w:rsidRPr="003F6C7E">
        <w:rPr>
          <w:lang w:val="en-GB"/>
        </w:rPr>
        <w:t>The limited amount of data which might result from such tests may make useful statistical analysis impossible.</w:t>
      </w:r>
    </w:p>
    <w:p w14:paraId="0F9EE0DD" w14:textId="77777777" w:rsidR="00744436" w:rsidRPr="003F6C7E" w:rsidRDefault="00744436" w:rsidP="00744436">
      <w:pPr>
        <w:pStyle w:val="Heading2"/>
        <w:rPr>
          <w:lang w:val="en-GB"/>
        </w:rPr>
      </w:pPr>
      <w:r w:rsidRPr="003F6C7E">
        <w:rPr>
          <w:lang w:val="en-GB"/>
        </w:rPr>
        <w:t>4.3</w:t>
      </w:r>
      <w:r w:rsidRPr="003F6C7E">
        <w:rPr>
          <w:lang w:val="en-GB"/>
        </w:rPr>
        <w:tab/>
        <w:t>Further simplification of the test method</w:t>
      </w:r>
    </w:p>
    <w:p w14:paraId="5D2528C5" w14:textId="77FBD1D7" w:rsidR="00744436" w:rsidRPr="003F6C7E" w:rsidRDefault="00744436" w:rsidP="00744436">
      <w:pPr>
        <w:rPr>
          <w:lang w:val="en-GB"/>
        </w:rPr>
      </w:pPr>
      <w:r w:rsidRPr="003F6C7E">
        <w:rPr>
          <w:lang w:val="en-GB"/>
        </w:rPr>
        <w:t xml:space="preserve">The test procedure may be further simplified by using a two-way comparison. In that way, the test subjects are required to make only one assessment between two signals, one of which is known to be the reference signal. The reference signal may be </w:t>
      </w:r>
      <w:proofErr w:type="gramStart"/>
      <w:r w:rsidRPr="003F6C7E">
        <w:rPr>
          <w:lang w:val="en-GB"/>
        </w:rPr>
        <w:t>impaired</w:t>
      </w:r>
      <w:proofErr w:type="gramEnd"/>
      <w:r w:rsidRPr="003F6C7E">
        <w:rPr>
          <w:lang w:val="en-GB"/>
        </w:rPr>
        <w:t xml:space="preserve"> and it may then be appropriate to use the seven-point comparison scale (see Recommendation ITU-R BS.1284 – Methods for the subjective assessment of sound quality – General requirements). It should be noted that such a method can give only a limited indication of the reliability of the subjects.</w:t>
      </w:r>
    </w:p>
    <w:p w14:paraId="7599E707" w14:textId="77777777" w:rsidR="00744436" w:rsidRPr="003F6C7E" w:rsidRDefault="00744436" w:rsidP="00744436">
      <w:pPr>
        <w:pStyle w:val="Heading1"/>
        <w:rPr>
          <w:lang w:val="en-GB"/>
        </w:rPr>
      </w:pPr>
      <w:r w:rsidRPr="003F6C7E">
        <w:rPr>
          <w:lang w:val="en-GB"/>
        </w:rPr>
        <w:t>5</w:t>
      </w:r>
      <w:r w:rsidRPr="003F6C7E">
        <w:rPr>
          <w:lang w:val="en-GB"/>
        </w:rPr>
        <w:tab/>
        <w:t>Attributes</w:t>
      </w:r>
    </w:p>
    <w:p w14:paraId="2C40F31A" w14:textId="77777777" w:rsidR="00744436" w:rsidRPr="003F6C7E" w:rsidRDefault="00744436" w:rsidP="00744436">
      <w:pPr>
        <w:rPr>
          <w:lang w:val="en-GB" w:eastAsia="ja-JP"/>
        </w:rPr>
      </w:pPr>
      <w:r w:rsidRPr="003F6C7E">
        <w:rPr>
          <w:lang w:val="en-GB"/>
        </w:rPr>
        <w:t>Recommendation ITU</w:t>
      </w:r>
      <w:r w:rsidRPr="003F6C7E">
        <w:rPr>
          <w:lang w:val="en-GB"/>
        </w:rPr>
        <w:noBreakHyphen/>
        <w:t>R </w:t>
      </w:r>
      <w:hyperlink r:id="rId28" w:history="1">
        <w:hyperlink r:id="rId29" w:history="1">
          <w:r w:rsidRPr="003F6C7E">
            <w:rPr>
              <w:rStyle w:val="Hyperlink"/>
              <w:color w:val="auto"/>
              <w:u w:val="none"/>
              <w:lang w:val="en-GB"/>
            </w:rPr>
            <w:t>BS.1116</w:t>
          </w:r>
        </w:hyperlink>
      </w:hyperlink>
      <w:r w:rsidRPr="003F6C7E">
        <w:rPr>
          <w:rStyle w:val="Hyperlink"/>
          <w:color w:val="auto"/>
          <w:u w:val="none"/>
          <w:lang w:val="en-GB"/>
        </w:rPr>
        <w:t xml:space="preserve">, </w:t>
      </w:r>
      <w:r w:rsidRPr="003F6C7E">
        <w:rPr>
          <w:lang w:val="en-GB" w:eastAsia="ja-JP"/>
        </w:rPr>
        <w:t xml:space="preserve">§ 5, </w:t>
      </w:r>
      <w:r w:rsidRPr="003F6C7E">
        <w:rPr>
          <w:lang w:val="en-GB"/>
        </w:rPr>
        <w:t>includes descriptions of the audio quality attributes that might be assessed, for monophonic, two-channel and multichannel stereophonic systems.</w:t>
      </w:r>
    </w:p>
    <w:p w14:paraId="52BAF427" w14:textId="77777777" w:rsidR="00744436" w:rsidRPr="003F6C7E" w:rsidRDefault="00744436" w:rsidP="00744436">
      <w:pPr>
        <w:pStyle w:val="Heading1"/>
        <w:rPr>
          <w:lang w:val="en-GB"/>
        </w:rPr>
      </w:pPr>
      <w:r w:rsidRPr="003F6C7E">
        <w:rPr>
          <w:lang w:val="en-GB"/>
        </w:rPr>
        <w:t>6</w:t>
      </w:r>
      <w:r w:rsidRPr="003F6C7E">
        <w:rPr>
          <w:lang w:val="en-GB"/>
        </w:rPr>
        <w:tab/>
        <w:t>Programme material</w:t>
      </w:r>
    </w:p>
    <w:p w14:paraId="69354F7C" w14:textId="77777777" w:rsidR="00744436" w:rsidRPr="003F6C7E" w:rsidRDefault="00744436" w:rsidP="00744436">
      <w:pPr>
        <w:rPr>
          <w:lang w:val="en-GB"/>
        </w:rPr>
      </w:pPr>
      <w:r w:rsidRPr="003F6C7E">
        <w:rPr>
          <w:lang w:val="en-GB"/>
        </w:rPr>
        <w:t>For the selection of test programme material, the considerations of Recommendation ITU</w:t>
      </w:r>
      <w:r w:rsidRPr="003F6C7E">
        <w:rPr>
          <w:lang w:val="en-GB"/>
        </w:rPr>
        <w:noBreakHyphen/>
        <w:t xml:space="preserve">R </w:t>
      </w:r>
      <w:hyperlink r:id="rId30" w:history="1">
        <w:hyperlink r:id="rId31" w:history="1">
          <w:r w:rsidRPr="003F6C7E">
            <w:rPr>
              <w:rStyle w:val="Hyperlink"/>
              <w:color w:val="auto"/>
              <w:u w:val="none"/>
              <w:lang w:val="en-GB"/>
            </w:rPr>
            <w:t>BS.1116</w:t>
          </w:r>
        </w:hyperlink>
      </w:hyperlink>
      <w:r w:rsidRPr="003F6C7E">
        <w:rPr>
          <w:lang w:val="en-GB"/>
        </w:rPr>
        <w:t>, § 6, should be followed.</w:t>
      </w:r>
    </w:p>
    <w:p w14:paraId="3D3747A6" w14:textId="77777777" w:rsidR="00744436" w:rsidRPr="003F6C7E" w:rsidRDefault="00744436" w:rsidP="00744436">
      <w:pPr>
        <w:pStyle w:val="Heading1"/>
        <w:rPr>
          <w:lang w:val="en-GB"/>
        </w:rPr>
      </w:pPr>
      <w:r w:rsidRPr="003F6C7E">
        <w:rPr>
          <w:lang w:val="en-GB"/>
        </w:rPr>
        <w:t>7</w:t>
      </w:r>
      <w:r w:rsidRPr="003F6C7E">
        <w:rPr>
          <w:lang w:val="en-GB"/>
        </w:rPr>
        <w:tab/>
        <w:t>Choice of reproduction devices</w:t>
      </w:r>
    </w:p>
    <w:p w14:paraId="0CC491F6" w14:textId="77777777" w:rsidR="00744436" w:rsidRPr="003F6C7E" w:rsidRDefault="00744436" w:rsidP="00744436">
      <w:pPr>
        <w:rPr>
          <w:lang w:val="en-GB"/>
        </w:rPr>
      </w:pPr>
      <w:r w:rsidRPr="003F6C7E">
        <w:rPr>
          <w:lang w:val="en-GB"/>
        </w:rPr>
        <w:t>For the chosen reproduction devices, the considerations of Recommendation ITU</w:t>
      </w:r>
      <w:r w:rsidRPr="003F6C7E">
        <w:rPr>
          <w:lang w:val="en-GB"/>
        </w:rPr>
        <w:noBreakHyphen/>
        <w:t>R </w:t>
      </w:r>
      <w:hyperlink r:id="rId32" w:history="1">
        <w:r w:rsidRPr="003F6C7E">
          <w:rPr>
            <w:rStyle w:val="Hyperlink"/>
            <w:color w:val="auto"/>
            <w:u w:val="none"/>
            <w:lang w:val="en-GB"/>
          </w:rPr>
          <w:t>BS.1116</w:t>
        </w:r>
      </w:hyperlink>
      <w:r w:rsidRPr="003F6C7E">
        <w:rPr>
          <w:lang w:val="en-GB"/>
        </w:rPr>
        <w:t>, § 7, should be followed.</w:t>
      </w:r>
    </w:p>
    <w:p w14:paraId="6C2037FF" w14:textId="77777777" w:rsidR="00744436" w:rsidRPr="003F6C7E" w:rsidRDefault="00744436" w:rsidP="00744436">
      <w:pPr>
        <w:pStyle w:val="Heading1"/>
        <w:rPr>
          <w:lang w:val="en-GB"/>
        </w:rPr>
      </w:pPr>
      <w:r w:rsidRPr="003F6C7E">
        <w:rPr>
          <w:lang w:val="en-GB"/>
        </w:rPr>
        <w:lastRenderedPageBreak/>
        <w:t>8</w:t>
      </w:r>
      <w:r w:rsidRPr="003F6C7E">
        <w:rPr>
          <w:lang w:val="en-GB"/>
        </w:rPr>
        <w:tab/>
        <w:t>Listening conditions</w:t>
      </w:r>
    </w:p>
    <w:p w14:paraId="2B11233B" w14:textId="77777777" w:rsidR="00744436" w:rsidRPr="003F6C7E" w:rsidRDefault="00744436" w:rsidP="00744436">
      <w:pPr>
        <w:rPr>
          <w:lang w:val="en-GB"/>
        </w:rPr>
      </w:pPr>
      <w:r w:rsidRPr="003F6C7E">
        <w:rPr>
          <w:lang w:val="en-GB"/>
        </w:rPr>
        <w:t>For the relevant listening conditions, the considerations of Recommendation ITU</w:t>
      </w:r>
      <w:r w:rsidRPr="003F6C7E">
        <w:rPr>
          <w:lang w:val="en-GB"/>
        </w:rPr>
        <w:noBreakHyphen/>
        <w:t>R </w:t>
      </w:r>
      <w:hyperlink r:id="rId33" w:history="1">
        <w:r w:rsidRPr="003F6C7E">
          <w:rPr>
            <w:rStyle w:val="Hyperlink"/>
            <w:color w:val="auto"/>
            <w:u w:val="none"/>
            <w:lang w:val="en-GB"/>
          </w:rPr>
          <w:t>BS.1116</w:t>
        </w:r>
      </w:hyperlink>
      <w:r w:rsidRPr="003F6C7E">
        <w:rPr>
          <w:lang w:val="en-GB"/>
        </w:rPr>
        <w:t>, § 8, should be followed.</w:t>
      </w:r>
    </w:p>
    <w:p w14:paraId="4B814FFF" w14:textId="77777777" w:rsidR="00744436" w:rsidRPr="003F6C7E" w:rsidRDefault="00744436" w:rsidP="00744436">
      <w:pPr>
        <w:pStyle w:val="Heading1"/>
        <w:rPr>
          <w:lang w:val="en-GB"/>
        </w:rPr>
      </w:pPr>
      <w:r w:rsidRPr="003F6C7E">
        <w:rPr>
          <w:lang w:val="en-GB"/>
        </w:rPr>
        <w:t>9</w:t>
      </w:r>
      <w:r w:rsidRPr="003F6C7E">
        <w:rPr>
          <w:lang w:val="en-GB"/>
        </w:rPr>
        <w:tab/>
        <w:t xml:space="preserve">Statistical </w:t>
      </w:r>
      <w:proofErr w:type="gramStart"/>
      <w:r w:rsidRPr="003F6C7E">
        <w:rPr>
          <w:lang w:val="en-GB"/>
        </w:rPr>
        <w:t>analysis</w:t>
      </w:r>
      <w:proofErr w:type="gramEnd"/>
    </w:p>
    <w:p w14:paraId="3AE6C101" w14:textId="77777777" w:rsidR="00744436" w:rsidRPr="003F6C7E" w:rsidRDefault="00744436" w:rsidP="00744436">
      <w:pPr>
        <w:rPr>
          <w:lang w:val="en-GB"/>
        </w:rPr>
      </w:pPr>
      <w:r w:rsidRPr="003F6C7E">
        <w:rPr>
          <w:lang w:val="en-GB"/>
        </w:rPr>
        <w:t>For the statistical analysis of the data, Recommendation ITU</w:t>
      </w:r>
      <w:r w:rsidRPr="003F6C7E">
        <w:rPr>
          <w:lang w:val="en-GB"/>
        </w:rPr>
        <w:noBreakHyphen/>
        <w:t xml:space="preserve">R </w:t>
      </w:r>
      <w:hyperlink r:id="rId34" w:history="1">
        <w:r w:rsidRPr="003F6C7E">
          <w:rPr>
            <w:rStyle w:val="Hyperlink"/>
            <w:color w:val="auto"/>
            <w:u w:val="none"/>
            <w:lang w:val="en-GB"/>
          </w:rPr>
          <w:t>BS.1116</w:t>
        </w:r>
      </w:hyperlink>
      <w:r w:rsidRPr="003F6C7E">
        <w:rPr>
          <w:lang w:val="en-GB"/>
        </w:rPr>
        <w:t>, § 9, should be followed as far as is appropriate.</w:t>
      </w:r>
    </w:p>
    <w:p w14:paraId="41871543" w14:textId="77777777" w:rsidR="00744436" w:rsidRPr="003F6C7E" w:rsidRDefault="00744436" w:rsidP="00744436">
      <w:pPr>
        <w:rPr>
          <w:lang w:val="en-GB"/>
        </w:rPr>
      </w:pPr>
      <w:r w:rsidRPr="003F6C7E">
        <w:rPr>
          <w:lang w:val="en-GB"/>
        </w:rPr>
        <w:t>It is important to note that, due to the methodology employed, the results from the pre-selection tests can only be used to determine whether or not to include or reject audio systems for subsequent formal tests. Only a statement about whether a system has “passed” or “failed” can be made. No further conclusions regarding the relative performances of the systems may be drawn from the results of the pre-selection tests.</w:t>
      </w:r>
    </w:p>
    <w:p w14:paraId="76477345" w14:textId="77777777" w:rsidR="00744436" w:rsidRPr="003F6C7E" w:rsidRDefault="00744436" w:rsidP="00744436">
      <w:pPr>
        <w:rPr>
          <w:lang w:val="en-GB"/>
        </w:rPr>
      </w:pPr>
      <w:r w:rsidRPr="003F6C7E">
        <w:rPr>
          <w:lang w:val="en-GB"/>
        </w:rPr>
        <w:t>The decision threshold should be set so that marginal systems are included in the “pass” category.</w:t>
      </w:r>
    </w:p>
    <w:p w14:paraId="2E1E064B" w14:textId="77777777" w:rsidR="00744436" w:rsidRPr="003F6C7E" w:rsidRDefault="00744436" w:rsidP="00744436">
      <w:pPr>
        <w:pStyle w:val="Heading1"/>
        <w:rPr>
          <w:lang w:val="en-GB"/>
        </w:rPr>
      </w:pPr>
      <w:r w:rsidRPr="003F6C7E">
        <w:rPr>
          <w:lang w:val="en-GB"/>
        </w:rPr>
        <w:t>10</w:t>
      </w:r>
      <w:r w:rsidRPr="003F6C7E">
        <w:rPr>
          <w:lang w:val="en-GB"/>
        </w:rPr>
        <w:tab/>
        <w:t>Presentation of results</w:t>
      </w:r>
    </w:p>
    <w:p w14:paraId="50E43832" w14:textId="77777777" w:rsidR="00744436" w:rsidRPr="003F6C7E" w:rsidRDefault="00744436" w:rsidP="00744436">
      <w:pPr>
        <w:rPr>
          <w:lang w:val="en-GB"/>
        </w:rPr>
      </w:pPr>
      <w:r w:rsidRPr="003F6C7E">
        <w:rPr>
          <w:lang w:val="en-GB"/>
        </w:rPr>
        <w:t>For the presentation of the results, the considerations of Recommendation ITU</w:t>
      </w:r>
      <w:r w:rsidRPr="003F6C7E">
        <w:rPr>
          <w:lang w:val="en-GB"/>
        </w:rPr>
        <w:noBreakHyphen/>
        <w:t xml:space="preserve">R </w:t>
      </w:r>
      <w:hyperlink r:id="rId35" w:history="1">
        <w:r w:rsidRPr="003F6C7E">
          <w:rPr>
            <w:rStyle w:val="Hyperlink"/>
            <w:color w:val="auto"/>
            <w:u w:val="none"/>
            <w:lang w:val="en-GB"/>
          </w:rPr>
          <w:t>BS.1116</w:t>
        </w:r>
      </w:hyperlink>
      <w:r w:rsidRPr="003F6C7E">
        <w:rPr>
          <w:lang w:val="en-GB"/>
        </w:rPr>
        <w:t>, § 10, should be taken into account as far as is appropriate.</w:t>
      </w:r>
    </w:p>
    <w:p w14:paraId="5E4CC4E8" w14:textId="77777777" w:rsidR="00744436" w:rsidRPr="003F6C7E" w:rsidRDefault="00744436" w:rsidP="00744436">
      <w:pPr>
        <w:rPr>
          <w:lang w:val="en-GB"/>
        </w:rPr>
      </w:pPr>
      <w:r w:rsidRPr="003F6C7E">
        <w:rPr>
          <w:lang w:val="en-GB"/>
        </w:rPr>
        <w:t>The objective of the tests is simply to distinguish between systems that produce large impairments and those that do not. The final result will be simply a statement of whether a system has “passed” or “failed”.</w:t>
      </w:r>
    </w:p>
    <w:p w14:paraId="422AE3F4" w14:textId="77777777" w:rsidR="00744436" w:rsidRPr="003F6C7E" w:rsidRDefault="00744436" w:rsidP="00744436">
      <w:pPr>
        <w:pStyle w:val="Heading1"/>
        <w:rPr>
          <w:lang w:val="en-GB"/>
        </w:rPr>
      </w:pPr>
      <w:r w:rsidRPr="003F6C7E">
        <w:rPr>
          <w:lang w:val="en-GB"/>
        </w:rPr>
        <w:t>11</w:t>
      </w:r>
      <w:r w:rsidRPr="003F6C7E">
        <w:rPr>
          <w:lang w:val="en-GB"/>
        </w:rPr>
        <w:tab/>
        <w:t>Contents of test report</w:t>
      </w:r>
    </w:p>
    <w:p w14:paraId="0277E228" w14:textId="77777777" w:rsidR="00744436" w:rsidRPr="003F6C7E" w:rsidRDefault="00744436" w:rsidP="00744436">
      <w:pPr>
        <w:rPr>
          <w:lang w:val="en-GB"/>
        </w:rPr>
      </w:pPr>
      <w:r w:rsidRPr="003F6C7E">
        <w:rPr>
          <w:lang w:val="en-GB"/>
        </w:rPr>
        <w:t>The contents of the test report should follow the considerations of Recommendation ITU</w:t>
      </w:r>
      <w:r w:rsidRPr="003F6C7E">
        <w:rPr>
          <w:lang w:val="en-GB"/>
        </w:rPr>
        <w:noBreakHyphen/>
        <w:t xml:space="preserve">R </w:t>
      </w:r>
      <w:hyperlink r:id="rId36" w:history="1">
        <w:r w:rsidRPr="003F6C7E">
          <w:rPr>
            <w:rStyle w:val="Hyperlink"/>
            <w:color w:val="auto"/>
            <w:u w:val="none"/>
            <w:lang w:val="en-GB"/>
          </w:rPr>
          <w:t>BS.1116</w:t>
        </w:r>
      </w:hyperlink>
      <w:r w:rsidRPr="003F6C7E">
        <w:rPr>
          <w:lang w:val="en-GB"/>
        </w:rPr>
        <w:t>, § 11, as far as is appropriate.</w:t>
      </w:r>
    </w:p>
    <w:p w14:paraId="27B35997" w14:textId="77777777" w:rsidR="00B874C6" w:rsidRPr="003F6C7E" w:rsidRDefault="00B874C6" w:rsidP="00B874C6">
      <w:pPr>
        <w:rPr>
          <w:lang w:val="en-GB"/>
        </w:rPr>
      </w:pPr>
    </w:p>
    <w:p w14:paraId="2680B193" w14:textId="77777777" w:rsidR="00B874C6" w:rsidRPr="003F6C7E" w:rsidRDefault="00B874C6" w:rsidP="00B874C6">
      <w:pPr>
        <w:rPr>
          <w:lang w:val="en-GB"/>
        </w:rPr>
      </w:pPr>
    </w:p>
    <w:p w14:paraId="32292553" w14:textId="77777777" w:rsidR="00B874C6" w:rsidRPr="003F6C7E" w:rsidRDefault="00B874C6" w:rsidP="00B874C6">
      <w:pPr>
        <w:pStyle w:val="Line"/>
      </w:pPr>
    </w:p>
    <w:sectPr w:rsidR="00B874C6" w:rsidRPr="003F6C7E" w:rsidSect="007565CC">
      <w:footerReference w:type="default" r:id="rId37"/>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D62C" w14:textId="77777777" w:rsidR="001F182C" w:rsidRDefault="001F182C">
      <w:r>
        <w:separator/>
      </w:r>
    </w:p>
  </w:endnote>
  <w:endnote w:type="continuationSeparator" w:id="0">
    <w:p w14:paraId="7717337D" w14:textId="77777777" w:rsidR="001F182C" w:rsidRDefault="001F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A460" w14:textId="77777777" w:rsidR="00263E4F" w:rsidRDefault="00263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F82C" w14:textId="77777777" w:rsidR="00301DB3" w:rsidRDefault="00301DB3">
    <w:pPr>
      <w:pStyle w:val="Footer"/>
    </w:pPr>
    <w:r>
      <w:drawing>
        <wp:anchor distT="0" distB="0" distL="0" distR="0" simplePos="0" relativeHeight="251656192" behindDoc="0" locked="0" layoutInCell="1" allowOverlap="1" wp14:anchorId="0535A751" wp14:editId="76607B61">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405C" w14:textId="77777777" w:rsidR="00263E4F" w:rsidRDefault="00263E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97AA"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A9BD" w14:textId="77777777" w:rsidR="001F182C" w:rsidRDefault="001F182C">
      <w:r>
        <w:separator/>
      </w:r>
    </w:p>
  </w:footnote>
  <w:footnote w:type="continuationSeparator" w:id="0">
    <w:p w14:paraId="6DD948C6" w14:textId="77777777" w:rsidR="001F182C" w:rsidRDefault="001F1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AF34"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5B0371" w:rsidRPr="00A239D1" w14:paraId="64A3C76E" w14:textId="77777777" w:rsidTr="0019307B">
      <w:tc>
        <w:tcPr>
          <w:tcW w:w="4634" w:type="dxa"/>
          <w:vAlign w:val="center"/>
        </w:tcPr>
        <w:p w14:paraId="1F3BAA34"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EFD4097"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 xml:space="preserve">International </w:t>
          </w:r>
          <w:proofErr w:type="spellStart"/>
          <w:r w:rsidRPr="00260B24">
            <w:rPr>
              <w:rFonts w:asciiTheme="minorBidi" w:hAnsiTheme="minorBidi"/>
              <w:b/>
              <w:spacing w:val="4"/>
              <w:szCs w:val="24"/>
            </w:rPr>
            <w:t>Telecommunication</w:t>
          </w:r>
          <w:proofErr w:type="spellEnd"/>
          <w:r w:rsidRPr="00260B24">
            <w:rPr>
              <w:rFonts w:asciiTheme="minorBidi" w:hAnsiTheme="minorBidi"/>
              <w:b/>
              <w:spacing w:val="4"/>
              <w:szCs w:val="24"/>
            </w:rPr>
            <w:t xml:space="preserve"> Union</w:t>
          </w:r>
        </w:p>
      </w:tc>
    </w:tr>
    <w:tr w:rsidR="005B0371" w:rsidRPr="00A239D1" w14:paraId="209E33A0" w14:textId="77777777" w:rsidTr="0019307B">
      <w:tc>
        <w:tcPr>
          <w:tcW w:w="4634" w:type="dxa"/>
          <w:vAlign w:val="center"/>
        </w:tcPr>
        <w:p w14:paraId="7A26BA59" w14:textId="77777777" w:rsidR="00EE47C4" w:rsidRPr="00260B24" w:rsidRDefault="00EE47C4" w:rsidP="00744F8B">
          <w:pPr>
            <w:pStyle w:val="Header"/>
            <w:jc w:val="left"/>
            <w:rPr>
              <w:rFonts w:asciiTheme="minorBidi" w:hAnsiTheme="minorBidi"/>
              <w:spacing w:val="4"/>
              <w:sz w:val="21"/>
              <w:szCs w:val="21"/>
            </w:rPr>
          </w:pPr>
          <w:proofErr w:type="spellStart"/>
          <w:r w:rsidRPr="00260B24">
            <w:rPr>
              <w:rFonts w:asciiTheme="minorBidi" w:hAnsiTheme="minorBidi"/>
              <w:spacing w:val="4"/>
              <w:szCs w:val="24"/>
            </w:rPr>
            <w:t>Recommendation</w:t>
          </w:r>
          <w:r w:rsidR="004A6FEB" w:rsidRPr="00260B24">
            <w:rPr>
              <w:rFonts w:asciiTheme="minorBidi" w:hAnsiTheme="minorBidi"/>
              <w:spacing w:val="4"/>
              <w:szCs w:val="24"/>
            </w:rPr>
            <w:t>s</w:t>
          </w:r>
          <w:proofErr w:type="spellEnd"/>
        </w:p>
      </w:tc>
      <w:tc>
        <w:tcPr>
          <w:tcW w:w="5998" w:type="dxa"/>
          <w:vAlign w:val="center"/>
        </w:tcPr>
        <w:p w14:paraId="3AC7DE0C"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w:t>
          </w:r>
          <w:proofErr w:type="spellStart"/>
          <w:r w:rsidR="00305119" w:rsidRPr="00260B24">
            <w:rPr>
              <w:rFonts w:asciiTheme="minorBidi" w:hAnsiTheme="minorBidi"/>
              <w:spacing w:val="4"/>
              <w:szCs w:val="24"/>
            </w:rPr>
            <w:t>Sector</w:t>
          </w:r>
          <w:proofErr w:type="spellEnd"/>
        </w:p>
      </w:tc>
    </w:tr>
  </w:tbl>
  <w:p w14:paraId="702F3C9E"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1271A158" wp14:editId="2C4773DA">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C344597" wp14:editId="0C5E9211">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6583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left:0;text-align:left;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F355BC7"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23165258" wp14:editId="2A61CE57">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BAECAD" id="docshapegroup6" o:spid="_x0000_s1026" alt="Header separator line" style="position:absolute;left:0;text-align:left;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E73A" w14:textId="77777777" w:rsidR="00263E4F" w:rsidRDefault="00263E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06C5" w14:textId="222B3BDD"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gramStart"/>
    <w:r>
      <w:rPr>
        <w:rStyle w:val="PageNumber"/>
        <w:b/>
        <w:bCs/>
      </w:rPr>
      <w:t>i</w:t>
    </w:r>
    <w:proofErr w:type="gram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D62913">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3F6C7E">
      <w:rPr>
        <w:b/>
        <w:bCs/>
        <w:noProof/>
        <w:lang w:val="en-US"/>
      </w:rPr>
      <w:t>ITU-R  BS.1285-1</w:t>
    </w:r>
    <w:r>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8DB8" w14:textId="109C4DBB"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D62913">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3F6C7E">
      <w:rPr>
        <w:b/>
        <w:bCs/>
        <w:noProof/>
      </w:rPr>
      <w:t>ITU-R  BS.1285-1</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v:textbox inset="5.85pt,.7pt,5.85pt,.7pt"/>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13"/>
    <w:rsid w:val="00013002"/>
    <w:rsid w:val="00036EE3"/>
    <w:rsid w:val="00072484"/>
    <w:rsid w:val="00095530"/>
    <w:rsid w:val="00096612"/>
    <w:rsid w:val="000B1B2B"/>
    <w:rsid w:val="000B7683"/>
    <w:rsid w:val="000D0677"/>
    <w:rsid w:val="000E0548"/>
    <w:rsid w:val="000E6A6E"/>
    <w:rsid w:val="00102934"/>
    <w:rsid w:val="00147110"/>
    <w:rsid w:val="001511A6"/>
    <w:rsid w:val="00171C4D"/>
    <w:rsid w:val="0017562F"/>
    <w:rsid w:val="0019307B"/>
    <w:rsid w:val="001B0927"/>
    <w:rsid w:val="001B164E"/>
    <w:rsid w:val="001B7886"/>
    <w:rsid w:val="001F182C"/>
    <w:rsid w:val="001F38BB"/>
    <w:rsid w:val="002058CE"/>
    <w:rsid w:val="002165F1"/>
    <w:rsid w:val="00233211"/>
    <w:rsid w:val="00260B24"/>
    <w:rsid w:val="00263E4F"/>
    <w:rsid w:val="0027411A"/>
    <w:rsid w:val="00276D21"/>
    <w:rsid w:val="00296D7F"/>
    <w:rsid w:val="002A5D45"/>
    <w:rsid w:val="002B3CF6"/>
    <w:rsid w:val="002B3E59"/>
    <w:rsid w:val="002C768A"/>
    <w:rsid w:val="002D0BD7"/>
    <w:rsid w:val="002D76C4"/>
    <w:rsid w:val="002F5199"/>
    <w:rsid w:val="00301DB3"/>
    <w:rsid w:val="00305119"/>
    <w:rsid w:val="003157F1"/>
    <w:rsid w:val="00356B5D"/>
    <w:rsid w:val="00357707"/>
    <w:rsid w:val="0036627C"/>
    <w:rsid w:val="003E5516"/>
    <w:rsid w:val="003F4B75"/>
    <w:rsid w:val="003F6C7E"/>
    <w:rsid w:val="00420DFD"/>
    <w:rsid w:val="00425BC7"/>
    <w:rsid w:val="00437A76"/>
    <w:rsid w:val="004604B2"/>
    <w:rsid w:val="00470E28"/>
    <w:rsid w:val="0047379B"/>
    <w:rsid w:val="00474170"/>
    <w:rsid w:val="00477729"/>
    <w:rsid w:val="004842E2"/>
    <w:rsid w:val="00486EB3"/>
    <w:rsid w:val="004934C5"/>
    <w:rsid w:val="004A6FEB"/>
    <w:rsid w:val="004E61FF"/>
    <w:rsid w:val="004F7E49"/>
    <w:rsid w:val="00517BC9"/>
    <w:rsid w:val="005373E0"/>
    <w:rsid w:val="00556548"/>
    <w:rsid w:val="00571B1C"/>
    <w:rsid w:val="00576D47"/>
    <w:rsid w:val="00586EF8"/>
    <w:rsid w:val="005B0371"/>
    <w:rsid w:val="005B49AB"/>
    <w:rsid w:val="005B50E7"/>
    <w:rsid w:val="005C4BAB"/>
    <w:rsid w:val="005E12A5"/>
    <w:rsid w:val="005E69F0"/>
    <w:rsid w:val="005E7B4F"/>
    <w:rsid w:val="005F003B"/>
    <w:rsid w:val="005F2E73"/>
    <w:rsid w:val="00601882"/>
    <w:rsid w:val="00607D68"/>
    <w:rsid w:val="00613212"/>
    <w:rsid w:val="006149B1"/>
    <w:rsid w:val="00640332"/>
    <w:rsid w:val="00680D2B"/>
    <w:rsid w:val="00681B32"/>
    <w:rsid w:val="00697887"/>
    <w:rsid w:val="006A0778"/>
    <w:rsid w:val="006B1D2B"/>
    <w:rsid w:val="006C37D5"/>
    <w:rsid w:val="006E1131"/>
    <w:rsid w:val="006E2037"/>
    <w:rsid w:val="006E6199"/>
    <w:rsid w:val="00712870"/>
    <w:rsid w:val="00714AC0"/>
    <w:rsid w:val="0074147D"/>
    <w:rsid w:val="00743D85"/>
    <w:rsid w:val="00744436"/>
    <w:rsid w:val="00744F8B"/>
    <w:rsid w:val="00752A63"/>
    <w:rsid w:val="00753CF4"/>
    <w:rsid w:val="007565CC"/>
    <w:rsid w:val="00763B9A"/>
    <w:rsid w:val="007A6AA8"/>
    <w:rsid w:val="007B1357"/>
    <w:rsid w:val="007B3343"/>
    <w:rsid w:val="008310C9"/>
    <w:rsid w:val="008335F0"/>
    <w:rsid w:val="00834306"/>
    <w:rsid w:val="00853CC5"/>
    <w:rsid w:val="00877E6E"/>
    <w:rsid w:val="008A6F49"/>
    <w:rsid w:val="008B083A"/>
    <w:rsid w:val="008C7848"/>
    <w:rsid w:val="00906589"/>
    <w:rsid w:val="00906AD6"/>
    <w:rsid w:val="00917AF2"/>
    <w:rsid w:val="0092418A"/>
    <w:rsid w:val="00934ED7"/>
    <w:rsid w:val="00940D16"/>
    <w:rsid w:val="009543C3"/>
    <w:rsid w:val="00966E1B"/>
    <w:rsid w:val="00972F51"/>
    <w:rsid w:val="00984A02"/>
    <w:rsid w:val="009947C0"/>
    <w:rsid w:val="009A4039"/>
    <w:rsid w:val="009A41F9"/>
    <w:rsid w:val="009D4BBD"/>
    <w:rsid w:val="009F2D2C"/>
    <w:rsid w:val="009F5580"/>
    <w:rsid w:val="00A03C0E"/>
    <w:rsid w:val="00A239D1"/>
    <w:rsid w:val="00A31928"/>
    <w:rsid w:val="00A35B27"/>
    <w:rsid w:val="00A507D4"/>
    <w:rsid w:val="00A5147A"/>
    <w:rsid w:val="00A62A14"/>
    <w:rsid w:val="00A6617B"/>
    <w:rsid w:val="00A71FE5"/>
    <w:rsid w:val="00A7534B"/>
    <w:rsid w:val="00A76007"/>
    <w:rsid w:val="00A86DD2"/>
    <w:rsid w:val="00A936CB"/>
    <w:rsid w:val="00A971A1"/>
    <w:rsid w:val="00AA3AD8"/>
    <w:rsid w:val="00AB0DC8"/>
    <w:rsid w:val="00AB405C"/>
    <w:rsid w:val="00AC015D"/>
    <w:rsid w:val="00AE698D"/>
    <w:rsid w:val="00AF0286"/>
    <w:rsid w:val="00AF5326"/>
    <w:rsid w:val="00B019A2"/>
    <w:rsid w:val="00B0286E"/>
    <w:rsid w:val="00B033C8"/>
    <w:rsid w:val="00B33425"/>
    <w:rsid w:val="00B42334"/>
    <w:rsid w:val="00B43781"/>
    <w:rsid w:val="00B44E24"/>
    <w:rsid w:val="00B54ECC"/>
    <w:rsid w:val="00B60AC0"/>
    <w:rsid w:val="00B714F3"/>
    <w:rsid w:val="00B75A52"/>
    <w:rsid w:val="00B76D85"/>
    <w:rsid w:val="00B874C6"/>
    <w:rsid w:val="00B87B6B"/>
    <w:rsid w:val="00B9169E"/>
    <w:rsid w:val="00BC5D77"/>
    <w:rsid w:val="00BD4283"/>
    <w:rsid w:val="00BF487A"/>
    <w:rsid w:val="00BF5544"/>
    <w:rsid w:val="00C15F3E"/>
    <w:rsid w:val="00C46BD9"/>
    <w:rsid w:val="00C55258"/>
    <w:rsid w:val="00C73560"/>
    <w:rsid w:val="00C84DB7"/>
    <w:rsid w:val="00C87A35"/>
    <w:rsid w:val="00CB0F14"/>
    <w:rsid w:val="00CC7219"/>
    <w:rsid w:val="00CD659B"/>
    <w:rsid w:val="00CE0A43"/>
    <w:rsid w:val="00D00118"/>
    <w:rsid w:val="00D16749"/>
    <w:rsid w:val="00D5024B"/>
    <w:rsid w:val="00D61962"/>
    <w:rsid w:val="00D62913"/>
    <w:rsid w:val="00D72623"/>
    <w:rsid w:val="00D83556"/>
    <w:rsid w:val="00DC565A"/>
    <w:rsid w:val="00DE5556"/>
    <w:rsid w:val="00DF4176"/>
    <w:rsid w:val="00E0095C"/>
    <w:rsid w:val="00E17240"/>
    <w:rsid w:val="00E74595"/>
    <w:rsid w:val="00E77485"/>
    <w:rsid w:val="00EB1CB6"/>
    <w:rsid w:val="00EB7C57"/>
    <w:rsid w:val="00EC6D49"/>
    <w:rsid w:val="00ED2695"/>
    <w:rsid w:val="00EE04BA"/>
    <w:rsid w:val="00EE47C4"/>
    <w:rsid w:val="00EF2D52"/>
    <w:rsid w:val="00F30C9B"/>
    <w:rsid w:val="00F354B1"/>
    <w:rsid w:val="00F354D7"/>
    <w:rsid w:val="00F6343F"/>
    <w:rsid w:val="00F72776"/>
    <w:rsid w:val="00F92A40"/>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62a47,#f8f8f8"/>
    </o:shapedefaults>
    <o:shapelayout v:ext="edit">
      <o:idmap v:ext="edit" data="2"/>
    </o:shapelayout>
  </w:shapeDefaults>
  <w:decimalSymbol w:val="."/>
  <w:listSeparator w:val=","/>
  <w14:docId w14:val="7BED19D4"/>
  <w15:docId w15:val="{4A8C3F90-1713-4C20-B323-B77ACEFE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517BC9"/>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semiHidden/>
    <w:rsid w:val="00A936CB"/>
    <w:rPr>
      <w:position w:val="6"/>
      <w:sz w:val="18"/>
    </w:rPr>
  </w:style>
  <w:style w:type="paragraph" w:styleId="FootnoteText">
    <w:name w:val="footnote text"/>
    <w:basedOn w:val="Normal"/>
    <w:semiHidden/>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1Char">
    <w:name w:val="Heading 1 Char"/>
    <w:basedOn w:val="DefaultParagraphFont"/>
    <w:link w:val="Heading1"/>
    <w:rsid w:val="00744436"/>
    <w:rPr>
      <w:b/>
      <w:sz w:val="24"/>
      <w:lang w:val="fr-FR" w:eastAsia="en-US"/>
    </w:rPr>
  </w:style>
  <w:style w:type="character" w:customStyle="1" w:styleId="Heading2Char">
    <w:name w:val="Heading 2 Char"/>
    <w:basedOn w:val="DefaultParagraphFont"/>
    <w:link w:val="Heading2"/>
    <w:rsid w:val="00744436"/>
    <w:rPr>
      <w:b/>
      <w:sz w:val="24"/>
      <w:lang w:val="fr-FR" w:eastAsia="en-US"/>
    </w:rPr>
  </w:style>
  <w:style w:type="character" w:customStyle="1" w:styleId="NormalaftertitleChar">
    <w:name w:val="Normal_after_title Char"/>
    <w:link w:val="Normalaftertitle"/>
    <w:locked/>
    <w:rsid w:val="00744436"/>
    <w:rPr>
      <w:sz w:val="24"/>
      <w:lang w:val="fr-FR" w:eastAsia="en-US"/>
    </w:rPr>
  </w:style>
  <w:style w:type="character" w:customStyle="1" w:styleId="CallChar">
    <w:name w:val="Call Char"/>
    <w:link w:val="Call"/>
    <w:rsid w:val="00744436"/>
    <w:rPr>
      <w:i/>
      <w:sz w:val="24"/>
      <w:lang w:val="fr-FR" w:eastAsia="en-US"/>
    </w:rPr>
  </w:style>
  <w:style w:type="character" w:customStyle="1" w:styleId="enumlev1Char">
    <w:name w:val="enumlev1 Char"/>
    <w:link w:val="enumlev1"/>
    <w:locked/>
    <w:rsid w:val="00744436"/>
    <w:rPr>
      <w:sz w:val="24"/>
      <w:lang w:val="fr-FR" w:eastAsia="en-US"/>
    </w:rPr>
  </w:style>
  <w:style w:type="character" w:customStyle="1" w:styleId="HeadingbChar">
    <w:name w:val="Heading_b Char"/>
    <w:link w:val="Headingb"/>
    <w:locked/>
    <w:rsid w:val="00744436"/>
    <w:rPr>
      <w:b/>
      <w:sz w:val="24"/>
      <w:lang w:val="fr-FR" w:eastAsia="en-US"/>
    </w:rPr>
  </w:style>
  <w:style w:type="paragraph" w:styleId="Revision">
    <w:name w:val="Revision"/>
    <w:hidden/>
    <w:uiPriority w:val="99"/>
    <w:semiHidden/>
    <w:rsid w:val="00263E4F"/>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www.itu.int/rec/R-REC-BS.1116/en" TargetMode="External"/><Relationship Id="rId39" Type="http://schemas.openxmlformats.org/officeDocument/2006/relationships/theme" Target="theme/theme1.xml"/><Relationship Id="rId21" Type="http://schemas.openxmlformats.org/officeDocument/2006/relationships/hyperlink" Target="https://www.itu.int/rec/R-REC-BS.1116/en" TargetMode="External"/><Relationship Id="rId34" Type="http://schemas.openxmlformats.org/officeDocument/2006/relationships/hyperlink" Target="https://www.itu.int/rec/R-REC-BS.1116/e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itu.int/publ/R-REC/en" TargetMode="External"/><Relationship Id="rId25" Type="http://schemas.openxmlformats.org/officeDocument/2006/relationships/hyperlink" Target="https://www.itu.int/rec/R-REC-BS.1116/en" TargetMode="External"/><Relationship Id="rId33" Type="http://schemas.openxmlformats.org/officeDocument/2006/relationships/hyperlink" Target="https://www.itu.int/rec/R-REC-BS.1116/e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ITU-R/go/patents/en" TargetMode="External"/><Relationship Id="rId20" Type="http://schemas.openxmlformats.org/officeDocument/2006/relationships/hyperlink" Target="https://www.itu.int/rec/R-REC-BS.1116/en" TargetMode="External"/><Relationship Id="rId29" Type="http://schemas.openxmlformats.org/officeDocument/2006/relationships/hyperlink" Target="https://www.itu.int/rec/R-REC-BS.1116/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itu.int/rec/R-REC-BS.1116/en" TargetMode="External"/><Relationship Id="rId32" Type="http://schemas.openxmlformats.org/officeDocument/2006/relationships/hyperlink" Target="https://www.itu.int/rec/R-REC-BS.1116/en" TargetMode="External"/><Relationship Id="rId37" Type="http://schemas.openxmlformats.org/officeDocument/2006/relationships/footer" Target="footer4.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itu.int/rec/R-REC-BS.1116/en" TargetMode="External"/><Relationship Id="rId28" Type="http://schemas.openxmlformats.org/officeDocument/2006/relationships/hyperlink" Target="https://www.itu.int/rec/R-REC-BS.1116/en" TargetMode="External"/><Relationship Id="rId36" Type="http://schemas.openxmlformats.org/officeDocument/2006/relationships/hyperlink" Target="https://www.itu.int/rec/R-REC-BS.1116/en"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https://www.itu.int/rec/R-REC-BS.1116/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itu.int/rec/R-REC-BS.1116/en" TargetMode="External"/><Relationship Id="rId27" Type="http://schemas.openxmlformats.org/officeDocument/2006/relationships/hyperlink" Target="https://www.itu.int/rec/R-REC-BS.1116/en" TargetMode="External"/><Relationship Id="rId30" Type="http://schemas.openxmlformats.org/officeDocument/2006/relationships/hyperlink" Target="https://www.itu.int/rec/R-REC-BS.1116/en" TargetMode="External"/><Relationship Id="rId35" Type="http://schemas.openxmlformats.org/officeDocument/2006/relationships/hyperlink" Target="https://www.itu.int/rec/R-REC-BS.1116/en"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MOD (added Annex number. Not sure when there is only one Annex, if the Annex needs to be numbered) - YN - Agree AQ</Comments>
  </documentManagement>
</p:properties>
</file>

<file path=customXml/itemProps1.xml><?xml version="1.0" encoding="utf-8"?>
<ds:datastoreItem xmlns:ds="http://schemas.openxmlformats.org/officeDocument/2006/customXml" ds:itemID="{54D5491D-70DC-4281-8579-650F65EDE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fcb6b58c-b914-4d07-b93f-e162996d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1573D-449C-4D34-BC4E-6F64EA2F8593}">
  <ds:schemaRefs>
    <ds:schemaRef ds:uri="http://schemas.microsoft.com/sharepoint/v3/contenttype/forms"/>
  </ds:schemaRefs>
</ds:datastoreItem>
</file>

<file path=customXml/itemProps3.xml><?xml version="1.0" encoding="utf-8"?>
<ds:datastoreItem xmlns:ds="http://schemas.openxmlformats.org/officeDocument/2006/customXml" ds:itemID="{940C772B-75A9-4849-BAF4-F4066FC874D6}">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1536</Words>
  <Characters>9926</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ITU-R REC SA English template</vt:lpstr>
    </vt:vector>
  </TitlesOfParts>
  <Manager/>
  <Company>ITU</Company>
  <LinksUpToDate>false</LinksUpToDate>
  <CharactersWithSpaces>11440</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BS.1285-1 (05/2023) - Pre-selection methods for the subjective assessment of small impairments in audio systems</dc:title>
  <dc:subject>BS Series = Broadcasting service (sound)</dc:subject>
  <dc:creator>ITU Radiocommunication Bureau (BR)</dc:creator>
  <cp:keywords>BS,1285-1</cp:keywords>
  <dc:description>Gachetc, 25/04/2023, ITU51013811</dc:description>
  <cp:lastModifiedBy>Gomez, Yoanni</cp:lastModifiedBy>
  <cp:revision>7</cp:revision>
  <cp:lastPrinted>2023-03-17T12:37:00Z</cp:lastPrinted>
  <dcterms:created xsi:type="dcterms:W3CDTF">2023-04-25T07:50:00Z</dcterms:created>
  <dcterms:modified xsi:type="dcterms:W3CDTF">2023-06-09T07:50:00Z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25 April 2023</vt:lpwstr>
  </property>
  <property fmtid="{D5CDD505-2E9C-101B-9397-08002B2CF9AE}" pid="12" name="ContentTypeId">
    <vt:lpwstr>0x01010082379ADE57F02A4ABD3D2EDC722C3499</vt:lpwstr>
  </property>
</Properties>
</file>