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819A" w14:textId="1CBD05F8" w:rsidR="00AC1496" w:rsidRPr="00C54E76" w:rsidRDefault="00AC1496" w:rsidP="0085112A">
      <w:pPr>
        <w:pStyle w:val="RecNo"/>
        <w:rPr>
          <w:rtl/>
        </w:rPr>
      </w:pPr>
      <w:r w:rsidRPr="00C54E76">
        <w:rPr>
          <w:rtl/>
        </w:rPr>
        <w:t>التوصيـة</w:t>
      </w:r>
      <w:r w:rsidRPr="00C54E76">
        <w:rPr>
          <w:rFonts w:hint="cs"/>
          <w:rtl/>
        </w:rPr>
        <w:t xml:space="preserve"> </w:t>
      </w:r>
      <w:r w:rsidRPr="00C54E76">
        <w:rPr>
          <w:rtl/>
        </w:rPr>
        <w:t xml:space="preserve"> </w:t>
      </w:r>
      <w:r w:rsidRPr="00C54E76">
        <w:rPr>
          <w:rStyle w:val="href"/>
        </w:rPr>
        <w:t>ITU-R</w:t>
      </w:r>
      <w:r w:rsidR="008B203E" w:rsidRPr="00C54E76">
        <w:rPr>
          <w:rStyle w:val="href"/>
        </w:rPr>
        <w:t xml:space="preserve"> </w:t>
      </w:r>
      <w:r w:rsidRPr="00C54E76">
        <w:rPr>
          <w:rStyle w:val="href"/>
        </w:rPr>
        <w:t xml:space="preserve"> </w:t>
      </w:r>
      <w:r w:rsidR="006B5F4D">
        <w:rPr>
          <w:rStyle w:val="href"/>
        </w:rPr>
        <w:t>BS</w:t>
      </w:r>
      <w:r w:rsidR="0085112A" w:rsidRPr="00C54E76">
        <w:rPr>
          <w:rStyle w:val="href"/>
        </w:rPr>
        <w:t>.</w:t>
      </w:r>
      <w:r w:rsidR="006B5F4D">
        <w:rPr>
          <w:rStyle w:val="href"/>
        </w:rPr>
        <w:t>1726</w:t>
      </w:r>
      <w:r w:rsidR="006B5F4D">
        <w:rPr>
          <w:rStyle w:val="FootnoteReference"/>
          <w:rtl/>
        </w:rPr>
        <w:footnoteReference w:customMarkFollows="1" w:id="1"/>
        <w:t>*</w:t>
      </w:r>
    </w:p>
    <w:p w14:paraId="0BB7C58B" w14:textId="553A36EC" w:rsidR="00843DD0" w:rsidRPr="00C54E76" w:rsidRDefault="006B5F4D" w:rsidP="006B5F4D">
      <w:pPr>
        <w:pStyle w:val="Rectitle"/>
        <w:rPr>
          <w:rFonts w:eastAsia="SimSun"/>
          <w:lang w:val="fr-FR" w:eastAsia="zh-CN"/>
        </w:rPr>
      </w:pPr>
      <w:r w:rsidRPr="006B5F4D">
        <w:rPr>
          <w:rFonts w:eastAsia="SimSun" w:hint="cs"/>
          <w:rtl/>
          <w:lang w:eastAsia="zh-CN" w:bidi="ar-SA"/>
        </w:rPr>
        <w:t>سوية الإشارات السمعية الرقمية التي تصحب البرامج التلفزيونية</w:t>
      </w:r>
      <w:r w:rsidRPr="006B5F4D">
        <w:rPr>
          <w:rFonts w:eastAsia="SimSun" w:hint="cs"/>
          <w:rtl/>
          <w:lang w:eastAsia="zh-CN" w:bidi="ar-SA"/>
        </w:rPr>
        <w:br/>
        <w:t>فيما يتعلق بالتبادل الدولي للبرامج</w:t>
      </w:r>
    </w:p>
    <w:p w14:paraId="4B8F3558" w14:textId="4E9CDDF1" w:rsidR="00AC1496" w:rsidRPr="00C54E76" w:rsidRDefault="00CE6EB7" w:rsidP="006F245A">
      <w:pPr>
        <w:pStyle w:val="Date"/>
        <w:rPr>
          <w:rtl/>
          <w:lang w:bidi="ar-EG"/>
        </w:rPr>
      </w:pPr>
      <w:r w:rsidRPr="00C54E76">
        <w:rPr>
          <w:rFonts w:eastAsia="SimSun" w:hint="cs"/>
          <w:rtl/>
        </w:rPr>
        <w:t> </w:t>
      </w:r>
      <w:r w:rsidR="00AC1496" w:rsidRPr="00C54E76">
        <w:rPr>
          <w:rFonts w:eastAsia="SimSun"/>
        </w:rPr>
        <w:t>(</w:t>
      </w:r>
      <w:r w:rsidR="006B5F4D">
        <w:rPr>
          <w:rFonts w:eastAsia="SimSun"/>
        </w:rPr>
        <w:t>2005</w:t>
      </w:r>
      <w:r w:rsidR="00AC1496" w:rsidRPr="00C54E76">
        <w:rPr>
          <w:rFonts w:eastAsia="SimSun"/>
        </w:rPr>
        <w:t>)</w:t>
      </w:r>
    </w:p>
    <w:p w14:paraId="4FFE4B55" w14:textId="77777777" w:rsidR="00843DD0" w:rsidRPr="00C54E76" w:rsidRDefault="00843DD0" w:rsidP="00843DD0">
      <w:pPr>
        <w:pStyle w:val="Headingsum"/>
        <w:rPr>
          <w:rtl/>
        </w:rPr>
      </w:pPr>
      <w:bookmarkStart w:id="0" w:name="_Toc476039172"/>
      <w:r w:rsidRPr="00C54E76">
        <w:rPr>
          <w:rFonts w:hint="cs"/>
          <w:rtl/>
        </w:rPr>
        <w:t>مجال التطبيق</w:t>
      </w:r>
      <w:bookmarkEnd w:id="0"/>
    </w:p>
    <w:p w14:paraId="26E7905E" w14:textId="3EDA8D5E" w:rsidR="006B5F4D" w:rsidRDefault="006B5F4D" w:rsidP="006B5F4D">
      <w:pPr>
        <w:rPr>
          <w:lang w:bidi="ar-EG"/>
        </w:rPr>
      </w:pPr>
      <w:r>
        <w:rPr>
          <w:rFonts w:hint="cs"/>
          <w:rtl/>
          <w:lang w:bidi="ar-EG"/>
        </w:rPr>
        <w:t xml:space="preserve">تحتوي هذه التوصية على مبادئ توجيهية </w:t>
      </w:r>
      <w:r w:rsidR="002D7FD4">
        <w:rPr>
          <w:rFonts w:hint="cs"/>
          <w:rtl/>
          <w:lang w:bidi="ar-EG"/>
        </w:rPr>
        <w:t xml:space="preserve">بشأن </w:t>
      </w:r>
      <w:r>
        <w:rPr>
          <w:rFonts w:hint="cs"/>
          <w:rtl/>
          <w:lang w:bidi="ar-EG"/>
        </w:rPr>
        <w:t>سوية الإشارات السمعية الرقمية التي تصحب البرامج التلفزيونية فيما يتعلق بالتبادل الدولي للبرامج. وهي تحدد ضرورة استخدام واحدة من السويات المرجعية المبينة (</w:t>
      </w:r>
      <w:r>
        <w:t>dBFS 18–</w:t>
      </w:r>
      <w:r>
        <w:rPr>
          <w:rFonts w:hint="cs"/>
          <w:rtl/>
          <w:lang w:bidi="ar-EG"/>
        </w:rPr>
        <w:t xml:space="preserve"> أو </w:t>
      </w:r>
      <w:r>
        <w:t>dBFS</w:t>
      </w:r>
      <w:r w:rsidR="00656475">
        <w:t> </w:t>
      </w:r>
      <w:r>
        <w:t>20</w:t>
      </w:r>
      <w:r w:rsidR="00656475">
        <w:t>–</w:t>
      </w:r>
      <w:r>
        <w:rPr>
          <w:rFonts w:hint="cs"/>
          <w:rtl/>
          <w:lang w:bidi="ar-EG"/>
        </w:rPr>
        <w:t>) والإشارة إليها، وألا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تتعدى السويات السمعية الذروية، عندما تقاس بمقياس برنامج شبه الذروة </w:t>
      </w:r>
      <w:r>
        <w:rPr>
          <w:lang w:bidi="ar-EG"/>
        </w:rPr>
        <w:t>(</w:t>
      </w:r>
      <w:r>
        <w:t>PPM)</w:t>
      </w:r>
      <w:r>
        <w:rPr>
          <w:rFonts w:hint="cs"/>
          <w:rtl/>
          <w:lang w:bidi="ar-EG"/>
        </w:rPr>
        <w:t xml:space="preserve">، سوية </w:t>
      </w:r>
      <w:r>
        <w:t>9–</w:t>
      </w:r>
      <w:r>
        <w:rPr>
          <w:rFonts w:hint="cs"/>
          <w:rtl/>
          <w:lang w:bidi="ar-EG"/>
        </w:rPr>
        <w:t xml:space="preserve"> </w:t>
      </w:r>
      <w:r>
        <w:t>dBFS</w:t>
      </w:r>
      <w:r>
        <w:rPr>
          <w:rFonts w:hint="cs"/>
          <w:rtl/>
          <w:lang w:bidi="ar-EG"/>
        </w:rPr>
        <w:t>.</w:t>
      </w:r>
    </w:p>
    <w:p w14:paraId="19D2B6E1" w14:textId="1CC34740" w:rsidR="006B5F4D" w:rsidRDefault="006B5F4D" w:rsidP="006B5F4D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كلمات أساسية</w:t>
      </w:r>
    </w:p>
    <w:p w14:paraId="0A912697" w14:textId="0ECED158" w:rsidR="006B5F4D" w:rsidRDefault="006D315A" w:rsidP="006B5F4D">
      <w:pPr>
        <w:rPr>
          <w:rtl/>
          <w:lang w:eastAsia="en-US" w:bidi="ar-SY"/>
        </w:rPr>
      </w:pPr>
      <w:r>
        <w:rPr>
          <w:rFonts w:hint="cs"/>
          <w:rtl/>
          <w:lang w:bidi="ar-SY"/>
        </w:rPr>
        <w:t>سوية مرجعية، إشارة سمعية رقمية</w:t>
      </w:r>
    </w:p>
    <w:p w14:paraId="1C9A3B32" w14:textId="357EEBFD" w:rsidR="006B5F4D" w:rsidRDefault="006B5F4D" w:rsidP="00190E2F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إن جمعية الاتصالات الراديوية للاتحاد الدولي للاتصالات </w:t>
      </w:r>
      <w:r>
        <w:rPr>
          <w:lang w:bidi="ar-EG"/>
        </w:rPr>
        <w:t>(</w:t>
      </w:r>
      <w:r>
        <w:t>ITU)</w:t>
      </w:r>
      <w:r>
        <w:rPr>
          <w:rFonts w:hint="cs"/>
          <w:rtl/>
          <w:lang w:bidi="ar-EG"/>
        </w:rPr>
        <w:t>،</w:t>
      </w:r>
    </w:p>
    <w:p w14:paraId="63DDA6DB" w14:textId="77777777" w:rsidR="006B5F4D" w:rsidRDefault="006B5F4D" w:rsidP="006B5F4D">
      <w:pPr>
        <w:pStyle w:val="Call"/>
        <w:rPr>
          <w:rtl/>
        </w:rPr>
      </w:pPr>
      <w:r>
        <w:rPr>
          <w:rFonts w:hint="cs"/>
          <w:rtl/>
        </w:rPr>
        <w:t>إذ تضع في اعتبارها</w:t>
      </w:r>
    </w:p>
    <w:p w14:paraId="49571A84" w14:textId="1C598096" w:rsidR="006B5F4D" w:rsidRDefault="006B5F4D" w:rsidP="006B5F4D">
      <w:pPr>
        <w:rPr>
          <w:rtl/>
          <w:lang w:bidi="ar-EG"/>
        </w:rPr>
      </w:pPr>
      <w:r w:rsidRPr="006B5F4D">
        <w:rPr>
          <w:rFonts w:hint="eastAsia"/>
          <w:i/>
          <w:iCs/>
          <w:rtl/>
          <w:lang w:bidi="ar-EG"/>
        </w:rPr>
        <w:t> </w:t>
      </w:r>
      <w:r w:rsidRPr="006B5F4D">
        <w:rPr>
          <w:rFonts w:hint="cs"/>
          <w:i/>
          <w:iCs/>
          <w:rtl/>
          <w:lang w:bidi="ar-EG"/>
        </w:rPr>
        <w:t>أ )</w:t>
      </w:r>
      <w:r w:rsidRPr="006B5F4D"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 xml:space="preserve">أن التوصية </w:t>
      </w:r>
      <w:r>
        <w:t>ITU</w:t>
      </w:r>
      <w:r>
        <w:noBreakHyphen/>
        <w:t>R BS.645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- الإشارات الاختبارية وأدوات القياس</w:t>
      </w:r>
      <w:r w:rsidR="005273AC">
        <w:rPr>
          <w:rFonts w:hint="cs"/>
          <w:rtl/>
        </w:rPr>
        <w:t>،</w:t>
      </w:r>
      <w:r>
        <w:rPr>
          <w:rFonts w:hint="cs"/>
          <w:rtl/>
        </w:rPr>
        <w:t xml:space="preserve"> التي يتعين استعمالها في وصلات البرامج الصوتية الدولية، تحدد خصائص القياس وسويات الإشارة فيما يتعلق بالبرامج السمعية التماثلية؛</w:t>
      </w:r>
    </w:p>
    <w:p w14:paraId="17EB7FA3" w14:textId="2C5F69B9" w:rsidR="006B5F4D" w:rsidRDefault="006B5F4D" w:rsidP="006B5F4D">
      <w:r w:rsidRPr="006B5F4D">
        <w:rPr>
          <w:rFonts w:hint="cs"/>
          <w:i/>
          <w:iCs/>
          <w:rtl/>
        </w:rPr>
        <w:t>ب)</w:t>
      </w:r>
      <w:r>
        <w:rPr>
          <w:rtl/>
        </w:rPr>
        <w:tab/>
      </w:r>
      <w:r>
        <w:rPr>
          <w:rFonts w:hint="cs"/>
          <w:rtl/>
          <w:lang w:bidi="ar-EG"/>
        </w:rPr>
        <w:t>أن التبادل الدولي للبرامج يستند حاليا</w:t>
      </w:r>
      <w:r w:rsidR="00D07A74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بصفة عامة إلى استعمال تقنيات رقمية؛</w:t>
      </w:r>
    </w:p>
    <w:p w14:paraId="408C4437" w14:textId="34BA836C" w:rsidR="006B5F4D" w:rsidRDefault="006B5F4D" w:rsidP="006B5F4D">
      <w:r w:rsidRPr="006B5F4D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أن التقنيات الرقمية الحديثة تدعم فئة دينامية واسعة جدا</w:t>
      </w:r>
      <w:r w:rsidR="00D07A74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من سويات الإشارات السمعية؛</w:t>
      </w:r>
    </w:p>
    <w:p w14:paraId="6021CE11" w14:textId="5CA32C88" w:rsidR="006B5F4D" w:rsidRDefault="006B5F4D" w:rsidP="006B5F4D">
      <w:r w:rsidRPr="006B5F4D">
        <w:rPr>
          <w:rFonts w:hint="cs"/>
          <w:i/>
          <w:iCs/>
          <w:rtl/>
        </w:rPr>
        <w:t>د )</w:t>
      </w:r>
      <w:r w:rsidRPr="006B5F4D">
        <w:rPr>
          <w:i/>
          <w:iCs/>
          <w:rtl/>
        </w:rPr>
        <w:tab/>
      </w:r>
      <w:r>
        <w:rPr>
          <w:rFonts w:hint="cs"/>
          <w:rtl/>
        </w:rPr>
        <w:t xml:space="preserve">أن الوسائط الإلكترونية </w:t>
      </w:r>
      <w:r w:rsidR="005273AC">
        <w:rPr>
          <w:rFonts w:hint="cs"/>
          <w:rtl/>
        </w:rPr>
        <w:t xml:space="preserve">تشهد </w:t>
      </w:r>
      <w:r>
        <w:rPr>
          <w:rFonts w:hint="cs"/>
          <w:rtl/>
        </w:rPr>
        <w:t>زيادة في الحمولة فجأة، وبالتالي ينبغي تفادي حدوث زيادة في الحمولة حتى وإن كانت بصفة مؤقتة؛</w:t>
      </w:r>
    </w:p>
    <w:p w14:paraId="0BEB4516" w14:textId="697E0740" w:rsidR="006B5F4D" w:rsidRDefault="006B5F4D" w:rsidP="006B5F4D">
      <w:r w:rsidRPr="006B5F4D">
        <w:rPr>
          <w:rFonts w:hint="cs"/>
          <w:i/>
          <w:iCs/>
          <w:rtl/>
        </w:rPr>
        <w:t>هـ</w:t>
      </w:r>
      <w:r w:rsidRPr="006B5F4D">
        <w:rPr>
          <w:rFonts w:hint="eastAsia"/>
          <w:i/>
          <w:iCs/>
          <w:rtl/>
        </w:rPr>
        <w:t> </w:t>
      </w:r>
      <w:r w:rsidRPr="006B5F4D">
        <w:rPr>
          <w:rFonts w:hint="cs"/>
          <w:i/>
          <w:iCs/>
          <w:rtl/>
        </w:rPr>
        <w:t>)</w:t>
      </w:r>
      <w:r w:rsidRPr="006B5F4D">
        <w:rPr>
          <w:i/>
          <w:iCs/>
          <w:rtl/>
        </w:rPr>
        <w:tab/>
      </w:r>
      <w:r>
        <w:rPr>
          <w:rFonts w:hint="cs"/>
          <w:rtl/>
        </w:rPr>
        <w:t>أنه من المستحسن جدا</w:t>
      </w:r>
      <w:r w:rsidR="00D07A74">
        <w:rPr>
          <w:rFonts w:hint="cs"/>
          <w:rtl/>
        </w:rPr>
        <w:t>ً</w:t>
      </w:r>
      <w:r>
        <w:rPr>
          <w:rFonts w:hint="cs"/>
          <w:rtl/>
        </w:rPr>
        <w:t xml:space="preserve"> وجود سوية سمعية موحدة فيما يتعلق بالتبادل الدولي للبرامج التلفزيونية، ولا يمكن تحقيق ذلك إلا من خلال استعمال ممارسات تشغيل موحدة؛</w:t>
      </w:r>
    </w:p>
    <w:p w14:paraId="5BC6077A" w14:textId="3AB3FEF1" w:rsidR="006B5F4D" w:rsidRDefault="006B5F4D" w:rsidP="006B5F4D">
      <w:proofErr w:type="gramStart"/>
      <w:r w:rsidRPr="006B5F4D">
        <w:rPr>
          <w:rFonts w:hint="cs"/>
          <w:i/>
          <w:iCs/>
          <w:rtl/>
        </w:rPr>
        <w:t>و )</w:t>
      </w:r>
      <w:proofErr w:type="gramEnd"/>
      <w:r w:rsidRPr="006B5F4D">
        <w:rPr>
          <w:i/>
          <w:iCs/>
          <w:rtl/>
        </w:rPr>
        <w:tab/>
      </w:r>
      <w:r>
        <w:rPr>
          <w:rFonts w:hint="cs"/>
          <w:rtl/>
        </w:rPr>
        <w:t xml:space="preserve">أن التوصية </w:t>
      </w:r>
      <w:r w:rsidR="005273AC">
        <w:rPr>
          <w:rFonts w:hint="cs"/>
          <w:rtl/>
        </w:rPr>
        <w:t xml:space="preserve">التقنية </w:t>
      </w:r>
      <w:r>
        <w:t>R68-2000</w:t>
      </w:r>
      <w:r>
        <w:rPr>
          <w:rFonts w:hint="cs"/>
          <w:rtl/>
          <w:lang w:bidi="ar-EG"/>
        </w:rPr>
        <w:t xml:space="preserve"> لاتحاد </w:t>
      </w:r>
      <w:r w:rsidR="005273AC">
        <w:rPr>
          <w:rFonts w:hint="cs"/>
          <w:rtl/>
          <w:lang w:bidi="ar-EG"/>
        </w:rPr>
        <w:t xml:space="preserve">الإذاعات </w:t>
      </w:r>
      <w:r>
        <w:rPr>
          <w:rFonts w:hint="cs"/>
          <w:rtl/>
          <w:lang w:bidi="ar-EG"/>
        </w:rPr>
        <w:t>الأوروبي</w:t>
      </w:r>
      <w:r w:rsidR="005273AC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r>
        <w:t>EBU)</w:t>
      </w:r>
      <w:r>
        <w:rPr>
          <w:rFonts w:hint="cs"/>
          <w:rtl/>
          <w:lang w:bidi="ar-EG"/>
        </w:rPr>
        <w:t xml:space="preserve"> وممارسات التشغيل الواردة في معيار رابطة مهندسي الصور المتحركة والتلفزيون </w:t>
      </w:r>
      <w:r>
        <w:rPr>
          <w:rtl/>
        </w:rPr>
        <w:t xml:space="preserve"> </w:t>
      </w:r>
      <w:r>
        <w:t>RP 155-2014 SMPTE</w:t>
      </w:r>
      <w:r>
        <w:rPr>
          <w:rFonts w:hint="cs"/>
          <w:rtl/>
          <w:lang w:bidi="ar-EG"/>
        </w:rPr>
        <w:t xml:space="preserve"> تستند إلى سويتين مرجعيتين سمعيتين مختلفتين، هما </w:t>
      </w:r>
      <w:r>
        <w:t>dBFS</w:t>
      </w:r>
      <w:r w:rsidR="00656475">
        <w:rPr>
          <w:lang w:bidi="ar-EG"/>
        </w:rPr>
        <w:t> </w:t>
      </w:r>
      <w:r>
        <w:t>18</w:t>
      </w:r>
      <w:r w:rsidR="00656475">
        <w:t>–</w:t>
      </w:r>
      <w:r w:rsidRPr="006B5F4D">
        <w:rPr>
          <w:rFonts w:hint="cs"/>
          <w:sz w:val="2"/>
          <w:szCs w:val="2"/>
          <w:rtl/>
        </w:rPr>
        <w:t> </w:t>
      </w:r>
      <w:r>
        <w:rPr>
          <w:rStyle w:val="FootnoteReference"/>
        </w:rPr>
        <w:footnoteReference w:id="2"/>
      </w:r>
      <w:r>
        <w:rPr>
          <w:rFonts w:hint="cs"/>
          <w:rtl/>
        </w:rPr>
        <w:t xml:space="preserve"> و</w:t>
      </w:r>
      <w:r>
        <w:t>dBFS</w:t>
      </w:r>
      <w:r w:rsidR="00656475">
        <w:t> </w:t>
      </w:r>
      <w:r>
        <w:t>20</w:t>
      </w:r>
      <w:r w:rsidR="00656475">
        <w:t>–</w:t>
      </w:r>
      <w:r w:rsidR="00656475">
        <w:rPr>
          <w:rFonts w:hint="cs"/>
          <w:rtl/>
        </w:rPr>
        <w:t xml:space="preserve"> على التوالي</w:t>
      </w:r>
      <w:r>
        <w:rPr>
          <w:rFonts w:hint="cs"/>
          <w:rtl/>
        </w:rPr>
        <w:t>؛</w:t>
      </w:r>
    </w:p>
    <w:p w14:paraId="5719ACC9" w14:textId="4628776B" w:rsidR="006B5F4D" w:rsidRDefault="006B5F4D" w:rsidP="006B5F4D">
      <w:pPr>
        <w:rPr>
          <w:lang w:bidi="ar-EG"/>
        </w:rPr>
      </w:pPr>
      <w:r w:rsidRPr="006B5F4D">
        <w:rPr>
          <w:rFonts w:hint="cs"/>
          <w:i/>
          <w:iCs/>
          <w:rtl/>
        </w:rPr>
        <w:t>ز )</w:t>
      </w:r>
      <w:r w:rsidRPr="006B5F4D">
        <w:rPr>
          <w:i/>
          <w:iCs/>
          <w:rtl/>
        </w:rPr>
        <w:tab/>
      </w:r>
      <w:r>
        <w:rPr>
          <w:rFonts w:hint="cs"/>
          <w:rtl/>
        </w:rPr>
        <w:t xml:space="preserve">أن السويتين المرجعيتين على السواء تحظيان بقبول كبير </w:t>
      </w:r>
      <w:r w:rsidR="005273AC">
        <w:rPr>
          <w:rFonts w:hint="cs"/>
          <w:rtl/>
        </w:rPr>
        <w:t xml:space="preserve">وتُستخدمان </w:t>
      </w:r>
      <w:r>
        <w:rPr>
          <w:rFonts w:hint="cs"/>
          <w:rtl/>
        </w:rPr>
        <w:t>في مختلف أنحاء العالم</w:t>
      </w:r>
      <w:r w:rsidR="00CA1A37">
        <w:rPr>
          <w:rFonts w:hint="cs"/>
          <w:rtl/>
          <w:lang w:bidi="ar-EG"/>
        </w:rPr>
        <w:t>،</w:t>
      </w:r>
    </w:p>
    <w:p w14:paraId="0F067037" w14:textId="77777777" w:rsidR="006B5F4D" w:rsidRDefault="006B5F4D" w:rsidP="006B5F4D">
      <w:pPr>
        <w:pStyle w:val="Call"/>
      </w:pPr>
      <w:r>
        <w:rPr>
          <w:rFonts w:hint="cs"/>
          <w:rtl/>
        </w:rPr>
        <w:t>توصي</w:t>
      </w:r>
    </w:p>
    <w:p w14:paraId="050BB59E" w14:textId="78B2B328" w:rsidR="006B5F4D" w:rsidRDefault="006B5F4D" w:rsidP="006B5F4D">
      <w:pPr>
        <w:rPr>
          <w:rtl/>
          <w:lang w:bidi="ar-EG"/>
        </w:rPr>
      </w:pPr>
      <w:r w:rsidRPr="006B5F4D">
        <w:rPr>
          <w:b/>
          <w:bCs/>
          <w:lang w:bidi="ar-EG"/>
        </w:rPr>
        <w:t>1</w:t>
      </w:r>
      <w:r>
        <w:rPr>
          <w:rFonts w:hint="cs"/>
          <w:rtl/>
          <w:lang w:bidi="ar-EG"/>
        </w:rPr>
        <w:tab/>
        <w:t xml:space="preserve">بألا </w:t>
      </w:r>
      <w:proofErr w:type="gramStart"/>
      <w:r>
        <w:rPr>
          <w:rFonts w:hint="cs"/>
          <w:rtl/>
          <w:lang w:bidi="ar-EG"/>
        </w:rPr>
        <w:t xml:space="preserve">تستعمل </w:t>
      </w:r>
      <w:r w:rsidR="00D52BE1">
        <w:rPr>
          <w:rFonts w:hint="cs"/>
          <w:rtl/>
          <w:lang w:bidi="ar-EG"/>
        </w:rPr>
        <w:t xml:space="preserve"> هيئات</w:t>
      </w:r>
      <w:proofErr w:type="gramEnd"/>
      <w:r w:rsidR="00D52BE1">
        <w:rPr>
          <w:rFonts w:hint="cs"/>
          <w:rtl/>
          <w:lang w:bidi="ar-EG"/>
        </w:rPr>
        <w:t xml:space="preserve"> الإذاعة</w:t>
      </w:r>
      <w:r>
        <w:rPr>
          <w:rFonts w:hint="cs"/>
          <w:rtl/>
          <w:lang w:bidi="ar-EG"/>
        </w:rPr>
        <w:t xml:space="preserve"> وكذلك </w:t>
      </w:r>
      <w:r w:rsidR="00D52BE1">
        <w:rPr>
          <w:rFonts w:hint="cs"/>
          <w:rtl/>
          <w:lang w:bidi="ar-EG"/>
        </w:rPr>
        <w:t>المشغلون سوى</w:t>
      </w:r>
      <w:r>
        <w:rPr>
          <w:rFonts w:hint="cs"/>
          <w:rtl/>
          <w:lang w:bidi="ar-EG"/>
        </w:rPr>
        <w:t xml:space="preserve"> السويتين </w:t>
      </w:r>
      <w:r>
        <w:t>dBFS</w:t>
      </w:r>
      <w:r w:rsidR="00656475">
        <w:t> </w:t>
      </w:r>
      <w:r>
        <w:t>18</w:t>
      </w:r>
      <w:r w:rsidR="00656475">
        <w:t>–</w:t>
      </w:r>
      <w:r>
        <w:rPr>
          <w:rFonts w:hint="cs"/>
          <w:rtl/>
          <w:lang w:bidi="ar-EG"/>
        </w:rPr>
        <w:t xml:space="preserve"> و</w:t>
      </w:r>
      <w:r>
        <w:t>dBFS</w:t>
      </w:r>
      <w:r w:rsidR="00656475">
        <w:t> </w:t>
      </w:r>
      <w:r>
        <w:t>20</w:t>
      </w:r>
      <w:r w:rsidR="00656475">
        <w:t>–</w:t>
      </w:r>
      <w:r>
        <w:rPr>
          <w:rFonts w:hint="cs"/>
          <w:rtl/>
          <w:lang w:bidi="ar-EG"/>
        </w:rPr>
        <w:t xml:space="preserve"> كسوية مرجعية (تعرف أيضاً باسم سوية التراصف</w:t>
      </w:r>
      <w:r>
        <w:rPr>
          <w:rFonts w:hint="cs"/>
          <w:rtl/>
        </w:rPr>
        <w:t> </w:t>
      </w:r>
      <w:r>
        <w:t>(AL)</w:t>
      </w:r>
      <w:r>
        <w:rPr>
          <w:rFonts w:hint="cs"/>
          <w:rtl/>
          <w:lang w:bidi="ar-EG"/>
        </w:rPr>
        <w:t>) فيما يتعلق بالإشارات السمعية الرقمية التي تصحب برامج التلفزيون في التبادل الدولي للبرامج، وأن يعملا على بيان السوية المرجعية التي اختارها كل واحد منهما؛</w:t>
      </w:r>
    </w:p>
    <w:p w14:paraId="2D431463" w14:textId="4273042A" w:rsidR="006B5F4D" w:rsidRDefault="006B5F4D" w:rsidP="006B5F4D">
      <w:pPr>
        <w:rPr>
          <w:rtl/>
        </w:rPr>
      </w:pPr>
      <w:r w:rsidRPr="006B5F4D">
        <w:rPr>
          <w:b/>
          <w:bCs/>
        </w:rPr>
        <w:lastRenderedPageBreak/>
        <w:t>2</w:t>
      </w:r>
      <w:r>
        <w:rPr>
          <w:rtl/>
        </w:rPr>
        <w:tab/>
      </w:r>
      <w:r>
        <w:rPr>
          <w:rFonts w:hint="cs"/>
          <w:rtl/>
          <w:lang w:bidi="ar-EG"/>
        </w:rPr>
        <w:t xml:space="preserve">بعدم السماح لذروات إشارات البرامج السمعية الرقمية، مهما كانت السوية المرجعية المختارة والمستعملة، </w:t>
      </w:r>
      <w:r w:rsidR="002D7FD4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تجاوز السوية</w:t>
      </w:r>
      <w:r>
        <w:rPr>
          <w:rFonts w:hint="eastAsia"/>
          <w:rtl/>
          <w:lang w:bidi="ar-EG"/>
        </w:rPr>
        <w:t> </w:t>
      </w:r>
      <w:r>
        <w:t>dB 9</w:t>
      </w:r>
      <w:r>
        <w:rPr>
          <w:rFonts w:hint="cs"/>
          <w:rtl/>
          <w:lang w:bidi="ar-EG"/>
        </w:rPr>
        <w:t xml:space="preserve"> تحت السوية القصوى للإشارة الرقمية</w:t>
      </w:r>
      <w:r w:rsidR="00D07A74">
        <w:rPr>
          <w:rFonts w:hint="cs"/>
          <w:rtl/>
          <w:lang w:bidi="ar-EG"/>
        </w:rPr>
        <w:t xml:space="preserve"> </w:t>
      </w:r>
      <w:r w:rsidR="00D07A74">
        <w:rPr>
          <w:lang w:bidi="ar-EG"/>
        </w:rPr>
        <w:t>(</w:t>
      </w:r>
      <w:r w:rsidR="00D07A74">
        <w:rPr>
          <w:rStyle w:val="FootnoteReference"/>
        </w:rPr>
        <w:footnoteReference w:id="3"/>
      </w:r>
      <w:r w:rsidR="00D07A74">
        <w:rPr>
          <w:lang w:bidi="ar-EG"/>
        </w:rPr>
        <w:t>dBFS 0)</w:t>
      </w:r>
      <w:r>
        <w:rPr>
          <w:rFonts w:hint="cs"/>
          <w:rtl/>
        </w:rPr>
        <w:t xml:space="preserve"> عندما يُتحكم فيها بواسطة مقياس برنامج شبه الذروة</w:t>
      </w:r>
      <w:r>
        <w:rPr>
          <w:rStyle w:val="FootnoteReference"/>
        </w:rPr>
        <w:footnoteReference w:id="4"/>
      </w:r>
      <w:r>
        <w:rPr>
          <w:rFonts w:hint="cs"/>
          <w:rtl/>
          <w:lang w:bidi="ar-EG"/>
        </w:rPr>
        <w:t xml:space="preserve">، على نحو ما يرد تحديده في معيار </w:t>
      </w:r>
      <w:r>
        <w:rPr>
          <w:rFonts w:hint="cs"/>
          <w:color w:val="000000"/>
          <w:rtl/>
        </w:rPr>
        <w:t xml:space="preserve">اللجنة الكهرتقنية الدولية </w:t>
      </w:r>
      <w:r>
        <w:rPr>
          <w:color w:val="000000"/>
        </w:rPr>
        <w:t>(IEC)</w:t>
      </w:r>
      <w:r>
        <w:rPr>
          <w:color w:val="000000"/>
          <w:rtl/>
        </w:rPr>
        <w:t xml:space="preserve"> </w:t>
      </w:r>
      <w:r>
        <w:t>60268</w:t>
      </w:r>
      <w:r>
        <w:noBreakHyphen/>
        <w:t>10</w:t>
      </w:r>
      <w:r>
        <w:rPr>
          <w:rFonts w:hint="cs"/>
          <w:color w:val="000000"/>
          <w:rtl/>
          <w:lang w:bidi="ar-EG"/>
        </w:rPr>
        <w:t>.</w:t>
      </w:r>
      <w:r>
        <w:rPr>
          <w:rFonts w:hint="cs"/>
          <w:b/>
          <w:bCs/>
          <w:color w:val="000000"/>
          <w:rtl/>
          <w:lang w:bidi="ar-EG"/>
        </w:rPr>
        <w:t xml:space="preserve"> </w:t>
      </w:r>
      <w:r>
        <w:rPr>
          <w:rFonts w:hint="cs"/>
          <w:color w:val="000000"/>
          <w:rtl/>
          <w:lang w:bidi="ar-EG"/>
        </w:rPr>
        <w:t>وتُطلق على هذه السوية اسم السوية القصوى المسموح بها</w:t>
      </w:r>
      <w:r>
        <w:rPr>
          <w:rFonts w:hint="eastAsia"/>
          <w:color w:val="000000"/>
          <w:rtl/>
          <w:lang w:bidi="ar-EG"/>
        </w:rPr>
        <w:t> </w:t>
      </w:r>
      <w:r>
        <w:rPr>
          <w:color w:val="000000"/>
          <w:lang w:bidi="ar-EG"/>
        </w:rPr>
        <w:t>(</w:t>
      </w:r>
      <w:r>
        <w:rPr>
          <w:color w:val="000000"/>
        </w:rPr>
        <w:t>PML)</w:t>
      </w:r>
      <w:r>
        <w:rPr>
          <w:rFonts w:hint="cs"/>
          <w:color w:val="000000"/>
          <w:rtl/>
          <w:lang w:bidi="ar-EG"/>
        </w:rPr>
        <w:t xml:space="preserve">. (راجع التمثيل البياني للعلاقات الموصى بها بين هذه السويات السمعية في الملحق التذييل </w:t>
      </w:r>
      <w:r>
        <w:rPr>
          <w:color w:val="000000"/>
        </w:rPr>
        <w:t>1</w:t>
      </w:r>
      <w:r>
        <w:rPr>
          <w:rFonts w:hint="cs"/>
          <w:color w:val="000000"/>
          <w:rtl/>
          <w:lang w:bidi="ar-EG"/>
        </w:rPr>
        <w:t>)؛</w:t>
      </w:r>
    </w:p>
    <w:p w14:paraId="0171F754" w14:textId="1098747F" w:rsidR="006B5F4D" w:rsidRDefault="006B5F4D" w:rsidP="006B5F4D">
      <w:r w:rsidRPr="006B5F4D">
        <w:rPr>
          <w:b/>
          <w:bCs/>
          <w:lang w:bidi="ar-EG"/>
        </w:rPr>
        <w:t>3</w:t>
      </w:r>
      <w:r>
        <w:rPr>
          <w:rFonts w:hint="cs"/>
          <w:rtl/>
          <w:lang w:bidi="ar-EG"/>
        </w:rPr>
        <w:tab/>
      </w:r>
      <w:r w:rsidR="002D7FD4">
        <w:rPr>
          <w:rFonts w:hint="cs"/>
          <w:rtl/>
        </w:rPr>
        <w:t xml:space="preserve">بالنظر </w:t>
      </w:r>
      <w:r>
        <w:rPr>
          <w:rFonts w:hint="cs"/>
          <w:rtl/>
        </w:rPr>
        <w:t>في مراجعة هذه الوثيقة في حالة وجود طرق قياس عملية تسمح بقياس وبيان السويات الذروية الحقيقة والقوة الصوتية المدركة بطريقة موضوعية.</w:t>
      </w:r>
    </w:p>
    <w:p w14:paraId="0C2A116F" w14:textId="475FE15A" w:rsidR="006B5F4D" w:rsidRDefault="006B5F4D" w:rsidP="006B5F4D">
      <w:pPr>
        <w:pStyle w:val="Note"/>
        <w:rPr>
          <w:lang w:bidi="ar-EG"/>
        </w:rPr>
      </w:pPr>
      <w:r w:rsidRPr="006B5F4D">
        <w:rPr>
          <w:rFonts w:hint="cs"/>
          <w:b/>
          <w:bCs/>
          <w:rtl/>
          <w:lang w:bidi="ar-EG"/>
        </w:rPr>
        <w:t>ال</w:t>
      </w:r>
      <w:r w:rsidRPr="006B5F4D">
        <w:rPr>
          <w:rFonts w:hint="cs"/>
          <w:b/>
          <w:bCs/>
          <w:rtl/>
        </w:rPr>
        <w:t xml:space="preserve">ملاحظة </w:t>
      </w:r>
      <w:r w:rsidRPr="006B5F4D">
        <w:rPr>
          <w:b/>
          <w:bCs/>
        </w:rPr>
        <w:t>1</w:t>
      </w:r>
      <w:r>
        <w:rPr>
          <w:rFonts w:hint="cs"/>
          <w:rtl/>
          <w:lang w:bidi="ar-EG"/>
        </w:rPr>
        <w:t xml:space="preserve"> – نظرا</w:t>
      </w:r>
      <w:r w:rsidR="00D07A74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لخصائص مقياس برنامج شبه الذروة الذي تستعمله الجهات المعنية بالإرسال، يمكن للذروات الحقيقية لإشارات البرامج أن تكون أعلى بصفة عامة من تلك المشار إليها بما قدره </w:t>
      </w:r>
      <w:r>
        <w:t>dB</w:t>
      </w:r>
      <w:r w:rsidR="00D07A74">
        <w:t> 3</w:t>
      </w:r>
      <w:r>
        <w:rPr>
          <w:rFonts w:hint="cs"/>
          <w:rtl/>
          <w:lang w:bidi="ar-EG"/>
        </w:rPr>
        <w:t>، ويمكن لها أيضا</w:t>
      </w:r>
      <w:r w:rsidR="00D07A74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أن تكون أعلى بكثير فيما يتعلق ببعض الانتقاليات غير العادية التي تستغرق مدة قصيرة من الوقت، لتبلغ </w:t>
      </w:r>
      <w:r>
        <w:t>dB</w:t>
      </w:r>
      <w:r w:rsidR="00D07A74">
        <w:t> 5</w:t>
      </w:r>
      <w:r>
        <w:rPr>
          <w:rFonts w:hint="cs"/>
          <w:rtl/>
          <w:lang w:bidi="ar-EG"/>
        </w:rPr>
        <w:t xml:space="preserve"> أو أكثر في بعض الحالات الاستثنائية.</w:t>
      </w:r>
    </w:p>
    <w:p w14:paraId="44EB807A" w14:textId="4A16BECA" w:rsidR="006B5F4D" w:rsidRDefault="006B5F4D" w:rsidP="006B5F4D">
      <w:pPr>
        <w:pStyle w:val="Note"/>
        <w:rPr>
          <w:rtl/>
          <w:lang w:val="en-GB" w:bidi="ar-EG"/>
        </w:rPr>
      </w:pPr>
      <w:r w:rsidRPr="006B5F4D">
        <w:rPr>
          <w:rFonts w:hint="cs"/>
          <w:b/>
          <w:bCs/>
          <w:rtl/>
          <w:lang w:bidi="ar-EG"/>
        </w:rPr>
        <w:t xml:space="preserve">الملاحظة </w:t>
      </w:r>
      <w:r w:rsidRPr="006B5F4D">
        <w:rPr>
          <w:b/>
          <w:bCs/>
          <w:lang w:bidi="ar-EG"/>
        </w:rPr>
        <w:t>2</w:t>
      </w:r>
      <w:r>
        <w:rPr>
          <w:rFonts w:hint="cs"/>
          <w:rtl/>
          <w:lang w:bidi="ar-EG"/>
        </w:rPr>
        <w:t xml:space="preserve"> – توجد نسخة الكترونية من طبعة </w:t>
      </w:r>
      <w:r>
        <w:rPr>
          <w:rFonts w:hint="cs"/>
          <w:color w:val="000000"/>
          <w:rtl/>
        </w:rPr>
        <w:t>اللجنة الكهرتقنية الدولية</w:t>
      </w:r>
      <w:r>
        <w:rPr>
          <w:rFonts w:hint="cs"/>
          <w:rtl/>
          <w:lang w:bidi="ar-EG"/>
        </w:rPr>
        <w:t xml:space="preserve"> </w:t>
      </w:r>
      <w:r>
        <w:t>IEC 60268</w:t>
      </w:r>
      <w:r>
        <w:noBreakHyphen/>
        <w:t>10</w:t>
      </w:r>
      <w:r>
        <w:rPr>
          <w:rFonts w:hint="cs"/>
          <w:rtl/>
          <w:lang w:bidi="ar-EG"/>
        </w:rPr>
        <w:t xml:space="preserve"> على </w:t>
      </w:r>
      <w:r w:rsidRPr="00165C44">
        <w:rPr>
          <w:rFonts w:hint="cs"/>
          <w:rtl/>
          <w:lang w:bidi="ar-EG"/>
        </w:rPr>
        <w:t>العنوان التالي</w:t>
      </w:r>
      <w:r w:rsidR="002D7FD4" w:rsidRPr="00165C44">
        <w:rPr>
          <w:rFonts w:hint="cs"/>
          <w:rtl/>
          <w:lang w:bidi="ar-EG"/>
        </w:rPr>
        <w:t xml:space="preserve"> </w:t>
      </w:r>
      <w:r w:rsidR="002D7FD4" w:rsidRPr="00165C44">
        <w:rPr>
          <w:rFonts w:hint="eastAsia"/>
          <w:rtl/>
          <w:lang w:bidi="ar-EG"/>
        </w:rPr>
        <w:t>للصفحة</w:t>
      </w:r>
      <w:r w:rsidR="002D7FD4" w:rsidRPr="00165C44">
        <w:rPr>
          <w:rtl/>
          <w:lang w:bidi="ar-EG"/>
        </w:rPr>
        <w:t xml:space="preserve"> </w:t>
      </w:r>
      <w:r w:rsidR="002D7FD4" w:rsidRPr="00165C44">
        <w:rPr>
          <w:rFonts w:hint="eastAsia"/>
          <w:rtl/>
          <w:lang w:bidi="ar-EG"/>
        </w:rPr>
        <w:t>الرئيسية</w:t>
      </w:r>
      <w:r w:rsidR="002D7FD4" w:rsidRPr="00165C44">
        <w:rPr>
          <w:rtl/>
          <w:lang w:bidi="ar-EG"/>
        </w:rPr>
        <w:t xml:space="preserve"> للجنة </w:t>
      </w:r>
      <w:r w:rsidR="002D7FD4" w:rsidRPr="00165C44">
        <w:rPr>
          <w:rFonts w:hint="eastAsia"/>
          <w:rtl/>
          <w:lang w:bidi="ar-EG"/>
        </w:rPr>
        <w:t>الكهرتقنية</w:t>
      </w:r>
      <w:r w:rsidR="002D7FD4" w:rsidRPr="00165C44">
        <w:rPr>
          <w:rFonts w:hint="cs"/>
          <w:rtl/>
          <w:lang w:bidi="ar-EG"/>
        </w:rPr>
        <w:t xml:space="preserve"> </w:t>
      </w:r>
      <w:r w:rsidR="002D7FD4" w:rsidRPr="00165C44">
        <w:rPr>
          <w:rFonts w:hint="eastAsia"/>
          <w:rtl/>
          <w:lang w:bidi="ar-EG"/>
        </w:rPr>
        <w:t>الدولية</w:t>
      </w:r>
      <w:r w:rsidR="002D7FD4" w:rsidRPr="00165C44">
        <w:rPr>
          <w:rFonts w:hint="cs"/>
          <w:rtl/>
          <w:lang w:bidi="ar-EG"/>
        </w:rPr>
        <w:t>:</w:t>
      </w:r>
      <w:r w:rsidRPr="00165C44">
        <w:rPr>
          <w:rFonts w:hint="cs"/>
          <w:rtl/>
          <w:lang w:bidi="ar-EG"/>
        </w:rPr>
        <w:t xml:space="preserve"> </w:t>
      </w:r>
      <w:r w:rsidRPr="00165C44">
        <w:rPr>
          <w:lang w:bidi="ar-EG"/>
        </w:rPr>
        <w:t>(</w:t>
      </w:r>
      <w:hyperlink r:id="rId8" w:history="1">
        <w:r w:rsidRPr="00165C44">
          <w:rPr>
            <w:rStyle w:val="Hyperlink"/>
            <w:lang w:val="en-GB"/>
          </w:rPr>
          <w:t>https://www.iec.ch/homepage</w:t>
        </w:r>
      </w:hyperlink>
      <w:r w:rsidRPr="00165C44">
        <w:rPr>
          <w:lang w:val="en-GB"/>
        </w:rPr>
        <w:t>)</w:t>
      </w:r>
      <w:r w:rsidRPr="00165C44">
        <w:rPr>
          <w:rFonts w:hint="cs"/>
          <w:rtl/>
          <w:lang w:val="en-GB" w:bidi="ar-EG"/>
        </w:rPr>
        <w:t>.</w:t>
      </w:r>
    </w:p>
    <w:p w14:paraId="3156278F" w14:textId="66B3D428" w:rsidR="006B5F4D" w:rsidRDefault="006B5F4D" w:rsidP="006B5F4D">
      <w:pPr>
        <w:pStyle w:val="Note"/>
        <w:rPr>
          <w:rtl/>
          <w:lang w:val="en-GB" w:bidi="ar-EG"/>
        </w:rPr>
      </w:pPr>
    </w:p>
    <w:p w14:paraId="1BDEF21A" w14:textId="77777777" w:rsidR="006B5F4D" w:rsidRDefault="006B5F4D" w:rsidP="006B5F4D">
      <w:pPr>
        <w:pStyle w:val="Note"/>
        <w:rPr>
          <w:sz w:val="24"/>
          <w:rtl/>
          <w:lang w:bidi="ar-EG"/>
        </w:rPr>
      </w:pPr>
    </w:p>
    <w:p w14:paraId="11750269" w14:textId="11169B2F" w:rsidR="006B5F4D" w:rsidRDefault="006B5F4D" w:rsidP="00656475">
      <w:pPr>
        <w:pStyle w:val="AnnexNoTitle0"/>
        <w:rPr>
          <w:rtl/>
        </w:rPr>
      </w:pPr>
      <w:r>
        <w:rPr>
          <w:rFonts w:hint="cs"/>
          <w:rtl/>
        </w:rPr>
        <w:t xml:space="preserve">التذييل </w:t>
      </w:r>
      <w:r>
        <w:t>1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br/>
        <w:t>(للعلم)</w:t>
      </w:r>
      <w:r w:rsidR="009E3938">
        <w:rPr>
          <w:rtl/>
        </w:rPr>
        <w:br/>
      </w:r>
      <w:r w:rsidR="009E3938">
        <w:rPr>
          <w:rtl/>
        </w:rPr>
        <w:br/>
      </w:r>
      <w:r>
        <w:rPr>
          <w:rFonts w:hint="cs"/>
          <w:rtl/>
        </w:rPr>
        <w:t>تمثيل بياني للعلاقة الموصى بها بين السويات السمعية</w:t>
      </w:r>
    </w:p>
    <w:p w14:paraId="50EA2978" w14:textId="7E51CD91" w:rsidR="006B5F4D" w:rsidRDefault="006B5F4D" w:rsidP="00656475">
      <w:pPr>
        <w:pStyle w:val="Normalaftertitle"/>
        <w:rPr>
          <w:rtl/>
          <w:lang w:bidi="ar-EG"/>
        </w:rPr>
      </w:pPr>
      <w:r>
        <w:rPr>
          <w:rFonts w:hint="cs"/>
          <w:rtl/>
        </w:rPr>
        <w:t>يعرض هذا التذييل تمثيلا</w:t>
      </w:r>
      <w:r w:rsidR="00D07A74">
        <w:rPr>
          <w:rFonts w:hint="cs"/>
          <w:rtl/>
        </w:rPr>
        <w:t>ً</w:t>
      </w:r>
      <w:r>
        <w:rPr>
          <w:rFonts w:hint="cs"/>
          <w:rtl/>
        </w:rPr>
        <w:t xml:space="preserve"> بيانيا</w:t>
      </w:r>
      <w:r w:rsidR="00D07A74">
        <w:rPr>
          <w:rFonts w:hint="cs"/>
          <w:rtl/>
        </w:rPr>
        <w:t>ً</w:t>
      </w:r>
      <w:r>
        <w:rPr>
          <w:rFonts w:hint="cs"/>
          <w:rtl/>
        </w:rPr>
        <w:t xml:space="preserve"> للعلاقة بين السوية السمعية القصوى</w:t>
      </w:r>
      <w:r>
        <w:rPr>
          <w:rtl/>
        </w:rPr>
        <w:t> </w:t>
      </w:r>
      <w:r>
        <w:t>(dBFS 0)</w:t>
      </w:r>
      <w:r>
        <w:rPr>
          <w:rFonts w:hint="cs"/>
          <w:rtl/>
        </w:rPr>
        <w:t xml:space="preserve"> والسوية القصوى المسموح بها مثلما يرد توضيحها بواسطة مقياس برنامج شبه الذروة وسويات التراصف </w:t>
      </w:r>
      <w:r>
        <w:t>(AL)</w:t>
      </w:r>
      <w:r>
        <w:rPr>
          <w:rFonts w:hint="cs"/>
          <w:rtl/>
        </w:rPr>
        <w:t xml:space="preserve"> التي وافقت عليها رابطة مهندسي الصور المتحركة والتلفزيون </w:t>
      </w:r>
      <w:r>
        <w:t>(SMPTE)</w:t>
      </w:r>
      <w:r>
        <w:rPr>
          <w:rFonts w:hint="cs"/>
          <w:rtl/>
          <w:lang w:bidi="ar-EG"/>
        </w:rPr>
        <w:t xml:space="preserve"> واتحاد </w:t>
      </w:r>
      <w:r w:rsidR="00D52BE1">
        <w:rPr>
          <w:rFonts w:hint="cs"/>
          <w:rtl/>
          <w:lang w:bidi="ar-EG"/>
        </w:rPr>
        <w:t xml:space="preserve">الإذاعات </w:t>
      </w:r>
      <w:r>
        <w:rPr>
          <w:rFonts w:hint="cs"/>
          <w:rtl/>
          <w:lang w:bidi="ar-EG"/>
        </w:rPr>
        <w:t>الأوروبي</w:t>
      </w:r>
      <w:r w:rsidR="00D52BE1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r>
        <w:t>EBU)</w:t>
      </w:r>
      <w:r>
        <w:rPr>
          <w:rFonts w:hint="cs"/>
          <w:rtl/>
          <w:lang w:bidi="ar-EG"/>
        </w:rPr>
        <w:t>.</w:t>
      </w:r>
    </w:p>
    <w:p w14:paraId="4245CAB1" w14:textId="77777777" w:rsidR="006B5F4D" w:rsidRPr="006B5F4D" w:rsidRDefault="006B5F4D" w:rsidP="006B5F4D">
      <w:pPr>
        <w:rPr>
          <w:spacing w:val="-2"/>
          <w:rtl/>
          <w:lang w:bidi="ar-EG"/>
        </w:rPr>
      </w:pPr>
      <w:r w:rsidRPr="006B5F4D">
        <w:rPr>
          <w:rFonts w:hint="cs"/>
          <w:spacing w:val="-2"/>
          <w:rtl/>
          <w:lang w:bidi="ar-EG"/>
        </w:rPr>
        <w:t>ويشير هذا التمثيل البياني إلى أن المواد السمعية التي تتوافق مع هذه التوصية يمكن تبادلها واستعمالها دون أية حاجة إلى تعديل التسوية.</w:t>
      </w:r>
    </w:p>
    <w:p w14:paraId="0A7DC9F0" w14:textId="154A5629" w:rsidR="006B5F4D" w:rsidRDefault="006B5F4D" w:rsidP="006B5F4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مع ذلك، يجب الإشارة إلى أن المواد السمعية لا تزال تستعمل سوية تراصف </w:t>
      </w:r>
      <w:r w:rsidR="0027590E">
        <w:rPr>
          <w:rFonts w:hint="cs"/>
          <w:rtl/>
          <w:lang w:bidi="ar-EG"/>
        </w:rPr>
        <w:t>وفقاً للمعيار</w:t>
      </w:r>
      <w:r>
        <w:rPr>
          <w:rFonts w:hint="cs"/>
          <w:rtl/>
          <w:lang w:bidi="ar-EG"/>
        </w:rPr>
        <w:t xml:space="preserve"> </w:t>
      </w:r>
      <w:r>
        <w:t>SMPTE</w:t>
      </w:r>
      <w:r>
        <w:rPr>
          <w:rtl/>
        </w:rPr>
        <w:t xml:space="preserve"> </w:t>
      </w:r>
      <w:r>
        <w:t>RP 155</w:t>
      </w:r>
      <w:r>
        <w:rPr>
          <w:rFonts w:hint="cs"/>
          <w:rtl/>
          <w:lang w:bidi="ar-EG"/>
        </w:rPr>
        <w:t xml:space="preserve"> أو </w:t>
      </w:r>
      <w:r w:rsidRPr="00165C44">
        <w:rPr>
          <w:rFonts w:hint="cs"/>
          <w:rtl/>
          <w:lang w:bidi="ar-EG"/>
        </w:rPr>
        <w:t xml:space="preserve">التوصية </w:t>
      </w:r>
      <w:r w:rsidR="005273AC" w:rsidRPr="00165C44">
        <w:rPr>
          <w:rFonts w:hint="eastAsia"/>
          <w:rtl/>
          <w:lang w:bidi="ar-EG"/>
        </w:rPr>
        <w:t>التقنية </w:t>
      </w:r>
      <w:r w:rsidRPr="00165C44">
        <w:t>R68</w:t>
      </w:r>
      <w:r>
        <w:rPr>
          <w:rFonts w:hint="cs"/>
          <w:rtl/>
          <w:lang w:bidi="ar-EG"/>
        </w:rPr>
        <w:t xml:space="preserve"> لاتحاد </w:t>
      </w:r>
      <w:r w:rsidR="0027590E">
        <w:rPr>
          <w:rFonts w:hint="cs"/>
          <w:rtl/>
          <w:lang w:bidi="ar-EG"/>
        </w:rPr>
        <w:t xml:space="preserve">الإذاعات </w:t>
      </w:r>
      <w:r>
        <w:rPr>
          <w:rFonts w:hint="cs"/>
          <w:rtl/>
          <w:lang w:bidi="ar-EG"/>
        </w:rPr>
        <w:t>الأوروبي</w:t>
      </w:r>
      <w:r w:rsidR="0027590E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(</w:t>
      </w:r>
      <w:r>
        <w:t>EBU)</w:t>
      </w:r>
      <w:r>
        <w:rPr>
          <w:rFonts w:hint="cs"/>
          <w:rtl/>
          <w:lang w:bidi="ar-EG"/>
        </w:rPr>
        <w:t xml:space="preserve">، في الحالة التي يستعمل فيها </w:t>
      </w:r>
      <w:r w:rsidR="0027590E">
        <w:rPr>
          <w:rFonts w:hint="cs"/>
          <w:rtl/>
          <w:lang w:bidi="ar-EG"/>
        </w:rPr>
        <w:t xml:space="preserve">المشغلون </w:t>
      </w:r>
      <w:r>
        <w:rPr>
          <w:rFonts w:hint="cs"/>
          <w:rtl/>
          <w:lang w:bidi="ar-EG"/>
        </w:rPr>
        <w:t>أو المعدات الأوتوماتية نغمة ثابتة عند هذه السوية لضبط الدارات أو أجهزة التسجيل.</w:t>
      </w:r>
    </w:p>
    <w:p w14:paraId="0092F52F" w14:textId="53915549" w:rsidR="00B460E7" w:rsidRDefault="00B460E7" w:rsidP="006B5F4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6B8A34E" w14:textId="11BD21E6" w:rsidR="006B5F4D" w:rsidRDefault="006B5F4D" w:rsidP="006B5F4D">
      <w:pPr>
        <w:pStyle w:val="FigureNo"/>
      </w:pPr>
      <w:r>
        <w:rPr>
          <w:rFonts w:hint="cs"/>
          <w:rtl/>
        </w:rPr>
        <w:lastRenderedPageBreak/>
        <w:t xml:space="preserve">الشكل </w:t>
      </w:r>
      <w:r>
        <w:t>1</w:t>
      </w:r>
    </w:p>
    <w:p w14:paraId="445D93C5" w14:textId="77777777" w:rsidR="006B5F4D" w:rsidRPr="006B5F4D" w:rsidRDefault="006B5F4D" w:rsidP="006B5F4D">
      <w:pPr>
        <w:pStyle w:val="FigureTitle"/>
        <w:rPr>
          <w:sz w:val="28"/>
          <w:szCs w:val="34"/>
          <w:rtl/>
        </w:rPr>
      </w:pPr>
      <w:r w:rsidRPr="006B5F4D">
        <w:rPr>
          <w:rFonts w:hint="cs"/>
          <w:sz w:val="24"/>
          <w:szCs w:val="30"/>
          <w:rtl/>
        </w:rPr>
        <w:t>تمثيل بياني للعلاقة الموصى بها بين السويات السمعية</w:t>
      </w:r>
    </w:p>
    <w:p w14:paraId="54FABB64" w14:textId="1B48C034" w:rsidR="006B5F4D" w:rsidRDefault="00D07A74" w:rsidP="00165C44">
      <w:pPr>
        <w:pStyle w:val="Figure"/>
        <w:rPr>
          <w:rtl/>
        </w:rPr>
      </w:pPr>
      <w:r>
        <w:rPr>
          <w:rFonts w:hint="cs"/>
          <w:noProof/>
          <w:rtl/>
          <w:lang w:val="ar-EG"/>
        </w:rPr>
        <w:drawing>
          <wp:inline distT="0" distB="0" distL="0" distR="0" wp14:anchorId="51025777" wp14:editId="0BA38681">
            <wp:extent cx="2581899" cy="3389693"/>
            <wp:effectExtent l="0" t="0" r="952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1" t="30185" r="33095" b="30652"/>
                    <a:stretch/>
                  </pic:blipFill>
                  <pic:spPr bwMode="auto">
                    <a:xfrm>
                      <a:off x="0" y="0"/>
                      <a:ext cx="2582602" cy="3390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81404" w14:textId="367B5F2B" w:rsidR="00E726E9" w:rsidRDefault="00E726E9" w:rsidP="00AC1496">
      <w:pPr>
        <w:pStyle w:val="Line"/>
        <w:spacing w:before="840"/>
        <w:rPr>
          <w:lang w:val="en-US"/>
        </w:rPr>
      </w:pPr>
    </w:p>
    <w:sectPr w:rsidR="00E726E9" w:rsidSect="003A17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720" w:footer="567" w:gutter="0"/>
      <w:paperSrc w:first="4" w:other="4"/>
      <w:pgNumType w:start="1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9C47" w14:textId="77777777" w:rsidR="00EE5B6B" w:rsidRDefault="00EE5B6B">
      <w:r>
        <w:separator/>
      </w:r>
    </w:p>
  </w:endnote>
  <w:endnote w:type="continuationSeparator" w:id="0">
    <w:p w14:paraId="421ECCC9" w14:textId="77777777" w:rsidR="00EE5B6B" w:rsidRDefault="00EE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604" w14:textId="77777777" w:rsidR="000B4F10" w:rsidRDefault="000B4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AA87" w14:textId="77777777" w:rsidR="000B4F10" w:rsidRPr="005E066B" w:rsidRDefault="000B4F10" w:rsidP="005E066B">
    <w:pPr>
      <w:pStyle w:val="Footer"/>
      <w:rPr>
        <w:szCs w:val="18"/>
        <w:rtl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C302" w14:textId="45A4966D" w:rsidR="000B4F10" w:rsidRPr="002845BF" w:rsidRDefault="000B4F10">
    <w:pPr>
      <w:pStyle w:val="Footer"/>
    </w:pPr>
    <w:r>
      <w:fldChar w:fldCharType="begin"/>
    </w:r>
    <w:r w:rsidRPr="002845BF">
      <w:instrText xml:space="preserve"> FILENAME \p \* MERGEFORMAT </w:instrText>
    </w:r>
    <w:r>
      <w:fldChar w:fldCharType="separate"/>
    </w:r>
    <w:r w:rsidR="006B5F4D">
      <w:t>Document43</w:t>
    </w:r>
    <w:r>
      <w:fldChar w:fldCharType="end"/>
    </w:r>
    <w:r w:rsidRPr="002845BF">
      <w:tab/>
    </w:r>
    <w:r>
      <w:fldChar w:fldCharType="begin"/>
    </w:r>
    <w:r>
      <w:instrText xml:space="preserve"> savedate \@ dd.MM.yy </w:instrText>
    </w:r>
    <w:r>
      <w:fldChar w:fldCharType="separate"/>
    </w:r>
    <w:r w:rsidR="00656475">
      <w:t>14.07.23</w:t>
    </w:r>
    <w:r>
      <w:fldChar w:fldCharType="end"/>
    </w:r>
    <w:r w:rsidRPr="002845BF">
      <w:tab/>
    </w:r>
    <w:r>
      <w:fldChar w:fldCharType="begin"/>
    </w:r>
    <w:r>
      <w:instrText xml:space="preserve"> printdate \@ dd.MM.yy </w:instrText>
    </w:r>
    <w:r>
      <w:fldChar w:fldCharType="separate"/>
    </w:r>
    <w:r w:rsidR="006B5F4D">
      <w:rPr>
        <w:rtl/>
      </w:rPr>
      <w:t>25.01.17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C73" w14:textId="77777777" w:rsidR="00EE5B6B" w:rsidRDefault="00EE5B6B" w:rsidP="00E1601B">
      <w:pPr>
        <w:spacing w:line="240" w:lineRule="auto"/>
      </w:pPr>
      <w:r>
        <w:t>____________________</w:t>
      </w:r>
    </w:p>
  </w:footnote>
  <w:footnote w:type="continuationSeparator" w:id="0">
    <w:p w14:paraId="1C6FADC6" w14:textId="77777777" w:rsidR="00EE5B6B" w:rsidRDefault="00EE5B6B">
      <w:r>
        <w:continuationSeparator/>
      </w:r>
    </w:p>
  </w:footnote>
  <w:footnote w:id="1">
    <w:p w14:paraId="1A9AC55A" w14:textId="68669A76" w:rsidR="006B5F4D" w:rsidRDefault="006B5F4D">
      <w:pPr>
        <w:pStyle w:val="FootnoteText"/>
        <w:rPr>
          <w:lang w:bidi="ar-EG"/>
        </w:rPr>
      </w:pPr>
      <w:r>
        <w:rPr>
          <w:rStyle w:val="FootnoteReference"/>
          <w:rtl/>
        </w:rPr>
        <w:t>*</w:t>
      </w:r>
      <w:r>
        <w:rPr>
          <w:rtl/>
          <w:lang w:bidi="ar-EG"/>
        </w:rPr>
        <w:tab/>
      </w:r>
      <w:r>
        <w:rPr>
          <w:rFonts w:hint="cs"/>
          <w:rtl/>
        </w:rPr>
        <w:t>أ</w:t>
      </w:r>
      <w:r w:rsidRPr="00671992">
        <w:rPr>
          <w:rtl/>
        </w:rPr>
        <w:t xml:space="preserve">دخلت لجنة الدراسات </w:t>
      </w:r>
      <w:r>
        <w:t>6</w:t>
      </w:r>
      <w:r>
        <w:rPr>
          <w:rFonts w:hint="cs"/>
          <w:rtl/>
          <w:lang w:bidi="ar-EG"/>
        </w:rPr>
        <w:t xml:space="preserve"> </w:t>
      </w:r>
      <w:r w:rsidRPr="00671992">
        <w:rPr>
          <w:rtl/>
        </w:rPr>
        <w:t>للاتصالات الراديوية في</w:t>
      </w:r>
      <w:r>
        <w:rPr>
          <w:rFonts w:hint="cs"/>
          <w:rtl/>
        </w:rPr>
        <w:t xml:space="preserve"> مارس </w:t>
      </w:r>
      <w:r>
        <w:t>2023</w:t>
      </w:r>
      <w:r>
        <w:rPr>
          <w:rFonts w:hint="cs"/>
          <w:rtl/>
          <w:lang w:bidi="ar-EG"/>
        </w:rPr>
        <w:t xml:space="preserve"> </w:t>
      </w:r>
      <w:r w:rsidRPr="00671992">
        <w:rPr>
          <w:rtl/>
        </w:rPr>
        <w:t xml:space="preserve">تعديلات صياغية </w:t>
      </w:r>
      <w:r w:rsidRPr="00165C44">
        <w:rPr>
          <w:rtl/>
        </w:rPr>
        <w:t xml:space="preserve">على هذه </w:t>
      </w:r>
      <w:r w:rsidR="002D7FD4" w:rsidRPr="00165C44">
        <w:rPr>
          <w:rFonts w:hint="eastAsia"/>
          <w:rtl/>
        </w:rPr>
        <w:t>التوصية</w:t>
      </w:r>
      <w:r w:rsidR="002D7FD4" w:rsidRPr="00165C44">
        <w:rPr>
          <w:rtl/>
        </w:rPr>
        <w:t xml:space="preserve"> </w:t>
      </w:r>
      <w:r w:rsidRPr="00165C44">
        <w:rPr>
          <w:rtl/>
        </w:rPr>
        <w:t>وفقاً</w:t>
      </w:r>
      <w:r w:rsidRPr="00671992">
        <w:rPr>
          <w:rtl/>
        </w:rPr>
        <w:t xml:space="preserve"> للقرار </w:t>
      </w:r>
      <w:r w:rsidRPr="00671992">
        <w:rPr>
          <w:lang w:bidi="ar-EG"/>
        </w:rPr>
        <w:t>ITU-R 1</w:t>
      </w:r>
      <w:r w:rsidRPr="00671992">
        <w:rPr>
          <w:rtl/>
        </w:rPr>
        <w:t>.</w:t>
      </w:r>
    </w:p>
  </w:footnote>
  <w:footnote w:id="2">
    <w:p w14:paraId="0A3F8236" w14:textId="18910AD1" w:rsidR="006B5F4D" w:rsidRDefault="006B5F4D" w:rsidP="006B5F4D">
      <w:pPr>
        <w:pStyle w:val="FootnoteText"/>
        <w:rPr>
          <w:rtl/>
          <w:lang w:val="en-GB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ab/>
        <w:t>دسيبل بالنسبة إلى السوية القصوى</w:t>
      </w:r>
      <w:r w:rsidR="00D07A74">
        <w:rPr>
          <w:rFonts w:hint="cs"/>
          <w:rtl/>
        </w:rPr>
        <w:t>.</w:t>
      </w:r>
    </w:p>
  </w:footnote>
  <w:footnote w:id="3">
    <w:p w14:paraId="49B64666" w14:textId="1AE18E65" w:rsidR="00D07A74" w:rsidRPr="006B5F4D" w:rsidRDefault="00D07A74" w:rsidP="00D07A74">
      <w:pPr>
        <w:pStyle w:val="FootnoteText"/>
        <w:rPr>
          <w:spacing w:val="-4"/>
          <w:rtl/>
          <w:lang w:bidi="ar-EG"/>
        </w:rPr>
      </w:pPr>
      <w:r w:rsidRPr="006B5F4D">
        <w:rPr>
          <w:rStyle w:val="FootnoteReference"/>
          <w:spacing w:val="-4"/>
        </w:rPr>
        <w:footnoteRef/>
      </w:r>
      <w:r w:rsidRPr="006B5F4D">
        <w:rPr>
          <w:spacing w:val="-4"/>
          <w:rtl/>
        </w:rPr>
        <w:tab/>
      </w:r>
      <w:r w:rsidRPr="006B5F4D">
        <w:rPr>
          <w:spacing w:val="-4"/>
        </w:rPr>
        <w:t>dBFS 0</w:t>
      </w:r>
      <w:r w:rsidRPr="006B5F4D">
        <w:rPr>
          <w:rFonts w:hint="cs"/>
          <w:spacing w:val="-4"/>
          <w:rtl/>
          <w:lang w:bidi="ar-EG"/>
        </w:rPr>
        <w:t xml:space="preserve"> قيمة السوية القصوى للإشارة التي </w:t>
      </w:r>
      <w:r w:rsidR="0027590E">
        <w:rPr>
          <w:rFonts w:hint="cs"/>
          <w:spacing w:val="-4"/>
          <w:rtl/>
          <w:lang w:bidi="ar-EG"/>
        </w:rPr>
        <w:t>يمكن</w:t>
      </w:r>
      <w:r w:rsidR="0027590E" w:rsidRPr="006B5F4D">
        <w:rPr>
          <w:rFonts w:hint="cs"/>
          <w:spacing w:val="-4"/>
          <w:rtl/>
          <w:lang w:bidi="ar-EG"/>
        </w:rPr>
        <w:t xml:space="preserve"> </w:t>
      </w:r>
      <w:r w:rsidR="0027590E">
        <w:rPr>
          <w:rFonts w:hint="cs"/>
          <w:spacing w:val="-4"/>
          <w:rtl/>
          <w:lang w:bidi="ar-EG"/>
        </w:rPr>
        <w:t>ل</w:t>
      </w:r>
      <w:r w:rsidRPr="006B5F4D">
        <w:rPr>
          <w:rFonts w:hint="cs"/>
          <w:spacing w:val="-4"/>
          <w:rtl/>
          <w:lang w:bidi="ar-EG"/>
        </w:rPr>
        <w:t>نظام سمعي رقمي تمثيلها. فوق هذه السوية، تعرف الإشارة ارتفاعا</w:t>
      </w:r>
      <w:r>
        <w:rPr>
          <w:rFonts w:hint="cs"/>
          <w:spacing w:val="-4"/>
          <w:rtl/>
          <w:lang w:bidi="ar-EG"/>
        </w:rPr>
        <w:t>ً</w:t>
      </w:r>
      <w:r w:rsidRPr="006B5F4D">
        <w:rPr>
          <w:rFonts w:hint="cs"/>
          <w:spacing w:val="-4"/>
          <w:rtl/>
          <w:lang w:bidi="ar-EG"/>
        </w:rPr>
        <w:t xml:space="preserve"> ذرويا</w:t>
      </w:r>
      <w:r>
        <w:rPr>
          <w:rFonts w:hint="cs"/>
          <w:spacing w:val="-4"/>
          <w:rtl/>
          <w:lang w:bidi="ar-EG"/>
        </w:rPr>
        <w:t>ً</w:t>
      </w:r>
      <w:r w:rsidRPr="006B5F4D">
        <w:rPr>
          <w:rFonts w:hint="cs"/>
          <w:spacing w:val="-4"/>
          <w:rtl/>
          <w:lang w:bidi="ar-EG"/>
        </w:rPr>
        <w:t xml:space="preserve"> مفاجئا</w:t>
      </w:r>
      <w:r>
        <w:rPr>
          <w:rFonts w:hint="cs"/>
          <w:spacing w:val="-4"/>
          <w:rtl/>
          <w:lang w:bidi="ar-EG"/>
        </w:rPr>
        <w:t>ً</w:t>
      </w:r>
      <w:r w:rsidRPr="006B5F4D">
        <w:rPr>
          <w:rFonts w:hint="cs"/>
          <w:spacing w:val="-4"/>
          <w:rtl/>
          <w:lang w:bidi="ar-EG"/>
        </w:rPr>
        <w:t xml:space="preserve"> يؤدي إلى تشوه.</w:t>
      </w:r>
    </w:p>
  </w:footnote>
  <w:footnote w:id="4">
    <w:p w14:paraId="6CFA4DD3" w14:textId="10681129" w:rsidR="006B5F4D" w:rsidRDefault="006B5F4D" w:rsidP="006B5F4D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تملك أجهزة </w:t>
      </w:r>
      <w:r>
        <w:rPr>
          <w:rFonts w:hint="cs"/>
          <w:rtl/>
          <w:lang w:bidi="ar-EG"/>
        </w:rPr>
        <w:t xml:space="preserve">قياس برنامج شبه الذروة وقت </w:t>
      </w:r>
      <w:r>
        <w:rPr>
          <w:rFonts w:hint="cs"/>
          <w:rtl/>
        </w:rPr>
        <w:t xml:space="preserve">تكامل قدره </w:t>
      </w:r>
      <w:r>
        <w:t>ms 10</w:t>
      </w:r>
      <w:r>
        <w:rPr>
          <w:rFonts w:hint="cs"/>
          <w:rtl/>
          <w:lang w:bidi="ar-EG"/>
        </w:rPr>
        <w:t>، وتبين وجود انتقاليات برامج سمعية قصيرة نسبيا</w:t>
      </w:r>
      <w:r w:rsidR="00D07A74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. وتتعدى أجهزة قياس الذروات الحقيقية هذه الإشارة في بعض مواد البرامج، في حين تبين </w:t>
      </w:r>
      <w:r w:rsidRPr="00165C44">
        <w:rPr>
          <w:rFonts w:hint="cs"/>
          <w:rtl/>
          <w:lang w:bidi="ar-EG"/>
        </w:rPr>
        <w:t>عادة أجهزة القياس الضوئية</w:t>
      </w:r>
      <w:r>
        <w:rPr>
          <w:rFonts w:hint="cs"/>
          <w:rtl/>
          <w:lang w:bidi="ar-EG"/>
        </w:rPr>
        <w:t xml:space="preserve"> قيمة منخفضة، ويكون وقت التكامل طويلا</w:t>
      </w:r>
      <w:r w:rsidR="00D07A74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نسبياً.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5D27" w14:textId="1901DFA4" w:rsidR="002845BF" w:rsidRPr="003D017C" w:rsidRDefault="0081778C" w:rsidP="00E33FA2">
    <w:pPr>
      <w:pStyle w:val="Header"/>
      <w:tabs>
        <w:tab w:val="center" w:pos="4819"/>
        <w:tab w:val="right" w:pos="9639"/>
      </w:tabs>
      <w:jc w:val="both"/>
      <w:rPr>
        <w:b w:val="0"/>
        <w:bCs w:val="0"/>
        <w:lang w:bidi="ar-EG"/>
      </w:rPr>
    </w:pPr>
    <w:r w:rsidRPr="002845BF">
      <w:rPr>
        <w:rFonts w:cs="Times New Roman Bold"/>
        <w:szCs w:val="22"/>
      </w:rPr>
      <w:fldChar w:fldCharType="begin"/>
    </w:r>
    <w:r w:rsidRPr="002845BF">
      <w:rPr>
        <w:rFonts w:cs="Times New Roman Bold"/>
        <w:szCs w:val="22"/>
      </w:rPr>
      <w:instrText xml:space="preserve"> PAGE   \* MERGEFORMAT </w:instrText>
    </w:r>
    <w:r w:rsidRPr="002845BF">
      <w:rPr>
        <w:rFonts w:cs="Times New Roman Bold"/>
        <w:szCs w:val="22"/>
      </w:rPr>
      <w:fldChar w:fldCharType="separate"/>
    </w:r>
    <w:r w:rsidR="00C54E76">
      <w:rPr>
        <w:rFonts w:cs="Times New Roman Bold"/>
        <w:noProof/>
        <w:szCs w:val="22"/>
        <w:rtl/>
      </w:rPr>
      <w:t>2</w:t>
    </w:r>
    <w:r w:rsidRPr="002845BF">
      <w:rPr>
        <w:rFonts w:cs="Times New Roman Bold"/>
        <w:szCs w:val="22"/>
      </w:rPr>
      <w:fldChar w:fldCharType="end"/>
    </w:r>
    <w:r>
      <w:tab/>
    </w:r>
    <w:r w:rsidR="00E33FA2" w:rsidRPr="00E33FA2">
      <w:rPr>
        <w:rtl/>
      </w:rPr>
      <w:t>التوصية</w:t>
    </w:r>
    <w:r w:rsidR="00E33FA2" w:rsidRPr="00E33FA2">
      <w:rPr>
        <w:rFonts w:hint="cs"/>
        <w:rtl/>
      </w:rPr>
      <w:t xml:space="preserve"> </w:t>
    </w:r>
    <w:r w:rsidR="00E33FA2" w:rsidRPr="00E33FA2">
      <w:rPr>
        <w:rtl/>
      </w:rPr>
      <w:t xml:space="preserve"> </w:t>
    </w:r>
    <w:r w:rsidR="00E33FA2" w:rsidRPr="00E33FA2">
      <w:fldChar w:fldCharType="begin"/>
    </w:r>
    <w:r w:rsidR="00E33FA2" w:rsidRPr="00E33FA2">
      <w:instrText>styleref href</w:instrText>
    </w:r>
    <w:r w:rsidR="00E33FA2" w:rsidRPr="00E33FA2">
      <w:fldChar w:fldCharType="separate"/>
    </w:r>
    <w:r w:rsidR="00192226">
      <w:rPr>
        <w:noProof/>
      </w:rPr>
      <w:t>ITU-R  BS.1726</w:t>
    </w:r>
    <w:r w:rsidR="00E33FA2" w:rsidRPr="00E33FA2">
      <w:fldChar w:fldCharType="end"/>
    </w:r>
    <w:r>
      <w:rPr>
        <w:b w:val="0"/>
        <w:bCs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B58B" w14:textId="1CF9F9F8" w:rsidR="00643D3A" w:rsidRPr="00AE3E36" w:rsidRDefault="0081778C" w:rsidP="00E33FA2">
    <w:pPr>
      <w:tabs>
        <w:tab w:val="center" w:pos="4819"/>
        <w:tab w:val="right" w:pos="9639"/>
      </w:tabs>
      <w:spacing w:before="0" w:line="300" w:lineRule="exact"/>
      <w:jc w:val="left"/>
      <w:rPr>
        <w:rFonts w:ascii="Times New Roman Bold" w:hAnsi="Times New Roman Bold"/>
        <w:b/>
        <w:bCs/>
        <w:rtl/>
        <w:lang w:bidi="ar-EG"/>
      </w:rPr>
    </w:pPr>
    <w:r w:rsidRPr="00AE3E36">
      <w:rPr>
        <w:rFonts w:ascii="Times New Roman Bold" w:hAnsi="Times New Roman Bold"/>
        <w:b/>
        <w:bCs/>
        <w:rtl/>
        <w:lang w:bidi="ar-EG"/>
      </w:rPr>
      <w:tab/>
    </w:r>
    <w:r w:rsidR="00E33FA2" w:rsidRPr="00E33FA2">
      <w:rPr>
        <w:rFonts w:ascii="Times New Roman Bold" w:hAnsi="Times New Roman Bold"/>
        <w:b/>
        <w:bCs/>
        <w:rtl/>
      </w:rPr>
      <w:t>التوصية</w:t>
    </w:r>
    <w:r w:rsidR="00E33FA2" w:rsidRPr="00E33FA2">
      <w:rPr>
        <w:rFonts w:ascii="Times New Roman Bold" w:hAnsi="Times New Roman Bold" w:hint="cs"/>
        <w:b/>
        <w:bCs/>
        <w:rtl/>
      </w:rPr>
      <w:t xml:space="preserve"> </w:t>
    </w:r>
    <w:r w:rsidR="00E33FA2" w:rsidRPr="00E33FA2">
      <w:rPr>
        <w:rFonts w:ascii="Times New Roman Bold" w:hAnsi="Times New Roman Bold"/>
        <w:b/>
        <w:bCs/>
        <w:rtl/>
      </w:rPr>
      <w:t xml:space="preserve"> </w:t>
    </w:r>
    <w:r w:rsidR="00E33FA2" w:rsidRPr="00E33FA2">
      <w:rPr>
        <w:rFonts w:ascii="Times New Roman Bold" w:hAnsi="Times New Roman Bold"/>
        <w:b/>
        <w:bCs/>
      </w:rPr>
      <w:fldChar w:fldCharType="begin"/>
    </w:r>
    <w:r w:rsidR="00E33FA2" w:rsidRPr="00E33FA2">
      <w:rPr>
        <w:rFonts w:ascii="Times New Roman Bold" w:hAnsi="Times New Roman Bold"/>
        <w:b/>
        <w:bCs/>
      </w:rPr>
      <w:instrText>styleref href</w:instrText>
    </w:r>
    <w:r w:rsidR="00E33FA2" w:rsidRPr="00E33FA2">
      <w:rPr>
        <w:rFonts w:ascii="Times New Roman Bold" w:hAnsi="Times New Roman Bold"/>
        <w:b/>
        <w:bCs/>
      </w:rPr>
      <w:fldChar w:fldCharType="separate"/>
    </w:r>
    <w:r w:rsidR="00192226">
      <w:rPr>
        <w:rFonts w:ascii="Times New Roman Bold" w:hAnsi="Times New Roman Bold"/>
        <w:b/>
        <w:bCs/>
        <w:noProof/>
      </w:rPr>
      <w:t>ITU-R  BS.1726</w:t>
    </w:r>
    <w:r w:rsidR="00E33FA2" w:rsidRPr="00E33FA2">
      <w:rPr>
        <w:rFonts w:ascii="Times New Roman Bold" w:hAnsi="Times New Roman Bold"/>
        <w:b/>
        <w:bCs/>
      </w:rPr>
      <w:fldChar w:fldCharType="end"/>
    </w:r>
    <w:r w:rsidR="009230F4">
      <w:rPr>
        <w:b/>
        <w:bCs/>
      </w:rPr>
      <w:tab/>
    </w:r>
    <w:r w:rsidRPr="00831BA4">
      <w:rPr>
        <w:rFonts w:cs="Times New Roman"/>
        <w:b/>
        <w:bCs/>
        <w:szCs w:val="22"/>
      </w:rPr>
      <w:fldChar w:fldCharType="begin"/>
    </w:r>
    <w:r w:rsidRPr="00831BA4">
      <w:rPr>
        <w:rFonts w:cs="Times New Roman"/>
        <w:b/>
        <w:bCs/>
        <w:szCs w:val="22"/>
      </w:rPr>
      <w:instrText xml:space="preserve"> PAGE   \* MERGEFORMAT </w:instrText>
    </w:r>
    <w:r w:rsidRPr="00831BA4">
      <w:rPr>
        <w:rFonts w:cs="Times New Roman"/>
        <w:b/>
        <w:bCs/>
        <w:szCs w:val="22"/>
      </w:rPr>
      <w:fldChar w:fldCharType="separate"/>
    </w:r>
    <w:r w:rsidR="00C54E76">
      <w:rPr>
        <w:rFonts w:cs="Times New Roman"/>
        <w:b/>
        <w:bCs/>
        <w:noProof/>
        <w:szCs w:val="22"/>
        <w:rtl/>
      </w:rPr>
      <w:t>3</w:t>
    </w:r>
    <w:r w:rsidRPr="00831BA4">
      <w:rPr>
        <w:rFonts w:cs="Times New Roman"/>
        <w:b/>
        <w:bCs/>
        <w:noProof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0327" w14:textId="77777777" w:rsidR="000B4F10" w:rsidRDefault="000B4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529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05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C1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EF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EE3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E4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BEF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748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C20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0CD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86D08"/>
    <w:multiLevelType w:val="hybridMultilevel"/>
    <w:tmpl w:val="0F8A76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FE637A"/>
    <w:multiLevelType w:val="hybridMultilevel"/>
    <w:tmpl w:val="17E2BBA8"/>
    <w:lvl w:ilvl="0" w:tplc="E1BEFC64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70109"/>
    <w:multiLevelType w:val="hybridMultilevel"/>
    <w:tmpl w:val="50648FD8"/>
    <w:lvl w:ilvl="0" w:tplc="54281AB8">
      <w:start w:val="28"/>
      <w:numFmt w:val="arabicAlpha"/>
      <w:lvlText w:val="%1)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563BD2"/>
    <w:multiLevelType w:val="multilevel"/>
    <w:tmpl w:val="C7EEB18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71B01"/>
    <w:multiLevelType w:val="hybridMultilevel"/>
    <w:tmpl w:val="C7EEB180"/>
    <w:lvl w:ilvl="0" w:tplc="B5D0A3C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B734AD"/>
    <w:multiLevelType w:val="hybridMultilevel"/>
    <w:tmpl w:val="FFD41D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F84593"/>
    <w:multiLevelType w:val="hybridMultilevel"/>
    <w:tmpl w:val="C0FAB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D4CF9"/>
    <w:multiLevelType w:val="hybridMultilevel"/>
    <w:tmpl w:val="496E8B48"/>
    <w:lvl w:ilvl="0" w:tplc="F7DC743A">
      <w:start w:val="1"/>
      <w:numFmt w:val="decimal"/>
      <w:lvlText w:val="%1"/>
      <w:lvlJc w:val="left"/>
      <w:pPr>
        <w:tabs>
          <w:tab w:val="num" w:pos="1215"/>
        </w:tabs>
        <w:ind w:left="1215" w:hanging="85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76CF4"/>
    <w:multiLevelType w:val="hybridMultilevel"/>
    <w:tmpl w:val="8E5E4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E5CBA"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60CBD"/>
    <w:multiLevelType w:val="hybridMultilevel"/>
    <w:tmpl w:val="A2C636BE"/>
    <w:lvl w:ilvl="0" w:tplc="F04AD4CA">
      <w:start w:val="1"/>
      <w:numFmt w:val="arabicAbjad"/>
      <w:lvlText w:val="%1)"/>
      <w:lvlJc w:val="left"/>
      <w:pPr>
        <w:tabs>
          <w:tab w:val="num" w:pos="1080"/>
        </w:tabs>
        <w:ind w:left="1080" w:hanging="720"/>
      </w:pPr>
    </w:lvl>
    <w:lvl w:ilvl="1" w:tplc="66E604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57772"/>
    <w:multiLevelType w:val="hybridMultilevel"/>
    <w:tmpl w:val="133088FE"/>
    <w:lvl w:ilvl="0" w:tplc="CFB4B960">
      <w:start w:val="1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116258"/>
    <w:multiLevelType w:val="hybridMultilevel"/>
    <w:tmpl w:val="74BE046C"/>
    <w:lvl w:ilvl="0" w:tplc="06AE7DCC">
      <w:start w:val="28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3957691">
    <w:abstractNumId w:val="13"/>
  </w:num>
  <w:num w:numId="2" w16cid:durableId="31268292">
    <w:abstractNumId w:val="6"/>
  </w:num>
  <w:num w:numId="3" w16cid:durableId="137497011">
    <w:abstractNumId w:val="5"/>
  </w:num>
  <w:num w:numId="4" w16cid:durableId="283460891">
    <w:abstractNumId w:val="4"/>
  </w:num>
  <w:num w:numId="5" w16cid:durableId="2084596670">
    <w:abstractNumId w:val="8"/>
  </w:num>
  <w:num w:numId="6" w16cid:durableId="1761875101">
    <w:abstractNumId w:val="3"/>
  </w:num>
  <w:num w:numId="7" w16cid:durableId="344404947">
    <w:abstractNumId w:val="2"/>
  </w:num>
  <w:num w:numId="8" w16cid:durableId="1587615189">
    <w:abstractNumId w:val="1"/>
  </w:num>
  <w:num w:numId="9" w16cid:durableId="532694604">
    <w:abstractNumId w:val="0"/>
  </w:num>
  <w:num w:numId="10" w16cid:durableId="1487552986">
    <w:abstractNumId w:val="9"/>
  </w:num>
  <w:num w:numId="11" w16cid:durableId="2058311296">
    <w:abstractNumId w:val="7"/>
  </w:num>
  <w:num w:numId="12" w16cid:durableId="857427147">
    <w:abstractNumId w:val="12"/>
  </w:num>
  <w:num w:numId="13" w16cid:durableId="1488329182">
    <w:abstractNumId w:val="22"/>
  </w:num>
  <w:num w:numId="14" w16cid:durableId="459111852">
    <w:abstractNumId w:val="21"/>
  </w:num>
  <w:num w:numId="15" w16cid:durableId="144785641">
    <w:abstractNumId w:val="15"/>
  </w:num>
  <w:num w:numId="16" w16cid:durableId="313412457">
    <w:abstractNumId w:val="10"/>
  </w:num>
  <w:num w:numId="17" w16cid:durableId="1748650838">
    <w:abstractNumId w:val="11"/>
  </w:num>
  <w:num w:numId="18" w16cid:durableId="1811822117">
    <w:abstractNumId w:val="16"/>
  </w:num>
  <w:num w:numId="19" w16cid:durableId="1378243963">
    <w:abstractNumId w:val="18"/>
  </w:num>
  <w:num w:numId="20" w16cid:durableId="836188528">
    <w:abstractNumId w:val="19"/>
  </w:num>
  <w:num w:numId="21" w16cid:durableId="1739790668">
    <w:abstractNumId w:val="17"/>
  </w:num>
  <w:num w:numId="22" w16cid:durableId="1425374532">
    <w:abstractNumId w:val="14"/>
  </w:num>
  <w:num w:numId="23" w16cid:durableId="192033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94"/>
  <w:hyphenationZone w:val="425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4D"/>
    <w:rsid w:val="00002849"/>
    <w:rsid w:val="00003D39"/>
    <w:rsid w:val="00004474"/>
    <w:rsid w:val="00006739"/>
    <w:rsid w:val="00027907"/>
    <w:rsid w:val="000473FF"/>
    <w:rsid w:val="000522D1"/>
    <w:rsid w:val="00067954"/>
    <w:rsid w:val="00081122"/>
    <w:rsid w:val="00096F01"/>
    <w:rsid w:val="000A079C"/>
    <w:rsid w:val="000B30D7"/>
    <w:rsid w:val="000B4F10"/>
    <w:rsid w:val="000B55B6"/>
    <w:rsid w:val="000E5798"/>
    <w:rsid w:val="000F312E"/>
    <w:rsid w:val="000F6D38"/>
    <w:rsid w:val="00102C19"/>
    <w:rsid w:val="001048FC"/>
    <w:rsid w:val="00113EE4"/>
    <w:rsid w:val="001231D6"/>
    <w:rsid w:val="00125932"/>
    <w:rsid w:val="00132731"/>
    <w:rsid w:val="001402C0"/>
    <w:rsid w:val="00140B98"/>
    <w:rsid w:val="001568ED"/>
    <w:rsid w:val="00165C44"/>
    <w:rsid w:val="0017413D"/>
    <w:rsid w:val="00174247"/>
    <w:rsid w:val="00182385"/>
    <w:rsid w:val="00183CAB"/>
    <w:rsid w:val="00190E2F"/>
    <w:rsid w:val="00192226"/>
    <w:rsid w:val="00196389"/>
    <w:rsid w:val="00197749"/>
    <w:rsid w:val="001B03B8"/>
    <w:rsid w:val="001C119C"/>
    <w:rsid w:val="001D2146"/>
    <w:rsid w:val="001D2176"/>
    <w:rsid w:val="001E0B6B"/>
    <w:rsid w:val="001F23C7"/>
    <w:rsid w:val="001F264B"/>
    <w:rsid w:val="00201143"/>
    <w:rsid w:val="002137FD"/>
    <w:rsid w:val="002144CB"/>
    <w:rsid w:val="00227073"/>
    <w:rsid w:val="00230502"/>
    <w:rsid w:val="00242646"/>
    <w:rsid w:val="002434E6"/>
    <w:rsid w:val="00247DCE"/>
    <w:rsid w:val="00271843"/>
    <w:rsid w:val="0027590E"/>
    <w:rsid w:val="00284682"/>
    <w:rsid w:val="002971E7"/>
    <w:rsid w:val="002B261D"/>
    <w:rsid w:val="002C0F17"/>
    <w:rsid w:val="002C1FE8"/>
    <w:rsid w:val="002D0536"/>
    <w:rsid w:val="002D3483"/>
    <w:rsid w:val="002D7FD4"/>
    <w:rsid w:val="002E6ECC"/>
    <w:rsid w:val="002E7058"/>
    <w:rsid w:val="002F4285"/>
    <w:rsid w:val="00303491"/>
    <w:rsid w:val="00304728"/>
    <w:rsid w:val="0030719D"/>
    <w:rsid w:val="00307D29"/>
    <w:rsid w:val="00314E5F"/>
    <w:rsid w:val="00340205"/>
    <w:rsid w:val="00351106"/>
    <w:rsid w:val="00357119"/>
    <w:rsid w:val="00380511"/>
    <w:rsid w:val="003864B4"/>
    <w:rsid w:val="00393745"/>
    <w:rsid w:val="003A174E"/>
    <w:rsid w:val="003D017C"/>
    <w:rsid w:val="003D307E"/>
    <w:rsid w:val="003D40E1"/>
    <w:rsid w:val="003F15D8"/>
    <w:rsid w:val="00402F6B"/>
    <w:rsid w:val="00422D17"/>
    <w:rsid w:val="0042647B"/>
    <w:rsid w:val="0044201D"/>
    <w:rsid w:val="00454B79"/>
    <w:rsid w:val="00467E73"/>
    <w:rsid w:val="00475413"/>
    <w:rsid w:val="00475725"/>
    <w:rsid w:val="00482D16"/>
    <w:rsid w:val="004910A2"/>
    <w:rsid w:val="004B094A"/>
    <w:rsid w:val="004D79B4"/>
    <w:rsid w:val="004E1620"/>
    <w:rsid w:val="004E7D1E"/>
    <w:rsid w:val="004F1AC3"/>
    <w:rsid w:val="004F2588"/>
    <w:rsid w:val="005007FB"/>
    <w:rsid w:val="00506547"/>
    <w:rsid w:val="00511801"/>
    <w:rsid w:val="00516344"/>
    <w:rsid w:val="0052017F"/>
    <w:rsid w:val="005273AC"/>
    <w:rsid w:val="00527EAF"/>
    <w:rsid w:val="005514CA"/>
    <w:rsid w:val="005570BF"/>
    <w:rsid w:val="0056060A"/>
    <w:rsid w:val="00561D91"/>
    <w:rsid w:val="00575822"/>
    <w:rsid w:val="00577803"/>
    <w:rsid w:val="00584B8F"/>
    <w:rsid w:val="0059020C"/>
    <w:rsid w:val="00591053"/>
    <w:rsid w:val="005960C8"/>
    <w:rsid w:val="005A018F"/>
    <w:rsid w:val="005A3129"/>
    <w:rsid w:val="005B0704"/>
    <w:rsid w:val="005B3363"/>
    <w:rsid w:val="005B530B"/>
    <w:rsid w:val="005C397A"/>
    <w:rsid w:val="005C43CD"/>
    <w:rsid w:val="005D6161"/>
    <w:rsid w:val="005D6A35"/>
    <w:rsid w:val="005E066B"/>
    <w:rsid w:val="005E7306"/>
    <w:rsid w:val="005F01A2"/>
    <w:rsid w:val="005F24EB"/>
    <w:rsid w:val="005F3E06"/>
    <w:rsid w:val="005F3FD2"/>
    <w:rsid w:val="00607FA9"/>
    <w:rsid w:val="00621244"/>
    <w:rsid w:val="006338BF"/>
    <w:rsid w:val="00656475"/>
    <w:rsid w:val="00667C08"/>
    <w:rsid w:val="00680CA6"/>
    <w:rsid w:val="00686ACA"/>
    <w:rsid w:val="006969DE"/>
    <w:rsid w:val="006B5F4D"/>
    <w:rsid w:val="006D315A"/>
    <w:rsid w:val="006F0DD4"/>
    <w:rsid w:val="006F245A"/>
    <w:rsid w:val="007018B4"/>
    <w:rsid w:val="00710B41"/>
    <w:rsid w:val="00733CDF"/>
    <w:rsid w:val="007362CE"/>
    <w:rsid w:val="00794E1C"/>
    <w:rsid w:val="00796F0C"/>
    <w:rsid w:val="007B1739"/>
    <w:rsid w:val="007C58FE"/>
    <w:rsid w:val="007D7E68"/>
    <w:rsid w:val="007F2D7A"/>
    <w:rsid w:val="00802B34"/>
    <w:rsid w:val="00805233"/>
    <w:rsid w:val="00811188"/>
    <w:rsid w:val="008113E9"/>
    <w:rsid w:val="00815E12"/>
    <w:rsid w:val="0081778C"/>
    <w:rsid w:val="0082253F"/>
    <w:rsid w:val="0083115C"/>
    <w:rsid w:val="00843DD0"/>
    <w:rsid w:val="00846C0D"/>
    <w:rsid w:val="0085112A"/>
    <w:rsid w:val="008656C3"/>
    <w:rsid w:val="0087705A"/>
    <w:rsid w:val="0088271D"/>
    <w:rsid w:val="00894394"/>
    <w:rsid w:val="00894DB4"/>
    <w:rsid w:val="008B11B0"/>
    <w:rsid w:val="008B203E"/>
    <w:rsid w:val="008B76A0"/>
    <w:rsid w:val="008C5CCB"/>
    <w:rsid w:val="008C6A66"/>
    <w:rsid w:val="008C733D"/>
    <w:rsid w:val="00904910"/>
    <w:rsid w:val="009067BA"/>
    <w:rsid w:val="00912A86"/>
    <w:rsid w:val="009230F4"/>
    <w:rsid w:val="00925FAA"/>
    <w:rsid w:val="0092641A"/>
    <w:rsid w:val="00930F9D"/>
    <w:rsid w:val="009352F6"/>
    <w:rsid w:val="00936CB4"/>
    <w:rsid w:val="009533AE"/>
    <w:rsid w:val="0096112A"/>
    <w:rsid w:val="00962771"/>
    <w:rsid w:val="00962AC4"/>
    <w:rsid w:val="009643BD"/>
    <w:rsid w:val="00964A11"/>
    <w:rsid w:val="00970B2D"/>
    <w:rsid w:val="009719C7"/>
    <w:rsid w:val="00972570"/>
    <w:rsid w:val="009845C0"/>
    <w:rsid w:val="00997D66"/>
    <w:rsid w:val="009B4D45"/>
    <w:rsid w:val="009C6655"/>
    <w:rsid w:val="009E3938"/>
    <w:rsid w:val="009E6D79"/>
    <w:rsid w:val="00A0453F"/>
    <w:rsid w:val="00A163C1"/>
    <w:rsid w:val="00A177D7"/>
    <w:rsid w:val="00A2420C"/>
    <w:rsid w:val="00A56CCF"/>
    <w:rsid w:val="00A70D90"/>
    <w:rsid w:val="00A96D62"/>
    <w:rsid w:val="00AB28A0"/>
    <w:rsid w:val="00AB2BD9"/>
    <w:rsid w:val="00AC1496"/>
    <w:rsid w:val="00AE09F4"/>
    <w:rsid w:val="00AE20DD"/>
    <w:rsid w:val="00AE2234"/>
    <w:rsid w:val="00AE46C8"/>
    <w:rsid w:val="00AE7C5A"/>
    <w:rsid w:val="00AF5F81"/>
    <w:rsid w:val="00AF6ABB"/>
    <w:rsid w:val="00B16E8C"/>
    <w:rsid w:val="00B22D33"/>
    <w:rsid w:val="00B244FA"/>
    <w:rsid w:val="00B452E5"/>
    <w:rsid w:val="00B460E7"/>
    <w:rsid w:val="00B60FFE"/>
    <w:rsid w:val="00B71581"/>
    <w:rsid w:val="00B978E1"/>
    <w:rsid w:val="00B97F45"/>
    <w:rsid w:val="00BC55BF"/>
    <w:rsid w:val="00BC6301"/>
    <w:rsid w:val="00BD0CA5"/>
    <w:rsid w:val="00BD27D1"/>
    <w:rsid w:val="00BE0ABF"/>
    <w:rsid w:val="00BE0D0E"/>
    <w:rsid w:val="00BE5AAE"/>
    <w:rsid w:val="00BF3DD6"/>
    <w:rsid w:val="00C04244"/>
    <w:rsid w:val="00C1100F"/>
    <w:rsid w:val="00C46925"/>
    <w:rsid w:val="00C50B28"/>
    <w:rsid w:val="00C53F27"/>
    <w:rsid w:val="00C54E76"/>
    <w:rsid w:val="00C71576"/>
    <w:rsid w:val="00C93F89"/>
    <w:rsid w:val="00C94B6E"/>
    <w:rsid w:val="00CA1A37"/>
    <w:rsid w:val="00CA2096"/>
    <w:rsid w:val="00CA6DBE"/>
    <w:rsid w:val="00CB4BE8"/>
    <w:rsid w:val="00CC17A5"/>
    <w:rsid w:val="00CC4092"/>
    <w:rsid w:val="00CC48AA"/>
    <w:rsid w:val="00CC6EA6"/>
    <w:rsid w:val="00CD2E0B"/>
    <w:rsid w:val="00CD71D4"/>
    <w:rsid w:val="00CE240B"/>
    <w:rsid w:val="00CE6EB7"/>
    <w:rsid w:val="00CF545E"/>
    <w:rsid w:val="00CF73A8"/>
    <w:rsid w:val="00D07A74"/>
    <w:rsid w:val="00D14F93"/>
    <w:rsid w:val="00D2107D"/>
    <w:rsid w:val="00D23D39"/>
    <w:rsid w:val="00D30A6C"/>
    <w:rsid w:val="00D30FE6"/>
    <w:rsid w:val="00D34703"/>
    <w:rsid w:val="00D52BE1"/>
    <w:rsid w:val="00D53994"/>
    <w:rsid w:val="00D85FA6"/>
    <w:rsid w:val="00DA348F"/>
    <w:rsid w:val="00DB3D2A"/>
    <w:rsid w:val="00DC7E91"/>
    <w:rsid w:val="00DD5088"/>
    <w:rsid w:val="00DD670F"/>
    <w:rsid w:val="00DE149B"/>
    <w:rsid w:val="00DF4BE4"/>
    <w:rsid w:val="00DF4E37"/>
    <w:rsid w:val="00E103BB"/>
    <w:rsid w:val="00E12EB0"/>
    <w:rsid w:val="00E1601B"/>
    <w:rsid w:val="00E16062"/>
    <w:rsid w:val="00E3032C"/>
    <w:rsid w:val="00E33FA2"/>
    <w:rsid w:val="00E45AFF"/>
    <w:rsid w:val="00E45CFF"/>
    <w:rsid w:val="00E577A6"/>
    <w:rsid w:val="00E6418C"/>
    <w:rsid w:val="00E650A3"/>
    <w:rsid w:val="00E721FD"/>
    <w:rsid w:val="00E726E9"/>
    <w:rsid w:val="00E736B4"/>
    <w:rsid w:val="00E9048A"/>
    <w:rsid w:val="00E964C9"/>
    <w:rsid w:val="00EC2BCA"/>
    <w:rsid w:val="00EE5B6B"/>
    <w:rsid w:val="00EF0744"/>
    <w:rsid w:val="00EF3E9A"/>
    <w:rsid w:val="00EF7CB5"/>
    <w:rsid w:val="00F1320B"/>
    <w:rsid w:val="00F22C87"/>
    <w:rsid w:val="00F244F0"/>
    <w:rsid w:val="00F3359B"/>
    <w:rsid w:val="00F34C39"/>
    <w:rsid w:val="00F35D43"/>
    <w:rsid w:val="00F40BC5"/>
    <w:rsid w:val="00F615CE"/>
    <w:rsid w:val="00F7560F"/>
    <w:rsid w:val="00F82120"/>
    <w:rsid w:val="00F82FD6"/>
    <w:rsid w:val="00F939BC"/>
    <w:rsid w:val="00F95755"/>
    <w:rsid w:val="00F97C53"/>
    <w:rsid w:val="00FA3938"/>
    <w:rsid w:val="00FC3300"/>
    <w:rsid w:val="00FD462C"/>
    <w:rsid w:val="00FE473D"/>
    <w:rsid w:val="00FF1B80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38B34"/>
  <w15:docId w15:val="{0826C590-D917-4BCE-9E0A-4083150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176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2971E7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2971E7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C50B28"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50B28"/>
    <w:pPr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50B2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177D7"/>
    <w:pPr>
      <w:ind w:left="1588" w:righ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177D7"/>
    <w:pPr>
      <w:outlineLvl w:val="6"/>
    </w:pPr>
  </w:style>
  <w:style w:type="paragraph" w:styleId="Heading8">
    <w:name w:val="heading 8"/>
    <w:basedOn w:val="Heading6"/>
    <w:next w:val="Normal"/>
    <w:qFormat/>
    <w:rsid w:val="00A177D7"/>
    <w:pPr>
      <w:outlineLvl w:val="7"/>
    </w:pPr>
  </w:style>
  <w:style w:type="paragraph" w:styleId="Heading9">
    <w:name w:val="heading 9"/>
    <w:basedOn w:val="Heading6"/>
    <w:next w:val="Normal"/>
    <w:qFormat/>
    <w:rsid w:val="00A177D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ECC"/>
    <w:rPr>
      <w:rFonts w:ascii="Times New Roman Bold" w:hAnsi="Times New Roman Bold" w:cs="Traditional Arabic"/>
      <w:b/>
      <w:bCs/>
      <w:sz w:val="26"/>
      <w:szCs w:val="36"/>
      <w:lang w:eastAsia="fr-FR"/>
    </w:rPr>
  </w:style>
  <w:style w:type="paragraph" w:customStyle="1" w:styleId="Artheading">
    <w:name w:val="Art_heading"/>
    <w:basedOn w:val="Normal"/>
    <w:next w:val="Normalaftertitle"/>
    <w:link w:val="ArtheadingChar"/>
    <w:rsid w:val="00A177D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177D7"/>
    <w:pPr>
      <w:spacing w:before="360"/>
    </w:pPr>
  </w:style>
  <w:style w:type="character" w:customStyle="1" w:styleId="ArtheadingChar">
    <w:name w:val="Art_heading Char"/>
    <w:basedOn w:val="DefaultParagraphFont"/>
    <w:link w:val="Artheading"/>
    <w:rsid w:val="001568ED"/>
    <w:rPr>
      <w:rFonts w:cs="Traditional Arabic"/>
      <w:b/>
      <w:sz w:val="28"/>
      <w:szCs w:val="30"/>
      <w:lang w:val="en-US" w:eastAsia="fr-FR" w:bidi="ar-SA"/>
    </w:rPr>
  </w:style>
  <w:style w:type="paragraph" w:customStyle="1" w:styleId="ChapNo">
    <w:name w:val="Chap_No"/>
    <w:basedOn w:val="Normal"/>
    <w:next w:val="Chaptitle"/>
    <w:rsid w:val="00A177D7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A177D7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aftertitle"/>
    <w:rsid w:val="00307D29"/>
  </w:style>
  <w:style w:type="paragraph" w:customStyle="1" w:styleId="AnnexNotitle">
    <w:name w:val="Annex_No &amp; title"/>
    <w:basedOn w:val="Heading1"/>
    <w:next w:val="Normalaftertitle"/>
    <w:rsid w:val="000E5798"/>
    <w:pPr>
      <w:spacing w:before="240"/>
      <w:ind w:left="0" w:firstLine="0"/>
      <w:jc w:val="center"/>
    </w:pPr>
    <w:rPr>
      <w:rFonts w:eastAsia="SimSun"/>
      <w:lang w:bidi="ar-EG"/>
    </w:rPr>
  </w:style>
  <w:style w:type="paragraph" w:customStyle="1" w:styleId="ASN1">
    <w:name w:val="ASN.1"/>
    <w:basedOn w:val="Normal"/>
    <w:semiHidden/>
    <w:rsid w:val="00A177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177D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177D7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A177D7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rsid w:val="00DD670F"/>
    <w:pPr>
      <w:keepNext/>
      <w:keepLines/>
      <w:spacing w:before="160"/>
      <w:ind w:left="794"/>
    </w:pPr>
    <w:rPr>
      <w:i/>
      <w:iCs/>
      <w:lang w:eastAsia="en-US" w:bidi="ar-EG"/>
    </w:rPr>
  </w:style>
  <w:style w:type="paragraph" w:customStyle="1" w:styleId="enumlev1">
    <w:name w:val="enumlev1"/>
    <w:basedOn w:val="Normal"/>
    <w:rsid w:val="00E33FA2"/>
    <w:pPr>
      <w:spacing w:before="80"/>
      <w:ind w:left="794" w:hanging="794"/>
    </w:pPr>
    <w:rPr>
      <w:lang w:bidi="ar-EG"/>
    </w:rPr>
  </w:style>
  <w:style w:type="paragraph" w:customStyle="1" w:styleId="enumlev2">
    <w:name w:val="enumlev2"/>
    <w:basedOn w:val="enumlev1"/>
    <w:rsid w:val="00E33FA2"/>
    <w:pPr>
      <w:spacing w:before="60"/>
      <w:ind w:left="1248" w:hanging="454"/>
    </w:pPr>
  </w:style>
  <w:style w:type="paragraph" w:customStyle="1" w:styleId="enumlev3">
    <w:name w:val="enumlev3"/>
    <w:basedOn w:val="enumlev2"/>
    <w:rsid w:val="00E33FA2"/>
    <w:pPr>
      <w:ind w:left="1701"/>
    </w:pPr>
  </w:style>
  <w:style w:type="paragraph" w:customStyle="1" w:styleId="Equation">
    <w:name w:val="Equation"/>
    <w:basedOn w:val="Normal"/>
    <w:rsid w:val="004F1AC3"/>
    <w:pPr>
      <w:tabs>
        <w:tab w:val="center" w:pos="4820"/>
        <w:tab w:val="right" w:pos="9639"/>
      </w:tabs>
      <w:spacing w:line="240" w:lineRule="auto"/>
    </w:pPr>
    <w:rPr>
      <w:rFonts w:eastAsia="SimSun"/>
      <w:lang w:eastAsia="zh-CN"/>
    </w:rPr>
  </w:style>
  <w:style w:type="paragraph" w:customStyle="1" w:styleId="Equationlegend">
    <w:name w:val="Equation_legend"/>
    <w:basedOn w:val="Normal"/>
    <w:rsid w:val="000F312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177D7"/>
    <w:pPr>
      <w:keepNext/>
      <w:keepLines/>
      <w:spacing w:before="20" w:after="20"/>
    </w:pPr>
    <w:rPr>
      <w:sz w:val="18"/>
    </w:rPr>
  </w:style>
  <w:style w:type="character" w:styleId="PageNumber">
    <w:name w:val="page number"/>
    <w:basedOn w:val="DefaultParagraphFont"/>
    <w:rsid w:val="00A177D7"/>
  </w:style>
  <w:style w:type="paragraph" w:customStyle="1" w:styleId="Tabletext">
    <w:name w:val="Table_text"/>
    <w:basedOn w:val="Normal"/>
    <w:rsid w:val="00CF545E"/>
    <w:pPr>
      <w:spacing w:before="20" w:after="60" w:line="260" w:lineRule="exact"/>
      <w:jc w:val="left"/>
    </w:pPr>
    <w:rPr>
      <w:sz w:val="20"/>
      <w:szCs w:val="26"/>
    </w:rPr>
  </w:style>
  <w:style w:type="paragraph" w:styleId="Footer">
    <w:name w:val="footer"/>
    <w:aliases w:val="pie de página,fo"/>
    <w:basedOn w:val="Normal"/>
    <w:link w:val="FooterChar"/>
    <w:rsid w:val="00A177D7"/>
    <w:pPr>
      <w:tabs>
        <w:tab w:val="left" w:pos="5954"/>
        <w:tab w:val="right" w:pos="9639"/>
      </w:tabs>
      <w:spacing w:before="0" w:line="168" w:lineRule="auto"/>
    </w:pPr>
    <w:rPr>
      <w:caps/>
      <w:noProof/>
      <w:sz w:val="16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2E6ECC"/>
    <w:rPr>
      <w:rFonts w:ascii="Times New Roman" w:hAnsi="Times New Roman" w:cs="Traditional Arabic"/>
      <w:caps/>
      <w:noProof/>
      <w:sz w:val="16"/>
      <w:szCs w:val="30"/>
      <w:lang w:eastAsia="fr-FR"/>
    </w:rPr>
  </w:style>
  <w:style w:type="paragraph" w:customStyle="1" w:styleId="FirstFooter">
    <w:name w:val="FirstFooter"/>
    <w:basedOn w:val="Footer"/>
    <w:rsid w:val="00A177D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97D66"/>
    <w:rPr>
      <w:rFonts w:ascii="Times New Roman" w:hAnsi="Times New Roman" w:cs="Times New Roman"/>
      <w:position w:val="6"/>
      <w:sz w:val="18"/>
      <w:szCs w:val="18"/>
      <w:vertAlign w:val="baseline"/>
    </w:rPr>
  </w:style>
  <w:style w:type="paragraph" w:styleId="FootnoteText">
    <w:name w:val="footnote text"/>
    <w:basedOn w:val="Note"/>
    <w:link w:val="FootnoteTextChar"/>
    <w:rsid w:val="001D2176"/>
    <w:pPr>
      <w:keepLines/>
      <w:tabs>
        <w:tab w:val="clear" w:pos="794"/>
        <w:tab w:val="clear" w:pos="907"/>
        <w:tab w:val="clear" w:pos="1191"/>
        <w:tab w:val="clear" w:pos="1588"/>
        <w:tab w:val="clear" w:pos="1985"/>
        <w:tab w:val="left" w:pos="425"/>
      </w:tabs>
      <w:spacing w:before="60"/>
      <w:ind w:left="425" w:hanging="425"/>
    </w:pPr>
  </w:style>
  <w:style w:type="paragraph" w:customStyle="1" w:styleId="Note">
    <w:name w:val="Note"/>
    <w:basedOn w:val="Normal"/>
    <w:rsid w:val="004B094A"/>
    <w:pPr>
      <w:tabs>
        <w:tab w:val="left" w:pos="794"/>
        <w:tab w:val="left" w:pos="907"/>
        <w:tab w:val="left" w:pos="1191"/>
        <w:tab w:val="left" w:pos="1588"/>
        <w:tab w:val="left" w:pos="1985"/>
      </w:tabs>
      <w:spacing w:before="80"/>
    </w:pPr>
    <w:rPr>
      <w:sz w:val="20"/>
      <w:szCs w:val="2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D2176"/>
    <w:rPr>
      <w:rFonts w:ascii="Times New Roman" w:hAnsi="Times New Roman" w:cs="Traditional Arabic"/>
      <w:szCs w:val="26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"/>
    <w:basedOn w:val="Normal"/>
    <w:link w:val="HeaderChar"/>
    <w:uiPriority w:val="99"/>
    <w:rsid w:val="00E1601B"/>
    <w:pPr>
      <w:spacing w:before="0" w:line="300" w:lineRule="exact"/>
      <w:jc w:val="center"/>
    </w:pPr>
    <w:rPr>
      <w:rFonts w:ascii="Times New Roman Bold" w:hAnsi="Times New Roman Bold"/>
      <w:b/>
      <w:bCs/>
    </w:r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E6ECC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paragraph" w:styleId="Index1">
    <w:name w:val="index 1"/>
    <w:basedOn w:val="Normal"/>
    <w:next w:val="Normal"/>
    <w:semiHidden/>
    <w:rsid w:val="00A177D7"/>
  </w:style>
  <w:style w:type="paragraph" w:styleId="Index2">
    <w:name w:val="index 2"/>
    <w:basedOn w:val="Normal"/>
    <w:next w:val="Normal"/>
    <w:semiHidden/>
    <w:rsid w:val="00A177D7"/>
    <w:pPr>
      <w:ind w:left="283" w:right="283"/>
    </w:pPr>
  </w:style>
  <w:style w:type="paragraph" w:styleId="Index3">
    <w:name w:val="index 3"/>
    <w:basedOn w:val="Normal"/>
    <w:next w:val="Normal"/>
    <w:semiHidden/>
    <w:rsid w:val="00A177D7"/>
    <w:pPr>
      <w:ind w:left="566" w:right="566"/>
    </w:pPr>
  </w:style>
  <w:style w:type="paragraph" w:customStyle="1" w:styleId="PartNo">
    <w:name w:val="Part_No"/>
    <w:basedOn w:val="Normal"/>
    <w:next w:val="Partref"/>
    <w:rsid w:val="00A177D7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A177D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177D7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ection1">
    <w:name w:val="Section_1"/>
    <w:basedOn w:val="Normal"/>
    <w:next w:val="Normal"/>
    <w:semiHidden/>
    <w:rsid w:val="00A177D7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semiHidden/>
    <w:rsid w:val="00A177D7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F312E"/>
    <w:pPr>
      <w:keepNext/>
      <w:keepLines/>
      <w:jc w:val="right"/>
    </w:pPr>
  </w:style>
  <w:style w:type="paragraph" w:customStyle="1" w:styleId="Questiondate">
    <w:name w:val="Question_date"/>
    <w:basedOn w:val="Recdate"/>
    <w:next w:val="Normalaftertitle"/>
    <w:rsid w:val="00A177D7"/>
  </w:style>
  <w:style w:type="paragraph" w:customStyle="1" w:styleId="QuestionNo">
    <w:name w:val="Question_No"/>
    <w:basedOn w:val="RecNo"/>
    <w:next w:val="Questiontitle"/>
    <w:rsid w:val="00A177D7"/>
    <w:rPr>
      <w:rFonts w:ascii="Times New Roman Bold" w:hAnsi="Times New Roman Bold"/>
      <w:sz w:val="26"/>
      <w:szCs w:val="36"/>
    </w:rPr>
  </w:style>
  <w:style w:type="paragraph" w:customStyle="1" w:styleId="RecNo">
    <w:name w:val="Rec_No"/>
    <w:basedOn w:val="Normal"/>
    <w:next w:val="Rectitle"/>
    <w:link w:val="RecNoChar"/>
    <w:qFormat/>
    <w:rsid w:val="00422D17"/>
    <w:pPr>
      <w:keepNext/>
      <w:keepLines/>
      <w:spacing w:before="0"/>
      <w:jc w:val="center"/>
    </w:pPr>
    <w:rPr>
      <w:rFonts w:eastAsia="NSimSun"/>
      <w:sz w:val="28"/>
      <w:szCs w:val="40"/>
      <w:lang w:bidi="ar-EG"/>
    </w:rPr>
  </w:style>
  <w:style w:type="paragraph" w:customStyle="1" w:styleId="Rectitle">
    <w:name w:val="Rec_title"/>
    <w:basedOn w:val="Normal"/>
    <w:next w:val="Normalaftertitle"/>
    <w:rsid w:val="005E066B"/>
    <w:pPr>
      <w:keepNext/>
      <w:keepLines/>
      <w:spacing w:before="240"/>
      <w:jc w:val="center"/>
    </w:pPr>
    <w:rPr>
      <w:rFonts w:ascii="Times New Roman Bold" w:eastAsia="NSimSun" w:hAnsi="Times New Roman Bold"/>
      <w:b/>
      <w:bCs/>
      <w:sz w:val="28"/>
      <w:szCs w:val="40"/>
      <w:lang w:bidi="ar-EG"/>
    </w:rPr>
  </w:style>
  <w:style w:type="paragraph" w:customStyle="1" w:styleId="Questiontitle">
    <w:name w:val="Question_title"/>
    <w:basedOn w:val="Rectitle"/>
    <w:next w:val="Questionref"/>
    <w:rsid w:val="00A177D7"/>
  </w:style>
  <w:style w:type="paragraph" w:customStyle="1" w:styleId="Questionref">
    <w:name w:val="Question_ref"/>
    <w:basedOn w:val="Recref"/>
    <w:next w:val="Questiondate"/>
    <w:rsid w:val="00843DD0"/>
    <w:rPr>
      <w:i w:val="0"/>
    </w:rPr>
  </w:style>
  <w:style w:type="paragraph" w:customStyle="1" w:styleId="Reftext">
    <w:name w:val="Ref_text"/>
    <w:basedOn w:val="Normal"/>
    <w:rsid w:val="00A177D7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A177D7"/>
  </w:style>
  <w:style w:type="paragraph" w:customStyle="1" w:styleId="RepNo">
    <w:name w:val="Rep_No"/>
    <w:basedOn w:val="RecNo"/>
    <w:next w:val="Reptitle"/>
    <w:semiHidden/>
    <w:rsid w:val="00A177D7"/>
  </w:style>
  <w:style w:type="paragraph" w:customStyle="1" w:styleId="Reptitle">
    <w:name w:val="Rep_title"/>
    <w:basedOn w:val="Rectitle"/>
    <w:next w:val="Repref"/>
    <w:semiHidden/>
    <w:rsid w:val="00A177D7"/>
  </w:style>
  <w:style w:type="paragraph" w:customStyle="1" w:styleId="Repref">
    <w:name w:val="Rep_ref"/>
    <w:basedOn w:val="Recref"/>
    <w:next w:val="Repdate"/>
    <w:semiHidden/>
    <w:rsid w:val="00A177D7"/>
  </w:style>
  <w:style w:type="paragraph" w:customStyle="1" w:styleId="Resdate">
    <w:name w:val="Res_date"/>
    <w:basedOn w:val="Recdate"/>
    <w:next w:val="Normalaftertitle"/>
    <w:rsid w:val="00A177D7"/>
  </w:style>
  <w:style w:type="paragraph" w:customStyle="1" w:styleId="ResNo">
    <w:name w:val="Res_No"/>
    <w:basedOn w:val="RecNo"/>
    <w:next w:val="Restitle"/>
    <w:rsid w:val="005E066B"/>
  </w:style>
  <w:style w:type="paragraph" w:customStyle="1" w:styleId="Restitle">
    <w:name w:val="Res_title"/>
    <w:basedOn w:val="Rectitle"/>
    <w:next w:val="Resref"/>
    <w:rsid w:val="00A177D7"/>
  </w:style>
  <w:style w:type="paragraph" w:customStyle="1" w:styleId="Resref">
    <w:name w:val="Res_ref"/>
    <w:basedOn w:val="Recref"/>
    <w:next w:val="Resdate"/>
    <w:semiHidden/>
    <w:rsid w:val="00A177D7"/>
  </w:style>
  <w:style w:type="paragraph" w:customStyle="1" w:styleId="SectionNo">
    <w:name w:val="Section_No"/>
    <w:basedOn w:val="Normal"/>
    <w:next w:val="Sectiontitle"/>
    <w:rsid w:val="00A177D7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A177D7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aftertitle"/>
    <w:rsid w:val="00A177D7"/>
    <w:pPr>
      <w:spacing w:before="840" w:after="20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pecialFooter">
    <w:name w:val="Special Footer"/>
    <w:basedOn w:val="Footer"/>
    <w:rsid w:val="00A177D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F545E"/>
    <w:pPr>
      <w:keepNext/>
      <w:spacing w:before="40" w:after="80" w:line="260" w:lineRule="exact"/>
      <w:jc w:val="center"/>
    </w:pPr>
    <w:rPr>
      <w:rFonts w:ascii="Times New Roman Bold" w:hAnsi="Times New Roman Bold"/>
      <w:b/>
      <w:bCs/>
      <w:sz w:val="20"/>
      <w:szCs w:val="26"/>
      <w:lang w:eastAsia="en-US"/>
    </w:rPr>
  </w:style>
  <w:style w:type="paragraph" w:customStyle="1" w:styleId="Tablelegend">
    <w:name w:val="Table_legend"/>
    <w:basedOn w:val="Normal"/>
    <w:rsid w:val="00A177D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177D7"/>
    <w:rPr>
      <w:vertAlign w:val="superscript"/>
    </w:rPr>
  </w:style>
  <w:style w:type="paragraph" w:customStyle="1" w:styleId="TableNo">
    <w:name w:val="Table No"/>
    <w:basedOn w:val="Normal"/>
    <w:rsid w:val="001D2176"/>
    <w:pPr>
      <w:keepNext/>
      <w:keepLines/>
      <w:spacing w:before="240"/>
      <w:jc w:val="center"/>
    </w:pPr>
    <w:rPr>
      <w:lang w:bidi="ar-EG"/>
    </w:rPr>
  </w:style>
  <w:style w:type="paragraph" w:customStyle="1" w:styleId="Title1">
    <w:name w:val="Title 1"/>
    <w:basedOn w:val="Source"/>
    <w:next w:val="Title2"/>
    <w:rsid w:val="00A177D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177D7"/>
  </w:style>
  <w:style w:type="paragraph" w:customStyle="1" w:styleId="Title3">
    <w:name w:val="Title 3"/>
    <w:basedOn w:val="Title2"/>
    <w:next w:val="Title4"/>
    <w:rsid w:val="00A177D7"/>
    <w:rPr>
      <w:caps w:val="0"/>
    </w:rPr>
  </w:style>
  <w:style w:type="paragraph" w:customStyle="1" w:styleId="Title4">
    <w:name w:val="Title 4"/>
    <w:basedOn w:val="Title3"/>
    <w:next w:val="Heading1"/>
    <w:rsid w:val="00A177D7"/>
    <w:rPr>
      <w:b/>
    </w:rPr>
  </w:style>
  <w:style w:type="paragraph" w:styleId="DocumentMap">
    <w:name w:val="Document Map"/>
    <w:basedOn w:val="Normal"/>
    <w:link w:val="DocumentMapChar"/>
    <w:rsid w:val="0019774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97749"/>
    <w:rPr>
      <w:rFonts w:ascii="Tahoma" w:hAnsi="Tahoma" w:cs="Tahoma"/>
      <w:sz w:val="16"/>
      <w:szCs w:val="16"/>
      <w:lang w:eastAsia="fr-FR"/>
    </w:rPr>
  </w:style>
  <w:style w:type="paragraph" w:styleId="TOC1">
    <w:name w:val="toc 1"/>
    <w:basedOn w:val="Normal"/>
    <w:uiPriority w:val="39"/>
    <w:rsid w:val="00F615CE"/>
    <w:pPr>
      <w:tabs>
        <w:tab w:val="right" w:leader="dot" w:pos="8788"/>
        <w:tab w:val="right" w:pos="9497"/>
      </w:tabs>
      <w:ind w:left="663" w:right="851" w:hanging="663"/>
    </w:pPr>
    <w:rPr>
      <w:lang w:bidi="ar-SY"/>
    </w:rPr>
  </w:style>
  <w:style w:type="paragraph" w:styleId="TOC2">
    <w:name w:val="toc 2"/>
    <w:basedOn w:val="TOC1"/>
    <w:rsid w:val="000F312E"/>
    <w:pPr>
      <w:spacing w:before="60"/>
      <w:ind w:left="1309" w:hanging="629"/>
    </w:pPr>
  </w:style>
  <w:style w:type="paragraph" w:styleId="TOC3">
    <w:name w:val="toc 3"/>
    <w:basedOn w:val="TOC2"/>
    <w:rsid w:val="000F312E"/>
    <w:pPr>
      <w:spacing w:before="0"/>
      <w:ind w:left="2035" w:hanging="754"/>
    </w:pPr>
  </w:style>
  <w:style w:type="paragraph" w:styleId="TOC4">
    <w:name w:val="toc 4"/>
    <w:basedOn w:val="TOC3"/>
    <w:semiHidden/>
    <w:rsid w:val="00A177D7"/>
  </w:style>
  <w:style w:type="paragraph" w:styleId="TOC5">
    <w:name w:val="toc 5"/>
    <w:basedOn w:val="TOC4"/>
    <w:semiHidden/>
    <w:rsid w:val="00A177D7"/>
  </w:style>
  <w:style w:type="paragraph" w:styleId="TOC6">
    <w:name w:val="toc 6"/>
    <w:basedOn w:val="TOC4"/>
    <w:semiHidden/>
    <w:rsid w:val="00A177D7"/>
  </w:style>
  <w:style w:type="paragraph" w:styleId="TOC7">
    <w:name w:val="toc 7"/>
    <w:basedOn w:val="TOC4"/>
    <w:semiHidden/>
    <w:rsid w:val="00A177D7"/>
  </w:style>
  <w:style w:type="paragraph" w:styleId="TOC8">
    <w:name w:val="toc 8"/>
    <w:basedOn w:val="TOC4"/>
    <w:semiHidden/>
    <w:rsid w:val="00A177D7"/>
  </w:style>
  <w:style w:type="character" w:customStyle="1" w:styleId="Appdef">
    <w:name w:val="App_def"/>
    <w:basedOn w:val="DefaultParagraphFont"/>
    <w:semiHidden/>
    <w:rsid w:val="00A177D7"/>
    <w:rPr>
      <w:rFonts w:ascii="Times New Roman" w:hAnsi="Times New Roman"/>
      <w:b/>
    </w:rPr>
  </w:style>
  <w:style w:type="character" w:customStyle="1" w:styleId="Appref">
    <w:name w:val="App_ref"/>
    <w:basedOn w:val="DefaultParagraphFont"/>
    <w:semiHidden/>
    <w:rsid w:val="00A177D7"/>
  </w:style>
  <w:style w:type="character" w:customStyle="1" w:styleId="Artdef">
    <w:name w:val="Art_def"/>
    <w:basedOn w:val="DefaultParagraphFont"/>
    <w:semiHidden/>
    <w:rsid w:val="00A177D7"/>
    <w:rPr>
      <w:rFonts w:ascii="Times New Roman" w:hAnsi="Times New Roman"/>
      <w:b/>
    </w:rPr>
  </w:style>
  <w:style w:type="paragraph" w:customStyle="1" w:styleId="FigureNo">
    <w:name w:val="Figure_No"/>
    <w:basedOn w:val="Normal"/>
    <w:rsid w:val="003864B4"/>
    <w:pPr>
      <w:keepNext/>
      <w:keepLines/>
      <w:spacing w:before="240" w:after="80"/>
      <w:jc w:val="center"/>
    </w:pPr>
    <w:rPr>
      <w:rFonts w:hAnsi="Times New Roman Bold"/>
      <w:lang w:val="fr-FR" w:bidi="ar-EG"/>
    </w:rPr>
  </w:style>
  <w:style w:type="paragraph" w:customStyle="1" w:styleId="Reftitle">
    <w:name w:val="Ref_title"/>
    <w:basedOn w:val="Normal"/>
    <w:next w:val="Reftext"/>
    <w:rsid w:val="00A177D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semiHidden/>
    <w:rsid w:val="00A177D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semiHidden/>
    <w:rsid w:val="00A177D7"/>
    <w:rPr>
      <w:b/>
      <w:color w:val="auto"/>
    </w:rPr>
  </w:style>
  <w:style w:type="paragraph" w:customStyle="1" w:styleId="Formal">
    <w:name w:val="Formal"/>
    <w:basedOn w:val="ASN1"/>
    <w:semiHidden/>
    <w:rsid w:val="00A177D7"/>
    <w:rPr>
      <w:b w:val="0"/>
    </w:rPr>
  </w:style>
  <w:style w:type="paragraph" w:customStyle="1" w:styleId="FooterQP">
    <w:name w:val="Footer_QP"/>
    <w:basedOn w:val="Normal"/>
    <w:rsid w:val="00A177D7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50B28"/>
    <w:pPr>
      <w:keepNext/>
      <w:spacing w:before="180"/>
    </w:pPr>
    <w:rPr>
      <w:rFonts w:ascii="Times New Roman Bold" w:hAnsi="Times New Roman Bold"/>
      <w:b/>
      <w:bCs/>
    </w:rPr>
  </w:style>
  <w:style w:type="paragraph" w:customStyle="1" w:styleId="Section2">
    <w:name w:val="Section_2"/>
    <w:basedOn w:val="Normal"/>
    <w:next w:val="Normal"/>
    <w:semiHidden/>
    <w:rsid w:val="00A177D7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177D7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A177D7"/>
  </w:style>
  <w:style w:type="paragraph" w:customStyle="1" w:styleId="RepNoBR">
    <w:name w:val="Rep_No_BR"/>
    <w:basedOn w:val="RecNoBR"/>
    <w:next w:val="Reptitle"/>
    <w:semiHidden/>
    <w:rsid w:val="00A177D7"/>
  </w:style>
  <w:style w:type="paragraph" w:customStyle="1" w:styleId="ResNoBR">
    <w:name w:val="Res_No_BR"/>
    <w:basedOn w:val="RecNoBR"/>
    <w:next w:val="Restitle"/>
    <w:rsid w:val="00A177D7"/>
  </w:style>
  <w:style w:type="paragraph" w:customStyle="1" w:styleId="Tabletitle">
    <w:name w:val="Table_title"/>
    <w:basedOn w:val="TableNo"/>
    <w:rsid w:val="001D2176"/>
    <w:pPr>
      <w:spacing w:before="120" w:after="80"/>
    </w:pPr>
    <w:rPr>
      <w:rFonts w:ascii="Times New Roman Bold" w:hAnsi="Times New Roman Bold"/>
      <w:b/>
      <w:bCs/>
    </w:rPr>
  </w:style>
  <w:style w:type="paragraph" w:customStyle="1" w:styleId="Tableref">
    <w:name w:val="Table_ref"/>
    <w:basedOn w:val="Normal"/>
    <w:next w:val="Normal"/>
    <w:semiHidden/>
    <w:rsid w:val="00A177D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semiHidden/>
    <w:rsid w:val="00A177D7"/>
    <w:rPr>
      <w:b/>
    </w:rPr>
  </w:style>
  <w:style w:type="paragraph" w:styleId="BodyText">
    <w:name w:val="Body Text"/>
    <w:basedOn w:val="Normal"/>
    <w:link w:val="BodyTextChar"/>
    <w:rsid w:val="00C94B6E"/>
    <w:pPr>
      <w:widowControl w:val="0"/>
      <w:spacing w:before="240"/>
    </w:pPr>
    <w:rPr>
      <w:szCs w:val="26"/>
    </w:rPr>
  </w:style>
  <w:style w:type="character" w:customStyle="1" w:styleId="BodyTextChar">
    <w:name w:val="Body Text Char"/>
    <w:basedOn w:val="DefaultParagraphFont"/>
    <w:link w:val="BodyText"/>
    <w:rsid w:val="002E6ECC"/>
    <w:rPr>
      <w:rFonts w:ascii="Times New Roman" w:hAnsi="Times New Roman" w:cs="Traditional Arabic"/>
      <w:sz w:val="22"/>
      <w:szCs w:val="26"/>
      <w:lang w:eastAsia="fr-FR"/>
    </w:rPr>
  </w:style>
  <w:style w:type="paragraph" w:styleId="BlockText">
    <w:name w:val="Block Text"/>
    <w:basedOn w:val="Normal"/>
    <w:semiHidden/>
    <w:rsid w:val="00C94B6E"/>
    <w:pPr>
      <w:widowControl w:val="0"/>
      <w:ind w:left="-1" w:firstLine="721"/>
    </w:pPr>
    <w:rPr>
      <w:szCs w:val="26"/>
    </w:rPr>
  </w:style>
  <w:style w:type="paragraph" w:styleId="BodyTextIndent">
    <w:name w:val="Body Text Indent"/>
    <w:basedOn w:val="Normal"/>
    <w:link w:val="BodyTextIndentChar"/>
    <w:semiHidden/>
    <w:rsid w:val="00C94B6E"/>
    <w:pPr>
      <w:tabs>
        <w:tab w:val="left" w:pos="849"/>
      </w:tabs>
      <w:ind w:left="720"/>
    </w:pPr>
    <w:rPr>
      <w:b/>
      <w:bCs/>
      <w:sz w:val="32"/>
      <w:szCs w:val="32"/>
    </w:rPr>
  </w:style>
  <w:style w:type="paragraph" w:styleId="BodyTextIndent2">
    <w:name w:val="Body Text Indent 2"/>
    <w:basedOn w:val="Normal"/>
    <w:semiHidden/>
    <w:rsid w:val="00C94B6E"/>
    <w:pPr>
      <w:tabs>
        <w:tab w:val="left" w:pos="849"/>
      </w:tabs>
      <w:ind w:left="360"/>
    </w:pPr>
    <w:rPr>
      <w:b/>
      <w:bCs/>
      <w:sz w:val="32"/>
      <w:szCs w:val="32"/>
    </w:rPr>
  </w:style>
  <w:style w:type="paragraph" w:styleId="BodyText2">
    <w:name w:val="Body Text 2"/>
    <w:basedOn w:val="Normal"/>
    <w:rsid w:val="00C94B6E"/>
    <w:pPr>
      <w:tabs>
        <w:tab w:val="left" w:pos="849"/>
      </w:tabs>
    </w:pPr>
    <w:rPr>
      <w:b/>
      <w:bCs/>
      <w:sz w:val="32"/>
      <w:szCs w:val="32"/>
    </w:rPr>
  </w:style>
  <w:style w:type="character" w:styleId="Hyperlink">
    <w:name w:val="Hyperlink"/>
    <w:basedOn w:val="DefaultParagraphFont"/>
    <w:rsid w:val="00DA348F"/>
    <w:rPr>
      <w:color w:val="0000FF"/>
      <w:u w:val="single"/>
    </w:rPr>
  </w:style>
  <w:style w:type="table" w:styleId="TableGrid">
    <w:name w:val="Table Grid"/>
    <w:basedOn w:val="TableNormal"/>
    <w:rsid w:val="005B530B"/>
    <w:pPr>
      <w:tabs>
        <w:tab w:val="left" w:pos="794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itle">
    <w:name w:val="Figure_Title"/>
    <w:basedOn w:val="FigureNo"/>
    <w:next w:val="Normal"/>
    <w:rsid w:val="003864B4"/>
    <w:pPr>
      <w:spacing w:before="120"/>
    </w:pPr>
    <w:rPr>
      <w:rFonts w:ascii="Times New Roman Bold"/>
      <w:b/>
      <w:bCs/>
      <w:sz w:val="20"/>
      <w:szCs w:val="26"/>
    </w:rPr>
  </w:style>
  <w:style w:type="character" w:styleId="FollowedHyperlink">
    <w:name w:val="FollowedHyperlink"/>
    <w:basedOn w:val="DefaultParagraphFont"/>
    <w:rsid w:val="00D2107D"/>
    <w:rPr>
      <w:color w:val="800080"/>
      <w:u w:val="single"/>
    </w:rPr>
  </w:style>
  <w:style w:type="paragraph" w:customStyle="1" w:styleId="IPR">
    <w:name w:val="IPR"/>
    <w:basedOn w:val="Normal"/>
    <w:qFormat/>
    <w:rsid w:val="00F615CE"/>
    <w:pPr>
      <w:jc w:val="center"/>
      <w:outlineLvl w:val="0"/>
    </w:pPr>
    <w:rPr>
      <w:rFonts w:ascii="Times New Roman Bold" w:hAnsi="Times New Roman Bold"/>
      <w:b/>
      <w:bCs/>
      <w:sz w:val="24"/>
      <w:szCs w:val="32"/>
      <w:lang w:val="ru-RU"/>
    </w:rPr>
  </w:style>
  <w:style w:type="paragraph" w:customStyle="1" w:styleId="Line">
    <w:name w:val="Line"/>
    <w:basedOn w:val="Normal"/>
    <w:next w:val="Normal"/>
    <w:rsid w:val="00E726E9"/>
    <w:pPr>
      <w:pBdr>
        <w:top w:val="single" w:sz="6" w:space="1" w:color="auto"/>
      </w:pBdr>
      <w:bidi w:val="0"/>
      <w:spacing w:before="240" w:line="240" w:lineRule="auto"/>
      <w:ind w:left="3997" w:right="3997"/>
      <w:jc w:val="center"/>
      <w:textAlignment w:val="auto"/>
    </w:pPr>
    <w:rPr>
      <w:rFonts w:cs="Times New Roman"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AC1496"/>
    <w:pPr>
      <w:keepNext/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after="120"/>
      <w:jc w:val="right"/>
      <w:textAlignment w:val="auto"/>
    </w:pPr>
    <w:rPr>
      <w:rFonts w:eastAsiaTheme="minorEastAsia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C1496"/>
    <w:rPr>
      <w:rFonts w:ascii="Times New Roman" w:hAnsi="Times New Roman" w:cs="Traditional Arabic"/>
      <w:b/>
      <w:bCs/>
      <w:sz w:val="32"/>
      <w:szCs w:val="32"/>
      <w:lang w:eastAsia="fr-FR"/>
    </w:rPr>
  </w:style>
  <w:style w:type="character" w:customStyle="1" w:styleId="DateChar">
    <w:name w:val="Date Char"/>
    <w:basedOn w:val="DefaultParagraphFont"/>
    <w:link w:val="Date"/>
    <w:uiPriority w:val="99"/>
    <w:rsid w:val="00AC1496"/>
    <w:rPr>
      <w:rFonts w:ascii="Times New Roman" w:eastAsiaTheme="minorEastAsia" w:hAnsi="Times New Roman" w:cs="Traditional Arabic"/>
      <w:sz w:val="22"/>
      <w:szCs w:val="30"/>
    </w:rPr>
  </w:style>
  <w:style w:type="paragraph" w:customStyle="1" w:styleId="Normalaftertitle0">
    <w:name w:val="Normal after title"/>
    <w:basedOn w:val="Normal"/>
    <w:qFormat/>
    <w:rsid w:val="00AC1496"/>
    <w:pPr>
      <w:keepNext/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360"/>
      <w:textAlignment w:val="auto"/>
    </w:pPr>
    <w:rPr>
      <w:rFonts w:eastAsiaTheme="minorEastAsia"/>
      <w:lang w:eastAsia="zh-CN" w:bidi="ar-SY"/>
    </w:rPr>
  </w:style>
  <w:style w:type="paragraph" w:customStyle="1" w:styleId="Summary">
    <w:name w:val="Summary"/>
    <w:basedOn w:val="Normal"/>
    <w:qFormat/>
    <w:rsid w:val="00AC1496"/>
    <w:rPr>
      <w:spacing w:val="-4"/>
      <w:lang w:bidi="ar-EG"/>
    </w:rPr>
  </w:style>
  <w:style w:type="character" w:customStyle="1" w:styleId="href">
    <w:name w:val="href"/>
    <w:basedOn w:val="DefaultParagraphFont"/>
    <w:rsid w:val="00AC1496"/>
  </w:style>
  <w:style w:type="character" w:customStyle="1" w:styleId="RecNoChar">
    <w:name w:val="Rec_No Char"/>
    <w:link w:val="RecNo"/>
    <w:locked/>
    <w:rsid w:val="00AC1496"/>
    <w:rPr>
      <w:rFonts w:ascii="Times New Roman" w:eastAsia="NSimSun" w:hAnsi="Times New Roman" w:cs="Traditional Arabic"/>
      <w:sz w:val="28"/>
      <w:szCs w:val="40"/>
      <w:lang w:eastAsia="fr-FR" w:bidi="ar-EG"/>
    </w:rPr>
  </w:style>
  <w:style w:type="paragraph" w:customStyle="1" w:styleId="Headingsum">
    <w:name w:val="Heading sum"/>
    <w:basedOn w:val="Heading1"/>
    <w:rsid w:val="00E33FA2"/>
    <w:pPr>
      <w:tabs>
        <w:tab w:val="left" w:pos="907"/>
      </w:tabs>
      <w:spacing w:before="240"/>
    </w:pPr>
    <w:rPr>
      <w:rFonts w:eastAsia="SimSun"/>
      <w:sz w:val="24"/>
      <w:szCs w:val="32"/>
      <w:lang w:eastAsia="en-US" w:bidi="ar-EG"/>
    </w:rPr>
  </w:style>
  <w:style w:type="paragraph" w:customStyle="1" w:styleId="Figure">
    <w:name w:val="Figure"/>
    <w:basedOn w:val="Normal"/>
    <w:rsid w:val="004F1AC3"/>
    <w:pPr>
      <w:keepLines/>
      <w:overflowPunct/>
      <w:autoSpaceDE/>
      <w:autoSpaceDN/>
      <w:adjustRightInd/>
      <w:spacing w:before="240" w:after="360" w:line="240" w:lineRule="auto"/>
      <w:jc w:val="center"/>
      <w:textAlignment w:val="auto"/>
    </w:pPr>
    <w:rPr>
      <w:rFonts w:eastAsia="SimSun"/>
      <w:lang w:eastAsia="zh-CN" w:bidi="ar-MA"/>
    </w:rPr>
  </w:style>
  <w:style w:type="paragraph" w:customStyle="1" w:styleId="Annexno">
    <w:name w:val="Annex_no"/>
    <w:basedOn w:val="Normal"/>
    <w:qFormat/>
    <w:rsid w:val="00242646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Annextitle">
    <w:name w:val="Annex_title"/>
    <w:basedOn w:val="Annexno"/>
    <w:qFormat/>
    <w:rsid w:val="00242646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nnexNoTitle0">
    <w:name w:val="Annex_NoTitle"/>
    <w:basedOn w:val="Normal"/>
    <w:next w:val="Normalaftertitle"/>
    <w:rsid w:val="00125932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13">
    <w:name w:val="Normal 13"/>
    <w:basedOn w:val="Normal"/>
    <w:qFormat/>
    <w:rsid w:val="00BD0CA5"/>
    <w:rPr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6B5F4D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customStyle="1" w:styleId="Heading5Char">
    <w:name w:val="Heading 5 Char"/>
    <w:basedOn w:val="DefaultParagraphFont"/>
    <w:link w:val="Heading5"/>
    <w:rsid w:val="006B5F4D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customStyle="1" w:styleId="Heading6Char">
    <w:name w:val="Heading 6 Char"/>
    <w:basedOn w:val="DefaultParagraphFont"/>
    <w:link w:val="Heading6"/>
    <w:rsid w:val="006B5F4D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customStyle="1" w:styleId="Heading7Char">
    <w:name w:val="Heading 7 Char"/>
    <w:basedOn w:val="DefaultParagraphFont"/>
    <w:link w:val="Heading7"/>
    <w:rsid w:val="006B5F4D"/>
    <w:rPr>
      <w:rFonts w:ascii="Times New Roman Bold" w:hAnsi="Times New Roman Bold" w:cs="Traditional Arabic"/>
      <w:b/>
      <w:bCs/>
      <w:sz w:val="22"/>
      <w:szCs w:val="30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B5F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73AC"/>
    <w:rPr>
      <w:rFonts w:ascii="Times New Roman" w:hAnsi="Times New Roman" w:cs="Traditional Arabic"/>
      <w:sz w:val="22"/>
      <w:szCs w:val="3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.ch/homep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D062-8223-4BD0-882B-C367811D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594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3763</CharactersWithSpaces>
  <SharedDoc>false</SharedDoc>
  <HLinks>
    <vt:vector size="12" baseType="variant"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التوصيـة  ITU-R  BS.1726 – سوية الإشارات السمعية الرقمية التي تصحب البرامج التلفزيونية</dc:title>
  <dc:creator>ITU Radiocommunication Bureau (BR)</dc:creator>
  <cp:lastModifiedBy>Al-Yammouni, Hala</cp:lastModifiedBy>
  <cp:revision>5</cp:revision>
  <cp:lastPrinted>2017-01-25T13:50:00Z</cp:lastPrinted>
  <dcterms:created xsi:type="dcterms:W3CDTF">2023-07-14T11:47:00Z</dcterms:created>
  <dcterms:modified xsi:type="dcterms:W3CDTF">2023-07-14T12:25:00Z</dcterms:modified>
</cp:coreProperties>
</file>