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CC65" w14:textId="1447A46C" w:rsidR="00F24B54" w:rsidRPr="005464F9" w:rsidRDefault="00F24B54" w:rsidP="008D2392">
      <w:pPr>
        <w:pStyle w:val="RecNo"/>
        <w:spacing w:before="0"/>
        <w:rPr>
          <w:lang w:val="ru-RU"/>
        </w:rPr>
      </w:pPr>
      <w:r w:rsidRPr="005464F9">
        <w:rPr>
          <w:lang w:val="ru-RU"/>
        </w:rPr>
        <w:t xml:space="preserve">РЕКОМЕНДАЦИЯ  </w:t>
      </w:r>
      <w:r w:rsidRPr="005464F9">
        <w:rPr>
          <w:rStyle w:val="href"/>
          <w:lang w:val="ru-RU"/>
        </w:rPr>
        <w:t>МСЭ-R  BS.1726</w:t>
      </w:r>
      <w:r w:rsidR="008D2392" w:rsidRPr="005464F9">
        <w:rPr>
          <w:rStyle w:val="FootnoteReference"/>
          <w:lang w:val="ru-RU"/>
        </w:rPr>
        <w:footnoteReference w:customMarkFollows="1" w:id="1"/>
        <w:t>*</w:t>
      </w:r>
    </w:p>
    <w:p w14:paraId="1CA3F6F7" w14:textId="77777777" w:rsidR="00F24B54" w:rsidRPr="005464F9" w:rsidRDefault="00F24B54" w:rsidP="008D2392">
      <w:pPr>
        <w:pStyle w:val="Rectitle"/>
        <w:rPr>
          <w:lang w:val="ru-RU"/>
        </w:rPr>
      </w:pPr>
      <w:r w:rsidRPr="005464F9">
        <w:rPr>
          <w:lang w:val="ru-RU"/>
        </w:rPr>
        <w:t xml:space="preserve">Уровень сигнала цифрового звукового сопровождения телевидения </w:t>
      </w:r>
      <w:r w:rsidR="00E534C6" w:rsidRPr="005464F9">
        <w:rPr>
          <w:lang w:val="ru-RU"/>
        </w:rPr>
        <w:br/>
      </w:r>
      <w:r w:rsidRPr="005464F9">
        <w:rPr>
          <w:lang w:val="ru-RU"/>
        </w:rPr>
        <w:t>при международном обмене программами</w:t>
      </w:r>
    </w:p>
    <w:p w14:paraId="6B179B6A" w14:textId="77777777" w:rsidR="00F24B54" w:rsidRPr="005464F9" w:rsidRDefault="00F24B54" w:rsidP="008D2392">
      <w:pPr>
        <w:pStyle w:val="Recdate"/>
        <w:rPr>
          <w:lang w:val="ru-RU"/>
        </w:rPr>
      </w:pPr>
      <w:r w:rsidRPr="005464F9">
        <w:rPr>
          <w:lang w:val="ru-RU"/>
        </w:rPr>
        <w:t>(2005)</w:t>
      </w:r>
    </w:p>
    <w:p w14:paraId="03B2286C" w14:textId="77777777" w:rsidR="00F24B54" w:rsidRPr="005464F9" w:rsidRDefault="00F24B54">
      <w:pPr>
        <w:pStyle w:val="HeadingSum"/>
        <w:rPr>
          <w:szCs w:val="22"/>
          <w:lang w:val="ru-RU"/>
        </w:rPr>
      </w:pPr>
      <w:r w:rsidRPr="005464F9">
        <w:rPr>
          <w:szCs w:val="22"/>
          <w:lang w:val="ru-RU"/>
        </w:rPr>
        <w:t>Сфера применения</w:t>
      </w:r>
    </w:p>
    <w:p w14:paraId="64C574E6" w14:textId="05D9F5C4" w:rsidR="00F24B54" w:rsidRPr="005464F9" w:rsidRDefault="00F24B54" w:rsidP="00223C13">
      <w:pPr>
        <w:pStyle w:val="Summary"/>
        <w:rPr>
          <w:lang w:val="ru-RU"/>
        </w:rPr>
      </w:pPr>
      <w:r w:rsidRPr="005464F9">
        <w:rPr>
          <w:lang w:val="ru-RU"/>
        </w:rPr>
        <w:t xml:space="preserve">В </w:t>
      </w:r>
      <w:r w:rsidR="001805C9" w:rsidRPr="005464F9">
        <w:rPr>
          <w:lang w:val="ru-RU"/>
        </w:rPr>
        <w:t>настоящей</w:t>
      </w:r>
      <w:r w:rsidRPr="005464F9">
        <w:rPr>
          <w:lang w:val="ru-RU"/>
        </w:rPr>
        <w:t xml:space="preserve"> Рекомендации дается руководящее указание по уровню цифровых сигналов звукового сопровождения </w:t>
      </w:r>
      <w:proofErr w:type="spellStart"/>
      <w:r w:rsidRPr="00223C13">
        <w:t>телевидения</w:t>
      </w:r>
      <w:proofErr w:type="spellEnd"/>
      <w:r w:rsidRPr="005464F9">
        <w:rPr>
          <w:lang w:val="ru-RU"/>
        </w:rPr>
        <w:t xml:space="preserve"> при международном обмене программами. В этой Рекомендации определяется, что должен использоваться и заявляться один из дв</w:t>
      </w:r>
      <w:r w:rsidR="00E534C6" w:rsidRPr="005464F9">
        <w:rPr>
          <w:lang w:val="ru-RU"/>
        </w:rPr>
        <w:t>ух заданных эталонных уровней (</w:t>
      </w:r>
      <w:r w:rsidR="008D2392" w:rsidRPr="005464F9">
        <w:rPr>
          <w:lang w:val="ru-RU"/>
        </w:rPr>
        <w:t>−</w:t>
      </w:r>
      <w:r w:rsidR="00E534C6" w:rsidRPr="005464F9">
        <w:rPr>
          <w:lang w:val="ru-RU"/>
        </w:rPr>
        <w:t>18</w:t>
      </w:r>
      <w:r w:rsidR="008D2392" w:rsidRPr="005464F9">
        <w:rPr>
          <w:lang w:val="ru-RU"/>
        </w:rPr>
        <w:t> </w:t>
      </w:r>
      <w:r w:rsidR="00E534C6" w:rsidRPr="005464F9">
        <w:rPr>
          <w:lang w:val="ru-RU"/>
        </w:rPr>
        <w:t xml:space="preserve">дБ полной шкалы или </w:t>
      </w:r>
      <w:r w:rsidR="008D2392" w:rsidRPr="005464F9">
        <w:rPr>
          <w:lang w:val="ru-RU"/>
        </w:rPr>
        <w:t>−</w:t>
      </w:r>
      <w:r w:rsidR="001805C9" w:rsidRPr="005464F9">
        <w:rPr>
          <w:lang w:val="ru-RU"/>
        </w:rPr>
        <w:t>20</w:t>
      </w:r>
      <w:r w:rsidR="002427B3" w:rsidRPr="005464F9">
        <w:rPr>
          <w:lang w:val="ru-RU"/>
        </w:rPr>
        <w:t> </w:t>
      </w:r>
      <w:r w:rsidR="001805C9" w:rsidRPr="005464F9">
        <w:rPr>
          <w:lang w:val="ru-RU"/>
        </w:rPr>
        <w:t>дБ полной шкалы)</w:t>
      </w:r>
      <w:r w:rsidRPr="005464F9">
        <w:rPr>
          <w:lang w:val="ru-RU"/>
        </w:rPr>
        <w:t xml:space="preserve"> и что пиковые уровни громкости, измеренные квазипиковым программным измерителем (КППИ), не должны превышать уровня </w:t>
      </w:r>
      <w:r w:rsidR="008D2392" w:rsidRPr="005464F9">
        <w:rPr>
          <w:lang w:val="ru-RU"/>
        </w:rPr>
        <w:t>−</w:t>
      </w:r>
      <w:r w:rsidRPr="005464F9">
        <w:rPr>
          <w:lang w:val="ru-RU"/>
        </w:rPr>
        <w:t>9</w:t>
      </w:r>
      <w:r w:rsidR="002427B3" w:rsidRPr="005464F9">
        <w:rPr>
          <w:lang w:val="ru-RU"/>
        </w:rPr>
        <w:t> </w:t>
      </w:r>
      <w:r w:rsidRPr="005464F9">
        <w:rPr>
          <w:lang w:val="ru-RU"/>
        </w:rPr>
        <w:t>дБ полной шкалы.</w:t>
      </w:r>
    </w:p>
    <w:p w14:paraId="66EDC470" w14:textId="4E1C02A7" w:rsidR="008D2392" w:rsidRPr="005464F9" w:rsidRDefault="008D2392" w:rsidP="008D2392">
      <w:pPr>
        <w:pStyle w:val="Headingb"/>
        <w:rPr>
          <w:lang w:val="ru-RU"/>
        </w:rPr>
      </w:pPr>
      <w:r w:rsidRPr="005464F9">
        <w:rPr>
          <w:lang w:val="ru-RU"/>
        </w:rPr>
        <w:t>Ключевые слова</w:t>
      </w:r>
    </w:p>
    <w:p w14:paraId="4A95EB82" w14:textId="34CB9860" w:rsidR="008D2392" w:rsidRPr="005464F9" w:rsidRDefault="00FD2695" w:rsidP="008D2392">
      <w:pPr>
        <w:rPr>
          <w:lang w:val="ru-RU"/>
        </w:rPr>
      </w:pPr>
      <w:r w:rsidRPr="005464F9">
        <w:rPr>
          <w:lang w:val="ru-RU"/>
        </w:rPr>
        <w:t>Эталонный уровень</w:t>
      </w:r>
      <w:r w:rsidR="008D2392" w:rsidRPr="005464F9">
        <w:rPr>
          <w:lang w:val="ru-RU"/>
        </w:rPr>
        <w:t xml:space="preserve">, </w:t>
      </w:r>
      <w:r w:rsidRPr="005464F9">
        <w:rPr>
          <w:lang w:val="ru-RU"/>
        </w:rPr>
        <w:t>цифровой звуковой сигнал</w:t>
      </w:r>
      <w:r w:rsidR="00BE101F" w:rsidRPr="005464F9">
        <w:rPr>
          <w:lang w:val="ru-RU"/>
        </w:rPr>
        <w:t>.</w:t>
      </w:r>
    </w:p>
    <w:p w14:paraId="06228834" w14:textId="77777777" w:rsidR="00F24B54" w:rsidRPr="005464F9" w:rsidRDefault="00F24B54" w:rsidP="00223C13">
      <w:pPr>
        <w:pStyle w:val="Normalaftertitle"/>
        <w:rPr>
          <w:lang w:val="ru-RU"/>
        </w:rPr>
      </w:pPr>
      <w:r w:rsidRPr="005464F9">
        <w:rPr>
          <w:lang w:val="ru-RU"/>
        </w:rPr>
        <w:t xml:space="preserve">Ассамблея </w:t>
      </w:r>
      <w:proofErr w:type="spellStart"/>
      <w:r w:rsidRPr="00223C13">
        <w:t>радиосвязи</w:t>
      </w:r>
      <w:proofErr w:type="spellEnd"/>
      <w:r w:rsidRPr="005464F9">
        <w:rPr>
          <w:lang w:val="ru-RU"/>
        </w:rPr>
        <w:t xml:space="preserve"> МСЭ,</w:t>
      </w:r>
    </w:p>
    <w:p w14:paraId="75CFF4E6" w14:textId="77777777" w:rsidR="00F24B54" w:rsidRPr="005464F9" w:rsidRDefault="007B77B2">
      <w:pPr>
        <w:pStyle w:val="Call"/>
        <w:rPr>
          <w:i w:val="0"/>
          <w:szCs w:val="22"/>
          <w:lang w:val="ru-RU"/>
        </w:rPr>
      </w:pPr>
      <w:r w:rsidRPr="005464F9">
        <w:rPr>
          <w:szCs w:val="22"/>
          <w:lang w:val="ru-RU"/>
        </w:rPr>
        <w:t>у</w:t>
      </w:r>
      <w:r w:rsidR="00F24B54" w:rsidRPr="005464F9">
        <w:rPr>
          <w:szCs w:val="22"/>
          <w:lang w:val="ru-RU"/>
        </w:rPr>
        <w:t>читывая</w:t>
      </w:r>
      <w:r w:rsidRPr="005464F9">
        <w:rPr>
          <w:i w:val="0"/>
          <w:szCs w:val="22"/>
          <w:lang w:val="ru-RU"/>
        </w:rPr>
        <w:t>,</w:t>
      </w:r>
    </w:p>
    <w:p w14:paraId="45F31CBB" w14:textId="77777777" w:rsidR="00F24B54" w:rsidRPr="005464F9" w:rsidRDefault="00F24B54">
      <w:pPr>
        <w:rPr>
          <w:szCs w:val="22"/>
          <w:lang w:val="ru-RU"/>
        </w:rPr>
      </w:pPr>
      <w:r w:rsidRPr="005464F9">
        <w:rPr>
          <w:i/>
          <w:iCs/>
          <w:szCs w:val="22"/>
          <w:lang w:val="ru-RU"/>
        </w:rPr>
        <w:t>a)</w:t>
      </w:r>
      <w:r w:rsidRPr="005464F9">
        <w:rPr>
          <w:szCs w:val="22"/>
          <w:lang w:val="ru-RU"/>
        </w:rPr>
        <w:tab/>
        <w:t>что Рекомендация МСЭ</w:t>
      </w:r>
      <w:r w:rsidRPr="005464F9">
        <w:rPr>
          <w:szCs w:val="22"/>
          <w:lang w:val="ru-RU"/>
        </w:rPr>
        <w:noBreakHyphen/>
        <w:t>R BS.645</w:t>
      </w:r>
      <w:r w:rsidRPr="005464F9">
        <w:rPr>
          <w:szCs w:val="22"/>
          <w:lang w:val="ru-RU" w:eastAsia="ja-JP"/>
        </w:rPr>
        <w:t xml:space="preserve"> – </w:t>
      </w:r>
      <w:r w:rsidRPr="005464F9">
        <w:rPr>
          <w:szCs w:val="22"/>
          <w:lang w:val="ru-RU"/>
        </w:rPr>
        <w:t>Испытательные сигналы и измерение, которые должны использоваться при международных подключениях звуковых программ, определяет характеристики измерения и уровни сигналов для аналоговых звуковых программ;</w:t>
      </w:r>
    </w:p>
    <w:p w14:paraId="5684F2C6" w14:textId="7EDCDB90" w:rsidR="00F24B54" w:rsidRPr="005464F9" w:rsidRDefault="00F24B54">
      <w:pPr>
        <w:rPr>
          <w:szCs w:val="22"/>
          <w:lang w:val="ru-RU"/>
        </w:rPr>
      </w:pPr>
      <w:r w:rsidRPr="005464F9">
        <w:rPr>
          <w:i/>
          <w:iCs/>
          <w:szCs w:val="22"/>
          <w:lang w:val="ru-RU"/>
        </w:rPr>
        <w:t>b)</w:t>
      </w:r>
      <w:r w:rsidRPr="005464F9">
        <w:rPr>
          <w:szCs w:val="22"/>
          <w:lang w:val="ru-RU"/>
        </w:rPr>
        <w:tab/>
        <w:t>что международный обмен программами в настоящее время основан, как правило, на использовании цифровых методов;</w:t>
      </w:r>
    </w:p>
    <w:p w14:paraId="45626906" w14:textId="745BF6AE" w:rsidR="00F24B54" w:rsidRPr="005464F9" w:rsidRDefault="008D2392">
      <w:pPr>
        <w:rPr>
          <w:szCs w:val="22"/>
          <w:lang w:val="ru-RU"/>
        </w:rPr>
      </w:pPr>
      <w:r w:rsidRPr="005464F9">
        <w:rPr>
          <w:i/>
          <w:iCs/>
          <w:szCs w:val="22"/>
          <w:lang w:val="ru-RU" w:eastAsia="ja-JP"/>
        </w:rPr>
        <w:t>c</w:t>
      </w:r>
      <w:r w:rsidRPr="005464F9">
        <w:rPr>
          <w:i/>
          <w:iCs/>
          <w:szCs w:val="22"/>
          <w:lang w:val="ru-RU"/>
        </w:rPr>
        <w:t>)</w:t>
      </w:r>
      <w:r w:rsidRPr="005464F9">
        <w:rPr>
          <w:szCs w:val="22"/>
          <w:lang w:val="ru-RU"/>
        </w:rPr>
        <w:tab/>
      </w:r>
      <w:r w:rsidR="00F24B54" w:rsidRPr="005464F9">
        <w:rPr>
          <w:szCs w:val="22"/>
          <w:lang w:val="ru-RU"/>
        </w:rPr>
        <w:t>что современные цифровые методы поддерживают очень широкий динамический диапазон уровней для звуковых сигналов;</w:t>
      </w:r>
    </w:p>
    <w:p w14:paraId="6B63F5E0" w14:textId="3B9510CE" w:rsidR="00F24B54" w:rsidRPr="005464F9" w:rsidRDefault="008D2392">
      <w:pPr>
        <w:rPr>
          <w:szCs w:val="22"/>
          <w:lang w:val="ru-RU"/>
        </w:rPr>
      </w:pPr>
      <w:r w:rsidRPr="005464F9">
        <w:rPr>
          <w:i/>
          <w:iCs/>
          <w:szCs w:val="22"/>
          <w:lang w:val="ru-RU" w:eastAsia="ja-JP"/>
        </w:rPr>
        <w:t>d</w:t>
      </w:r>
      <w:r w:rsidRPr="005464F9">
        <w:rPr>
          <w:i/>
          <w:iCs/>
          <w:szCs w:val="22"/>
          <w:lang w:val="ru-RU"/>
        </w:rPr>
        <w:t>)</w:t>
      </w:r>
      <w:r w:rsidRPr="005464F9">
        <w:rPr>
          <w:szCs w:val="22"/>
          <w:lang w:val="ru-RU"/>
        </w:rPr>
        <w:tab/>
      </w:r>
      <w:r w:rsidR="00F24B54" w:rsidRPr="005464F9">
        <w:rPr>
          <w:szCs w:val="22"/>
          <w:lang w:val="ru-RU"/>
        </w:rPr>
        <w:t>что следует избегать внезапной и, следовательно, даже кратковременной перегрузки цифрового носителя;</w:t>
      </w:r>
    </w:p>
    <w:p w14:paraId="74DC8563" w14:textId="694A891B" w:rsidR="00F24B54" w:rsidRPr="005464F9" w:rsidRDefault="008D2392">
      <w:pPr>
        <w:rPr>
          <w:szCs w:val="22"/>
          <w:lang w:val="ru-RU"/>
        </w:rPr>
      </w:pPr>
      <w:r w:rsidRPr="005464F9">
        <w:rPr>
          <w:i/>
          <w:iCs/>
          <w:szCs w:val="22"/>
          <w:lang w:val="ru-RU" w:eastAsia="ja-JP"/>
        </w:rPr>
        <w:t>e</w:t>
      </w:r>
      <w:r w:rsidRPr="005464F9">
        <w:rPr>
          <w:i/>
          <w:iCs/>
          <w:szCs w:val="22"/>
          <w:lang w:val="ru-RU"/>
        </w:rPr>
        <w:t>)</w:t>
      </w:r>
      <w:r w:rsidRPr="005464F9">
        <w:rPr>
          <w:szCs w:val="22"/>
          <w:lang w:val="ru-RU"/>
        </w:rPr>
        <w:tab/>
      </w:r>
      <w:r w:rsidR="00F24B54" w:rsidRPr="005464F9">
        <w:rPr>
          <w:szCs w:val="22"/>
          <w:lang w:val="ru-RU"/>
        </w:rPr>
        <w:t>что весьма желательно иметь единый уровень громкости при международном обмене телевизионными программами, и это может быть достигнуто только путем использования единых методов эксплуатации;</w:t>
      </w:r>
    </w:p>
    <w:p w14:paraId="4AF62046" w14:textId="41FC902A" w:rsidR="00F24B54" w:rsidRPr="005464F9" w:rsidRDefault="008D2392">
      <w:pPr>
        <w:rPr>
          <w:szCs w:val="22"/>
          <w:lang w:val="ru-RU"/>
        </w:rPr>
      </w:pPr>
      <w:r w:rsidRPr="005464F9">
        <w:rPr>
          <w:i/>
          <w:iCs/>
          <w:szCs w:val="22"/>
          <w:lang w:val="ru-RU" w:eastAsia="ja-JP"/>
        </w:rPr>
        <w:t>f</w:t>
      </w:r>
      <w:r w:rsidRPr="005464F9">
        <w:rPr>
          <w:i/>
          <w:iCs/>
          <w:szCs w:val="22"/>
          <w:lang w:val="ru-RU"/>
        </w:rPr>
        <w:t>)</w:t>
      </w:r>
      <w:r w:rsidRPr="005464F9">
        <w:rPr>
          <w:szCs w:val="22"/>
          <w:lang w:val="ru-RU"/>
        </w:rPr>
        <w:tab/>
      </w:r>
      <w:r w:rsidR="00F24B54" w:rsidRPr="005464F9">
        <w:rPr>
          <w:szCs w:val="22"/>
          <w:lang w:val="ru-RU"/>
        </w:rPr>
        <w:t>что Техническая Рекомендация</w:t>
      </w:r>
      <w:r w:rsidR="00E534C6" w:rsidRPr="005464F9">
        <w:rPr>
          <w:szCs w:val="22"/>
          <w:lang w:val="ru-RU"/>
        </w:rPr>
        <w:t xml:space="preserve"> Европейского радиовещательного союза (ЕРС</w:t>
      </w:r>
      <w:r w:rsidR="00F24B54" w:rsidRPr="005464F9">
        <w:rPr>
          <w:szCs w:val="22"/>
          <w:lang w:val="ru-RU"/>
        </w:rPr>
        <w:t>) R68-2000 и методы экс</w:t>
      </w:r>
      <w:r w:rsidR="001805C9" w:rsidRPr="005464F9">
        <w:rPr>
          <w:szCs w:val="22"/>
          <w:lang w:val="ru-RU"/>
        </w:rPr>
        <w:t>плуатации Общества теле- и кино</w:t>
      </w:r>
      <w:r w:rsidR="00F24B54" w:rsidRPr="005464F9">
        <w:rPr>
          <w:szCs w:val="22"/>
          <w:lang w:val="ru-RU"/>
        </w:rPr>
        <w:t xml:space="preserve">инженеров </w:t>
      </w:r>
      <w:r w:rsidR="001805C9" w:rsidRPr="005464F9">
        <w:rPr>
          <w:szCs w:val="22"/>
          <w:lang w:val="ru-RU"/>
        </w:rPr>
        <w:t xml:space="preserve">(SMPTE) </w:t>
      </w:r>
      <w:r w:rsidR="00F24B54" w:rsidRPr="005464F9">
        <w:rPr>
          <w:szCs w:val="22"/>
          <w:lang w:val="ru-RU"/>
        </w:rPr>
        <w:t>RP </w:t>
      </w:r>
      <w:r w:rsidR="00E51490" w:rsidRPr="005464F9">
        <w:rPr>
          <w:szCs w:val="22"/>
          <w:lang w:val="ru-RU"/>
        </w:rPr>
        <w:t>155 – </w:t>
      </w:r>
      <w:r w:rsidR="00F24B54" w:rsidRPr="005464F9">
        <w:rPr>
          <w:szCs w:val="22"/>
          <w:lang w:val="ru-RU"/>
        </w:rPr>
        <w:t>20</w:t>
      </w:r>
      <w:r w:rsidRPr="005464F9">
        <w:rPr>
          <w:szCs w:val="22"/>
          <w:lang w:val="ru-RU"/>
        </w:rPr>
        <w:t>1</w:t>
      </w:r>
      <w:r w:rsidR="00F24B54" w:rsidRPr="005464F9">
        <w:rPr>
          <w:szCs w:val="22"/>
          <w:lang w:val="ru-RU"/>
        </w:rPr>
        <w:t>4 основываются на двух различных эталонн</w:t>
      </w:r>
      <w:r w:rsidR="00E51490" w:rsidRPr="005464F9">
        <w:rPr>
          <w:szCs w:val="22"/>
          <w:lang w:val="ru-RU"/>
        </w:rPr>
        <w:t xml:space="preserve">ых уровнях громкости, а именно </w:t>
      </w:r>
      <w:r w:rsidR="00F22A12" w:rsidRPr="005464F9">
        <w:rPr>
          <w:szCs w:val="22"/>
          <w:lang w:val="ru-RU"/>
        </w:rPr>
        <w:t>−</w:t>
      </w:r>
      <w:r w:rsidR="00F24B54" w:rsidRPr="005464F9">
        <w:rPr>
          <w:szCs w:val="22"/>
          <w:lang w:val="ru-RU"/>
        </w:rPr>
        <w:t>18 дБ полной шкалы</w:t>
      </w:r>
      <w:r w:rsidR="00F24B54" w:rsidRPr="005464F9">
        <w:rPr>
          <w:rStyle w:val="FootnoteReference"/>
          <w:szCs w:val="16"/>
          <w:lang w:val="ru-RU"/>
        </w:rPr>
        <w:footnoteReference w:id="2"/>
      </w:r>
      <w:r w:rsidR="00F24B54" w:rsidRPr="005464F9">
        <w:rPr>
          <w:sz w:val="16"/>
          <w:szCs w:val="16"/>
          <w:lang w:val="ru-RU"/>
        </w:rPr>
        <w:t xml:space="preserve"> </w:t>
      </w:r>
      <w:r w:rsidR="00E51490" w:rsidRPr="005464F9">
        <w:rPr>
          <w:szCs w:val="22"/>
          <w:lang w:val="ru-RU"/>
        </w:rPr>
        <w:t xml:space="preserve">и </w:t>
      </w:r>
      <w:r w:rsidR="00F22A12" w:rsidRPr="005464F9">
        <w:rPr>
          <w:szCs w:val="22"/>
          <w:lang w:val="ru-RU"/>
        </w:rPr>
        <w:t>−</w:t>
      </w:r>
      <w:r w:rsidR="00F24B54" w:rsidRPr="005464F9">
        <w:rPr>
          <w:szCs w:val="22"/>
          <w:lang w:val="ru-RU"/>
        </w:rPr>
        <w:t>20 дБ полной шкалы</w:t>
      </w:r>
      <w:r w:rsidR="00B811CA" w:rsidRPr="005464F9">
        <w:rPr>
          <w:szCs w:val="22"/>
          <w:lang w:val="ru-RU"/>
        </w:rPr>
        <w:t>,</w:t>
      </w:r>
      <w:r w:rsidR="00F24B54" w:rsidRPr="005464F9">
        <w:rPr>
          <w:szCs w:val="22"/>
          <w:lang w:val="ru-RU"/>
        </w:rPr>
        <w:t xml:space="preserve"> соответственно; </w:t>
      </w:r>
    </w:p>
    <w:p w14:paraId="5F40FA44" w14:textId="4BF27516" w:rsidR="00F24B54" w:rsidRPr="005464F9" w:rsidRDefault="008D2392">
      <w:pPr>
        <w:rPr>
          <w:szCs w:val="22"/>
          <w:lang w:val="ru-RU"/>
        </w:rPr>
      </w:pPr>
      <w:r w:rsidRPr="005464F9">
        <w:rPr>
          <w:i/>
          <w:iCs/>
          <w:szCs w:val="22"/>
          <w:lang w:val="ru-RU" w:eastAsia="ja-JP"/>
        </w:rPr>
        <w:t>g</w:t>
      </w:r>
      <w:r w:rsidRPr="005464F9">
        <w:rPr>
          <w:i/>
          <w:iCs/>
          <w:szCs w:val="22"/>
          <w:lang w:val="ru-RU"/>
        </w:rPr>
        <w:t>)</w:t>
      </w:r>
      <w:r w:rsidRPr="005464F9">
        <w:rPr>
          <w:szCs w:val="22"/>
          <w:lang w:val="ru-RU"/>
        </w:rPr>
        <w:tab/>
      </w:r>
      <w:r w:rsidR="00F24B54" w:rsidRPr="005464F9">
        <w:rPr>
          <w:szCs w:val="22"/>
          <w:lang w:val="ru-RU"/>
        </w:rPr>
        <w:t xml:space="preserve">что оба эталонных уровня повсеместно </w:t>
      </w:r>
      <w:r w:rsidR="004D775F" w:rsidRPr="005464F9">
        <w:rPr>
          <w:szCs w:val="22"/>
          <w:lang w:val="ru-RU"/>
        </w:rPr>
        <w:t>признаны</w:t>
      </w:r>
      <w:r w:rsidR="00F24B54" w:rsidRPr="005464F9">
        <w:rPr>
          <w:szCs w:val="22"/>
          <w:lang w:val="ru-RU"/>
        </w:rPr>
        <w:t xml:space="preserve"> и используются в различных частях мира,</w:t>
      </w:r>
    </w:p>
    <w:p w14:paraId="5ACDDE90" w14:textId="77777777" w:rsidR="00F24B54" w:rsidRPr="005464F9" w:rsidRDefault="007B77B2">
      <w:pPr>
        <w:pStyle w:val="Call"/>
        <w:rPr>
          <w:szCs w:val="22"/>
          <w:lang w:val="ru-RU"/>
        </w:rPr>
      </w:pPr>
      <w:r w:rsidRPr="005464F9">
        <w:rPr>
          <w:szCs w:val="22"/>
          <w:lang w:val="ru-RU"/>
        </w:rPr>
        <w:t>рекомендует</w:t>
      </w:r>
      <w:r w:rsidRPr="00223C13">
        <w:rPr>
          <w:i w:val="0"/>
          <w:iCs/>
          <w:szCs w:val="22"/>
          <w:lang w:val="ru-RU"/>
        </w:rPr>
        <w:t>,</w:t>
      </w:r>
    </w:p>
    <w:p w14:paraId="26E02EAE" w14:textId="029708FC" w:rsidR="00F24B54" w:rsidRPr="005464F9" w:rsidRDefault="00F24B54">
      <w:pPr>
        <w:rPr>
          <w:szCs w:val="22"/>
          <w:lang w:val="ru-RU"/>
        </w:rPr>
      </w:pPr>
      <w:r w:rsidRPr="005464F9">
        <w:rPr>
          <w:b/>
          <w:bCs/>
          <w:szCs w:val="22"/>
          <w:lang w:val="ru-RU"/>
        </w:rPr>
        <w:t>1</w:t>
      </w:r>
      <w:r w:rsidRPr="005464F9">
        <w:rPr>
          <w:szCs w:val="22"/>
          <w:lang w:val="ru-RU"/>
        </w:rPr>
        <w:tab/>
        <w:t xml:space="preserve">чтобы при международном обмене программами вещательные организации и телекоммуникационные компании исключительно использовали в качестве эталонного уровня для цифровых сигналов звукового </w:t>
      </w:r>
      <w:r w:rsidR="00E51490" w:rsidRPr="005464F9">
        <w:rPr>
          <w:szCs w:val="22"/>
          <w:lang w:val="ru-RU"/>
        </w:rPr>
        <w:t xml:space="preserve">сопровождения телевидения либо </w:t>
      </w:r>
      <w:r w:rsidR="008D2392" w:rsidRPr="005464F9">
        <w:rPr>
          <w:szCs w:val="22"/>
          <w:lang w:val="ru-RU"/>
        </w:rPr>
        <w:t>−</w:t>
      </w:r>
      <w:r w:rsidR="00E51490" w:rsidRPr="005464F9">
        <w:rPr>
          <w:szCs w:val="22"/>
          <w:lang w:val="ru-RU"/>
        </w:rPr>
        <w:t>18 дБ полной шкалы</w:t>
      </w:r>
      <w:r w:rsidR="007B77B2" w:rsidRPr="005464F9">
        <w:rPr>
          <w:szCs w:val="22"/>
          <w:lang w:val="ru-RU"/>
        </w:rPr>
        <w:t>,</w:t>
      </w:r>
      <w:r w:rsidR="00E51490" w:rsidRPr="005464F9">
        <w:rPr>
          <w:szCs w:val="22"/>
          <w:lang w:val="ru-RU"/>
        </w:rPr>
        <w:t xml:space="preserve"> либо </w:t>
      </w:r>
      <w:r w:rsidR="008D2392" w:rsidRPr="005464F9">
        <w:rPr>
          <w:szCs w:val="22"/>
          <w:lang w:val="ru-RU"/>
        </w:rPr>
        <w:t>−</w:t>
      </w:r>
      <w:r w:rsidRPr="005464F9">
        <w:rPr>
          <w:szCs w:val="22"/>
          <w:lang w:val="ru-RU"/>
        </w:rPr>
        <w:t>20</w:t>
      </w:r>
      <w:r w:rsidR="002427B3" w:rsidRPr="005464F9">
        <w:rPr>
          <w:szCs w:val="22"/>
          <w:lang w:val="ru-RU"/>
        </w:rPr>
        <w:t> </w:t>
      </w:r>
      <w:r w:rsidRPr="005464F9">
        <w:rPr>
          <w:szCs w:val="22"/>
          <w:lang w:val="ru-RU"/>
        </w:rPr>
        <w:t>дБ полной шкалы (также назы</w:t>
      </w:r>
      <w:r w:rsidR="001805C9" w:rsidRPr="005464F9">
        <w:rPr>
          <w:szCs w:val="22"/>
          <w:lang w:val="ru-RU"/>
        </w:rPr>
        <w:t>ваемый уровнем установки (УУ))</w:t>
      </w:r>
      <w:r w:rsidRPr="005464F9">
        <w:rPr>
          <w:szCs w:val="22"/>
          <w:lang w:val="ru-RU"/>
        </w:rPr>
        <w:t xml:space="preserve"> и чтобы они заявляли о том, какой эталонный уровень они выбрали;</w:t>
      </w:r>
    </w:p>
    <w:p w14:paraId="016B8010" w14:textId="7C731060" w:rsidR="00F24B54" w:rsidRPr="005464F9" w:rsidRDefault="00F24B54">
      <w:pPr>
        <w:rPr>
          <w:szCs w:val="22"/>
          <w:lang w:val="ru-RU"/>
        </w:rPr>
      </w:pPr>
      <w:r w:rsidRPr="005464F9">
        <w:rPr>
          <w:b/>
          <w:bCs/>
          <w:szCs w:val="22"/>
          <w:lang w:val="ru-RU"/>
        </w:rPr>
        <w:lastRenderedPageBreak/>
        <w:t>2</w:t>
      </w:r>
      <w:r w:rsidRPr="005464F9">
        <w:rPr>
          <w:szCs w:val="22"/>
          <w:lang w:val="ru-RU"/>
        </w:rPr>
        <w:tab/>
        <w:t>чтобы вне зависимости от того, какой эталонный уровень выбирается и используется, не допускалось превышения пиками цифро</w:t>
      </w:r>
      <w:r w:rsidR="00B811CA" w:rsidRPr="005464F9">
        <w:rPr>
          <w:szCs w:val="22"/>
          <w:lang w:val="ru-RU"/>
        </w:rPr>
        <w:t>вой звуковой программы уровня 9 </w:t>
      </w:r>
      <w:r w:rsidRPr="005464F9">
        <w:rPr>
          <w:szCs w:val="22"/>
          <w:lang w:val="ru-RU"/>
        </w:rPr>
        <w:t>дБ ниже цифрового уровня полной шкалы (0</w:t>
      </w:r>
      <w:r w:rsidR="002427B3" w:rsidRPr="005464F9">
        <w:rPr>
          <w:szCs w:val="22"/>
          <w:lang w:val="ru-RU"/>
        </w:rPr>
        <w:t> </w:t>
      </w:r>
      <w:r w:rsidRPr="005464F9">
        <w:rPr>
          <w:szCs w:val="22"/>
          <w:lang w:val="ru-RU"/>
        </w:rPr>
        <w:t>дБ полной шкалы</w:t>
      </w:r>
      <w:r w:rsidRPr="005464F9">
        <w:rPr>
          <w:rStyle w:val="FootnoteReference"/>
          <w:szCs w:val="16"/>
          <w:lang w:val="ru-RU"/>
        </w:rPr>
        <w:footnoteReference w:id="3"/>
      </w:r>
      <w:r w:rsidRPr="005464F9">
        <w:rPr>
          <w:sz w:val="16"/>
          <w:szCs w:val="16"/>
          <w:lang w:val="ru-RU"/>
        </w:rPr>
        <w:t>)</w:t>
      </w:r>
      <w:r w:rsidRPr="005464F9">
        <w:rPr>
          <w:szCs w:val="22"/>
          <w:lang w:val="ru-RU"/>
        </w:rPr>
        <w:t xml:space="preserve"> при контроле квазипиковым измерителем программы</w:t>
      </w:r>
      <w:r w:rsidRPr="005464F9">
        <w:rPr>
          <w:rStyle w:val="FootnoteReference"/>
          <w:szCs w:val="16"/>
          <w:lang w:val="ru-RU"/>
        </w:rPr>
        <w:footnoteReference w:id="4"/>
      </w:r>
      <w:r w:rsidRPr="005464F9">
        <w:rPr>
          <w:szCs w:val="22"/>
          <w:lang w:val="ru-RU"/>
        </w:rPr>
        <w:t>, как определено в публикации Международной электротехнической комиссии (МЭК) 60268-10. Этот уровень называется допустимым максимальным уровнем (ДМУ) (см. Дополнение 1 для графического представления рекомендуемой связи между этими уровнями громкости);</w:t>
      </w:r>
    </w:p>
    <w:p w14:paraId="141C97CB" w14:textId="77777777" w:rsidR="00F24B54" w:rsidRPr="005464F9" w:rsidRDefault="00F24B54">
      <w:pPr>
        <w:rPr>
          <w:szCs w:val="22"/>
          <w:lang w:val="ru-RU"/>
        </w:rPr>
      </w:pPr>
      <w:r w:rsidRPr="005464F9">
        <w:rPr>
          <w:b/>
          <w:szCs w:val="22"/>
          <w:lang w:val="ru-RU"/>
        </w:rPr>
        <w:t>3</w:t>
      </w:r>
      <w:r w:rsidRPr="005464F9">
        <w:rPr>
          <w:szCs w:val="22"/>
          <w:lang w:val="ru-RU"/>
        </w:rPr>
        <w:tab/>
        <w:t>чтобы эта Рекомендация была пересмотрена, когда в распоряжении появятся практические методы измерения, которые объективно измеряют и указывают истинные пиковые уровни и воспринимаемую громкость.</w:t>
      </w:r>
    </w:p>
    <w:p w14:paraId="27F80025" w14:textId="70F6191E" w:rsidR="00F24B54" w:rsidRPr="005464F9" w:rsidRDefault="00F24B54" w:rsidP="00F22A12">
      <w:pPr>
        <w:pStyle w:val="Note"/>
        <w:rPr>
          <w:lang w:val="ru-RU"/>
        </w:rPr>
      </w:pPr>
      <w:r w:rsidRPr="005464F9">
        <w:rPr>
          <w:lang w:val="ru-RU"/>
        </w:rPr>
        <w:t>ПРИМЕЧАНИЕ 1</w:t>
      </w:r>
      <w:r w:rsidR="00E534C6" w:rsidRPr="005464F9">
        <w:rPr>
          <w:lang w:val="ru-RU"/>
        </w:rPr>
        <w:t>.</w:t>
      </w:r>
      <w:r w:rsidRPr="005464F9">
        <w:rPr>
          <w:lang w:val="ru-RU"/>
        </w:rPr>
        <w:t> – Из-за характеристик КППИ, используемого вещательными организациями, истинные пики программ, как прав</w:t>
      </w:r>
      <w:r w:rsidR="00E534C6" w:rsidRPr="005464F9">
        <w:rPr>
          <w:lang w:val="ru-RU"/>
        </w:rPr>
        <w:t>и</w:t>
      </w:r>
      <w:r w:rsidRPr="005464F9">
        <w:rPr>
          <w:lang w:val="ru-RU"/>
        </w:rPr>
        <w:t>ло, могут быть на 3</w:t>
      </w:r>
      <w:r w:rsidR="002427B3" w:rsidRPr="005464F9">
        <w:rPr>
          <w:lang w:val="ru-RU"/>
        </w:rPr>
        <w:t> </w:t>
      </w:r>
      <w:r w:rsidRPr="005464F9">
        <w:rPr>
          <w:lang w:val="ru-RU"/>
        </w:rPr>
        <w:t>дБ выше указанных, а при некоторых необычных кратковременных переходных режимах могут быть даже еще выше, достигая 5</w:t>
      </w:r>
      <w:r w:rsidR="002427B3" w:rsidRPr="005464F9">
        <w:rPr>
          <w:lang w:val="ru-RU"/>
        </w:rPr>
        <w:t> </w:t>
      </w:r>
      <w:r w:rsidRPr="005464F9">
        <w:rPr>
          <w:lang w:val="ru-RU"/>
        </w:rPr>
        <w:t>дБ или превышая это значение в исключительных случаях.</w:t>
      </w:r>
    </w:p>
    <w:p w14:paraId="702A4FA9" w14:textId="3A8A59E8" w:rsidR="00F24B54" w:rsidRPr="005464F9" w:rsidRDefault="00F24B54" w:rsidP="00F22A12">
      <w:pPr>
        <w:pStyle w:val="Note"/>
        <w:rPr>
          <w:lang w:val="ru-RU"/>
        </w:rPr>
      </w:pPr>
      <w:r w:rsidRPr="005464F9">
        <w:rPr>
          <w:lang w:val="ru-RU"/>
        </w:rPr>
        <w:t>ПРИМЕЧАНИЕ 2</w:t>
      </w:r>
      <w:r w:rsidR="00E534C6" w:rsidRPr="005464F9">
        <w:rPr>
          <w:lang w:val="ru-RU"/>
        </w:rPr>
        <w:t>.</w:t>
      </w:r>
      <w:r w:rsidRPr="005464F9">
        <w:rPr>
          <w:lang w:val="ru-RU"/>
        </w:rPr>
        <w:t> – С публикацией МЭК 60268-10 в электронном виде можно ознакомиться по следующему адресу:</w:t>
      </w:r>
      <w:r w:rsidR="00F22A12" w:rsidRPr="005464F9">
        <w:rPr>
          <w:lang w:val="ru-RU"/>
        </w:rPr>
        <w:t xml:space="preserve"> </w:t>
      </w:r>
      <w:hyperlink r:id="rId6" w:history="1">
        <w:r w:rsidR="00F22A12" w:rsidRPr="005464F9">
          <w:rPr>
            <w:rStyle w:val="Hyperlink"/>
            <w:lang w:val="ru-RU"/>
          </w:rPr>
          <w:t>https://www.iec.ch/homepage</w:t>
        </w:r>
      </w:hyperlink>
      <w:r w:rsidRPr="005464F9">
        <w:rPr>
          <w:lang w:val="ru-RU"/>
        </w:rPr>
        <w:t>.</w:t>
      </w:r>
    </w:p>
    <w:p w14:paraId="6641E4FC" w14:textId="77777777" w:rsidR="00F24B54" w:rsidRPr="005464F9" w:rsidRDefault="00F24B54">
      <w:pPr>
        <w:rPr>
          <w:szCs w:val="22"/>
          <w:lang w:val="ru-RU"/>
        </w:rPr>
      </w:pPr>
    </w:p>
    <w:p w14:paraId="08FA8373" w14:textId="77777777" w:rsidR="00F24B54" w:rsidRPr="005464F9" w:rsidRDefault="00F24B54">
      <w:pPr>
        <w:rPr>
          <w:lang w:val="ru-RU"/>
        </w:rPr>
      </w:pPr>
    </w:p>
    <w:p w14:paraId="0D917579" w14:textId="1314BEDA" w:rsidR="00F24B54" w:rsidRPr="005464F9" w:rsidRDefault="00F24B54" w:rsidP="004F32A4">
      <w:pPr>
        <w:pStyle w:val="AnnexNoTitle"/>
        <w:rPr>
          <w:lang w:val="ru-RU"/>
        </w:rPr>
      </w:pPr>
      <w:bookmarkStart w:id="0" w:name="_Toc109437674"/>
      <w:r w:rsidRPr="005464F9">
        <w:rPr>
          <w:lang w:val="ru-RU"/>
        </w:rPr>
        <w:t>Дополнение 1</w:t>
      </w:r>
      <w:r w:rsidRPr="005464F9">
        <w:rPr>
          <w:lang w:val="ru-RU"/>
        </w:rPr>
        <w:br/>
        <w:t>(</w:t>
      </w:r>
      <w:r w:rsidR="00FD2695" w:rsidRPr="005464F9">
        <w:rPr>
          <w:lang w:val="ru-RU"/>
        </w:rPr>
        <w:t>информационное</w:t>
      </w:r>
      <w:r w:rsidRPr="005464F9">
        <w:rPr>
          <w:lang w:val="ru-RU"/>
        </w:rPr>
        <w:t>)</w:t>
      </w:r>
      <w:r w:rsidRPr="005464F9">
        <w:rPr>
          <w:lang w:val="ru-RU"/>
        </w:rPr>
        <w:br/>
      </w:r>
      <w:r w:rsidRPr="005464F9">
        <w:rPr>
          <w:lang w:val="ru-RU"/>
        </w:rPr>
        <w:br/>
      </w:r>
      <w:bookmarkEnd w:id="0"/>
      <w:r w:rsidRPr="005464F9">
        <w:rPr>
          <w:lang w:val="ru-RU"/>
        </w:rPr>
        <w:t xml:space="preserve">Графическое представление рекомендуемой связи </w:t>
      </w:r>
      <w:r w:rsidR="00E534C6" w:rsidRPr="005464F9">
        <w:rPr>
          <w:lang w:val="ru-RU"/>
        </w:rPr>
        <w:br/>
      </w:r>
      <w:r w:rsidRPr="005464F9">
        <w:rPr>
          <w:lang w:val="ru-RU"/>
        </w:rPr>
        <w:t>между уровнями громкости</w:t>
      </w:r>
    </w:p>
    <w:p w14:paraId="20545A42" w14:textId="73954245" w:rsidR="00F24B54" w:rsidRPr="005464F9" w:rsidRDefault="004D775F" w:rsidP="00223C13">
      <w:pPr>
        <w:pStyle w:val="Normalaftertitle"/>
        <w:rPr>
          <w:lang w:val="ru-RU"/>
        </w:rPr>
      </w:pPr>
      <w:r w:rsidRPr="005464F9">
        <w:rPr>
          <w:lang w:val="ru-RU"/>
        </w:rPr>
        <w:t xml:space="preserve">В </w:t>
      </w:r>
      <w:r w:rsidR="00FD2695" w:rsidRPr="005464F9">
        <w:rPr>
          <w:lang w:val="ru-RU"/>
        </w:rPr>
        <w:t>настоящем</w:t>
      </w:r>
      <w:r w:rsidRPr="005464F9">
        <w:rPr>
          <w:lang w:val="ru-RU"/>
        </w:rPr>
        <w:t xml:space="preserve"> Дополнении </w:t>
      </w:r>
      <w:r w:rsidR="00FD2695" w:rsidRPr="005464F9">
        <w:rPr>
          <w:lang w:val="ru-RU"/>
        </w:rPr>
        <w:t>дано</w:t>
      </w:r>
      <w:r w:rsidRPr="005464F9">
        <w:rPr>
          <w:lang w:val="ru-RU"/>
        </w:rPr>
        <w:t xml:space="preserve"> графическое </w:t>
      </w:r>
      <w:proofErr w:type="spellStart"/>
      <w:r w:rsidRPr="00223C13">
        <w:t>представление</w:t>
      </w:r>
      <w:proofErr w:type="spellEnd"/>
      <w:r w:rsidRPr="005464F9">
        <w:rPr>
          <w:lang w:val="ru-RU"/>
        </w:rPr>
        <w:t xml:space="preserve"> связи между максимальным уровнем звука </w:t>
      </w:r>
      <w:r w:rsidR="00E51490" w:rsidRPr="005464F9">
        <w:rPr>
          <w:lang w:val="ru-RU"/>
        </w:rPr>
        <w:t>(0 </w:t>
      </w:r>
      <w:r w:rsidRPr="005464F9">
        <w:rPr>
          <w:lang w:val="ru-RU"/>
        </w:rPr>
        <w:t>дБ полной шкалы) и допустимым максимальным уровнем, как указывается КППИ и УУ, согласованными Обществом теле- и киноинженеров и Е</w:t>
      </w:r>
      <w:r w:rsidR="001805C9" w:rsidRPr="005464F9">
        <w:rPr>
          <w:lang w:val="ru-RU"/>
        </w:rPr>
        <w:t>Р</w:t>
      </w:r>
      <w:r w:rsidRPr="005464F9">
        <w:rPr>
          <w:lang w:val="ru-RU"/>
        </w:rPr>
        <w:t>С.</w:t>
      </w:r>
    </w:p>
    <w:p w14:paraId="5F174B66" w14:textId="4D17631A" w:rsidR="00F24B54" w:rsidRPr="005464F9" w:rsidRDefault="00FD2695">
      <w:pPr>
        <w:rPr>
          <w:szCs w:val="22"/>
          <w:lang w:val="ru-RU"/>
        </w:rPr>
      </w:pPr>
      <w:r w:rsidRPr="005464F9">
        <w:rPr>
          <w:szCs w:val="22"/>
          <w:lang w:val="ru-RU"/>
        </w:rPr>
        <w:t>Это представление показывает</w:t>
      </w:r>
      <w:r w:rsidR="00F24B54" w:rsidRPr="005464F9">
        <w:rPr>
          <w:szCs w:val="22"/>
          <w:lang w:val="ru-RU"/>
        </w:rPr>
        <w:t>, что можно обмениваться звуковым материалом, соответствующим этой Рекомендации, и использовать его без какой-либо требуемой регулировки уровня.</w:t>
      </w:r>
    </w:p>
    <w:p w14:paraId="1BB47574" w14:textId="41B40BF5" w:rsidR="00F24B54" w:rsidRPr="005464F9" w:rsidRDefault="004D775F">
      <w:pPr>
        <w:rPr>
          <w:spacing w:val="-2"/>
          <w:szCs w:val="22"/>
          <w:lang w:val="ru-RU"/>
        </w:rPr>
      </w:pPr>
      <w:r w:rsidRPr="005464F9">
        <w:rPr>
          <w:spacing w:val="-2"/>
          <w:szCs w:val="22"/>
          <w:lang w:val="ru-RU"/>
        </w:rPr>
        <w:t xml:space="preserve">Однако следует продолжать ставить на звуковых материалах обозначения, </w:t>
      </w:r>
      <w:r w:rsidR="00FD2695" w:rsidRPr="005464F9">
        <w:rPr>
          <w:spacing w:val="-2"/>
          <w:szCs w:val="22"/>
          <w:lang w:val="ru-RU"/>
        </w:rPr>
        <w:t xml:space="preserve">указывающие на то, </w:t>
      </w:r>
      <w:r w:rsidRPr="005464F9">
        <w:rPr>
          <w:spacing w:val="-2"/>
          <w:szCs w:val="22"/>
          <w:lang w:val="ru-RU"/>
        </w:rPr>
        <w:t xml:space="preserve">что </w:t>
      </w:r>
      <w:r w:rsidR="00FD2695" w:rsidRPr="005464F9">
        <w:rPr>
          <w:spacing w:val="-2"/>
          <w:szCs w:val="22"/>
          <w:lang w:val="ru-RU"/>
        </w:rPr>
        <w:t>в них</w:t>
      </w:r>
      <w:r w:rsidRPr="005464F9">
        <w:rPr>
          <w:spacing w:val="-2"/>
          <w:szCs w:val="22"/>
          <w:lang w:val="ru-RU"/>
        </w:rPr>
        <w:t xml:space="preserve"> использу</w:t>
      </w:r>
      <w:r w:rsidR="00FD2695" w:rsidRPr="005464F9">
        <w:rPr>
          <w:spacing w:val="-2"/>
          <w:szCs w:val="22"/>
          <w:lang w:val="ru-RU"/>
        </w:rPr>
        <w:t>ется</w:t>
      </w:r>
      <w:r w:rsidRPr="005464F9">
        <w:rPr>
          <w:spacing w:val="-2"/>
          <w:szCs w:val="22"/>
          <w:lang w:val="ru-RU"/>
        </w:rPr>
        <w:t xml:space="preserve"> уровень установки в соответствии с </w:t>
      </w:r>
      <w:r w:rsidRPr="005464F9">
        <w:rPr>
          <w:szCs w:val="22"/>
          <w:lang w:val="ru-RU"/>
        </w:rPr>
        <w:t xml:space="preserve">RP 155 Общества теле- и киноинженеров или Технической </w:t>
      </w:r>
      <w:r w:rsidR="00FD2695" w:rsidRPr="005464F9">
        <w:rPr>
          <w:szCs w:val="22"/>
          <w:lang w:val="ru-RU"/>
        </w:rPr>
        <w:t>р</w:t>
      </w:r>
      <w:r w:rsidRPr="005464F9">
        <w:rPr>
          <w:szCs w:val="22"/>
          <w:lang w:val="ru-RU"/>
        </w:rPr>
        <w:t>екомендацией Европейского радиовещательного союза (ЕРС) R68 в случае, если операторы или автоматическое оборудование применяют устойчивый тон для настройки цепей или устройств записи</w:t>
      </w:r>
      <w:r w:rsidRPr="005464F9">
        <w:rPr>
          <w:spacing w:val="-2"/>
          <w:szCs w:val="22"/>
          <w:lang w:val="ru-RU"/>
        </w:rPr>
        <w:t>.</w:t>
      </w:r>
    </w:p>
    <w:p w14:paraId="750A9E1B" w14:textId="77777777" w:rsidR="00F24B54" w:rsidRPr="005464F9" w:rsidRDefault="00F24B54" w:rsidP="00753960">
      <w:pPr>
        <w:pStyle w:val="FigureNo"/>
        <w:rPr>
          <w:lang w:val="ru-RU"/>
        </w:rPr>
      </w:pPr>
      <w:r w:rsidRPr="005464F9">
        <w:rPr>
          <w:lang w:val="ru-RU"/>
        </w:rPr>
        <w:lastRenderedPageBreak/>
        <w:t>РИСУНОК 1</w:t>
      </w:r>
    </w:p>
    <w:p w14:paraId="33607024" w14:textId="77777777" w:rsidR="00F24B54" w:rsidRPr="005464F9" w:rsidRDefault="00F24B54" w:rsidP="00753960">
      <w:pPr>
        <w:pStyle w:val="Figuretitle"/>
        <w:rPr>
          <w:lang w:val="ru-RU"/>
        </w:rPr>
      </w:pPr>
      <w:r w:rsidRPr="005464F9">
        <w:rPr>
          <w:lang w:val="ru-RU"/>
        </w:rPr>
        <w:t>Графическое представление рекомендуемой связи между уровнями громкости</w:t>
      </w:r>
    </w:p>
    <w:p w14:paraId="15BAD226" w14:textId="24205A69" w:rsidR="00F24B54" w:rsidRPr="005464F9" w:rsidRDefault="00753960">
      <w:pPr>
        <w:pStyle w:val="Figure"/>
        <w:rPr>
          <w:lang w:val="ru-RU"/>
        </w:rPr>
      </w:pPr>
      <w:r w:rsidRPr="005464F9">
        <w:rPr>
          <w:lang w:val="ru-RU"/>
        </w:rPr>
        <w:object w:dxaOrig="4383" w:dyaOrig="7422" w14:anchorId="38355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38.25pt" o:ole="">
            <v:imagedata r:id="rId7" o:title="" croptop="2251f" cropbottom="3575f"/>
          </v:shape>
          <o:OLEObject Type="Embed" ProgID="CorelDRAW.Graphic.12" ShapeID="_x0000_i1025" DrawAspect="Content" ObjectID="_1744531806" r:id="rId8"/>
        </w:object>
      </w:r>
    </w:p>
    <w:p w14:paraId="698BE8B0" w14:textId="77777777" w:rsidR="004F32A4" w:rsidRPr="005464F9" w:rsidRDefault="004F32A4" w:rsidP="004F32A4">
      <w:pPr>
        <w:spacing w:before="720"/>
        <w:jc w:val="center"/>
        <w:rPr>
          <w:lang w:val="ru-RU"/>
        </w:rPr>
      </w:pPr>
      <w:r w:rsidRPr="005464F9">
        <w:rPr>
          <w:lang w:val="ru-RU"/>
        </w:rPr>
        <w:t>______________</w:t>
      </w:r>
    </w:p>
    <w:sectPr w:rsidR="004F32A4" w:rsidRPr="005464F9">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5A63" w14:textId="77777777" w:rsidR="001805C9" w:rsidRDefault="001805C9">
      <w:r>
        <w:separator/>
      </w:r>
    </w:p>
  </w:endnote>
  <w:endnote w:type="continuationSeparator" w:id="0">
    <w:p w14:paraId="589AF8D5" w14:textId="77777777" w:rsidR="001805C9" w:rsidRDefault="0018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67D2" w14:textId="77777777" w:rsidR="00223C13" w:rsidRDefault="0022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839D" w14:textId="77777777" w:rsidR="00223C13" w:rsidRDefault="00223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576B" w14:textId="77777777" w:rsidR="00223C13" w:rsidRDefault="0022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1208" w14:textId="77777777" w:rsidR="001805C9" w:rsidRDefault="001805C9">
      <w:r>
        <w:separator/>
      </w:r>
    </w:p>
  </w:footnote>
  <w:footnote w:type="continuationSeparator" w:id="0">
    <w:p w14:paraId="28186FC9" w14:textId="77777777" w:rsidR="001805C9" w:rsidRDefault="001805C9">
      <w:r>
        <w:continuationSeparator/>
      </w:r>
    </w:p>
  </w:footnote>
  <w:footnote w:id="1">
    <w:p w14:paraId="1B7B7C68" w14:textId="3ADD4A98" w:rsidR="008D2392" w:rsidRPr="00FD2695" w:rsidRDefault="008D2392" w:rsidP="00F22A12">
      <w:pPr>
        <w:pStyle w:val="FootnoteText"/>
        <w:rPr>
          <w:lang w:val="ru-RU"/>
        </w:rPr>
      </w:pPr>
      <w:r w:rsidRPr="00FD2695">
        <w:rPr>
          <w:rStyle w:val="FootnoteReference"/>
          <w:lang w:val="ru-RU"/>
        </w:rPr>
        <w:t>*</w:t>
      </w:r>
      <w:r w:rsidRPr="00FD2695">
        <w:rPr>
          <w:lang w:val="ru-RU"/>
        </w:rPr>
        <w:t xml:space="preserve"> </w:t>
      </w:r>
      <w:r w:rsidRPr="00FD2695">
        <w:rPr>
          <w:lang w:val="ru-RU"/>
        </w:rPr>
        <w:tab/>
      </w:r>
      <w:r w:rsidR="0092177B">
        <w:rPr>
          <w:lang w:val="ru-RU"/>
        </w:rPr>
        <w:t>В</w:t>
      </w:r>
      <w:r w:rsidR="0092177B" w:rsidRPr="008D2392">
        <w:rPr>
          <w:lang w:val="ru-RU"/>
        </w:rPr>
        <w:t xml:space="preserve"> марте 20</w:t>
      </w:r>
      <w:r w:rsidR="0092177B">
        <w:rPr>
          <w:lang w:val="ru-RU"/>
        </w:rPr>
        <w:t>23</w:t>
      </w:r>
      <w:r w:rsidR="0092177B" w:rsidRPr="008D2392">
        <w:rPr>
          <w:lang w:val="ru-RU"/>
        </w:rPr>
        <w:t xml:space="preserve"> года </w:t>
      </w:r>
      <w:r w:rsidR="00FD2695" w:rsidRPr="008D2392">
        <w:rPr>
          <w:lang w:val="ru-RU"/>
        </w:rPr>
        <w:t xml:space="preserve">6-я Исследовательская комиссия по радиосвязи </w:t>
      </w:r>
      <w:r w:rsidRPr="008D2392">
        <w:rPr>
          <w:lang w:val="ru-RU"/>
        </w:rPr>
        <w:t xml:space="preserve">внесла поправки редакционного характера в </w:t>
      </w:r>
      <w:r w:rsidRPr="00FD2695">
        <w:rPr>
          <w:lang w:val="ru-RU"/>
        </w:rPr>
        <w:t>настоящую</w:t>
      </w:r>
      <w:r w:rsidRPr="008D2392">
        <w:rPr>
          <w:lang w:val="ru-RU"/>
        </w:rPr>
        <w:t xml:space="preserve"> Рекомендацию в соответствии с Резолюцией МСЭ-</w:t>
      </w:r>
      <w:r w:rsidRPr="008D2392">
        <w:rPr>
          <w:lang w:val="en-US"/>
        </w:rPr>
        <w:t>R</w:t>
      </w:r>
      <w:r w:rsidRPr="008D2392">
        <w:rPr>
          <w:lang w:val="ru-RU"/>
        </w:rPr>
        <w:t xml:space="preserve"> 1</w:t>
      </w:r>
      <w:r w:rsidRPr="00FD2695">
        <w:rPr>
          <w:lang w:val="ru-RU"/>
        </w:rPr>
        <w:t>.</w:t>
      </w:r>
    </w:p>
  </w:footnote>
  <w:footnote w:id="2">
    <w:p w14:paraId="20B860B5" w14:textId="77777777" w:rsidR="001805C9" w:rsidRPr="00B811CA" w:rsidRDefault="001805C9" w:rsidP="00F22A12">
      <w:pPr>
        <w:pStyle w:val="FootnoteText"/>
        <w:rPr>
          <w:lang w:val="ru-RU"/>
        </w:rPr>
      </w:pPr>
      <w:r w:rsidRPr="00B811CA">
        <w:rPr>
          <w:rStyle w:val="FootnoteReference"/>
          <w:szCs w:val="16"/>
          <w:lang w:val="en-US"/>
        </w:rPr>
        <w:footnoteRef/>
      </w:r>
      <w:r w:rsidRPr="00B811CA">
        <w:rPr>
          <w:lang w:val="ru-RU"/>
        </w:rPr>
        <w:tab/>
        <w:t>Децибелы относительно уровня полной шкалы.</w:t>
      </w:r>
    </w:p>
  </w:footnote>
  <w:footnote w:id="3">
    <w:p w14:paraId="5C62D2FF" w14:textId="77777777" w:rsidR="001805C9" w:rsidRPr="00FD2695" w:rsidRDefault="001805C9" w:rsidP="00F22A12">
      <w:pPr>
        <w:pStyle w:val="FootnoteText"/>
        <w:rPr>
          <w:spacing w:val="-2"/>
          <w:lang w:val="ru-RU"/>
        </w:rPr>
      </w:pPr>
      <w:r w:rsidRPr="00E534C6">
        <w:rPr>
          <w:rStyle w:val="FootnoteReference"/>
          <w:szCs w:val="16"/>
          <w:lang w:val="en-US"/>
        </w:rPr>
        <w:footnoteRef/>
      </w:r>
      <w:r w:rsidRPr="00E534C6">
        <w:rPr>
          <w:sz w:val="16"/>
          <w:szCs w:val="16"/>
          <w:lang w:val="ru-RU"/>
        </w:rPr>
        <w:t xml:space="preserve"> </w:t>
      </w:r>
      <w:r w:rsidRPr="00E534C6">
        <w:rPr>
          <w:lang w:val="ru-RU"/>
        </w:rPr>
        <w:tab/>
      </w:r>
      <w:r w:rsidRPr="00FD2695">
        <w:rPr>
          <w:spacing w:val="-2"/>
          <w:lang w:val="ru-RU"/>
        </w:rPr>
        <w:t xml:space="preserve">0 дБ полной шкалы является максимальным уровнем сигнала, который может иметь место в цифровой звуковой системе. При превышении этого уровня появляется внезапное клиппирование сигнала с последующим искажением. </w:t>
      </w:r>
    </w:p>
  </w:footnote>
  <w:footnote w:id="4">
    <w:p w14:paraId="56457945" w14:textId="77777777" w:rsidR="001805C9" w:rsidRPr="00FD2695" w:rsidRDefault="001805C9" w:rsidP="00F22A12">
      <w:pPr>
        <w:pStyle w:val="FootnoteText"/>
        <w:rPr>
          <w:spacing w:val="-2"/>
          <w:lang w:val="ru-RU"/>
        </w:rPr>
      </w:pPr>
      <w:r w:rsidRPr="00E534C6">
        <w:rPr>
          <w:rStyle w:val="FootnoteReference"/>
          <w:szCs w:val="16"/>
          <w:lang w:val="en-US"/>
        </w:rPr>
        <w:footnoteRef/>
      </w:r>
      <w:r w:rsidRPr="00E534C6">
        <w:rPr>
          <w:lang w:val="ru-RU"/>
        </w:rPr>
        <w:tab/>
      </w:r>
      <w:r w:rsidRPr="00FD2695">
        <w:rPr>
          <w:spacing w:val="-2"/>
          <w:lang w:val="ru-RU"/>
        </w:rPr>
        <w:t>Квазипиковые программные измерители имеют время интеграции, равное 10 мс, благодаря чему показываются также относительно короткие переходные режимы программы. Измерители истинных пиков будут завышать эти показания на некоторых программных материалах, тогда как измерители среднего значения уровня сигнала, как правило, будут занижать эти показания, поскольку имеют большое время интеграции.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20B3" w14:textId="65D5AE9B" w:rsidR="001805C9" w:rsidRDefault="001805C9" w:rsidP="004D775F">
    <w:pPr>
      <w:pStyle w:val="Header"/>
      <w:spacing w:after="480"/>
      <w:jc w:val="left"/>
    </w:pPr>
    <w:r w:rsidRPr="002A4A37">
      <w:rPr>
        <w:rStyle w:val="PageNumber"/>
        <w:b/>
        <w:bCs/>
        <w:sz w:val="22"/>
        <w:szCs w:val="22"/>
      </w:rPr>
      <w:fldChar w:fldCharType="begin"/>
    </w:r>
    <w:r w:rsidRPr="002A4A37">
      <w:rPr>
        <w:rStyle w:val="PageNumber"/>
        <w:b/>
        <w:bCs/>
        <w:sz w:val="22"/>
        <w:szCs w:val="22"/>
      </w:rPr>
      <w:instrText xml:space="preserve"> PAGE </w:instrText>
    </w:r>
    <w:r w:rsidRPr="002A4A37">
      <w:rPr>
        <w:rStyle w:val="PageNumber"/>
        <w:b/>
        <w:bCs/>
        <w:sz w:val="22"/>
        <w:szCs w:val="22"/>
      </w:rPr>
      <w:fldChar w:fldCharType="separate"/>
    </w:r>
    <w:r w:rsidR="002A4A37">
      <w:rPr>
        <w:rStyle w:val="PageNumber"/>
        <w:b/>
        <w:bCs/>
        <w:noProof/>
        <w:sz w:val="22"/>
        <w:szCs w:val="22"/>
      </w:rPr>
      <w:t>2</w:t>
    </w:r>
    <w:r w:rsidRPr="002A4A37">
      <w:rPr>
        <w:rStyle w:val="PageNumber"/>
        <w:b/>
        <w:bCs/>
        <w:sz w:val="22"/>
        <w:szCs w:val="22"/>
      </w:rPr>
      <w:fldChar w:fldCharType="end"/>
    </w:r>
    <w:r>
      <w:tab/>
    </w:r>
    <w:r w:rsidRPr="00E534C6">
      <w:rPr>
        <w:b/>
        <w:sz w:val="22"/>
        <w:szCs w:val="22"/>
        <w:lang w:val="ru-RU"/>
      </w:rPr>
      <w:t xml:space="preserve">Рек. </w:t>
    </w:r>
    <w:r w:rsidRPr="00E534C6">
      <w:rPr>
        <w:b/>
        <w:sz w:val="22"/>
        <w:szCs w:val="22"/>
        <w:lang w:val="en-US"/>
      </w:rPr>
      <w:t xml:space="preserve"> </w:t>
    </w:r>
    <w:r w:rsidR="00223C13">
      <w:rPr>
        <w:b/>
        <w:bCs/>
      </w:rPr>
      <w:fldChar w:fldCharType="begin"/>
    </w:r>
    <w:r w:rsidR="00223C13">
      <w:rPr>
        <w:b/>
        <w:bCs/>
      </w:rPr>
      <w:instrText>styleref href</w:instrText>
    </w:r>
    <w:r w:rsidR="00223C13">
      <w:rPr>
        <w:b/>
        <w:bCs/>
      </w:rPr>
      <w:fldChar w:fldCharType="separate"/>
    </w:r>
    <w:r w:rsidR="00711B2F">
      <w:rPr>
        <w:b/>
        <w:bCs/>
        <w:noProof/>
      </w:rPr>
      <w:t>МСЭ-R  BS.1726</w:t>
    </w:r>
    <w:r w:rsidR="00223C13">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3B10" w14:textId="1836D03B" w:rsidR="001805C9" w:rsidRPr="00E534C6" w:rsidRDefault="001805C9" w:rsidP="00E534C6">
    <w:pPr>
      <w:pStyle w:val="Header"/>
      <w:jc w:val="both"/>
      <w:rPr>
        <w:b/>
        <w:sz w:val="22"/>
        <w:szCs w:val="22"/>
      </w:rPr>
    </w:pPr>
    <w:r>
      <w:rPr>
        <w:lang w:val="en-US"/>
      </w:rPr>
      <w:tab/>
    </w:r>
    <w:r w:rsidRPr="00E534C6">
      <w:rPr>
        <w:b/>
        <w:sz w:val="22"/>
        <w:szCs w:val="22"/>
        <w:lang w:val="ru-RU"/>
      </w:rPr>
      <w:t xml:space="preserve">Рек. </w:t>
    </w:r>
    <w:r w:rsidRPr="00E534C6">
      <w:rPr>
        <w:b/>
        <w:sz w:val="22"/>
        <w:szCs w:val="22"/>
        <w:lang w:val="en-US"/>
      </w:rPr>
      <w:t xml:space="preserve"> </w:t>
    </w:r>
    <w:r w:rsidR="00223C13">
      <w:rPr>
        <w:b/>
        <w:bCs/>
      </w:rPr>
      <w:fldChar w:fldCharType="begin"/>
    </w:r>
    <w:r w:rsidR="00223C13">
      <w:rPr>
        <w:b/>
        <w:bCs/>
      </w:rPr>
      <w:instrText>styleref href</w:instrText>
    </w:r>
    <w:r w:rsidR="00223C13">
      <w:rPr>
        <w:b/>
        <w:bCs/>
      </w:rPr>
      <w:fldChar w:fldCharType="separate"/>
    </w:r>
    <w:r w:rsidR="00711B2F">
      <w:rPr>
        <w:b/>
        <w:bCs/>
        <w:noProof/>
      </w:rPr>
      <w:t>МСЭ-R  BS.1726</w:t>
    </w:r>
    <w:r w:rsidR="00223C13">
      <w:rPr>
        <w:b/>
        <w:bCs/>
      </w:rPr>
      <w:fldChar w:fldCharType="end"/>
    </w:r>
    <w:r w:rsidRPr="00E534C6">
      <w:rPr>
        <w:b/>
        <w:sz w:val="22"/>
        <w:szCs w:val="22"/>
      </w:rPr>
      <w:tab/>
    </w:r>
    <w:r w:rsidRPr="00E534C6">
      <w:rPr>
        <w:rStyle w:val="PageNumber"/>
        <w:b/>
        <w:bCs/>
        <w:sz w:val="22"/>
        <w:szCs w:val="22"/>
      </w:rPr>
      <w:fldChar w:fldCharType="begin"/>
    </w:r>
    <w:r w:rsidRPr="00E534C6">
      <w:rPr>
        <w:rStyle w:val="PageNumber"/>
        <w:b/>
        <w:bCs/>
        <w:sz w:val="22"/>
        <w:szCs w:val="22"/>
      </w:rPr>
      <w:instrText xml:space="preserve"> PAGE </w:instrText>
    </w:r>
    <w:r w:rsidRPr="00E534C6">
      <w:rPr>
        <w:rStyle w:val="PageNumber"/>
        <w:b/>
        <w:bCs/>
        <w:sz w:val="22"/>
        <w:szCs w:val="22"/>
      </w:rPr>
      <w:fldChar w:fldCharType="separate"/>
    </w:r>
    <w:r w:rsidR="002A4A37">
      <w:rPr>
        <w:rStyle w:val="PageNumber"/>
        <w:b/>
        <w:bCs/>
        <w:noProof/>
        <w:sz w:val="22"/>
        <w:szCs w:val="22"/>
      </w:rPr>
      <w:t>3</w:t>
    </w:r>
    <w:r w:rsidRPr="00E534C6">
      <w:rPr>
        <w:rStyle w:val="PageNumber"/>
        <w:b/>
        <w:bCs/>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D69C" w14:textId="77777777" w:rsidR="00223C13" w:rsidRDefault="00223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54"/>
    <w:rsid w:val="00054C3E"/>
    <w:rsid w:val="00113E88"/>
    <w:rsid w:val="0011496B"/>
    <w:rsid w:val="001805C9"/>
    <w:rsid w:val="00223C13"/>
    <w:rsid w:val="002427B3"/>
    <w:rsid w:val="00257CDE"/>
    <w:rsid w:val="00282CA8"/>
    <w:rsid w:val="002A4A37"/>
    <w:rsid w:val="002E200E"/>
    <w:rsid w:val="00361551"/>
    <w:rsid w:val="004D775F"/>
    <w:rsid w:val="004F32A4"/>
    <w:rsid w:val="005346BB"/>
    <w:rsid w:val="005464F9"/>
    <w:rsid w:val="00711B2F"/>
    <w:rsid w:val="00753960"/>
    <w:rsid w:val="007B77B2"/>
    <w:rsid w:val="008D2392"/>
    <w:rsid w:val="0092177B"/>
    <w:rsid w:val="00B811CA"/>
    <w:rsid w:val="00BE101F"/>
    <w:rsid w:val="00E47790"/>
    <w:rsid w:val="00E51490"/>
    <w:rsid w:val="00E534C6"/>
    <w:rsid w:val="00EA77A4"/>
    <w:rsid w:val="00F22A12"/>
    <w:rsid w:val="00F24B54"/>
    <w:rsid w:val="00FD2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1BBA7F"/>
  <w15:chartTrackingRefBased/>
  <w15:docId w15:val="{3F3DA41D-7161-4FFE-8ABE-F1AC11B9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392"/>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rsid w:val="008D2392"/>
    <w:pPr>
      <w:spacing w:before="320"/>
      <w:outlineLvl w:val="1"/>
    </w:p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rPr>
      <w:sz w:val="24"/>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rsid w:val="008D2392"/>
    <w:pPr>
      <w:spacing w:before="160"/>
      <w:ind w:left="0" w:firstLine="0"/>
      <w:outlineLvl w:val="9"/>
    </w:pPr>
    <w:rPr>
      <w:sz w:val="22"/>
    </w:r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rsid w:val="00054C3E"/>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8D2392"/>
    <w:pPr>
      <w:keepNext/>
      <w:keepLines/>
      <w:tabs>
        <w:tab w:val="clear" w:pos="794"/>
        <w:tab w:val="clear" w:pos="1191"/>
        <w:tab w:val="clear" w:pos="1588"/>
        <w:tab w:val="clear" w:pos="1985"/>
      </w:tabs>
      <w:spacing w:before="480"/>
      <w:jc w:val="center"/>
    </w:pPr>
    <w:rPr>
      <w:sz w:val="26"/>
    </w:rPr>
  </w:style>
  <w:style w:type="paragraph" w:customStyle="1" w:styleId="HeadingSum">
    <w:name w:val="Heading_Sum"/>
    <w:basedOn w:val="Headingb"/>
    <w:next w:val="Normal"/>
    <w:rsid w:val="008D2392"/>
    <w:pPr>
      <w:spacing w:before="240"/>
    </w:pPr>
    <w:rPr>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rsid w:val="008D2392"/>
    <w:pPr>
      <w:jc w:val="right"/>
    </w:pPr>
  </w:style>
  <w:style w:type="paragraph" w:customStyle="1" w:styleId="AnnexNoTitle">
    <w:name w:val="Annex_NoTitle"/>
    <w:basedOn w:val="Normal"/>
    <w:next w:val="Normalaftertitle"/>
    <w:rsid w:val="004F32A4"/>
    <w:pPr>
      <w:keepNext/>
      <w:keepLines/>
      <w:spacing w:before="480" w:after="80"/>
      <w:jc w:val="center"/>
    </w:pPr>
    <w:rPr>
      <w:b/>
      <w:sz w:val="26"/>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53960"/>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sid w:val="008D2392"/>
    <w:rPr>
      <w:position w:val="6"/>
      <w:sz w:val="16"/>
    </w:rPr>
  </w:style>
  <w:style w:type="paragraph" w:styleId="FootnoteText">
    <w:name w:val="footnote text"/>
    <w:basedOn w:val="Normal"/>
    <w:link w:val="FootnoteTextChar"/>
    <w:rsid w:val="00F22A12"/>
    <w:pPr>
      <w:keepLines/>
      <w:tabs>
        <w:tab w:val="clear" w:pos="794"/>
        <w:tab w:val="clear" w:pos="1191"/>
        <w:tab w:val="clear" w:pos="1588"/>
        <w:tab w:val="clear" w:pos="1985"/>
        <w:tab w:val="left" w:pos="284"/>
      </w:tabs>
      <w:spacing w:before="60"/>
      <w:ind w:left="284" w:hanging="284"/>
    </w:pPr>
    <w:rPr>
      <w:sz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rsid w:val="008D2392"/>
    <w:pPr>
      <w:keepNext/>
      <w:keepLines/>
      <w:spacing w:before="240"/>
      <w:jc w:val="center"/>
    </w:pPr>
    <w:rPr>
      <w:b/>
      <w:sz w:val="26"/>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lang w:val="es-ES_tradnl"/>
    </w:rPr>
  </w:style>
  <w:style w:type="character" w:styleId="Hyperlink">
    <w:name w:val="Hyperlink"/>
    <w:basedOn w:val="DefaultParagraphFont"/>
    <w:rPr>
      <w:color w:val="0000FF"/>
      <w:u w:val="single"/>
    </w:rPr>
  </w:style>
  <w:style w:type="paragraph" w:customStyle="1" w:styleId="Figure">
    <w:name w:val="Figure"/>
    <w:basedOn w:val="FigureNo"/>
    <w:next w:val="Figuretitle"/>
    <w:pPr>
      <w:spacing w:before="0" w:after="240"/>
    </w:pPr>
  </w:style>
  <w:style w:type="paragraph" w:customStyle="1" w:styleId="StyleRecdate11pt">
    <w:name w:val="Style Rec_date + 11 pt"/>
    <w:basedOn w:val="Recdate"/>
    <w:rsid w:val="008D2392"/>
  </w:style>
  <w:style w:type="character" w:customStyle="1" w:styleId="FootnoteTextChar">
    <w:name w:val="Footnote Text Char"/>
    <w:link w:val="FootnoteText"/>
    <w:rsid w:val="00F22A12"/>
    <w:rPr>
      <w:lang w:val="fr-FR" w:eastAsia="en-US"/>
    </w:rPr>
  </w:style>
  <w:style w:type="character" w:styleId="UnresolvedMention">
    <w:name w:val="Unresolved Mention"/>
    <w:basedOn w:val="DefaultParagraphFont"/>
    <w:uiPriority w:val="99"/>
    <w:semiHidden/>
    <w:unhideWhenUsed/>
    <w:rsid w:val="00F22A12"/>
    <w:rPr>
      <w:color w:val="605E5C"/>
      <w:shd w:val="clear" w:color="auto" w:fill="E1DFDD"/>
    </w:rPr>
  </w:style>
  <w:style w:type="paragraph" w:customStyle="1" w:styleId="Reasons">
    <w:name w:val="Reasons"/>
    <w:basedOn w:val="Normal"/>
    <w:qFormat/>
    <w:rsid w:val="004F32A4"/>
    <w:pPr>
      <w:tabs>
        <w:tab w:val="clear" w:pos="794"/>
        <w:tab w:val="clear" w:pos="1191"/>
        <w:tab w:val="clear" w:pos="1588"/>
        <w:tab w:val="clear" w:pos="1985"/>
      </w:tabs>
      <w:overflowPunct/>
      <w:autoSpaceDE/>
      <w:autoSpaceDN/>
      <w:adjustRightInd/>
      <w:spacing w:before="0"/>
      <w:jc w:val="left"/>
      <w:textAlignment w:val="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ec.ch/homepag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8</TotalTime>
  <Pages>3</Pages>
  <Words>547</Words>
  <Characters>3897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4436</CharactersWithSpaces>
  <SharedDoc>false</SharedDoc>
  <HLinks>
    <vt:vector size="6" baseType="variant">
      <vt:variant>
        <vt:i4>1638426</vt:i4>
      </vt:variant>
      <vt:variant>
        <vt:i4>0</vt:i4>
      </vt:variant>
      <vt:variant>
        <vt:i4>0</vt:i4>
      </vt:variant>
      <vt:variant>
        <vt:i4>5</vt:i4>
      </vt:variant>
      <vt:variant>
        <vt:lpwstr>http://www.iec.ch/itu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BS.1726* - Уровень сигнала цифрового звукового сопровождения телевидения  при международном обмене программами</dc:title>
  <dc:subject>BS Series = Broadcasting service (sound)</dc:subject>
  <dc:creator>ITU Radiocommunication Bureau (BR)</dc:creator>
  <cp:keywords>BS,1726*</cp:keywords>
  <dc:description>Berdyeva, 01/05/2023, ITU51013808</dc:description>
  <cp:lastModifiedBy>Berdyeva, Elena</cp:lastModifiedBy>
  <cp:revision>10</cp:revision>
  <cp:lastPrinted>2023-05-02T09:20:00Z</cp:lastPrinted>
  <dcterms:created xsi:type="dcterms:W3CDTF">2023-05-01T14:05:00Z</dcterms:created>
  <dcterms:modified xsi:type="dcterms:W3CDTF">2023-05-02T09:22:00Z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Russian</vt:lpwstr>
  </property>
  <property fmtid="{D5CDD505-2E9C-101B-9397-08002B2CF9AE}" pid="7" name="Typist">
    <vt:lpwstr>Berdyeva</vt:lpwstr>
  </property>
  <property fmtid="{D5CDD505-2E9C-101B-9397-08002B2CF9AE}" pid="8" name="Date completed">
    <vt:lpwstr>01 May 2023</vt:lpwstr>
  </property>
</Properties>
</file>