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BB419" w14:textId="77777777" w:rsidR="00FE79FE" w:rsidRDefault="00FE79FE"/>
    <w:p w14:paraId="2B192D07" w14:textId="77777777" w:rsidR="00013002" w:rsidRDefault="00013002" w:rsidP="00DE5556">
      <w:pPr>
        <w:tabs>
          <w:tab w:val="clear" w:pos="794"/>
          <w:tab w:val="clear" w:pos="1191"/>
          <w:tab w:val="clear" w:pos="1588"/>
          <w:tab w:val="clear" w:pos="1985"/>
        </w:tabs>
      </w:pPr>
    </w:p>
    <w:p w14:paraId="7FE12873" w14:textId="15A5A895" w:rsidR="00D5024B" w:rsidRPr="00F111D6" w:rsidRDefault="00D5024B" w:rsidP="00D5024B">
      <w:pPr>
        <w:pStyle w:val="CoverNumber"/>
        <w:rPr>
          <w:lang w:val="es-ES"/>
        </w:rPr>
      </w:pPr>
      <w:r w:rsidRPr="00F111D6">
        <w:rPr>
          <w:lang w:val="es-ES"/>
        </w:rPr>
        <w:t>Recom</w:t>
      </w:r>
      <w:r w:rsidR="0069322D" w:rsidRPr="00F111D6">
        <w:rPr>
          <w:lang w:val="es-ES"/>
        </w:rPr>
        <w:t>e</w:t>
      </w:r>
      <w:r w:rsidRPr="00F111D6">
        <w:rPr>
          <w:lang w:val="es-ES"/>
        </w:rPr>
        <w:t>nda</w:t>
      </w:r>
      <w:r w:rsidR="0069322D" w:rsidRPr="00F111D6">
        <w:rPr>
          <w:lang w:val="es-ES"/>
        </w:rPr>
        <w:t>c</w:t>
      </w:r>
      <w:r w:rsidRPr="00F111D6">
        <w:rPr>
          <w:lang w:val="es-ES"/>
        </w:rPr>
        <w:t>i</w:t>
      </w:r>
      <w:r w:rsidR="0069322D" w:rsidRPr="00F111D6">
        <w:rPr>
          <w:lang w:val="es-ES"/>
        </w:rPr>
        <w:t>ó</w:t>
      </w:r>
      <w:r w:rsidRPr="00F111D6">
        <w:rPr>
          <w:lang w:val="es-ES"/>
        </w:rPr>
        <w:t xml:space="preserve">n </w:t>
      </w:r>
      <w:r w:rsidR="007624B1" w:rsidRPr="00F111D6">
        <w:rPr>
          <w:lang w:val="es-ES"/>
        </w:rPr>
        <w:t>U</w:t>
      </w:r>
      <w:r w:rsidRPr="00F111D6">
        <w:rPr>
          <w:lang w:val="es-ES"/>
        </w:rPr>
        <w:t xml:space="preserve">IT-R </w:t>
      </w:r>
      <w:r w:rsidR="008F775E">
        <w:rPr>
          <w:lang w:val="es-ES"/>
        </w:rPr>
        <w:t>BS</w:t>
      </w:r>
      <w:r w:rsidRPr="00F111D6">
        <w:rPr>
          <w:lang w:val="es-ES"/>
        </w:rPr>
        <w:t>.</w:t>
      </w:r>
      <w:r w:rsidR="00CF7501">
        <w:rPr>
          <w:lang w:val="es-ES_tradnl" w:eastAsia="zh-CN"/>
        </w:rPr>
        <w:t>1864</w:t>
      </w:r>
      <w:r w:rsidR="00CF7501" w:rsidRPr="00AE0903">
        <w:rPr>
          <w:lang w:val="es-ES_tradnl" w:eastAsia="zh-CN"/>
        </w:rPr>
        <w:t>-1</w:t>
      </w:r>
    </w:p>
    <w:p w14:paraId="7BD9CBD8" w14:textId="31432741" w:rsidR="00D5024B" w:rsidRPr="00F111D6" w:rsidRDefault="00D5024B" w:rsidP="00D5024B">
      <w:pPr>
        <w:pStyle w:val="CoverDate"/>
        <w:rPr>
          <w:lang w:val="es-ES"/>
        </w:rPr>
      </w:pPr>
      <w:r w:rsidRPr="00F111D6">
        <w:rPr>
          <w:lang w:val="es-ES"/>
        </w:rPr>
        <w:t>(</w:t>
      </w:r>
      <w:r w:rsidR="00CF7501" w:rsidRPr="00AE0903">
        <w:rPr>
          <w:lang w:val="es-ES_tradnl" w:eastAsia="zh-CN"/>
        </w:rPr>
        <w:t>11/2023</w:t>
      </w:r>
      <w:r w:rsidRPr="00F111D6">
        <w:rPr>
          <w:lang w:val="es-ES"/>
        </w:rPr>
        <w:t>)</w:t>
      </w:r>
    </w:p>
    <w:p w14:paraId="6D6E1846" w14:textId="77777777" w:rsidR="00D5024B" w:rsidRPr="00F111D6" w:rsidRDefault="00A25EE2" w:rsidP="00D5024B">
      <w:pPr>
        <w:pStyle w:val="CoverSeries"/>
        <w:rPr>
          <w:lang w:val="es-ES"/>
        </w:rPr>
      </w:pPr>
      <w:r w:rsidRPr="00F111D6">
        <w:rPr>
          <w:lang w:val="es-ES"/>
        </w:rPr>
        <w:t>S</w:t>
      </w:r>
      <w:r w:rsidR="0069322D" w:rsidRPr="00F111D6">
        <w:rPr>
          <w:lang w:val="es-ES"/>
        </w:rPr>
        <w:t>e</w:t>
      </w:r>
      <w:r w:rsidRPr="00F111D6">
        <w:rPr>
          <w:lang w:val="es-ES"/>
        </w:rPr>
        <w:t xml:space="preserve">rie </w:t>
      </w:r>
      <w:r w:rsidR="008F775E">
        <w:rPr>
          <w:lang w:val="es-ES"/>
        </w:rPr>
        <w:t>BS</w:t>
      </w:r>
      <w:r w:rsidR="00D5024B" w:rsidRPr="00F111D6">
        <w:rPr>
          <w:lang w:val="es-ES"/>
        </w:rPr>
        <w:t xml:space="preserve">: </w:t>
      </w:r>
      <w:r w:rsidR="008F775E" w:rsidRPr="008F775E">
        <w:rPr>
          <w:lang w:val="es-ES"/>
        </w:rPr>
        <w:t>Servicio de radiodifusión (sonora)</w:t>
      </w:r>
    </w:p>
    <w:p w14:paraId="33A62A8B" w14:textId="4CE74695" w:rsidR="00D5024B" w:rsidRPr="00F111D6" w:rsidRDefault="00CF7501" w:rsidP="00D5024B">
      <w:pPr>
        <w:pStyle w:val="CoverTitle"/>
        <w:rPr>
          <w:lang w:val="es-ES"/>
        </w:rPr>
      </w:pPr>
      <w:bookmarkStart w:id="0" w:name="_Hlk174025621"/>
      <w:r w:rsidRPr="000B7E4F">
        <w:rPr>
          <w:lang w:val="es-ES_tradnl"/>
        </w:rPr>
        <w:t>Prácticas operativas en materia</w:t>
      </w:r>
      <w:r w:rsidR="00047983">
        <w:rPr>
          <w:lang w:val="es-ES_tradnl"/>
        </w:rPr>
        <w:t xml:space="preserve"> </w:t>
      </w:r>
      <w:r w:rsidRPr="000B7E4F">
        <w:rPr>
          <w:lang w:val="es-ES_tradnl"/>
        </w:rPr>
        <w:t>de sonoridad en el intercambio</w:t>
      </w:r>
      <w:r w:rsidR="00047983">
        <w:rPr>
          <w:lang w:val="es-ES_tradnl"/>
        </w:rPr>
        <w:t xml:space="preserve"> </w:t>
      </w:r>
      <w:r w:rsidRPr="000B7E4F">
        <w:rPr>
          <w:lang w:val="es-ES_tradnl"/>
        </w:rPr>
        <w:t>internacional de programas</w:t>
      </w:r>
      <w:r w:rsidR="00047983">
        <w:rPr>
          <w:lang w:val="es-ES_tradnl"/>
        </w:rPr>
        <w:t xml:space="preserve"> </w:t>
      </w:r>
      <w:r w:rsidR="00047983">
        <w:rPr>
          <w:lang w:val="es-ES_tradnl"/>
        </w:rPr>
        <w:br/>
      </w:r>
      <w:r w:rsidRPr="000B7E4F">
        <w:rPr>
          <w:lang w:val="es-ES_tradnl"/>
        </w:rPr>
        <w:t>de televisión digital</w:t>
      </w:r>
      <w:bookmarkEnd w:id="0"/>
    </w:p>
    <w:p w14:paraId="08BAECBE" w14:textId="77777777" w:rsidR="00FE79FE" w:rsidRPr="00F111D6" w:rsidRDefault="00FE79FE" w:rsidP="005373E0"/>
    <w:p w14:paraId="0618EB20" w14:textId="77777777" w:rsidR="00A71FE5" w:rsidRPr="00F111D6" w:rsidRDefault="00A71FE5" w:rsidP="005373E0"/>
    <w:p w14:paraId="0500E3A6" w14:textId="77777777" w:rsidR="00EE47C4" w:rsidRPr="00F111D6" w:rsidRDefault="00EE47C4" w:rsidP="005373E0">
      <w:pPr>
        <w:sectPr w:rsidR="00EE47C4" w:rsidRPr="00F111D6" w:rsidSect="0027411A">
          <w:headerReference w:type="even" r:id="rId7"/>
          <w:headerReference w:type="default" r:id="rId8"/>
          <w:footerReference w:type="default" r:id="rId9"/>
          <w:pgSz w:w="11907" w:h="16840" w:code="9"/>
          <w:pgMar w:top="1089" w:right="1089" w:bottom="284" w:left="1089" w:header="737" w:footer="284" w:gutter="0"/>
          <w:pgNumType w:start="1"/>
          <w:cols w:space="720"/>
          <w:docGrid w:linePitch="326"/>
        </w:sectPr>
      </w:pPr>
    </w:p>
    <w:p w14:paraId="0E2A138D" w14:textId="77777777" w:rsidR="0069322D" w:rsidRPr="006C718C" w:rsidRDefault="0069322D" w:rsidP="0069322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rPr>
          <w:bCs/>
          <w:sz w:val="24"/>
          <w:szCs w:val="24"/>
          <w:lang w:val="es-ES_tradnl"/>
        </w:rPr>
      </w:pPr>
      <w:bookmarkStart w:id="1" w:name="c2tope"/>
      <w:bookmarkEnd w:id="1"/>
      <w:r w:rsidRPr="006C718C">
        <w:rPr>
          <w:bCs/>
          <w:sz w:val="24"/>
          <w:szCs w:val="24"/>
          <w:lang w:val="es-ES_tradnl"/>
        </w:rPr>
        <w:lastRenderedPageBreak/>
        <w:t>Prólogo</w:t>
      </w:r>
    </w:p>
    <w:p w14:paraId="7F3CBD32" w14:textId="77777777" w:rsidR="0069322D" w:rsidRPr="006C718C" w:rsidRDefault="0069322D" w:rsidP="0069322D">
      <w:pPr>
        <w:spacing w:before="180"/>
        <w:rPr>
          <w:sz w:val="20"/>
          <w:lang w:val="es-ES_tradnl"/>
        </w:rPr>
      </w:pPr>
      <w:r w:rsidRPr="006C718C">
        <w:rPr>
          <w:sz w:val="20"/>
          <w:lang w:val="es-ES_tradnl"/>
        </w:rPr>
        <w:t>El Sector de Radiocomunicaciones tiene como cometido garantizar la utilizaci</w:t>
      </w:r>
      <w:r>
        <w:rPr>
          <w:sz w:val="20"/>
          <w:lang w:val="es-ES_tradnl"/>
        </w:rPr>
        <w:t>ón racional, equitativa, eficaz y económica del espectro de frecuencias radioeléctricas por todos los servicios de radiocomunicaciones, incluidos los servicios por satélite, y realizar, sin limitación de gamas de frecuencias, estudios que sirvan de base para la adopción de las Recomendaciones UIT-R.</w:t>
      </w:r>
    </w:p>
    <w:p w14:paraId="5833111D" w14:textId="77777777" w:rsidR="0069322D" w:rsidRPr="006C718C" w:rsidRDefault="0069322D" w:rsidP="0069322D">
      <w:pPr>
        <w:rPr>
          <w:sz w:val="20"/>
          <w:lang w:val="es-ES_tradnl"/>
        </w:rPr>
      </w:pPr>
      <w:r w:rsidRPr="006C718C">
        <w:rPr>
          <w:sz w:val="20"/>
          <w:lang w:val="es-ES_tradnl"/>
        </w:rPr>
        <w:t>Las Conferencias Mundiales y Regionales de Radiocomunicaciones y las Asambleas de Radiocomunicaciones, c</w:t>
      </w:r>
      <w:r>
        <w:rPr>
          <w:sz w:val="20"/>
          <w:lang w:val="es-ES_tradnl"/>
        </w:rPr>
        <w:t>on la colaboración de las Comisiones de Estudio, cumplen las funciones reglamentarias y políticas del Sector de Radiocomunicaciones.</w:t>
      </w:r>
    </w:p>
    <w:p w14:paraId="3A245961" w14:textId="77777777" w:rsidR="0069322D" w:rsidRPr="00021E8A" w:rsidRDefault="0069322D" w:rsidP="0069322D">
      <w:pPr>
        <w:pStyle w:val="Heading1"/>
        <w:spacing w:before="340"/>
        <w:jc w:val="center"/>
        <w:rPr>
          <w:szCs w:val="24"/>
          <w:lang w:val="es-ES_tradnl"/>
        </w:rPr>
      </w:pPr>
      <w:r w:rsidRPr="007C36CA">
        <w:rPr>
          <w:lang w:val="es-ES_tradnl"/>
        </w:rPr>
        <w:t>Política sobre Derechos de Propiedad Intelectual</w:t>
      </w:r>
      <w:r w:rsidRPr="00021E8A">
        <w:rPr>
          <w:szCs w:val="24"/>
          <w:lang w:val="es-ES_tradnl"/>
        </w:rPr>
        <w:t xml:space="preserve"> (IPR)</w:t>
      </w:r>
    </w:p>
    <w:p w14:paraId="1F85C1E5" w14:textId="77777777" w:rsidR="0069322D" w:rsidRPr="00021E8A" w:rsidRDefault="0069322D" w:rsidP="0069322D">
      <w:pPr>
        <w:spacing w:before="180"/>
        <w:rPr>
          <w:sz w:val="20"/>
          <w:lang w:val="es-ES_tradnl"/>
        </w:rPr>
      </w:pPr>
      <w:r w:rsidRPr="00021E8A">
        <w:rPr>
          <w:sz w:val="20"/>
          <w:lang w:val="es-ES_tradnl"/>
        </w:rPr>
        <w:t>La política del UIT</w:t>
      </w:r>
      <w:r w:rsidRPr="00021E8A">
        <w:rPr>
          <w:sz w:val="20"/>
          <w:lang w:val="es-ES_tradnl"/>
        </w:rPr>
        <w:noBreakHyphen/>
        <w:t>R sobre Derechos de Propiedad Intelectual se describe en la Política Común de Patentes UIT</w:t>
      </w:r>
      <w:r w:rsidRPr="00021E8A">
        <w:rPr>
          <w:sz w:val="20"/>
          <w:lang w:val="es-ES_tradnl"/>
        </w:rPr>
        <w:noBreakHyphen/>
        <w:t>T/UIT</w:t>
      </w:r>
      <w:r w:rsidRPr="00021E8A">
        <w:rPr>
          <w:sz w:val="20"/>
          <w:lang w:val="es-ES_tradnl"/>
        </w:rPr>
        <w:noBreakHyphen/>
        <w:t>R/ISO/CEI a la que se hace referencia en la Resolución UIT</w:t>
      </w:r>
      <w:r w:rsidRPr="00021E8A">
        <w:rPr>
          <w:sz w:val="20"/>
          <w:lang w:val="es-ES_tradnl"/>
        </w:rPr>
        <w:noBreakHyphen/>
        <w:t xml:space="preserve">R 1. Los formularios que deben utilizarse en la declaración sobre patentes y utilización de patentes por los titulares de las mismas figuran en la dirección web </w:t>
      </w:r>
      <w:hyperlink r:id="rId10" w:history="1">
        <w:r w:rsidRPr="00021E8A">
          <w:rPr>
            <w:rStyle w:val="Hyperlink"/>
            <w:sz w:val="20"/>
            <w:lang w:val="es-ES_tradnl"/>
          </w:rPr>
          <w:t>http://www.itu.int/ITU-R/go/patents/es</w:t>
        </w:r>
      </w:hyperlink>
      <w:r w:rsidRPr="00021E8A">
        <w:rPr>
          <w:sz w:val="20"/>
          <w:lang w:val="es-ES_tradnl"/>
        </w:rPr>
        <w:t>, donde también aparecen las Directrices para la implementación de la Política Común de Patentes UIT</w:t>
      </w:r>
      <w:r w:rsidRPr="00021E8A">
        <w:rPr>
          <w:sz w:val="20"/>
          <w:lang w:val="es-ES_tradnl"/>
        </w:rPr>
        <w:noBreakHyphen/>
        <w:t>T/UIT</w:t>
      </w:r>
      <w:r w:rsidRPr="00021E8A">
        <w:rPr>
          <w:sz w:val="20"/>
          <w:lang w:val="es-ES_tradnl"/>
        </w:rPr>
        <w:noBreakHyphen/>
        <w:t>R/ISO/CEI y la base de datos sobre información de patentes del UIT</w:t>
      </w:r>
      <w:r w:rsidRPr="00021E8A">
        <w:rPr>
          <w:sz w:val="20"/>
          <w:lang w:val="es-ES_tradnl"/>
        </w:rPr>
        <w:noBreakHyphen/>
        <w:t>R sobre este asunto.</w:t>
      </w:r>
    </w:p>
    <w:p w14:paraId="696C37FE" w14:textId="77777777" w:rsidR="0069322D" w:rsidRPr="007C36CA" w:rsidRDefault="0069322D" w:rsidP="0069322D">
      <w:pPr>
        <w:spacing w:before="0"/>
        <w:jc w:val="center"/>
        <w:rPr>
          <w:sz w:val="22"/>
          <w:lang w:val="es-ES_tradnl"/>
        </w:rPr>
      </w:pPr>
    </w:p>
    <w:p w14:paraId="77AD0840" w14:textId="77777777" w:rsidR="0069322D" w:rsidRPr="007C36CA" w:rsidRDefault="0069322D" w:rsidP="0069322D">
      <w:pPr>
        <w:spacing w:before="0"/>
        <w:jc w:val="center"/>
        <w:rPr>
          <w:sz w:val="22"/>
          <w:lang w:val="es-ES_tradnl"/>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69322D" w:rsidRPr="00EC7898" w14:paraId="7D452C22" w14:textId="77777777" w:rsidTr="0069322D">
        <w:tc>
          <w:tcPr>
            <w:tcW w:w="9360" w:type="dxa"/>
            <w:gridSpan w:val="2"/>
          </w:tcPr>
          <w:p w14:paraId="44227E8E" w14:textId="77777777" w:rsidR="0069322D" w:rsidRPr="00021E8A" w:rsidRDefault="0069322D" w:rsidP="000B4BD9">
            <w:pPr>
              <w:pStyle w:val="Chaptitle"/>
              <w:keepLines w:val="0"/>
              <w:tabs>
                <w:tab w:val="clear" w:pos="794"/>
                <w:tab w:val="clear" w:pos="1191"/>
                <w:tab w:val="clear" w:pos="1588"/>
                <w:tab w:val="clear" w:pos="1985"/>
              </w:tabs>
              <w:overflowPunct/>
              <w:spacing w:before="140"/>
              <w:textAlignment w:val="auto"/>
              <w:rPr>
                <w:sz w:val="22"/>
                <w:szCs w:val="22"/>
                <w:lang w:val="es-ES_tradnl"/>
              </w:rPr>
            </w:pPr>
            <w:r w:rsidRPr="00021E8A">
              <w:rPr>
                <w:sz w:val="22"/>
                <w:szCs w:val="22"/>
                <w:lang w:val="es-ES_tradnl"/>
              </w:rPr>
              <w:t xml:space="preserve">Series de las Recomendaciones UIT-R </w:t>
            </w:r>
          </w:p>
          <w:p w14:paraId="7A5DD870" w14:textId="77777777" w:rsidR="0069322D" w:rsidRPr="00763D08"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s-ES_tradnl"/>
              </w:rPr>
            </w:pPr>
            <w:r w:rsidRPr="00763D08">
              <w:rPr>
                <w:b w:val="0"/>
                <w:sz w:val="18"/>
                <w:szCs w:val="18"/>
                <w:lang w:val="es-ES_tradnl"/>
              </w:rPr>
              <w:t xml:space="preserve">(También disponible en línea en </w:t>
            </w:r>
            <w:hyperlink r:id="rId11" w:history="1">
              <w:r w:rsidR="00B96572">
                <w:rPr>
                  <w:rStyle w:val="Hyperlink"/>
                  <w:b w:val="0"/>
                  <w:bCs/>
                  <w:sz w:val="18"/>
                  <w:szCs w:val="18"/>
                  <w:lang w:val="es-ES_tradnl"/>
                </w:rPr>
                <w:t>https://www.itu.int/publ/R-REC/es</w:t>
              </w:r>
            </w:hyperlink>
            <w:r w:rsidRPr="00763D08">
              <w:rPr>
                <w:b w:val="0"/>
                <w:bCs/>
                <w:sz w:val="18"/>
                <w:szCs w:val="18"/>
                <w:lang w:val="es-ES_tradnl"/>
              </w:rPr>
              <w:t>)</w:t>
            </w:r>
          </w:p>
        </w:tc>
      </w:tr>
      <w:tr w:rsidR="0069322D" w:rsidRPr="00036EE3" w14:paraId="5A228B8A" w14:textId="77777777" w:rsidTr="00B96572">
        <w:tc>
          <w:tcPr>
            <w:tcW w:w="1140" w:type="dxa"/>
            <w:tcBorders>
              <w:bottom w:val="nil"/>
            </w:tcBorders>
            <w:vAlign w:val="bottom"/>
          </w:tcPr>
          <w:p w14:paraId="61BB0079" w14:textId="77777777" w:rsidR="0069322D" w:rsidRPr="00036EE3" w:rsidRDefault="0069322D" w:rsidP="00B96572">
            <w:pPr>
              <w:spacing w:before="180" w:after="100"/>
              <w:ind w:left="57"/>
              <w:jc w:val="left"/>
              <w:rPr>
                <w:b/>
                <w:bCs/>
                <w:sz w:val="20"/>
                <w:lang w:val="en-US"/>
              </w:rPr>
            </w:pPr>
            <w:r w:rsidRPr="00036EE3">
              <w:rPr>
                <w:b/>
                <w:bCs/>
                <w:sz w:val="20"/>
                <w:lang w:val="en-US"/>
              </w:rPr>
              <w:t>Series</w:t>
            </w:r>
          </w:p>
        </w:tc>
        <w:tc>
          <w:tcPr>
            <w:tcW w:w="8220" w:type="dxa"/>
            <w:tcBorders>
              <w:bottom w:val="nil"/>
            </w:tcBorders>
            <w:vAlign w:val="bottom"/>
          </w:tcPr>
          <w:p w14:paraId="5E0DFFFE" w14:textId="77777777" w:rsidR="0069322D" w:rsidRPr="00036EE3" w:rsidRDefault="0069322D" w:rsidP="00B9657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00"/>
              <w:rPr>
                <w:bCs/>
                <w:sz w:val="20"/>
                <w:lang w:val="en-US"/>
              </w:rPr>
            </w:pPr>
            <w:r>
              <w:rPr>
                <w:bCs/>
                <w:sz w:val="20"/>
                <w:lang w:val="en-US"/>
              </w:rPr>
              <w:t>Título</w:t>
            </w:r>
          </w:p>
        </w:tc>
      </w:tr>
      <w:tr w:rsidR="0069322D" w:rsidRPr="004532F7" w14:paraId="7CBD10E8" w14:textId="77777777" w:rsidTr="0069322D">
        <w:tc>
          <w:tcPr>
            <w:tcW w:w="1140" w:type="dxa"/>
            <w:tcBorders>
              <w:top w:val="nil"/>
              <w:bottom w:val="nil"/>
            </w:tcBorders>
            <w:shd w:val="clear" w:color="auto" w:fill="auto"/>
          </w:tcPr>
          <w:p w14:paraId="7A5005EB" w14:textId="77777777" w:rsidR="0069322D" w:rsidRPr="004532F7" w:rsidRDefault="0069322D" w:rsidP="000B4BD9">
            <w:pPr>
              <w:spacing w:before="30" w:after="30"/>
              <w:ind w:left="57"/>
              <w:jc w:val="left"/>
              <w:rPr>
                <w:b/>
                <w:bCs/>
                <w:sz w:val="20"/>
                <w:lang w:val="en-US"/>
              </w:rPr>
            </w:pPr>
            <w:r w:rsidRPr="004532F7">
              <w:rPr>
                <w:b/>
                <w:bCs/>
                <w:sz w:val="20"/>
                <w:lang w:val="en-US"/>
              </w:rPr>
              <w:t>BO</w:t>
            </w:r>
          </w:p>
        </w:tc>
        <w:tc>
          <w:tcPr>
            <w:tcW w:w="8220" w:type="dxa"/>
            <w:tcBorders>
              <w:top w:val="nil"/>
              <w:bottom w:val="nil"/>
            </w:tcBorders>
            <w:shd w:val="clear" w:color="auto" w:fill="auto"/>
          </w:tcPr>
          <w:p w14:paraId="6B0011F0" w14:textId="77777777" w:rsidR="0069322D" w:rsidRPr="004532F7"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4532F7">
              <w:rPr>
                <w:b w:val="0"/>
                <w:sz w:val="20"/>
              </w:rPr>
              <w:t>Distribución por satélite</w:t>
            </w:r>
          </w:p>
        </w:tc>
      </w:tr>
      <w:tr w:rsidR="0069322D" w:rsidRPr="00EB1174" w14:paraId="4D80E6AB" w14:textId="77777777" w:rsidTr="00566FC3">
        <w:tc>
          <w:tcPr>
            <w:tcW w:w="1140" w:type="dxa"/>
            <w:tcBorders>
              <w:top w:val="nil"/>
              <w:bottom w:val="nil"/>
            </w:tcBorders>
            <w:shd w:val="clear" w:color="auto" w:fill="auto"/>
          </w:tcPr>
          <w:p w14:paraId="7C3E83B2" w14:textId="77777777" w:rsidR="0069322D" w:rsidRPr="006B22C3" w:rsidRDefault="0069322D" w:rsidP="000B4BD9">
            <w:pPr>
              <w:spacing w:before="30" w:after="30"/>
              <w:ind w:left="57"/>
              <w:jc w:val="left"/>
              <w:rPr>
                <w:b/>
                <w:bCs/>
                <w:sz w:val="20"/>
                <w:lang w:val="en-US"/>
              </w:rPr>
            </w:pPr>
            <w:r w:rsidRPr="006B22C3">
              <w:rPr>
                <w:b/>
                <w:bCs/>
                <w:sz w:val="20"/>
                <w:lang w:val="en-US"/>
              </w:rPr>
              <w:t>BR</w:t>
            </w:r>
          </w:p>
        </w:tc>
        <w:tc>
          <w:tcPr>
            <w:tcW w:w="8220" w:type="dxa"/>
            <w:tcBorders>
              <w:top w:val="nil"/>
              <w:bottom w:val="nil"/>
            </w:tcBorders>
            <w:shd w:val="clear" w:color="auto" w:fill="auto"/>
          </w:tcPr>
          <w:p w14:paraId="054F47C4" w14:textId="77777777" w:rsidR="0069322D" w:rsidRPr="006B22C3"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s-ES_tradnl"/>
              </w:rPr>
            </w:pPr>
            <w:r w:rsidRPr="006B22C3">
              <w:rPr>
                <w:b w:val="0"/>
                <w:sz w:val="20"/>
                <w:lang w:val="es-ES_tradnl"/>
              </w:rPr>
              <w:t>Registro para producción, archivo y reproducción; películas en televisión</w:t>
            </w:r>
          </w:p>
        </w:tc>
      </w:tr>
      <w:tr w:rsidR="00566FC3" w:rsidRPr="00566FC3" w14:paraId="71111854" w14:textId="77777777" w:rsidTr="00566FC3">
        <w:tc>
          <w:tcPr>
            <w:tcW w:w="1140" w:type="dxa"/>
            <w:tcBorders>
              <w:top w:val="nil"/>
              <w:bottom w:val="nil"/>
            </w:tcBorders>
            <w:shd w:val="clear" w:color="auto" w:fill="F2F2F2" w:themeFill="background1" w:themeFillShade="F2"/>
          </w:tcPr>
          <w:p w14:paraId="651E1E5D" w14:textId="77777777" w:rsidR="0069322D" w:rsidRPr="008D7652" w:rsidRDefault="0069322D" w:rsidP="000B4BD9">
            <w:pPr>
              <w:spacing w:before="30" w:after="30"/>
              <w:ind w:left="57"/>
              <w:jc w:val="left"/>
              <w:rPr>
                <w:b/>
                <w:bCs/>
                <w:color w:val="000080"/>
                <w:sz w:val="20"/>
                <w:lang w:val="en-US"/>
              </w:rPr>
            </w:pPr>
            <w:r w:rsidRPr="008D7652">
              <w:rPr>
                <w:b/>
                <w:bCs/>
                <w:color w:val="000080"/>
                <w:sz w:val="20"/>
                <w:lang w:val="en-US"/>
              </w:rPr>
              <w:t>BS</w:t>
            </w:r>
          </w:p>
        </w:tc>
        <w:tc>
          <w:tcPr>
            <w:tcW w:w="8220" w:type="dxa"/>
            <w:tcBorders>
              <w:top w:val="nil"/>
              <w:bottom w:val="nil"/>
            </w:tcBorders>
            <w:shd w:val="clear" w:color="auto" w:fill="F2F2F2" w:themeFill="background1" w:themeFillShade="F2"/>
          </w:tcPr>
          <w:p w14:paraId="4F7FB35F" w14:textId="77777777" w:rsidR="0069322D" w:rsidRPr="008D7652"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US"/>
              </w:rPr>
            </w:pPr>
            <w:r w:rsidRPr="008D7652">
              <w:rPr>
                <w:bCs/>
                <w:color w:val="000080"/>
                <w:sz w:val="20"/>
              </w:rPr>
              <w:t>Servicio de radiodifusión (sonora)</w:t>
            </w:r>
          </w:p>
        </w:tc>
      </w:tr>
      <w:tr w:rsidR="0069322D" w:rsidRPr="00ED2695" w14:paraId="76A900A4" w14:textId="77777777" w:rsidTr="0069322D">
        <w:tc>
          <w:tcPr>
            <w:tcW w:w="1140" w:type="dxa"/>
            <w:tcBorders>
              <w:top w:val="nil"/>
              <w:bottom w:val="nil"/>
            </w:tcBorders>
            <w:shd w:val="clear" w:color="auto" w:fill="auto"/>
          </w:tcPr>
          <w:p w14:paraId="37DF4008" w14:textId="77777777" w:rsidR="0069322D" w:rsidRPr="00ED2695" w:rsidRDefault="0069322D" w:rsidP="000B4BD9">
            <w:pPr>
              <w:spacing w:before="30" w:after="30"/>
              <w:ind w:left="57"/>
              <w:jc w:val="left"/>
              <w:rPr>
                <w:b/>
                <w:bCs/>
                <w:sz w:val="20"/>
                <w:lang w:val="en-US"/>
              </w:rPr>
            </w:pPr>
            <w:r w:rsidRPr="00ED2695">
              <w:rPr>
                <w:b/>
                <w:bCs/>
                <w:sz w:val="20"/>
                <w:lang w:val="en-US"/>
              </w:rPr>
              <w:t>BT</w:t>
            </w:r>
          </w:p>
        </w:tc>
        <w:tc>
          <w:tcPr>
            <w:tcW w:w="8220" w:type="dxa"/>
            <w:tcBorders>
              <w:top w:val="nil"/>
              <w:bottom w:val="nil"/>
            </w:tcBorders>
            <w:shd w:val="clear" w:color="auto" w:fill="auto"/>
          </w:tcPr>
          <w:p w14:paraId="0AA853F1" w14:textId="77777777" w:rsidR="0069322D" w:rsidRPr="00021E8A"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021E8A">
              <w:rPr>
                <w:b w:val="0"/>
                <w:bCs/>
                <w:sz w:val="20"/>
              </w:rPr>
              <w:t>Servicio de radiodifusión (televisión)</w:t>
            </w:r>
          </w:p>
        </w:tc>
      </w:tr>
      <w:tr w:rsidR="0069322D" w:rsidRPr="00366CEE" w14:paraId="664F72EC" w14:textId="77777777" w:rsidTr="0069322D">
        <w:tc>
          <w:tcPr>
            <w:tcW w:w="1140" w:type="dxa"/>
            <w:tcBorders>
              <w:top w:val="nil"/>
              <w:bottom w:val="nil"/>
            </w:tcBorders>
            <w:shd w:val="clear" w:color="auto" w:fill="auto"/>
          </w:tcPr>
          <w:p w14:paraId="4C8A8758" w14:textId="77777777" w:rsidR="0069322D" w:rsidRPr="00366CEE" w:rsidRDefault="0069322D" w:rsidP="000B4BD9">
            <w:pPr>
              <w:spacing w:before="30" w:after="30"/>
              <w:ind w:left="57"/>
              <w:jc w:val="left"/>
              <w:rPr>
                <w:b/>
                <w:bCs/>
                <w:sz w:val="20"/>
                <w:lang w:val="fr-CH"/>
              </w:rPr>
            </w:pPr>
            <w:r w:rsidRPr="00366CEE">
              <w:rPr>
                <w:b/>
                <w:bCs/>
                <w:sz w:val="20"/>
                <w:lang w:val="fr-CH"/>
              </w:rPr>
              <w:t>F</w:t>
            </w:r>
          </w:p>
        </w:tc>
        <w:tc>
          <w:tcPr>
            <w:tcW w:w="8220" w:type="dxa"/>
            <w:tcBorders>
              <w:top w:val="nil"/>
              <w:bottom w:val="nil"/>
            </w:tcBorders>
            <w:shd w:val="clear" w:color="auto" w:fill="auto"/>
          </w:tcPr>
          <w:p w14:paraId="797706DE" w14:textId="77777777" w:rsidR="0069322D" w:rsidRPr="00366CEE"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66CEE">
              <w:rPr>
                <w:sz w:val="20"/>
              </w:rPr>
              <w:t>Servicio fijo</w:t>
            </w:r>
          </w:p>
        </w:tc>
      </w:tr>
      <w:tr w:rsidR="0069322D" w:rsidRPr="00EB1174" w14:paraId="4C6F1A0F" w14:textId="77777777" w:rsidTr="0069322D">
        <w:tc>
          <w:tcPr>
            <w:tcW w:w="1140" w:type="dxa"/>
            <w:tcBorders>
              <w:top w:val="nil"/>
              <w:bottom w:val="nil"/>
            </w:tcBorders>
            <w:shd w:val="clear" w:color="auto" w:fill="auto"/>
          </w:tcPr>
          <w:p w14:paraId="10F8C6BE" w14:textId="77777777" w:rsidR="0069322D" w:rsidRPr="0010336F" w:rsidRDefault="0069322D" w:rsidP="000B4BD9">
            <w:pPr>
              <w:spacing w:before="30" w:after="30"/>
              <w:ind w:left="57"/>
              <w:jc w:val="left"/>
              <w:rPr>
                <w:rFonts w:hAnsi="Times New Roman Bold"/>
                <w:b/>
                <w:bCs/>
                <w:sz w:val="20"/>
                <w:lang w:val="en-US"/>
              </w:rPr>
            </w:pPr>
            <w:r w:rsidRPr="0010336F">
              <w:rPr>
                <w:rFonts w:hAnsi="Times New Roman Bold"/>
                <w:b/>
                <w:bCs/>
                <w:sz w:val="20"/>
                <w:lang w:val="en-US"/>
              </w:rPr>
              <w:t>M</w:t>
            </w:r>
          </w:p>
        </w:tc>
        <w:tc>
          <w:tcPr>
            <w:tcW w:w="8220" w:type="dxa"/>
            <w:tcBorders>
              <w:top w:val="nil"/>
              <w:bottom w:val="nil"/>
            </w:tcBorders>
            <w:shd w:val="clear" w:color="auto" w:fill="auto"/>
          </w:tcPr>
          <w:p w14:paraId="32ED15EE" w14:textId="77777777" w:rsidR="0069322D" w:rsidRPr="0010336F"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b w:val="0"/>
                <w:sz w:val="20"/>
                <w:lang w:val="es-ES_tradnl"/>
              </w:rPr>
            </w:pPr>
            <w:r w:rsidRPr="0010336F">
              <w:rPr>
                <w:rFonts w:hAnsi="Times New Roman Bold"/>
                <w:b w:val="0"/>
                <w:sz w:val="20"/>
                <w:lang w:val="es-ES_tradnl"/>
              </w:rPr>
              <w:t>Servicios m</w:t>
            </w:r>
            <w:r w:rsidRPr="0010336F">
              <w:rPr>
                <w:rFonts w:hAnsi="Times New Roman Bold"/>
                <w:b w:val="0"/>
                <w:sz w:val="20"/>
                <w:lang w:val="es-ES_tradnl"/>
              </w:rPr>
              <w:t>ó</w:t>
            </w:r>
            <w:r w:rsidRPr="0010336F">
              <w:rPr>
                <w:rFonts w:hAnsi="Times New Roman Bold"/>
                <w:b w:val="0"/>
                <w:sz w:val="20"/>
                <w:lang w:val="es-ES_tradnl"/>
              </w:rPr>
              <w:t>viles, de radiodeterminaci</w:t>
            </w:r>
            <w:r w:rsidRPr="0010336F">
              <w:rPr>
                <w:rFonts w:hAnsi="Times New Roman Bold"/>
                <w:b w:val="0"/>
                <w:sz w:val="20"/>
                <w:lang w:val="es-ES_tradnl"/>
              </w:rPr>
              <w:t>ó</w:t>
            </w:r>
            <w:r w:rsidRPr="0010336F">
              <w:rPr>
                <w:rFonts w:hAnsi="Times New Roman Bold"/>
                <w:b w:val="0"/>
                <w:sz w:val="20"/>
                <w:lang w:val="es-ES_tradnl"/>
              </w:rPr>
              <w:t>n, de aficionados y otros servicios por sat</w:t>
            </w:r>
            <w:r w:rsidRPr="0010336F">
              <w:rPr>
                <w:rFonts w:hAnsi="Times New Roman Bold"/>
                <w:b w:val="0"/>
                <w:sz w:val="20"/>
                <w:lang w:val="es-ES_tradnl"/>
              </w:rPr>
              <w:t>é</w:t>
            </w:r>
            <w:r w:rsidRPr="0010336F">
              <w:rPr>
                <w:rFonts w:hAnsi="Times New Roman Bold"/>
                <w:b w:val="0"/>
                <w:sz w:val="20"/>
                <w:lang w:val="es-ES_tradnl"/>
              </w:rPr>
              <w:t>lite conexos</w:t>
            </w:r>
          </w:p>
        </w:tc>
      </w:tr>
      <w:tr w:rsidR="0069322D" w:rsidRPr="00EB1174" w14:paraId="153D1FB1" w14:textId="77777777" w:rsidTr="0069322D">
        <w:tc>
          <w:tcPr>
            <w:tcW w:w="1140" w:type="dxa"/>
            <w:tcBorders>
              <w:top w:val="nil"/>
              <w:bottom w:val="nil"/>
            </w:tcBorders>
            <w:shd w:val="clear" w:color="auto" w:fill="auto"/>
          </w:tcPr>
          <w:p w14:paraId="5D47A00B" w14:textId="77777777" w:rsidR="0069322D" w:rsidRPr="00F95576" w:rsidRDefault="0069322D" w:rsidP="000B4BD9">
            <w:pPr>
              <w:spacing w:before="30" w:after="30"/>
              <w:ind w:left="57"/>
              <w:jc w:val="left"/>
              <w:rPr>
                <w:b/>
                <w:bCs/>
                <w:sz w:val="20"/>
                <w:lang w:val="fr-CH"/>
              </w:rPr>
            </w:pPr>
            <w:r w:rsidRPr="00F95576">
              <w:rPr>
                <w:b/>
                <w:bCs/>
                <w:sz w:val="20"/>
                <w:lang w:val="fr-CH"/>
              </w:rPr>
              <w:t>P</w:t>
            </w:r>
          </w:p>
        </w:tc>
        <w:tc>
          <w:tcPr>
            <w:tcW w:w="8220" w:type="dxa"/>
            <w:tcBorders>
              <w:top w:val="nil"/>
              <w:bottom w:val="nil"/>
            </w:tcBorders>
            <w:shd w:val="clear" w:color="auto" w:fill="auto"/>
          </w:tcPr>
          <w:p w14:paraId="1FD3A3BC" w14:textId="77777777" w:rsidR="0069322D" w:rsidRPr="00F95576" w:rsidRDefault="0069322D" w:rsidP="000B4BD9">
            <w:pPr>
              <w:spacing w:before="30" w:after="30"/>
              <w:jc w:val="left"/>
              <w:rPr>
                <w:sz w:val="20"/>
                <w:lang w:val="es-ES_tradnl"/>
              </w:rPr>
            </w:pPr>
            <w:r w:rsidRPr="00F95576">
              <w:rPr>
                <w:sz w:val="20"/>
                <w:lang w:val="es-ES_tradnl"/>
              </w:rPr>
              <w:t>Propagación de las ondas radioeléctricas</w:t>
            </w:r>
          </w:p>
        </w:tc>
      </w:tr>
      <w:tr w:rsidR="0069322D" w:rsidRPr="00DE71F7" w14:paraId="0FD4A59A" w14:textId="77777777" w:rsidTr="0069322D">
        <w:tc>
          <w:tcPr>
            <w:tcW w:w="1140" w:type="dxa"/>
            <w:tcBorders>
              <w:top w:val="nil"/>
              <w:bottom w:val="nil"/>
            </w:tcBorders>
            <w:shd w:val="clear" w:color="auto" w:fill="auto"/>
          </w:tcPr>
          <w:p w14:paraId="64F58C36" w14:textId="77777777" w:rsidR="0069322D" w:rsidRPr="00DE71F7" w:rsidRDefault="0069322D" w:rsidP="000B4BD9">
            <w:pPr>
              <w:spacing w:before="30" w:after="30"/>
              <w:ind w:left="57"/>
              <w:jc w:val="left"/>
              <w:rPr>
                <w:b/>
                <w:bCs/>
                <w:sz w:val="20"/>
                <w:lang w:val="en-US"/>
              </w:rPr>
            </w:pPr>
            <w:r w:rsidRPr="00DE71F7">
              <w:rPr>
                <w:b/>
                <w:bCs/>
                <w:sz w:val="20"/>
                <w:lang w:val="en-US"/>
              </w:rPr>
              <w:t>RA</w:t>
            </w:r>
          </w:p>
        </w:tc>
        <w:tc>
          <w:tcPr>
            <w:tcW w:w="8220" w:type="dxa"/>
            <w:tcBorders>
              <w:top w:val="nil"/>
              <w:bottom w:val="nil"/>
            </w:tcBorders>
            <w:shd w:val="clear" w:color="auto" w:fill="auto"/>
          </w:tcPr>
          <w:p w14:paraId="3B10D553" w14:textId="77777777" w:rsidR="0069322D" w:rsidRPr="00DE71F7"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DE71F7">
              <w:rPr>
                <w:sz w:val="20"/>
              </w:rPr>
              <w:t>Radioastronomía</w:t>
            </w:r>
          </w:p>
        </w:tc>
      </w:tr>
      <w:tr w:rsidR="0069322D" w:rsidRPr="00EB1174" w14:paraId="34CE740A" w14:textId="77777777" w:rsidTr="0069322D">
        <w:tc>
          <w:tcPr>
            <w:tcW w:w="1140" w:type="dxa"/>
            <w:tcBorders>
              <w:top w:val="nil"/>
              <w:bottom w:val="nil"/>
            </w:tcBorders>
            <w:shd w:val="clear" w:color="auto" w:fill="auto"/>
          </w:tcPr>
          <w:p w14:paraId="6BE1AD41" w14:textId="77777777" w:rsidR="0069322D" w:rsidRPr="00D12388" w:rsidRDefault="0069322D" w:rsidP="000B4BD9">
            <w:pPr>
              <w:spacing w:before="30" w:after="30"/>
              <w:ind w:left="57"/>
              <w:jc w:val="left"/>
              <w:rPr>
                <w:b/>
                <w:bCs/>
                <w:sz w:val="20"/>
                <w:lang w:val="en-US"/>
              </w:rPr>
            </w:pPr>
            <w:r w:rsidRPr="00D12388">
              <w:rPr>
                <w:b/>
                <w:bCs/>
                <w:sz w:val="20"/>
                <w:lang w:val="en-US"/>
              </w:rPr>
              <w:t>RS</w:t>
            </w:r>
          </w:p>
        </w:tc>
        <w:tc>
          <w:tcPr>
            <w:tcW w:w="8220" w:type="dxa"/>
            <w:tcBorders>
              <w:top w:val="nil"/>
              <w:bottom w:val="nil"/>
            </w:tcBorders>
            <w:shd w:val="clear" w:color="auto" w:fill="auto"/>
          </w:tcPr>
          <w:p w14:paraId="4BC08C2D" w14:textId="77777777" w:rsidR="0069322D" w:rsidRPr="00D12388"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D12388">
              <w:rPr>
                <w:sz w:val="20"/>
                <w:lang w:val="es-ES_tradnl"/>
              </w:rPr>
              <w:t>Sistemas de detección a distancia</w:t>
            </w:r>
          </w:p>
        </w:tc>
      </w:tr>
      <w:tr w:rsidR="0069322D" w:rsidRPr="00025336" w14:paraId="25F26035" w14:textId="77777777" w:rsidTr="00566FC3">
        <w:tc>
          <w:tcPr>
            <w:tcW w:w="1140" w:type="dxa"/>
            <w:tcBorders>
              <w:top w:val="nil"/>
              <w:bottom w:val="nil"/>
            </w:tcBorders>
            <w:shd w:val="clear" w:color="auto" w:fill="auto"/>
          </w:tcPr>
          <w:p w14:paraId="6F46675E" w14:textId="77777777" w:rsidR="0069322D" w:rsidRPr="00025336" w:rsidRDefault="0069322D" w:rsidP="000B4BD9">
            <w:pPr>
              <w:spacing w:before="30" w:after="30"/>
              <w:ind w:left="57"/>
              <w:jc w:val="left"/>
              <w:rPr>
                <w:b/>
                <w:bCs/>
                <w:sz w:val="20"/>
                <w:lang w:val="en-US"/>
              </w:rPr>
            </w:pPr>
            <w:r w:rsidRPr="00025336">
              <w:rPr>
                <w:b/>
                <w:bCs/>
                <w:sz w:val="20"/>
                <w:lang w:val="en-US"/>
              </w:rPr>
              <w:t>S</w:t>
            </w:r>
          </w:p>
        </w:tc>
        <w:tc>
          <w:tcPr>
            <w:tcW w:w="8220" w:type="dxa"/>
            <w:tcBorders>
              <w:top w:val="nil"/>
              <w:bottom w:val="nil"/>
            </w:tcBorders>
            <w:shd w:val="clear" w:color="auto" w:fill="auto"/>
          </w:tcPr>
          <w:p w14:paraId="7AF862C7" w14:textId="77777777" w:rsidR="0069322D" w:rsidRPr="00025336" w:rsidRDefault="0069322D" w:rsidP="000B4BD9">
            <w:pPr>
              <w:spacing w:before="30" w:after="30"/>
              <w:jc w:val="left"/>
              <w:rPr>
                <w:sz w:val="20"/>
                <w:lang w:val="en-US"/>
              </w:rPr>
            </w:pPr>
            <w:r w:rsidRPr="00025336">
              <w:rPr>
                <w:sz w:val="20"/>
              </w:rPr>
              <w:t>Servicio fijo por satélite</w:t>
            </w:r>
          </w:p>
        </w:tc>
      </w:tr>
      <w:tr w:rsidR="00566FC3" w:rsidRPr="00566FC3" w14:paraId="2ABC9AB8" w14:textId="77777777" w:rsidTr="00566FC3">
        <w:tc>
          <w:tcPr>
            <w:tcW w:w="1140" w:type="dxa"/>
            <w:tcBorders>
              <w:top w:val="nil"/>
              <w:bottom w:val="nil"/>
            </w:tcBorders>
            <w:shd w:val="clear" w:color="auto" w:fill="FFFFFF" w:themeFill="background1"/>
          </w:tcPr>
          <w:p w14:paraId="5E61AB17" w14:textId="77777777" w:rsidR="0069322D" w:rsidRPr="00566FC3" w:rsidRDefault="0069322D" w:rsidP="000B4BD9">
            <w:pPr>
              <w:spacing w:before="30" w:after="30"/>
              <w:ind w:left="57"/>
              <w:jc w:val="left"/>
              <w:rPr>
                <w:b/>
                <w:bCs/>
                <w:sz w:val="20"/>
                <w:lang w:val="en-US"/>
              </w:rPr>
            </w:pPr>
            <w:r w:rsidRPr="00566FC3">
              <w:rPr>
                <w:b/>
                <w:bCs/>
                <w:sz w:val="20"/>
                <w:lang w:val="en-US"/>
              </w:rPr>
              <w:t>SA</w:t>
            </w:r>
          </w:p>
        </w:tc>
        <w:tc>
          <w:tcPr>
            <w:tcW w:w="8220" w:type="dxa"/>
            <w:tcBorders>
              <w:top w:val="nil"/>
              <w:bottom w:val="nil"/>
            </w:tcBorders>
            <w:shd w:val="clear" w:color="auto" w:fill="FFFFFF" w:themeFill="background1"/>
          </w:tcPr>
          <w:p w14:paraId="63ED8964" w14:textId="77777777" w:rsidR="0069322D" w:rsidRPr="00566FC3" w:rsidRDefault="0069322D" w:rsidP="000B4BD9">
            <w:pPr>
              <w:spacing w:before="30" w:after="30"/>
              <w:jc w:val="left"/>
              <w:rPr>
                <w:sz w:val="20"/>
                <w:lang w:val="en-US"/>
              </w:rPr>
            </w:pPr>
            <w:r w:rsidRPr="00566FC3">
              <w:rPr>
                <w:sz w:val="20"/>
              </w:rPr>
              <w:t>Aplicaciones espaciales y meteorología</w:t>
            </w:r>
          </w:p>
        </w:tc>
      </w:tr>
      <w:tr w:rsidR="0069322D" w:rsidRPr="00EB1174" w14:paraId="59BCFA39" w14:textId="77777777" w:rsidTr="0069322D">
        <w:tc>
          <w:tcPr>
            <w:tcW w:w="1140" w:type="dxa"/>
            <w:tcBorders>
              <w:top w:val="nil"/>
            </w:tcBorders>
          </w:tcPr>
          <w:p w14:paraId="20885312" w14:textId="77777777" w:rsidR="0069322D" w:rsidRPr="00036EE3" w:rsidRDefault="0069322D" w:rsidP="000B4BD9">
            <w:pPr>
              <w:spacing w:before="30" w:after="30"/>
              <w:ind w:left="57"/>
              <w:jc w:val="left"/>
              <w:rPr>
                <w:b/>
                <w:bCs/>
                <w:sz w:val="20"/>
                <w:lang w:val="en-US"/>
              </w:rPr>
            </w:pPr>
            <w:r w:rsidRPr="00036EE3">
              <w:rPr>
                <w:b/>
                <w:bCs/>
                <w:sz w:val="20"/>
                <w:lang w:val="en-US"/>
              </w:rPr>
              <w:t>SF</w:t>
            </w:r>
          </w:p>
        </w:tc>
        <w:tc>
          <w:tcPr>
            <w:tcW w:w="8220" w:type="dxa"/>
            <w:tcBorders>
              <w:top w:val="nil"/>
            </w:tcBorders>
          </w:tcPr>
          <w:p w14:paraId="28E7A54B" w14:textId="77777777" w:rsidR="0069322D" w:rsidRPr="00021E8A" w:rsidRDefault="0069322D" w:rsidP="000B4BD9">
            <w:pPr>
              <w:spacing w:before="30" w:after="30"/>
              <w:jc w:val="left"/>
              <w:rPr>
                <w:bCs/>
                <w:sz w:val="20"/>
                <w:lang w:val="es-ES_tradnl"/>
              </w:rPr>
            </w:pPr>
            <w:r w:rsidRPr="00021E8A">
              <w:rPr>
                <w:bCs/>
                <w:sz w:val="20"/>
                <w:lang w:val="es-ES_tradnl"/>
              </w:rPr>
              <w:t>Compartición de frecuencias y coordinación entre los sistemas del servicio fijo por satélite y del servicio fijo</w:t>
            </w:r>
          </w:p>
        </w:tc>
      </w:tr>
      <w:tr w:rsidR="0069322D" w:rsidRPr="00036EE3" w14:paraId="152B9E85" w14:textId="77777777" w:rsidTr="0069322D">
        <w:tc>
          <w:tcPr>
            <w:tcW w:w="1140" w:type="dxa"/>
            <w:shd w:val="clear" w:color="auto" w:fill="auto"/>
          </w:tcPr>
          <w:p w14:paraId="41D83D97" w14:textId="77777777" w:rsidR="0069322D" w:rsidRPr="001240BC" w:rsidRDefault="0069322D" w:rsidP="000B4BD9">
            <w:pPr>
              <w:spacing w:before="30" w:after="30"/>
              <w:ind w:left="57"/>
              <w:jc w:val="left"/>
              <w:rPr>
                <w:b/>
                <w:bCs/>
                <w:sz w:val="20"/>
                <w:lang w:val="en-US"/>
              </w:rPr>
            </w:pPr>
            <w:r w:rsidRPr="001240BC">
              <w:rPr>
                <w:b/>
                <w:bCs/>
                <w:sz w:val="20"/>
                <w:lang w:val="en-US"/>
              </w:rPr>
              <w:t>SM</w:t>
            </w:r>
          </w:p>
        </w:tc>
        <w:tc>
          <w:tcPr>
            <w:tcW w:w="8220" w:type="dxa"/>
            <w:shd w:val="clear" w:color="auto" w:fill="auto"/>
          </w:tcPr>
          <w:p w14:paraId="1FBF9E60" w14:textId="77777777" w:rsidR="0069322D" w:rsidRPr="001240BC" w:rsidRDefault="0069322D" w:rsidP="000B4BD9">
            <w:pPr>
              <w:spacing w:before="30" w:after="30"/>
              <w:jc w:val="left"/>
              <w:rPr>
                <w:sz w:val="20"/>
                <w:lang w:val="en-US"/>
              </w:rPr>
            </w:pPr>
            <w:r w:rsidRPr="001240BC">
              <w:rPr>
                <w:sz w:val="20"/>
              </w:rPr>
              <w:t>Gestión del espectro</w:t>
            </w:r>
          </w:p>
        </w:tc>
      </w:tr>
      <w:tr w:rsidR="0069322D" w:rsidRPr="00036EE3" w14:paraId="4F49D5D2" w14:textId="77777777" w:rsidTr="0069322D">
        <w:tc>
          <w:tcPr>
            <w:tcW w:w="1140" w:type="dxa"/>
          </w:tcPr>
          <w:p w14:paraId="456D1F65" w14:textId="77777777" w:rsidR="0069322D" w:rsidRPr="00036EE3" w:rsidRDefault="0069322D" w:rsidP="000B4BD9">
            <w:pPr>
              <w:spacing w:before="30" w:after="30"/>
              <w:ind w:left="57"/>
              <w:jc w:val="left"/>
              <w:rPr>
                <w:b/>
                <w:bCs/>
                <w:sz w:val="20"/>
                <w:lang w:val="en-US"/>
              </w:rPr>
            </w:pPr>
            <w:r w:rsidRPr="00036EE3">
              <w:rPr>
                <w:b/>
                <w:bCs/>
                <w:sz w:val="20"/>
                <w:lang w:val="en-US"/>
              </w:rPr>
              <w:t>SNG</w:t>
            </w:r>
          </w:p>
        </w:tc>
        <w:tc>
          <w:tcPr>
            <w:tcW w:w="8220" w:type="dxa"/>
          </w:tcPr>
          <w:p w14:paraId="065A3FAF" w14:textId="77777777" w:rsidR="0069322D" w:rsidRPr="00021E8A" w:rsidRDefault="0069322D" w:rsidP="000B4BD9">
            <w:pPr>
              <w:spacing w:before="30" w:after="30"/>
              <w:jc w:val="left"/>
              <w:rPr>
                <w:bCs/>
                <w:sz w:val="20"/>
                <w:lang w:val="en-US"/>
              </w:rPr>
            </w:pPr>
            <w:r w:rsidRPr="00021E8A">
              <w:rPr>
                <w:bCs/>
                <w:sz w:val="20"/>
              </w:rPr>
              <w:t>Periodismo electrónico por satélite</w:t>
            </w:r>
          </w:p>
        </w:tc>
      </w:tr>
      <w:tr w:rsidR="0069322D" w:rsidRPr="00EB1174" w14:paraId="21D39378" w14:textId="77777777" w:rsidTr="0069322D">
        <w:tc>
          <w:tcPr>
            <w:tcW w:w="1140" w:type="dxa"/>
          </w:tcPr>
          <w:p w14:paraId="5E9CAA6F" w14:textId="77777777" w:rsidR="0069322D" w:rsidRPr="00036EE3" w:rsidRDefault="0069322D" w:rsidP="000B4BD9">
            <w:pPr>
              <w:spacing w:before="30" w:after="30"/>
              <w:ind w:left="57"/>
              <w:jc w:val="left"/>
              <w:rPr>
                <w:b/>
                <w:bCs/>
                <w:sz w:val="20"/>
                <w:lang w:val="en-US"/>
              </w:rPr>
            </w:pPr>
            <w:r w:rsidRPr="00036EE3">
              <w:rPr>
                <w:b/>
                <w:bCs/>
                <w:sz w:val="20"/>
                <w:lang w:val="en-US"/>
              </w:rPr>
              <w:t>TF</w:t>
            </w:r>
          </w:p>
        </w:tc>
        <w:tc>
          <w:tcPr>
            <w:tcW w:w="8220" w:type="dxa"/>
          </w:tcPr>
          <w:p w14:paraId="3B4359AA" w14:textId="77777777" w:rsidR="0069322D" w:rsidRPr="00021E8A" w:rsidRDefault="0069322D" w:rsidP="000B4BD9">
            <w:pPr>
              <w:spacing w:before="30" w:after="30"/>
              <w:jc w:val="left"/>
              <w:rPr>
                <w:bCs/>
                <w:sz w:val="20"/>
                <w:lang w:val="es-ES_tradnl"/>
              </w:rPr>
            </w:pPr>
            <w:r w:rsidRPr="00021E8A">
              <w:rPr>
                <w:bCs/>
                <w:sz w:val="20"/>
                <w:lang w:val="es-ES_tradnl"/>
              </w:rPr>
              <w:t>Emisiones de frecuencias patrón y señales horarias</w:t>
            </w:r>
          </w:p>
        </w:tc>
      </w:tr>
      <w:tr w:rsidR="0069322D" w:rsidRPr="00036EE3" w14:paraId="5B11B568" w14:textId="77777777" w:rsidTr="0069322D">
        <w:tc>
          <w:tcPr>
            <w:tcW w:w="1140" w:type="dxa"/>
          </w:tcPr>
          <w:p w14:paraId="4CCD2BB9" w14:textId="77777777" w:rsidR="0069322D" w:rsidRPr="00036EE3" w:rsidRDefault="0069322D" w:rsidP="000B4BD9">
            <w:pPr>
              <w:spacing w:before="30" w:after="30"/>
              <w:ind w:left="57"/>
              <w:jc w:val="left"/>
              <w:rPr>
                <w:b/>
                <w:bCs/>
                <w:sz w:val="20"/>
                <w:lang w:val="en-US"/>
              </w:rPr>
            </w:pPr>
            <w:r w:rsidRPr="00036EE3">
              <w:rPr>
                <w:b/>
                <w:bCs/>
                <w:sz w:val="20"/>
                <w:lang w:val="en-US"/>
              </w:rPr>
              <w:t>V</w:t>
            </w:r>
          </w:p>
        </w:tc>
        <w:tc>
          <w:tcPr>
            <w:tcW w:w="8220" w:type="dxa"/>
          </w:tcPr>
          <w:p w14:paraId="76133CD5" w14:textId="77777777" w:rsidR="0069322D" w:rsidRPr="00021E8A" w:rsidRDefault="0069322D" w:rsidP="000B4BD9">
            <w:pPr>
              <w:spacing w:before="30" w:after="140"/>
              <w:jc w:val="left"/>
              <w:rPr>
                <w:bCs/>
                <w:sz w:val="20"/>
                <w:lang w:val="en-US"/>
              </w:rPr>
            </w:pPr>
            <w:r w:rsidRPr="00021E8A">
              <w:rPr>
                <w:bCs/>
                <w:sz w:val="20"/>
              </w:rPr>
              <w:t>Vocabulario y cuestiones afines</w:t>
            </w:r>
          </w:p>
        </w:tc>
      </w:tr>
    </w:tbl>
    <w:p w14:paraId="516944B3" w14:textId="77777777" w:rsidR="0069322D" w:rsidRPr="00036EE3" w:rsidRDefault="0069322D" w:rsidP="0069322D">
      <w:pPr>
        <w:spacing w:before="0" w:after="14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69322D" w14:paraId="3DA8F769" w14:textId="77777777" w:rsidTr="000B4BD9">
        <w:tc>
          <w:tcPr>
            <w:tcW w:w="720" w:type="dxa"/>
          </w:tcPr>
          <w:p w14:paraId="4E7D72C6" w14:textId="77777777" w:rsidR="0069322D" w:rsidRDefault="0069322D" w:rsidP="000B4BD9">
            <w:pPr>
              <w:spacing w:before="0"/>
              <w:jc w:val="center"/>
              <w:rPr>
                <w:sz w:val="22"/>
                <w:lang w:val="en-US"/>
              </w:rPr>
            </w:pPr>
          </w:p>
        </w:tc>
      </w:tr>
    </w:tbl>
    <w:tbl>
      <w:tblPr>
        <w:tblStyle w:val="TableGrid"/>
        <w:tblW w:w="5000" w:type="pct"/>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609"/>
      </w:tblGrid>
      <w:tr w:rsidR="0069322D" w:rsidRPr="00EB1174" w14:paraId="25867066" w14:textId="77777777" w:rsidTr="00B96572">
        <w:tc>
          <w:tcPr>
            <w:tcW w:w="9360" w:type="dxa"/>
          </w:tcPr>
          <w:p w14:paraId="16285D0D" w14:textId="77777777" w:rsidR="0069322D" w:rsidRPr="00F111D6" w:rsidRDefault="0069322D" w:rsidP="00B96572">
            <w:pPr>
              <w:spacing w:before="92" w:after="92"/>
              <w:rPr>
                <w:rFonts w:ascii="Times New Roman" w:hAnsi="Times New Roman" w:cs="Times New Roman"/>
                <w:i/>
                <w:iCs/>
                <w:sz w:val="20"/>
                <w:lang w:val="es-ES_tradnl"/>
              </w:rPr>
            </w:pPr>
            <w:r w:rsidRPr="00F111D6">
              <w:rPr>
                <w:rFonts w:ascii="Times New Roman" w:hAnsi="Times New Roman" w:cs="Times New Roman"/>
                <w:b/>
                <w:bCs/>
                <w:i/>
                <w:iCs/>
                <w:sz w:val="20"/>
                <w:lang w:val="es-ES_tradnl"/>
              </w:rPr>
              <w:t>Nota</w:t>
            </w:r>
            <w:r w:rsidRPr="00F111D6">
              <w:rPr>
                <w:rFonts w:ascii="Times New Roman" w:hAnsi="Times New Roman" w:cs="Times New Roman"/>
                <w:i/>
                <w:iCs/>
                <w:sz w:val="20"/>
                <w:lang w:val="es-ES_tradnl"/>
              </w:rPr>
              <w:t>: Esta Recomendación UIT-R fue aprobada en inglés conforme al procedimiento detallado en la Resolución UIT</w:t>
            </w:r>
            <w:r w:rsidR="00B96572" w:rsidRPr="00F111D6">
              <w:rPr>
                <w:rFonts w:ascii="Times New Roman" w:hAnsi="Times New Roman" w:cs="Times New Roman"/>
                <w:i/>
                <w:iCs/>
                <w:sz w:val="20"/>
                <w:lang w:val="es-ES_tradnl"/>
              </w:rPr>
              <w:noBreakHyphen/>
            </w:r>
            <w:r w:rsidRPr="00F111D6">
              <w:rPr>
                <w:rFonts w:ascii="Times New Roman" w:hAnsi="Times New Roman" w:cs="Times New Roman"/>
                <w:i/>
                <w:iCs/>
                <w:sz w:val="20"/>
                <w:lang w:val="es-ES_tradnl"/>
              </w:rPr>
              <w:t>R</w:t>
            </w:r>
            <w:r w:rsidR="00B96572" w:rsidRPr="00F111D6">
              <w:rPr>
                <w:rFonts w:ascii="Times New Roman" w:hAnsi="Times New Roman" w:cs="Times New Roman"/>
                <w:i/>
                <w:iCs/>
                <w:sz w:val="20"/>
                <w:lang w:val="es-ES_tradnl"/>
              </w:rPr>
              <w:t> </w:t>
            </w:r>
            <w:r w:rsidRPr="00F111D6">
              <w:rPr>
                <w:rFonts w:ascii="Times New Roman" w:hAnsi="Times New Roman" w:cs="Times New Roman"/>
                <w:i/>
                <w:iCs/>
                <w:sz w:val="20"/>
                <w:lang w:val="es-ES_tradnl"/>
              </w:rPr>
              <w:t>1.</w:t>
            </w:r>
          </w:p>
        </w:tc>
      </w:tr>
    </w:tbl>
    <w:p w14:paraId="3192C722" w14:textId="77777777" w:rsidR="0069322D" w:rsidRPr="00763D08" w:rsidRDefault="0069322D" w:rsidP="0069322D">
      <w:pPr>
        <w:spacing w:before="0"/>
        <w:jc w:val="center"/>
        <w:rPr>
          <w:sz w:val="22"/>
          <w:lang w:val="es-ES_tradnl"/>
        </w:rPr>
      </w:pPr>
    </w:p>
    <w:p w14:paraId="66EE212A" w14:textId="77777777" w:rsidR="0069322D" w:rsidRPr="00763D08" w:rsidRDefault="0069322D" w:rsidP="0069322D">
      <w:pPr>
        <w:spacing w:before="60"/>
        <w:jc w:val="right"/>
        <w:rPr>
          <w:i/>
          <w:iCs/>
          <w:sz w:val="20"/>
          <w:lang w:val="es-ES_tradnl"/>
        </w:rPr>
      </w:pPr>
      <w:r w:rsidRPr="00763D08">
        <w:rPr>
          <w:i/>
          <w:iCs/>
          <w:sz w:val="20"/>
          <w:lang w:val="es-ES_tradnl"/>
        </w:rPr>
        <w:t>Publicación electrónica</w:t>
      </w:r>
    </w:p>
    <w:p w14:paraId="587B42D7" w14:textId="14B065ED" w:rsidR="0069322D" w:rsidRPr="00763D08" w:rsidRDefault="0069322D" w:rsidP="0069322D">
      <w:pPr>
        <w:spacing w:before="0" w:after="40"/>
        <w:jc w:val="right"/>
        <w:rPr>
          <w:sz w:val="20"/>
          <w:lang w:val="es-ES_tradnl"/>
        </w:rPr>
      </w:pPr>
      <w:r w:rsidRPr="00763D08">
        <w:rPr>
          <w:sz w:val="20"/>
          <w:lang w:val="es-ES_tradnl"/>
        </w:rPr>
        <w:t>Ginebra, 20</w:t>
      </w:r>
      <w:r w:rsidR="00B96572">
        <w:rPr>
          <w:sz w:val="20"/>
          <w:lang w:val="es-ES_tradnl"/>
        </w:rPr>
        <w:t>2</w:t>
      </w:r>
      <w:r w:rsidR="00CF7501">
        <w:rPr>
          <w:sz w:val="20"/>
          <w:lang w:val="es-ES_tradnl"/>
        </w:rPr>
        <w:t>4</w:t>
      </w:r>
    </w:p>
    <w:p w14:paraId="0BC0123E" w14:textId="77777777" w:rsidR="0069322D" w:rsidRPr="00763D08" w:rsidRDefault="0069322D" w:rsidP="0069322D">
      <w:pPr>
        <w:spacing w:before="0" w:after="120"/>
        <w:jc w:val="center"/>
        <w:rPr>
          <w:sz w:val="22"/>
          <w:lang w:val="es-ES_tradnl"/>
        </w:rPr>
      </w:pPr>
    </w:p>
    <w:p w14:paraId="628889B9" w14:textId="502965F0" w:rsidR="0069322D" w:rsidRPr="00763D08" w:rsidRDefault="0069322D" w:rsidP="0069322D">
      <w:pPr>
        <w:spacing w:before="0"/>
        <w:jc w:val="center"/>
        <w:rPr>
          <w:sz w:val="20"/>
          <w:lang w:val="es-ES_tradnl"/>
        </w:rPr>
      </w:pPr>
      <w:r w:rsidRPr="00470E28">
        <w:rPr>
          <w:sz w:val="20"/>
          <w:lang w:val="en-US"/>
        </w:rPr>
        <w:sym w:font="Symbol" w:char="F0E3"/>
      </w:r>
      <w:r w:rsidRPr="00763D08">
        <w:rPr>
          <w:sz w:val="20"/>
          <w:lang w:val="es-ES_tradnl"/>
        </w:rPr>
        <w:t xml:space="preserve"> UIT </w:t>
      </w:r>
      <w:bookmarkStart w:id="2" w:name="iiannee"/>
      <w:bookmarkEnd w:id="2"/>
      <w:r w:rsidRPr="00763D08">
        <w:rPr>
          <w:sz w:val="20"/>
          <w:lang w:val="es-ES_tradnl"/>
        </w:rPr>
        <w:t>20</w:t>
      </w:r>
      <w:r w:rsidR="00B96572">
        <w:rPr>
          <w:sz w:val="20"/>
          <w:lang w:val="es-ES_tradnl"/>
        </w:rPr>
        <w:t>2</w:t>
      </w:r>
      <w:r w:rsidR="00CF7501">
        <w:rPr>
          <w:sz w:val="20"/>
          <w:lang w:val="es-ES_tradnl"/>
        </w:rPr>
        <w:t>4</w:t>
      </w:r>
    </w:p>
    <w:p w14:paraId="2B1856B3" w14:textId="77777777" w:rsidR="00D5024B" w:rsidRPr="00F111D6" w:rsidRDefault="0069322D" w:rsidP="0069322D">
      <w:pPr>
        <w:rPr>
          <w:sz w:val="18"/>
          <w:szCs w:val="18"/>
        </w:rPr>
      </w:pPr>
      <w:r w:rsidRPr="00763D08">
        <w:rPr>
          <w:sz w:val="18"/>
          <w:szCs w:val="18"/>
          <w:lang w:val="es-ES_tradnl"/>
        </w:rPr>
        <w:t xml:space="preserve">Reservados todos los derechos. </w:t>
      </w:r>
      <w:r w:rsidRPr="006C718C">
        <w:rPr>
          <w:sz w:val="18"/>
          <w:szCs w:val="18"/>
          <w:lang w:val="es-ES_tradnl"/>
        </w:rPr>
        <w:t>Ninguna parte de esta publicación puede reproducirse por ningún procedimiento sin previa autorizaci</w:t>
      </w:r>
      <w:r>
        <w:rPr>
          <w:sz w:val="18"/>
          <w:szCs w:val="18"/>
          <w:lang w:val="es-ES_tradnl"/>
        </w:rPr>
        <w:t>ón escrita por parte de la UIT</w:t>
      </w:r>
      <w:r w:rsidRPr="006C718C">
        <w:rPr>
          <w:sz w:val="18"/>
          <w:szCs w:val="18"/>
          <w:lang w:val="es-ES_tradnl"/>
        </w:rPr>
        <w:t>.</w:t>
      </w:r>
    </w:p>
    <w:p w14:paraId="5FC2D85C" w14:textId="77777777" w:rsidR="007565CC" w:rsidRPr="00F111D6" w:rsidRDefault="007565CC" w:rsidP="00A971A1">
      <w:pPr>
        <w:spacing w:before="160"/>
        <w:rPr>
          <w:i/>
          <w:sz w:val="20"/>
        </w:rPr>
        <w:sectPr w:rsidR="007565CC" w:rsidRPr="00F111D6"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14:paraId="50F31843" w14:textId="67733C0B" w:rsidR="00B874C6" w:rsidRPr="00B111CE" w:rsidRDefault="00E41149" w:rsidP="00A936CB">
      <w:pPr>
        <w:pStyle w:val="RecNo"/>
        <w:spacing w:before="0"/>
      </w:pPr>
      <w:bookmarkStart w:id="3" w:name="irecnoe"/>
      <w:bookmarkEnd w:id="3"/>
      <w:r>
        <w:lastRenderedPageBreak/>
        <w:t>RECOMENDACIÓN</w:t>
      </w:r>
      <w:r w:rsidR="00B874C6" w:rsidRPr="00BF487A">
        <w:t xml:space="preserve">  </w:t>
      </w:r>
      <w:r w:rsidR="00A25EE2" w:rsidRPr="00B111CE">
        <w:rPr>
          <w:rStyle w:val="href"/>
        </w:rPr>
        <w:t>UI</w:t>
      </w:r>
      <w:r w:rsidR="00B874C6" w:rsidRPr="00B111CE">
        <w:rPr>
          <w:rStyle w:val="href"/>
        </w:rPr>
        <w:t xml:space="preserve">T-R  </w:t>
      </w:r>
      <w:r w:rsidR="00E76944">
        <w:rPr>
          <w:rStyle w:val="href"/>
        </w:rPr>
        <w:t>B</w:t>
      </w:r>
      <w:r w:rsidR="00D5024B" w:rsidRPr="00B111CE">
        <w:rPr>
          <w:rStyle w:val="href"/>
        </w:rPr>
        <w:t>S</w:t>
      </w:r>
      <w:r w:rsidR="00B874C6" w:rsidRPr="00B111CE">
        <w:rPr>
          <w:rStyle w:val="href"/>
        </w:rPr>
        <w:t>.</w:t>
      </w:r>
      <w:r w:rsidR="00CF7501">
        <w:rPr>
          <w:rStyle w:val="href"/>
        </w:rPr>
        <w:t>1864-1</w:t>
      </w:r>
    </w:p>
    <w:p w14:paraId="7F640047" w14:textId="77777777" w:rsidR="00CF7501" w:rsidRPr="00AE0903" w:rsidRDefault="00CF7501" w:rsidP="00CF7501">
      <w:pPr>
        <w:pStyle w:val="Rectitle"/>
        <w:rPr>
          <w:lang w:val="es-ES_tradnl"/>
        </w:rPr>
      </w:pPr>
      <w:r w:rsidRPr="00805B49">
        <w:rPr>
          <w:lang w:val="es-ES_tradnl"/>
        </w:rPr>
        <w:t>Prácticas operativas en materia de sonoridad en el intercambio</w:t>
      </w:r>
      <w:r>
        <w:rPr>
          <w:lang w:val="es-ES_tradnl"/>
        </w:rPr>
        <w:br/>
      </w:r>
      <w:r w:rsidRPr="00805B49">
        <w:rPr>
          <w:lang w:val="es-ES_tradnl"/>
        </w:rPr>
        <w:t>internacional de programas de televisión digital</w:t>
      </w:r>
    </w:p>
    <w:p w14:paraId="3A6BA9C4" w14:textId="77777777" w:rsidR="00CF7501" w:rsidRPr="00AE0903" w:rsidRDefault="00CF7501" w:rsidP="00CF7501">
      <w:pPr>
        <w:pStyle w:val="Recref"/>
        <w:rPr>
          <w:lang w:val="es-ES_tradnl"/>
        </w:rPr>
      </w:pPr>
      <w:r w:rsidRPr="00AE0903">
        <w:rPr>
          <w:lang w:val="es-ES_tradnl"/>
        </w:rPr>
        <w:t xml:space="preserve">(Cuestión </w:t>
      </w:r>
      <w:r w:rsidRPr="00047983">
        <w:rPr>
          <w:rStyle w:val="Hyperlink"/>
          <w:color w:val="auto"/>
          <w:u w:val="none"/>
        </w:rPr>
        <w:t>U</w:t>
      </w:r>
      <w:hyperlink r:id="rId14" w:history="1">
        <w:r w:rsidRPr="00047983">
          <w:rPr>
            <w:rStyle w:val="Hyperlink"/>
            <w:color w:val="auto"/>
            <w:u w:val="none"/>
            <w:lang w:val="es-ES_tradnl"/>
          </w:rPr>
          <w:t>IT</w:t>
        </w:r>
        <w:r w:rsidRPr="00047983">
          <w:rPr>
            <w:rStyle w:val="Hyperlink"/>
            <w:color w:val="auto"/>
            <w:u w:val="none"/>
            <w:lang w:val="es-ES_tradnl"/>
          </w:rPr>
          <w:noBreakHyphen/>
          <w:t>R 135-2/6</w:t>
        </w:r>
      </w:hyperlink>
      <w:r w:rsidRPr="00AE0903">
        <w:rPr>
          <w:lang w:val="es-ES_tradnl"/>
        </w:rPr>
        <w:t>)</w:t>
      </w:r>
    </w:p>
    <w:p w14:paraId="4F5C955A" w14:textId="77777777" w:rsidR="00CF7501" w:rsidRPr="00AE0903" w:rsidRDefault="00CF7501" w:rsidP="00CF7501">
      <w:pPr>
        <w:pStyle w:val="Recdate"/>
        <w:rPr>
          <w:lang w:val="es-ES_tradnl"/>
        </w:rPr>
      </w:pPr>
      <w:r w:rsidRPr="00AE0903">
        <w:rPr>
          <w:lang w:val="es-ES_tradnl"/>
        </w:rPr>
        <w:t>(201</w:t>
      </w:r>
      <w:r>
        <w:rPr>
          <w:lang w:val="es-ES_tradnl"/>
        </w:rPr>
        <w:t>0</w:t>
      </w:r>
      <w:r w:rsidRPr="00AE0903">
        <w:rPr>
          <w:lang w:val="es-ES_tradnl"/>
        </w:rPr>
        <w:t>-2023)</w:t>
      </w:r>
    </w:p>
    <w:p w14:paraId="2DDA6CAC" w14:textId="77777777" w:rsidR="00CF7501" w:rsidRPr="00047983" w:rsidRDefault="00CF7501" w:rsidP="00CF7501">
      <w:pPr>
        <w:pStyle w:val="HeadingSum"/>
        <w:rPr>
          <w:sz w:val="22"/>
          <w:szCs w:val="22"/>
        </w:rPr>
      </w:pPr>
      <w:r w:rsidRPr="00047983">
        <w:rPr>
          <w:sz w:val="22"/>
          <w:szCs w:val="22"/>
        </w:rPr>
        <w:t>Cometido</w:t>
      </w:r>
    </w:p>
    <w:p w14:paraId="2F87C732" w14:textId="77777777" w:rsidR="00CF7501" w:rsidRPr="00047983" w:rsidRDefault="00CF7501" w:rsidP="00CF7501">
      <w:pPr>
        <w:pStyle w:val="Summary"/>
        <w:rPr>
          <w:szCs w:val="22"/>
          <w:lang w:eastAsia="ja-JP"/>
        </w:rPr>
      </w:pPr>
      <w:r w:rsidRPr="00047983">
        <w:rPr>
          <w:szCs w:val="22"/>
        </w:rPr>
        <w:t>En esta Recomendación se especifican las prácticas operativas dirigidas a mejorar la coherencia de la sonoridad en los programas de televisión digital. Las prácticas especificadas se aplican a la producción de tales programas y no son aplicables a la distribución o la emisión de los programas de radiodifusión.</w:t>
      </w:r>
    </w:p>
    <w:p w14:paraId="06F1924C" w14:textId="77777777" w:rsidR="00CF7501" w:rsidRPr="00A70B2D" w:rsidRDefault="00CF7501" w:rsidP="00CF7501">
      <w:pPr>
        <w:pStyle w:val="Headingb"/>
        <w:rPr>
          <w:rStyle w:val="href"/>
        </w:rPr>
      </w:pPr>
      <w:r w:rsidRPr="00AE0903">
        <w:rPr>
          <w:lang w:val="es-ES_tradnl"/>
        </w:rPr>
        <w:t>Palabras clave</w:t>
      </w:r>
    </w:p>
    <w:p w14:paraId="7C862BDF" w14:textId="77777777" w:rsidR="00CF7501" w:rsidRPr="00AE0903" w:rsidRDefault="00CF7501" w:rsidP="00CF7501">
      <w:pPr>
        <w:rPr>
          <w:lang w:val="es-ES_tradnl"/>
        </w:rPr>
      </w:pPr>
      <w:r w:rsidRPr="00D324B6">
        <w:rPr>
          <w:lang w:val="es-ES_tradnl"/>
        </w:rPr>
        <w:t>Sonoridad, nivel de la señal de audio, diálogo, intercambio de programas</w:t>
      </w:r>
    </w:p>
    <w:p w14:paraId="29D53FD8" w14:textId="77777777" w:rsidR="00047983" w:rsidRPr="00C3044A" w:rsidRDefault="00047983" w:rsidP="00047983">
      <w:pPr>
        <w:pStyle w:val="Normalaftertitle"/>
        <w:tabs>
          <w:tab w:val="center" w:pos="4819"/>
        </w:tabs>
        <w:rPr>
          <w:lang w:val="es-ES_tradnl"/>
        </w:rPr>
      </w:pPr>
      <w:r w:rsidRPr="00C3044A">
        <w:rPr>
          <w:lang w:val="es-ES_tradnl"/>
        </w:rPr>
        <w:t>La Asamblea de Radiocomunicaciones de la UIT,</w:t>
      </w:r>
    </w:p>
    <w:p w14:paraId="424E080B" w14:textId="77777777" w:rsidR="00CF7501" w:rsidRPr="00C3044A" w:rsidRDefault="00CF7501" w:rsidP="00CF7501">
      <w:pPr>
        <w:pStyle w:val="Call"/>
        <w:rPr>
          <w:lang w:val="es-ES_tradnl"/>
        </w:rPr>
      </w:pPr>
      <w:r w:rsidRPr="00C3044A">
        <w:rPr>
          <w:lang w:val="es-ES_tradnl"/>
        </w:rPr>
        <w:t>considerando</w:t>
      </w:r>
    </w:p>
    <w:p w14:paraId="4697558D" w14:textId="77777777" w:rsidR="00CF7501" w:rsidRPr="00C3044A" w:rsidRDefault="00CF7501" w:rsidP="00CF7501">
      <w:pPr>
        <w:rPr>
          <w:lang w:val="es-ES_tradnl"/>
        </w:rPr>
      </w:pPr>
      <w:r w:rsidRPr="000E348D">
        <w:rPr>
          <w:i/>
          <w:iCs/>
          <w:lang w:val="es-ES_tradnl"/>
        </w:rPr>
        <w:t>a)</w:t>
      </w:r>
      <w:r w:rsidRPr="00C3044A">
        <w:rPr>
          <w:lang w:val="es-ES_tradnl"/>
        </w:rPr>
        <w:tab/>
        <w:t>que la audiencia de los programas de televisión digital mejora notablemente cuando su sonoridad es razonablemente uniforme, independientemente de las distintas fuentes de programa y de los diversos tipos de programa;</w:t>
      </w:r>
    </w:p>
    <w:p w14:paraId="36B9EDF8" w14:textId="77777777" w:rsidR="00CF7501" w:rsidRPr="00C3044A" w:rsidRDefault="00CF7501" w:rsidP="00CF7501">
      <w:pPr>
        <w:rPr>
          <w:lang w:val="es-ES_tradnl"/>
        </w:rPr>
      </w:pPr>
      <w:r w:rsidRPr="000E348D">
        <w:rPr>
          <w:i/>
          <w:iCs/>
          <w:lang w:val="es-ES_tradnl"/>
        </w:rPr>
        <w:t>b)</w:t>
      </w:r>
      <w:r w:rsidRPr="00C3044A">
        <w:rPr>
          <w:lang w:val="es-ES_tradnl"/>
        </w:rPr>
        <w:tab/>
        <w:t>que sería muy conveniente lograr también el intercambio internacional de programas una razonable coherencia en la sonoridad de los programas radiofónicos y en el sonido que acompaña a los programas de televisión;</w:t>
      </w:r>
    </w:p>
    <w:p w14:paraId="15EB2494" w14:textId="2332F79F" w:rsidR="00CF7501" w:rsidRPr="00C3044A" w:rsidRDefault="00CF7501" w:rsidP="00CF7501">
      <w:pPr>
        <w:rPr>
          <w:lang w:val="es-ES_tradnl"/>
        </w:rPr>
      </w:pPr>
      <w:r w:rsidRPr="000E348D">
        <w:rPr>
          <w:i/>
          <w:iCs/>
          <w:lang w:val="es-ES_tradnl"/>
        </w:rPr>
        <w:t>c)</w:t>
      </w:r>
      <w:r w:rsidRPr="00C3044A">
        <w:rPr>
          <w:lang w:val="es-ES_tradnl"/>
        </w:rPr>
        <w:tab/>
        <w:t xml:space="preserve">que la Recomendación </w:t>
      </w:r>
      <w:hyperlink r:id="rId15" w:history="1">
        <w:r w:rsidRPr="00047983">
          <w:rPr>
            <w:rStyle w:val="Hyperlink"/>
            <w:color w:val="auto"/>
            <w:u w:val="none"/>
            <w:lang w:val="es-ES_tradnl"/>
          </w:rPr>
          <w:t>UIT</w:t>
        </w:r>
        <w:r w:rsidRPr="00047983">
          <w:rPr>
            <w:rStyle w:val="Hyperlink"/>
            <w:color w:val="auto"/>
            <w:u w:val="none"/>
            <w:lang w:val="es-ES_tradnl"/>
          </w:rPr>
          <w:noBreakHyphen/>
          <w:t>R BS.1726</w:t>
        </w:r>
      </w:hyperlink>
      <w:r w:rsidRPr="00C3044A">
        <w:rPr>
          <w:lang w:val="es-ES_tradnl"/>
        </w:rPr>
        <w:t xml:space="preserve"> especifica la utilización de </w:t>
      </w:r>
      <w:r w:rsidR="00047983" w:rsidRPr="00C33FAC">
        <w:t>−</w:t>
      </w:r>
      <w:r w:rsidRPr="00C3044A">
        <w:rPr>
          <w:lang w:val="es-ES_tradnl"/>
        </w:rPr>
        <w:t xml:space="preserve">18 dBFS </w:t>
      </w:r>
      <w:r>
        <w:rPr>
          <w:lang w:val="es-ES_tradnl"/>
        </w:rPr>
        <w:t xml:space="preserve">o </w:t>
      </w:r>
      <w:r w:rsidR="00047983" w:rsidRPr="00C33FAC">
        <w:t>−</w:t>
      </w:r>
      <w:r>
        <w:rPr>
          <w:lang w:val="es-ES_tradnl"/>
        </w:rPr>
        <w:t>20</w:t>
      </w:r>
      <w:r w:rsidRPr="00C3044A">
        <w:rPr>
          <w:lang w:val="es-ES_tradnl"/>
        </w:rPr>
        <w:t> dBFS para el «nivel de alineación», pero que este «nivel de alineación» no corresponde directamente a la sonoridad del programa de audio;</w:t>
      </w:r>
    </w:p>
    <w:p w14:paraId="78E7014D" w14:textId="309EB34C" w:rsidR="00CF7501" w:rsidRPr="00C3044A" w:rsidRDefault="00CF7501" w:rsidP="00CF7501">
      <w:pPr>
        <w:rPr>
          <w:lang w:val="es-ES_tradnl"/>
        </w:rPr>
      </w:pPr>
      <w:r w:rsidRPr="000E348D">
        <w:rPr>
          <w:i/>
          <w:iCs/>
          <w:lang w:val="es-ES_tradnl"/>
        </w:rPr>
        <w:t>d)</w:t>
      </w:r>
      <w:r w:rsidRPr="00C3044A">
        <w:rPr>
          <w:lang w:val="es-ES_tradnl"/>
        </w:rPr>
        <w:tab/>
        <w:t xml:space="preserve">que la Recomendación </w:t>
      </w:r>
      <w:hyperlink r:id="rId16" w:history="1">
        <w:r w:rsidRPr="00047983">
          <w:rPr>
            <w:rStyle w:val="Hyperlink"/>
            <w:color w:val="auto"/>
            <w:u w:val="none"/>
            <w:lang w:val="es-ES_tradnl"/>
          </w:rPr>
          <w:t>UIT</w:t>
        </w:r>
        <w:r w:rsidRPr="00047983">
          <w:rPr>
            <w:rStyle w:val="Hyperlink"/>
            <w:color w:val="auto"/>
            <w:u w:val="none"/>
            <w:lang w:val="es-ES_tradnl"/>
          </w:rPr>
          <w:noBreakHyphen/>
          <w:t>R BS.1770</w:t>
        </w:r>
      </w:hyperlink>
      <w:r w:rsidR="00047983">
        <w:rPr>
          <w:lang w:val="es-ES_tradnl"/>
        </w:rPr>
        <w:t> </w:t>
      </w:r>
      <w:r>
        <w:rPr>
          <w:lang w:val="es-ES_tradnl"/>
        </w:rPr>
        <w:t>–</w:t>
      </w:r>
      <w:r w:rsidR="00047983">
        <w:rPr>
          <w:lang w:val="es-ES_tradnl"/>
        </w:rPr>
        <w:t> </w:t>
      </w:r>
      <w:r w:rsidRPr="00C3044A">
        <w:rPr>
          <w:lang w:val="es-ES_tradnl"/>
        </w:rPr>
        <w:t>«Algoritmos para medir la sonoridad de los programas radiofónicos y el nivel de cresta de audio real», especifica un método para medir la sonoridad de los programas de audio;</w:t>
      </w:r>
    </w:p>
    <w:p w14:paraId="5129E860" w14:textId="7541667B" w:rsidR="00CF7501" w:rsidRPr="00C3044A" w:rsidRDefault="00CF7501" w:rsidP="00CF7501">
      <w:pPr>
        <w:rPr>
          <w:lang w:val="es-ES_tradnl"/>
        </w:rPr>
      </w:pPr>
      <w:r w:rsidRPr="000E348D">
        <w:rPr>
          <w:i/>
          <w:iCs/>
          <w:lang w:val="es-ES_tradnl"/>
        </w:rPr>
        <w:t>e)</w:t>
      </w:r>
      <w:r w:rsidRPr="00C3044A">
        <w:rPr>
          <w:lang w:val="es-ES_tradnl"/>
        </w:rPr>
        <w:tab/>
        <w:t xml:space="preserve">que la Recomendación </w:t>
      </w:r>
      <w:hyperlink r:id="rId17" w:history="1">
        <w:r w:rsidRPr="00047983">
          <w:rPr>
            <w:rStyle w:val="Hyperlink"/>
            <w:color w:val="auto"/>
            <w:u w:val="none"/>
            <w:lang w:val="es-ES_tradnl"/>
          </w:rPr>
          <w:t>UIT</w:t>
        </w:r>
        <w:r w:rsidRPr="00047983">
          <w:rPr>
            <w:rStyle w:val="Hyperlink"/>
            <w:color w:val="auto"/>
            <w:u w:val="none"/>
            <w:lang w:val="es-ES_tradnl"/>
          </w:rPr>
          <w:noBreakHyphen/>
          <w:t>R BS.1771</w:t>
        </w:r>
      </w:hyperlink>
      <w:r w:rsidR="00047983">
        <w:rPr>
          <w:lang w:val="es-ES_tradnl"/>
        </w:rPr>
        <w:t> </w:t>
      </w:r>
      <w:r>
        <w:rPr>
          <w:lang w:val="es-ES_tradnl"/>
        </w:rPr>
        <w:t>–</w:t>
      </w:r>
      <w:r w:rsidR="00047983">
        <w:rPr>
          <w:lang w:val="es-ES_tradnl"/>
        </w:rPr>
        <w:t> </w:t>
      </w:r>
      <w:r w:rsidRPr="00C3044A">
        <w:rPr>
          <w:lang w:val="es-ES_tradnl"/>
        </w:rPr>
        <w:t xml:space="preserve">«Requisitos de los medidores de sonoridad y de valores de cresta reales», especifica los requisitos de los medidores de sonoridad que utilizan los algoritmos indicados en la Recomendación </w:t>
      </w:r>
      <w:hyperlink r:id="rId18" w:history="1">
        <w:r w:rsidR="00047983" w:rsidRPr="00047983">
          <w:rPr>
            <w:rStyle w:val="Hyperlink"/>
            <w:color w:val="auto"/>
            <w:u w:val="none"/>
            <w:lang w:val="es-ES_tradnl"/>
          </w:rPr>
          <w:t>UIT</w:t>
        </w:r>
        <w:r w:rsidR="00047983" w:rsidRPr="00047983">
          <w:rPr>
            <w:rStyle w:val="Hyperlink"/>
            <w:color w:val="auto"/>
            <w:u w:val="none"/>
            <w:lang w:val="es-ES_tradnl"/>
          </w:rPr>
          <w:noBreakHyphen/>
          <w:t>R BS.1770</w:t>
        </w:r>
      </w:hyperlink>
      <w:r>
        <w:rPr>
          <w:lang w:val="es-ES_tradnl"/>
        </w:rPr>
        <w:t>,</w:t>
      </w:r>
      <w:r w:rsidRPr="00C3044A">
        <w:rPr>
          <w:lang w:val="es-ES_tradnl"/>
        </w:rPr>
        <w:t xml:space="preserve"> permitiendo de esa manera el uso en todo el mundo de los medidores de sonoridad que se comportan de manera coherente y proporcionan una indicación fiable de la sonoridad en el mismo programa, independientemente de su contenido;</w:t>
      </w:r>
    </w:p>
    <w:p w14:paraId="4FC47906" w14:textId="77777777" w:rsidR="00CF7501" w:rsidRPr="00C3044A" w:rsidRDefault="00CF7501" w:rsidP="00CF7501">
      <w:pPr>
        <w:rPr>
          <w:lang w:val="es-ES_tradnl"/>
        </w:rPr>
      </w:pPr>
      <w:r w:rsidRPr="000E348D">
        <w:rPr>
          <w:i/>
          <w:iCs/>
          <w:lang w:val="es-ES_tradnl"/>
        </w:rPr>
        <w:t>f)</w:t>
      </w:r>
      <w:r w:rsidRPr="00C3044A">
        <w:rPr>
          <w:lang w:val="es-ES_tradnl"/>
        </w:rPr>
        <w:tab/>
        <w:t xml:space="preserve">que un elemento de programa que interesa a las audiencias de los programas que consisten fundamentalmente en diálogos es la sonoridad del mismo, y que dicha sonoridad conviene que sea uniforme en el intercambio internacional </w:t>
      </w:r>
      <w:r>
        <w:rPr>
          <w:lang w:val="es-ES_tradnl"/>
        </w:rPr>
        <w:t>d</w:t>
      </w:r>
      <w:r w:rsidRPr="00C3044A">
        <w:rPr>
          <w:lang w:val="es-ES_tradnl"/>
        </w:rPr>
        <w:t>e programas; en otros tipos de programas intercambiados a nivel internacional, tales como las cuñas publicitarias cortas o los programas en los que no predomina el diálogo, el elemento de mayor interés para la audiencia del programa es la sonoridad de la mezcla completa del programa;</w:t>
      </w:r>
    </w:p>
    <w:p w14:paraId="3F63C654" w14:textId="77777777" w:rsidR="00CF7501" w:rsidRPr="00C3044A" w:rsidRDefault="00CF7501" w:rsidP="00CF7501">
      <w:pPr>
        <w:rPr>
          <w:lang w:val="es-ES_tradnl"/>
        </w:rPr>
      </w:pPr>
      <w:r w:rsidRPr="000E348D">
        <w:rPr>
          <w:i/>
          <w:iCs/>
          <w:lang w:val="es-ES_tradnl"/>
        </w:rPr>
        <w:t>g)</w:t>
      </w:r>
      <w:r w:rsidRPr="00C3044A">
        <w:rPr>
          <w:lang w:val="es-ES_tradnl"/>
        </w:rPr>
        <w:tab/>
        <w:t>que algunos sistemas de audio incluyen metadatos para controlar la sonoridad y otros no,</w:t>
      </w:r>
    </w:p>
    <w:p w14:paraId="71BC549C" w14:textId="77777777" w:rsidR="00CF7501" w:rsidRPr="00C3044A" w:rsidRDefault="00CF7501" w:rsidP="00CF7501">
      <w:pPr>
        <w:pStyle w:val="Call"/>
        <w:rPr>
          <w:lang w:val="es-ES_tradnl"/>
        </w:rPr>
      </w:pPr>
      <w:r w:rsidRPr="00C3044A">
        <w:rPr>
          <w:lang w:val="es-ES_tradnl"/>
        </w:rPr>
        <w:t xml:space="preserve">considerando </w:t>
      </w:r>
      <w:r>
        <w:rPr>
          <w:lang w:val="es-ES_tradnl"/>
        </w:rPr>
        <w:t>además</w:t>
      </w:r>
    </w:p>
    <w:p w14:paraId="6106EB8B" w14:textId="77777777" w:rsidR="00CF7501" w:rsidRPr="00C3044A" w:rsidRDefault="00CF7501" w:rsidP="00CF7501">
      <w:pPr>
        <w:rPr>
          <w:lang w:val="es-ES_tradnl"/>
        </w:rPr>
      </w:pPr>
      <w:r w:rsidRPr="00C8048D">
        <w:rPr>
          <w:i/>
          <w:iCs/>
          <w:lang w:val="es-ES_tradnl"/>
        </w:rPr>
        <w:t>a)</w:t>
      </w:r>
      <w:r w:rsidRPr="00C3044A">
        <w:rPr>
          <w:lang w:val="es-ES_tradnl"/>
        </w:rPr>
        <w:tab/>
        <w:t>que la reducción de las diferencias de sonoridad del audio entre programas puede mejorar la satisfacción de la audiencia;</w:t>
      </w:r>
    </w:p>
    <w:p w14:paraId="61870B89" w14:textId="77777777" w:rsidR="00CF7501" w:rsidRPr="00C3044A" w:rsidRDefault="00CF7501" w:rsidP="00CF7501">
      <w:pPr>
        <w:rPr>
          <w:szCs w:val="24"/>
          <w:lang w:val="es-ES_tradnl"/>
        </w:rPr>
      </w:pPr>
      <w:r w:rsidRPr="00C8048D">
        <w:rPr>
          <w:i/>
          <w:iCs/>
          <w:szCs w:val="24"/>
          <w:lang w:val="es-ES_tradnl"/>
        </w:rPr>
        <w:lastRenderedPageBreak/>
        <w:t>b)</w:t>
      </w:r>
      <w:r w:rsidRPr="00C3044A">
        <w:rPr>
          <w:szCs w:val="24"/>
          <w:lang w:val="es-ES_tradnl"/>
        </w:rPr>
        <w:tab/>
        <w:t>que las técnicas de medición prácticas, y las consecuencias previstas de la forma en que se implementan los algoritmos de medición, sugieren que puede preverse una diferencia de hasta 2 dB entre mediciones efectuadas sobre el mismo contenido por distintos instrumentos, y que tales variaciones están previstas y son aceptables en la práctica;</w:t>
      </w:r>
    </w:p>
    <w:p w14:paraId="14D27105" w14:textId="75E2BE9D" w:rsidR="00CF7501" w:rsidRPr="00C3044A" w:rsidRDefault="00CF7501" w:rsidP="00CF7501">
      <w:pPr>
        <w:rPr>
          <w:lang w:val="es-ES_tradnl"/>
        </w:rPr>
      </w:pPr>
      <w:r w:rsidRPr="00C8048D">
        <w:rPr>
          <w:i/>
          <w:iCs/>
          <w:lang w:val="es-ES_tradnl"/>
        </w:rPr>
        <w:t>c)</w:t>
      </w:r>
      <w:r w:rsidRPr="00C3044A">
        <w:rPr>
          <w:lang w:val="es-ES_tradnl"/>
        </w:rPr>
        <w:tab/>
        <w:t xml:space="preserve">que los estudios han demostrado que los oyentes pueden tolerar fácilmente cierta variación en la sonoridad siempre que dicha sonoridad no se desvíe de una «zona confort», que se trata de una ventana de sonoridad de aproximadamente </w:t>
      </w:r>
      <w:r>
        <w:rPr>
          <w:lang w:val="es-ES_tradnl"/>
        </w:rPr>
        <w:t>+</w:t>
      </w:r>
      <w:r w:rsidRPr="00C3044A">
        <w:rPr>
          <w:lang w:val="es-ES_tradnl"/>
        </w:rPr>
        <w:t xml:space="preserve">3 a </w:t>
      </w:r>
      <w:r w:rsidR="00047983" w:rsidRPr="00C33FAC">
        <w:t>−</w:t>
      </w:r>
      <w:r w:rsidRPr="00C3044A">
        <w:rPr>
          <w:lang w:val="es-ES_tradnl"/>
        </w:rPr>
        <w:t>5 dB con respecto a la sonoridad deseada,</w:t>
      </w:r>
    </w:p>
    <w:p w14:paraId="68469605" w14:textId="77777777" w:rsidR="00CF7501" w:rsidRPr="00C3044A" w:rsidRDefault="00CF7501" w:rsidP="00CF7501">
      <w:pPr>
        <w:pStyle w:val="Call"/>
        <w:rPr>
          <w:lang w:val="es-ES_tradnl"/>
        </w:rPr>
      </w:pPr>
      <w:r w:rsidRPr="00C3044A">
        <w:rPr>
          <w:lang w:val="es-ES_tradnl"/>
        </w:rPr>
        <w:t xml:space="preserve">recomienda </w:t>
      </w:r>
    </w:p>
    <w:p w14:paraId="76F62969" w14:textId="34B1EF37" w:rsidR="00CF7501" w:rsidRPr="005645E4" w:rsidRDefault="00CF7501" w:rsidP="00CF7501">
      <w:pPr>
        <w:rPr>
          <w:lang w:val="es-ES_tradnl"/>
        </w:rPr>
      </w:pPr>
      <w:r w:rsidRPr="00047983">
        <w:rPr>
          <w:bCs/>
          <w:lang w:val="es-ES_tradnl"/>
        </w:rPr>
        <w:t>1</w:t>
      </w:r>
      <w:r w:rsidRPr="00047983">
        <w:rPr>
          <w:bCs/>
          <w:lang w:val="es-ES_tradnl"/>
        </w:rPr>
        <w:tab/>
      </w:r>
      <w:r w:rsidRPr="005645E4">
        <w:rPr>
          <w:lang w:val="es-ES_tradnl"/>
        </w:rPr>
        <w:t xml:space="preserve">que las mediciones de sonoridad se realicen de conformidad con el </w:t>
      </w:r>
      <w:r>
        <w:rPr>
          <w:lang w:val="es-ES_tradnl"/>
        </w:rPr>
        <w:t xml:space="preserve">algoritmo de medición de la sonoridad apropiado de </w:t>
      </w:r>
      <w:r w:rsidRPr="005645E4">
        <w:rPr>
          <w:lang w:val="es-ES_tradnl"/>
        </w:rPr>
        <w:t xml:space="preserve">la Recomendación </w:t>
      </w:r>
      <w:hyperlink r:id="rId19" w:history="1">
        <w:r w:rsidR="00047983" w:rsidRPr="00047983">
          <w:rPr>
            <w:rStyle w:val="Hyperlink"/>
            <w:color w:val="auto"/>
            <w:u w:val="none"/>
            <w:lang w:val="es-ES_tradnl"/>
          </w:rPr>
          <w:t>UIT</w:t>
        </w:r>
        <w:r w:rsidR="00047983" w:rsidRPr="00047983">
          <w:rPr>
            <w:rStyle w:val="Hyperlink"/>
            <w:color w:val="auto"/>
            <w:u w:val="none"/>
            <w:lang w:val="es-ES_tradnl"/>
          </w:rPr>
          <w:noBreakHyphen/>
          <w:t>R BS.1770</w:t>
        </w:r>
      </w:hyperlink>
      <w:r w:rsidRPr="005645E4">
        <w:rPr>
          <w:lang w:val="es-ES_tradnl"/>
        </w:rPr>
        <w:t>;</w:t>
      </w:r>
    </w:p>
    <w:p w14:paraId="5C9F9B0D" w14:textId="6DF153D7" w:rsidR="00CF7501" w:rsidRPr="005645E4" w:rsidRDefault="00CF7501" w:rsidP="00CF7501">
      <w:pPr>
        <w:rPr>
          <w:lang w:val="es-ES_tradnl"/>
        </w:rPr>
      </w:pPr>
      <w:r w:rsidRPr="00047983">
        <w:rPr>
          <w:bCs/>
          <w:lang w:val="es-ES_tradnl"/>
        </w:rPr>
        <w:t>2</w:t>
      </w:r>
      <w:r w:rsidRPr="00047983">
        <w:rPr>
          <w:bCs/>
          <w:lang w:val="es-ES_tradnl"/>
        </w:rPr>
        <w:tab/>
      </w:r>
      <w:r w:rsidRPr="005645E4">
        <w:rPr>
          <w:lang w:val="es-ES_tradnl"/>
        </w:rPr>
        <w:t xml:space="preserve">que para el intercambio internacional de programas de televisión digital, cuando se utilizan metadatos para indicar la sonoridad del programa, el valor de los metadatos corresponda a la sonoridad media de la mezcla completa del programa, o a la sonoridad media de la componente de diálogo normal, tomando entre ambos valores el que considere más apropiado el suministrador del programa (véase </w:t>
      </w:r>
      <w:r w:rsidR="00047983">
        <w:rPr>
          <w:lang w:val="es-ES_tradnl"/>
        </w:rPr>
        <w:t xml:space="preserve">la </w:t>
      </w:r>
      <w:r w:rsidRPr="005645E4">
        <w:rPr>
          <w:lang w:val="es-ES_tradnl"/>
        </w:rPr>
        <w:t>Nota 2);</w:t>
      </w:r>
    </w:p>
    <w:p w14:paraId="720C2FF0" w14:textId="77777777" w:rsidR="00CF7501" w:rsidRPr="005645E4" w:rsidRDefault="00CF7501" w:rsidP="00CF7501">
      <w:pPr>
        <w:rPr>
          <w:lang w:val="es-ES_tradnl"/>
        </w:rPr>
      </w:pPr>
      <w:r w:rsidRPr="00047983">
        <w:rPr>
          <w:bCs/>
          <w:lang w:val="es-ES_tradnl"/>
        </w:rPr>
        <w:t>3</w:t>
      </w:r>
      <w:r w:rsidRPr="00047983">
        <w:rPr>
          <w:bCs/>
          <w:lang w:val="es-ES_tradnl"/>
        </w:rPr>
        <w:tab/>
      </w:r>
      <w:r w:rsidRPr="005645E4">
        <w:rPr>
          <w:lang w:val="es-ES_tradnl"/>
        </w:rPr>
        <w:t>que para el intercambio internacional de programas de televisión, cuando no se utilizan metadatos para indicar la sonoridad del programa, la medición de la sonoridad media se realice sobre la mezcla completa del programa, o sobre la componente de diálogo normal, tomando entre ambos valores el que considere más adecuado el suministrador del programa;</w:t>
      </w:r>
    </w:p>
    <w:p w14:paraId="589811CE" w14:textId="040EDA31" w:rsidR="00CF7501" w:rsidRPr="005645E4" w:rsidRDefault="00CF7501" w:rsidP="00CF7501">
      <w:pPr>
        <w:rPr>
          <w:lang w:val="es-ES_tradnl"/>
        </w:rPr>
      </w:pPr>
      <w:r w:rsidRPr="00047983">
        <w:rPr>
          <w:bCs/>
          <w:lang w:val="es-ES_tradnl"/>
        </w:rPr>
        <w:t>4</w:t>
      </w:r>
      <w:r w:rsidRPr="00047983">
        <w:rPr>
          <w:bCs/>
          <w:lang w:val="es-ES_tradnl"/>
        </w:rPr>
        <w:tab/>
      </w:r>
      <w:r w:rsidRPr="005645E4">
        <w:rPr>
          <w:lang w:val="es-ES_tradnl"/>
        </w:rPr>
        <w:t xml:space="preserve">que para el intercambio internacional de programas de televisión, el valor objetivo de la sonoridad sea de </w:t>
      </w:r>
      <w:r w:rsidR="00047983" w:rsidRPr="00C33FAC">
        <w:t>−</w:t>
      </w:r>
      <w:r w:rsidRPr="005645E4">
        <w:rPr>
          <w:lang w:val="es-ES_tradnl"/>
        </w:rPr>
        <w:t>24 LKFS;</w:t>
      </w:r>
    </w:p>
    <w:p w14:paraId="5CF00358" w14:textId="77777777" w:rsidR="00CF7501" w:rsidRPr="005645E4" w:rsidRDefault="00CF7501" w:rsidP="00CF7501">
      <w:pPr>
        <w:rPr>
          <w:lang w:val="es-ES_tradnl"/>
        </w:rPr>
      </w:pPr>
      <w:r w:rsidRPr="00BE5236">
        <w:rPr>
          <w:lang w:val="es-ES_tradnl"/>
        </w:rPr>
        <w:t>5</w:t>
      </w:r>
      <w:r w:rsidRPr="00BE5236">
        <w:rPr>
          <w:lang w:val="es-ES_tradnl"/>
        </w:rPr>
        <w:tab/>
      </w:r>
      <w:r w:rsidRPr="005645E4">
        <w:rPr>
          <w:lang w:val="es-ES_tradnl"/>
        </w:rPr>
        <w:t>que la Nota 1 se considere parte integrante de la presente Recomendación,</w:t>
      </w:r>
    </w:p>
    <w:p w14:paraId="7EBD3C4E" w14:textId="77777777" w:rsidR="00CF7501" w:rsidRPr="00C3044A" w:rsidRDefault="00CF7501" w:rsidP="00CF7501">
      <w:pPr>
        <w:pStyle w:val="Call"/>
        <w:rPr>
          <w:lang w:val="es-ES_tradnl"/>
        </w:rPr>
      </w:pPr>
      <w:r w:rsidRPr="00C3044A">
        <w:rPr>
          <w:lang w:val="es-ES_tradnl"/>
        </w:rPr>
        <w:t xml:space="preserve">recomienda </w:t>
      </w:r>
      <w:r>
        <w:rPr>
          <w:lang w:val="es-ES_tradnl"/>
        </w:rPr>
        <w:t>además</w:t>
      </w:r>
    </w:p>
    <w:p w14:paraId="3CBF6769" w14:textId="77777777" w:rsidR="00CF7501" w:rsidRPr="00C3044A" w:rsidRDefault="00CF7501" w:rsidP="00CF7501">
      <w:pPr>
        <w:rPr>
          <w:lang w:val="es-ES_tradnl"/>
        </w:rPr>
      </w:pPr>
      <w:r w:rsidRPr="00BE5236">
        <w:rPr>
          <w:bCs/>
          <w:lang w:val="es-ES_tradnl"/>
        </w:rPr>
        <w:t>1</w:t>
      </w:r>
      <w:r w:rsidRPr="00BE5236">
        <w:rPr>
          <w:bCs/>
          <w:lang w:val="es-ES_tradnl"/>
        </w:rPr>
        <w:tab/>
      </w:r>
      <w:r w:rsidRPr="00C3044A">
        <w:rPr>
          <w:lang w:val="es-ES_tradnl"/>
        </w:rPr>
        <w:t>que prevean variaciones de hasta 2</w:t>
      </w:r>
      <w:r>
        <w:rPr>
          <w:lang w:val="es-ES_tradnl"/>
        </w:rPr>
        <w:t> </w:t>
      </w:r>
      <w:r w:rsidRPr="00C3044A">
        <w:rPr>
          <w:lang w:val="es-ES_tradnl"/>
        </w:rPr>
        <w:t xml:space="preserve">dB en la sonoridad medida y, debido a la «zona de confort» mencionada en el </w:t>
      </w:r>
      <w:r w:rsidRPr="00C3044A">
        <w:rPr>
          <w:i/>
          <w:lang w:val="es-ES_tradnl"/>
        </w:rPr>
        <w:t>considerando</w:t>
      </w:r>
      <w:r>
        <w:rPr>
          <w:lang w:val="es-ES_tradnl"/>
        </w:rPr>
        <w:t> </w:t>
      </w:r>
      <w:r w:rsidRPr="00C8048D">
        <w:rPr>
          <w:i/>
          <w:iCs/>
          <w:lang w:val="es-ES_tradnl"/>
        </w:rPr>
        <w:t>c)</w:t>
      </w:r>
      <w:r w:rsidRPr="00C3044A">
        <w:rPr>
          <w:lang w:val="es-ES_tradnl"/>
        </w:rPr>
        <w:t>, dichas variaciones se consideren aceptables siempre que no haya funcionamiento coherente en cada extremo;</w:t>
      </w:r>
    </w:p>
    <w:p w14:paraId="15EEF05A" w14:textId="77777777" w:rsidR="00CF7501" w:rsidRPr="00C3044A" w:rsidRDefault="00CF7501" w:rsidP="00CF7501">
      <w:pPr>
        <w:rPr>
          <w:lang w:val="es-ES_tradnl"/>
        </w:rPr>
      </w:pPr>
      <w:r w:rsidRPr="00BE5236">
        <w:rPr>
          <w:bCs/>
          <w:lang w:val="es-ES_tradnl"/>
        </w:rPr>
        <w:t>2</w:t>
      </w:r>
      <w:r w:rsidRPr="00BE5236">
        <w:rPr>
          <w:bCs/>
          <w:lang w:val="es-ES_tradnl"/>
        </w:rPr>
        <w:tab/>
      </w:r>
      <w:r w:rsidRPr="00C3044A">
        <w:rPr>
          <w:lang w:val="es-ES_tradnl"/>
        </w:rPr>
        <w:t>que se tenga debidamente en cuenta el hecho de que puede haber ocasiones en que es necesario o conveniente apartarse de las disposiciones de la presente Recomendación por varias razones, tales como supresión de requisitos creativos, programas tradicionales o la necesidad de adaptar la sonoridad de grabaciones de audio con una fuerte comprensión.</w:t>
      </w:r>
    </w:p>
    <w:p w14:paraId="0A8771EF" w14:textId="77777777" w:rsidR="00CF7501" w:rsidRPr="00C3044A" w:rsidRDefault="00CF7501" w:rsidP="00CF7501">
      <w:pPr>
        <w:rPr>
          <w:szCs w:val="22"/>
          <w:lang w:val="es-ES_tradnl"/>
        </w:rPr>
      </w:pPr>
      <w:r w:rsidRPr="00C3044A">
        <w:rPr>
          <w:szCs w:val="22"/>
          <w:lang w:val="es-ES_tradnl"/>
        </w:rPr>
        <w:t>NOTA 1 – Un diálogo «normal» es aqu</w:t>
      </w:r>
      <w:r>
        <w:rPr>
          <w:szCs w:val="22"/>
          <w:lang w:val="es-ES_tradnl"/>
        </w:rPr>
        <w:t>e</w:t>
      </w:r>
      <w:r w:rsidRPr="00C3044A">
        <w:rPr>
          <w:szCs w:val="22"/>
          <w:lang w:val="es-ES_tradnl"/>
        </w:rPr>
        <w:t>l en que se habla con un nivel normal de voz; es decir, ni chillando ni con susurros</w:t>
      </w:r>
      <w:r>
        <w:rPr>
          <w:szCs w:val="22"/>
          <w:lang w:val="es-ES_tradnl"/>
        </w:rPr>
        <w:t>.</w:t>
      </w:r>
      <w:r w:rsidRPr="00C3044A">
        <w:rPr>
          <w:szCs w:val="22"/>
          <w:lang w:val="es-ES_tradnl"/>
        </w:rPr>
        <w:t xml:space="preserve"> </w:t>
      </w:r>
    </w:p>
    <w:p w14:paraId="092A8B02" w14:textId="77777777" w:rsidR="00CF7501" w:rsidRPr="00C3044A" w:rsidRDefault="00CF7501" w:rsidP="00CF7501">
      <w:pPr>
        <w:rPr>
          <w:lang w:val="es-ES_tradnl"/>
        </w:rPr>
      </w:pPr>
      <w:r w:rsidRPr="00C3044A">
        <w:rPr>
          <w:szCs w:val="22"/>
          <w:lang w:val="es-ES_tradnl"/>
        </w:rPr>
        <w:t>NOTA 2 –</w:t>
      </w:r>
      <w:r>
        <w:rPr>
          <w:szCs w:val="22"/>
          <w:lang w:val="es-ES_tradnl"/>
        </w:rPr>
        <w:t> En esta Recomendación, el término «suministrador del programa» se refiere a la entidad que detenta los derechos de propiedad intelectual de un determinado programa, o a la empresa a la que el titular de los derechos de propiedad intelectual ha autorizado a distribuir los programas a los radiodifusores</w:t>
      </w:r>
      <w:r w:rsidRPr="00C3044A">
        <w:rPr>
          <w:szCs w:val="22"/>
          <w:lang w:val="es-ES_tradnl"/>
        </w:rPr>
        <w:t>.</w:t>
      </w:r>
      <w:r>
        <w:rPr>
          <w:szCs w:val="22"/>
          <w:lang w:val="es-ES_tradnl"/>
        </w:rPr>
        <w:t xml:space="preserve"> Por su parte, los radiodifusores ensamblan el programa con otros programas en sus programaciones para distribución a sus audiencias.</w:t>
      </w:r>
    </w:p>
    <w:p w14:paraId="708593CC" w14:textId="77777777" w:rsidR="00B874C6" w:rsidRDefault="00B874C6" w:rsidP="00B874C6"/>
    <w:p w14:paraId="4F83DEA3" w14:textId="77777777" w:rsidR="00B874C6" w:rsidRPr="00CF7501" w:rsidRDefault="00B874C6" w:rsidP="00B874C6">
      <w:pPr>
        <w:pStyle w:val="Line"/>
        <w:rPr>
          <w:lang w:val="es-ES"/>
        </w:rPr>
      </w:pPr>
    </w:p>
    <w:sectPr w:rsidR="00B874C6" w:rsidRPr="00CF7501" w:rsidSect="007565CC">
      <w:footerReference w:type="default" r:id="rId20"/>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F309E" w14:textId="77777777" w:rsidR="00CF7501" w:rsidRDefault="00CF7501">
      <w:r>
        <w:separator/>
      </w:r>
    </w:p>
  </w:endnote>
  <w:endnote w:type="continuationSeparator" w:id="0">
    <w:p w14:paraId="2E47E8B4" w14:textId="77777777" w:rsidR="00CF7501" w:rsidRDefault="00CF7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42CB7" w14:textId="77777777" w:rsidR="00301DB3" w:rsidRDefault="00301DB3">
    <w:pPr>
      <w:pStyle w:val="Footer"/>
    </w:pPr>
    <w:r>
      <w:drawing>
        <wp:anchor distT="0" distB="0" distL="0" distR="0" simplePos="0" relativeHeight="251656192" behindDoc="0" locked="0" layoutInCell="1" allowOverlap="1" wp14:anchorId="5697903E" wp14:editId="0F8586B9">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16CA4"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0F1DA" w14:textId="77777777" w:rsidR="00CF7501" w:rsidRDefault="00CF7501">
      <w:r>
        <w:separator/>
      </w:r>
    </w:p>
  </w:footnote>
  <w:footnote w:type="continuationSeparator" w:id="0">
    <w:p w14:paraId="139E7BDF" w14:textId="77777777" w:rsidR="00CF7501" w:rsidRDefault="00CF7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6B85D"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915"/>
    </w:tblGrid>
    <w:tr w:rsidR="005B0371" w:rsidRPr="00A239D1" w14:paraId="362CF8D0" w14:textId="77777777" w:rsidTr="0019307B">
      <w:tc>
        <w:tcPr>
          <w:tcW w:w="4634" w:type="dxa"/>
          <w:vAlign w:val="center"/>
        </w:tcPr>
        <w:p w14:paraId="090F3B5A"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28649821"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Uni</w:t>
          </w:r>
          <w:r w:rsidR="00AF14E7">
            <w:rPr>
              <w:rFonts w:asciiTheme="minorBidi" w:hAnsiTheme="minorBidi"/>
              <w:b/>
              <w:spacing w:val="4"/>
              <w:szCs w:val="24"/>
            </w:rPr>
            <w:t>ó</w:t>
          </w:r>
          <w:r w:rsidRPr="00260B24">
            <w:rPr>
              <w:rFonts w:asciiTheme="minorBidi" w:hAnsiTheme="minorBidi"/>
              <w:b/>
              <w:spacing w:val="4"/>
              <w:szCs w:val="24"/>
            </w:rPr>
            <w:t>n</w:t>
          </w:r>
          <w:r w:rsidR="00A25EE2">
            <w:rPr>
              <w:rFonts w:asciiTheme="minorBidi" w:hAnsiTheme="minorBidi"/>
              <w:b/>
              <w:spacing w:val="4"/>
              <w:szCs w:val="24"/>
            </w:rPr>
            <w:t xml:space="preserve"> </w:t>
          </w:r>
          <w:r w:rsidR="00AF14E7">
            <w:rPr>
              <w:rFonts w:asciiTheme="minorBidi" w:hAnsiTheme="minorBidi"/>
              <w:b/>
              <w:spacing w:val="4"/>
              <w:szCs w:val="24"/>
            </w:rPr>
            <w:t>I</w:t>
          </w:r>
          <w:r w:rsidR="00A25EE2" w:rsidRPr="00260B24">
            <w:rPr>
              <w:rFonts w:asciiTheme="minorBidi" w:hAnsiTheme="minorBidi"/>
              <w:b/>
              <w:spacing w:val="4"/>
              <w:szCs w:val="24"/>
            </w:rPr>
            <w:t>nterna</w:t>
          </w:r>
          <w:r w:rsidR="0069322D">
            <w:rPr>
              <w:rFonts w:asciiTheme="minorBidi" w:hAnsiTheme="minorBidi"/>
              <w:b/>
              <w:spacing w:val="4"/>
              <w:szCs w:val="24"/>
            </w:rPr>
            <w:t>c</w:t>
          </w:r>
          <w:r w:rsidR="00A25EE2" w:rsidRPr="00260B24">
            <w:rPr>
              <w:rFonts w:asciiTheme="minorBidi" w:hAnsiTheme="minorBidi"/>
              <w:b/>
              <w:spacing w:val="4"/>
              <w:szCs w:val="24"/>
            </w:rPr>
            <w:t xml:space="preserve">ional </w:t>
          </w:r>
          <w:r w:rsidR="00A25EE2">
            <w:rPr>
              <w:rFonts w:asciiTheme="minorBidi" w:hAnsiTheme="minorBidi"/>
              <w:b/>
              <w:spacing w:val="4"/>
              <w:szCs w:val="24"/>
            </w:rPr>
            <w:t xml:space="preserve">de </w:t>
          </w:r>
          <w:r w:rsidR="0069322D">
            <w:rPr>
              <w:rFonts w:asciiTheme="minorBidi" w:hAnsiTheme="minorBidi"/>
              <w:b/>
              <w:spacing w:val="4"/>
              <w:szCs w:val="24"/>
            </w:rPr>
            <w:t>Te</w:t>
          </w:r>
          <w:r w:rsidR="00A25EE2" w:rsidRPr="00260B24">
            <w:rPr>
              <w:rFonts w:asciiTheme="minorBidi" w:hAnsiTheme="minorBidi"/>
              <w:b/>
              <w:spacing w:val="4"/>
              <w:szCs w:val="24"/>
            </w:rPr>
            <w:t>l</w:t>
          </w:r>
          <w:r w:rsidR="0069322D">
            <w:rPr>
              <w:rFonts w:asciiTheme="minorBidi" w:hAnsiTheme="minorBidi"/>
              <w:b/>
              <w:spacing w:val="4"/>
              <w:szCs w:val="24"/>
            </w:rPr>
            <w:t>e</w:t>
          </w:r>
          <w:r w:rsidR="00A25EE2" w:rsidRPr="00260B24">
            <w:rPr>
              <w:rFonts w:asciiTheme="minorBidi" w:hAnsiTheme="minorBidi"/>
              <w:b/>
              <w:spacing w:val="4"/>
              <w:szCs w:val="24"/>
            </w:rPr>
            <w:t>comunica</w:t>
          </w:r>
          <w:r w:rsidR="0069322D">
            <w:rPr>
              <w:rFonts w:asciiTheme="minorBidi" w:hAnsiTheme="minorBidi"/>
              <w:b/>
              <w:spacing w:val="4"/>
              <w:szCs w:val="24"/>
            </w:rPr>
            <w:t>c</w:t>
          </w:r>
          <w:r w:rsidR="00A25EE2" w:rsidRPr="00260B24">
            <w:rPr>
              <w:rFonts w:asciiTheme="minorBidi" w:hAnsiTheme="minorBidi"/>
              <w:b/>
              <w:spacing w:val="4"/>
              <w:szCs w:val="24"/>
            </w:rPr>
            <w:t>ion</w:t>
          </w:r>
          <w:r w:rsidR="0069322D">
            <w:rPr>
              <w:rFonts w:asciiTheme="minorBidi" w:hAnsiTheme="minorBidi"/>
              <w:b/>
              <w:spacing w:val="4"/>
              <w:szCs w:val="24"/>
            </w:rPr>
            <w:t>e</w:t>
          </w:r>
          <w:r w:rsidR="00A25EE2">
            <w:rPr>
              <w:rFonts w:asciiTheme="minorBidi" w:hAnsiTheme="minorBidi"/>
              <w:b/>
              <w:spacing w:val="4"/>
              <w:szCs w:val="24"/>
            </w:rPr>
            <w:t>s</w:t>
          </w:r>
        </w:p>
      </w:tc>
    </w:tr>
    <w:tr w:rsidR="005B0371" w:rsidRPr="00A239D1" w14:paraId="42F5E116" w14:textId="77777777" w:rsidTr="0019307B">
      <w:tc>
        <w:tcPr>
          <w:tcW w:w="4634" w:type="dxa"/>
          <w:vAlign w:val="center"/>
        </w:tcPr>
        <w:p w14:paraId="765220B2"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w:t>
          </w:r>
          <w:r w:rsidR="0069322D">
            <w:rPr>
              <w:rFonts w:asciiTheme="minorBidi" w:hAnsiTheme="minorBidi"/>
              <w:spacing w:val="4"/>
              <w:szCs w:val="24"/>
            </w:rPr>
            <w:t>e</w:t>
          </w:r>
          <w:r w:rsidRPr="00260B24">
            <w:rPr>
              <w:rFonts w:asciiTheme="minorBidi" w:hAnsiTheme="minorBidi"/>
              <w:spacing w:val="4"/>
              <w:szCs w:val="24"/>
            </w:rPr>
            <w:t>nda</w:t>
          </w:r>
          <w:r w:rsidR="0069322D">
            <w:rPr>
              <w:rFonts w:asciiTheme="minorBidi" w:hAnsiTheme="minorBidi"/>
              <w:spacing w:val="4"/>
              <w:szCs w:val="24"/>
            </w:rPr>
            <w:t>c</w:t>
          </w:r>
          <w:r w:rsidRPr="00260B24">
            <w:rPr>
              <w:rFonts w:asciiTheme="minorBidi" w:hAnsiTheme="minorBidi"/>
              <w:spacing w:val="4"/>
              <w:szCs w:val="24"/>
            </w:rPr>
            <w:t>i</w:t>
          </w:r>
          <w:r w:rsidR="0069322D">
            <w:rPr>
              <w:rFonts w:asciiTheme="minorBidi" w:hAnsiTheme="minorBidi"/>
              <w:spacing w:val="4"/>
              <w:szCs w:val="24"/>
            </w:rPr>
            <w:t>o</w:t>
          </w:r>
          <w:r w:rsidRPr="00260B24">
            <w:rPr>
              <w:rFonts w:asciiTheme="minorBidi" w:hAnsiTheme="minorBidi"/>
              <w:spacing w:val="4"/>
              <w:szCs w:val="24"/>
            </w:rPr>
            <w:t>n</w:t>
          </w:r>
          <w:r w:rsidR="0069322D">
            <w:rPr>
              <w:rFonts w:asciiTheme="minorBidi" w:hAnsiTheme="minorBidi"/>
              <w:spacing w:val="4"/>
              <w:szCs w:val="24"/>
            </w:rPr>
            <w:t>e</w:t>
          </w:r>
          <w:r w:rsidR="004A6FEB" w:rsidRPr="00260B24">
            <w:rPr>
              <w:rFonts w:asciiTheme="minorBidi" w:hAnsiTheme="minorBidi"/>
              <w:spacing w:val="4"/>
              <w:szCs w:val="24"/>
            </w:rPr>
            <w:t>s</w:t>
          </w:r>
        </w:p>
      </w:tc>
      <w:tc>
        <w:tcPr>
          <w:tcW w:w="5998" w:type="dxa"/>
          <w:vAlign w:val="center"/>
        </w:tcPr>
        <w:p w14:paraId="47BD4466" w14:textId="77777777" w:rsidR="00EE47C4" w:rsidRPr="00260B24" w:rsidRDefault="00A25EE2" w:rsidP="00744F8B">
          <w:pPr>
            <w:pStyle w:val="Header"/>
            <w:jc w:val="right"/>
            <w:rPr>
              <w:rFonts w:asciiTheme="minorBidi" w:hAnsiTheme="minorBidi"/>
              <w:spacing w:val="4"/>
              <w:szCs w:val="24"/>
            </w:rPr>
          </w:pPr>
          <w:r>
            <w:rPr>
              <w:rFonts w:asciiTheme="minorBidi" w:hAnsiTheme="minorBidi"/>
              <w:spacing w:val="4"/>
              <w:szCs w:val="24"/>
            </w:rPr>
            <w:t>Sect</w:t>
          </w:r>
          <w:r w:rsidR="0069322D">
            <w:rPr>
              <w:rFonts w:asciiTheme="minorBidi" w:hAnsiTheme="minorBidi"/>
              <w:spacing w:val="4"/>
              <w:szCs w:val="24"/>
            </w:rPr>
            <w:t>o</w:t>
          </w:r>
          <w:r>
            <w:rPr>
              <w:rFonts w:asciiTheme="minorBidi" w:hAnsiTheme="minorBidi"/>
              <w:spacing w:val="4"/>
              <w:szCs w:val="24"/>
            </w:rPr>
            <w:t xml:space="preserve">r de </w:t>
          </w:r>
          <w:r w:rsidR="00EE47C4" w:rsidRPr="00260B24">
            <w:rPr>
              <w:rFonts w:asciiTheme="minorBidi" w:hAnsiTheme="minorBidi"/>
              <w:spacing w:val="4"/>
              <w:szCs w:val="24"/>
            </w:rPr>
            <w:t>Radiocomunica</w:t>
          </w:r>
          <w:r w:rsidR="0069322D">
            <w:rPr>
              <w:rFonts w:asciiTheme="minorBidi" w:hAnsiTheme="minorBidi"/>
              <w:spacing w:val="4"/>
              <w:szCs w:val="24"/>
            </w:rPr>
            <w:t>c</w:t>
          </w:r>
          <w:r w:rsidR="00EE47C4" w:rsidRPr="00260B24">
            <w:rPr>
              <w:rFonts w:asciiTheme="minorBidi" w:hAnsiTheme="minorBidi"/>
              <w:spacing w:val="4"/>
              <w:szCs w:val="24"/>
            </w:rPr>
            <w:t>ion</w:t>
          </w:r>
          <w:r w:rsidR="0069322D">
            <w:rPr>
              <w:rFonts w:asciiTheme="minorBidi" w:hAnsiTheme="minorBidi"/>
              <w:spacing w:val="4"/>
              <w:szCs w:val="24"/>
            </w:rPr>
            <w:t>e</w:t>
          </w:r>
          <w:r>
            <w:rPr>
              <w:rFonts w:asciiTheme="minorBidi" w:hAnsiTheme="minorBidi"/>
              <w:spacing w:val="4"/>
              <w:szCs w:val="24"/>
            </w:rPr>
            <w:t>s</w:t>
          </w:r>
        </w:p>
      </w:tc>
    </w:tr>
  </w:tbl>
  <w:p w14:paraId="6DC8CF46" w14:textId="77777777" w:rsidR="00EE47C4" w:rsidRDefault="0069322D"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3C790893" wp14:editId="0A4AD469">
          <wp:simplePos x="0" y="0"/>
          <wp:positionH relativeFrom="column">
            <wp:posOffset>-252095</wp:posOffset>
          </wp:positionH>
          <wp:positionV relativeFrom="paragraph">
            <wp:posOffset>-562165</wp:posOffset>
          </wp:positionV>
          <wp:extent cx="1781299" cy="383901"/>
          <wp:effectExtent l="0" t="0" r="0" b="0"/>
          <wp:wrapNone/>
          <wp:docPr id="7" name="Picture 7" descr="ITU Publicacio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TU Publicacion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299" cy="383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73C36DEC" wp14:editId="2B5CF644">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33F1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4BC498CE"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2860482D" wp14:editId="10BDA60A">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C6AABA"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A79D1" w14:textId="26453778"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F111D6">
      <w:rPr>
        <w:rStyle w:val="PageNumber"/>
        <w:b/>
        <w:bCs/>
        <w:lang w:val="en-GB"/>
      </w:rPr>
      <w:t>ii</w:t>
    </w:r>
    <w:r>
      <w:rPr>
        <w:rStyle w:val="PageNumber"/>
        <w:b/>
        <w:bCs/>
      </w:rPr>
      <w:fldChar w:fldCharType="end"/>
    </w:r>
    <w:r>
      <w:rPr>
        <w:lang w:val="en-US"/>
      </w:rPr>
      <w:tab/>
    </w:r>
    <w:r w:rsidR="00CF7501" w:rsidRPr="00434D6F">
      <w:rPr>
        <w:b/>
        <w:bCs/>
        <w:lang w:val="en-US"/>
      </w:rPr>
      <w:t>Rec.</w:t>
    </w:r>
    <w:r w:rsidR="00CF7501">
      <w:rPr>
        <w:b/>
        <w:bCs/>
        <w:lang w:val="en-US"/>
      </w:rPr>
      <w:t xml:space="preserve">  </w:t>
    </w:r>
    <w:r w:rsidR="00CF7501" w:rsidRPr="003C38C1">
      <w:rPr>
        <w:b/>
        <w:bCs/>
        <w:lang w:val="en-US"/>
      </w:rPr>
      <w:t>UIT-R BS.1864-1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02604" w14:textId="091D765A" w:rsidR="001B164E" w:rsidRDefault="001B164E">
    <w:pPr>
      <w:pStyle w:val="Header"/>
    </w:pPr>
    <w:r>
      <w:tab/>
    </w:r>
    <w:r w:rsidR="00CF7501" w:rsidRPr="00434D6F">
      <w:rPr>
        <w:b/>
        <w:bCs/>
        <w:lang w:val="en-US"/>
      </w:rPr>
      <w:t>Rec.</w:t>
    </w:r>
    <w:r w:rsidR="00CF7501">
      <w:rPr>
        <w:b/>
        <w:bCs/>
        <w:lang w:val="en-US"/>
      </w:rPr>
      <w:t xml:space="preserve">  </w:t>
    </w:r>
    <w:r w:rsidR="00CF7501" w:rsidRPr="003C38C1">
      <w:rPr>
        <w:b/>
        <w:bCs/>
        <w:lang w:val="en-US"/>
      </w:rPr>
      <w:t>UIT-R BS.1864-1</w:t>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5482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501"/>
    <w:rsid w:val="00013002"/>
    <w:rsid w:val="00017ACD"/>
    <w:rsid w:val="00036EE3"/>
    <w:rsid w:val="00047983"/>
    <w:rsid w:val="00072484"/>
    <w:rsid w:val="00095530"/>
    <w:rsid w:val="00096612"/>
    <w:rsid w:val="000A4A32"/>
    <w:rsid w:val="000B1B2B"/>
    <w:rsid w:val="000B7683"/>
    <w:rsid w:val="000D0677"/>
    <w:rsid w:val="000E0548"/>
    <w:rsid w:val="000E6A6E"/>
    <w:rsid w:val="00102934"/>
    <w:rsid w:val="00147110"/>
    <w:rsid w:val="001511A6"/>
    <w:rsid w:val="00171C4D"/>
    <w:rsid w:val="0017562F"/>
    <w:rsid w:val="0019307B"/>
    <w:rsid w:val="001B0927"/>
    <w:rsid w:val="001B164E"/>
    <w:rsid w:val="001B7886"/>
    <w:rsid w:val="001F38BB"/>
    <w:rsid w:val="002058CE"/>
    <w:rsid w:val="002165F1"/>
    <w:rsid w:val="00233211"/>
    <w:rsid w:val="00260B24"/>
    <w:rsid w:val="0027411A"/>
    <w:rsid w:val="00276D21"/>
    <w:rsid w:val="00282DCF"/>
    <w:rsid w:val="00290741"/>
    <w:rsid w:val="00296D7F"/>
    <w:rsid w:val="002A5D45"/>
    <w:rsid w:val="002B3CF6"/>
    <w:rsid w:val="002B3E59"/>
    <w:rsid w:val="002C768A"/>
    <w:rsid w:val="002D0BD7"/>
    <w:rsid w:val="002D76C4"/>
    <w:rsid w:val="002F5199"/>
    <w:rsid w:val="00301DB3"/>
    <w:rsid w:val="00305119"/>
    <w:rsid w:val="003157F1"/>
    <w:rsid w:val="00346EC2"/>
    <w:rsid w:val="00356B5D"/>
    <w:rsid w:val="00357707"/>
    <w:rsid w:val="0036627C"/>
    <w:rsid w:val="003E5516"/>
    <w:rsid w:val="003F4B75"/>
    <w:rsid w:val="00420DFD"/>
    <w:rsid w:val="00425BC7"/>
    <w:rsid w:val="00437A76"/>
    <w:rsid w:val="004604B2"/>
    <w:rsid w:val="00470E28"/>
    <w:rsid w:val="0047379B"/>
    <w:rsid w:val="00474170"/>
    <w:rsid w:val="00477729"/>
    <w:rsid w:val="004842E2"/>
    <w:rsid w:val="00486EB3"/>
    <w:rsid w:val="004934C5"/>
    <w:rsid w:val="004A6FEB"/>
    <w:rsid w:val="004E61FF"/>
    <w:rsid w:val="005373E0"/>
    <w:rsid w:val="00556548"/>
    <w:rsid w:val="00566FC3"/>
    <w:rsid w:val="00571B1C"/>
    <w:rsid w:val="00576D47"/>
    <w:rsid w:val="00586EF8"/>
    <w:rsid w:val="005B0371"/>
    <w:rsid w:val="005B49AB"/>
    <w:rsid w:val="005B50E7"/>
    <w:rsid w:val="005C4BAB"/>
    <w:rsid w:val="005E12A5"/>
    <w:rsid w:val="005E69F0"/>
    <w:rsid w:val="005E7B4F"/>
    <w:rsid w:val="005F003B"/>
    <w:rsid w:val="005F2E73"/>
    <w:rsid w:val="00601882"/>
    <w:rsid w:val="00607D68"/>
    <w:rsid w:val="00613212"/>
    <w:rsid w:val="006149B1"/>
    <w:rsid w:val="00616FAF"/>
    <w:rsid w:val="00640332"/>
    <w:rsid w:val="00680D2B"/>
    <w:rsid w:val="00681B32"/>
    <w:rsid w:val="0069322D"/>
    <w:rsid w:val="00697887"/>
    <w:rsid w:val="006B1D2B"/>
    <w:rsid w:val="006C37D5"/>
    <w:rsid w:val="006E1131"/>
    <w:rsid w:val="006E2037"/>
    <w:rsid w:val="006E6199"/>
    <w:rsid w:val="00712870"/>
    <w:rsid w:val="00714AC0"/>
    <w:rsid w:val="0074147D"/>
    <w:rsid w:val="00743D85"/>
    <w:rsid w:val="00744F8B"/>
    <w:rsid w:val="00747D6E"/>
    <w:rsid w:val="00753CF4"/>
    <w:rsid w:val="007565CC"/>
    <w:rsid w:val="007624B1"/>
    <w:rsid w:val="00763B9A"/>
    <w:rsid w:val="007A6AA8"/>
    <w:rsid w:val="007B1357"/>
    <w:rsid w:val="007B3343"/>
    <w:rsid w:val="008310C9"/>
    <w:rsid w:val="008335F0"/>
    <w:rsid w:val="00834306"/>
    <w:rsid w:val="00842737"/>
    <w:rsid w:val="00853CC5"/>
    <w:rsid w:val="00877E6E"/>
    <w:rsid w:val="008B083A"/>
    <w:rsid w:val="008C7848"/>
    <w:rsid w:val="008D7652"/>
    <w:rsid w:val="008F775E"/>
    <w:rsid w:val="00906589"/>
    <w:rsid w:val="00906AD6"/>
    <w:rsid w:val="00912376"/>
    <w:rsid w:val="00917AF2"/>
    <w:rsid w:val="0092418A"/>
    <w:rsid w:val="00934ED7"/>
    <w:rsid w:val="00940D16"/>
    <w:rsid w:val="009543C3"/>
    <w:rsid w:val="00966E1B"/>
    <w:rsid w:val="00972F51"/>
    <w:rsid w:val="00984A02"/>
    <w:rsid w:val="009947C0"/>
    <w:rsid w:val="009A4039"/>
    <w:rsid w:val="009A41F9"/>
    <w:rsid w:val="009D4BBD"/>
    <w:rsid w:val="009F2D2C"/>
    <w:rsid w:val="009F5580"/>
    <w:rsid w:val="00A03C0E"/>
    <w:rsid w:val="00A16BE1"/>
    <w:rsid w:val="00A239D1"/>
    <w:rsid w:val="00A25EE2"/>
    <w:rsid w:val="00A31928"/>
    <w:rsid w:val="00A35B27"/>
    <w:rsid w:val="00A507D4"/>
    <w:rsid w:val="00A5147A"/>
    <w:rsid w:val="00A62A14"/>
    <w:rsid w:val="00A6617B"/>
    <w:rsid w:val="00A71FE5"/>
    <w:rsid w:val="00A7534B"/>
    <w:rsid w:val="00A76007"/>
    <w:rsid w:val="00A86DD2"/>
    <w:rsid w:val="00A936CB"/>
    <w:rsid w:val="00A971A1"/>
    <w:rsid w:val="00AA3AD8"/>
    <w:rsid w:val="00AB0DC8"/>
    <w:rsid w:val="00AB405C"/>
    <w:rsid w:val="00AC015D"/>
    <w:rsid w:val="00AE698D"/>
    <w:rsid w:val="00AF0286"/>
    <w:rsid w:val="00AF14E7"/>
    <w:rsid w:val="00AF5326"/>
    <w:rsid w:val="00B019A2"/>
    <w:rsid w:val="00B0286E"/>
    <w:rsid w:val="00B033C8"/>
    <w:rsid w:val="00B111CE"/>
    <w:rsid w:val="00B33425"/>
    <w:rsid w:val="00B42334"/>
    <w:rsid w:val="00B44E24"/>
    <w:rsid w:val="00B54ECC"/>
    <w:rsid w:val="00B60AC0"/>
    <w:rsid w:val="00B714F3"/>
    <w:rsid w:val="00B75A52"/>
    <w:rsid w:val="00B874C6"/>
    <w:rsid w:val="00B87B6B"/>
    <w:rsid w:val="00B9169E"/>
    <w:rsid w:val="00B96572"/>
    <w:rsid w:val="00BA0290"/>
    <w:rsid w:val="00BB7886"/>
    <w:rsid w:val="00BC5D77"/>
    <w:rsid w:val="00BD4283"/>
    <w:rsid w:val="00BE5236"/>
    <w:rsid w:val="00BF487A"/>
    <w:rsid w:val="00BF5544"/>
    <w:rsid w:val="00C15F3E"/>
    <w:rsid w:val="00C46BD9"/>
    <w:rsid w:val="00C55258"/>
    <w:rsid w:val="00C73560"/>
    <w:rsid w:val="00C84DB7"/>
    <w:rsid w:val="00C87A35"/>
    <w:rsid w:val="00CB0F14"/>
    <w:rsid w:val="00CD659B"/>
    <w:rsid w:val="00CE0A43"/>
    <w:rsid w:val="00CF130D"/>
    <w:rsid w:val="00CF7501"/>
    <w:rsid w:val="00D00118"/>
    <w:rsid w:val="00D0483A"/>
    <w:rsid w:val="00D16749"/>
    <w:rsid w:val="00D5024B"/>
    <w:rsid w:val="00D61962"/>
    <w:rsid w:val="00D72623"/>
    <w:rsid w:val="00D83556"/>
    <w:rsid w:val="00DE5556"/>
    <w:rsid w:val="00DF4176"/>
    <w:rsid w:val="00E0095C"/>
    <w:rsid w:val="00E17240"/>
    <w:rsid w:val="00E27995"/>
    <w:rsid w:val="00E41149"/>
    <w:rsid w:val="00E74595"/>
    <w:rsid w:val="00E76944"/>
    <w:rsid w:val="00E77485"/>
    <w:rsid w:val="00EB1174"/>
    <w:rsid w:val="00EB1CB6"/>
    <w:rsid w:val="00EB7C57"/>
    <w:rsid w:val="00EC7898"/>
    <w:rsid w:val="00ED0449"/>
    <w:rsid w:val="00ED2695"/>
    <w:rsid w:val="00ED3CA8"/>
    <w:rsid w:val="00EE04BA"/>
    <w:rsid w:val="00EE47C4"/>
    <w:rsid w:val="00EF2D52"/>
    <w:rsid w:val="00F111D6"/>
    <w:rsid w:val="00F30C9B"/>
    <w:rsid w:val="00F354B1"/>
    <w:rsid w:val="00F354D7"/>
    <w:rsid w:val="00F6343F"/>
    <w:rsid w:val="00F72776"/>
    <w:rsid w:val="00F77360"/>
    <w:rsid w:val="00F80EBB"/>
    <w:rsid w:val="00F92A40"/>
    <w:rsid w:val="00FB0E4E"/>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384BEA1B"/>
  <w15:docId w15:val="{E1A3A62C-A25C-4592-95A1-71D2B85DF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741"/>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s-ES" w:eastAsia="en-US"/>
    </w:rPr>
  </w:style>
  <w:style w:type="paragraph" w:styleId="Heading1">
    <w:name w:val="heading 1"/>
    <w:basedOn w:val="Normal"/>
    <w:next w:val="Normal"/>
    <w:qFormat/>
    <w:rsid w:val="00A936CB"/>
    <w:pPr>
      <w:keepNext/>
      <w:keepLines/>
      <w:spacing w:before="480"/>
      <w:ind w:left="794" w:hanging="794"/>
      <w:outlineLvl w:val="0"/>
    </w:pPr>
    <w:rPr>
      <w:b/>
    </w:rPr>
  </w:style>
  <w:style w:type="paragraph" w:styleId="Heading2">
    <w:name w:val="heading 2"/>
    <w:basedOn w:val="Heading1"/>
    <w:next w:val="Normal"/>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rsid w:val="00A936CB"/>
    <w:pPr>
      <w:keepNext/>
      <w:keepLines/>
      <w:spacing w:before="480" w:after="80"/>
      <w:jc w:val="center"/>
    </w:pPr>
    <w:rPr>
      <w:b/>
      <w:sz w:val="28"/>
    </w:rPr>
  </w:style>
  <w:style w:type="paragraph" w:customStyle="1" w:styleId="Normalaftertitle">
    <w:name w:val="Normal_after_title"/>
    <w:basedOn w:val="Normal"/>
    <w:next w:val="Normal"/>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A936CB"/>
    <w:pPr>
      <w:spacing w:before="240"/>
    </w:pPr>
    <w:rPr>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A936CB"/>
    <w:pPr>
      <w:keepNext/>
      <w:spacing w:before="360" w:after="120"/>
      <w:jc w:val="center"/>
    </w:pPr>
  </w:style>
  <w:style w:type="paragraph" w:customStyle="1" w:styleId="Tabletext">
    <w:name w:val="Table_text"/>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A936CB"/>
    <w:pPr>
      <w:keepNext/>
      <w:keepLines/>
      <w:spacing w:before="480" w:after="80"/>
      <w:jc w:val="center"/>
    </w:pPr>
    <w:rPr>
      <w:caps/>
      <w:sz w:val="18"/>
    </w:rPr>
  </w:style>
  <w:style w:type="paragraph" w:customStyle="1" w:styleId="Figuretitle">
    <w:name w:val="Figure_title"/>
    <w:basedOn w:val="Normal"/>
    <w:next w:val="Figure"/>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basedOn w:val="DefaultParagraphFont"/>
    <w:semiHidden/>
    <w:rsid w:val="00A936CB"/>
    <w:rPr>
      <w:position w:val="6"/>
      <w:sz w:val="18"/>
    </w:rPr>
  </w:style>
  <w:style w:type="paragraph" w:styleId="FootnoteText">
    <w:name w:val="footnote text"/>
    <w:basedOn w:val="Normal"/>
    <w:semiHidden/>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semiHidden/>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rsid w:val="00A936CB"/>
    <w:pPr>
      <w:keepNext/>
      <w:spacing w:before="0" w:after="120"/>
      <w:jc w:val="center"/>
    </w:pPr>
    <w:rPr>
      <w:b/>
    </w:rPr>
  </w:style>
  <w:style w:type="paragraph" w:customStyle="1" w:styleId="Summary">
    <w:name w:val="Summary"/>
    <w:basedOn w:val="Normal"/>
    <w:next w:val="Normalaftertitle"/>
    <w:autoRedefine/>
    <w:rsid w:val="00047983"/>
    <w:pPr>
      <w:spacing w:after="480"/>
    </w:pPr>
    <w:rPr>
      <w:sz w:val="22"/>
      <w:lang w:val="es-ES_tradnl"/>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uiPriority w:val="99"/>
    <w:rsid w:val="00EE47C4"/>
    <w:rPr>
      <w:sz w:val="24"/>
      <w:lang w:val="fr-FR" w:eastAsia="en-US"/>
    </w:rPr>
  </w:style>
  <w:style w:type="table" w:styleId="TableGrid">
    <w:name w:val="Table Grid"/>
    <w:basedOn w:val="TableNormal"/>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CallChar">
    <w:name w:val="Call Char"/>
    <w:link w:val="Call"/>
    <w:rsid w:val="00CF7501"/>
    <w:rPr>
      <w:i/>
      <w:sz w:val="24"/>
      <w:lang w:val="es-ES" w:eastAsia="en-US"/>
    </w:rPr>
  </w:style>
  <w:style w:type="character" w:customStyle="1" w:styleId="RectitleChar">
    <w:name w:val="Rec_title Char"/>
    <w:link w:val="Rectitle"/>
    <w:locked/>
    <w:rsid w:val="00CF7501"/>
    <w:rPr>
      <w:b/>
      <w:sz w:val="28"/>
      <w:lang w:val="es-ES" w:eastAsia="en-US"/>
    </w:rPr>
  </w:style>
  <w:style w:type="character" w:customStyle="1" w:styleId="HeadingbChar">
    <w:name w:val="Heading_b Char"/>
    <w:basedOn w:val="DefaultParagraphFont"/>
    <w:link w:val="Headingb"/>
    <w:locked/>
    <w:rsid w:val="00CF7501"/>
    <w:rPr>
      <w:b/>
      <w:sz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s://www.itu.int/rec/R-REC-BS.1770/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yperlink" Target="https://www.itu.int/rec/R-REC-BS.1771/es" TargetMode="External"/><Relationship Id="rId2" Type="http://schemas.openxmlformats.org/officeDocument/2006/relationships/styles" Target="styles.xml"/><Relationship Id="rId16" Type="http://schemas.openxmlformats.org/officeDocument/2006/relationships/hyperlink" Target="https://www.itu.int/rec/R-REC-BS.1770/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l/R-REC/es" TargetMode="External"/><Relationship Id="rId5" Type="http://schemas.openxmlformats.org/officeDocument/2006/relationships/footnotes" Target="footnotes.xml"/><Relationship Id="rId15" Type="http://schemas.openxmlformats.org/officeDocument/2006/relationships/hyperlink" Target="https://www.itu.int/rec/R-REC-BS.1726/es" TargetMode="External"/><Relationship Id="rId10" Type="http://schemas.openxmlformats.org/officeDocument/2006/relationships/hyperlink" Target="http://www.itu.int/ITU-R/go/patents/es" TargetMode="External"/><Relationship Id="rId19" Type="http://schemas.openxmlformats.org/officeDocument/2006/relationships/hyperlink" Target="https://www.itu.int/rec/R-REC-BS.1770/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tu.int/pub/R-QUE-SG06.135"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Local\Temp\84db6b29-b30b-4d00-bcfb-099bdb51f7b7_Nueva%20carpeta%20comprimida%20(en%20zip).zip.7b7\2023-ITU-R_REC_BS_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2023-ITU-R_REC_BS_S.dotx</Template>
  <TotalTime>10</TotalTime>
  <Pages>4</Pages>
  <Words>1249</Words>
  <Characters>7031</Characters>
  <Application>Microsoft Office Word</Application>
  <DocSecurity>0</DocSecurity>
  <Lines>155</Lines>
  <Paragraphs>82</Paragraphs>
  <ScaleCrop>false</ScaleCrop>
  <HeadingPairs>
    <vt:vector size="2" baseType="variant">
      <vt:variant>
        <vt:lpstr>Title</vt:lpstr>
      </vt:variant>
      <vt:variant>
        <vt:i4>1</vt:i4>
      </vt:variant>
    </vt:vector>
  </HeadingPairs>
  <TitlesOfParts>
    <vt:vector size="1" baseType="lpstr">
      <vt:lpstr>Recomendación UIT-R BS.1864-1 (11/2023) - Prácticas operativas en materia de sonoridad en el intercambio internacional de programas de televisión digital  </vt:lpstr>
    </vt:vector>
  </TitlesOfParts>
  <Manager/>
  <Company>ITU</Company>
  <LinksUpToDate>false</LinksUpToDate>
  <CharactersWithSpaces>8206</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BS.1864-1 (11/2023) - Prácticas operativas en materia de sonoridad en el intercambio internacional de programas de televisión digital  </dc:title>
  <dc:subject>Serie BS = Servicio de radiodifusión (sonora)</dc:subject>
  <dc:creator>Oficina de Radiocomunicaciones del UIT (BR)</dc:creator>
  <cp:keywords/>
  <dc:description>Saez, 16.08.2024, ITU51017659</dc:description>
  <cp:lastModifiedBy>Saez Grau, Ricardo</cp:lastModifiedBy>
  <cp:revision>5</cp:revision>
  <cp:lastPrinted>2023-03-17T15:41:00Z</cp:lastPrinted>
  <dcterms:created xsi:type="dcterms:W3CDTF">2024-08-16T12:30:00Z</dcterms:created>
  <dcterms:modified xsi:type="dcterms:W3CDTF">2024-08-16T12:41:00Z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Spanish</vt:lpwstr>
  </property>
  <property fmtid="{D5CDD505-2E9C-101B-9397-08002B2CF9AE}" pid="10" name="Typist">
    <vt:lpwstr>Saez</vt:lpwstr>
  </property>
  <property fmtid="{D5CDD505-2E9C-101B-9397-08002B2CF9AE}" pid="11" name="Date completed">
    <vt:lpwstr>vendredi, 16 août 2024</vt:lpwstr>
  </property>
</Properties>
</file>