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B93" w:rsidRDefault="00773B93" w:rsidP="00773B93">
      <w:bookmarkStart w:id="0" w:name="_GoBack"/>
      <w:bookmarkEnd w:id="0"/>
    </w:p>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p w:rsidR="00773B93" w:rsidRDefault="00773B93" w:rsidP="00773B93"/>
    <w:tbl>
      <w:tblPr>
        <w:tblW w:w="10089" w:type="dxa"/>
        <w:tblLook w:val="01E0" w:firstRow="1" w:lastRow="1" w:firstColumn="1" w:lastColumn="1" w:noHBand="0" w:noVBand="0"/>
      </w:tblPr>
      <w:tblGrid>
        <w:gridCol w:w="10089"/>
      </w:tblGrid>
      <w:tr w:rsidR="00773B93" w:rsidRPr="00A443C2" w:rsidTr="00AC29F9">
        <w:tc>
          <w:tcPr>
            <w:tcW w:w="10089" w:type="dxa"/>
          </w:tcPr>
          <w:p w:rsidR="00773B93" w:rsidRPr="00B033C8" w:rsidRDefault="00773B93" w:rsidP="00AC29F9">
            <w:pPr>
              <w:spacing w:before="380" w:line="280" w:lineRule="exact"/>
              <w:jc w:val="right"/>
              <w:rPr>
                <w:rFonts w:ascii="Tahoma" w:hAnsi="Tahoma" w:cs="Tahoma"/>
                <w:b/>
                <w:bCs/>
                <w:iCs/>
                <w:color w:val="243285"/>
                <w:sz w:val="32"/>
                <w:szCs w:val="32"/>
                <w:lang w:val="en-US"/>
              </w:rPr>
            </w:pPr>
          </w:p>
          <w:p w:rsidR="00773B93" w:rsidRPr="00A443C2" w:rsidRDefault="00773B93" w:rsidP="00773B9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2032</w:t>
            </w:r>
          </w:p>
          <w:p w:rsidR="00773B93" w:rsidRPr="00A443C2" w:rsidRDefault="00773B93" w:rsidP="00773B9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773B93" w:rsidRPr="00F54FBD" w:rsidTr="00AC29F9">
        <w:tc>
          <w:tcPr>
            <w:tcW w:w="10089" w:type="dxa"/>
          </w:tcPr>
          <w:p w:rsidR="00773B93" w:rsidRDefault="00773B93" w:rsidP="00AC29F9">
            <w:pPr>
              <w:spacing w:before="80" w:line="500" w:lineRule="exact"/>
              <w:jc w:val="right"/>
              <w:rPr>
                <w:rFonts w:ascii="Tahoma" w:hAnsi="Tahoma" w:cs="Tahoma"/>
                <w:b/>
                <w:bCs/>
                <w:iCs/>
                <w:color w:val="243285"/>
                <w:sz w:val="44"/>
                <w:szCs w:val="44"/>
              </w:rPr>
            </w:pPr>
          </w:p>
          <w:p w:rsidR="00773B93" w:rsidRDefault="00773B93" w:rsidP="00773B9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Synchronisation de l'horloge des échantillons audionumériques sur les signaux de référence vidéo</w:t>
            </w:r>
          </w:p>
          <w:p w:rsidR="00773B93" w:rsidRPr="00F54FBD" w:rsidRDefault="00773B93" w:rsidP="00AC29F9">
            <w:pPr>
              <w:spacing w:before="80" w:line="500" w:lineRule="exact"/>
              <w:jc w:val="right"/>
              <w:rPr>
                <w:rFonts w:ascii="Tahoma" w:hAnsi="Tahoma" w:cs="Tahoma"/>
                <w:b/>
                <w:bCs/>
                <w:iCs/>
                <w:color w:val="243285"/>
                <w:sz w:val="44"/>
                <w:szCs w:val="44"/>
              </w:rPr>
            </w:pPr>
          </w:p>
        </w:tc>
      </w:tr>
      <w:tr w:rsidR="00773B93" w:rsidRPr="00F54FBD" w:rsidTr="00AC29F9">
        <w:tc>
          <w:tcPr>
            <w:tcW w:w="10089" w:type="dxa"/>
          </w:tcPr>
          <w:p w:rsidR="00773B93" w:rsidRPr="00F54FBD" w:rsidRDefault="00773B93" w:rsidP="00AC29F9">
            <w:pPr>
              <w:spacing w:before="80" w:line="280" w:lineRule="exact"/>
              <w:ind w:right="640"/>
              <w:rPr>
                <w:rFonts w:ascii="Tahoma" w:hAnsi="Tahoma" w:cs="Tahoma"/>
                <w:b/>
                <w:bCs/>
                <w:iCs/>
                <w:color w:val="243285"/>
                <w:sz w:val="32"/>
                <w:szCs w:val="32"/>
              </w:rPr>
            </w:pPr>
          </w:p>
          <w:p w:rsidR="00773B93" w:rsidRPr="00F54FBD" w:rsidRDefault="00773B93" w:rsidP="00AC29F9">
            <w:pPr>
              <w:spacing w:before="80" w:line="280" w:lineRule="exact"/>
              <w:ind w:right="640"/>
              <w:rPr>
                <w:rFonts w:ascii="Tahoma" w:hAnsi="Tahoma" w:cs="Tahoma"/>
                <w:b/>
                <w:bCs/>
                <w:iCs/>
                <w:color w:val="243285"/>
                <w:sz w:val="32"/>
                <w:szCs w:val="32"/>
              </w:rPr>
            </w:pPr>
          </w:p>
          <w:p w:rsidR="00773B93" w:rsidRPr="00F54FBD" w:rsidRDefault="00773B93" w:rsidP="00AC29F9">
            <w:pPr>
              <w:spacing w:before="80" w:after="180" w:line="360" w:lineRule="exact"/>
              <w:ind w:right="720"/>
              <w:rPr>
                <w:rFonts w:ascii="Tahoma" w:hAnsi="Tahoma" w:cs="Tahoma"/>
                <w:b/>
                <w:bCs/>
                <w:iCs/>
                <w:color w:val="243285"/>
                <w:sz w:val="36"/>
                <w:szCs w:val="36"/>
              </w:rPr>
            </w:pPr>
          </w:p>
          <w:p w:rsidR="00773B93" w:rsidRPr="00F54FBD" w:rsidRDefault="00773B93" w:rsidP="00AC29F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773B93" w:rsidRPr="00F54FBD" w:rsidRDefault="00773B93" w:rsidP="00AC29F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773B93" w:rsidRPr="00F54FBD" w:rsidRDefault="00773B93" w:rsidP="00773B93">
      <w:pPr>
        <w:spacing w:before="80"/>
        <w:rPr>
          <w:i/>
          <w:sz w:val="22"/>
        </w:rPr>
      </w:pPr>
    </w:p>
    <w:p w:rsidR="00773B93" w:rsidRPr="00F54FBD" w:rsidRDefault="00773B93" w:rsidP="00773B93">
      <w:pPr>
        <w:spacing w:before="80"/>
        <w:rPr>
          <w:i/>
          <w:sz w:val="22"/>
        </w:rPr>
      </w:pPr>
    </w:p>
    <w:p w:rsidR="00773B93" w:rsidRPr="00F54FBD" w:rsidRDefault="00773B93" w:rsidP="00773B93">
      <w:pPr>
        <w:spacing w:before="80"/>
        <w:rPr>
          <w:i/>
          <w:sz w:val="22"/>
        </w:rPr>
      </w:pPr>
    </w:p>
    <w:p w:rsidR="00773B93" w:rsidRPr="00F54FBD" w:rsidRDefault="00773B93" w:rsidP="00773B93">
      <w:pPr>
        <w:spacing w:before="80"/>
        <w:rPr>
          <w:i/>
          <w:sz w:val="22"/>
        </w:rPr>
      </w:pPr>
    </w:p>
    <w:p w:rsidR="00773B93" w:rsidRPr="00F54FBD" w:rsidRDefault="00773B93" w:rsidP="00773B93">
      <w:pPr>
        <w:spacing w:before="80"/>
        <w:rPr>
          <w:i/>
          <w:sz w:val="22"/>
        </w:rPr>
      </w:pPr>
    </w:p>
    <w:p w:rsidR="00773B93" w:rsidRPr="00F54FBD" w:rsidRDefault="00773B93" w:rsidP="00773B93">
      <w:pPr>
        <w:spacing w:before="80"/>
        <w:rPr>
          <w:i/>
          <w:sz w:val="22"/>
        </w:rPr>
      </w:pPr>
    </w:p>
    <w:p w:rsidR="00773B93" w:rsidRPr="00F54FBD" w:rsidRDefault="00773B93" w:rsidP="00773B93">
      <w:pPr>
        <w:pStyle w:val="Equation"/>
        <w:tabs>
          <w:tab w:val="clear" w:pos="4820"/>
          <w:tab w:val="clear" w:pos="9639"/>
          <w:tab w:val="left" w:pos="1191"/>
          <w:tab w:val="left" w:pos="1588"/>
          <w:tab w:val="left" w:pos="1985"/>
        </w:tabs>
        <w:rPr>
          <w:rFonts w:ascii="Palatino Linotype" w:hAnsi="Palatino Linotype"/>
        </w:rPr>
        <w:sectPr w:rsidR="00773B93" w:rsidRPr="00F54FBD">
          <w:headerReference w:type="even" r:id="rId8"/>
          <w:headerReference w:type="default" r:id="rId9"/>
          <w:pgSz w:w="11907" w:h="16840" w:code="9"/>
          <w:pgMar w:top="1089" w:right="1089" w:bottom="284" w:left="1089" w:header="567" w:footer="284" w:gutter="0"/>
          <w:pgNumType w:start="1"/>
          <w:cols w:space="720"/>
        </w:sectPr>
      </w:pPr>
    </w:p>
    <w:p w:rsidR="00773B93" w:rsidRPr="00F54FBD" w:rsidRDefault="00773B93" w:rsidP="00773B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73B93" w:rsidRPr="00F54FBD" w:rsidRDefault="00773B93" w:rsidP="00773B9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73B93" w:rsidRPr="00F54FBD" w:rsidRDefault="00773B93" w:rsidP="00773B9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73B93" w:rsidRPr="00E44CBB" w:rsidRDefault="00773B93" w:rsidP="00773B9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73B93" w:rsidRPr="00E44CBB" w:rsidRDefault="00773B93" w:rsidP="00773B9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73B93" w:rsidRPr="00232031" w:rsidRDefault="00773B93" w:rsidP="00773B9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3B93" w:rsidRPr="009454F8" w:rsidTr="00AC29F9">
        <w:tc>
          <w:tcPr>
            <w:tcW w:w="9360" w:type="dxa"/>
            <w:gridSpan w:val="2"/>
          </w:tcPr>
          <w:p w:rsidR="00773B93" w:rsidRPr="009454F8" w:rsidRDefault="00773B93" w:rsidP="00AC29F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73B93" w:rsidRPr="009454F8"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773B93" w:rsidRPr="00036EE3" w:rsidTr="00AC29F9">
        <w:tc>
          <w:tcPr>
            <w:tcW w:w="1140" w:type="dxa"/>
            <w:tcBorders>
              <w:bottom w:val="nil"/>
            </w:tcBorders>
          </w:tcPr>
          <w:p w:rsidR="00773B93" w:rsidRPr="00614CC6" w:rsidRDefault="00773B93" w:rsidP="00AC29F9">
            <w:pPr>
              <w:spacing w:before="90" w:after="100"/>
              <w:ind w:left="57"/>
              <w:rPr>
                <w:b/>
                <w:bCs/>
                <w:sz w:val="20"/>
                <w:lang w:val="en-US"/>
              </w:rPr>
            </w:pPr>
            <w:r w:rsidRPr="00614CC6">
              <w:rPr>
                <w:b/>
                <w:bCs/>
                <w:sz w:val="20"/>
                <w:lang w:val="en-US"/>
              </w:rPr>
              <w:t>Séries</w:t>
            </w:r>
          </w:p>
        </w:tc>
        <w:tc>
          <w:tcPr>
            <w:tcW w:w="8220" w:type="dxa"/>
            <w:tcBorders>
              <w:bottom w:val="nil"/>
            </w:tcBorders>
          </w:tcPr>
          <w:p w:rsidR="00773B93" w:rsidRPr="00614CC6"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73B93" w:rsidRPr="005E427C" w:rsidTr="00AC29F9">
        <w:tc>
          <w:tcPr>
            <w:tcW w:w="1140" w:type="dxa"/>
            <w:tcBorders>
              <w:top w:val="nil"/>
              <w:bottom w:val="nil"/>
            </w:tcBorders>
            <w:shd w:val="clear" w:color="auto" w:fill="auto"/>
          </w:tcPr>
          <w:p w:rsidR="00773B93" w:rsidRPr="005E427C" w:rsidRDefault="00773B93" w:rsidP="00AC29F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73B93" w:rsidRPr="005E427C"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73B93" w:rsidRPr="009454F8" w:rsidTr="00AC29F9">
        <w:tc>
          <w:tcPr>
            <w:tcW w:w="1140" w:type="dxa"/>
            <w:tcBorders>
              <w:top w:val="nil"/>
              <w:bottom w:val="nil"/>
            </w:tcBorders>
          </w:tcPr>
          <w:p w:rsidR="00773B93" w:rsidRPr="00614CC6" w:rsidRDefault="00773B93" w:rsidP="00AC29F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73B93" w:rsidRPr="00614CC6"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73B93" w:rsidRPr="005E427C" w:rsidTr="00AC29F9">
        <w:tc>
          <w:tcPr>
            <w:tcW w:w="1140" w:type="dxa"/>
            <w:tcBorders>
              <w:top w:val="nil"/>
              <w:bottom w:val="nil"/>
            </w:tcBorders>
            <w:shd w:val="clear" w:color="auto" w:fill="F3F3F3"/>
          </w:tcPr>
          <w:p w:rsidR="00773B93" w:rsidRPr="005E427C" w:rsidRDefault="00773B93" w:rsidP="00AC29F9">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773B93" w:rsidRPr="005E427C"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773B93" w:rsidRPr="00ED2695" w:rsidTr="00AC29F9">
        <w:tc>
          <w:tcPr>
            <w:tcW w:w="1140" w:type="dxa"/>
            <w:tcBorders>
              <w:top w:val="nil"/>
            </w:tcBorders>
            <w:shd w:val="clear" w:color="auto" w:fill="auto"/>
          </w:tcPr>
          <w:p w:rsidR="00773B93" w:rsidRPr="00614CC6" w:rsidRDefault="00773B93" w:rsidP="00AC29F9">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773B93" w:rsidRPr="00614CC6"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73B93" w:rsidRPr="00036EE3" w:rsidTr="00AC29F9">
        <w:tc>
          <w:tcPr>
            <w:tcW w:w="1140" w:type="dxa"/>
            <w:tcBorders>
              <w:bottom w:val="nil"/>
            </w:tcBorders>
            <w:shd w:val="clear" w:color="auto" w:fill="auto"/>
          </w:tcPr>
          <w:p w:rsidR="00773B93" w:rsidRPr="00614CC6" w:rsidRDefault="00773B93" w:rsidP="00AC29F9">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773B93" w:rsidRPr="00614CC6" w:rsidRDefault="00773B93" w:rsidP="00AC2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73B93" w:rsidRPr="00B21066" w:rsidTr="00AC29F9">
        <w:tc>
          <w:tcPr>
            <w:tcW w:w="1140" w:type="dxa"/>
            <w:tcBorders>
              <w:top w:val="nil"/>
              <w:bottom w:val="nil"/>
            </w:tcBorders>
            <w:shd w:val="clear" w:color="auto" w:fill="auto"/>
          </w:tcPr>
          <w:p w:rsidR="00773B93" w:rsidRPr="00B21066" w:rsidRDefault="00773B93" w:rsidP="00AC29F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73B93" w:rsidRPr="00B21066" w:rsidRDefault="00773B93" w:rsidP="00AC2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73B93" w:rsidRPr="00036EE3" w:rsidTr="00AC29F9">
        <w:tc>
          <w:tcPr>
            <w:tcW w:w="1140" w:type="dxa"/>
            <w:tcBorders>
              <w:top w:val="nil"/>
            </w:tcBorders>
          </w:tcPr>
          <w:p w:rsidR="00773B93" w:rsidRPr="00614CC6" w:rsidRDefault="00773B93" w:rsidP="00AC29F9">
            <w:pPr>
              <w:spacing w:before="30" w:after="30"/>
              <w:ind w:left="57"/>
              <w:jc w:val="left"/>
              <w:rPr>
                <w:b/>
                <w:bCs/>
                <w:sz w:val="20"/>
                <w:lang w:val="fr-CH"/>
              </w:rPr>
            </w:pPr>
            <w:r w:rsidRPr="00614CC6">
              <w:rPr>
                <w:b/>
                <w:bCs/>
                <w:sz w:val="20"/>
                <w:lang w:val="fr-CH"/>
              </w:rPr>
              <w:t>P</w:t>
            </w:r>
          </w:p>
        </w:tc>
        <w:tc>
          <w:tcPr>
            <w:tcW w:w="8220" w:type="dxa"/>
            <w:tcBorders>
              <w:top w:val="nil"/>
            </w:tcBorders>
          </w:tcPr>
          <w:p w:rsidR="00773B93" w:rsidRPr="00614CC6" w:rsidRDefault="00773B93" w:rsidP="00AC29F9">
            <w:pPr>
              <w:spacing w:before="30" w:after="30"/>
              <w:jc w:val="left"/>
              <w:rPr>
                <w:sz w:val="20"/>
                <w:lang w:val="fr-CH"/>
              </w:rPr>
            </w:pPr>
            <w:r w:rsidRPr="00614CC6">
              <w:rPr>
                <w:sz w:val="20"/>
              </w:rPr>
              <w:t>Propagation des ondes radioélectriques</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RA</w:t>
            </w:r>
          </w:p>
        </w:tc>
        <w:tc>
          <w:tcPr>
            <w:tcW w:w="8220" w:type="dxa"/>
          </w:tcPr>
          <w:p w:rsidR="00773B93" w:rsidRPr="00614CC6" w:rsidRDefault="00773B93" w:rsidP="00AC2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RS</w:t>
            </w:r>
          </w:p>
        </w:tc>
        <w:tc>
          <w:tcPr>
            <w:tcW w:w="8220" w:type="dxa"/>
          </w:tcPr>
          <w:p w:rsidR="00773B93" w:rsidRPr="00614CC6" w:rsidRDefault="00773B93" w:rsidP="00AC2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S</w:t>
            </w:r>
          </w:p>
        </w:tc>
        <w:tc>
          <w:tcPr>
            <w:tcW w:w="8220" w:type="dxa"/>
          </w:tcPr>
          <w:p w:rsidR="00773B93" w:rsidRPr="00614CC6" w:rsidRDefault="00773B93" w:rsidP="00AC29F9">
            <w:pPr>
              <w:spacing w:before="30" w:after="30"/>
              <w:jc w:val="left"/>
              <w:rPr>
                <w:sz w:val="20"/>
                <w:lang w:val="en-US"/>
              </w:rPr>
            </w:pPr>
            <w:r w:rsidRPr="00614CC6">
              <w:rPr>
                <w:sz w:val="20"/>
              </w:rPr>
              <w:t>Service fixe par satellite</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SA</w:t>
            </w:r>
          </w:p>
        </w:tc>
        <w:tc>
          <w:tcPr>
            <w:tcW w:w="8220" w:type="dxa"/>
          </w:tcPr>
          <w:p w:rsidR="00773B93" w:rsidRPr="00614CC6" w:rsidRDefault="00773B93" w:rsidP="00AC29F9">
            <w:pPr>
              <w:spacing w:before="30" w:after="30"/>
              <w:jc w:val="left"/>
              <w:rPr>
                <w:sz w:val="20"/>
                <w:lang w:val="en-US"/>
              </w:rPr>
            </w:pPr>
            <w:r w:rsidRPr="00614CC6">
              <w:rPr>
                <w:sz w:val="20"/>
              </w:rPr>
              <w:t>Applications spatiales et météorologie</w:t>
            </w:r>
          </w:p>
        </w:tc>
      </w:tr>
      <w:tr w:rsidR="00773B93" w:rsidRPr="00614CC6"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SF</w:t>
            </w:r>
          </w:p>
        </w:tc>
        <w:tc>
          <w:tcPr>
            <w:tcW w:w="8220" w:type="dxa"/>
          </w:tcPr>
          <w:p w:rsidR="00773B93" w:rsidRPr="00614CC6" w:rsidRDefault="00773B93" w:rsidP="00AC29F9">
            <w:pPr>
              <w:spacing w:before="30" w:after="30"/>
              <w:jc w:val="left"/>
              <w:rPr>
                <w:sz w:val="20"/>
              </w:rPr>
            </w:pPr>
            <w:r w:rsidRPr="00614CC6">
              <w:rPr>
                <w:sz w:val="20"/>
              </w:rPr>
              <w:t>Partage des fréquences et coordination entre les systèmes du service fixe par satellite et du service fixe</w:t>
            </w:r>
          </w:p>
        </w:tc>
      </w:tr>
      <w:tr w:rsidR="00773B93" w:rsidRPr="00036EE3" w:rsidTr="00AC29F9">
        <w:tc>
          <w:tcPr>
            <w:tcW w:w="1140" w:type="dxa"/>
            <w:shd w:val="clear" w:color="auto" w:fill="auto"/>
          </w:tcPr>
          <w:p w:rsidR="00773B93" w:rsidRPr="00592F9F" w:rsidRDefault="00773B93" w:rsidP="00AC29F9">
            <w:pPr>
              <w:spacing w:before="30" w:after="30"/>
              <w:ind w:left="57"/>
              <w:jc w:val="left"/>
              <w:rPr>
                <w:b/>
                <w:bCs/>
                <w:sz w:val="20"/>
                <w:lang w:val="en-US"/>
              </w:rPr>
            </w:pPr>
            <w:r w:rsidRPr="00592F9F">
              <w:rPr>
                <w:b/>
                <w:bCs/>
                <w:sz w:val="20"/>
                <w:lang w:val="en-US"/>
              </w:rPr>
              <w:t>SM</w:t>
            </w:r>
          </w:p>
        </w:tc>
        <w:tc>
          <w:tcPr>
            <w:tcW w:w="8220" w:type="dxa"/>
            <w:shd w:val="clear" w:color="auto" w:fill="auto"/>
          </w:tcPr>
          <w:p w:rsidR="00773B93" w:rsidRPr="00592F9F" w:rsidRDefault="00773B93" w:rsidP="00AC29F9">
            <w:pPr>
              <w:spacing w:before="30" w:after="30"/>
              <w:jc w:val="left"/>
              <w:rPr>
                <w:sz w:val="20"/>
                <w:lang w:val="en-US"/>
              </w:rPr>
            </w:pPr>
            <w:r w:rsidRPr="00592F9F">
              <w:rPr>
                <w:sz w:val="20"/>
              </w:rPr>
              <w:t>Gestion du spectre</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SNG</w:t>
            </w:r>
          </w:p>
        </w:tc>
        <w:tc>
          <w:tcPr>
            <w:tcW w:w="8220" w:type="dxa"/>
          </w:tcPr>
          <w:p w:rsidR="00773B93" w:rsidRPr="00614CC6" w:rsidRDefault="00773B93" w:rsidP="00AC29F9">
            <w:pPr>
              <w:spacing w:before="30" w:after="30"/>
              <w:jc w:val="left"/>
              <w:rPr>
                <w:sz w:val="20"/>
                <w:lang w:val="en-US"/>
              </w:rPr>
            </w:pPr>
            <w:r w:rsidRPr="00614CC6">
              <w:rPr>
                <w:sz w:val="20"/>
              </w:rPr>
              <w:t>Reportage d'actualités par satellite</w:t>
            </w:r>
          </w:p>
        </w:tc>
      </w:tr>
      <w:tr w:rsidR="00773B93" w:rsidRPr="00614CC6"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TF</w:t>
            </w:r>
          </w:p>
        </w:tc>
        <w:tc>
          <w:tcPr>
            <w:tcW w:w="8220" w:type="dxa"/>
          </w:tcPr>
          <w:p w:rsidR="00773B93" w:rsidRPr="00614CC6" w:rsidRDefault="00773B93" w:rsidP="00AC29F9">
            <w:pPr>
              <w:spacing w:before="30" w:after="30"/>
              <w:jc w:val="left"/>
              <w:rPr>
                <w:sz w:val="20"/>
              </w:rPr>
            </w:pPr>
            <w:r w:rsidRPr="00614CC6">
              <w:rPr>
                <w:sz w:val="20"/>
              </w:rPr>
              <w:t>Emissions de fréquences étalon et de signaux horaires</w:t>
            </w:r>
          </w:p>
        </w:tc>
      </w:tr>
      <w:tr w:rsidR="00773B93" w:rsidRPr="00036EE3" w:rsidTr="00AC29F9">
        <w:tc>
          <w:tcPr>
            <w:tcW w:w="1140" w:type="dxa"/>
          </w:tcPr>
          <w:p w:rsidR="00773B93" w:rsidRPr="00614CC6" w:rsidRDefault="00773B93" w:rsidP="00AC29F9">
            <w:pPr>
              <w:spacing w:before="30" w:after="30"/>
              <w:ind w:left="57"/>
              <w:jc w:val="left"/>
              <w:rPr>
                <w:b/>
                <w:bCs/>
                <w:sz w:val="20"/>
                <w:lang w:val="en-US"/>
              </w:rPr>
            </w:pPr>
            <w:r w:rsidRPr="00614CC6">
              <w:rPr>
                <w:b/>
                <w:bCs/>
                <w:sz w:val="20"/>
                <w:lang w:val="en-US"/>
              </w:rPr>
              <w:t>V</w:t>
            </w:r>
          </w:p>
        </w:tc>
        <w:tc>
          <w:tcPr>
            <w:tcW w:w="8220" w:type="dxa"/>
          </w:tcPr>
          <w:p w:rsidR="00773B93" w:rsidRPr="00614CC6" w:rsidRDefault="00773B93" w:rsidP="00AC29F9">
            <w:pPr>
              <w:spacing w:before="30" w:after="140"/>
              <w:jc w:val="left"/>
              <w:rPr>
                <w:sz w:val="20"/>
                <w:lang w:val="en-US"/>
              </w:rPr>
            </w:pPr>
            <w:r w:rsidRPr="00614CC6">
              <w:rPr>
                <w:sz w:val="20"/>
              </w:rPr>
              <w:t>Vocabulaire et sujets associés</w:t>
            </w:r>
          </w:p>
        </w:tc>
      </w:tr>
    </w:tbl>
    <w:p w:rsidR="00773B93" w:rsidRPr="00036EE3" w:rsidRDefault="00773B93" w:rsidP="00773B93">
      <w:pPr>
        <w:spacing w:before="0"/>
        <w:jc w:val="center"/>
        <w:rPr>
          <w:sz w:val="20"/>
          <w:lang w:val="en-US"/>
        </w:rPr>
      </w:pPr>
    </w:p>
    <w:p w:rsidR="00773B93" w:rsidRPr="00036EE3" w:rsidRDefault="00773B93" w:rsidP="00773B9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3B93" w:rsidRPr="00756B4D" w:rsidTr="00AC29F9">
        <w:tc>
          <w:tcPr>
            <w:tcW w:w="9360" w:type="dxa"/>
          </w:tcPr>
          <w:p w:rsidR="00773B93" w:rsidRPr="00756B4D" w:rsidRDefault="00773B93" w:rsidP="00AC29F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73B93" w:rsidRPr="00756B4D" w:rsidRDefault="00773B93" w:rsidP="00773B93">
      <w:pPr>
        <w:spacing w:before="0"/>
        <w:jc w:val="center"/>
        <w:rPr>
          <w:sz w:val="22"/>
        </w:rPr>
      </w:pPr>
    </w:p>
    <w:p w:rsidR="00773B93" w:rsidRPr="00614CC6" w:rsidRDefault="00773B93" w:rsidP="00773B93">
      <w:pPr>
        <w:spacing w:before="100"/>
        <w:jc w:val="right"/>
        <w:rPr>
          <w:i/>
          <w:iCs/>
          <w:sz w:val="20"/>
        </w:rPr>
      </w:pPr>
      <w:r w:rsidRPr="00614CC6">
        <w:rPr>
          <w:i/>
          <w:iCs/>
          <w:sz w:val="20"/>
        </w:rPr>
        <w:t>Publication électronique</w:t>
      </w:r>
    </w:p>
    <w:p w:rsidR="00773B93" w:rsidRPr="00614CC6" w:rsidRDefault="00773B93" w:rsidP="00773B93">
      <w:pPr>
        <w:spacing w:before="0"/>
        <w:jc w:val="right"/>
        <w:rPr>
          <w:sz w:val="20"/>
        </w:rPr>
      </w:pPr>
      <w:r w:rsidRPr="00614CC6">
        <w:rPr>
          <w:sz w:val="20"/>
        </w:rPr>
        <w:t>Genève, 20</w:t>
      </w:r>
      <w:r>
        <w:rPr>
          <w:sz w:val="20"/>
        </w:rPr>
        <w:t>13</w:t>
      </w:r>
    </w:p>
    <w:p w:rsidR="00773B93" w:rsidRPr="00614CC6" w:rsidRDefault="00773B93" w:rsidP="00773B9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773B93" w:rsidRPr="00614CC6" w:rsidRDefault="00773B93" w:rsidP="00773B9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73B93" w:rsidRPr="00614CC6" w:rsidRDefault="00773B93" w:rsidP="00773B93">
      <w:pPr>
        <w:spacing w:before="160"/>
        <w:rPr>
          <w:i/>
          <w:sz w:val="20"/>
          <w:highlight w:val="yellow"/>
        </w:rPr>
        <w:sectPr w:rsidR="00773B93"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73B93" w:rsidRPr="00756B4D" w:rsidRDefault="00773B93" w:rsidP="00773B93">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2032</w:t>
      </w:r>
    </w:p>
    <w:p w:rsidR="004C4AE2" w:rsidRPr="00F818D9" w:rsidRDefault="004C4AE2" w:rsidP="004C4AE2">
      <w:pPr>
        <w:pStyle w:val="Rectitle"/>
        <w:rPr>
          <w:lang w:val="fr-CH"/>
        </w:rPr>
      </w:pPr>
      <w:r w:rsidRPr="00F818D9">
        <w:rPr>
          <w:lang w:val="fr-CH"/>
        </w:rPr>
        <w:t>Synchronisation de l'horloge des échantillons audionumériques</w:t>
      </w:r>
      <w:r>
        <w:rPr>
          <w:lang w:val="fr-CH"/>
        </w:rPr>
        <w:t xml:space="preserve"> </w:t>
      </w:r>
      <w:r>
        <w:rPr>
          <w:lang w:val="fr-CH"/>
        </w:rPr>
        <w:br/>
      </w:r>
      <w:r w:rsidRPr="00F818D9">
        <w:rPr>
          <w:lang w:val="fr-CH"/>
        </w:rPr>
        <w:t>sur les signaux de référence vidéo</w:t>
      </w:r>
    </w:p>
    <w:p w:rsidR="004C4AE2" w:rsidRPr="00F818D9" w:rsidRDefault="004C4AE2" w:rsidP="004C4AE2">
      <w:pPr>
        <w:pStyle w:val="Recdate"/>
        <w:rPr>
          <w:lang w:val="fr-CH"/>
        </w:rPr>
      </w:pPr>
      <w:r w:rsidRPr="00F818D9">
        <w:rPr>
          <w:lang w:val="fr-CH"/>
        </w:rPr>
        <w:t>(2013)</w:t>
      </w:r>
    </w:p>
    <w:p w:rsidR="004C4AE2" w:rsidRPr="00F818D9" w:rsidRDefault="004C4AE2" w:rsidP="00247AA9">
      <w:pPr>
        <w:pStyle w:val="HeadingSum"/>
      </w:pPr>
      <w:r w:rsidRPr="00F818D9">
        <w:t>Domaine d</w:t>
      </w:r>
      <w:r>
        <w:t>'</w:t>
      </w:r>
      <w:r w:rsidRPr="00F818D9">
        <w:t xml:space="preserve">application </w:t>
      </w:r>
    </w:p>
    <w:p w:rsidR="004C4AE2" w:rsidRPr="009E3C44" w:rsidRDefault="004C4AE2" w:rsidP="00247AA9">
      <w:pPr>
        <w:pStyle w:val="Summary"/>
      </w:pPr>
      <w:r w:rsidRPr="009E3C44">
        <w:t>La présente</w:t>
      </w:r>
      <w:r>
        <w:t xml:space="preserve"> </w:t>
      </w:r>
      <w:r w:rsidRPr="009E3C44">
        <w:t>Recommandation décrit des méthodes permettant de synchroniser les équipements audionumériques interconnectés et traite de la synchronisation des horloges des échantillons audio sur les signaux de référence vidéo.</w:t>
      </w:r>
    </w:p>
    <w:p w:rsidR="004C4AE2" w:rsidRPr="009E3C44" w:rsidRDefault="004C4AE2" w:rsidP="00247AA9">
      <w:pPr>
        <w:pStyle w:val="Summary"/>
      </w:pPr>
      <w:r w:rsidRPr="009E3C44">
        <w:t>La synchronisation des signaux audionumériques est une fonction nécessaire pour l'échange de signaux entre les équipements. L'objectif principal de la synchronisation est d'aligner temporellement les horloges des échantillons à l'intérieur des sources de signaux audionumériques et de les align</w:t>
      </w:r>
      <w:r>
        <w:t>er sur les images/trames vidéo.</w:t>
      </w:r>
    </w:p>
    <w:p w:rsidR="004C4AE2" w:rsidRPr="009E3C44" w:rsidRDefault="004C4AE2" w:rsidP="00247AA9">
      <w:pPr>
        <w:pStyle w:val="Summary"/>
      </w:pPr>
      <w:r w:rsidRPr="009E3C44">
        <w:t xml:space="preserve">Les dispositions reposent sur la norme d'interface audionumérique à deux canaux pour une utilisation professionnelle (Recommandation UIT-R BS.647). </w:t>
      </w:r>
    </w:p>
    <w:p w:rsidR="004C4AE2" w:rsidRPr="00547944" w:rsidRDefault="004C4AE2" w:rsidP="004C4AE2">
      <w:pPr>
        <w:pStyle w:val="Normalaftertitle"/>
      </w:pPr>
      <w:r w:rsidRPr="00547944">
        <w:t>L'Assemblée des radiocommunications de l'UIT,</w:t>
      </w:r>
    </w:p>
    <w:p w:rsidR="004C4AE2" w:rsidRPr="00A940D1" w:rsidRDefault="004C4AE2" w:rsidP="004C4AE2">
      <w:pPr>
        <w:pStyle w:val="Call"/>
      </w:pPr>
      <w:r w:rsidRPr="00A940D1">
        <w:t>considérant</w:t>
      </w:r>
    </w:p>
    <w:p w:rsidR="004C4AE2" w:rsidRPr="009E3C44" w:rsidRDefault="004C4AE2" w:rsidP="004C4AE2">
      <w:r>
        <w:t>a)</w:t>
      </w:r>
      <w:r>
        <w:tab/>
      </w:r>
      <w:r w:rsidRPr="009E3C44">
        <w:t>que les réalisations audionumériques ont été déployées à grande échelle</w:t>
      </w:r>
      <w:r>
        <w:t>;</w:t>
      </w:r>
    </w:p>
    <w:p w:rsidR="004C4AE2" w:rsidRPr="009E3C44" w:rsidRDefault="004C4AE2" w:rsidP="004C4AE2">
      <w:pPr>
        <w:rPr>
          <w:lang w:eastAsia="ja-JP"/>
        </w:rPr>
      </w:pPr>
      <w:r>
        <w:t>b)</w:t>
      </w:r>
      <w:r>
        <w:tab/>
      </w:r>
      <w:r w:rsidRPr="009E3C44">
        <w:t>qu'il serait avantageux que tous les équipements audionumériques utilisent le même signal de synchronisation</w:t>
      </w:r>
      <w:r>
        <w:t>;</w:t>
      </w:r>
    </w:p>
    <w:p w:rsidR="004C4AE2" w:rsidRPr="009E3C44" w:rsidRDefault="004C4AE2" w:rsidP="004C4AE2">
      <w:r w:rsidRPr="009E3C44">
        <w:rPr>
          <w:lang w:eastAsia="ja-JP"/>
        </w:rPr>
        <w:t>c)</w:t>
      </w:r>
      <w:r w:rsidRPr="009E3C44">
        <w:tab/>
        <w:t xml:space="preserve">que la Recommandation </w:t>
      </w:r>
      <w:r>
        <w:t>UIT</w:t>
      </w:r>
      <w:r w:rsidRPr="009E3C44">
        <w:t>-R BS.647 exige l</w:t>
      </w:r>
      <w:r>
        <w:t>'</w:t>
      </w:r>
      <w:r w:rsidRPr="009E3C44">
        <w:t>utilisation d</w:t>
      </w:r>
      <w:r>
        <w:t>'</w:t>
      </w:r>
      <w:r w:rsidRPr="009E3C44">
        <w:t>un signal de synchronisation</w:t>
      </w:r>
      <w:r>
        <w:t xml:space="preserve"> </w:t>
      </w:r>
      <w:r w:rsidRPr="009E3C44">
        <w:t>vidéo</w:t>
      </w:r>
      <w:r>
        <w:t>;</w:t>
      </w:r>
    </w:p>
    <w:p w:rsidR="004C4AE2" w:rsidRPr="009E3C44" w:rsidRDefault="004C4AE2" w:rsidP="004C4AE2">
      <w:r w:rsidRPr="009E3C44">
        <w:t>d)</w:t>
      </w:r>
      <w:r w:rsidRPr="009E3C44">
        <w:tab/>
        <w:t>qu</w:t>
      </w:r>
      <w:r>
        <w:t>'</w:t>
      </w:r>
      <w:r w:rsidRPr="009E3C44">
        <w:t>il conviendrait d</w:t>
      </w:r>
      <w:r>
        <w:t>'</w:t>
      </w:r>
      <w:r w:rsidRPr="009E3C44">
        <w:t xml:space="preserve">utiliser un signal de </w:t>
      </w:r>
      <w:r>
        <w:t>synchronisation</w:t>
      </w:r>
      <w:r w:rsidRPr="009E3C44">
        <w:t xml:space="preserve"> commun</w:t>
      </w:r>
      <w:r>
        <w:t xml:space="preserve"> </w:t>
      </w:r>
      <w:r w:rsidRPr="009E3C44">
        <w:t>pour les équipements audio et vidéo numériques;</w:t>
      </w:r>
    </w:p>
    <w:p w:rsidR="004C4AE2" w:rsidRPr="009E3C44" w:rsidRDefault="004C4AE2" w:rsidP="004C4AE2">
      <w:r w:rsidRPr="009E3C44">
        <w:rPr>
          <w:lang w:eastAsia="ja-JP"/>
        </w:rPr>
        <w:t>e</w:t>
      </w:r>
      <w:r w:rsidRPr="009E3C44">
        <w:t>)</w:t>
      </w:r>
      <w:r w:rsidRPr="009E3C44">
        <w:tab/>
        <w:t>que pour les applications vidéo autres que de télévision, un signal de référence reste nécessaire pour les applications à plusieurs sources</w:t>
      </w:r>
      <w:r>
        <w:t>,</w:t>
      </w:r>
    </w:p>
    <w:p w:rsidR="004C4AE2" w:rsidRPr="009E3C44" w:rsidRDefault="004C4AE2" w:rsidP="004C4AE2">
      <w:pPr>
        <w:pStyle w:val="Call"/>
      </w:pPr>
      <w:r w:rsidRPr="009E3C44">
        <w:t>recommande</w:t>
      </w:r>
    </w:p>
    <w:p w:rsidR="004C4AE2" w:rsidRPr="009E3C44" w:rsidRDefault="004C4AE2" w:rsidP="00AC1D3F">
      <w:pPr>
        <w:rPr>
          <w:lang w:eastAsia="ja-JP"/>
        </w:rPr>
      </w:pPr>
      <w:r w:rsidRPr="009E3C44">
        <w:rPr>
          <w:b/>
          <w:bCs/>
        </w:rPr>
        <w:t>1</w:t>
      </w:r>
      <w:r w:rsidRPr="009E3C44">
        <w:tab/>
        <w:t>d</w:t>
      </w:r>
      <w:r>
        <w:t>'</w:t>
      </w:r>
      <w:r w:rsidRPr="009E3C44">
        <w:t>utiliser la</w:t>
      </w:r>
      <w:r>
        <w:t xml:space="preserve"> </w:t>
      </w:r>
      <w:r w:rsidRPr="009E3C44">
        <w:t>synchronisation des horloges des échantillons audio sur les signaux de référence vidéo</w:t>
      </w:r>
      <w:r>
        <w:t xml:space="preserve"> définie </w:t>
      </w:r>
      <w:r w:rsidRPr="009E3C44">
        <w:t>dans l</w:t>
      </w:r>
      <w:r>
        <w:t>'</w:t>
      </w:r>
      <w:r w:rsidRPr="009E3C44">
        <w:t>Annexe 1</w:t>
      </w:r>
      <w:r w:rsidRPr="009E3C44">
        <w:rPr>
          <w:lang w:eastAsia="ja-JP"/>
        </w:rPr>
        <w:t>;</w:t>
      </w:r>
    </w:p>
    <w:p w:rsidR="004C4AE2" w:rsidRDefault="004C4AE2" w:rsidP="004C4AE2">
      <w:r w:rsidRPr="009E3C44">
        <w:rPr>
          <w:b/>
          <w:bCs/>
        </w:rPr>
        <w:t>2</w:t>
      </w:r>
      <w:r w:rsidRPr="009E3C44">
        <w:rPr>
          <w:b/>
          <w:bCs/>
        </w:rPr>
        <w:tab/>
      </w:r>
      <w:r w:rsidRPr="00207A13">
        <w:t xml:space="preserve">que </w:t>
      </w:r>
      <w:r>
        <w:t>l</w:t>
      </w:r>
      <w:r w:rsidRPr="009E3C44">
        <w:t>e respect de la présente Recommandation se fa</w:t>
      </w:r>
      <w:r>
        <w:t>sse</w:t>
      </w:r>
      <w:r w:rsidRPr="009E3C44">
        <w:t xml:space="preserve"> à titre volontaire. Cependant, il se peut que la Recommandation contienne certaines dispositions obligatoires (pour assurer, par exemple, l'interopérabilité et l'applicabilité). On considère donc que la Recommandation est respectée lorsque toutes ces dispositions sont observées. Le futur d'obligation et les autres moyens d'expression de l'obligation comme le verbe «devoir» ainsi que leurs formes négatives servent à énoncer des prescriptions. L'utilisation de ces formes ne signifie pas qu'il est obligatoire de respecter la Recommandation.</w:t>
      </w:r>
    </w:p>
    <w:p w:rsidR="00AC1D3F" w:rsidRDefault="00AC1D3F" w:rsidP="004C4AE2"/>
    <w:p w:rsidR="00AC1D3F" w:rsidRPr="009E3C44" w:rsidRDefault="00AC1D3F" w:rsidP="004C4AE2">
      <w:pPr>
        <w:rPr>
          <w:lang w:eastAsia="ja-JP"/>
        </w:rPr>
      </w:pPr>
    </w:p>
    <w:p w:rsidR="004C4AE2" w:rsidRPr="009E3C44" w:rsidRDefault="004C4AE2" w:rsidP="004C4AE2">
      <w:pPr>
        <w:pStyle w:val="AnnexNoTitle"/>
      </w:pPr>
      <w:r w:rsidRPr="009E3C44">
        <w:lastRenderedPageBreak/>
        <w:t>Annexe 1</w:t>
      </w:r>
    </w:p>
    <w:p w:rsidR="004C4AE2" w:rsidRPr="009E3C44" w:rsidRDefault="004C4AE2" w:rsidP="004C4AE2">
      <w:pPr>
        <w:pStyle w:val="Normalaftertitle"/>
      </w:pPr>
      <w:r w:rsidRPr="009E3C44">
        <w:t>Le principal domaine d</w:t>
      </w:r>
      <w:r>
        <w:t>'</w:t>
      </w:r>
      <w:r w:rsidRPr="009E3C44">
        <w:t>application est l</w:t>
      </w:r>
      <w:r>
        <w:t>'</w:t>
      </w:r>
      <w:r w:rsidRPr="009E3C44">
        <w:t>interconnexion numérique et la</w:t>
      </w:r>
      <w:r>
        <w:t xml:space="preserve"> </w:t>
      </w:r>
      <w:r w:rsidRPr="009E3C44">
        <w:t>synchronisation des équipements audionumériques cont</w:t>
      </w:r>
      <w:r>
        <w:t xml:space="preserve">enus dans l'environnement de </w:t>
      </w:r>
      <w:r w:rsidRPr="009E3C44">
        <w:t>production et</w:t>
      </w:r>
      <w:r>
        <w:t xml:space="preserve"> d'</w:t>
      </w:r>
      <w:r w:rsidRPr="009E3C44">
        <w:t>acquisition.</w:t>
      </w:r>
      <w:r>
        <w:t xml:space="preserve"> </w:t>
      </w:r>
      <w:r w:rsidRPr="009E3C44">
        <w:t>Un autre objectif</w:t>
      </w:r>
      <w:r>
        <w:t xml:space="preserve"> </w:t>
      </w:r>
      <w:r w:rsidRPr="009E3C44">
        <w:t>important est de définir un moyen de</w:t>
      </w:r>
      <w:r>
        <w:t xml:space="preserve"> </w:t>
      </w:r>
      <w:r w:rsidRPr="009E3C44">
        <w:t>synchroniser des horloges d</w:t>
      </w:r>
      <w:r>
        <w:t>'</w:t>
      </w:r>
      <w:r w:rsidRPr="009E3C44">
        <w:t>échantillons audionumériques</w:t>
      </w:r>
      <w:r>
        <w:t xml:space="preserve"> </w:t>
      </w:r>
      <w:r w:rsidRPr="009E3C44">
        <w:t>sur un</w:t>
      </w:r>
      <w:r>
        <w:t xml:space="preserve"> </w:t>
      </w:r>
      <w:r w:rsidRPr="009E3C44">
        <w:t>signal de référence vidéo</w:t>
      </w:r>
      <w:r>
        <w:t>.</w:t>
      </w:r>
    </w:p>
    <w:p w:rsidR="004C4AE2" w:rsidRPr="009E3C44" w:rsidRDefault="004C4AE2" w:rsidP="004C4AE2">
      <w:pPr>
        <w:pStyle w:val="Heading1"/>
      </w:pPr>
      <w:r w:rsidRPr="009E3C44">
        <w:t>1</w:t>
      </w:r>
      <w:r w:rsidRPr="009E3C44">
        <w:tab/>
        <w:t>Modes de fonctionnement</w:t>
      </w:r>
    </w:p>
    <w:p w:rsidR="004C4AE2" w:rsidRPr="009E3C44" w:rsidRDefault="004C4AE2" w:rsidP="004C4AE2">
      <w:pPr>
        <w:pStyle w:val="Heading2"/>
      </w:pPr>
      <w:r w:rsidRPr="009E3C44">
        <w:t>1.1</w:t>
      </w:r>
      <w:r w:rsidRPr="009E3C44">
        <w:tab/>
        <w:t>Généralités</w:t>
      </w:r>
    </w:p>
    <w:p w:rsidR="004C4AE2" w:rsidRPr="009E3C44" w:rsidRDefault="004C4AE2" w:rsidP="004C4AE2">
      <w:r w:rsidRPr="009E3C44">
        <w:t>Les équipements devraient permettre de caler un générateur d</w:t>
      </w:r>
      <w:r>
        <w:t>'</w:t>
      </w:r>
      <w:r w:rsidRPr="009E3C44">
        <w:t>horloge d'échantillonnage interne sur un signal de référence audionumérique</w:t>
      </w:r>
      <w:r>
        <w:t xml:space="preserve"> </w:t>
      </w:r>
      <w:r w:rsidRPr="009E3C44">
        <w:t xml:space="preserve">(DARS). </w:t>
      </w:r>
    </w:p>
    <w:p w:rsidR="004C4AE2" w:rsidRPr="009E3C44" w:rsidRDefault="004C4AE2" w:rsidP="004C4AE2">
      <w:pPr>
        <w:pStyle w:val="Heading2"/>
      </w:pPr>
      <w:r w:rsidRPr="009E3C44">
        <w:t>1.2</w:t>
      </w:r>
      <w:r w:rsidRPr="009E3C44">
        <w:tab/>
      </w:r>
      <w:r>
        <w:t>Mé</w:t>
      </w:r>
      <w:r w:rsidRPr="009E3C44">
        <w:t>thodes de synchronisation</w:t>
      </w:r>
      <w:r>
        <w:t xml:space="preserve"> </w:t>
      </w:r>
    </w:p>
    <w:p w:rsidR="004C4AE2" w:rsidRPr="009E3C44" w:rsidRDefault="004C4AE2" w:rsidP="004C4AE2">
      <w:r w:rsidRPr="009E3C44">
        <w:t>La synchronisation des équipements devrait être effectuée selon l</w:t>
      </w:r>
      <w:r>
        <w:t>'</w:t>
      </w:r>
      <w:r w:rsidRPr="009E3C44">
        <w:t>une des trois méthodes suivantes</w:t>
      </w:r>
      <w:r>
        <w:t>.</w:t>
      </w:r>
    </w:p>
    <w:p w:rsidR="004C4AE2" w:rsidRPr="009E3C44" w:rsidRDefault="004C4AE2" w:rsidP="004C4AE2">
      <w:pPr>
        <w:pStyle w:val="Equation"/>
      </w:pPr>
      <w:r w:rsidRPr="009E3C44">
        <w:t>NOTE – Dans certains cas,</w:t>
      </w:r>
      <w:r>
        <w:t xml:space="preserve"> «</w:t>
      </w:r>
      <w:r w:rsidRPr="009E3C44">
        <w:t>l</w:t>
      </w:r>
      <w:r>
        <w:t>'</w:t>
      </w:r>
      <w:r w:rsidRPr="009E3C44">
        <w:t>horloge des mots»</w:t>
      </w:r>
      <w:r>
        <w:t xml:space="preserve"> </w:t>
      </w:r>
      <w:r w:rsidRPr="009E3C44">
        <w:t>peut être utilisée de la même manière que le signal</w:t>
      </w:r>
      <w:r>
        <w:t xml:space="preserve"> </w:t>
      </w:r>
      <w:r w:rsidRPr="009E3C44">
        <w:t>DARS</w:t>
      </w:r>
      <w:r>
        <w:t>.</w:t>
      </w:r>
      <w:r w:rsidRPr="009E3C44">
        <w:t xml:space="preserve"> </w:t>
      </w:r>
      <w:r>
        <w:t>L'</w:t>
      </w:r>
      <w:r w:rsidRPr="009E3C44">
        <w:t>horloge des mots</w:t>
      </w:r>
      <w:r>
        <w:t xml:space="preserve"> </w:t>
      </w:r>
      <w:r w:rsidRPr="009E3C44">
        <w:t>ne fait pas partie de la présente</w:t>
      </w:r>
      <w:r>
        <w:t xml:space="preserve"> </w:t>
      </w:r>
      <w:r w:rsidRPr="009E3C44">
        <w:t>Recommandation, mais est décrite dans l</w:t>
      </w:r>
      <w:r>
        <w:t>'</w:t>
      </w:r>
      <w:r w:rsidRPr="009E3C44">
        <w:t xml:space="preserve">Appendice 2. </w:t>
      </w:r>
    </w:p>
    <w:p w:rsidR="004C4AE2" w:rsidRPr="009E3C44" w:rsidRDefault="004C4AE2" w:rsidP="004C4AE2">
      <w:pPr>
        <w:pStyle w:val="Heading3"/>
      </w:pPr>
      <w:r w:rsidRPr="009E3C44">
        <w:t>1.2.1</w:t>
      </w:r>
      <w:r w:rsidRPr="009E3C44">
        <w:tab/>
      </w:r>
      <w:r>
        <w:t>Référence</w:t>
      </w:r>
      <w:r w:rsidRPr="009E3C44">
        <w:t xml:space="preserve"> au signal DARS</w:t>
      </w:r>
    </w:p>
    <w:p w:rsidR="004C4AE2" w:rsidRPr="009E3C44" w:rsidRDefault="004C4AE2" w:rsidP="004C4AE2">
      <w:r w:rsidRPr="009E3C44">
        <w:t>Les équipements sont</w:t>
      </w:r>
      <w:r>
        <w:t xml:space="preserve"> </w:t>
      </w:r>
      <w:r w:rsidRPr="009E3C44">
        <w:t xml:space="preserve">synchronisés </w:t>
      </w:r>
      <w:r>
        <w:t>sur</w:t>
      </w:r>
      <w:r w:rsidRPr="009E3C44">
        <w:t xml:space="preserve"> un signal</w:t>
      </w:r>
      <w:r>
        <w:t xml:space="preserve"> </w:t>
      </w:r>
      <w:r w:rsidRPr="009E3C44">
        <w:t xml:space="preserve">DARS, </w:t>
      </w:r>
      <w:r>
        <w:t>ce qui garantit que tou</w:t>
      </w:r>
      <w:r w:rsidRPr="009E3C44">
        <w:t>te</w:t>
      </w:r>
      <w:r>
        <w:t>s</w:t>
      </w:r>
      <w:r w:rsidRPr="009E3C44">
        <w:t xml:space="preserve"> les horloges d</w:t>
      </w:r>
      <w:r>
        <w:t>'</w:t>
      </w:r>
      <w:r w:rsidRPr="009E3C44">
        <w:t>échantillon des équipements d</w:t>
      </w:r>
      <w:r>
        <w:t>'</w:t>
      </w:r>
      <w:r w:rsidRPr="009E3C44">
        <w:t>entrée et de sortie sont calé</w:t>
      </w:r>
      <w:r>
        <w:t>e</w:t>
      </w:r>
      <w:r w:rsidRPr="009E3C44">
        <w:t xml:space="preserve">s sur la </w:t>
      </w:r>
      <w:r>
        <w:t>mê</w:t>
      </w:r>
      <w:r w:rsidRPr="009E3C44">
        <w:t xml:space="preserve">me </w:t>
      </w:r>
      <w:r>
        <w:t>fréquence de référence</w:t>
      </w:r>
      <w:r w:rsidRPr="009E3C44">
        <w:t xml:space="preserve"> </w:t>
      </w:r>
      <w:r>
        <w:t xml:space="preserve">et </w:t>
      </w:r>
      <w:r w:rsidRPr="009E3C44">
        <w:t xml:space="preserve">dans les limites de la tolérance </w:t>
      </w:r>
      <w:r>
        <w:t>de phase indiquée dans la présente Recommandation</w:t>
      </w:r>
      <w:r w:rsidRPr="009E3C44">
        <w:t>.</w:t>
      </w:r>
    </w:p>
    <w:p w:rsidR="004C4AE2" w:rsidRPr="009E3C44" w:rsidRDefault="004C4AE2" w:rsidP="004C4AE2">
      <w:r>
        <w:t xml:space="preserve">Dans les cas où certains signaux à </w:t>
      </w:r>
      <w:r w:rsidRPr="009E3C44">
        <w:t xml:space="preserve">96 kHz </w:t>
      </w:r>
      <w:r>
        <w:t>sont acheminés selon le mode décrit dans la Recommandation</w:t>
      </w:r>
      <w:r w:rsidRPr="009E3C44">
        <w:t xml:space="preserve"> </w:t>
      </w:r>
      <w:r>
        <w:t>UIT</w:t>
      </w:r>
      <w:r w:rsidRPr="009E3C44">
        <w:noBreakHyphen/>
        <w:t>R BS.647</w:t>
      </w:r>
      <w:r>
        <w:t>,</w:t>
      </w:r>
      <w:r w:rsidRPr="009E3C44">
        <w:t xml:space="preserve"> </w:t>
      </w:r>
      <w:r>
        <w:t>à savoir le «m</w:t>
      </w:r>
      <w:r w:rsidRPr="009E3C44">
        <w:t>ode à un seul canal avec fréquence d'échantillonnage double</w:t>
      </w:r>
      <w:r>
        <w:t xml:space="preserve">», il faut que le signal de référence de synchronisation ait une composante de fréquence à </w:t>
      </w:r>
      <w:r w:rsidRPr="009E3C44">
        <w:t>48 kHz</w:t>
      </w:r>
      <w:r>
        <w:t xml:space="preserve"> ou à une fréquence inférieure, afin que deux canaux comprenant une paire </w:t>
      </w:r>
      <w:r w:rsidRPr="009E3C44">
        <w:t xml:space="preserve">stéréo </w:t>
      </w:r>
      <w:r>
        <w:t>soient correctement mis en relation. On trouvera dans l'Appendice</w:t>
      </w:r>
      <w:r w:rsidRPr="009E3C44">
        <w:t xml:space="preserve"> 1 </w:t>
      </w:r>
      <w:r>
        <w:t>une description des relations de phase préconisées.</w:t>
      </w:r>
    </w:p>
    <w:p w:rsidR="004C4AE2" w:rsidRPr="009E3C44" w:rsidRDefault="004C4AE2" w:rsidP="004C4AE2">
      <w:pPr>
        <w:pStyle w:val="Heading3"/>
      </w:pPr>
      <w:r w:rsidRPr="009E3C44">
        <w:t>1.2.2</w:t>
      </w:r>
      <w:r w:rsidRPr="009E3C44">
        <w:tab/>
      </w:r>
      <w:r>
        <w:t>Référence v</w:t>
      </w:r>
      <w:r w:rsidRPr="009E3C44">
        <w:t>idéo</w:t>
      </w:r>
    </w:p>
    <w:p w:rsidR="004C4AE2" w:rsidRPr="009E3C44" w:rsidRDefault="004C4AE2" w:rsidP="004C4AE2">
      <w:r>
        <w:t>On utilise une référence vidéo principale pour obtenir un signal</w:t>
      </w:r>
      <w:r w:rsidRPr="009E3C44">
        <w:t xml:space="preserve"> DARS, </w:t>
      </w:r>
      <w:r>
        <w:t xml:space="preserve">en calant les signaux </w:t>
      </w:r>
      <w:r w:rsidRPr="009E3C44">
        <w:t>vid</w:t>
      </w:r>
      <w:r>
        <w:t>é</w:t>
      </w:r>
      <w:r w:rsidRPr="009E3C44">
        <w:t>o</w:t>
      </w:r>
      <w:r>
        <w:t xml:space="preserve"> et </w:t>
      </w:r>
      <w:r w:rsidRPr="009E3C44">
        <w:t xml:space="preserve">audio </w:t>
      </w:r>
      <w:r>
        <w:t xml:space="preserve">au niveau de la </w:t>
      </w:r>
      <w:r w:rsidRPr="00B1385B">
        <w:t xml:space="preserve">fréquence d'échantillonnage </w:t>
      </w:r>
      <w:r>
        <w:t xml:space="preserve">et sur les </w:t>
      </w:r>
      <w:r w:rsidRPr="00B1385B">
        <w:t>limite</w:t>
      </w:r>
      <w:r>
        <w:t>s</w:t>
      </w:r>
      <w:r w:rsidRPr="00B1385B">
        <w:t xml:space="preserve"> de </w:t>
      </w:r>
      <w:r>
        <w:t xml:space="preserve">la </w:t>
      </w:r>
      <w:r w:rsidRPr="00B1385B">
        <w:t>trame</w:t>
      </w:r>
      <w:r>
        <w:t xml:space="preserve"> </w:t>
      </w:r>
      <w:r w:rsidRPr="009E3C44">
        <w:t>vid</w:t>
      </w:r>
      <w:r>
        <w:t>é</w:t>
      </w:r>
      <w:r w:rsidRPr="009E3C44">
        <w:t>o</w:t>
      </w:r>
      <w:r>
        <w:t>.</w:t>
      </w:r>
    </w:p>
    <w:p w:rsidR="004C4AE2" w:rsidRPr="006075C6" w:rsidRDefault="004C4AE2" w:rsidP="004C4AE2">
      <w:pPr>
        <w:pStyle w:val="Heading3"/>
        <w:rPr>
          <w:bCs/>
        </w:rPr>
      </w:pPr>
      <w:r w:rsidRPr="009E3C44">
        <w:t>1.2.3</w:t>
      </w:r>
      <w:r w:rsidRPr="009E3C44">
        <w:tab/>
      </w:r>
      <w:r>
        <w:t>Référence</w:t>
      </w:r>
      <w:r w:rsidRPr="009E3C44">
        <w:t xml:space="preserve"> GPS</w:t>
      </w:r>
    </w:p>
    <w:p w:rsidR="004C4AE2" w:rsidRPr="009E3C44" w:rsidRDefault="004C4AE2" w:rsidP="004C4AE2">
      <w:r>
        <w:t xml:space="preserve">On utilise un récepteur </w:t>
      </w:r>
      <w:r w:rsidRPr="009E3C44">
        <w:t xml:space="preserve">GPS </w:t>
      </w:r>
      <w:r>
        <w:t xml:space="preserve">de référence pour faire référence à un signal </w:t>
      </w:r>
      <w:r w:rsidRPr="009E3C44">
        <w:t xml:space="preserve">DARS, </w:t>
      </w:r>
      <w:r>
        <w:t xml:space="preserve">en fournissant la fréquence et la phase </w:t>
      </w:r>
      <w:r w:rsidRPr="009E3C44">
        <w:t>(</w:t>
      </w:r>
      <w:r>
        <w:t>à partir d'</w:t>
      </w:r>
      <w:r w:rsidRPr="006075C6">
        <w:t>impulsion</w:t>
      </w:r>
      <w:r>
        <w:t>s</w:t>
      </w:r>
      <w:r w:rsidRPr="006075C6">
        <w:t xml:space="preserve"> d'une seconde</w:t>
      </w:r>
      <w:r w:rsidRPr="009E3C44">
        <w:t xml:space="preserve">) </w:t>
      </w:r>
      <w:r>
        <w:t>et le c</w:t>
      </w:r>
      <w:r w:rsidRPr="00592915">
        <w:t xml:space="preserve">ode d'adresse d'échantillon </w:t>
      </w:r>
      <w:r>
        <w:t xml:space="preserve">de l'heure locale dans les octets </w:t>
      </w:r>
      <w:r w:rsidRPr="009E3C44">
        <w:t xml:space="preserve">18 </w:t>
      </w:r>
      <w:r>
        <w:t xml:space="preserve">à </w:t>
      </w:r>
      <w:r w:rsidRPr="009E3C44">
        <w:t xml:space="preserve">21 </w:t>
      </w:r>
      <w:r>
        <w:t>de l'état du canal pour prendre en charge une référence horaire dans l'équipement verrouillé.</w:t>
      </w:r>
    </w:p>
    <w:p w:rsidR="004C4AE2" w:rsidRPr="009E3C44" w:rsidRDefault="004C4AE2" w:rsidP="004C4AE2">
      <w:pPr>
        <w:pStyle w:val="Heading2"/>
      </w:pPr>
      <w:r w:rsidRPr="009E3C44">
        <w:t>1.3</w:t>
      </w:r>
      <w:r w:rsidRPr="009E3C44">
        <w:tab/>
        <w:t xml:space="preserve">Distribution </w:t>
      </w:r>
      <w:r>
        <w:t xml:space="preserve">du signal </w:t>
      </w:r>
      <w:r w:rsidRPr="009E3C44">
        <w:t xml:space="preserve">DARS </w:t>
      </w:r>
    </w:p>
    <w:p w:rsidR="004C4AE2" w:rsidRPr="009E3C44" w:rsidRDefault="004C4AE2" w:rsidP="004C4AE2">
      <w:r>
        <w:t xml:space="preserve">Le signal </w:t>
      </w:r>
      <w:r w:rsidRPr="009E3C44">
        <w:t xml:space="preserve">DARS </w:t>
      </w:r>
      <w:r>
        <w:t>doit être distribué conformément à la Recommandation</w:t>
      </w:r>
      <w:r w:rsidRPr="009E3C44">
        <w:t xml:space="preserve"> </w:t>
      </w:r>
      <w:r>
        <w:t>UIT</w:t>
      </w:r>
      <w:r w:rsidRPr="009E3C44">
        <w:t>-R BS.647.</w:t>
      </w:r>
    </w:p>
    <w:p w:rsidR="004C4AE2" w:rsidRPr="009E3C44" w:rsidRDefault="004C4AE2" w:rsidP="004C4AE2">
      <w:pPr>
        <w:pStyle w:val="Heading2"/>
        <w:spacing w:line="360" w:lineRule="auto"/>
      </w:pPr>
      <w:r w:rsidRPr="009E3C44">
        <w:lastRenderedPageBreak/>
        <w:t>1.4</w:t>
      </w:r>
      <w:r w:rsidRPr="009E3C44">
        <w:tab/>
      </w:r>
      <w:r>
        <w:t>Signaux externes</w:t>
      </w:r>
    </w:p>
    <w:p w:rsidR="004C4AE2" w:rsidRPr="009E3C44" w:rsidRDefault="004C4AE2" w:rsidP="004C4AE2">
      <w:pPr>
        <w:pStyle w:val="Heading3"/>
      </w:pPr>
      <w:r w:rsidRPr="009E3C44">
        <w:t>1.4.1</w:t>
      </w:r>
      <w:r w:rsidRPr="009E3C44">
        <w:tab/>
        <w:t>Général</w:t>
      </w:r>
      <w:r>
        <w:t>ités</w:t>
      </w:r>
    </w:p>
    <w:p w:rsidR="004C4AE2" w:rsidRPr="009E3C44" w:rsidRDefault="004C4AE2" w:rsidP="004C4AE2">
      <w:r>
        <w:t>Lorsqu'</w:t>
      </w:r>
      <w:r w:rsidRPr="00C300AD">
        <w:t>on établit</w:t>
      </w:r>
      <w:r>
        <w:t xml:space="preserve"> une </w:t>
      </w:r>
      <w:r w:rsidRPr="00C300AD">
        <w:t>connexion</w:t>
      </w:r>
      <w:r>
        <w:t xml:space="preserve"> entre des signaux externes et une installation studio ou de production audionumérique </w:t>
      </w:r>
      <w:r w:rsidRPr="0029703C">
        <w:t xml:space="preserve">qui autrement serait </w:t>
      </w:r>
      <w:r>
        <w:t>synchrone,</w:t>
      </w:r>
      <w:r w:rsidRPr="009E3C44">
        <w:t xml:space="preserve"> </w:t>
      </w:r>
      <w:r>
        <w:t xml:space="preserve">le </w:t>
      </w:r>
      <w:r w:rsidRPr="009E3C44">
        <w:t xml:space="preserve">§ 1.4.2 </w:t>
      </w:r>
      <w:r>
        <w:t>s'applique.</w:t>
      </w:r>
    </w:p>
    <w:p w:rsidR="004C4AE2" w:rsidRPr="009E3C44" w:rsidRDefault="004C4AE2" w:rsidP="004C4AE2">
      <w:pPr>
        <w:pStyle w:val="Heading3"/>
      </w:pPr>
      <w:r w:rsidRPr="009E3C44">
        <w:t>1.4.2</w:t>
      </w:r>
      <w:r w:rsidRPr="009E3C44">
        <w:tab/>
        <w:t xml:space="preserve">Correction </w:t>
      </w:r>
      <w:r>
        <w:t>de p</w:t>
      </w:r>
      <w:r w:rsidRPr="009E3C44">
        <w:t xml:space="preserve">hase </w:t>
      </w:r>
    </w:p>
    <w:p w:rsidR="004C4AE2" w:rsidRPr="009E3C44" w:rsidRDefault="004C4AE2" w:rsidP="004C4AE2">
      <w:r>
        <w:t xml:space="preserve">Lorsque le signal entrant est identique dans la fréquence d'échantillonnage, mais est en décalage de phase par rapport au signal </w:t>
      </w:r>
      <w:r w:rsidRPr="009E3C44">
        <w:t xml:space="preserve">DARS, </w:t>
      </w:r>
      <w:r>
        <w:t xml:space="preserve">le </w:t>
      </w:r>
      <w:r w:rsidRPr="00CE74EC">
        <w:t xml:space="preserve">verrouillage de trame </w:t>
      </w:r>
      <w:r>
        <w:t>de la Recommandation</w:t>
      </w:r>
      <w:r w:rsidRPr="009E3C44">
        <w:t xml:space="preserve"> </w:t>
      </w:r>
      <w:r>
        <w:t>UIT</w:t>
      </w:r>
      <w:r w:rsidRPr="009E3C44">
        <w:t xml:space="preserve">-R BS.647 </w:t>
      </w:r>
      <w:r>
        <w:t>s'applique.</w:t>
      </w:r>
    </w:p>
    <w:p w:rsidR="004C4AE2" w:rsidRPr="009E3C44" w:rsidRDefault="004C4AE2" w:rsidP="004C4AE2">
      <w:pPr>
        <w:pStyle w:val="Heading2"/>
      </w:pPr>
      <w:r w:rsidRPr="009E3C44">
        <w:t>1.5</w:t>
      </w:r>
      <w:r w:rsidRPr="009E3C44">
        <w:tab/>
      </w:r>
      <w:r>
        <w:t>Référence vidéo</w:t>
      </w:r>
    </w:p>
    <w:p w:rsidR="004C4AE2" w:rsidRPr="009E3C44" w:rsidRDefault="004C4AE2" w:rsidP="004C4AE2">
      <w:pPr>
        <w:pStyle w:val="Heading3"/>
      </w:pPr>
      <w:r w:rsidRPr="009E3C44">
        <w:t>1.5.1</w:t>
      </w:r>
      <w:r w:rsidRPr="009E3C44">
        <w:tab/>
      </w:r>
      <w:r>
        <w:t>Généralités</w:t>
      </w:r>
    </w:p>
    <w:p w:rsidR="004C4AE2" w:rsidRPr="009E3C44" w:rsidRDefault="004C4AE2" w:rsidP="004C4AE2">
      <w:r>
        <w:t xml:space="preserve">En cas d'environnement mixte vidéo et audio, la source du signal </w:t>
      </w:r>
      <w:r w:rsidRPr="009E3C44">
        <w:t xml:space="preserve">DARS </w:t>
      </w:r>
      <w:r>
        <w:t>doit être calée sur la source vidéo, afin d'obtenir avec précision la relation mathématique indiquée dans le Tableau 1.</w:t>
      </w:r>
    </w:p>
    <w:p w:rsidR="004C4AE2" w:rsidRPr="009E3C44" w:rsidRDefault="004C4AE2" w:rsidP="004C4AE2">
      <w:pPr>
        <w:pStyle w:val="TableNo"/>
      </w:pPr>
      <w:r w:rsidRPr="009E3C44">
        <w:t>TABLE</w:t>
      </w:r>
      <w:r>
        <w:t>AU</w:t>
      </w:r>
      <w:r w:rsidRPr="009E3C44">
        <w:t xml:space="preserve"> 1</w:t>
      </w:r>
    </w:p>
    <w:p w:rsidR="004C4AE2" w:rsidRPr="009E3C44" w:rsidRDefault="004C4AE2" w:rsidP="004C4AE2">
      <w:pPr>
        <w:pStyle w:val="Tabletitle"/>
      </w:pPr>
      <w:r w:rsidRPr="009E3C44">
        <w:t>Synchroni</w:t>
      </w:r>
      <w:r>
        <w:t>s</w:t>
      </w:r>
      <w:r w:rsidRPr="009E3C44">
        <w:t>ation</w:t>
      </w:r>
      <w:r w:rsidRPr="00CE74EC">
        <w:t xml:space="preserve"> </w:t>
      </w:r>
      <w:r>
        <w:t>a</w:t>
      </w:r>
      <w:r w:rsidRPr="009E3C44">
        <w:t>udio-vidéo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76"/>
        <w:gridCol w:w="1134"/>
        <w:gridCol w:w="1247"/>
        <w:gridCol w:w="1154"/>
        <w:gridCol w:w="1218"/>
        <w:gridCol w:w="1625"/>
      </w:tblGrid>
      <w:tr w:rsidR="004C4AE2" w:rsidRPr="009E3C44" w:rsidTr="00AC29F9">
        <w:trPr>
          <w:jc w:val="center"/>
        </w:trPr>
        <w:tc>
          <w:tcPr>
            <w:tcW w:w="1985" w:type="dxa"/>
            <w:vMerge w:val="restart"/>
          </w:tcPr>
          <w:p w:rsidR="004C4AE2" w:rsidRPr="009E3C44" w:rsidRDefault="004C4AE2" w:rsidP="00AC29F9">
            <w:pPr>
              <w:pStyle w:val="Tablehead"/>
            </w:pPr>
            <w:r>
              <w:t>Fréquence d'échantillonnage</w:t>
            </w:r>
            <w:r w:rsidRPr="009E3C44">
              <w:br/>
              <w:t>(kHz)</w:t>
            </w:r>
          </w:p>
        </w:tc>
        <w:tc>
          <w:tcPr>
            <w:tcW w:w="7654" w:type="dxa"/>
            <w:gridSpan w:val="6"/>
          </w:tcPr>
          <w:p w:rsidR="004C4AE2" w:rsidRPr="009E3C44" w:rsidRDefault="004C4AE2" w:rsidP="00AC29F9">
            <w:pPr>
              <w:pStyle w:val="Tablehead"/>
              <w:ind w:left="-90"/>
            </w:pPr>
            <w:r>
              <w:t>Echantillons par trame</w:t>
            </w:r>
          </w:p>
        </w:tc>
      </w:tr>
      <w:tr w:rsidR="004C4AE2" w:rsidRPr="009E3C44" w:rsidTr="00AC29F9">
        <w:trPr>
          <w:jc w:val="center"/>
        </w:trPr>
        <w:tc>
          <w:tcPr>
            <w:tcW w:w="1985" w:type="dxa"/>
            <w:vMerge/>
          </w:tcPr>
          <w:p w:rsidR="004C4AE2" w:rsidRPr="009E3C44" w:rsidRDefault="004C4AE2" w:rsidP="00AC29F9">
            <w:pPr>
              <w:pStyle w:val="Tablehead"/>
              <w:ind w:left="-90"/>
            </w:pPr>
          </w:p>
        </w:tc>
        <w:tc>
          <w:tcPr>
            <w:tcW w:w="1276" w:type="dxa"/>
          </w:tcPr>
          <w:p w:rsidR="004C4AE2" w:rsidRPr="009E3C44" w:rsidRDefault="004C4AE2" w:rsidP="00AC29F9">
            <w:pPr>
              <w:pStyle w:val="Tablehead"/>
              <w:ind w:left="-90"/>
            </w:pPr>
            <w:r w:rsidRPr="009E3C44">
              <w:t>25 Hz</w:t>
            </w:r>
          </w:p>
        </w:tc>
        <w:tc>
          <w:tcPr>
            <w:tcW w:w="1134" w:type="dxa"/>
          </w:tcPr>
          <w:p w:rsidR="004C4AE2" w:rsidRPr="009E3C44" w:rsidRDefault="004C4AE2" w:rsidP="00AC29F9">
            <w:pPr>
              <w:pStyle w:val="Tablehead"/>
              <w:ind w:left="-90"/>
            </w:pPr>
            <w:r w:rsidRPr="009E3C44">
              <w:t>30 Hz</w:t>
            </w:r>
          </w:p>
        </w:tc>
        <w:tc>
          <w:tcPr>
            <w:tcW w:w="1247" w:type="dxa"/>
          </w:tcPr>
          <w:p w:rsidR="004C4AE2" w:rsidRPr="009E3C44" w:rsidRDefault="004C4AE2" w:rsidP="00AC29F9">
            <w:pPr>
              <w:pStyle w:val="Tablehead"/>
              <w:ind w:left="-90"/>
            </w:pPr>
            <w:r w:rsidRPr="009E3C44">
              <w:t>29</w:t>
            </w:r>
            <w:r>
              <w:t>,</w:t>
            </w:r>
            <w:r w:rsidRPr="009E3C44">
              <w:t>97 Hz</w:t>
            </w:r>
          </w:p>
        </w:tc>
        <w:tc>
          <w:tcPr>
            <w:tcW w:w="1154" w:type="dxa"/>
          </w:tcPr>
          <w:p w:rsidR="004C4AE2" w:rsidRPr="009E3C44" w:rsidRDefault="004C4AE2" w:rsidP="00AC29F9">
            <w:pPr>
              <w:pStyle w:val="Tablehead"/>
              <w:ind w:left="-90"/>
            </w:pPr>
            <w:r w:rsidRPr="009E3C44">
              <w:t>50 Hz</w:t>
            </w:r>
          </w:p>
        </w:tc>
        <w:tc>
          <w:tcPr>
            <w:tcW w:w="1218" w:type="dxa"/>
          </w:tcPr>
          <w:p w:rsidR="004C4AE2" w:rsidRPr="009E3C44" w:rsidRDefault="004C4AE2" w:rsidP="00AC29F9">
            <w:pPr>
              <w:pStyle w:val="Tablehead"/>
              <w:ind w:left="-90"/>
            </w:pPr>
            <w:r w:rsidRPr="009E3C44">
              <w:t>60 Hz</w:t>
            </w:r>
          </w:p>
        </w:tc>
        <w:tc>
          <w:tcPr>
            <w:tcW w:w="1625" w:type="dxa"/>
          </w:tcPr>
          <w:p w:rsidR="004C4AE2" w:rsidRPr="009E3C44" w:rsidRDefault="004C4AE2" w:rsidP="00AC29F9">
            <w:pPr>
              <w:pStyle w:val="Tablehead"/>
              <w:ind w:left="-90"/>
            </w:pPr>
            <w:r w:rsidRPr="009E3C44">
              <w:t>59</w:t>
            </w:r>
            <w:r>
              <w:t>,</w:t>
            </w:r>
            <w:r w:rsidRPr="009E3C44">
              <w:t>94 Hz</w:t>
            </w:r>
          </w:p>
        </w:tc>
      </w:tr>
      <w:tr w:rsidR="004C4AE2" w:rsidRPr="009E3C44" w:rsidTr="00AC29F9">
        <w:trPr>
          <w:jc w:val="center"/>
        </w:trPr>
        <w:tc>
          <w:tcPr>
            <w:tcW w:w="1985" w:type="dxa"/>
          </w:tcPr>
          <w:p w:rsidR="004C4AE2" w:rsidRPr="009E3C44" w:rsidRDefault="004C4AE2" w:rsidP="00AC29F9">
            <w:pPr>
              <w:pStyle w:val="Tabletext"/>
              <w:ind w:left="-90"/>
              <w:jc w:val="center"/>
            </w:pPr>
            <w:r w:rsidRPr="009E3C44">
              <w:t>48</w:t>
            </w:r>
          </w:p>
        </w:tc>
        <w:tc>
          <w:tcPr>
            <w:tcW w:w="1276" w:type="dxa"/>
          </w:tcPr>
          <w:p w:rsidR="004C4AE2" w:rsidRPr="009E3C44" w:rsidRDefault="004C4AE2" w:rsidP="00AC29F9">
            <w:pPr>
              <w:pStyle w:val="Tabletext"/>
              <w:ind w:left="-90"/>
              <w:jc w:val="center"/>
            </w:pPr>
            <w:r w:rsidRPr="009E3C44">
              <w:t>1920</w:t>
            </w:r>
          </w:p>
        </w:tc>
        <w:tc>
          <w:tcPr>
            <w:tcW w:w="1134" w:type="dxa"/>
          </w:tcPr>
          <w:p w:rsidR="004C4AE2" w:rsidRPr="009E3C44" w:rsidRDefault="004C4AE2" w:rsidP="00AC29F9">
            <w:pPr>
              <w:pStyle w:val="Tabletext"/>
              <w:ind w:left="-90"/>
              <w:jc w:val="center"/>
            </w:pPr>
            <w:r w:rsidRPr="009E3C44">
              <w:t>1600</w:t>
            </w:r>
          </w:p>
        </w:tc>
        <w:tc>
          <w:tcPr>
            <w:tcW w:w="1247" w:type="dxa"/>
          </w:tcPr>
          <w:p w:rsidR="004C4AE2" w:rsidRPr="009E3C44" w:rsidRDefault="004C4AE2" w:rsidP="00AC29F9">
            <w:pPr>
              <w:pStyle w:val="Tabletext"/>
              <w:ind w:left="-90"/>
              <w:jc w:val="center"/>
            </w:pPr>
            <w:r w:rsidRPr="009E3C44">
              <w:t>8008/5</w:t>
            </w:r>
          </w:p>
        </w:tc>
        <w:tc>
          <w:tcPr>
            <w:tcW w:w="1154" w:type="dxa"/>
          </w:tcPr>
          <w:p w:rsidR="004C4AE2" w:rsidRPr="009E3C44" w:rsidRDefault="004C4AE2" w:rsidP="00AC29F9">
            <w:pPr>
              <w:pStyle w:val="Tabletext"/>
              <w:ind w:left="-90"/>
              <w:jc w:val="center"/>
            </w:pPr>
            <w:r w:rsidRPr="009E3C44">
              <w:t>960</w:t>
            </w:r>
          </w:p>
        </w:tc>
        <w:tc>
          <w:tcPr>
            <w:tcW w:w="1218" w:type="dxa"/>
          </w:tcPr>
          <w:p w:rsidR="004C4AE2" w:rsidRPr="009E3C44" w:rsidRDefault="004C4AE2" w:rsidP="00AC29F9">
            <w:pPr>
              <w:pStyle w:val="Tabletext"/>
              <w:ind w:left="-90"/>
              <w:jc w:val="center"/>
            </w:pPr>
            <w:r w:rsidRPr="009E3C44">
              <w:t>800</w:t>
            </w:r>
          </w:p>
        </w:tc>
        <w:tc>
          <w:tcPr>
            <w:tcW w:w="1625" w:type="dxa"/>
          </w:tcPr>
          <w:p w:rsidR="004C4AE2" w:rsidRPr="009E3C44" w:rsidRDefault="004C4AE2" w:rsidP="00AC29F9">
            <w:pPr>
              <w:pStyle w:val="Tabletext"/>
              <w:ind w:left="-90"/>
              <w:jc w:val="center"/>
            </w:pPr>
            <w:r w:rsidRPr="009E3C44">
              <w:t>4004/5</w:t>
            </w:r>
          </w:p>
        </w:tc>
      </w:tr>
      <w:tr w:rsidR="004C4AE2" w:rsidRPr="009E3C44" w:rsidTr="00AC29F9">
        <w:trPr>
          <w:jc w:val="center"/>
        </w:trPr>
        <w:tc>
          <w:tcPr>
            <w:tcW w:w="1985" w:type="dxa"/>
          </w:tcPr>
          <w:p w:rsidR="004C4AE2" w:rsidRPr="009E3C44" w:rsidRDefault="004C4AE2" w:rsidP="00AC29F9">
            <w:pPr>
              <w:pStyle w:val="Tabletext"/>
              <w:ind w:left="-90"/>
              <w:jc w:val="center"/>
            </w:pPr>
            <w:r w:rsidRPr="009E3C44">
              <w:t>96</w:t>
            </w:r>
          </w:p>
        </w:tc>
        <w:tc>
          <w:tcPr>
            <w:tcW w:w="1276" w:type="dxa"/>
          </w:tcPr>
          <w:p w:rsidR="004C4AE2" w:rsidRPr="009E3C44" w:rsidRDefault="004C4AE2" w:rsidP="00AC29F9">
            <w:pPr>
              <w:pStyle w:val="Tabletext"/>
              <w:ind w:left="-90"/>
              <w:jc w:val="center"/>
            </w:pPr>
            <w:r w:rsidRPr="009E3C44">
              <w:t>3840</w:t>
            </w:r>
          </w:p>
        </w:tc>
        <w:tc>
          <w:tcPr>
            <w:tcW w:w="1134" w:type="dxa"/>
          </w:tcPr>
          <w:p w:rsidR="004C4AE2" w:rsidRPr="009E3C44" w:rsidRDefault="004C4AE2" w:rsidP="00AC29F9">
            <w:pPr>
              <w:pStyle w:val="Tabletext"/>
              <w:ind w:left="-90"/>
              <w:jc w:val="center"/>
            </w:pPr>
            <w:r w:rsidRPr="009E3C44">
              <w:t>3200</w:t>
            </w:r>
          </w:p>
        </w:tc>
        <w:tc>
          <w:tcPr>
            <w:tcW w:w="1247" w:type="dxa"/>
          </w:tcPr>
          <w:p w:rsidR="004C4AE2" w:rsidRPr="009E3C44" w:rsidRDefault="004C4AE2" w:rsidP="00AC29F9">
            <w:pPr>
              <w:pStyle w:val="Tabletext"/>
              <w:ind w:left="-90"/>
              <w:jc w:val="center"/>
            </w:pPr>
            <w:r w:rsidRPr="009E3C44">
              <w:t>16016/5</w:t>
            </w:r>
          </w:p>
        </w:tc>
        <w:tc>
          <w:tcPr>
            <w:tcW w:w="1154" w:type="dxa"/>
          </w:tcPr>
          <w:p w:rsidR="004C4AE2" w:rsidRPr="009E3C44" w:rsidRDefault="004C4AE2" w:rsidP="00AC29F9">
            <w:pPr>
              <w:pStyle w:val="Tabletext"/>
              <w:ind w:left="-90"/>
              <w:jc w:val="center"/>
            </w:pPr>
            <w:r w:rsidRPr="009E3C44">
              <w:t>1920</w:t>
            </w:r>
          </w:p>
        </w:tc>
        <w:tc>
          <w:tcPr>
            <w:tcW w:w="1218" w:type="dxa"/>
          </w:tcPr>
          <w:p w:rsidR="004C4AE2" w:rsidRPr="009E3C44" w:rsidRDefault="004C4AE2" w:rsidP="00AC29F9">
            <w:pPr>
              <w:pStyle w:val="Tabletext"/>
              <w:ind w:left="-90"/>
              <w:jc w:val="center"/>
            </w:pPr>
            <w:r w:rsidRPr="009E3C44">
              <w:t>1600</w:t>
            </w:r>
          </w:p>
        </w:tc>
        <w:tc>
          <w:tcPr>
            <w:tcW w:w="1625" w:type="dxa"/>
          </w:tcPr>
          <w:p w:rsidR="004C4AE2" w:rsidRPr="009E3C44" w:rsidRDefault="004C4AE2" w:rsidP="00AC29F9">
            <w:pPr>
              <w:pStyle w:val="Tabletext"/>
              <w:ind w:left="-90"/>
              <w:jc w:val="center"/>
            </w:pPr>
            <w:r w:rsidRPr="009E3C44">
              <w:t>8008/5</w:t>
            </w:r>
          </w:p>
        </w:tc>
      </w:tr>
    </w:tbl>
    <w:p w:rsidR="004C4AE2" w:rsidRPr="009E3C44" w:rsidRDefault="004C4AE2" w:rsidP="004C4AE2">
      <w:pPr>
        <w:pStyle w:val="Tablefin"/>
        <w:spacing w:line="360" w:lineRule="auto"/>
        <w:rPr>
          <w:lang w:val="fr-FR"/>
        </w:rPr>
      </w:pPr>
    </w:p>
    <w:p w:rsidR="004C4AE2" w:rsidRPr="009E3C44" w:rsidRDefault="004C4AE2" w:rsidP="004C4AE2">
      <w:pPr>
        <w:pStyle w:val="Heading3"/>
      </w:pPr>
      <w:r w:rsidRPr="009E3C44">
        <w:t>1.5.2</w:t>
      </w:r>
      <w:r w:rsidRPr="009E3C44">
        <w:tab/>
      </w:r>
      <w:r>
        <w:t xml:space="preserve">Rapports </w:t>
      </w:r>
      <w:r w:rsidRPr="00CE74EC">
        <w:t>exprimé</w:t>
      </w:r>
      <w:r>
        <w:t>s par un entier</w:t>
      </w:r>
    </w:p>
    <w:p w:rsidR="004C4AE2" w:rsidRPr="009E3C44" w:rsidRDefault="004C4AE2" w:rsidP="004C4AE2">
      <w:r>
        <w:t>Dans le cas de systèmes vidéo avec un nombre entier de trames de la Recommandation UIT</w:t>
      </w:r>
      <w:r w:rsidRPr="009E3C44">
        <w:t>-R BS.647</w:t>
      </w:r>
      <w:r>
        <w:t xml:space="preserve"> dans une seule trame vidéo, le signal audio de la Recommandation UIT</w:t>
      </w:r>
      <w:r w:rsidRPr="009E3C44">
        <w:t xml:space="preserve">-R BS.647 </w:t>
      </w:r>
      <w:r>
        <w:t>peut être calé de manière synchrone sur le signal vidéo.</w:t>
      </w:r>
    </w:p>
    <w:p w:rsidR="004C4AE2" w:rsidRPr="009E3C44" w:rsidRDefault="004C4AE2" w:rsidP="004C4AE2">
      <w:pPr>
        <w:pStyle w:val="Heading3"/>
      </w:pPr>
      <w:r w:rsidRPr="009E3C44">
        <w:t>1.5.3</w:t>
      </w:r>
      <w:r w:rsidRPr="009E3C44">
        <w:tab/>
      </w:r>
      <w:r>
        <w:t xml:space="preserve">Rapports exprimés par un </w:t>
      </w:r>
      <w:r w:rsidRPr="00ED0B1A">
        <w:t>nombre non entier</w:t>
      </w:r>
      <w:r>
        <w:t xml:space="preserve"> </w:t>
      </w:r>
      <w:r w:rsidRPr="009E3C44">
        <w:t xml:space="preserve">– </w:t>
      </w:r>
      <w:r>
        <w:t xml:space="preserve">verrouillage à </w:t>
      </w:r>
      <w:r w:rsidRPr="009E3C44">
        <w:t>5</w:t>
      </w:r>
      <w:r>
        <w:t xml:space="preserve"> t</w:t>
      </w:r>
      <w:r w:rsidRPr="009E3C44">
        <w:t>rame</w:t>
      </w:r>
      <w:r>
        <w:t>s</w:t>
      </w:r>
    </w:p>
    <w:p w:rsidR="004C4AE2" w:rsidRPr="009E3C44" w:rsidRDefault="004C4AE2" w:rsidP="00EF6032">
      <w:r>
        <w:t>Dans le cas de systèmes vidéo avec des fractions de trames de la Recommandation UIT</w:t>
      </w:r>
      <w:r w:rsidRPr="009E3C44">
        <w:t>-R BS.647</w:t>
      </w:r>
      <w:r>
        <w:t xml:space="preserve"> dans une seule trame vidéo, les horloges d'échantillonnage audio de cette Recommandation peuvent être verrouillées au moyen du signal de référence vidéo défini dans l'Appendice 3. En pareil cas, il y a un cycle de verrouillage de </w:t>
      </w:r>
      <w:r w:rsidR="00EF6032">
        <w:t>5</w:t>
      </w:r>
      <w:r>
        <w:t xml:space="preserve"> trames.</w:t>
      </w:r>
    </w:p>
    <w:p w:rsidR="004C4AE2" w:rsidRPr="009E3C44" w:rsidRDefault="004C4AE2" w:rsidP="004C4AE2">
      <w:pPr>
        <w:pStyle w:val="Heading3"/>
      </w:pPr>
      <w:r w:rsidRPr="009E3C44">
        <w:t>1.5.4</w:t>
      </w:r>
      <w:r w:rsidRPr="009E3C44">
        <w:tab/>
      </w:r>
      <w:r>
        <w:t xml:space="preserve">Rapports exprimés par un </w:t>
      </w:r>
      <w:r w:rsidRPr="00ED0B1A">
        <w:t>nombre non entier</w:t>
      </w:r>
      <w:r>
        <w:t xml:space="preserve"> </w:t>
      </w:r>
      <w:r w:rsidRPr="009E3C44">
        <w:t xml:space="preserve">– </w:t>
      </w:r>
      <w:r>
        <w:t>verrouillage aléatoire</w:t>
      </w:r>
    </w:p>
    <w:p w:rsidR="004C4AE2" w:rsidRPr="009E3C44" w:rsidRDefault="004C4AE2" w:rsidP="004C4AE2">
      <w:r>
        <w:t xml:space="preserve">L'horloge d'échantillonnage audio est habituellement synchronisée sur une trame vidéo de manière aléatoire. Alors que la fréquence de l'horloge d'échantillonnage sera verrouillée, la </w:t>
      </w:r>
      <w:r w:rsidRPr="00E81FF6">
        <w:t>mise en phase</w:t>
      </w:r>
      <w:r>
        <w:t xml:space="preserve"> absolu</w:t>
      </w:r>
      <w:r w:rsidRPr="009E3C44">
        <w:t>e</w:t>
      </w:r>
      <w:r>
        <w:t xml:space="preserve"> ne sera pas maintenue. Les systèmes qui utilisent ce moyen de verrouillage nécessitent des mémoires tampons pour assurer la mise en phase de tous les équipements.</w:t>
      </w:r>
    </w:p>
    <w:p w:rsidR="004C4AE2" w:rsidRDefault="004C4AE2" w:rsidP="00EF6032">
      <w:r w:rsidRPr="009E3C44">
        <w:t xml:space="preserve">NOTE – </w:t>
      </w:r>
      <w:r>
        <w:t xml:space="preserve">Même si tout est mis en œuvre pour maintenir une séquence de 5 trames, il n'est pas rare qu'il y ait un nombre inférieur ou supérieur d'échantillons à l'intérieur de la séquence de </w:t>
      </w:r>
      <w:r w:rsidR="00EF6032">
        <w:t>5 </w:t>
      </w:r>
      <w:r>
        <w:t>trames. Ces écarts se produisent lorsque les éléments sont édités ou commutés.</w:t>
      </w:r>
    </w:p>
    <w:p w:rsidR="004C4AE2" w:rsidRPr="009E3C44" w:rsidRDefault="004C4AE2" w:rsidP="004C4AE2">
      <w:pPr>
        <w:pStyle w:val="Heading1"/>
      </w:pPr>
      <w:r w:rsidRPr="009E3C44">
        <w:lastRenderedPageBreak/>
        <w:t>2</w:t>
      </w:r>
      <w:r w:rsidRPr="009E3C44">
        <w:tab/>
      </w:r>
      <w:r>
        <w:t xml:space="preserve">Pratique recommandée pour la synchronisation des équipements </w:t>
      </w:r>
    </w:p>
    <w:p w:rsidR="004C4AE2" w:rsidRPr="009E3C44" w:rsidRDefault="004C4AE2" w:rsidP="004C4AE2">
      <w:pPr>
        <w:pStyle w:val="Heading2"/>
      </w:pPr>
      <w:r w:rsidRPr="009E3C44">
        <w:t>2.1</w:t>
      </w:r>
      <w:r w:rsidRPr="009E3C44">
        <w:tab/>
      </w:r>
      <w:r>
        <w:t xml:space="preserve">Prescriptions applicables au signal </w:t>
      </w:r>
      <w:r w:rsidRPr="009E3C44">
        <w:t>DARS</w:t>
      </w:r>
      <w:r>
        <w:t xml:space="preserve"> </w:t>
      </w:r>
    </w:p>
    <w:p w:rsidR="004C4AE2" w:rsidRPr="009E3C44" w:rsidRDefault="004C4AE2" w:rsidP="004C4AE2">
      <w:pPr>
        <w:pStyle w:val="Heading3"/>
      </w:pPr>
      <w:r w:rsidRPr="009E3C44">
        <w:t>2.1.1</w:t>
      </w:r>
      <w:r w:rsidRPr="009E3C44">
        <w:tab/>
      </w:r>
      <w:r>
        <w:t xml:space="preserve">Format du signal </w:t>
      </w:r>
      <w:r w:rsidRPr="009E3C44">
        <w:t>DARS</w:t>
      </w:r>
      <w:r>
        <w:t xml:space="preserve"> </w:t>
      </w:r>
    </w:p>
    <w:p w:rsidR="004C4AE2" w:rsidRDefault="004C4AE2" w:rsidP="004C4AE2">
      <w:r>
        <w:t xml:space="preserve">Le signal </w:t>
      </w:r>
      <w:r w:rsidRPr="009E3C44">
        <w:t xml:space="preserve">DARS </w:t>
      </w:r>
      <w:r>
        <w:t>doit avoir le format et la configuration électronique de l'interface audionumérique à deux canaux et utiliser le même connecteur que celui indiqué dans la Recommandation</w:t>
      </w:r>
      <w:r w:rsidRPr="00C7147D">
        <w:t xml:space="preserve"> </w:t>
      </w:r>
      <w:r>
        <w:t>UIT</w:t>
      </w:r>
      <w:r w:rsidRPr="009E3C44">
        <w:t>-R BS.647.</w:t>
      </w:r>
      <w:r>
        <w:t xml:space="preserve"> Cependant, la structure de base du format de l'interface audionumérique, lorsque seul le préambule est actif, doit être acceptable en tant que signal de synchronisation audionumérique.</w:t>
      </w:r>
    </w:p>
    <w:p w:rsidR="004C4AE2" w:rsidRPr="009E3C44" w:rsidRDefault="004C4AE2" w:rsidP="004C4AE2">
      <w:pPr>
        <w:pStyle w:val="Heading3"/>
      </w:pPr>
      <w:r w:rsidRPr="009E3C44">
        <w:t>2.1.2</w:t>
      </w:r>
      <w:r w:rsidRPr="009E3C44">
        <w:tab/>
      </w:r>
      <w:r>
        <w:t xml:space="preserve">Qualité du signal </w:t>
      </w:r>
      <w:r w:rsidRPr="009E3C44">
        <w:t>DARS</w:t>
      </w:r>
      <w:r>
        <w:t xml:space="preserve"> </w:t>
      </w:r>
    </w:p>
    <w:p w:rsidR="00EF6032" w:rsidRDefault="004C4AE2" w:rsidP="004C4AE2">
      <w:r>
        <w:t>Un signal</w:t>
      </w:r>
      <w:r w:rsidRPr="00E81B8D">
        <w:t xml:space="preserve"> </w:t>
      </w:r>
      <w:r w:rsidRPr="009E3C44">
        <w:t>DARS</w:t>
      </w:r>
      <w:r>
        <w:t xml:space="preserve"> peut être classé dans la catégorie </w:t>
      </w:r>
      <w:r w:rsidRPr="00C7147D">
        <w:t>de</w:t>
      </w:r>
      <w:r>
        <w:t xml:space="preserve"> q</w:t>
      </w:r>
      <w:r w:rsidRPr="00C7147D">
        <w:t>ualité 1</w:t>
      </w:r>
      <w:r>
        <w:t xml:space="preserve"> ou 2. Voir également le </w:t>
      </w:r>
      <w:r w:rsidRPr="009E3C44">
        <w:t xml:space="preserve">§ </w:t>
      </w:r>
      <w:r w:rsidRPr="009E3C44">
        <w:rPr>
          <w:lang w:eastAsia="ja-JP"/>
        </w:rPr>
        <w:t>2.2</w:t>
      </w:r>
      <w:r w:rsidRPr="009E3C44">
        <w:t>.</w:t>
      </w:r>
    </w:p>
    <w:p w:rsidR="004C4AE2" w:rsidRPr="009E3C44" w:rsidRDefault="004C4AE2" w:rsidP="004C4AE2">
      <w:r>
        <w:t>Pour respecter la présente Recommandation, seul un signal de la qualité 1 est permis.</w:t>
      </w:r>
    </w:p>
    <w:p w:rsidR="004C4AE2" w:rsidRPr="009E3C44" w:rsidRDefault="004C4AE2" w:rsidP="004C4AE2">
      <w:pPr>
        <w:pStyle w:val="Heading4"/>
      </w:pPr>
      <w:r w:rsidRPr="009E3C44">
        <w:t>2.1.2.1</w:t>
      </w:r>
      <w:r w:rsidRPr="009E3C44">
        <w:tab/>
      </w:r>
      <w:r>
        <w:t>Qualité</w:t>
      </w:r>
      <w:r w:rsidRPr="009E3C44">
        <w:t xml:space="preserve"> 1</w:t>
      </w:r>
    </w:p>
    <w:p w:rsidR="004C4AE2" w:rsidRPr="009E3C44" w:rsidRDefault="004C4AE2" w:rsidP="004C4AE2">
      <w:r>
        <w:t xml:space="preserve">Un signal </w:t>
      </w:r>
      <w:r w:rsidRPr="009E3C44">
        <w:t>DARS</w:t>
      </w:r>
      <w:r>
        <w:t xml:space="preserve"> de qualité 1 est un signal de haute précision destiné à assurer la synchronisation systématique d'</w:t>
      </w:r>
      <w:r w:rsidRPr="006711BE">
        <w:t>un complexe de studios</w:t>
      </w:r>
      <w:r>
        <w:t xml:space="preserve"> multiples et peut également être utilisé pour un studio autonome.</w:t>
      </w:r>
    </w:p>
    <w:p w:rsidR="004C4AE2" w:rsidRPr="009E3C44" w:rsidRDefault="004C4AE2" w:rsidP="004C4AE2">
      <w:pPr>
        <w:pStyle w:val="Heading3"/>
      </w:pPr>
      <w:r w:rsidRPr="009E3C44">
        <w:t>2.1.3</w:t>
      </w:r>
      <w:r w:rsidRPr="009E3C44">
        <w:tab/>
        <w:t>Identification</w:t>
      </w:r>
      <w:r>
        <w:t xml:space="preserve"> du signal </w:t>
      </w:r>
      <w:r w:rsidRPr="009E3C44">
        <w:t>DARS</w:t>
      </w:r>
      <w:r>
        <w:t xml:space="preserve"> </w:t>
      </w:r>
    </w:p>
    <w:p w:rsidR="004C4AE2" w:rsidRPr="009E3C44" w:rsidRDefault="004C4AE2" w:rsidP="004C4AE2">
      <w:r>
        <w:t xml:space="preserve">Un signal </w:t>
      </w:r>
      <w:r w:rsidRPr="009E3C44">
        <w:t>DARS</w:t>
      </w:r>
      <w:r>
        <w:t xml:space="preserve">, qui a principalement pour objectif la synchronisation en studio, sera identifié comme étant destiné à être utilisé par l'octet </w:t>
      </w:r>
      <w:r w:rsidRPr="009E3C44">
        <w:t>4,</w:t>
      </w:r>
      <w:r>
        <w:t xml:space="preserve"> avec les</w:t>
      </w:r>
      <w:r w:rsidRPr="009E3C44">
        <w:t xml:space="preserve"> bits 0 </w:t>
      </w:r>
      <w:r>
        <w:t xml:space="preserve">et </w:t>
      </w:r>
      <w:r w:rsidRPr="009E3C44">
        <w:t xml:space="preserve">1, </w:t>
      </w:r>
      <w:r>
        <w:t>de l'état du canal de la Recommandation</w:t>
      </w:r>
      <w:r w:rsidRPr="009E3C44">
        <w:t xml:space="preserve"> </w:t>
      </w:r>
      <w:r>
        <w:t>UIT</w:t>
      </w:r>
      <w:r w:rsidRPr="009E3C44">
        <w:t>-R BS.647</w:t>
      </w:r>
      <w:r>
        <w:t>.</w:t>
      </w:r>
    </w:p>
    <w:p w:rsidR="004C4AE2" w:rsidRPr="009E3C44" w:rsidRDefault="004C4AE2" w:rsidP="004C4AE2">
      <w:pPr>
        <w:pStyle w:val="TableNo"/>
        <w:rPr>
          <w:lang w:eastAsia="ja-JP"/>
        </w:rPr>
      </w:pPr>
      <w:r w:rsidRPr="009E3C44">
        <w:rPr>
          <w:lang w:eastAsia="ja-JP"/>
        </w:rPr>
        <w:t>TABLE</w:t>
      </w:r>
      <w:r>
        <w:rPr>
          <w:lang w:eastAsia="ja-JP"/>
        </w:rPr>
        <w:t>AU</w:t>
      </w:r>
      <w:r w:rsidRPr="009E3C44">
        <w:rPr>
          <w:lang w:eastAsia="ja-JP"/>
        </w:rPr>
        <w:t xml:space="preserve"> 2</w:t>
      </w:r>
    </w:p>
    <w:p w:rsidR="004C4AE2" w:rsidRPr="009E3C44" w:rsidRDefault="004C4AE2" w:rsidP="004C4AE2">
      <w:pPr>
        <w:pStyle w:val="Tabletitle"/>
        <w:rPr>
          <w:lang w:eastAsia="ja-JP"/>
        </w:rPr>
      </w:pPr>
      <w:r>
        <w:rPr>
          <w:lang w:eastAsia="ja-JP"/>
        </w:rPr>
        <w:t>Octet</w:t>
      </w:r>
      <w:r w:rsidRPr="009E3C44">
        <w:rPr>
          <w:lang w:eastAsia="ja-JP"/>
        </w:rPr>
        <w:t xml:space="preserve"> 4, </w:t>
      </w:r>
      <w:r w:rsidRPr="009E3C44">
        <w:t xml:space="preserve">bits </w:t>
      </w:r>
      <w:r w:rsidRPr="009E3C44">
        <w:rPr>
          <w:lang w:eastAsia="ja-JP"/>
        </w:rPr>
        <w:t>0</w:t>
      </w:r>
      <w:r w:rsidRPr="009E3C44">
        <w:t xml:space="preserve"> </w:t>
      </w:r>
      <w:r>
        <w:t xml:space="preserve">et </w:t>
      </w:r>
      <w:r w:rsidRPr="009E3C44">
        <w:rPr>
          <w:lang w:eastAsia="ja-JP"/>
        </w:rPr>
        <w:t xml:space="preserve">1: </w:t>
      </w:r>
      <w:r>
        <w:t xml:space="preserve">signal </w:t>
      </w:r>
      <w:r w:rsidRPr="009E3C44">
        <w:rPr>
          <w:lang w:eastAsia="ja-JP"/>
        </w:rPr>
        <w:t>DARS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4C4AE2" w:rsidRPr="009E3C44" w:rsidTr="00AC29F9">
        <w:trPr>
          <w:jc w:val="center"/>
        </w:trPr>
        <w:tc>
          <w:tcPr>
            <w:tcW w:w="1307" w:type="dxa"/>
          </w:tcPr>
          <w:p w:rsidR="004C4AE2" w:rsidRPr="009E3C44" w:rsidRDefault="004C4AE2" w:rsidP="00AC29F9">
            <w:pPr>
              <w:pStyle w:val="Tablehead"/>
            </w:pPr>
            <w:r w:rsidRPr="009E3C44">
              <w:t>Bits</w:t>
            </w:r>
          </w:p>
        </w:tc>
        <w:tc>
          <w:tcPr>
            <w:tcW w:w="1143" w:type="dxa"/>
          </w:tcPr>
          <w:p w:rsidR="004C4AE2" w:rsidRPr="009E3C44" w:rsidRDefault="004C4AE2" w:rsidP="00AC29F9">
            <w:pPr>
              <w:pStyle w:val="Tablehead"/>
            </w:pPr>
            <w:r w:rsidRPr="009E3C44">
              <w:t>1 0</w:t>
            </w:r>
          </w:p>
        </w:tc>
        <w:tc>
          <w:tcPr>
            <w:tcW w:w="7189" w:type="dxa"/>
          </w:tcPr>
          <w:p w:rsidR="004C4AE2" w:rsidRPr="009E3C44" w:rsidRDefault="004C4AE2" w:rsidP="00AC29F9">
            <w:pPr>
              <w:pStyle w:val="Tablehead"/>
            </w:pPr>
            <w:r>
              <w:t xml:space="preserve">Signal de référence audionumérique </w:t>
            </w:r>
          </w:p>
        </w:tc>
      </w:tr>
      <w:tr w:rsidR="004C4AE2" w:rsidRPr="009E3C44" w:rsidTr="00AC29F9">
        <w:trPr>
          <w:jc w:val="center"/>
        </w:trPr>
        <w:tc>
          <w:tcPr>
            <w:tcW w:w="1307" w:type="dxa"/>
            <w:vMerge w:val="restart"/>
            <w:vAlign w:val="center"/>
          </w:tcPr>
          <w:p w:rsidR="004C4AE2" w:rsidRPr="009E3C44" w:rsidRDefault="004C4AE2" w:rsidP="00AC29F9">
            <w:pPr>
              <w:pStyle w:val="Tabletext"/>
              <w:jc w:val="center"/>
            </w:pPr>
            <w:r>
              <w:t>Etats</w:t>
            </w:r>
          </w:p>
        </w:tc>
        <w:tc>
          <w:tcPr>
            <w:tcW w:w="1143" w:type="dxa"/>
          </w:tcPr>
          <w:p w:rsidR="004C4AE2" w:rsidRPr="009E3C44" w:rsidRDefault="004C4AE2" w:rsidP="00AC29F9">
            <w:pPr>
              <w:pStyle w:val="Tabletext"/>
              <w:keepNext/>
              <w:keepLines/>
              <w:tabs>
                <w:tab w:val="left" w:leader="dot" w:pos="7938"/>
                <w:tab w:val="center" w:pos="9526"/>
              </w:tabs>
              <w:ind w:left="567" w:hanging="567"/>
              <w:jc w:val="center"/>
              <w:rPr>
                <w:rStyle w:val="code-courier"/>
              </w:rPr>
            </w:pPr>
            <w:r w:rsidRPr="009E3C44">
              <w:rPr>
                <w:rStyle w:val="code-courier"/>
              </w:rPr>
              <w:t>0 0</w:t>
            </w:r>
          </w:p>
        </w:tc>
        <w:tc>
          <w:tcPr>
            <w:tcW w:w="7189" w:type="dxa"/>
          </w:tcPr>
          <w:p w:rsidR="004C4AE2" w:rsidRPr="009E3C44" w:rsidRDefault="004C4AE2" w:rsidP="00AC29F9">
            <w:pPr>
              <w:pStyle w:val="Tabletext"/>
            </w:pPr>
            <w:r>
              <w:t xml:space="preserve">Pas de signal de référence (par défaut) </w:t>
            </w:r>
          </w:p>
        </w:tc>
      </w:tr>
      <w:tr w:rsidR="004C4AE2" w:rsidRPr="009E3C44" w:rsidTr="00AC29F9">
        <w:trPr>
          <w:jc w:val="center"/>
        </w:trPr>
        <w:tc>
          <w:tcPr>
            <w:tcW w:w="1307" w:type="dxa"/>
            <w:vMerge/>
          </w:tcPr>
          <w:p w:rsidR="004C4AE2" w:rsidRPr="009E3C44" w:rsidRDefault="004C4AE2" w:rsidP="00AC29F9">
            <w:pPr>
              <w:pStyle w:val="Tabletext"/>
            </w:pPr>
          </w:p>
        </w:tc>
        <w:tc>
          <w:tcPr>
            <w:tcW w:w="1143" w:type="dxa"/>
          </w:tcPr>
          <w:p w:rsidR="004C4AE2" w:rsidRPr="009E3C44" w:rsidRDefault="004C4AE2" w:rsidP="00AC29F9">
            <w:pPr>
              <w:pStyle w:val="Tabletext"/>
              <w:keepNext/>
              <w:jc w:val="center"/>
              <w:rPr>
                <w:rStyle w:val="code-courier"/>
              </w:rPr>
            </w:pPr>
            <w:r w:rsidRPr="009E3C44">
              <w:rPr>
                <w:rStyle w:val="code-courier"/>
              </w:rPr>
              <w:t>1 0</w:t>
            </w:r>
          </w:p>
        </w:tc>
        <w:tc>
          <w:tcPr>
            <w:tcW w:w="7189" w:type="dxa"/>
          </w:tcPr>
          <w:p w:rsidR="004C4AE2" w:rsidRPr="009E3C44" w:rsidRDefault="004C4AE2" w:rsidP="00AC29F9">
            <w:pPr>
              <w:pStyle w:val="Tabletext"/>
            </w:pPr>
            <w:r>
              <w:t xml:space="preserve">Signal de référence de qualité 1 </w:t>
            </w:r>
          </w:p>
        </w:tc>
      </w:tr>
      <w:tr w:rsidR="004C4AE2" w:rsidRPr="009E3C44" w:rsidTr="00AC29F9">
        <w:trPr>
          <w:jc w:val="center"/>
        </w:trPr>
        <w:tc>
          <w:tcPr>
            <w:tcW w:w="1307" w:type="dxa"/>
            <w:vMerge/>
          </w:tcPr>
          <w:p w:rsidR="004C4AE2" w:rsidRPr="009E3C44" w:rsidRDefault="004C4AE2" w:rsidP="00AC29F9">
            <w:pPr>
              <w:pStyle w:val="Tabletext"/>
            </w:pPr>
          </w:p>
        </w:tc>
        <w:tc>
          <w:tcPr>
            <w:tcW w:w="1143" w:type="dxa"/>
          </w:tcPr>
          <w:p w:rsidR="004C4AE2" w:rsidRPr="009E3C44" w:rsidRDefault="004C4AE2" w:rsidP="00AC29F9">
            <w:pPr>
              <w:pStyle w:val="Tabletext"/>
              <w:keepNext/>
              <w:jc w:val="center"/>
              <w:rPr>
                <w:rStyle w:val="code-courier"/>
              </w:rPr>
            </w:pPr>
            <w:r w:rsidRPr="009E3C44">
              <w:rPr>
                <w:rStyle w:val="code-courier"/>
              </w:rPr>
              <w:t>0 1</w:t>
            </w:r>
          </w:p>
        </w:tc>
        <w:tc>
          <w:tcPr>
            <w:tcW w:w="7189" w:type="dxa"/>
          </w:tcPr>
          <w:p w:rsidR="004C4AE2" w:rsidRPr="009E3C44" w:rsidRDefault="004C4AE2" w:rsidP="00AC29F9">
            <w:pPr>
              <w:pStyle w:val="Tabletext"/>
              <w:rPr>
                <w:lang w:eastAsia="ja-JP"/>
              </w:rPr>
            </w:pPr>
            <w:r>
              <w:t>Signal de référence de qualité 2</w:t>
            </w:r>
            <w:r w:rsidRPr="009E3C44">
              <w:rPr>
                <w:lang w:eastAsia="ja-JP"/>
              </w:rPr>
              <w:t>*</w:t>
            </w:r>
          </w:p>
        </w:tc>
      </w:tr>
      <w:tr w:rsidR="004C4AE2" w:rsidRPr="009E3C44" w:rsidTr="00AC29F9">
        <w:trPr>
          <w:jc w:val="center"/>
        </w:trPr>
        <w:tc>
          <w:tcPr>
            <w:tcW w:w="1307" w:type="dxa"/>
            <w:vMerge/>
            <w:tcBorders>
              <w:bottom w:val="single" w:sz="4" w:space="0" w:color="auto"/>
            </w:tcBorders>
          </w:tcPr>
          <w:p w:rsidR="004C4AE2" w:rsidRPr="009E3C44" w:rsidRDefault="004C4AE2" w:rsidP="00AC29F9">
            <w:pPr>
              <w:pStyle w:val="Tabletext"/>
            </w:pPr>
          </w:p>
        </w:tc>
        <w:tc>
          <w:tcPr>
            <w:tcW w:w="1143" w:type="dxa"/>
            <w:tcBorders>
              <w:bottom w:val="single" w:sz="4" w:space="0" w:color="auto"/>
            </w:tcBorders>
          </w:tcPr>
          <w:p w:rsidR="004C4AE2" w:rsidRPr="009E3C44" w:rsidRDefault="004C4AE2" w:rsidP="00AC29F9">
            <w:pPr>
              <w:pStyle w:val="Tabletext"/>
              <w:keepNext/>
              <w:jc w:val="center"/>
              <w:rPr>
                <w:rStyle w:val="code-courier"/>
              </w:rPr>
            </w:pPr>
            <w:r w:rsidRPr="009E3C44">
              <w:rPr>
                <w:rStyle w:val="code-courier"/>
              </w:rPr>
              <w:t>1 1</w:t>
            </w:r>
          </w:p>
        </w:tc>
        <w:tc>
          <w:tcPr>
            <w:tcW w:w="7189" w:type="dxa"/>
            <w:tcBorders>
              <w:bottom w:val="single" w:sz="4" w:space="0" w:color="auto"/>
            </w:tcBorders>
          </w:tcPr>
          <w:p w:rsidR="004C4AE2" w:rsidRPr="009E3C44" w:rsidRDefault="004C4AE2" w:rsidP="00AC29F9">
            <w:pPr>
              <w:pStyle w:val="Tabletext"/>
            </w:pPr>
            <w:r>
              <w:t>Les états sont r</w:t>
            </w:r>
            <w:r w:rsidRPr="004D62E0">
              <w:t>éservé</w:t>
            </w:r>
            <w:r>
              <w:t xml:space="preserve">s </w:t>
            </w:r>
            <w:r w:rsidRPr="004D62E0">
              <w:t>et ne ser</w:t>
            </w:r>
            <w:r>
              <w:t xml:space="preserve">ont </w:t>
            </w:r>
            <w:r w:rsidRPr="004D62E0">
              <w:t>utilisé</w:t>
            </w:r>
            <w:r>
              <w:t xml:space="preserve">s </w:t>
            </w:r>
            <w:r w:rsidRPr="004D62E0">
              <w:t>que lorsqu'il</w:t>
            </w:r>
            <w:r>
              <w:t xml:space="preserve">s </w:t>
            </w:r>
            <w:r w:rsidRPr="004D62E0">
              <w:t>auront été définis</w:t>
            </w:r>
            <w:r>
              <w:t xml:space="preserve"> </w:t>
            </w:r>
          </w:p>
        </w:tc>
      </w:tr>
      <w:tr w:rsidR="004C4AE2" w:rsidRPr="009E3C44" w:rsidTr="00AC29F9">
        <w:trPr>
          <w:jc w:val="center"/>
        </w:trPr>
        <w:tc>
          <w:tcPr>
            <w:tcW w:w="9639" w:type="dxa"/>
            <w:gridSpan w:val="3"/>
            <w:tcBorders>
              <w:left w:val="nil"/>
              <w:bottom w:val="nil"/>
            </w:tcBorders>
          </w:tcPr>
          <w:p w:rsidR="004C4AE2" w:rsidRPr="009E3C44" w:rsidRDefault="004C4AE2" w:rsidP="00AC29F9">
            <w:pPr>
              <w:pStyle w:val="Tabletext"/>
            </w:pPr>
            <w:r w:rsidRPr="009E3C44">
              <w:rPr>
                <w:lang w:eastAsia="ja-JP"/>
              </w:rPr>
              <w:t>*</w:t>
            </w:r>
            <w:r w:rsidRPr="009E3C44">
              <w:rPr>
                <w:lang w:eastAsia="ja-JP"/>
              </w:rPr>
              <w:tab/>
            </w:r>
            <w:r>
              <w:rPr>
                <w:lang w:eastAsia="ja-JP"/>
              </w:rPr>
              <w:t>Non utilisé dans la présente Recommandation.</w:t>
            </w:r>
          </w:p>
        </w:tc>
      </w:tr>
    </w:tbl>
    <w:p w:rsidR="004C4AE2" w:rsidRPr="009E3C44" w:rsidRDefault="004C4AE2" w:rsidP="004C4AE2">
      <w:pPr>
        <w:pStyle w:val="Tablefin"/>
        <w:spacing w:line="360" w:lineRule="auto"/>
        <w:rPr>
          <w:lang w:val="fr-FR"/>
        </w:rPr>
      </w:pPr>
    </w:p>
    <w:p w:rsidR="004C4AE2" w:rsidRPr="009E3C44" w:rsidRDefault="004C4AE2" w:rsidP="004C4AE2">
      <w:pPr>
        <w:pStyle w:val="Heading3"/>
      </w:pPr>
      <w:r w:rsidRPr="009E3C44">
        <w:t>2.1.4</w:t>
      </w:r>
      <w:r w:rsidRPr="009E3C44">
        <w:tab/>
      </w:r>
      <w:r>
        <w:t xml:space="preserve">Contenu non audio du signal </w:t>
      </w:r>
      <w:r w:rsidRPr="009E3C44">
        <w:t>DARS</w:t>
      </w:r>
      <w:r>
        <w:t xml:space="preserve"> </w:t>
      </w:r>
    </w:p>
    <w:p w:rsidR="004C4AE2" w:rsidRPr="009E3C44" w:rsidRDefault="004C4AE2" w:rsidP="004C4AE2">
      <w:r>
        <w:t xml:space="preserve">Un signal </w:t>
      </w:r>
      <w:r w:rsidRPr="009E3C44">
        <w:t xml:space="preserve">DARS </w:t>
      </w:r>
      <w:r>
        <w:t xml:space="preserve">sera identifié dans l'état du canal sous forme </w:t>
      </w:r>
      <w:r w:rsidRPr="00BA7602">
        <w:t>de signaux</w:t>
      </w:r>
      <w:r>
        <w:t xml:space="preserve"> «MIC non linéaires» lorsqu'il contient d'autres données qui le rendent inutilisable comme signal audio normal. Voir la Recommandation UIT</w:t>
      </w:r>
      <w:r w:rsidRPr="009E3C44">
        <w:t xml:space="preserve">-R BS.647, </w:t>
      </w:r>
      <w:r>
        <w:t>état du canal.</w:t>
      </w:r>
    </w:p>
    <w:p w:rsidR="004C4AE2" w:rsidRPr="009E3C44" w:rsidRDefault="004C4AE2" w:rsidP="004C4AE2">
      <w:r w:rsidRPr="009E3C44">
        <w:t xml:space="preserve">NOTE – </w:t>
      </w:r>
      <w:r>
        <w:t xml:space="preserve">Un signal </w:t>
      </w:r>
      <w:r w:rsidRPr="009E3C44">
        <w:t>DARS</w:t>
      </w:r>
      <w:r>
        <w:t xml:space="preserve"> peut acheminer une </w:t>
      </w:r>
      <w:r w:rsidRPr="004D62E0">
        <w:t>tonalité d'alignement</w:t>
      </w:r>
      <w:r>
        <w:t xml:space="preserve"> </w:t>
      </w:r>
      <w:r w:rsidRPr="00BA7602">
        <w:t>sous forme de signaux MIC linéaires</w:t>
      </w:r>
      <w:r>
        <w:t>.</w:t>
      </w:r>
    </w:p>
    <w:p w:rsidR="004C4AE2" w:rsidRPr="009E3C44" w:rsidRDefault="004C4AE2" w:rsidP="004C4AE2">
      <w:pPr>
        <w:pStyle w:val="Heading3"/>
      </w:pPr>
      <w:r w:rsidRPr="009E3C44">
        <w:lastRenderedPageBreak/>
        <w:t>2.1.5</w:t>
      </w:r>
      <w:r w:rsidRPr="009E3C44">
        <w:tab/>
        <w:t xml:space="preserve">Date </w:t>
      </w:r>
      <w:r>
        <w:t xml:space="preserve">et heure du signal </w:t>
      </w:r>
      <w:r w:rsidRPr="009E3C44">
        <w:t xml:space="preserve">DARS </w:t>
      </w:r>
    </w:p>
    <w:p w:rsidR="004C4AE2" w:rsidRPr="009E3C44" w:rsidRDefault="004C4AE2" w:rsidP="004C4AE2">
      <w:pPr>
        <w:keepNext/>
        <w:keepLines/>
        <w:rPr>
          <w:i/>
          <w:lang w:eastAsia="ja-JP"/>
        </w:rPr>
      </w:pPr>
      <w:r>
        <w:t xml:space="preserve">Lorsqu'un signal </w:t>
      </w:r>
      <w:r w:rsidRPr="009E3C44">
        <w:t xml:space="preserve">DARS </w:t>
      </w:r>
      <w:r>
        <w:t>est utilisé pour acheminer des informations relatives à la date et à l'heure dans le canal de l'utilisateur, cela sera signalé dans l'état du canal au moyen des bits indiqués dans la Recommandation UIT</w:t>
      </w:r>
      <w:r w:rsidRPr="009E3C44">
        <w:t>-R BS.647</w:t>
      </w:r>
      <w:r w:rsidRPr="009E3C44">
        <w:rPr>
          <w:rStyle w:val="FootnoteReference"/>
        </w:rPr>
        <w:footnoteReference w:id="1"/>
      </w:r>
      <w:r w:rsidRPr="009E3C44">
        <w:rPr>
          <w:i/>
        </w:rPr>
        <w:t xml:space="preserve"> </w:t>
      </w:r>
      <w:r>
        <w:t>pour l'acheminement des métadonnées dans le canal de l'utilisateur.</w:t>
      </w:r>
    </w:p>
    <w:p w:rsidR="004C4AE2" w:rsidRPr="009E3C44" w:rsidRDefault="004C4AE2" w:rsidP="004C4AE2">
      <w:pPr>
        <w:pStyle w:val="Heading3"/>
      </w:pPr>
      <w:r w:rsidRPr="009E3C44">
        <w:t>2.1.6</w:t>
      </w:r>
      <w:r w:rsidRPr="009E3C44">
        <w:tab/>
      </w:r>
      <w:r>
        <w:t xml:space="preserve">Fréquence d'échantillonnage du signal </w:t>
      </w:r>
      <w:r w:rsidRPr="009E3C44">
        <w:t>DARS</w:t>
      </w:r>
      <w:r>
        <w:t xml:space="preserve"> </w:t>
      </w:r>
    </w:p>
    <w:p w:rsidR="004C4AE2" w:rsidRPr="009E3C44" w:rsidRDefault="004C4AE2" w:rsidP="004C4AE2">
      <w:r>
        <w:t xml:space="preserve">Les fréquences d'échantillonnage distribuées au moyen d'un signal </w:t>
      </w:r>
      <w:r w:rsidRPr="009E3C44">
        <w:t>DARS</w:t>
      </w:r>
      <w:r>
        <w:t xml:space="preserve"> seront de </w:t>
      </w:r>
      <w:r w:rsidRPr="009E3C44">
        <w:t>48 kHz</w:t>
      </w:r>
      <w:r>
        <w:t xml:space="preserve"> ou de</w:t>
      </w:r>
      <w:r w:rsidRPr="009E3C44">
        <w:t xml:space="preserve"> 96 kHz</w:t>
      </w:r>
      <w:r>
        <w:t xml:space="preserve"> </w:t>
      </w:r>
      <w:r w:rsidRPr="009E3C44">
        <w:t>(</w:t>
      </w:r>
      <w:r>
        <w:t xml:space="preserve">voir le </w:t>
      </w:r>
      <w:r w:rsidRPr="009E3C44">
        <w:t>§ 2.2.2).</w:t>
      </w:r>
    </w:p>
    <w:p w:rsidR="004C4AE2" w:rsidRPr="009E3C44" w:rsidRDefault="004C4AE2" w:rsidP="004C4AE2">
      <w:pPr>
        <w:pStyle w:val="Heading2"/>
      </w:pPr>
      <w:r w:rsidRPr="009E3C44">
        <w:t>2.2</w:t>
      </w:r>
      <w:r w:rsidRPr="009E3C44">
        <w:tab/>
      </w:r>
      <w:r>
        <w:t xml:space="preserve">Tolérances de fréquences d'échantillonnage dans les équipements </w:t>
      </w:r>
    </w:p>
    <w:p w:rsidR="004C4AE2" w:rsidRPr="009E3C44" w:rsidRDefault="004C4AE2" w:rsidP="004C4AE2">
      <w:pPr>
        <w:pStyle w:val="Heading3"/>
      </w:pPr>
      <w:r w:rsidRPr="009E3C44">
        <w:t>2.2.1</w:t>
      </w:r>
      <w:r w:rsidRPr="009E3C44">
        <w:tab/>
      </w:r>
      <w:r>
        <w:rPr>
          <w:lang w:eastAsia="ja-JP"/>
        </w:rPr>
        <w:t>Précision de fréquence à long terme</w:t>
      </w:r>
    </w:p>
    <w:p w:rsidR="004C4AE2" w:rsidRPr="009E3C44" w:rsidRDefault="004C4AE2" w:rsidP="004C4AE2">
      <w:r>
        <w:t xml:space="preserve">Un signal </w:t>
      </w:r>
      <w:r w:rsidRPr="009E3C44">
        <w:t>DARS</w:t>
      </w:r>
      <w:r>
        <w:t xml:space="preserve"> de qualité 1 doit avoir une précision de fréquence à long terme d'un millionième </w:t>
      </w:r>
      <w:r w:rsidRPr="009E3C44">
        <w:t xml:space="preserve">(ppm) </w:t>
      </w:r>
      <w:r>
        <w:t>par rapport à sa fréquence nominale. Les équipements destinés à fournir des signaux de référence de qualité 1 devront uniquement se verrouiller sur d'autres signaux de référence de qualité 1.</w:t>
      </w:r>
      <w:r>
        <w:rPr>
          <w:lang w:eastAsia="ja-JP"/>
        </w:rPr>
        <w:t xml:space="preserve"> </w:t>
      </w:r>
    </w:p>
    <w:p w:rsidR="004C4AE2" w:rsidRPr="009E3C44" w:rsidRDefault="004C4AE2" w:rsidP="004C4AE2">
      <w:pPr>
        <w:pStyle w:val="Heading3"/>
      </w:pPr>
      <w:r w:rsidRPr="009E3C44">
        <w:t>2.2.2</w:t>
      </w:r>
      <w:r w:rsidRPr="009E3C44">
        <w:tab/>
      </w:r>
      <w:r>
        <w:t>Portée utile</w:t>
      </w:r>
    </w:p>
    <w:p w:rsidR="004C4AE2" w:rsidRDefault="004C4AE2" w:rsidP="004C4AE2">
      <w:pPr>
        <w:rPr>
          <w:lang w:eastAsia="ja-JP"/>
        </w:rPr>
      </w:pPr>
      <w:r>
        <w:rPr>
          <w:lang w:eastAsia="ja-JP"/>
        </w:rPr>
        <w:t>La portée utile minimale des oscillateurs des équipements conçus pour se verrouiller sur des sources externes devrait être de 2 millionièmes pour un équipement de qualité 1.</w:t>
      </w:r>
    </w:p>
    <w:p w:rsidR="004C4AE2" w:rsidRPr="009E3C44" w:rsidRDefault="004C4AE2" w:rsidP="004C4AE2">
      <w:pPr>
        <w:pStyle w:val="Heading2"/>
      </w:pPr>
      <w:r w:rsidRPr="009E3C44">
        <w:t>2.3</w:t>
      </w:r>
      <w:r w:rsidRPr="009E3C44">
        <w:tab/>
      </w:r>
      <w:r w:rsidRPr="00EF2E7C">
        <w:t>Relations de synchronisation</w:t>
      </w:r>
      <w:r>
        <w:t xml:space="preserve"> entre les équipements</w:t>
      </w:r>
    </w:p>
    <w:p w:rsidR="004C4AE2" w:rsidRPr="009E3C44" w:rsidRDefault="004C4AE2" w:rsidP="004C4AE2">
      <w:pPr>
        <w:pStyle w:val="Heading3"/>
      </w:pPr>
      <w:r w:rsidRPr="009E3C44">
        <w:t>2.3.1</w:t>
      </w:r>
      <w:r w:rsidRPr="009E3C44">
        <w:tab/>
        <w:t>Général</w:t>
      </w:r>
      <w:r>
        <w:t>ités</w:t>
      </w:r>
    </w:p>
    <w:p w:rsidR="004C4AE2" w:rsidRPr="009E3C44" w:rsidRDefault="004C4AE2" w:rsidP="004C4AE2">
      <w:r>
        <w:t>L</w:t>
      </w:r>
      <w:r w:rsidRPr="00EF2E7C">
        <w:t>e point de référence de synchronisation</w:t>
      </w:r>
      <w:r>
        <w:t xml:space="preserve"> est utilisé pour définir la relation de synchronisation entre le signal </w:t>
      </w:r>
      <w:r w:rsidRPr="009E3C44">
        <w:t>DARS</w:t>
      </w:r>
      <w:r>
        <w:t xml:space="preserve"> et les signaux d'entrée et de sortie audionumériques.</w:t>
      </w:r>
    </w:p>
    <w:p w:rsidR="004C4AE2" w:rsidRPr="009E3C44" w:rsidRDefault="004C4AE2" w:rsidP="004C4AE2">
      <w:pPr>
        <w:pStyle w:val="Heading4"/>
      </w:pPr>
      <w:r w:rsidRPr="009E3C44">
        <w:t>2.3.1.1</w:t>
      </w:r>
      <w:r w:rsidRPr="009E3C44">
        <w:tab/>
      </w:r>
      <w:r>
        <w:t>Phase de synchronisation à la sortie</w:t>
      </w:r>
    </w:p>
    <w:p w:rsidR="004C4AE2" w:rsidRPr="009E3C44" w:rsidRDefault="004C4AE2" w:rsidP="004C4AE2">
      <w:r>
        <w:t>La différence entre les points de référence de synchronisation du signal</w:t>
      </w:r>
      <w:r w:rsidRPr="00EE4036">
        <w:t xml:space="preserve"> </w:t>
      </w:r>
      <w:r w:rsidRPr="009E3C44">
        <w:t>DARS</w:t>
      </w:r>
      <w:r>
        <w:t xml:space="preserve"> et tous les signaux de sortie, au niveau du connecteur des équipements, doit être inférieure à </w:t>
      </w:r>
      <w:r w:rsidRPr="009E3C44">
        <w:t>±5%</w:t>
      </w:r>
      <w:r>
        <w:t xml:space="preserve"> de la période de trame de la Recommandation UIT</w:t>
      </w:r>
      <w:r w:rsidRPr="009E3C44">
        <w:t>-R BS.647</w:t>
      </w:r>
      <w:r>
        <w:t>.</w:t>
      </w:r>
    </w:p>
    <w:p w:rsidR="004C4AE2" w:rsidRPr="009E3C44" w:rsidRDefault="004C4AE2" w:rsidP="004C4AE2">
      <w:r>
        <w:t xml:space="preserve">Le point de référence de synchronisation d'un signal de sortie avec des fréquences d'échantillonnage doubles ou des </w:t>
      </w:r>
      <w:r w:rsidRPr="00EE4036">
        <w:t>fréquences d'échantillonnage plus élevées</w:t>
      </w:r>
      <w:r>
        <w:t xml:space="preserve"> doit être conforme à la tolérance indiquée à la fréquence de trame de la Recommandation UIT</w:t>
      </w:r>
      <w:r w:rsidRPr="009E3C44">
        <w:t>-R BS.647</w:t>
      </w:r>
      <w:r>
        <w:t>.</w:t>
      </w:r>
    </w:p>
    <w:p w:rsidR="004C4AE2" w:rsidRPr="009E3C44" w:rsidRDefault="004C4AE2" w:rsidP="004C4AE2">
      <w:pPr>
        <w:pStyle w:val="Heading4"/>
      </w:pPr>
      <w:r w:rsidRPr="009E3C44">
        <w:t>2.3.1.2</w:t>
      </w:r>
      <w:r w:rsidRPr="009E3C44">
        <w:tab/>
      </w:r>
      <w:r>
        <w:t>Retard introduit par le dispositif</w:t>
      </w:r>
    </w:p>
    <w:p w:rsidR="004C4AE2" w:rsidRPr="009E3C44" w:rsidRDefault="004C4AE2" w:rsidP="004C4AE2">
      <w:r>
        <w:t xml:space="preserve">Les récepteurs seront conçus de telle sorte que le nombre d'échantillons de retard dans le dispositif reste constant et connu, et la différence entre les points de référence de synchronisation du signal </w:t>
      </w:r>
      <w:r w:rsidRPr="009E3C44">
        <w:t xml:space="preserve">DARS </w:t>
      </w:r>
      <w:r>
        <w:t xml:space="preserve">et tous les signaux d'entrée sera inférieure à </w:t>
      </w:r>
      <w:r w:rsidRPr="009E3C44">
        <w:t xml:space="preserve">±25% </w:t>
      </w:r>
      <w:r>
        <w:t>de la période de trame indiquée dans la Recommandation</w:t>
      </w:r>
      <w:r w:rsidRPr="009E3C44">
        <w:t xml:space="preserve"> </w:t>
      </w:r>
      <w:r>
        <w:t>UIT</w:t>
      </w:r>
      <w:r w:rsidRPr="009E3C44">
        <w:t>-R BS.647</w:t>
      </w:r>
      <w:r>
        <w:t>.</w:t>
      </w:r>
    </w:p>
    <w:p w:rsidR="004C4AE2" w:rsidRPr="009E3C44" w:rsidRDefault="004C4AE2" w:rsidP="004C4AE2">
      <w:pPr>
        <w:pStyle w:val="Heading3"/>
      </w:pPr>
      <w:r w:rsidRPr="009E3C44">
        <w:t>2.3.2</w:t>
      </w:r>
      <w:r w:rsidRPr="009E3C44">
        <w:tab/>
      </w:r>
      <w:r>
        <w:t>Limites de temps</w:t>
      </w:r>
    </w:p>
    <w:p w:rsidR="004C4AE2" w:rsidRPr="009E3C44" w:rsidRDefault="004C4AE2" w:rsidP="004C4AE2">
      <w:r>
        <w:t xml:space="preserve">Le </w:t>
      </w:r>
      <w:r w:rsidRPr="009E3C44">
        <w:t>Table</w:t>
      </w:r>
      <w:r>
        <w:t xml:space="preserve">au </w:t>
      </w:r>
      <w:r w:rsidRPr="009E3C44">
        <w:rPr>
          <w:lang w:eastAsia="ja-JP"/>
        </w:rPr>
        <w:t>3</w:t>
      </w:r>
      <w:r>
        <w:rPr>
          <w:lang w:eastAsia="ja-JP"/>
        </w:rPr>
        <w:t xml:space="preserve"> indique les valeurs de </w:t>
      </w:r>
      <w:r w:rsidRPr="009E3C44">
        <w:t>tolérance</w:t>
      </w:r>
      <w:r>
        <w:t xml:space="preserve"> pour les fréquences </w:t>
      </w:r>
      <w:r w:rsidRPr="007A5520">
        <w:t xml:space="preserve">d'échantillonnage </w:t>
      </w:r>
      <w:r>
        <w:t>destinées à être utilisées avec la présente Recommandation</w:t>
      </w:r>
      <w:r w:rsidRPr="009E3C44">
        <w:t>.</w:t>
      </w:r>
    </w:p>
    <w:p w:rsidR="004C4AE2" w:rsidRPr="009E3C44" w:rsidRDefault="004C4AE2" w:rsidP="004C4AE2">
      <w:pPr>
        <w:pStyle w:val="TableNo"/>
      </w:pPr>
      <w:r w:rsidRPr="009E3C44">
        <w:lastRenderedPageBreak/>
        <w:t>TABLE</w:t>
      </w:r>
      <w:r>
        <w:t>AU</w:t>
      </w:r>
      <w:r>
        <w:rPr>
          <w:lang w:eastAsia="ja-JP"/>
        </w:rPr>
        <w:t xml:space="preserve"> 3</w:t>
      </w:r>
    </w:p>
    <w:p w:rsidR="004C4AE2" w:rsidRPr="009E3C44" w:rsidRDefault="004C4AE2" w:rsidP="004C4AE2">
      <w:pPr>
        <w:pStyle w:val="Tabletitle"/>
      </w:pPr>
      <w:r>
        <w:t>Synchronis</w:t>
      </w:r>
      <w:r w:rsidRPr="009E3C44">
        <w:t xml:space="preserve">ation </w:t>
      </w:r>
      <w:r>
        <w:t>des signaux audionumériques:</w:t>
      </w:r>
      <w:r w:rsidRPr="009E3C44">
        <w:t xml:space="preserve"> limit</w:t>
      </w:r>
      <w:r>
        <w:t>e</w:t>
      </w:r>
      <w:r w:rsidRPr="009E3C44">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4C4AE2" w:rsidRPr="009E3C44" w:rsidTr="00AC29F9">
        <w:tc>
          <w:tcPr>
            <w:tcW w:w="2463" w:type="dxa"/>
            <w:vMerge w:val="restart"/>
            <w:vAlign w:val="center"/>
          </w:tcPr>
          <w:p w:rsidR="004C4AE2" w:rsidRPr="009E3C44" w:rsidRDefault="004C4AE2" w:rsidP="00AC29F9">
            <w:pPr>
              <w:pStyle w:val="Tablehead"/>
            </w:pPr>
            <w:r>
              <w:t xml:space="preserve">Fréquence </w:t>
            </w:r>
            <w:r w:rsidRPr="007A5520">
              <w:t xml:space="preserve">d'échantillonnage </w:t>
            </w:r>
            <w:r>
              <w:t xml:space="preserve">professionnelle </w:t>
            </w:r>
            <w:r w:rsidRPr="009E3C44">
              <w:br/>
              <w:t>(kHz)</w:t>
            </w:r>
          </w:p>
        </w:tc>
        <w:tc>
          <w:tcPr>
            <w:tcW w:w="7392" w:type="dxa"/>
            <w:gridSpan w:val="3"/>
          </w:tcPr>
          <w:p w:rsidR="004C4AE2" w:rsidRPr="009E3C44" w:rsidRDefault="004C4AE2" w:rsidP="00AC29F9">
            <w:pPr>
              <w:pStyle w:val="Tablehead"/>
            </w:pPr>
            <w:r>
              <w:t>Fenêtre de synchronis</w:t>
            </w:r>
            <w:r w:rsidRPr="009E3C44">
              <w:t>ation</w:t>
            </w:r>
            <w:r>
              <w:t xml:space="preserve"> </w:t>
            </w:r>
            <w:r w:rsidRPr="009E3C44">
              <w:br/>
              <w:t>µs</w:t>
            </w:r>
          </w:p>
        </w:tc>
      </w:tr>
      <w:tr w:rsidR="004C4AE2" w:rsidRPr="009E3C44" w:rsidTr="00AC29F9">
        <w:tc>
          <w:tcPr>
            <w:tcW w:w="2463" w:type="dxa"/>
            <w:vMerge/>
          </w:tcPr>
          <w:p w:rsidR="004C4AE2" w:rsidRPr="009E3C44" w:rsidRDefault="004C4AE2" w:rsidP="00AC29F9">
            <w:pPr>
              <w:pStyle w:val="Tablehead"/>
            </w:pPr>
          </w:p>
        </w:tc>
        <w:tc>
          <w:tcPr>
            <w:tcW w:w="2464" w:type="dxa"/>
          </w:tcPr>
          <w:p w:rsidR="004C4AE2" w:rsidRPr="009E3C44" w:rsidRDefault="004C4AE2" w:rsidP="00AC29F9">
            <w:pPr>
              <w:pStyle w:val="Tablehead"/>
            </w:pPr>
            <w:r w:rsidRPr="009E3C44">
              <w:t>1/</w:t>
            </w:r>
            <w:r w:rsidRPr="009E3C44">
              <w:rPr>
                <w:i/>
                <w:iCs/>
              </w:rPr>
              <w:t>f</w:t>
            </w:r>
            <w:r w:rsidRPr="009E3C44">
              <w:rPr>
                <w:rFonts w:cs="Times New Roman Bold"/>
                <w:i/>
                <w:iCs/>
                <w:vertAlign w:val="subscript"/>
              </w:rPr>
              <w:t>s</w:t>
            </w:r>
          </w:p>
        </w:tc>
        <w:tc>
          <w:tcPr>
            <w:tcW w:w="2464" w:type="dxa"/>
          </w:tcPr>
          <w:p w:rsidR="004C4AE2" w:rsidRPr="009E3C44" w:rsidRDefault="004C4AE2" w:rsidP="00AC29F9">
            <w:pPr>
              <w:pStyle w:val="Tablehead"/>
            </w:pPr>
            <w:r w:rsidRPr="009E3C44">
              <w:t>Variation</w:t>
            </w:r>
            <w:r>
              <w:t xml:space="preserve"> autorisée</w:t>
            </w:r>
            <w:r w:rsidRPr="009E3C44">
              <w:t>,</w:t>
            </w:r>
            <w:r w:rsidRPr="009E3C44">
              <w:br/>
            </w:r>
            <w:r>
              <w:t>entrée</w:t>
            </w:r>
            <w:r w:rsidRPr="009E3C44">
              <w:br/>
            </w:r>
            <w:r w:rsidRPr="009E3C44">
              <w:rPr>
                <w:lang w:eastAsia="ja-JP"/>
              </w:rPr>
              <w:t>(§ 2.3.1.2)</w:t>
            </w:r>
          </w:p>
        </w:tc>
        <w:tc>
          <w:tcPr>
            <w:tcW w:w="2464" w:type="dxa"/>
          </w:tcPr>
          <w:p w:rsidR="004C4AE2" w:rsidRPr="009E3C44" w:rsidRDefault="004C4AE2" w:rsidP="00AC29F9">
            <w:pPr>
              <w:pStyle w:val="Tablehead"/>
            </w:pPr>
            <w:r w:rsidRPr="009E3C44">
              <w:t>Variation</w:t>
            </w:r>
            <w:r>
              <w:t xml:space="preserve"> autorisée,</w:t>
            </w:r>
            <w:r w:rsidRPr="009E3C44">
              <w:br/>
            </w:r>
            <w:r>
              <w:t>sortie</w:t>
            </w:r>
            <w:r w:rsidRPr="009E3C44">
              <w:br/>
            </w:r>
            <w:r w:rsidRPr="009E3C44">
              <w:rPr>
                <w:lang w:eastAsia="ja-JP"/>
              </w:rPr>
              <w:t>(§ 2.3.1.1)</w:t>
            </w:r>
          </w:p>
        </w:tc>
      </w:tr>
      <w:tr w:rsidR="004C4AE2" w:rsidRPr="009E3C44" w:rsidTr="00AC29F9">
        <w:tc>
          <w:tcPr>
            <w:tcW w:w="2463" w:type="dxa"/>
          </w:tcPr>
          <w:p w:rsidR="004C4AE2" w:rsidRPr="009E3C44" w:rsidRDefault="004C4AE2" w:rsidP="00AC29F9">
            <w:pPr>
              <w:pStyle w:val="Tabletext"/>
              <w:jc w:val="center"/>
            </w:pPr>
            <w:r w:rsidRPr="009E3C44">
              <w:t>48</w:t>
            </w:r>
          </w:p>
        </w:tc>
        <w:tc>
          <w:tcPr>
            <w:tcW w:w="2464" w:type="dxa"/>
          </w:tcPr>
          <w:p w:rsidR="004C4AE2" w:rsidRPr="009E3C44" w:rsidRDefault="004C4AE2" w:rsidP="00AC29F9">
            <w:pPr>
              <w:pStyle w:val="Tabletext"/>
              <w:jc w:val="center"/>
            </w:pPr>
            <w:r w:rsidRPr="009E3C44">
              <w:t>20</w:t>
            </w:r>
            <w:r>
              <w:t>,</w:t>
            </w:r>
            <w:r w:rsidRPr="009E3C44">
              <w:t>83</w:t>
            </w:r>
          </w:p>
        </w:tc>
        <w:tc>
          <w:tcPr>
            <w:tcW w:w="2464" w:type="dxa"/>
          </w:tcPr>
          <w:p w:rsidR="004C4AE2" w:rsidRPr="009E3C44" w:rsidRDefault="004C4AE2" w:rsidP="00AC29F9">
            <w:pPr>
              <w:pStyle w:val="Tabletext"/>
              <w:jc w:val="center"/>
            </w:pPr>
            <w:r w:rsidRPr="009E3C44">
              <w:t>±5</w:t>
            </w:r>
            <w:r>
              <w:rPr>
                <w:lang w:eastAsia="ja-JP"/>
              </w:rPr>
              <w:t>,</w:t>
            </w:r>
            <w:r w:rsidRPr="009E3C44">
              <w:t>2</w:t>
            </w:r>
          </w:p>
        </w:tc>
        <w:tc>
          <w:tcPr>
            <w:tcW w:w="2464" w:type="dxa"/>
          </w:tcPr>
          <w:p w:rsidR="004C4AE2" w:rsidRPr="009E3C44" w:rsidRDefault="004C4AE2" w:rsidP="00AC29F9">
            <w:pPr>
              <w:pStyle w:val="Tabletext"/>
              <w:jc w:val="center"/>
            </w:pPr>
            <w:r w:rsidRPr="009E3C44">
              <w:t>±1</w:t>
            </w:r>
            <w:r>
              <w:rPr>
                <w:lang w:eastAsia="ja-JP"/>
              </w:rPr>
              <w:t>,</w:t>
            </w:r>
            <w:r w:rsidRPr="009E3C44">
              <w:t>0</w:t>
            </w:r>
          </w:p>
        </w:tc>
      </w:tr>
      <w:tr w:rsidR="004C4AE2" w:rsidRPr="009E3C44" w:rsidTr="00AC29F9">
        <w:tc>
          <w:tcPr>
            <w:tcW w:w="2463" w:type="dxa"/>
          </w:tcPr>
          <w:p w:rsidR="004C4AE2" w:rsidRPr="009E3C44" w:rsidRDefault="004C4AE2" w:rsidP="00AC29F9">
            <w:pPr>
              <w:pStyle w:val="Tabletext"/>
              <w:jc w:val="center"/>
            </w:pPr>
            <w:r w:rsidRPr="009E3C44">
              <w:t>96</w:t>
            </w:r>
          </w:p>
        </w:tc>
        <w:tc>
          <w:tcPr>
            <w:tcW w:w="2464" w:type="dxa"/>
          </w:tcPr>
          <w:p w:rsidR="004C4AE2" w:rsidRPr="009E3C44" w:rsidRDefault="004C4AE2" w:rsidP="00AC29F9">
            <w:pPr>
              <w:pStyle w:val="Tabletext"/>
              <w:jc w:val="center"/>
            </w:pPr>
            <w:r w:rsidRPr="009E3C44">
              <w:t>10</w:t>
            </w:r>
            <w:r>
              <w:t>,</w:t>
            </w:r>
            <w:r w:rsidRPr="009E3C44">
              <w:t>41</w:t>
            </w:r>
          </w:p>
        </w:tc>
        <w:tc>
          <w:tcPr>
            <w:tcW w:w="2464" w:type="dxa"/>
          </w:tcPr>
          <w:p w:rsidR="004C4AE2" w:rsidRPr="009E3C44" w:rsidRDefault="004C4AE2" w:rsidP="00AC29F9">
            <w:pPr>
              <w:pStyle w:val="Tabletext"/>
              <w:jc w:val="center"/>
            </w:pPr>
            <w:r w:rsidRPr="009E3C44">
              <w:t>±2</w:t>
            </w:r>
            <w:r>
              <w:rPr>
                <w:lang w:eastAsia="ja-JP"/>
              </w:rPr>
              <w:t>,</w:t>
            </w:r>
            <w:r w:rsidRPr="009E3C44">
              <w:t>6</w:t>
            </w:r>
          </w:p>
        </w:tc>
        <w:tc>
          <w:tcPr>
            <w:tcW w:w="2464" w:type="dxa"/>
          </w:tcPr>
          <w:p w:rsidR="004C4AE2" w:rsidRPr="009E3C44" w:rsidRDefault="004C4AE2" w:rsidP="00AC29F9">
            <w:pPr>
              <w:pStyle w:val="Tabletext"/>
              <w:jc w:val="center"/>
            </w:pPr>
            <w:r w:rsidRPr="009E3C44">
              <w:t>±0</w:t>
            </w:r>
            <w:r>
              <w:rPr>
                <w:lang w:eastAsia="ja-JP"/>
              </w:rPr>
              <w:t>,</w:t>
            </w:r>
            <w:r w:rsidRPr="009E3C44">
              <w:t>5</w:t>
            </w:r>
          </w:p>
        </w:tc>
      </w:tr>
    </w:tbl>
    <w:p w:rsidR="00F155AB" w:rsidRDefault="00F155AB" w:rsidP="00F155AB">
      <w:pPr>
        <w:pStyle w:val="Tablefin"/>
      </w:pPr>
    </w:p>
    <w:p w:rsidR="004C4AE2" w:rsidRPr="009E3C44" w:rsidRDefault="004C4AE2" w:rsidP="004C4AE2">
      <w:pPr>
        <w:pStyle w:val="Heading2"/>
      </w:pPr>
      <w:r w:rsidRPr="009E3C44">
        <w:t>2.4</w:t>
      </w:r>
      <w:r w:rsidRPr="009E3C44">
        <w:tab/>
      </w:r>
      <w:r>
        <w:t>Référence</w:t>
      </w:r>
      <w:r w:rsidRPr="007A5520">
        <w:t xml:space="preserve"> </w:t>
      </w:r>
      <w:r w:rsidRPr="009E3C44">
        <w:t>vid</w:t>
      </w:r>
      <w:r>
        <w:t>é</w:t>
      </w:r>
      <w:r w:rsidRPr="009E3C44">
        <w:t>o</w:t>
      </w:r>
      <w:r w:rsidRPr="009E3C44">
        <w:rPr>
          <w:rStyle w:val="FootnoteReference"/>
          <w:b w:val="0"/>
          <w:bCs/>
        </w:rPr>
        <w:footnoteReference w:id="2"/>
      </w:r>
    </w:p>
    <w:p w:rsidR="004C4AE2" w:rsidRPr="009E3C44" w:rsidRDefault="004C4AE2" w:rsidP="004C4AE2">
      <w:r>
        <w:t xml:space="preserve">L'un des objectifs de la présente Recommandation est de définir le début du préambule X ou </w:t>
      </w:r>
      <w:r w:rsidRPr="009E3C44">
        <w:t xml:space="preserve">Z </w:t>
      </w:r>
      <w:r>
        <w:t xml:space="preserve">du signal </w:t>
      </w:r>
      <w:r w:rsidRPr="009E3C44">
        <w:t xml:space="preserve">DARS </w:t>
      </w:r>
      <w:r>
        <w:t xml:space="preserve">à un point connu dans le signal de référence </w:t>
      </w:r>
      <w:r w:rsidRPr="009E3C44">
        <w:t>vidéo</w:t>
      </w:r>
      <w:r>
        <w:t>.</w:t>
      </w:r>
    </w:p>
    <w:p w:rsidR="004C4AE2" w:rsidRPr="009E3C44" w:rsidRDefault="004C4AE2" w:rsidP="004C4AE2">
      <w:pPr>
        <w:pStyle w:val="Heading3"/>
      </w:pPr>
      <w:r w:rsidRPr="009E3C44">
        <w:t>2.4.1</w:t>
      </w:r>
      <w:r w:rsidRPr="009E3C44">
        <w:tab/>
      </w:r>
      <w:r>
        <w:t>Référence</w:t>
      </w:r>
      <w:r w:rsidRPr="009E3C44">
        <w:t xml:space="preserve"> </w:t>
      </w:r>
      <w:r>
        <w:t xml:space="preserve">à </w:t>
      </w:r>
      <w:r w:rsidRPr="009E3C44">
        <w:t>25</w:t>
      </w:r>
      <w:r>
        <w:rPr>
          <w:lang w:eastAsia="ja-JP"/>
        </w:rPr>
        <w:t xml:space="preserve"> ou</w:t>
      </w:r>
      <w:r w:rsidRPr="009E3C44">
        <w:rPr>
          <w:lang w:eastAsia="ja-JP"/>
        </w:rPr>
        <w:t xml:space="preserve"> </w:t>
      </w:r>
      <w:r w:rsidRPr="009E3C44">
        <w:t>50 Hz</w:t>
      </w:r>
    </w:p>
    <w:p w:rsidR="004C4AE2" w:rsidRPr="009E3C44" w:rsidRDefault="004C4AE2" w:rsidP="004C4AE2">
      <w:r>
        <w:t xml:space="preserve">Les systèmes de télévision à </w:t>
      </w:r>
      <w:r w:rsidRPr="009E3C44">
        <w:t>25</w:t>
      </w:r>
      <w:r>
        <w:rPr>
          <w:lang w:eastAsia="ja-JP"/>
        </w:rPr>
        <w:t xml:space="preserve"> ou</w:t>
      </w:r>
      <w:r w:rsidRPr="009E3C44">
        <w:rPr>
          <w:lang w:eastAsia="ja-JP"/>
        </w:rPr>
        <w:t xml:space="preserve"> </w:t>
      </w:r>
      <w:r w:rsidRPr="009E3C44">
        <w:t>50 H</w:t>
      </w:r>
      <w:r w:rsidRPr="009E3C44">
        <w:rPr>
          <w:lang w:eastAsia="ja-JP"/>
        </w:rPr>
        <w:t>z</w:t>
      </w:r>
      <w:r>
        <w:rPr>
          <w:lang w:eastAsia="ja-JP"/>
        </w:rPr>
        <w:t xml:space="preserve"> utilisent habituellement un signal PAL analogique </w:t>
      </w:r>
      <w:r>
        <w:t xml:space="preserve">noir codé couleur. La </w:t>
      </w:r>
      <w:r w:rsidRPr="00AE3CBE">
        <w:t>forme</w:t>
      </w:r>
      <w:r>
        <w:t xml:space="preserve"> d'onde du </w:t>
      </w:r>
      <w:r w:rsidRPr="00AE3CBE">
        <w:t>signal</w:t>
      </w:r>
      <w:r>
        <w:t xml:space="preserve"> </w:t>
      </w:r>
      <w:r w:rsidRPr="009E3C44">
        <w:t xml:space="preserve">PAL </w:t>
      </w:r>
      <w:r>
        <w:t>est définie dans la Recommandation</w:t>
      </w:r>
      <w:r w:rsidRPr="009E3C44">
        <w:t xml:space="preserve"> </w:t>
      </w:r>
      <w:r>
        <w:t>UIT</w:t>
      </w:r>
      <w:r w:rsidRPr="009E3C44">
        <w:t xml:space="preserve">-R BT.1700. </w:t>
      </w:r>
    </w:p>
    <w:p w:rsidR="004C4AE2" w:rsidRPr="00A940D1" w:rsidRDefault="004C4AE2" w:rsidP="004C4AE2">
      <w:pPr>
        <w:pStyle w:val="Heading4"/>
      </w:pPr>
      <w:r w:rsidRPr="00A940D1">
        <w:t>2.4.1.1</w:t>
      </w:r>
      <w:r w:rsidRPr="00A940D1">
        <w:tab/>
        <w:t>Synchronisation du format de l'interface vidéo</w:t>
      </w:r>
    </w:p>
    <w:p w:rsidR="004C4AE2" w:rsidRPr="009E3C44" w:rsidRDefault="004C4AE2" w:rsidP="004C4AE2">
      <w:r>
        <w:t xml:space="preserve">La relation de phase </w:t>
      </w:r>
      <w:r w:rsidRPr="00DE3641">
        <w:t xml:space="preserve">de synchronisation </w:t>
      </w:r>
      <w:r w:rsidRPr="009E3C44">
        <w:t xml:space="preserve">V </w:t>
      </w:r>
      <w:r>
        <w:t>et</w:t>
      </w:r>
      <w:r w:rsidRPr="009E3C44">
        <w:t xml:space="preserve"> H </w:t>
      </w:r>
      <w:r>
        <w:t xml:space="preserve">entre le </w:t>
      </w:r>
      <w:r w:rsidRPr="00DE3641">
        <w:t>signal de synchronisation à 3 niveaux</w:t>
      </w:r>
      <w:r>
        <w:t xml:space="preserve"> de format </w:t>
      </w:r>
      <w:r w:rsidRPr="009E3C44">
        <w:t>1125/50</w:t>
      </w:r>
      <w:r w:rsidRPr="009E3C44">
        <w:rPr>
          <w:lang w:eastAsia="ja-JP"/>
        </w:rPr>
        <w:t>/I</w:t>
      </w:r>
      <w:r w:rsidRPr="009E3C44">
        <w:t xml:space="preserve"> </w:t>
      </w:r>
      <w:r>
        <w:rPr>
          <w:lang w:eastAsia="ja-JP"/>
        </w:rPr>
        <w:t xml:space="preserve">et </w:t>
      </w:r>
      <w:r w:rsidRPr="009E3C44">
        <w:t>1125/25</w:t>
      </w:r>
      <w:r w:rsidRPr="009E3C44">
        <w:rPr>
          <w:lang w:eastAsia="ja-JP"/>
        </w:rPr>
        <w:t>/P</w:t>
      </w:r>
      <w:r>
        <w:t xml:space="preserve">, et le signal de synchronisation analogique de format </w:t>
      </w:r>
      <w:r w:rsidRPr="009E3C44">
        <w:t>625/50</w:t>
      </w:r>
      <w:r w:rsidRPr="009E3C44">
        <w:rPr>
          <w:lang w:eastAsia="ja-JP"/>
        </w:rPr>
        <w:t>/I</w:t>
      </w:r>
      <w:r w:rsidR="00A65403">
        <w:rPr>
          <w:lang w:eastAsia="ja-JP"/>
        </w:rPr>
        <w:t>,</w:t>
      </w:r>
      <w:r w:rsidRPr="009E3C44">
        <w:t xml:space="preserve"> </w:t>
      </w:r>
      <w:r>
        <w:t>est représenté</w:t>
      </w:r>
      <w:r w:rsidR="00A65403">
        <w:t>e</w:t>
      </w:r>
      <w:r>
        <w:t xml:space="preserve"> sur la </w:t>
      </w:r>
      <w:r w:rsidRPr="009E3C44">
        <w:rPr>
          <w:lang w:eastAsia="ja-JP"/>
        </w:rPr>
        <w:t>Fig. 1</w:t>
      </w:r>
      <w:r w:rsidRPr="009E3C44">
        <w:t>.</w:t>
      </w:r>
    </w:p>
    <w:p w:rsidR="004C4AE2" w:rsidRPr="00207A13" w:rsidRDefault="004C4AE2" w:rsidP="004C4AE2">
      <w:pPr>
        <w:pStyle w:val="FigureNo"/>
        <w:spacing w:line="360" w:lineRule="auto"/>
        <w:rPr>
          <w:sz w:val="20"/>
        </w:rPr>
      </w:pPr>
      <w:r w:rsidRPr="00207A13">
        <w:rPr>
          <w:sz w:val="20"/>
        </w:rPr>
        <w:lastRenderedPageBreak/>
        <w:t>Figure 1</w:t>
      </w:r>
    </w:p>
    <w:p w:rsidR="004C4AE2" w:rsidRPr="00207A13" w:rsidRDefault="004C4AE2" w:rsidP="004C4AE2">
      <w:pPr>
        <w:pStyle w:val="Figuretitle"/>
        <w:spacing w:line="360" w:lineRule="auto"/>
        <w:rPr>
          <w:sz w:val="20"/>
          <w:lang w:eastAsia="ja-JP"/>
        </w:rPr>
      </w:pPr>
      <w:r w:rsidRPr="00207A13">
        <w:rPr>
          <w:sz w:val="20"/>
          <w:lang w:eastAsia="ja-JP"/>
        </w:rPr>
        <w:t xml:space="preserve">Numérotage de lignes des formats 1125/50/I, 1125/25/PsF, 1125/25/P et 625/50/I </w:t>
      </w:r>
    </w:p>
    <w:p w:rsidR="004C4AE2" w:rsidRPr="009E3C44" w:rsidRDefault="00C11637" w:rsidP="004C4AE2">
      <w:pPr>
        <w:pStyle w:val="Figure"/>
        <w:spacing w:line="360" w:lineRule="auto"/>
      </w:pPr>
      <w:r w:rsidRPr="009E3C44">
        <w:object w:dxaOrig="9136" w:dyaOrig="5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35.5pt;height:280.3pt" o:ole="">
            <v:imagedata r:id="rId14" o:title=""/>
          </v:shape>
          <o:OLEObject Type="Embed" ProgID="CorelDRAW.Graphic.14" ShapeID="_x0000_i1033" DrawAspect="Content" ObjectID="_1444638828" r:id="rId15"/>
        </w:object>
      </w:r>
    </w:p>
    <w:p w:rsidR="004C4AE2" w:rsidRPr="00207A13" w:rsidRDefault="004C4AE2" w:rsidP="004C4AE2">
      <w:pPr>
        <w:pStyle w:val="FigureNo"/>
        <w:spacing w:line="360" w:lineRule="auto"/>
        <w:rPr>
          <w:sz w:val="20"/>
        </w:rPr>
      </w:pPr>
      <w:r w:rsidRPr="00207A13">
        <w:rPr>
          <w:sz w:val="20"/>
        </w:rPr>
        <w:t>Figure 2</w:t>
      </w:r>
    </w:p>
    <w:p w:rsidR="004C4AE2" w:rsidRPr="00207A13" w:rsidRDefault="004C4AE2" w:rsidP="004C4AE2">
      <w:pPr>
        <w:pStyle w:val="Figuretitle"/>
        <w:spacing w:line="360" w:lineRule="auto"/>
        <w:rPr>
          <w:sz w:val="20"/>
        </w:rPr>
      </w:pPr>
      <w:r w:rsidRPr="00207A13">
        <w:rPr>
          <w:sz w:val="20"/>
        </w:rPr>
        <w:t>Référence du préambule DARS X</w:t>
      </w:r>
    </w:p>
    <w:p w:rsidR="004C4AE2" w:rsidRPr="009E3C44" w:rsidRDefault="00C11637" w:rsidP="004C4AE2">
      <w:pPr>
        <w:pStyle w:val="Figure"/>
        <w:spacing w:line="360" w:lineRule="auto"/>
        <w:rPr>
          <w:lang w:eastAsia="zh-CN"/>
        </w:rPr>
      </w:pPr>
      <w:r w:rsidRPr="009E3C44">
        <w:rPr>
          <w:lang w:eastAsia="zh-CN"/>
        </w:rPr>
        <w:object w:dxaOrig="5453" w:dyaOrig="3765">
          <v:shape id="_x0000_i1035" type="#_x0000_t75" style="width:259.35pt;height:178.25pt" o:ole="">
            <v:imagedata r:id="rId16" o:title=""/>
          </v:shape>
          <o:OLEObject Type="Embed" ProgID="CorelDRAW.Graphic.14" ShapeID="_x0000_i1035" DrawAspect="Content" ObjectID="_1444638829" r:id="rId17"/>
        </w:object>
      </w:r>
    </w:p>
    <w:p w:rsidR="004C4AE2" w:rsidRDefault="004C4AE2" w:rsidP="004C4AE2">
      <w:pPr>
        <w:pStyle w:val="Normalaftertitle"/>
      </w:pPr>
      <w:r>
        <w:t xml:space="preserve">Le préambule </w:t>
      </w:r>
      <w:r w:rsidRPr="009E3C44">
        <w:t xml:space="preserve">DARS X </w:t>
      </w:r>
      <w:r>
        <w:t xml:space="preserve">doit être référencé au point à mi-amplitude </w:t>
      </w:r>
      <w:r w:rsidRPr="00A11E05">
        <w:t>du front avant de l'impulsion de synchronisation de</w:t>
      </w:r>
      <w:r>
        <w:t xml:space="preserve"> la</w:t>
      </w:r>
      <w:r w:rsidRPr="00A11E05">
        <w:t xml:space="preserve"> ligne</w:t>
      </w:r>
      <w:r>
        <w:t xml:space="preserve"> </w:t>
      </w:r>
      <w:r w:rsidRPr="009E3C44">
        <w:t xml:space="preserve">1 </w:t>
      </w:r>
      <w:r>
        <w:t>du signal de télévision sur chaque trame vidéo.</w:t>
      </w:r>
    </w:p>
    <w:p w:rsidR="004C4AE2" w:rsidRDefault="004C4AE2" w:rsidP="004C4AE2">
      <w:pPr>
        <w:pStyle w:val="Heading3"/>
      </w:pPr>
      <w:r w:rsidRPr="009E3C44">
        <w:lastRenderedPageBreak/>
        <w:t>2.4.2</w:t>
      </w:r>
      <w:r w:rsidRPr="009E3C44">
        <w:tab/>
      </w:r>
      <w:r>
        <w:rPr>
          <w:lang w:eastAsia="ja-JP"/>
        </w:rPr>
        <w:t>Référence</w:t>
      </w:r>
      <w:r w:rsidRPr="009E3C44">
        <w:t xml:space="preserve"> </w:t>
      </w:r>
      <w:r>
        <w:t xml:space="preserve">à </w:t>
      </w:r>
      <w:r w:rsidRPr="009E3C44">
        <w:t>30</w:t>
      </w:r>
      <w:r>
        <w:rPr>
          <w:lang w:eastAsia="ja-JP"/>
        </w:rPr>
        <w:t xml:space="preserve"> ou</w:t>
      </w:r>
      <w:r w:rsidRPr="009E3C44">
        <w:rPr>
          <w:lang w:eastAsia="ja-JP"/>
        </w:rPr>
        <w:t xml:space="preserve"> </w:t>
      </w:r>
      <w:r w:rsidRPr="009E3C44">
        <w:t>60</w:t>
      </w:r>
      <w:r w:rsidRPr="009E3C44">
        <w:rPr>
          <w:rStyle w:val="FootnoteReference"/>
          <w:b w:val="0"/>
          <w:bCs/>
        </w:rPr>
        <w:footnoteReference w:id="3"/>
      </w:r>
      <w:r w:rsidRPr="009E3C44">
        <w:t xml:space="preserve"> Hz</w:t>
      </w:r>
    </w:p>
    <w:p w:rsidR="004C4AE2" w:rsidRPr="009E3C44" w:rsidRDefault="004C4AE2" w:rsidP="004C4AE2">
      <w:pPr>
        <w:rPr>
          <w:lang w:eastAsia="ja-JP"/>
        </w:rPr>
      </w:pPr>
      <w:r>
        <w:t xml:space="preserve">La relation de phase </w:t>
      </w:r>
      <w:r w:rsidRPr="00DE3641">
        <w:t xml:space="preserve">de synchronisation </w:t>
      </w:r>
      <w:r w:rsidRPr="009E3C44">
        <w:t xml:space="preserve">V </w:t>
      </w:r>
      <w:r>
        <w:t>et</w:t>
      </w:r>
      <w:r w:rsidRPr="009E3C44">
        <w:t xml:space="preserve"> H </w:t>
      </w:r>
      <w:r>
        <w:t xml:space="preserve">entre le </w:t>
      </w:r>
      <w:r w:rsidRPr="00DE3641">
        <w:t xml:space="preserve">signal de synchronisation à </w:t>
      </w:r>
      <w:r>
        <w:t>trois</w:t>
      </w:r>
      <w:r w:rsidRPr="00DE3641">
        <w:t xml:space="preserve"> niveaux</w:t>
      </w:r>
      <w:r>
        <w:t xml:space="preserve"> de format </w:t>
      </w:r>
      <w:r w:rsidRPr="009E3C44">
        <w:t>1125/59.94</w:t>
      </w:r>
      <w:r w:rsidRPr="009E3C44">
        <w:rPr>
          <w:lang w:eastAsia="ja-JP"/>
        </w:rPr>
        <w:t xml:space="preserve">/I </w:t>
      </w:r>
      <w:r>
        <w:rPr>
          <w:lang w:eastAsia="ja-JP"/>
        </w:rPr>
        <w:t xml:space="preserve">et </w:t>
      </w:r>
      <w:r w:rsidRPr="009E3C44">
        <w:t>1125/29.97</w:t>
      </w:r>
      <w:r w:rsidRPr="009E3C44">
        <w:rPr>
          <w:lang w:eastAsia="ja-JP"/>
        </w:rPr>
        <w:t>/</w:t>
      </w:r>
      <w:r w:rsidRPr="009E3C44">
        <w:t>P</w:t>
      </w:r>
      <w:r>
        <w:t xml:space="preserve">, et le signal de synchronisation analogique de format </w:t>
      </w:r>
      <w:r w:rsidRPr="009E3C44">
        <w:t>525/60</w:t>
      </w:r>
      <w:r w:rsidRPr="009E3C44">
        <w:rPr>
          <w:lang w:eastAsia="ja-JP"/>
        </w:rPr>
        <w:t>/I</w:t>
      </w:r>
      <w:r w:rsidR="00C11637">
        <w:rPr>
          <w:lang w:eastAsia="ja-JP"/>
        </w:rPr>
        <w:t>,</w:t>
      </w:r>
      <w:r w:rsidRPr="009E3C44">
        <w:t xml:space="preserve"> </w:t>
      </w:r>
      <w:r>
        <w:t xml:space="preserve">est représentée sur la </w:t>
      </w:r>
      <w:r w:rsidRPr="009E3C44">
        <w:rPr>
          <w:lang w:eastAsia="ja-JP"/>
        </w:rPr>
        <w:t xml:space="preserve">Fig. </w:t>
      </w:r>
      <w:r>
        <w:rPr>
          <w:lang w:eastAsia="ja-JP"/>
        </w:rPr>
        <w:t>3</w:t>
      </w:r>
      <w:r>
        <w:t>.</w:t>
      </w:r>
    </w:p>
    <w:p w:rsidR="004C4AE2" w:rsidRPr="009E3C44" w:rsidRDefault="004C4AE2" w:rsidP="004C4AE2">
      <w:pPr>
        <w:pStyle w:val="Heading4"/>
      </w:pPr>
      <w:r w:rsidRPr="009E3C44">
        <w:t>2.4.2.1</w:t>
      </w:r>
      <w:r w:rsidRPr="009E3C44">
        <w:tab/>
      </w:r>
      <w:r>
        <w:t>Synchronisation du format de l'</w:t>
      </w:r>
      <w:r w:rsidRPr="009E3C44">
        <w:t xml:space="preserve">interface </w:t>
      </w:r>
      <w:r>
        <w:t>v</w:t>
      </w:r>
      <w:r w:rsidRPr="009E3C44">
        <w:t>idéo</w:t>
      </w:r>
    </w:p>
    <w:p w:rsidR="004C4AE2" w:rsidRPr="00207A13" w:rsidRDefault="004C4AE2" w:rsidP="004C4AE2">
      <w:pPr>
        <w:pStyle w:val="FigureNo"/>
        <w:spacing w:line="360" w:lineRule="auto"/>
        <w:rPr>
          <w:sz w:val="20"/>
          <w:lang w:val="fr-CH"/>
        </w:rPr>
      </w:pPr>
      <w:r w:rsidRPr="00207A13">
        <w:rPr>
          <w:sz w:val="20"/>
          <w:lang w:val="fr-CH"/>
        </w:rPr>
        <w:t>Figure 3</w:t>
      </w:r>
    </w:p>
    <w:p w:rsidR="004C4AE2" w:rsidRPr="00207A13" w:rsidRDefault="004C4AE2" w:rsidP="004C4AE2">
      <w:pPr>
        <w:pStyle w:val="Figuretitle"/>
        <w:spacing w:line="360" w:lineRule="auto"/>
        <w:rPr>
          <w:sz w:val="20"/>
          <w:lang w:val="fr-CH" w:eastAsia="ja-JP"/>
        </w:rPr>
      </w:pPr>
      <w:r w:rsidRPr="00207A13">
        <w:rPr>
          <w:sz w:val="20"/>
          <w:lang w:val="fr-CH" w:eastAsia="ja-JP"/>
        </w:rPr>
        <w:t>Numérotage de ligne des formats 1125/59.94/I, 1125/29.97/PsF, 1125/29.97/P et 525/59.94/I</w:t>
      </w:r>
    </w:p>
    <w:p w:rsidR="004C4AE2" w:rsidRPr="009E3C44" w:rsidRDefault="00C11637" w:rsidP="004C4AE2">
      <w:pPr>
        <w:pStyle w:val="Figure"/>
        <w:spacing w:line="360" w:lineRule="auto"/>
        <w:rPr>
          <w:lang w:eastAsia="zh-CN"/>
        </w:rPr>
      </w:pPr>
      <w:r w:rsidRPr="009E3C44">
        <w:rPr>
          <w:lang w:eastAsia="zh-CN"/>
        </w:rPr>
        <w:object w:dxaOrig="8984" w:dyaOrig="5313">
          <v:shape id="_x0000_i1037" type="#_x0000_t75" style="width:432.7pt;height:255.15pt" o:ole="">
            <v:imagedata r:id="rId18" o:title=""/>
          </v:shape>
          <o:OLEObject Type="Embed" ProgID="CorelDRAW.Graphic.14" ShapeID="_x0000_i1037" DrawAspect="Content" ObjectID="_1444638830" r:id="rId19"/>
        </w:object>
      </w:r>
    </w:p>
    <w:p w:rsidR="004C4AE2" w:rsidRPr="00207A13" w:rsidRDefault="004C4AE2" w:rsidP="004C4AE2">
      <w:pPr>
        <w:pStyle w:val="FigureNo"/>
        <w:spacing w:line="360" w:lineRule="auto"/>
        <w:rPr>
          <w:sz w:val="20"/>
        </w:rPr>
      </w:pPr>
      <w:r w:rsidRPr="00207A13">
        <w:rPr>
          <w:sz w:val="20"/>
        </w:rPr>
        <w:lastRenderedPageBreak/>
        <w:t>Figure 4</w:t>
      </w:r>
    </w:p>
    <w:p w:rsidR="004C4AE2" w:rsidRPr="00207A13" w:rsidRDefault="004C4AE2" w:rsidP="004C4AE2">
      <w:pPr>
        <w:pStyle w:val="Figuretitle"/>
        <w:spacing w:line="360" w:lineRule="auto"/>
        <w:rPr>
          <w:sz w:val="20"/>
        </w:rPr>
      </w:pPr>
      <w:r w:rsidRPr="00207A13">
        <w:rPr>
          <w:sz w:val="20"/>
        </w:rPr>
        <w:t>Référence du préambule DARS X</w:t>
      </w:r>
    </w:p>
    <w:p w:rsidR="004C4AE2" w:rsidRPr="009E3C44" w:rsidRDefault="00C11637" w:rsidP="004C4AE2">
      <w:pPr>
        <w:pStyle w:val="Figure"/>
        <w:spacing w:line="360" w:lineRule="auto"/>
        <w:rPr>
          <w:lang w:eastAsia="zh-CN"/>
        </w:rPr>
      </w:pPr>
      <w:r w:rsidRPr="009E3C44">
        <w:rPr>
          <w:lang w:eastAsia="zh-CN"/>
        </w:rPr>
        <w:object w:dxaOrig="6019" w:dyaOrig="4358">
          <v:shape id="_x0000_i1039" type="#_x0000_t75" style="width:292.9pt;height:211.8pt" o:ole="">
            <v:imagedata r:id="rId20" o:title=""/>
          </v:shape>
          <o:OLEObject Type="Embed" ProgID="CorelDRAW.Graphic.14" ShapeID="_x0000_i1039" DrawAspect="Content" ObjectID="_1444638831" r:id="rId21"/>
        </w:object>
      </w:r>
    </w:p>
    <w:p w:rsidR="004C4AE2" w:rsidRPr="009E3C44" w:rsidRDefault="004C4AE2" w:rsidP="004C4AE2">
      <w:r>
        <w:t xml:space="preserve">Le préambule </w:t>
      </w:r>
      <w:r w:rsidRPr="009E3C44">
        <w:t xml:space="preserve">DARS X </w:t>
      </w:r>
      <w:r>
        <w:t xml:space="preserve">doit être référencé au point à mi-amplitude </w:t>
      </w:r>
      <w:r w:rsidRPr="00A11E05">
        <w:t xml:space="preserve">du front avant de l'impulsion de synchronisation de </w:t>
      </w:r>
      <w:r>
        <w:t xml:space="preserve">la </w:t>
      </w:r>
      <w:r w:rsidRPr="00A11E05">
        <w:t>ligne</w:t>
      </w:r>
      <w:r>
        <w:t xml:space="preserve"> </w:t>
      </w:r>
      <w:r w:rsidRPr="009E3C44">
        <w:t xml:space="preserve">1 </w:t>
      </w:r>
      <w:r>
        <w:t xml:space="preserve">pour les systèmes à </w:t>
      </w:r>
      <w:r w:rsidRPr="009E3C44">
        <w:t>1080</w:t>
      </w:r>
      <w:r>
        <w:t xml:space="preserve"> lignes et de la ligne 4 pour les systèmes à 525 lign</w:t>
      </w:r>
      <w:r w:rsidRPr="009E3C44">
        <w:t>e</w:t>
      </w:r>
      <w:r>
        <w:t xml:space="preserve">s. L'alignement du préambule </w:t>
      </w:r>
      <w:r w:rsidRPr="009E3C44">
        <w:t>DARS X</w:t>
      </w:r>
      <w:r>
        <w:t xml:space="preserve"> devrait être synchronisé toutes les cinq trames. Il se peut qu'il y ait un décalage d'échantillon de </w:t>
      </w:r>
      <w:r w:rsidRPr="009E3C44">
        <w:t>±1</w:t>
      </w:r>
      <w:r>
        <w:t>.</w:t>
      </w:r>
      <w:r w:rsidRPr="009E3C44">
        <w:t xml:space="preserve"> </w:t>
      </w:r>
      <w:r>
        <w:t>Le signal de référence du système à 525 lignes avec identification à cinq trames est présenté dans l'Appendice</w:t>
      </w:r>
      <w:r w:rsidRPr="009E3C44">
        <w:t xml:space="preserve"> 3.</w:t>
      </w:r>
    </w:p>
    <w:p w:rsidR="004C4AE2" w:rsidRPr="009E3C44" w:rsidRDefault="004C4AE2" w:rsidP="004C4AE2">
      <w:pPr>
        <w:pStyle w:val="Heading3"/>
      </w:pPr>
      <w:r w:rsidRPr="009E3C44">
        <w:t>2.4.3</w:t>
      </w:r>
      <w:r w:rsidRPr="009E3C44">
        <w:tab/>
        <w:t>Tol</w:t>
      </w:r>
      <w:r>
        <w:t>é</w:t>
      </w:r>
      <w:r w:rsidRPr="009E3C44">
        <w:t>rance</w:t>
      </w:r>
      <w:r>
        <w:t xml:space="preserve"> de </w:t>
      </w:r>
      <w:r w:rsidRPr="009E3C44">
        <w:t>phase</w:t>
      </w:r>
      <w:r>
        <w:t xml:space="preserve"> globale</w:t>
      </w:r>
    </w:p>
    <w:p w:rsidR="004C4AE2" w:rsidRPr="009E3C44" w:rsidRDefault="004C4AE2" w:rsidP="004C4AE2">
      <w:r>
        <w:t>Pour faciliter les réalisations pratiques, il conviendra de prévoir</w:t>
      </w:r>
      <w:r w:rsidRPr="00A4778B">
        <w:t xml:space="preserve"> </w:t>
      </w:r>
      <w:r>
        <w:t xml:space="preserve">une </w:t>
      </w:r>
      <w:r w:rsidRPr="009E3C44">
        <w:t>tolérance</w:t>
      </w:r>
      <w:r>
        <w:t xml:space="preserve"> de </w:t>
      </w:r>
      <w:r w:rsidRPr="009E3C44">
        <w:t xml:space="preserve">±5% </w:t>
      </w:r>
      <w:r>
        <w:t>par rapport à la période de trame de la Recommandation</w:t>
      </w:r>
      <w:r w:rsidRPr="009E3C44">
        <w:t xml:space="preserve"> </w:t>
      </w:r>
      <w:r>
        <w:t>UIT</w:t>
      </w:r>
      <w:r w:rsidRPr="009E3C44">
        <w:t xml:space="preserve">-R BS.647 </w:t>
      </w:r>
      <w:r>
        <w:t xml:space="preserve">entre les signaux </w:t>
      </w:r>
      <w:r w:rsidRPr="009E3C44">
        <w:t xml:space="preserve">DARS </w:t>
      </w:r>
      <w:r>
        <w:t xml:space="preserve">et la référence </w:t>
      </w:r>
      <w:r w:rsidRPr="009E3C44">
        <w:t>vidéo</w:t>
      </w:r>
      <w:r>
        <w:t xml:space="preserve">, en plus de la tolérance de </w:t>
      </w:r>
      <w:r w:rsidRPr="009E3C44">
        <w:t>±</w:t>
      </w:r>
      <w:r w:rsidRPr="009E3C44">
        <w:rPr>
          <w:lang w:eastAsia="ja-JP"/>
        </w:rPr>
        <w:t xml:space="preserve">5% </w:t>
      </w:r>
      <w:r>
        <w:rPr>
          <w:lang w:eastAsia="ja-JP"/>
        </w:rPr>
        <w:t xml:space="preserve">définie au </w:t>
      </w:r>
      <w:r w:rsidRPr="009E3C44">
        <w:rPr>
          <w:lang w:eastAsia="ja-JP"/>
        </w:rPr>
        <w:t>§ 2.3.1.1</w:t>
      </w:r>
      <w:r>
        <w:t xml:space="preserve"> pour la </w:t>
      </w:r>
      <w:r w:rsidRPr="009E3C44">
        <w:rPr>
          <w:lang w:eastAsia="ja-JP"/>
        </w:rPr>
        <w:t>synchroni</w:t>
      </w:r>
      <w:r>
        <w:rPr>
          <w:lang w:eastAsia="ja-JP"/>
        </w:rPr>
        <w:t>s</w:t>
      </w:r>
      <w:r w:rsidRPr="009E3C44">
        <w:rPr>
          <w:lang w:eastAsia="ja-JP"/>
        </w:rPr>
        <w:t>ation</w:t>
      </w:r>
      <w:r>
        <w:rPr>
          <w:lang w:eastAsia="ja-JP"/>
        </w:rPr>
        <w:t xml:space="preserve"> audionumérique aux sorties du système.</w:t>
      </w:r>
    </w:p>
    <w:p w:rsidR="004C4AE2" w:rsidRPr="009E3C44" w:rsidRDefault="004C4AE2" w:rsidP="004C4AE2">
      <w:pPr>
        <w:pStyle w:val="Heading2"/>
      </w:pPr>
      <w:r w:rsidRPr="009E3C44">
        <w:t>2.5</w:t>
      </w:r>
      <w:r w:rsidRPr="009E3C44">
        <w:tab/>
      </w:r>
      <w:r>
        <w:t>Pratique employée concernant le système</w:t>
      </w:r>
    </w:p>
    <w:p w:rsidR="004C4AE2" w:rsidRPr="009E3C44" w:rsidRDefault="004C4AE2" w:rsidP="004C4AE2">
      <w:r>
        <w:t>Pour respecter</w:t>
      </w:r>
      <w:r w:rsidRPr="00A4778B">
        <w:t xml:space="preserve"> des règles techniques de bonne pratique</w:t>
      </w:r>
      <w:r>
        <w:t xml:space="preserve">, il faut réduire le plus possible les différences de </w:t>
      </w:r>
      <w:r w:rsidRPr="00A4778B">
        <w:t xml:space="preserve">synchronisation </w:t>
      </w:r>
      <w:r>
        <w:t xml:space="preserve">entre les trajets du signal, de façon à éviter les erreurs de </w:t>
      </w:r>
      <w:r w:rsidRPr="00A4778B">
        <w:t xml:space="preserve">synchronisation </w:t>
      </w:r>
      <w:r>
        <w:t xml:space="preserve">cumulées qui risquent de provoquer une </w:t>
      </w:r>
      <w:r w:rsidRPr="00A4778B">
        <w:t>perte de synchronisme</w:t>
      </w:r>
      <w:r>
        <w:t>.</w:t>
      </w:r>
    </w:p>
    <w:p w:rsidR="004C4AE2" w:rsidRPr="009E3C44" w:rsidRDefault="004C4AE2" w:rsidP="004C4AE2">
      <w:pPr>
        <w:pStyle w:val="Heading2"/>
      </w:pPr>
      <w:r w:rsidRPr="009E3C44">
        <w:t>2.6</w:t>
      </w:r>
      <w:r w:rsidRPr="009E3C44">
        <w:tab/>
      </w:r>
      <w:r w:rsidRPr="00361AA2">
        <w:t>Gigue de l'horloge</w:t>
      </w:r>
    </w:p>
    <w:p w:rsidR="004C4AE2" w:rsidRPr="009E3C44" w:rsidRDefault="004C4AE2" w:rsidP="004C4AE2">
      <w:r>
        <w:t xml:space="preserve">Le bruit de la </w:t>
      </w:r>
      <w:r w:rsidRPr="00361AA2">
        <w:t xml:space="preserve">gigue </w:t>
      </w:r>
      <w:r>
        <w:t xml:space="preserve">peut être aléatoire ou se présenter sous la forme d'une </w:t>
      </w:r>
      <w:r w:rsidRPr="009E3C44">
        <w:t xml:space="preserve">modulation, </w:t>
      </w:r>
      <w:r>
        <w:t xml:space="preserve">qui, aux fréquences inférieures à la </w:t>
      </w:r>
      <w:r w:rsidRPr="00361AA2">
        <w:t>fréquence d'échantillonnage</w:t>
      </w:r>
      <w:r>
        <w:t>, peut entraîner une erreur de synchronisation cumulée, en fonction de l'</w:t>
      </w:r>
      <w:r w:rsidRPr="009E3C44">
        <w:t xml:space="preserve">amplitude </w:t>
      </w:r>
      <w:r>
        <w:t xml:space="preserve">et de la fréquence du </w:t>
      </w:r>
      <w:r w:rsidRPr="00361AA2">
        <w:t>signal de modulation</w:t>
      </w:r>
      <w:r>
        <w:t>.</w:t>
      </w:r>
    </w:p>
    <w:p w:rsidR="004C4AE2" w:rsidRPr="009E3C44" w:rsidRDefault="004C4AE2" w:rsidP="00C11637">
      <w:pPr>
        <w:pStyle w:val="Note"/>
      </w:pPr>
      <w:r w:rsidRPr="009E3C44">
        <w:t>NOTE</w:t>
      </w:r>
      <w:r w:rsidR="00C11637">
        <w:t> </w:t>
      </w:r>
      <w:r w:rsidRPr="009E3C44">
        <w:t>–</w:t>
      </w:r>
      <w:r w:rsidR="00C11637">
        <w:t> </w:t>
      </w:r>
      <w:r>
        <w:t>La Recommandation UIT-R BS.647 définit les limites applicables à la gigue à l'interface audionumérique.</w:t>
      </w:r>
    </w:p>
    <w:p w:rsidR="004C4AE2" w:rsidRPr="009E3C44" w:rsidRDefault="004C4AE2" w:rsidP="004C4AE2">
      <w:pPr>
        <w:pStyle w:val="Heading1"/>
      </w:pPr>
      <w:r w:rsidRPr="009E3C44">
        <w:t>3</w:t>
      </w:r>
      <w:r w:rsidRPr="009E3C44">
        <w:tab/>
        <w:t xml:space="preserve">Date </w:t>
      </w:r>
      <w:r>
        <w:t>et heure</w:t>
      </w:r>
    </w:p>
    <w:p w:rsidR="004C4AE2" w:rsidRPr="009E3C44" w:rsidRDefault="004C4AE2" w:rsidP="004C4AE2">
      <w:r>
        <w:t>Le marquage de la date et de l'heure dans l</w:t>
      </w:r>
      <w:r w:rsidRPr="00FE1480">
        <w:t xml:space="preserve">'état </w:t>
      </w:r>
      <w:r>
        <w:t>du canal</w:t>
      </w:r>
      <w:r w:rsidRPr="00FE1480">
        <w:t xml:space="preserve"> </w:t>
      </w:r>
      <w:r>
        <w:t>est indiqué au</w:t>
      </w:r>
      <w:r w:rsidRPr="009E3C44">
        <w:t xml:space="preserve"> § 2.1.5.</w:t>
      </w:r>
      <w:r>
        <w:t xml:space="preserve"> Il peut s'agir d'un moyen pratique pour le transfert dans le flux de métadonnées de la Recommandation</w:t>
      </w:r>
      <w:r w:rsidRPr="009E3C44">
        <w:t xml:space="preserve"> </w:t>
      </w:r>
      <w:r>
        <w:t>UIT</w:t>
      </w:r>
      <w:r w:rsidRPr="009E3C44">
        <w:t>-R BS.647</w:t>
      </w:r>
      <w:r>
        <w:t>.</w:t>
      </w:r>
    </w:p>
    <w:p w:rsidR="004C4AE2" w:rsidRPr="009E3C44" w:rsidRDefault="004C4AE2" w:rsidP="004C4AE2">
      <w:pPr>
        <w:overflowPunct/>
        <w:autoSpaceDE/>
        <w:autoSpaceDN/>
        <w:adjustRightInd/>
        <w:spacing w:before="0" w:line="360" w:lineRule="auto"/>
        <w:textAlignment w:val="auto"/>
        <w:rPr>
          <w:caps/>
          <w:sz w:val="28"/>
        </w:rPr>
      </w:pPr>
      <w:r w:rsidRPr="009E3C44">
        <w:br w:type="page"/>
      </w:r>
    </w:p>
    <w:p w:rsidR="004C4AE2" w:rsidRDefault="004C4AE2" w:rsidP="004C4AE2">
      <w:pPr>
        <w:pStyle w:val="AppendixNoTitle"/>
      </w:pPr>
      <w:r>
        <w:lastRenderedPageBreak/>
        <w:t>Appendice</w:t>
      </w:r>
      <w:r w:rsidRPr="009E3C44">
        <w:t xml:space="preserve"> 1</w:t>
      </w:r>
      <w:r w:rsidRPr="009E3C44">
        <w:br/>
      </w:r>
      <w:r>
        <w:rPr>
          <w:b w:val="0"/>
          <w:bCs/>
        </w:rPr>
        <w:t>(Informatif</w:t>
      </w:r>
      <w:r w:rsidRPr="009E3C44">
        <w:rPr>
          <w:b w:val="0"/>
          <w:bCs/>
        </w:rPr>
        <w:t>)</w:t>
      </w:r>
      <w:r w:rsidRPr="009E3C44">
        <w:rPr>
          <w:b w:val="0"/>
          <w:bCs/>
        </w:rPr>
        <w:br/>
      </w:r>
      <w:r w:rsidRPr="009E3C44">
        <w:br/>
        <w:t>Relations</w:t>
      </w:r>
      <w:r>
        <w:t xml:space="preserve"> de synchronisation </w:t>
      </w:r>
    </w:p>
    <w:p w:rsidR="004C4AE2" w:rsidRPr="009D2444" w:rsidRDefault="004C4AE2" w:rsidP="004C4AE2"/>
    <w:p w:rsidR="004C4AE2" w:rsidRPr="00207A13" w:rsidRDefault="004C4AE2" w:rsidP="004C4AE2">
      <w:pPr>
        <w:pStyle w:val="FigureNo"/>
        <w:spacing w:line="360" w:lineRule="auto"/>
        <w:rPr>
          <w:sz w:val="20"/>
        </w:rPr>
      </w:pPr>
      <w:r w:rsidRPr="00207A13">
        <w:rPr>
          <w:sz w:val="20"/>
        </w:rPr>
        <w:t>Figure 5</w:t>
      </w:r>
    </w:p>
    <w:p w:rsidR="004C4AE2" w:rsidRPr="00207A13" w:rsidRDefault="004C4AE2" w:rsidP="004C4AE2">
      <w:pPr>
        <w:pStyle w:val="Figuretitle"/>
        <w:spacing w:line="360" w:lineRule="auto"/>
        <w:rPr>
          <w:sz w:val="20"/>
        </w:rPr>
      </w:pPr>
      <w:r w:rsidRPr="00207A13">
        <w:rPr>
          <w:sz w:val="20"/>
        </w:rPr>
        <w:t>Relations de synchronisation et utilisation des canaux préférées</w:t>
      </w:r>
    </w:p>
    <w:p w:rsidR="004C4AE2" w:rsidRPr="009E3C44" w:rsidRDefault="00C11637" w:rsidP="004C4AE2">
      <w:pPr>
        <w:pStyle w:val="Figure"/>
        <w:spacing w:line="360" w:lineRule="auto"/>
      </w:pPr>
      <w:r w:rsidRPr="009E3C44">
        <w:rPr>
          <w:lang w:eastAsia="zh-CN"/>
        </w:rPr>
        <w:object w:dxaOrig="7092" w:dyaOrig="5934">
          <v:shape id="_x0000_i1041" type="#_x0000_t75" style="width:346.7pt;height:288.7pt" o:ole="">
            <v:imagedata r:id="rId22" o:title=""/>
          </v:shape>
          <o:OLEObject Type="Embed" ProgID="CorelDRAW.Graphic.14" ShapeID="_x0000_i1041" DrawAspect="Content" ObjectID="_1444638832" r:id="rId23"/>
        </w:object>
      </w:r>
    </w:p>
    <w:p w:rsidR="004C4AE2" w:rsidRPr="009E3C44" w:rsidRDefault="004C4AE2" w:rsidP="004C4AE2">
      <w:pPr>
        <w:spacing w:line="360"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tblGrid>
      <w:tr w:rsidR="004C4AE2" w:rsidRPr="009E3C44" w:rsidTr="00AC29F9">
        <w:trPr>
          <w:jc w:val="center"/>
        </w:trPr>
        <w:tc>
          <w:tcPr>
            <w:tcW w:w="534" w:type="dxa"/>
          </w:tcPr>
          <w:p w:rsidR="004C4AE2" w:rsidRPr="009E3C44" w:rsidRDefault="004C4AE2" w:rsidP="00AC29F9">
            <w:pPr>
              <w:pStyle w:val="Tablehead"/>
            </w:pPr>
          </w:p>
        </w:tc>
        <w:tc>
          <w:tcPr>
            <w:tcW w:w="5528" w:type="dxa"/>
          </w:tcPr>
          <w:p w:rsidR="004C4AE2" w:rsidRPr="009E3C44" w:rsidRDefault="004C4AE2" w:rsidP="00AC29F9">
            <w:pPr>
              <w:pStyle w:val="Tablehead"/>
            </w:pPr>
            <w:r>
              <w:t>Valeurs de synchronisation</w:t>
            </w:r>
          </w:p>
        </w:tc>
      </w:tr>
      <w:tr w:rsidR="004C4AE2" w:rsidRPr="009E3C44" w:rsidTr="00AC29F9">
        <w:trPr>
          <w:jc w:val="center"/>
        </w:trPr>
        <w:tc>
          <w:tcPr>
            <w:tcW w:w="534" w:type="dxa"/>
          </w:tcPr>
          <w:p w:rsidR="004C4AE2" w:rsidRPr="009E3C44" w:rsidRDefault="004C4AE2" w:rsidP="00AC29F9">
            <w:pPr>
              <w:pStyle w:val="Tabletext"/>
            </w:pPr>
            <w:r w:rsidRPr="009E3C44">
              <w:t>A</w:t>
            </w:r>
          </w:p>
        </w:tc>
        <w:tc>
          <w:tcPr>
            <w:tcW w:w="5528" w:type="dxa"/>
          </w:tcPr>
          <w:p w:rsidR="004C4AE2" w:rsidRPr="009E3C44" w:rsidRDefault="004C4AE2" w:rsidP="00C11637">
            <w:pPr>
              <w:pStyle w:val="Tabletext"/>
              <w:jc w:val="left"/>
            </w:pPr>
            <w:r w:rsidRPr="009E3C44">
              <w:t>20</w:t>
            </w:r>
            <w:r>
              <w:t>,</w:t>
            </w:r>
            <w:r w:rsidRPr="009E3C44">
              <w:t>5 </w:t>
            </w:r>
            <w:r w:rsidRPr="009E3C44">
              <w:rPr>
                <w:rFonts w:ascii="Symbol" w:hAnsi="Symbol"/>
              </w:rPr>
              <w:t></w:t>
            </w:r>
            <w:r w:rsidRPr="009E3C44">
              <w:t xml:space="preserve">s – </w:t>
            </w:r>
            <w:r>
              <w:t xml:space="preserve">période de trame à une fréquence d'échantillonnage de </w:t>
            </w:r>
            <w:r w:rsidRPr="009E3C44">
              <w:t>48 kHz</w:t>
            </w:r>
            <w:r>
              <w:t xml:space="preserve"> </w:t>
            </w:r>
          </w:p>
        </w:tc>
      </w:tr>
      <w:tr w:rsidR="004C4AE2" w:rsidRPr="009E3C44" w:rsidTr="00AC29F9">
        <w:trPr>
          <w:jc w:val="center"/>
        </w:trPr>
        <w:tc>
          <w:tcPr>
            <w:tcW w:w="534" w:type="dxa"/>
          </w:tcPr>
          <w:p w:rsidR="004C4AE2" w:rsidRPr="009E3C44" w:rsidRDefault="004C4AE2" w:rsidP="00AC29F9">
            <w:pPr>
              <w:pStyle w:val="Tabletext"/>
            </w:pPr>
            <w:r w:rsidRPr="009E3C44">
              <w:t>B</w:t>
            </w:r>
          </w:p>
        </w:tc>
        <w:tc>
          <w:tcPr>
            <w:tcW w:w="5528" w:type="dxa"/>
          </w:tcPr>
          <w:p w:rsidR="004C4AE2" w:rsidRPr="009E3C44" w:rsidRDefault="004C4AE2" w:rsidP="00AC29F9">
            <w:pPr>
              <w:pStyle w:val="Tabletext"/>
            </w:pPr>
            <w:r w:rsidRPr="009E3C44">
              <w:t xml:space="preserve">Tolérance </w:t>
            </w:r>
            <w:r>
              <w:t xml:space="preserve">de </w:t>
            </w:r>
            <w:r w:rsidRPr="009E3C44">
              <w:t>±1 </w:t>
            </w:r>
            <w:r w:rsidRPr="009E3C44">
              <w:rPr>
                <w:rFonts w:ascii="Symbol" w:hAnsi="Symbol"/>
              </w:rPr>
              <w:t></w:t>
            </w:r>
            <w:r w:rsidRPr="009E3C44">
              <w:t>s</w:t>
            </w:r>
            <w:r>
              <w:t xml:space="preserve"> </w:t>
            </w:r>
          </w:p>
        </w:tc>
      </w:tr>
      <w:tr w:rsidR="004C4AE2" w:rsidRPr="009E3C44" w:rsidTr="00AC29F9">
        <w:trPr>
          <w:jc w:val="center"/>
        </w:trPr>
        <w:tc>
          <w:tcPr>
            <w:tcW w:w="534" w:type="dxa"/>
          </w:tcPr>
          <w:p w:rsidR="004C4AE2" w:rsidRPr="009E3C44" w:rsidRDefault="004C4AE2" w:rsidP="00AC29F9">
            <w:pPr>
              <w:pStyle w:val="Tabletext"/>
            </w:pPr>
            <w:r w:rsidRPr="009E3C44">
              <w:t>C</w:t>
            </w:r>
          </w:p>
        </w:tc>
        <w:tc>
          <w:tcPr>
            <w:tcW w:w="5528" w:type="dxa"/>
          </w:tcPr>
          <w:p w:rsidR="004C4AE2" w:rsidRPr="009E3C44" w:rsidRDefault="004C4AE2" w:rsidP="00AC29F9">
            <w:pPr>
              <w:pStyle w:val="Tabletext"/>
            </w:pPr>
            <w:r w:rsidRPr="009E3C44">
              <w:t>Tolérance</w:t>
            </w:r>
            <w:r>
              <w:t xml:space="preserve"> de </w:t>
            </w:r>
            <w:r w:rsidRPr="009E3C44">
              <w:t>±0</w:t>
            </w:r>
            <w:r>
              <w:t>,</w:t>
            </w:r>
            <w:r w:rsidRPr="009E3C44">
              <w:t>5 </w:t>
            </w:r>
            <w:r w:rsidRPr="009E3C44">
              <w:rPr>
                <w:rFonts w:ascii="Symbol" w:hAnsi="Symbol"/>
              </w:rPr>
              <w:t></w:t>
            </w:r>
            <w:r w:rsidRPr="009E3C44">
              <w:t>s</w:t>
            </w:r>
            <w:r>
              <w:t xml:space="preserve"> </w:t>
            </w:r>
          </w:p>
        </w:tc>
      </w:tr>
    </w:tbl>
    <w:p w:rsidR="004C4AE2" w:rsidRPr="009E3C44" w:rsidRDefault="004C4AE2" w:rsidP="004C4AE2">
      <w:pPr>
        <w:spacing w:line="360" w:lineRule="auto"/>
      </w:pPr>
      <w:r w:rsidRPr="009E3C44">
        <w:br w:type="page"/>
      </w:r>
    </w:p>
    <w:p w:rsidR="004C4AE2" w:rsidRPr="009E3C44" w:rsidRDefault="004C4AE2" w:rsidP="006A7769">
      <w:pPr>
        <w:pStyle w:val="AppendixNoTitle"/>
      </w:pPr>
      <w:r>
        <w:lastRenderedPageBreak/>
        <w:t>Appendice</w:t>
      </w:r>
      <w:r w:rsidRPr="009E3C44">
        <w:t xml:space="preserve"> 2</w:t>
      </w:r>
      <w:r w:rsidRPr="009E3C44">
        <w:br/>
      </w:r>
      <w:r w:rsidRPr="006A7769">
        <w:rPr>
          <w:b w:val="0"/>
          <w:bCs/>
        </w:rPr>
        <w:t>(Informatif)</w:t>
      </w:r>
      <w:r w:rsidRPr="009E3C44">
        <w:br/>
      </w:r>
      <w:r w:rsidRPr="009E3C44">
        <w:rPr>
          <w:bCs/>
        </w:rPr>
        <w:br/>
      </w:r>
      <w:r>
        <w:t>Horloge des mots</w:t>
      </w:r>
    </w:p>
    <w:p w:rsidR="004C4AE2" w:rsidRPr="009E3C44" w:rsidRDefault="004C4AE2" w:rsidP="004C4AE2">
      <w:pPr>
        <w:pStyle w:val="Normalaftertitle"/>
      </w:pPr>
      <w:r>
        <w:t xml:space="preserve">Il est </w:t>
      </w:r>
      <w:r w:rsidRPr="009E3C44">
        <w:t>possible</w:t>
      </w:r>
      <w:r>
        <w:t xml:space="preserve"> de satisfaire à toutes les prescriptions de synchronisation de la présente Recommandation</w:t>
      </w:r>
      <w:r w:rsidRPr="009E3C44">
        <w:t xml:space="preserve"> </w:t>
      </w:r>
      <w:r>
        <w:t>au moyen d'</w:t>
      </w:r>
      <w:r w:rsidRPr="00972008">
        <w:t>un signal carré</w:t>
      </w:r>
      <w:r>
        <w:t xml:space="preserve"> à la fréquence d'échantillonnage de base, généralement appelée horloge des mots. Ce signal est utilisé entre différents équipements pour assurer le verrouillage de la fréquence d'échantillonnage de différentes sources.</w:t>
      </w:r>
    </w:p>
    <w:p w:rsidR="004C4AE2" w:rsidRPr="009E3C44" w:rsidRDefault="004C4AE2" w:rsidP="004C4AE2">
      <w:r>
        <w:t>Ce</w:t>
      </w:r>
      <w:r w:rsidRPr="009E3C44">
        <w:t xml:space="preserve"> signal </w:t>
      </w:r>
      <w:r>
        <w:t xml:space="preserve">n'est pas normalisé et les paramètres sont uniquement indiqués à titre d'exemple. Le signal est généralement acheminé sur un câble coaxial, de sorte qu'une seule sortie peut synchroniser plusieurs équipements de réception par </w:t>
      </w:r>
      <w:r w:rsidRPr="00537266">
        <w:t>mise en boucle</w:t>
      </w:r>
      <w:r>
        <w:t xml:space="preserve"> du signal dans chaque équipement </w:t>
      </w:r>
      <w:r w:rsidRPr="00537266">
        <w:t>à tour de rôle</w:t>
      </w:r>
      <w:r>
        <w:t xml:space="preserve"> et, éventuellement, par adjonction d'une </w:t>
      </w:r>
      <w:r w:rsidRPr="00537266">
        <w:t>résistance</w:t>
      </w:r>
      <w:r>
        <w:t xml:space="preserve"> </w:t>
      </w:r>
      <w:r w:rsidRPr="00537266">
        <w:t>de terminaison d</w:t>
      </w:r>
      <w:r>
        <w:t xml:space="preserve">u </w:t>
      </w:r>
      <w:r w:rsidRPr="00537266">
        <w:t>câble</w:t>
      </w:r>
      <w:r>
        <w:t xml:space="preserve"> de </w:t>
      </w:r>
      <w:r w:rsidRPr="009E3C44">
        <w:t xml:space="preserve">75 Ohm </w:t>
      </w:r>
      <w:r>
        <w:t>à l'extrémité éloignée.</w:t>
      </w:r>
    </w:p>
    <w:p w:rsidR="004C4AE2" w:rsidRPr="009E3C44" w:rsidRDefault="004C4AE2" w:rsidP="004C4AE2">
      <w:r>
        <w:t xml:space="preserve">Le signal transmis peut varier en amplitude de crête à crête de </w:t>
      </w:r>
      <w:r w:rsidRPr="009E3C44">
        <w:t xml:space="preserve">1 V </w:t>
      </w:r>
      <w:r>
        <w:t xml:space="preserve">à </w:t>
      </w:r>
      <w:r w:rsidRPr="009E3C44">
        <w:t>5 V</w:t>
      </w:r>
      <w:r>
        <w:t xml:space="preserve"> au plus et être couplé,</w:t>
      </w:r>
      <w:r w:rsidRPr="009E3C44">
        <w:t xml:space="preserve"> </w:t>
      </w:r>
      <w:r w:rsidRPr="00537266">
        <w:t>en courant continu</w:t>
      </w:r>
      <w:r>
        <w:t xml:space="preserve"> ou </w:t>
      </w:r>
      <w:r w:rsidRPr="00537266">
        <w:t xml:space="preserve">en courant </w:t>
      </w:r>
      <w:r>
        <w:t>alternatif.</w:t>
      </w:r>
    </w:p>
    <w:p w:rsidR="004C4AE2" w:rsidRPr="009E3C44" w:rsidRDefault="004C4AE2" w:rsidP="004C4AE2">
      <w:r>
        <w:t xml:space="preserve">Le </w:t>
      </w:r>
      <w:r w:rsidRPr="0074077D">
        <w:t xml:space="preserve">pilote hôte </w:t>
      </w:r>
      <w:r>
        <w:t xml:space="preserve">qui fournira vraisemblablement les fonctionnalités requises est un pilote complet de </w:t>
      </w:r>
      <w:r w:rsidRPr="009E3C44">
        <w:t xml:space="preserve">5 V, </w:t>
      </w:r>
      <w:r>
        <w:t xml:space="preserve">en </w:t>
      </w:r>
      <w:r w:rsidRPr="00537266">
        <w:t>courant continu</w:t>
      </w:r>
      <w:r>
        <w:t xml:space="preserve"> et capable de piloter une charge de </w:t>
      </w:r>
      <w:r w:rsidRPr="009E3C44">
        <w:t>75</w:t>
      </w:r>
      <w:r w:rsidRPr="009E3C44">
        <w:rPr>
          <w:lang w:eastAsia="ja-JP"/>
        </w:rPr>
        <w:t xml:space="preserve"> </w:t>
      </w:r>
      <w:r w:rsidRPr="009E3C44">
        <w:t>Ohm</w:t>
      </w:r>
      <w:r>
        <w:t>.</w:t>
      </w:r>
    </w:p>
    <w:p w:rsidR="004C4AE2" w:rsidRPr="009E3C44" w:rsidRDefault="004C4AE2" w:rsidP="004C4AE2">
      <w:r>
        <w:t xml:space="preserve">Lorsque les nouveaux équipements sont conçus pour utiliser un signal d'horloge des mots, il est recommandé de considérer </w:t>
      </w:r>
      <w:r w:rsidRPr="0074077D">
        <w:t xml:space="preserve">l'extrémité ascendante </w:t>
      </w:r>
      <w:r>
        <w:t xml:space="preserve">comme le point de référence de synchronisation visé au </w:t>
      </w:r>
      <w:r w:rsidRPr="009E3C44">
        <w:t>§</w:t>
      </w:r>
      <w:r w:rsidRPr="009E3C44">
        <w:rPr>
          <w:lang w:eastAsia="ja-JP"/>
        </w:rPr>
        <w:t xml:space="preserve"> 2.3</w:t>
      </w:r>
      <w:r w:rsidRPr="009E3C44">
        <w:t>.</w:t>
      </w:r>
    </w:p>
    <w:p w:rsidR="004C4AE2" w:rsidRPr="009E3C44" w:rsidRDefault="004C4AE2" w:rsidP="00C11637">
      <w:r>
        <w:t>L'</w:t>
      </w:r>
      <w:r w:rsidRPr="009E3C44">
        <w:t xml:space="preserve">expression </w:t>
      </w:r>
      <w:r w:rsidR="00C11637" w:rsidRPr="009E3C44">
        <w:t>«</w:t>
      </w:r>
      <w:r>
        <w:t>horloge des mots</w:t>
      </w:r>
      <w:r w:rsidR="00C11637" w:rsidRPr="009E3C44">
        <w:t>»</w:t>
      </w:r>
      <w:r w:rsidRPr="009E3C44">
        <w:t xml:space="preserve"> </w:t>
      </w:r>
      <w:r>
        <w:t xml:space="preserve">est également utilisée au niveau des </w:t>
      </w:r>
      <w:r w:rsidRPr="00611E0C">
        <w:t>circuits imprimés</w:t>
      </w:r>
      <w:r>
        <w:t xml:space="preserve"> pour décrire différents signaux logiques de fréquence d'échantillonnage.</w:t>
      </w:r>
    </w:p>
    <w:p w:rsidR="004C4AE2" w:rsidRPr="009E3C44" w:rsidRDefault="004C4AE2" w:rsidP="004C4AE2">
      <w:r>
        <w:t>On utilise généralement une horloge des mots avec des signaux audionumériques autres que ceux de la Recommandation</w:t>
      </w:r>
      <w:r w:rsidRPr="009E3C44">
        <w:t xml:space="preserve"> </w:t>
      </w:r>
      <w:r>
        <w:t>UIT</w:t>
      </w:r>
      <w:r w:rsidRPr="009E3C44">
        <w:t>-R BS.647.</w:t>
      </w:r>
    </w:p>
    <w:p w:rsidR="004C4AE2" w:rsidRPr="009E3C44" w:rsidRDefault="004C4AE2" w:rsidP="004C4AE2">
      <w:pPr>
        <w:spacing w:line="360" w:lineRule="auto"/>
      </w:pPr>
    </w:p>
    <w:p w:rsidR="004C4AE2" w:rsidRPr="009E3C44" w:rsidRDefault="004C4AE2" w:rsidP="004C4AE2">
      <w:pPr>
        <w:spacing w:line="360" w:lineRule="auto"/>
      </w:pPr>
    </w:p>
    <w:p w:rsidR="004C4AE2" w:rsidRDefault="004C4AE2" w:rsidP="004C4AE2">
      <w:pPr>
        <w:tabs>
          <w:tab w:val="clear" w:pos="794"/>
          <w:tab w:val="clear" w:pos="1191"/>
          <w:tab w:val="clear" w:pos="1588"/>
          <w:tab w:val="clear" w:pos="1985"/>
        </w:tabs>
        <w:overflowPunct/>
        <w:autoSpaceDE/>
        <w:autoSpaceDN/>
        <w:adjustRightInd/>
        <w:spacing w:before="0"/>
        <w:textAlignment w:val="auto"/>
        <w:rPr>
          <w:b/>
          <w:sz w:val="28"/>
        </w:rPr>
      </w:pPr>
      <w:r>
        <w:br w:type="page"/>
      </w:r>
    </w:p>
    <w:p w:rsidR="004C4AE2" w:rsidRPr="009E3C44" w:rsidRDefault="004C4AE2" w:rsidP="00C11637">
      <w:pPr>
        <w:pStyle w:val="AppendixNoTitle"/>
      </w:pPr>
      <w:r>
        <w:lastRenderedPageBreak/>
        <w:t>Appendice</w:t>
      </w:r>
      <w:r w:rsidRPr="009E3C44">
        <w:t xml:space="preserve"> 3</w:t>
      </w:r>
      <w:r w:rsidRPr="009E3C44">
        <w:rPr>
          <w:lang w:eastAsia="ja-JP"/>
        </w:rPr>
        <w:br/>
      </w:r>
      <w:r w:rsidRPr="00C11637">
        <w:rPr>
          <w:b w:val="0"/>
          <w:bCs/>
        </w:rPr>
        <w:t>(Informatif)</w:t>
      </w:r>
      <w:r>
        <w:br/>
      </w:r>
      <w:r w:rsidRPr="009E3C44">
        <w:br/>
        <w:t>Signal</w:t>
      </w:r>
      <w:r>
        <w:t xml:space="preserve"> de référence à </w:t>
      </w:r>
      <w:r w:rsidRPr="009E3C44">
        <w:t>525 li</w:t>
      </w:r>
      <w:r>
        <w:t>g</w:t>
      </w:r>
      <w:r w:rsidRPr="009E3C44">
        <w:t>ne</w:t>
      </w:r>
      <w:r>
        <w:t>s</w:t>
      </w:r>
      <w:r w:rsidRPr="009E3C44">
        <w:t xml:space="preserve"> </w:t>
      </w:r>
      <w:r>
        <w:t xml:space="preserve">avec </w:t>
      </w:r>
      <w:r w:rsidRPr="009E3C44">
        <w:t>identification</w:t>
      </w:r>
      <w:r>
        <w:t xml:space="preserve"> à 5 t</w:t>
      </w:r>
      <w:r w:rsidRPr="009E3C44">
        <w:t>rame</w:t>
      </w:r>
      <w:r>
        <w:t>s</w:t>
      </w:r>
    </w:p>
    <w:p w:rsidR="004C4AE2" w:rsidRPr="00207A13" w:rsidRDefault="004C4AE2" w:rsidP="004C4AE2">
      <w:pPr>
        <w:pStyle w:val="FigureNo"/>
        <w:spacing w:line="360" w:lineRule="auto"/>
        <w:rPr>
          <w:sz w:val="20"/>
          <w:lang w:val="fr-CH"/>
        </w:rPr>
      </w:pPr>
      <w:r w:rsidRPr="00207A13">
        <w:rPr>
          <w:sz w:val="20"/>
          <w:lang w:val="fr-CH"/>
        </w:rPr>
        <w:t>Figure 6</w:t>
      </w:r>
    </w:p>
    <w:p w:rsidR="004C4AE2" w:rsidRPr="00207A13" w:rsidRDefault="004C4AE2" w:rsidP="004C4AE2">
      <w:pPr>
        <w:pStyle w:val="Figuretitle"/>
        <w:spacing w:line="360" w:lineRule="auto"/>
        <w:rPr>
          <w:sz w:val="20"/>
          <w:lang w:val="fr-CH"/>
        </w:rPr>
      </w:pPr>
      <w:r w:rsidRPr="00207A13">
        <w:rPr>
          <w:sz w:val="20"/>
        </w:rPr>
        <w:t>Signal de référence à 525 lignes avec identification à 5 trames</w:t>
      </w:r>
    </w:p>
    <w:p w:rsidR="004C4AE2" w:rsidRPr="009E3C44" w:rsidRDefault="00C11637" w:rsidP="004C4AE2">
      <w:pPr>
        <w:pStyle w:val="Figure"/>
        <w:spacing w:line="360" w:lineRule="auto"/>
      </w:pPr>
      <w:r w:rsidRPr="009E3C44">
        <w:rPr>
          <w:lang w:eastAsia="zh-CN"/>
        </w:rPr>
        <w:object w:dxaOrig="6452" w:dyaOrig="4481">
          <v:shape id="_x0000_i1043" type="#_x0000_t75" style="width:312.45pt;height:218.1pt" o:ole="">
            <v:imagedata r:id="rId24" o:title=""/>
          </v:shape>
          <o:OLEObject Type="Embed" ProgID="CorelDRAW.Graphic.14" ShapeID="_x0000_i1043" DrawAspect="Content" ObjectID="_1444638833" r:id="rId25"/>
        </w:object>
      </w:r>
    </w:p>
    <w:p w:rsidR="004C4AE2" w:rsidRPr="009E3C44" w:rsidRDefault="004C4AE2" w:rsidP="004C4AE2">
      <w:pPr>
        <w:pStyle w:val="Normalaftertitle"/>
      </w:pPr>
      <w:r>
        <w:t xml:space="preserve">L'identification de la séquence à dix trames (trame 5) est codée de la façon suivante: </w:t>
      </w:r>
    </w:p>
    <w:p w:rsidR="004C4AE2" w:rsidRPr="009E3C44" w:rsidRDefault="004C4AE2" w:rsidP="004C4AE2">
      <w:pPr>
        <w:pStyle w:val="enumlev1"/>
      </w:pPr>
      <w:r w:rsidRPr="009E3C44">
        <w:t>–</w:t>
      </w:r>
      <w:r w:rsidRPr="009E3C44">
        <w:tab/>
      </w:r>
      <w:r>
        <w:t>Le signal d'</w:t>
      </w:r>
      <w:r w:rsidRPr="009E3C44">
        <w:t xml:space="preserve">identification </w:t>
      </w:r>
      <w:r>
        <w:t xml:space="preserve">est inséré sur les lignes </w:t>
      </w:r>
      <w:r w:rsidRPr="009E3C44">
        <w:t xml:space="preserve">15 </w:t>
      </w:r>
      <w:r>
        <w:t xml:space="preserve">et </w:t>
      </w:r>
      <w:r w:rsidRPr="009E3C44">
        <w:t>278.</w:t>
      </w:r>
    </w:p>
    <w:p w:rsidR="004C4AE2" w:rsidRDefault="004C4AE2" w:rsidP="004C4AE2">
      <w:pPr>
        <w:pStyle w:val="enumlev1"/>
      </w:pPr>
      <w:r w:rsidRPr="009E3C44">
        <w:t>–</w:t>
      </w:r>
      <w:r w:rsidRPr="009E3C44">
        <w:tab/>
      </w:r>
      <w:r>
        <w:t>La première impulsion est toujours présente et fonctionne en tant qu'impulsion de départ.</w:t>
      </w:r>
    </w:p>
    <w:p w:rsidR="004C4AE2" w:rsidRPr="009E3C44" w:rsidRDefault="004C4AE2" w:rsidP="004C4AE2">
      <w:pPr>
        <w:pStyle w:val="enumlev1"/>
      </w:pPr>
      <w:r w:rsidRPr="009E3C44">
        <w:t>–</w:t>
      </w:r>
      <w:r w:rsidRPr="009E3C44">
        <w:tab/>
      </w:r>
      <w:r>
        <w:t xml:space="preserve">Il y a ensuite une chaîne d'impulsions de comptage comprises entre zéro et quatre trames qui augmentent d'une unité sur la ligne </w:t>
      </w:r>
      <w:r w:rsidRPr="009E3C44">
        <w:t>15 (</w:t>
      </w:r>
      <w:r>
        <w:t xml:space="preserve">à chaque trame impaire). La sixième impulsion n'est présente que sur la ligne </w:t>
      </w:r>
      <w:r w:rsidRPr="009E3C44">
        <w:t>278 (</w:t>
      </w:r>
      <w:r>
        <w:t>trame paire</w:t>
      </w:r>
      <w:r w:rsidRPr="009E3C44">
        <w:t>)</w:t>
      </w:r>
      <w:r>
        <w:t>. Les impulsions sont séparées par des espaces de durée égale aux impulsions.</w:t>
      </w:r>
    </w:p>
    <w:p w:rsidR="004C4AE2" w:rsidRPr="009E3C44" w:rsidRDefault="004C4AE2" w:rsidP="004C4AE2">
      <w:r>
        <w:t>Le début de la séquence de dix trames n'est pas indiqué et n'est pas aligné sur une quelconque valeur de temps ou de code. On trouvera des renseignements détaillés dans l'Appendice</w:t>
      </w:r>
      <w:r w:rsidRPr="009E3C44">
        <w:t xml:space="preserve"> 4.</w:t>
      </w:r>
    </w:p>
    <w:p w:rsidR="004C4AE2" w:rsidRPr="009E3C44" w:rsidRDefault="004C4AE2" w:rsidP="004C4AE2">
      <w:pPr>
        <w:spacing w:line="360" w:lineRule="auto"/>
      </w:pPr>
    </w:p>
    <w:p w:rsidR="004C4AE2" w:rsidRPr="00207A13" w:rsidRDefault="004C4AE2" w:rsidP="004C4AE2">
      <w:pPr>
        <w:tabs>
          <w:tab w:val="clear" w:pos="794"/>
          <w:tab w:val="clear" w:pos="1191"/>
          <w:tab w:val="clear" w:pos="1588"/>
          <w:tab w:val="clear" w:pos="1985"/>
        </w:tabs>
        <w:overflowPunct/>
        <w:autoSpaceDE/>
        <w:autoSpaceDN/>
        <w:adjustRightInd/>
        <w:spacing w:before="0"/>
        <w:textAlignment w:val="auto"/>
        <w:rPr>
          <w:b/>
          <w:sz w:val="28"/>
          <w:lang w:val="fr-CH"/>
        </w:rPr>
      </w:pPr>
      <w:r w:rsidRPr="00207A13">
        <w:rPr>
          <w:lang w:val="fr-CH"/>
        </w:rPr>
        <w:br w:type="page"/>
      </w:r>
    </w:p>
    <w:p w:rsidR="004C4AE2" w:rsidRPr="00207A13" w:rsidRDefault="004C4AE2" w:rsidP="006A7769">
      <w:pPr>
        <w:pStyle w:val="AppendixNoTitle"/>
        <w:rPr>
          <w:lang w:val="fr-CH"/>
        </w:rPr>
      </w:pPr>
      <w:r w:rsidRPr="00207A13">
        <w:rPr>
          <w:lang w:val="fr-CH"/>
        </w:rPr>
        <w:lastRenderedPageBreak/>
        <w:t>Appendice 4</w:t>
      </w:r>
      <w:r w:rsidRPr="00207A13">
        <w:rPr>
          <w:lang w:val="fr-CH"/>
        </w:rPr>
        <w:br/>
      </w:r>
      <w:r w:rsidRPr="006A7769">
        <w:rPr>
          <w:b w:val="0"/>
          <w:bCs/>
          <w:lang w:val="fr-CH"/>
        </w:rPr>
        <w:t>(Informatif)</w:t>
      </w:r>
      <w:r w:rsidRPr="00207A13">
        <w:rPr>
          <w:lang w:val="fr-CH"/>
        </w:rPr>
        <w:br/>
      </w:r>
      <w:r w:rsidRPr="00207A13">
        <w:rPr>
          <w:lang w:val="fr-CH"/>
        </w:rPr>
        <w:br/>
        <w:t>Références informatives</w:t>
      </w:r>
    </w:p>
    <w:p w:rsidR="004C4AE2" w:rsidRPr="00207A13" w:rsidRDefault="004C4AE2" w:rsidP="004C4AE2">
      <w:pPr>
        <w:rPr>
          <w:lang w:val="fr-CH"/>
        </w:rPr>
      </w:pPr>
    </w:p>
    <w:p w:rsidR="004C4AE2" w:rsidRPr="00F818D9" w:rsidRDefault="004C4AE2" w:rsidP="006A7769">
      <w:pPr>
        <w:pStyle w:val="Reftext"/>
        <w:rPr>
          <w:lang w:val="en-US"/>
        </w:rPr>
      </w:pPr>
      <w:r w:rsidRPr="00F818D9">
        <w:rPr>
          <w:lang w:val="en-US"/>
        </w:rPr>
        <w:t xml:space="preserve">SMPTE 318M-1999, </w:t>
      </w:r>
      <w:r w:rsidRPr="00F818D9">
        <w:rPr>
          <w:i/>
          <w:iCs/>
          <w:lang w:val="en-US"/>
        </w:rPr>
        <w:t>Synchronization of 59.94 or 50 Hertz related video and audio systems in analogue and digital areas</w:t>
      </w:r>
      <w:r w:rsidRPr="00F818D9">
        <w:rPr>
          <w:lang w:val="en-US"/>
        </w:rPr>
        <w:t>: Society of Motion Picture and Television Engineers, White Plains, NY., Etats-Unis</w:t>
      </w:r>
      <w:r>
        <w:rPr>
          <w:lang w:val="en-US"/>
        </w:rPr>
        <w:t>.</w:t>
      </w:r>
    </w:p>
    <w:p w:rsidR="004C4AE2" w:rsidRPr="00F818D9" w:rsidRDefault="004C4AE2" w:rsidP="004C4AE2">
      <w:pPr>
        <w:keepNext/>
        <w:keepLines/>
        <w:spacing w:line="360" w:lineRule="auto"/>
        <w:rPr>
          <w:lang w:val="en-US"/>
        </w:rPr>
      </w:pPr>
    </w:p>
    <w:p w:rsidR="004C4AE2" w:rsidRDefault="004C4AE2" w:rsidP="004C4AE2">
      <w:pPr>
        <w:jc w:val="center"/>
      </w:pPr>
      <w:r w:rsidRPr="009E3C44">
        <w:object w:dxaOrig="1539" w:dyaOrig="996">
          <v:shape id="_x0000_i1031" type="#_x0000_t75" style="width:76.9pt;height:49.65pt" o:ole="">
            <v:imagedata r:id="rId26" o:title=""/>
          </v:shape>
          <o:OLEObject Type="Embed" ProgID="AcroExch.Document.7" ShapeID="_x0000_i1031" DrawAspect="Icon" ObjectID="_1444638834" r:id="rId27"/>
        </w:object>
      </w:r>
    </w:p>
    <w:p w:rsidR="004C4AE2" w:rsidRDefault="004C4AE2" w:rsidP="004C4AE2"/>
    <w:p w:rsidR="004C4AE2" w:rsidRDefault="004C4AE2" w:rsidP="004C4AE2"/>
    <w:p w:rsidR="00A6617B" w:rsidRDefault="004C4AE2" w:rsidP="004C4AE2">
      <w:pPr>
        <w:jc w:val="center"/>
      </w:pPr>
      <w:r>
        <w:t>___________</w:t>
      </w:r>
    </w:p>
    <w:p w:rsidR="004C4AE2" w:rsidRPr="004C4AE2" w:rsidRDefault="004C4AE2" w:rsidP="004C4AE2">
      <w:pPr>
        <w:rPr>
          <w:lang w:val="es-ES_tradnl"/>
        </w:rPr>
      </w:pPr>
    </w:p>
    <w:sectPr w:rsidR="004C4AE2" w:rsidRPr="004C4AE2" w:rsidSect="001E7FCD">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495" w:rsidRDefault="00327495">
      <w:r>
        <w:separator/>
      </w:r>
    </w:p>
  </w:endnote>
  <w:endnote w:type="continuationSeparator" w:id="0">
    <w:p w:rsidR="00327495" w:rsidRDefault="0032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495" w:rsidRDefault="00327495">
      <w:r>
        <w:separator/>
      </w:r>
    </w:p>
  </w:footnote>
  <w:footnote w:type="continuationSeparator" w:id="0">
    <w:p w:rsidR="00327495" w:rsidRDefault="00327495">
      <w:r>
        <w:continuationSeparator/>
      </w:r>
    </w:p>
  </w:footnote>
  <w:footnote w:id="1">
    <w:p w:rsidR="004C4AE2" w:rsidRPr="00F818D9" w:rsidRDefault="004C4AE2" w:rsidP="004C4AE2">
      <w:pPr>
        <w:pStyle w:val="FootnoteText"/>
        <w:rPr>
          <w:lang w:val="fr-CH" w:eastAsia="ja-JP"/>
        </w:rPr>
      </w:pPr>
      <w:r>
        <w:rPr>
          <w:rStyle w:val="FootnoteReference"/>
        </w:rPr>
        <w:footnoteRef/>
      </w:r>
      <w:r w:rsidRPr="00F818D9">
        <w:rPr>
          <w:lang w:val="fr-CH"/>
        </w:rPr>
        <w:tab/>
        <w:t>Recommandation UIT-R BS.647</w:t>
      </w:r>
      <w:r w:rsidRPr="00F818D9">
        <w:rPr>
          <w:lang w:val="fr-CH"/>
        </w:rPr>
        <w:noBreakHyphen/>
        <w:t>3</w:t>
      </w:r>
      <w:r w:rsidRPr="00F818D9">
        <w:rPr>
          <w:rFonts w:hint="eastAsia"/>
          <w:lang w:val="fr-CH" w:eastAsia="ja-JP"/>
        </w:rPr>
        <w:t xml:space="preserve"> (</w:t>
      </w:r>
      <w:r w:rsidRPr="00F818D9">
        <w:rPr>
          <w:lang w:val="fr-CH"/>
        </w:rPr>
        <w:t>2011</w:t>
      </w:r>
      <w:r w:rsidRPr="00F818D9">
        <w:rPr>
          <w:rFonts w:hint="eastAsia"/>
          <w:lang w:val="fr-CH" w:eastAsia="ja-JP"/>
        </w:rPr>
        <w:t>)</w:t>
      </w:r>
      <w:r w:rsidRPr="00F818D9">
        <w:rPr>
          <w:lang w:val="fr-CH"/>
        </w:rPr>
        <w:t>, Part</w:t>
      </w:r>
      <w:r>
        <w:rPr>
          <w:lang w:val="fr-CH"/>
        </w:rPr>
        <w:t>ie</w:t>
      </w:r>
      <w:r w:rsidRPr="00F818D9">
        <w:rPr>
          <w:lang w:val="fr-CH"/>
        </w:rPr>
        <w:t xml:space="preserve"> 3</w:t>
      </w:r>
      <w:r>
        <w:rPr>
          <w:lang w:val="fr-CH"/>
        </w:rPr>
        <w:t>,</w:t>
      </w:r>
      <w:r w:rsidRPr="00F818D9">
        <w:rPr>
          <w:lang w:val="fr-CH"/>
        </w:rPr>
        <w:t xml:space="preserve"> § 3.3</w:t>
      </w:r>
      <w:r w:rsidRPr="00F818D9">
        <w:rPr>
          <w:rFonts w:hint="eastAsia"/>
          <w:lang w:val="fr-CH" w:eastAsia="ja-JP"/>
        </w:rPr>
        <w:t>.</w:t>
      </w:r>
    </w:p>
  </w:footnote>
  <w:footnote w:id="2">
    <w:p w:rsidR="004C4AE2" w:rsidRPr="00F818D9" w:rsidRDefault="004C4AE2" w:rsidP="004C4AE2">
      <w:pPr>
        <w:pStyle w:val="FootnoteText"/>
        <w:rPr>
          <w:lang w:val="fr-CH" w:eastAsia="ja-JP"/>
        </w:rPr>
      </w:pPr>
      <w:r>
        <w:rPr>
          <w:rStyle w:val="FootnoteReference"/>
        </w:rPr>
        <w:footnoteRef/>
      </w:r>
      <w:r w:rsidRPr="00F818D9">
        <w:rPr>
          <w:lang w:val="fr-CH"/>
        </w:rPr>
        <w:tab/>
        <w:t>Aux fins de la présente</w:t>
      </w:r>
      <w:r>
        <w:rPr>
          <w:lang w:val="fr-CH"/>
        </w:rPr>
        <w:t xml:space="preserve"> </w:t>
      </w:r>
      <w:r w:rsidRPr="00F818D9">
        <w:rPr>
          <w:lang w:val="fr-CH"/>
        </w:rPr>
        <w:t>Recommandation,</w:t>
      </w:r>
      <w:r>
        <w:rPr>
          <w:lang w:val="fr-CH"/>
        </w:rPr>
        <w:t xml:space="preserve"> </w:t>
      </w:r>
      <w:r w:rsidRPr="00F818D9">
        <w:rPr>
          <w:lang w:val="fr-CH"/>
        </w:rPr>
        <w:t>les numéros de ligne d'interface sont utili</w:t>
      </w:r>
      <w:r>
        <w:rPr>
          <w:lang w:val="fr-CH"/>
        </w:rPr>
        <w:t>sé</w:t>
      </w:r>
      <w:r w:rsidRPr="00F818D9">
        <w:rPr>
          <w:lang w:val="fr-CH"/>
        </w:rPr>
        <w:t>s pour l</w:t>
      </w:r>
      <w:r>
        <w:rPr>
          <w:lang w:val="fr-CH"/>
        </w:rPr>
        <w:t>'</w:t>
      </w:r>
      <w:r w:rsidRPr="00F818D9">
        <w:rPr>
          <w:lang w:val="fr-CH"/>
        </w:rPr>
        <w:t>établissement des références temporelles</w:t>
      </w:r>
      <w:r>
        <w:rPr>
          <w:lang w:val="fr-CH"/>
        </w:rPr>
        <w:t>.</w:t>
      </w:r>
    </w:p>
  </w:footnote>
  <w:footnote w:id="3">
    <w:p w:rsidR="004C4AE2" w:rsidRDefault="004C4AE2" w:rsidP="004C4AE2">
      <w:pPr>
        <w:pStyle w:val="FootnoteText"/>
      </w:pPr>
      <w:r>
        <w:rPr>
          <w:rStyle w:val="FootnoteReference"/>
        </w:rPr>
        <w:footnoteRef/>
      </w:r>
      <w:r>
        <w:tab/>
        <w:t xml:space="preserve">Les valeurs </w:t>
      </w:r>
      <w:r>
        <w:rPr>
          <w:lang w:val="fr-CH"/>
        </w:rPr>
        <w:t>pré</w:t>
      </w:r>
      <w:r w:rsidRPr="00F818D9">
        <w:rPr>
          <w:lang w:val="fr-CH"/>
        </w:rPr>
        <w:t xml:space="preserve">cises </w:t>
      </w:r>
      <w:r w:rsidRPr="00F818D9">
        <w:rPr>
          <w:lang w:val="fr-CH" w:eastAsia="ja-JP"/>
        </w:rPr>
        <w:t>sont</w:t>
      </w:r>
      <w:r>
        <w:rPr>
          <w:lang w:val="fr-CH" w:eastAsia="ja-JP"/>
        </w:rPr>
        <w:t xml:space="preserve"> </w:t>
      </w:r>
      <w:r w:rsidRPr="00F818D9">
        <w:rPr>
          <w:lang w:val="fr-CH"/>
        </w:rPr>
        <w:t>30/1</w:t>
      </w:r>
      <w:r>
        <w:rPr>
          <w:lang w:val="fr-CH"/>
        </w:rPr>
        <w:t>,</w:t>
      </w:r>
      <w:r w:rsidRPr="00F818D9">
        <w:rPr>
          <w:lang w:val="fr-CH"/>
        </w:rPr>
        <w:t>001 et</w:t>
      </w:r>
      <w:r>
        <w:rPr>
          <w:lang w:val="fr-CH"/>
        </w:rPr>
        <w:t xml:space="preserve"> </w:t>
      </w:r>
      <w:r w:rsidRPr="00F818D9">
        <w:rPr>
          <w:lang w:val="fr-CH"/>
        </w:rPr>
        <w:t>60/1</w:t>
      </w:r>
      <w:r>
        <w:rPr>
          <w:lang w:val="fr-CH"/>
        </w:rPr>
        <w:t>,</w:t>
      </w:r>
      <w:r w:rsidRPr="00F818D9">
        <w:rPr>
          <w:lang w:val="fr-CH"/>
        </w:rPr>
        <w:t>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93" w:rsidRDefault="00773B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93" w:rsidRDefault="00773B93" w:rsidP="00C668C8">
    <w:pPr>
      <w:pStyle w:val="Header"/>
      <w:ind w:right="360" w:firstLine="360"/>
    </w:pPr>
    <w:r>
      <w:rPr>
        <w:noProof/>
        <w:lang w:val="en-US" w:eastAsia="zh-CN"/>
      </w:rPr>
      <w:drawing>
        <wp:anchor distT="0" distB="0" distL="114300" distR="114300" simplePos="0" relativeHeight="251659264" behindDoc="1" locked="0" layoutInCell="1" allowOverlap="1" wp14:anchorId="2B1C9F08" wp14:editId="040DACC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93" w:rsidRPr="00837CB5" w:rsidRDefault="00773B9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155AB">
      <w:rPr>
        <w:rStyle w:val="PageNumber"/>
        <w:b/>
        <w:bCs/>
        <w:noProof/>
      </w:rPr>
      <w:t>ii</w:t>
    </w:r>
    <w:r>
      <w:rPr>
        <w:rStyle w:val="PageNumber"/>
        <w:b/>
        <w:bCs/>
      </w:rPr>
      <w:fldChar w:fldCharType="end"/>
    </w:r>
    <w:r w:rsidRPr="00837CB5">
      <w:tab/>
    </w:r>
    <w:fldSimple w:instr=" DOCPROPERTY &quot;Header&quot; \* MERGEFORMAT ">
      <w:r w:rsidR="00F155AB" w:rsidRPr="00F155A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155AB">
      <w:rPr>
        <w:b/>
        <w:bCs/>
        <w:noProof/>
      </w:rPr>
      <w:t>UIT-R  BS.2032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93" w:rsidRDefault="00773B93">
    <w:pPr>
      <w:pStyle w:val="Header"/>
    </w:pPr>
    <w:r>
      <w:tab/>
    </w:r>
    <w:fldSimple w:instr=" DOCPROPERTY &quot;Header&quot; \* MERGEFORMAT ">
      <w:r w:rsidR="00F155AB" w:rsidRPr="00F155A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155AB">
      <w:rPr>
        <w:b/>
        <w:bCs/>
        <w:noProof/>
      </w:rPr>
      <w:t>UIT-R  BS.2032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55AB">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155AB" w:rsidRPr="00F155A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155AB">
      <w:rPr>
        <w:b/>
        <w:bCs/>
        <w:noProof/>
      </w:rPr>
      <w:t>UIT-R  BS.2032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F155AB" w:rsidRPr="00F155A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155AB">
      <w:rPr>
        <w:b/>
        <w:bCs/>
        <w:noProof/>
      </w:rPr>
      <w:t>UIT-R  BS.2032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55AB">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9B32CB"/>
    <w:multiLevelType w:val="hybridMultilevel"/>
    <w:tmpl w:val="81D6534A"/>
    <w:lvl w:ilvl="0" w:tplc="2AD0DF2E">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95"/>
    <w:rsid w:val="001E7FCD"/>
    <w:rsid w:val="00217EBF"/>
    <w:rsid w:val="00242AEE"/>
    <w:rsid w:val="00247AA9"/>
    <w:rsid w:val="002D76C4"/>
    <w:rsid w:val="00327495"/>
    <w:rsid w:val="0048311E"/>
    <w:rsid w:val="004C4AE2"/>
    <w:rsid w:val="0052529D"/>
    <w:rsid w:val="00607D68"/>
    <w:rsid w:val="006A7769"/>
    <w:rsid w:val="007468DA"/>
    <w:rsid w:val="00773B93"/>
    <w:rsid w:val="009341CF"/>
    <w:rsid w:val="009E00A8"/>
    <w:rsid w:val="00A65403"/>
    <w:rsid w:val="00A6617B"/>
    <w:rsid w:val="00AB0DC8"/>
    <w:rsid w:val="00AC1D3F"/>
    <w:rsid w:val="00B44E24"/>
    <w:rsid w:val="00C11637"/>
    <w:rsid w:val="00D24B99"/>
    <w:rsid w:val="00DF4176"/>
    <w:rsid w:val="00EF6032"/>
    <w:rsid w:val="00F155AB"/>
    <w:rsid w:val="00FE37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B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7AA9"/>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73B93"/>
    <w:rPr>
      <w:color w:val="0000FF"/>
      <w:u w:val="single"/>
    </w:rPr>
  </w:style>
  <w:style w:type="paragraph" w:customStyle="1" w:styleId="Artheading">
    <w:name w:val="Art_heading"/>
    <w:basedOn w:val="Normal"/>
    <w:next w:val="Normalaftertitle"/>
    <w:rsid w:val="004C4AE2"/>
    <w:pPr>
      <w:spacing w:before="480"/>
      <w:jc w:val="center"/>
    </w:pPr>
    <w:rPr>
      <w:b/>
      <w:sz w:val="28"/>
    </w:rPr>
  </w:style>
  <w:style w:type="character" w:styleId="EndnoteReference">
    <w:name w:val="endnote reference"/>
    <w:basedOn w:val="DefaultParagraphFont"/>
    <w:rsid w:val="004C4AE2"/>
    <w:rPr>
      <w:vertAlign w:val="superscript"/>
    </w:rPr>
  </w:style>
  <w:style w:type="paragraph" w:customStyle="1" w:styleId="Figurewithouttitle">
    <w:name w:val="Figure_without_title"/>
    <w:basedOn w:val="Normal"/>
    <w:next w:val="Normalaftertitle"/>
    <w:rsid w:val="004C4AE2"/>
    <w:pPr>
      <w:keepLines/>
      <w:spacing w:before="240" w:after="120"/>
      <w:jc w:val="center"/>
    </w:pPr>
  </w:style>
  <w:style w:type="paragraph" w:customStyle="1" w:styleId="FirstFooter">
    <w:name w:val="FirstFooter"/>
    <w:basedOn w:val="Footer"/>
    <w:rsid w:val="004C4AE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4C4AE2"/>
    <w:pPr>
      <w:spacing w:before="840" w:after="200"/>
      <w:jc w:val="center"/>
    </w:pPr>
    <w:rPr>
      <w:b/>
      <w:sz w:val="28"/>
    </w:rPr>
  </w:style>
  <w:style w:type="paragraph" w:customStyle="1" w:styleId="SpecialFooter">
    <w:name w:val="Special Footer"/>
    <w:basedOn w:val="Footer"/>
    <w:rsid w:val="004C4AE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C4AE2"/>
    <w:pPr>
      <w:keepNext/>
      <w:spacing w:before="0" w:after="120"/>
      <w:jc w:val="center"/>
    </w:pPr>
  </w:style>
  <w:style w:type="paragraph" w:customStyle="1" w:styleId="Title1">
    <w:name w:val="Title 1"/>
    <w:basedOn w:val="Source"/>
    <w:next w:val="Title2"/>
    <w:rsid w:val="004C4A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C4AE2"/>
  </w:style>
  <w:style w:type="paragraph" w:customStyle="1" w:styleId="Title3">
    <w:name w:val="Title 3"/>
    <w:basedOn w:val="Title2"/>
    <w:next w:val="Title4"/>
    <w:rsid w:val="004C4AE2"/>
    <w:rPr>
      <w:caps w:val="0"/>
    </w:rPr>
  </w:style>
  <w:style w:type="paragraph" w:customStyle="1" w:styleId="Title4">
    <w:name w:val="Title 4"/>
    <w:basedOn w:val="Title3"/>
    <w:next w:val="Heading1"/>
    <w:rsid w:val="004C4AE2"/>
    <w:rPr>
      <w:b/>
    </w:rPr>
  </w:style>
  <w:style w:type="character" w:customStyle="1" w:styleId="Appdef">
    <w:name w:val="App_def"/>
    <w:basedOn w:val="DefaultParagraphFont"/>
    <w:rsid w:val="004C4AE2"/>
    <w:rPr>
      <w:rFonts w:ascii="Times New Roman" w:hAnsi="Times New Roman"/>
      <w:b/>
    </w:rPr>
  </w:style>
  <w:style w:type="character" w:customStyle="1" w:styleId="Appref">
    <w:name w:val="App_ref"/>
    <w:basedOn w:val="DefaultParagraphFont"/>
    <w:rsid w:val="004C4AE2"/>
  </w:style>
  <w:style w:type="character" w:customStyle="1" w:styleId="Artdef">
    <w:name w:val="Art_def"/>
    <w:basedOn w:val="DefaultParagraphFont"/>
    <w:rsid w:val="004C4AE2"/>
    <w:rPr>
      <w:rFonts w:ascii="Times New Roman" w:hAnsi="Times New Roman"/>
      <w:b/>
    </w:rPr>
  </w:style>
  <w:style w:type="character" w:customStyle="1" w:styleId="Artref">
    <w:name w:val="Art_ref"/>
    <w:basedOn w:val="DefaultParagraphFont"/>
    <w:rsid w:val="004C4AE2"/>
  </w:style>
  <w:style w:type="character" w:customStyle="1" w:styleId="Recdef">
    <w:name w:val="Rec_def"/>
    <w:basedOn w:val="DefaultParagraphFont"/>
    <w:rsid w:val="004C4AE2"/>
    <w:rPr>
      <w:b/>
    </w:rPr>
  </w:style>
  <w:style w:type="character" w:customStyle="1" w:styleId="Resdef">
    <w:name w:val="Res_def"/>
    <w:basedOn w:val="DefaultParagraphFont"/>
    <w:rsid w:val="004C4AE2"/>
    <w:rPr>
      <w:rFonts w:ascii="Times New Roman" w:hAnsi="Times New Roman"/>
      <w:b/>
    </w:rPr>
  </w:style>
  <w:style w:type="character" w:customStyle="1" w:styleId="Tablefreq">
    <w:name w:val="Table_freq"/>
    <w:basedOn w:val="DefaultParagraphFont"/>
    <w:rsid w:val="004C4AE2"/>
    <w:rPr>
      <w:b/>
      <w:color w:val="auto"/>
    </w:rPr>
  </w:style>
  <w:style w:type="paragraph" w:customStyle="1" w:styleId="Formal">
    <w:name w:val="Formal"/>
    <w:basedOn w:val="ASN1"/>
    <w:rsid w:val="004C4AE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C4AE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C4AE2"/>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rsid w:val="004C4AE2"/>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4C4AE2"/>
    <w:rPr>
      <w:rFonts w:ascii="Tahoma" w:hAnsi="Tahoma" w:cs="Tahoma"/>
      <w:sz w:val="16"/>
      <w:szCs w:val="16"/>
      <w:lang w:val="fr-FR" w:eastAsia="en-US"/>
    </w:rPr>
  </w:style>
  <w:style w:type="character" w:customStyle="1" w:styleId="Heading1Char">
    <w:name w:val="Heading 1 Char"/>
    <w:basedOn w:val="DefaultParagraphFont"/>
    <w:link w:val="Heading1"/>
    <w:rsid w:val="004C4AE2"/>
    <w:rPr>
      <w:b/>
      <w:sz w:val="24"/>
      <w:lang w:val="fr-FR" w:eastAsia="en-US"/>
    </w:rPr>
  </w:style>
  <w:style w:type="character" w:customStyle="1" w:styleId="FootnoteTextChar">
    <w:name w:val="Footnote Text Char"/>
    <w:basedOn w:val="DefaultParagraphFont"/>
    <w:link w:val="FootnoteText"/>
    <w:rsid w:val="004C4AE2"/>
    <w:rPr>
      <w:sz w:val="22"/>
      <w:lang w:val="fr-FR" w:eastAsia="en-US"/>
    </w:rPr>
  </w:style>
  <w:style w:type="character" w:customStyle="1" w:styleId="enumlev1Char">
    <w:name w:val="enumlev1 Char"/>
    <w:link w:val="enumlev1"/>
    <w:locked/>
    <w:rsid w:val="004C4AE2"/>
    <w:rPr>
      <w:sz w:val="24"/>
      <w:lang w:val="fr-FR" w:eastAsia="en-US"/>
    </w:rPr>
  </w:style>
  <w:style w:type="character" w:customStyle="1" w:styleId="TabletextChar">
    <w:name w:val="Table_text Char"/>
    <w:link w:val="Tabletext"/>
    <w:locked/>
    <w:rsid w:val="004C4AE2"/>
    <w:rPr>
      <w:sz w:val="22"/>
      <w:lang w:val="fr-FR" w:eastAsia="en-US"/>
    </w:rPr>
  </w:style>
  <w:style w:type="character" w:customStyle="1" w:styleId="TabletitleChar">
    <w:name w:val="Table_title Char"/>
    <w:link w:val="Tabletitle"/>
    <w:locked/>
    <w:rsid w:val="004C4AE2"/>
    <w:rPr>
      <w:b/>
      <w:sz w:val="24"/>
      <w:lang w:val="fr-FR" w:eastAsia="en-US"/>
    </w:rPr>
  </w:style>
  <w:style w:type="character" w:customStyle="1" w:styleId="FiguretitleChar">
    <w:name w:val="Figure_title Char"/>
    <w:link w:val="Figuretitle"/>
    <w:locked/>
    <w:rsid w:val="004C4AE2"/>
    <w:rPr>
      <w:rFonts w:ascii="Times New Roman Bold" w:hAnsi="Times New Roman Bold"/>
      <w:b/>
      <w:sz w:val="18"/>
      <w:lang w:val="fr-FR" w:eastAsia="en-US"/>
    </w:rPr>
  </w:style>
  <w:style w:type="character" w:customStyle="1" w:styleId="FigureNo0">
    <w:name w:val="Figure_No (文字)"/>
    <w:link w:val="FigureNo"/>
    <w:locked/>
    <w:rsid w:val="004C4AE2"/>
    <w:rPr>
      <w:caps/>
      <w:sz w:val="18"/>
      <w:lang w:val="fr-FR" w:eastAsia="en-US"/>
    </w:rPr>
  </w:style>
  <w:style w:type="character" w:customStyle="1" w:styleId="TableNoChar">
    <w:name w:val="Table_No Char"/>
    <w:link w:val="TableNo"/>
    <w:locked/>
    <w:rsid w:val="004C4AE2"/>
    <w:rPr>
      <w:sz w:val="24"/>
      <w:lang w:val="fr-FR" w:eastAsia="en-US"/>
    </w:rPr>
  </w:style>
  <w:style w:type="character" w:customStyle="1" w:styleId="TableheadChar">
    <w:name w:val="Table_head Char"/>
    <w:link w:val="Tablehead"/>
    <w:locked/>
    <w:rsid w:val="004C4AE2"/>
    <w:rPr>
      <w:b/>
      <w:sz w:val="22"/>
      <w:lang w:val="fr-FR" w:eastAsia="en-US"/>
    </w:rPr>
  </w:style>
  <w:style w:type="character" w:customStyle="1" w:styleId="CallChar">
    <w:name w:val="Call Char"/>
    <w:link w:val="Call"/>
    <w:locked/>
    <w:rsid w:val="004C4AE2"/>
    <w:rPr>
      <w:i/>
      <w:sz w:val="24"/>
      <w:lang w:val="fr-FR" w:eastAsia="en-US"/>
    </w:rPr>
  </w:style>
  <w:style w:type="character" w:customStyle="1" w:styleId="NoteChar">
    <w:name w:val="Note Char"/>
    <w:link w:val="Note"/>
    <w:locked/>
    <w:rsid w:val="004C4AE2"/>
    <w:rPr>
      <w:sz w:val="22"/>
      <w:lang w:val="fr-FR" w:eastAsia="en-US"/>
    </w:rPr>
  </w:style>
  <w:style w:type="character" w:customStyle="1" w:styleId="code-courier">
    <w:name w:val="code-courier"/>
    <w:uiPriority w:val="99"/>
    <w:rsid w:val="004C4AE2"/>
    <w:rPr>
      <w:rFonts w:ascii="Courier" w:hAnsi="Courier"/>
      <w:sz w:val="20"/>
    </w:rPr>
  </w:style>
  <w:style w:type="character" w:customStyle="1" w:styleId="HeaderChar">
    <w:name w:val="Header Char"/>
    <w:basedOn w:val="DefaultParagraphFont"/>
    <w:link w:val="Header"/>
    <w:rsid w:val="004C4AE2"/>
    <w:rPr>
      <w:sz w:val="24"/>
      <w:lang w:val="fr-FR" w:eastAsia="en-US"/>
    </w:rPr>
  </w:style>
  <w:style w:type="character" w:customStyle="1" w:styleId="HeadingbChar">
    <w:name w:val="Heading_b Char"/>
    <w:link w:val="Headingb"/>
    <w:locked/>
    <w:rsid w:val="004C4AE2"/>
    <w:rPr>
      <w:b/>
      <w:sz w:val="24"/>
      <w:lang w:val="fr-FR" w:eastAsia="en-US"/>
    </w:rPr>
  </w:style>
  <w:style w:type="paragraph" w:styleId="ListParagraph">
    <w:name w:val="List Paragraph"/>
    <w:basedOn w:val="Normal"/>
    <w:uiPriority w:val="34"/>
    <w:qFormat/>
    <w:rsid w:val="004C4AE2"/>
    <w:pPr>
      <w:ind w:left="720"/>
      <w:contextualSpacing/>
      <w:jc w:val="left"/>
    </w:pPr>
  </w:style>
  <w:style w:type="paragraph" w:customStyle="1" w:styleId="Reasons">
    <w:name w:val="Reasons"/>
    <w:basedOn w:val="Normal"/>
    <w:qFormat/>
    <w:rsid w:val="004C4AE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B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7AA9"/>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73B93"/>
    <w:rPr>
      <w:color w:val="0000FF"/>
      <w:u w:val="single"/>
    </w:rPr>
  </w:style>
  <w:style w:type="paragraph" w:customStyle="1" w:styleId="Artheading">
    <w:name w:val="Art_heading"/>
    <w:basedOn w:val="Normal"/>
    <w:next w:val="Normalaftertitle"/>
    <w:rsid w:val="004C4AE2"/>
    <w:pPr>
      <w:spacing w:before="480"/>
      <w:jc w:val="center"/>
    </w:pPr>
    <w:rPr>
      <w:b/>
      <w:sz w:val="28"/>
    </w:rPr>
  </w:style>
  <w:style w:type="character" w:styleId="EndnoteReference">
    <w:name w:val="endnote reference"/>
    <w:basedOn w:val="DefaultParagraphFont"/>
    <w:rsid w:val="004C4AE2"/>
    <w:rPr>
      <w:vertAlign w:val="superscript"/>
    </w:rPr>
  </w:style>
  <w:style w:type="paragraph" w:customStyle="1" w:styleId="Figurewithouttitle">
    <w:name w:val="Figure_without_title"/>
    <w:basedOn w:val="Normal"/>
    <w:next w:val="Normalaftertitle"/>
    <w:rsid w:val="004C4AE2"/>
    <w:pPr>
      <w:keepLines/>
      <w:spacing w:before="240" w:after="120"/>
      <w:jc w:val="center"/>
    </w:pPr>
  </w:style>
  <w:style w:type="paragraph" w:customStyle="1" w:styleId="FirstFooter">
    <w:name w:val="FirstFooter"/>
    <w:basedOn w:val="Footer"/>
    <w:rsid w:val="004C4AE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4C4AE2"/>
    <w:pPr>
      <w:spacing w:before="840" w:after="200"/>
      <w:jc w:val="center"/>
    </w:pPr>
    <w:rPr>
      <w:b/>
      <w:sz w:val="28"/>
    </w:rPr>
  </w:style>
  <w:style w:type="paragraph" w:customStyle="1" w:styleId="SpecialFooter">
    <w:name w:val="Special Footer"/>
    <w:basedOn w:val="Footer"/>
    <w:rsid w:val="004C4AE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C4AE2"/>
    <w:pPr>
      <w:keepNext/>
      <w:spacing w:before="0" w:after="120"/>
      <w:jc w:val="center"/>
    </w:pPr>
  </w:style>
  <w:style w:type="paragraph" w:customStyle="1" w:styleId="Title1">
    <w:name w:val="Title 1"/>
    <w:basedOn w:val="Source"/>
    <w:next w:val="Title2"/>
    <w:rsid w:val="004C4A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C4AE2"/>
  </w:style>
  <w:style w:type="paragraph" w:customStyle="1" w:styleId="Title3">
    <w:name w:val="Title 3"/>
    <w:basedOn w:val="Title2"/>
    <w:next w:val="Title4"/>
    <w:rsid w:val="004C4AE2"/>
    <w:rPr>
      <w:caps w:val="0"/>
    </w:rPr>
  </w:style>
  <w:style w:type="paragraph" w:customStyle="1" w:styleId="Title4">
    <w:name w:val="Title 4"/>
    <w:basedOn w:val="Title3"/>
    <w:next w:val="Heading1"/>
    <w:rsid w:val="004C4AE2"/>
    <w:rPr>
      <w:b/>
    </w:rPr>
  </w:style>
  <w:style w:type="character" w:customStyle="1" w:styleId="Appdef">
    <w:name w:val="App_def"/>
    <w:basedOn w:val="DefaultParagraphFont"/>
    <w:rsid w:val="004C4AE2"/>
    <w:rPr>
      <w:rFonts w:ascii="Times New Roman" w:hAnsi="Times New Roman"/>
      <w:b/>
    </w:rPr>
  </w:style>
  <w:style w:type="character" w:customStyle="1" w:styleId="Appref">
    <w:name w:val="App_ref"/>
    <w:basedOn w:val="DefaultParagraphFont"/>
    <w:rsid w:val="004C4AE2"/>
  </w:style>
  <w:style w:type="character" w:customStyle="1" w:styleId="Artdef">
    <w:name w:val="Art_def"/>
    <w:basedOn w:val="DefaultParagraphFont"/>
    <w:rsid w:val="004C4AE2"/>
    <w:rPr>
      <w:rFonts w:ascii="Times New Roman" w:hAnsi="Times New Roman"/>
      <w:b/>
    </w:rPr>
  </w:style>
  <w:style w:type="character" w:customStyle="1" w:styleId="Artref">
    <w:name w:val="Art_ref"/>
    <w:basedOn w:val="DefaultParagraphFont"/>
    <w:rsid w:val="004C4AE2"/>
  </w:style>
  <w:style w:type="character" w:customStyle="1" w:styleId="Recdef">
    <w:name w:val="Rec_def"/>
    <w:basedOn w:val="DefaultParagraphFont"/>
    <w:rsid w:val="004C4AE2"/>
    <w:rPr>
      <w:b/>
    </w:rPr>
  </w:style>
  <w:style w:type="character" w:customStyle="1" w:styleId="Resdef">
    <w:name w:val="Res_def"/>
    <w:basedOn w:val="DefaultParagraphFont"/>
    <w:rsid w:val="004C4AE2"/>
    <w:rPr>
      <w:rFonts w:ascii="Times New Roman" w:hAnsi="Times New Roman"/>
      <w:b/>
    </w:rPr>
  </w:style>
  <w:style w:type="character" w:customStyle="1" w:styleId="Tablefreq">
    <w:name w:val="Table_freq"/>
    <w:basedOn w:val="DefaultParagraphFont"/>
    <w:rsid w:val="004C4AE2"/>
    <w:rPr>
      <w:b/>
      <w:color w:val="auto"/>
    </w:rPr>
  </w:style>
  <w:style w:type="paragraph" w:customStyle="1" w:styleId="Formal">
    <w:name w:val="Formal"/>
    <w:basedOn w:val="ASN1"/>
    <w:rsid w:val="004C4AE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C4AE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C4AE2"/>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rsid w:val="004C4AE2"/>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4C4AE2"/>
    <w:rPr>
      <w:rFonts w:ascii="Tahoma" w:hAnsi="Tahoma" w:cs="Tahoma"/>
      <w:sz w:val="16"/>
      <w:szCs w:val="16"/>
      <w:lang w:val="fr-FR" w:eastAsia="en-US"/>
    </w:rPr>
  </w:style>
  <w:style w:type="character" w:customStyle="1" w:styleId="Heading1Char">
    <w:name w:val="Heading 1 Char"/>
    <w:basedOn w:val="DefaultParagraphFont"/>
    <w:link w:val="Heading1"/>
    <w:rsid w:val="004C4AE2"/>
    <w:rPr>
      <w:b/>
      <w:sz w:val="24"/>
      <w:lang w:val="fr-FR" w:eastAsia="en-US"/>
    </w:rPr>
  </w:style>
  <w:style w:type="character" w:customStyle="1" w:styleId="FootnoteTextChar">
    <w:name w:val="Footnote Text Char"/>
    <w:basedOn w:val="DefaultParagraphFont"/>
    <w:link w:val="FootnoteText"/>
    <w:rsid w:val="004C4AE2"/>
    <w:rPr>
      <w:sz w:val="22"/>
      <w:lang w:val="fr-FR" w:eastAsia="en-US"/>
    </w:rPr>
  </w:style>
  <w:style w:type="character" w:customStyle="1" w:styleId="enumlev1Char">
    <w:name w:val="enumlev1 Char"/>
    <w:link w:val="enumlev1"/>
    <w:locked/>
    <w:rsid w:val="004C4AE2"/>
    <w:rPr>
      <w:sz w:val="24"/>
      <w:lang w:val="fr-FR" w:eastAsia="en-US"/>
    </w:rPr>
  </w:style>
  <w:style w:type="character" w:customStyle="1" w:styleId="TabletextChar">
    <w:name w:val="Table_text Char"/>
    <w:link w:val="Tabletext"/>
    <w:locked/>
    <w:rsid w:val="004C4AE2"/>
    <w:rPr>
      <w:sz w:val="22"/>
      <w:lang w:val="fr-FR" w:eastAsia="en-US"/>
    </w:rPr>
  </w:style>
  <w:style w:type="character" w:customStyle="1" w:styleId="TabletitleChar">
    <w:name w:val="Table_title Char"/>
    <w:link w:val="Tabletitle"/>
    <w:locked/>
    <w:rsid w:val="004C4AE2"/>
    <w:rPr>
      <w:b/>
      <w:sz w:val="24"/>
      <w:lang w:val="fr-FR" w:eastAsia="en-US"/>
    </w:rPr>
  </w:style>
  <w:style w:type="character" w:customStyle="1" w:styleId="FiguretitleChar">
    <w:name w:val="Figure_title Char"/>
    <w:link w:val="Figuretitle"/>
    <w:locked/>
    <w:rsid w:val="004C4AE2"/>
    <w:rPr>
      <w:rFonts w:ascii="Times New Roman Bold" w:hAnsi="Times New Roman Bold"/>
      <w:b/>
      <w:sz w:val="18"/>
      <w:lang w:val="fr-FR" w:eastAsia="en-US"/>
    </w:rPr>
  </w:style>
  <w:style w:type="character" w:customStyle="1" w:styleId="FigureNo0">
    <w:name w:val="Figure_No (文字)"/>
    <w:link w:val="FigureNo"/>
    <w:locked/>
    <w:rsid w:val="004C4AE2"/>
    <w:rPr>
      <w:caps/>
      <w:sz w:val="18"/>
      <w:lang w:val="fr-FR" w:eastAsia="en-US"/>
    </w:rPr>
  </w:style>
  <w:style w:type="character" w:customStyle="1" w:styleId="TableNoChar">
    <w:name w:val="Table_No Char"/>
    <w:link w:val="TableNo"/>
    <w:locked/>
    <w:rsid w:val="004C4AE2"/>
    <w:rPr>
      <w:sz w:val="24"/>
      <w:lang w:val="fr-FR" w:eastAsia="en-US"/>
    </w:rPr>
  </w:style>
  <w:style w:type="character" w:customStyle="1" w:styleId="TableheadChar">
    <w:name w:val="Table_head Char"/>
    <w:link w:val="Tablehead"/>
    <w:locked/>
    <w:rsid w:val="004C4AE2"/>
    <w:rPr>
      <w:b/>
      <w:sz w:val="22"/>
      <w:lang w:val="fr-FR" w:eastAsia="en-US"/>
    </w:rPr>
  </w:style>
  <w:style w:type="character" w:customStyle="1" w:styleId="CallChar">
    <w:name w:val="Call Char"/>
    <w:link w:val="Call"/>
    <w:locked/>
    <w:rsid w:val="004C4AE2"/>
    <w:rPr>
      <w:i/>
      <w:sz w:val="24"/>
      <w:lang w:val="fr-FR" w:eastAsia="en-US"/>
    </w:rPr>
  </w:style>
  <w:style w:type="character" w:customStyle="1" w:styleId="NoteChar">
    <w:name w:val="Note Char"/>
    <w:link w:val="Note"/>
    <w:locked/>
    <w:rsid w:val="004C4AE2"/>
    <w:rPr>
      <w:sz w:val="22"/>
      <w:lang w:val="fr-FR" w:eastAsia="en-US"/>
    </w:rPr>
  </w:style>
  <w:style w:type="character" w:customStyle="1" w:styleId="code-courier">
    <w:name w:val="code-courier"/>
    <w:uiPriority w:val="99"/>
    <w:rsid w:val="004C4AE2"/>
    <w:rPr>
      <w:rFonts w:ascii="Courier" w:hAnsi="Courier"/>
      <w:sz w:val="20"/>
    </w:rPr>
  </w:style>
  <w:style w:type="character" w:customStyle="1" w:styleId="HeaderChar">
    <w:name w:val="Header Char"/>
    <w:basedOn w:val="DefaultParagraphFont"/>
    <w:link w:val="Header"/>
    <w:rsid w:val="004C4AE2"/>
    <w:rPr>
      <w:sz w:val="24"/>
      <w:lang w:val="fr-FR" w:eastAsia="en-US"/>
    </w:rPr>
  </w:style>
  <w:style w:type="character" w:customStyle="1" w:styleId="HeadingbChar">
    <w:name w:val="Heading_b Char"/>
    <w:link w:val="Headingb"/>
    <w:locked/>
    <w:rsid w:val="004C4AE2"/>
    <w:rPr>
      <w:b/>
      <w:sz w:val="24"/>
      <w:lang w:val="fr-FR" w:eastAsia="en-US"/>
    </w:rPr>
  </w:style>
  <w:style w:type="paragraph" w:styleId="ListParagraph">
    <w:name w:val="List Paragraph"/>
    <w:basedOn w:val="Normal"/>
    <w:uiPriority w:val="34"/>
    <w:qFormat/>
    <w:rsid w:val="004C4AE2"/>
    <w:pPr>
      <w:ind w:left="720"/>
      <w:contextualSpacing/>
      <w:jc w:val="left"/>
    </w:pPr>
  </w:style>
  <w:style w:type="paragraph" w:customStyle="1" w:styleId="Reasons">
    <w:name w:val="Reasons"/>
    <w:basedOn w:val="Normal"/>
    <w:qFormat/>
    <w:rsid w:val="004C4AE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383</TotalTime>
  <Pages>15</Pages>
  <Words>3107</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13</cp:revision>
  <cp:lastPrinted>2013-10-30T08:43:00Z</cp:lastPrinted>
  <dcterms:created xsi:type="dcterms:W3CDTF">2013-10-29T10:17:00Z</dcterms:created>
  <dcterms:modified xsi:type="dcterms:W3CDTF">2013-10-30T10:45:00Z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