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C274C5"/>
    <w:p w:rsidR="00C274C5" w:rsidRPr="00575CB8" w:rsidRDefault="00C274C5" w:rsidP="00C274C5">
      <w:pPr>
        <w:rPr>
          <w:lang w:val="en-US"/>
        </w:rPr>
      </w:pPr>
      <w:bookmarkStart w:id="0" w:name="dbreak"/>
      <w:bookmarkEnd w:id="0"/>
    </w:p>
    <w:p w:rsidR="00C274C5" w:rsidRDefault="00C274C5" w:rsidP="00C274C5"/>
    <w:p w:rsidR="00C274C5" w:rsidRDefault="00C274C5" w:rsidP="00C274C5"/>
    <w:p w:rsidR="00C274C5" w:rsidRDefault="00C274C5" w:rsidP="00C274C5"/>
    <w:p w:rsidR="00C274C5" w:rsidRDefault="00C274C5" w:rsidP="00C274C5"/>
    <w:p w:rsidR="00C274C5" w:rsidRDefault="00C274C5" w:rsidP="00C274C5"/>
    <w:p w:rsidR="00C274C5" w:rsidRDefault="00C274C5" w:rsidP="00C274C5"/>
    <w:p w:rsidR="00C274C5" w:rsidRDefault="00C274C5" w:rsidP="00C274C5"/>
    <w:p w:rsidR="00C274C5" w:rsidRDefault="00C274C5" w:rsidP="00C274C5"/>
    <w:p w:rsidR="00C274C5" w:rsidRDefault="00C274C5" w:rsidP="00C274C5"/>
    <w:tbl>
      <w:tblPr>
        <w:tblW w:w="10089" w:type="dxa"/>
        <w:tblLook w:val="01E0" w:firstRow="1" w:lastRow="1" w:firstColumn="1" w:lastColumn="1" w:noHBand="0" w:noVBand="0"/>
      </w:tblPr>
      <w:tblGrid>
        <w:gridCol w:w="10089"/>
      </w:tblGrid>
      <w:tr w:rsidR="00C274C5" w:rsidRPr="00C274C5" w:rsidTr="00DE356F">
        <w:tc>
          <w:tcPr>
            <w:tcW w:w="10089" w:type="dxa"/>
          </w:tcPr>
          <w:p w:rsidR="00C274C5" w:rsidRPr="0010336F" w:rsidRDefault="00C274C5" w:rsidP="00DE356F">
            <w:pPr>
              <w:spacing w:before="380" w:line="280" w:lineRule="exact"/>
              <w:jc w:val="right"/>
              <w:rPr>
                <w:rFonts w:ascii="Tahoma" w:hAnsi="Tahoma" w:cs="Tahoma"/>
                <w:b/>
                <w:bCs/>
                <w:iCs/>
                <w:color w:val="243285"/>
                <w:sz w:val="32"/>
                <w:szCs w:val="32"/>
                <w:lang w:val="en-US"/>
              </w:rPr>
            </w:pPr>
          </w:p>
          <w:p w:rsidR="00C274C5" w:rsidRPr="0010336F" w:rsidRDefault="00C274C5" w:rsidP="00C274C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Pr="00492501">
              <w:rPr>
                <w:rFonts w:ascii="Tahoma" w:hAnsi="Tahoma" w:cs="Tahoma"/>
                <w:b/>
                <w:bCs/>
                <w:iCs/>
                <w:color w:val="243285"/>
                <w:sz w:val="36"/>
                <w:szCs w:val="36"/>
                <w:lang w:val="es-ES_tradnl"/>
              </w:rPr>
              <w:t xml:space="preserve"> 774-4</w:t>
            </w:r>
          </w:p>
          <w:p w:rsidR="00C274C5" w:rsidRPr="0010336F" w:rsidRDefault="00C274C5" w:rsidP="00C274C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C274C5" w:rsidRPr="00901204" w:rsidTr="00DE356F">
        <w:tc>
          <w:tcPr>
            <w:tcW w:w="10089" w:type="dxa"/>
          </w:tcPr>
          <w:p w:rsidR="00C274C5" w:rsidRPr="0010336F" w:rsidRDefault="00C274C5" w:rsidP="00DE356F">
            <w:pPr>
              <w:spacing w:before="80" w:line="500" w:lineRule="exact"/>
              <w:jc w:val="right"/>
              <w:rPr>
                <w:rFonts w:ascii="Tahoma" w:hAnsi="Tahoma" w:cs="Tahoma"/>
                <w:b/>
                <w:bCs/>
                <w:iCs/>
                <w:color w:val="243285"/>
                <w:sz w:val="44"/>
                <w:szCs w:val="44"/>
                <w:lang w:val="es-ES_tradnl"/>
              </w:rPr>
            </w:pPr>
          </w:p>
          <w:p w:rsidR="00C274C5" w:rsidRDefault="00C274C5" w:rsidP="00901204">
            <w:pPr>
              <w:spacing w:before="80" w:line="500" w:lineRule="exact"/>
              <w:jc w:val="right"/>
              <w:rPr>
                <w:rFonts w:ascii="Tahoma" w:hAnsi="Tahoma" w:cs="Tahoma"/>
                <w:b/>
                <w:bCs/>
                <w:color w:val="243285"/>
                <w:sz w:val="44"/>
                <w:szCs w:val="44"/>
                <w:lang w:val="es-ES_tradnl"/>
              </w:rPr>
            </w:pPr>
            <w:r w:rsidRPr="00492501">
              <w:rPr>
                <w:rFonts w:ascii="Tahoma" w:hAnsi="Tahoma" w:cs="Tahoma"/>
                <w:b/>
                <w:bCs/>
                <w:color w:val="243285"/>
                <w:sz w:val="44"/>
                <w:szCs w:val="44"/>
                <w:lang w:val="es-ES_tradnl"/>
              </w:rPr>
              <w:t xml:space="preserve">Necesidades </w:t>
            </w:r>
            <w:bookmarkStart w:id="1" w:name="_GoBack"/>
            <w:bookmarkEnd w:id="1"/>
            <w:r w:rsidRPr="00492501">
              <w:rPr>
                <w:rFonts w:ascii="Tahoma" w:hAnsi="Tahoma" w:cs="Tahoma"/>
                <w:b/>
                <w:bCs/>
                <w:color w:val="243285"/>
                <w:sz w:val="44"/>
                <w:szCs w:val="44"/>
                <w:lang w:val="es-ES_tradnl"/>
              </w:rPr>
              <w:t>del servicio relativo</w:t>
            </w:r>
            <w:r>
              <w:rPr>
                <w:rFonts w:ascii="Tahoma" w:hAnsi="Tahoma" w:cs="Tahoma"/>
                <w:b/>
                <w:bCs/>
                <w:color w:val="243285"/>
                <w:sz w:val="44"/>
                <w:szCs w:val="44"/>
                <w:lang w:val="es-ES_tradnl"/>
              </w:rPr>
              <w:br/>
            </w:r>
            <w:r w:rsidRPr="00492501">
              <w:rPr>
                <w:rFonts w:ascii="Tahoma" w:hAnsi="Tahoma" w:cs="Tahoma"/>
                <w:b/>
                <w:bCs/>
                <w:color w:val="243285"/>
                <w:sz w:val="44"/>
                <w:szCs w:val="44"/>
                <w:lang w:val="es-ES_tradnl"/>
              </w:rPr>
              <w:t>a la radiodifusión sonora digital</w:t>
            </w:r>
            <w:r w:rsidR="00901204">
              <w:rPr>
                <w:rFonts w:ascii="Tahoma" w:hAnsi="Tahoma" w:cs="Tahoma"/>
                <w:b/>
                <w:bCs/>
                <w:color w:val="243285"/>
                <w:sz w:val="44"/>
                <w:szCs w:val="44"/>
                <w:lang w:val="es-ES_tradnl"/>
              </w:rPr>
              <w:br/>
            </w:r>
            <w:r w:rsidRPr="00492501">
              <w:rPr>
                <w:rFonts w:ascii="Tahoma" w:hAnsi="Tahoma" w:cs="Tahoma"/>
                <w:b/>
                <w:bCs/>
                <w:color w:val="243285"/>
                <w:sz w:val="44"/>
                <w:szCs w:val="44"/>
                <w:lang w:val="es-ES_tradnl"/>
              </w:rPr>
              <w:t>para receptores a bordo de</w:t>
            </w:r>
            <w:r w:rsidR="00901204">
              <w:rPr>
                <w:rFonts w:ascii="Tahoma" w:hAnsi="Tahoma" w:cs="Tahoma"/>
                <w:b/>
                <w:bCs/>
                <w:color w:val="243285"/>
                <w:sz w:val="44"/>
                <w:szCs w:val="44"/>
                <w:lang w:val="es-ES_tradnl"/>
              </w:rPr>
              <w:br/>
            </w:r>
            <w:r w:rsidRPr="00492501">
              <w:rPr>
                <w:rFonts w:ascii="Tahoma" w:hAnsi="Tahoma" w:cs="Tahoma"/>
                <w:b/>
                <w:bCs/>
                <w:color w:val="243285"/>
                <w:sz w:val="44"/>
                <w:szCs w:val="44"/>
                <w:lang w:val="es-ES_tradnl"/>
              </w:rPr>
              <w:t>vehículos,</w:t>
            </w:r>
            <w:r w:rsidR="00901204">
              <w:rPr>
                <w:rFonts w:ascii="Tahoma" w:hAnsi="Tahoma" w:cs="Tahoma"/>
                <w:b/>
                <w:bCs/>
                <w:color w:val="243285"/>
                <w:sz w:val="44"/>
                <w:szCs w:val="44"/>
                <w:lang w:val="es-ES_tradnl"/>
              </w:rPr>
              <w:t xml:space="preserve"> </w:t>
            </w:r>
            <w:r w:rsidRPr="00492501">
              <w:rPr>
                <w:rFonts w:ascii="Tahoma" w:hAnsi="Tahoma" w:cs="Tahoma"/>
                <w:b/>
                <w:bCs/>
                <w:color w:val="243285"/>
                <w:sz w:val="44"/>
                <w:szCs w:val="44"/>
                <w:lang w:val="es-ES_tradnl"/>
              </w:rPr>
              <w:t>portátiles</w:t>
            </w:r>
            <w:r w:rsidR="00901204">
              <w:rPr>
                <w:rFonts w:ascii="Tahoma" w:hAnsi="Tahoma" w:cs="Tahoma"/>
                <w:b/>
                <w:bCs/>
                <w:color w:val="243285"/>
                <w:sz w:val="44"/>
                <w:szCs w:val="44"/>
                <w:lang w:val="es-ES_tradnl"/>
              </w:rPr>
              <w:t xml:space="preserve"> </w:t>
            </w:r>
            <w:r w:rsidRPr="00492501">
              <w:rPr>
                <w:rFonts w:ascii="Tahoma" w:hAnsi="Tahoma" w:cs="Tahoma"/>
                <w:b/>
                <w:bCs/>
                <w:color w:val="243285"/>
                <w:sz w:val="44"/>
                <w:szCs w:val="44"/>
                <w:lang w:val="es-ES_tradnl"/>
              </w:rPr>
              <w:t>y fijos,</w:t>
            </w:r>
            <w:r w:rsidR="00901204">
              <w:rPr>
                <w:rFonts w:ascii="Tahoma" w:hAnsi="Tahoma" w:cs="Tahoma"/>
                <w:b/>
                <w:bCs/>
                <w:color w:val="243285"/>
                <w:sz w:val="44"/>
                <w:szCs w:val="44"/>
                <w:lang w:val="es-ES_tradnl"/>
              </w:rPr>
              <w:br/>
            </w:r>
            <w:r w:rsidRPr="00492501">
              <w:rPr>
                <w:rFonts w:ascii="Tahoma" w:hAnsi="Tahoma" w:cs="Tahoma"/>
                <w:b/>
                <w:bCs/>
                <w:color w:val="243285"/>
                <w:sz w:val="44"/>
                <w:szCs w:val="44"/>
                <w:lang w:val="es-ES_tradnl"/>
              </w:rPr>
              <w:t>me</w:t>
            </w:r>
            <w:r>
              <w:rPr>
                <w:rFonts w:ascii="Tahoma" w:hAnsi="Tahoma" w:cs="Tahoma"/>
                <w:b/>
                <w:bCs/>
                <w:color w:val="243285"/>
                <w:sz w:val="44"/>
                <w:szCs w:val="44"/>
                <w:lang w:val="es-ES_tradnl"/>
              </w:rPr>
              <w:t>diante transmisores</w:t>
            </w:r>
            <w:r w:rsidR="00901204">
              <w:rPr>
                <w:rFonts w:ascii="Tahoma" w:hAnsi="Tahoma" w:cs="Tahoma"/>
                <w:b/>
                <w:bCs/>
                <w:color w:val="243285"/>
                <w:sz w:val="44"/>
                <w:szCs w:val="44"/>
                <w:lang w:val="es-ES_tradnl"/>
              </w:rPr>
              <w:br/>
            </w:r>
            <w:r>
              <w:rPr>
                <w:rFonts w:ascii="Tahoma" w:hAnsi="Tahoma" w:cs="Tahoma"/>
                <w:b/>
                <w:bCs/>
                <w:color w:val="243285"/>
                <w:sz w:val="44"/>
                <w:szCs w:val="44"/>
                <w:lang w:val="es-ES_tradnl"/>
              </w:rPr>
              <w:t>terrenales,</w:t>
            </w:r>
            <w:r w:rsidR="00901204">
              <w:rPr>
                <w:rFonts w:ascii="Tahoma" w:hAnsi="Tahoma" w:cs="Tahoma"/>
                <w:b/>
                <w:bCs/>
                <w:color w:val="243285"/>
                <w:sz w:val="44"/>
                <w:szCs w:val="44"/>
                <w:lang w:val="es-ES_tradnl"/>
              </w:rPr>
              <w:t xml:space="preserve"> </w:t>
            </w:r>
            <w:r w:rsidRPr="00492501">
              <w:rPr>
                <w:rFonts w:ascii="Tahoma" w:hAnsi="Tahoma" w:cs="Tahoma"/>
                <w:b/>
                <w:bCs/>
                <w:color w:val="243285"/>
                <w:sz w:val="44"/>
                <w:szCs w:val="44"/>
                <w:lang w:val="es-ES_tradnl"/>
              </w:rPr>
              <w:t>en las bandas</w:t>
            </w:r>
            <w:r w:rsidR="00901204">
              <w:rPr>
                <w:rFonts w:ascii="Tahoma" w:hAnsi="Tahoma" w:cs="Tahoma"/>
                <w:b/>
                <w:bCs/>
                <w:color w:val="243285"/>
                <w:sz w:val="44"/>
                <w:szCs w:val="44"/>
                <w:lang w:val="es-ES_tradnl"/>
              </w:rPr>
              <w:t xml:space="preserve"> </w:t>
            </w:r>
            <w:r w:rsidRPr="00492501">
              <w:rPr>
                <w:rFonts w:ascii="Tahoma" w:hAnsi="Tahoma" w:cs="Tahoma"/>
                <w:b/>
                <w:bCs/>
                <w:color w:val="243285"/>
                <w:sz w:val="44"/>
                <w:szCs w:val="44"/>
                <w:lang w:val="es-ES_tradnl"/>
              </w:rPr>
              <w:t>de</w:t>
            </w:r>
            <w:r w:rsidR="00901204">
              <w:rPr>
                <w:rFonts w:ascii="Tahoma" w:hAnsi="Tahoma" w:cs="Tahoma"/>
                <w:b/>
                <w:bCs/>
                <w:color w:val="243285"/>
                <w:sz w:val="44"/>
                <w:szCs w:val="44"/>
                <w:lang w:val="es-ES_tradnl"/>
              </w:rPr>
              <w:br/>
            </w:r>
            <w:r w:rsidRPr="00492501">
              <w:rPr>
                <w:rFonts w:ascii="Tahoma" w:hAnsi="Tahoma" w:cs="Tahoma"/>
                <w:b/>
                <w:bCs/>
                <w:color w:val="243285"/>
                <w:sz w:val="44"/>
                <w:szCs w:val="44"/>
                <w:lang w:val="es-ES_tradnl"/>
              </w:rPr>
              <w:t>ondas</w:t>
            </w:r>
            <w:r w:rsidR="00901204">
              <w:rPr>
                <w:rFonts w:ascii="Tahoma" w:hAnsi="Tahoma" w:cs="Tahoma"/>
                <w:b/>
                <w:bCs/>
                <w:color w:val="243285"/>
                <w:sz w:val="44"/>
                <w:szCs w:val="44"/>
                <w:lang w:val="es-ES_tradnl"/>
              </w:rPr>
              <w:t xml:space="preserve"> métricas </w:t>
            </w:r>
            <w:r w:rsidRPr="00492501">
              <w:rPr>
                <w:rFonts w:ascii="Tahoma" w:hAnsi="Tahoma" w:cs="Tahoma"/>
                <w:b/>
                <w:bCs/>
                <w:color w:val="243285"/>
                <w:sz w:val="44"/>
                <w:szCs w:val="44"/>
                <w:lang w:val="es-ES_tradnl"/>
              </w:rPr>
              <w:t>y</w:t>
            </w:r>
            <w:r>
              <w:rPr>
                <w:rFonts w:ascii="Tahoma" w:hAnsi="Tahoma" w:cs="Tahoma"/>
                <w:b/>
                <w:bCs/>
                <w:color w:val="243285"/>
                <w:sz w:val="44"/>
                <w:szCs w:val="44"/>
                <w:lang w:val="es-ES_tradnl"/>
              </w:rPr>
              <w:t xml:space="preserve"> </w:t>
            </w:r>
            <w:r w:rsidRPr="00492501">
              <w:rPr>
                <w:rFonts w:ascii="Tahoma" w:hAnsi="Tahoma" w:cs="Tahoma"/>
                <w:b/>
                <w:bCs/>
                <w:color w:val="243285"/>
                <w:sz w:val="44"/>
                <w:szCs w:val="44"/>
                <w:lang w:val="es-ES_tradnl"/>
              </w:rPr>
              <w:t>decimétricas</w:t>
            </w:r>
          </w:p>
          <w:p w:rsidR="00C274C5" w:rsidRPr="0010336F" w:rsidRDefault="00C274C5" w:rsidP="00DE356F">
            <w:pPr>
              <w:spacing w:before="80" w:line="500" w:lineRule="exact"/>
              <w:jc w:val="right"/>
              <w:rPr>
                <w:rFonts w:ascii="Tahoma" w:hAnsi="Tahoma" w:cs="Tahoma"/>
                <w:b/>
                <w:bCs/>
                <w:iCs/>
                <w:color w:val="243285"/>
                <w:sz w:val="44"/>
                <w:szCs w:val="44"/>
                <w:lang w:val="es-ES_tradnl"/>
              </w:rPr>
            </w:pPr>
          </w:p>
        </w:tc>
      </w:tr>
      <w:tr w:rsidR="00C274C5" w:rsidRPr="00901204" w:rsidTr="00DE356F">
        <w:tc>
          <w:tcPr>
            <w:tcW w:w="10089" w:type="dxa"/>
          </w:tcPr>
          <w:p w:rsidR="00C274C5" w:rsidRPr="0010336F" w:rsidRDefault="00C274C5" w:rsidP="00DE356F">
            <w:pPr>
              <w:spacing w:before="80" w:line="280" w:lineRule="exact"/>
              <w:ind w:right="640"/>
              <w:rPr>
                <w:rFonts w:ascii="Tahoma" w:hAnsi="Tahoma" w:cs="Tahoma"/>
                <w:b/>
                <w:bCs/>
                <w:iCs/>
                <w:color w:val="243285"/>
                <w:sz w:val="32"/>
                <w:szCs w:val="32"/>
                <w:lang w:val="es-ES_tradnl"/>
              </w:rPr>
            </w:pPr>
          </w:p>
          <w:p w:rsidR="00C274C5" w:rsidRPr="0010336F" w:rsidRDefault="00C274C5" w:rsidP="00DE356F">
            <w:pPr>
              <w:spacing w:before="80" w:line="280" w:lineRule="exact"/>
              <w:ind w:right="640"/>
              <w:rPr>
                <w:rFonts w:ascii="Tahoma" w:hAnsi="Tahoma" w:cs="Tahoma"/>
                <w:b/>
                <w:bCs/>
                <w:iCs/>
                <w:color w:val="243285"/>
                <w:sz w:val="32"/>
                <w:szCs w:val="32"/>
                <w:lang w:val="es-ES_tradnl"/>
              </w:rPr>
            </w:pPr>
          </w:p>
          <w:p w:rsidR="00C274C5" w:rsidRPr="0010336F" w:rsidRDefault="00C274C5" w:rsidP="00DE356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C274C5" w:rsidRPr="0010336F" w:rsidRDefault="00C274C5" w:rsidP="00DE356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rsidR="00C274C5" w:rsidRPr="0026666F" w:rsidRDefault="00C274C5" w:rsidP="00C274C5">
      <w:pPr>
        <w:spacing w:before="80"/>
        <w:rPr>
          <w:i/>
          <w:sz w:val="22"/>
          <w:lang w:val="es-ES_tradnl"/>
        </w:rPr>
      </w:pPr>
    </w:p>
    <w:p w:rsidR="00C274C5" w:rsidRPr="0026666F" w:rsidRDefault="00C274C5" w:rsidP="00C274C5">
      <w:pPr>
        <w:spacing w:before="80"/>
        <w:rPr>
          <w:i/>
          <w:sz w:val="22"/>
          <w:lang w:val="es-ES_tradnl"/>
        </w:rPr>
      </w:pPr>
    </w:p>
    <w:p w:rsidR="00C274C5" w:rsidRPr="0026666F" w:rsidRDefault="00C274C5" w:rsidP="00C274C5">
      <w:pPr>
        <w:spacing w:before="80"/>
        <w:rPr>
          <w:i/>
          <w:sz w:val="22"/>
          <w:lang w:val="es-ES_tradnl"/>
        </w:rPr>
      </w:pPr>
    </w:p>
    <w:p w:rsidR="00C274C5" w:rsidRPr="0026666F" w:rsidRDefault="00C274C5" w:rsidP="00C274C5">
      <w:pPr>
        <w:spacing w:before="80"/>
        <w:rPr>
          <w:i/>
          <w:sz w:val="22"/>
          <w:lang w:val="es-ES_tradnl"/>
        </w:rPr>
      </w:pPr>
    </w:p>
    <w:p w:rsidR="00C274C5" w:rsidRPr="0026666F" w:rsidRDefault="00C274C5" w:rsidP="00C274C5">
      <w:pPr>
        <w:spacing w:before="80"/>
        <w:rPr>
          <w:i/>
          <w:sz w:val="22"/>
          <w:lang w:val="es-ES_tradnl"/>
        </w:rPr>
      </w:pPr>
    </w:p>
    <w:p w:rsidR="00C274C5" w:rsidRPr="0026666F" w:rsidRDefault="00C274C5" w:rsidP="00C274C5">
      <w:pPr>
        <w:spacing w:before="80"/>
        <w:rPr>
          <w:i/>
          <w:sz w:val="22"/>
          <w:lang w:val="es-ES_tradnl"/>
        </w:rPr>
      </w:pPr>
    </w:p>
    <w:p w:rsidR="00C274C5" w:rsidRPr="0026666F" w:rsidRDefault="00C274C5" w:rsidP="00C274C5">
      <w:pPr>
        <w:pStyle w:val="Equation"/>
        <w:tabs>
          <w:tab w:val="clear" w:pos="4820"/>
          <w:tab w:val="clear" w:pos="9639"/>
          <w:tab w:val="left" w:pos="1191"/>
          <w:tab w:val="left" w:pos="1588"/>
          <w:tab w:val="left" w:pos="1985"/>
        </w:tabs>
        <w:rPr>
          <w:rFonts w:ascii="Palatino Linotype" w:hAnsi="Palatino Linotype"/>
          <w:lang w:val="es-ES_tradnl"/>
        </w:rPr>
        <w:sectPr w:rsidR="00C274C5" w:rsidRPr="0026666F">
          <w:headerReference w:type="even" r:id="rId7"/>
          <w:headerReference w:type="default" r:id="rId8"/>
          <w:pgSz w:w="11907" w:h="16840" w:code="9"/>
          <w:pgMar w:top="1089" w:right="1089" w:bottom="284" w:left="1089" w:header="567" w:footer="284" w:gutter="0"/>
          <w:pgNumType w:start="1"/>
          <w:cols w:space="720"/>
        </w:sectPr>
      </w:pPr>
    </w:p>
    <w:p w:rsidR="00C274C5" w:rsidRPr="006C718C" w:rsidRDefault="00C274C5" w:rsidP="00C274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C274C5" w:rsidRPr="006C718C" w:rsidRDefault="00C274C5" w:rsidP="00C274C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274C5" w:rsidRPr="006C718C" w:rsidRDefault="00C274C5" w:rsidP="00C274C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274C5" w:rsidRPr="00021E8A" w:rsidRDefault="00C274C5" w:rsidP="00C274C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274C5" w:rsidRPr="00021E8A" w:rsidRDefault="00C274C5" w:rsidP="00C274C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274C5" w:rsidRPr="007C36CA" w:rsidRDefault="00C274C5" w:rsidP="00C274C5">
      <w:pPr>
        <w:spacing w:before="0"/>
        <w:jc w:val="center"/>
        <w:rPr>
          <w:sz w:val="22"/>
          <w:lang w:val="es-ES_tradnl"/>
        </w:rPr>
      </w:pPr>
    </w:p>
    <w:p w:rsidR="00C274C5" w:rsidRPr="007C36CA" w:rsidRDefault="00C274C5" w:rsidP="00C274C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274C5" w:rsidRPr="00901204" w:rsidTr="00DE356F">
        <w:tc>
          <w:tcPr>
            <w:tcW w:w="9360" w:type="dxa"/>
            <w:gridSpan w:val="2"/>
          </w:tcPr>
          <w:p w:rsidR="00C274C5" w:rsidRPr="00021E8A" w:rsidRDefault="00C274C5" w:rsidP="00DE356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274C5" w:rsidRPr="00763D08"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274C5" w:rsidRPr="00036EE3" w:rsidTr="00DE356F">
        <w:tc>
          <w:tcPr>
            <w:tcW w:w="1140" w:type="dxa"/>
            <w:tcBorders>
              <w:bottom w:val="nil"/>
            </w:tcBorders>
          </w:tcPr>
          <w:p w:rsidR="00C274C5" w:rsidRPr="00036EE3" w:rsidRDefault="00C274C5" w:rsidP="00DE356F">
            <w:pPr>
              <w:spacing w:before="180" w:after="100"/>
              <w:ind w:left="57"/>
              <w:rPr>
                <w:b/>
                <w:bCs/>
                <w:sz w:val="20"/>
                <w:lang w:val="en-US"/>
              </w:rPr>
            </w:pPr>
            <w:r w:rsidRPr="00036EE3">
              <w:rPr>
                <w:b/>
                <w:bCs/>
                <w:sz w:val="20"/>
                <w:lang w:val="en-US"/>
              </w:rPr>
              <w:t>Series</w:t>
            </w:r>
          </w:p>
        </w:tc>
        <w:tc>
          <w:tcPr>
            <w:tcW w:w="8220" w:type="dxa"/>
            <w:tcBorders>
              <w:bottom w:val="nil"/>
            </w:tcBorders>
          </w:tcPr>
          <w:p w:rsidR="00C274C5" w:rsidRPr="00036EE3"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274C5" w:rsidRPr="004532F7" w:rsidTr="00DE356F">
        <w:tc>
          <w:tcPr>
            <w:tcW w:w="1140" w:type="dxa"/>
            <w:tcBorders>
              <w:top w:val="nil"/>
              <w:bottom w:val="nil"/>
            </w:tcBorders>
            <w:shd w:val="clear" w:color="auto" w:fill="auto"/>
          </w:tcPr>
          <w:p w:rsidR="00C274C5" w:rsidRPr="004532F7" w:rsidRDefault="00C274C5" w:rsidP="00DE356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274C5" w:rsidRPr="004532F7"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274C5" w:rsidRPr="00901204" w:rsidTr="00DE356F">
        <w:tc>
          <w:tcPr>
            <w:tcW w:w="1140" w:type="dxa"/>
            <w:tcBorders>
              <w:top w:val="nil"/>
              <w:bottom w:val="nil"/>
            </w:tcBorders>
            <w:shd w:val="clear" w:color="auto" w:fill="auto"/>
          </w:tcPr>
          <w:p w:rsidR="00C274C5" w:rsidRPr="006B22C3" w:rsidRDefault="00C274C5" w:rsidP="00DE356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274C5" w:rsidRPr="006B22C3"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274C5" w:rsidRPr="004532F7" w:rsidTr="00DE356F">
        <w:tc>
          <w:tcPr>
            <w:tcW w:w="1140" w:type="dxa"/>
            <w:tcBorders>
              <w:top w:val="nil"/>
              <w:bottom w:val="nil"/>
            </w:tcBorders>
            <w:shd w:val="clear" w:color="auto" w:fill="F3F3F3"/>
          </w:tcPr>
          <w:p w:rsidR="00C274C5" w:rsidRPr="004532F7" w:rsidRDefault="00C274C5" w:rsidP="00DE356F">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C274C5" w:rsidRPr="004532F7"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C274C5" w:rsidRPr="00ED2695" w:rsidTr="00DE356F">
        <w:tc>
          <w:tcPr>
            <w:tcW w:w="1140" w:type="dxa"/>
            <w:tcBorders>
              <w:top w:val="nil"/>
            </w:tcBorders>
            <w:shd w:val="clear" w:color="auto" w:fill="auto"/>
          </w:tcPr>
          <w:p w:rsidR="00C274C5" w:rsidRPr="00ED2695" w:rsidRDefault="00C274C5" w:rsidP="00DE356F">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C274C5" w:rsidRPr="00021E8A"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274C5" w:rsidRPr="00036EE3" w:rsidTr="00DE356F">
        <w:tc>
          <w:tcPr>
            <w:tcW w:w="1140" w:type="dxa"/>
            <w:tcBorders>
              <w:bottom w:val="nil"/>
            </w:tcBorders>
            <w:shd w:val="clear" w:color="auto" w:fill="auto"/>
          </w:tcPr>
          <w:p w:rsidR="00C274C5" w:rsidRPr="00036EE3" w:rsidRDefault="00C274C5" w:rsidP="00DE356F">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C274C5" w:rsidRPr="00021E8A" w:rsidRDefault="00C274C5" w:rsidP="00DE35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274C5" w:rsidRPr="00901204" w:rsidTr="00DE356F">
        <w:tc>
          <w:tcPr>
            <w:tcW w:w="1140" w:type="dxa"/>
            <w:tcBorders>
              <w:top w:val="nil"/>
              <w:bottom w:val="nil"/>
            </w:tcBorders>
            <w:shd w:val="clear" w:color="auto" w:fill="auto"/>
          </w:tcPr>
          <w:p w:rsidR="00C274C5" w:rsidRPr="0010336F" w:rsidRDefault="00C274C5" w:rsidP="00DE356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274C5" w:rsidRPr="0010336F" w:rsidRDefault="00C274C5" w:rsidP="00DE3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274C5" w:rsidRPr="00901204" w:rsidTr="00DE356F">
        <w:tc>
          <w:tcPr>
            <w:tcW w:w="1140" w:type="dxa"/>
            <w:tcBorders>
              <w:top w:val="nil"/>
            </w:tcBorders>
          </w:tcPr>
          <w:p w:rsidR="00C274C5" w:rsidRPr="00036EE3" w:rsidRDefault="00C274C5" w:rsidP="00DE356F">
            <w:pPr>
              <w:spacing w:before="30" w:after="30"/>
              <w:ind w:left="57"/>
              <w:jc w:val="left"/>
              <w:rPr>
                <w:b/>
                <w:bCs/>
                <w:sz w:val="20"/>
                <w:lang w:val="fr-CH"/>
              </w:rPr>
            </w:pPr>
            <w:r w:rsidRPr="00036EE3">
              <w:rPr>
                <w:b/>
                <w:bCs/>
                <w:sz w:val="20"/>
                <w:lang w:val="fr-CH"/>
              </w:rPr>
              <w:t>P</w:t>
            </w:r>
          </w:p>
        </w:tc>
        <w:tc>
          <w:tcPr>
            <w:tcW w:w="8220" w:type="dxa"/>
            <w:tcBorders>
              <w:top w:val="nil"/>
            </w:tcBorders>
          </w:tcPr>
          <w:p w:rsidR="00C274C5" w:rsidRPr="00021E8A" w:rsidRDefault="00C274C5" w:rsidP="00DE356F">
            <w:pPr>
              <w:spacing w:before="30" w:after="30"/>
              <w:jc w:val="left"/>
              <w:rPr>
                <w:bCs/>
                <w:sz w:val="20"/>
                <w:lang w:val="es-ES_tradnl"/>
              </w:rPr>
            </w:pPr>
            <w:r w:rsidRPr="00021E8A">
              <w:rPr>
                <w:bCs/>
                <w:sz w:val="20"/>
                <w:lang w:val="es-ES_tradnl"/>
              </w:rPr>
              <w:t>Propagación de las ondas radioeléctricas</w:t>
            </w:r>
          </w:p>
        </w:tc>
      </w:tr>
      <w:tr w:rsidR="00C274C5" w:rsidRPr="00036EE3"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RA</w:t>
            </w:r>
          </w:p>
        </w:tc>
        <w:tc>
          <w:tcPr>
            <w:tcW w:w="8220" w:type="dxa"/>
          </w:tcPr>
          <w:p w:rsidR="00C274C5" w:rsidRPr="00021E8A" w:rsidRDefault="00C274C5" w:rsidP="00DE35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C274C5" w:rsidRPr="00901204"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RS</w:t>
            </w:r>
          </w:p>
        </w:tc>
        <w:tc>
          <w:tcPr>
            <w:tcW w:w="8220" w:type="dxa"/>
          </w:tcPr>
          <w:p w:rsidR="00C274C5" w:rsidRPr="00021E8A" w:rsidRDefault="00C274C5" w:rsidP="00DE35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274C5" w:rsidRPr="00036EE3"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S</w:t>
            </w:r>
          </w:p>
        </w:tc>
        <w:tc>
          <w:tcPr>
            <w:tcW w:w="8220" w:type="dxa"/>
          </w:tcPr>
          <w:p w:rsidR="00C274C5" w:rsidRPr="00021E8A" w:rsidRDefault="00C274C5" w:rsidP="00DE356F">
            <w:pPr>
              <w:spacing w:before="30" w:after="30"/>
              <w:jc w:val="left"/>
              <w:rPr>
                <w:bCs/>
                <w:sz w:val="20"/>
                <w:lang w:val="en-US"/>
              </w:rPr>
            </w:pPr>
            <w:r w:rsidRPr="00021E8A">
              <w:rPr>
                <w:bCs/>
                <w:sz w:val="20"/>
              </w:rPr>
              <w:t>Servicio fijo por satélite</w:t>
            </w:r>
          </w:p>
        </w:tc>
      </w:tr>
      <w:tr w:rsidR="00C274C5" w:rsidRPr="00036EE3"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SA</w:t>
            </w:r>
          </w:p>
        </w:tc>
        <w:tc>
          <w:tcPr>
            <w:tcW w:w="8220" w:type="dxa"/>
          </w:tcPr>
          <w:p w:rsidR="00C274C5" w:rsidRPr="00021E8A" w:rsidRDefault="00C274C5" w:rsidP="00DE356F">
            <w:pPr>
              <w:spacing w:before="30" w:after="30"/>
              <w:jc w:val="left"/>
              <w:rPr>
                <w:bCs/>
                <w:sz w:val="20"/>
                <w:lang w:val="en-US"/>
              </w:rPr>
            </w:pPr>
            <w:r w:rsidRPr="00021E8A">
              <w:rPr>
                <w:bCs/>
                <w:sz w:val="20"/>
              </w:rPr>
              <w:t>Aplicaciones espaciales y meteorología</w:t>
            </w:r>
          </w:p>
        </w:tc>
      </w:tr>
      <w:tr w:rsidR="00C274C5" w:rsidRPr="00901204"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SF</w:t>
            </w:r>
          </w:p>
        </w:tc>
        <w:tc>
          <w:tcPr>
            <w:tcW w:w="8220" w:type="dxa"/>
          </w:tcPr>
          <w:p w:rsidR="00C274C5" w:rsidRPr="00021E8A" w:rsidRDefault="00C274C5" w:rsidP="00DE356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274C5" w:rsidRPr="00036EE3" w:rsidTr="00DE356F">
        <w:tc>
          <w:tcPr>
            <w:tcW w:w="1140" w:type="dxa"/>
            <w:shd w:val="clear" w:color="auto" w:fill="auto"/>
          </w:tcPr>
          <w:p w:rsidR="00C274C5" w:rsidRPr="001240BC" w:rsidRDefault="00C274C5" w:rsidP="00DE356F">
            <w:pPr>
              <w:spacing w:before="30" w:after="30"/>
              <w:ind w:left="57"/>
              <w:jc w:val="left"/>
              <w:rPr>
                <w:b/>
                <w:bCs/>
                <w:sz w:val="20"/>
                <w:lang w:val="en-US"/>
              </w:rPr>
            </w:pPr>
            <w:r w:rsidRPr="001240BC">
              <w:rPr>
                <w:b/>
                <w:bCs/>
                <w:sz w:val="20"/>
                <w:lang w:val="en-US"/>
              </w:rPr>
              <w:t>SM</w:t>
            </w:r>
          </w:p>
        </w:tc>
        <w:tc>
          <w:tcPr>
            <w:tcW w:w="8220" w:type="dxa"/>
            <w:shd w:val="clear" w:color="auto" w:fill="auto"/>
          </w:tcPr>
          <w:p w:rsidR="00C274C5" w:rsidRPr="001240BC" w:rsidRDefault="00C274C5" w:rsidP="00DE356F">
            <w:pPr>
              <w:spacing w:before="30" w:after="30"/>
              <w:jc w:val="left"/>
              <w:rPr>
                <w:sz w:val="20"/>
                <w:lang w:val="en-US"/>
              </w:rPr>
            </w:pPr>
            <w:r w:rsidRPr="001240BC">
              <w:rPr>
                <w:sz w:val="20"/>
              </w:rPr>
              <w:t>Gestión del espectro</w:t>
            </w:r>
          </w:p>
        </w:tc>
      </w:tr>
      <w:tr w:rsidR="00C274C5" w:rsidRPr="00036EE3"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SNG</w:t>
            </w:r>
          </w:p>
        </w:tc>
        <w:tc>
          <w:tcPr>
            <w:tcW w:w="8220" w:type="dxa"/>
          </w:tcPr>
          <w:p w:rsidR="00C274C5" w:rsidRPr="00021E8A" w:rsidRDefault="00C274C5" w:rsidP="00DE356F">
            <w:pPr>
              <w:spacing w:before="30" w:after="30"/>
              <w:jc w:val="left"/>
              <w:rPr>
                <w:bCs/>
                <w:sz w:val="20"/>
                <w:lang w:val="en-US"/>
              </w:rPr>
            </w:pPr>
            <w:r w:rsidRPr="00021E8A">
              <w:rPr>
                <w:bCs/>
                <w:sz w:val="20"/>
              </w:rPr>
              <w:t>Periodismo electrónico por satélite</w:t>
            </w:r>
          </w:p>
        </w:tc>
      </w:tr>
      <w:tr w:rsidR="00C274C5" w:rsidRPr="00901204"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TF</w:t>
            </w:r>
          </w:p>
        </w:tc>
        <w:tc>
          <w:tcPr>
            <w:tcW w:w="8220" w:type="dxa"/>
          </w:tcPr>
          <w:p w:rsidR="00C274C5" w:rsidRPr="00021E8A" w:rsidRDefault="00C274C5" w:rsidP="00DE356F">
            <w:pPr>
              <w:spacing w:before="30" w:after="30"/>
              <w:jc w:val="left"/>
              <w:rPr>
                <w:bCs/>
                <w:sz w:val="20"/>
                <w:lang w:val="es-ES_tradnl"/>
              </w:rPr>
            </w:pPr>
            <w:r w:rsidRPr="00021E8A">
              <w:rPr>
                <w:bCs/>
                <w:sz w:val="20"/>
                <w:lang w:val="es-ES_tradnl"/>
              </w:rPr>
              <w:t>Emisiones de frecuencias patrón y señales horarias</w:t>
            </w:r>
          </w:p>
        </w:tc>
      </w:tr>
      <w:tr w:rsidR="00C274C5" w:rsidRPr="00036EE3" w:rsidTr="00DE356F">
        <w:tc>
          <w:tcPr>
            <w:tcW w:w="1140" w:type="dxa"/>
          </w:tcPr>
          <w:p w:rsidR="00C274C5" w:rsidRPr="00036EE3" w:rsidRDefault="00C274C5" w:rsidP="00DE356F">
            <w:pPr>
              <w:spacing w:before="30" w:after="30"/>
              <w:ind w:left="57"/>
              <w:jc w:val="left"/>
              <w:rPr>
                <w:b/>
                <w:bCs/>
                <w:sz w:val="20"/>
                <w:lang w:val="en-US"/>
              </w:rPr>
            </w:pPr>
            <w:r w:rsidRPr="00036EE3">
              <w:rPr>
                <w:b/>
                <w:bCs/>
                <w:sz w:val="20"/>
                <w:lang w:val="en-US"/>
              </w:rPr>
              <w:t>V</w:t>
            </w:r>
          </w:p>
        </w:tc>
        <w:tc>
          <w:tcPr>
            <w:tcW w:w="8220" w:type="dxa"/>
          </w:tcPr>
          <w:p w:rsidR="00C274C5" w:rsidRPr="00021E8A" w:rsidRDefault="00C274C5" w:rsidP="00DE356F">
            <w:pPr>
              <w:spacing w:before="30" w:after="140"/>
              <w:jc w:val="left"/>
              <w:rPr>
                <w:bCs/>
                <w:sz w:val="20"/>
                <w:lang w:val="en-US"/>
              </w:rPr>
            </w:pPr>
            <w:r w:rsidRPr="00021E8A">
              <w:rPr>
                <w:bCs/>
                <w:sz w:val="20"/>
              </w:rPr>
              <w:t>Vocabulario y cuestiones afines</w:t>
            </w:r>
          </w:p>
        </w:tc>
      </w:tr>
    </w:tbl>
    <w:p w:rsidR="00C274C5" w:rsidRPr="00036EE3" w:rsidRDefault="00C274C5" w:rsidP="00C274C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274C5" w:rsidTr="00DE356F">
        <w:tc>
          <w:tcPr>
            <w:tcW w:w="720" w:type="dxa"/>
          </w:tcPr>
          <w:p w:rsidR="00C274C5" w:rsidRDefault="00C274C5" w:rsidP="00DE356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274C5" w:rsidRPr="00901204" w:rsidTr="00DE356F">
        <w:tc>
          <w:tcPr>
            <w:tcW w:w="9360" w:type="dxa"/>
          </w:tcPr>
          <w:p w:rsidR="00C274C5" w:rsidRPr="00763D08" w:rsidRDefault="00C274C5" w:rsidP="00DE356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274C5" w:rsidRPr="00763D08" w:rsidRDefault="00C274C5" w:rsidP="00C274C5">
      <w:pPr>
        <w:spacing w:before="0"/>
        <w:jc w:val="center"/>
        <w:rPr>
          <w:sz w:val="22"/>
          <w:lang w:val="es-ES_tradnl"/>
        </w:rPr>
      </w:pPr>
    </w:p>
    <w:p w:rsidR="00C274C5" w:rsidRPr="00763D08" w:rsidRDefault="00C274C5" w:rsidP="00C274C5">
      <w:pPr>
        <w:spacing w:before="60"/>
        <w:jc w:val="right"/>
        <w:rPr>
          <w:i/>
          <w:iCs/>
          <w:sz w:val="20"/>
          <w:lang w:val="es-ES_tradnl"/>
        </w:rPr>
      </w:pPr>
      <w:r w:rsidRPr="00763D08">
        <w:rPr>
          <w:i/>
          <w:iCs/>
          <w:sz w:val="20"/>
          <w:lang w:val="es-ES_tradnl"/>
        </w:rPr>
        <w:t>Publicación electrónica</w:t>
      </w:r>
    </w:p>
    <w:p w:rsidR="00C274C5" w:rsidRPr="00763D08" w:rsidRDefault="00C274C5" w:rsidP="00C274C5">
      <w:pPr>
        <w:spacing w:before="0" w:after="40"/>
        <w:jc w:val="right"/>
        <w:rPr>
          <w:sz w:val="20"/>
          <w:lang w:val="es-ES_tradnl"/>
        </w:rPr>
      </w:pPr>
      <w:r w:rsidRPr="00763D08">
        <w:rPr>
          <w:sz w:val="20"/>
          <w:lang w:val="es-ES_tradnl"/>
        </w:rPr>
        <w:t>Ginebra, 20</w:t>
      </w:r>
      <w:r>
        <w:rPr>
          <w:sz w:val="20"/>
          <w:lang w:val="es-ES_tradnl"/>
        </w:rPr>
        <w:t>15</w:t>
      </w:r>
    </w:p>
    <w:p w:rsidR="00C274C5" w:rsidRPr="00763D08" w:rsidRDefault="00C274C5" w:rsidP="00C274C5">
      <w:pPr>
        <w:spacing w:before="0"/>
        <w:jc w:val="center"/>
        <w:rPr>
          <w:sz w:val="22"/>
          <w:lang w:val="es-ES_tradnl"/>
        </w:rPr>
      </w:pPr>
    </w:p>
    <w:p w:rsidR="00C274C5" w:rsidRPr="00763D08" w:rsidRDefault="00C274C5" w:rsidP="00C274C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C274C5" w:rsidRPr="006C718C" w:rsidRDefault="00C274C5" w:rsidP="00C274C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274C5" w:rsidRPr="006C718C" w:rsidRDefault="00C274C5" w:rsidP="00C274C5">
      <w:pPr>
        <w:spacing w:before="160"/>
        <w:rPr>
          <w:i/>
          <w:sz w:val="20"/>
          <w:highlight w:val="yellow"/>
          <w:lang w:val="es-ES_tradnl"/>
        </w:rPr>
        <w:sectPr w:rsidR="00C274C5"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C274C5" w:rsidRPr="0010336F" w:rsidRDefault="00C274C5" w:rsidP="00C274C5">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774-4</w:t>
      </w:r>
    </w:p>
    <w:p w:rsidR="00C274C5" w:rsidRDefault="00C274C5" w:rsidP="00D456B2">
      <w:pPr>
        <w:pStyle w:val="Rectitle"/>
        <w:rPr>
          <w:lang w:val="es-ES_tradnl"/>
        </w:rPr>
      </w:pPr>
      <w:r w:rsidRPr="00492501">
        <w:rPr>
          <w:lang w:val="es-ES_tradnl"/>
        </w:rPr>
        <w:t>Necesidades del servicio relativo a la radiodifusión sonora digital</w:t>
      </w:r>
      <w:r w:rsidRPr="00492501">
        <w:rPr>
          <w:lang w:val="es-ES_tradnl"/>
        </w:rPr>
        <w:br/>
        <w:t>para receptores a bordo de vehículos, portátiles y fijos,</w:t>
      </w:r>
      <w:r w:rsidRPr="00492501">
        <w:rPr>
          <w:lang w:val="es-ES_tradnl"/>
        </w:rPr>
        <w:br/>
        <w:t xml:space="preserve">mediante transmisores terrenales, en las bandas </w:t>
      </w:r>
      <w:r w:rsidRPr="00492501">
        <w:rPr>
          <w:lang w:val="es-ES_tradnl"/>
        </w:rPr>
        <w:br/>
        <w:t>de ondas métricas y decimétricas</w:t>
      </w:r>
      <w:r w:rsidR="00D456B2">
        <w:rPr>
          <w:rStyle w:val="FootnoteReference"/>
          <w:lang w:val="es-ES_tradnl"/>
        </w:rPr>
        <w:footnoteReference w:customMarkFollows="1" w:id="1"/>
        <w:t>*</w:t>
      </w:r>
    </w:p>
    <w:p w:rsidR="00F11BDD" w:rsidRDefault="00F11BDD" w:rsidP="00F11BDD">
      <w:pPr>
        <w:pStyle w:val="Recref"/>
        <w:rPr>
          <w:lang w:val="es-ES_tradnl"/>
        </w:rPr>
      </w:pPr>
      <w:r w:rsidRPr="00DC6A7F">
        <w:rPr>
          <w:lang w:val="es-ES_tradnl"/>
        </w:rPr>
        <w:t>(Cuestión UIT-R 107/10)</w:t>
      </w:r>
    </w:p>
    <w:p w:rsidR="00913339" w:rsidRPr="00901204" w:rsidRDefault="00913339" w:rsidP="00913339">
      <w:pPr>
        <w:pStyle w:val="Blanc"/>
        <w:rPr>
          <w:lang w:val="es-ES_tradnl"/>
        </w:rPr>
      </w:pPr>
    </w:p>
    <w:p w:rsidR="00F11BDD" w:rsidRPr="00F11BDD" w:rsidRDefault="00F11BDD" w:rsidP="00F11BDD">
      <w:pPr>
        <w:pStyle w:val="Recdate"/>
        <w:rPr>
          <w:lang w:val="es-ES_tradnl"/>
        </w:rPr>
      </w:pPr>
      <w:r w:rsidRPr="00C274C5">
        <w:rPr>
          <w:lang w:val="es-ES_tradnl"/>
        </w:rPr>
        <w:t>(1992-1994-1995-2011-2014)</w:t>
      </w:r>
    </w:p>
    <w:p w:rsidR="00913339" w:rsidRPr="00901204" w:rsidRDefault="00913339" w:rsidP="00913339">
      <w:pPr>
        <w:pStyle w:val="Blanc"/>
        <w:rPr>
          <w:lang w:val="es-ES_tradnl"/>
        </w:rPr>
      </w:pPr>
    </w:p>
    <w:p w:rsidR="009839C5" w:rsidRPr="008E36E3" w:rsidRDefault="009839C5" w:rsidP="009839C5">
      <w:pPr>
        <w:pStyle w:val="HeadingSum"/>
      </w:pPr>
      <w:r w:rsidRPr="008E36E3">
        <w:t>Cometido</w:t>
      </w:r>
    </w:p>
    <w:p w:rsidR="009839C5" w:rsidRPr="009839C5" w:rsidRDefault="009839C5" w:rsidP="009839C5">
      <w:pPr>
        <w:pStyle w:val="Summary"/>
        <w:spacing w:after="0"/>
      </w:pPr>
      <w:r w:rsidRPr="009839C5">
        <w:t>En esta Recomendación se describen las características técnicas y operativas deseables cuando los sistemas de radiodifusión sonora digital se utilizan para la radiodifusión sonora digital terrenal a receptores vehiculares, portátiles y fijos en las bandas de ondas métricas y decimétricas.</w:t>
      </w:r>
    </w:p>
    <w:p w:rsidR="00C274C5" w:rsidRPr="00DC6A7F" w:rsidRDefault="00C274C5" w:rsidP="009839C5">
      <w:pPr>
        <w:pStyle w:val="Headingb"/>
        <w:rPr>
          <w:lang w:val="es-ES_tradnl"/>
        </w:rPr>
      </w:pPr>
      <w:r w:rsidRPr="00DC6A7F">
        <w:rPr>
          <w:lang w:val="es-ES_tradnl"/>
        </w:rPr>
        <w:t>Palabras clave</w:t>
      </w:r>
    </w:p>
    <w:p w:rsidR="00C274C5" w:rsidRPr="00492501" w:rsidRDefault="00C274C5" w:rsidP="009839C5">
      <w:pPr>
        <w:pStyle w:val="Normalaftertitle0"/>
        <w:spacing w:before="120" w:after="480"/>
        <w:rPr>
          <w:sz w:val="24"/>
          <w:szCs w:val="24"/>
          <w:lang w:val="es-ES_tradnl"/>
        </w:rPr>
      </w:pPr>
      <w:r w:rsidRPr="00492501">
        <w:rPr>
          <w:sz w:val="24"/>
          <w:szCs w:val="24"/>
          <w:lang w:val="es-ES_tradnl"/>
        </w:rPr>
        <w:t>Requisito de servicio, radiodifusión sonora digital, transmisión terrenal, bandas de</w:t>
      </w:r>
      <w:r w:rsidR="009839C5">
        <w:rPr>
          <w:sz w:val="24"/>
          <w:szCs w:val="24"/>
          <w:lang w:val="es-ES_tradnl"/>
        </w:rPr>
        <w:t xml:space="preserve"> ondas métricas y decimétricas.</w:t>
      </w:r>
    </w:p>
    <w:p w:rsidR="00C274C5" w:rsidRPr="00492501" w:rsidRDefault="00C274C5" w:rsidP="00C274C5">
      <w:pPr>
        <w:pStyle w:val="Normalaftertitle0"/>
        <w:rPr>
          <w:sz w:val="24"/>
          <w:szCs w:val="24"/>
          <w:lang w:val="es-ES_tradnl"/>
        </w:rPr>
      </w:pPr>
      <w:r w:rsidRPr="00492501">
        <w:rPr>
          <w:sz w:val="24"/>
          <w:szCs w:val="24"/>
          <w:lang w:val="es-ES_tradnl"/>
        </w:rPr>
        <w:t>La Asamblea de Radiocomunicaciones de la UIT,</w:t>
      </w:r>
    </w:p>
    <w:p w:rsidR="00C274C5" w:rsidRPr="00492501" w:rsidRDefault="00C274C5" w:rsidP="00C274C5">
      <w:pPr>
        <w:pStyle w:val="call0"/>
        <w:rPr>
          <w:sz w:val="24"/>
          <w:szCs w:val="24"/>
          <w:lang w:val="es-ES_tradnl"/>
        </w:rPr>
      </w:pPr>
      <w:r w:rsidRPr="00492501">
        <w:rPr>
          <w:sz w:val="24"/>
          <w:szCs w:val="24"/>
          <w:lang w:val="es-ES_tradnl"/>
        </w:rPr>
        <w:t>considerando</w:t>
      </w:r>
    </w:p>
    <w:p w:rsidR="00C274C5" w:rsidRPr="00492501" w:rsidRDefault="00C274C5" w:rsidP="00E05D0B">
      <w:pPr>
        <w:rPr>
          <w:lang w:val="es-ES_tradnl"/>
        </w:rPr>
      </w:pPr>
      <w:r w:rsidRPr="00E05D0B">
        <w:rPr>
          <w:i/>
          <w:iCs/>
          <w:lang w:val="es-ES_tradnl"/>
        </w:rPr>
        <w:t>a)</w:t>
      </w:r>
      <w:r w:rsidRPr="00492501">
        <w:rPr>
          <w:lang w:val="es-ES_tradnl"/>
        </w:rPr>
        <w:tab/>
        <w:t>que en todo el mundo hacen falta cada vez más medios de radiodifusión de sonido estereofónico de alta calidad de uno o más canales con una calidad subjetiva indistinguible de la de los medios de grabación digital de consumo de alta calidad («calidad de disco compacto»), para receptores a bordo de vehículos, portátiles y fijos;</w:t>
      </w:r>
    </w:p>
    <w:p w:rsidR="00C274C5" w:rsidRPr="00492501" w:rsidRDefault="00C274C5" w:rsidP="00C274C5">
      <w:pPr>
        <w:rPr>
          <w:lang w:val="es-ES_tradnl"/>
        </w:rPr>
      </w:pPr>
      <w:r w:rsidRPr="00E05D0B">
        <w:rPr>
          <w:i/>
          <w:iCs/>
          <w:lang w:val="es-ES_tradnl"/>
        </w:rPr>
        <w:t>b)</w:t>
      </w:r>
      <w:r w:rsidRPr="00492501">
        <w:rPr>
          <w:lang w:val="es-ES_tradnl"/>
        </w:rPr>
        <w:tab/>
        <w:t>las limitaciones de los actuales servicios de radiodifusión sonora en ondas métricas y frecuencia modulada para satisfacer dichas necesidades, sobre todo en lo que respecta a la recepción a bordo de vehículos y portátil;</w:t>
      </w:r>
    </w:p>
    <w:p w:rsidR="00C274C5" w:rsidRPr="00492501" w:rsidRDefault="00C274C5" w:rsidP="00C274C5">
      <w:pPr>
        <w:rPr>
          <w:lang w:val="es-ES_tradnl"/>
        </w:rPr>
      </w:pPr>
      <w:r w:rsidRPr="00E05D0B">
        <w:rPr>
          <w:i/>
          <w:iCs/>
          <w:lang w:val="es-ES_tradnl"/>
        </w:rPr>
        <w:t>c)</w:t>
      </w:r>
      <w:r w:rsidRPr="00492501">
        <w:rPr>
          <w:lang w:val="es-ES_tradnl"/>
        </w:rPr>
        <w:tab/>
        <w:t>que la congestión que existe actualmente en algunos países en las bandas de ondas métricas y frecuencia modulada da lugar generalmente a un aumento del nivel de interferencia y limita el número de programas que pueden ser transmitidos;</w:t>
      </w:r>
    </w:p>
    <w:p w:rsidR="00C274C5" w:rsidRPr="00492501" w:rsidRDefault="00C274C5" w:rsidP="00C274C5">
      <w:pPr>
        <w:rPr>
          <w:lang w:val="es-ES_tradnl"/>
        </w:rPr>
      </w:pPr>
      <w:r w:rsidRPr="00E05D0B">
        <w:rPr>
          <w:i/>
          <w:iCs/>
          <w:lang w:val="es-ES_tradnl"/>
        </w:rPr>
        <w:t>d)</w:t>
      </w:r>
      <w:r w:rsidRPr="00492501">
        <w:rPr>
          <w:lang w:val="es-ES_tradnl"/>
        </w:rPr>
        <w:tab/>
        <w:t>que los avances técnicos de la codificación en la fuente y del canal y de la modulación y el procesamiento de la señal digital han demostrado la viabilidad técnica y la idoneidad de los sistemas de radiodifusión sonora digital;</w:t>
      </w:r>
    </w:p>
    <w:p w:rsidR="00C274C5" w:rsidRPr="00492501" w:rsidRDefault="00C274C5" w:rsidP="00C274C5">
      <w:pPr>
        <w:rPr>
          <w:lang w:val="es-ES_tradnl"/>
        </w:rPr>
      </w:pPr>
      <w:r w:rsidRPr="00E05D0B">
        <w:rPr>
          <w:i/>
          <w:iCs/>
          <w:lang w:val="es-ES_tradnl"/>
        </w:rPr>
        <w:t>e)</w:t>
      </w:r>
      <w:r w:rsidRPr="00492501">
        <w:rPr>
          <w:lang w:val="es-ES_tradnl"/>
        </w:rPr>
        <w:tab/>
        <w:t>que una amplia serie de demostraciones y pruebas en condiciones reales efectuadas en diversas partes del mundo han confirmado la viabilidad técnica y económica de los sistemas de radiodifusión sonora digital desde el punto de vista del diseño del sistema;</w:t>
      </w:r>
    </w:p>
    <w:p w:rsidR="00C274C5" w:rsidRPr="00492501" w:rsidRDefault="00C274C5" w:rsidP="00C274C5">
      <w:pPr>
        <w:rPr>
          <w:lang w:val="es-ES_tradnl"/>
        </w:rPr>
      </w:pPr>
      <w:r w:rsidRPr="00E05D0B">
        <w:rPr>
          <w:i/>
          <w:iCs/>
          <w:lang w:val="es-ES_tradnl"/>
        </w:rPr>
        <w:t>f)</w:t>
      </w:r>
      <w:r w:rsidRPr="00492501">
        <w:rPr>
          <w:lang w:val="es-ES_tradnl"/>
        </w:rPr>
        <w:tab/>
        <w:t>que un sistema de radiodifusión sonora digital perfeccionado puede proporcionar mayor eficacia en lo que respecta a la utilización del espectro y a la potencia, así como un mejor funcionamiento en los entornos afectados por propagación multitrayecto, que los sistemas analógicos convencionales;</w:t>
      </w:r>
    </w:p>
    <w:p w:rsidR="00C274C5" w:rsidRPr="00492501" w:rsidRDefault="00C274C5" w:rsidP="00C274C5">
      <w:pPr>
        <w:rPr>
          <w:lang w:val="es-ES_tradnl"/>
        </w:rPr>
      </w:pPr>
      <w:r w:rsidRPr="00E05D0B">
        <w:rPr>
          <w:i/>
          <w:iCs/>
          <w:lang w:val="es-ES_tradnl"/>
        </w:rPr>
        <w:lastRenderedPageBreak/>
        <w:t>g)</w:t>
      </w:r>
      <w:r w:rsidRPr="00492501">
        <w:rPr>
          <w:lang w:val="es-ES_tradnl"/>
        </w:rPr>
        <w:tab/>
        <w:t>que la utilización complementaria de sistemas terrenales y por satélite, mediante servicios de radiodifusión sonora digitales terrenales y por satélite</w:t>
      </w:r>
      <w:r>
        <w:rPr>
          <w:lang w:val="es-ES_tradnl"/>
        </w:rPr>
        <w:t>s</w:t>
      </w:r>
      <w:r w:rsidRPr="00492501">
        <w:rPr>
          <w:lang w:val="es-ES_tradnl"/>
        </w:rPr>
        <w:t xml:space="preserve"> híbridos y mixtos, puede traducirse en una mayor eficacia con respecto a la potencia y el espectro;</w:t>
      </w:r>
    </w:p>
    <w:p w:rsidR="00C274C5" w:rsidRPr="00492501" w:rsidRDefault="00C274C5" w:rsidP="00C274C5">
      <w:pPr>
        <w:rPr>
          <w:lang w:val="es-ES_tradnl"/>
        </w:rPr>
      </w:pPr>
      <w:r w:rsidRPr="00E05D0B">
        <w:rPr>
          <w:i/>
          <w:iCs/>
          <w:lang w:val="es-ES_tradnl"/>
        </w:rPr>
        <w:t>h)</w:t>
      </w:r>
      <w:r w:rsidRPr="00492501">
        <w:rPr>
          <w:lang w:val="es-ES_tradnl"/>
        </w:rPr>
        <w:tab/>
        <w:t>que en las aplicaciones terrenales y por satélite se puede emplear un sistema de radiodifusión digital con parámetros de la señal en emisión estrechamente relacionados, lo que permite realizar un diseño de receptor común, con circuitos de procesamiento de integración a escala muy grande (VLSI) comunes;</w:t>
      </w:r>
    </w:p>
    <w:p w:rsidR="00C274C5" w:rsidRPr="00492501" w:rsidRDefault="00C274C5" w:rsidP="00C274C5">
      <w:pPr>
        <w:rPr>
          <w:lang w:val="es-ES_tradnl"/>
        </w:rPr>
      </w:pPr>
      <w:r w:rsidRPr="00E05D0B">
        <w:rPr>
          <w:i/>
          <w:iCs/>
          <w:lang w:val="es-ES_tradnl"/>
        </w:rPr>
        <w:t>i)</w:t>
      </w:r>
      <w:r w:rsidRPr="00492501">
        <w:rPr>
          <w:lang w:val="es-ES_tradnl"/>
        </w:rPr>
        <w:tab/>
        <w:t>que la radiodifusión sonora ha utilizado siempre técnicas de modulación semejantes, tales como la modulación de amplitud (MA) y la modulación de frecuencia (MF), y bandas de frecuencia similares, si no idénticas, lo que da lugar a que pueda emplear un mismo receptor en todo el mundo y ello beneficia al usuario;</w:t>
      </w:r>
    </w:p>
    <w:p w:rsidR="00C274C5" w:rsidRPr="00492501" w:rsidRDefault="00C274C5" w:rsidP="00C274C5">
      <w:pPr>
        <w:rPr>
          <w:lang w:val="es-ES_tradnl"/>
        </w:rPr>
      </w:pPr>
      <w:r w:rsidRPr="00E05D0B">
        <w:rPr>
          <w:i/>
          <w:iCs/>
          <w:lang w:val="es-ES_tradnl"/>
        </w:rPr>
        <w:t>j)</w:t>
      </w:r>
      <w:r w:rsidRPr="00492501">
        <w:rPr>
          <w:lang w:val="es-ES_tradnl"/>
        </w:rPr>
        <w:tab/>
        <w:t>que en todo el mundo existen servicios de radiodifusión sonora que ofrecen programas radiofónicos a los oyentes,</w:t>
      </w:r>
    </w:p>
    <w:p w:rsidR="00C274C5" w:rsidRPr="00492501" w:rsidRDefault="00C274C5" w:rsidP="00C274C5">
      <w:pPr>
        <w:pStyle w:val="call0"/>
        <w:rPr>
          <w:sz w:val="24"/>
          <w:szCs w:val="24"/>
          <w:lang w:val="es-ES_tradnl"/>
        </w:rPr>
      </w:pPr>
      <w:r w:rsidRPr="00492501">
        <w:rPr>
          <w:sz w:val="24"/>
          <w:szCs w:val="24"/>
          <w:lang w:val="es-ES_tradnl"/>
        </w:rPr>
        <w:t>recomienda</w:t>
      </w:r>
    </w:p>
    <w:p w:rsidR="00C274C5" w:rsidRPr="00492501" w:rsidRDefault="00C274C5" w:rsidP="00C274C5">
      <w:pPr>
        <w:rPr>
          <w:lang w:val="es-ES_tradnl"/>
        </w:rPr>
      </w:pPr>
      <w:r w:rsidRPr="00492501">
        <w:rPr>
          <w:lang w:val="es-ES_tradnl"/>
        </w:rPr>
        <w:t>que, cuando se introduzcan servicios de radiodifusión sonora digital con transmisores terrenales, para receptores a bordo de vehículos, portátiles y fijos en las bandas de ondas métricas y decimétricas, se utilicen sistemas de radiodifusión sonora digital que ofrezcan las siguientes capacidades y características técnicas y de explotación:</w:t>
      </w:r>
    </w:p>
    <w:p w:rsidR="00C274C5" w:rsidRPr="00492501" w:rsidRDefault="00C274C5" w:rsidP="00645EC9">
      <w:pPr>
        <w:pStyle w:val="enumlev1"/>
        <w:rPr>
          <w:lang w:val="es-ES_tradnl"/>
        </w:rPr>
      </w:pPr>
      <w:r w:rsidRPr="005839AE">
        <w:rPr>
          <w:lang w:val="es-ES_tradnl"/>
        </w:rPr>
        <w:t>1</w:t>
      </w:r>
      <w:r w:rsidR="00645EC9">
        <w:rPr>
          <w:lang w:val="es-ES_tradnl"/>
        </w:rPr>
        <w:t>)</w:t>
      </w:r>
      <w:r w:rsidRPr="00492501">
        <w:rPr>
          <w:lang w:val="es-ES_tradnl"/>
        </w:rPr>
        <w:tab/>
        <w:t>gran calidad de sonido estereofónico mediante dos o más canales, de calidad subjetiva indistinguible de la de los medios de grabación digital de consumo de alta calidad («calidad de disco compacto»), para receptores a bordo de vehículos, portátiles y fijos;</w:t>
      </w:r>
    </w:p>
    <w:p w:rsidR="00C274C5" w:rsidRPr="00492501" w:rsidRDefault="00C274C5" w:rsidP="00645EC9">
      <w:pPr>
        <w:pStyle w:val="enumlev1"/>
        <w:rPr>
          <w:lang w:val="es-ES_tradnl"/>
        </w:rPr>
      </w:pPr>
      <w:r w:rsidRPr="005839AE">
        <w:rPr>
          <w:lang w:val="es-ES_tradnl"/>
        </w:rPr>
        <w:t>2</w:t>
      </w:r>
      <w:r w:rsidR="00645EC9">
        <w:rPr>
          <w:lang w:val="es-ES_tradnl"/>
        </w:rPr>
        <w:t>)</w:t>
      </w:r>
      <w:r w:rsidRPr="00492501">
        <w:rPr>
          <w:lang w:val="es-ES_tradnl"/>
        </w:rPr>
        <w:tab/>
        <w:t>una mayor eficacia en lo que respecta a la utilización del espectro y a la potencia, que la de los sistemas MF analógicos convencionales;</w:t>
      </w:r>
    </w:p>
    <w:p w:rsidR="00C274C5" w:rsidRPr="00492501" w:rsidRDefault="00C274C5" w:rsidP="00645EC9">
      <w:pPr>
        <w:pStyle w:val="enumlev1"/>
        <w:rPr>
          <w:lang w:val="es-ES_tradnl"/>
        </w:rPr>
      </w:pPr>
      <w:r w:rsidRPr="005839AE">
        <w:rPr>
          <w:lang w:val="es-ES_tradnl"/>
        </w:rPr>
        <w:t>3</w:t>
      </w:r>
      <w:r w:rsidR="00645EC9">
        <w:rPr>
          <w:lang w:val="es-ES_tradnl"/>
        </w:rPr>
        <w:t>)</w:t>
      </w:r>
      <w:r w:rsidRPr="00492501">
        <w:rPr>
          <w:lang w:val="es-ES_tradnl"/>
        </w:rPr>
        <w:tab/>
        <w:t>una calidad de funcionamiento considerablemente mejorada en condiciones de propagación multitrayecto o de sombra, mediante la utilización de diversidad de frecuencias y en el tiempo y de diversidad en el espacio (cocanal) en el extremo transmisor cuando sea necesario;</w:t>
      </w:r>
    </w:p>
    <w:p w:rsidR="00C274C5" w:rsidRPr="00492501" w:rsidRDefault="00C274C5" w:rsidP="00645EC9">
      <w:pPr>
        <w:pStyle w:val="enumlev1"/>
        <w:rPr>
          <w:lang w:val="es-ES_tradnl"/>
        </w:rPr>
      </w:pPr>
      <w:r w:rsidRPr="005839AE">
        <w:rPr>
          <w:lang w:val="es-ES_tradnl"/>
        </w:rPr>
        <w:t>4</w:t>
      </w:r>
      <w:r w:rsidR="00645EC9">
        <w:rPr>
          <w:lang w:val="es-ES_tradnl"/>
        </w:rPr>
        <w:t>)</w:t>
      </w:r>
      <w:r w:rsidRPr="00492501">
        <w:rPr>
          <w:lang w:val="es-ES_tradnl"/>
        </w:rPr>
        <w:tab/>
        <w:t>posibilidad de utilizar en los receptores un dispositivo de procesamiento de señal común a todas las aplicaciones de radiodifusión terrenal y por satélite;</w:t>
      </w:r>
    </w:p>
    <w:p w:rsidR="00C274C5" w:rsidRPr="00492501" w:rsidRDefault="00C274C5" w:rsidP="00645EC9">
      <w:pPr>
        <w:pStyle w:val="enumlev1"/>
        <w:rPr>
          <w:lang w:val="es-ES_tradnl"/>
        </w:rPr>
      </w:pPr>
      <w:r w:rsidRPr="005839AE">
        <w:rPr>
          <w:lang w:val="es-ES_tradnl"/>
        </w:rPr>
        <w:t>5</w:t>
      </w:r>
      <w:r w:rsidR="00645EC9">
        <w:rPr>
          <w:lang w:val="es-ES_tradnl"/>
        </w:rPr>
        <w:t>)</w:t>
      </w:r>
      <w:r w:rsidRPr="00492501">
        <w:rPr>
          <w:lang w:val="es-ES_tradnl"/>
        </w:rPr>
        <w:tab/>
        <w:t>posibilidad de configurar y reconfigurar el sistema para poder transmitir programas radiofónicos a velocidades binarias más bajas a expensas de la calidad y el número de programas radiofónicos disponibles;</w:t>
      </w:r>
    </w:p>
    <w:p w:rsidR="00C274C5" w:rsidRPr="00492501" w:rsidRDefault="00C274C5" w:rsidP="00645EC9">
      <w:pPr>
        <w:pStyle w:val="enumlev1"/>
        <w:rPr>
          <w:lang w:val="es-ES_tradnl"/>
        </w:rPr>
      </w:pPr>
      <w:r w:rsidRPr="005839AE">
        <w:rPr>
          <w:lang w:val="es-ES_tradnl"/>
        </w:rPr>
        <w:t>6</w:t>
      </w:r>
      <w:r w:rsidR="00645EC9">
        <w:rPr>
          <w:lang w:val="es-ES_tradnl"/>
        </w:rPr>
        <w:t>)</w:t>
      </w:r>
      <w:r w:rsidRPr="00492501">
        <w:rPr>
          <w:lang w:val="es-ES_tradnl"/>
        </w:rPr>
        <w:tab/>
        <w:t>una solución de compromiso entre el grado de cobertura con una potencia de emisión determinada, la calidad de servicio y el número de programas radiofónicos y de servicios de transmisión de datos;</w:t>
      </w:r>
    </w:p>
    <w:p w:rsidR="00C274C5" w:rsidRPr="00492501" w:rsidRDefault="00C274C5" w:rsidP="00645EC9">
      <w:pPr>
        <w:pStyle w:val="enumlev1"/>
        <w:rPr>
          <w:lang w:val="es-ES_tradnl"/>
        </w:rPr>
      </w:pPr>
      <w:r w:rsidRPr="005839AE">
        <w:rPr>
          <w:lang w:val="es-ES_tradnl"/>
        </w:rPr>
        <w:t>7</w:t>
      </w:r>
      <w:r w:rsidR="00645EC9">
        <w:rPr>
          <w:lang w:val="es-ES_tradnl"/>
        </w:rPr>
        <w:t>)</w:t>
      </w:r>
      <w:r w:rsidRPr="00492501">
        <w:rPr>
          <w:lang w:val="es-ES_tradnl"/>
        </w:rPr>
        <w:tab/>
        <w:t>posibilidad de utilizar, en un receptor común, todos los medios de distribución de programas, tales como:</w:t>
      </w:r>
    </w:p>
    <w:p w:rsidR="00C274C5" w:rsidRPr="00492501" w:rsidRDefault="00C274C5" w:rsidP="00645EC9">
      <w:pPr>
        <w:pStyle w:val="enumlev2"/>
        <w:rPr>
          <w:lang w:val="es-ES_tradnl"/>
        </w:rPr>
      </w:pPr>
      <w:r w:rsidRPr="00492501">
        <w:rPr>
          <w:lang w:val="es-ES_tradnl"/>
        </w:rPr>
        <w:t>–</w:t>
      </w:r>
      <w:r w:rsidRPr="00492501">
        <w:rPr>
          <w:lang w:val="es-ES_tradnl"/>
        </w:rPr>
        <w:tab/>
        <w:t>servicios de redes terrenales en ondas métricas y decimétricas locales, subnacionales y nacionales;</w:t>
      </w:r>
    </w:p>
    <w:p w:rsidR="00C274C5" w:rsidRPr="00492501" w:rsidRDefault="00C274C5" w:rsidP="00645EC9">
      <w:pPr>
        <w:pStyle w:val="enumlev2"/>
        <w:rPr>
          <w:lang w:val="es-ES_tradnl"/>
        </w:rPr>
      </w:pPr>
      <w:r w:rsidRPr="00492501">
        <w:rPr>
          <w:lang w:val="es-ES_tradnl"/>
        </w:rPr>
        <w:t>–</w:t>
      </w:r>
      <w:r w:rsidRPr="00492501">
        <w:rPr>
          <w:lang w:val="es-ES_tradnl"/>
        </w:rPr>
        <w:tab/>
        <w:t>utilización mixta o híbrida de servicios terrenales y por satélite nacionales o supranacionales en ondas decimétricas;</w:t>
      </w:r>
    </w:p>
    <w:p w:rsidR="00C274C5" w:rsidRPr="00492501" w:rsidRDefault="00C274C5" w:rsidP="00645EC9">
      <w:pPr>
        <w:pStyle w:val="enumlev2"/>
        <w:rPr>
          <w:lang w:val="es-ES_tradnl"/>
        </w:rPr>
      </w:pPr>
      <w:r w:rsidRPr="00492501">
        <w:rPr>
          <w:lang w:val="es-ES_tradnl"/>
        </w:rPr>
        <w:t>–</w:t>
      </w:r>
      <w:r w:rsidRPr="00492501">
        <w:rPr>
          <w:lang w:val="es-ES_tradnl"/>
        </w:rPr>
        <w:tab/>
        <w:t>redes de distribución por cable;</w:t>
      </w:r>
    </w:p>
    <w:p w:rsidR="00C274C5" w:rsidRPr="00492501" w:rsidRDefault="00C274C5" w:rsidP="00645EC9">
      <w:pPr>
        <w:pStyle w:val="enumlev1"/>
        <w:rPr>
          <w:lang w:val="es-ES_tradnl"/>
        </w:rPr>
      </w:pPr>
      <w:r w:rsidRPr="005839AE">
        <w:rPr>
          <w:lang w:val="es-ES_tradnl"/>
        </w:rPr>
        <w:t>8</w:t>
      </w:r>
      <w:r w:rsidR="00645EC9">
        <w:rPr>
          <w:lang w:val="es-ES_tradnl"/>
        </w:rPr>
        <w:t>)</w:t>
      </w:r>
      <w:r w:rsidRPr="00492501">
        <w:rPr>
          <w:lang w:val="es-ES_tradnl"/>
        </w:rPr>
        <w:tab/>
        <w:t>facilidades perfeccionadas para los datos relacionados con los programas (por ejemplo, identificación del servicio, etiquetado del programa, control de distribución de programas, control de los derechos de propiedad intelectual, acceso condicional, enlace dinámico de programas, servicios para personas con incapacidad auditiva o de visión, etc.);</w:t>
      </w:r>
    </w:p>
    <w:p w:rsidR="00C274C5" w:rsidRPr="00492501" w:rsidRDefault="00C274C5" w:rsidP="00645EC9">
      <w:pPr>
        <w:pStyle w:val="enumlev1"/>
        <w:rPr>
          <w:lang w:val="es-ES_tradnl"/>
        </w:rPr>
      </w:pPr>
      <w:r w:rsidRPr="005839AE">
        <w:rPr>
          <w:lang w:val="es-ES_tradnl"/>
        </w:rPr>
        <w:lastRenderedPageBreak/>
        <w:t>9</w:t>
      </w:r>
      <w:r w:rsidR="00645EC9">
        <w:rPr>
          <w:lang w:val="es-ES_tradnl"/>
        </w:rPr>
        <w:t>)</w:t>
      </w:r>
      <w:r w:rsidRPr="00492501">
        <w:rPr>
          <w:lang w:val="es-ES_tradnl"/>
        </w:rPr>
        <w:tab/>
        <w:t>asignación flexible de servicios dentro de un múltiplex;</w:t>
      </w:r>
    </w:p>
    <w:p w:rsidR="00C274C5" w:rsidRPr="00492501" w:rsidRDefault="00C274C5" w:rsidP="00645EC9">
      <w:pPr>
        <w:pStyle w:val="enumlev1"/>
        <w:rPr>
          <w:lang w:val="es-ES_tradnl"/>
        </w:rPr>
      </w:pPr>
      <w:r w:rsidRPr="005839AE">
        <w:rPr>
          <w:lang w:val="es-ES_tradnl"/>
        </w:rPr>
        <w:t>10</w:t>
      </w:r>
      <w:r w:rsidR="00645EC9">
        <w:rPr>
          <w:lang w:val="es-ES_tradnl"/>
        </w:rPr>
        <w:t>)</w:t>
      </w:r>
      <w:r w:rsidRPr="00492501">
        <w:rPr>
          <w:lang w:val="es-ES_tradnl"/>
        </w:rPr>
        <w:tab/>
        <w:t>una estructura múltiplex del sistema que satisfaga los requis</w:t>
      </w:r>
      <w:r>
        <w:rPr>
          <w:lang w:val="es-ES_tradnl"/>
        </w:rPr>
        <w:t>itos del modelo por capas de la </w:t>
      </w:r>
      <w:r w:rsidRPr="00492501">
        <w:rPr>
          <w:lang w:val="es-ES_tradnl"/>
        </w:rPr>
        <w:t>ISO para la interconexión de sistemas abiertos y que permita la intercomunicación con equipos de tecnología de la información y con redes de comunicación;</w:t>
      </w:r>
    </w:p>
    <w:p w:rsidR="00C274C5" w:rsidRPr="00492501" w:rsidRDefault="00C274C5" w:rsidP="00645EC9">
      <w:pPr>
        <w:pStyle w:val="enumlev1"/>
        <w:rPr>
          <w:lang w:val="es-ES_tradnl"/>
        </w:rPr>
      </w:pPr>
      <w:r w:rsidRPr="005839AE">
        <w:rPr>
          <w:lang w:val="es-ES_tradnl"/>
        </w:rPr>
        <w:t>11</w:t>
      </w:r>
      <w:r w:rsidR="00645EC9">
        <w:rPr>
          <w:lang w:val="es-ES_tradnl"/>
        </w:rPr>
        <w:t>)</w:t>
      </w:r>
      <w:r w:rsidRPr="00492501">
        <w:rPr>
          <w:lang w:val="es-ES_tradnl"/>
        </w:rPr>
        <w:tab/>
        <w:t>posibilidad de ofrecer servicios de valor añadido con capacidades de datos diferentes (por ejemplo, canales de mensajes de tráfico, datos del sector comercial, radiobúsqueda, imágenes fijas, gráficos, la futura radiodifusión digital de servicios integrados, multiplexión de vídeo/audio a baja velocidad binaria, etc.);</w:t>
      </w:r>
    </w:p>
    <w:p w:rsidR="00C274C5" w:rsidRPr="00492501" w:rsidRDefault="00C274C5" w:rsidP="00645EC9">
      <w:pPr>
        <w:pStyle w:val="enumlev1"/>
        <w:rPr>
          <w:lang w:val="es-ES_tradnl"/>
        </w:rPr>
      </w:pPr>
      <w:r w:rsidRPr="005839AE">
        <w:rPr>
          <w:lang w:val="es-ES_tradnl"/>
        </w:rPr>
        <w:t>12</w:t>
      </w:r>
      <w:r w:rsidR="00645EC9">
        <w:rPr>
          <w:lang w:val="es-ES_tradnl"/>
        </w:rPr>
        <w:t>)</w:t>
      </w:r>
      <w:r w:rsidRPr="00492501">
        <w:rPr>
          <w:lang w:val="es-ES_tradnl"/>
        </w:rPr>
        <w:tab/>
        <w:t>posibilidad de fabricación a gran escala de receptores y antenas de bajo costo,</w:t>
      </w:r>
    </w:p>
    <w:p w:rsidR="00C274C5" w:rsidRPr="00492501" w:rsidRDefault="00C274C5" w:rsidP="00C274C5">
      <w:pPr>
        <w:pStyle w:val="call0"/>
        <w:rPr>
          <w:sz w:val="24"/>
          <w:szCs w:val="24"/>
          <w:lang w:val="es-ES_tradnl"/>
        </w:rPr>
      </w:pPr>
      <w:r w:rsidRPr="00492501">
        <w:rPr>
          <w:sz w:val="24"/>
          <w:szCs w:val="24"/>
          <w:lang w:val="es-ES_tradnl"/>
        </w:rPr>
        <w:t>invita a los miembros de la UIT y a los fabricantes de receptores de radio a considerar</w:t>
      </w:r>
    </w:p>
    <w:p w:rsidR="00C274C5" w:rsidRPr="00492501" w:rsidRDefault="00C274C5" w:rsidP="00C274C5">
      <w:pPr>
        <w:rPr>
          <w:lang w:val="es-ES_tradnl"/>
        </w:rPr>
      </w:pPr>
      <w:r w:rsidRPr="00645EC9">
        <w:rPr>
          <w:b/>
          <w:bCs/>
          <w:lang w:val="es-ES_tradnl"/>
        </w:rPr>
        <w:t>1</w:t>
      </w:r>
      <w:r w:rsidRPr="00492501">
        <w:rPr>
          <w:lang w:val="es-ES_tradnl"/>
        </w:rPr>
        <w:tab/>
        <w:t>unos receptores de radio económicamente viables, portátiles, multibanda y multinorma diseñados para funcionar mediante selección manual o, de preferencia, automática con todos los sistemas de radiodifusión analógica y digital actualmente en uso en todas las bandas de frecuencia pertinentes;</w:t>
      </w:r>
    </w:p>
    <w:p w:rsidR="00C274C5" w:rsidRPr="00492501" w:rsidRDefault="00C274C5" w:rsidP="00C274C5">
      <w:pPr>
        <w:rPr>
          <w:lang w:val="es-ES_tradnl"/>
        </w:rPr>
      </w:pPr>
      <w:r w:rsidRPr="00645EC9">
        <w:rPr>
          <w:b/>
          <w:bCs/>
          <w:lang w:val="es-ES_tradnl"/>
        </w:rPr>
        <w:t>2</w:t>
      </w:r>
      <w:r w:rsidRPr="00492501">
        <w:rPr>
          <w:lang w:val="es-ES_tradnl"/>
        </w:rPr>
        <w:tab/>
        <w:t>unos receptores de radio digital que permitan la descarga de actualizaciones para algunas de sus funcionalidades específicas, tales como la decodificación, la navegación, la capacidad de gestión, etc;</w:t>
      </w:r>
    </w:p>
    <w:p w:rsidR="00C274C5" w:rsidRPr="00492501" w:rsidRDefault="00C274C5" w:rsidP="00C274C5">
      <w:pPr>
        <w:rPr>
          <w:lang w:val="es-ES_tradnl"/>
        </w:rPr>
      </w:pPr>
      <w:r w:rsidRPr="00645EC9">
        <w:rPr>
          <w:b/>
          <w:bCs/>
          <w:lang w:val="es-ES_tradnl"/>
        </w:rPr>
        <w:t>3</w:t>
      </w:r>
      <w:r w:rsidRPr="00492501">
        <w:rPr>
          <w:lang w:val="es-ES_tradnl"/>
        </w:rPr>
        <w:tab/>
        <w:t>Un indicador simple del nivel de campo de RF recibido y de la proporción de bits erróneos</w:t>
      </w:r>
      <w:r w:rsidR="00645EC9">
        <w:rPr>
          <w:lang w:val="es-ES_tradnl"/>
        </w:rPr>
        <w:t>.</w:t>
      </w:r>
    </w:p>
    <w:p w:rsidR="00C274C5" w:rsidRPr="00492501" w:rsidRDefault="00C274C5" w:rsidP="00C274C5">
      <w:pPr>
        <w:rPr>
          <w:lang w:val="es-ES_tradnl"/>
        </w:rPr>
      </w:pPr>
      <w:r w:rsidRPr="00492501">
        <w:rPr>
          <w:lang w:val="es-ES_tradnl"/>
        </w:rPr>
        <w:t>NOTA 1 – En el Anexo 1 a la Recomendación UIT-R BS.1114 se describe, a modo de ejemplo, un sistema de radiodifusión sonora digital (</w:t>
      </w:r>
      <w:r w:rsidR="00A201FD" w:rsidRPr="00492501">
        <w:rPr>
          <w:lang w:val="es-ES_tradnl"/>
        </w:rPr>
        <w:t xml:space="preserve">Sistema Digital </w:t>
      </w:r>
      <w:r w:rsidRPr="00492501">
        <w:rPr>
          <w:lang w:val="es-ES_tradnl"/>
        </w:rPr>
        <w:t>A) que cumple los requisitos técnicos y de explotación mencionados más arriba.</w:t>
      </w:r>
    </w:p>
    <w:p w:rsidR="00C274C5" w:rsidRPr="00492501" w:rsidRDefault="00C274C5" w:rsidP="00C274C5">
      <w:pPr>
        <w:rPr>
          <w:lang w:val="es-ES_tradnl"/>
        </w:rPr>
      </w:pPr>
      <w:r w:rsidRPr="00492501">
        <w:rPr>
          <w:lang w:val="es-ES_tradnl"/>
        </w:rPr>
        <w:t>NOTA 2 – En la Publicación especial del UIT-R sobre la Radiodifusión sonora digital terrenal y por satélite destinada a receptores de vehículos, portátiles fijos en las bandas de ondas métricas y decimétricas se analizan detalladamente las características del sistema y de los servicios así como los aspectos relativos a radiofrecuencia de los sistemas de difusión sonora digital.</w:t>
      </w:r>
    </w:p>
    <w:p w:rsidR="00C274C5" w:rsidRPr="00492501" w:rsidRDefault="00C274C5" w:rsidP="00C274C5">
      <w:pPr>
        <w:rPr>
          <w:lang w:val="es-ES_tradnl"/>
        </w:rPr>
      </w:pPr>
      <w:r w:rsidRPr="00492501">
        <w:rPr>
          <w:lang w:val="es-ES_tradnl"/>
        </w:rPr>
        <w:t>NOTA 3 – La Recomendación UIT-R BO.789 es muy similar y concierne a la radiodifusión sonora por satélite.</w:t>
      </w:r>
    </w:p>
    <w:p w:rsidR="00C274C5" w:rsidRDefault="00C274C5" w:rsidP="00E05D0B">
      <w:pPr>
        <w:rPr>
          <w:lang w:val="es-ES_tradnl"/>
        </w:rPr>
      </w:pPr>
    </w:p>
    <w:p w:rsidR="00913339" w:rsidRPr="00492501" w:rsidRDefault="00913339" w:rsidP="00913339">
      <w:pPr>
        <w:spacing w:before="0"/>
        <w:rPr>
          <w:lang w:val="es-ES_tradnl"/>
        </w:rPr>
      </w:pPr>
    </w:p>
    <w:p w:rsidR="00C274C5" w:rsidRPr="00492501" w:rsidRDefault="00C274C5" w:rsidP="00C274C5">
      <w:pPr>
        <w:jc w:val="center"/>
        <w:rPr>
          <w:lang w:val="es-ES_tradnl"/>
        </w:rPr>
      </w:pPr>
      <w:r w:rsidRPr="00492501">
        <w:rPr>
          <w:lang w:val="es-ES_tradnl"/>
        </w:rPr>
        <w:t>______________</w:t>
      </w:r>
    </w:p>
    <w:p w:rsidR="00C274C5" w:rsidRPr="00A6617B" w:rsidRDefault="00C274C5" w:rsidP="00C274C5"/>
    <w:sectPr w:rsidR="00C274C5" w:rsidRPr="00A6617B" w:rsidSect="00C274C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4C5" w:rsidRDefault="00C274C5">
      <w:r>
        <w:separator/>
      </w:r>
    </w:p>
  </w:endnote>
  <w:endnote w:type="continuationSeparator" w:id="0">
    <w:p w:rsidR="00C274C5" w:rsidRDefault="00C2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4C5" w:rsidRDefault="00C274C5">
      <w:r>
        <w:separator/>
      </w:r>
    </w:p>
  </w:footnote>
  <w:footnote w:type="continuationSeparator" w:id="0">
    <w:p w:rsidR="00C274C5" w:rsidRDefault="00C274C5">
      <w:r>
        <w:continuationSeparator/>
      </w:r>
    </w:p>
  </w:footnote>
  <w:footnote w:id="1">
    <w:p w:rsidR="00D456B2" w:rsidRPr="00D456B2" w:rsidRDefault="00D456B2">
      <w:pPr>
        <w:pStyle w:val="FootnoteText"/>
        <w:rPr>
          <w:lang w:val="es-ES_tradnl"/>
        </w:rPr>
      </w:pPr>
      <w:r w:rsidRPr="00D456B2">
        <w:rPr>
          <w:rStyle w:val="FootnoteReference"/>
          <w:lang w:val="es-ES_tradnl"/>
        </w:rPr>
        <w:t>*</w:t>
      </w:r>
      <w:r w:rsidRPr="00D456B2">
        <w:rPr>
          <w:lang w:val="es-ES_tradnl"/>
        </w:rPr>
        <w:t xml:space="preserve"> </w:t>
      </w:r>
      <w:r>
        <w:rPr>
          <w:lang w:val="es-ES_tradnl"/>
        </w:rPr>
        <w:tab/>
      </w:r>
      <w:r w:rsidRPr="00D456B2">
        <w:rPr>
          <w:szCs w:val="22"/>
          <w:lang w:val="es-ES"/>
        </w:rPr>
        <w:t>Esta Recomendación debe señalarse a la atención de la Comisión Electrotécnica Internacional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C5" w:rsidRDefault="00C274C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C5" w:rsidRDefault="00C274C5" w:rsidP="00D62884">
    <w:pPr>
      <w:pStyle w:val="Header"/>
      <w:ind w:right="360" w:firstLine="360"/>
    </w:pPr>
    <w:r>
      <w:rPr>
        <w:noProof/>
        <w:lang w:val="es-ES_tradnl" w:eastAsia="zh-CN"/>
      </w:rPr>
      <w:drawing>
        <wp:anchor distT="0" distB="0" distL="114300" distR="114300" simplePos="0" relativeHeight="251660288" behindDoc="0" locked="0" layoutInCell="1" allowOverlap="1" wp14:anchorId="43910114" wp14:editId="2CE341A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255A2791" wp14:editId="0EACAA3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C5" w:rsidRDefault="00C274C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920B8">
      <w:rPr>
        <w:rStyle w:val="PageNumber"/>
        <w:b/>
        <w:bCs/>
        <w:noProof/>
      </w:rPr>
      <w:t>ii</w:t>
    </w:r>
    <w:r>
      <w:rPr>
        <w:rStyle w:val="PageNumber"/>
        <w:b/>
        <w:bCs/>
      </w:rPr>
      <w:fldChar w:fldCharType="end"/>
    </w:r>
    <w:r>
      <w:tab/>
    </w:r>
    <w:fldSimple w:instr=" DOCPROPERTY &quot;Header&quot; \* MERGEFORMAT ">
      <w:r w:rsidR="00F920B8" w:rsidRPr="00F920B8">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F920B8">
      <w:rPr>
        <w:b/>
        <w:bCs/>
        <w:noProof/>
      </w:rPr>
      <w:t>UIT-R  BS.774-4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C5" w:rsidRDefault="00C274C5">
    <w:pPr>
      <w:pStyle w:val="Header"/>
    </w:pPr>
    <w:r>
      <w:tab/>
    </w:r>
    <w:fldSimple w:instr=" DOCPROPERTY &quot;Header&quot; \* MERGEFORMAT ">
      <w:r w:rsidR="00F920B8" w:rsidRPr="00F920B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920B8">
      <w:rPr>
        <w:b/>
        <w:bCs/>
        <w:noProof/>
      </w:rPr>
      <w:t>UIT-R  BS.774-4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920B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920B8" w:rsidRPr="00F920B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920B8">
      <w:rPr>
        <w:b/>
        <w:bCs/>
        <w:noProof/>
      </w:rPr>
      <w:t>UIT-R  BS.774-4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F920B8" w:rsidRPr="00F920B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6DDC">
      <w:rPr>
        <w:b/>
        <w:bCs/>
        <w:noProof/>
      </w:rPr>
      <w:t>UIT-R  BS.774-4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6DD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4C5"/>
    <w:rsid w:val="0019070C"/>
    <w:rsid w:val="001A4756"/>
    <w:rsid w:val="00217EBF"/>
    <w:rsid w:val="00242AEE"/>
    <w:rsid w:val="002D76C4"/>
    <w:rsid w:val="0052529D"/>
    <w:rsid w:val="00607D68"/>
    <w:rsid w:val="00645EC9"/>
    <w:rsid w:val="007468DA"/>
    <w:rsid w:val="008E7944"/>
    <w:rsid w:val="00901204"/>
    <w:rsid w:val="00913339"/>
    <w:rsid w:val="0096459F"/>
    <w:rsid w:val="009839C5"/>
    <w:rsid w:val="009E00A8"/>
    <w:rsid w:val="00A201FD"/>
    <w:rsid w:val="00A6617B"/>
    <w:rsid w:val="00AB0DC8"/>
    <w:rsid w:val="00B44E24"/>
    <w:rsid w:val="00B83990"/>
    <w:rsid w:val="00C274C5"/>
    <w:rsid w:val="00CB6DDC"/>
    <w:rsid w:val="00CC19F6"/>
    <w:rsid w:val="00D456B2"/>
    <w:rsid w:val="00DF4176"/>
    <w:rsid w:val="00E05D0B"/>
    <w:rsid w:val="00E37AE8"/>
    <w:rsid w:val="00F11BDD"/>
    <w:rsid w:val="00F920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A35D527-A52C-4CF6-8D3C-8A945416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1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201FD"/>
    <w:pPr>
      <w:keepNext/>
      <w:keepLines/>
      <w:spacing w:before="480"/>
      <w:ind w:left="794" w:hanging="794"/>
      <w:outlineLvl w:val="0"/>
    </w:pPr>
    <w:rPr>
      <w:b/>
    </w:rPr>
  </w:style>
  <w:style w:type="paragraph" w:styleId="Heading2">
    <w:name w:val="heading 2"/>
    <w:basedOn w:val="Heading1"/>
    <w:next w:val="Normal"/>
    <w:qFormat/>
    <w:rsid w:val="00A201FD"/>
    <w:pPr>
      <w:spacing w:before="320"/>
      <w:outlineLvl w:val="1"/>
    </w:pPr>
  </w:style>
  <w:style w:type="paragraph" w:styleId="Heading3">
    <w:name w:val="heading 3"/>
    <w:basedOn w:val="Heading1"/>
    <w:next w:val="Normal"/>
    <w:qFormat/>
    <w:rsid w:val="00A201FD"/>
    <w:pPr>
      <w:spacing w:before="200"/>
      <w:outlineLvl w:val="2"/>
    </w:pPr>
  </w:style>
  <w:style w:type="paragraph" w:styleId="Heading4">
    <w:name w:val="heading 4"/>
    <w:basedOn w:val="Heading3"/>
    <w:next w:val="Normal"/>
    <w:qFormat/>
    <w:rsid w:val="00A201FD"/>
    <w:pPr>
      <w:tabs>
        <w:tab w:val="clear" w:pos="794"/>
        <w:tab w:val="left" w:pos="992"/>
      </w:tabs>
      <w:ind w:left="992" w:hanging="992"/>
      <w:outlineLvl w:val="3"/>
    </w:pPr>
  </w:style>
  <w:style w:type="paragraph" w:styleId="Heading5">
    <w:name w:val="heading 5"/>
    <w:basedOn w:val="Heading4"/>
    <w:next w:val="Normal"/>
    <w:qFormat/>
    <w:rsid w:val="00A201FD"/>
    <w:pPr>
      <w:outlineLvl w:val="4"/>
    </w:pPr>
  </w:style>
  <w:style w:type="paragraph" w:styleId="Heading6">
    <w:name w:val="heading 6"/>
    <w:basedOn w:val="Heading4"/>
    <w:next w:val="Normal"/>
    <w:qFormat/>
    <w:rsid w:val="00A201FD"/>
    <w:pPr>
      <w:tabs>
        <w:tab w:val="clear" w:pos="992"/>
        <w:tab w:val="clear" w:pos="1191"/>
      </w:tabs>
      <w:ind w:left="1588" w:hanging="1588"/>
      <w:outlineLvl w:val="5"/>
    </w:pPr>
  </w:style>
  <w:style w:type="paragraph" w:styleId="Heading7">
    <w:name w:val="heading 7"/>
    <w:basedOn w:val="Heading6"/>
    <w:next w:val="Normal"/>
    <w:qFormat/>
    <w:rsid w:val="00A201FD"/>
    <w:pPr>
      <w:outlineLvl w:val="6"/>
    </w:pPr>
  </w:style>
  <w:style w:type="paragraph" w:styleId="Heading8">
    <w:name w:val="heading 8"/>
    <w:basedOn w:val="Heading6"/>
    <w:next w:val="Normal"/>
    <w:qFormat/>
    <w:rsid w:val="00A201FD"/>
    <w:pPr>
      <w:outlineLvl w:val="7"/>
    </w:pPr>
  </w:style>
  <w:style w:type="paragraph" w:styleId="Heading9">
    <w:name w:val="heading 9"/>
    <w:basedOn w:val="Heading6"/>
    <w:next w:val="Normal"/>
    <w:qFormat/>
    <w:rsid w:val="00A201F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01F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201F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201FD"/>
  </w:style>
  <w:style w:type="paragraph" w:customStyle="1" w:styleId="Headingb">
    <w:name w:val="Heading_b"/>
    <w:basedOn w:val="Heading3"/>
    <w:next w:val="Normal"/>
    <w:rsid w:val="00A201FD"/>
    <w:pPr>
      <w:spacing w:before="160"/>
      <w:ind w:left="0" w:firstLine="0"/>
      <w:outlineLvl w:val="9"/>
    </w:pPr>
  </w:style>
  <w:style w:type="paragraph" w:customStyle="1" w:styleId="Headingi">
    <w:name w:val="Heading_i"/>
    <w:basedOn w:val="Heading3"/>
    <w:next w:val="Normal"/>
    <w:rsid w:val="00A201FD"/>
    <w:pPr>
      <w:spacing w:before="160"/>
      <w:ind w:left="0" w:firstLine="0"/>
    </w:pPr>
    <w:rPr>
      <w:b w:val="0"/>
      <w:i/>
    </w:rPr>
  </w:style>
  <w:style w:type="character" w:customStyle="1" w:styleId="href">
    <w:name w:val="href"/>
    <w:basedOn w:val="DefaultParagraphFont"/>
    <w:rsid w:val="00A201FD"/>
  </w:style>
  <w:style w:type="paragraph" w:customStyle="1" w:styleId="enumlev1">
    <w:name w:val="enumlev1"/>
    <w:basedOn w:val="Normal"/>
    <w:rsid w:val="00A201FD"/>
    <w:pPr>
      <w:spacing w:before="80"/>
      <w:ind w:left="794" w:hanging="794"/>
    </w:pPr>
  </w:style>
  <w:style w:type="paragraph" w:customStyle="1" w:styleId="enumlev2">
    <w:name w:val="enumlev2"/>
    <w:basedOn w:val="enumlev1"/>
    <w:rsid w:val="00A201FD"/>
    <w:pPr>
      <w:ind w:left="1191" w:hanging="397"/>
    </w:pPr>
  </w:style>
  <w:style w:type="paragraph" w:customStyle="1" w:styleId="enumlev3">
    <w:name w:val="enumlev3"/>
    <w:basedOn w:val="enumlev2"/>
    <w:rsid w:val="00A201FD"/>
    <w:pPr>
      <w:ind w:left="1588"/>
    </w:pPr>
  </w:style>
  <w:style w:type="paragraph" w:customStyle="1" w:styleId="Normalaftertitle">
    <w:name w:val="Normal_after_title"/>
    <w:basedOn w:val="Normal"/>
    <w:next w:val="Normal"/>
    <w:rsid w:val="00A201FD"/>
    <w:pPr>
      <w:spacing w:before="320"/>
    </w:pPr>
  </w:style>
  <w:style w:type="paragraph" w:customStyle="1" w:styleId="Note">
    <w:name w:val="Note"/>
    <w:basedOn w:val="Normal"/>
    <w:rsid w:val="00A201F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201F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201FD"/>
    <w:pPr>
      <w:spacing w:before="240"/>
    </w:pPr>
    <w:rPr>
      <w:sz w:val="22"/>
      <w:lang w:val="es-ES_tradnl"/>
    </w:rPr>
  </w:style>
  <w:style w:type="paragraph" w:customStyle="1" w:styleId="Recref">
    <w:name w:val="Rec_ref"/>
    <w:basedOn w:val="Normal"/>
    <w:next w:val="Recdate"/>
    <w:rsid w:val="00A201FD"/>
    <w:pPr>
      <w:jc w:val="center"/>
    </w:pPr>
  </w:style>
  <w:style w:type="paragraph" w:customStyle="1" w:styleId="Recdate">
    <w:name w:val="Rec_date"/>
    <w:basedOn w:val="Recref"/>
    <w:next w:val="Normalaftertitle"/>
    <w:rsid w:val="00A201FD"/>
    <w:pPr>
      <w:jc w:val="right"/>
    </w:pPr>
  </w:style>
  <w:style w:type="paragraph" w:customStyle="1" w:styleId="AnnexNoTitle">
    <w:name w:val="Annex_NoTitle"/>
    <w:basedOn w:val="Normal"/>
    <w:next w:val="Normalaftertitle"/>
    <w:rsid w:val="00A201FD"/>
    <w:pPr>
      <w:keepNext/>
      <w:keepLines/>
      <w:spacing w:before="480" w:after="80"/>
      <w:jc w:val="center"/>
    </w:pPr>
    <w:rPr>
      <w:b/>
      <w:sz w:val="28"/>
    </w:rPr>
  </w:style>
  <w:style w:type="paragraph" w:customStyle="1" w:styleId="AppendixNoTitle">
    <w:name w:val="Appendix_NoTitle"/>
    <w:basedOn w:val="AnnexNoTitle"/>
    <w:next w:val="Normal"/>
    <w:rsid w:val="00A201FD"/>
  </w:style>
  <w:style w:type="paragraph" w:customStyle="1" w:styleId="Tablefin">
    <w:name w:val="Table_fin"/>
    <w:basedOn w:val="Normal"/>
    <w:next w:val="Normal"/>
    <w:rsid w:val="00A201FD"/>
    <w:pPr>
      <w:spacing w:before="0"/>
    </w:pPr>
    <w:rPr>
      <w:sz w:val="20"/>
      <w:lang w:val="en-GB"/>
    </w:rPr>
  </w:style>
  <w:style w:type="paragraph" w:customStyle="1" w:styleId="Tablehead">
    <w:name w:val="Table_head"/>
    <w:basedOn w:val="Normal"/>
    <w:next w:val="Normal"/>
    <w:rsid w:val="00A201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01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01FD"/>
    <w:pPr>
      <w:keepNext/>
      <w:spacing w:before="360" w:after="120"/>
      <w:jc w:val="center"/>
    </w:pPr>
  </w:style>
  <w:style w:type="paragraph" w:customStyle="1" w:styleId="Tabletext">
    <w:name w:val="Table_text"/>
    <w:basedOn w:val="Normal"/>
    <w:rsid w:val="00A201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201FD"/>
    <w:pPr>
      <w:tabs>
        <w:tab w:val="clear" w:pos="1191"/>
        <w:tab w:val="clear" w:pos="1588"/>
        <w:tab w:val="clear" w:pos="1985"/>
        <w:tab w:val="center" w:pos="4820"/>
        <w:tab w:val="right" w:pos="9639"/>
      </w:tabs>
    </w:pPr>
  </w:style>
  <w:style w:type="paragraph" w:customStyle="1" w:styleId="Equationlegend">
    <w:name w:val="Equation_legend"/>
    <w:basedOn w:val="NormalIndent"/>
    <w:rsid w:val="00A201F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201FD"/>
    <w:pPr>
      <w:ind w:left="794"/>
    </w:pPr>
  </w:style>
  <w:style w:type="paragraph" w:customStyle="1" w:styleId="Figurelegend">
    <w:name w:val="Figure_legend"/>
    <w:basedOn w:val="Normal"/>
    <w:rsid w:val="00A201F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201FD"/>
    <w:pPr>
      <w:keepNext/>
      <w:keepLines/>
      <w:spacing w:before="480" w:after="80"/>
      <w:jc w:val="center"/>
    </w:pPr>
    <w:rPr>
      <w:caps/>
      <w:sz w:val="18"/>
    </w:rPr>
  </w:style>
  <w:style w:type="paragraph" w:customStyle="1" w:styleId="tocpart">
    <w:name w:val="tocpart"/>
    <w:basedOn w:val="Normal"/>
    <w:rsid w:val="00A201F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201FD"/>
    <w:pPr>
      <w:keepNext/>
      <w:keepLines/>
      <w:spacing w:before="480"/>
      <w:jc w:val="center"/>
    </w:pPr>
    <w:rPr>
      <w:sz w:val="28"/>
    </w:rPr>
  </w:style>
  <w:style w:type="paragraph" w:customStyle="1" w:styleId="Arttitle">
    <w:name w:val="Art_title"/>
    <w:basedOn w:val="Normal"/>
    <w:next w:val="Normalaftertitle"/>
    <w:rsid w:val="00A201FD"/>
    <w:pPr>
      <w:keepNext/>
      <w:keepLines/>
      <w:spacing w:before="240"/>
      <w:jc w:val="center"/>
    </w:pPr>
    <w:rPr>
      <w:b/>
      <w:sz w:val="28"/>
    </w:rPr>
  </w:style>
  <w:style w:type="paragraph" w:customStyle="1" w:styleId="Blanc">
    <w:name w:val="Blanc"/>
    <w:basedOn w:val="Normal"/>
    <w:next w:val="Tabletext"/>
    <w:rsid w:val="00A201F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201F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201FD"/>
    <w:pPr>
      <w:keepNext/>
      <w:keepLines/>
      <w:spacing w:before="160"/>
      <w:ind w:left="794"/>
    </w:pPr>
    <w:rPr>
      <w:i/>
    </w:rPr>
  </w:style>
  <w:style w:type="paragraph" w:customStyle="1" w:styleId="ChapNo">
    <w:name w:val="Chap_No"/>
    <w:basedOn w:val="ArtNo"/>
    <w:next w:val="Chaptitle"/>
    <w:rsid w:val="00A201FD"/>
    <w:rPr>
      <w:b/>
    </w:rPr>
  </w:style>
  <w:style w:type="paragraph" w:customStyle="1" w:styleId="Chaptitle">
    <w:name w:val="Chap_title"/>
    <w:basedOn w:val="Arttitle"/>
    <w:next w:val="Normalaftertitle"/>
    <w:rsid w:val="00A201FD"/>
  </w:style>
  <w:style w:type="character" w:styleId="FootnoteReference">
    <w:name w:val="footnote reference"/>
    <w:basedOn w:val="DefaultParagraphFont"/>
    <w:rsid w:val="00A201FD"/>
    <w:rPr>
      <w:position w:val="6"/>
      <w:sz w:val="18"/>
    </w:rPr>
  </w:style>
  <w:style w:type="paragraph" w:styleId="FootnoteText">
    <w:name w:val="footnote text"/>
    <w:basedOn w:val="Normal"/>
    <w:link w:val="FootnoteTextChar"/>
    <w:rsid w:val="00A201FD"/>
    <w:pPr>
      <w:keepLines/>
      <w:tabs>
        <w:tab w:val="left" w:pos="255"/>
      </w:tabs>
      <w:ind w:left="255" w:hanging="255"/>
    </w:pPr>
    <w:rPr>
      <w:sz w:val="22"/>
    </w:rPr>
  </w:style>
  <w:style w:type="paragraph" w:styleId="Index1">
    <w:name w:val="index 1"/>
    <w:basedOn w:val="Normal"/>
    <w:next w:val="Normal"/>
    <w:semiHidden/>
    <w:rsid w:val="00A201FD"/>
  </w:style>
  <w:style w:type="paragraph" w:styleId="Index2">
    <w:name w:val="index 2"/>
    <w:basedOn w:val="Normal"/>
    <w:next w:val="Normal"/>
    <w:semiHidden/>
    <w:rsid w:val="00A201FD"/>
    <w:pPr>
      <w:ind w:left="283"/>
    </w:pPr>
  </w:style>
  <w:style w:type="paragraph" w:styleId="Index3">
    <w:name w:val="index 3"/>
    <w:basedOn w:val="Normal"/>
    <w:next w:val="Normal"/>
    <w:semiHidden/>
    <w:rsid w:val="00A201FD"/>
    <w:pPr>
      <w:ind w:left="566"/>
    </w:pPr>
  </w:style>
  <w:style w:type="paragraph" w:styleId="IndexHeading">
    <w:name w:val="index heading"/>
    <w:basedOn w:val="Normal"/>
    <w:next w:val="Index1"/>
    <w:semiHidden/>
    <w:rsid w:val="00A201FD"/>
  </w:style>
  <w:style w:type="paragraph" w:customStyle="1" w:styleId="Line">
    <w:name w:val="Line"/>
    <w:basedOn w:val="Normal"/>
    <w:next w:val="Normal"/>
    <w:rsid w:val="00A201F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201F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201FD"/>
  </w:style>
  <w:style w:type="paragraph" w:customStyle="1" w:styleId="Partref">
    <w:name w:val="Part_ref"/>
    <w:basedOn w:val="Normal"/>
    <w:next w:val="Normal"/>
    <w:rsid w:val="00A201FD"/>
    <w:pPr>
      <w:keepNext/>
      <w:keepLines/>
      <w:spacing w:after="280"/>
      <w:jc w:val="center"/>
    </w:pPr>
  </w:style>
  <w:style w:type="paragraph" w:customStyle="1" w:styleId="Parttitle">
    <w:name w:val="Part_title"/>
    <w:basedOn w:val="Normal"/>
    <w:next w:val="Normalaftertitle"/>
    <w:rsid w:val="00A201F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201FD"/>
  </w:style>
  <w:style w:type="paragraph" w:customStyle="1" w:styleId="QuestionNo">
    <w:name w:val="Question_No"/>
    <w:basedOn w:val="RecNo"/>
    <w:next w:val="Normal"/>
    <w:rsid w:val="00A201FD"/>
  </w:style>
  <w:style w:type="paragraph" w:customStyle="1" w:styleId="Questionref">
    <w:name w:val="Question_ref"/>
    <w:basedOn w:val="Recref"/>
    <w:next w:val="Questiondate"/>
    <w:rsid w:val="00A201FD"/>
  </w:style>
  <w:style w:type="paragraph" w:customStyle="1" w:styleId="Questiontitle">
    <w:name w:val="Question_title"/>
    <w:basedOn w:val="Normal"/>
    <w:next w:val="Questionref"/>
    <w:rsid w:val="00A201FD"/>
  </w:style>
  <w:style w:type="paragraph" w:customStyle="1" w:styleId="Reftext">
    <w:name w:val="Ref_text"/>
    <w:basedOn w:val="Normal"/>
    <w:rsid w:val="00A201FD"/>
    <w:pPr>
      <w:ind w:left="794" w:hanging="794"/>
    </w:pPr>
    <w:rPr>
      <w:sz w:val="22"/>
    </w:rPr>
  </w:style>
  <w:style w:type="paragraph" w:customStyle="1" w:styleId="Reftitle">
    <w:name w:val="Ref_title"/>
    <w:basedOn w:val="Normal"/>
    <w:next w:val="Reftext"/>
    <w:rsid w:val="00A201F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01FD"/>
  </w:style>
  <w:style w:type="paragraph" w:customStyle="1" w:styleId="RepNo">
    <w:name w:val="Rep_No"/>
    <w:basedOn w:val="RecNo"/>
    <w:next w:val="Reptitle"/>
    <w:rsid w:val="00A201FD"/>
  </w:style>
  <w:style w:type="paragraph" w:customStyle="1" w:styleId="Repref">
    <w:name w:val="Rep_ref"/>
    <w:basedOn w:val="Recref"/>
    <w:next w:val="Repdate"/>
    <w:rsid w:val="00A201FD"/>
  </w:style>
  <w:style w:type="paragraph" w:customStyle="1" w:styleId="Reptitle">
    <w:name w:val="Rep_title"/>
    <w:basedOn w:val="Rectitle"/>
    <w:next w:val="Repref"/>
    <w:rsid w:val="00A201FD"/>
  </w:style>
  <w:style w:type="paragraph" w:customStyle="1" w:styleId="Resdate">
    <w:name w:val="Res_date"/>
    <w:basedOn w:val="Recdate"/>
    <w:next w:val="Normalaftertitle"/>
    <w:rsid w:val="00A201FD"/>
  </w:style>
  <w:style w:type="paragraph" w:customStyle="1" w:styleId="ResNo">
    <w:name w:val="Res_No"/>
    <w:basedOn w:val="RecNo"/>
    <w:next w:val="Restitle"/>
    <w:rsid w:val="00A201FD"/>
  </w:style>
  <w:style w:type="paragraph" w:customStyle="1" w:styleId="Resref">
    <w:name w:val="Res_ref"/>
    <w:basedOn w:val="Recref"/>
    <w:next w:val="Resdate"/>
    <w:rsid w:val="00A201FD"/>
  </w:style>
  <w:style w:type="paragraph" w:customStyle="1" w:styleId="Restitle">
    <w:name w:val="Res_title"/>
    <w:basedOn w:val="Normal"/>
    <w:next w:val="Resref"/>
    <w:rsid w:val="00A201FD"/>
    <w:pPr>
      <w:spacing w:before="240"/>
      <w:jc w:val="center"/>
    </w:pPr>
    <w:rPr>
      <w:b/>
      <w:sz w:val="28"/>
    </w:rPr>
  </w:style>
  <w:style w:type="paragraph" w:customStyle="1" w:styleId="SectionNo">
    <w:name w:val="Section_No"/>
    <w:basedOn w:val="Normal"/>
    <w:next w:val="Normal"/>
    <w:rsid w:val="00A201FD"/>
  </w:style>
  <w:style w:type="paragraph" w:customStyle="1" w:styleId="Sectiontitle">
    <w:name w:val="Section_title"/>
    <w:basedOn w:val="Normal"/>
    <w:next w:val="Normalaftertitle"/>
    <w:rsid w:val="00A201F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201FD"/>
    <w:pPr>
      <w:tabs>
        <w:tab w:val="clear" w:pos="794"/>
        <w:tab w:val="clear" w:pos="1191"/>
        <w:tab w:val="clear" w:pos="1588"/>
        <w:tab w:val="clear" w:pos="1985"/>
        <w:tab w:val="right" w:pos="9611"/>
      </w:tabs>
    </w:pPr>
    <w:rPr>
      <w:i/>
    </w:rPr>
  </w:style>
  <w:style w:type="paragraph" w:styleId="TOC1">
    <w:name w:val="toc 1"/>
    <w:basedOn w:val="Normal"/>
    <w:semiHidden/>
    <w:rsid w:val="00A201F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201FD"/>
    <w:pPr>
      <w:tabs>
        <w:tab w:val="clear" w:pos="567"/>
        <w:tab w:val="left" w:pos="1276"/>
      </w:tabs>
      <w:spacing w:before="160"/>
      <w:ind w:left="1276" w:hanging="709"/>
    </w:pPr>
  </w:style>
  <w:style w:type="paragraph" w:styleId="TOC3">
    <w:name w:val="toc 3"/>
    <w:basedOn w:val="TOC2"/>
    <w:semiHidden/>
    <w:rsid w:val="00A201FD"/>
    <w:pPr>
      <w:tabs>
        <w:tab w:val="clear" w:pos="1276"/>
        <w:tab w:val="left" w:pos="2155"/>
      </w:tabs>
      <w:ind w:left="2155" w:hanging="879"/>
    </w:pPr>
  </w:style>
  <w:style w:type="paragraph" w:styleId="TOC4">
    <w:name w:val="toc 4"/>
    <w:basedOn w:val="TOC3"/>
    <w:semiHidden/>
    <w:rsid w:val="00A201FD"/>
    <w:pPr>
      <w:tabs>
        <w:tab w:val="left" w:pos="3261"/>
      </w:tabs>
      <w:spacing w:before="80"/>
      <w:ind w:left="3261" w:hanging="993"/>
    </w:pPr>
  </w:style>
  <w:style w:type="paragraph" w:styleId="TOC5">
    <w:name w:val="toc 5"/>
    <w:basedOn w:val="TOC4"/>
    <w:semiHidden/>
    <w:rsid w:val="00A201FD"/>
  </w:style>
  <w:style w:type="paragraph" w:styleId="TOC6">
    <w:name w:val="toc 6"/>
    <w:basedOn w:val="TOC4"/>
    <w:semiHidden/>
    <w:rsid w:val="00A201FD"/>
  </w:style>
  <w:style w:type="paragraph" w:styleId="TOC7">
    <w:name w:val="toc 7"/>
    <w:basedOn w:val="TOC4"/>
    <w:semiHidden/>
    <w:rsid w:val="00A201FD"/>
  </w:style>
  <w:style w:type="paragraph" w:styleId="TOC8">
    <w:name w:val="toc 8"/>
    <w:basedOn w:val="TOC4"/>
    <w:semiHidden/>
    <w:rsid w:val="00A201FD"/>
  </w:style>
  <w:style w:type="paragraph" w:customStyle="1" w:styleId="Rectitle">
    <w:name w:val="Rec_title"/>
    <w:basedOn w:val="Normal"/>
    <w:next w:val="Recref"/>
    <w:rsid w:val="00A201FD"/>
    <w:pPr>
      <w:keepNext/>
      <w:keepLines/>
      <w:spacing w:before="240"/>
      <w:jc w:val="center"/>
    </w:pPr>
    <w:rPr>
      <w:b/>
      <w:sz w:val="28"/>
    </w:rPr>
  </w:style>
  <w:style w:type="paragraph" w:customStyle="1" w:styleId="Annexref">
    <w:name w:val="Annex_ref"/>
    <w:basedOn w:val="Normal"/>
    <w:next w:val="Normalaftertitle"/>
    <w:rsid w:val="00A201FD"/>
    <w:pPr>
      <w:keepNext/>
      <w:keepLines/>
      <w:spacing w:after="280"/>
      <w:jc w:val="center"/>
    </w:pPr>
  </w:style>
  <w:style w:type="paragraph" w:customStyle="1" w:styleId="Appendixref">
    <w:name w:val="Appendix_ref"/>
    <w:basedOn w:val="Annexref"/>
    <w:next w:val="Normalaftertitle"/>
    <w:rsid w:val="00A201FD"/>
  </w:style>
  <w:style w:type="paragraph" w:customStyle="1" w:styleId="Figuretitle">
    <w:name w:val="Figure_title"/>
    <w:basedOn w:val="Normal"/>
    <w:next w:val="Figure"/>
    <w:rsid w:val="00A201F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201FD"/>
    <w:pPr>
      <w:keepNext/>
      <w:spacing w:before="0" w:after="120"/>
      <w:jc w:val="center"/>
    </w:pPr>
    <w:rPr>
      <w:b/>
    </w:rPr>
  </w:style>
  <w:style w:type="paragraph" w:customStyle="1" w:styleId="Summary">
    <w:name w:val="Summary"/>
    <w:basedOn w:val="Normal"/>
    <w:next w:val="Normalaftertitle"/>
    <w:autoRedefine/>
    <w:rsid w:val="00A201FD"/>
    <w:pPr>
      <w:spacing w:after="480"/>
    </w:pPr>
    <w:rPr>
      <w:sz w:val="22"/>
      <w:lang w:val="es-ES_tradnl"/>
    </w:rPr>
  </w:style>
  <w:style w:type="paragraph" w:customStyle="1" w:styleId="TableLegendNote">
    <w:name w:val="Table_Legend_Note"/>
    <w:basedOn w:val="Tablelegend"/>
    <w:next w:val="Tablelegend"/>
    <w:rsid w:val="00A201FD"/>
    <w:pPr>
      <w:ind w:left="-85" w:firstLine="0"/>
    </w:pPr>
    <w:rPr>
      <w:lang w:val="en-US"/>
    </w:rPr>
  </w:style>
  <w:style w:type="paragraph" w:customStyle="1" w:styleId="Figure">
    <w:name w:val="Figure"/>
    <w:basedOn w:val="FigureNo"/>
    <w:next w:val="Normal"/>
    <w:rsid w:val="00A201FD"/>
    <w:pPr>
      <w:keepNext w:val="0"/>
      <w:spacing w:before="0" w:after="240"/>
    </w:pPr>
  </w:style>
  <w:style w:type="character" w:styleId="Hyperlink">
    <w:name w:val="Hyperlink"/>
    <w:basedOn w:val="DefaultParagraphFont"/>
    <w:rsid w:val="00C274C5"/>
    <w:rPr>
      <w:color w:val="0000FF"/>
      <w:u w:val="single"/>
    </w:rPr>
  </w:style>
  <w:style w:type="character" w:customStyle="1" w:styleId="FootnoteTextChar">
    <w:name w:val="Footnote Text Char"/>
    <w:basedOn w:val="DefaultParagraphFont"/>
    <w:link w:val="FootnoteText"/>
    <w:rsid w:val="00C274C5"/>
    <w:rPr>
      <w:sz w:val="22"/>
      <w:lang w:val="fr-FR" w:eastAsia="en-US"/>
    </w:rPr>
  </w:style>
  <w:style w:type="paragraph" w:customStyle="1" w:styleId="Normalaftertitle0">
    <w:name w:val="Normal after title"/>
    <w:basedOn w:val="Normal"/>
    <w:next w:val="Normal"/>
    <w:rsid w:val="00C274C5"/>
    <w:pPr>
      <w:spacing w:before="480"/>
    </w:pPr>
    <w:rPr>
      <w:sz w:val="20"/>
      <w:lang w:val="en-GB" w:eastAsia="zh-CN"/>
    </w:rPr>
  </w:style>
  <w:style w:type="paragraph" w:customStyle="1" w:styleId="call0">
    <w:name w:val="call"/>
    <w:basedOn w:val="Normal"/>
    <w:next w:val="Normal"/>
    <w:rsid w:val="00C274C5"/>
    <w:pPr>
      <w:keepNext/>
      <w:keepLines/>
      <w:tabs>
        <w:tab w:val="clear" w:pos="1191"/>
        <w:tab w:val="clear" w:pos="1588"/>
        <w:tab w:val="clear" w:pos="1985"/>
      </w:tabs>
      <w:spacing w:before="227"/>
      <w:ind w:left="794"/>
      <w:jc w:val="left"/>
    </w:pPr>
    <w:rPr>
      <w:i/>
      <w:iCs/>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ECEDB-C826-416C-996B-849FA46D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181</TotalTime>
  <Pages>5</Pages>
  <Words>1379</Words>
  <Characters>9315</Characters>
  <Application>Microsoft Office Word</Application>
  <DocSecurity>0</DocSecurity>
  <Lines>931</Lines>
  <Paragraphs>381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15</cp:revision>
  <cp:lastPrinted>2015-08-05T12:42:00Z</cp:lastPrinted>
  <dcterms:created xsi:type="dcterms:W3CDTF">2015-08-05T09:33:00Z</dcterms:created>
  <dcterms:modified xsi:type="dcterms:W3CDTF">2015-08-05T12:58:00Z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