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CED" w:rsidRPr="00575CB8" w:rsidRDefault="00227CED" w:rsidP="009E1F8B">
      <w:pPr>
        <w:rPr>
          <w:lang w:val="en-US"/>
        </w:rPr>
      </w:pPr>
      <w:bookmarkStart w:id="0" w:name="dbreak"/>
      <w:bookmarkEnd w:id="0"/>
    </w:p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A13E63" w:rsidTr="009E1F8B">
        <w:tc>
          <w:tcPr>
            <w:tcW w:w="10089" w:type="dxa"/>
          </w:tcPr>
          <w:p w:rsidR="00227CED" w:rsidRPr="0010336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27CED" w:rsidRPr="0010336F" w:rsidRDefault="00227CED" w:rsidP="00A13E6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A13E6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1380-1</w:t>
            </w:r>
          </w:p>
          <w:p w:rsidR="00227CED" w:rsidRPr="0010336F" w:rsidRDefault="00227CED" w:rsidP="00A13E6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A13E6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A13E6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2006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A13E63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27CED" w:rsidRPr="009E1F8B" w:rsidRDefault="00A13E63" w:rsidP="00A13E6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A13E6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Normas para sistemas de codificación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br/>
            </w:r>
            <w:r w:rsidRPr="00A13E6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con reducción de la velocidad binaria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br/>
            </w:r>
            <w:r w:rsidRPr="00A13E6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para televisión convencional</w:t>
            </w:r>
          </w:p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A13E63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227CED" w:rsidRPr="009E1F8B" w:rsidRDefault="009E1F8B" w:rsidP="009E1F8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Servicio de radiodifusión (televisión)</w:t>
            </w:r>
          </w:p>
        </w:tc>
      </w:tr>
    </w:tbl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26666F" w:rsidSect="009E1F8B">
          <w:headerReference w:type="even" r:id="rId9"/>
          <w:headerReference w:type="default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227CED" w:rsidRPr="006C718C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27CED" w:rsidRPr="006C718C" w:rsidRDefault="00227CED" w:rsidP="009E1F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27CED" w:rsidRPr="006C718C" w:rsidRDefault="00227CED" w:rsidP="009E1F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27CED" w:rsidRPr="00021E8A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27CED" w:rsidRPr="00021E8A" w:rsidRDefault="00227CED" w:rsidP="009E1F8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1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227CED" w:rsidRPr="00A13E63" w:rsidTr="009E1F8B">
        <w:tc>
          <w:tcPr>
            <w:tcW w:w="9360" w:type="dxa"/>
            <w:gridSpan w:val="2"/>
          </w:tcPr>
          <w:p w:rsidR="00227CED" w:rsidRPr="00021E8A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27CED" w:rsidRPr="00763D08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 w:rsidR="006818DE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2" w:history="1">
              <w:hyperlink r:id="rId13" w:history="1">
                <w:r w:rsidR="006818DE"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27CED" w:rsidRPr="00036EE3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27CED" w:rsidRPr="00036EE3" w:rsidTr="009E1F8B">
        <w:tc>
          <w:tcPr>
            <w:tcW w:w="1140" w:type="dxa"/>
            <w:tcBorders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227CED" w:rsidRPr="00A13E6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</w:t>
            </w:r>
            <w:r w:rsidR="009E1F8B" w:rsidRPr="009E1F8B">
              <w:rPr>
                <w:b w:val="0"/>
                <w:sz w:val="20"/>
                <w:lang w:val="es-ES_tradnl"/>
              </w:rPr>
              <w:t>ón</w:t>
            </w:r>
            <w:r w:rsidRPr="009E1F8B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227CED" w:rsidRPr="009E1F8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227CED" w:rsidRPr="00A13E6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A13E63" w:rsidTr="009E1F8B">
        <w:tc>
          <w:tcPr>
            <w:tcW w:w="1140" w:type="dxa"/>
            <w:tcBorders>
              <w:top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227CED" w:rsidRPr="00A13E6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27CED" w:rsidRPr="00A13E6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036EE3" w:rsidTr="009E1F8B">
        <w:tc>
          <w:tcPr>
            <w:tcW w:w="114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27CED" w:rsidRPr="00A13E6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27CED" w:rsidRPr="00036EE3" w:rsidRDefault="00227CED" w:rsidP="009E1F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Tr="009E1F8B">
        <w:tc>
          <w:tcPr>
            <w:tcW w:w="720" w:type="dxa"/>
          </w:tcPr>
          <w:p w:rsidR="00227CED" w:rsidRDefault="00227CED" w:rsidP="009E1F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227CED" w:rsidRPr="00A13E63" w:rsidTr="009E1F8B">
        <w:tc>
          <w:tcPr>
            <w:tcW w:w="9360" w:type="dxa"/>
          </w:tcPr>
          <w:p w:rsidR="00227CED" w:rsidRPr="00763D08" w:rsidRDefault="00227CED" w:rsidP="009E1F8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27CED" w:rsidRPr="00763D08" w:rsidRDefault="00227CED" w:rsidP="00954D24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930489">
        <w:rPr>
          <w:sz w:val="20"/>
          <w:lang w:val="es-ES_tradnl"/>
        </w:rPr>
        <w:t>1</w:t>
      </w:r>
      <w:r w:rsidR="00954D24">
        <w:rPr>
          <w:sz w:val="20"/>
          <w:lang w:val="es-ES_tradnl"/>
        </w:rPr>
        <w:t>1</w:t>
      </w:r>
    </w:p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54D24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30489">
        <w:rPr>
          <w:sz w:val="20"/>
          <w:lang w:val="es-ES_tradnl"/>
        </w:rPr>
        <w:t>1</w:t>
      </w:r>
      <w:r w:rsidR="00954D24">
        <w:rPr>
          <w:sz w:val="20"/>
          <w:lang w:val="es-ES_tradnl"/>
        </w:rPr>
        <w:t>1</w:t>
      </w:r>
    </w:p>
    <w:p w:rsidR="00227CED" w:rsidRPr="006C718C" w:rsidRDefault="00227CED" w:rsidP="009E1F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27CED" w:rsidRPr="006C718C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6C718C" w:rsidSect="009E1F8B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F77F28" w:rsidRDefault="00A13E63" w:rsidP="00A13E63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BT.1380-1</w:t>
      </w:r>
    </w:p>
    <w:p w:rsidR="00A13E63" w:rsidRPr="00A13E63" w:rsidRDefault="00A13E63" w:rsidP="000E403C">
      <w:pPr>
        <w:pStyle w:val="Rectitle"/>
        <w:rPr>
          <w:lang w:val="es-ES_tradnl"/>
        </w:rPr>
      </w:pPr>
      <w:r w:rsidRPr="00A13E63">
        <w:rPr>
          <w:lang w:val="es-ES_tradnl"/>
        </w:rPr>
        <w:t>Normas para sistemas de codificación con reducción de la</w:t>
      </w:r>
      <w:r w:rsidRPr="00A13E63">
        <w:rPr>
          <w:lang w:val="es-ES_tradnl"/>
        </w:rPr>
        <w:br/>
        <w:t>velocidad binaria para televisión convencional</w:t>
      </w:r>
      <w:r w:rsidR="000E403C">
        <w:rPr>
          <w:rStyle w:val="FootnoteReference"/>
          <w:lang w:val="es-ES_tradnl"/>
        </w:rPr>
        <w:footnoteReference w:customMarkFollows="1" w:id="1"/>
        <w:t>*</w:t>
      </w:r>
      <w:r w:rsidR="000E403C" w:rsidRPr="000E403C">
        <w:rPr>
          <w:rFonts w:ascii="Times New Roman Bold" w:hAnsi="Times New Roman Bold" w:cs="Times New Roman Bold"/>
          <w:bCs/>
          <w:position w:val="10"/>
          <w:sz w:val="18"/>
          <w:lang w:val="es-ES_tradnl"/>
        </w:rPr>
        <w:t xml:space="preserve">, </w:t>
      </w:r>
      <w:r w:rsidR="000E403C">
        <w:rPr>
          <w:rStyle w:val="FootnoteReference"/>
          <w:lang w:val="es-ES_tradnl"/>
        </w:rPr>
        <w:footnoteReference w:customMarkFollows="1" w:id="2"/>
        <w:t>**</w:t>
      </w:r>
    </w:p>
    <w:p w:rsidR="00A13E63" w:rsidRPr="00A13E63" w:rsidRDefault="00A13E63" w:rsidP="000E403C">
      <w:pPr>
        <w:pStyle w:val="Recref"/>
        <w:rPr>
          <w:lang w:val="es-ES_tradnl"/>
        </w:rPr>
      </w:pPr>
      <w:r w:rsidRPr="00A13E63">
        <w:rPr>
          <w:lang w:val="es-ES_tradnl"/>
        </w:rPr>
        <w:t>(Cuestión UIT-R 12/6)</w:t>
      </w:r>
    </w:p>
    <w:p w:rsidR="00A13E63" w:rsidRPr="00A13E63" w:rsidRDefault="00A13E63" w:rsidP="000E403C">
      <w:pPr>
        <w:pStyle w:val="Recdate"/>
        <w:rPr>
          <w:lang w:val="es-ES_tradnl"/>
        </w:rPr>
      </w:pPr>
    </w:p>
    <w:p w:rsidR="00A13E63" w:rsidRPr="00A13E63" w:rsidRDefault="00A13E63" w:rsidP="000E403C">
      <w:pPr>
        <w:pStyle w:val="Recdate"/>
        <w:rPr>
          <w:lang w:val="es-ES_tradnl"/>
        </w:rPr>
      </w:pPr>
      <w:r w:rsidRPr="00A13E63">
        <w:rPr>
          <w:lang w:val="es-ES_tradnl"/>
        </w:rPr>
        <w:t>(1998-2006)</w:t>
      </w:r>
    </w:p>
    <w:p w:rsidR="00827F07" w:rsidRDefault="00827F07" w:rsidP="00827F07"/>
    <w:p w:rsidR="00A13E63" w:rsidRPr="000E403C" w:rsidRDefault="00A13E63" w:rsidP="000E403C">
      <w:pPr>
        <w:pStyle w:val="HeadingSum"/>
        <w:rPr>
          <w:sz w:val="24"/>
        </w:rPr>
      </w:pPr>
      <w:r w:rsidRPr="000E403C">
        <w:rPr>
          <w:sz w:val="24"/>
        </w:rPr>
        <w:t>Cometido</w:t>
      </w:r>
    </w:p>
    <w:p w:rsidR="00A13E63" w:rsidRPr="000E403C" w:rsidRDefault="00A13E63" w:rsidP="000E403C">
      <w:pPr>
        <w:pStyle w:val="Summary"/>
        <w:rPr>
          <w:sz w:val="24"/>
        </w:rPr>
      </w:pPr>
      <w:r w:rsidRPr="000E403C">
        <w:rPr>
          <w:sz w:val="24"/>
        </w:rPr>
        <w:t>Esta Recomendación abarca la implementación de las Recomendaciones UIT-T H.262 (MPEG</w:t>
      </w:r>
      <w:r w:rsidRPr="000E403C">
        <w:rPr>
          <w:sz w:val="24"/>
        </w:rPr>
        <w:noBreakHyphen/>
        <w:t>2 Vídeo) y H.264 (MPEG-4 AVC), que proporcionan una selección de sistemas de codificación de fuente de vídeo para una serie de aplicaciones de radiodifusión de televisión digital convencional (SDTV).</w:t>
      </w:r>
    </w:p>
    <w:p w:rsidR="00A13E63" w:rsidRPr="00A13E63" w:rsidRDefault="00A13E63" w:rsidP="000E403C">
      <w:pPr>
        <w:pStyle w:val="Normalaftertitle"/>
        <w:rPr>
          <w:lang w:val="es-ES_tradnl"/>
        </w:rPr>
      </w:pPr>
      <w:r w:rsidRPr="00A13E63">
        <w:rPr>
          <w:lang w:val="es-ES_tradnl"/>
        </w:rPr>
        <w:t xml:space="preserve">La Asamblea de Radiocomunicaciones de la UIT, </w:t>
      </w:r>
    </w:p>
    <w:p w:rsidR="00A13E63" w:rsidRPr="00A13E63" w:rsidRDefault="00A13E63" w:rsidP="000E403C">
      <w:pPr>
        <w:pStyle w:val="Call"/>
        <w:rPr>
          <w:lang w:val="es-ES_tradnl"/>
        </w:rPr>
      </w:pPr>
      <w:r w:rsidRPr="00A13E63">
        <w:rPr>
          <w:lang w:val="es-ES_tradnl"/>
        </w:rPr>
        <w:t xml:space="preserve">considerando </w:t>
      </w:r>
    </w:p>
    <w:p w:rsidR="00A13E63" w:rsidRPr="00A13E63" w:rsidRDefault="00A13E63" w:rsidP="00A13E63">
      <w:pPr>
        <w:rPr>
          <w:lang w:val="es-ES_tradnl"/>
        </w:rPr>
      </w:pPr>
      <w:r w:rsidRPr="00A13E63">
        <w:rPr>
          <w:lang w:val="es-ES_tradnl"/>
        </w:rPr>
        <w:t>a)</w:t>
      </w:r>
      <w:r w:rsidRPr="00A13E63">
        <w:rPr>
          <w:lang w:val="es-ES_tradnl"/>
        </w:rPr>
        <w:tab/>
        <w:t>el rápido progreso que han experimentado las técnicas de codificación con reducción de la velocidad binaria;</w:t>
      </w:r>
    </w:p>
    <w:p w:rsidR="00A13E63" w:rsidRPr="00A13E63" w:rsidRDefault="00A13E63" w:rsidP="000E403C">
      <w:pPr>
        <w:rPr>
          <w:lang w:val="es-ES_tradnl"/>
        </w:rPr>
      </w:pPr>
      <w:r w:rsidRPr="00A13E63">
        <w:rPr>
          <w:lang w:val="es-ES_tradnl"/>
        </w:rPr>
        <w:t>b)</w:t>
      </w:r>
      <w:r w:rsidRPr="00A13E63">
        <w:rPr>
          <w:lang w:val="es-ES_tradnl"/>
        </w:rPr>
        <w:tab/>
        <w:t>que la codificación con reducción de la velocidad binaria de señales digitales de televisión convencional (SDTV) ha redundado en amplias aplicaciones para las transmisiones terrenales y por satélite, el periodismo por satélite (SNG)</w:t>
      </w:r>
      <w:r w:rsidR="000E403C">
        <w:rPr>
          <w:rStyle w:val="FootnoteReference"/>
          <w:lang w:val="es-ES_tradnl"/>
        </w:rPr>
        <w:footnoteReference w:id="3"/>
      </w:r>
      <w:r w:rsidRPr="00A13E63">
        <w:rPr>
          <w:lang w:val="es-ES_tradnl"/>
        </w:rPr>
        <w:t>/el periodismo electrónico (ENG)</w:t>
      </w:r>
      <w:r w:rsidR="000E403C">
        <w:rPr>
          <w:rStyle w:val="FootnoteReference"/>
          <w:lang w:val="es-ES_tradnl"/>
        </w:rPr>
        <w:footnoteReference w:id="4"/>
      </w:r>
      <w:r w:rsidRPr="00A13E63">
        <w:rPr>
          <w:lang w:val="es-ES_tradnl"/>
        </w:rPr>
        <w:t>, la contribución y la distribución primaria y secundaria por redes de telecomunicaciones y por redes de cable;</w:t>
      </w:r>
    </w:p>
    <w:p w:rsidR="00A13E63" w:rsidRPr="00A13E63" w:rsidRDefault="00A13E63" w:rsidP="00A13E63">
      <w:pPr>
        <w:rPr>
          <w:lang w:val="es-ES_tradnl"/>
        </w:rPr>
      </w:pPr>
      <w:r w:rsidRPr="00A13E63">
        <w:rPr>
          <w:lang w:val="es-ES_tradnl"/>
        </w:rPr>
        <w:t>c)</w:t>
      </w:r>
      <w:r w:rsidRPr="00A13E63">
        <w:rPr>
          <w:lang w:val="es-ES_tradnl"/>
        </w:rPr>
        <w:tab/>
        <w:t>que varias Comisiones de Estudio de Radiocomunicaciones están examinando la utilización de codificación con reducción de la velocidad binaria en diversas aplicaciones;</w:t>
      </w:r>
    </w:p>
    <w:p w:rsidR="00A13E63" w:rsidRPr="00A13E63" w:rsidRDefault="00A13E63" w:rsidP="00A13E63">
      <w:pPr>
        <w:rPr>
          <w:lang w:val="es-ES_tradnl"/>
        </w:rPr>
      </w:pPr>
      <w:r w:rsidRPr="00A13E63">
        <w:rPr>
          <w:lang w:val="es-ES_tradnl"/>
        </w:rPr>
        <w:t>d)</w:t>
      </w:r>
      <w:r w:rsidRPr="00A13E63">
        <w:rPr>
          <w:lang w:val="es-ES_tradnl"/>
        </w:rPr>
        <w:tab/>
        <w:t xml:space="preserve">que se han creado Recomendaciones del UIT-R sobre requisitos de usuario para las </w:t>
      </w:r>
      <w:bookmarkStart w:id="4" w:name="_GoBack"/>
      <w:bookmarkEnd w:id="4"/>
      <w:r w:rsidRPr="00A13E63">
        <w:rPr>
          <w:lang w:val="es-ES_tradnl"/>
        </w:rPr>
        <w:t>transmisiones terrenales y por satélite, para la contribución, la distribución primaria y secundaria por redes de telecomunicaciones y por redes de cable;</w:t>
      </w:r>
    </w:p>
    <w:p w:rsidR="00A13E63" w:rsidRPr="00A13E63" w:rsidRDefault="00A13E63" w:rsidP="00A13E63">
      <w:pPr>
        <w:rPr>
          <w:lang w:val="es-ES_tradnl"/>
        </w:rPr>
      </w:pPr>
      <w:r w:rsidRPr="00A13E63">
        <w:rPr>
          <w:lang w:val="es-ES_tradnl"/>
        </w:rPr>
        <w:t>e)</w:t>
      </w:r>
      <w:r w:rsidRPr="00A13E63">
        <w:rPr>
          <w:lang w:val="es-ES_tradnl"/>
        </w:rPr>
        <w:tab/>
        <w:t>que se ha preparado la Recomendación UIT-R BT.1203, la cual establece los requisitos de usuario aplicables a la codificación genérica con reducción de la velocidad binaria para un sistema de televisión de extremo a extremo ((SNG)/ENG), contribución, distribución primaria y secundaria, emisión y aplicaciones conexas);</w:t>
      </w:r>
    </w:p>
    <w:p w:rsidR="00A13E63" w:rsidRPr="00A13E63" w:rsidRDefault="00A13E63" w:rsidP="00827F07">
      <w:pPr>
        <w:keepLines/>
        <w:rPr>
          <w:lang w:val="es-ES_tradnl"/>
        </w:rPr>
      </w:pPr>
      <w:r w:rsidRPr="00A13E63">
        <w:rPr>
          <w:lang w:val="es-ES_tradnl"/>
        </w:rPr>
        <w:lastRenderedPageBreak/>
        <w:t>f)</w:t>
      </w:r>
      <w:r w:rsidRPr="00A13E63">
        <w:rPr>
          <w:lang w:val="es-ES_tradnl"/>
        </w:rPr>
        <w:tab/>
        <w:t>que la Recomendación UIT-T H.264 (MPEG-4 AVC) ofrece un juego de herramientas de compresión más amplio y una compresión más eficientes que los de la Recomendación UIT-T H.262 (MPEG-2 Vídeo), y que en el caso de ciertas aplicaciones puede proporcionar una selección superior, por ofrecer una mayor profundidad en píxeles, a la que brinda la Recomendación UIT</w:t>
      </w:r>
      <w:r w:rsidRPr="00A13E63">
        <w:rPr>
          <w:lang w:val="es-ES_tradnl"/>
        </w:rPr>
        <w:noBreakHyphen/>
        <w:t xml:space="preserve">T H.262, así como una eficiencia de codificación mejorada, </w:t>
      </w:r>
    </w:p>
    <w:p w:rsidR="00A13E63" w:rsidRPr="00A13E63" w:rsidRDefault="00A13E63" w:rsidP="000E403C">
      <w:pPr>
        <w:pStyle w:val="Call"/>
        <w:rPr>
          <w:lang w:val="es-ES_tradnl"/>
        </w:rPr>
      </w:pPr>
      <w:r w:rsidRPr="00A13E63">
        <w:rPr>
          <w:lang w:val="es-ES_tradnl"/>
        </w:rPr>
        <w:t>recomienda</w:t>
      </w:r>
    </w:p>
    <w:p w:rsidR="00A13E63" w:rsidRPr="00A13E63" w:rsidRDefault="00A13E63" w:rsidP="00A13E63">
      <w:pPr>
        <w:rPr>
          <w:lang w:val="es-ES_tradnl"/>
        </w:rPr>
      </w:pPr>
      <w:r w:rsidRPr="00A13E63">
        <w:rPr>
          <w:b/>
          <w:lang w:val="es-ES_tradnl"/>
        </w:rPr>
        <w:t>1</w:t>
      </w:r>
      <w:r w:rsidRPr="00A13E63">
        <w:rPr>
          <w:lang w:val="es-ES_tradnl"/>
        </w:rPr>
        <w:tab/>
        <w:t>que tratándose de la aplicación de la Recomendación UIT-T H.262, se utilicen preferiblemente los siguientes perfiles y niveles, en lo que concierne respectivamente al SNG/ENG, la contribución, la producción en el estudio, la distribución primaria y secundaria, y a la emisión  de señales digitales de televisión convencional por entrega terrenal y de satélite;</w:t>
      </w:r>
    </w:p>
    <w:p w:rsidR="00A13E63" w:rsidRPr="00777778" w:rsidRDefault="00A13E63" w:rsidP="000E403C">
      <w:pPr>
        <w:pStyle w:val="Blanc"/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360"/>
        <w:gridCol w:w="1474"/>
        <w:gridCol w:w="1525"/>
        <w:gridCol w:w="1559"/>
        <w:gridCol w:w="1134"/>
        <w:gridCol w:w="1226"/>
        <w:gridCol w:w="1361"/>
      </w:tblGrid>
      <w:tr w:rsidR="00A13E63" w:rsidRPr="00A13E63" w:rsidTr="000E403C">
        <w:trPr>
          <w:jc w:val="center"/>
        </w:trPr>
        <w:tc>
          <w:tcPr>
            <w:tcW w:w="1360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SNG/ENG</w:t>
            </w:r>
          </w:p>
        </w:tc>
        <w:tc>
          <w:tcPr>
            <w:tcW w:w="1474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Contribución</w:t>
            </w:r>
          </w:p>
        </w:tc>
        <w:tc>
          <w:tcPr>
            <w:tcW w:w="1525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Producción en estudios</w:t>
            </w:r>
          </w:p>
        </w:tc>
        <w:tc>
          <w:tcPr>
            <w:tcW w:w="1559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Distribución primaria</w:t>
            </w:r>
          </w:p>
        </w:tc>
        <w:tc>
          <w:tcPr>
            <w:tcW w:w="1134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Emisión terrenal</w:t>
            </w:r>
          </w:p>
        </w:tc>
        <w:tc>
          <w:tcPr>
            <w:tcW w:w="1226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Emisión satelital</w:t>
            </w:r>
          </w:p>
        </w:tc>
        <w:tc>
          <w:tcPr>
            <w:tcW w:w="1361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Distribución secundaria</w:t>
            </w:r>
          </w:p>
        </w:tc>
      </w:tr>
      <w:tr w:rsidR="00A13E63" w:rsidRPr="00A13E63" w:rsidTr="000E403C">
        <w:trPr>
          <w:jc w:val="center"/>
        </w:trPr>
        <w:tc>
          <w:tcPr>
            <w:tcW w:w="1360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MP@ML</w:t>
            </w:r>
          </w:p>
        </w:tc>
        <w:tc>
          <w:tcPr>
            <w:tcW w:w="1474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  <w:rPr>
                <w:vertAlign w:val="superscript"/>
              </w:rPr>
            </w:pPr>
            <w:r w:rsidRPr="00A13E63">
              <w:t>422P@ML</w:t>
            </w:r>
            <w:r w:rsidRPr="00A13E63">
              <w:rPr>
                <w:vertAlign w:val="superscript"/>
              </w:rPr>
              <w:t>(1)</w:t>
            </w:r>
          </w:p>
          <w:p w:rsidR="00A13E63" w:rsidRPr="00A13E63" w:rsidRDefault="00A13E63" w:rsidP="00777778">
            <w:pPr>
              <w:pStyle w:val="Tabletext"/>
              <w:jc w:val="center"/>
            </w:pPr>
          </w:p>
        </w:tc>
        <w:tc>
          <w:tcPr>
            <w:tcW w:w="1525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422P@ML</w:t>
            </w:r>
            <w:r w:rsidRPr="00A13E63">
              <w:rPr>
                <w:vertAlign w:val="superscript"/>
              </w:rPr>
              <w:t>(2)</w:t>
            </w:r>
            <w:r w:rsidRPr="00A13E63">
              <w:rPr>
                <w:vertAlign w:val="superscript"/>
              </w:rPr>
              <w:br/>
            </w:r>
          </w:p>
        </w:tc>
        <w:tc>
          <w:tcPr>
            <w:tcW w:w="1559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422P@ML</w:t>
            </w:r>
            <w:r w:rsidRPr="00A13E63">
              <w:rPr>
                <w:vertAlign w:val="superscript"/>
              </w:rPr>
              <w:t>(1)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MP@ML</w:t>
            </w:r>
          </w:p>
        </w:tc>
        <w:tc>
          <w:tcPr>
            <w:tcW w:w="1226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MP@ML</w:t>
            </w:r>
          </w:p>
        </w:tc>
        <w:tc>
          <w:tcPr>
            <w:tcW w:w="1361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MP@ML</w:t>
            </w:r>
          </w:p>
        </w:tc>
      </w:tr>
      <w:tr w:rsidR="00A13E63" w:rsidRPr="00A13E63" w:rsidTr="000E403C">
        <w:trPr>
          <w:jc w:val="center"/>
        </w:trPr>
        <w:tc>
          <w:tcPr>
            <w:tcW w:w="9639" w:type="dxa"/>
            <w:gridSpan w:val="7"/>
            <w:tcBorders>
              <w:left w:val="nil"/>
              <w:bottom w:val="nil"/>
              <w:right w:val="nil"/>
            </w:tcBorders>
          </w:tcPr>
          <w:p w:rsidR="00A13E63" w:rsidRPr="00777778" w:rsidRDefault="00A13E63" w:rsidP="00777778">
            <w:pPr>
              <w:pStyle w:val="TableLegendNote"/>
              <w:rPr>
                <w:lang w:val="es-ES_tradnl"/>
              </w:rPr>
            </w:pPr>
            <w:r w:rsidRPr="00777778">
              <w:rPr>
                <w:lang w:val="es-ES_tradnl"/>
              </w:rPr>
              <w:t>NOTA</w:t>
            </w:r>
            <w:r w:rsidR="00777778" w:rsidRPr="00777778">
              <w:rPr>
                <w:lang w:val="es-ES_tradnl"/>
              </w:rPr>
              <w:t> </w:t>
            </w:r>
            <w:r w:rsidRPr="00777778">
              <w:rPr>
                <w:lang w:val="es-ES_tradnl"/>
              </w:rPr>
              <w:t>–</w:t>
            </w:r>
            <w:r w:rsidR="00777778" w:rsidRPr="00777778">
              <w:rPr>
                <w:lang w:val="es-ES_tradnl"/>
              </w:rPr>
              <w:t> </w:t>
            </w:r>
            <w:r w:rsidRPr="00777778">
              <w:rPr>
                <w:lang w:val="es-ES_tradnl"/>
              </w:rPr>
              <w:t>Para la producción en estudio podría utilizarse también la codificación basada</w:t>
            </w:r>
            <w:r w:rsidRPr="00777778">
              <w:rPr>
                <w:vertAlign w:val="superscript"/>
                <w:lang w:val="es-ES_tradnl"/>
              </w:rPr>
              <w:t>(3)</w:t>
            </w:r>
            <w:r w:rsidRPr="00777778">
              <w:rPr>
                <w:lang w:val="es-ES_tradnl"/>
              </w:rPr>
              <w:t xml:space="preserve"> en DV.</w:t>
            </w:r>
          </w:p>
          <w:p w:rsidR="00A13E63" w:rsidRPr="00A13E63" w:rsidRDefault="00A13E63" w:rsidP="00777778">
            <w:pPr>
              <w:pStyle w:val="Tablelegend"/>
              <w:rPr>
                <w:lang w:val="es-ES_tradnl"/>
              </w:rPr>
            </w:pPr>
            <w:r w:rsidRPr="00A13E63">
              <w:rPr>
                <w:vertAlign w:val="superscript"/>
                <w:lang w:val="es-ES_tradnl"/>
              </w:rPr>
              <w:t>(1)</w:t>
            </w:r>
            <w:r w:rsidRPr="00A13E63">
              <w:rPr>
                <w:lang w:val="es-ES_tradnl"/>
              </w:rPr>
              <w:tab/>
              <w:t>Tomado de la Recomendación UIT-T J.89.</w:t>
            </w:r>
          </w:p>
          <w:p w:rsidR="00A13E63" w:rsidRPr="00A13E63" w:rsidRDefault="00A13E63" w:rsidP="00777778">
            <w:pPr>
              <w:pStyle w:val="Tablelegend"/>
              <w:rPr>
                <w:lang w:val="es-ES_tradnl"/>
              </w:rPr>
            </w:pPr>
            <w:r w:rsidRPr="00A13E63">
              <w:rPr>
                <w:vertAlign w:val="superscript"/>
                <w:lang w:val="es-ES_tradnl"/>
              </w:rPr>
              <w:t>(2)</w:t>
            </w:r>
            <w:r w:rsidRPr="00A13E63">
              <w:rPr>
                <w:lang w:val="es-ES_tradnl"/>
              </w:rPr>
              <w:tab/>
              <w:t>Velocidad binaria limitada a 50 Mbit/s, tomada de la Recomendación UIT-R BR.1376.</w:t>
            </w:r>
          </w:p>
          <w:p w:rsidR="00A13E63" w:rsidRPr="00A13E63" w:rsidDel="008240A4" w:rsidRDefault="00A13E63" w:rsidP="00777778">
            <w:pPr>
              <w:pStyle w:val="Tablelegend"/>
              <w:rPr>
                <w:lang w:val="es-ES_tradnl"/>
              </w:rPr>
            </w:pPr>
            <w:r w:rsidRPr="00A13E63">
              <w:rPr>
                <w:vertAlign w:val="superscript"/>
                <w:lang w:val="es-ES_tradnl"/>
              </w:rPr>
              <w:t>(3)</w:t>
            </w:r>
            <w:r w:rsidRPr="00A13E63">
              <w:rPr>
                <w:lang w:val="es-ES_tradnl"/>
              </w:rPr>
              <w:tab/>
              <w:t>Velocidad binaria limitada a 25 Mbit/s sea para estructura de muestreo 4:2:0 ó 4:1:1 y a 50 Mbit/s para estructura de muestreo de 4:2:2, tomada de la Recomendación UIT-R BR.1376.</w:t>
            </w:r>
          </w:p>
        </w:tc>
      </w:tr>
    </w:tbl>
    <w:p w:rsidR="00A13E63" w:rsidRPr="00A13E63" w:rsidRDefault="00A13E63" w:rsidP="00777778">
      <w:pPr>
        <w:pStyle w:val="Tablefin"/>
      </w:pPr>
    </w:p>
    <w:p w:rsidR="00A13E63" w:rsidRPr="00A13E63" w:rsidRDefault="00A13E63" w:rsidP="00A13E63">
      <w:pPr>
        <w:rPr>
          <w:lang w:val="es-ES_tradnl"/>
        </w:rPr>
      </w:pPr>
      <w:r w:rsidRPr="00A13E63">
        <w:rPr>
          <w:b/>
          <w:lang w:val="es-ES_tradnl"/>
        </w:rPr>
        <w:t>2</w:t>
      </w:r>
      <w:r w:rsidRPr="00A13E63">
        <w:rPr>
          <w:lang w:val="es-ES_tradnl"/>
        </w:rPr>
        <w:tab/>
        <w:t>tratándose de la aplicación de la Recomendación UIT-T H.264, deberían utilizarse preferiblemente los siguientes perfiles y niveles en lo que concierne respectivamente al SNG, ENG, la contribución, la producción en estudio, la distribución primaria y secundaria, y a la SDTV por entrega terrenal y de satélite;</w:t>
      </w:r>
    </w:p>
    <w:p w:rsidR="00A13E63" w:rsidRPr="00A13E63" w:rsidRDefault="00A13E63" w:rsidP="00777778">
      <w:pPr>
        <w:pStyle w:val="Blanc"/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377"/>
        <w:gridCol w:w="1457"/>
        <w:gridCol w:w="1297"/>
        <w:gridCol w:w="1377"/>
        <w:gridCol w:w="1377"/>
        <w:gridCol w:w="1377"/>
        <w:gridCol w:w="1377"/>
      </w:tblGrid>
      <w:tr w:rsidR="00A13E63" w:rsidRPr="00A13E63" w:rsidTr="000E403C">
        <w:trPr>
          <w:cantSplit/>
          <w:jc w:val="center"/>
        </w:trPr>
        <w:tc>
          <w:tcPr>
            <w:tcW w:w="1361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SNG/ENG</w:t>
            </w:r>
          </w:p>
        </w:tc>
        <w:tc>
          <w:tcPr>
            <w:tcW w:w="1440" w:type="dxa"/>
            <w:tcMar>
              <w:left w:w="57" w:type="dxa"/>
              <w:right w:w="57" w:type="dxa"/>
            </w:tcMar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Contribución</w:t>
            </w:r>
          </w:p>
        </w:tc>
        <w:tc>
          <w:tcPr>
            <w:tcW w:w="1282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Producción en estudios</w:t>
            </w:r>
          </w:p>
        </w:tc>
        <w:tc>
          <w:tcPr>
            <w:tcW w:w="1361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Distribución primaria</w:t>
            </w:r>
          </w:p>
        </w:tc>
        <w:tc>
          <w:tcPr>
            <w:tcW w:w="1361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Emisión terrenal</w:t>
            </w:r>
          </w:p>
        </w:tc>
        <w:tc>
          <w:tcPr>
            <w:tcW w:w="1361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Emisión satelital</w:t>
            </w:r>
          </w:p>
        </w:tc>
        <w:tc>
          <w:tcPr>
            <w:tcW w:w="1361" w:type="dxa"/>
          </w:tcPr>
          <w:p w:rsidR="00A13E63" w:rsidRPr="00A13E63" w:rsidRDefault="00A13E63" w:rsidP="00777778">
            <w:pPr>
              <w:pStyle w:val="Tablehead"/>
              <w:ind w:left="-57" w:right="-57"/>
            </w:pPr>
            <w:r w:rsidRPr="00A13E63">
              <w:t>Distribución secundaria</w:t>
            </w:r>
          </w:p>
        </w:tc>
      </w:tr>
      <w:tr w:rsidR="00A13E63" w:rsidRPr="00A13E63" w:rsidTr="000E403C">
        <w:trPr>
          <w:cantSplit/>
          <w:jc w:val="center"/>
        </w:trPr>
        <w:tc>
          <w:tcPr>
            <w:tcW w:w="1361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Nivel 3/</w:t>
            </w:r>
            <w:r w:rsidRPr="00A13E63">
              <w:br/>
              <w:t>altura 10</w:t>
            </w:r>
          </w:p>
        </w:tc>
        <w:tc>
          <w:tcPr>
            <w:tcW w:w="1440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Nivel 3/</w:t>
            </w:r>
            <w:r w:rsidRPr="00A13E63">
              <w:br/>
              <w:t>altura 4:2:2</w:t>
            </w:r>
          </w:p>
        </w:tc>
        <w:tc>
          <w:tcPr>
            <w:tcW w:w="1282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Nivel 3/</w:t>
            </w:r>
            <w:r w:rsidRPr="00A13E63">
              <w:br/>
              <w:t>altura 4:2:2</w:t>
            </w:r>
          </w:p>
        </w:tc>
        <w:tc>
          <w:tcPr>
            <w:tcW w:w="1361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</w:pPr>
            <w:r w:rsidRPr="00A13E63">
              <w:t>Nivel 3/</w:t>
            </w:r>
            <w:r w:rsidRPr="00A13E63">
              <w:br/>
              <w:t>altura 4:2:2</w:t>
            </w:r>
          </w:p>
        </w:tc>
        <w:tc>
          <w:tcPr>
            <w:tcW w:w="1361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  <w:rPr>
                <w:lang w:val="en-GB"/>
              </w:rPr>
            </w:pPr>
            <w:r w:rsidRPr="00A13E63">
              <w:t>Nivel 3/</w:t>
            </w:r>
            <w:r w:rsidRPr="00A13E63">
              <w:br/>
              <w:t>principal</w:t>
            </w:r>
            <w:r w:rsidRPr="00A13E63">
              <w:rPr>
                <w:vertAlign w:val="superscript"/>
              </w:rPr>
              <w:t>(1)</w:t>
            </w:r>
          </w:p>
        </w:tc>
        <w:tc>
          <w:tcPr>
            <w:tcW w:w="1361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  <w:rPr>
                <w:lang w:val="en-GB"/>
              </w:rPr>
            </w:pPr>
            <w:r w:rsidRPr="00A13E63">
              <w:t>Nivel 3/</w:t>
            </w:r>
            <w:r w:rsidRPr="00A13E63">
              <w:br/>
              <w:t>principal</w:t>
            </w:r>
          </w:p>
        </w:tc>
        <w:tc>
          <w:tcPr>
            <w:tcW w:w="1361" w:type="dxa"/>
            <w:tcBorders>
              <w:bottom w:val="single" w:sz="6" w:space="0" w:color="auto"/>
            </w:tcBorders>
          </w:tcPr>
          <w:p w:rsidR="00A13E63" w:rsidRPr="00A13E63" w:rsidRDefault="00A13E63" w:rsidP="00777778">
            <w:pPr>
              <w:pStyle w:val="Tabletext"/>
              <w:jc w:val="center"/>
              <w:rPr>
                <w:lang w:val="en-GB"/>
              </w:rPr>
            </w:pPr>
            <w:r w:rsidRPr="00A13E63">
              <w:t>Nivel 3/</w:t>
            </w:r>
            <w:r w:rsidRPr="00A13E63">
              <w:br/>
              <w:t>principal</w:t>
            </w:r>
          </w:p>
        </w:tc>
      </w:tr>
      <w:tr w:rsidR="00A13E63" w:rsidRPr="00A13E63" w:rsidTr="000E403C">
        <w:trPr>
          <w:cantSplit/>
          <w:jc w:val="center"/>
        </w:trPr>
        <w:tc>
          <w:tcPr>
            <w:tcW w:w="9527" w:type="dxa"/>
            <w:gridSpan w:val="7"/>
            <w:tcBorders>
              <w:left w:val="nil"/>
              <w:bottom w:val="nil"/>
              <w:right w:val="nil"/>
            </w:tcBorders>
          </w:tcPr>
          <w:p w:rsidR="00A13E63" w:rsidRPr="00A13E63" w:rsidRDefault="00A13E63" w:rsidP="00777778">
            <w:pPr>
              <w:pStyle w:val="Tablelegend"/>
              <w:rPr>
                <w:lang w:val="es-ES_tradnl"/>
              </w:rPr>
            </w:pPr>
            <w:r w:rsidRPr="00A13E63">
              <w:rPr>
                <w:vertAlign w:val="superscript"/>
                <w:lang w:val="es-ES_tradnl"/>
              </w:rPr>
              <w:t>(1)</w:t>
            </w:r>
            <w:r w:rsidRPr="00A13E63">
              <w:rPr>
                <w:vertAlign w:val="superscript"/>
                <w:lang w:val="es-ES_tradnl"/>
              </w:rPr>
              <w:tab/>
            </w:r>
            <w:r w:rsidRPr="00A13E63">
              <w:rPr>
                <w:lang w:val="es-ES_tradnl"/>
              </w:rPr>
              <w:t>Algunas administraciones han seleccionado ya este perfil principal para su aplicación.</w:t>
            </w:r>
          </w:p>
        </w:tc>
      </w:tr>
    </w:tbl>
    <w:p w:rsidR="00A13E63" w:rsidRPr="00A13E63" w:rsidRDefault="00A13E63" w:rsidP="00777778">
      <w:pPr>
        <w:pStyle w:val="Tablefin"/>
      </w:pPr>
    </w:p>
    <w:p w:rsidR="00A13E63" w:rsidRPr="00A13E63" w:rsidRDefault="00A13E63" w:rsidP="00A13E63">
      <w:pPr>
        <w:rPr>
          <w:lang w:val="es-ES_tradnl"/>
        </w:rPr>
      </w:pPr>
      <w:r w:rsidRPr="00A13E63">
        <w:rPr>
          <w:lang w:val="es-ES_tradnl"/>
        </w:rPr>
        <w:t>NOTA 1 – La selección entre la Recomendación UIT</w:t>
      </w:r>
      <w:r w:rsidRPr="00A13E63">
        <w:rPr>
          <w:lang w:val="es-ES_tradnl"/>
        </w:rPr>
        <w:noBreakHyphen/>
        <w:t>T H.262 y la Recomendación UIT-T H.264 en lo que respecta al método de codificación de fuente que utilice cada administración, dependerá de una serie de consideraciones; entre otras, la interoperabilidad con el equipo heredado, el eficiente uso de la velocidad binaria disponible en el canal de entrega y la armonización con los métodos de codificación de fuente adoptados por las administraciones vecinas en lo que atañe a los canales de radiodifusión digital terrenal y por satélite.</w:t>
      </w:r>
    </w:p>
    <w:p w:rsidR="00A13E63" w:rsidRDefault="00A13E63" w:rsidP="00A13E63">
      <w:pPr>
        <w:rPr>
          <w:lang w:val="es-ES_tradnl"/>
        </w:rPr>
      </w:pPr>
      <w:r w:rsidRPr="00A13E63">
        <w:rPr>
          <w:i/>
          <w:lang w:val="es-ES_tradnl"/>
        </w:rPr>
        <w:t>N</w:t>
      </w:r>
      <w:r w:rsidR="00777778" w:rsidRPr="00A13E63">
        <w:rPr>
          <w:i/>
          <w:lang w:val="es-ES_tradnl"/>
        </w:rPr>
        <w:t>ota</w:t>
      </w:r>
      <w:r w:rsidRPr="00A13E63">
        <w:rPr>
          <w:i/>
          <w:lang w:val="es-ES_tradnl"/>
        </w:rPr>
        <w:t xml:space="preserve"> de la Secretaría</w:t>
      </w:r>
      <w:r w:rsidRPr="00A13E63">
        <w:rPr>
          <w:lang w:val="es-ES_tradnl"/>
        </w:rPr>
        <w:t xml:space="preserve">: Las Recomendaciones UIT-T H.262 y UIT-T H.264 se encuentran disponibles en forma electrónica en la siguiente dirección: </w:t>
      </w:r>
      <w:hyperlink r:id="rId16" w:history="1">
        <w:r w:rsidRPr="00A13E63">
          <w:rPr>
            <w:rStyle w:val="Hyperlink"/>
            <w:lang w:val="es-ES_tradnl"/>
          </w:rPr>
          <w:t>http://www.itu.int/md/R03-WP6A-C-0110/en</w:t>
        </w:r>
      </w:hyperlink>
      <w:r w:rsidRPr="00A13E63">
        <w:rPr>
          <w:lang w:val="es-ES_tradnl"/>
        </w:rPr>
        <w:t>.</w:t>
      </w:r>
    </w:p>
    <w:p w:rsidR="00A13E63" w:rsidRDefault="00A13E63" w:rsidP="00A13E63">
      <w:pPr>
        <w:rPr>
          <w:lang w:val="es-ES_tradnl"/>
        </w:rPr>
      </w:pPr>
    </w:p>
    <w:p w:rsidR="00A13E63" w:rsidRDefault="00A13E63" w:rsidP="00A13E63">
      <w:pPr>
        <w:rPr>
          <w:lang w:val="es-ES_tradnl"/>
        </w:rPr>
      </w:pPr>
    </w:p>
    <w:p w:rsidR="00A13E63" w:rsidRPr="00A13E63" w:rsidRDefault="00A13E63" w:rsidP="00A13E63">
      <w:pPr>
        <w:pStyle w:val="Line"/>
        <w:rPr>
          <w:lang w:val="es-ES_tradnl"/>
        </w:rPr>
      </w:pPr>
    </w:p>
    <w:sectPr w:rsidR="00A13E63" w:rsidRPr="00A13E63" w:rsidSect="00344123">
      <w:headerReference w:type="even" r:id="rId17"/>
      <w:headerReference w:type="default" r:id="rId1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03C" w:rsidRDefault="000E403C">
      <w:r>
        <w:separator/>
      </w:r>
    </w:p>
  </w:endnote>
  <w:endnote w:type="continuationSeparator" w:id="0">
    <w:p w:rsidR="000E403C" w:rsidRDefault="000E4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03C" w:rsidRDefault="000E403C">
      <w:r>
        <w:separator/>
      </w:r>
    </w:p>
  </w:footnote>
  <w:footnote w:type="continuationSeparator" w:id="0">
    <w:p w:rsidR="000E403C" w:rsidRDefault="000E403C">
      <w:r>
        <w:continuationSeparator/>
      </w:r>
    </w:p>
  </w:footnote>
  <w:footnote w:id="1">
    <w:p w:rsidR="000E403C" w:rsidRPr="000E403C" w:rsidRDefault="000E403C" w:rsidP="000E403C">
      <w:pPr>
        <w:pStyle w:val="FootnoteText"/>
        <w:rPr>
          <w:lang w:val="es-ES_tradnl"/>
        </w:rPr>
      </w:pPr>
      <w:r w:rsidRPr="000E403C">
        <w:rPr>
          <w:rStyle w:val="FootnoteReference"/>
          <w:lang w:val="es-ES_tradnl"/>
        </w:rPr>
        <w:t>*</w:t>
      </w:r>
      <w:r w:rsidRPr="000E403C">
        <w:rPr>
          <w:lang w:val="es-ES_tradnl"/>
        </w:rPr>
        <w:tab/>
      </w:r>
      <w:r w:rsidRPr="0004399C">
        <w:rPr>
          <w:lang w:val="es-ES_tradnl"/>
        </w:rPr>
        <w:t>En la presente Recomendación el acrónimo SDTV remite las señales basadas en la Recomendación UIT</w:t>
      </w:r>
      <w:r>
        <w:rPr>
          <w:lang w:val="es-ES_tradnl"/>
        </w:rPr>
        <w:noBreakHyphen/>
      </w:r>
      <w:r w:rsidRPr="0004399C">
        <w:rPr>
          <w:lang w:val="es-ES_tradnl"/>
        </w:rPr>
        <w:t>R</w:t>
      </w:r>
      <w:r>
        <w:rPr>
          <w:lang w:val="es-ES_tradnl"/>
        </w:rPr>
        <w:t> </w:t>
      </w:r>
      <w:r w:rsidRPr="0004399C">
        <w:rPr>
          <w:lang w:val="es-ES_tradnl"/>
        </w:rPr>
        <w:t>BT.601 (Parte A).</w:t>
      </w:r>
    </w:p>
  </w:footnote>
  <w:footnote w:id="2">
    <w:p w:rsidR="000E403C" w:rsidRPr="000E403C" w:rsidRDefault="000E403C">
      <w:pPr>
        <w:pStyle w:val="FootnoteText"/>
        <w:rPr>
          <w:lang w:val="es-ES_tradnl"/>
        </w:rPr>
      </w:pPr>
      <w:r w:rsidRPr="000E403C">
        <w:rPr>
          <w:rStyle w:val="FootnoteReference"/>
          <w:lang w:val="es-ES_tradnl"/>
        </w:rPr>
        <w:t>**</w:t>
      </w:r>
      <w:r w:rsidRPr="000E403C">
        <w:rPr>
          <w:lang w:val="es-ES_tradnl"/>
        </w:rPr>
        <w:tab/>
      </w:r>
      <w:r>
        <w:rPr>
          <w:lang w:val="es-ES_tradnl"/>
        </w:rPr>
        <w:t>La Comisión de Estudio 6 de Radiocomunicaciones efectuó modificaciones de redacción en esta Recomendación en octubre de 2010 de conformidad con la Resolución UIT</w:t>
      </w:r>
      <w:r>
        <w:rPr>
          <w:lang w:val="es-ES_tradnl"/>
        </w:rPr>
        <w:noBreakHyphen/>
        <w:t>R 1.</w:t>
      </w:r>
    </w:p>
  </w:footnote>
  <w:footnote w:id="3">
    <w:p w:rsidR="000E403C" w:rsidRPr="000E403C" w:rsidRDefault="000E403C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0E403C">
        <w:rPr>
          <w:lang w:val="es-ES_tradnl"/>
        </w:rPr>
        <w:tab/>
      </w:r>
      <w:r w:rsidRPr="00D912C1">
        <w:rPr>
          <w:lang w:val="es-ES_tradnl"/>
        </w:rPr>
        <w:t>La definición de periodismo por sa</w:t>
      </w:r>
      <w:r w:rsidRPr="0004399C">
        <w:rPr>
          <w:lang w:val="es-ES_tradnl"/>
        </w:rPr>
        <w:t>télite (SNG) puede verse en el § </w:t>
      </w:r>
      <w:r>
        <w:rPr>
          <w:lang w:val="es-ES_tradnl"/>
        </w:rPr>
        <w:t>1.1</w:t>
      </w:r>
      <w:r w:rsidRPr="0004399C">
        <w:rPr>
          <w:lang w:val="es-ES_tradnl"/>
        </w:rPr>
        <w:t xml:space="preserve"> del Anexo </w:t>
      </w:r>
      <w:r>
        <w:rPr>
          <w:lang w:val="es-ES_tradnl"/>
        </w:rPr>
        <w:t>1</w:t>
      </w:r>
      <w:r w:rsidRPr="0004399C">
        <w:rPr>
          <w:lang w:val="es-ES_tradnl"/>
        </w:rPr>
        <w:t xml:space="preserve"> a la Recomendación UIT-R S</w:t>
      </w:r>
      <w:r>
        <w:rPr>
          <w:lang w:val="es-ES_tradnl"/>
        </w:rPr>
        <w:t>NG</w:t>
      </w:r>
      <w:r w:rsidRPr="0004399C">
        <w:rPr>
          <w:lang w:val="es-ES_tradnl"/>
        </w:rPr>
        <w:t>.</w:t>
      </w:r>
      <w:r>
        <w:rPr>
          <w:lang w:val="es-ES_tradnl"/>
        </w:rPr>
        <w:t>770</w:t>
      </w:r>
      <w:r w:rsidRPr="0004399C">
        <w:rPr>
          <w:lang w:val="es-ES_tradnl"/>
        </w:rPr>
        <w:t>.</w:t>
      </w:r>
    </w:p>
  </w:footnote>
  <w:footnote w:id="4">
    <w:p w:rsidR="000E403C" w:rsidRPr="000E403C" w:rsidRDefault="000E403C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0E403C">
        <w:rPr>
          <w:lang w:val="es-ES_tradnl"/>
        </w:rPr>
        <w:tab/>
      </w:r>
      <w:r w:rsidRPr="00D912C1">
        <w:rPr>
          <w:lang w:val="es-ES_tradnl"/>
        </w:rPr>
        <w:t xml:space="preserve">La definición de periodismo electrónico (ENG) puede verse en </w:t>
      </w:r>
      <w:r w:rsidRPr="0004399C">
        <w:rPr>
          <w:lang w:val="es-ES_tradnl"/>
        </w:rPr>
        <w:t>el § </w:t>
      </w:r>
      <w:r>
        <w:rPr>
          <w:lang w:val="es-ES_tradnl"/>
        </w:rPr>
        <w:t>2</w:t>
      </w:r>
      <w:r w:rsidRPr="0004399C">
        <w:rPr>
          <w:lang w:val="es-ES_tradnl"/>
        </w:rPr>
        <w:t xml:space="preserve"> del Anexo </w:t>
      </w:r>
      <w:r>
        <w:rPr>
          <w:lang w:val="es-ES_tradnl"/>
        </w:rPr>
        <w:t>3</w:t>
      </w:r>
      <w:r w:rsidRPr="0004399C">
        <w:rPr>
          <w:lang w:val="es-ES_tradnl"/>
        </w:rPr>
        <w:t xml:space="preserve"> a la Recomendación UIT-R S</w:t>
      </w:r>
      <w:r>
        <w:rPr>
          <w:lang w:val="es-ES_tradnl"/>
        </w:rPr>
        <w:t>A</w:t>
      </w:r>
      <w:r w:rsidRPr="0004399C">
        <w:rPr>
          <w:lang w:val="es-ES_tradnl"/>
        </w:rPr>
        <w:t>.</w:t>
      </w:r>
      <w:r>
        <w:rPr>
          <w:lang w:val="es-ES_tradnl"/>
        </w:rPr>
        <w:t>1154</w:t>
      </w:r>
      <w:r w:rsidRPr="0004399C">
        <w:rPr>
          <w:lang w:val="es-ES_tradnl"/>
        </w:rPr>
        <w:t xml:space="preserve"> y en el § 3 del Informe UIT-R BT.</w:t>
      </w:r>
      <w:r>
        <w:rPr>
          <w:lang w:val="es-ES_tradnl"/>
        </w:rPr>
        <w:t>2069</w:t>
      </w:r>
      <w:r w:rsidRPr="0004399C">
        <w:rPr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3C" w:rsidRDefault="000E403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3C" w:rsidRDefault="000E403C" w:rsidP="009E1F8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A062A2F" wp14:editId="198D1AA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3C" w:rsidRDefault="000E403C" w:rsidP="00091138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27F07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827F07" w:rsidRPr="00827F0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27F07">
      <w:rPr>
        <w:b/>
        <w:bCs/>
        <w:noProof/>
      </w:rPr>
      <w:t>UIT-R  BT.1380-1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3C" w:rsidRDefault="000E403C">
    <w:pPr>
      <w:pStyle w:val="Header"/>
    </w:pPr>
    <w:r>
      <w:tab/>
    </w:r>
    <w:fldSimple w:instr=" DOCPROPERTY &quot;Header&quot; \* MERGEFORMAT ">
      <w:r w:rsidR="00827F07" w:rsidRPr="00827F0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27F07">
      <w:rPr>
        <w:b/>
        <w:bCs/>
        <w:noProof/>
      </w:rPr>
      <w:t>UIT-R  BT.1380-1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3C" w:rsidRDefault="000E403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27F07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827F07" w:rsidRPr="00827F07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27F07">
      <w:rPr>
        <w:b/>
        <w:bCs/>
        <w:noProof/>
      </w:rPr>
      <w:t>UIT-R  BT.1380-1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3C" w:rsidRDefault="000E403C">
    <w:pPr>
      <w:pStyle w:val="Header"/>
    </w:pPr>
    <w:r>
      <w:tab/>
    </w:r>
    <w:fldSimple w:instr=" DOCPROPERTY &quot;Header&quot; \* MERGEFORMAT ">
      <w:r w:rsidR="00827F07" w:rsidRPr="00827F0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27F07">
      <w:rPr>
        <w:b/>
        <w:bCs/>
        <w:noProof/>
      </w:rPr>
      <w:t>UIT-R  BT.1380-1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27F0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22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2"/>
  </w:num>
  <w:num w:numId="13">
    <w:abstractNumId w:val="2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28"/>
    <w:rsid w:val="00091138"/>
    <w:rsid w:val="000E403C"/>
    <w:rsid w:val="001E29DB"/>
    <w:rsid w:val="00227CED"/>
    <w:rsid w:val="00284AF8"/>
    <w:rsid w:val="002D76C4"/>
    <w:rsid w:val="0032222F"/>
    <w:rsid w:val="00344123"/>
    <w:rsid w:val="00363854"/>
    <w:rsid w:val="003829F0"/>
    <w:rsid w:val="004156D2"/>
    <w:rsid w:val="004452A9"/>
    <w:rsid w:val="00474E13"/>
    <w:rsid w:val="005726A7"/>
    <w:rsid w:val="005777F3"/>
    <w:rsid w:val="005F43D1"/>
    <w:rsid w:val="00607D68"/>
    <w:rsid w:val="00633625"/>
    <w:rsid w:val="006553B9"/>
    <w:rsid w:val="006818DE"/>
    <w:rsid w:val="00684CC5"/>
    <w:rsid w:val="006C7692"/>
    <w:rsid w:val="00721270"/>
    <w:rsid w:val="00777778"/>
    <w:rsid w:val="00827F07"/>
    <w:rsid w:val="00841C89"/>
    <w:rsid w:val="008B6031"/>
    <w:rsid w:val="00930489"/>
    <w:rsid w:val="00954D24"/>
    <w:rsid w:val="00965853"/>
    <w:rsid w:val="00987473"/>
    <w:rsid w:val="009940E7"/>
    <w:rsid w:val="009E1F8B"/>
    <w:rsid w:val="009E470E"/>
    <w:rsid w:val="00A13E63"/>
    <w:rsid w:val="00A26FDC"/>
    <w:rsid w:val="00A43420"/>
    <w:rsid w:val="00A6617B"/>
    <w:rsid w:val="00AB0DC8"/>
    <w:rsid w:val="00AE798C"/>
    <w:rsid w:val="00AF6707"/>
    <w:rsid w:val="00B44E24"/>
    <w:rsid w:val="00C058C9"/>
    <w:rsid w:val="00C23DBD"/>
    <w:rsid w:val="00CC6858"/>
    <w:rsid w:val="00CD276D"/>
    <w:rsid w:val="00DF4176"/>
    <w:rsid w:val="00E35FD1"/>
    <w:rsid w:val="00EB1B24"/>
    <w:rsid w:val="00F16D82"/>
    <w:rsid w:val="00F35BEB"/>
    <w:rsid w:val="00F77F28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C68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C68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C68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C68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C6858"/>
    <w:pPr>
      <w:outlineLvl w:val="4"/>
    </w:pPr>
  </w:style>
  <w:style w:type="paragraph" w:styleId="Heading6">
    <w:name w:val="heading 6"/>
    <w:basedOn w:val="Heading4"/>
    <w:next w:val="Normal"/>
    <w:qFormat/>
    <w:rsid w:val="00CC68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C6858"/>
    <w:pPr>
      <w:outlineLvl w:val="6"/>
    </w:pPr>
  </w:style>
  <w:style w:type="paragraph" w:styleId="Heading8">
    <w:name w:val="heading 8"/>
    <w:basedOn w:val="Heading6"/>
    <w:next w:val="Normal"/>
    <w:qFormat/>
    <w:rsid w:val="00CC6858"/>
    <w:pPr>
      <w:outlineLvl w:val="7"/>
    </w:pPr>
  </w:style>
  <w:style w:type="paragraph" w:styleId="Heading9">
    <w:name w:val="heading 9"/>
    <w:basedOn w:val="Heading6"/>
    <w:next w:val="Normal"/>
    <w:qFormat/>
    <w:rsid w:val="00CC6858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C6858"/>
  </w:style>
  <w:style w:type="paragraph" w:customStyle="1" w:styleId="Headingb">
    <w:name w:val="Heading_b"/>
    <w:basedOn w:val="Heading3"/>
    <w:next w:val="Normal"/>
    <w:rsid w:val="00CC68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C68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C6858"/>
  </w:style>
  <w:style w:type="paragraph" w:customStyle="1" w:styleId="enumlev1">
    <w:name w:val="enumlev1"/>
    <w:basedOn w:val="Normal"/>
    <w:rsid w:val="00CC6858"/>
    <w:pPr>
      <w:spacing w:before="80"/>
      <w:ind w:left="794" w:hanging="794"/>
    </w:pPr>
  </w:style>
  <w:style w:type="paragraph" w:customStyle="1" w:styleId="enumlev2">
    <w:name w:val="enumlev2"/>
    <w:basedOn w:val="enumlev1"/>
    <w:rsid w:val="00CC6858"/>
    <w:pPr>
      <w:ind w:left="1191" w:hanging="397"/>
    </w:pPr>
  </w:style>
  <w:style w:type="paragraph" w:customStyle="1" w:styleId="enumlev3">
    <w:name w:val="enumlev3"/>
    <w:basedOn w:val="enumlev2"/>
    <w:rsid w:val="00CC6858"/>
    <w:pPr>
      <w:ind w:left="1588"/>
    </w:pPr>
  </w:style>
  <w:style w:type="paragraph" w:customStyle="1" w:styleId="Normalaftertitle">
    <w:name w:val="Normal_after_title"/>
    <w:basedOn w:val="Normal"/>
    <w:next w:val="Normal"/>
    <w:rsid w:val="00CC6858"/>
    <w:pPr>
      <w:spacing w:before="320"/>
    </w:pPr>
  </w:style>
  <w:style w:type="paragraph" w:customStyle="1" w:styleId="Note">
    <w:name w:val="Note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C6858"/>
    <w:pPr>
      <w:jc w:val="center"/>
    </w:pPr>
  </w:style>
  <w:style w:type="paragraph" w:customStyle="1" w:styleId="Recdate">
    <w:name w:val="Rec_date"/>
    <w:basedOn w:val="Recref"/>
    <w:next w:val="Normalaftertitle"/>
    <w:rsid w:val="00CC6858"/>
    <w:pPr>
      <w:jc w:val="right"/>
    </w:pPr>
  </w:style>
  <w:style w:type="paragraph" w:customStyle="1" w:styleId="HeadingSum">
    <w:name w:val="Heading_Sum"/>
    <w:basedOn w:val="Headingb"/>
    <w:next w:val="Normal"/>
    <w:rsid w:val="00CC6858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CC685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C6858"/>
  </w:style>
  <w:style w:type="paragraph" w:customStyle="1" w:styleId="Tablefin">
    <w:name w:val="Table_fin"/>
    <w:basedOn w:val="Normal"/>
    <w:next w:val="Normal"/>
    <w:rsid w:val="00CC68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C68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C68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C68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C68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C6858"/>
    <w:pPr>
      <w:ind w:left="794"/>
    </w:pPr>
  </w:style>
  <w:style w:type="paragraph" w:customStyle="1" w:styleId="Figurelegend">
    <w:name w:val="Figure_legend"/>
    <w:basedOn w:val="Normal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C68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C68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C6858"/>
    <w:pPr>
      <w:keepNext w:val="0"/>
      <w:spacing w:before="0" w:after="240"/>
    </w:pPr>
  </w:style>
  <w:style w:type="paragraph" w:customStyle="1" w:styleId="tocpart">
    <w:name w:val="tocpart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C685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C68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C6858"/>
    <w:rPr>
      <w:b/>
    </w:rPr>
  </w:style>
  <w:style w:type="paragraph" w:customStyle="1" w:styleId="Chaptitle">
    <w:name w:val="Chap_title"/>
    <w:basedOn w:val="Arttitle"/>
    <w:next w:val="Normalaftertitle"/>
    <w:rsid w:val="00CC6858"/>
  </w:style>
  <w:style w:type="character" w:styleId="FootnoteReference">
    <w:name w:val="footnote reference"/>
    <w:basedOn w:val="DefaultParagraphFont"/>
    <w:semiHidden/>
    <w:rsid w:val="00CC6858"/>
    <w:rPr>
      <w:position w:val="6"/>
      <w:sz w:val="18"/>
    </w:rPr>
  </w:style>
  <w:style w:type="paragraph" w:styleId="FootnoteText">
    <w:name w:val="footnote text"/>
    <w:basedOn w:val="Normal"/>
    <w:semiHidden/>
    <w:rsid w:val="00CC685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C6858"/>
  </w:style>
  <w:style w:type="paragraph" w:styleId="Index2">
    <w:name w:val="index 2"/>
    <w:basedOn w:val="Normal"/>
    <w:next w:val="Normal"/>
    <w:semiHidden/>
    <w:rsid w:val="00CC6858"/>
    <w:pPr>
      <w:ind w:left="283"/>
    </w:pPr>
  </w:style>
  <w:style w:type="paragraph" w:styleId="Index3">
    <w:name w:val="index 3"/>
    <w:basedOn w:val="Normal"/>
    <w:next w:val="Normal"/>
    <w:semiHidden/>
    <w:rsid w:val="00CC6858"/>
    <w:pPr>
      <w:ind w:left="566"/>
    </w:pPr>
  </w:style>
  <w:style w:type="paragraph" w:styleId="IndexHeading">
    <w:name w:val="index heading"/>
    <w:basedOn w:val="Normal"/>
    <w:next w:val="Index1"/>
    <w:semiHidden/>
    <w:rsid w:val="00CC6858"/>
  </w:style>
  <w:style w:type="paragraph" w:customStyle="1" w:styleId="Line">
    <w:name w:val="Line"/>
    <w:basedOn w:val="Normal"/>
    <w:next w:val="Normal"/>
    <w:rsid w:val="00CC68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C6858"/>
  </w:style>
  <w:style w:type="paragraph" w:customStyle="1" w:styleId="Partref">
    <w:name w:val="Part_ref"/>
    <w:basedOn w:val="Normal"/>
    <w:next w:val="Normal"/>
    <w:rsid w:val="00CC68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C6858"/>
  </w:style>
  <w:style w:type="paragraph" w:customStyle="1" w:styleId="QuestionNo">
    <w:name w:val="Question_No"/>
    <w:basedOn w:val="RecNo"/>
    <w:next w:val="Normal"/>
    <w:rsid w:val="00CC6858"/>
  </w:style>
  <w:style w:type="paragraph" w:customStyle="1" w:styleId="Questionref">
    <w:name w:val="Question_ref"/>
    <w:basedOn w:val="Recref"/>
    <w:next w:val="Questiondate"/>
    <w:rsid w:val="00CC6858"/>
  </w:style>
  <w:style w:type="paragraph" w:customStyle="1" w:styleId="Questiontitle">
    <w:name w:val="Question_title"/>
    <w:basedOn w:val="Normal"/>
    <w:next w:val="Questionref"/>
    <w:rsid w:val="00CC6858"/>
  </w:style>
  <w:style w:type="paragraph" w:customStyle="1" w:styleId="Reftext">
    <w:name w:val="Ref_text"/>
    <w:basedOn w:val="Normal"/>
    <w:rsid w:val="00CC685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C6858"/>
  </w:style>
  <w:style w:type="paragraph" w:customStyle="1" w:styleId="RepNo">
    <w:name w:val="Rep_No"/>
    <w:basedOn w:val="RecNo"/>
    <w:next w:val="Reptitle"/>
    <w:rsid w:val="00CC6858"/>
  </w:style>
  <w:style w:type="paragraph" w:customStyle="1" w:styleId="Reptitle">
    <w:name w:val="Rep_title"/>
    <w:basedOn w:val="Rectitle"/>
    <w:next w:val="Repref"/>
    <w:rsid w:val="00CC6858"/>
  </w:style>
  <w:style w:type="paragraph" w:customStyle="1" w:styleId="Repref">
    <w:name w:val="Rep_ref"/>
    <w:basedOn w:val="Recref"/>
    <w:next w:val="Repdate"/>
    <w:rsid w:val="00CC6858"/>
  </w:style>
  <w:style w:type="paragraph" w:customStyle="1" w:styleId="Resdate">
    <w:name w:val="Res_date"/>
    <w:basedOn w:val="Recdate"/>
    <w:next w:val="Normalaftertitle"/>
    <w:rsid w:val="00CC6858"/>
  </w:style>
  <w:style w:type="paragraph" w:customStyle="1" w:styleId="ResNo">
    <w:name w:val="Res_No"/>
    <w:basedOn w:val="RecNo"/>
    <w:next w:val="Restitle"/>
    <w:rsid w:val="00CC6858"/>
  </w:style>
  <w:style w:type="paragraph" w:customStyle="1" w:styleId="Restitle">
    <w:name w:val="Res_title"/>
    <w:basedOn w:val="Normal"/>
    <w:next w:val="Resref"/>
    <w:rsid w:val="00CC685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C6858"/>
  </w:style>
  <w:style w:type="paragraph" w:customStyle="1" w:styleId="SectionNo">
    <w:name w:val="Section_No"/>
    <w:basedOn w:val="Normal"/>
    <w:next w:val="Normal"/>
    <w:rsid w:val="00CC6858"/>
  </w:style>
  <w:style w:type="paragraph" w:customStyle="1" w:styleId="Sectiontitle">
    <w:name w:val="Section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C68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C68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C68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C68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C68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C6858"/>
  </w:style>
  <w:style w:type="paragraph" w:styleId="TOC6">
    <w:name w:val="toc 6"/>
    <w:basedOn w:val="TOC4"/>
    <w:semiHidden/>
    <w:rsid w:val="00CC6858"/>
  </w:style>
  <w:style w:type="paragraph" w:styleId="TOC7">
    <w:name w:val="toc 7"/>
    <w:basedOn w:val="TOC4"/>
    <w:semiHidden/>
    <w:rsid w:val="00CC6858"/>
  </w:style>
  <w:style w:type="paragraph" w:styleId="TOC8">
    <w:name w:val="toc 8"/>
    <w:basedOn w:val="TOC4"/>
    <w:semiHidden/>
    <w:rsid w:val="00CC6858"/>
  </w:style>
  <w:style w:type="paragraph" w:customStyle="1" w:styleId="Annexref">
    <w:name w:val="Annex_ref"/>
    <w:basedOn w:val="Normal"/>
    <w:next w:val="Normalaftertitle"/>
    <w:rsid w:val="00CC68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C6858"/>
  </w:style>
  <w:style w:type="paragraph" w:customStyle="1" w:styleId="Tabletitle">
    <w:name w:val="Table_title"/>
    <w:basedOn w:val="Normal"/>
    <w:next w:val="Tablehead"/>
    <w:rsid w:val="00CC68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C6858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C6858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C68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C68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C68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C68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C6858"/>
    <w:pPr>
      <w:outlineLvl w:val="4"/>
    </w:pPr>
  </w:style>
  <w:style w:type="paragraph" w:styleId="Heading6">
    <w:name w:val="heading 6"/>
    <w:basedOn w:val="Heading4"/>
    <w:next w:val="Normal"/>
    <w:qFormat/>
    <w:rsid w:val="00CC68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C6858"/>
    <w:pPr>
      <w:outlineLvl w:val="6"/>
    </w:pPr>
  </w:style>
  <w:style w:type="paragraph" w:styleId="Heading8">
    <w:name w:val="heading 8"/>
    <w:basedOn w:val="Heading6"/>
    <w:next w:val="Normal"/>
    <w:qFormat/>
    <w:rsid w:val="00CC6858"/>
    <w:pPr>
      <w:outlineLvl w:val="7"/>
    </w:pPr>
  </w:style>
  <w:style w:type="paragraph" w:styleId="Heading9">
    <w:name w:val="heading 9"/>
    <w:basedOn w:val="Heading6"/>
    <w:next w:val="Normal"/>
    <w:qFormat/>
    <w:rsid w:val="00CC6858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C6858"/>
  </w:style>
  <w:style w:type="paragraph" w:customStyle="1" w:styleId="Headingb">
    <w:name w:val="Heading_b"/>
    <w:basedOn w:val="Heading3"/>
    <w:next w:val="Normal"/>
    <w:rsid w:val="00CC68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C68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C6858"/>
  </w:style>
  <w:style w:type="paragraph" w:customStyle="1" w:styleId="enumlev1">
    <w:name w:val="enumlev1"/>
    <w:basedOn w:val="Normal"/>
    <w:rsid w:val="00CC6858"/>
    <w:pPr>
      <w:spacing w:before="80"/>
      <w:ind w:left="794" w:hanging="794"/>
    </w:pPr>
  </w:style>
  <w:style w:type="paragraph" w:customStyle="1" w:styleId="enumlev2">
    <w:name w:val="enumlev2"/>
    <w:basedOn w:val="enumlev1"/>
    <w:rsid w:val="00CC6858"/>
    <w:pPr>
      <w:ind w:left="1191" w:hanging="397"/>
    </w:pPr>
  </w:style>
  <w:style w:type="paragraph" w:customStyle="1" w:styleId="enumlev3">
    <w:name w:val="enumlev3"/>
    <w:basedOn w:val="enumlev2"/>
    <w:rsid w:val="00CC6858"/>
    <w:pPr>
      <w:ind w:left="1588"/>
    </w:pPr>
  </w:style>
  <w:style w:type="paragraph" w:customStyle="1" w:styleId="Normalaftertitle">
    <w:name w:val="Normal_after_title"/>
    <w:basedOn w:val="Normal"/>
    <w:next w:val="Normal"/>
    <w:rsid w:val="00CC6858"/>
    <w:pPr>
      <w:spacing w:before="320"/>
    </w:pPr>
  </w:style>
  <w:style w:type="paragraph" w:customStyle="1" w:styleId="Note">
    <w:name w:val="Note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C6858"/>
    <w:pPr>
      <w:jc w:val="center"/>
    </w:pPr>
  </w:style>
  <w:style w:type="paragraph" w:customStyle="1" w:styleId="Recdate">
    <w:name w:val="Rec_date"/>
    <w:basedOn w:val="Recref"/>
    <w:next w:val="Normalaftertitle"/>
    <w:rsid w:val="00CC6858"/>
    <w:pPr>
      <w:jc w:val="right"/>
    </w:pPr>
  </w:style>
  <w:style w:type="paragraph" w:customStyle="1" w:styleId="HeadingSum">
    <w:name w:val="Heading_Sum"/>
    <w:basedOn w:val="Headingb"/>
    <w:next w:val="Normal"/>
    <w:rsid w:val="00CC6858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CC685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C6858"/>
  </w:style>
  <w:style w:type="paragraph" w:customStyle="1" w:styleId="Tablefin">
    <w:name w:val="Table_fin"/>
    <w:basedOn w:val="Normal"/>
    <w:next w:val="Normal"/>
    <w:rsid w:val="00CC68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C68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C68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C68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C68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C6858"/>
    <w:pPr>
      <w:ind w:left="794"/>
    </w:pPr>
  </w:style>
  <w:style w:type="paragraph" w:customStyle="1" w:styleId="Figurelegend">
    <w:name w:val="Figure_legend"/>
    <w:basedOn w:val="Normal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C68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C68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C6858"/>
    <w:pPr>
      <w:keepNext w:val="0"/>
      <w:spacing w:before="0" w:after="240"/>
    </w:pPr>
  </w:style>
  <w:style w:type="paragraph" w:customStyle="1" w:styleId="tocpart">
    <w:name w:val="tocpart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C685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C68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C6858"/>
    <w:rPr>
      <w:b/>
    </w:rPr>
  </w:style>
  <w:style w:type="paragraph" w:customStyle="1" w:styleId="Chaptitle">
    <w:name w:val="Chap_title"/>
    <w:basedOn w:val="Arttitle"/>
    <w:next w:val="Normalaftertitle"/>
    <w:rsid w:val="00CC6858"/>
  </w:style>
  <w:style w:type="character" w:styleId="FootnoteReference">
    <w:name w:val="footnote reference"/>
    <w:basedOn w:val="DefaultParagraphFont"/>
    <w:semiHidden/>
    <w:rsid w:val="00CC6858"/>
    <w:rPr>
      <w:position w:val="6"/>
      <w:sz w:val="18"/>
    </w:rPr>
  </w:style>
  <w:style w:type="paragraph" w:styleId="FootnoteText">
    <w:name w:val="footnote text"/>
    <w:basedOn w:val="Normal"/>
    <w:semiHidden/>
    <w:rsid w:val="00CC685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C6858"/>
  </w:style>
  <w:style w:type="paragraph" w:styleId="Index2">
    <w:name w:val="index 2"/>
    <w:basedOn w:val="Normal"/>
    <w:next w:val="Normal"/>
    <w:semiHidden/>
    <w:rsid w:val="00CC6858"/>
    <w:pPr>
      <w:ind w:left="283"/>
    </w:pPr>
  </w:style>
  <w:style w:type="paragraph" w:styleId="Index3">
    <w:name w:val="index 3"/>
    <w:basedOn w:val="Normal"/>
    <w:next w:val="Normal"/>
    <w:semiHidden/>
    <w:rsid w:val="00CC6858"/>
    <w:pPr>
      <w:ind w:left="566"/>
    </w:pPr>
  </w:style>
  <w:style w:type="paragraph" w:styleId="IndexHeading">
    <w:name w:val="index heading"/>
    <w:basedOn w:val="Normal"/>
    <w:next w:val="Index1"/>
    <w:semiHidden/>
    <w:rsid w:val="00CC6858"/>
  </w:style>
  <w:style w:type="paragraph" w:customStyle="1" w:styleId="Line">
    <w:name w:val="Line"/>
    <w:basedOn w:val="Normal"/>
    <w:next w:val="Normal"/>
    <w:rsid w:val="00CC68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C6858"/>
  </w:style>
  <w:style w:type="paragraph" w:customStyle="1" w:styleId="Partref">
    <w:name w:val="Part_ref"/>
    <w:basedOn w:val="Normal"/>
    <w:next w:val="Normal"/>
    <w:rsid w:val="00CC68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C6858"/>
  </w:style>
  <w:style w:type="paragraph" w:customStyle="1" w:styleId="QuestionNo">
    <w:name w:val="Question_No"/>
    <w:basedOn w:val="RecNo"/>
    <w:next w:val="Normal"/>
    <w:rsid w:val="00CC6858"/>
  </w:style>
  <w:style w:type="paragraph" w:customStyle="1" w:styleId="Questionref">
    <w:name w:val="Question_ref"/>
    <w:basedOn w:val="Recref"/>
    <w:next w:val="Questiondate"/>
    <w:rsid w:val="00CC6858"/>
  </w:style>
  <w:style w:type="paragraph" w:customStyle="1" w:styleId="Questiontitle">
    <w:name w:val="Question_title"/>
    <w:basedOn w:val="Normal"/>
    <w:next w:val="Questionref"/>
    <w:rsid w:val="00CC6858"/>
  </w:style>
  <w:style w:type="paragraph" w:customStyle="1" w:styleId="Reftext">
    <w:name w:val="Ref_text"/>
    <w:basedOn w:val="Normal"/>
    <w:rsid w:val="00CC685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C6858"/>
  </w:style>
  <w:style w:type="paragraph" w:customStyle="1" w:styleId="RepNo">
    <w:name w:val="Rep_No"/>
    <w:basedOn w:val="RecNo"/>
    <w:next w:val="Reptitle"/>
    <w:rsid w:val="00CC6858"/>
  </w:style>
  <w:style w:type="paragraph" w:customStyle="1" w:styleId="Reptitle">
    <w:name w:val="Rep_title"/>
    <w:basedOn w:val="Rectitle"/>
    <w:next w:val="Repref"/>
    <w:rsid w:val="00CC6858"/>
  </w:style>
  <w:style w:type="paragraph" w:customStyle="1" w:styleId="Repref">
    <w:name w:val="Rep_ref"/>
    <w:basedOn w:val="Recref"/>
    <w:next w:val="Repdate"/>
    <w:rsid w:val="00CC6858"/>
  </w:style>
  <w:style w:type="paragraph" w:customStyle="1" w:styleId="Resdate">
    <w:name w:val="Res_date"/>
    <w:basedOn w:val="Recdate"/>
    <w:next w:val="Normalaftertitle"/>
    <w:rsid w:val="00CC6858"/>
  </w:style>
  <w:style w:type="paragraph" w:customStyle="1" w:styleId="ResNo">
    <w:name w:val="Res_No"/>
    <w:basedOn w:val="RecNo"/>
    <w:next w:val="Restitle"/>
    <w:rsid w:val="00CC6858"/>
  </w:style>
  <w:style w:type="paragraph" w:customStyle="1" w:styleId="Restitle">
    <w:name w:val="Res_title"/>
    <w:basedOn w:val="Normal"/>
    <w:next w:val="Resref"/>
    <w:rsid w:val="00CC685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C6858"/>
  </w:style>
  <w:style w:type="paragraph" w:customStyle="1" w:styleId="SectionNo">
    <w:name w:val="Section_No"/>
    <w:basedOn w:val="Normal"/>
    <w:next w:val="Normal"/>
    <w:rsid w:val="00CC6858"/>
  </w:style>
  <w:style w:type="paragraph" w:customStyle="1" w:styleId="Sectiontitle">
    <w:name w:val="Section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C68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C68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C68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C68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C68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C6858"/>
  </w:style>
  <w:style w:type="paragraph" w:styleId="TOC6">
    <w:name w:val="toc 6"/>
    <w:basedOn w:val="TOC4"/>
    <w:semiHidden/>
    <w:rsid w:val="00CC6858"/>
  </w:style>
  <w:style w:type="paragraph" w:styleId="TOC7">
    <w:name w:val="toc 7"/>
    <w:basedOn w:val="TOC4"/>
    <w:semiHidden/>
    <w:rsid w:val="00CC6858"/>
  </w:style>
  <w:style w:type="paragraph" w:styleId="TOC8">
    <w:name w:val="toc 8"/>
    <w:basedOn w:val="TOC4"/>
    <w:semiHidden/>
    <w:rsid w:val="00CC6858"/>
  </w:style>
  <w:style w:type="paragraph" w:customStyle="1" w:styleId="Annexref">
    <w:name w:val="Annex_ref"/>
    <w:basedOn w:val="Normal"/>
    <w:next w:val="Normalaftertitle"/>
    <w:rsid w:val="00CC68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C6858"/>
  </w:style>
  <w:style w:type="paragraph" w:customStyle="1" w:styleId="Tabletitle">
    <w:name w:val="Table_title"/>
    <w:basedOn w:val="Normal"/>
    <w:next w:val="Tablehead"/>
    <w:rsid w:val="00CC68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C6858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C6858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tu.int/publ/R-REC/es" TargetMode="Externa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s)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://www.itu.int/md/R03-WP6A-C-0110/e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s" TargetMode="Externa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2AD7C-E4BF-4315-879E-B2E75016B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4</Pages>
  <Words>1024</Words>
  <Characters>6446</Characters>
  <Application>Microsoft Office Word</Application>
  <DocSecurity>0</DocSecurity>
  <Lines>222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BT.1380-1 - Normas para sistemas de codificación con reducción de la velocidad binaria para televisión convencional*, **</vt:lpstr>
    </vt:vector>
  </TitlesOfParts>
  <Manager/>
  <Company>ITU</Company>
  <LinksUpToDate>false</LinksUpToDate>
  <CharactersWithSpaces>7346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BT.1380-1 - Normas para sistemas de codificación con reducción de la velocidad binaria para televisión convencional*, **</dc:title>
  <dc:subject>Serie BT = Servicio de radiodifusión (televisión)</dc:subject>
  <dc:creator>Oficina de Radiocomunicaciones del UIT (BR)</dc:creator>
  <cp:keywords>BT,1380-1</cp:keywords>
  <dc:description>Santosbo, 12.05.2011, MSB106309</dc:description>
  <cp:lastModifiedBy>santosbo</cp:lastModifiedBy>
  <cp:revision>4</cp:revision>
  <cp:lastPrinted>2009-08-04T08:05:00Z</cp:lastPrinted>
  <dcterms:created xsi:type="dcterms:W3CDTF">2011-05-12T12:55:00Z</dcterms:created>
  <dcterms:modified xsi:type="dcterms:W3CDTF">2011-05-12T13:06:00Z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12 May 2011</vt:lpwstr>
  </property>
</Properties>
</file>