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9DA" w:rsidRPr="00575CB8" w:rsidRDefault="00EE79DA" w:rsidP="00EE79DA">
      <w:pPr>
        <w:rPr>
          <w:lang w:val="en-US"/>
        </w:rPr>
      </w:pPr>
      <w:bookmarkStart w:id="0" w:name="dbreak"/>
      <w:bookmarkEnd w:id="0"/>
    </w:p>
    <w:p w:rsidR="00EE79DA" w:rsidRDefault="00EE79DA" w:rsidP="00EE79DA"/>
    <w:p w:rsidR="00EE79DA" w:rsidRDefault="00EE79DA" w:rsidP="00EE79DA"/>
    <w:p w:rsidR="00EE79DA" w:rsidRDefault="00EE79DA" w:rsidP="00EE79DA"/>
    <w:p w:rsidR="00EE79DA" w:rsidRDefault="00EE79DA" w:rsidP="00EE79DA"/>
    <w:p w:rsidR="00EE79DA" w:rsidRDefault="00EE79DA" w:rsidP="00EE79DA"/>
    <w:p w:rsidR="00EE79DA" w:rsidRDefault="00EE79DA" w:rsidP="00EE79DA"/>
    <w:p w:rsidR="00EE79DA" w:rsidRDefault="00EE79DA" w:rsidP="00EE79DA"/>
    <w:p w:rsidR="00EE79DA" w:rsidRDefault="00EE79DA" w:rsidP="00EE79DA"/>
    <w:p w:rsidR="00EE79DA" w:rsidRDefault="00EE79DA" w:rsidP="00EE79DA"/>
    <w:p w:rsidR="00EE79DA" w:rsidRDefault="00EE79DA" w:rsidP="00EE79DA"/>
    <w:p w:rsidR="00EE79DA" w:rsidRDefault="00EE79DA" w:rsidP="00EE79DA"/>
    <w:tbl>
      <w:tblPr>
        <w:tblW w:w="10089" w:type="dxa"/>
        <w:tblLook w:val="01E0" w:firstRow="1" w:lastRow="1" w:firstColumn="1" w:lastColumn="1" w:noHBand="0" w:noVBand="0"/>
      </w:tblPr>
      <w:tblGrid>
        <w:gridCol w:w="10089"/>
      </w:tblGrid>
      <w:tr w:rsidR="00EE79DA" w:rsidRPr="00EE79DA" w:rsidTr="008A22D5">
        <w:tc>
          <w:tcPr>
            <w:tcW w:w="10089" w:type="dxa"/>
          </w:tcPr>
          <w:p w:rsidR="00EE79DA" w:rsidRPr="0010336F" w:rsidRDefault="00EE79DA" w:rsidP="008A22D5">
            <w:pPr>
              <w:spacing w:before="380" w:line="280" w:lineRule="exact"/>
              <w:jc w:val="right"/>
              <w:rPr>
                <w:rFonts w:ascii="Tahoma" w:hAnsi="Tahoma" w:cs="Tahoma"/>
                <w:b/>
                <w:bCs/>
                <w:iCs/>
                <w:color w:val="243285"/>
                <w:sz w:val="32"/>
                <w:szCs w:val="32"/>
                <w:lang w:val="en-US"/>
              </w:rPr>
            </w:pPr>
          </w:p>
          <w:p w:rsidR="00EE79DA" w:rsidRPr="0010336F" w:rsidRDefault="00EE79DA" w:rsidP="00B0736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B07363">
              <w:rPr>
                <w:rFonts w:ascii="Tahoma" w:hAnsi="Tahoma" w:cs="Tahoma"/>
                <w:b/>
                <w:bCs/>
                <w:iCs/>
                <w:color w:val="243285"/>
                <w:sz w:val="36"/>
                <w:szCs w:val="36"/>
                <w:lang w:val="es-ES_tradnl"/>
              </w:rPr>
              <w:t>1674-1</w:t>
            </w:r>
          </w:p>
          <w:p w:rsidR="00EE79DA" w:rsidRPr="0010336F" w:rsidRDefault="00EE79DA" w:rsidP="00B0736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07363">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B07363">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EE79DA" w:rsidRPr="00B07363" w:rsidTr="008A22D5">
        <w:tc>
          <w:tcPr>
            <w:tcW w:w="10089" w:type="dxa"/>
          </w:tcPr>
          <w:p w:rsidR="00EE79DA" w:rsidRPr="0010336F" w:rsidRDefault="00EE79DA" w:rsidP="008A22D5">
            <w:pPr>
              <w:spacing w:before="80" w:line="500" w:lineRule="exact"/>
              <w:jc w:val="right"/>
              <w:rPr>
                <w:rFonts w:ascii="Tahoma" w:hAnsi="Tahoma" w:cs="Tahoma"/>
                <w:b/>
                <w:bCs/>
                <w:iCs/>
                <w:color w:val="243285"/>
                <w:sz w:val="44"/>
                <w:szCs w:val="44"/>
                <w:lang w:val="es-ES_tradnl"/>
              </w:rPr>
            </w:pPr>
          </w:p>
          <w:p w:rsidR="00EE79DA" w:rsidRPr="009E1F8B" w:rsidRDefault="00B07363" w:rsidP="00B07363">
            <w:pPr>
              <w:spacing w:before="80" w:line="500" w:lineRule="exact"/>
              <w:jc w:val="right"/>
              <w:rPr>
                <w:rFonts w:ascii="Tahoma" w:hAnsi="Tahoma" w:cs="Tahoma"/>
                <w:b/>
                <w:bCs/>
                <w:color w:val="243285"/>
                <w:sz w:val="44"/>
                <w:szCs w:val="44"/>
                <w:lang w:val="es-ES_tradnl"/>
              </w:rPr>
            </w:pPr>
            <w:r w:rsidRPr="00B07363">
              <w:rPr>
                <w:rFonts w:ascii="Tahoma" w:hAnsi="Tahoma" w:cs="Tahoma"/>
                <w:b/>
                <w:bCs/>
                <w:color w:val="243285"/>
                <w:sz w:val="44"/>
                <w:szCs w:val="44"/>
                <w:lang w:val="es-ES_tradnl"/>
              </w:rPr>
              <w:t xml:space="preserve">Requisitos de los metadatos para </w:t>
            </w:r>
            <w:r>
              <w:rPr>
                <w:rFonts w:ascii="Tahoma" w:hAnsi="Tahoma" w:cs="Tahoma"/>
                <w:b/>
                <w:bCs/>
                <w:color w:val="243285"/>
                <w:sz w:val="44"/>
                <w:szCs w:val="44"/>
                <w:lang w:val="es-ES_tradnl"/>
              </w:rPr>
              <w:br/>
            </w:r>
            <w:r w:rsidRPr="00B07363">
              <w:rPr>
                <w:rFonts w:ascii="Tahoma" w:hAnsi="Tahoma" w:cs="Tahoma"/>
                <w:b/>
                <w:bCs/>
                <w:color w:val="243285"/>
                <w:sz w:val="44"/>
                <w:szCs w:val="44"/>
                <w:lang w:val="es-ES_tradnl"/>
              </w:rPr>
              <w:t>la producción</w:t>
            </w:r>
            <w:r>
              <w:rPr>
                <w:rFonts w:ascii="Tahoma" w:hAnsi="Tahoma" w:cs="Tahoma"/>
                <w:b/>
                <w:bCs/>
                <w:color w:val="243285"/>
                <w:sz w:val="44"/>
                <w:szCs w:val="44"/>
                <w:lang w:val="es-ES_tradnl"/>
              </w:rPr>
              <w:t xml:space="preserve"> </w:t>
            </w:r>
            <w:r w:rsidRPr="00B07363">
              <w:rPr>
                <w:rFonts w:ascii="Tahoma" w:hAnsi="Tahoma" w:cs="Tahoma"/>
                <w:b/>
                <w:bCs/>
                <w:color w:val="243285"/>
                <w:sz w:val="44"/>
                <w:szCs w:val="44"/>
                <w:lang w:val="es-ES_tradnl"/>
              </w:rPr>
              <w:t xml:space="preserve">y postproducción </w:t>
            </w:r>
            <w:r>
              <w:rPr>
                <w:rFonts w:ascii="Tahoma" w:hAnsi="Tahoma" w:cs="Tahoma"/>
                <w:b/>
                <w:bCs/>
                <w:color w:val="243285"/>
                <w:sz w:val="44"/>
                <w:szCs w:val="44"/>
                <w:lang w:val="es-ES_tradnl"/>
              </w:rPr>
              <w:br/>
            </w:r>
            <w:r w:rsidRPr="00B07363">
              <w:rPr>
                <w:rFonts w:ascii="Tahoma" w:hAnsi="Tahoma" w:cs="Tahoma"/>
                <w:b/>
                <w:bCs/>
                <w:color w:val="243285"/>
                <w:sz w:val="44"/>
                <w:szCs w:val="44"/>
                <w:lang w:val="es-ES_tradnl"/>
              </w:rPr>
              <w:t>en radiodifusión</w:t>
            </w:r>
            <w:r>
              <w:rPr>
                <w:rFonts w:ascii="Tahoma" w:hAnsi="Tahoma" w:cs="Tahoma"/>
                <w:b/>
                <w:bCs/>
                <w:color w:val="243285"/>
                <w:sz w:val="44"/>
                <w:szCs w:val="44"/>
                <w:lang w:val="es-ES_tradnl"/>
              </w:rPr>
              <w:t xml:space="preserve"> </w:t>
            </w:r>
          </w:p>
          <w:p w:rsidR="00EE79DA" w:rsidRPr="0010336F" w:rsidRDefault="00EE79DA" w:rsidP="008A22D5">
            <w:pPr>
              <w:spacing w:before="80" w:line="500" w:lineRule="exact"/>
              <w:jc w:val="right"/>
              <w:rPr>
                <w:rFonts w:ascii="Tahoma" w:hAnsi="Tahoma" w:cs="Tahoma"/>
                <w:b/>
                <w:bCs/>
                <w:iCs/>
                <w:color w:val="243285"/>
                <w:sz w:val="44"/>
                <w:szCs w:val="44"/>
                <w:lang w:val="es-ES_tradnl"/>
              </w:rPr>
            </w:pPr>
          </w:p>
        </w:tc>
      </w:tr>
      <w:tr w:rsidR="00EE79DA" w:rsidRPr="00B07363" w:rsidTr="008A22D5">
        <w:tc>
          <w:tcPr>
            <w:tcW w:w="10089" w:type="dxa"/>
          </w:tcPr>
          <w:p w:rsidR="00EE79DA" w:rsidRPr="0010336F" w:rsidRDefault="00EE79DA" w:rsidP="008A22D5">
            <w:pPr>
              <w:spacing w:before="80" w:line="280" w:lineRule="exact"/>
              <w:ind w:right="640"/>
              <w:rPr>
                <w:rFonts w:ascii="Tahoma" w:hAnsi="Tahoma" w:cs="Tahoma"/>
                <w:b/>
                <w:bCs/>
                <w:iCs/>
                <w:color w:val="243285"/>
                <w:sz w:val="32"/>
                <w:szCs w:val="32"/>
                <w:lang w:val="es-ES_tradnl"/>
              </w:rPr>
            </w:pPr>
          </w:p>
          <w:p w:rsidR="00EE79DA" w:rsidRPr="0010336F" w:rsidRDefault="00EE79DA" w:rsidP="008A22D5">
            <w:pPr>
              <w:spacing w:before="80" w:line="280" w:lineRule="exact"/>
              <w:ind w:right="640"/>
              <w:rPr>
                <w:rFonts w:ascii="Tahoma" w:hAnsi="Tahoma" w:cs="Tahoma"/>
                <w:b/>
                <w:bCs/>
                <w:iCs/>
                <w:color w:val="243285"/>
                <w:sz w:val="32"/>
                <w:szCs w:val="32"/>
                <w:lang w:val="es-ES_tradnl"/>
              </w:rPr>
            </w:pPr>
          </w:p>
          <w:p w:rsidR="00EE79DA" w:rsidRPr="0010336F" w:rsidRDefault="00EE79DA" w:rsidP="008A22D5">
            <w:pPr>
              <w:spacing w:before="80" w:after="180" w:line="360" w:lineRule="exact"/>
              <w:ind w:right="720"/>
              <w:rPr>
                <w:rFonts w:ascii="Tahoma" w:hAnsi="Tahoma" w:cs="Tahoma"/>
                <w:b/>
                <w:bCs/>
                <w:iCs/>
                <w:color w:val="243285"/>
                <w:sz w:val="36"/>
                <w:szCs w:val="36"/>
                <w:lang w:val="es-ES_tradnl"/>
              </w:rPr>
            </w:pPr>
          </w:p>
          <w:p w:rsidR="00EE79DA" w:rsidRPr="0010336F" w:rsidRDefault="00EE79DA" w:rsidP="008A22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EE79DA" w:rsidRPr="009E1F8B" w:rsidRDefault="00EE79DA" w:rsidP="008A22D5">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EE79DA" w:rsidRPr="0026666F" w:rsidRDefault="00EE79DA" w:rsidP="00EE79DA">
      <w:pPr>
        <w:spacing w:before="80"/>
        <w:rPr>
          <w:i/>
          <w:sz w:val="22"/>
          <w:lang w:val="es-ES_tradnl"/>
        </w:rPr>
      </w:pPr>
    </w:p>
    <w:p w:rsidR="00EE79DA" w:rsidRPr="0026666F" w:rsidRDefault="00EE79DA" w:rsidP="00EE79DA">
      <w:pPr>
        <w:spacing w:before="80"/>
        <w:rPr>
          <w:i/>
          <w:sz w:val="22"/>
          <w:lang w:val="es-ES_tradnl"/>
        </w:rPr>
      </w:pPr>
    </w:p>
    <w:p w:rsidR="00EE79DA" w:rsidRPr="0026666F" w:rsidRDefault="00EE79DA" w:rsidP="00EE79DA">
      <w:pPr>
        <w:spacing w:before="80"/>
        <w:rPr>
          <w:i/>
          <w:sz w:val="22"/>
          <w:lang w:val="es-ES_tradnl"/>
        </w:rPr>
      </w:pPr>
    </w:p>
    <w:p w:rsidR="00EE79DA" w:rsidRPr="0026666F" w:rsidRDefault="00EE79DA" w:rsidP="00EE79DA">
      <w:pPr>
        <w:spacing w:before="80"/>
        <w:rPr>
          <w:i/>
          <w:sz w:val="22"/>
          <w:lang w:val="es-ES_tradnl"/>
        </w:rPr>
      </w:pPr>
    </w:p>
    <w:p w:rsidR="00EE79DA" w:rsidRPr="0026666F" w:rsidRDefault="00EE79DA" w:rsidP="00EE79DA">
      <w:pPr>
        <w:spacing w:before="80"/>
        <w:rPr>
          <w:i/>
          <w:sz w:val="22"/>
          <w:lang w:val="es-ES_tradnl"/>
        </w:rPr>
      </w:pPr>
    </w:p>
    <w:p w:rsidR="00EE79DA" w:rsidRPr="0026666F" w:rsidRDefault="00EE79DA" w:rsidP="00EE79DA">
      <w:pPr>
        <w:spacing w:before="80"/>
        <w:rPr>
          <w:i/>
          <w:sz w:val="22"/>
          <w:lang w:val="es-ES_tradnl"/>
        </w:rPr>
      </w:pPr>
    </w:p>
    <w:p w:rsidR="00EE79DA" w:rsidRPr="0026666F" w:rsidRDefault="00EE79DA" w:rsidP="00EE79DA">
      <w:pPr>
        <w:pStyle w:val="Equation"/>
        <w:tabs>
          <w:tab w:val="clear" w:pos="4820"/>
          <w:tab w:val="clear" w:pos="9639"/>
          <w:tab w:val="left" w:pos="1191"/>
          <w:tab w:val="left" w:pos="1588"/>
          <w:tab w:val="left" w:pos="1985"/>
        </w:tabs>
        <w:rPr>
          <w:rFonts w:ascii="Palatino Linotype" w:hAnsi="Palatino Linotype"/>
          <w:lang w:val="es-ES_tradnl"/>
        </w:rPr>
        <w:sectPr w:rsidR="00EE79DA"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EE79DA" w:rsidRPr="006C718C" w:rsidRDefault="00EE79DA" w:rsidP="00EE79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E79DA" w:rsidRPr="006C718C" w:rsidRDefault="00EE79DA" w:rsidP="00EE79D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E79DA" w:rsidRPr="006C718C" w:rsidRDefault="00EE79DA" w:rsidP="00EE79D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E79DA" w:rsidRPr="00021E8A" w:rsidRDefault="00EE79DA" w:rsidP="00EE79D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E79DA" w:rsidRPr="00021E8A" w:rsidRDefault="00EE79DA" w:rsidP="00EE79D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E79DA" w:rsidRPr="007C36CA" w:rsidRDefault="00EE79DA" w:rsidP="00EE79DA">
      <w:pPr>
        <w:spacing w:before="0"/>
        <w:jc w:val="center"/>
        <w:rPr>
          <w:sz w:val="22"/>
          <w:lang w:val="es-ES_tradnl"/>
        </w:rPr>
      </w:pPr>
    </w:p>
    <w:p w:rsidR="00EE79DA" w:rsidRPr="007C36CA" w:rsidRDefault="00EE79DA" w:rsidP="00EE79D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E79DA" w:rsidRPr="00B07363" w:rsidTr="008A22D5">
        <w:tc>
          <w:tcPr>
            <w:tcW w:w="9360" w:type="dxa"/>
            <w:gridSpan w:val="2"/>
          </w:tcPr>
          <w:p w:rsidR="00EE79DA" w:rsidRPr="00021E8A" w:rsidRDefault="00EE79DA" w:rsidP="008A22D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E79DA" w:rsidRPr="00763D08" w:rsidRDefault="00EE79DA"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EE79DA" w:rsidRPr="00036EE3" w:rsidTr="008A22D5">
        <w:tc>
          <w:tcPr>
            <w:tcW w:w="1140" w:type="dxa"/>
          </w:tcPr>
          <w:p w:rsidR="00EE79DA" w:rsidRPr="00036EE3" w:rsidRDefault="00EE79DA" w:rsidP="008A22D5">
            <w:pPr>
              <w:spacing w:before="180" w:after="100"/>
              <w:ind w:left="57"/>
              <w:rPr>
                <w:b/>
                <w:bCs/>
                <w:sz w:val="20"/>
                <w:lang w:val="en-US"/>
              </w:rPr>
            </w:pPr>
            <w:r w:rsidRPr="00036EE3">
              <w:rPr>
                <w:b/>
                <w:bCs/>
                <w:sz w:val="20"/>
                <w:lang w:val="en-US"/>
              </w:rPr>
              <w:t>Series</w:t>
            </w:r>
          </w:p>
        </w:tc>
        <w:tc>
          <w:tcPr>
            <w:tcW w:w="8220" w:type="dxa"/>
          </w:tcPr>
          <w:p w:rsidR="00EE79DA" w:rsidRPr="00036EE3" w:rsidRDefault="00EE79DA"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EE79DA" w:rsidRPr="00036EE3" w:rsidTr="008A22D5">
        <w:tc>
          <w:tcPr>
            <w:tcW w:w="1140" w:type="dxa"/>
            <w:tcBorders>
              <w:bottom w:val="nil"/>
            </w:tcBorders>
          </w:tcPr>
          <w:p w:rsidR="00EE79DA" w:rsidRPr="00036EE3" w:rsidRDefault="00EE79DA" w:rsidP="008A22D5">
            <w:pPr>
              <w:spacing w:before="30" w:after="30"/>
              <w:ind w:left="57"/>
              <w:jc w:val="left"/>
              <w:rPr>
                <w:b/>
                <w:bCs/>
                <w:sz w:val="20"/>
                <w:lang w:val="en-US"/>
              </w:rPr>
            </w:pPr>
            <w:r w:rsidRPr="00036EE3">
              <w:rPr>
                <w:b/>
                <w:bCs/>
                <w:sz w:val="20"/>
                <w:lang w:val="en-US"/>
              </w:rPr>
              <w:t>BO</w:t>
            </w:r>
          </w:p>
        </w:tc>
        <w:tc>
          <w:tcPr>
            <w:tcW w:w="8220" w:type="dxa"/>
            <w:tcBorders>
              <w:bottom w:val="nil"/>
            </w:tcBorders>
          </w:tcPr>
          <w:p w:rsidR="00EE79DA" w:rsidRPr="00021E8A" w:rsidRDefault="00EE79DA"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EE79DA" w:rsidRPr="00B07363" w:rsidTr="008A22D5">
        <w:tc>
          <w:tcPr>
            <w:tcW w:w="1140" w:type="dxa"/>
            <w:tcBorders>
              <w:top w:val="nil"/>
              <w:bottom w:val="nil"/>
            </w:tcBorders>
            <w:shd w:val="clear" w:color="auto" w:fill="auto"/>
          </w:tcPr>
          <w:p w:rsidR="00EE79DA" w:rsidRPr="009E1F8B" w:rsidRDefault="00EE79DA" w:rsidP="008A22D5">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EE79DA" w:rsidRPr="009E1F8B" w:rsidRDefault="00EE79DA"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EE79DA" w:rsidRPr="00036EE3" w:rsidTr="008A22D5">
        <w:tc>
          <w:tcPr>
            <w:tcW w:w="1140" w:type="dxa"/>
            <w:tcBorders>
              <w:top w:val="nil"/>
              <w:bottom w:val="nil"/>
            </w:tcBorders>
          </w:tcPr>
          <w:p w:rsidR="00EE79DA" w:rsidRPr="00036EE3" w:rsidRDefault="00EE79DA" w:rsidP="008A22D5">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EE79DA" w:rsidRPr="00021E8A" w:rsidRDefault="00EE79DA"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EE79DA" w:rsidRPr="009E1F8B" w:rsidTr="008A22D5">
        <w:tc>
          <w:tcPr>
            <w:tcW w:w="1140" w:type="dxa"/>
            <w:tcBorders>
              <w:top w:val="nil"/>
              <w:bottom w:val="nil"/>
            </w:tcBorders>
            <w:shd w:val="clear" w:color="auto" w:fill="F3F3F3"/>
          </w:tcPr>
          <w:p w:rsidR="00EE79DA" w:rsidRPr="009E1F8B" w:rsidRDefault="00EE79DA" w:rsidP="008A22D5">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EE79DA" w:rsidRPr="009E1F8B" w:rsidRDefault="00EE79DA"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EE79DA" w:rsidRPr="00036EE3" w:rsidTr="008A22D5">
        <w:tc>
          <w:tcPr>
            <w:tcW w:w="1140" w:type="dxa"/>
            <w:tcBorders>
              <w:top w:val="nil"/>
              <w:bottom w:val="nil"/>
            </w:tcBorders>
            <w:shd w:val="clear" w:color="auto" w:fill="auto"/>
          </w:tcPr>
          <w:p w:rsidR="00EE79DA" w:rsidRPr="00036EE3" w:rsidRDefault="00EE79DA" w:rsidP="008A22D5">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E79DA" w:rsidRPr="00021E8A" w:rsidRDefault="00EE79DA" w:rsidP="008A22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EE79DA" w:rsidRPr="00B07363" w:rsidTr="008A22D5">
        <w:tc>
          <w:tcPr>
            <w:tcW w:w="1140" w:type="dxa"/>
            <w:tcBorders>
              <w:top w:val="nil"/>
              <w:bottom w:val="nil"/>
            </w:tcBorders>
            <w:shd w:val="clear" w:color="auto" w:fill="auto"/>
          </w:tcPr>
          <w:p w:rsidR="00EE79DA" w:rsidRPr="0010336F" w:rsidRDefault="00EE79DA" w:rsidP="008A22D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E79DA" w:rsidRPr="0010336F" w:rsidRDefault="00EE79DA"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E79DA" w:rsidRPr="00B07363" w:rsidTr="008A22D5">
        <w:tc>
          <w:tcPr>
            <w:tcW w:w="1140" w:type="dxa"/>
            <w:tcBorders>
              <w:top w:val="nil"/>
            </w:tcBorders>
          </w:tcPr>
          <w:p w:rsidR="00EE79DA" w:rsidRPr="00036EE3" w:rsidRDefault="00EE79DA" w:rsidP="008A22D5">
            <w:pPr>
              <w:spacing w:before="30" w:after="30"/>
              <w:ind w:left="57"/>
              <w:jc w:val="left"/>
              <w:rPr>
                <w:b/>
                <w:bCs/>
                <w:sz w:val="20"/>
                <w:lang w:val="fr-CH"/>
              </w:rPr>
            </w:pPr>
            <w:r w:rsidRPr="00036EE3">
              <w:rPr>
                <w:b/>
                <w:bCs/>
                <w:sz w:val="20"/>
                <w:lang w:val="fr-CH"/>
              </w:rPr>
              <w:t>P</w:t>
            </w:r>
          </w:p>
        </w:tc>
        <w:tc>
          <w:tcPr>
            <w:tcW w:w="8220" w:type="dxa"/>
            <w:tcBorders>
              <w:top w:val="nil"/>
            </w:tcBorders>
          </w:tcPr>
          <w:p w:rsidR="00EE79DA" w:rsidRPr="00021E8A" w:rsidRDefault="00EE79DA" w:rsidP="008A22D5">
            <w:pPr>
              <w:spacing w:before="30" w:after="30"/>
              <w:jc w:val="left"/>
              <w:rPr>
                <w:bCs/>
                <w:sz w:val="20"/>
                <w:lang w:val="es-ES_tradnl"/>
              </w:rPr>
            </w:pPr>
            <w:r w:rsidRPr="00021E8A">
              <w:rPr>
                <w:bCs/>
                <w:sz w:val="20"/>
                <w:lang w:val="es-ES_tradnl"/>
              </w:rPr>
              <w:t>Propagación de las ondas radioeléctricas</w:t>
            </w:r>
          </w:p>
        </w:tc>
      </w:tr>
      <w:tr w:rsidR="00EE79DA" w:rsidRPr="00036EE3" w:rsidTr="008A22D5">
        <w:tc>
          <w:tcPr>
            <w:tcW w:w="1140" w:type="dxa"/>
          </w:tcPr>
          <w:p w:rsidR="00EE79DA" w:rsidRPr="00036EE3" w:rsidRDefault="00EE79DA" w:rsidP="008A22D5">
            <w:pPr>
              <w:spacing w:before="30" w:after="30"/>
              <w:ind w:left="57"/>
              <w:jc w:val="left"/>
              <w:rPr>
                <w:b/>
                <w:bCs/>
                <w:sz w:val="20"/>
                <w:lang w:val="en-US"/>
              </w:rPr>
            </w:pPr>
            <w:r w:rsidRPr="00036EE3">
              <w:rPr>
                <w:b/>
                <w:bCs/>
                <w:sz w:val="20"/>
                <w:lang w:val="en-US"/>
              </w:rPr>
              <w:t>RA</w:t>
            </w:r>
          </w:p>
        </w:tc>
        <w:tc>
          <w:tcPr>
            <w:tcW w:w="8220" w:type="dxa"/>
          </w:tcPr>
          <w:p w:rsidR="00EE79DA" w:rsidRPr="00021E8A" w:rsidRDefault="00EE79DA" w:rsidP="008A22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EE79DA" w:rsidRPr="00B07363" w:rsidTr="008A22D5">
        <w:tc>
          <w:tcPr>
            <w:tcW w:w="1140" w:type="dxa"/>
          </w:tcPr>
          <w:p w:rsidR="00EE79DA" w:rsidRPr="00036EE3" w:rsidRDefault="00EE79DA" w:rsidP="008A22D5">
            <w:pPr>
              <w:spacing w:before="30" w:after="30"/>
              <w:ind w:left="57"/>
              <w:jc w:val="left"/>
              <w:rPr>
                <w:b/>
                <w:bCs/>
                <w:sz w:val="20"/>
                <w:lang w:val="en-US"/>
              </w:rPr>
            </w:pPr>
            <w:r w:rsidRPr="00036EE3">
              <w:rPr>
                <w:b/>
                <w:bCs/>
                <w:sz w:val="20"/>
                <w:lang w:val="en-US"/>
              </w:rPr>
              <w:t>RS</w:t>
            </w:r>
          </w:p>
        </w:tc>
        <w:tc>
          <w:tcPr>
            <w:tcW w:w="8220" w:type="dxa"/>
          </w:tcPr>
          <w:p w:rsidR="00EE79DA" w:rsidRPr="00021E8A" w:rsidRDefault="00EE79DA" w:rsidP="008A22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E79DA" w:rsidRPr="00036EE3" w:rsidTr="008A22D5">
        <w:tc>
          <w:tcPr>
            <w:tcW w:w="1140" w:type="dxa"/>
          </w:tcPr>
          <w:p w:rsidR="00EE79DA" w:rsidRPr="00036EE3" w:rsidRDefault="00EE79DA" w:rsidP="008A22D5">
            <w:pPr>
              <w:spacing w:before="30" w:after="30"/>
              <w:ind w:left="57"/>
              <w:jc w:val="left"/>
              <w:rPr>
                <w:b/>
                <w:bCs/>
                <w:sz w:val="20"/>
                <w:lang w:val="en-US"/>
              </w:rPr>
            </w:pPr>
            <w:r w:rsidRPr="00036EE3">
              <w:rPr>
                <w:b/>
                <w:bCs/>
                <w:sz w:val="20"/>
                <w:lang w:val="en-US"/>
              </w:rPr>
              <w:t>S</w:t>
            </w:r>
          </w:p>
        </w:tc>
        <w:tc>
          <w:tcPr>
            <w:tcW w:w="8220" w:type="dxa"/>
          </w:tcPr>
          <w:p w:rsidR="00EE79DA" w:rsidRPr="00021E8A" w:rsidRDefault="00EE79DA" w:rsidP="008A22D5">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EE79DA" w:rsidRPr="00036EE3" w:rsidTr="008A22D5">
        <w:tc>
          <w:tcPr>
            <w:tcW w:w="1140" w:type="dxa"/>
          </w:tcPr>
          <w:p w:rsidR="00EE79DA" w:rsidRPr="00036EE3" w:rsidRDefault="00EE79DA" w:rsidP="008A22D5">
            <w:pPr>
              <w:spacing w:before="30" w:after="30"/>
              <w:ind w:left="57"/>
              <w:jc w:val="left"/>
              <w:rPr>
                <w:b/>
                <w:bCs/>
                <w:sz w:val="20"/>
                <w:lang w:val="en-US"/>
              </w:rPr>
            </w:pPr>
            <w:r w:rsidRPr="00036EE3">
              <w:rPr>
                <w:b/>
                <w:bCs/>
                <w:sz w:val="20"/>
                <w:lang w:val="en-US"/>
              </w:rPr>
              <w:t>SA</w:t>
            </w:r>
          </w:p>
        </w:tc>
        <w:tc>
          <w:tcPr>
            <w:tcW w:w="8220" w:type="dxa"/>
          </w:tcPr>
          <w:p w:rsidR="00EE79DA" w:rsidRPr="00021E8A" w:rsidRDefault="00EE79DA" w:rsidP="008A22D5">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EE79DA" w:rsidRPr="00B07363" w:rsidTr="008A22D5">
        <w:tc>
          <w:tcPr>
            <w:tcW w:w="1140" w:type="dxa"/>
          </w:tcPr>
          <w:p w:rsidR="00EE79DA" w:rsidRPr="00036EE3" w:rsidRDefault="00EE79DA" w:rsidP="008A22D5">
            <w:pPr>
              <w:spacing w:before="30" w:after="30"/>
              <w:ind w:left="57"/>
              <w:jc w:val="left"/>
              <w:rPr>
                <w:b/>
                <w:bCs/>
                <w:sz w:val="20"/>
                <w:lang w:val="en-US"/>
              </w:rPr>
            </w:pPr>
            <w:r w:rsidRPr="00036EE3">
              <w:rPr>
                <w:b/>
                <w:bCs/>
                <w:sz w:val="20"/>
                <w:lang w:val="en-US"/>
              </w:rPr>
              <w:t>SF</w:t>
            </w:r>
          </w:p>
        </w:tc>
        <w:tc>
          <w:tcPr>
            <w:tcW w:w="8220" w:type="dxa"/>
          </w:tcPr>
          <w:p w:rsidR="00EE79DA" w:rsidRPr="00021E8A" w:rsidRDefault="00EE79DA" w:rsidP="008A22D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E79DA" w:rsidRPr="00036EE3" w:rsidTr="008A22D5">
        <w:tc>
          <w:tcPr>
            <w:tcW w:w="1140" w:type="dxa"/>
            <w:shd w:val="clear" w:color="auto" w:fill="auto"/>
          </w:tcPr>
          <w:p w:rsidR="00EE79DA" w:rsidRPr="001240BC" w:rsidRDefault="00EE79DA" w:rsidP="008A22D5">
            <w:pPr>
              <w:spacing w:before="30" w:after="30"/>
              <w:ind w:left="57"/>
              <w:jc w:val="left"/>
              <w:rPr>
                <w:b/>
                <w:bCs/>
                <w:sz w:val="20"/>
                <w:lang w:val="en-US"/>
              </w:rPr>
            </w:pPr>
            <w:r w:rsidRPr="001240BC">
              <w:rPr>
                <w:b/>
                <w:bCs/>
                <w:sz w:val="20"/>
                <w:lang w:val="en-US"/>
              </w:rPr>
              <w:t>SM</w:t>
            </w:r>
          </w:p>
        </w:tc>
        <w:tc>
          <w:tcPr>
            <w:tcW w:w="8220" w:type="dxa"/>
            <w:shd w:val="clear" w:color="auto" w:fill="auto"/>
          </w:tcPr>
          <w:p w:rsidR="00EE79DA" w:rsidRPr="001240BC" w:rsidRDefault="00EE79DA" w:rsidP="008A22D5">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EE79DA" w:rsidRPr="00036EE3" w:rsidTr="008A22D5">
        <w:tc>
          <w:tcPr>
            <w:tcW w:w="1140" w:type="dxa"/>
          </w:tcPr>
          <w:p w:rsidR="00EE79DA" w:rsidRPr="00036EE3" w:rsidRDefault="00EE79DA" w:rsidP="008A22D5">
            <w:pPr>
              <w:spacing w:before="30" w:after="30"/>
              <w:ind w:left="57"/>
              <w:jc w:val="left"/>
              <w:rPr>
                <w:b/>
                <w:bCs/>
                <w:sz w:val="20"/>
                <w:lang w:val="en-US"/>
              </w:rPr>
            </w:pPr>
            <w:r w:rsidRPr="00036EE3">
              <w:rPr>
                <w:b/>
                <w:bCs/>
                <w:sz w:val="20"/>
                <w:lang w:val="en-US"/>
              </w:rPr>
              <w:t>SNG</w:t>
            </w:r>
          </w:p>
        </w:tc>
        <w:tc>
          <w:tcPr>
            <w:tcW w:w="8220" w:type="dxa"/>
          </w:tcPr>
          <w:p w:rsidR="00EE79DA" w:rsidRPr="00021E8A" w:rsidRDefault="00EE79DA" w:rsidP="008A22D5">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EE79DA" w:rsidRPr="00B07363" w:rsidTr="008A22D5">
        <w:tc>
          <w:tcPr>
            <w:tcW w:w="1140" w:type="dxa"/>
          </w:tcPr>
          <w:p w:rsidR="00EE79DA" w:rsidRPr="00036EE3" w:rsidRDefault="00EE79DA" w:rsidP="008A22D5">
            <w:pPr>
              <w:spacing w:before="30" w:after="30"/>
              <w:ind w:left="57"/>
              <w:jc w:val="left"/>
              <w:rPr>
                <w:b/>
                <w:bCs/>
                <w:sz w:val="20"/>
                <w:lang w:val="en-US"/>
              </w:rPr>
            </w:pPr>
            <w:r w:rsidRPr="00036EE3">
              <w:rPr>
                <w:b/>
                <w:bCs/>
                <w:sz w:val="20"/>
                <w:lang w:val="en-US"/>
              </w:rPr>
              <w:t>TF</w:t>
            </w:r>
          </w:p>
        </w:tc>
        <w:tc>
          <w:tcPr>
            <w:tcW w:w="8220" w:type="dxa"/>
          </w:tcPr>
          <w:p w:rsidR="00EE79DA" w:rsidRPr="00021E8A" w:rsidRDefault="00EE79DA" w:rsidP="008A22D5">
            <w:pPr>
              <w:spacing w:before="30" w:after="30"/>
              <w:jc w:val="left"/>
              <w:rPr>
                <w:bCs/>
                <w:sz w:val="20"/>
                <w:lang w:val="es-ES_tradnl"/>
              </w:rPr>
            </w:pPr>
            <w:r w:rsidRPr="00021E8A">
              <w:rPr>
                <w:bCs/>
                <w:sz w:val="20"/>
                <w:lang w:val="es-ES_tradnl"/>
              </w:rPr>
              <w:t>Emisiones de frecuencias patrón y señales horarias</w:t>
            </w:r>
          </w:p>
        </w:tc>
      </w:tr>
      <w:tr w:rsidR="00EE79DA" w:rsidRPr="00036EE3" w:rsidTr="008A22D5">
        <w:tc>
          <w:tcPr>
            <w:tcW w:w="1140" w:type="dxa"/>
          </w:tcPr>
          <w:p w:rsidR="00EE79DA" w:rsidRPr="00036EE3" w:rsidRDefault="00EE79DA" w:rsidP="008A22D5">
            <w:pPr>
              <w:spacing w:before="30" w:after="30"/>
              <w:ind w:left="57"/>
              <w:jc w:val="left"/>
              <w:rPr>
                <w:b/>
                <w:bCs/>
                <w:sz w:val="20"/>
                <w:lang w:val="en-US"/>
              </w:rPr>
            </w:pPr>
            <w:r w:rsidRPr="00036EE3">
              <w:rPr>
                <w:b/>
                <w:bCs/>
                <w:sz w:val="20"/>
                <w:lang w:val="en-US"/>
              </w:rPr>
              <w:t>V</w:t>
            </w:r>
          </w:p>
        </w:tc>
        <w:tc>
          <w:tcPr>
            <w:tcW w:w="8220" w:type="dxa"/>
          </w:tcPr>
          <w:p w:rsidR="00EE79DA" w:rsidRPr="00021E8A" w:rsidRDefault="00EE79DA" w:rsidP="008A22D5">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EE79DA" w:rsidRPr="00036EE3" w:rsidRDefault="00EE79DA" w:rsidP="00EE79D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E79DA" w:rsidTr="008A22D5">
        <w:tc>
          <w:tcPr>
            <w:tcW w:w="720" w:type="dxa"/>
          </w:tcPr>
          <w:p w:rsidR="00EE79DA" w:rsidRDefault="00EE79DA" w:rsidP="008A22D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E79DA" w:rsidRPr="00B07363" w:rsidTr="008A22D5">
        <w:tc>
          <w:tcPr>
            <w:tcW w:w="9360" w:type="dxa"/>
          </w:tcPr>
          <w:p w:rsidR="00EE79DA" w:rsidRPr="00763D08" w:rsidRDefault="00EE79DA" w:rsidP="008A22D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E79DA" w:rsidRPr="00763D08" w:rsidRDefault="00EE79DA" w:rsidP="00EE79DA">
      <w:pPr>
        <w:spacing w:before="0"/>
        <w:jc w:val="center"/>
        <w:rPr>
          <w:sz w:val="22"/>
          <w:lang w:val="es-ES_tradnl"/>
        </w:rPr>
      </w:pPr>
    </w:p>
    <w:p w:rsidR="00EE79DA" w:rsidRPr="00763D08" w:rsidRDefault="00EE79DA" w:rsidP="00EE79DA">
      <w:pPr>
        <w:spacing w:before="60"/>
        <w:jc w:val="right"/>
        <w:rPr>
          <w:i/>
          <w:iCs/>
          <w:sz w:val="20"/>
          <w:lang w:val="es-ES_tradnl"/>
        </w:rPr>
      </w:pPr>
      <w:r w:rsidRPr="00763D08">
        <w:rPr>
          <w:i/>
          <w:iCs/>
          <w:sz w:val="20"/>
          <w:lang w:val="es-ES_tradnl"/>
        </w:rPr>
        <w:t>Publicación electrónica</w:t>
      </w:r>
    </w:p>
    <w:p w:rsidR="00EE79DA" w:rsidRPr="00763D08" w:rsidRDefault="00EE79DA" w:rsidP="00EE79DA">
      <w:pPr>
        <w:spacing w:before="0" w:after="40"/>
        <w:jc w:val="right"/>
        <w:rPr>
          <w:sz w:val="20"/>
          <w:lang w:val="es-ES_tradnl"/>
        </w:rPr>
      </w:pPr>
      <w:r w:rsidRPr="00763D08">
        <w:rPr>
          <w:sz w:val="20"/>
          <w:lang w:val="es-ES_tradnl"/>
        </w:rPr>
        <w:t>Ginebra, 20</w:t>
      </w:r>
      <w:r>
        <w:rPr>
          <w:sz w:val="20"/>
          <w:lang w:val="es-ES_tradnl"/>
        </w:rPr>
        <w:t>16</w:t>
      </w:r>
    </w:p>
    <w:p w:rsidR="00EE79DA" w:rsidRPr="00763D08" w:rsidRDefault="00EE79DA" w:rsidP="00EE79DA">
      <w:pPr>
        <w:spacing w:before="0"/>
        <w:jc w:val="center"/>
        <w:rPr>
          <w:sz w:val="22"/>
          <w:lang w:val="es-ES_tradnl"/>
        </w:rPr>
      </w:pPr>
    </w:p>
    <w:p w:rsidR="00EE79DA" w:rsidRPr="00763D08" w:rsidRDefault="00EE79DA" w:rsidP="00EE79D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EE79DA" w:rsidRPr="006C718C" w:rsidRDefault="00EE79DA" w:rsidP="00EE79D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E79DA" w:rsidRPr="006C718C" w:rsidRDefault="00EE79DA" w:rsidP="00EE79DA">
      <w:pPr>
        <w:spacing w:before="160"/>
        <w:rPr>
          <w:i/>
          <w:sz w:val="20"/>
          <w:highlight w:val="yellow"/>
          <w:lang w:val="es-ES_tradnl"/>
        </w:rPr>
        <w:sectPr w:rsidR="00EE79DA"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EE79DA" w:rsidRDefault="00EE79DA" w:rsidP="004B0A2E">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4B0A2E">
        <w:rPr>
          <w:rStyle w:val="href"/>
          <w:lang w:val="es-ES_tradnl"/>
        </w:rPr>
        <w:t>1674-1</w:t>
      </w:r>
    </w:p>
    <w:p w:rsidR="008F7AAF" w:rsidRPr="00F0664E" w:rsidRDefault="008F7AAF" w:rsidP="008F7AAF">
      <w:pPr>
        <w:pStyle w:val="Rectitle"/>
        <w:rPr>
          <w:lang w:val="es-ES_tradnl"/>
        </w:rPr>
      </w:pPr>
      <w:r w:rsidRPr="00F12B18">
        <w:rPr>
          <w:lang w:val="es-ES_tradnl"/>
        </w:rPr>
        <w:t xml:space="preserve">Requisitos de los metadatos para la producción </w:t>
      </w:r>
      <w:r>
        <w:rPr>
          <w:lang w:val="es-ES_tradnl"/>
        </w:rPr>
        <w:br/>
      </w:r>
      <w:r w:rsidRPr="00F12B18">
        <w:rPr>
          <w:lang w:val="es-ES_tradnl"/>
        </w:rPr>
        <w:t>y postproducción en radiodifusión</w:t>
      </w:r>
    </w:p>
    <w:p w:rsidR="008F7AAF" w:rsidRPr="00F12B18" w:rsidRDefault="008F7AAF" w:rsidP="00B07363">
      <w:pPr>
        <w:pStyle w:val="Recref"/>
        <w:rPr>
          <w:lang w:val="es-ES_tradnl"/>
        </w:rPr>
      </w:pPr>
      <w:r w:rsidRPr="00F12B18">
        <w:rPr>
          <w:lang w:val="es-ES_tradnl"/>
        </w:rPr>
        <w:t>(Cuestión UIT-R 46/6)</w:t>
      </w:r>
    </w:p>
    <w:p w:rsidR="008F7AAF" w:rsidRPr="00F12B18" w:rsidRDefault="008F7AAF" w:rsidP="00B812D3">
      <w:pPr>
        <w:pStyle w:val="Recdate"/>
        <w:rPr>
          <w:lang w:val="es-ES_tradnl"/>
        </w:rPr>
      </w:pPr>
      <w:r w:rsidRPr="00F12B18">
        <w:rPr>
          <w:lang w:val="es-ES_tradnl"/>
        </w:rPr>
        <w:t>(2004</w:t>
      </w:r>
      <w:r>
        <w:rPr>
          <w:lang w:val="es-ES_tradnl"/>
        </w:rPr>
        <w:t>-2015</w:t>
      </w:r>
      <w:r w:rsidRPr="00F12B18">
        <w:rPr>
          <w:lang w:val="es-ES_tradnl"/>
        </w:rPr>
        <w:t>)</w:t>
      </w:r>
    </w:p>
    <w:p w:rsidR="008F7AAF" w:rsidRDefault="008F7AAF" w:rsidP="008F7AAF">
      <w:pPr>
        <w:pStyle w:val="HeadingSum"/>
      </w:pPr>
      <w:r>
        <w:t>Cometido</w:t>
      </w:r>
    </w:p>
    <w:p w:rsidR="008F7AAF" w:rsidRDefault="008F7AAF" w:rsidP="008F7AAF">
      <w:pPr>
        <w:pStyle w:val="Summary"/>
      </w:pPr>
      <w:r>
        <w:t xml:space="preserve">En esta Recomendación se referencian los contenidos del diccionario de metadatos SMPTE y se define un registro de descripciones de elementos de metadatos asociados con la esencia (vídeo, audio, y datos en sus diversas formas) u otros metadatos. En SMPTE ST 335-2012 figura una explicación completa. La estructura del diccionario de metadatos definida en SMPTE ST 335-2012 abarca el uso de metadatos para todo tipo de esencias. La lista de las entradas del diccionario de metadatos figura en SMPTE </w:t>
      </w:r>
      <w:r w:rsidRPr="00341186">
        <w:rPr>
          <w:lang w:eastAsia="ja-JP"/>
        </w:rPr>
        <w:t>RP 210.13 2012</w:t>
      </w:r>
      <w:r>
        <w:t>.</w:t>
      </w:r>
    </w:p>
    <w:p w:rsidR="008F7AAF" w:rsidRDefault="008F7AAF" w:rsidP="008F7AAF">
      <w:pPr>
        <w:pStyle w:val="Headingb"/>
        <w:rPr>
          <w:lang w:val="es-ES_tradnl"/>
        </w:rPr>
      </w:pPr>
      <w:r>
        <w:rPr>
          <w:lang w:val="es-ES_tradnl"/>
        </w:rPr>
        <w:t>Palabras clave</w:t>
      </w:r>
    </w:p>
    <w:p w:rsidR="008F7AAF" w:rsidRDefault="008F7AAF" w:rsidP="008F7AAF">
      <w:pPr>
        <w:rPr>
          <w:lang w:val="es-ES_tradnl"/>
        </w:rPr>
      </w:pPr>
      <w:r>
        <w:rPr>
          <w:lang w:val="es-ES_tradnl"/>
        </w:rPr>
        <w:t>Diccionario de metadatos, contenedor, elementos de datos</w:t>
      </w:r>
    </w:p>
    <w:p w:rsidR="008F7AAF" w:rsidRPr="00F12B18" w:rsidRDefault="008F7AAF" w:rsidP="008F7AAF">
      <w:pPr>
        <w:tabs>
          <w:tab w:val="left" w:pos="142"/>
        </w:tabs>
        <w:spacing w:before="320"/>
        <w:rPr>
          <w:lang w:val="es-ES_tradnl"/>
        </w:rPr>
      </w:pPr>
      <w:r w:rsidRPr="00F12B18">
        <w:rPr>
          <w:lang w:val="es-ES_tradnl"/>
        </w:rPr>
        <w:t>La Asamblea de Radiocomunicaciones de la UIT,</w:t>
      </w:r>
    </w:p>
    <w:p w:rsidR="008F7AAF" w:rsidRPr="00F12B18" w:rsidRDefault="008F7AAF" w:rsidP="008F7AAF">
      <w:pPr>
        <w:pStyle w:val="Call"/>
        <w:rPr>
          <w:lang w:val="es-ES_tradnl"/>
        </w:rPr>
      </w:pPr>
      <w:r w:rsidRPr="00F12B18">
        <w:rPr>
          <w:lang w:val="es-ES_tradnl"/>
        </w:rPr>
        <w:t>considerando</w:t>
      </w:r>
    </w:p>
    <w:p w:rsidR="008F7AAF" w:rsidRPr="00F12B18" w:rsidRDefault="008F7AAF" w:rsidP="008F7AAF">
      <w:pPr>
        <w:rPr>
          <w:lang w:val="es-ES_tradnl"/>
        </w:rPr>
      </w:pPr>
      <w:r w:rsidRPr="00341186">
        <w:rPr>
          <w:i/>
          <w:iCs/>
          <w:lang w:val="es-ES_tradnl"/>
        </w:rPr>
        <w:t>a)</w:t>
      </w:r>
      <w:r w:rsidRPr="00F12B18">
        <w:rPr>
          <w:lang w:val="es-ES_tradnl"/>
        </w:rPr>
        <w:tab/>
        <w:t xml:space="preserve">que la radiodifusión digital </w:t>
      </w:r>
      <w:r>
        <w:rPr>
          <w:lang w:val="es-ES_tradnl"/>
        </w:rPr>
        <w:t>ha introducido</w:t>
      </w:r>
      <w:r w:rsidRPr="00F12B18">
        <w:rPr>
          <w:lang w:val="es-ES_tradnl"/>
        </w:rPr>
        <w:t xml:space="preserve"> cambios fundamentales en la infraestructura y métodos de producción y postproducción de audio, vídeo y otros medios de comunicación electrónicos;</w:t>
      </w:r>
    </w:p>
    <w:p w:rsidR="008F7AAF" w:rsidRPr="00F12B18" w:rsidRDefault="008F7AAF" w:rsidP="008F7AAF">
      <w:pPr>
        <w:rPr>
          <w:lang w:val="es-ES_tradnl"/>
        </w:rPr>
      </w:pPr>
      <w:r w:rsidRPr="00341186">
        <w:rPr>
          <w:i/>
          <w:iCs/>
          <w:lang w:val="es-ES_tradnl"/>
        </w:rPr>
        <w:t>b)</w:t>
      </w:r>
      <w:r w:rsidRPr="00F12B18">
        <w:rPr>
          <w:lang w:val="es-ES_tradnl"/>
        </w:rPr>
        <w:tab/>
        <w:t>que es conveniente que exista compatibilidad entre la codificación de datos y los formatos de tren binario en la producción y postproducción digital a fin de facilitar el intercambio y la emisión de programas;</w:t>
      </w:r>
    </w:p>
    <w:p w:rsidR="008F7AAF" w:rsidRPr="00F12B18" w:rsidRDefault="008F7AAF" w:rsidP="008F7AAF">
      <w:pPr>
        <w:rPr>
          <w:lang w:val="es-ES_tradnl"/>
        </w:rPr>
      </w:pPr>
      <w:r w:rsidRPr="00341186">
        <w:rPr>
          <w:i/>
          <w:iCs/>
          <w:lang w:val="es-ES_tradnl"/>
        </w:rPr>
        <w:t>c)</w:t>
      </w:r>
      <w:r w:rsidRPr="00F12B18">
        <w:rPr>
          <w:lang w:val="es-ES_tradnl"/>
        </w:rPr>
        <w:tab/>
        <w:t>que una terminología y un conjunto de formatos y usos comunes para los metadatos pueden mejorar la utilidad de los metadatos y reducir la posibilidad de que se produzcan malas interpretaciones, uso incorrecto, pérdida o degradación;</w:t>
      </w:r>
    </w:p>
    <w:p w:rsidR="008F7AAF" w:rsidRPr="00F12B18" w:rsidRDefault="008F7AAF" w:rsidP="008F7AAF">
      <w:pPr>
        <w:rPr>
          <w:lang w:val="es-ES_tradnl"/>
        </w:rPr>
      </w:pPr>
      <w:r w:rsidRPr="00341186">
        <w:rPr>
          <w:i/>
          <w:iCs/>
          <w:lang w:val="es-ES_tradnl"/>
        </w:rPr>
        <w:t>d)</w:t>
      </w:r>
      <w:r w:rsidRPr="00F12B18">
        <w:rPr>
          <w:lang w:val="es-ES_tradnl"/>
        </w:rPr>
        <w:tab/>
        <w:t xml:space="preserve">que los metadatos son fundamentales para los sistemas de gestión de evaluación de medios de comunicación, que </w:t>
      </w:r>
      <w:r>
        <w:rPr>
          <w:lang w:val="es-ES_tradnl"/>
        </w:rPr>
        <w:t xml:space="preserve">se han hecho </w:t>
      </w:r>
      <w:r w:rsidRPr="00F12B18">
        <w:rPr>
          <w:lang w:val="es-ES_tradnl"/>
        </w:rPr>
        <w:t>cada vez más importantes para el funcionamiento eficaz y puntual de la radiodifusión y otros servicios de medios de comunicación electrónicos;</w:t>
      </w:r>
    </w:p>
    <w:p w:rsidR="008F7AAF" w:rsidRPr="00F12B18" w:rsidRDefault="008F7AAF" w:rsidP="008F7AAF">
      <w:pPr>
        <w:rPr>
          <w:lang w:val="es-ES_tradnl"/>
        </w:rPr>
      </w:pPr>
      <w:r w:rsidRPr="00341186">
        <w:rPr>
          <w:i/>
          <w:iCs/>
          <w:lang w:val="es-ES_tradnl"/>
        </w:rPr>
        <w:t>e)</w:t>
      </w:r>
      <w:r w:rsidRPr="00F12B18">
        <w:rPr>
          <w:lang w:val="es-ES_tradnl"/>
        </w:rPr>
        <w:tab/>
        <w:t xml:space="preserve">que </w:t>
      </w:r>
      <w:r>
        <w:rPr>
          <w:lang w:val="es-ES_tradnl"/>
        </w:rPr>
        <w:t>los</w:t>
      </w:r>
      <w:r w:rsidRPr="00F12B18">
        <w:rPr>
          <w:lang w:val="es-ES_tradnl"/>
        </w:rPr>
        <w:t xml:space="preserve"> metadatos y </w:t>
      </w:r>
      <w:r>
        <w:rPr>
          <w:lang w:val="es-ES_tradnl"/>
        </w:rPr>
        <w:t xml:space="preserve">los </w:t>
      </w:r>
      <w:r w:rsidRPr="00F12B18">
        <w:rPr>
          <w:lang w:val="es-ES_tradnl"/>
        </w:rPr>
        <w:t>contenedor</w:t>
      </w:r>
      <w:r>
        <w:rPr>
          <w:lang w:val="es-ES_tradnl"/>
        </w:rPr>
        <w:t>es asociados</w:t>
      </w:r>
      <w:r w:rsidRPr="00F12B18">
        <w:rPr>
          <w:lang w:val="es-ES_tradnl"/>
        </w:rPr>
        <w:t xml:space="preserve"> ha</w:t>
      </w:r>
      <w:r>
        <w:rPr>
          <w:lang w:val="es-ES_tradnl"/>
        </w:rPr>
        <w:t>n</w:t>
      </w:r>
      <w:r w:rsidRPr="00F12B18">
        <w:rPr>
          <w:lang w:val="es-ES_tradnl"/>
        </w:rPr>
        <w:t xml:space="preserve"> tenido una buena acogida en las industrias de radiodifusión y asociadas;</w:t>
      </w:r>
    </w:p>
    <w:p w:rsidR="008F7AAF" w:rsidRPr="00F12B18" w:rsidRDefault="008F7AAF" w:rsidP="008F7AAF">
      <w:pPr>
        <w:rPr>
          <w:lang w:val="es-ES_tradnl"/>
        </w:rPr>
      </w:pPr>
      <w:r w:rsidRPr="00341186">
        <w:rPr>
          <w:i/>
          <w:iCs/>
          <w:lang w:val="es-ES_tradnl"/>
        </w:rPr>
        <w:t>f)</w:t>
      </w:r>
      <w:r w:rsidRPr="00F12B18">
        <w:rPr>
          <w:lang w:val="es-ES_tradnl"/>
        </w:rPr>
        <w:tab/>
        <w:t>que los organismos de normalización han establecido con posterioridad una serie de normas para las componentes del tren de datos en lo que se refiere a esencia, tara, metadatos y contenedores;</w:t>
      </w:r>
    </w:p>
    <w:p w:rsidR="008F7AAF" w:rsidRPr="00F12B18" w:rsidRDefault="008F7AAF" w:rsidP="008F7AAF">
      <w:pPr>
        <w:rPr>
          <w:lang w:val="es-ES_tradnl"/>
        </w:rPr>
      </w:pPr>
      <w:r w:rsidRPr="00341186">
        <w:rPr>
          <w:i/>
          <w:iCs/>
          <w:lang w:val="es-ES_tradnl"/>
        </w:rPr>
        <w:t>g)</w:t>
      </w:r>
      <w:r w:rsidRPr="00F12B18">
        <w:rPr>
          <w:lang w:val="es-ES_tradnl"/>
        </w:rPr>
        <w:tab/>
        <w:t xml:space="preserve">que </w:t>
      </w:r>
      <w:r>
        <w:rPr>
          <w:lang w:val="es-ES_tradnl"/>
        </w:rPr>
        <w:t xml:space="preserve">siguen desarrollándose continuamente </w:t>
      </w:r>
      <w:r w:rsidRPr="00F12B18">
        <w:rPr>
          <w:lang w:val="es-ES_tradnl"/>
        </w:rPr>
        <w:t>estas normas para metadatos;</w:t>
      </w:r>
    </w:p>
    <w:p w:rsidR="008F7AAF" w:rsidRPr="00F12B18" w:rsidRDefault="008F7AAF" w:rsidP="008F7AAF">
      <w:pPr>
        <w:rPr>
          <w:lang w:val="es-ES_tradnl"/>
        </w:rPr>
      </w:pPr>
      <w:r w:rsidRPr="00341186">
        <w:rPr>
          <w:i/>
          <w:iCs/>
          <w:lang w:val="es-ES_tradnl"/>
        </w:rPr>
        <w:t>h)</w:t>
      </w:r>
      <w:r w:rsidRPr="00F12B18">
        <w:rPr>
          <w:lang w:val="es-ES_tradnl"/>
        </w:rPr>
        <w:tab/>
        <w:t xml:space="preserve">que la codificación de lenguaje de etiquetado extensible (XML, </w:t>
      </w:r>
      <w:r w:rsidRPr="00F12B18">
        <w:rPr>
          <w:i/>
          <w:iCs/>
          <w:lang w:val="es-ES_tradnl"/>
        </w:rPr>
        <w:t xml:space="preserve">extensible </w:t>
      </w:r>
      <w:proofErr w:type="spellStart"/>
      <w:r w:rsidRPr="00F12B18">
        <w:rPr>
          <w:i/>
          <w:iCs/>
          <w:lang w:val="es-ES_tradnl"/>
        </w:rPr>
        <w:t>mark</w:t>
      </w:r>
      <w:proofErr w:type="spellEnd"/>
      <w:r w:rsidRPr="00F12B18">
        <w:rPr>
          <w:i/>
          <w:iCs/>
          <w:lang w:val="es-ES_tradnl"/>
        </w:rPr>
        <w:t xml:space="preserve">-up </w:t>
      </w:r>
      <w:proofErr w:type="spellStart"/>
      <w:r w:rsidRPr="00F12B18">
        <w:rPr>
          <w:i/>
          <w:iCs/>
          <w:lang w:val="es-ES_tradnl"/>
        </w:rPr>
        <w:t>language</w:t>
      </w:r>
      <w:proofErr w:type="spellEnd"/>
      <w:r w:rsidRPr="00F12B18">
        <w:rPr>
          <w:lang w:val="es-ES_tradnl"/>
        </w:rPr>
        <w:t xml:space="preserve">) </w:t>
      </w:r>
      <w:r>
        <w:rPr>
          <w:lang w:val="es-ES_tradnl"/>
        </w:rPr>
        <w:t>sigue</w:t>
      </w:r>
      <w:r w:rsidRPr="00F12B18">
        <w:rPr>
          <w:lang w:val="es-ES_tradnl"/>
        </w:rPr>
        <w:t xml:space="preserve"> desempeña</w:t>
      </w:r>
      <w:r>
        <w:rPr>
          <w:lang w:val="es-ES_tradnl"/>
        </w:rPr>
        <w:t>ndo</w:t>
      </w:r>
      <w:r w:rsidRPr="00F12B18">
        <w:rPr>
          <w:lang w:val="es-ES_tradnl"/>
        </w:rPr>
        <w:t xml:space="preserve"> un papel fundamental en la codificación de metadatos,</w:t>
      </w:r>
    </w:p>
    <w:p w:rsidR="008F7AAF" w:rsidRPr="00F12B18" w:rsidRDefault="008F7AAF" w:rsidP="008F7AAF">
      <w:pPr>
        <w:pStyle w:val="Call"/>
        <w:rPr>
          <w:lang w:val="es-ES_tradnl"/>
        </w:rPr>
      </w:pPr>
      <w:r w:rsidRPr="00F12B18">
        <w:rPr>
          <w:lang w:val="es-ES_tradnl"/>
        </w:rPr>
        <w:t>recomienda</w:t>
      </w:r>
    </w:p>
    <w:p w:rsidR="008F7AAF" w:rsidRPr="00F12B18" w:rsidRDefault="008F7AAF" w:rsidP="008F7AAF">
      <w:pPr>
        <w:rPr>
          <w:lang w:val="es-ES_tradnl"/>
        </w:rPr>
      </w:pPr>
      <w:r w:rsidRPr="00F12B18">
        <w:rPr>
          <w:b/>
          <w:bCs/>
          <w:lang w:val="es-ES_tradnl"/>
        </w:rPr>
        <w:t>1</w:t>
      </w:r>
      <w:r w:rsidRPr="00F12B18">
        <w:rPr>
          <w:lang w:val="es-ES_tradnl"/>
        </w:rPr>
        <w:tab/>
        <w:t>que los tipos y formatos de datos del diccionario de metadatos para la producción y postproducción en radiodifusión sean conformes a los tipos y formatos de datos descritos en el Anexo 1;</w:t>
      </w:r>
    </w:p>
    <w:p w:rsidR="008F7AAF" w:rsidRPr="00F12B18" w:rsidRDefault="008F7AAF" w:rsidP="008F7AAF">
      <w:pPr>
        <w:rPr>
          <w:lang w:val="es-ES_tradnl"/>
        </w:rPr>
      </w:pPr>
      <w:r w:rsidRPr="00F12B18">
        <w:rPr>
          <w:b/>
          <w:bCs/>
          <w:lang w:val="es-ES_tradnl"/>
        </w:rPr>
        <w:lastRenderedPageBreak/>
        <w:t>2</w:t>
      </w:r>
      <w:r w:rsidRPr="00F12B18">
        <w:rPr>
          <w:b/>
          <w:bCs/>
          <w:lang w:val="es-ES_tradnl"/>
        </w:rPr>
        <w:tab/>
      </w:r>
      <w:r w:rsidRPr="00F12B18">
        <w:rPr>
          <w:lang w:val="es-ES_tradnl"/>
        </w:rPr>
        <w:t>que la estructura del diccionario de tales metadatos satisfaga la estructura del diccionario descrita en el Anexo 2.</w:t>
      </w:r>
    </w:p>
    <w:p w:rsidR="008F7AAF" w:rsidRDefault="008F7AAF" w:rsidP="00B07363">
      <w:pPr>
        <w:pStyle w:val="Note"/>
        <w:rPr>
          <w:lang w:val="es-ES_tradnl"/>
        </w:rPr>
      </w:pPr>
      <w:r w:rsidRPr="00F12B18">
        <w:rPr>
          <w:lang w:val="es-ES_tradnl"/>
        </w:rPr>
        <w:t>NOTA 1 – El método RP 210.</w:t>
      </w:r>
      <w:r>
        <w:rPr>
          <w:lang w:val="es-ES_tradnl"/>
        </w:rPr>
        <w:t>13</w:t>
      </w:r>
      <w:r w:rsidRPr="00F12B18">
        <w:rPr>
          <w:lang w:val="es-ES_tradnl"/>
        </w:rPr>
        <w:t>-20</w:t>
      </w:r>
      <w:r>
        <w:rPr>
          <w:lang w:val="es-ES_tradnl"/>
        </w:rPr>
        <w:t>1</w:t>
      </w:r>
      <w:r w:rsidRPr="00F12B18">
        <w:rPr>
          <w:lang w:val="es-ES_tradnl"/>
        </w:rPr>
        <w:t xml:space="preserve">2 recomendado por la SMPTE y la Norma SMPTE </w:t>
      </w:r>
      <w:r>
        <w:rPr>
          <w:lang w:val="es-ES_tradnl"/>
        </w:rPr>
        <w:t xml:space="preserve">ST </w:t>
      </w:r>
      <w:r w:rsidRPr="00F12B18">
        <w:rPr>
          <w:lang w:val="es-ES_tradnl"/>
        </w:rPr>
        <w:t>335</w:t>
      </w:r>
      <w:r>
        <w:rPr>
          <w:lang w:val="es-ES_tradnl"/>
        </w:rPr>
        <w:t>-2012</w:t>
      </w:r>
      <w:r w:rsidRPr="00F12B18">
        <w:rPr>
          <w:lang w:val="es-ES_tradnl"/>
        </w:rPr>
        <w:t xml:space="preserve"> figuran en el </w:t>
      </w:r>
      <w:r>
        <w:rPr>
          <w:lang w:val="es-ES_tradnl"/>
        </w:rPr>
        <w:t xml:space="preserve">Documento </w:t>
      </w:r>
      <w:proofErr w:type="spellStart"/>
      <w:r w:rsidRPr="00B07363">
        <w:t>Adjunto</w:t>
      </w:r>
      <w:proofErr w:type="spellEnd"/>
      <w:r w:rsidRPr="00F12B18">
        <w:rPr>
          <w:lang w:val="es-ES_tradnl"/>
        </w:rPr>
        <w:t xml:space="preserve"> 1 al Anexo 1 y el </w:t>
      </w:r>
      <w:r>
        <w:rPr>
          <w:lang w:val="es-ES_tradnl"/>
        </w:rPr>
        <w:t>Documento Adjunto</w:t>
      </w:r>
      <w:r w:rsidRPr="00F12B18">
        <w:rPr>
          <w:lang w:val="es-ES_tradnl"/>
        </w:rPr>
        <w:t xml:space="preserve"> 1 al Anexo 2 respectivamente. El método RP 210.</w:t>
      </w:r>
      <w:r>
        <w:rPr>
          <w:lang w:val="es-ES_tradnl"/>
        </w:rPr>
        <w:t>13</w:t>
      </w:r>
      <w:r w:rsidRPr="00F12B18">
        <w:rPr>
          <w:lang w:val="es-ES_tradnl"/>
        </w:rPr>
        <w:t>-20</w:t>
      </w:r>
      <w:r>
        <w:rPr>
          <w:lang w:val="es-ES_tradnl"/>
        </w:rPr>
        <w:t>1</w:t>
      </w:r>
      <w:r w:rsidRPr="00F12B18">
        <w:rPr>
          <w:lang w:val="es-ES_tradnl"/>
        </w:rPr>
        <w:t xml:space="preserve">2 recomendado por la SMPTE y la Norma SMPTE </w:t>
      </w:r>
      <w:r>
        <w:rPr>
          <w:lang w:val="es-ES_tradnl"/>
        </w:rPr>
        <w:t>ST 335</w:t>
      </w:r>
      <w:r w:rsidRPr="00F12B18">
        <w:rPr>
          <w:lang w:val="es-ES_tradnl"/>
        </w:rPr>
        <w:t>-20</w:t>
      </w:r>
      <w:r>
        <w:rPr>
          <w:lang w:val="es-ES_tradnl"/>
        </w:rPr>
        <w:t>12</w:t>
      </w:r>
      <w:r w:rsidRPr="00F12B18">
        <w:rPr>
          <w:lang w:val="es-ES_tradnl"/>
        </w:rPr>
        <w:t xml:space="preserve"> se refieren a la versi</w:t>
      </w:r>
      <w:r>
        <w:rPr>
          <w:lang w:val="es-ES_tradnl"/>
        </w:rPr>
        <w:t>ó</w:t>
      </w:r>
      <w:r w:rsidRPr="00F12B18">
        <w:rPr>
          <w:lang w:val="es-ES_tradnl"/>
        </w:rPr>
        <w:t>n 20</w:t>
      </w:r>
      <w:r>
        <w:rPr>
          <w:lang w:val="es-ES_tradnl"/>
        </w:rPr>
        <w:t>1</w:t>
      </w:r>
      <w:r w:rsidRPr="00F12B18">
        <w:rPr>
          <w:lang w:val="es-ES_tradnl"/>
        </w:rPr>
        <w:t xml:space="preserve">2, que </w:t>
      </w:r>
      <w:r>
        <w:rPr>
          <w:lang w:val="es-ES_tradnl"/>
        </w:rPr>
        <w:t>es</w:t>
      </w:r>
      <w:r w:rsidRPr="00F12B18">
        <w:rPr>
          <w:lang w:val="es-ES_tradnl"/>
        </w:rPr>
        <w:t xml:space="preserve"> la aprobada el </w:t>
      </w:r>
      <w:r>
        <w:rPr>
          <w:lang w:val="es-ES_tradnl"/>
        </w:rPr>
        <w:t>12</w:t>
      </w:r>
      <w:r w:rsidRPr="00F12B18">
        <w:rPr>
          <w:lang w:val="es-ES_tradnl"/>
        </w:rPr>
        <w:t>.0</w:t>
      </w:r>
      <w:r>
        <w:rPr>
          <w:lang w:val="es-ES_tradnl"/>
        </w:rPr>
        <w:t>3</w:t>
      </w:r>
      <w:r w:rsidRPr="00F12B18">
        <w:rPr>
          <w:lang w:val="es-ES_tradnl"/>
        </w:rPr>
        <w:t>.0</w:t>
      </w:r>
      <w:r>
        <w:rPr>
          <w:lang w:val="es-ES_tradnl"/>
        </w:rPr>
        <w:t>6</w:t>
      </w:r>
      <w:r w:rsidRPr="00F12B18">
        <w:rPr>
          <w:lang w:val="es-ES_tradnl"/>
        </w:rPr>
        <w:t xml:space="preserve"> por las Administraciones de los Estados Miembros de la UIT en cumplimiento de lo dispuesto en la Resolución UIT-R 1-</w:t>
      </w:r>
      <w:r>
        <w:rPr>
          <w:lang w:val="es-ES_tradnl"/>
        </w:rPr>
        <w:t>6</w:t>
      </w:r>
      <w:r w:rsidRPr="00F12B18">
        <w:rPr>
          <w:lang w:val="es-ES_tradnl"/>
        </w:rPr>
        <w:t>. En virtud del acuerdo entre la UIT y la SMPTE, la SMPTE ha facilitado y autorizado la utilización de estas versiones y el UIT-R ha aceptado su inclusión en la presente Recomendación. Cualquier versión posterior del método RP 210.</w:t>
      </w:r>
      <w:r>
        <w:rPr>
          <w:lang w:val="es-ES_tradnl"/>
        </w:rPr>
        <w:t>13</w:t>
      </w:r>
      <w:r w:rsidRPr="00F12B18">
        <w:rPr>
          <w:lang w:val="es-ES_tradnl"/>
        </w:rPr>
        <w:t>-20</w:t>
      </w:r>
      <w:r>
        <w:rPr>
          <w:lang w:val="es-ES_tradnl"/>
        </w:rPr>
        <w:t>12</w:t>
      </w:r>
      <w:r w:rsidRPr="00F12B18">
        <w:rPr>
          <w:lang w:val="es-ES_tradnl"/>
        </w:rPr>
        <w:t xml:space="preserve"> recomendado por la SMPTE y la Norma SMPTE </w:t>
      </w:r>
      <w:r>
        <w:rPr>
          <w:lang w:val="es-ES_tradnl"/>
        </w:rPr>
        <w:t xml:space="preserve">ST </w:t>
      </w:r>
      <w:r w:rsidRPr="00F12B18">
        <w:rPr>
          <w:lang w:val="es-ES_tradnl"/>
        </w:rPr>
        <w:t>335-20</w:t>
      </w:r>
      <w:r>
        <w:rPr>
          <w:lang w:val="es-ES_tradnl"/>
        </w:rPr>
        <w:t>12</w:t>
      </w:r>
      <w:r w:rsidRPr="00F12B18">
        <w:rPr>
          <w:lang w:val="es-ES_tradnl"/>
        </w:rPr>
        <w:t xml:space="preserve"> que no hayan sido aceptadas y aprobadas por las Administraciones de los Estados Miembros de la UIT no formará parte de la presente Recomendación. Las últimas versiones de los Documentos de la SMPTE se pueden consultar en el sitio web de la SMPTE: </w:t>
      </w:r>
      <w:hyperlink r:id="rId14" w:history="1">
        <w:r w:rsidRPr="00F12B18">
          <w:rPr>
            <w:color w:val="0000FF"/>
            <w:u w:val="single"/>
            <w:lang w:val="es-ES_tradnl"/>
          </w:rPr>
          <w:t>http://www.smpte.org/</w:t>
        </w:r>
      </w:hyperlink>
      <w:r w:rsidRPr="00F12B18">
        <w:rPr>
          <w:lang w:val="es-ES_tradnl"/>
        </w:rPr>
        <w:t>.</w:t>
      </w:r>
    </w:p>
    <w:p w:rsidR="003146CF" w:rsidRDefault="003146CF" w:rsidP="00B07363">
      <w:pPr>
        <w:pStyle w:val="Note"/>
        <w:rPr>
          <w:lang w:val="es-ES_tradnl"/>
        </w:rPr>
      </w:pPr>
    </w:p>
    <w:p w:rsidR="003146CF" w:rsidRPr="00F12B18" w:rsidRDefault="003146CF" w:rsidP="00B07363">
      <w:pPr>
        <w:pStyle w:val="Note"/>
        <w:rPr>
          <w:lang w:val="es-ES_tradnl"/>
        </w:rPr>
      </w:pPr>
    </w:p>
    <w:p w:rsidR="008F7AAF" w:rsidRPr="00F12B18" w:rsidRDefault="008F7AAF" w:rsidP="008F7AAF">
      <w:pPr>
        <w:pStyle w:val="AnnexNoTitle"/>
        <w:rPr>
          <w:lang w:val="es-ES_tradnl"/>
        </w:rPr>
      </w:pPr>
      <w:r w:rsidRPr="00F12B18">
        <w:rPr>
          <w:lang w:val="es-ES_tradnl"/>
        </w:rPr>
        <w:t>Anexo 1</w:t>
      </w:r>
      <w:r w:rsidRPr="00F12B18">
        <w:rPr>
          <w:lang w:val="es-ES_tradnl"/>
        </w:rPr>
        <w:br/>
      </w:r>
      <w:r w:rsidRPr="00F12B18">
        <w:rPr>
          <w:lang w:val="es-ES_tradnl"/>
        </w:rPr>
        <w:br/>
        <w:t>Método RP 210.</w:t>
      </w:r>
      <w:r>
        <w:rPr>
          <w:lang w:val="es-ES_tradnl"/>
        </w:rPr>
        <w:t>13</w:t>
      </w:r>
      <w:r w:rsidRPr="00F12B18">
        <w:rPr>
          <w:lang w:val="es-ES_tradnl"/>
        </w:rPr>
        <w:t>-20</w:t>
      </w:r>
      <w:r>
        <w:rPr>
          <w:lang w:val="es-ES_tradnl"/>
        </w:rPr>
        <w:t>12</w:t>
      </w:r>
      <w:r w:rsidRPr="00F12B18">
        <w:rPr>
          <w:lang w:val="es-ES_tradnl"/>
        </w:rPr>
        <w:t xml:space="preserve"> recomendado por la SMPTE</w:t>
      </w:r>
    </w:p>
    <w:p w:rsidR="008F7AAF" w:rsidRPr="00F12B18" w:rsidRDefault="008F7AAF" w:rsidP="003146CF">
      <w:pPr>
        <w:pStyle w:val="RecNo"/>
        <w:rPr>
          <w:lang w:val="es-ES_tradnl"/>
        </w:rPr>
      </w:pPr>
      <w:r w:rsidRPr="00186966">
        <w:rPr>
          <w:sz w:val="26"/>
          <w:szCs w:val="26"/>
          <w:lang w:val="es-ES_tradnl"/>
        </w:rPr>
        <w:t>REGISTRO</w:t>
      </w:r>
      <w:r>
        <w:rPr>
          <w:lang w:val="es-ES_tradnl"/>
        </w:rPr>
        <w:t xml:space="preserve"> DEL DICCIONARIO DE METADATOS DE </w:t>
      </w:r>
      <w:r>
        <w:rPr>
          <w:lang w:val="es-ES_tradnl"/>
        </w:rPr>
        <w:br/>
        <w:t>LAS DESCRIPCIONES DE LOS ELEMENTOS DE</w:t>
      </w:r>
      <w:r w:rsidRPr="00F12B18">
        <w:rPr>
          <w:lang w:val="es-ES_tradnl"/>
        </w:rPr>
        <w:t xml:space="preserve"> METADATOS</w:t>
      </w:r>
    </w:p>
    <w:p w:rsidR="008F7AAF" w:rsidRPr="00F12B18" w:rsidRDefault="008F7AAF" w:rsidP="00862FA8">
      <w:pPr>
        <w:pStyle w:val="Headingb"/>
        <w:jc w:val="left"/>
        <w:rPr>
          <w:lang w:val="es-ES_tradnl"/>
        </w:rPr>
      </w:pPr>
      <w:r w:rsidRPr="00F12B18">
        <w:rPr>
          <w:lang w:val="es-ES_tradnl"/>
        </w:rPr>
        <w:t xml:space="preserve">Resumen del método </w:t>
      </w:r>
      <w:r w:rsidRPr="00C0637F">
        <w:rPr>
          <w:lang w:val="es-ES_tradnl"/>
        </w:rPr>
        <w:t xml:space="preserve">RP 210.13-2012 </w:t>
      </w:r>
      <w:r w:rsidRPr="00F12B18">
        <w:rPr>
          <w:lang w:val="es-ES_tradnl"/>
        </w:rPr>
        <w:t>recomendado por la SMPTE: Registro de metadatos en el diccionario de metadatos</w:t>
      </w:r>
    </w:p>
    <w:p w:rsidR="008F7AAF" w:rsidRPr="00F12B18" w:rsidRDefault="008F7AAF" w:rsidP="008F7AAF">
      <w:pPr>
        <w:rPr>
          <w:lang w:val="es-ES_tradnl"/>
        </w:rPr>
      </w:pPr>
      <w:r w:rsidRPr="00F12B18">
        <w:rPr>
          <w:lang w:val="es-ES_tradnl"/>
        </w:rPr>
        <w:t xml:space="preserve">Este método del contenido del diccionario de metadatos contiene un registro de las descripciones de los elementos de metadatos para su asociación con la esencia u otros metadatos. La explicación completa aparece en la Norma SMPTE </w:t>
      </w:r>
      <w:r>
        <w:rPr>
          <w:lang w:val="es-ES_tradnl"/>
        </w:rPr>
        <w:t xml:space="preserve">ST </w:t>
      </w:r>
      <w:r w:rsidRPr="00F12B18">
        <w:rPr>
          <w:lang w:val="es-ES_tradnl"/>
        </w:rPr>
        <w:t>335</w:t>
      </w:r>
      <w:r>
        <w:rPr>
          <w:lang w:val="es-ES_tradnl"/>
        </w:rPr>
        <w:t>-2012</w:t>
      </w:r>
      <w:r w:rsidRPr="00F12B18">
        <w:rPr>
          <w:lang w:val="es-ES_tradnl"/>
        </w:rPr>
        <w:t>. La estructura del diccionario de metadatos definida en dicha Norma se refiere a la utilización de metadatos par</w:t>
      </w:r>
      <w:r>
        <w:rPr>
          <w:lang w:val="es-ES_tradnl"/>
        </w:rPr>
        <w:t>a todos los tipos de esencia (ví</w:t>
      </w:r>
      <w:r w:rsidRPr="00F12B18">
        <w:rPr>
          <w:lang w:val="es-ES_tradnl"/>
        </w:rPr>
        <w:t xml:space="preserve">deo, audio y datos en sus diversas formas). La </w:t>
      </w:r>
      <w:r>
        <w:rPr>
          <w:lang w:val="es-ES_tradnl"/>
        </w:rPr>
        <w:t>práctica recomendada</w:t>
      </w:r>
      <w:r w:rsidRPr="00F12B18">
        <w:rPr>
          <w:lang w:val="es-ES_tradnl"/>
        </w:rPr>
        <w:t xml:space="preserve"> especifica que cualquier aplicación debe ser conforme a:</w:t>
      </w:r>
    </w:p>
    <w:p w:rsidR="008F7AAF" w:rsidRPr="00F12B18" w:rsidRDefault="008F7AAF" w:rsidP="008F7AAF">
      <w:pPr>
        <w:pStyle w:val="enumlev1"/>
        <w:rPr>
          <w:lang w:val="es-ES_tradnl"/>
        </w:rPr>
      </w:pPr>
      <w:r w:rsidRPr="00F12B18">
        <w:rPr>
          <w:lang w:val="es-ES_tradnl"/>
        </w:rPr>
        <w:t>a)</w:t>
      </w:r>
      <w:r w:rsidRPr="00F12B18">
        <w:rPr>
          <w:lang w:val="es-ES_tradnl"/>
        </w:rPr>
        <w:tab/>
        <w:t>las definiciones y formatos que aparecen en la referida Norma SMPTE </w:t>
      </w:r>
      <w:r>
        <w:rPr>
          <w:lang w:val="es-ES_tradnl"/>
        </w:rPr>
        <w:t>ST 335</w:t>
      </w:r>
      <w:r>
        <w:rPr>
          <w:lang w:val="es-ES_tradnl"/>
        </w:rPr>
        <w:noBreakHyphen/>
        <w:t>2012</w:t>
      </w:r>
      <w:r w:rsidRPr="00F12B18">
        <w:rPr>
          <w:lang w:val="es-ES_tradnl"/>
        </w:rPr>
        <w:t>; y</w:t>
      </w:r>
    </w:p>
    <w:p w:rsidR="008F7AAF" w:rsidRDefault="008F7AAF" w:rsidP="008F7AAF">
      <w:pPr>
        <w:pStyle w:val="enumlev1"/>
        <w:rPr>
          <w:lang w:val="es-ES_tradnl"/>
        </w:rPr>
      </w:pPr>
      <w:r w:rsidRPr="00F12B18">
        <w:rPr>
          <w:lang w:val="es-ES_tradnl"/>
        </w:rPr>
        <w:t>b)</w:t>
      </w:r>
      <w:r w:rsidRPr="00F12B18">
        <w:rPr>
          <w:lang w:val="es-ES_tradnl"/>
        </w:rPr>
        <w:tab/>
        <w:t>este método del contenid</w:t>
      </w:r>
      <w:r>
        <w:rPr>
          <w:lang w:val="es-ES_tradnl"/>
        </w:rPr>
        <w:t>o del diccionario de metadatos.</w:t>
      </w:r>
    </w:p>
    <w:p w:rsidR="008F7AAF" w:rsidRDefault="008F7AAF" w:rsidP="008F7AAF">
      <w:pPr>
        <w:rPr>
          <w:lang w:val="es-ES_tradnl"/>
        </w:rPr>
      </w:pPr>
      <w:r w:rsidRPr="00F12B18">
        <w:rPr>
          <w:lang w:val="es-ES_tradnl"/>
        </w:rPr>
        <w:t>La Norma</w:t>
      </w:r>
      <w:r w:rsidRPr="003A24DF">
        <w:rPr>
          <w:lang w:val="es-ES_tradnl"/>
        </w:rPr>
        <w:t xml:space="preserve"> </w:t>
      </w:r>
      <w:r w:rsidRPr="00111A51">
        <w:rPr>
          <w:lang w:val="es-ES_tradnl"/>
        </w:rPr>
        <w:t xml:space="preserve">SMPTE </w:t>
      </w:r>
      <w:r>
        <w:rPr>
          <w:lang w:val="es-ES_tradnl"/>
        </w:rPr>
        <w:t>ST 335</w:t>
      </w:r>
      <w:r w:rsidRPr="00F12B18">
        <w:rPr>
          <w:lang w:val="es-ES_tradnl"/>
        </w:rPr>
        <w:t xml:space="preserve"> y </w:t>
      </w:r>
      <w:r>
        <w:rPr>
          <w:lang w:val="es-ES_tradnl"/>
        </w:rPr>
        <w:t>la presente práctica</w:t>
      </w:r>
      <w:r w:rsidRPr="00F12B18">
        <w:rPr>
          <w:lang w:val="es-ES_tradnl"/>
        </w:rPr>
        <w:t xml:space="preserve"> deben utilizarse conjuntamente como un par</w:t>
      </w:r>
      <w:r>
        <w:rPr>
          <w:lang w:val="es-ES_tradnl"/>
        </w:rPr>
        <w:t>, y no</w:t>
      </w:r>
      <w:r w:rsidRPr="00F12B18">
        <w:rPr>
          <w:lang w:val="es-ES_tradnl"/>
        </w:rPr>
        <w:t xml:space="preserve"> deben emplearse de forma aislada. Este método contiene una representación del contenido de registro del diccionario de metadatos SMPTE en forma de una hoja de cálculo y se podrá disponer de otras representaciones como especifica la Norma SMPTE </w:t>
      </w:r>
      <w:r>
        <w:rPr>
          <w:lang w:val="es-ES_tradnl"/>
        </w:rPr>
        <w:t xml:space="preserve">ST </w:t>
      </w:r>
      <w:r w:rsidRPr="00F12B18">
        <w:rPr>
          <w:lang w:val="es-ES_tradnl"/>
        </w:rPr>
        <w:t>335</w:t>
      </w:r>
      <w:r>
        <w:rPr>
          <w:lang w:val="es-ES_tradnl"/>
        </w:rPr>
        <w:t>-2012</w:t>
      </w:r>
      <w:r w:rsidRPr="00F12B18">
        <w:rPr>
          <w:lang w:val="es-ES_tradnl"/>
        </w:rPr>
        <w:t>.</w:t>
      </w:r>
    </w:p>
    <w:p w:rsidR="003146CF" w:rsidRDefault="003146CF" w:rsidP="008F7AAF">
      <w:pPr>
        <w:rPr>
          <w:lang w:val="es-ES_tradnl"/>
        </w:rPr>
      </w:pPr>
    </w:p>
    <w:p w:rsidR="008F7AAF" w:rsidRPr="00F12B18" w:rsidRDefault="008F7AAF" w:rsidP="008F7AAF">
      <w:pPr>
        <w:pStyle w:val="AnnexNoTitle"/>
        <w:rPr>
          <w:lang w:val="es-ES_tradnl"/>
        </w:rPr>
      </w:pPr>
      <w:r>
        <w:rPr>
          <w:lang w:val="es-ES_tradnl"/>
        </w:rPr>
        <w:t>Documento Adjunto</w:t>
      </w:r>
      <w:r w:rsidRPr="00F12B18">
        <w:rPr>
          <w:lang w:val="es-ES_tradnl"/>
        </w:rPr>
        <w:t xml:space="preserve"> 1</w:t>
      </w:r>
      <w:r w:rsidRPr="00F12B18">
        <w:rPr>
          <w:lang w:val="es-ES_tradnl"/>
        </w:rPr>
        <w:br/>
        <w:t>al Anexo 1</w:t>
      </w:r>
    </w:p>
    <w:p w:rsidR="008F7AAF" w:rsidRPr="00F12B18" w:rsidRDefault="008F7AAF" w:rsidP="008F7AAF">
      <w:pPr>
        <w:spacing w:before="320"/>
        <w:jc w:val="center"/>
        <w:rPr>
          <w:lang w:val="es-ES_tradnl"/>
        </w:rPr>
      </w:pPr>
      <w:r w:rsidRPr="00111A51">
        <w:rPr>
          <w:rFonts w:ascii="Calibri" w:eastAsia="SimSun" w:hAnsi="Calibri" w:cs="Arial"/>
          <w:b/>
          <w:sz w:val="28"/>
          <w:szCs w:val="22"/>
          <w:lang w:val="en-US" w:eastAsia="zh-CN"/>
        </w:rPr>
        <w:object w:dxaOrig="1544"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15" o:title=""/>
          </v:shape>
          <o:OLEObject Type="Embed" ProgID="Package" ShapeID="_x0000_i1025" DrawAspect="Icon" ObjectID="_1525503453" r:id="rId16"/>
        </w:object>
      </w:r>
    </w:p>
    <w:p w:rsidR="00744F61" w:rsidRDefault="008F7AAF" w:rsidP="00744F61">
      <w:pPr>
        <w:rPr>
          <w:lang w:val="es-ES_tradnl"/>
        </w:rPr>
      </w:pPr>
      <w:r w:rsidRPr="00F12B18">
        <w:rPr>
          <w:lang w:val="es-ES_tradnl"/>
        </w:rPr>
        <w:br w:type="page"/>
      </w:r>
    </w:p>
    <w:p w:rsidR="008F7AAF" w:rsidRPr="003A24DF" w:rsidRDefault="008F7AAF" w:rsidP="008F7AAF">
      <w:pPr>
        <w:pStyle w:val="AnnexNoTitle"/>
        <w:rPr>
          <w:lang w:val="es-ES_tradnl"/>
        </w:rPr>
      </w:pPr>
      <w:r w:rsidRPr="003A24DF">
        <w:rPr>
          <w:lang w:val="es-ES_tradnl"/>
        </w:rPr>
        <w:lastRenderedPageBreak/>
        <w:t>Anexo 2</w:t>
      </w:r>
      <w:r w:rsidRPr="003A24DF">
        <w:rPr>
          <w:lang w:val="es-ES_tradnl"/>
        </w:rPr>
        <w:br/>
      </w:r>
      <w:r w:rsidRPr="003A24DF">
        <w:rPr>
          <w:lang w:val="es-ES_tradnl"/>
        </w:rPr>
        <w:br/>
        <w:t>SMPTE ST 335-2012</w:t>
      </w:r>
    </w:p>
    <w:p w:rsidR="008F7AAF" w:rsidRPr="00DC0603" w:rsidRDefault="008F7AAF" w:rsidP="00FD3134">
      <w:pPr>
        <w:pStyle w:val="RecNo"/>
        <w:rPr>
          <w:lang w:val="es-ES_tradnl"/>
        </w:rPr>
      </w:pPr>
      <w:r>
        <w:rPr>
          <w:lang w:val="es-ES_tradnl"/>
        </w:rPr>
        <w:t xml:space="preserve">TELEVISIÓN – eSTRUCTURA DEL DICCIONARIO DE </w:t>
      </w:r>
      <w:r w:rsidRPr="00DC0603">
        <w:rPr>
          <w:lang w:val="es-ES_tradnl"/>
        </w:rPr>
        <w:t>METADATOS</w:t>
      </w:r>
    </w:p>
    <w:p w:rsidR="008F7AAF" w:rsidRPr="00F12B18" w:rsidRDefault="008F7AAF" w:rsidP="00862FA8">
      <w:pPr>
        <w:pStyle w:val="Headingb"/>
        <w:jc w:val="left"/>
        <w:rPr>
          <w:lang w:val="es-ES_tradnl"/>
        </w:rPr>
      </w:pPr>
      <w:r w:rsidRPr="00F12B18">
        <w:rPr>
          <w:lang w:val="es-ES_tradnl"/>
        </w:rPr>
        <w:t xml:space="preserve">Resumen de la Norma SMPTE </w:t>
      </w:r>
      <w:r w:rsidRPr="00C0637F">
        <w:rPr>
          <w:lang w:val="es-ES_tradnl"/>
        </w:rPr>
        <w:t>ST 335-2012</w:t>
      </w:r>
      <w:r w:rsidRPr="00F12B18">
        <w:rPr>
          <w:lang w:val="es-ES_tradnl"/>
        </w:rPr>
        <w:t>: Televisión – Estructura del diccionario de metadatos</w:t>
      </w:r>
    </w:p>
    <w:p w:rsidR="008F7AAF" w:rsidRPr="00F12B18" w:rsidRDefault="008F7AAF" w:rsidP="008F7AAF">
      <w:pPr>
        <w:rPr>
          <w:lang w:val="es-ES_tradnl"/>
        </w:rPr>
      </w:pPr>
      <w:r w:rsidRPr="00F12B18">
        <w:rPr>
          <w:lang w:val="es-ES_tradnl"/>
        </w:rPr>
        <w:t>La estructura del diccionario de metadatos definida en esta Norma se refiere a la utilización de metadatos para todos los tipos de esencia (vídeo, audio y datos en sus diversas formas). Las aplicaciones de los registros individuales del diccionario variarán pero, cuando se utilicen, los met</w:t>
      </w:r>
      <w:bookmarkStart w:id="4" w:name="_GoBack"/>
      <w:bookmarkEnd w:id="4"/>
      <w:r w:rsidRPr="00F12B18">
        <w:rPr>
          <w:lang w:val="es-ES_tradnl"/>
        </w:rPr>
        <w:t xml:space="preserve">adatos deberán ser conformes a las definiciones y formatos indicados en esta Norma de la estructura del diccionario de metadatos y en el método recomendado en el diccionario de metadatos asociado (SMPTE </w:t>
      </w:r>
      <w:r w:rsidRPr="00C0637F">
        <w:rPr>
          <w:lang w:val="es-ES_tradnl"/>
        </w:rPr>
        <w:t>RP 210.13-2012</w:t>
      </w:r>
      <w:r w:rsidRPr="00F12B18">
        <w:rPr>
          <w:lang w:val="es-ES_tradnl"/>
        </w:rPr>
        <w:t xml:space="preserve">). El SMPTE RP </w:t>
      </w:r>
      <w:r w:rsidRPr="00C0637F">
        <w:rPr>
          <w:lang w:val="es-ES_tradnl"/>
        </w:rPr>
        <w:t xml:space="preserve">210.13-2012 </w:t>
      </w:r>
      <w:r w:rsidRPr="00F12B18">
        <w:rPr>
          <w:lang w:val="es-ES_tradnl"/>
        </w:rPr>
        <w:t>define un conjunto registrado de descripciones de elementos de metadatos para la asociación con la esencia u otros metadatos y esta Norma y el método del contenido deberán utilizarse conjuntamente como un par y ninguno de ellos de forma aislada.</w:t>
      </w:r>
    </w:p>
    <w:p w:rsidR="008F7AAF" w:rsidRPr="00F12B18" w:rsidRDefault="008F7AAF" w:rsidP="008F7AAF">
      <w:pPr>
        <w:pStyle w:val="AnnexNoTitle"/>
        <w:rPr>
          <w:lang w:val="es-ES_tradnl"/>
        </w:rPr>
      </w:pPr>
      <w:r w:rsidRPr="00F12B18">
        <w:rPr>
          <w:lang w:val="es-ES_tradnl"/>
        </w:rPr>
        <w:t>Apéndice 1</w:t>
      </w:r>
      <w:r w:rsidRPr="00F12B18">
        <w:rPr>
          <w:lang w:val="es-ES_tradnl"/>
        </w:rPr>
        <w:br/>
        <w:t>al Anexo 2</w:t>
      </w:r>
    </w:p>
    <w:p w:rsidR="008F7AAF" w:rsidRPr="00F12B18" w:rsidRDefault="008F7AAF" w:rsidP="008F7AAF">
      <w:pPr>
        <w:jc w:val="center"/>
        <w:rPr>
          <w:lang w:val="es-ES_tradnl"/>
        </w:rPr>
      </w:pPr>
      <w:r w:rsidRPr="00111A51">
        <w:rPr>
          <w:rFonts w:ascii="Calibri" w:eastAsia="SimSun" w:hAnsi="Calibri" w:cs="Arial"/>
          <w:sz w:val="22"/>
          <w:szCs w:val="22"/>
          <w:lang w:val="en-US" w:eastAsia="zh-CN"/>
        </w:rPr>
        <w:object w:dxaOrig="1544" w:dyaOrig="999">
          <v:shape id="_x0000_i1026" type="#_x0000_t75" style="width:77.65pt;height:49.45pt" o:ole="">
            <v:imagedata r:id="rId17" o:title=""/>
          </v:shape>
          <o:OLEObject Type="Embed" ProgID="AcroExch.Document.7" ShapeID="_x0000_i1026" DrawAspect="Icon" ObjectID="_1525503454" r:id="rId18"/>
        </w:object>
      </w:r>
    </w:p>
    <w:p w:rsidR="008F7AAF" w:rsidRDefault="008F7AAF" w:rsidP="008F7AAF">
      <w:pPr>
        <w:pStyle w:val="Reasons"/>
      </w:pPr>
    </w:p>
    <w:p w:rsidR="008F7AAF" w:rsidRDefault="008F7AAF" w:rsidP="008F7AAF">
      <w:pPr>
        <w:jc w:val="center"/>
      </w:pPr>
      <w:r>
        <w:t>______________</w:t>
      </w:r>
    </w:p>
    <w:p w:rsidR="008F7AAF" w:rsidRPr="00F0664E" w:rsidRDefault="008F7AAF" w:rsidP="008F7AAF">
      <w:pPr>
        <w:pStyle w:val="Recref"/>
        <w:jc w:val="both"/>
        <w:rPr>
          <w:lang w:val="es-ES_tradnl"/>
        </w:rPr>
      </w:pPr>
    </w:p>
    <w:p w:rsidR="00A6617B" w:rsidRPr="00A6617B" w:rsidRDefault="00A6617B" w:rsidP="00242AEE">
      <w:pPr>
        <w:pStyle w:val="HeadingSum"/>
      </w:pPr>
    </w:p>
    <w:sectPr w:rsidR="00A6617B" w:rsidRPr="00A6617B" w:rsidSect="004B0A2E">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9DA" w:rsidRDefault="00EE79DA">
      <w:r>
        <w:separator/>
      </w:r>
    </w:p>
  </w:endnote>
  <w:endnote w:type="continuationSeparator" w:id="0">
    <w:p w:rsidR="00EE79DA" w:rsidRDefault="00EE7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9DA" w:rsidRDefault="00EE79DA">
      <w:r>
        <w:separator/>
      </w:r>
    </w:p>
  </w:footnote>
  <w:footnote w:type="continuationSeparator" w:id="0">
    <w:p w:rsidR="00EE79DA" w:rsidRDefault="00EE7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9DA" w:rsidRDefault="00EE79D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9DA" w:rsidRDefault="00EE79DA" w:rsidP="009E1F8B">
    <w:pPr>
      <w:pStyle w:val="Header"/>
      <w:ind w:right="360" w:firstLine="360"/>
    </w:pPr>
    <w:r>
      <w:rPr>
        <w:noProof/>
        <w:lang w:val="en-US" w:eastAsia="zh-CN"/>
      </w:rPr>
      <w:drawing>
        <wp:anchor distT="0" distB="0" distL="114300" distR="114300" simplePos="0" relativeHeight="251659264" behindDoc="1" locked="0" layoutInCell="1" allowOverlap="1" wp14:anchorId="25F16EBF" wp14:editId="3A3266D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9DA" w:rsidRDefault="00EE79DA"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32784E">
      <w:rPr>
        <w:rStyle w:val="PageNumber"/>
        <w:b/>
        <w:bCs/>
        <w:noProof/>
      </w:rPr>
      <w:t>ii</w:t>
    </w:r>
    <w:r>
      <w:rPr>
        <w:rStyle w:val="PageNumber"/>
        <w:b/>
        <w:bCs/>
      </w:rPr>
      <w:fldChar w:fldCharType="end"/>
    </w:r>
    <w:r>
      <w:tab/>
    </w:r>
    <w:fldSimple w:instr=" DOCPROPERTY &quot;Header&quot; \* MERGEFORMAT ">
      <w:r w:rsidR="0032784E" w:rsidRPr="003278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2784E">
      <w:rPr>
        <w:b/>
        <w:bCs/>
        <w:noProof/>
      </w:rPr>
      <w:t>UIT-R  BT.1674-1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9DA" w:rsidRDefault="00EE79DA">
    <w:pPr>
      <w:pStyle w:val="Header"/>
    </w:pPr>
    <w:r>
      <w:tab/>
    </w:r>
    <w:fldSimple w:instr=" DOCPROPERTY &quot;Header&quot; \* MERGEFORMAT ">
      <w:r w:rsidR="0032784E" w:rsidRPr="003278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2784E">
      <w:rPr>
        <w:b/>
        <w:bCs/>
        <w:noProof/>
      </w:rPr>
      <w:t>UIT-R  BT.1674-1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2784E">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2784E" w:rsidRPr="0032784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2784E">
      <w:rPr>
        <w:b/>
        <w:bCs/>
        <w:noProof/>
      </w:rPr>
      <w:t>UIT-R  BT.1674-1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32784E" w:rsidRPr="003278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2784E">
      <w:rPr>
        <w:b/>
        <w:bCs/>
        <w:noProof/>
      </w:rPr>
      <w:t>UIT-R  BT.1674-1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2784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80F3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D231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8E02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DA8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CCAB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844F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4E24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006D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60FF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BAD97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9DA"/>
    <w:rsid w:val="00217EBF"/>
    <w:rsid w:val="00242AEE"/>
    <w:rsid w:val="002D76C4"/>
    <w:rsid w:val="003146CF"/>
    <w:rsid w:val="0032784E"/>
    <w:rsid w:val="004272C7"/>
    <w:rsid w:val="004B0A2E"/>
    <w:rsid w:val="0052529D"/>
    <w:rsid w:val="00607D68"/>
    <w:rsid w:val="00744F61"/>
    <w:rsid w:val="007468DA"/>
    <w:rsid w:val="00862FA8"/>
    <w:rsid w:val="008F7AAF"/>
    <w:rsid w:val="009E00A8"/>
    <w:rsid w:val="00A031B0"/>
    <w:rsid w:val="00A6617B"/>
    <w:rsid w:val="00AB0DC8"/>
    <w:rsid w:val="00B07363"/>
    <w:rsid w:val="00B44E24"/>
    <w:rsid w:val="00B812D3"/>
    <w:rsid w:val="00DF4176"/>
    <w:rsid w:val="00EE79DA"/>
    <w:rsid w:val="00FD31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1E017850-997F-4FCB-9502-D9C84B48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9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E79DA"/>
    <w:rPr>
      <w:b/>
      <w:sz w:val="24"/>
      <w:lang w:val="fr-FR" w:eastAsia="en-US"/>
    </w:rPr>
  </w:style>
  <w:style w:type="character" w:customStyle="1" w:styleId="HeaderChar">
    <w:name w:val="Header Char"/>
    <w:basedOn w:val="DefaultParagraphFont"/>
    <w:link w:val="Header"/>
    <w:rsid w:val="00EE79DA"/>
    <w:rPr>
      <w:sz w:val="24"/>
      <w:lang w:val="fr-FR" w:eastAsia="en-US"/>
    </w:rPr>
  </w:style>
  <w:style w:type="character" w:styleId="Hyperlink">
    <w:name w:val="Hyperlink"/>
    <w:basedOn w:val="DefaultParagraphFont"/>
    <w:rsid w:val="00EE79DA"/>
    <w:rPr>
      <w:color w:val="0000FF"/>
      <w:u w:val="single"/>
    </w:rPr>
  </w:style>
  <w:style w:type="paragraph" w:customStyle="1" w:styleId="Reasons">
    <w:name w:val="Reasons"/>
    <w:basedOn w:val="Normal"/>
    <w:qFormat/>
    <w:rsid w:val="008F7AA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ww.smpte.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5</Pages>
  <Words>1290</Words>
  <Characters>7525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13</cp:revision>
  <cp:lastPrinted>2016-05-23T08:03:00Z</cp:lastPrinted>
  <dcterms:created xsi:type="dcterms:W3CDTF">2016-05-20T14:24:00Z</dcterms:created>
  <dcterms:modified xsi:type="dcterms:W3CDTF">2016-05-23T08:09:00Z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