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11791" w14:textId="77777777" w:rsidR="00FE79FE" w:rsidRPr="00B6543F" w:rsidRDefault="00FE79FE">
      <w:pPr>
        <w:rPr>
          <w:lang w:val="es-ES_tradnl"/>
        </w:rPr>
      </w:pPr>
    </w:p>
    <w:p w14:paraId="2401F2E3" w14:textId="77777777" w:rsidR="00013002" w:rsidRPr="00B6543F" w:rsidRDefault="00013002" w:rsidP="00DE5556">
      <w:pPr>
        <w:tabs>
          <w:tab w:val="clear" w:pos="794"/>
          <w:tab w:val="clear" w:pos="1191"/>
          <w:tab w:val="clear" w:pos="1588"/>
          <w:tab w:val="clear" w:pos="1985"/>
        </w:tabs>
        <w:rPr>
          <w:lang w:val="es-ES_tradnl"/>
        </w:rPr>
      </w:pPr>
    </w:p>
    <w:p w14:paraId="79CFC6CD" w14:textId="4FA630EA" w:rsidR="00D5024B" w:rsidRPr="00B6543F" w:rsidRDefault="00D5024B" w:rsidP="00D5024B">
      <w:pPr>
        <w:pStyle w:val="CoverNumber"/>
        <w:rPr>
          <w:lang w:val="es-ES_tradnl"/>
        </w:rPr>
      </w:pPr>
      <w:r w:rsidRPr="00B6543F">
        <w:rPr>
          <w:lang w:val="es-ES_tradnl"/>
        </w:rPr>
        <w:t>Recom</w:t>
      </w:r>
      <w:r w:rsidR="0069322D" w:rsidRPr="00B6543F">
        <w:rPr>
          <w:lang w:val="es-ES_tradnl"/>
        </w:rPr>
        <w:t>e</w:t>
      </w:r>
      <w:r w:rsidRPr="00B6543F">
        <w:rPr>
          <w:lang w:val="es-ES_tradnl"/>
        </w:rPr>
        <w:t>nda</w:t>
      </w:r>
      <w:r w:rsidR="0069322D" w:rsidRPr="00B6543F">
        <w:rPr>
          <w:lang w:val="es-ES_tradnl"/>
        </w:rPr>
        <w:t>c</w:t>
      </w:r>
      <w:r w:rsidRPr="00B6543F">
        <w:rPr>
          <w:lang w:val="es-ES_tradnl"/>
        </w:rPr>
        <w:t>i</w:t>
      </w:r>
      <w:r w:rsidR="0069322D" w:rsidRPr="00B6543F">
        <w:rPr>
          <w:lang w:val="es-ES_tradnl"/>
        </w:rPr>
        <w:t>ó</w:t>
      </w:r>
      <w:r w:rsidRPr="00B6543F">
        <w:rPr>
          <w:lang w:val="es-ES_tradnl"/>
        </w:rPr>
        <w:t xml:space="preserve">n </w:t>
      </w:r>
      <w:r w:rsidR="007624B1" w:rsidRPr="00B6543F">
        <w:rPr>
          <w:lang w:val="es-ES_tradnl"/>
        </w:rPr>
        <w:t>U</w:t>
      </w:r>
      <w:r w:rsidRPr="00B6543F">
        <w:rPr>
          <w:lang w:val="es-ES_tradnl"/>
        </w:rPr>
        <w:t xml:space="preserve">IT-R </w:t>
      </w:r>
      <w:r w:rsidR="00441AF2" w:rsidRPr="00B6543F">
        <w:rPr>
          <w:lang w:val="es-ES_tradnl"/>
        </w:rPr>
        <w:t>BT</w:t>
      </w:r>
      <w:r w:rsidRPr="00B6543F">
        <w:rPr>
          <w:lang w:val="es-ES_tradnl"/>
        </w:rPr>
        <w:t>.</w:t>
      </w:r>
      <w:r w:rsidR="00534021" w:rsidRPr="00B6543F">
        <w:rPr>
          <w:lang w:val="es-ES_tradnl"/>
        </w:rPr>
        <w:t>1702-3</w:t>
      </w:r>
    </w:p>
    <w:p w14:paraId="330AAC98" w14:textId="1555793D" w:rsidR="00D5024B" w:rsidRPr="00B6543F" w:rsidRDefault="00D5024B" w:rsidP="00D5024B">
      <w:pPr>
        <w:pStyle w:val="CoverDate"/>
        <w:rPr>
          <w:lang w:val="es-ES_tradnl"/>
        </w:rPr>
      </w:pPr>
      <w:r w:rsidRPr="00B6543F">
        <w:rPr>
          <w:lang w:val="es-ES_tradnl"/>
        </w:rPr>
        <w:t>(</w:t>
      </w:r>
      <w:r w:rsidR="00534021" w:rsidRPr="00B6543F">
        <w:rPr>
          <w:lang w:val="es-ES_tradnl"/>
        </w:rPr>
        <w:t>11/2023</w:t>
      </w:r>
      <w:r w:rsidRPr="00B6543F">
        <w:rPr>
          <w:lang w:val="es-ES_tradnl"/>
        </w:rPr>
        <w:t>)</w:t>
      </w:r>
    </w:p>
    <w:p w14:paraId="3B8C2274" w14:textId="77777777" w:rsidR="00D5024B" w:rsidRPr="00B6543F" w:rsidRDefault="00A25EE2" w:rsidP="00D5024B">
      <w:pPr>
        <w:pStyle w:val="CoverSeries"/>
        <w:rPr>
          <w:lang w:val="es-ES_tradnl"/>
        </w:rPr>
      </w:pPr>
      <w:r w:rsidRPr="00B6543F">
        <w:rPr>
          <w:lang w:val="es-ES_tradnl"/>
        </w:rPr>
        <w:t>S</w:t>
      </w:r>
      <w:r w:rsidR="0069322D" w:rsidRPr="00B6543F">
        <w:rPr>
          <w:lang w:val="es-ES_tradnl"/>
        </w:rPr>
        <w:t>e</w:t>
      </w:r>
      <w:r w:rsidRPr="00B6543F">
        <w:rPr>
          <w:lang w:val="es-ES_tradnl"/>
        </w:rPr>
        <w:t xml:space="preserve">rie </w:t>
      </w:r>
      <w:r w:rsidR="00441AF2" w:rsidRPr="00B6543F">
        <w:rPr>
          <w:lang w:val="es-ES_tradnl"/>
        </w:rPr>
        <w:t>BT</w:t>
      </w:r>
      <w:r w:rsidR="00D5024B" w:rsidRPr="00B6543F">
        <w:rPr>
          <w:lang w:val="es-ES_tradnl"/>
        </w:rPr>
        <w:t xml:space="preserve">: </w:t>
      </w:r>
      <w:r w:rsidR="00441AF2" w:rsidRPr="00B6543F">
        <w:rPr>
          <w:lang w:val="es-ES_tradnl"/>
        </w:rPr>
        <w:t>Servicio de radiodifusión (televisión)</w:t>
      </w:r>
    </w:p>
    <w:p w14:paraId="392F63B5" w14:textId="77777777" w:rsidR="00534021" w:rsidRPr="00B6543F" w:rsidRDefault="00534021" w:rsidP="00534021">
      <w:pPr>
        <w:pStyle w:val="TitleCover"/>
        <w:rPr>
          <w:lang w:val="es-ES_tradnl"/>
        </w:rPr>
      </w:pPr>
      <w:r w:rsidRPr="00B6543F">
        <w:rPr>
          <w:lang w:val="es-ES_tradnl"/>
        </w:rPr>
        <w:t>Directrices para reducir el riesgo de ataques de epilepsia fotosensible causados por la televisión</w:t>
      </w:r>
    </w:p>
    <w:p w14:paraId="054A38C8" w14:textId="77777777" w:rsidR="00FE79FE" w:rsidRPr="00B6543F" w:rsidRDefault="00FE79FE" w:rsidP="005373E0">
      <w:pPr>
        <w:rPr>
          <w:lang w:val="es-ES_tradnl"/>
        </w:rPr>
      </w:pPr>
    </w:p>
    <w:p w14:paraId="0B71137F" w14:textId="77777777" w:rsidR="00A71FE5" w:rsidRPr="00B6543F" w:rsidRDefault="00A71FE5" w:rsidP="005373E0">
      <w:pPr>
        <w:rPr>
          <w:lang w:val="es-ES_tradnl"/>
        </w:rPr>
      </w:pPr>
    </w:p>
    <w:p w14:paraId="0C05A384" w14:textId="77777777" w:rsidR="00EE47C4" w:rsidRPr="00B6543F" w:rsidRDefault="00EE47C4" w:rsidP="005373E0">
      <w:pPr>
        <w:rPr>
          <w:lang w:val="es-ES_tradnl"/>
        </w:rPr>
        <w:sectPr w:rsidR="00EE47C4" w:rsidRPr="00B6543F"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4F5EB128" w14:textId="77777777" w:rsidR="0069322D" w:rsidRPr="00B6543F" w:rsidRDefault="0069322D" w:rsidP="0069322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0" w:after="0"/>
        <w:rPr>
          <w:bCs/>
          <w:sz w:val="24"/>
          <w:szCs w:val="24"/>
          <w:lang w:val="es-ES_tradnl"/>
        </w:rPr>
      </w:pPr>
      <w:bookmarkStart w:id="0" w:name="c2tope"/>
      <w:bookmarkEnd w:id="0"/>
      <w:r w:rsidRPr="00B6543F">
        <w:rPr>
          <w:bCs/>
          <w:sz w:val="24"/>
          <w:szCs w:val="24"/>
          <w:lang w:val="es-ES_tradnl"/>
        </w:rPr>
        <w:lastRenderedPageBreak/>
        <w:t>Prólogo</w:t>
      </w:r>
    </w:p>
    <w:p w14:paraId="7EBF19D4" w14:textId="77777777" w:rsidR="0069322D" w:rsidRPr="00B6543F" w:rsidRDefault="0069322D" w:rsidP="0069322D">
      <w:pPr>
        <w:spacing w:before="180"/>
        <w:rPr>
          <w:sz w:val="20"/>
          <w:lang w:val="es-ES_tradnl"/>
        </w:rPr>
      </w:pPr>
      <w:r w:rsidRPr="00B6543F">
        <w:rPr>
          <w:sz w:val="20"/>
          <w:lang w:val="es-ES_tradnl"/>
        </w:rPr>
        <w:t>El Sector de Radiocomunicaciones tiene como cometido garantizar la utilización racional, equitativa, eficaz y económica del espectro de frecuencias radioeléctricas por todos los servicios de radiocomunicaciones, incluidos los servicios por satélite, y realizar, sin limitación de gamas de frecuencias, estudios que sirvan de base para la adopción de las Recomendaciones UIT-R.</w:t>
      </w:r>
    </w:p>
    <w:p w14:paraId="044ED31B" w14:textId="77777777" w:rsidR="0069322D" w:rsidRPr="00B6543F" w:rsidRDefault="0069322D" w:rsidP="0069322D">
      <w:pPr>
        <w:rPr>
          <w:sz w:val="20"/>
          <w:lang w:val="es-ES_tradnl"/>
        </w:rPr>
      </w:pPr>
      <w:r w:rsidRPr="00B6543F">
        <w:rPr>
          <w:sz w:val="20"/>
          <w:lang w:val="es-ES_tradnl"/>
        </w:rPr>
        <w:t>Las Conferencias Mundiales y Regionales de Radiocomunicaciones y las Asambleas de Radiocomunicaciones, con la colaboración de las Comisiones de Estudio, cumplen las funciones reglamentarias y políticas del Sector de Radiocomunicaciones.</w:t>
      </w:r>
    </w:p>
    <w:p w14:paraId="5F05544D" w14:textId="77777777" w:rsidR="0069322D" w:rsidRPr="00B6543F" w:rsidRDefault="0069322D" w:rsidP="0069322D">
      <w:pPr>
        <w:pStyle w:val="Heading1"/>
        <w:spacing w:before="340"/>
        <w:jc w:val="center"/>
        <w:rPr>
          <w:szCs w:val="24"/>
          <w:lang w:val="es-ES_tradnl"/>
        </w:rPr>
      </w:pPr>
      <w:r w:rsidRPr="00B6543F">
        <w:rPr>
          <w:lang w:val="es-ES_tradnl"/>
        </w:rPr>
        <w:t>Política sobre Derechos de Propiedad Intelectual</w:t>
      </w:r>
      <w:r w:rsidRPr="00B6543F">
        <w:rPr>
          <w:szCs w:val="24"/>
          <w:lang w:val="es-ES_tradnl"/>
        </w:rPr>
        <w:t xml:space="preserve"> (IPR)</w:t>
      </w:r>
    </w:p>
    <w:p w14:paraId="6A7FEF3A" w14:textId="77777777" w:rsidR="0069322D" w:rsidRPr="00B6543F" w:rsidRDefault="0069322D" w:rsidP="0069322D">
      <w:pPr>
        <w:spacing w:before="180"/>
        <w:rPr>
          <w:sz w:val="20"/>
          <w:lang w:val="es-ES_tradnl"/>
        </w:rPr>
      </w:pPr>
      <w:r w:rsidRPr="00B6543F">
        <w:rPr>
          <w:sz w:val="20"/>
          <w:lang w:val="es-ES_tradnl"/>
        </w:rPr>
        <w:t>La política del UIT</w:t>
      </w:r>
      <w:r w:rsidRPr="00B6543F">
        <w:rPr>
          <w:sz w:val="20"/>
          <w:lang w:val="es-ES_tradnl"/>
        </w:rPr>
        <w:noBreakHyphen/>
        <w:t>R sobre Derechos de Propiedad Intelectual se describe en la Política Común de Patentes UIT</w:t>
      </w:r>
      <w:r w:rsidRPr="00B6543F">
        <w:rPr>
          <w:sz w:val="20"/>
          <w:lang w:val="es-ES_tradnl"/>
        </w:rPr>
        <w:noBreakHyphen/>
        <w:t>T/UIT</w:t>
      </w:r>
      <w:r w:rsidRPr="00B6543F">
        <w:rPr>
          <w:sz w:val="20"/>
          <w:lang w:val="es-ES_tradnl"/>
        </w:rPr>
        <w:noBreakHyphen/>
        <w:t>R/ISO/CEI a la que se hace referencia en la Resolución UIT</w:t>
      </w:r>
      <w:r w:rsidRPr="00B6543F">
        <w:rPr>
          <w:sz w:val="20"/>
          <w:lang w:val="es-ES_tradnl"/>
        </w:rPr>
        <w:noBreakHyphen/>
        <w:t xml:space="preserve">R 1. Los formularios que deben utilizarse en la declaración sobre patentes y utilización de patentes por los titulares de las mismas figuran en la dirección web </w:t>
      </w:r>
      <w:hyperlink r:id="rId11" w:history="1">
        <w:r w:rsidRPr="00B6543F">
          <w:rPr>
            <w:rStyle w:val="Hyperlink"/>
            <w:sz w:val="20"/>
            <w:lang w:val="es-ES_tradnl"/>
          </w:rPr>
          <w:t>http://www.itu.int/ITU-R/go/patents/es</w:t>
        </w:r>
      </w:hyperlink>
      <w:r w:rsidRPr="00B6543F">
        <w:rPr>
          <w:sz w:val="20"/>
          <w:lang w:val="es-ES_tradnl"/>
        </w:rPr>
        <w:t>, donde también aparecen las Directrices para la implementación de la Política Común de Patentes UIT</w:t>
      </w:r>
      <w:r w:rsidRPr="00B6543F">
        <w:rPr>
          <w:sz w:val="20"/>
          <w:lang w:val="es-ES_tradnl"/>
        </w:rPr>
        <w:noBreakHyphen/>
        <w:t>T/UIT</w:t>
      </w:r>
      <w:r w:rsidRPr="00B6543F">
        <w:rPr>
          <w:sz w:val="20"/>
          <w:lang w:val="es-ES_tradnl"/>
        </w:rPr>
        <w:noBreakHyphen/>
        <w:t>R/ISO/CEI y la base de datos sobre información de patentes del UIT</w:t>
      </w:r>
      <w:r w:rsidRPr="00B6543F">
        <w:rPr>
          <w:sz w:val="20"/>
          <w:lang w:val="es-ES_tradnl"/>
        </w:rPr>
        <w:noBreakHyphen/>
        <w:t>R sobre este asunto.</w:t>
      </w:r>
    </w:p>
    <w:p w14:paraId="49097B6E" w14:textId="77777777" w:rsidR="0069322D" w:rsidRPr="00B6543F" w:rsidRDefault="0069322D" w:rsidP="0069322D">
      <w:pPr>
        <w:spacing w:before="0"/>
        <w:jc w:val="center"/>
        <w:rPr>
          <w:sz w:val="22"/>
          <w:lang w:val="es-ES_tradnl"/>
        </w:rPr>
      </w:pPr>
    </w:p>
    <w:p w14:paraId="0BD1125E" w14:textId="77777777" w:rsidR="0069322D" w:rsidRPr="00B6543F" w:rsidRDefault="0069322D" w:rsidP="0069322D">
      <w:pPr>
        <w:spacing w:before="0"/>
        <w:jc w:val="center"/>
        <w:rPr>
          <w:sz w:val="22"/>
          <w:lang w:val="es-ES_tradnl"/>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69322D" w:rsidRPr="00B6543F" w14:paraId="42EE3074" w14:textId="77777777" w:rsidTr="0069322D">
        <w:tc>
          <w:tcPr>
            <w:tcW w:w="9360" w:type="dxa"/>
            <w:gridSpan w:val="2"/>
          </w:tcPr>
          <w:p w14:paraId="6EBA46BC" w14:textId="77777777" w:rsidR="0069322D" w:rsidRPr="00B6543F" w:rsidRDefault="0069322D" w:rsidP="000B4BD9">
            <w:pPr>
              <w:pStyle w:val="Chaptitle"/>
              <w:keepLines w:val="0"/>
              <w:tabs>
                <w:tab w:val="clear" w:pos="794"/>
                <w:tab w:val="clear" w:pos="1191"/>
                <w:tab w:val="clear" w:pos="1588"/>
                <w:tab w:val="clear" w:pos="1985"/>
              </w:tabs>
              <w:overflowPunct/>
              <w:spacing w:before="140"/>
              <w:textAlignment w:val="auto"/>
              <w:rPr>
                <w:sz w:val="22"/>
                <w:szCs w:val="22"/>
                <w:lang w:val="es-ES_tradnl"/>
              </w:rPr>
            </w:pPr>
            <w:r w:rsidRPr="00B6543F">
              <w:rPr>
                <w:sz w:val="22"/>
                <w:szCs w:val="22"/>
                <w:lang w:val="es-ES_tradnl"/>
              </w:rPr>
              <w:t xml:space="preserve">Series de las Recomendaciones UIT-R </w:t>
            </w:r>
          </w:p>
          <w:p w14:paraId="7B38890A" w14:textId="77777777" w:rsidR="0069322D" w:rsidRPr="00B6543F"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s-ES_tradnl"/>
              </w:rPr>
            </w:pPr>
            <w:r w:rsidRPr="00B6543F">
              <w:rPr>
                <w:b w:val="0"/>
                <w:sz w:val="18"/>
                <w:szCs w:val="18"/>
                <w:lang w:val="es-ES_tradnl"/>
              </w:rPr>
              <w:t xml:space="preserve">(También disponible en línea en </w:t>
            </w:r>
            <w:hyperlink r:id="rId12" w:history="1">
              <w:r w:rsidR="00B96572" w:rsidRPr="00B6543F">
                <w:rPr>
                  <w:rStyle w:val="Hyperlink"/>
                  <w:b w:val="0"/>
                  <w:bCs/>
                  <w:sz w:val="18"/>
                  <w:szCs w:val="18"/>
                  <w:lang w:val="es-ES_tradnl"/>
                </w:rPr>
                <w:t>https://www.itu.int/publ/R-REC/es</w:t>
              </w:r>
            </w:hyperlink>
            <w:r w:rsidRPr="00B6543F">
              <w:rPr>
                <w:b w:val="0"/>
                <w:bCs/>
                <w:sz w:val="18"/>
                <w:szCs w:val="18"/>
                <w:lang w:val="es-ES_tradnl"/>
              </w:rPr>
              <w:t>)</w:t>
            </w:r>
          </w:p>
        </w:tc>
      </w:tr>
      <w:tr w:rsidR="0069322D" w:rsidRPr="00B6543F" w14:paraId="7C2EF684" w14:textId="77777777" w:rsidTr="00B96572">
        <w:tc>
          <w:tcPr>
            <w:tcW w:w="1140" w:type="dxa"/>
            <w:tcBorders>
              <w:bottom w:val="nil"/>
            </w:tcBorders>
            <w:vAlign w:val="bottom"/>
          </w:tcPr>
          <w:p w14:paraId="46C5BAAA" w14:textId="77777777" w:rsidR="0069322D" w:rsidRPr="00B6543F" w:rsidRDefault="0069322D" w:rsidP="00B96572">
            <w:pPr>
              <w:spacing w:before="180" w:after="100"/>
              <w:ind w:left="57"/>
              <w:jc w:val="left"/>
              <w:rPr>
                <w:b/>
                <w:bCs/>
                <w:sz w:val="20"/>
                <w:lang w:val="es-ES_tradnl"/>
              </w:rPr>
            </w:pPr>
            <w:r w:rsidRPr="00B6543F">
              <w:rPr>
                <w:b/>
                <w:bCs/>
                <w:sz w:val="20"/>
                <w:lang w:val="es-ES_tradnl"/>
              </w:rPr>
              <w:t>Series</w:t>
            </w:r>
          </w:p>
        </w:tc>
        <w:tc>
          <w:tcPr>
            <w:tcW w:w="8220" w:type="dxa"/>
            <w:tcBorders>
              <w:bottom w:val="nil"/>
            </w:tcBorders>
            <w:vAlign w:val="bottom"/>
          </w:tcPr>
          <w:p w14:paraId="2A96F482" w14:textId="77777777" w:rsidR="0069322D" w:rsidRPr="00B6543F" w:rsidRDefault="0069322D" w:rsidP="00B9657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100"/>
              <w:rPr>
                <w:bCs/>
                <w:sz w:val="20"/>
                <w:lang w:val="es-ES_tradnl"/>
              </w:rPr>
            </w:pPr>
            <w:r w:rsidRPr="00B6543F">
              <w:rPr>
                <w:bCs/>
                <w:sz w:val="20"/>
                <w:lang w:val="es-ES_tradnl"/>
              </w:rPr>
              <w:t>Título</w:t>
            </w:r>
          </w:p>
        </w:tc>
      </w:tr>
      <w:tr w:rsidR="0069322D" w:rsidRPr="00B6543F" w14:paraId="1A8DBA0A" w14:textId="77777777" w:rsidTr="0069322D">
        <w:tc>
          <w:tcPr>
            <w:tcW w:w="1140" w:type="dxa"/>
            <w:tcBorders>
              <w:top w:val="nil"/>
              <w:bottom w:val="nil"/>
            </w:tcBorders>
            <w:shd w:val="clear" w:color="auto" w:fill="auto"/>
          </w:tcPr>
          <w:p w14:paraId="30B4173F" w14:textId="77777777" w:rsidR="0069322D" w:rsidRPr="00B6543F" w:rsidRDefault="0069322D" w:rsidP="000B4BD9">
            <w:pPr>
              <w:spacing w:before="30" w:after="30"/>
              <w:ind w:left="57"/>
              <w:jc w:val="left"/>
              <w:rPr>
                <w:b/>
                <w:bCs/>
                <w:sz w:val="20"/>
                <w:lang w:val="es-ES_tradnl"/>
              </w:rPr>
            </w:pPr>
            <w:r w:rsidRPr="00B6543F">
              <w:rPr>
                <w:b/>
                <w:bCs/>
                <w:sz w:val="20"/>
                <w:lang w:val="es-ES_tradnl"/>
              </w:rPr>
              <w:t>BO</w:t>
            </w:r>
          </w:p>
        </w:tc>
        <w:tc>
          <w:tcPr>
            <w:tcW w:w="8220" w:type="dxa"/>
            <w:tcBorders>
              <w:top w:val="nil"/>
              <w:bottom w:val="nil"/>
            </w:tcBorders>
            <w:shd w:val="clear" w:color="auto" w:fill="auto"/>
          </w:tcPr>
          <w:p w14:paraId="07EC97F1" w14:textId="77777777" w:rsidR="0069322D" w:rsidRPr="00B6543F"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s-ES_tradnl"/>
              </w:rPr>
            </w:pPr>
            <w:r w:rsidRPr="00B6543F">
              <w:rPr>
                <w:b w:val="0"/>
                <w:sz w:val="20"/>
                <w:lang w:val="es-ES_tradnl"/>
              </w:rPr>
              <w:t>Distribución por satélite</w:t>
            </w:r>
          </w:p>
        </w:tc>
      </w:tr>
      <w:tr w:rsidR="0069322D" w:rsidRPr="00B6543F" w14:paraId="0FDAA5A8" w14:textId="77777777" w:rsidTr="0069322D">
        <w:tc>
          <w:tcPr>
            <w:tcW w:w="1140" w:type="dxa"/>
            <w:tcBorders>
              <w:top w:val="nil"/>
              <w:bottom w:val="nil"/>
            </w:tcBorders>
            <w:shd w:val="clear" w:color="auto" w:fill="auto"/>
          </w:tcPr>
          <w:p w14:paraId="4A26E208" w14:textId="77777777" w:rsidR="0069322D" w:rsidRPr="00B6543F" w:rsidRDefault="0069322D" w:rsidP="000B4BD9">
            <w:pPr>
              <w:spacing w:before="30" w:after="30"/>
              <w:ind w:left="57"/>
              <w:jc w:val="left"/>
              <w:rPr>
                <w:b/>
                <w:bCs/>
                <w:sz w:val="20"/>
                <w:lang w:val="es-ES_tradnl"/>
              </w:rPr>
            </w:pPr>
            <w:r w:rsidRPr="00B6543F">
              <w:rPr>
                <w:b/>
                <w:bCs/>
                <w:sz w:val="20"/>
                <w:lang w:val="es-ES_tradnl"/>
              </w:rPr>
              <w:t>BR</w:t>
            </w:r>
          </w:p>
        </w:tc>
        <w:tc>
          <w:tcPr>
            <w:tcW w:w="8220" w:type="dxa"/>
            <w:tcBorders>
              <w:top w:val="nil"/>
              <w:bottom w:val="nil"/>
            </w:tcBorders>
            <w:shd w:val="clear" w:color="auto" w:fill="auto"/>
          </w:tcPr>
          <w:p w14:paraId="50BA22EC" w14:textId="77777777" w:rsidR="0069322D" w:rsidRPr="00B6543F"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s-ES_tradnl"/>
              </w:rPr>
            </w:pPr>
            <w:r w:rsidRPr="00B6543F">
              <w:rPr>
                <w:b w:val="0"/>
                <w:sz w:val="20"/>
                <w:lang w:val="es-ES_tradnl"/>
              </w:rPr>
              <w:t>Registro para producción, archivo y reproducción; películas en televisión</w:t>
            </w:r>
          </w:p>
        </w:tc>
      </w:tr>
      <w:tr w:rsidR="0069322D" w:rsidRPr="00B6543F" w14:paraId="3B39E1D0" w14:textId="77777777" w:rsidTr="00441AF2">
        <w:tc>
          <w:tcPr>
            <w:tcW w:w="1140" w:type="dxa"/>
            <w:tcBorders>
              <w:top w:val="nil"/>
              <w:bottom w:val="nil"/>
            </w:tcBorders>
            <w:shd w:val="clear" w:color="auto" w:fill="auto"/>
          </w:tcPr>
          <w:p w14:paraId="5211E36A" w14:textId="77777777" w:rsidR="0069322D" w:rsidRPr="00B6543F" w:rsidRDefault="0069322D" w:rsidP="000B4BD9">
            <w:pPr>
              <w:spacing w:before="30" w:after="30"/>
              <w:ind w:left="57"/>
              <w:jc w:val="left"/>
              <w:rPr>
                <w:b/>
                <w:bCs/>
                <w:sz w:val="20"/>
                <w:lang w:val="es-ES_tradnl"/>
              </w:rPr>
            </w:pPr>
            <w:r w:rsidRPr="00B6543F">
              <w:rPr>
                <w:b/>
                <w:bCs/>
                <w:sz w:val="20"/>
                <w:lang w:val="es-ES_tradnl"/>
              </w:rPr>
              <w:t>BS</w:t>
            </w:r>
          </w:p>
        </w:tc>
        <w:tc>
          <w:tcPr>
            <w:tcW w:w="8220" w:type="dxa"/>
            <w:tcBorders>
              <w:top w:val="nil"/>
              <w:bottom w:val="nil"/>
            </w:tcBorders>
            <w:shd w:val="clear" w:color="auto" w:fill="auto"/>
          </w:tcPr>
          <w:p w14:paraId="134E3AFE" w14:textId="77777777" w:rsidR="0069322D" w:rsidRPr="00B6543F"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s-ES_tradnl"/>
              </w:rPr>
            </w:pPr>
            <w:r w:rsidRPr="00B6543F">
              <w:rPr>
                <w:b w:val="0"/>
                <w:bCs/>
                <w:sz w:val="20"/>
                <w:lang w:val="es-ES_tradnl"/>
              </w:rPr>
              <w:t>Servicio de radiodifusión (sonora)</w:t>
            </w:r>
          </w:p>
        </w:tc>
      </w:tr>
      <w:tr w:rsidR="00441AF2" w:rsidRPr="00B6543F" w14:paraId="6D8AD8FE" w14:textId="77777777" w:rsidTr="00441AF2">
        <w:tc>
          <w:tcPr>
            <w:tcW w:w="1140" w:type="dxa"/>
            <w:tcBorders>
              <w:top w:val="nil"/>
              <w:bottom w:val="nil"/>
            </w:tcBorders>
            <w:shd w:val="clear" w:color="auto" w:fill="F2F2F2" w:themeFill="background1" w:themeFillShade="F2"/>
          </w:tcPr>
          <w:p w14:paraId="3698C39A" w14:textId="77777777" w:rsidR="0069322D" w:rsidRPr="00B6543F" w:rsidRDefault="0069322D" w:rsidP="000B4BD9">
            <w:pPr>
              <w:spacing w:before="30" w:after="30"/>
              <w:ind w:left="57"/>
              <w:jc w:val="left"/>
              <w:rPr>
                <w:b/>
                <w:bCs/>
                <w:color w:val="000080"/>
                <w:sz w:val="20"/>
                <w:lang w:val="es-ES_tradnl"/>
              </w:rPr>
            </w:pPr>
            <w:r w:rsidRPr="00B6543F">
              <w:rPr>
                <w:b/>
                <w:bCs/>
                <w:color w:val="000080"/>
                <w:sz w:val="20"/>
                <w:lang w:val="es-ES_tradnl"/>
              </w:rPr>
              <w:t>BT</w:t>
            </w:r>
          </w:p>
        </w:tc>
        <w:tc>
          <w:tcPr>
            <w:tcW w:w="8220" w:type="dxa"/>
            <w:tcBorders>
              <w:top w:val="nil"/>
              <w:bottom w:val="nil"/>
            </w:tcBorders>
            <w:shd w:val="clear" w:color="auto" w:fill="F2F2F2" w:themeFill="background1" w:themeFillShade="F2"/>
          </w:tcPr>
          <w:p w14:paraId="1D94B906" w14:textId="77777777" w:rsidR="0069322D" w:rsidRPr="00B6543F"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es-ES_tradnl"/>
              </w:rPr>
            </w:pPr>
            <w:r w:rsidRPr="00B6543F">
              <w:rPr>
                <w:bCs/>
                <w:color w:val="000080"/>
                <w:sz w:val="20"/>
                <w:lang w:val="es-ES_tradnl"/>
              </w:rPr>
              <w:t>Servicio de radiodifusión (televisión)</w:t>
            </w:r>
          </w:p>
        </w:tc>
      </w:tr>
      <w:tr w:rsidR="0069322D" w:rsidRPr="00B6543F" w14:paraId="66F1C0DD" w14:textId="77777777" w:rsidTr="0069322D">
        <w:tc>
          <w:tcPr>
            <w:tcW w:w="1140" w:type="dxa"/>
            <w:tcBorders>
              <w:top w:val="nil"/>
              <w:bottom w:val="nil"/>
            </w:tcBorders>
            <w:shd w:val="clear" w:color="auto" w:fill="auto"/>
          </w:tcPr>
          <w:p w14:paraId="02B382DC" w14:textId="77777777" w:rsidR="0069322D" w:rsidRPr="00B6543F" w:rsidRDefault="0069322D" w:rsidP="000B4BD9">
            <w:pPr>
              <w:spacing w:before="30" w:after="30"/>
              <w:ind w:left="57"/>
              <w:jc w:val="left"/>
              <w:rPr>
                <w:b/>
                <w:bCs/>
                <w:sz w:val="20"/>
                <w:lang w:val="es-ES_tradnl"/>
              </w:rPr>
            </w:pPr>
            <w:r w:rsidRPr="00B6543F">
              <w:rPr>
                <w:b/>
                <w:bCs/>
                <w:sz w:val="20"/>
                <w:lang w:val="es-ES_tradnl"/>
              </w:rPr>
              <w:t>F</w:t>
            </w:r>
          </w:p>
        </w:tc>
        <w:tc>
          <w:tcPr>
            <w:tcW w:w="8220" w:type="dxa"/>
            <w:tcBorders>
              <w:top w:val="nil"/>
              <w:bottom w:val="nil"/>
            </w:tcBorders>
            <w:shd w:val="clear" w:color="auto" w:fill="auto"/>
          </w:tcPr>
          <w:p w14:paraId="3BAFEBB1" w14:textId="77777777" w:rsidR="0069322D" w:rsidRPr="00B6543F"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s-ES_tradnl"/>
              </w:rPr>
            </w:pPr>
            <w:r w:rsidRPr="00B6543F">
              <w:rPr>
                <w:sz w:val="20"/>
                <w:lang w:val="es-ES_tradnl"/>
              </w:rPr>
              <w:t>Servicio fijo</w:t>
            </w:r>
          </w:p>
        </w:tc>
      </w:tr>
      <w:tr w:rsidR="0069322D" w:rsidRPr="00B6543F" w14:paraId="7B324866" w14:textId="77777777" w:rsidTr="0069322D">
        <w:tc>
          <w:tcPr>
            <w:tcW w:w="1140" w:type="dxa"/>
            <w:tcBorders>
              <w:top w:val="nil"/>
              <w:bottom w:val="nil"/>
            </w:tcBorders>
            <w:shd w:val="clear" w:color="auto" w:fill="auto"/>
          </w:tcPr>
          <w:p w14:paraId="6380CDC7" w14:textId="77777777" w:rsidR="0069322D" w:rsidRPr="00B6543F" w:rsidRDefault="0069322D" w:rsidP="000B4BD9">
            <w:pPr>
              <w:spacing w:before="30" w:after="30"/>
              <w:ind w:left="57"/>
              <w:jc w:val="left"/>
              <w:rPr>
                <w:rFonts w:hAnsi="Times New Roman Bold"/>
                <w:b/>
                <w:bCs/>
                <w:sz w:val="20"/>
                <w:lang w:val="es-ES_tradnl"/>
              </w:rPr>
            </w:pPr>
            <w:r w:rsidRPr="00B6543F">
              <w:rPr>
                <w:rFonts w:hAnsi="Times New Roman Bold"/>
                <w:b/>
                <w:bCs/>
                <w:sz w:val="20"/>
                <w:lang w:val="es-ES_tradnl"/>
              </w:rPr>
              <w:t>M</w:t>
            </w:r>
          </w:p>
        </w:tc>
        <w:tc>
          <w:tcPr>
            <w:tcW w:w="8220" w:type="dxa"/>
            <w:tcBorders>
              <w:top w:val="nil"/>
              <w:bottom w:val="nil"/>
            </w:tcBorders>
            <w:shd w:val="clear" w:color="auto" w:fill="auto"/>
          </w:tcPr>
          <w:p w14:paraId="5F632FEC" w14:textId="77777777" w:rsidR="0069322D" w:rsidRPr="00B6543F"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b w:val="0"/>
                <w:sz w:val="20"/>
                <w:lang w:val="es-ES_tradnl"/>
              </w:rPr>
            </w:pPr>
            <w:r w:rsidRPr="00B6543F">
              <w:rPr>
                <w:rFonts w:hAnsi="Times New Roman Bold"/>
                <w:b w:val="0"/>
                <w:sz w:val="20"/>
                <w:lang w:val="es-ES_tradnl"/>
              </w:rPr>
              <w:t>Servicios m</w:t>
            </w:r>
            <w:r w:rsidRPr="00B6543F">
              <w:rPr>
                <w:rFonts w:hAnsi="Times New Roman Bold"/>
                <w:b w:val="0"/>
                <w:sz w:val="20"/>
                <w:lang w:val="es-ES_tradnl"/>
              </w:rPr>
              <w:t>ó</w:t>
            </w:r>
            <w:r w:rsidRPr="00B6543F">
              <w:rPr>
                <w:rFonts w:hAnsi="Times New Roman Bold"/>
                <w:b w:val="0"/>
                <w:sz w:val="20"/>
                <w:lang w:val="es-ES_tradnl"/>
              </w:rPr>
              <w:t>viles, de radiodeterminaci</w:t>
            </w:r>
            <w:r w:rsidRPr="00B6543F">
              <w:rPr>
                <w:rFonts w:hAnsi="Times New Roman Bold"/>
                <w:b w:val="0"/>
                <w:sz w:val="20"/>
                <w:lang w:val="es-ES_tradnl"/>
              </w:rPr>
              <w:t>ó</w:t>
            </w:r>
            <w:r w:rsidRPr="00B6543F">
              <w:rPr>
                <w:rFonts w:hAnsi="Times New Roman Bold"/>
                <w:b w:val="0"/>
                <w:sz w:val="20"/>
                <w:lang w:val="es-ES_tradnl"/>
              </w:rPr>
              <w:t>n, de aficionados y otros servicios por sat</w:t>
            </w:r>
            <w:r w:rsidRPr="00B6543F">
              <w:rPr>
                <w:rFonts w:hAnsi="Times New Roman Bold"/>
                <w:b w:val="0"/>
                <w:sz w:val="20"/>
                <w:lang w:val="es-ES_tradnl"/>
              </w:rPr>
              <w:t>é</w:t>
            </w:r>
            <w:r w:rsidRPr="00B6543F">
              <w:rPr>
                <w:rFonts w:hAnsi="Times New Roman Bold"/>
                <w:b w:val="0"/>
                <w:sz w:val="20"/>
                <w:lang w:val="es-ES_tradnl"/>
              </w:rPr>
              <w:t>lite conexos</w:t>
            </w:r>
          </w:p>
        </w:tc>
      </w:tr>
      <w:tr w:rsidR="0069322D" w:rsidRPr="00B6543F" w14:paraId="03F25277" w14:textId="77777777" w:rsidTr="0069322D">
        <w:tc>
          <w:tcPr>
            <w:tcW w:w="1140" w:type="dxa"/>
            <w:tcBorders>
              <w:top w:val="nil"/>
              <w:bottom w:val="nil"/>
            </w:tcBorders>
            <w:shd w:val="clear" w:color="auto" w:fill="auto"/>
          </w:tcPr>
          <w:p w14:paraId="53105ED3" w14:textId="77777777" w:rsidR="0069322D" w:rsidRPr="00B6543F" w:rsidRDefault="0069322D" w:rsidP="000B4BD9">
            <w:pPr>
              <w:spacing w:before="30" w:after="30"/>
              <w:ind w:left="57"/>
              <w:jc w:val="left"/>
              <w:rPr>
                <w:b/>
                <w:bCs/>
                <w:sz w:val="20"/>
                <w:lang w:val="es-ES_tradnl"/>
              </w:rPr>
            </w:pPr>
            <w:r w:rsidRPr="00B6543F">
              <w:rPr>
                <w:b/>
                <w:bCs/>
                <w:sz w:val="20"/>
                <w:lang w:val="es-ES_tradnl"/>
              </w:rPr>
              <w:t>P</w:t>
            </w:r>
          </w:p>
        </w:tc>
        <w:tc>
          <w:tcPr>
            <w:tcW w:w="8220" w:type="dxa"/>
            <w:tcBorders>
              <w:top w:val="nil"/>
              <w:bottom w:val="nil"/>
            </w:tcBorders>
            <w:shd w:val="clear" w:color="auto" w:fill="auto"/>
          </w:tcPr>
          <w:p w14:paraId="3612A28A" w14:textId="77777777" w:rsidR="0069322D" w:rsidRPr="00B6543F" w:rsidRDefault="0069322D" w:rsidP="000B4BD9">
            <w:pPr>
              <w:spacing w:before="30" w:after="30"/>
              <w:jc w:val="left"/>
              <w:rPr>
                <w:sz w:val="20"/>
                <w:lang w:val="es-ES_tradnl"/>
              </w:rPr>
            </w:pPr>
            <w:r w:rsidRPr="00B6543F">
              <w:rPr>
                <w:sz w:val="20"/>
                <w:lang w:val="es-ES_tradnl"/>
              </w:rPr>
              <w:t>Propagación de las ondas radioeléctricas</w:t>
            </w:r>
          </w:p>
        </w:tc>
      </w:tr>
      <w:tr w:rsidR="0069322D" w:rsidRPr="00B6543F" w14:paraId="07F9D37F" w14:textId="77777777" w:rsidTr="0069322D">
        <w:tc>
          <w:tcPr>
            <w:tcW w:w="1140" w:type="dxa"/>
            <w:tcBorders>
              <w:top w:val="nil"/>
              <w:bottom w:val="nil"/>
            </w:tcBorders>
            <w:shd w:val="clear" w:color="auto" w:fill="auto"/>
          </w:tcPr>
          <w:p w14:paraId="025259E7" w14:textId="77777777" w:rsidR="0069322D" w:rsidRPr="00B6543F" w:rsidRDefault="0069322D" w:rsidP="000B4BD9">
            <w:pPr>
              <w:spacing w:before="30" w:after="30"/>
              <w:ind w:left="57"/>
              <w:jc w:val="left"/>
              <w:rPr>
                <w:b/>
                <w:bCs/>
                <w:sz w:val="20"/>
                <w:lang w:val="es-ES_tradnl"/>
              </w:rPr>
            </w:pPr>
            <w:r w:rsidRPr="00B6543F">
              <w:rPr>
                <w:b/>
                <w:bCs/>
                <w:sz w:val="20"/>
                <w:lang w:val="es-ES_tradnl"/>
              </w:rPr>
              <w:t>RA</w:t>
            </w:r>
          </w:p>
        </w:tc>
        <w:tc>
          <w:tcPr>
            <w:tcW w:w="8220" w:type="dxa"/>
            <w:tcBorders>
              <w:top w:val="nil"/>
              <w:bottom w:val="nil"/>
            </w:tcBorders>
            <w:shd w:val="clear" w:color="auto" w:fill="auto"/>
          </w:tcPr>
          <w:p w14:paraId="2C4FAF03" w14:textId="77777777" w:rsidR="0069322D" w:rsidRPr="00B6543F"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s-ES_tradnl"/>
              </w:rPr>
            </w:pPr>
            <w:r w:rsidRPr="00B6543F">
              <w:rPr>
                <w:sz w:val="20"/>
                <w:lang w:val="es-ES_tradnl"/>
              </w:rPr>
              <w:t>Radioastronomía</w:t>
            </w:r>
          </w:p>
        </w:tc>
      </w:tr>
      <w:tr w:rsidR="0069322D" w:rsidRPr="00B6543F" w14:paraId="091F8607" w14:textId="77777777" w:rsidTr="0069322D">
        <w:tc>
          <w:tcPr>
            <w:tcW w:w="1140" w:type="dxa"/>
            <w:tcBorders>
              <w:top w:val="nil"/>
              <w:bottom w:val="nil"/>
            </w:tcBorders>
            <w:shd w:val="clear" w:color="auto" w:fill="auto"/>
          </w:tcPr>
          <w:p w14:paraId="16336B9B" w14:textId="77777777" w:rsidR="0069322D" w:rsidRPr="00B6543F" w:rsidRDefault="0069322D" w:rsidP="000B4BD9">
            <w:pPr>
              <w:spacing w:before="30" w:after="30"/>
              <w:ind w:left="57"/>
              <w:jc w:val="left"/>
              <w:rPr>
                <w:b/>
                <w:bCs/>
                <w:sz w:val="20"/>
                <w:lang w:val="es-ES_tradnl"/>
              </w:rPr>
            </w:pPr>
            <w:r w:rsidRPr="00B6543F">
              <w:rPr>
                <w:b/>
                <w:bCs/>
                <w:sz w:val="20"/>
                <w:lang w:val="es-ES_tradnl"/>
              </w:rPr>
              <w:t>RS</w:t>
            </w:r>
          </w:p>
        </w:tc>
        <w:tc>
          <w:tcPr>
            <w:tcW w:w="8220" w:type="dxa"/>
            <w:tcBorders>
              <w:top w:val="nil"/>
              <w:bottom w:val="nil"/>
            </w:tcBorders>
            <w:shd w:val="clear" w:color="auto" w:fill="auto"/>
          </w:tcPr>
          <w:p w14:paraId="4DB3E330" w14:textId="77777777" w:rsidR="0069322D" w:rsidRPr="00B6543F"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s-ES_tradnl"/>
              </w:rPr>
            </w:pPr>
            <w:r w:rsidRPr="00B6543F">
              <w:rPr>
                <w:sz w:val="20"/>
                <w:lang w:val="es-ES_tradnl"/>
              </w:rPr>
              <w:t>Sistemas de detección a distancia</w:t>
            </w:r>
          </w:p>
        </w:tc>
      </w:tr>
      <w:tr w:rsidR="0069322D" w:rsidRPr="00B6543F" w14:paraId="7AFEE91F" w14:textId="77777777" w:rsidTr="00441AF2">
        <w:tc>
          <w:tcPr>
            <w:tcW w:w="1140" w:type="dxa"/>
            <w:tcBorders>
              <w:top w:val="nil"/>
              <w:bottom w:val="nil"/>
            </w:tcBorders>
            <w:shd w:val="clear" w:color="auto" w:fill="auto"/>
          </w:tcPr>
          <w:p w14:paraId="19656900" w14:textId="77777777" w:rsidR="0069322D" w:rsidRPr="00B6543F" w:rsidRDefault="0069322D" w:rsidP="000B4BD9">
            <w:pPr>
              <w:spacing w:before="30" w:after="30"/>
              <w:ind w:left="57"/>
              <w:jc w:val="left"/>
              <w:rPr>
                <w:b/>
                <w:bCs/>
                <w:sz w:val="20"/>
                <w:lang w:val="es-ES_tradnl"/>
              </w:rPr>
            </w:pPr>
            <w:r w:rsidRPr="00B6543F">
              <w:rPr>
                <w:b/>
                <w:bCs/>
                <w:sz w:val="20"/>
                <w:lang w:val="es-ES_tradnl"/>
              </w:rPr>
              <w:t>S</w:t>
            </w:r>
          </w:p>
        </w:tc>
        <w:tc>
          <w:tcPr>
            <w:tcW w:w="8220" w:type="dxa"/>
            <w:tcBorders>
              <w:top w:val="nil"/>
              <w:bottom w:val="nil"/>
            </w:tcBorders>
            <w:shd w:val="clear" w:color="auto" w:fill="auto"/>
          </w:tcPr>
          <w:p w14:paraId="6279F027" w14:textId="77777777" w:rsidR="0069322D" w:rsidRPr="00B6543F" w:rsidRDefault="0069322D" w:rsidP="000B4BD9">
            <w:pPr>
              <w:spacing w:before="30" w:after="30"/>
              <w:jc w:val="left"/>
              <w:rPr>
                <w:sz w:val="20"/>
                <w:lang w:val="es-ES_tradnl"/>
              </w:rPr>
            </w:pPr>
            <w:r w:rsidRPr="00B6543F">
              <w:rPr>
                <w:sz w:val="20"/>
                <w:lang w:val="es-ES_tradnl"/>
              </w:rPr>
              <w:t>Servicio fijo por satélite</w:t>
            </w:r>
          </w:p>
        </w:tc>
      </w:tr>
      <w:tr w:rsidR="00441AF2" w:rsidRPr="00B6543F" w14:paraId="76B3D8C5" w14:textId="77777777" w:rsidTr="00441AF2">
        <w:tc>
          <w:tcPr>
            <w:tcW w:w="1140" w:type="dxa"/>
            <w:tcBorders>
              <w:top w:val="nil"/>
              <w:bottom w:val="nil"/>
            </w:tcBorders>
            <w:shd w:val="clear" w:color="auto" w:fill="FFFFFF" w:themeFill="background1"/>
          </w:tcPr>
          <w:p w14:paraId="20424C1D" w14:textId="77777777" w:rsidR="0069322D" w:rsidRPr="00B6543F" w:rsidRDefault="0069322D" w:rsidP="000B4BD9">
            <w:pPr>
              <w:spacing w:before="30" w:after="30"/>
              <w:ind w:left="57"/>
              <w:jc w:val="left"/>
              <w:rPr>
                <w:b/>
                <w:bCs/>
                <w:sz w:val="20"/>
                <w:lang w:val="es-ES_tradnl"/>
              </w:rPr>
            </w:pPr>
            <w:r w:rsidRPr="00B6543F">
              <w:rPr>
                <w:b/>
                <w:bCs/>
                <w:sz w:val="20"/>
                <w:lang w:val="es-ES_tradnl"/>
              </w:rPr>
              <w:t>SA</w:t>
            </w:r>
          </w:p>
        </w:tc>
        <w:tc>
          <w:tcPr>
            <w:tcW w:w="8220" w:type="dxa"/>
            <w:tcBorders>
              <w:top w:val="nil"/>
              <w:bottom w:val="nil"/>
            </w:tcBorders>
            <w:shd w:val="clear" w:color="auto" w:fill="FFFFFF" w:themeFill="background1"/>
          </w:tcPr>
          <w:p w14:paraId="2A6EC622" w14:textId="77777777" w:rsidR="0069322D" w:rsidRPr="00B6543F" w:rsidRDefault="0069322D" w:rsidP="000B4BD9">
            <w:pPr>
              <w:spacing w:before="30" w:after="30"/>
              <w:jc w:val="left"/>
              <w:rPr>
                <w:sz w:val="20"/>
                <w:lang w:val="es-ES_tradnl"/>
              </w:rPr>
            </w:pPr>
            <w:r w:rsidRPr="00B6543F">
              <w:rPr>
                <w:sz w:val="20"/>
                <w:lang w:val="es-ES_tradnl"/>
              </w:rPr>
              <w:t>Aplicaciones espaciales y meteorología</w:t>
            </w:r>
          </w:p>
        </w:tc>
      </w:tr>
      <w:tr w:rsidR="0069322D" w:rsidRPr="00B6543F" w14:paraId="7CB9C06D" w14:textId="77777777" w:rsidTr="0069322D">
        <w:tc>
          <w:tcPr>
            <w:tcW w:w="1140" w:type="dxa"/>
            <w:tcBorders>
              <w:top w:val="nil"/>
            </w:tcBorders>
          </w:tcPr>
          <w:p w14:paraId="6C8FF646" w14:textId="77777777" w:rsidR="0069322D" w:rsidRPr="00B6543F" w:rsidRDefault="0069322D" w:rsidP="000B4BD9">
            <w:pPr>
              <w:spacing w:before="30" w:after="30"/>
              <w:ind w:left="57"/>
              <w:jc w:val="left"/>
              <w:rPr>
                <w:b/>
                <w:bCs/>
                <w:sz w:val="20"/>
                <w:lang w:val="es-ES_tradnl"/>
              </w:rPr>
            </w:pPr>
            <w:r w:rsidRPr="00B6543F">
              <w:rPr>
                <w:b/>
                <w:bCs/>
                <w:sz w:val="20"/>
                <w:lang w:val="es-ES_tradnl"/>
              </w:rPr>
              <w:t>SF</w:t>
            </w:r>
          </w:p>
        </w:tc>
        <w:tc>
          <w:tcPr>
            <w:tcW w:w="8220" w:type="dxa"/>
            <w:tcBorders>
              <w:top w:val="nil"/>
            </w:tcBorders>
          </w:tcPr>
          <w:p w14:paraId="69E7CD3E" w14:textId="77777777" w:rsidR="0069322D" w:rsidRPr="00B6543F" w:rsidRDefault="0069322D" w:rsidP="000B4BD9">
            <w:pPr>
              <w:spacing w:before="30" w:after="30"/>
              <w:jc w:val="left"/>
              <w:rPr>
                <w:bCs/>
                <w:sz w:val="20"/>
                <w:lang w:val="es-ES_tradnl"/>
              </w:rPr>
            </w:pPr>
            <w:r w:rsidRPr="00B6543F">
              <w:rPr>
                <w:bCs/>
                <w:sz w:val="20"/>
                <w:lang w:val="es-ES_tradnl"/>
              </w:rPr>
              <w:t>Compartición de frecuencias y coordinación entre los sistemas del servicio fijo por satélite y del servicio fijo</w:t>
            </w:r>
          </w:p>
        </w:tc>
      </w:tr>
      <w:tr w:rsidR="0069322D" w:rsidRPr="00B6543F" w14:paraId="5FED5520" w14:textId="77777777" w:rsidTr="0069322D">
        <w:tc>
          <w:tcPr>
            <w:tcW w:w="1140" w:type="dxa"/>
            <w:shd w:val="clear" w:color="auto" w:fill="auto"/>
          </w:tcPr>
          <w:p w14:paraId="7D180DEE" w14:textId="77777777" w:rsidR="0069322D" w:rsidRPr="00B6543F" w:rsidRDefault="0069322D" w:rsidP="000B4BD9">
            <w:pPr>
              <w:spacing w:before="30" w:after="30"/>
              <w:ind w:left="57"/>
              <w:jc w:val="left"/>
              <w:rPr>
                <w:b/>
                <w:bCs/>
                <w:sz w:val="20"/>
                <w:lang w:val="es-ES_tradnl"/>
              </w:rPr>
            </w:pPr>
            <w:r w:rsidRPr="00B6543F">
              <w:rPr>
                <w:b/>
                <w:bCs/>
                <w:sz w:val="20"/>
                <w:lang w:val="es-ES_tradnl"/>
              </w:rPr>
              <w:t>SM</w:t>
            </w:r>
          </w:p>
        </w:tc>
        <w:tc>
          <w:tcPr>
            <w:tcW w:w="8220" w:type="dxa"/>
            <w:shd w:val="clear" w:color="auto" w:fill="auto"/>
          </w:tcPr>
          <w:p w14:paraId="1EDB58E0" w14:textId="77777777" w:rsidR="0069322D" w:rsidRPr="00B6543F" w:rsidRDefault="0069322D" w:rsidP="000B4BD9">
            <w:pPr>
              <w:spacing w:before="30" w:after="30"/>
              <w:jc w:val="left"/>
              <w:rPr>
                <w:sz w:val="20"/>
                <w:lang w:val="es-ES_tradnl"/>
              </w:rPr>
            </w:pPr>
            <w:r w:rsidRPr="00B6543F">
              <w:rPr>
                <w:sz w:val="20"/>
                <w:lang w:val="es-ES_tradnl"/>
              </w:rPr>
              <w:t>Gestión del espectro</w:t>
            </w:r>
          </w:p>
        </w:tc>
      </w:tr>
      <w:tr w:rsidR="0069322D" w:rsidRPr="00B6543F" w14:paraId="199D3D8F" w14:textId="77777777" w:rsidTr="0069322D">
        <w:tc>
          <w:tcPr>
            <w:tcW w:w="1140" w:type="dxa"/>
          </w:tcPr>
          <w:p w14:paraId="2EE79EF8" w14:textId="77777777" w:rsidR="0069322D" w:rsidRPr="00B6543F" w:rsidRDefault="0069322D" w:rsidP="000B4BD9">
            <w:pPr>
              <w:spacing w:before="30" w:after="30"/>
              <w:ind w:left="57"/>
              <w:jc w:val="left"/>
              <w:rPr>
                <w:b/>
                <w:bCs/>
                <w:sz w:val="20"/>
                <w:lang w:val="es-ES_tradnl"/>
              </w:rPr>
            </w:pPr>
            <w:r w:rsidRPr="00B6543F">
              <w:rPr>
                <w:b/>
                <w:bCs/>
                <w:sz w:val="20"/>
                <w:lang w:val="es-ES_tradnl"/>
              </w:rPr>
              <w:t>SNG</w:t>
            </w:r>
          </w:p>
        </w:tc>
        <w:tc>
          <w:tcPr>
            <w:tcW w:w="8220" w:type="dxa"/>
          </w:tcPr>
          <w:p w14:paraId="06CA4A9E" w14:textId="77777777" w:rsidR="0069322D" w:rsidRPr="00B6543F" w:rsidRDefault="0069322D" w:rsidP="000B4BD9">
            <w:pPr>
              <w:spacing w:before="30" w:after="30"/>
              <w:jc w:val="left"/>
              <w:rPr>
                <w:bCs/>
                <w:sz w:val="20"/>
                <w:lang w:val="es-ES_tradnl"/>
              </w:rPr>
            </w:pPr>
            <w:r w:rsidRPr="00B6543F">
              <w:rPr>
                <w:bCs/>
                <w:sz w:val="20"/>
                <w:lang w:val="es-ES_tradnl"/>
              </w:rPr>
              <w:t>Periodismo electrónico por satélite</w:t>
            </w:r>
          </w:p>
        </w:tc>
      </w:tr>
      <w:tr w:rsidR="0069322D" w:rsidRPr="00B6543F" w14:paraId="66F44B94" w14:textId="77777777" w:rsidTr="0069322D">
        <w:tc>
          <w:tcPr>
            <w:tcW w:w="1140" w:type="dxa"/>
          </w:tcPr>
          <w:p w14:paraId="404F463B" w14:textId="77777777" w:rsidR="0069322D" w:rsidRPr="00B6543F" w:rsidRDefault="0069322D" w:rsidP="000B4BD9">
            <w:pPr>
              <w:spacing w:before="30" w:after="30"/>
              <w:ind w:left="57"/>
              <w:jc w:val="left"/>
              <w:rPr>
                <w:b/>
                <w:bCs/>
                <w:sz w:val="20"/>
                <w:lang w:val="es-ES_tradnl"/>
              </w:rPr>
            </w:pPr>
            <w:r w:rsidRPr="00B6543F">
              <w:rPr>
                <w:b/>
                <w:bCs/>
                <w:sz w:val="20"/>
                <w:lang w:val="es-ES_tradnl"/>
              </w:rPr>
              <w:t>TF</w:t>
            </w:r>
          </w:p>
        </w:tc>
        <w:tc>
          <w:tcPr>
            <w:tcW w:w="8220" w:type="dxa"/>
          </w:tcPr>
          <w:p w14:paraId="3C461083" w14:textId="77777777" w:rsidR="0069322D" w:rsidRPr="00B6543F" w:rsidRDefault="0069322D" w:rsidP="000B4BD9">
            <w:pPr>
              <w:spacing w:before="30" w:after="30"/>
              <w:jc w:val="left"/>
              <w:rPr>
                <w:bCs/>
                <w:sz w:val="20"/>
                <w:lang w:val="es-ES_tradnl"/>
              </w:rPr>
            </w:pPr>
            <w:r w:rsidRPr="00B6543F">
              <w:rPr>
                <w:bCs/>
                <w:sz w:val="20"/>
                <w:lang w:val="es-ES_tradnl"/>
              </w:rPr>
              <w:t>Emisiones de frecuencias patrón y señales horarias</w:t>
            </w:r>
          </w:p>
        </w:tc>
      </w:tr>
      <w:tr w:rsidR="0069322D" w:rsidRPr="00B6543F" w14:paraId="0E234528" w14:textId="77777777" w:rsidTr="0069322D">
        <w:tc>
          <w:tcPr>
            <w:tcW w:w="1140" w:type="dxa"/>
          </w:tcPr>
          <w:p w14:paraId="45044C60" w14:textId="77777777" w:rsidR="0069322D" w:rsidRPr="00B6543F" w:rsidRDefault="0069322D" w:rsidP="000B4BD9">
            <w:pPr>
              <w:spacing w:before="30" w:after="30"/>
              <w:ind w:left="57"/>
              <w:jc w:val="left"/>
              <w:rPr>
                <w:b/>
                <w:bCs/>
                <w:sz w:val="20"/>
                <w:lang w:val="es-ES_tradnl"/>
              </w:rPr>
            </w:pPr>
            <w:r w:rsidRPr="00B6543F">
              <w:rPr>
                <w:b/>
                <w:bCs/>
                <w:sz w:val="20"/>
                <w:lang w:val="es-ES_tradnl"/>
              </w:rPr>
              <w:t>V</w:t>
            </w:r>
          </w:p>
        </w:tc>
        <w:tc>
          <w:tcPr>
            <w:tcW w:w="8220" w:type="dxa"/>
          </w:tcPr>
          <w:p w14:paraId="50F2D006" w14:textId="77777777" w:rsidR="0069322D" w:rsidRPr="00B6543F" w:rsidRDefault="0069322D" w:rsidP="000B4BD9">
            <w:pPr>
              <w:spacing w:before="30" w:after="140"/>
              <w:jc w:val="left"/>
              <w:rPr>
                <w:bCs/>
                <w:sz w:val="20"/>
                <w:lang w:val="es-ES_tradnl"/>
              </w:rPr>
            </w:pPr>
            <w:r w:rsidRPr="00B6543F">
              <w:rPr>
                <w:bCs/>
                <w:sz w:val="20"/>
                <w:lang w:val="es-ES_tradnl"/>
              </w:rPr>
              <w:t>Vocabulario y cuestiones afines</w:t>
            </w:r>
          </w:p>
        </w:tc>
      </w:tr>
    </w:tbl>
    <w:p w14:paraId="7A20D43D" w14:textId="77777777" w:rsidR="0069322D" w:rsidRPr="00B6543F" w:rsidRDefault="0069322D" w:rsidP="0069322D">
      <w:pPr>
        <w:spacing w:before="0" w:after="140"/>
        <w:jc w:val="center"/>
        <w:rPr>
          <w:sz w:val="20"/>
          <w:lang w:val="es-ES_tradnl"/>
        </w:rPr>
      </w:pPr>
    </w:p>
    <w:tbl>
      <w:tblPr>
        <w:tblpPr w:leftFromText="180" w:rightFromText="180" w:vertAnchor="text" w:tblpX="-5771" w:tblpY="-4031"/>
        <w:tblW w:w="0" w:type="auto"/>
        <w:tblLook w:val="0000" w:firstRow="0" w:lastRow="0" w:firstColumn="0" w:lastColumn="0" w:noHBand="0" w:noVBand="0"/>
      </w:tblPr>
      <w:tblGrid>
        <w:gridCol w:w="720"/>
      </w:tblGrid>
      <w:tr w:rsidR="0069322D" w:rsidRPr="00B6543F" w14:paraId="0547464D" w14:textId="77777777" w:rsidTr="000B4BD9">
        <w:tc>
          <w:tcPr>
            <w:tcW w:w="720" w:type="dxa"/>
          </w:tcPr>
          <w:p w14:paraId="587B17A7" w14:textId="77777777" w:rsidR="0069322D" w:rsidRPr="00B6543F" w:rsidRDefault="0069322D" w:rsidP="000B4BD9">
            <w:pPr>
              <w:spacing w:before="0"/>
              <w:jc w:val="center"/>
              <w:rPr>
                <w:sz w:val="22"/>
                <w:lang w:val="es-ES_tradnl"/>
              </w:rPr>
            </w:pPr>
          </w:p>
        </w:tc>
      </w:tr>
    </w:tbl>
    <w:tbl>
      <w:tblPr>
        <w:tblStyle w:val="TableGrid"/>
        <w:tblW w:w="5000" w:type="pct"/>
        <w:tblBorders>
          <w:top w:val="single" w:sz="12" w:space="0" w:color="000080"/>
          <w:left w:val="single" w:sz="12" w:space="0" w:color="000080"/>
          <w:bottom w:val="single" w:sz="12" w:space="0" w:color="000080"/>
          <w:right w:val="single" w:sz="12" w:space="0" w:color="000080"/>
          <w:insideH w:val="none" w:sz="0" w:space="0" w:color="auto"/>
          <w:insideV w:val="none" w:sz="0" w:space="0" w:color="auto"/>
        </w:tblBorders>
        <w:tblLook w:val="01E0" w:firstRow="1" w:lastRow="1" w:firstColumn="1" w:lastColumn="1" w:noHBand="0" w:noVBand="0"/>
      </w:tblPr>
      <w:tblGrid>
        <w:gridCol w:w="9609"/>
      </w:tblGrid>
      <w:tr w:rsidR="0069322D" w:rsidRPr="00B6543F" w14:paraId="094AD034" w14:textId="77777777" w:rsidTr="00B96572">
        <w:tc>
          <w:tcPr>
            <w:tcW w:w="9360" w:type="dxa"/>
          </w:tcPr>
          <w:p w14:paraId="1A60A947" w14:textId="77777777" w:rsidR="0069322D" w:rsidRPr="00B6543F" w:rsidRDefault="0069322D" w:rsidP="00B96572">
            <w:pPr>
              <w:spacing w:before="92" w:after="92"/>
              <w:rPr>
                <w:rFonts w:ascii="Times New Roman" w:hAnsi="Times New Roman" w:cs="Times New Roman"/>
                <w:i/>
                <w:iCs/>
                <w:sz w:val="20"/>
                <w:lang w:val="es-ES_tradnl"/>
              </w:rPr>
            </w:pPr>
            <w:r w:rsidRPr="00B6543F">
              <w:rPr>
                <w:rFonts w:ascii="Times New Roman" w:hAnsi="Times New Roman" w:cs="Times New Roman"/>
                <w:b/>
                <w:bCs/>
                <w:i/>
                <w:iCs/>
                <w:sz w:val="20"/>
                <w:lang w:val="es-ES_tradnl"/>
              </w:rPr>
              <w:t>Nota</w:t>
            </w:r>
            <w:r w:rsidRPr="00B6543F">
              <w:rPr>
                <w:rFonts w:ascii="Times New Roman" w:hAnsi="Times New Roman" w:cs="Times New Roman"/>
                <w:i/>
                <w:iCs/>
                <w:sz w:val="20"/>
                <w:lang w:val="es-ES_tradnl"/>
              </w:rPr>
              <w:t>: Esta Recomendación UIT-R fue aprobada en inglés conforme al procedimiento detallado en la Resolución UIT</w:t>
            </w:r>
            <w:r w:rsidR="00B96572" w:rsidRPr="00B6543F">
              <w:rPr>
                <w:rFonts w:ascii="Times New Roman" w:hAnsi="Times New Roman" w:cs="Times New Roman"/>
                <w:i/>
                <w:iCs/>
                <w:sz w:val="20"/>
                <w:lang w:val="es-ES_tradnl"/>
              </w:rPr>
              <w:noBreakHyphen/>
            </w:r>
            <w:r w:rsidRPr="00B6543F">
              <w:rPr>
                <w:rFonts w:ascii="Times New Roman" w:hAnsi="Times New Roman" w:cs="Times New Roman"/>
                <w:i/>
                <w:iCs/>
                <w:sz w:val="20"/>
                <w:lang w:val="es-ES_tradnl"/>
              </w:rPr>
              <w:t>R</w:t>
            </w:r>
            <w:r w:rsidR="00B96572" w:rsidRPr="00B6543F">
              <w:rPr>
                <w:rFonts w:ascii="Times New Roman" w:hAnsi="Times New Roman" w:cs="Times New Roman"/>
                <w:i/>
                <w:iCs/>
                <w:sz w:val="20"/>
                <w:lang w:val="es-ES_tradnl"/>
              </w:rPr>
              <w:t> </w:t>
            </w:r>
            <w:r w:rsidRPr="00B6543F">
              <w:rPr>
                <w:rFonts w:ascii="Times New Roman" w:hAnsi="Times New Roman" w:cs="Times New Roman"/>
                <w:i/>
                <w:iCs/>
                <w:sz w:val="20"/>
                <w:lang w:val="es-ES_tradnl"/>
              </w:rPr>
              <w:t>1.</w:t>
            </w:r>
          </w:p>
        </w:tc>
      </w:tr>
    </w:tbl>
    <w:p w14:paraId="16221257" w14:textId="77777777" w:rsidR="0069322D" w:rsidRPr="00B6543F" w:rsidRDefault="0069322D" w:rsidP="0069322D">
      <w:pPr>
        <w:spacing w:before="0"/>
        <w:jc w:val="center"/>
        <w:rPr>
          <w:sz w:val="22"/>
          <w:lang w:val="es-ES_tradnl"/>
        </w:rPr>
      </w:pPr>
    </w:p>
    <w:p w14:paraId="342656F8" w14:textId="77777777" w:rsidR="0069322D" w:rsidRPr="00B6543F" w:rsidRDefault="0069322D" w:rsidP="0069322D">
      <w:pPr>
        <w:spacing w:before="60"/>
        <w:jc w:val="right"/>
        <w:rPr>
          <w:i/>
          <w:iCs/>
          <w:sz w:val="20"/>
          <w:lang w:val="es-ES_tradnl"/>
        </w:rPr>
      </w:pPr>
      <w:r w:rsidRPr="00B6543F">
        <w:rPr>
          <w:i/>
          <w:iCs/>
          <w:sz w:val="20"/>
          <w:lang w:val="es-ES_tradnl"/>
        </w:rPr>
        <w:t>Publicación electrónica</w:t>
      </w:r>
    </w:p>
    <w:p w14:paraId="3DE326E2" w14:textId="20E74446" w:rsidR="0069322D" w:rsidRPr="00B6543F" w:rsidRDefault="0069322D" w:rsidP="0069322D">
      <w:pPr>
        <w:spacing w:before="0" w:after="40"/>
        <w:jc w:val="right"/>
        <w:rPr>
          <w:sz w:val="20"/>
          <w:lang w:val="es-ES_tradnl"/>
        </w:rPr>
      </w:pPr>
      <w:r w:rsidRPr="00B6543F">
        <w:rPr>
          <w:sz w:val="20"/>
          <w:lang w:val="es-ES_tradnl"/>
        </w:rPr>
        <w:t>Ginebra, 20</w:t>
      </w:r>
      <w:r w:rsidR="00B96572" w:rsidRPr="00B6543F">
        <w:rPr>
          <w:sz w:val="20"/>
          <w:lang w:val="es-ES_tradnl"/>
        </w:rPr>
        <w:t>2</w:t>
      </w:r>
      <w:r w:rsidR="00A903DE" w:rsidRPr="00B6543F">
        <w:rPr>
          <w:sz w:val="20"/>
          <w:lang w:val="es-ES_tradnl"/>
        </w:rPr>
        <w:t>4</w:t>
      </w:r>
    </w:p>
    <w:p w14:paraId="4E578E2F" w14:textId="77777777" w:rsidR="0069322D" w:rsidRPr="00B6543F" w:rsidRDefault="0069322D" w:rsidP="0069322D">
      <w:pPr>
        <w:spacing w:before="0" w:after="120"/>
        <w:jc w:val="center"/>
        <w:rPr>
          <w:sz w:val="22"/>
          <w:lang w:val="es-ES_tradnl"/>
        </w:rPr>
      </w:pPr>
    </w:p>
    <w:p w14:paraId="0FF67200" w14:textId="0CEF759E" w:rsidR="0069322D" w:rsidRPr="00B6543F" w:rsidRDefault="0069322D" w:rsidP="0069322D">
      <w:pPr>
        <w:spacing w:before="0"/>
        <w:jc w:val="center"/>
        <w:rPr>
          <w:sz w:val="20"/>
          <w:lang w:val="es-ES_tradnl"/>
        </w:rPr>
      </w:pPr>
      <w:r w:rsidRPr="00B6543F">
        <w:rPr>
          <w:sz w:val="20"/>
          <w:lang w:val="es-ES_tradnl"/>
        </w:rPr>
        <w:sym w:font="Symbol" w:char="F0E3"/>
      </w:r>
      <w:r w:rsidRPr="00B6543F">
        <w:rPr>
          <w:sz w:val="20"/>
          <w:lang w:val="es-ES_tradnl"/>
        </w:rPr>
        <w:t xml:space="preserve"> UIT </w:t>
      </w:r>
      <w:bookmarkStart w:id="1" w:name="iiannee"/>
      <w:bookmarkEnd w:id="1"/>
      <w:r w:rsidRPr="00B6543F">
        <w:rPr>
          <w:sz w:val="20"/>
          <w:lang w:val="es-ES_tradnl"/>
        </w:rPr>
        <w:t>20</w:t>
      </w:r>
      <w:r w:rsidR="00B96572" w:rsidRPr="00B6543F">
        <w:rPr>
          <w:sz w:val="20"/>
          <w:lang w:val="es-ES_tradnl"/>
        </w:rPr>
        <w:t>2</w:t>
      </w:r>
      <w:r w:rsidR="00A903DE" w:rsidRPr="00B6543F">
        <w:rPr>
          <w:sz w:val="20"/>
          <w:lang w:val="es-ES_tradnl"/>
        </w:rPr>
        <w:t>4</w:t>
      </w:r>
    </w:p>
    <w:p w14:paraId="7C802411" w14:textId="77777777" w:rsidR="00D5024B" w:rsidRPr="00B6543F" w:rsidRDefault="0069322D" w:rsidP="0069322D">
      <w:pPr>
        <w:rPr>
          <w:sz w:val="18"/>
          <w:szCs w:val="18"/>
          <w:lang w:val="es-ES_tradnl"/>
        </w:rPr>
      </w:pPr>
      <w:r w:rsidRPr="00B6543F">
        <w:rPr>
          <w:sz w:val="18"/>
          <w:szCs w:val="18"/>
          <w:lang w:val="es-ES_tradnl"/>
        </w:rPr>
        <w:t>Reservados todos los derechos. Ninguna parte de esta publicación puede reproducirse por ningún procedimiento sin previa autorización escrita por parte de la UIT.</w:t>
      </w:r>
    </w:p>
    <w:p w14:paraId="5AF4979C" w14:textId="77777777" w:rsidR="007565CC" w:rsidRPr="00B6543F" w:rsidRDefault="007565CC" w:rsidP="00A971A1">
      <w:pPr>
        <w:spacing w:before="160"/>
        <w:rPr>
          <w:i/>
          <w:sz w:val="20"/>
          <w:lang w:val="es-ES_tradnl"/>
        </w:rPr>
        <w:sectPr w:rsidR="007565CC" w:rsidRPr="00B6543F"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14:paraId="2D660272" w14:textId="098B1931" w:rsidR="00534021" w:rsidRPr="00B6543F" w:rsidRDefault="00534021" w:rsidP="00534021">
      <w:pPr>
        <w:pStyle w:val="RecNo"/>
        <w:spacing w:before="0"/>
        <w:rPr>
          <w:lang w:val="es-ES_tradnl"/>
        </w:rPr>
      </w:pPr>
      <w:bookmarkStart w:id="2" w:name="irecnoe"/>
      <w:bookmarkEnd w:id="2"/>
      <w:r w:rsidRPr="00B6543F">
        <w:rPr>
          <w:lang w:val="es-ES_tradnl"/>
        </w:rPr>
        <w:lastRenderedPageBreak/>
        <w:t xml:space="preserve">RECOMENDACIÓN  </w:t>
      </w:r>
      <w:r w:rsidRPr="00B6543F">
        <w:rPr>
          <w:rStyle w:val="href"/>
          <w:lang w:val="es-ES_tradnl"/>
        </w:rPr>
        <w:t>UIT-R  BT.1702-3</w:t>
      </w:r>
      <w:r w:rsidR="0060745C" w:rsidRPr="00B6543F">
        <w:rPr>
          <w:rStyle w:val="FootnoteReference"/>
          <w:lang w:val="es-ES_tradnl"/>
        </w:rPr>
        <w:footnoteReference w:customMarkFollows="1" w:id="1"/>
        <w:t>1</w:t>
      </w:r>
    </w:p>
    <w:p w14:paraId="5D106482" w14:textId="77777777" w:rsidR="00534021" w:rsidRPr="00B6543F" w:rsidRDefault="00534021" w:rsidP="00534021">
      <w:pPr>
        <w:pStyle w:val="Rectitle"/>
        <w:rPr>
          <w:lang w:val="es-ES_tradnl"/>
        </w:rPr>
      </w:pPr>
      <w:r w:rsidRPr="00B6543F">
        <w:rPr>
          <w:lang w:val="es-ES_tradnl"/>
        </w:rPr>
        <w:t>Directrices para reducir el riesgo de ataques de epilepsia fotosensible</w:t>
      </w:r>
      <w:r w:rsidRPr="00B6543F">
        <w:rPr>
          <w:lang w:val="es-ES_tradnl"/>
        </w:rPr>
        <w:br/>
        <w:t>causados por la televisión</w:t>
      </w:r>
    </w:p>
    <w:p w14:paraId="58ECA804" w14:textId="77777777" w:rsidR="00534021" w:rsidRPr="00B6543F" w:rsidRDefault="00534021" w:rsidP="00534021">
      <w:pPr>
        <w:pStyle w:val="Recdate"/>
        <w:spacing w:before="0"/>
        <w:rPr>
          <w:lang w:val="es-ES_tradnl"/>
        </w:rPr>
      </w:pPr>
      <w:r w:rsidRPr="00B6543F">
        <w:rPr>
          <w:lang w:val="es-ES_tradnl"/>
        </w:rPr>
        <w:t>(2005-2018-2019-2023)</w:t>
      </w:r>
    </w:p>
    <w:p w14:paraId="09F684A9" w14:textId="77777777" w:rsidR="00534021" w:rsidRPr="00B6543F" w:rsidRDefault="00534021" w:rsidP="007F00DD">
      <w:pPr>
        <w:pStyle w:val="HeadingSum"/>
        <w:rPr>
          <w:lang w:val="es-ES_tradnl"/>
        </w:rPr>
      </w:pPr>
      <w:r w:rsidRPr="00B6543F">
        <w:rPr>
          <w:lang w:val="es-ES_tradnl"/>
        </w:rPr>
        <w:t>Cometido</w:t>
      </w:r>
    </w:p>
    <w:p w14:paraId="514C0DC0" w14:textId="7FA3C28C" w:rsidR="00534021" w:rsidRPr="00B6543F" w:rsidRDefault="00534021" w:rsidP="007F00DD">
      <w:pPr>
        <w:pStyle w:val="Summary"/>
        <w:rPr>
          <w:lang w:val="es-ES_tradnl" w:eastAsia="ja-JP"/>
        </w:rPr>
      </w:pPr>
      <w:r w:rsidRPr="00B6543F">
        <w:rPr>
          <w:lang w:val="es-ES_tradnl"/>
        </w:rPr>
        <w:t>La presente Recomendación surge como consecuencia de un gran número de estudios que se han realizado en todo el mundo sobre la epilepsia fotosensible. Las directrices propuestas en esta Recomendación tienen por objeto proteger el segmento vulnerable de telespectadores que sufre de epilepsia fotosensible y que, por consiguiente, es propenso a padecer ataques causados por luces parpadeantes o intermitentes, entre las que se pueden mencionar cierto tipo de imágenes de televisión o imágenes que cambian rápidamente o ciertos tipos de imágenes estáticas de carácter repetitivo</w:t>
      </w:r>
      <w:r w:rsidR="0060745C" w:rsidRPr="00B6543F">
        <w:rPr>
          <w:rStyle w:val="FootnoteReference"/>
          <w:lang w:val="es-ES_tradnl"/>
        </w:rPr>
        <w:footnoteReference w:customMarkFollows="1" w:id="2"/>
        <w:t>2</w:t>
      </w:r>
      <w:r w:rsidRPr="00B6543F">
        <w:rPr>
          <w:lang w:val="es-ES_tradnl"/>
        </w:rPr>
        <w:t>. Se solicita a las organizaciones de radiodifusión que sensibilicen a los productores de programas sobre los riesgos que supone crear contenido de imágenes de televisión que puedan ocasionar ataques de epilepsia fotosensible en televidentes susceptibles a este tipo de imágenes. En los Anexos 1 a 5 aparece información de orientación adicional sobre este tema</w:t>
      </w:r>
      <w:r w:rsidRPr="00B6543F">
        <w:rPr>
          <w:lang w:val="es-ES_tradnl" w:eastAsia="ja-JP"/>
        </w:rPr>
        <w:t>.</w:t>
      </w:r>
    </w:p>
    <w:p w14:paraId="6DB86E17" w14:textId="77777777" w:rsidR="00534021" w:rsidRPr="00B6543F" w:rsidRDefault="00534021" w:rsidP="00534021">
      <w:pPr>
        <w:pStyle w:val="Headingb"/>
        <w:rPr>
          <w:lang w:val="es-ES_tradnl"/>
        </w:rPr>
      </w:pPr>
      <w:r w:rsidRPr="00B6543F">
        <w:rPr>
          <w:lang w:val="es-ES_tradnl"/>
        </w:rPr>
        <w:t>Palabras clave</w:t>
      </w:r>
    </w:p>
    <w:p w14:paraId="57646569" w14:textId="77777777" w:rsidR="00534021" w:rsidRPr="00B6543F" w:rsidRDefault="00534021" w:rsidP="00534021">
      <w:pPr>
        <w:rPr>
          <w:lang w:val="es-ES_tradnl" w:eastAsia="ja-JP"/>
        </w:rPr>
      </w:pPr>
      <w:r w:rsidRPr="00B6543F">
        <w:rPr>
          <w:lang w:val="es-ES_tradnl" w:eastAsia="ja-JP"/>
        </w:rPr>
        <w:t>Epilepsia, imágenes parpadeantes, fotosensibilidad, ataques, imágenes estáticas de carácter repetitivo</w:t>
      </w:r>
    </w:p>
    <w:p w14:paraId="41934D21" w14:textId="77777777" w:rsidR="00534021" w:rsidRPr="00B6543F" w:rsidRDefault="00534021" w:rsidP="00534021">
      <w:pPr>
        <w:pStyle w:val="Normalaftertitle"/>
        <w:rPr>
          <w:lang w:val="es-ES_tradnl"/>
        </w:rPr>
      </w:pPr>
      <w:r w:rsidRPr="00B6543F">
        <w:rPr>
          <w:lang w:val="es-ES_tradnl"/>
        </w:rPr>
        <w:t>La Asamblea de Radiocomunicaciones de la UIT,</w:t>
      </w:r>
    </w:p>
    <w:p w14:paraId="4B02B89D" w14:textId="77777777" w:rsidR="00534021" w:rsidRPr="00B6543F" w:rsidRDefault="00534021" w:rsidP="00534021">
      <w:pPr>
        <w:pStyle w:val="Call"/>
        <w:rPr>
          <w:lang w:val="es-ES_tradnl"/>
        </w:rPr>
      </w:pPr>
      <w:r w:rsidRPr="00B6543F">
        <w:rPr>
          <w:lang w:val="es-ES_tradnl"/>
        </w:rPr>
        <w:t>considerando</w:t>
      </w:r>
    </w:p>
    <w:p w14:paraId="42713FC5" w14:textId="325DAC22" w:rsidR="00534021" w:rsidRPr="00B6543F" w:rsidRDefault="00534021" w:rsidP="00534021">
      <w:pPr>
        <w:rPr>
          <w:lang w:val="es-ES_tradnl"/>
        </w:rPr>
      </w:pPr>
      <w:r w:rsidRPr="00B6543F">
        <w:rPr>
          <w:i/>
          <w:iCs/>
          <w:lang w:val="es-ES_tradnl"/>
        </w:rPr>
        <w:t>a)</w:t>
      </w:r>
      <w:r w:rsidRPr="00B6543F">
        <w:rPr>
          <w:lang w:val="es-ES_tradnl"/>
        </w:rPr>
        <w:tab/>
        <w:t>que en diversas partes del mundo se han registrado varios casos de ataques epilépticos fotosensibles individuales o colectivos en personas vulnerables, particularmente en niños, causados por imágenes y estáticas de carácter repetitivo de televisión parpadeantes o intermitentes;</w:t>
      </w:r>
    </w:p>
    <w:p w14:paraId="0DA82F27" w14:textId="77777777" w:rsidR="00534021" w:rsidRPr="00B6543F" w:rsidRDefault="00534021" w:rsidP="00534021">
      <w:pPr>
        <w:rPr>
          <w:lang w:val="es-ES_tradnl"/>
        </w:rPr>
      </w:pPr>
      <w:r w:rsidRPr="00B6543F">
        <w:rPr>
          <w:i/>
          <w:iCs/>
          <w:lang w:val="es-ES_tradnl"/>
        </w:rPr>
        <w:t>b)</w:t>
      </w:r>
      <w:r w:rsidRPr="00B6543F">
        <w:rPr>
          <w:lang w:val="es-ES_tradnl"/>
        </w:rPr>
        <w:tab/>
        <w:t>que si bien las imágenes de televisión proyectadas en los receptores de televisión no son la causa directa de epilepsia fotosensible, éstas pueden provocar ataques en personas que sufren de esta patología;</w:t>
      </w:r>
    </w:p>
    <w:p w14:paraId="0825A2B2" w14:textId="77777777" w:rsidR="00534021" w:rsidRPr="00B6543F" w:rsidRDefault="00534021" w:rsidP="00534021">
      <w:pPr>
        <w:rPr>
          <w:lang w:val="es-ES_tradnl"/>
        </w:rPr>
      </w:pPr>
      <w:r w:rsidRPr="00B6543F">
        <w:rPr>
          <w:i/>
          <w:iCs/>
          <w:lang w:val="es-ES_tradnl"/>
        </w:rPr>
        <w:t>c)</w:t>
      </w:r>
      <w:r w:rsidRPr="00B6543F">
        <w:rPr>
          <w:lang w:val="es-ES_tradnl"/>
        </w:rPr>
        <w:tab/>
        <w:t>que es conveniente identificar medidas a fin de evitar la creación involuntaria de material para la radiodifusión de televisión que pueda provocar ataques de epilepsia fotosensible;</w:t>
      </w:r>
    </w:p>
    <w:p w14:paraId="26DF2AA2" w14:textId="77777777" w:rsidR="00534021" w:rsidRPr="00B6543F" w:rsidRDefault="00534021" w:rsidP="00534021">
      <w:pPr>
        <w:rPr>
          <w:lang w:val="es-ES_tradnl"/>
        </w:rPr>
      </w:pPr>
      <w:r w:rsidRPr="00B6543F">
        <w:rPr>
          <w:i/>
          <w:iCs/>
          <w:lang w:val="es-ES_tradnl"/>
        </w:rPr>
        <w:t>d)</w:t>
      </w:r>
      <w:r w:rsidRPr="00B6543F">
        <w:rPr>
          <w:lang w:val="es-ES_tradnl"/>
        </w:rPr>
        <w:tab/>
        <w:t>que las medidas deben ser proporcionales a los riesgos y que no deben constituir una barrera para las organizaciones de radiodifusión o los productores de programas;</w:t>
      </w:r>
    </w:p>
    <w:p w14:paraId="5A734385" w14:textId="77777777" w:rsidR="00534021" w:rsidRPr="00B6543F" w:rsidRDefault="00534021" w:rsidP="00534021">
      <w:pPr>
        <w:rPr>
          <w:lang w:val="es-ES_tradnl"/>
        </w:rPr>
      </w:pPr>
      <w:r w:rsidRPr="00B6543F">
        <w:rPr>
          <w:i/>
          <w:iCs/>
          <w:lang w:val="es-ES_tradnl"/>
        </w:rPr>
        <w:t>e)</w:t>
      </w:r>
      <w:r w:rsidRPr="00B6543F">
        <w:rPr>
          <w:lang w:val="es-ES_tradnl"/>
        </w:rPr>
        <w:tab/>
        <w:t>que el impacto de las medidas en los radiodifusores o productores de programas puede variar según el tipo de programas que difundan;</w:t>
      </w:r>
    </w:p>
    <w:p w14:paraId="12F227C6" w14:textId="77777777" w:rsidR="00534021" w:rsidRPr="00B6543F" w:rsidRDefault="00534021" w:rsidP="00534021">
      <w:pPr>
        <w:rPr>
          <w:lang w:val="es-ES_tradnl"/>
        </w:rPr>
      </w:pPr>
      <w:r w:rsidRPr="00B6543F">
        <w:rPr>
          <w:i/>
          <w:iCs/>
          <w:lang w:val="es-ES_tradnl"/>
        </w:rPr>
        <w:t>f)</w:t>
      </w:r>
      <w:r w:rsidRPr="00B6543F">
        <w:rPr>
          <w:lang w:val="es-ES_tradnl"/>
        </w:rPr>
        <w:tab/>
        <w:t>que, a fin de que su aplicación sea eficaz, tales medidas deben ser sencillas y de fácil comprensión para los productores de programas no técnicos:</w:t>
      </w:r>
    </w:p>
    <w:p w14:paraId="6EECA454" w14:textId="77777777" w:rsidR="00534021" w:rsidRPr="00B6543F" w:rsidRDefault="00534021" w:rsidP="00534021">
      <w:pPr>
        <w:pStyle w:val="enumlev1"/>
        <w:rPr>
          <w:lang w:val="es-ES_tradnl"/>
        </w:rPr>
      </w:pPr>
      <w:r w:rsidRPr="00B6543F">
        <w:rPr>
          <w:lang w:val="es-ES_tradnl"/>
        </w:rPr>
        <w:t>–</w:t>
      </w:r>
      <w:r w:rsidRPr="00B6543F">
        <w:rPr>
          <w:lang w:val="es-ES_tradnl"/>
        </w:rPr>
        <w:tab/>
        <w:t>que en el caso de alguna programación en directo, tales como los telediarios, a menudo la producción del programa escapa al control del radiodifusor;</w:t>
      </w:r>
    </w:p>
    <w:p w14:paraId="07691CB6" w14:textId="77777777" w:rsidR="00534021" w:rsidRPr="00B6543F" w:rsidRDefault="00534021" w:rsidP="00534021">
      <w:pPr>
        <w:pStyle w:val="enumlev1"/>
        <w:rPr>
          <w:lang w:val="es-ES_tradnl"/>
        </w:rPr>
      </w:pPr>
      <w:r w:rsidRPr="00B6543F">
        <w:rPr>
          <w:lang w:val="es-ES_tradnl"/>
        </w:rPr>
        <w:t>–</w:t>
      </w:r>
      <w:r w:rsidRPr="00B6543F">
        <w:rPr>
          <w:lang w:val="es-ES_tradnl"/>
        </w:rPr>
        <w:tab/>
        <w:t>que los resultados de la medición para evaluar la conformidad con las directrices dependen de una serie de parámetros de medición;</w:t>
      </w:r>
    </w:p>
    <w:p w14:paraId="667F1EB3" w14:textId="77777777" w:rsidR="00534021" w:rsidRPr="00B6543F" w:rsidRDefault="00534021" w:rsidP="00534021">
      <w:pPr>
        <w:pStyle w:val="enumlev1"/>
        <w:rPr>
          <w:lang w:val="es-ES_tradnl"/>
        </w:rPr>
      </w:pPr>
      <w:r w:rsidRPr="00B6543F">
        <w:rPr>
          <w:lang w:val="es-ES_tradnl"/>
        </w:rPr>
        <w:lastRenderedPageBreak/>
        <w:t>–</w:t>
      </w:r>
      <w:r w:rsidRPr="00B6543F">
        <w:rPr>
          <w:lang w:val="es-ES_tradnl"/>
        </w:rPr>
        <w:tab/>
        <w:t>que el entorno de observación y el dispositivo de presentación, que puede afectar la posibilidad de que surjan problemas en televidentes susceptibles, pueden ser diferentes dependiendo del estilo de vida a nivel mundial;</w:t>
      </w:r>
    </w:p>
    <w:p w14:paraId="35C995CA" w14:textId="77777777" w:rsidR="00534021" w:rsidRPr="00B6543F" w:rsidRDefault="00534021" w:rsidP="00534021">
      <w:pPr>
        <w:rPr>
          <w:lang w:val="es-ES_tradnl"/>
        </w:rPr>
      </w:pPr>
      <w:r w:rsidRPr="00B6543F">
        <w:rPr>
          <w:i/>
          <w:iCs/>
          <w:lang w:val="es-ES_tradnl"/>
        </w:rPr>
        <w:t>g)</w:t>
      </w:r>
      <w:r w:rsidRPr="00B6543F">
        <w:rPr>
          <w:lang w:val="es-ES_tradnl"/>
        </w:rPr>
        <w:tab/>
        <w:t>que no se puede erradicar completamente el riesgo de que los televidentes más sensibles sufran ataques:</w:t>
      </w:r>
    </w:p>
    <w:p w14:paraId="11843B48" w14:textId="77777777" w:rsidR="00534021" w:rsidRPr="00B6543F" w:rsidRDefault="00534021" w:rsidP="00534021">
      <w:pPr>
        <w:pStyle w:val="enumlev1"/>
        <w:rPr>
          <w:lang w:val="es-ES_tradnl"/>
        </w:rPr>
      </w:pPr>
      <w:r w:rsidRPr="00B6543F">
        <w:rPr>
          <w:lang w:val="es-ES_tradnl"/>
        </w:rPr>
        <w:t>–</w:t>
      </w:r>
      <w:r w:rsidRPr="00B6543F">
        <w:rPr>
          <w:lang w:val="es-ES_tradnl"/>
        </w:rPr>
        <w:tab/>
        <w:t>que algunos televidentes muy susceptibles pueden protegerse colocando un filtro en el receptor;</w:t>
      </w:r>
    </w:p>
    <w:p w14:paraId="18E2E4EB" w14:textId="77777777" w:rsidR="00534021" w:rsidRPr="00B6543F" w:rsidRDefault="00534021" w:rsidP="00534021">
      <w:pPr>
        <w:pStyle w:val="enumlev1"/>
        <w:rPr>
          <w:lang w:val="es-ES_tradnl"/>
        </w:rPr>
      </w:pPr>
      <w:r w:rsidRPr="00B6543F">
        <w:rPr>
          <w:lang w:val="es-ES_tradnl"/>
        </w:rPr>
        <w:t>–</w:t>
      </w:r>
      <w:r w:rsidRPr="00B6543F">
        <w:rPr>
          <w:lang w:val="es-ES_tradnl"/>
        </w:rPr>
        <w:tab/>
        <w:t>que debido a la complejidad de la cadena de radiodifusión de extremo a extremo en la que participan muchas organizaciones y tecnologías, que va desde la captura de la imagen hasta la presentación de la misma, pasando por la producción, la edición, la radiodifusión y la recepción, y teniendo en cuenta el entorno de observación, no existe ninguna organización que pueda controlar totalmente de extremo a extremo este efecto,</w:t>
      </w:r>
    </w:p>
    <w:p w14:paraId="5374C1D8" w14:textId="77777777" w:rsidR="00534021" w:rsidRPr="00B6543F" w:rsidRDefault="00534021" w:rsidP="00534021">
      <w:pPr>
        <w:pStyle w:val="Call"/>
        <w:rPr>
          <w:lang w:val="es-ES_tradnl"/>
        </w:rPr>
      </w:pPr>
      <w:r w:rsidRPr="00B6543F">
        <w:rPr>
          <w:lang w:val="es-ES_tradnl"/>
        </w:rPr>
        <w:t>recomienda</w:t>
      </w:r>
    </w:p>
    <w:p w14:paraId="413D5755" w14:textId="77777777" w:rsidR="00534021" w:rsidRPr="00B6543F" w:rsidRDefault="00534021" w:rsidP="00534021">
      <w:pPr>
        <w:rPr>
          <w:lang w:val="es-ES_tradnl"/>
        </w:rPr>
      </w:pPr>
      <w:r w:rsidRPr="00B6543F">
        <w:rPr>
          <w:lang w:val="es-ES_tradnl"/>
        </w:rPr>
        <w:t>1</w:t>
      </w:r>
      <w:r w:rsidRPr="00B6543F">
        <w:rPr>
          <w:lang w:val="es-ES_tradnl"/>
        </w:rPr>
        <w:tab/>
        <w:t>que se aliente a las organizaciones de radiodifusión a ofrecer directrices a los productores de programas sobre los riesgos que supone crear contenido de imágenes de televisión que puedan causar ataques de epilepsia fotosensible en telespectadores susceptibles;</w:t>
      </w:r>
    </w:p>
    <w:p w14:paraId="694C25E1" w14:textId="77777777" w:rsidR="00534021" w:rsidRPr="00B6543F" w:rsidRDefault="00534021" w:rsidP="00534021">
      <w:pPr>
        <w:rPr>
          <w:lang w:val="es-ES_tradnl"/>
        </w:rPr>
      </w:pPr>
      <w:r w:rsidRPr="00B6543F">
        <w:rPr>
          <w:lang w:val="es-ES_tradnl"/>
        </w:rPr>
        <w:t>2</w:t>
      </w:r>
      <w:r w:rsidRPr="00B6543F">
        <w:rPr>
          <w:lang w:val="es-ES_tradnl" w:eastAsia="ja-JP"/>
        </w:rPr>
        <w:tab/>
        <w:t>que los productores de material de programas para la radiodifusión de televisión, los fabricantes de equipos de usuario, y los telespectadores, consulten la información sobre directrices técnicas que figura en los Anexos,</w:t>
      </w:r>
    </w:p>
    <w:p w14:paraId="295605F3" w14:textId="77777777" w:rsidR="00534021" w:rsidRPr="00B6543F" w:rsidRDefault="00534021" w:rsidP="00534021">
      <w:pPr>
        <w:pStyle w:val="Call"/>
        <w:rPr>
          <w:lang w:val="es-ES_tradnl"/>
        </w:rPr>
      </w:pPr>
      <w:r w:rsidRPr="00B6543F">
        <w:rPr>
          <w:lang w:val="es-ES_tradnl"/>
        </w:rPr>
        <w:t>recomienda además</w:t>
      </w:r>
    </w:p>
    <w:p w14:paraId="642F139E" w14:textId="77777777" w:rsidR="00534021" w:rsidRPr="00B6543F" w:rsidRDefault="00534021" w:rsidP="00534021">
      <w:pPr>
        <w:rPr>
          <w:lang w:val="es-ES_tradnl" w:eastAsia="ja-JP"/>
        </w:rPr>
      </w:pPr>
      <w:r w:rsidRPr="00B6543F">
        <w:rPr>
          <w:lang w:val="es-ES_tradnl" w:eastAsia="ja-JP"/>
        </w:rPr>
        <w:t>1</w:t>
      </w:r>
      <w:r w:rsidRPr="00B6543F">
        <w:rPr>
          <w:lang w:val="es-ES_tradnl" w:eastAsia="ja-JP"/>
        </w:rPr>
        <w:tab/>
        <w:t>que se realicen más estudios en los que se reconozca la existencia de diferentes tipos de programas en los entornos de radiodifusión;</w:t>
      </w:r>
    </w:p>
    <w:p w14:paraId="7D107427" w14:textId="77777777" w:rsidR="00534021" w:rsidRPr="00B6543F" w:rsidRDefault="00534021" w:rsidP="00534021">
      <w:pPr>
        <w:rPr>
          <w:lang w:val="es-ES_tradnl" w:eastAsia="ja-JP"/>
        </w:rPr>
      </w:pPr>
      <w:r w:rsidRPr="00B6543F">
        <w:rPr>
          <w:lang w:val="es-ES_tradnl" w:eastAsia="ja-JP"/>
        </w:rPr>
        <w:t>2</w:t>
      </w:r>
      <w:r w:rsidRPr="00B6543F">
        <w:rPr>
          <w:lang w:val="es-ES_tradnl" w:eastAsia="ja-JP"/>
        </w:rPr>
        <w:tab/>
        <w:t>que debido a la complejidad de los aspectos que hay que tener en cuenta, se consulte a las organizaciones médicas internacionales adecuadas (por ejemplo, la Organización Mundial de la Salud), y se informe continuamente sobre esta cuestión.</w:t>
      </w:r>
    </w:p>
    <w:p w14:paraId="3A33AAFC" w14:textId="77777777" w:rsidR="00A903DE" w:rsidRPr="00B6543F" w:rsidRDefault="00A903DE" w:rsidP="007F00DD">
      <w:pPr>
        <w:spacing w:before="0"/>
        <w:rPr>
          <w:lang w:val="es-ES_tradnl" w:eastAsia="ja-JP"/>
        </w:rPr>
      </w:pPr>
    </w:p>
    <w:p w14:paraId="5C41575C" w14:textId="77777777" w:rsidR="00A903DE" w:rsidRPr="00B6543F" w:rsidRDefault="00A903DE" w:rsidP="007F00DD">
      <w:pPr>
        <w:spacing w:before="0"/>
        <w:rPr>
          <w:lang w:val="es-ES_tradnl" w:eastAsia="ja-JP"/>
        </w:rPr>
      </w:pPr>
    </w:p>
    <w:p w14:paraId="7B45019D" w14:textId="17F5C8ED" w:rsidR="00534021" w:rsidRPr="00B6543F" w:rsidRDefault="00534021" w:rsidP="007F00DD">
      <w:pPr>
        <w:pStyle w:val="AnnexNoTitle"/>
        <w:spacing w:before="360"/>
        <w:rPr>
          <w:lang w:val="es-ES_tradnl"/>
        </w:rPr>
      </w:pPr>
      <w:r w:rsidRPr="00B6543F">
        <w:rPr>
          <w:lang w:val="es-ES_tradnl"/>
        </w:rPr>
        <w:t>Anexo 1</w:t>
      </w:r>
      <w:r w:rsidRPr="00B6543F">
        <w:rPr>
          <w:lang w:val="es-ES_tradnl"/>
        </w:rPr>
        <w:br/>
      </w:r>
      <w:r w:rsidRPr="00B6543F">
        <w:rPr>
          <w:lang w:val="es-ES_tradnl"/>
        </w:rPr>
        <w:br/>
        <w:t>Directrices sobre las imágenes parpadeantes o de carácter repetitivo en televisión destinada</w:t>
      </w:r>
      <w:r w:rsidR="007F00DD" w:rsidRPr="00B6543F">
        <w:rPr>
          <w:lang w:val="es-ES_tradnl"/>
        </w:rPr>
        <w:t xml:space="preserve"> </w:t>
      </w:r>
      <w:r w:rsidRPr="00B6543F">
        <w:rPr>
          <w:lang w:val="es-ES_tradnl"/>
        </w:rPr>
        <w:t>a las organizaciones de producción de programas</w:t>
      </w:r>
    </w:p>
    <w:p w14:paraId="215BD135" w14:textId="254CEA82" w:rsidR="00534021" w:rsidRPr="00B6543F" w:rsidRDefault="00534021" w:rsidP="00534021">
      <w:pPr>
        <w:pStyle w:val="Normalaftertitle"/>
        <w:rPr>
          <w:lang w:val="es-ES_tradnl"/>
        </w:rPr>
      </w:pPr>
      <w:r w:rsidRPr="00B6543F">
        <w:rPr>
          <w:lang w:val="es-ES_tradnl"/>
        </w:rPr>
        <w:t>Las imágenes parpadeantes,</w:t>
      </w:r>
      <w:r w:rsidR="007F00DD" w:rsidRPr="00B6543F">
        <w:rPr>
          <w:lang w:val="es-ES_tradnl"/>
        </w:rPr>
        <w:t xml:space="preserve"> </w:t>
      </w:r>
      <w:r w:rsidRPr="00B6543F">
        <w:rPr>
          <w:lang w:val="es-ES_tradnl"/>
        </w:rPr>
        <w:t>intermitentes o que cambian rápidamente y cierto tipo de imágenes estáticas de carácter repetitivo pueden causar problemas a algunos de los telespectadores propensos a la epilepsia fotosensible. El análisis de la información procedente de fuentes médicas de gran renombre en esta área [1] [2] [3] [4] [5] [6] [7] [8] [9] [10]</w:t>
      </w:r>
      <w:r w:rsidR="007F00DD" w:rsidRPr="00B6543F">
        <w:rPr>
          <w:lang w:val="es-ES_tradnl"/>
        </w:rPr>
        <w:t xml:space="preserve"> </w:t>
      </w:r>
      <w:r w:rsidRPr="00B6543F">
        <w:rPr>
          <w:lang w:val="es-ES_tradnl"/>
        </w:rPr>
        <w:t>y la experiencia de las organizaciones de radiodifusión han dado lugar a la elaboración de directrices encaminadas a reducir el riesgo de exposición a los estímulos dañinos potenciales.</w:t>
      </w:r>
    </w:p>
    <w:p w14:paraId="5A75AAC1" w14:textId="6C0F726A" w:rsidR="00534021" w:rsidRPr="00B6543F" w:rsidRDefault="00534021" w:rsidP="00534021">
      <w:pPr>
        <w:rPr>
          <w:lang w:val="es-ES_tradnl"/>
        </w:rPr>
      </w:pPr>
      <w:r w:rsidRPr="00B6543F">
        <w:rPr>
          <w:lang w:val="es-ES_tradnl"/>
        </w:rPr>
        <w:t>Por su propia naturaleza, la televisión es un medio que difunde imágenes intermitentes. Las imágenes transmitidas normalmente se renuevan 50 ó 60 veces por segundo, en cuyo caso el barrido entrelazado genera intermitencia 25 ó 30 veces cada segundo. Es, por tanto, imposible eliminar el riesgo de las imágenes intermitentes en televisión que causan convulsiones en telespectadores que sufren de epilepsia fotosensible. Con el fin de reducir el riesgo, deben aplicarse las siguientes directrices sobre contenido visual cuando se observan claramente imágenes intermitentes o imágenes estáticas de carácter repetitivo en condiciones normales de observación doméstica.</w:t>
      </w:r>
    </w:p>
    <w:p w14:paraId="6F249968" w14:textId="775FDB18" w:rsidR="00534021" w:rsidRPr="00B6543F" w:rsidRDefault="00534021" w:rsidP="007F00DD">
      <w:pPr>
        <w:pStyle w:val="Headingb"/>
        <w:tabs>
          <w:tab w:val="clear" w:pos="1191"/>
          <w:tab w:val="left" w:pos="1276"/>
        </w:tabs>
        <w:rPr>
          <w:lang w:val="es-ES_tradnl"/>
        </w:rPr>
      </w:pPr>
      <w:r w:rsidRPr="00B6543F">
        <w:rPr>
          <w:lang w:val="es-ES_tradnl"/>
        </w:rPr>
        <w:lastRenderedPageBreak/>
        <w:t>Directriz 1</w:t>
      </w:r>
      <w:r w:rsidRPr="00B6543F">
        <w:rPr>
          <w:lang w:val="es-ES_tradnl"/>
        </w:rPr>
        <w:tab/>
        <w:t>Imágenes parpadeantes potencialmente dañinas</w:t>
      </w:r>
    </w:p>
    <w:p w14:paraId="2304D00E" w14:textId="77777777" w:rsidR="00534021" w:rsidRPr="00B6543F" w:rsidRDefault="00534021" w:rsidP="00534021">
      <w:pPr>
        <w:rPr>
          <w:color w:val="000000" w:themeColor="text1"/>
          <w:lang w:val="es-ES_tradnl"/>
        </w:rPr>
      </w:pPr>
      <w:r w:rsidRPr="00B6543F">
        <w:rPr>
          <w:color w:val="000000" w:themeColor="text1"/>
          <w:lang w:val="es-ES_tradnl"/>
        </w:rPr>
        <w:t>Una intermitencia es potencialmente peligrosa cuando se producen un par de cambios opuestos en la luminancia (es decir, un aumento en la luminancia seguido de una disminución, o una disminución seguida de un aumento) como se detalla a continuación.</w:t>
      </w:r>
    </w:p>
    <w:p w14:paraId="0AAE627C" w14:textId="487794EE" w:rsidR="00534021" w:rsidRPr="00B6543F" w:rsidRDefault="00534021" w:rsidP="00534021">
      <w:pPr>
        <w:pStyle w:val="enumlev1"/>
        <w:rPr>
          <w:lang w:val="es-ES_tradnl"/>
        </w:rPr>
      </w:pPr>
      <w:r w:rsidRPr="00B6543F">
        <w:rPr>
          <w:lang w:val="es-ES_tradnl"/>
        </w:rPr>
        <w:t>–</w:t>
      </w:r>
      <w:r w:rsidRPr="00B6543F">
        <w:rPr>
          <w:lang w:val="es-ES_tradnl"/>
        </w:rPr>
        <w:tab/>
        <w:t>Cuando la luminancia en pantalla de la imagen más oscura es inferior a 160 cd/m</w:t>
      </w:r>
      <w:r w:rsidRPr="00B6543F">
        <w:rPr>
          <w:vertAlign w:val="superscript"/>
          <w:lang w:val="es-ES_tradnl"/>
        </w:rPr>
        <w:t>2</w:t>
      </w:r>
      <w:r w:rsidRPr="00B6543F">
        <w:rPr>
          <w:lang w:val="es-ES_tradnl"/>
        </w:rPr>
        <w:t>, se produce una secuencia de intermitencias potencialmente peligrosas cuando hay una diferencia igual o superior a 20</w:t>
      </w:r>
      <w:r w:rsidR="007F00DD" w:rsidRPr="00B6543F">
        <w:rPr>
          <w:lang w:val="es-ES_tradnl"/>
        </w:rPr>
        <w:t> </w:t>
      </w:r>
      <w:r w:rsidRPr="00B6543F">
        <w:rPr>
          <w:lang w:val="es-ES_tradnl"/>
        </w:rPr>
        <w:t>cd/m</w:t>
      </w:r>
      <w:r w:rsidRPr="00B6543F">
        <w:rPr>
          <w:vertAlign w:val="superscript"/>
          <w:lang w:val="es-ES_tradnl"/>
        </w:rPr>
        <w:t>2</w:t>
      </w:r>
      <w:r w:rsidRPr="00B6543F">
        <w:rPr>
          <w:lang w:val="es-ES_tradnl"/>
        </w:rPr>
        <w:t xml:space="preserve"> entre la luminancia en pantalla de la imagen más oscura y más brillante (véanse las Notas 2 y 3). Esto se aplica a los programas con baja gama dinámica (SDR) y elevada gama dinámica (HDR).</w:t>
      </w:r>
    </w:p>
    <w:p w14:paraId="5F04E7C4" w14:textId="62ADE57C" w:rsidR="00534021" w:rsidRPr="00B6543F" w:rsidRDefault="00534021" w:rsidP="007F00DD">
      <w:pPr>
        <w:pStyle w:val="enumlev1"/>
        <w:rPr>
          <w:snapToGrid w:val="0"/>
          <w:lang w:val="es-ES_tradnl"/>
        </w:rPr>
      </w:pPr>
      <w:r w:rsidRPr="00B6543F">
        <w:rPr>
          <w:lang w:val="es-ES_tradnl"/>
        </w:rPr>
        <w:t>–</w:t>
      </w:r>
      <w:r w:rsidRPr="00B6543F">
        <w:rPr>
          <w:lang w:val="es-ES_tradnl"/>
        </w:rPr>
        <w:tab/>
        <w:t>Cuando la luminancia en pantalla de la imagen más oscura no es inferior a 160</w:t>
      </w:r>
      <w:r w:rsidR="007F00DD" w:rsidRPr="00B6543F">
        <w:rPr>
          <w:lang w:val="es-ES_tradnl"/>
        </w:rPr>
        <w:t> </w:t>
      </w:r>
      <w:r w:rsidRPr="00B6543F">
        <w:rPr>
          <w:lang w:val="es-ES_tradnl"/>
        </w:rPr>
        <w:t>cd/m</w:t>
      </w:r>
      <w:r w:rsidR="007F00DD" w:rsidRPr="00B6543F">
        <w:rPr>
          <w:vertAlign w:val="superscript"/>
          <w:lang w:val="es-ES_tradnl"/>
        </w:rPr>
        <w:t>2</w:t>
      </w:r>
      <w:r w:rsidRPr="00B6543F">
        <w:rPr>
          <w:lang w:val="es-ES_tradnl"/>
        </w:rPr>
        <w:t>, se produce una secuencia de intermitencias potencialmente peligrosas cuando hay una diferencia superior a 1/17 del contraste Michelson (véase la Nota 6). A los efectos de esta medición, el contraste</w:t>
      </w:r>
      <w:r w:rsidRPr="00B6543F">
        <w:rPr>
          <w:snapToGrid w:val="0"/>
          <w:lang w:val="es-ES_tradnl"/>
        </w:rPr>
        <w:t xml:space="preserve"> Michelson se define como (</w:t>
      </w:r>
      <w:r w:rsidRPr="00B6543F">
        <w:rPr>
          <w:i/>
          <w:iCs/>
          <w:snapToGrid w:val="0"/>
          <w:lang w:val="es-ES_tradnl"/>
        </w:rPr>
        <w:t>L</w:t>
      </w:r>
      <w:r w:rsidRPr="00B6543F">
        <w:rPr>
          <w:i/>
          <w:iCs/>
          <w:snapToGrid w:val="0"/>
          <w:szCs w:val="24"/>
          <w:vertAlign w:val="subscript"/>
          <w:lang w:val="es-ES_tradnl"/>
        </w:rPr>
        <w:t>HIGH</w:t>
      </w:r>
      <w:r w:rsidRPr="00B6543F">
        <w:rPr>
          <w:snapToGrid w:val="0"/>
          <w:lang w:val="es-ES_tradnl"/>
        </w:rPr>
        <w:t xml:space="preserve"> – </w:t>
      </w:r>
      <w:r w:rsidRPr="00B6543F">
        <w:rPr>
          <w:i/>
          <w:iCs/>
          <w:snapToGrid w:val="0"/>
          <w:lang w:val="es-ES_tradnl"/>
        </w:rPr>
        <w:t>L</w:t>
      </w:r>
      <w:r w:rsidRPr="00B6543F">
        <w:rPr>
          <w:i/>
          <w:iCs/>
          <w:snapToGrid w:val="0"/>
          <w:szCs w:val="24"/>
          <w:vertAlign w:val="subscript"/>
          <w:lang w:val="es-ES_tradnl"/>
        </w:rPr>
        <w:t>LOW</w:t>
      </w:r>
      <w:r w:rsidRPr="00B6543F">
        <w:rPr>
          <w:snapToGrid w:val="0"/>
          <w:lang w:val="es-ES_tradnl"/>
        </w:rPr>
        <w:t>)/(</w:t>
      </w:r>
      <w:r w:rsidRPr="00B6543F">
        <w:rPr>
          <w:i/>
          <w:iCs/>
          <w:snapToGrid w:val="0"/>
          <w:lang w:val="es-ES_tradnl"/>
        </w:rPr>
        <w:t>L</w:t>
      </w:r>
      <w:r w:rsidRPr="00B6543F">
        <w:rPr>
          <w:i/>
          <w:iCs/>
          <w:snapToGrid w:val="0"/>
          <w:szCs w:val="24"/>
          <w:vertAlign w:val="subscript"/>
          <w:lang w:val="es-ES_tradnl"/>
        </w:rPr>
        <w:t>HIGH</w:t>
      </w:r>
      <w:r w:rsidRPr="00B6543F">
        <w:rPr>
          <w:snapToGrid w:val="0"/>
          <w:lang w:val="es-ES_tradnl"/>
        </w:rPr>
        <w:t xml:space="preserve"> + </w:t>
      </w:r>
      <w:r w:rsidRPr="00B6543F">
        <w:rPr>
          <w:i/>
          <w:iCs/>
          <w:snapToGrid w:val="0"/>
          <w:lang w:val="es-ES_tradnl"/>
        </w:rPr>
        <w:t>L</w:t>
      </w:r>
      <w:r w:rsidRPr="00B6543F">
        <w:rPr>
          <w:i/>
          <w:iCs/>
          <w:snapToGrid w:val="0"/>
          <w:szCs w:val="24"/>
          <w:vertAlign w:val="subscript"/>
          <w:lang w:val="es-ES_tradnl"/>
        </w:rPr>
        <w:t>LOW</w:t>
      </w:r>
      <w:r w:rsidRPr="00B6543F">
        <w:rPr>
          <w:snapToGrid w:val="0"/>
          <w:lang w:val="es-ES_tradnl"/>
        </w:rPr>
        <w:t xml:space="preserve">) [11], siendo </w:t>
      </w:r>
      <w:r w:rsidRPr="00B6543F">
        <w:rPr>
          <w:i/>
          <w:iCs/>
          <w:snapToGrid w:val="0"/>
          <w:lang w:val="es-ES_tradnl"/>
        </w:rPr>
        <w:t>L</w:t>
      </w:r>
      <w:r w:rsidRPr="00B6543F">
        <w:rPr>
          <w:i/>
          <w:iCs/>
          <w:snapToGrid w:val="0"/>
          <w:szCs w:val="24"/>
          <w:vertAlign w:val="subscript"/>
          <w:lang w:val="es-ES_tradnl"/>
        </w:rPr>
        <w:t>LOW</w:t>
      </w:r>
      <w:r w:rsidRPr="00B6543F">
        <w:rPr>
          <w:snapToGrid w:val="0"/>
          <w:lang w:val="es-ES_tradnl"/>
        </w:rPr>
        <w:t xml:space="preserve"> la luminancia de la imagen más oscura y </w:t>
      </w:r>
      <w:r w:rsidRPr="00B6543F">
        <w:rPr>
          <w:i/>
          <w:iCs/>
          <w:snapToGrid w:val="0"/>
          <w:lang w:val="es-ES_tradnl"/>
        </w:rPr>
        <w:t>L</w:t>
      </w:r>
      <w:r w:rsidRPr="00B6543F">
        <w:rPr>
          <w:i/>
          <w:iCs/>
          <w:snapToGrid w:val="0"/>
          <w:szCs w:val="24"/>
          <w:vertAlign w:val="subscript"/>
          <w:lang w:val="es-ES_tradnl"/>
        </w:rPr>
        <w:t>HIGH</w:t>
      </w:r>
      <w:r w:rsidRPr="00B6543F">
        <w:rPr>
          <w:snapToGrid w:val="0"/>
          <w:szCs w:val="24"/>
          <w:lang w:val="es-ES_tradnl"/>
        </w:rPr>
        <w:t xml:space="preserve"> la luminancia de la imagen más brillante de una intermitencia. Esto se aplica sólo a los programas</w:t>
      </w:r>
      <w:r w:rsidRPr="00B6543F">
        <w:rPr>
          <w:snapToGrid w:val="0"/>
          <w:lang w:val="es-ES_tradnl"/>
        </w:rPr>
        <w:t xml:space="preserve"> HDR.</w:t>
      </w:r>
    </w:p>
    <w:p w14:paraId="5A3C374C" w14:textId="77777777" w:rsidR="00534021" w:rsidRPr="00B6543F" w:rsidRDefault="00534021" w:rsidP="00534021">
      <w:pPr>
        <w:rPr>
          <w:lang w:val="es-ES_tradnl"/>
        </w:rPr>
      </w:pPr>
      <w:r w:rsidRPr="00B6543F">
        <w:rPr>
          <w:lang w:val="es-ES_tradnl"/>
        </w:rPr>
        <w:t>Independientemente de la luminancia, la transición al rojo saturado o desde ese color también es potencialmente peligrosa.</w:t>
      </w:r>
    </w:p>
    <w:p w14:paraId="53224A6E" w14:textId="77777777" w:rsidR="00534021" w:rsidRPr="00B6543F" w:rsidRDefault="00534021" w:rsidP="007F00DD">
      <w:pPr>
        <w:rPr>
          <w:lang w:val="es-ES_tradnl"/>
        </w:rPr>
      </w:pPr>
      <w:r w:rsidRPr="00B6543F">
        <w:rPr>
          <w:lang w:val="es-ES_tradnl"/>
        </w:rPr>
        <w:t>Se permiten intermitencias aisladas sencillas, dobles o triples, pero no se permiten secuencias de intermitencias cuando se producen algunos de los fenómenos que se mencionan a continuación:</w:t>
      </w:r>
    </w:p>
    <w:p w14:paraId="658E4669" w14:textId="54B382FD" w:rsidR="00534021" w:rsidRPr="00B6543F" w:rsidRDefault="00534021" w:rsidP="00534021">
      <w:pPr>
        <w:pStyle w:val="enumlev1"/>
        <w:rPr>
          <w:lang w:val="es-ES_tradnl"/>
        </w:rPr>
      </w:pPr>
      <w:r w:rsidRPr="00B6543F">
        <w:rPr>
          <w:lang w:val="es-ES_tradnl"/>
        </w:rPr>
        <w:t>–</w:t>
      </w:r>
      <w:r w:rsidRPr="00B6543F">
        <w:rPr>
          <w:lang w:val="es-ES_tradnl"/>
        </w:rPr>
        <w:tab/>
        <w:t>el área de intermitencias combinadas que se producen simultáneamente ocupa más de un 25% de la pantalla (véase la Nota 4); y</w:t>
      </w:r>
    </w:p>
    <w:p w14:paraId="1E300BEE" w14:textId="4B9CB591" w:rsidR="00534021" w:rsidRPr="00B6543F" w:rsidRDefault="00534021" w:rsidP="00534021">
      <w:pPr>
        <w:pStyle w:val="enumlev1"/>
        <w:rPr>
          <w:lang w:val="es-ES_tradnl"/>
        </w:rPr>
      </w:pPr>
      <w:r w:rsidRPr="00B6543F">
        <w:rPr>
          <w:lang w:val="es-ES_tradnl"/>
        </w:rPr>
        <w:t>–</w:t>
      </w:r>
      <w:r w:rsidRPr="00B6543F">
        <w:rPr>
          <w:lang w:val="es-ES_tradnl"/>
        </w:rPr>
        <w:tab/>
        <w:t>hay más de tres intermitencias (es decir, seis cambios de luminancia como se describe a continuación) en el lapso de un segundo. Lo anterior significa que las intermitencias consecutivas para las cuales los flancos anteriores están separados por 360</w:t>
      </w:r>
      <w:r w:rsidR="007F00DD" w:rsidRPr="00B6543F">
        <w:rPr>
          <w:lang w:val="es-ES_tradnl"/>
        </w:rPr>
        <w:t> </w:t>
      </w:r>
      <w:r w:rsidRPr="00B6543F">
        <w:rPr>
          <w:lang w:val="es-ES_tradnl"/>
        </w:rPr>
        <w:t>ms o más se aceptan en un entorno de 50 Hz, y los separados por 334</w:t>
      </w:r>
      <w:r w:rsidR="007F00DD" w:rsidRPr="00B6543F">
        <w:rPr>
          <w:lang w:val="es-ES_tradnl"/>
        </w:rPr>
        <w:t> </w:t>
      </w:r>
      <w:r w:rsidRPr="00B6543F">
        <w:rPr>
          <w:lang w:val="es-ES_tradnl"/>
        </w:rPr>
        <w:t>ms o más se aceptan en un entorno de 60 Hz, independientemente del brillo o de la zona de pantalla.</w:t>
      </w:r>
    </w:p>
    <w:p w14:paraId="34465E83" w14:textId="77777777" w:rsidR="00534021" w:rsidRPr="00B6543F" w:rsidRDefault="00534021" w:rsidP="00534021">
      <w:pPr>
        <w:rPr>
          <w:lang w:val="es-ES_tradnl"/>
        </w:rPr>
      </w:pPr>
      <w:r w:rsidRPr="00B6543F">
        <w:rPr>
          <w:lang w:val="es-ES_tradnl"/>
        </w:rPr>
        <w:t>Las secuencias de imágenes que cambian rápidamente (por ejemplo, los cortes rápidos) pueden causar ataques si se producen en zonas de pantalla intermitentes, en cuyo caso se aplican las mismas restricciones que a las intermitencias.</w:t>
      </w:r>
    </w:p>
    <w:p w14:paraId="0AA49226" w14:textId="77777777" w:rsidR="00534021" w:rsidRPr="00B6543F" w:rsidRDefault="00534021" w:rsidP="00534021">
      <w:pPr>
        <w:rPr>
          <w:lang w:val="es-ES_tradnl"/>
        </w:rPr>
      </w:pPr>
      <w:r w:rsidRPr="00B6543F">
        <w:rPr>
          <w:lang w:val="es-ES_tradnl"/>
        </w:rPr>
        <w:t>Cabe señalar que aún se desconoce hasta qué punto pueden causar algún daño las secuencias sucesivas de intermitencias «potencialmente peligrosas» durante un largo periodo de tiempo. Si, tal como lo sugieren algunos médicos, el riesgo de sufrir un ataque aumenta con la duración de la intermitencia, se ha calculado que una secuencia de imágenes intermitentes que dura más de cinco segundos podría constituir un riesgo aun cuando sea conforme con las directrices que se mencionan más adelante.</w:t>
      </w:r>
    </w:p>
    <w:p w14:paraId="66876503" w14:textId="32593818" w:rsidR="00534021" w:rsidRPr="00B6543F" w:rsidRDefault="00534021" w:rsidP="007F00DD">
      <w:pPr>
        <w:pStyle w:val="Headingb"/>
        <w:tabs>
          <w:tab w:val="clear" w:pos="1191"/>
          <w:tab w:val="left" w:pos="1276"/>
        </w:tabs>
        <w:rPr>
          <w:lang w:val="es-ES_tradnl"/>
        </w:rPr>
      </w:pPr>
      <w:r w:rsidRPr="00B6543F">
        <w:rPr>
          <w:lang w:val="es-ES_tradnl"/>
        </w:rPr>
        <w:t>Directriz 2</w:t>
      </w:r>
      <w:r w:rsidRPr="00B6543F">
        <w:rPr>
          <w:lang w:val="es-ES_tradnl"/>
        </w:rPr>
        <w:tab/>
        <w:t>Imágenes estáticas potencialmente dañinas</w:t>
      </w:r>
    </w:p>
    <w:p w14:paraId="733B208B" w14:textId="77777777" w:rsidR="00534021" w:rsidRPr="00B6543F" w:rsidRDefault="00534021" w:rsidP="00534021">
      <w:pPr>
        <w:rPr>
          <w:lang w:val="es-ES_tradnl"/>
        </w:rPr>
      </w:pPr>
      <w:r w:rsidRPr="00B6543F">
        <w:rPr>
          <w:lang w:val="es-ES_tradnl"/>
        </w:rPr>
        <w:t>Se producen imágenes estáticas potencialmente dañinas cuando una imagen contiene pares claros y oscuros de rayas claramente discernibles en cualquier orientación. Las rayas pueden ser paralelas o radiales, curvas o rectas, y pueden estar formadas por filas de elementos repetitivos como lunares. Si las rayas cambian de dirección, oscilan, parpadean o invierten su contraste, es más probable que sean nocivas que si son fijas.</w:t>
      </w:r>
    </w:p>
    <w:p w14:paraId="3E5C6962" w14:textId="30999FC7" w:rsidR="00534021" w:rsidRPr="00B6543F" w:rsidRDefault="00534021" w:rsidP="00534021">
      <w:pPr>
        <w:rPr>
          <w:snapToGrid w:val="0"/>
          <w:lang w:val="es-ES_tradnl"/>
        </w:rPr>
      </w:pPr>
      <w:r w:rsidRPr="00B6543F">
        <w:rPr>
          <w:snapToGrid w:val="0"/>
          <w:lang w:val="es-ES_tradnl"/>
        </w:rPr>
        <w:t>El Adjunto</w:t>
      </w:r>
      <w:r w:rsidR="007F00DD" w:rsidRPr="00B6543F">
        <w:rPr>
          <w:snapToGrid w:val="0"/>
          <w:lang w:val="es-ES_tradnl"/>
        </w:rPr>
        <w:t> </w:t>
      </w:r>
      <w:r w:rsidRPr="00B6543F">
        <w:rPr>
          <w:snapToGrid w:val="0"/>
          <w:lang w:val="es-ES_tradnl"/>
        </w:rPr>
        <w:t>1 del presente Anexo ofrece orientaciones informativas para la medición con el fin de identificar patrones potencialmente perjudiciales.</w:t>
      </w:r>
    </w:p>
    <w:p w14:paraId="7A43BC39" w14:textId="48BD942B" w:rsidR="00534021" w:rsidRPr="00B6543F" w:rsidRDefault="00534021" w:rsidP="00A903DE">
      <w:pPr>
        <w:pStyle w:val="Note"/>
        <w:rPr>
          <w:snapToGrid w:val="0"/>
          <w:lang w:val="es-ES_tradnl"/>
        </w:rPr>
      </w:pPr>
      <w:r w:rsidRPr="00B6543F">
        <w:rPr>
          <w:lang w:val="es-ES_tradnl"/>
        </w:rPr>
        <w:t>NOTA</w:t>
      </w:r>
      <w:r w:rsidR="007F00DD" w:rsidRPr="00B6543F">
        <w:rPr>
          <w:lang w:val="es-ES_tradnl"/>
        </w:rPr>
        <w:t> </w:t>
      </w:r>
      <w:r w:rsidRPr="00B6543F">
        <w:rPr>
          <w:lang w:val="es-ES_tradnl"/>
        </w:rPr>
        <w:t>1</w:t>
      </w:r>
      <w:r w:rsidR="007F00DD" w:rsidRPr="00B6543F">
        <w:rPr>
          <w:lang w:val="es-ES_tradnl"/>
        </w:rPr>
        <w:t> </w:t>
      </w:r>
      <w:r w:rsidRPr="00B6543F">
        <w:rPr>
          <w:lang w:val="es-ES_tradnl"/>
        </w:rPr>
        <w:t>–</w:t>
      </w:r>
      <w:r w:rsidR="007F00DD" w:rsidRPr="00B6543F">
        <w:rPr>
          <w:lang w:val="es-ES_tradnl"/>
        </w:rPr>
        <w:t> </w:t>
      </w:r>
      <w:r w:rsidRPr="00B6543F">
        <w:rPr>
          <w:lang w:val="es-ES_tradnl"/>
        </w:rPr>
        <w:t>Puede haber variaciones regionales, de emisoras o de distribuidores de contenidos con respecto a las directrices anteriores. Es aconsejable que los proveedores de programas consulten los requisitos de entrega pertinente.</w:t>
      </w:r>
    </w:p>
    <w:p w14:paraId="1398DEEE" w14:textId="05B514C2" w:rsidR="00534021" w:rsidRPr="00B6543F" w:rsidRDefault="00534021" w:rsidP="00534021">
      <w:pPr>
        <w:pStyle w:val="Note"/>
        <w:rPr>
          <w:lang w:val="es-ES_tradnl"/>
        </w:rPr>
      </w:pPr>
      <w:r w:rsidRPr="00B6543F">
        <w:rPr>
          <w:lang w:val="es-ES_tradnl"/>
        </w:rPr>
        <w:lastRenderedPageBreak/>
        <w:t>NOTA 2 – La luminancia de las formas de onda de vídeo no constituye una medida directa para controlar el brillo de las pantallas de televisión. Para determinar las mediciones eléctricas a fin de comprobar la conformidad con estas directrices puede suponerse que la relación entre el nivel de las señales de vídeo y la luminancia de la pantalla es la descrita en el Anexo 2.</w:t>
      </w:r>
    </w:p>
    <w:p w14:paraId="6AAD0CA0" w14:textId="63A3841E" w:rsidR="00534021" w:rsidRPr="00B6543F" w:rsidRDefault="00534021" w:rsidP="00534021">
      <w:pPr>
        <w:pStyle w:val="Note"/>
        <w:rPr>
          <w:lang w:val="es-ES_tradnl"/>
        </w:rPr>
      </w:pPr>
      <w:r w:rsidRPr="00B6543F">
        <w:rPr>
          <w:lang w:val="es-ES_tradnl"/>
        </w:rPr>
        <w:t>NOTA 3 – En las mediciones para comprobar la conformidad con estas directrices suponiendo una relación entre el nivel de la señal de vídeo y la luminancia de la pantalla, se supone que las imágenes SDR se visualizan con el blanco más intenso correspondiente a una luminancia de pantalla de 200</w:t>
      </w:r>
      <w:r w:rsidR="007F00DD" w:rsidRPr="00B6543F">
        <w:rPr>
          <w:lang w:val="es-ES_tradnl"/>
        </w:rPr>
        <w:t> </w:t>
      </w:r>
      <w:r w:rsidRPr="00B6543F">
        <w:rPr>
          <w:lang w:val="es-ES_tradnl"/>
        </w:rPr>
        <w:t>cd/m</w:t>
      </w:r>
      <w:r w:rsidRPr="00B6543F">
        <w:rPr>
          <w:vertAlign w:val="superscript"/>
          <w:lang w:val="es-ES_tradnl"/>
        </w:rPr>
        <w:t>2</w:t>
      </w:r>
      <w:r w:rsidRPr="00B6543F">
        <w:rPr>
          <w:lang w:val="es-ES_tradnl"/>
        </w:rPr>
        <w:t xml:space="preserve"> y que las imágenes HDR en formato híbrido log-gama (HLG) se visualizan con el blanco más intenso correspondiente a una luminancia de pantalla de 1</w:t>
      </w:r>
      <w:r w:rsidR="007F00DD" w:rsidRPr="00B6543F">
        <w:rPr>
          <w:lang w:val="es-ES_tradnl"/>
        </w:rPr>
        <w:t> </w:t>
      </w:r>
      <w:r w:rsidRPr="00B6543F">
        <w:rPr>
          <w:lang w:val="es-ES_tradnl"/>
        </w:rPr>
        <w:t>000 cd/m</w:t>
      </w:r>
      <w:r w:rsidRPr="00B6543F">
        <w:rPr>
          <w:vertAlign w:val="superscript"/>
          <w:lang w:val="es-ES_tradnl"/>
        </w:rPr>
        <w:t>2</w:t>
      </w:r>
      <w:r w:rsidRPr="00B6543F">
        <w:rPr>
          <w:lang w:val="es-ES_tradnl"/>
        </w:rPr>
        <w:t>.</w:t>
      </w:r>
    </w:p>
    <w:p w14:paraId="0BCA50DC" w14:textId="40F7850F" w:rsidR="00534021" w:rsidRPr="00B6543F" w:rsidRDefault="00534021" w:rsidP="00534021">
      <w:pPr>
        <w:pStyle w:val="Note"/>
        <w:rPr>
          <w:lang w:val="es-ES_tradnl"/>
        </w:rPr>
      </w:pPr>
      <w:r w:rsidRPr="00B6543F">
        <w:rPr>
          <w:lang w:val="es-ES_tradnl"/>
        </w:rPr>
        <w:t>NOTA 4 – Puede suponerse que el sobrebarrido de los receptores de televisión modernos domésticos oscila normalmente entre 3,5% ± 1% de la anchura o altura de toda la imagen (como se indica en la Recomendación UIT-R BT.1848-1).</w:t>
      </w:r>
    </w:p>
    <w:p w14:paraId="6B8CCFA0" w14:textId="72B85E99" w:rsidR="00534021" w:rsidRPr="00B6543F" w:rsidRDefault="00534021" w:rsidP="00534021">
      <w:pPr>
        <w:pStyle w:val="Note"/>
        <w:rPr>
          <w:lang w:val="es-ES_tradnl"/>
        </w:rPr>
      </w:pPr>
      <w:r w:rsidRPr="00B6543F">
        <w:rPr>
          <w:lang w:val="es-ES_tradnl"/>
        </w:rPr>
        <w:t>NOTA 5 – La utilización de analizadores automáticos de señales de vídeo puede ser útil para alertar al personal de producción sobre las posibles violaciones de las directrices relativas al material de vídeo.</w:t>
      </w:r>
    </w:p>
    <w:p w14:paraId="140626D0" w14:textId="3B79ECF0" w:rsidR="00534021" w:rsidRPr="00B6543F" w:rsidRDefault="00534021" w:rsidP="00A903DE">
      <w:pPr>
        <w:pStyle w:val="Note"/>
        <w:rPr>
          <w:snapToGrid w:val="0"/>
          <w:lang w:val="es-ES_tradnl"/>
        </w:rPr>
      </w:pPr>
      <w:r w:rsidRPr="00B6543F">
        <w:rPr>
          <w:lang w:val="es-ES_tradnl"/>
        </w:rPr>
        <w:t>NOTA 6 – En la Fig</w:t>
      </w:r>
      <w:r w:rsidR="007F00DD" w:rsidRPr="00B6543F">
        <w:rPr>
          <w:lang w:val="es-ES_tradnl"/>
        </w:rPr>
        <w:t>. </w:t>
      </w:r>
      <w:r w:rsidRPr="00B6543F">
        <w:rPr>
          <w:lang w:val="es-ES_tradnl"/>
        </w:rPr>
        <w:t>1 se comparan el contraste Michelson y la luminancia de la imagen más oscura de una intermitencia. Las intermitencias cuyo contraste de luminancia se encuentran por encima de la curva son potencialmente peligrosas. Esta curva crea dos regiones, por encima y por debajo de 160 cd/m2 para la imagen más oscura de una intermitencia. En la región inferior a 160 cd/m2, la curva se define por la diferencia absoluta de 20 cd/m2. En la región superior a 160 cd/m2, la curva se define por el contraste relativo. No hay discontinuidades a 160 cd/m2, pues el contraste relativo de la intermitencia con 160 cd/m2 de la imagen más oscura y 20 cd/m2 de diferencia entre las imágenes más oscura y más brillante es:</w:t>
      </w:r>
    </w:p>
    <w:p w14:paraId="11A45BA9" w14:textId="77777777" w:rsidR="0060745C" w:rsidRPr="00B6543F" w:rsidRDefault="0060745C" w:rsidP="0060745C">
      <w:pPr>
        <w:pStyle w:val="Equation"/>
        <w:jc w:val="center"/>
        <w:rPr>
          <w:lang w:val="es-ES_tradnl"/>
        </w:rPr>
      </w:pPr>
      <w:r w:rsidRPr="00B6543F">
        <w:rPr>
          <w:lang w:val="es-ES_tradnl"/>
        </w:rPr>
        <w:t>1/17 = ((160 + 20) – (160))/((160 + 20) + 160).</w:t>
      </w:r>
    </w:p>
    <w:p w14:paraId="4B0BAC70" w14:textId="6EF6FC6B" w:rsidR="00534021" w:rsidRPr="00B6543F" w:rsidRDefault="00534021" w:rsidP="00A903DE">
      <w:pPr>
        <w:rPr>
          <w:snapToGrid w:val="0"/>
          <w:lang w:val="es-ES_tradnl"/>
        </w:rPr>
      </w:pPr>
      <w:r w:rsidRPr="00B6543F">
        <w:rPr>
          <w:snapToGrid w:val="0"/>
          <w:lang w:val="es-ES_tradnl"/>
        </w:rPr>
        <w:t>La Fig</w:t>
      </w:r>
      <w:r w:rsidR="007F00DD" w:rsidRPr="00B6543F">
        <w:rPr>
          <w:snapToGrid w:val="0"/>
          <w:lang w:val="es-ES_tradnl"/>
        </w:rPr>
        <w:t>. </w:t>
      </w:r>
      <w:r w:rsidRPr="00B6543F">
        <w:rPr>
          <w:snapToGrid w:val="0"/>
          <w:lang w:val="es-ES_tradnl"/>
        </w:rPr>
        <w:t>2 es otra representación de la Fig</w:t>
      </w:r>
      <w:r w:rsidR="007F00DD" w:rsidRPr="00B6543F">
        <w:rPr>
          <w:snapToGrid w:val="0"/>
          <w:lang w:val="es-ES_tradnl"/>
        </w:rPr>
        <w:t>. </w:t>
      </w:r>
      <w:r w:rsidRPr="00B6543F">
        <w:rPr>
          <w:snapToGrid w:val="0"/>
          <w:lang w:val="es-ES_tradnl"/>
        </w:rPr>
        <w:t>1 donde se muestra el contraste de luminancia entre las imágenes más oscura y más brillante de la intermitencia en la diferencia de luminancia.</w:t>
      </w:r>
    </w:p>
    <w:p w14:paraId="19E32B58" w14:textId="77777777" w:rsidR="00534021" w:rsidRPr="00B6543F" w:rsidRDefault="00534021" w:rsidP="00534021">
      <w:pPr>
        <w:pStyle w:val="FigureNo"/>
        <w:rPr>
          <w:lang w:val="es-ES_tradnl"/>
        </w:rPr>
      </w:pPr>
      <w:r w:rsidRPr="00B6543F">
        <w:rPr>
          <w:lang w:val="es-ES_tradnl"/>
        </w:rPr>
        <w:t>FIGURA 1</w:t>
      </w:r>
    </w:p>
    <w:p w14:paraId="3B027C9A" w14:textId="6E6C65FB" w:rsidR="00534021" w:rsidRPr="00B6543F" w:rsidRDefault="00534021" w:rsidP="00534021">
      <w:pPr>
        <w:pStyle w:val="Figuretitle"/>
        <w:rPr>
          <w:lang w:val="es-ES_tradnl"/>
        </w:rPr>
      </w:pPr>
      <w:r w:rsidRPr="00B6543F">
        <w:rPr>
          <w:lang w:val="es-ES_tradnl"/>
        </w:rPr>
        <w:t xml:space="preserve">Contraste Michelson relativo en comparación con la luminancia de la imagen más oscura </w:t>
      </w:r>
      <w:r w:rsidR="0043022D" w:rsidRPr="00B6543F">
        <w:rPr>
          <w:lang w:val="es-ES_tradnl"/>
        </w:rPr>
        <w:br/>
      </w:r>
      <w:r w:rsidRPr="00B6543F">
        <w:rPr>
          <w:lang w:val="es-ES_tradnl"/>
        </w:rPr>
        <w:t>del área de una intermitencia</w:t>
      </w:r>
    </w:p>
    <w:p w14:paraId="6972EB2C" w14:textId="103682D9" w:rsidR="00534021" w:rsidRPr="00B6543F" w:rsidRDefault="0043022D" w:rsidP="00534021">
      <w:pPr>
        <w:pStyle w:val="Figure"/>
        <w:rPr>
          <w:lang w:val="es-ES_tradnl" w:eastAsia="en-GB"/>
        </w:rPr>
      </w:pPr>
      <w:r w:rsidRPr="00B6543F">
        <w:rPr>
          <w:lang w:val="es-ES_tradnl" w:eastAsia="en-GB"/>
        </w:rPr>
        <w:drawing>
          <wp:inline distT="0" distB="0" distL="0" distR="0" wp14:anchorId="16468B56" wp14:editId="669326CF">
            <wp:extent cx="5535179" cy="3438151"/>
            <wp:effectExtent l="0" t="0" r="8890" b="0"/>
            <wp:docPr id="826552260" name="Picture 1" descr="A graph with a line and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552260" name="Picture 1" descr="A graph with a line and a red lin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35179" cy="3438151"/>
                    </a:xfrm>
                    <a:prstGeom prst="rect">
                      <a:avLst/>
                    </a:prstGeom>
                  </pic:spPr>
                </pic:pic>
              </a:graphicData>
            </a:graphic>
          </wp:inline>
        </w:drawing>
      </w:r>
    </w:p>
    <w:p w14:paraId="021B0D24" w14:textId="77777777" w:rsidR="00534021" w:rsidRPr="00B6543F" w:rsidRDefault="00534021" w:rsidP="00534021">
      <w:pPr>
        <w:pStyle w:val="FigureNo"/>
        <w:rPr>
          <w:lang w:val="es-ES_tradnl"/>
        </w:rPr>
      </w:pPr>
      <w:bookmarkStart w:id="3" w:name="_Hlk42687348"/>
      <w:r w:rsidRPr="00B6543F">
        <w:rPr>
          <w:lang w:val="es-ES_tradnl"/>
        </w:rPr>
        <w:lastRenderedPageBreak/>
        <w:t>FIGURA 2</w:t>
      </w:r>
    </w:p>
    <w:p w14:paraId="62D3CD95" w14:textId="2097CE20" w:rsidR="00534021" w:rsidRPr="00B6543F" w:rsidRDefault="00534021" w:rsidP="00534021">
      <w:pPr>
        <w:pStyle w:val="Figuretitle"/>
        <w:rPr>
          <w:lang w:val="es-ES_tradnl"/>
        </w:rPr>
      </w:pPr>
      <w:r w:rsidRPr="00B6543F">
        <w:rPr>
          <w:lang w:val="es-ES_tradnl"/>
        </w:rPr>
        <w:t xml:space="preserve">Diferencia de luminancia en comparación con la luminancia de la imagen más oscura </w:t>
      </w:r>
      <w:r w:rsidR="0043022D" w:rsidRPr="00B6543F">
        <w:rPr>
          <w:lang w:val="es-ES_tradnl"/>
        </w:rPr>
        <w:br/>
      </w:r>
      <w:r w:rsidRPr="00B6543F">
        <w:rPr>
          <w:lang w:val="es-ES_tradnl"/>
        </w:rPr>
        <w:t>del</w:t>
      </w:r>
      <w:r w:rsidR="0043022D" w:rsidRPr="00B6543F">
        <w:rPr>
          <w:lang w:val="es-ES_tradnl"/>
        </w:rPr>
        <w:t xml:space="preserve"> </w:t>
      </w:r>
      <w:r w:rsidRPr="00B6543F">
        <w:rPr>
          <w:lang w:val="es-ES_tradnl"/>
        </w:rPr>
        <w:t>área de la intermitencia</w:t>
      </w:r>
    </w:p>
    <w:bookmarkEnd w:id="3"/>
    <w:p w14:paraId="74B720FF" w14:textId="6F6AC04C" w:rsidR="00534021" w:rsidRPr="00B6543F" w:rsidRDefault="0043022D" w:rsidP="00A903DE">
      <w:pPr>
        <w:pStyle w:val="Figure"/>
        <w:rPr>
          <w:lang w:val="es-ES_tradnl" w:eastAsia="en-GB"/>
        </w:rPr>
      </w:pPr>
      <w:r w:rsidRPr="00B6543F">
        <w:rPr>
          <w:lang w:val="es-ES_tradnl" w:eastAsia="en-GB"/>
        </w:rPr>
        <w:drawing>
          <wp:inline distT="0" distB="0" distL="0" distR="0" wp14:anchorId="6D6011FA" wp14:editId="712654E1">
            <wp:extent cx="5620523" cy="3441199"/>
            <wp:effectExtent l="0" t="0" r="0" b="6985"/>
            <wp:docPr id="975534645" name="Picture 2" descr="A graph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534645" name="Picture 2" descr="A graph with a red lin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620523" cy="3441199"/>
                    </a:xfrm>
                    <a:prstGeom prst="rect">
                      <a:avLst/>
                    </a:prstGeom>
                  </pic:spPr>
                </pic:pic>
              </a:graphicData>
            </a:graphic>
          </wp:inline>
        </w:drawing>
      </w:r>
    </w:p>
    <w:p w14:paraId="3079CB60" w14:textId="18126F36" w:rsidR="00534021" w:rsidRPr="00B6543F" w:rsidRDefault="00534021" w:rsidP="0043022D">
      <w:pPr>
        <w:pStyle w:val="AnnexNoTitle"/>
        <w:spacing w:after="0"/>
        <w:rPr>
          <w:lang w:val="es-ES_tradnl"/>
        </w:rPr>
      </w:pPr>
      <w:r w:rsidRPr="00B6543F">
        <w:rPr>
          <w:lang w:val="es-ES_tradnl"/>
        </w:rPr>
        <w:t>Referencias</w:t>
      </w:r>
    </w:p>
    <w:p w14:paraId="6E746D26" w14:textId="77777777" w:rsidR="00534021" w:rsidRPr="00B6543F" w:rsidRDefault="00534021" w:rsidP="0043022D">
      <w:pPr>
        <w:pStyle w:val="Reftext"/>
        <w:spacing w:before="360"/>
        <w:rPr>
          <w:lang w:val="es-ES_tradnl"/>
        </w:rPr>
      </w:pPr>
      <w:r w:rsidRPr="00B6543F">
        <w:rPr>
          <w:lang w:val="es-ES_tradnl"/>
        </w:rPr>
        <w:t>[1]</w:t>
      </w:r>
      <w:r w:rsidRPr="00B6543F">
        <w:rPr>
          <w:lang w:val="es-ES_tradnl"/>
        </w:rPr>
        <w:tab/>
        <w:t>ABRAMOV, V. A., KRAPIVINA E. N. y MISHENKOV, S. L. [julio de 2000] Ecological problems of teleradio broadcasting. Seminar of Moscow A.S. Popov’s Scientific Technical Society on Broadcasting and Telecommunication, Velikie Luky.</w:t>
      </w:r>
    </w:p>
    <w:p w14:paraId="038C4A90" w14:textId="77777777" w:rsidR="00534021" w:rsidRPr="00B6543F" w:rsidRDefault="00534021" w:rsidP="00534021">
      <w:pPr>
        <w:pStyle w:val="Reftext"/>
        <w:rPr>
          <w:lang w:val="es-ES_tradnl"/>
        </w:rPr>
      </w:pPr>
      <w:r w:rsidRPr="00B6543F">
        <w:rPr>
          <w:lang w:val="es-ES_tradnl"/>
        </w:rPr>
        <w:t>[2]</w:t>
      </w:r>
      <w:r w:rsidRPr="00B6543F">
        <w:rPr>
          <w:lang w:val="es-ES_tradnl"/>
        </w:rPr>
        <w:tab/>
      </w:r>
      <w:r w:rsidRPr="00B6543F">
        <w:rPr>
          <w:spacing w:val="-4"/>
          <w:lang w:val="es-ES_tradnl"/>
        </w:rPr>
        <w:t>BINNIE, C. D., EMMETT J., GARDINER, P., HARDING G. F. A., HARRISON D. y WILKINS, A. J. [2001] Characterizing the flashing television images that precipitate seizures Proc. IBC2001.</w:t>
      </w:r>
    </w:p>
    <w:p w14:paraId="38151E40" w14:textId="77777777" w:rsidR="00534021" w:rsidRPr="00B6543F" w:rsidRDefault="00534021" w:rsidP="00534021">
      <w:pPr>
        <w:pStyle w:val="Reftext"/>
        <w:rPr>
          <w:lang w:val="es-ES_tradnl"/>
        </w:rPr>
      </w:pPr>
      <w:r w:rsidRPr="00B6543F">
        <w:rPr>
          <w:lang w:val="es-ES_tradnl"/>
        </w:rPr>
        <w:t>[3]</w:t>
      </w:r>
      <w:r w:rsidRPr="00B6543F">
        <w:rPr>
          <w:lang w:val="es-ES_tradnl"/>
        </w:rPr>
        <w:tab/>
      </w:r>
      <w:r w:rsidRPr="00B6543F">
        <w:rPr>
          <w:spacing w:val="-6"/>
          <w:lang w:val="es-ES_tradnl"/>
        </w:rPr>
        <w:t>BINNIE, C. D., EMMETT, J., GARDINER, P., HARDING, G. F. A., HARRISON, D. y WILKINS, A. J</w:t>
      </w:r>
      <w:r w:rsidRPr="00B6543F">
        <w:rPr>
          <w:spacing w:val="-4"/>
          <w:lang w:val="es-ES_tradnl"/>
        </w:rPr>
        <w:t xml:space="preserve">. [julio/agosto de 2002] Characterizing the flashing television images that precipitate seizures, </w:t>
      </w:r>
      <w:r w:rsidRPr="00B6543F">
        <w:rPr>
          <w:i/>
          <w:iCs/>
          <w:spacing w:val="-4"/>
          <w:lang w:val="es-ES_tradnl"/>
        </w:rPr>
        <w:t>SMPTE J</w:t>
      </w:r>
      <w:r w:rsidRPr="00B6543F">
        <w:rPr>
          <w:spacing w:val="-4"/>
          <w:lang w:val="es-ES_tradnl"/>
        </w:rPr>
        <w:t>.</w:t>
      </w:r>
    </w:p>
    <w:p w14:paraId="1D364FF9" w14:textId="77777777" w:rsidR="00534021" w:rsidRPr="00B6543F" w:rsidRDefault="00534021" w:rsidP="00534021">
      <w:pPr>
        <w:pStyle w:val="Reftext"/>
        <w:rPr>
          <w:lang w:val="es-ES_tradnl"/>
        </w:rPr>
      </w:pPr>
      <w:r w:rsidRPr="00B6543F">
        <w:rPr>
          <w:lang w:val="es-ES_tradnl"/>
        </w:rPr>
        <w:t>[4]</w:t>
      </w:r>
      <w:r w:rsidRPr="00B6543F">
        <w:rPr>
          <w:lang w:val="es-ES_tradnl"/>
        </w:rPr>
        <w:tab/>
        <w:t>CLIPPINGDALE, C. e ISONO H. [octubre de 1999] Photosensitivity, Broadcast Guidelines and Video Monitoring. Proc. IEEE International Conference on Systems, Man &amp; Cybernetics SMC’99, Tokyo, Japón.</w:t>
      </w:r>
    </w:p>
    <w:p w14:paraId="47A6CB50" w14:textId="77777777" w:rsidR="00534021" w:rsidRPr="00B6543F" w:rsidRDefault="00534021" w:rsidP="00534021">
      <w:pPr>
        <w:pStyle w:val="Reftext"/>
        <w:rPr>
          <w:lang w:val="es-ES_tradnl"/>
        </w:rPr>
      </w:pPr>
      <w:r w:rsidRPr="00B6543F">
        <w:rPr>
          <w:lang w:val="es-ES_tradnl"/>
        </w:rPr>
        <w:t>[5]</w:t>
      </w:r>
      <w:r w:rsidRPr="00B6543F">
        <w:rPr>
          <w:lang w:val="es-ES_tradnl"/>
        </w:rPr>
        <w:tab/>
        <w:t>HARDING, G. F. A. [marzo de 1998] TV can be bad for your health. Nature Medicine, Vol. 4, 3.</w:t>
      </w:r>
    </w:p>
    <w:p w14:paraId="64D29D51" w14:textId="77777777" w:rsidR="00534021" w:rsidRPr="00B6543F" w:rsidRDefault="00534021" w:rsidP="00534021">
      <w:pPr>
        <w:pStyle w:val="Reftext"/>
        <w:rPr>
          <w:lang w:val="es-ES_tradnl"/>
        </w:rPr>
      </w:pPr>
      <w:r w:rsidRPr="00B6543F">
        <w:rPr>
          <w:lang w:val="es-ES_tradnl"/>
        </w:rPr>
        <w:t>[6]</w:t>
      </w:r>
      <w:r w:rsidRPr="00B6543F">
        <w:rPr>
          <w:lang w:val="es-ES_tradnl"/>
        </w:rPr>
        <w:tab/>
        <w:t>HARDING, G. F. A. y JEAVONS, P. M. [1994] Photosensitive Epilepsy. ISBN: 0 898683 02 6.</w:t>
      </w:r>
    </w:p>
    <w:p w14:paraId="7EEA23C8" w14:textId="77777777" w:rsidR="00534021" w:rsidRPr="00B6543F" w:rsidRDefault="00534021" w:rsidP="00534021">
      <w:pPr>
        <w:pStyle w:val="Reftext"/>
        <w:rPr>
          <w:lang w:val="es-ES_tradnl"/>
        </w:rPr>
      </w:pPr>
      <w:r w:rsidRPr="00B6543F">
        <w:rPr>
          <w:lang w:val="es-ES_tradnl"/>
        </w:rPr>
        <w:t>[7]</w:t>
      </w:r>
      <w:r w:rsidRPr="00B6543F">
        <w:rPr>
          <w:lang w:val="es-ES_tradnl"/>
        </w:rPr>
        <w:tab/>
        <w:t>NEMTSOVA, S. R. [2001] The research on main characteristics of audiovisual systems with position of ecological protection of information consumer. Dissertation for the doctorate on technical sciences, Moscú, Rusia.</w:t>
      </w:r>
    </w:p>
    <w:p w14:paraId="776BBD6B" w14:textId="77777777" w:rsidR="00534021" w:rsidRPr="00B6543F" w:rsidRDefault="00534021" w:rsidP="00534021">
      <w:pPr>
        <w:pStyle w:val="Reftext"/>
        <w:rPr>
          <w:lang w:val="es-ES_tradnl"/>
        </w:rPr>
      </w:pPr>
      <w:r w:rsidRPr="00B6543F">
        <w:rPr>
          <w:lang w:val="es-ES_tradnl"/>
        </w:rPr>
        <w:t>[8]</w:t>
      </w:r>
      <w:r w:rsidRPr="00B6543F">
        <w:rPr>
          <w:lang w:val="es-ES_tradnl"/>
        </w:rPr>
        <w:tab/>
        <w:t>WILKINS, A. J. [1995] Visual Stress ISBN 0 19 852174 X.</w:t>
      </w:r>
    </w:p>
    <w:p w14:paraId="7B4EA52F" w14:textId="1C56831F" w:rsidR="00534021" w:rsidRPr="00B6543F" w:rsidRDefault="00534021" w:rsidP="00534021">
      <w:pPr>
        <w:pStyle w:val="Reftext"/>
        <w:rPr>
          <w:szCs w:val="24"/>
          <w:lang w:val="es-ES_tradnl"/>
        </w:rPr>
      </w:pPr>
      <w:r w:rsidRPr="00B6543F">
        <w:rPr>
          <w:lang w:val="es-ES_tradnl"/>
        </w:rPr>
        <w:t>[9]</w:t>
      </w:r>
      <w:r w:rsidRPr="00B6543F">
        <w:rPr>
          <w:szCs w:val="24"/>
          <w:lang w:val="es-ES_tradnl"/>
        </w:rPr>
        <w:tab/>
      </w:r>
      <w:r w:rsidRPr="00B6543F">
        <w:rPr>
          <w:caps/>
          <w:szCs w:val="24"/>
          <w:lang w:val="es-ES_tradnl"/>
        </w:rPr>
        <w:t xml:space="preserve">Hanan M El Shakankiry </w:t>
      </w:r>
      <w:r w:rsidRPr="00B6543F">
        <w:rPr>
          <w:szCs w:val="24"/>
          <w:lang w:val="es-ES_tradnl"/>
        </w:rPr>
        <w:t>and</w:t>
      </w:r>
      <w:r w:rsidRPr="00B6543F">
        <w:rPr>
          <w:caps/>
          <w:szCs w:val="24"/>
          <w:lang w:val="es-ES_tradnl"/>
        </w:rPr>
        <w:t xml:space="preserve"> Ann A Abdel Kade – </w:t>
      </w:r>
      <w:r w:rsidRPr="00B6543F">
        <w:rPr>
          <w:szCs w:val="24"/>
          <w:lang w:val="es-ES_tradnl"/>
        </w:rPr>
        <w:t xml:space="preserve">Pattern sensitivity: a missed part of the diagnosis </w:t>
      </w:r>
      <w:hyperlink r:id="rId17" w:anchor="b2-ndt-8-313" w:history="1">
        <w:r w:rsidRPr="00B6543F">
          <w:rPr>
            <w:rStyle w:val="Hyperlink"/>
            <w:szCs w:val="24"/>
            <w:lang w:val="es-ES_tradnl"/>
          </w:rPr>
          <w:t>https://www.ncbi.nlm.nih.gov/pmc/articles/PMC3404594/#b2-ndt-8-313</w:t>
        </w:r>
      </w:hyperlink>
      <w:r w:rsidR="0043022D" w:rsidRPr="00B6543F">
        <w:rPr>
          <w:lang w:val="es-ES_tradnl"/>
        </w:rPr>
        <w:t>.</w:t>
      </w:r>
    </w:p>
    <w:p w14:paraId="1323EAE5" w14:textId="762EAF23" w:rsidR="00534021" w:rsidRPr="00B6543F" w:rsidRDefault="00534021" w:rsidP="00534021">
      <w:pPr>
        <w:pStyle w:val="Reftext"/>
        <w:rPr>
          <w:szCs w:val="24"/>
          <w:lang w:val="es-ES_tradnl"/>
        </w:rPr>
      </w:pPr>
      <w:r w:rsidRPr="00B6543F">
        <w:rPr>
          <w:szCs w:val="24"/>
          <w:lang w:val="es-ES_tradnl"/>
        </w:rPr>
        <w:t>[10]</w:t>
      </w:r>
      <w:r w:rsidRPr="00B6543F">
        <w:rPr>
          <w:szCs w:val="24"/>
          <w:lang w:val="es-ES_tradnl"/>
        </w:rPr>
        <w:tab/>
      </w:r>
      <w:r w:rsidRPr="00B6543F">
        <w:rPr>
          <w:caps/>
          <w:spacing w:val="-4"/>
          <w:szCs w:val="24"/>
          <w:lang w:val="es-ES_tradnl"/>
        </w:rPr>
        <w:t>A.</w:t>
      </w:r>
      <w:r w:rsidR="0043022D" w:rsidRPr="00B6543F">
        <w:rPr>
          <w:caps/>
          <w:spacing w:val="-4"/>
          <w:szCs w:val="24"/>
          <w:lang w:val="es-ES_tradnl"/>
        </w:rPr>
        <w:t> </w:t>
      </w:r>
      <w:r w:rsidRPr="00B6543F">
        <w:rPr>
          <w:caps/>
          <w:spacing w:val="-4"/>
          <w:szCs w:val="24"/>
          <w:lang w:val="es-ES_tradnl"/>
        </w:rPr>
        <w:t>Wilkins</w:t>
      </w:r>
      <w:r w:rsidR="0043022D" w:rsidRPr="00B6543F">
        <w:rPr>
          <w:spacing w:val="-4"/>
          <w:szCs w:val="24"/>
          <w:lang w:val="es-ES_tradnl"/>
        </w:rPr>
        <w:t> </w:t>
      </w:r>
      <w:r w:rsidRPr="00B6543F">
        <w:rPr>
          <w:spacing w:val="-4"/>
          <w:szCs w:val="24"/>
          <w:lang w:val="es-ES_tradnl"/>
        </w:rPr>
        <w:t>–</w:t>
      </w:r>
      <w:r w:rsidR="0043022D" w:rsidRPr="00B6543F">
        <w:rPr>
          <w:spacing w:val="-4"/>
          <w:szCs w:val="24"/>
          <w:lang w:val="es-ES_tradnl"/>
        </w:rPr>
        <w:t> </w:t>
      </w:r>
      <w:r w:rsidRPr="00B6543F">
        <w:rPr>
          <w:spacing w:val="-4"/>
          <w:szCs w:val="24"/>
          <w:lang w:val="es-ES_tradnl"/>
        </w:rPr>
        <w:t xml:space="preserve">Pattern-Sensitive Epilepsy </w:t>
      </w:r>
      <w:hyperlink r:id="rId18" w:history="1">
        <w:r w:rsidRPr="00B6543F">
          <w:rPr>
            <w:rStyle w:val="Hyperlink"/>
            <w:spacing w:val="-4"/>
            <w:szCs w:val="24"/>
            <w:lang w:val="es-ES_tradnl"/>
          </w:rPr>
          <w:t>https://www1.essex.ac.uk/psychology/overlays/1999-141.pdf</w:t>
        </w:r>
      </w:hyperlink>
      <w:r w:rsidR="0043022D" w:rsidRPr="00B6543F">
        <w:rPr>
          <w:spacing w:val="-4"/>
          <w:lang w:val="es-ES_tradnl"/>
        </w:rPr>
        <w:t>.</w:t>
      </w:r>
    </w:p>
    <w:p w14:paraId="63F71F8B" w14:textId="7B390F8D" w:rsidR="00534021" w:rsidRPr="00B6543F" w:rsidRDefault="00534021" w:rsidP="00534021">
      <w:pPr>
        <w:pStyle w:val="Reftext"/>
        <w:rPr>
          <w:szCs w:val="22"/>
          <w:lang w:val="es-ES_tradnl"/>
        </w:rPr>
      </w:pPr>
      <w:r w:rsidRPr="00B6543F">
        <w:rPr>
          <w:szCs w:val="22"/>
          <w:lang w:val="es-ES_tradnl"/>
        </w:rPr>
        <w:t>[11]</w:t>
      </w:r>
      <w:r w:rsidRPr="00B6543F">
        <w:rPr>
          <w:szCs w:val="22"/>
          <w:lang w:val="es-ES_tradnl"/>
        </w:rPr>
        <w:tab/>
        <w:t>PELLI, D. G. y BEX, P. [2013] Measuring Contrast Sensitivity. Vision Research, Vol. 90, Páginas 10-14.</w:t>
      </w:r>
    </w:p>
    <w:p w14:paraId="1A81F4DC" w14:textId="77777777" w:rsidR="00534021" w:rsidRPr="00B6543F" w:rsidRDefault="00534021" w:rsidP="0043022D">
      <w:pPr>
        <w:rPr>
          <w:sz w:val="28"/>
          <w:lang w:val="es-ES_tradnl" w:eastAsia="ja-JP"/>
        </w:rPr>
      </w:pPr>
      <w:r w:rsidRPr="00B6543F">
        <w:rPr>
          <w:lang w:val="es-ES_tradnl" w:eastAsia="ja-JP"/>
        </w:rPr>
        <w:br w:type="page"/>
      </w:r>
    </w:p>
    <w:p w14:paraId="111EF843" w14:textId="7327B9AE" w:rsidR="00534021" w:rsidRPr="00B6543F" w:rsidRDefault="00534021" w:rsidP="00534021">
      <w:pPr>
        <w:pStyle w:val="AnnexNoTitle"/>
        <w:rPr>
          <w:lang w:val="es-ES_tradnl" w:eastAsia="ja-JP"/>
        </w:rPr>
      </w:pPr>
      <w:r w:rsidRPr="00B6543F">
        <w:rPr>
          <w:lang w:val="es-ES_tradnl" w:eastAsia="ja-JP"/>
        </w:rPr>
        <w:lastRenderedPageBreak/>
        <w:t xml:space="preserve">Adjunto 1 </w:t>
      </w:r>
      <w:r w:rsidRPr="00B6543F">
        <w:rPr>
          <w:lang w:val="es-ES_tradnl" w:eastAsia="ja-JP"/>
        </w:rPr>
        <w:br/>
        <w:t xml:space="preserve">al Anexo 1 </w:t>
      </w:r>
      <w:r w:rsidRPr="00B6543F">
        <w:rPr>
          <w:lang w:val="es-ES_tradnl" w:eastAsia="ja-JP"/>
        </w:rPr>
        <w:br/>
        <w:t>(</w:t>
      </w:r>
      <w:r w:rsidRPr="00B6543F">
        <w:rPr>
          <w:lang w:val="es-ES_tradnl"/>
        </w:rPr>
        <w:t>informativo)</w:t>
      </w:r>
      <w:r w:rsidR="00642878" w:rsidRPr="00B6543F">
        <w:rPr>
          <w:lang w:val="es-ES_tradnl"/>
        </w:rPr>
        <w:br/>
      </w:r>
      <w:r w:rsidRPr="00B6543F">
        <w:rPr>
          <w:lang w:val="es-ES_tradnl"/>
        </w:rPr>
        <w:br/>
      </w:r>
      <w:r w:rsidRPr="00B6543F">
        <w:rPr>
          <w:lang w:val="es-ES_tradnl" w:eastAsia="ja-JP"/>
        </w:rPr>
        <w:t xml:space="preserve">Directrices sobre los criterios de medición para identificar </w:t>
      </w:r>
      <w:r w:rsidR="00642878" w:rsidRPr="00B6543F">
        <w:rPr>
          <w:lang w:val="es-ES_tradnl" w:eastAsia="ja-JP"/>
        </w:rPr>
        <w:br/>
      </w:r>
      <w:r w:rsidRPr="00B6543F">
        <w:rPr>
          <w:lang w:val="es-ES_tradnl" w:eastAsia="ja-JP"/>
        </w:rPr>
        <w:t>las imágenes estáticas potencialmente dañinas</w:t>
      </w:r>
    </w:p>
    <w:p w14:paraId="6C26DBCF" w14:textId="44E04D7A" w:rsidR="00534021" w:rsidRPr="00B6543F" w:rsidRDefault="00534021" w:rsidP="00534021">
      <w:pPr>
        <w:pStyle w:val="Normalaftertitle"/>
        <w:rPr>
          <w:lang w:val="es-ES_tradnl"/>
        </w:rPr>
      </w:pPr>
      <w:r w:rsidRPr="00B6543F">
        <w:rPr>
          <w:lang w:val="es-ES_tradnl"/>
        </w:rPr>
        <w:t>Algunas administraciones utilizan la siguiente orientación adicional sobre la identificación de imágenes estáticas de carácter repetitivo potencialmente perjudiciales.</w:t>
      </w:r>
    </w:p>
    <w:p w14:paraId="29CB7A41" w14:textId="77777777" w:rsidR="00534021" w:rsidRPr="00B6543F" w:rsidRDefault="00534021" w:rsidP="00534021">
      <w:pPr>
        <w:rPr>
          <w:lang w:val="es-ES_tradnl"/>
        </w:rPr>
      </w:pPr>
      <w:r w:rsidRPr="00B6543F">
        <w:rPr>
          <w:lang w:val="es-ES_tradnl"/>
        </w:rPr>
        <w:t>Puede existir una imagen estática de carácter repetitivo potencialmente prejudicial si una imagen contiene más de cinco pares claros y oscuros de franjas claramente discernible en cualquier orientación cuando se da una de las dos condiciones siguientes:</w:t>
      </w:r>
    </w:p>
    <w:p w14:paraId="7E1DD25F" w14:textId="77777777" w:rsidR="00534021" w:rsidRPr="00B6543F" w:rsidRDefault="00534021" w:rsidP="00534021">
      <w:pPr>
        <w:pStyle w:val="enumlev1"/>
        <w:rPr>
          <w:szCs w:val="24"/>
          <w:lang w:val="es-ES_tradnl"/>
        </w:rPr>
      </w:pPr>
      <w:r w:rsidRPr="00B6543F">
        <w:rPr>
          <w:szCs w:val="24"/>
          <w:lang w:val="es-ES_tradnl"/>
        </w:rPr>
        <w:t>–</w:t>
      </w:r>
      <w:r w:rsidRPr="00B6543F">
        <w:rPr>
          <w:szCs w:val="24"/>
          <w:lang w:val="es-ES_tradnl"/>
        </w:rPr>
        <w:tab/>
        <w:t>las franjas están fijas y el motive ocupa más de 40% de la superficie de la pantalla; o</w:t>
      </w:r>
    </w:p>
    <w:p w14:paraId="591C80A5" w14:textId="77777777" w:rsidR="00534021" w:rsidRPr="00B6543F" w:rsidRDefault="00534021" w:rsidP="00534021">
      <w:pPr>
        <w:pStyle w:val="enumlev1"/>
        <w:rPr>
          <w:szCs w:val="24"/>
          <w:lang w:val="es-ES_tradnl"/>
        </w:rPr>
      </w:pPr>
      <w:r w:rsidRPr="00B6543F">
        <w:rPr>
          <w:szCs w:val="24"/>
          <w:lang w:val="es-ES_tradnl"/>
        </w:rPr>
        <w:t>–</w:t>
      </w:r>
      <w:r w:rsidRPr="00B6543F">
        <w:rPr>
          <w:szCs w:val="24"/>
          <w:lang w:val="es-ES_tradnl"/>
        </w:rPr>
        <w:tab/>
        <w:t>las franjas cambian de dirección, oscilan, parpadean o invierten el contraste y el patrón ocupa más del 25% del área de la pantalla mostrada.</w:t>
      </w:r>
    </w:p>
    <w:p w14:paraId="358016C7" w14:textId="03D6AF95" w:rsidR="00534021" w:rsidRPr="00B6543F" w:rsidRDefault="00534021" w:rsidP="00534021">
      <w:pPr>
        <w:rPr>
          <w:szCs w:val="24"/>
          <w:lang w:val="es-ES_tradnl"/>
        </w:rPr>
      </w:pPr>
      <w:r w:rsidRPr="00B6543F">
        <w:rPr>
          <w:szCs w:val="24"/>
          <w:lang w:val="es-ES_tradnl"/>
        </w:rPr>
        <w:t>Para que una imagen estática de carácter repetitivo se considere potencialmente nocivo, la diferencia entre la luminancia de las barras más oscuras y claras del patrón será la misma que la diferencia entre las imágenes más oscuras y más claras de un parpadeo potencialmente nocivo descrito en la Directriz</w:t>
      </w:r>
      <w:r w:rsidR="00642878" w:rsidRPr="00B6543F">
        <w:rPr>
          <w:szCs w:val="24"/>
          <w:lang w:val="es-ES_tradnl"/>
        </w:rPr>
        <w:t> </w:t>
      </w:r>
      <w:r w:rsidRPr="00B6543F">
        <w:rPr>
          <w:szCs w:val="24"/>
          <w:lang w:val="es-ES_tradnl"/>
        </w:rPr>
        <w:t>1 anterior.</w:t>
      </w:r>
    </w:p>
    <w:p w14:paraId="0DF6AC29" w14:textId="77777777" w:rsidR="00534021" w:rsidRPr="00B6543F" w:rsidRDefault="00534021" w:rsidP="0060745C">
      <w:pPr>
        <w:rPr>
          <w:szCs w:val="24"/>
          <w:lang w:val="es-ES_tradnl"/>
        </w:rPr>
      </w:pPr>
      <w:r w:rsidRPr="00B6543F">
        <w:rPr>
          <w:szCs w:val="24"/>
          <w:lang w:val="es-ES_tradnl"/>
        </w:rPr>
        <w:t>Si es evidente que las imágenes fluyen suavemente a través, dentro o fuera de la pantalla en una dirección, están exentas de restricciones.</w:t>
      </w:r>
    </w:p>
    <w:p w14:paraId="378E0578" w14:textId="77777777" w:rsidR="00A903DE" w:rsidRPr="00B6543F" w:rsidRDefault="00A903DE" w:rsidP="00CE37FB">
      <w:pPr>
        <w:spacing w:before="0"/>
        <w:rPr>
          <w:szCs w:val="24"/>
          <w:lang w:val="es-ES_tradnl"/>
        </w:rPr>
      </w:pPr>
    </w:p>
    <w:p w14:paraId="58DA01B2" w14:textId="77777777" w:rsidR="00A903DE" w:rsidRPr="00B6543F" w:rsidRDefault="00A903DE" w:rsidP="00CE37FB">
      <w:pPr>
        <w:spacing w:before="0"/>
        <w:rPr>
          <w:szCs w:val="24"/>
          <w:lang w:val="es-ES_tradnl"/>
        </w:rPr>
      </w:pPr>
    </w:p>
    <w:p w14:paraId="22E6669F" w14:textId="77777777" w:rsidR="00534021" w:rsidRPr="00B6543F" w:rsidRDefault="00534021" w:rsidP="00CE37FB">
      <w:pPr>
        <w:pStyle w:val="AnnexNoTitle"/>
        <w:spacing w:before="240"/>
        <w:rPr>
          <w:lang w:val="es-ES_tradnl"/>
        </w:rPr>
      </w:pPr>
      <w:r w:rsidRPr="00B6543F">
        <w:rPr>
          <w:lang w:val="es-ES_tradnl"/>
        </w:rPr>
        <w:t xml:space="preserve">Anexo 2 </w:t>
      </w:r>
      <w:r w:rsidRPr="00B6543F">
        <w:rPr>
          <w:lang w:val="es-ES_tradnl"/>
        </w:rPr>
        <w:br/>
      </w:r>
      <w:r w:rsidRPr="00B6543F">
        <w:rPr>
          <w:lang w:val="es-ES_tradnl"/>
        </w:rPr>
        <w:br/>
        <w:t>Directrices relativas a la luminancia</w:t>
      </w:r>
    </w:p>
    <w:p w14:paraId="7BFB93BC" w14:textId="327FA83F" w:rsidR="00534021" w:rsidRPr="00B6543F" w:rsidRDefault="00534021" w:rsidP="00534021">
      <w:pPr>
        <w:pStyle w:val="Normalaftertitle"/>
        <w:rPr>
          <w:lang w:val="es-ES_tradnl"/>
        </w:rPr>
      </w:pPr>
      <w:r w:rsidRPr="00B6543F">
        <w:rPr>
          <w:lang w:val="es-ES_tradnl"/>
        </w:rPr>
        <w:t>La luminancia de la pantalla puede medirse utilizando un fotómetro portátil con una característica de la «Commission internationale de l'éclairage» diseñada para tomar muestras de la pantalla de televisión. Las condiciones de visualización son similares a las del «entorno de observación doméstico» descritas en la Recomendación UIT-R BT.500. Con el fin de obtener resultados precisos, debe configurarse ante todo el brillo y el contraste de la pantalla utilizando PLUGE (véase la Recomendación UIT-R BT.814). En ese caso, el blanco más intenso debe corresponder a una luminancia de pantalla de 200</w:t>
      </w:r>
      <w:r w:rsidR="00642878" w:rsidRPr="00B6543F">
        <w:rPr>
          <w:lang w:val="es-ES_tradnl"/>
        </w:rPr>
        <w:t> </w:t>
      </w:r>
      <w:r w:rsidRPr="00B6543F">
        <w:rPr>
          <w:lang w:val="es-ES_tradnl"/>
        </w:rPr>
        <w:t>cd/m</w:t>
      </w:r>
      <w:r w:rsidRPr="00B6543F">
        <w:rPr>
          <w:vertAlign w:val="superscript"/>
          <w:lang w:val="es-ES_tradnl"/>
        </w:rPr>
        <w:t>2</w:t>
      </w:r>
      <w:r w:rsidRPr="00B6543F">
        <w:rPr>
          <w:lang w:val="es-ES_tradnl"/>
        </w:rPr>
        <w:t xml:space="preserve"> para SDR, de 1 000 cd/m</w:t>
      </w:r>
      <w:r w:rsidRPr="00B6543F">
        <w:rPr>
          <w:vertAlign w:val="superscript"/>
          <w:lang w:val="es-ES_tradnl"/>
        </w:rPr>
        <w:t>2</w:t>
      </w:r>
      <w:r w:rsidRPr="00B6543F">
        <w:rPr>
          <w:lang w:val="es-ES_tradnl"/>
        </w:rPr>
        <w:t xml:space="preserve"> para híbrido log-gamma (HLG) y de 10 000 cd/m</w:t>
      </w:r>
      <w:r w:rsidRPr="00B6543F">
        <w:rPr>
          <w:vertAlign w:val="superscript"/>
          <w:lang w:val="es-ES_tradnl"/>
        </w:rPr>
        <w:t>2</w:t>
      </w:r>
      <w:r w:rsidRPr="00B6543F">
        <w:rPr>
          <w:lang w:val="es-ES_tradnl"/>
        </w:rPr>
        <w:t xml:space="preserve"> para la cuantización perceptual (PQ).</w:t>
      </w:r>
    </w:p>
    <w:p w14:paraId="7D5F996A" w14:textId="42151B6C" w:rsidR="00534021" w:rsidRPr="00B6543F" w:rsidRDefault="00534021" w:rsidP="00534021">
      <w:pPr>
        <w:rPr>
          <w:lang w:val="es-ES_tradnl"/>
        </w:rPr>
      </w:pPr>
      <w:r w:rsidRPr="00B6543F">
        <w:rPr>
          <w:lang w:val="es-ES_tradnl"/>
        </w:rPr>
        <w:t>Pueden consultarse el Cuadro</w:t>
      </w:r>
      <w:r w:rsidR="00642878" w:rsidRPr="00B6543F">
        <w:rPr>
          <w:lang w:val="es-ES_tradnl"/>
        </w:rPr>
        <w:t> </w:t>
      </w:r>
      <w:r w:rsidRPr="00B6543F">
        <w:rPr>
          <w:lang w:val="es-ES_tradnl"/>
        </w:rPr>
        <w:t>1 y la Fig</w:t>
      </w:r>
      <w:r w:rsidR="00642878" w:rsidRPr="00B6543F">
        <w:rPr>
          <w:lang w:val="es-ES_tradnl"/>
        </w:rPr>
        <w:t>. </w:t>
      </w:r>
      <w:r w:rsidRPr="00B6543F">
        <w:rPr>
          <w:lang w:val="es-ES_tradnl"/>
        </w:rPr>
        <w:t>3 si las mediciones eléctricas resultan más convenientes. Se muestra la relación típica entre el nivel de señal de luminancia (monocroma) y la luz emitida por una pantalla de televisión.</w:t>
      </w:r>
    </w:p>
    <w:p w14:paraId="578D7D1B" w14:textId="77777777" w:rsidR="00534021" w:rsidRPr="00B6543F" w:rsidRDefault="00534021" w:rsidP="00534021">
      <w:pPr>
        <w:rPr>
          <w:lang w:val="es-ES_tradnl"/>
        </w:rPr>
      </w:pPr>
      <w:r w:rsidRPr="00B6543F">
        <w:rPr>
          <w:lang w:val="es-ES_tradnl"/>
        </w:rPr>
        <w:t>Los dos métodos presentan incertidumbres en las mediciones. Sin embargo, puede preverse que las imágenes parpadeantes o las imágenes estáticas de carácter repetitivo descritas como potencialmente peligrosas se perciban sin dificultad. Las imágenes potencialmente peligrosas de este tipo sólo aparecen raras veces en el transcurso de la emisión con escenas que parecen ser naturales o que representan la vida real; como ejemplos pueden citarse los destellos de los flashes de los fotógrafos o las luces estroboscópicas en una discoteca. Uno de los objetivos de esta directriz es ayudar a los productores de programas a evitar la creación involuntaria de efectos de vídeo que contengan imágenes parpadeantes o imágenes estáticas de carácter repetitivo que puedan resultar peligrosas.</w:t>
      </w:r>
    </w:p>
    <w:p w14:paraId="6A05498D" w14:textId="77777777" w:rsidR="00534021" w:rsidRPr="00B6543F" w:rsidRDefault="00534021" w:rsidP="00534021">
      <w:pPr>
        <w:pStyle w:val="TableNo"/>
        <w:rPr>
          <w:lang w:val="es-ES_tradnl"/>
        </w:rPr>
      </w:pPr>
      <w:r w:rsidRPr="00B6543F">
        <w:rPr>
          <w:lang w:val="es-ES_tradnl"/>
        </w:rPr>
        <w:lastRenderedPageBreak/>
        <w:t>CUADRO 1</w:t>
      </w:r>
    </w:p>
    <w:p w14:paraId="67E390C5" w14:textId="77777777" w:rsidR="00534021" w:rsidRPr="00B6543F" w:rsidRDefault="00534021" w:rsidP="00534021">
      <w:pPr>
        <w:pStyle w:val="Tabletitle"/>
        <w:rPr>
          <w:lang w:val="es-ES_tradnl"/>
        </w:rPr>
      </w:pPr>
      <w:r w:rsidRPr="00B6543F">
        <w:rPr>
          <w:lang w:val="es-ES_tradnl"/>
        </w:rPr>
        <w:t>Tres tipos de nivel de luminancia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94"/>
        <w:gridCol w:w="1305"/>
        <w:gridCol w:w="850"/>
        <w:gridCol w:w="850"/>
        <w:gridCol w:w="851"/>
        <w:gridCol w:w="850"/>
        <w:gridCol w:w="1272"/>
        <w:gridCol w:w="851"/>
        <w:gridCol w:w="1077"/>
        <w:gridCol w:w="939"/>
      </w:tblGrid>
      <w:tr w:rsidR="00534021" w:rsidRPr="00B6543F" w14:paraId="0EC64093" w14:textId="77777777" w:rsidTr="00CE37FB">
        <w:trPr>
          <w:trHeight w:val="213"/>
          <w:jc w:val="center"/>
        </w:trPr>
        <w:tc>
          <w:tcPr>
            <w:tcW w:w="794" w:type="dxa"/>
            <w:vMerge w:val="restart"/>
            <w:hideMark/>
          </w:tcPr>
          <w:p w14:paraId="2035BAA6" w14:textId="77777777" w:rsidR="00534021" w:rsidRPr="00B6543F" w:rsidRDefault="00534021" w:rsidP="004D5546">
            <w:pPr>
              <w:pStyle w:val="Tablehead"/>
              <w:rPr>
                <w:rFonts w:eastAsia="Yu Gothic"/>
                <w:lang w:val="es-ES_tradnl" w:eastAsia="ja-JP"/>
              </w:rPr>
            </w:pPr>
            <w:bookmarkStart w:id="4" w:name="_Hlk42698351"/>
            <w:r w:rsidRPr="00B6543F">
              <w:rPr>
                <w:rFonts w:eastAsia="Yu Gothic"/>
                <w:lang w:val="es-ES_tradnl" w:eastAsia="ja-JP"/>
              </w:rPr>
              <w:t xml:space="preserve">Valor de código de </w:t>
            </w:r>
            <w:r w:rsidRPr="00B6543F">
              <w:rPr>
                <w:rFonts w:eastAsia="Yu Gothic"/>
                <w:lang w:val="es-ES_tradnl" w:eastAsia="ja-JP"/>
              </w:rPr>
              <w:br/>
              <w:t>10 bits</w:t>
            </w:r>
          </w:p>
        </w:tc>
        <w:tc>
          <w:tcPr>
            <w:tcW w:w="1305" w:type="dxa"/>
            <w:vMerge w:val="restart"/>
            <w:vAlign w:val="center"/>
            <w:hideMark/>
          </w:tcPr>
          <w:p w14:paraId="4846270E" w14:textId="77777777" w:rsidR="00534021" w:rsidRPr="00B6543F" w:rsidRDefault="00534021" w:rsidP="004D5546">
            <w:pPr>
              <w:pStyle w:val="Tablehead"/>
              <w:ind w:left="-57" w:right="-57"/>
              <w:rPr>
                <w:rFonts w:eastAsia="Yu Gothic"/>
                <w:lang w:val="es-ES_tradnl" w:eastAsia="ja-JP"/>
              </w:rPr>
            </w:pPr>
            <w:r w:rsidRPr="00B6543F">
              <w:rPr>
                <w:rFonts w:eastAsia="Yu Gothic"/>
                <w:lang w:val="es-ES_tradnl" w:eastAsia="ja-JP"/>
              </w:rPr>
              <w:t>Vídeo normalizado</w:t>
            </w:r>
          </w:p>
        </w:tc>
        <w:tc>
          <w:tcPr>
            <w:tcW w:w="2551" w:type="dxa"/>
            <w:gridSpan w:val="3"/>
          </w:tcPr>
          <w:p w14:paraId="46551921" w14:textId="77777777" w:rsidR="00534021" w:rsidRPr="00B6543F" w:rsidRDefault="00534021" w:rsidP="004D5546">
            <w:pPr>
              <w:pStyle w:val="Tablehead"/>
              <w:rPr>
                <w:rFonts w:eastAsia="Yu Gothic"/>
                <w:lang w:val="es-ES_tradnl" w:eastAsia="ja-JP"/>
              </w:rPr>
            </w:pPr>
            <w:r w:rsidRPr="00B6543F">
              <w:rPr>
                <w:rFonts w:eastAsia="Yu Gothic"/>
                <w:lang w:val="es-ES_tradnl" w:eastAsia="ja-JP"/>
              </w:rPr>
              <w:t>Luminancia de pantalla (cd/m</w:t>
            </w:r>
            <w:r w:rsidRPr="00B6543F">
              <w:rPr>
                <w:rFonts w:eastAsia="Yu Gothic"/>
                <w:vertAlign w:val="superscript"/>
                <w:lang w:val="es-ES_tradnl" w:eastAsia="ja-JP"/>
              </w:rPr>
              <w:t>2</w:t>
            </w:r>
            <w:r w:rsidRPr="00B6543F">
              <w:rPr>
                <w:rFonts w:eastAsia="Yu Gothic"/>
                <w:lang w:val="es-ES_tradnl" w:eastAsia="ja-JP"/>
              </w:rPr>
              <w:t>)</w:t>
            </w:r>
          </w:p>
        </w:tc>
        <w:tc>
          <w:tcPr>
            <w:tcW w:w="850" w:type="dxa"/>
            <w:vMerge w:val="restart"/>
            <w:hideMark/>
          </w:tcPr>
          <w:p w14:paraId="49B1E70C" w14:textId="77777777" w:rsidR="00534021" w:rsidRPr="00B6543F" w:rsidRDefault="00534021" w:rsidP="004D5546">
            <w:pPr>
              <w:pStyle w:val="Tablehead"/>
              <w:rPr>
                <w:rFonts w:eastAsia="Yu Gothic"/>
                <w:lang w:val="es-ES_tradnl" w:eastAsia="ja-JP"/>
              </w:rPr>
            </w:pPr>
            <w:r w:rsidRPr="00B6543F">
              <w:rPr>
                <w:rFonts w:eastAsia="Yu Gothic"/>
                <w:lang w:val="es-ES_tradnl" w:eastAsia="ja-JP"/>
              </w:rPr>
              <w:t xml:space="preserve">Valor de código de </w:t>
            </w:r>
            <w:r w:rsidRPr="00B6543F">
              <w:rPr>
                <w:rFonts w:eastAsia="Yu Gothic"/>
                <w:lang w:val="es-ES_tradnl" w:eastAsia="ja-JP"/>
              </w:rPr>
              <w:br/>
              <w:t>10 bits</w:t>
            </w:r>
          </w:p>
        </w:tc>
        <w:tc>
          <w:tcPr>
            <w:tcW w:w="1272" w:type="dxa"/>
            <w:vMerge w:val="restart"/>
            <w:vAlign w:val="center"/>
            <w:hideMark/>
          </w:tcPr>
          <w:p w14:paraId="48F98BF4" w14:textId="77777777" w:rsidR="00534021" w:rsidRPr="00B6543F" w:rsidRDefault="00534021" w:rsidP="004D5546">
            <w:pPr>
              <w:pStyle w:val="Tablehead"/>
              <w:ind w:left="-57" w:right="-57"/>
              <w:rPr>
                <w:rFonts w:eastAsia="Yu Gothic"/>
                <w:lang w:val="es-ES_tradnl" w:eastAsia="ja-JP"/>
              </w:rPr>
            </w:pPr>
            <w:r w:rsidRPr="00B6543F">
              <w:rPr>
                <w:rFonts w:eastAsia="Yu Gothic"/>
                <w:lang w:val="es-ES_tradnl" w:eastAsia="ja-JP"/>
              </w:rPr>
              <w:t>Vídeo normalizado</w:t>
            </w:r>
          </w:p>
        </w:tc>
        <w:tc>
          <w:tcPr>
            <w:tcW w:w="2867" w:type="dxa"/>
            <w:gridSpan w:val="3"/>
            <w:hideMark/>
          </w:tcPr>
          <w:p w14:paraId="287AEC41" w14:textId="77777777" w:rsidR="00534021" w:rsidRPr="00B6543F" w:rsidRDefault="00534021" w:rsidP="004D5546">
            <w:pPr>
              <w:pStyle w:val="Tablehead"/>
              <w:rPr>
                <w:rFonts w:eastAsia="Yu Gothic"/>
                <w:lang w:val="es-ES_tradnl" w:eastAsia="ja-JP"/>
              </w:rPr>
            </w:pPr>
            <w:r w:rsidRPr="00B6543F">
              <w:rPr>
                <w:rFonts w:eastAsia="Yu Gothic"/>
                <w:lang w:val="es-ES_tradnl" w:eastAsia="ja-JP"/>
              </w:rPr>
              <w:t>Luminancia de pantalla (cd/m</w:t>
            </w:r>
            <w:r w:rsidRPr="00B6543F">
              <w:rPr>
                <w:rFonts w:eastAsia="Yu Gothic"/>
                <w:vertAlign w:val="superscript"/>
                <w:lang w:val="es-ES_tradnl" w:eastAsia="ja-JP"/>
              </w:rPr>
              <w:t>2</w:t>
            </w:r>
            <w:r w:rsidRPr="00B6543F">
              <w:rPr>
                <w:rFonts w:eastAsia="Yu Gothic"/>
                <w:lang w:val="es-ES_tradnl" w:eastAsia="ja-JP"/>
              </w:rPr>
              <w:t>)</w:t>
            </w:r>
          </w:p>
        </w:tc>
      </w:tr>
      <w:tr w:rsidR="00534021" w:rsidRPr="00B6543F" w14:paraId="5A78B8FA" w14:textId="77777777" w:rsidTr="00CE37FB">
        <w:trPr>
          <w:trHeight w:val="213"/>
          <w:jc w:val="center"/>
        </w:trPr>
        <w:tc>
          <w:tcPr>
            <w:tcW w:w="794" w:type="dxa"/>
            <w:vMerge/>
          </w:tcPr>
          <w:p w14:paraId="66A7FB67" w14:textId="77777777" w:rsidR="00534021" w:rsidRPr="00B6543F" w:rsidRDefault="00534021" w:rsidP="004D5546">
            <w:pPr>
              <w:pStyle w:val="Tabletext"/>
              <w:rPr>
                <w:rFonts w:eastAsia="Yu Gothic"/>
                <w:lang w:val="es-ES_tradnl" w:eastAsia="ja-JP"/>
              </w:rPr>
            </w:pPr>
          </w:p>
        </w:tc>
        <w:tc>
          <w:tcPr>
            <w:tcW w:w="1305" w:type="dxa"/>
            <w:vMerge/>
          </w:tcPr>
          <w:p w14:paraId="55647A81" w14:textId="77777777" w:rsidR="00534021" w:rsidRPr="00B6543F" w:rsidRDefault="00534021" w:rsidP="004D5546">
            <w:pPr>
              <w:pStyle w:val="Tabletext"/>
              <w:rPr>
                <w:rFonts w:eastAsia="Yu Gothic"/>
                <w:lang w:val="es-ES_tradnl" w:eastAsia="ja-JP"/>
              </w:rPr>
            </w:pPr>
          </w:p>
        </w:tc>
        <w:tc>
          <w:tcPr>
            <w:tcW w:w="850" w:type="dxa"/>
            <w:vAlign w:val="center"/>
          </w:tcPr>
          <w:p w14:paraId="0ABC89C6" w14:textId="77777777" w:rsidR="00534021" w:rsidRPr="00B6543F" w:rsidRDefault="00534021" w:rsidP="004D5546">
            <w:pPr>
              <w:pStyle w:val="Tablehead"/>
              <w:rPr>
                <w:rFonts w:eastAsia="Yu Gothic"/>
                <w:lang w:val="es-ES_tradnl" w:eastAsia="ja-JP"/>
              </w:rPr>
            </w:pPr>
            <w:r w:rsidRPr="00B6543F">
              <w:rPr>
                <w:rFonts w:eastAsia="Yu Gothic"/>
                <w:lang w:val="es-ES_tradnl" w:eastAsia="ja-JP"/>
              </w:rPr>
              <w:t>SDR</w:t>
            </w:r>
          </w:p>
        </w:tc>
        <w:tc>
          <w:tcPr>
            <w:tcW w:w="850" w:type="dxa"/>
            <w:vAlign w:val="center"/>
          </w:tcPr>
          <w:p w14:paraId="7DFE1B69" w14:textId="77777777" w:rsidR="00534021" w:rsidRPr="00B6543F" w:rsidRDefault="00534021" w:rsidP="004D5546">
            <w:pPr>
              <w:pStyle w:val="Tablehead"/>
              <w:rPr>
                <w:rFonts w:eastAsia="Yu Gothic"/>
                <w:lang w:val="es-ES_tradnl" w:eastAsia="ja-JP"/>
              </w:rPr>
            </w:pPr>
            <w:r w:rsidRPr="00B6543F">
              <w:rPr>
                <w:rFonts w:eastAsia="Yu Gothic"/>
                <w:lang w:val="es-ES_tradnl" w:eastAsia="ja-JP"/>
              </w:rPr>
              <w:t>PQ</w:t>
            </w:r>
          </w:p>
        </w:tc>
        <w:tc>
          <w:tcPr>
            <w:tcW w:w="851" w:type="dxa"/>
            <w:vAlign w:val="center"/>
          </w:tcPr>
          <w:p w14:paraId="186E8AFA" w14:textId="77777777" w:rsidR="00534021" w:rsidRPr="00B6543F" w:rsidRDefault="00534021" w:rsidP="004D5546">
            <w:pPr>
              <w:pStyle w:val="Tablehead"/>
              <w:rPr>
                <w:rFonts w:eastAsia="Yu Gothic"/>
                <w:lang w:val="es-ES_tradnl" w:eastAsia="ja-JP"/>
              </w:rPr>
            </w:pPr>
            <w:r w:rsidRPr="00B6543F">
              <w:rPr>
                <w:rFonts w:eastAsia="Yu Gothic"/>
                <w:lang w:val="es-ES_tradnl" w:eastAsia="ja-JP"/>
              </w:rPr>
              <w:t>HLG</w:t>
            </w:r>
          </w:p>
        </w:tc>
        <w:tc>
          <w:tcPr>
            <w:tcW w:w="850" w:type="dxa"/>
            <w:vMerge/>
          </w:tcPr>
          <w:p w14:paraId="63D647CC" w14:textId="77777777" w:rsidR="00534021" w:rsidRPr="00B6543F" w:rsidRDefault="00534021" w:rsidP="004D5546">
            <w:pPr>
              <w:pStyle w:val="Tabletext"/>
              <w:rPr>
                <w:rFonts w:eastAsia="Yu Gothic"/>
                <w:lang w:val="es-ES_tradnl" w:eastAsia="ja-JP"/>
              </w:rPr>
            </w:pPr>
          </w:p>
        </w:tc>
        <w:tc>
          <w:tcPr>
            <w:tcW w:w="1272" w:type="dxa"/>
            <w:vMerge/>
          </w:tcPr>
          <w:p w14:paraId="2E8D590B" w14:textId="77777777" w:rsidR="00534021" w:rsidRPr="00B6543F" w:rsidRDefault="00534021" w:rsidP="004D5546">
            <w:pPr>
              <w:pStyle w:val="Tabletext"/>
              <w:rPr>
                <w:rFonts w:eastAsia="Yu Gothic"/>
                <w:lang w:val="es-ES_tradnl" w:eastAsia="ja-JP"/>
              </w:rPr>
            </w:pPr>
          </w:p>
        </w:tc>
        <w:tc>
          <w:tcPr>
            <w:tcW w:w="851" w:type="dxa"/>
            <w:vAlign w:val="center"/>
          </w:tcPr>
          <w:p w14:paraId="7F9DBF1A" w14:textId="77777777" w:rsidR="00534021" w:rsidRPr="00B6543F" w:rsidRDefault="00534021" w:rsidP="004D5546">
            <w:pPr>
              <w:pStyle w:val="Tablehead"/>
              <w:rPr>
                <w:rFonts w:eastAsia="Yu Gothic"/>
                <w:lang w:val="es-ES_tradnl" w:eastAsia="ja-JP"/>
              </w:rPr>
            </w:pPr>
            <w:r w:rsidRPr="00B6543F">
              <w:rPr>
                <w:rFonts w:eastAsia="Yu Gothic"/>
                <w:lang w:val="es-ES_tradnl" w:eastAsia="ja-JP"/>
              </w:rPr>
              <w:t>SDR</w:t>
            </w:r>
          </w:p>
        </w:tc>
        <w:tc>
          <w:tcPr>
            <w:tcW w:w="1077" w:type="dxa"/>
            <w:vAlign w:val="center"/>
          </w:tcPr>
          <w:p w14:paraId="61B94CEB" w14:textId="77777777" w:rsidR="00534021" w:rsidRPr="00B6543F" w:rsidRDefault="00534021" w:rsidP="004D5546">
            <w:pPr>
              <w:pStyle w:val="Tablehead"/>
              <w:rPr>
                <w:rFonts w:eastAsia="Yu Gothic"/>
                <w:lang w:val="es-ES_tradnl" w:eastAsia="ja-JP"/>
              </w:rPr>
            </w:pPr>
            <w:r w:rsidRPr="00B6543F">
              <w:rPr>
                <w:rFonts w:eastAsia="Yu Gothic"/>
                <w:lang w:val="es-ES_tradnl" w:eastAsia="ja-JP"/>
              </w:rPr>
              <w:t>PQ</w:t>
            </w:r>
          </w:p>
        </w:tc>
        <w:tc>
          <w:tcPr>
            <w:tcW w:w="939" w:type="dxa"/>
            <w:vAlign w:val="center"/>
          </w:tcPr>
          <w:p w14:paraId="1CC8B29C" w14:textId="77777777" w:rsidR="00534021" w:rsidRPr="00B6543F" w:rsidRDefault="00534021" w:rsidP="004D5546">
            <w:pPr>
              <w:pStyle w:val="Tablehead"/>
              <w:rPr>
                <w:rFonts w:eastAsia="Yu Gothic"/>
                <w:lang w:val="es-ES_tradnl" w:eastAsia="ja-JP"/>
              </w:rPr>
            </w:pPr>
            <w:r w:rsidRPr="00B6543F">
              <w:rPr>
                <w:rFonts w:eastAsia="Yu Gothic"/>
                <w:lang w:val="es-ES_tradnl" w:eastAsia="ja-JP"/>
              </w:rPr>
              <w:t>HLG</w:t>
            </w:r>
          </w:p>
        </w:tc>
      </w:tr>
      <w:bookmarkEnd w:id="4"/>
      <w:tr w:rsidR="00CE37FB" w:rsidRPr="00B6543F" w14:paraId="2638491E" w14:textId="77777777" w:rsidTr="00CE37FB">
        <w:trPr>
          <w:trHeight w:val="390"/>
          <w:jc w:val="center"/>
        </w:trPr>
        <w:tc>
          <w:tcPr>
            <w:tcW w:w="794" w:type="dxa"/>
            <w:noWrap/>
            <w:hideMark/>
          </w:tcPr>
          <w:p w14:paraId="645D3266" w14:textId="037A06CA"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64</w:t>
            </w:r>
          </w:p>
        </w:tc>
        <w:tc>
          <w:tcPr>
            <w:tcW w:w="1305" w:type="dxa"/>
            <w:noWrap/>
            <w:hideMark/>
          </w:tcPr>
          <w:p w14:paraId="66635C41" w14:textId="2449E971"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0,00</w:t>
            </w:r>
          </w:p>
        </w:tc>
        <w:tc>
          <w:tcPr>
            <w:tcW w:w="850" w:type="dxa"/>
            <w:noWrap/>
            <w:hideMark/>
          </w:tcPr>
          <w:p w14:paraId="0CD7045B" w14:textId="45A9A1EA" w:rsidR="00CE37FB" w:rsidRPr="00B6543F" w:rsidRDefault="00CE37FB" w:rsidP="00CE37FB">
            <w:pPr>
              <w:pStyle w:val="Tabletext"/>
              <w:jc w:val="center"/>
              <w:rPr>
                <w:rFonts w:eastAsia="Yu Gothic"/>
                <w:lang w:val="es-ES_tradnl" w:eastAsia="ja-JP"/>
              </w:rPr>
            </w:pPr>
            <w:r w:rsidRPr="00B6543F">
              <w:rPr>
                <w:rFonts w:eastAsia="Yu Gothic"/>
                <w:lang w:val="es-ES_tradnl"/>
              </w:rPr>
              <w:t>0,00</w:t>
            </w:r>
          </w:p>
        </w:tc>
        <w:tc>
          <w:tcPr>
            <w:tcW w:w="850" w:type="dxa"/>
            <w:noWrap/>
            <w:hideMark/>
          </w:tcPr>
          <w:p w14:paraId="2FCEC943" w14:textId="27186D97"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0,00</w:t>
            </w:r>
          </w:p>
        </w:tc>
        <w:tc>
          <w:tcPr>
            <w:tcW w:w="851" w:type="dxa"/>
            <w:noWrap/>
            <w:hideMark/>
          </w:tcPr>
          <w:p w14:paraId="2B0BDDA4" w14:textId="459D0A10" w:rsidR="00CE37FB" w:rsidRPr="00B6543F" w:rsidRDefault="00CE37FB" w:rsidP="00CE37FB">
            <w:pPr>
              <w:pStyle w:val="Tabletext"/>
              <w:jc w:val="center"/>
              <w:rPr>
                <w:rFonts w:eastAsia="Yu Gothic"/>
                <w:lang w:val="es-ES_tradnl" w:eastAsia="ja-JP"/>
              </w:rPr>
            </w:pPr>
            <w:r w:rsidRPr="00B6543F">
              <w:rPr>
                <w:rFonts w:eastAsia="Yu Gothic"/>
                <w:lang w:val="es-ES_tradnl"/>
              </w:rPr>
              <w:t>0,00</w:t>
            </w:r>
          </w:p>
        </w:tc>
        <w:tc>
          <w:tcPr>
            <w:tcW w:w="850" w:type="dxa"/>
            <w:noWrap/>
          </w:tcPr>
          <w:p w14:paraId="0142AF4E" w14:textId="4498743C"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520</w:t>
            </w:r>
          </w:p>
        </w:tc>
        <w:tc>
          <w:tcPr>
            <w:tcW w:w="1272" w:type="dxa"/>
            <w:noWrap/>
          </w:tcPr>
          <w:p w14:paraId="764BE4D3" w14:textId="22644FC6"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0,52</w:t>
            </w:r>
          </w:p>
        </w:tc>
        <w:tc>
          <w:tcPr>
            <w:tcW w:w="851" w:type="dxa"/>
            <w:noWrap/>
          </w:tcPr>
          <w:p w14:paraId="58967A46" w14:textId="447368A9" w:rsidR="00CE37FB" w:rsidRPr="00B6543F" w:rsidRDefault="00CE37FB" w:rsidP="00CE37FB">
            <w:pPr>
              <w:pStyle w:val="Tabletext"/>
              <w:jc w:val="center"/>
              <w:rPr>
                <w:rFonts w:eastAsia="Yu Gothic"/>
                <w:lang w:val="es-ES_tradnl" w:eastAsia="ja-JP"/>
              </w:rPr>
            </w:pPr>
            <w:r w:rsidRPr="00B6543F">
              <w:rPr>
                <w:rFonts w:eastAsia="Yu Gothic"/>
                <w:lang w:val="es-ES_tradnl"/>
              </w:rPr>
              <w:t>41,74</w:t>
            </w:r>
          </w:p>
        </w:tc>
        <w:tc>
          <w:tcPr>
            <w:tcW w:w="1077" w:type="dxa"/>
            <w:noWrap/>
          </w:tcPr>
          <w:p w14:paraId="1FDDABF8" w14:textId="2B3AE52A"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113,17</w:t>
            </w:r>
          </w:p>
        </w:tc>
        <w:tc>
          <w:tcPr>
            <w:tcW w:w="939" w:type="dxa"/>
            <w:noWrap/>
          </w:tcPr>
          <w:p w14:paraId="161B0916" w14:textId="0B14C555" w:rsidR="00CE37FB" w:rsidRPr="00B6543F" w:rsidRDefault="00CE37FB" w:rsidP="00CE37FB">
            <w:pPr>
              <w:pStyle w:val="Tabletext"/>
              <w:jc w:val="center"/>
              <w:rPr>
                <w:rFonts w:eastAsia="Yu Gothic"/>
                <w:lang w:val="es-ES_tradnl" w:eastAsia="ja-JP"/>
              </w:rPr>
            </w:pPr>
            <w:r w:rsidRPr="00B6543F">
              <w:rPr>
                <w:rFonts w:eastAsia="Yu Gothic"/>
                <w:lang w:val="es-ES_tradnl"/>
              </w:rPr>
              <w:t>56,04</w:t>
            </w:r>
          </w:p>
        </w:tc>
      </w:tr>
      <w:tr w:rsidR="00CE37FB" w:rsidRPr="00B6543F" w14:paraId="05C9BC42" w14:textId="77777777" w:rsidTr="00CE37FB">
        <w:trPr>
          <w:trHeight w:val="390"/>
          <w:jc w:val="center"/>
        </w:trPr>
        <w:tc>
          <w:tcPr>
            <w:tcW w:w="794" w:type="dxa"/>
            <w:noWrap/>
            <w:hideMark/>
          </w:tcPr>
          <w:p w14:paraId="5859B93F" w14:textId="3F8F3C85"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80</w:t>
            </w:r>
          </w:p>
        </w:tc>
        <w:tc>
          <w:tcPr>
            <w:tcW w:w="1305" w:type="dxa"/>
            <w:noWrap/>
            <w:hideMark/>
          </w:tcPr>
          <w:p w14:paraId="05248C51" w14:textId="408FBBA2"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0,02</w:t>
            </w:r>
          </w:p>
        </w:tc>
        <w:tc>
          <w:tcPr>
            <w:tcW w:w="850" w:type="dxa"/>
            <w:noWrap/>
            <w:hideMark/>
          </w:tcPr>
          <w:p w14:paraId="6627BE83" w14:textId="4ADFE6E8" w:rsidR="00CE37FB" w:rsidRPr="00B6543F" w:rsidRDefault="00CE37FB" w:rsidP="00CE37FB">
            <w:pPr>
              <w:pStyle w:val="Tabletext"/>
              <w:jc w:val="center"/>
              <w:rPr>
                <w:rFonts w:eastAsia="Yu Gothic"/>
                <w:lang w:val="es-ES_tradnl" w:eastAsia="ja-JP"/>
              </w:rPr>
            </w:pPr>
            <w:r w:rsidRPr="00B6543F">
              <w:rPr>
                <w:rFonts w:eastAsia="Yu Gothic"/>
                <w:lang w:val="es-ES_tradnl"/>
              </w:rPr>
              <w:t>0,01</w:t>
            </w:r>
          </w:p>
        </w:tc>
        <w:tc>
          <w:tcPr>
            <w:tcW w:w="850" w:type="dxa"/>
            <w:noWrap/>
            <w:hideMark/>
          </w:tcPr>
          <w:p w14:paraId="1DC4A58C" w14:textId="3E852643"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0,01</w:t>
            </w:r>
          </w:p>
        </w:tc>
        <w:tc>
          <w:tcPr>
            <w:tcW w:w="851" w:type="dxa"/>
            <w:noWrap/>
            <w:hideMark/>
          </w:tcPr>
          <w:p w14:paraId="1C0FAC4D" w14:textId="12BC0414" w:rsidR="00CE37FB" w:rsidRPr="00B6543F" w:rsidRDefault="00CE37FB" w:rsidP="00CE37FB">
            <w:pPr>
              <w:pStyle w:val="Tabletext"/>
              <w:jc w:val="center"/>
              <w:rPr>
                <w:rFonts w:eastAsia="Yu Gothic"/>
                <w:lang w:val="es-ES_tradnl" w:eastAsia="ja-JP"/>
              </w:rPr>
            </w:pPr>
            <w:r w:rsidRPr="00B6543F">
              <w:rPr>
                <w:rFonts w:eastAsia="Yu Gothic"/>
                <w:lang w:val="es-ES_tradnl"/>
              </w:rPr>
              <w:t>0,02</w:t>
            </w:r>
          </w:p>
        </w:tc>
        <w:tc>
          <w:tcPr>
            <w:tcW w:w="850" w:type="dxa"/>
            <w:noWrap/>
          </w:tcPr>
          <w:p w14:paraId="2051C18B" w14:textId="48852E89"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540</w:t>
            </w:r>
          </w:p>
        </w:tc>
        <w:tc>
          <w:tcPr>
            <w:tcW w:w="1272" w:type="dxa"/>
            <w:noWrap/>
          </w:tcPr>
          <w:p w14:paraId="7B7AB47B" w14:textId="00038F6B"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0,54</w:t>
            </w:r>
          </w:p>
        </w:tc>
        <w:tc>
          <w:tcPr>
            <w:tcW w:w="851" w:type="dxa"/>
            <w:noWrap/>
          </w:tcPr>
          <w:p w14:paraId="2D6ABB5C" w14:textId="0B218E68" w:rsidR="00CE37FB" w:rsidRPr="00B6543F" w:rsidRDefault="00CE37FB" w:rsidP="00CE37FB">
            <w:pPr>
              <w:pStyle w:val="Tabletext"/>
              <w:jc w:val="center"/>
              <w:rPr>
                <w:rFonts w:eastAsia="Yu Gothic"/>
                <w:lang w:val="es-ES_tradnl" w:eastAsia="ja-JP"/>
              </w:rPr>
            </w:pPr>
            <w:r w:rsidRPr="00B6543F">
              <w:rPr>
                <w:rFonts w:eastAsia="Yu Gothic"/>
                <w:lang w:val="es-ES_tradnl"/>
              </w:rPr>
              <w:t>46,27</w:t>
            </w:r>
          </w:p>
        </w:tc>
        <w:tc>
          <w:tcPr>
            <w:tcW w:w="1077" w:type="dxa"/>
            <w:noWrap/>
          </w:tcPr>
          <w:p w14:paraId="72A288D1" w14:textId="1F098A11"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141,60</w:t>
            </w:r>
          </w:p>
        </w:tc>
        <w:tc>
          <w:tcPr>
            <w:tcW w:w="939" w:type="dxa"/>
            <w:noWrap/>
          </w:tcPr>
          <w:p w14:paraId="6067B64E" w14:textId="12E33FD9" w:rsidR="00CE37FB" w:rsidRPr="00B6543F" w:rsidRDefault="00CE37FB" w:rsidP="00CE37FB">
            <w:pPr>
              <w:pStyle w:val="Tabletext"/>
              <w:jc w:val="center"/>
              <w:rPr>
                <w:rFonts w:eastAsia="Yu Gothic"/>
                <w:lang w:val="es-ES_tradnl" w:eastAsia="ja-JP"/>
              </w:rPr>
            </w:pPr>
            <w:r w:rsidRPr="00B6543F">
              <w:rPr>
                <w:rFonts w:eastAsia="Yu Gothic"/>
                <w:lang w:val="es-ES_tradnl"/>
              </w:rPr>
              <w:t>62,87</w:t>
            </w:r>
          </w:p>
        </w:tc>
      </w:tr>
      <w:tr w:rsidR="00CE37FB" w:rsidRPr="00B6543F" w14:paraId="361D33C6" w14:textId="77777777" w:rsidTr="00CE37FB">
        <w:trPr>
          <w:trHeight w:val="390"/>
          <w:jc w:val="center"/>
        </w:trPr>
        <w:tc>
          <w:tcPr>
            <w:tcW w:w="794" w:type="dxa"/>
            <w:noWrap/>
            <w:hideMark/>
          </w:tcPr>
          <w:p w14:paraId="2747F55D" w14:textId="4B555C6A"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100</w:t>
            </w:r>
          </w:p>
        </w:tc>
        <w:tc>
          <w:tcPr>
            <w:tcW w:w="1305" w:type="dxa"/>
            <w:noWrap/>
            <w:hideMark/>
          </w:tcPr>
          <w:p w14:paraId="0E9CABE8" w14:textId="0869443D"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0,04</w:t>
            </w:r>
          </w:p>
        </w:tc>
        <w:tc>
          <w:tcPr>
            <w:tcW w:w="850" w:type="dxa"/>
            <w:noWrap/>
            <w:hideMark/>
          </w:tcPr>
          <w:p w14:paraId="2B7BA2D2" w14:textId="3F120FCA" w:rsidR="00CE37FB" w:rsidRPr="00B6543F" w:rsidRDefault="00CE37FB" w:rsidP="00CE37FB">
            <w:pPr>
              <w:pStyle w:val="Tabletext"/>
              <w:jc w:val="center"/>
              <w:rPr>
                <w:rFonts w:eastAsia="Yu Gothic"/>
                <w:lang w:val="es-ES_tradnl" w:eastAsia="ja-JP"/>
              </w:rPr>
            </w:pPr>
            <w:r w:rsidRPr="00B6543F">
              <w:rPr>
                <w:rFonts w:eastAsia="Yu Gothic"/>
                <w:lang w:val="es-ES_tradnl"/>
              </w:rPr>
              <w:t>0,09</w:t>
            </w:r>
          </w:p>
        </w:tc>
        <w:tc>
          <w:tcPr>
            <w:tcW w:w="850" w:type="dxa"/>
            <w:noWrap/>
            <w:hideMark/>
          </w:tcPr>
          <w:p w14:paraId="41222D54" w14:textId="6D3573E2"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0,04</w:t>
            </w:r>
          </w:p>
        </w:tc>
        <w:tc>
          <w:tcPr>
            <w:tcW w:w="851" w:type="dxa"/>
            <w:noWrap/>
            <w:hideMark/>
          </w:tcPr>
          <w:p w14:paraId="5731BD97" w14:textId="6FCC6BB5" w:rsidR="00CE37FB" w:rsidRPr="00B6543F" w:rsidRDefault="00CE37FB" w:rsidP="00CE37FB">
            <w:pPr>
              <w:pStyle w:val="Tabletext"/>
              <w:jc w:val="center"/>
              <w:rPr>
                <w:rFonts w:eastAsia="Yu Gothic"/>
                <w:lang w:val="es-ES_tradnl" w:eastAsia="ja-JP"/>
              </w:rPr>
            </w:pPr>
            <w:r w:rsidRPr="00B6543F">
              <w:rPr>
                <w:rFonts w:eastAsia="Yu Gothic"/>
                <w:lang w:val="es-ES_tradnl"/>
              </w:rPr>
              <w:t>0,13</w:t>
            </w:r>
          </w:p>
        </w:tc>
        <w:tc>
          <w:tcPr>
            <w:tcW w:w="850" w:type="dxa"/>
            <w:noWrap/>
          </w:tcPr>
          <w:p w14:paraId="2A432E09" w14:textId="72068F8B"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560</w:t>
            </w:r>
          </w:p>
        </w:tc>
        <w:tc>
          <w:tcPr>
            <w:tcW w:w="1272" w:type="dxa"/>
            <w:noWrap/>
          </w:tcPr>
          <w:p w14:paraId="6E49E37D" w14:textId="08EE2F05"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0,57</w:t>
            </w:r>
          </w:p>
        </w:tc>
        <w:tc>
          <w:tcPr>
            <w:tcW w:w="851" w:type="dxa"/>
            <w:noWrap/>
          </w:tcPr>
          <w:p w14:paraId="23A9128C" w14:textId="5C245883" w:rsidR="00CE37FB" w:rsidRPr="00B6543F" w:rsidRDefault="00CE37FB" w:rsidP="00CE37FB">
            <w:pPr>
              <w:pStyle w:val="Tabletext"/>
              <w:jc w:val="center"/>
              <w:rPr>
                <w:rFonts w:eastAsia="Yu Gothic"/>
                <w:lang w:val="es-ES_tradnl" w:eastAsia="ja-JP"/>
              </w:rPr>
            </w:pPr>
            <w:r w:rsidRPr="00B6543F">
              <w:rPr>
                <w:rFonts w:eastAsia="Yu Gothic"/>
                <w:lang w:val="es-ES_tradnl"/>
              </w:rPr>
              <w:t>51,07</w:t>
            </w:r>
          </w:p>
        </w:tc>
        <w:tc>
          <w:tcPr>
            <w:tcW w:w="1077" w:type="dxa"/>
            <w:noWrap/>
          </w:tcPr>
          <w:p w14:paraId="28393A23" w14:textId="1E947A30"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176,66</w:t>
            </w:r>
          </w:p>
        </w:tc>
        <w:tc>
          <w:tcPr>
            <w:tcW w:w="939" w:type="dxa"/>
            <w:noWrap/>
          </w:tcPr>
          <w:p w14:paraId="367809D0" w14:textId="0D577021" w:rsidR="00CE37FB" w:rsidRPr="00B6543F" w:rsidRDefault="00CE37FB" w:rsidP="00CE37FB">
            <w:pPr>
              <w:pStyle w:val="Tabletext"/>
              <w:jc w:val="center"/>
              <w:rPr>
                <w:rFonts w:eastAsia="Yu Gothic"/>
                <w:lang w:val="es-ES_tradnl" w:eastAsia="ja-JP"/>
              </w:rPr>
            </w:pPr>
            <w:r w:rsidRPr="00B6543F">
              <w:rPr>
                <w:rFonts w:eastAsia="Yu Gothic"/>
                <w:lang w:val="es-ES_tradnl"/>
              </w:rPr>
              <w:t>70,77</w:t>
            </w:r>
          </w:p>
        </w:tc>
      </w:tr>
      <w:tr w:rsidR="00CE37FB" w:rsidRPr="00B6543F" w14:paraId="5018C550" w14:textId="77777777" w:rsidTr="00CE37FB">
        <w:trPr>
          <w:trHeight w:val="390"/>
          <w:jc w:val="center"/>
        </w:trPr>
        <w:tc>
          <w:tcPr>
            <w:tcW w:w="794" w:type="dxa"/>
            <w:noWrap/>
            <w:hideMark/>
          </w:tcPr>
          <w:p w14:paraId="19580A26" w14:textId="27BB3820"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120</w:t>
            </w:r>
          </w:p>
        </w:tc>
        <w:tc>
          <w:tcPr>
            <w:tcW w:w="1305" w:type="dxa"/>
            <w:noWrap/>
            <w:hideMark/>
          </w:tcPr>
          <w:p w14:paraId="618A17C3" w14:textId="40B017AA"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0,06</w:t>
            </w:r>
          </w:p>
        </w:tc>
        <w:tc>
          <w:tcPr>
            <w:tcW w:w="850" w:type="dxa"/>
            <w:noWrap/>
            <w:hideMark/>
          </w:tcPr>
          <w:p w14:paraId="09BE8A61" w14:textId="195D5AC3" w:rsidR="00CE37FB" w:rsidRPr="00B6543F" w:rsidRDefault="00CE37FB" w:rsidP="00CE37FB">
            <w:pPr>
              <w:pStyle w:val="Tabletext"/>
              <w:jc w:val="center"/>
              <w:rPr>
                <w:rFonts w:eastAsia="Yu Gothic"/>
                <w:lang w:val="es-ES_tradnl" w:eastAsia="ja-JP"/>
              </w:rPr>
            </w:pPr>
            <w:r w:rsidRPr="00B6543F">
              <w:rPr>
                <w:rFonts w:eastAsia="Yu Gothic"/>
                <w:lang w:val="es-ES_tradnl"/>
              </w:rPr>
              <w:t>0,27</w:t>
            </w:r>
          </w:p>
        </w:tc>
        <w:tc>
          <w:tcPr>
            <w:tcW w:w="850" w:type="dxa"/>
            <w:noWrap/>
            <w:hideMark/>
          </w:tcPr>
          <w:p w14:paraId="6DCF6C59" w14:textId="2EE851CA"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0,11</w:t>
            </w:r>
          </w:p>
        </w:tc>
        <w:tc>
          <w:tcPr>
            <w:tcW w:w="851" w:type="dxa"/>
            <w:noWrap/>
            <w:hideMark/>
          </w:tcPr>
          <w:p w14:paraId="497C8C9D" w14:textId="234429C9" w:rsidR="00CE37FB" w:rsidRPr="00B6543F" w:rsidRDefault="00CE37FB" w:rsidP="00CE37FB">
            <w:pPr>
              <w:pStyle w:val="Tabletext"/>
              <w:jc w:val="center"/>
              <w:rPr>
                <w:rFonts w:eastAsia="Yu Gothic"/>
                <w:lang w:val="es-ES_tradnl" w:eastAsia="ja-JP"/>
              </w:rPr>
            </w:pPr>
            <w:r w:rsidRPr="00B6543F">
              <w:rPr>
                <w:rFonts w:eastAsia="Yu Gothic"/>
                <w:lang w:val="es-ES_tradnl"/>
              </w:rPr>
              <w:t>0,36</w:t>
            </w:r>
          </w:p>
        </w:tc>
        <w:tc>
          <w:tcPr>
            <w:tcW w:w="850" w:type="dxa"/>
            <w:noWrap/>
          </w:tcPr>
          <w:p w14:paraId="4A2B4DA8" w14:textId="6EC5D341"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580</w:t>
            </w:r>
          </w:p>
        </w:tc>
        <w:tc>
          <w:tcPr>
            <w:tcW w:w="1272" w:type="dxa"/>
            <w:noWrap/>
          </w:tcPr>
          <w:p w14:paraId="7A4F1213" w14:textId="43DBCB97"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0,59</w:t>
            </w:r>
          </w:p>
        </w:tc>
        <w:tc>
          <w:tcPr>
            <w:tcW w:w="851" w:type="dxa"/>
            <w:noWrap/>
          </w:tcPr>
          <w:p w14:paraId="46756042" w14:textId="3AF1A659" w:rsidR="00CE37FB" w:rsidRPr="00B6543F" w:rsidRDefault="00CE37FB" w:rsidP="00CE37FB">
            <w:pPr>
              <w:pStyle w:val="Tabletext"/>
              <w:jc w:val="center"/>
              <w:rPr>
                <w:rFonts w:eastAsia="Yu Gothic"/>
                <w:lang w:val="es-ES_tradnl" w:eastAsia="ja-JP"/>
              </w:rPr>
            </w:pPr>
            <w:r w:rsidRPr="00B6543F">
              <w:rPr>
                <w:rFonts w:eastAsia="Yu Gothic"/>
                <w:lang w:val="es-ES_tradnl"/>
              </w:rPr>
              <w:t>56,15</w:t>
            </w:r>
          </w:p>
        </w:tc>
        <w:tc>
          <w:tcPr>
            <w:tcW w:w="1077" w:type="dxa"/>
            <w:noWrap/>
          </w:tcPr>
          <w:p w14:paraId="1FFA9979" w14:textId="5EBB5E45"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219,85</w:t>
            </w:r>
          </w:p>
        </w:tc>
        <w:tc>
          <w:tcPr>
            <w:tcW w:w="939" w:type="dxa"/>
            <w:noWrap/>
          </w:tcPr>
          <w:p w14:paraId="6BDE7419" w14:textId="3BF9AB8C" w:rsidR="00CE37FB" w:rsidRPr="00B6543F" w:rsidRDefault="00CE37FB" w:rsidP="00CE37FB">
            <w:pPr>
              <w:pStyle w:val="Tabletext"/>
              <w:jc w:val="center"/>
              <w:rPr>
                <w:rFonts w:eastAsia="Yu Gothic"/>
                <w:lang w:val="es-ES_tradnl" w:eastAsia="ja-JP"/>
              </w:rPr>
            </w:pPr>
            <w:r w:rsidRPr="00B6543F">
              <w:rPr>
                <w:rFonts w:eastAsia="Yu Gothic"/>
                <w:lang w:val="es-ES_tradnl"/>
              </w:rPr>
              <w:t>79,94</w:t>
            </w:r>
          </w:p>
        </w:tc>
      </w:tr>
      <w:tr w:rsidR="00CE37FB" w:rsidRPr="00B6543F" w14:paraId="0CCC2235" w14:textId="77777777" w:rsidTr="00CE37FB">
        <w:trPr>
          <w:trHeight w:val="390"/>
          <w:jc w:val="center"/>
        </w:trPr>
        <w:tc>
          <w:tcPr>
            <w:tcW w:w="794" w:type="dxa"/>
            <w:noWrap/>
            <w:hideMark/>
          </w:tcPr>
          <w:p w14:paraId="61566CFF" w14:textId="7B388B4F"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140</w:t>
            </w:r>
          </w:p>
        </w:tc>
        <w:tc>
          <w:tcPr>
            <w:tcW w:w="1305" w:type="dxa"/>
            <w:noWrap/>
            <w:hideMark/>
          </w:tcPr>
          <w:p w14:paraId="4BA051CC" w14:textId="5414A6A6"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0,09</w:t>
            </w:r>
          </w:p>
        </w:tc>
        <w:tc>
          <w:tcPr>
            <w:tcW w:w="850" w:type="dxa"/>
            <w:noWrap/>
            <w:hideMark/>
          </w:tcPr>
          <w:p w14:paraId="606ECCCF" w14:textId="30A28889" w:rsidR="00CE37FB" w:rsidRPr="00B6543F" w:rsidRDefault="00CE37FB" w:rsidP="00CE37FB">
            <w:pPr>
              <w:pStyle w:val="Tabletext"/>
              <w:jc w:val="center"/>
              <w:rPr>
                <w:rFonts w:eastAsia="Yu Gothic"/>
                <w:lang w:val="es-ES_tradnl" w:eastAsia="ja-JP"/>
              </w:rPr>
            </w:pPr>
            <w:r w:rsidRPr="00B6543F">
              <w:rPr>
                <w:rFonts w:eastAsia="Yu Gothic"/>
                <w:lang w:val="es-ES_tradnl"/>
              </w:rPr>
              <w:t>0,57</w:t>
            </w:r>
          </w:p>
        </w:tc>
        <w:tc>
          <w:tcPr>
            <w:tcW w:w="850" w:type="dxa"/>
            <w:noWrap/>
            <w:hideMark/>
          </w:tcPr>
          <w:p w14:paraId="15B408E7" w14:textId="0C5C8923"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0,22</w:t>
            </w:r>
          </w:p>
        </w:tc>
        <w:tc>
          <w:tcPr>
            <w:tcW w:w="851" w:type="dxa"/>
            <w:noWrap/>
            <w:hideMark/>
          </w:tcPr>
          <w:p w14:paraId="36C64861" w14:textId="594E6D95" w:rsidR="00CE37FB" w:rsidRPr="00B6543F" w:rsidRDefault="00CE37FB" w:rsidP="00CE37FB">
            <w:pPr>
              <w:pStyle w:val="Tabletext"/>
              <w:jc w:val="center"/>
              <w:rPr>
                <w:rFonts w:eastAsia="Yu Gothic"/>
                <w:lang w:val="es-ES_tradnl" w:eastAsia="ja-JP"/>
              </w:rPr>
            </w:pPr>
            <w:r w:rsidRPr="00B6543F">
              <w:rPr>
                <w:rFonts w:eastAsia="Yu Gothic"/>
                <w:lang w:val="es-ES_tradnl"/>
              </w:rPr>
              <w:t>0,76</w:t>
            </w:r>
          </w:p>
        </w:tc>
        <w:tc>
          <w:tcPr>
            <w:tcW w:w="850" w:type="dxa"/>
            <w:noWrap/>
          </w:tcPr>
          <w:p w14:paraId="6FD38F7F" w14:textId="078E8B73"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600</w:t>
            </w:r>
          </w:p>
        </w:tc>
        <w:tc>
          <w:tcPr>
            <w:tcW w:w="1272" w:type="dxa"/>
            <w:noWrap/>
          </w:tcPr>
          <w:p w14:paraId="2234E84F" w14:textId="4930CBCF"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0,61</w:t>
            </w:r>
          </w:p>
        </w:tc>
        <w:tc>
          <w:tcPr>
            <w:tcW w:w="851" w:type="dxa"/>
            <w:noWrap/>
          </w:tcPr>
          <w:p w14:paraId="62C0EB33" w14:textId="6E46F9D1" w:rsidR="00CE37FB" w:rsidRPr="00B6543F" w:rsidRDefault="00CE37FB" w:rsidP="00CE37FB">
            <w:pPr>
              <w:pStyle w:val="Tabletext"/>
              <w:jc w:val="center"/>
              <w:rPr>
                <w:rFonts w:eastAsia="Yu Gothic"/>
                <w:lang w:val="es-ES_tradnl" w:eastAsia="ja-JP"/>
              </w:rPr>
            </w:pPr>
            <w:r w:rsidRPr="00B6543F">
              <w:rPr>
                <w:rFonts w:eastAsia="Yu Gothic"/>
                <w:lang w:val="es-ES_tradnl"/>
              </w:rPr>
              <w:t>61,52</w:t>
            </w:r>
          </w:p>
        </w:tc>
        <w:tc>
          <w:tcPr>
            <w:tcW w:w="1077" w:type="dxa"/>
            <w:noWrap/>
          </w:tcPr>
          <w:p w14:paraId="1E0BEED4" w14:textId="4CF23C42"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273,03</w:t>
            </w:r>
          </w:p>
        </w:tc>
        <w:tc>
          <w:tcPr>
            <w:tcW w:w="939" w:type="dxa"/>
            <w:noWrap/>
          </w:tcPr>
          <w:p w14:paraId="4AD5F2B0" w14:textId="56E009C3" w:rsidR="00CE37FB" w:rsidRPr="00B6543F" w:rsidRDefault="00CE37FB" w:rsidP="00CE37FB">
            <w:pPr>
              <w:pStyle w:val="Tabletext"/>
              <w:jc w:val="center"/>
              <w:rPr>
                <w:rFonts w:eastAsia="Yu Gothic"/>
                <w:lang w:val="es-ES_tradnl" w:eastAsia="ja-JP"/>
              </w:rPr>
            </w:pPr>
            <w:r w:rsidRPr="00B6543F">
              <w:rPr>
                <w:rFonts w:eastAsia="Yu Gothic"/>
                <w:lang w:val="es-ES_tradnl"/>
              </w:rPr>
              <w:t>90,57</w:t>
            </w:r>
          </w:p>
        </w:tc>
      </w:tr>
      <w:tr w:rsidR="00CE37FB" w:rsidRPr="00B6543F" w14:paraId="26253C3C" w14:textId="77777777" w:rsidTr="00CE37FB">
        <w:trPr>
          <w:trHeight w:val="390"/>
          <w:jc w:val="center"/>
        </w:trPr>
        <w:tc>
          <w:tcPr>
            <w:tcW w:w="794" w:type="dxa"/>
            <w:noWrap/>
            <w:hideMark/>
          </w:tcPr>
          <w:p w14:paraId="0E48FDAF" w14:textId="17AEC353"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160</w:t>
            </w:r>
          </w:p>
        </w:tc>
        <w:tc>
          <w:tcPr>
            <w:tcW w:w="1305" w:type="dxa"/>
            <w:noWrap/>
            <w:hideMark/>
          </w:tcPr>
          <w:p w14:paraId="2138DF6B" w14:textId="4D0DBCF9"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0,11</w:t>
            </w:r>
          </w:p>
        </w:tc>
        <w:tc>
          <w:tcPr>
            <w:tcW w:w="850" w:type="dxa"/>
            <w:noWrap/>
            <w:hideMark/>
          </w:tcPr>
          <w:p w14:paraId="1DDFD23B" w14:textId="58A8D62F" w:rsidR="00CE37FB" w:rsidRPr="00B6543F" w:rsidRDefault="00CE37FB" w:rsidP="00CE37FB">
            <w:pPr>
              <w:pStyle w:val="Tabletext"/>
              <w:jc w:val="center"/>
              <w:rPr>
                <w:rFonts w:eastAsia="Yu Gothic"/>
                <w:lang w:val="es-ES_tradnl" w:eastAsia="ja-JP"/>
              </w:rPr>
            </w:pPr>
            <w:r w:rsidRPr="00B6543F">
              <w:rPr>
                <w:rFonts w:eastAsia="Yu Gothic"/>
                <w:lang w:val="es-ES_tradnl"/>
              </w:rPr>
              <w:t>0,99</w:t>
            </w:r>
          </w:p>
        </w:tc>
        <w:tc>
          <w:tcPr>
            <w:tcW w:w="850" w:type="dxa"/>
            <w:noWrap/>
            <w:hideMark/>
          </w:tcPr>
          <w:p w14:paraId="2E90EA6A" w14:textId="50C468B5"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0,41</w:t>
            </w:r>
          </w:p>
        </w:tc>
        <w:tc>
          <w:tcPr>
            <w:tcW w:w="851" w:type="dxa"/>
            <w:noWrap/>
            <w:hideMark/>
          </w:tcPr>
          <w:p w14:paraId="087DBB34" w14:textId="6A7D1750" w:rsidR="00CE37FB" w:rsidRPr="00B6543F" w:rsidRDefault="00CE37FB" w:rsidP="00CE37FB">
            <w:pPr>
              <w:pStyle w:val="Tabletext"/>
              <w:jc w:val="center"/>
              <w:rPr>
                <w:rFonts w:eastAsia="Yu Gothic"/>
                <w:lang w:val="es-ES_tradnl" w:eastAsia="ja-JP"/>
              </w:rPr>
            </w:pPr>
            <w:r w:rsidRPr="00B6543F">
              <w:rPr>
                <w:rFonts w:eastAsia="Yu Gothic"/>
                <w:lang w:val="es-ES_tradnl"/>
              </w:rPr>
              <w:t>1,33</w:t>
            </w:r>
          </w:p>
        </w:tc>
        <w:tc>
          <w:tcPr>
            <w:tcW w:w="850" w:type="dxa"/>
            <w:noWrap/>
          </w:tcPr>
          <w:p w14:paraId="5A83736F" w14:textId="43255157"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620</w:t>
            </w:r>
          </w:p>
        </w:tc>
        <w:tc>
          <w:tcPr>
            <w:tcW w:w="1272" w:type="dxa"/>
            <w:noWrap/>
          </w:tcPr>
          <w:p w14:paraId="7FF05657" w14:textId="7D42EEC0"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0,63</w:t>
            </w:r>
          </w:p>
        </w:tc>
        <w:tc>
          <w:tcPr>
            <w:tcW w:w="851" w:type="dxa"/>
            <w:noWrap/>
          </w:tcPr>
          <w:p w14:paraId="422D52D3" w14:textId="7FD688DE" w:rsidR="00CE37FB" w:rsidRPr="00B6543F" w:rsidRDefault="00CE37FB" w:rsidP="00CE37FB">
            <w:pPr>
              <w:pStyle w:val="Tabletext"/>
              <w:jc w:val="center"/>
              <w:rPr>
                <w:rFonts w:eastAsia="Yu Gothic"/>
                <w:lang w:val="es-ES_tradnl" w:eastAsia="ja-JP"/>
              </w:rPr>
            </w:pPr>
            <w:r w:rsidRPr="00B6543F">
              <w:rPr>
                <w:rFonts w:eastAsia="Yu Gothic"/>
                <w:lang w:val="es-ES_tradnl"/>
              </w:rPr>
              <w:t>67,17</w:t>
            </w:r>
          </w:p>
        </w:tc>
        <w:tc>
          <w:tcPr>
            <w:tcW w:w="1077" w:type="dxa"/>
            <w:noWrap/>
          </w:tcPr>
          <w:p w14:paraId="5FCF2F02" w14:textId="11BF2699"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338,45</w:t>
            </w:r>
          </w:p>
        </w:tc>
        <w:tc>
          <w:tcPr>
            <w:tcW w:w="939" w:type="dxa"/>
            <w:noWrap/>
          </w:tcPr>
          <w:p w14:paraId="2A4B4F12" w14:textId="2CA9DA5A" w:rsidR="00CE37FB" w:rsidRPr="00B6543F" w:rsidRDefault="00CE37FB" w:rsidP="00CE37FB">
            <w:pPr>
              <w:pStyle w:val="Tabletext"/>
              <w:jc w:val="center"/>
              <w:rPr>
                <w:rFonts w:eastAsia="Yu Gothic"/>
                <w:lang w:val="es-ES_tradnl" w:eastAsia="ja-JP"/>
              </w:rPr>
            </w:pPr>
            <w:r w:rsidRPr="00B6543F">
              <w:rPr>
                <w:rFonts w:eastAsia="Yu Gothic"/>
                <w:lang w:val="es-ES_tradnl"/>
              </w:rPr>
              <w:t>102,91</w:t>
            </w:r>
          </w:p>
        </w:tc>
      </w:tr>
      <w:tr w:rsidR="00CE37FB" w:rsidRPr="00B6543F" w14:paraId="7C3C8E18" w14:textId="77777777" w:rsidTr="00CE37FB">
        <w:trPr>
          <w:trHeight w:val="390"/>
          <w:jc w:val="center"/>
        </w:trPr>
        <w:tc>
          <w:tcPr>
            <w:tcW w:w="794" w:type="dxa"/>
            <w:noWrap/>
            <w:hideMark/>
          </w:tcPr>
          <w:p w14:paraId="7D848357" w14:textId="75B43041"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180</w:t>
            </w:r>
          </w:p>
        </w:tc>
        <w:tc>
          <w:tcPr>
            <w:tcW w:w="1305" w:type="dxa"/>
            <w:noWrap/>
            <w:hideMark/>
          </w:tcPr>
          <w:p w14:paraId="5FAF8DA0" w14:textId="13AE84F4"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0,13</w:t>
            </w:r>
          </w:p>
        </w:tc>
        <w:tc>
          <w:tcPr>
            <w:tcW w:w="850" w:type="dxa"/>
            <w:noWrap/>
            <w:hideMark/>
          </w:tcPr>
          <w:p w14:paraId="6CD9180D" w14:textId="13CAC599" w:rsidR="00CE37FB" w:rsidRPr="00B6543F" w:rsidRDefault="00CE37FB" w:rsidP="00CE37FB">
            <w:pPr>
              <w:pStyle w:val="Tabletext"/>
              <w:jc w:val="center"/>
              <w:rPr>
                <w:rFonts w:eastAsia="Yu Gothic"/>
                <w:lang w:val="es-ES_tradnl" w:eastAsia="ja-JP"/>
              </w:rPr>
            </w:pPr>
            <w:r w:rsidRPr="00B6543F">
              <w:rPr>
                <w:rFonts w:eastAsia="Yu Gothic"/>
                <w:lang w:val="es-ES_tradnl"/>
              </w:rPr>
              <w:t>1,56</w:t>
            </w:r>
          </w:p>
        </w:tc>
        <w:tc>
          <w:tcPr>
            <w:tcW w:w="850" w:type="dxa"/>
            <w:noWrap/>
            <w:hideMark/>
          </w:tcPr>
          <w:p w14:paraId="5F7C9E43" w14:textId="7C85F8D9"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0,70</w:t>
            </w:r>
          </w:p>
        </w:tc>
        <w:tc>
          <w:tcPr>
            <w:tcW w:w="851" w:type="dxa"/>
            <w:noWrap/>
            <w:hideMark/>
          </w:tcPr>
          <w:p w14:paraId="4AD04DC6" w14:textId="6EDCF3C6" w:rsidR="00CE37FB" w:rsidRPr="00B6543F" w:rsidRDefault="00CE37FB" w:rsidP="00CE37FB">
            <w:pPr>
              <w:pStyle w:val="Tabletext"/>
              <w:jc w:val="center"/>
              <w:rPr>
                <w:rFonts w:eastAsia="Yu Gothic"/>
                <w:lang w:val="es-ES_tradnl" w:eastAsia="ja-JP"/>
              </w:rPr>
            </w:pPr>
            <w:r w:rsidRPr="00B6543F">
              <w:rPr>
                <w:rFonts w:eastAsia="Yu Gothic"/>
                <w:lang w:val="es-ES_tradnl"/>
              </w:rPr>
              <w:t>2,09</w:t>
            </w:r>
          </w:p>
        </w:tc>
        <w:tc>
          <w:tcPr>
            <w:tcW w:w="850" w:type="dxa"/>
            <w:noWrap/>
          </w:tcPr>
          <w:p w14:paraId="3444922D" w14:textId="45166708"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640</w:t>
            </w:r>
          </w:p>
        </w:tc>
        <w:tc>
          <w:tcPr>
            <w:tcW w:w="1272" w:type="dxa"/>
            <w:noWrap/>
          </w:tcPr>
          <w:p w14:paraId="45A89BBE" w14:textId="23D66CC8"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0,66</w:t>
            </w:r>
          </w:p>
        </w:tc>
        <w:tc>
          <w:tcPr>
            <w:tcW w:w="851" w:type="dxa"/>
            <w:noWrap/>
          </w:tcPr>
          <w:p w14:paraId="706BA83B" w14:textId="55258708" w:rsidR="00CE37FB" w:rsidRPr="00B6543F" w:rsidRDefault="00CE37FB" w:rsidP="00CE37FB">
            <w:pPr>
              <w:pStyle w:val="Tabletext"/>
              <w:jc w:val="center"/>
              <w:rPr>
                <w:rFonts w:eastAsia="Yu Gothic"/>
                <w:lang w:val="es-ES_tradnl" w:eastAsia="ja-JP"/>
              </w:rPr>
            </w:pPr>
            <w:r w:rsidRPr="00B6543F">
              <w:rPr>
                <w:rFonts w:eastAsia="Yu Gothic"/>
                <w:lang w:val="es-ES_tradnl"/>
              </w:rPr>
              <w:t>73,12</w:t>
            </w:r>
          </w:p>
        </w:tc>
        <w:tc>
          <w:tcPr>
            <w:tcW w:w="1077" w:type="dxa"/>
            <w:noWrap/>
          </w:tcPr>
          <w:p w14:paraId="6D21C1F6" w14:textId="4C5ED55F"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418,90</w:t>
            </w:r>
          </w:p>
        </w:tc>
        <w:tc>
          <w:tcPr>
            <w:tcW w:w="939" w:type="dxa"/>
            <w:noWrap/>
          </w:tcPr>
          <w:p w14:paraId="431AF52D" w14:textId="5C535BBB" w:rsidR="00CE37FB" w:rsidRPr="00B6543F" w:rsidRDefault="00CE37FB" w:rsidP="00CE37FB">
            <w:pPr>
              <w:pStyle w:val="Tabletext"/>
              <w:jc w:val="center"/>
              <w:rPr>
                <w:rFonts w:eastAsia="Yu Gothic"/>
                <w:lang w:val="es-ES_tradnl" w:eastAsia="ja-JP"/>
              </w:rPr>
            </w:pPr>
            <w:r w:rsidRPr="00B6543F">
              <w:rPr>
                <w:rFonts w:eastAsia="Yu Gothic"/>
                <w:lang w:val="es-ES_tradnl"/>
              </w:rPr>
              <w:t>117,23</w:t>
            </w:r>
          </w:p>
        </w:tc>
      </w:tr>
      <w:tr w:rsidR="00CE37FB" w:rsidRPr="00B6543F" w14:paraId="65081D48" w14:textId="77777777" w:rsidTr="00CE37FB">
        <w:trPr>
          <w:trHeight w:val="390"/>
          <w:jc w:val="center"/>
        </w:trPr>
        <w:tc>
          <w:tcPr>
            <w:tcW w:w="794" w:type="dxa"/>
            <w:noWrap/>
            <w:hideMark/>
          </w:tcPr>
          <w:p w14:paraId="3A242B40" w14:textId="78236390"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200</w:t>
            </w:r>
          </w:p>
        </w:tc>
        <w:tc>
          <w:tcPr>
            <w:tcW w:w="1305" w:type="dxa"/>
            <w:noWrap/>
            <w:hideMark/>
          </w:tcPr>
          <w:p w14:paraId="189C0BE5" w14:textId="679F6EAF"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0,16</w:t>
            </w:r>
          </w:p>
        </w:tc>
        <w:tc>
          <w:tcPr>
            <w:tcW w:w="850" w:type="dxa"/>
            <w:noWrap/>
            <w:hideMark/>
          </w:tcPr>
          <w:p w14:paraId="35811B45" w14:textId="69FF480F" w:rsidR="00CE37FB" w:rsidRPr="00B6543F" w:rsidRDefault="00CE37FB" w:rsidP="00CE37FB">
            <w:pPr>
              <w:pStyle w:val="Tabletext"/>
              <w:jc w:val="center"/>
              <w:rPr>
                <w:rFonts w:eastAsia="Yu Gothic"/>
                <w:lang w:val="es-ES_tradnl" w:eastAsia="ja-JP"/>
              </w:rPr>
            </w:pPr>
            <w:r w:rsidRPr="00B6543F">
              <w:rPr>
                <w:rFonts w:eastAsia="Yu Gothic"/>
                <w:lang w:val="es-ES_tradnl"/>
              </w:rPr>
              <w:t>2,29</w:t>
            </w:r>
          </w:p>
        </w:tc>
        <w:tc>
          <w:tcPr>
            <w:tcW w:w="850" w:type="dxa"/>
            <w:noWrap/>
            <w:hideMark/>
          </w:tcPr>
          <w:p w14:paraId="3500000E" w14:textId="1CDAC0C1"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1,11</w:t>
            </w:r>
          </w:p>
        </w:tc>
        <w:tc>
          <w:tcPr>
            <w:tcW w:w="851" w:type="dxa"/>
            <w:noWrap/>
            <w:hideMark/>
          </w:tcPr>
          <w:p w14:paraId="5C0EF8B1" w14:textId="1331096C" w:rsidR="00CE37FB" w:rsidRPr="00B6543F" w:rsidRDefault="00CE37FB" w:rsidP="00CE37FB">
            <w:pPr>
              <w:pStyle w:val="Tabletext"/>
              <w:jc w:val="center"/>
              <w:rPr>
                <w:rFonts w:eastAsia="Yu Gothic"/>
                <w:lang w:val="es-ES_tradnl" w:eastAsia="ja-JP"/>
              </w:rPr>
            </w:pPr>
            <w:r w:rsidRPr="00B6543F">
              <w:rPr>
                <w:rFonts w:eastAsia="Yu Gothic"/>
                <w:lang w:val="es-ES_tradnl"/>
              </w:rPr>
              <w:t>3,06</w:t>
            </w:r>
          </w:p>
        </w:tc>
        <w:tc>
          <w:tcPr>
            <w:tcW w:w="850" w:type="dxa"/>
            <w:noWrap/>
          </w:tcPr>
          <w:p w14:paraId="456795D0" w14:textId="3B5E46F5"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660</w:t>
            </w:r>
          </w:p>
        </w:tc>
        <w:tc>
          <w:tcPr>
            <w:tcW w:w="1272" w:type="dxa"/>
            <w:noWrap/>
          </w:tcPr>
          <w:p w14:paraId="31EB1B8A" w14:textId="464A6CC6"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0,68</w:t>
            </w:r>
          </w:p>
        </w:tc>
        <w:tc>
          <w:tcPr>
            <w:tcW w:w="851" w:type="dxa"/>
            <w:noWrap/>
          </w:tcPr>
          <w:p w14:paraId="238C41D8" w14:textId="7E4C2255" w:rsidR="00CE37FB" w:rsidRPr="00B6543F" w:rsidRDefault="00CE37FB" w:rsidP="00CE37FB">
            <w:pPr>
              <w:pStyle w:val="Tabletext"/>
              <w:jc w:val="center"/>
              <w:rPr>
                <w:rFonts w:eastAsia="Yu Gothic"/>
                <w:lang w:val="es-ES_tradnl" w:eastAsia="ja-JP"/>
              </w:rPr>
            </w:pPr>
            <w:r w:rsidRPr="00B6543F">
              <w:rPr>
                <w:rFonts w:eastAsia="Yu Gothic"/>
                <w:lang w:val="es-ES_tradnl"/>
              </w:rPr>
              <w:t>79,36</w:t>
            </w:r>
          </w:p>
        </w:tc>
        <w:tc>
          <w:tcPr>
            <w:tcW w:w="1077" w:type="dxa"/>
            <w:noWrap/>
          </w:tcPr>
          <w:p w14:paraId="56C6C499" w14:textId="009AC65A"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517,82</w:t>
            </w:r>
          </w:p>
        </w:tc>
        <w:tc>
          <w:tcPr>
            <w:tcW w:w="939" w:type="dxa"/>
            <w:noWrap/>
          </w:tcPr>
          <w:p w14:paraId="22710636" w14:textId="4C568795" w:rsidR="00CE37FB" w:rsidRPr="00B6543F" w:rsidRDefault="00CE37FB" w:rsidP="00CE37FB">
            <w:pPr>
              <w:pStyle w:val="Tabletext"/>
              <w:jc w:val="center"/>
              <w:rPr>
                <w:rFonts w:eastAsia="Yu Gothic"/>
                <w:lang w:val="es-ES_tradnl" w:eastAsia="ja-JP"/>
              </w:rPr>
            </w:pPr>
            <w:r w:rsidRPr="00B6543F">
              <w:rPr>
                <w:rFonts w:eastAsia="Yu Gothic"/>
                <w:lang w:val="es-ES_tradnl"/>
              </w:rPr>
              <w:t>133,86</w:t>
            </w:r>
          </w:p>
        </w:tc>
      </w:tr>
      <w:tr w:rsidR="00CE37FB" w:rsidRPr="00B6543F" w14:paraId="7555F4FB" w14:textId="77777777" w:rsidTr="00CE37FB">
        <w:trPr>
          <w:trHeight w:val="390"/>
          <w:jc w:val="center"/>
        </w:trPr>
        <w:tc>
          <w:tcPr>
            <w:tcW w:w="794" w:type="dxa"/>
            <w:noWrap/>
            <w:hideMark/>
          </w:tcPr>
          <w:p w14:paraId="035840EE" w14:textId="3B2E0929"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220</w:t>
            </w:r>
          </w:p>
        </w:tc>
        <w:tc>
          <w:tcPr>
            <w:tcW w:w="1305" w:type="dxa"/>
            <w:noWrap/>
            <w:hideMark/>
          </w:tcPr>
          <w:p w14:paraId="6BBFA1E8" w14:textId="6E95C911"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0,18</w:t>
            </w:r>
          </w:p>
        </w:tc>
        <w:tc>
          <w:tcPr>
            <w:tcW w:w="850" w:type="dxa"/>
            <w:noWrap/>
            <w:hideMark/>
          </w:tcPr>
          <w:p w14:paraId="31B32B02" w14:textId="1F2A00BF" w:rsidR="00CE37FB" w:rsidRPr="00B6543F" w:rsidRDefault="00CE37FB" w:rsidP="00CE37FB">
            <w:pPr>
              <w:pStyle w:val="Tabletext"/>
              <w:jc w:val="center"/>
              <w:rPr>
                <w:rFonts w:eastAsia="Yu Gothic"/>
                <w:lang w:val="es-ES_tradnl" w:eastAsia="ja-JP"/>
              </w:rPr>
            </w:pPr>
            <w:r w:rsidRPr="00B6543F">
              <w:rPr>
                <w:rFonts w:eastAsia="Yu Gothic"/>
                <w:lang w:val="es-ES_tradnl"/>
              </w:rPr>
              <w:t>3,18</w:t>
            </w:r>
          </w:p>
        </w:tc>
        <w:tc>
          <w:tcPr>
            <w:tcW w:w="850" w:type="dxa"/>
            <w:noWrap/>
            <w:hideMark/>
          </w:tcPr>
          <w:p w14:paraId="4185AA97" w14:textId="1639E6BF"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1,68</w:t>
            </w:r>
          </w:p>
        </w:tc>
        <w:tc>
          <w:tcPr>
            <w:tcW w:w="851" w:type="dxa"/>
            <w:noWrap/>
            <w:hideMark/>
          </w:tcPr>
          <w:p w14:paraId="3FEE4BE8" w14:textId="69273E5E" w:rsidR="00CE37FB" w:rsidRPr="00B6543F" w:rsidRDefault="00CE37FB" w:rsidP="00CE37FB">
            <w:pPr>
              <w:pStyle w:val="Tabletext"/>
              <w:jc w:val="center"/>
              <w:rPr>
                <w:rFonts w:eastAsia="Yu Gothic"/>
                <w:lang w:val="es-ES_tradnl" w:eastAsia="ja-JP"/>
              </w:rPr>
            </w:pPr>
            <w:r w:rsidRPr="00B6543F">
              <w:rPr>
                <w:rFonts w:eastAsia="Yu Gothic"/>
                <w:lang w:val="es-ES_tradnl"/>
              </w:rPr>
              <w:t>4,26</w:t>
            </w:r>
          </w:p>
        </w:tc>
        <w:tc>
          <w:tcPr>
            <w:tcW w:w="850" w:type="dxa"/>
            <w:noWrap/>
          </w:tcPr>
          <w:p w14:paraId="33E2D015" w14:textId="4038E37E"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680</w:t>
            </w:r>
          </w:p>
        </w:tc>
        <w:tc>
          <w:tcPr>
            <w:tcW w:w="1272" w:type="dxa"/>
            <w:noWrap/>
          </w:tcPr>
          <w:p w14:paraId="1F559670" w14:textId="7588F8E0"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0,70</w:t>
            </w:r>
          </w:p>
        </w:tc>
        <w:tc>
          <w:tcPr>
            <w:tcW w:w="851" w:type="dxa"/>
            <w:noWrap/>
          </w:tcPr>
          <w:p w14:paraId="3179143D" w14:textId="5333B027" w:rsidR="00CE37FB" w:rsidRPr="00B6543F" w:rsidRDefault="00CE37FB" w:rsidP="00CE37FB">
            <w:pPr>
              <w:pStyle w:val="Tabletext"/>
              <w:jc w:val="center"/>
              <w:rPr>
                <w:rFonts w:eastAsia="Yu Gothic"/>
                <w:lang w:val="es-ES_tradnl" w:eastAsia="ja-JP"/>
              </w:rPr>
            </w:pPr>
            <w:r w:rsidRPr="00B6543F">
              <w:rPr>
                <w:rFonts w:eastAsia="Yu Gothic"/>
                <w:lang w:val="es-ES_tradnl"/>
              </w:rPr>
              <w:t>85,90</w:t>
            </w:r>
          </w:p>
        </w:tc>
        <w:tc>
          <w:tcPr>
            <w:tcW w:w="1077" w:type="dxa"/>
            <w:noWrap/>
          </w:tcPr>
          <w:p w14:paraId="0D0A41ED" w14:textId="02DA6323"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639,46</w:t>
            </w:r>
          </w:p>
        </w:tc>
        <w:tc>
          <w:tcPr>
            <w:tcW w:w="939" w:type="dxa"/>
            <w:noWrap/>
          </w:tcPr>
          <w:p w14:paraId="5D8FEBCD" w14:textId="6F87004E" w:rsidR="00CE37FB" w:rsidRPr="00B6543F" w:rsidRDefault="00CE37FB" w:rsidP="00CE37FB">
            <w:pPr>
              <w:pStyle w:val="Tabletext"/>
              <w:jc w:val="center"/>
              <w:rPr>
                <w:rFonts w:eastAsia="Yu Gothic"/>
                <w:lang w:val="es-ES_tradnl" w:eastAsia="ja-JP"/>
              </w:rPr>
            </w:pPr>
            <w:r w:rsidRPr="00B6543F">
              <w:rPr>
                <w:rFonts w:eastAsia="Yu Gothic"/>
                <w:lang w:val="es-ES_tradnl"/>
              </w:rPr>
              <w:t>153,18</w:t>
            </w:r>
          </w:p>
        </w:tc>
      </w:tr>
      <w:tr w:rsidR="00CE37FB" w:rsidRPr="00B6543F" w14:paraId="22FC26BC" w14:textId="77777777" w:rsidTr="00CE37FB">
        <w:trPr>
          <w:trHeight w:val="390"/>
          <w:jc w:val="center"/>
        </w:trPr>
        <w:tc>
          <w:tcPr>
            <w:tcW w:w="794" w:type="dxa"/>
            <w:noWrap/>
            <w:hideMark/>
          </w:tcPr>
          <w:p w14:paraId="7DA43565" w14:textId="596ABDA7"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240</w:t>
            </w:r>
          </w:p>
        </w:tc>
        <w:tc>
          <w:tcPr>
            <w:tcW w:w="1305" w:type="dxa"/>
            <w:noWrap/>
            <w:hideMark/>
          </w:tcPr>
          <w:p w14:paraId="1FA15968" w14:textId="1EAA98AF"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0,20</w:t>
            </w:r>
          </w:p>
        </w:tc>
        <w:tc>
          <w:tcPr>
            <w:tcW w:w="850" w:type="dxa"/>
            <w:noWrap/>
            <w:hideMark/>
          </w:tcPr>
          <w:p w14:paraId="0BEFAC0C" w14:textId="2DC9728D" w:rsidR="00CE37FB" w:rsidRPr="00B6543F" w:rsidRDefault="00CE37FB" w:rsidP="00CE37FB">
            <w:pPr>
              <w:pStyle w:val="Tabletext"/>
              <w:jc w:val="center"/>
              <w:rPr>
                <w:rFonts w:eastAsia="Yu Gothic"/>
                <w:lang w:val="es-ES_tradnl" w:eastAsia="ja-JP"/>
              </w:rPr>
            </w:pPr>
            <w:r w:rsidRPr="00B6543F">
              <w:rPr>
                <w:rFonts w:eastAsia="Yu Gothic"/>
                <w:lang w:val="es-ES_tradnl"/>
              </w:rPr>
              <w:t>4,25</w:t>
            </w:r>
          </w:p>
        </w:tc>
        <w:tc>
          <w:tcPr>
            <w:tcW w:w="850" w:type="dxa"/>
            <w:noWrap/>
            <w:hideMark/>
          </w:tcPr>
          <w:p w14:paraId="04A803DB" w14:textId="39D60151"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2,47</w:t>
            </w:r>
          </w:p>
        </w:tc>
        <w:tc>
          <w:tcPr>
            <w:tcW w:w="851" w:type="dxa"/>
            <w:noWrap/>
            <w:hideMark/>
          </w:tcPr>
          <w:p w14:paraId="3CA8A494" w14:textId="4D438DFB" w:rsidR="00CE37FB" w:rsidRPr="00B6543F" w:rsidRDefault="00CE37FB" w:rsidP="00CE37FB">
            <w:pPr>
              <w:pStyle w:val="Tabletext"/>
              <w:jc w:val="center"/>
              <w:rPr>
                <w:rFonts w:eastAsia="Yu Gothic"/>
                <w:lang w:val="es-ES_tradnl" w:eastAsia="ja-JP"/>
              </w:rPr>
            </w:pPr>
            <w:r w:rsidRPr="00B6543F">
              <w:rPr>
                <w:rFonts w:eastAsia="Yu Gothic"/>
                <w:lang w:val="es-ES_tradnl"/>
              </w:rPr>
              <w:t>5,68</w:t>
            </w:r>
          </w:p>
        </w:tc>
        <w:tc>
          <w:tcPr>
            <w:tcW w:w="850" w:type="dxa"/>
            <w:noWrap/>
          </w:tcPr>
          <w:p w14:paraId="2CBE8833" w14:textId="37AB16C8"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700</w:t>
            </w:r>
          </w:p>
        </w:tc>
        <w:tc>
          <w:tcPr>
            <w:tcW w:w="1272" w:type="dxa"/>
            <w:noWrap/>
          </w:tcPr>
          <w:p w14:paraId="247BDC7A" w14:textId="4252B67C"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0,73</w:t>
            </w:r>
          </w:p>
        </w:tc>
        <w:tc>
          <w:tcPr>
            <w:tcW w:w="851" w:type="dxa"/>
            <w:noWrap/>
          </w:tcPr>
          <w:p w14:paraId="3EC606E4" w14:textId="0A73D237" w:rsidR="00CE37FB" w:rsidRPr="00B6543F" w:rsidRDefault="00CE37FB" w:rsidP="00CE37FB">
            <w:pPr>
              <w:pStyle w:val="Tabletext"/>
              <w:jc w:val="center"/>
              <w:rPr>
                <w:rFonts w:eastAsia="Yu Gothic"/>
                <w:lang w:val="es-ES_tradnl" w:eastAsia="ja-JP"/>
              </w:rPr>
            </w:pPr>
            <w:r w:rsidRPr="00B6543F">
              <w:rPr>
                <w:rFonts w:eastAsia="Yu Gothic"/>
                <w:lang w:val="es-ES_tradnl"/>
              </w:rPr>
              <w:t>92,75</w:t>
            </w:r>
          </w:p>
        </w:tc>
        <w:tc>
          <w:tcPr>
            <w:tcW w:w="1077" w:type="dxa"/>
            <w:noWrap/>
          </w:tcPr>
          <w:p w14:paraId="4E03391C" w14:textId="705D617D"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789,06</w:t>
            </w:r>
          </w:p>
        </w:tc>
        <w:tc>
          <w:tcPr>
            <w:tcW w:w="939" w:type="dxa"/>
            <w:noWrap/>
          </w:tcPr>
          <w:p w14:paraId="6CB2D0AB" w14:textId="2FA9E6D7" w:rsidR="00CE37FB" w:rsidRPr="00B6543F" w:rsidRDefault="00CE37FB" w:rsidP="00CE37FB">
            <w:pPr>
              <w:pStyle w:val="Tabletext"/>
              <w:jc w:val="center"/>
              <w:rPr>
                <w:rFonts w:eastAsia="Yu Gothic"/>
                <w:lang w:val="es-ES_tradnl" w:eastAsia="ja-JP"/>
              </w:rPr>
            </w:pPr>
            <w:r w:rsidRPr="00B6543F">
              <w:rPr>
                <w:rFonts w:eastAsia="Yu Gothic"/>
                <w:lang w:val="es-ES_tradnl"/>
              </w:rPr>
              <w:t>175,64</w:t>
            </w:r>
          </w:p>
        </w:tc>
      </w:tr>
      <w:tr w:rsidR="00CE37FB" w:rsidRPr="00B6543F" w14:paraId="583232D6" w14:textId="77777777" w:rsidTr="00CE37FB">
        <w:trPr>
          <w:trHeight w:val="390"/>
          <w:jc w:val="center"/>
        </w:trPr>
        <w:tc>
          <w:tcPr>
            <w:tcW w:w="794" w:type="dxa"/>
            <w:noWrap/>
            <w:hideMark/>
          </w:tcPr>
          <w:p w14:paraId="3E66C274" w14:textId="20B433CE"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260</w:t>
            </w:r>
          </w:p>
        </w:tc>
        <w:tc>
          <w:tcPr>
            <w:tcW w:w="1305" w:type="dxa"/>
            <w:noWrap/>
            <w:hideMark/>
          </w:tcPr>
          <w:p w14:paraId="073EB2E9" w14:textId="35D002D4"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0,22</w:t>
            </w:r>
          </w:p>
        </w:tc>
        <w:tc>
          <w:tcPr>
            <w:tcW w:w="850" w:type="dxa"/>
            <w:noWrap/>
            <w:hideMark/>
          </w:tcPr>
          <w:p w14:paraId="0B625529" w14:textId="6AFE6B94" w:rsidR="00CE37FB" w:rsidRPr="00B6543F" w:rsidRDefault="00CE37FB" w:rsidP="00CE37FB">
            <w:pPr>
              <w:pStyle w:val="Tabletext"/>
              <w:jc w:val="center"/>
              <w:rPr>
                <w:rFonts w:eastAsia="Yu Gothic"/>
                <w:lang w:val="es-ES_tradnl" w:eastAsia="ja-JP"/>
              </w:rPr>
            </w:pPr>
            <w:r w:rsidRPr="00B6543F">
              <w:rPr>
                <w:rFonts w:eastAsia="Yu Gothic"/>
                <w:lang w:val="es-ES_tradnl"/>
              </w:rPr>
              <w:t>5,50</w:t>
            </w:r>
          </w:p>
        </w:tc>
        <w:tc>
          <w:tcPr>
            <w:tcW w:w="850" w:type="dxa"/>
            <w:noWrap/>
            <w:hideMark/>
          </w:tcPr>
          <w:p w14:paraId="5669C86E" w14:textId="5B59F890"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3,52</w:t>
            </w:r>
          </w:p>
        </w:tc>
        <w:tc>
          <w:tcPr>
            <w:tcW w:w="851" w:type="dxa"/>
            <w:noWrap/>
            <w:hideMark/>
          </w:tcPr>
          <w:p w14:paraId="333B0931" w14:textId="40007F36" w:rsidR="00CE37FB" w:rsidRPr="00B6543F" w:rsidRDefault="00CE37FB" w:rsidP="00CE37FB">
            <w:pPr>
              <w:pStyle w:val="Tabletext"/>
              <w:jc w:val="center"/>
              <w:rPr>
                <w:rFonts w:eastAsia="Yu Gothic"/>
                <w:lang w:val="es-ES_tradnl" w:eastAsia="ja-JP"/>
              </w:rPr>
            </w:pPr>
            <w:r w:rsidRPr="00B6543F">
              <w:rPr>
                <w:rFonts w:eastAsia="Yu Gothic"/>
                <w:lang w:val="es-ES_tradnl"/>
              </w:rPr>
              <w:t>7,36</w:t>
            </w:r>
          </w:p>
        </w:tc>
        <w:tc>
          <w:tcPr>
            <w:tcW w:w="850" w:type="dxa"/>
            <w:noWrap/>
          </w:tcPr>
          <w:p w14:paraId="7ADC5F7C" w14:textId="6D4A76CD"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720</w:t>
            </w:r>
          </w:p>
        </w:tc>
        <w:tc>
          <w:tcPr>
            <w:tcW w:w="1272" w:type="dxa"/>
            <w:noWrap/>
          </w:tcPr>
          <w:p w14:paraId="73480B35" w14:textId="4929C563"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0,75</w:t>
            </w:r>
          </w:p>
        </w:tc>
        <w:tc>
          <w:tcPr>
            <w:tcW w:w="851" w:type="dxa"/>
            <w:noWrap/>
          </w:tcPr>
          <w:p w14:paraId="2DE2F780" w14:textId="562B7115" w:rsidR="00CE37FB" w:rsidRPr="00B6543F" w:rsidRDefault="00CE37FB" w:rsidP="00CE37FB">
            <w:pPr>
              <w:pStyle w:val="Tabletext"/>
              <w:jc w:val="center"/>
              <w:rPr>
                <w:rFonts w:eastAsia="Yu Gothic"/>
                <w:lang w:val="es-ES_tradnl" w:eastAsia="ja-JP"/>
              </w:rPr>
            </w:pPr>
            <w:r w:rsidRPr="00B6543F">
              <w:rPr>
                <w:rFonts w:eastAsia="Yu Gothic"/>
                <w:lang w:val="es-ES_tradnl"/>
              </w:rPr>
              <w:t>99,91</w:t>
            </w:r>
          </w:p>
        </w:tc>
        <w:tc>
          <w:tcPr>
            <w:tcW w:w="1077" w:type="dxa"/>
            <w:noWrap/>
          </w:tcPr>
          <w:p w14:paraId="773DBE17" w14:textId="58A790E5"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973,13</w:t>
            </w:r>
          </w:p>
        </w:tc>
        <w:tc>
          <w:tcPr>
            <w:tcW w:w="939" w:type="dxa"/>
            <w:noWrap/>
          </w:tcPr>
          <w:p w14:paraId="16B27B55" w14:textId="3E52BDFB" w:rsidR="00CE37FB" w:rsidRPr="00B6543F" w:rsidRDefault="00CE37FB" w:rsidP="00CE37FB">
            <w:pPr>
              <w:pStyle w:val="Tabletext"/>
              <w:jc w:val="center"/>
              <w:rPr>
                <w:rFonts w:eastAsia="Yu Gothic"/>
                <w:lang w:val="es-ES_tradnl" w:eastAsia="ja-JP"/>
              </w:rPr>
            </w:pPr>
            <w:r w:rsidRPr="00B6543F">
              <w:rPr>
                <w:rFonts w:eastAsia="Yu Gothic"/>
                <w:lang w:val="es-ES_tradnl"/>
              </w:rPr>
              <w:t>201,74</w:t>
            </w:r>
          </w:p>
        </w:tc>
      </w:tr>
      <w:tr w:rsidR="00CE37FB" w:rsidRPr="00B6543F" w14:paraId="356502FE" w14:textId="77777777" w:rsidTr="00CE37FB">
        <w:trPr>
          <w:trHeight w:val="390"/>
          <w:jc w:val="center"/>
        </w:trPr>
        <w:tc>
          <w:tcPr>
            <w:tcW w:w="794" w:type="dxa"/>
            <w:noWrap/>
            <w:hideMark/>
          </w:tcPr>
          <w:p w14:paraId="18D5161C" w14:textId="01D4349F"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280</w:t>
            </w:r>
          </w:p>
        </w:tc>
        <w:tc>
          <w:tcPr>
            <w:tcW w:w="1305" w:type="dxa"/>
            <w:noWrap/>
            <w:hideMark/>
          </w:tcPr>
          <w:p w14:paraId="41BDE5E5" w14:textId="4B2360CA"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0,25</w:t>
            </w:r>
          </w:p>
        </w:tc>
        <w:tc>
          <w:tcPr>
            <w:tcW w:w="850" w:type="dxa"/>
            <w:noWrap/>
            <w:hideMark/>
          </w:tcPr>
          <w:p w14:paraId="2D296519" w14:textId="1CA40385" w:rsidR="00CE37FB" w:rsidRPr="00B6543F" w:rsidRDefault="00CE37FB" w:rsidP="00CE37FB">
            <w:pPr>
              <w:pStyle w:val="Tabletext"/>
              <w:jc w:val="center"/>
              <w:rPr>
                <w:rFonts w:eastAsia="Yu Gothic"/>
                <w:lang w:val="es-ES_tradnl" w:eastAsia="ja-JP"/>
              </w:rPr>
            </w:pPr>
            <w:r w:rsidRPr="00B6543F">
              <w:rPr>
                <w:rFonts w:eastAsia="Yu Gothic"/>
                <w:lang w:val="es-ES_tradnl"/>
              </w:rPr>
              <w:t>6,95</w:t>
            </w:r>
          </w:p>
        </w:tc>
        <w:tc>
          <w:tcPr>
            <w:tcW w:w="850" w:type="dxa"/>
            <w:noWrap/>
            <w:hideMark/>
          </w:tcPr>
          <w:p w14:paraId="281840EE" w14:textId="205BB93A"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4,91</w:t>
            </w:r>
          </w:p>
        </w:tc>
        <w:tc>
          <w:tcPr>
            <w:tcW w:w="851" w:type="dxa"/>
            <w:noWrap/>
            <w:hideMark/>
          </w:tcPr>
          <w:p w14:paraId="457FC3ED" w14:textId="489FBBC5" w:rsidR="00CE37FB" w:rsidRPr="00B6543F" w:rsidRDefault="00CE37FB" w:rsidP="00CE37FB">
            <w:pPr>
              <w:pStyle w:val="Tabletext"/>
              <w:jc w:val="center"/>
              <w:rPr>
                <w:rFonts w:eastAsia="Yu Gothic"/>
                <w:lang w:val="es-ES_tradnl" w:eastAsia="ja-JP"/>
              </w:rPr>
            </w:pPr>
            <w:r w:rsidRPr="00B6543F">
              <w:rPr>
                <w:rFonts w:eastAsia="Yu Gothic"/>
                <w:lang w:val="es-ES_tradnl"/>
              </w:rPr>
              <w:t>9,29</w:t>
            </w:r>
          </w:p>
        </w:tc>
        <w:tc>
          <w:tcPr>
            <w:tcW w:w="850" w:type="dxa"/>
            <w:noWrap/>
          </w:tcPr>
          <w:p w14:paraId="518C304A" w14:textId="38EBD649"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740</w:t>
            </w:r>
          </w:p>
        </w:tc>
        <w:tc>
          <w:tcPr>
            <w:tcW w:w="1272" w:type="dxa"/>
            <w:noWrap/>
          </w:tcPr>
          <w:p w14:paraId="0A2574E2" w14:textId="70AADCB3"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0,77</w:t>
            </w:r>
          </w:p>
        </w:tc>
        <w:tc>
          <w:tcPr>
            <w:tcW w:w="851" w:type="dxa"/>
            <w:noWrap/>
          </w:tcPr>
          <w:p w14:paraId="5A01A817" w14:textId="1C2DBD54" w:rsidR="00CE37FB" w:rsidRPr="00B6543F" w:rsidRDefault="00CE37FB" w:rsidP="00CE37FB">
            <w:pPr>
              <w:pStyle w:val="Tabletext"/>
              <w:jc w:val="center"/>
              <w:rPr>
                <w:rFonts w:eastAsia="Yu Gothic"/>
                <w:lang w:val="es-ES_tradnl" w:eastAsia="ja-JP"/>
              </w:rPr>
            </w:pPr>
            <w:r w:rsidRPr="00B6543F">
              <w:rPr>
                <w:rFonts w:eastAsia="Yu Gothic"/>
                <w:lang w:val="es-ES_tradnl"/>
              </w:rPr>
              <w:t>107,37</w:t>
            </w:r>
          </w:p>
        </w:tc>
        <w:tc>
          <w:tcPr>
            <w:tcW w:w="1077" w:type="dxa"/>
            <w:noWrap/>
          </w:tcPr>
          <w:p w14:paraId="0C9A57B8" w14:textId="1B9C6C98"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1 199,76</w:t>
            </w:r>
          </w:p>
        </w:tc>
        <w:tc>
          <w:tcPr>
            <w:tcW w:w="939" w:type="dxa"/>
            <w:noWrap/>
          </w:tcPr>
          <w:p w14:paraId="1823EDC3" w14:textId="7BB8D98B" w:rsidR="00CE37FB" w:rsidRPr="00B6543F" w:rsidRDefault="00CE37FB" w:rsidP="00CE37FB">
            <w:pPr>
              <w:pStyle w:val="Tabletext"/>
              <w:jc w:val="center"/>
              <w:rPr>
                <w:rFonts w:eastAsia="Yu Gothic"/>
                <w:lang w:val="es-ES_tradnl" w:eastAsia="ja-JP"/>
              </w:rPr>
            </w:pPr>
            <w:r w:rsidRPr="00B6543F">
              <w:rPr>
                <w:rFonts w:eastAsia="Yu Gothic"/>
                <w:lang w:val="es-ES_tradnl"/>
              </w:rPr>
              <w:t>232,10</w:t>
            </w:r>
          </w:p>
        </w:tc>
      </w:tr>
      <w:tr w:rsidR="00CE37FB" w:rsidRPr="00B6543F" w14:paraId="69B10DBB" w14:textId="77777777" w:rsidTr="00CE37FB">
        <w:trPr>
          <w:trHeight w:val="390"/>
          <w:jc w:val="center"/>
        </w:trPr>
        <w:tc>
          <w:tcPr>
            <w:tcW w:w="794" w:type="dxa"/>
            <w:tcBorders>
              <w:top w:val="nil"/>
            </w:tcBorders>
            <w:noWrap/>
            <w:hideMark/>
          </w:tcPr>
          <w:p w14:paraId="76FC08F9" w14:textId="7FC823C4"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300</w:t>
            </w:r>
          </w:p>
        </w:tc>
        <w:tc>
          <w:tcPr>
            <w:tcW w:w="1305" w:type="dxa"/>
            <w:tcBorders>
              <w:top w:val="nil"/>
            </w:tcBorders>
            <w:noWrap/>
            <w:hideMark/>
          </w:tcPr>
          <w:p w14:paraId="3DF13537" w14:textId="7855D15A"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0,27</w:t>
            </w:r>
          </w:p>
        </w:tc>
        <w:tc>
          <w:tcPr>
            <w:tcW w:w="850" w:type="dxa"/>
            <w:tcBorders>
              <w:top w:val="nil"/>
            </w:tcBorders>
            <w:noWrap/>
            <w:hideMark/>
          </w:tcPr>
          <w:p w14:paraId="69934317" w14:textId="2483354E" w:rsidR="00CE37FB" w:rsidRPr="00B6543F" w:rsidRDefault="00CE37FB" w:rsidP="00CE37FB">
            <w:pPr>
              <w:pStyle w:val="Tabletext"/>
              <w:jc w:val="center"/>
              <w:rPr>
                <w:rFonts w:eastAsia="Yu Gothic"/>
                <w:lang w:val="es-ES_tradnl" w:eastAsia="ja-JP"/>
              </w:rPr>
            </w:pPr>
            <w:r w:rsidRPr="00B6543F">
              <w:rPr>
                <w:rFonts w:eastAsia="Yu Gothic"/>
                <w:lang w:val="es-ES_tradnl"/>
              </w:rPr>
              <w:t>8,59</w:t>
            </w:r>
          </w:p>
        </w:tc>
        <w:tc>
          <w:tcPr>
            <w:tcW w:w="850" w:type="dxa"/>
            <w:tcBorders>
              <w:top w:val="nil"/>
            </w:tcBorders>
            <w:noWrap/>
            <w:hideMark/>
          </w:tcPr>
          <w:p w14:paraId="5181A777" w14:textId="29D083D8"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6,73</w:t>
            </w:r>
          </w:p>
        </w:tc>
        <w:tc>
          <w:tcPr>
            <w:tcW w:w="851" w:type="dxa"/>
            <w:tcBorders>
              <w:top w:val="nil"/>
            </w:tcBorders>
            <w:noWrap/>
            <w:hideMark/>
          </w:tcPr>
          <w:p w14:paraId="76025F76" w14:textId="2F24EAD6" w:rsidR="00CE37FB" w:rsidRPr="00B6543F" w:rsidRDefault="00CE37FB" w:rsidP="00CE37FB">
            <w:pPr>
              <w:pStyle w:val="Tabletext"/>
              <w:jc w:val="center"/>
              <w:rPr>
                <w:rFonts w:eastAsia="Yu Gothic"/>
                <w:lang w:val="es-ES_tradnl" w:eastAsia="ja-JP"/>
              </w:rPr>
            </w:pPr>
            <w:r w:rsidRPr="00B6543F">
              <w:rPr>
                <w:rFonts w:eastAsia="Yu Gothic"/>
                <w:lang w:val="es-ES_tradnl"/>
              </w:rPr>
              <w:t>11,49</w:t>
            </w:r>
          </w:p>
        </w:tc>
        <w:tc>
          <w:tcPr>
            <w:tcW w:w="850" w:type="dxa"/>
            <w:tcBorders>
              <w:top w:val="nil"/>
            </w:tcBorders>
            <w:noWrap/>
          </w:tcPr>
          <w:p w14:paraId="54152CE6" w14:textId="7CB305B9"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760</w:t>
            </w:r>
          </w:p>
        </w:tc>
        <w:tc>
          <w:tcPr>
            <w:tcW w:w="1272" w:type="dxa"/>
            <w:tcBorders>
              <w:top w:val="nil"/>
            </w:tcBorders>
            <w:noWrap/>
          </w:tcPr>
          <w:p w14:paraId="4B685749" w14:textId="5477FA7A"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0,79</w:t>
            </w:r>
          </w:p>
        </w:tc>
        <w:tc>
          <w:tcPr>
            <w:tcW w:w="851" w:type="dxa"/>
            <w:tcBorders>
              <w:top w:val="nil"/>
            </w:tcBorders>
            <w:noWrap/>
          </w:tcPr>
          <w:p w14:paraId="7CE95C4A" w14:textId="01BA88FB" w:rsidR="00CE37FB" w:rsidRPr="00B6543F" w:rsidRDefault="00CE37FB" w:rsidP="00CE37FB">
            <w:pPr>
              <w:pStyle w:val="Tabletext"/>
              <w:jc w:val="center"/>
              <w:rPr>
                <w:rFonts w:eastAsia="Yu Gothic"/>
                <w:lang w:val="es-ES_tradnl" w:eastAsia="ja-JP"/>
              </w:rPr>
            </w:pPr>
            <w:r w:rsidRPr="00B6543F">
              <w:rPr>
                <w:rFonts w:eastAsia="Yu Gothic"/>
                <w:lang w:val="es-ES_tradnl"/>
              </w:rPr>
              <w:t>115,15</w:t>
            </w:r>
          </w:p>
        </w:tc>
        <w:tc>
          <w:tcPr>
            <w:tcW w:w="1077" w:type="dxa"/>
            <w:tcBorders>
              <w:top w:val="nil"/>
            </w:tcBorders>
            <w:noWrap/>
          </w:tcPr>
          <w:p w14:paraId="1F867BBF" w14:textId="0057A3FC"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1 479,00</w:t>
            </w:r>
          </w:p>
        </w:tc>
        <w:tc>
          <w:tcPr>
            <w:tcW w:w="939" w:type="dxa"/>
            <w:tcBorders>
              <w:top w:val="nil"/>
            </w:tcBorders>
            <w:noWrap/>
          </w:tcPr>
          <w:p w14:paraId="0546016B" w14:textId="0DC2FE69" w:rsidR="00CE37FB" w:rsidRPr="00B6543F" w:rsidRDefault="00CE37FB" w:rsidP="00CE37FB">
            <w:pPr>
              <w:pStyle w:val="Tabletext"/>
              <w:jc w:val="center"/>
              <w:rPr>
                <w:rFonts w:eastAsia="Yu Gothic"/>
                <w:lang w:val="es-ES_tradnl" w:eastAsia="ja-JP"/>
              </w:rPr>
            </w:pPr>
            <w:r w:rsidRPr="00B6543F">
              <w:rPr>
                <w:rFonts w:eastAsia="Yu Gothic"/>
                <w:lang w:val="es-ES_tradnl"/>
              </w:rPr>
              <w:t>267,41</w:t>
            </w:r>
          </w:p>
        </w:tc>
      </w:tr>
      <w:tr w:rsidR="00CE37FB" w:rsidRPr="00B6543F" w14:paraId="002A390A" w14:textId="77777777" w:rsidTr="00CE37FB">
        <w:trPr>
          <w:trHeight w:val="390"/>
          <w:jc w:val="center"/>
        </w:trPr>
        <w:tc>
          <w:tcPr>
            <w:tcW w:w="794" w:type="dxa"/>
            <w:noWrap/>
            <w:hideMark/>
          </w:tcPr>
          <w:p w14:paraId="4868B10D" w14:textId="73391EEE"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320</w:t>
            </w:r>
          </w:p>
        </w:tc>
        <w:tc>
          <w:tcPr>
            <w:tcW w:w="1305" w:type="dxa"/>
            <w:noWrap/>
            <w:hideMark/>
          </w:tcPr>
          <w:p w14:paraId="735D0BB2" w14:textId="38AA2B8B"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0,29</w:t>
            </w:r>
          </w:p>
        </w:tc>
        <w:tc>
          <w:tcPr>
            <w:tcW w:w="850" w:type="dxa"/>
            <w:noWrap/>
            <w:hideMark/>
          </w:tcPr>
          <w:p w14:paraId="5396B2E9" w14:textId="27994F8A" w:rsidR="00CE37FB" w:rsidRPr="00B6543F" w:rsidRDefault="00CE37FB" w:rsidP="00CE37FB">
            <w:pPr>
              <w:pStyle w:val="Tabletext"/>
              <w:jc w:val="center"/>
              <w:rPr>
                <w:rFonts w:eastAsia="Yu Gothic"/>
                <w:lang w:val="es-ES_tradnl" w:eastAsia="ja-JP"/>
              </w:rPr>
            </w:pPr>
            <w:r w:rsidRPr="00B6543F">
              <w:rPr>
                <w:rFonts w:eastAsia="Yu Gothic"/>
                <w:lang w:val="es-ES_tradnl"/>
              </w:rPr>
              <w:t>10,44</w:t>
            </w:r>
          </w:p>
        </w:tc>
        <w:tc>
          <w:tcPr>
            <w:tcW w:w="850" w:type="dxa"/>
            <w:noWrap/>
            <w:hideMark/>
          </w:tcPr>
          <w:p w14:paraId="575A693D" w14:textId="27A9394E"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9,09</w:t>
            </w:r>
          </w:p>
        </w:tc>
        <w:tc>
          <w:tcPr>
            <w:tcW w:w="851" w:type="dxa"/>
            <w:noWrap/>
            <w:hideMark/>
          </w:tcPr>
          <w:p w14:paraId="428425C6" w14:textId="2D50625B" w:rsidR="00CE37FB" w:rsidRPr="00B6543F" w:rsidRDefault="00CE37FB" w:rsidP="00CE37FB">
            <w:pPr>
              <w:pStyle w:val="Tabletext"/>
              <w:jc w:val="center"/>
              <w:rPr>
                <w:rFonts w:eastAsia="Yu Gothic"/>
                <w:lang w:val="es-ES_tradnl" w:eastAsia="ja-JP"/>
              </w:rPr>
            </w:pPr>
            <w:r w:rsidRPr="00B6543F">
              <w:rPr>
                <w:rFonts w:eastAsia="Yu Gothic"/>
                <w:lang w:val="es-ES_tradnl"/>
              </w:rPr>
              <w:t>13,97</w:t>
            </w:r>
          </w:p>
        </w:tc>
        <w:tc>
          <w:tcPr>
            <w:tcW w:w="850" w:type="dxa"/>
            <w:noWrap/>
          </w:tcPr>
          <w:p w14:paraId="62A9E3E3" w14:textId="68ADF544"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780</w:t>
            </w:r>
          </w:p>
        </w:tc>
        <w:tc>
          <w:tcPr>
            <w:tcW w:w="1272" w:type="dxa"/>
            <w:noWrap/>
          </w:tcPr>
          <w:p w14:paraId="2A9855D4" w14:textId="48CB95A6"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0,82</w:t>
            </w:r>
          </w:p>
        </w:tc>
        <w:tc>
          <w:tcPr>
            <w:tcW w:w="851" w:type="dxa"/>
            <w:noWrap/>
          </w:tcPr>
          <w:p w14:paraId="3121821B" w14:textId="31D16564" w:rsidR="00CE37FB" w:rsidRPr="00B6543F" w:rsidRDefault="00CE37FB" w:rsidP="00CE37FB">
            <w:pPr>
              <w:pStyle w:val="Tabletext"/>
              <w:jc w:val="center"/>
              <w:rPr>
                <w:rFonts w:eastAsia="Yu Gothic"/>
                <w:lang w:val="es-ES_tradnl" w:eastAsia="ja-JP"/>
              </w:rPr>
            </w:pPr>
            <w:r w:rsidRPr="00B6543F">
              <w:rPr>
                <w:rFonts w:eastAsia="Yu Gothic"/>
                <w:lang w:val="es-ES_tradnl"/>
              </w:rPr>
              <w:t>123,26</w:t>
            </w:r>
          </w:p>
        </w:tc>
        <w:tc>
          <w:tcPr>
            <w:tcW w:w="1077" w:type="dxa"/>
            <w:noWrap/>
          </w:tcPr>
          <w:p w14:paraId="6D890259" w14:textId="227DB5DE"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1 823,40</w:t>
            </w:r>
          </w:p>
        </w:tc>
        <w:tc>
          <w:tcPr>
            <w:tcW w:w="939" w:type="dxa"/>
            <w:noWrap/>
          </w:tcPr>
          <w:p w14:paraId="3C2C078B" w14:textId="40D99965" w:rsidR="00CE37FB" w:rsidRPr="00B6543F" w:rsidRDefault="00CE37FB" w:rsidP="00CE37FB">
            <w:pPr>
              <w:pStyle w:val="Tabletext"/>
              <w:jc w:val="center"/>
              <w:rPr>
                <w:rFonts w:eastAsia="Yu Gothic"/>
                <w:lang w:val="es-ES_tradnl" w:eastAsia="ja-JP"/>
              </w:rPr>
            </w:pPr>
            <w:r w:rsidRPr="00B6543F">
              <w:rPr>
                <w:rFonts w:eastAsia="Yu Gothic"/>
                <w:lang w:val="es-ES_tradnl"/>
              </w:rPr>
              <w:t>308,49</w:t>
            </w:r>
          </w:p>
        </w:tc>
      </w:tr>
      <w:tr w:rsidR="00CE37FB" w:rsidRPr="00B6543F" w14:paraId="10A0187F" w14:textId="77777777" w:rsidTr="00CE37FB">
        <w:trPr>
          <w:trHeight w:val="390"/>
          <w:jc w:val="center"/>
        </w:trPr>
        <w:tc>
          <w:tcPr>
            <w:tcW w:w="794" w:type="dxa"/>
            <w:noWrap/>
            <w:hideMark/>
          </w:tcPr>
          <w:p w14:paraId="6EDAEA6E" w14:textId="51E9B271"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340</w:t>
            </w:r>
          </w:p>
        </w:tc>
        <w:tc>
          <w:tcPr>
            <w:tcW w:w="1305" w:type="dxa"/>
            <w:noWrap/>
            <w:hideMark/>
          </w:tcPr>
          <w:p w14:paraId="5F6067D6" w14:textId="08FBD678"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0,32</w:t>
            </w:r>
          </w:p>
        </w:tc>
        <w:tc>
          <w:tcPr>
            <w:tcW w:w="850" w:type="dxa"/>
            <w:noWrap/>
            <w:hideMark/>
          </w:tcPr>
          <w:p w14:paraId="107C57EF" w14:textId="25FF7333" w:rsidR="00CE37FB" w:rsidRPr="00B6543F" w:rsidRDefault="00CE37FB" w:rsidP="00CE37FB">
            <w:pPr>
              <w:pStyle w:val="Tabletext"/>
              <w:jc w:val="center"/>
              <w:rPr>
                <w:rFonts w:eastAsia="Yu Gothic"/>
                <w:lang w:val="es-ES_tradnl" w:eastAsia="ja-JP"/>
              </w:rPr>
            </w:pPr>
            <w:r w:rsidRPr="00B6543F">
              <w:rPr>
                <w:rFonts w:eastAsia="Yu Gothic"/>
                <w:lang w:val="es-ES_tradnl"/>
              </w:rPr>
              <w:t>12,51</w:t>
            </w:r>
          </w:p>
        </w:tc>
        <w:tc>
          <w:tcPr>
            <w:tcW w:w="850" w:type="dxa"/>
            <w:noWrap/>
            <w:hideMark/>
          </w:tcPr>
          <w:p w14:paraId="0D46217A" w14:textId="32692A7C"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12,12</w:t>
            </w:r>
          </w:p>
        </w:tc>
        <w:tc>
          <w:tcPr>
            <w:tcW w:w="851" w:type="dxa"/>
            <w:noWrap/>
            <w:hideMark/>
          </w:tcPr>
          <w:p w14:paraId="567EFAE5" w14:textId="2A20B893" w:rsidR="00CE37FB" w:rsidRPr="00B6543F" w:rsidRDefault="00CE37FB" w:rsidP="00CE37FB">
            <w:pPr>
              <w:pStyle w:val="Tabletext"/>
              <w:jc w:val="center"/>
              <w:rPr>
                <w:rFonts w:eastAsia="Yu Gothic"/>
                <w:lang w:val="es-ES_tradnl" w:eastAsia="ja-JP"/>
              </w:rPr>
            </w:pPr>
            <w:r w:rsidRPr="00B6543F">
              <w:rPr>
                <w:rFonts w:eastAsia="Yu Gothic"/>
                <w:lang w:val="es-ES_tradnl"/>
              </w:rPr>
              <w:t>16,74</w:t>
            </w:r>
          </w:p>
        </w:tc>
        <w:tc>
          <w:tcPr>
            <w:tcW w:w="850" w:type="dxa"/>
            <w:noWrap/>
          </w:tcPr>
          <w:p w14:paraId="606BF829" w14:textId="2703D8F5"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800</w:t>
            </w:r>
          </w:p>
        </w:tc>
        <w:tc>
          <w:tcPr>
            <w:tcW w:w="1272" w:type="dxa"/>
            <w:noWrap/>
          </w:tcPr>
          <w:p w14:paraId="291C15FC" w14:textId="74C97DA4"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0,84</w:t>
            </w:r>
          </w:p>
        </w:tc>
        <w:tc>
          <w:tcPr>
            <w:tcW w:w="851" w:type="dxa"/>
            <w:noWrap/>
          </w:tcPr>
          <w:p w14:paraId="35843D43" w14:textId="42EE4D17" w:rsidR="00CE37FB" w:rsidRPr="00B6543F" w:rsidRDefault="00CE37FB" w:rsidP="00CE37FB">
            <w:pPr>
              <w:pStyle w:val="Tabletext"/>
              <w:jc w:val="center"/>
              <w:rPr>
                <w:rFonts w:eastAsia="Yu Gothic"/>
                <w:lang w:val="es-ES_tradnl" w:eastAsia="ja-JP"/>
              </w:rPr>
            </w:pPr>
            <w:r w:rsidRPr="00B6543F">
              <w:rPr>
                <w:rFonts w:eastAsia="Yu Gothic"/>
                <w:lang w:val="es-ES_tradnl"/>
              </w:rPr>
              <w:t>131,68</w:t>
            </w:r>
          </w:p>
        </w:tc>
        <w:tc>
          <w:tcPr>
            <w:tcW w:w="1077" w:type="dxa"/>
            <w:noWrap/>
          </w:tcPr>
          <w:p w14:paraId="2D2F0F94" w14:textId="4CBF43DE"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2 248,67</w:t>
            </w:r>
          </w:p>
        </w:tc>
        <w:tc>
          <w:tcPr>
            <w:tcW w:w="939" w:type="dxa"/>
            <w:noWrap/>
          </w:tcPr>
          <w:p w14:paraId="01756B40" w14:textId="4689D2FF" w:rsidR="00CE37FB" w:rsidRPr="00B6543F" w:rsidRDefault="00CE37FB" w:rsidP="00CE37FB">
            <w:pPr>
              <w:pStyle w:val="Tabletext"/>
              <w:jc w:val="center"/>
              <w:rPr>
                <w:rFonts w:eastAsia="Yu Gothic"/>
                <w:lang w:val="es-ES_tradnl" w:eastAsia="ja-JP"/>
              </w:rPr>
            </w:pPr>
            <w:r w:rsidRPr="00B6543F">
              <w:rPr>
                <w:rFonts w:eastAsia="Yu Gothic"/>
                <w:lang w:val="es-ES_tradnl"/>
              </w:rPr>
              <w:t>356,30</w:t>
            </w:r>
          </w:p>
        </w:tc>
      </w:tr>
      <w:tr w:rsidR="00CE37FB" w:rsidRPr="00B6543F" w14:paraId="423C187E" w14:textId="77777777" w:rsidTr="00CE37FB">
        <w:trPr>
          <w:trHeight w:val="390"/>
          <w:jc w:val="center"/>
        </w:trPr>
        <w:tc>
          <w:tcPr>
            <w:tcW w:w="794" w:type="dxa"/>
            <w:noWrap/>
            <w:hideMark/>
          </w:tcPr>
          <w:p w14:paraId="68D873FC" w14:textId="61B34756"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360</w:t>
            </w:r>
          </w:p>
        </w:tc>
        <w:tc>
          <w:tcPr>
            <w:tcW w:w="1305" w:type="dxa"/>
            <w:noWrap/>
            <w:hideMark/>
          </w:tcPr>
          <w:p w14:paraId="52E68A90" w14:textId="50579748"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0,34</w:t>
            </w:r>
          </w:p>
        </w:tc>
        <w:tc>
          <w:tcPr>
            <w:tcW w:w="850" w:type="dxa"/>
            <w:noWrap/>
            <w:hideMark/>
          </w:tcPr>
          <w:p w14:paraId="715E89C8" w14:textId="5F1EB895" w:rsidR="00CE37FB" w:rsidRPr="00B6543F" w:rsidRDefault="00CE37FB" w:rsidP="00CE37FB">
            <w:pPr>
              <w:pStyle w:val="Tabletext"/>
              <w:jc w:val="center"/>
              <w:rPr>
                <w:rFonts w:eastAsia="Yu Gothic"/>
                <w:lang w:val="es-ES_tradnl" w:eastAsia="ja-JP"/>
              </w:rPr>
            </w:pPr>
            <w:r w:rsidRPr="00B6543F">
              <w:rPr>
                <w:rFonts w:eastAsia="Yu Gothic"/>
                <w:lang w:val="es-ES_tradnl"/>
              </w:rPr>
              <w:t>14,80</w:t>
            </w:r>
          </w:p>
        </w:tc>
        <w:tc>
          <w:tcPr>
            <w:tcW w:w="850" w:type="dxa"/>
            <w:noWrap/>
            <w:hideMark/>
          </w:tcPr>
          <w:p w14:paraId="52D8A4D5" w14:textId="544790A5"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15,98</w:t>
            </w:r>
          </w:p>
        </w:tc>
        <w:tc>
          <w:tcPr>
            <w:tcW w:w="851" w:type="dxa"/>
            <w:noWrap/>
            <w:hideMark/>
          </w:tcPr>
          <w:p w14:paraId="5C385DDD" w14:textId="7E59B35B" w:rsidR="00CE37FB" w:rsidRPr="00B6543F" w:rsidRDefault="00CE37FB" w:rsidP="00CE37FB">
            <w:pPr>
              <w:pStyle w:val="Tabletext"/>
              <w:jc w:val="center"/>
              <w:rPr>
                <w:rFonts w:eastAsia="Yu Gothic"/>
                <w:lang w:val="es-ES_tradnl" w:eastAsia="ja-JP"/>
              </w:rPr>
            </w:pPr>
            <w:r w:rsidRPr="00B6543F">
              <w:rPr>
                <w:rFonts w:eastAsia="Yu Gothic"/>
                <w:lang w:val="es-ES_tradnl"/>
              </w:rPr>
              <w:t>19,79</w:t>
            </w:r>
          </w:p>
        </w:tc>
        <w:tc>
          <w:tcPr>
            <w:tcW w:w="850" w:type="dxa"/>
            <w:noWrap/>
          </w:tcPr>
          <w:p w14:paraId="7975C2FF" w14:textId="64C3C47A"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820</w:t>
            </w:r>
          </w:p>
        </w:tc>
        <w:tc>
          <w:tcPr>
            <w:tcW w:w="1272" w:type="dxa"/>
            <w:noWrap/>
          </w:tcPr>
          <w:p w14:paraId="35C69711" w14:textId="7B0458F2"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0,86</w:t>
            </w:r>
          </w:p>
        </w:tc>
        <w:tc>
          <w:tcPr>
            <w:tcW w:w="851" w:type="dxa"/>
            <w:noWrap/>
          </w:tcPr>
          <w:p w14:paraId="1E9E2658" w14:textId="3C5F6007" w:rsidR="00CE37FB" w:rsidRPr="00B6543F" w:rsidRDefault="00CE37FB" w:rsidP="00CE37FB">
            <w:pPr>
              <w:pStyle w:val="Tabletext"/>
              <w:jc w:val="center"/>
              <w:rPr>
                <w:rFonts w:eastAsia="Yu Gothic"/>
                <w:lang w:val="es-ES_tradnl" w:eastAsia="ja-JP"/>
              </w:rPr>
            </w:pPr>
            <w:r w:rsidRPr="00B6543F">
              <w:rPr>
                <w:rFonts w:eastAsia="Yu Gothic"/>
                <w:lang w:val="es-ES_tradnl"/>
              </w:rPr>
              <w:t>140,43</w:t>
            </w:r>
          </w:p>
        </w:tc>
        <w:tc>
          <w:tcPr>
            <w:tcW w:w="1077" w:type="dxa"/>
            <w:noWrap/>
          </w:tcPr>
          <w:p w14:paraId="3431B62B" w14:textId="6E37047B"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2 774,49</w:t>
            </w:r>
          </w:p>
        </w:tc>
        <w:tc>
          <w:tcPr>
            <w:tcW w:w="939" w:type="dxa"/>
            <w:noWrap/>
          </w:tcPr>
          <w:p w14:paraId="72264BF0" w14:textId="40CF4A56" w:rsidR="00CE37FB" w:rsidRPr="00B6543F" w:rsidRDefault="00CE37FB" w:rsidP="00CE37FB">
            <w:pPr>
              <w:pStyle w:val="Tabletext"/>
              <w:jc w:val="center"/>
              <w:rPr>
                <w:rFonts w:eastAsia="Yu Gothic"/>
                <w:lang w:val="es-ES_tradnl" w:eastAsia="ja-JP"/>
              </w:rPr>
            </w:pPr>
            <w:r w:rsidRPr="00B6543F">
              <w:rPr>
                <w:rFonts w:eastAsia="Yu Gothic"/>
                <w:lang w:val="es-ES_tradnl"/>
              </w:rPr>
              <w:t>411,94</w:t>
            </w:r>
          </w:p>
        </w:tc>
      </w:tr>
      <w:tr w:rsidR="00CE37FB" w:rsidRPr="00B6543F" w14:paraId="04B7C275" w14:textId="77777777" w:rsidTr="00CE37FB">
        <w:trPr>
          <w:trHeight w:val="390"/>
          <w:jc w:val="center"/>
        </w:trPr>
        <w:tc>
          <w:tcPr>
            <w:tcW w:w="794" w:type="dxa"/>
            <w:noWrap/>
            <w:hideMark/>
          </w:tcPr>
          <w:p w14:paraId="16847F9B" w14:textId="671A22F7"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380</w:t>
            </w:r>
          </w:p>
        </w:tc>
        <w:tc>
          <w:tcPr>
            <w:tcW w:w="1305" w:type="dxa"/>
            <w:noWrap/>
            <w:hideMark/>
          </w:tcPr>
          <w:p w14:paraId="74200B03" w14:textId="00C0A14D"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0,36</w:t>
            </w:r>
          </w:p>
        </w:tc>
        <w:tc>
          <w:tcPr>
            <w:tcW w:w="850" w:type="dxa"/>
            <w:noWrap/>
            <w:hideMark/>
          </w:tcPr>
          <w:p w14:paraId="0C536AA7" w14:textId="773E34A8" w:rsidR="00CE37FB" w:rsidRPr="00B6543F" w:rsidRDefault="00CE37FB" w:rsidP="00CE37FB">
            <w:pPr>
              <w:pStyle w:val="Tabletext"/>
              <w:jc w:val="center"/>
              <w:rPr>
                <w:rFonts w:eastAsia="Yu Gothic"/>
                <w:lang w:val="es-ES_tradnl" w:eastAsia="ja-JP"/>
              </w:rPr>
            </w:pPr>
            <w:r w:rsidRPr="00B6543F">
              <w:rPr>
                <w:rFonts w:eastAsia="Yu Gothic"/>
                <w:lang w:val="es-ES_tradnl"/>
              </w:rPr>
              <w:t>17,31</w:t>
            </w:r>
          </w:p>
        </w:tc>
        <w:tc>
          <w:tcPr>
            <w:tcW w:w="850" w:type="dxa"/>
            <w:noWrap/>
            <w:hideMark/>
          </w:tcPr>
          <w:p w14:paraId="772F462E" w14:textId="7A5302C0"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20,88</w:t>
            </w:r>
          </w:p>
        </w:tc>
        <w:tc>
          <w:tcPr>
            <w:tcW w:w="851" w:type="dxa"/>
            <w:noWrap/>
            <w:hideMark/>
          </w:tcPr>
          <w:p w14:paraId="6BA457C8" w14:textId="7A62D214" w:rsidR="00CE37FB" w:rsidRPr="00B6543F" w:rsidRDefault="00CE37FB" w:rsidP="00CE37FB">
            <w:pPr>
              <w:pStyle w:val="Tabletext"/>
              <w:jc w:val="center"/>
              <w:rPr>
                <w:rFonts w:eastAsia="Yu Gothic"/>
                <w:lang w:val="es-ES_tradnl" w:eastAsia="ja-JP"/>
              </w:rPr>
            </w:pPr>
            <w:r w:rsidRPr="00B6543F">
              <w:rPr>
                <w:rFonts w:eastAsia="Yu Gothic"/>
                <w:lang w:val="es-ES_tradnl"/>
              </w:rPr>
              <w:t>23,16</w:t>
            </w:r>
          </w:p>
        </w:tc>
        <w:tc>
          <w:tcPr>
            <w:tcW w:w="850" w:type="dxa"/>
            <w:noWrap/>
          </w:tcPr>
          <w:p w14:paraId="1AC88447" w14:textId="07081959"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840</w:t>
            </w:r>
          </w:p>
        </w:tc>
        <w:tc>
          <w:tcPr>
            <w:tcW w:w="1272" w:type="dxa"/>
            <w:noWrap/>
          </w:tcPr>
          <w:p w14:paraId="19874B92" w14:textId="75F8F1B1"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0,89</w:t>
            </w:r>
          </w:p>
        </w:tc>
        <w:tc>
          <w:tcPr>
            <w:tcW w:w="851" w:type="dxa"/>
            <w:noWrap/>
          </w:tcPr>
          <w:p w14:paraId="766AE738" w14:textId="0BA31D00" w:rsidR="00CE37FB" w:rsidRPr="00B6543F" w:rsidRDefault="00CE37FB" w:rsidP="00CE37FB">
            <w:pPr>
              <w:pStyle w:val="Tabletext"/>
              <w:jc w:val="center"/>
              <w:rPr>
                <w:rFonts w:eastAsia="Yu Gothic"/>
                <w:lang w:val="es-ES_tradnl" w:eastAsia="ja-JP"/>
              </w:rPr>
            </w:pPr>
            <w:r w:rsidRPr="00B6543F">
              <w:rPr>
                <w:rFonts w:eastAsia="Yu Gothic"/>
                <w:lang w:val="es-ES_tradnl"/>
              </w:rPr>
              <w:t>149,52</w:t>
            </w:r>
          </w:p>
        </w:tc>
        <w:tc>
          <w:tcPr>
            <w:tcW w:w="1077" w:type="dxa"/>
            <w:noWrap/>
          </w:tcPr>
          <w:p w14:paraId="7E353E9C" w14:textId="06276AB5"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3 425,63</w:t>
            </w:r>
          </w:p>
        </w:tc>
        <w:tc>
          <w:tcPr>
            <w:tcW w:w="939" w:type="dxa"/>
            <w:noWrap/>
          </w:tcPr>
          <w:p w14:paraId="5BAFDCD5" w14:textId="67EDD4C4" w:rsidR="00CE37FB" w:rsidRPr="00B6543F" w:rsidRDefault="00CE37FB" w:rsidP="00CE37FB">
            <w:pPr>
              <w:pStyle w:val="Tabletext"/>
              <w:jc w:val="center"/>
              <w:rPr>
                <w:rFonts w:eastAsia="Yu Gothic"/>
                <w:lang w:val="es-ES_tradnl" w:eastAsia="ja-JP"/>
              </w:rPr>
            </w:pPr>
            <w:r w:rsidRPr="00B6543F">
              <w:rPr>
                <w:rFonts w:eastAsia="Yu Gothic"/>
                <w:lang w:val="es-ES_tradnl"/>
              </w:rPr>
              <w:t>476,71</w:t>
            </w:r>
          </w:p>
        </w:tc>
      </w:tr>
      <w:tr w:rsidR="00CE37FB" w:rsidRPr="00B6543F" w14:paraId="3B62114F" w14:textId="77777777" w:rsidTr="00CE37FB">
        <w:trPr>
          <w:trHeight w:val="390"/>
          <w:jc w:val="center"/>
        </w:trPr>
        <w:tc>
          <w:tcPr>
            <w:tcW w:w="794" w:type="dxa"/>
            <w:noWrap/>
            <w:hideMark/>
          </w:tcPr>
          <w:p w14:paraId="18ABA546" w14:textId="1A9EAF36"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400</w:t>
            </w:r>
          </w:p>
        </w:tc>
        <w:tc>
          <w:tcPr>
            <w:tcW w:w="1305" w:type="dxa"/>
            <w:noWrap/>
            <w:hideMark/>
          </w:tcPr>
          <w:p w14:paraId="0BF02CB3" w14:textId="29565031"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0,38</w:t>
            </w:r>
          </w:p>
        </w:tc>
        <w:tc>
          <w:tcPr>
            <w:tcW w:w="850" w:type="dxa"/>
            <w:noWrap/>
            <w:hideMark/>
          </w:tcPr>
          <w:p w14:paraId="17EF8055" w14:textId="4A37D48F" w:rsidR="00CE37FB" w:rsidRPr="00B6543F" w:rsidRDefault="00CE37FB" w:rsidP="00CE37FB">
            <w:pPr>
              <w:pStyle w:val="Tabletext"/>
              <w:jc w:val="center"/>
              <w:rPr>
                <w:rFonts w:eastAsia="Yu Gothic"/>
                <w:lang w:val="es-ES_tradnl" w:eastAsia="ja-JP"/>
              </w:rPr>
            </w:pPr>
            <w:r w:rsidRPr="00B6543F">
              <w:rPr>
                <w:rFonts w:eastAsia="Yu Gothic"/>
                <w:lang w:val="es-ES_tradnl"/>
              </w:rPr>
              <w:t>20,06</w:t>
            </w:r>
          </w:p>
        </w:tc>
        <w:tc>
          <w:tcPr>
            <w:tcW w:w="850" w:type="dxa"/>
            <w:noWrap/>
            <w:hideMark/>
          </w:tcPr>
          <w:p w14:paraId="5A1B0449" w14:textId="353AA4CC"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27,05</w:t>
            </w:r>
          </w:p>
        </w:tc>
        <w:tc>
          <w:tcPr>
            <w:tcW w:w="851" w:type="dxa"/>
            <w:noWrap/>
            <w:hideMark/>
          </w:tcPr>
          <w:p w14:paraId="59804254" w14:textId="5F50CF6E" w:rsidR="00CE37FB" w:rsidRPr="00B6543F" w:rsidRDefault="00CE37FB" w:rsidP="00CE37FB">
            <w:pPr>
              <w:pStyle w:val="Tabletext"/>
              <w:jc w:val="center"/>
              <w:rPr>
                <w:rFonts w:eastAsia="Yu Gothic"/>
                <w:lang w:val="es-ES_tradnl" w:eastAsia="ja-JP"/>
              </w:rPr>
            </w:pPr>
            <w:r w:rsidRPr="00B6543F">
              <w:rPr>
                <w:rFonts w:eastAsia="Yu Gothic"/>
                <w:lang w:val="es-ES_tradnl"/>
              </w:rPr>
              <w:t>26,83</w:t>
            </w:r>
          </w:p>
        </w:tc>
        <w:tc>
          <w:tcPr>
            <w:tcW w:w="850" w:type="dxa"/>
            <w:noWrap/>
          </w:tcPr>
          <w:p w14:paraId="287D7A3E" w14:textId="4046ABAE"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860</w:t>
            </w:r>
          </w:p>
        </w:tc>
        <w:tc>
          <w:tcPr>
            <w:tcW w:w="1272" w:type="dxa"/>
            <w:noWrap/>
          </w:tcPr>
          <w:p w14:paraId="70C75B50" w14:textId="75E8B9BD"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0,91</w:t>
            </w:r>
          </w:p>
        </w:tc>
        <w:tc>
          <w:tcPr>
            <w:tcW w:w="851" w:type="dxa"/>
            <w:noWrap/>
          </w:tcPr>
          <w:p w14:paraId="2B06EE25" w14:textId="06EFF7EF" w:rsidR="00CE37FB" w:rsidRPr="00B6543F" w:rsidRDefault="00CE37FB" w:rsidP="00CE37FB">
            <w:pPr>
              <w:pStyle w:val="Tabletext"/>
              <w:jc w:val="center"/>
              <w:rPr>
                <w:rFonts w:eastAsia="Yu Gothic"/>
                <w:lang w:val="es-ES_tradnl" w:eastAsia="ja-JP"/>
              </w:rPr>
            </w:pPr>
            <w:r w:rsidRPr="00B6543F">
              <w:rPr>
                <w:rFonts w:eastAsia="Yu Gothic"/>
                <w:lang w:val="es-ES_tradnl"/>
              </w:rPr>
              <w:t>158,93</w:t>
            </w:r>
          </w:p>
        </w:tc>
        <w:tc>
          <w:tcPr>
            <w:tcW w:w="1077" w:type="dxa"/>
            <w:noWrap/>
          </w:tcPr>
          <w:p w14:paraId="43EAD270" w14:textId="11BE598C"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4 233,32</w:t>
            </w:r>
          </w:p>
        </w:tc>
        <w:tc>
          <w:tcPr>
            <w:tcW w:w="939" w:type="dxa"/>
            <w:noWrap/>
          </w:tcPr>
          <w:p w14:paraId="2297FA17" w14:textId="553B75ED" w:rsidR="00CE37FB" w:rsidRPr="00B6543F" w:rsidRDefault="00CE37FB" w:rsidP="00CE37FB">
            <w:pPr>
              <w:pStyle w:val="Tabletext"/>
              <w:jc w:val="center"/>
              <w:rPr>
                <w:rFonts w:eastAsia="Yu Gothic"/>
                <w:lang w:val="es-ES_tradnl" w:eastAsia="ja-JP"/>
              </w:rPr>
            </w:pPr>
            <w:r w:rsidRPr="00B6543F">
              <w:rPr>
                <w:rFonts w:eastAsia="Yu Gothic"/>
                <w:lang w:val="es-ES_tradnl"/>
              </w:rPr>
              <w:t>552,13</w:t>
            </w:r>
          </w:p>
        </w:tc>
      </w:tr>
      <w:tr w:rsidR="00CE37FB" w:rsidRPr="00B6543F" w14:paraId="478AFB60" w14:textId="77777777" w:rsidTr="00CE37FB">
        <w:trPr>
          <w:trHeight w:val="390"/>
          <w:jc w:val="center"/>
        </w:trPr>
        <w:tc>
          <w:tcPr>
            <w:tcW w:w="794" w:type="dxa"/>
            <w:noWrap/>
            <w:hideMark/>
          </w:tcPr>
          <w:p w14:paraId="3C3ECC15" w14:textId="49CDBEC0"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420</w:t>
            </w:r>
          </w:p>
        </w:tc>
        <w:tc>
          <w:tcPr>
            <w:tcW w:w="1305" w:type="dxa"/>
            <w:noWrap/>
            <w:hideMark/>
          </w:tcPr>
          <w:p w14:paraId="502806F0" w14:textId="40D4A1B8"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0,41</w:t>
            </w:r>
          </w:p>
        </w:tc>
        <w:tc>
          <w:tcPr>
            <w:tcW w:w="850" w:type="dxa"/>
            <w:noWrap/>
            <w:hideMark/>
          </w:tcPr>
          <w:p w14:paraId="2A9EFFB4" w14:textId="76B6D263" w:rsidR="00CE37FB" w:rsidRPr="00B6543F" w:rsidRDefault="00CE37FB" w:rsidP="00CE37FB">
            <w:pPr>
              <w:pStyle w:val="Tabletext"/>
              <w:jc w:val="center"/>
              <w:rPr>
                <w:rFonts w:eastAsia="Yu Gothic"/>
                <w:lang w:val="es-ES_tradnl" w:eastAsia="ja-JP"/>
              </w:rPr>
            </w:pPr>
            <w:r w:rsidRPr="00B6543F">
              <w:rPr>
                <w:rFonts w:eastAsia="Yu Gothic"/>
                <w:lang w:val="es-ES_tradnl"/>
              </w:rPr>
              <w:t>23,04</w:t>
            </w:r>
          </w:p>
        </w:tc>
        <w:tc>
          <w:tcPr>
            <w:tcW w:w="850" w:type="dxa"/>
            <w:noWrap/>
            <w:hideMark/>
          </w:tcPr>
          <w:p w14:paraId="30C4600D" w14:textId="6EC8CE8F"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34,80</w:t>
            </w:r>
          </w:p>
        </w:tc>
        <w:tc>
          <w:tcPr>
            <w:tcW w:w="851" w:type="dxa"/>
            <w:noWrap/>
            <w:hideMark/>
          </w:tcPr>
          <w:p w14:paraId="78A5AD62" w14:textId="00F03A9C" w:rsidR="00CE37FB" w:rsidRPr="00B6543F" w:rsidRDefault="00CE37FB" w:rsidP="00CE37FB">
            <w:pPr>
              <w:pStyle w:val="Tabletext"/>
              <w:jc w:val="center"/>
              <w:rPr>
                <w:rFonts w:eastAsia="Yu Gothic"/>
                <w:lang w:val="es-ES_tradnl" w:eastAsia="ja-JP"/>
              </w:rPr>
            </w:pPr>
            <w:r w:rsidRPr="00B6543F">
              <w:rPr>
                <w:rFonts w:eastAsia="Yu Gothic"/>
                <w:lang w:val="es-ES_tradnl"/>
              </w:rPr>
              <w:t>30,83</w:t>
            </w:r>
          </w:p>
        </w:tc>
        <w:tc>
          <w:tcPr>
            <w:tcW w:w="850" w:type="dxa"/>
            <w:noWrap/>
          </w:tcPr>
          <w:p w14:paraId="06F98091" w14:textId="3152DD6F"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880</w:t>
            </w:r>
          </w:p>
        </w:tc>
        <w:tc>
          <w:tcPr>
            <w:tcW w:w="1272" w:type="dxa"/>
            <w:noWrap/>
          </w:tcPr>
          <w:p w14:paraId="2CC5E6CF" w14:textId="1D5475EC"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0,93</w:t>
            </w:r>
          </w:p>
        </w:tc>
        <w:tc>
          <w:tcPr>
            <w:tcW w:w="851" w:type="dxa"/>
            <w:noWrap/>
          </w:tcPr>
          <w:p w14:paraId="3F346C84" w14:textId="4D2637BE" w:rsidR="00CE37FB" w:rsidRPr="00B6543F" w:rsidRDefault="00CE37FB" w:rsidP="00CE37FB">
            <w:pPr>
              <w:pStyle w:val="Tabletext"/>
              <w:jc w:val="center"/>
              <w:rPr>
                <w:rFonts w:eastAsia="Yu Gothic"/>
                <w:lang w:val="es-ES_tradnl" w:eastAsia="ja-JP"/>
              </w:rPr>
            </w:pPr>
            <w:r w:rsidRPr="00B6543F">
              <w:rPr>
                <w:rFonts w:eastAsia="Yu Gothic"/>
                <w:lang w:val="es-ES_tradnl"/>
              </w:rPr>
              <w:t>168,69</w:t>
            </w:r>
          </w:p>
        </w:tc>
        <w:tc>
          <w:tcPr>
            <w:tcW w:w="1077" w:type="dxa"/>
            <w:noWrap/>
          </w:tcPr>
          <w:p w14:paraId="5933CB35" w14:textId="6E9701D7"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5 237,10</w:t>
            </w:r>
          </w:p>
        </w:tc>
        <w:tc>
          <w:tcPr>
            <w:tcW w:w="939" w:type="dxa"/>
            <w:noWrap/>
          </w:tcPr>
          <w:p w14:paraId="3307A67E" w14:textId="4098A412" w:rsidR="00CE37FB" w:rsidRPr="00B6543F" w:rsidRDefault="00CE37FB" w:rsidP="00CE37FB">
            <w:pPr>
              <w:pStyle w:val="Tabletext"/>
              <w:jc w:val="center"/>
              <w:rPr>
                <w:rFonts w:eastAsia="Yu Gothic"/>
                <w:lang w:val="es-ES_tradnl" w:eastAsia="ja-JP"/>
              </w:rPr>
            </w:pPr>
            <w:r w:rsidRPr="00B6543F">
              <w:rPr>
                <w:rFonts w:eastAsia="Yu Gothic"/>
                <w:lang w:val="es-ES_tradnl"/>
              </w:rPr>
              <w:t>639,93</w:t>
            </w:r>
          </w:p>
        </w:tc>
      </w:tr>
      <w:tr w:rsidR="00CE37FB" w:rsidRPr="00B6543F" w14:paraId="48684AC4" w14:textId="77777777" w:rsidTr="00CE37FB">
        <w:trPr>
          <w:trHeight w:val="390"/>
          <w:jc w:val="center"/>
        </w:trPr>
        <w:tc>
          <w:tcPr>
            <w:tcW w:w="794" w:type="dxa"/>
            <w:noWrap/>
            <w:hideMark/>
          </w:tcPr>
          <w:p w14:paraId="39DA7648" w14:textId="0111B676"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440</w:t>
            </w:r>
          </w:p>
        </w:tc>
        <w:tc>
          <w:tcPr>
            <w:tcW w:w="1305" w:type="dxa"/>
            <w:noWrap/>
            <w:hideMark/>
          </w:tcPr>
          <w:p w14:paraId="0CF86AEC" w14:textId="2B34EA4F"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0,43</w:t>
            </w:r>
          </w:p>
        </w:tc>
        <w:tc>
          <w:tcPr>
            <w:tcW w:w="850" w:type="dxa"/>
            <w:noWrap/>
            <w:hideMark/>
          </w:tcPr>
          <w:p w14:paraId="312A8D24" w14:textId="2D91BBE2" w:rsidR="00CE37FB" w:rsidRPr="00B6543F" w:rsidRDefault="00CE37FB" w:rsidP="00CE37FB">
            <w:pPr>
              <w:pStyle w:val="Tabletext"/>
              <w:jc w:val="center"/>
              <w:rPr>
                <w:rFonts w:eastAsia="Yu Gothic"/>
                <w:lang w:val="es-ES_tradnl" w:eastAsia="ja-JP"/>
              </w:rPr>
            </w:pPr>
            <w:r w:rsidRPr="00B6543F">
              <w:rPr>
                <w:rFonts w:eastAsia="Yu Gothic"/>
                <w:lang w:val="es-ES_tradnl"/>
              </w:rPr>
              <w:t>26,27</w:t>
            </w:r>
          </w:p>
        </w:tc>
        <w:tc>
          <w:tcPr>
            <w:tcW w:w="850" w:type="dxa"/>
            <w:noWrap/>
            <w:hideMark/>
          </w:tcPr>
          <w:p w14:paraId="48757AC4" w14:textId="4C9EFADE"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44,48</w:t>
            </w:r>
          </w:p>
        </w:tc>
        <w:tc>
          <w:tcPr>
            <w:tcW w:w="851" w:type="dxa"/>
            <w:noWrap/>
            <w:hideMark/>
          </w:tcPr>
          <w:p w14:paraId="5DF37F21" w14:textId="5FB328D9" w:rsidR="00CE37FB" w:rsidRPr="00B6543F" w:rsidRDefault="00CE37FB" w:rsidP="00CE37FB">
            <w:pPr>
              <w:pStyle w:val="Tabletext"/>
              <w:jc w:val="center"/>
              <w:rPr>
                <w:rFonts w:eastAsia="Yu Gothic"/>
                <w:lang w:val="es-ES_tradnl" w:eastAsia="ja-JP"/>
              </w:rPr>
            </w:pPr>
            <w:r w:rsidRPr="00B6543F">
              <w:rPr>
                <w:rFonts w:eastAsia="Yu Gothic"/>
                <w:lang w:val="es-ES_tradnl"/>
              </w:rPr>
              <w:t>35,15</w:t>
            </w:r>
          </w:p>
        </w:tc>
        <w:tc>
          <w:tcPr>
            <w:tcW w:w="850" w:type="dxa"/>
            <w:noWrap/>
          </w:tcPr>
          <w:p w14:paraId="6160EB3B" w14:textId="7B2C1396"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900</w:t>
            </w:r>
          </w:p>
        </w:tc>
        <w:tc>
          <w:tcPr>
            <w:tcW w:w="1272" w:type="dxa"/>
            <w:noWrap/>
          </w:tcPr>
          <w:p w14:paraId="5E2D12E5" w14:textId="27B77C30"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0,95</w:t>
            </w:r>
          </w:p>
        </w:tc>
        <w:tc>
          <w:tcPr>
            <w:tcW w:w="851" w:type="dxa"/>
            <w:noWrap/>
          </w:tcPr>
          <w:p w14:paraId="023ABA94" w14:textId="138CBCC1" w:rsidR="00CE37FB" w:rsidRPr="00B6543F" w:rsidRDefault="00CE37FB" w:rsidP="00CE37FB">
            <w:pPr>
              <w:pStyle w:val="Tabletext"/>
              <w:jc w:val="center"/>
              <w:rPr>
                <w:rFonts w:eastAsia="Yu Gothic"/>
                <w:lang w:val="es-ES_tradnl" w:eastAsia="ja-JP"/>
              </w:rPr>
            </w:pPr>
            <w:r w:rsidRPr="00B6543F">
              <w:rPr>
                <w:rFonts w:eastAsia="Yu Gothic"/>
                <w:lang w:val="es-ES_tradnl"/>
              </w:rPr>
              <w:t>178,78</w:t>
            </w:r>
          </w:p>
        </w:tc>
        <w:tc>
          <w:tcPr>
            <w:tcW w:w="1077" w:type="dxa"/>
            <w:noWrap/>
          </w:tcPr>
          <w:p w14:paraId="22147C03" w14:textId="2C4464BA"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6 487,17</w:t>
            </w:r>
          </w:p>
        </w:tc>
        <w:tc>
          <w:tcPr>
            <w:tcW w:w="939" w:type="dxa"/>
            <w:noWrap/>
          </w:tcPr>
          <w:p w14:paraId="06E63412" w14:textId="5C2CD19F" w:rsidR="00CE37FB" w:rsidRPr="00B6543F" w:rsidRDefault="00CE37FB" w:rsidP="00CE37FB">
            <w:pPr>
              <w:pStyle w:val="Tabletext"/>
              <w:jc w:val="center"/>
              <w:rPr>
                <w:rFonts w:eastAsia="Yu Gothic"/>
                <w:lang w:val="es-ES_tradnl" w:eastAsia="ja-JP"/>
              </w:rPr>
            </w:pPr>
            <w:r w:rsidRPr="00B6543F">
              <w:rPr>
                <w:rFonts w:eastAsia="Yu Gothic"/>
                <w:lang w:val="es-ES_tradnl"/>
              </w:rPr>
              <w:t>742,19</w:t>
            </w:r>
          </w:p>
        </w:tc>
      </w:tr>
      <w:tr w:rsidR="00CE37FB" w:rsidRPr="00B6543F" w14:paraId="6573DF94" w14:textId="77777777" w:rsidTr="00CE37FB">
        <w:trPr>
          <w:trHeight w:val="390"/>
          <w:jc w:val="center"/>
        </w:trPr>
        <w:tc>
          <w:tcPr>
            <w:tcW w:w="794" w:type="dxa"/>
            <w:noWrap/>
            <w:hideMark/>
          </w:tcPr>
          <w:p w14:paraId="64090BD4" w14:textId="50C3D389"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460</w:t>
            </w:r>
          </w:p>
        </w:tc>
        <w:tc>
          <w:tcPr>
            <w:tcW w:w="1305" w:type="dxa"/>
            <w:noWrap/>
            <w:hideMark/>
          </w:tcPr>
          <w:p w14:paraId="4A17C0EC" w14:textId="544BF92E"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0,45</w:t>
            </w:r>
          </w:p>
        </w:tc>
        <w:tc>
          <w:tcPr>
            <w:tcW w:w="850" w:type="dxa"/>
            <w:noWrap/>
            <w:hideMark/>
          </w:tcPr>
          <w:p w14:paraId="0C50EFB6" w14:textId="6D1D1878" w:rsidR="00CE37FB" w:rsidRPr="00B6543F" w:rsidRDefault="00CE37FB" w:rsidP="00CE37FB">
            <w:pPr>
              <w:pStyle w:val="Tabletext"/>
              <w:jc w:val="center"/>
              <w:rPr>
                <w:rFonts w:eastAsia="Yu Gothic"/>
                <w:lang w:val="es-ES_tradnl" w:eastAsia="ja-JP"/>
              </w:rPr>
            </w:pPr>
            <w:r w:rsidRPr="00B6543F">
              <w:rPr>
                <w:rFonts w:eastAsia="Yu Gothic"/>
                <w:lang w:val="es-ES_tradnl"/>
              </w:rPr>
              <w:t>29,75</w:t>
            </w:r>
          </w:p>
        </w:tc>
        <w:tc>
          <w:tcPr>
            <w:tcW w:w="850" w:type="dxa"/>
            <w:noWrap/>
            <w:hideMark/>
          </w:tcPr>
          <w:p w14:paraId="1808C1A8" w14:textId="1C21E320"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56,55</w:t>
            </w:r>
          </w:p>
        </w:tc>
        <w:tc>
          <w:tcPr>
            <w:tcW w:w="851" w:type="dxa"/>
            <w:noWrap/>
            <w:hideMark/>
          </w:tcPr>
          <w:p w14:paraId="22FA07C6" w14:textId="04E4CDAD" w:rsidR="00CE37FB" w:rsidRPr="00B6543F" w:rsidRDefault="00CE37FB" w:rsidP="00CE37FB">
            <w:pPr>
              <w:pStyle w:val="Tabletext"/>
              <w:jc w:val="center"/>
              <w:rPr>
                <w:rFonts w:eastAsia="Yu Gothic"/>
                <w:lang w:val="es-ES_tradnl" w:eastAsia="ja-JP"/>
              </w:rPr>
            </w:pPr>
            <w:r w:rsidRPr="00B6543F">
              <w:rPr>
                <w:rFonts w:eastAsia="Yu Gothic"/>
                <w:lang w:val="es-ES_tradnl"/>
              </w:rPr>
              <w:t>39,80</w:t>
            </w:r>
          </w:p>
        </w:tc>
        <w:tc>
          <w:tcPr>
            <w:tcW w:w="850" w:type="dxa"/>
            <w:noWrap/>
          </w:tcPr>
          <w:p w14:paraId="6D09042E" w14:textId="6B29E7F3"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920</w:t>
            </w:r>
          </w:p>
        </w:tc>
        <w:tc>
          <w:tcPr>
            <w:tcW w:w="1272" w:type="dxa"/>
            <w:noWrap/>
          </w:tcPr>
          <w:p w14:paraId="0DF23CF8" w14:textId="3C26998A"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0,98</w:t>
            </w:r>
          </w:p>
        </w:tc>
        <w:tc>
          <w:tcPr>
            <w:tcW w:w="851" w:type="dxa"/>
            <w:noWrap/>
          </w:tcPr>
          <w:p w14:paraId="2119AB12" w14:textId="511D6916" w:rsidR="00CE37FB" w:rsidRPr="00B6543F" w:rsidRDefault="00CE37FB" w:rsidP="00CE37FB">
            <w:pPr>
              <w:pStyle w:val="Tabletext"/>
              <w:jc w:val="center"/>
              <w:rPr>
                <w:rFonts w:eastAsia="Yu Gothic"/>
                <w:lang w:val="es-ES_tradnl" w:eastAsia="ja-JP"/>
              </w:rPr>
            </w:pPr>
            <w:r w:rsidRPr="00B6543F">
              <w:rPr>
                <w:rFonts w:eastAsia="Yu Gothic"/>
                <w:lang w:val="es-ES_tradnl"/>
              </w:rPr>
              <w:t>189,22</w:t>
            </w:r>
          </w:p>
        </w:tc>
        <w:tc>
          <w:tcPr>
            <w:tcW w:w="1077" w:type="dxa"/>
            <w:noWrap/>
          </w:tcPr>
          <w:p w14:paraId="70C4951F" w14:textId="11FC8C60"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8 047,52</w:t>
            </w:r>
          </w:p>
        </w:tc>
        <w:tc>
          <w:tcPr>
            <w:tcW w:w="939" w:type="dxa"/>
            <w:noWrap/>
          </w:tcPr>
          <w:p w14:paraId="4099C052" w14:textId="002BB4C0" w:rsidR="00CE37FB" w:rsidRPr="00B6543F" w:rsidRDefault="00CE37FB" w:rsidP="00CE37FB">
            <w:pPr>
              <w:pStyle w:val="Tabletext"/>
              <w:jc w:val="center"/>
              <w:rPr>
                <w:rFonts w:eastAsia="Yu Gothic"/>
                <w:lang w:val="es-ES_tradnl" w:eastAsia="ja-JP"/>
              </w:rPr>
            </w:pPr>
            <w:r w:rsidRPr="00B6543F">
              <w:rPr>
                <w:rFonts w:eastAsia="Yu Gothic"/>
                <w:lang w:val="es-ES_tradnl"/>
              </w:rPr>
              <w:t>861,28</w:t>
            </w:r>
          </w:p>
        </w:tc>
      </w:tr>
      <w:tr w:rsidR="00CE37FB" w:rsidRPr="00B6543F" w14:paraId="5A1B0C7D" w14:textId="77777777" w:rsidTr="00CE37FB">
        <w:trPr>
          <w:trHeight w:val="390"/>
          <w:jc w:val="center"/>
        </w:trPr>
        <w:tc>
          <w:tcPr>
            <w:tcW w:w="794" w:type="dxa"/>
            <w:noWrap/>
            <w:hideMark/>
          </w:tcPr>
          <w:p w14:paraId="29553025" w14:textId="53340D09"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480</w:t>
            </w:r>
          </w:p>
        </w:tc>
        <w:tc>
          <w:tcPr>
            <w:tcW w:w="1305" w:type="dxa"/>
            <w:noWrap/>
            <w:hideMark/>
          </w:tcPr>
          <w:p w14:paraId="4424CD30" w14:textId="01C6A2E1"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0,47</w:t>
            </w:r>
          </w:p>
        </w:tc>
        <w:tc>
          <w:tcPr>
            <w:tcW w:w="850" w:type="dxa"/>
            <w:noWrap/>
            <w:hideMark/>
          </w:tcPr>
          <w:p w14:paraId="52E08ACB" w14:textId="46F5E592" w:rsidR="00CE37FB" w:rsidRPr="00B6543F" w:rsidRDefault="00CE37FB" w:rsidP="00CE37FB">
            <w:pPr>
              <w:pStyle w:val="Tabletext"/>
              <w:jc w:val="center"/>
              <w:rPr>
                <w:rFonts w:eastAsia="Yu Gothic"/>
                <w:lang w:val="es-ES_tradnl" w:eastAsia="ja-JP"/>
              </w:rPr>
            </w:pPr>
            <w:r w:rsidRPr="00B6543F">
              <w:rPr>
                <w:rFonts w:eastAsia="Yu Gothic"/>
                <w:lang w:val="es-ES_tradnl"/>
              </w:rPr>
              <w:t>33,48</w:t>
            </w:r>
          </w:p>
        </w:tc>
        <w:tc>
          <w:tcPr>
            <w:tcW w:w="850" w:type="dxa"/>
            <w:noWrap/>
            <w:hideMark/>
          </w:tcPr>
          <w:p w14:paraId="0B397E38" w14:textId="38A41E44"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71,56</w:t>
            </w:r>
          </w:p>
        </w:tc>
        <w:tc>
          <w:tcPr>
            <w:tcW w:w="851" w:type="dxa"/>
            <w:noWrap/>
            <w:hideMark/>
          </w:tcPr>
          <w:p w14:paraId="37ABD01C" w14:textId="63CFACBA" w:rsidR="00CE37FB" w:rsidRPr="00B6543F" w:rsidRDefault="00CE37FB" w:rsidP="00CE37FB">
            <w:pPr>
              <w:pStyle w:val="Tabletext"/>
              <w:jc w:val="center"/>
              <w:rPr>
                <w:rFonts w:eastAsia="Yu Gothic"/>
                <w:lang w:val="es-ES_tradnl" w:eastAsia="ja-JP"/>
              </w:rPr>
            </w:pPr>
            <w:r w:rsidRPr="00B6543F">
              <w:rPr>
                <w:rFonts w:eastAsia="Yu Gothic"/>
                <w:lang w:val="es-ES_tradnl"/>
              </w:rPr>
              <w:t>44,80</w:t>
            </w:r>
          </w:p>
        </w:tc>
        <w:tc>
          <w:tcPr>
            <w:tcW w:w="850" w:type="dxa"/>
            <w:noWrap/>
          </w:tcPr>
          <w:p w14:paraId="555B8AA0" w14:textId="093F651F"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940</w:t>
            </w:r>
          </w:p>
        </w:tc>
        <w:tc>
          <w:tcPr>
            <w:tcW w:w="1272" w:type="dxa"/>
            <w:noWrap/>
          </w:tcPr>
          <w:p w14:paraId="33E20EC4" w14:textId="6E78CDDB"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1,00</w:t>
            </w:r>
          </w:p>
        </w:tc>
        <w:tc>
          <w:tcPr>
            <w:tcW w:w="851" w:type="dxa"/>
            <w:noWrap/>
          </w:tcPr>
          <w:p w14:paraId="025D4B99" w14:textId="25941D59" w:rsidR="00CE37FB" w:rsidRPr="00B6543F" w:rsidRDefault="00CE37FB" w:rsidP="00CE37FB">
            <w:pPr>
              <w:pStyle w:val="Tabletext"/>
              <w:jc w:val="center"/>
              <w:rPr>
                <w:rFonts w:eastAsia="Yu Gothic"/>
                <w:lang w:val="es-ES_tradnl" w:eastAsia="ja-JP"/>
              </w:rPr>
            </w:pPr>
            <w:r w:rsidRPr="00B6543F">
              <w:rPr>
                <w:rFonts w:eastAsia="Yu Gothic"/>
                <w:lang w:val="es-ES_tradnl"/>
              </w:rPr>
              <w:t>200,00</w:t>
            </w:r>
          </w:p>
        </w:tc>
        <w:tc>
          <w:tcPr>
            <w:tcW w:w="1077" w:type="dxa"/>
            <w:noWrap/>
          </w:tcPr>
          <w:p w14:paraId="5029F09E" w14:textId="4FDE7308"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10 000,00</w:t>
            </w:r>
          </w:p>
        </w:tc>
        <w:tc>
          <w:tcPr>
            <w:tcW w:w="939" w:type="dxa"/>
            <w:noWrap/>
          </w:tcPr>
          <w:p w14:paraId="7400B48A" w14:textId="45725757" w:rsidR="00CE37FB" w:rsidRPr="00B6543F" w:rsidRDefault="00CE37FB" w:rsidP="00CE37FB">
            <w:pPr>
              <w:pStyle w:val="Tabletext"/>
              <w:jc w:val="center"/>
              <w:rPr>
                <w:rFonts w:eastAsia="Yu Gothic"/>
                <w:lang w:val="es-ES_tradnl" w:eastAsia="ja-JP"/>
              </w:rPr>
            </w:pPr>
            <w:r w:rsidRPr="00B6543F">
              <w:rPr>
                <w:rFonts w:eastAsia="Yu Gothic"/>
                <w:lang w:val="es-ES_tradnl"/>
              </w:rPr>
              <w:t>1 000,00</w:t>
            </w:r>
          </w:p>
        </w:tc>
      </w:tr>
      <w:tr w:rsidR="00CE37FB" w:rsidRPr="00B6543F" w14:paraId="36188E0A" w14:textId="77777777" w:rsidTr="00CE37FB">
        <w:trPr>
          <w:trHeight w:val="390"/>
          <w:jc w:val="center"/>
        </w:trPr>
        <w:tc>
          <w:tcPr>
            <w:tcW w:w="794" w:type="dxa"/>
            <w:tcBorders>
              <w:bottom w:val="single" w:sz="4" w:space="0" w:color="auto"/>
            </w:tcBorders>
            <w:noWrap/>
            <w:hideMark/>
          </w:tcPr>
          <w:p w14:paraId="5ABB0913" w14:textId="2421D9A2"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500</w:t>
            </w:r>
          </w:p>
        </w:tc>
        <w:tc>
          <w:tcPr>
            <w:tcW w:w="1305" w:type="dxa"/>
            <w:tcBorders>
              <w:bottom w:val="single" w:sz="4" w:space="0" w:color="auto"/>
            </w:tcBorders>
            <w:noWrap/>
            <w:hideMark/>
          </w:tcPr>
          <w:p w14:paraId="54580CCC" w14:textId="39C56029"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0,50</w:t>
            </w:r>
          </w:p>
        </w:tc>
        <w:tc>
          <w:tcPr>
            <w:tcW w:w="850" w:type="dxa"/>
            <w:tcBorders>
              <w:bottom w:val="single" w:sz="4" w:space="0" w:color="auto"/>
            </w:tcBorders>
            <w:noWrap/>
            <w:hideMark/>
          </w:tcPr>
          <w:p w14:paraId="50EFC15B" w14:textId="73F2629E" w:rsidR="00CE37FB" w:rsidRPr="00B6543F" w:rsidRDefault="00CE37FB" w:rsidP="00CE37FB">
            <w:pPr>
              <w:pStyle w:val="Tabletext"/>
              <w:jc w:val="center"/>
              <w:rPr>
                <w:rFonts w:eastAsia="Yu Gothic"/>
                <w:lang w:val="es-ES_tradnl" w:eastAsia="ja-JP"/>
              </w:rPr>
            </w:pPr>
            <w:r w:rsidRPr="00B6543F">
              <w:rPr>
                <w:rFonts w:eastAsia="Yu Gothic"/>
                <w:lang w:val="es-ES_tradnl"/>
              </w:rPr>
              <w:t>37,48</w:t>
            </w:r>
          </w:p>
        </w:tc>
        <w:tc>
          <w:tcPr>
            <w:tcW w:w="850" w:type="dxa"/>
            <w:tcBorders>
              <w:bottom w:val="single" w:sz="4" w:space="0" w:color="auto"/>
            </w:tcBorders>
            <w:noWrap/>
            <w:hideMark/>
          </w:tcPr>
          <w:p w14:paraId="18D99255" w14:textId="7FA03536" w:rsidR="00CE37FB" w:rsidRPr="00B6543F" w:rsidRDefault="00CE37FB" w:rsidP="00CE37FB">
            <w:pPr>
              <w:pStyle w:val="Tabletext"/>
              <w:jc w:val="center"/>
              <w:rPr>
                <w:rFonts w:eastAsia="Yu Gothic"/>
                <w:lang w:val="es-ES_tradnl" w:eastAsia="ja-JP"/>
              </w:rPr>
            </w:pPr>
            <w:r w:rsidRPr="00B6543F">
              <w:rPr>
                <w:rFonts w:eastAsia="Yu Gothic"/>
                <w:lang w:val="es-ES_tradnl" w:eastAsia="ja-JP"/>
              </w:rPr>
              <w:t>90,16</w:t>
            </w:r>
          </w:p>
        </w:tc>
        <w:tc>
          <w:tcPr>
            <w:tcW w:w="851" w:type="dxa"/>
            <w:tcBorders>
              <w:bottom w:val="single" w:sz="4" w:space="0" w:color="auto"/>
            </w:tcBorders>
            <w:noWrap/>
            <w:hideMark/>
          </w:tcPr>
          <w:p w14:paraId="6DCF8B49" w14:textId="1C664861" w:rsidR="00CE37FB" w:rsidRPr="00B6543F" w:rsidRDefault="00CE37FB" w:rsidP="00CE37FB">
            <w:pPr>
              <w:pStyle w:val="Tabletext"/>
              <w:jc w:val="center"/>
              <w:rPr>
                <w:rFonts w:eastAsia="Yu Gothic"/>
                <w:lang w:val="es-ES_tradnl" w:eastAsia="ja-JP"/>
              </w:rPr>
            </w:pPr>
            <w:r w:rsidRPr="00B6543F">
              <w:rPr>
                <w:rFonts w:eastAsia="Yu Gothic"/>
                <w:lang w:val="es-ES_tradnl"/>
              </w:rPr>
              <w:t>50,14</w:t>
            </w:r>
          </w:p>
        </w:tc>
        <w:tc>
          <w:tcPr>
            <w:tcW w:w="850" w:type="dxa"/>
            <w:tcBorders>
              <w:bottom w:val="single" w:sz="4" w:space="0" w:color="auto"/>
            </w:tcBorders>
            <w:noWrap/>
          </w:tcPr>
          <w:p w14:paraId="4E1F6981" w14:textId="77777777" w:rsidR="00CE37FB" w:rsidRPr="00B6543F" w:rsidRDefault="00CE37FB" w:rsidP="00CE37FB">
            <w:pPr>
              <w:pStyle w:val="Tabletext"/>
              <w:jc w:val="center"/>
              <w:rPr>
                <w:rFonts w:eastAsia="Yu Gothic"/>
                <w:lang w:val="es-ES_tradnl" w:eastAsia="ja-JP"/>
              </w:rPr>
            </w:pPr>
          </w:p>
        </w:tc>
        <w:tc>
          <w:tcPr>
            <w:tcW w:w="1272" w:type="dxa"/>
            <w:tcBorders>
              <w:bottom w:val="single" w:sz="4" w:space="0" w:color="auto"/>
            </w:tcBorders>
            <w:noWrap/>
          </w:tcPr>
          <w:p w14:paraId="261F489D" w14:textId="77777777" w:rsidR="00CE37FB" w:rsidRPr="00B6543F" w:rsidRDefault="00CE37FB" w:rsidP="00CE37FB">
            <w:pPr>
              <w:pStyle w:val="Tabletext"/>
              <w:jc w:val="center"/>
              <w:rPr>
                <w:rFonts w:eastAsia="Yu Gothic"/>
                <w:lang w:val="es-ES_tradnl" w:eastAsia="ja-JP"/>
              </w:rPr>
            </w:pPr>
          </w:p>
        </w:tc>
        <w:tc>
          <w:tcPr>
            <w:tcW w:w="851" w:type="dxa"/>
            <w:tcBorders>
              <w:bottom w:val="single" w:sz="4" w:space="0" w:color="auto"/>
            </w:tcBorders>
            <w:noWrap/>
          </w:tcPr>
          <w:p w14:paraId="19318535" w14:textId="77777777" w:rsidR="00CE37FB" w:rsidRPr="00B6543F" w:rsidRDefault="00CE37FB" w:rsidP="00CE37FB">
            <w:pPr>
              <w:pStyle w:val="Tabletext"/>
              <w:jc w:val="center"/>
              <w:rPr>
                <w:rFonts w:eastAsia="Yu Gothic"/>
                <w:lang w:val="es-ES_tradnl" w:eastAsia="ja-JP"/>
              </w:rPr>
            </w:pPr>
          </w:p>
        </w:tc>
        <w:tc>
          <w:tcPr>
            <w:tcW w:w="1077" w:type="dxa"/>
            <w:tcBorders>
              <w:bottom w:val="single" w:sz="4" w:space="0" w:color="auto"/>
            </w:tcBorders>
            <w:noWrap/>
          </w:tcPr>
          <w:p w14:paraId="1BCFF163" w14:textId="77777777" w:rsidR="00CE37FB" w:rsidRPr="00B6543F" w:rsidRDefault="00CE37FB" w:rsidP="00CE37FB">
            <w:pPr>
              <w:pStyle w:val="Tabletext"/>
              <w:jc w:val="center"/>
              <w:rPr>
                <w:rFonts w:eastAsia="Yu Gothic"/>
                <w:lang w:val="es-ES_tradnl" w:eastAsia="ja-JP"/>
              </w:rPr>
            </w:pPr>
          </w:p>
        </w:tc>
        <w:tc>
          <w:tcPr>
            <w:tcW w:w="939" w:type="dxa"/>
            <w:tcBorders>
              <w:bottom w:val="single" w:sz="4" w:space="0" w:color="auto"/>
            </w:tcBorders>
            <w:noWrap/>
          </w:tcPr>
          <w:p w14:paraId="136C201C" w14:textId="77777777" w:rsidR="00CE37FB" w:rsidRPr="00B6543F" w:rsidRDefault="00CE37FB" w:rsidP="00CE37FB">
            <w:pPr>
              <w:pStyle w:val="Tabletext"/>
              <w:jc w:val="center"/>
              <w:rPr>
                <w:rFonts w:eastAsia="Yu Gothic"/>
                <w:lang w:val="es-ES_tradnl" w:eastAsia="ja-JP"/>
              </w:rPr>
            </w:pPr>
          </w:p>
        </w:tc>
      </w:tr>
      <w:tr w:rsidR="00534021" w:rsidRPr="00B6543F" w14:paraId="1D695DF7" w14:textId="77777777" w:rsidTr="00CE37FB">
        <w:tblPrEx>
          <w:tblCellMar>
            <w:left w:w="108" w:type="dxa"/>
            <w:right w:w="108" w:type="dxa"/>
          </w:tblCellMar>
        </w:tblPrEx>
        <w:trPr>
          <w:trHeight w:val="390"/>
          <w:jc w:val="center"/>
        </w:trPr>
        <w:tc>
          <w:tcPr>
            <w:tcW w:w="9639" w:type="dxa"/>
            <w:gridSpan w:val="10"/>
            <w:tcBorders>
              <w:left w:val="nil"/>
              <w:bottom w:val="nil"/>
              <w:right w:val="nil"/>
            </w:tcBorders>
            <w:noWrap/>
          </w:tcPr>
          <w:p w14:paraId="670DF47D" w14:textId="7D238D4C" w:rsidR="00534021" w:rsidRPr="00B6543F" w:rsidRDefault="00534021" w:rsidP="00CE37FB">
            <w:pPr>
              <w:pStyle w:val="Tabletext"/>
              <w:rPr>
                <w:spacing w:val="-2"/>
                <w:lang w:val="es-ES_tradnl"/>
              </w:rPr>
            </w:pPr>
            <w:r w:rsidRPr="00B6543F">
              <w:rPr>
                <w:i/>
                <w:iCs/>
                <w:spacing w:val="-2"/>
                <w:lang w:val="es-ES_tradnl"/>
              </w:rPr>
              <w:t xml:space="preserve">Nota al Cuadro 1: </w:t>
            </w:r>
            <w:r w:rsidRPr="00B6543F">
              <w:rPr>
                <w:spacing w:val="-2"/>
                <w:lang w:val="es-ES_tradnl"/>
              </w:rPr>
              <w:t>Nivel de la señal de vídeo normalizado, negro en V = 0, a blanco en V = 1 (</w:t>
            </w:r>
            <w:r w:rsidR="00CE37FB" w:rsidRPr="00B6543F">
              <w:rPr>
                <w:spacing w:val="-2"/>
                <w:lang w:val="es-ES_tradnl"/>
              </w:rPr>
              <w:t>Recomendación</w:t>
            </w:r>
            <w:r w:rsidRPr="00B6543F">
              <w:rPr>
                <w:spacing w:val="-2"/>
                <w:lang w:val="es-ES_tradnl"/>
              </w:rPr>
              <w:t xml:space="preserve"> UIT-R BT.1886). Para el contenido indicado en la Recomendación UIT-R BT.709, los valores de código digital de 10 bits </w:t>
            </w:r>
            <w:r w:rsidR="00CE37FB" w:rsidRPr="00B6543F">
              <w:rPr>
                <w:lang w:val="es-ES_tradnl"/>
              </w:rPr>
              <w:t>«</w:t>
            </w:r>
            <w:r w:rsidRPr="00B6543F">
              <w:rPr>
                <w:spacing w:val="-2"/>
                <w:lang w:val="es-ES_tradnl"/>
              </w:rPr>
              <w:t>D</w:t>
            </w:r>
            <w:r w:rsidR="00CE37FB" w:rsidRPr="00B6543F">
              <w:rPr>
                <w:lang w:val="es-ES_tradnl"/>
              </w:rPr>
              <w:t>»</w:t>
            </w:r>
            <w:r w:rsidRPr="00B6543F">
              <w:rPr>
                <w:spacing w:val="-2"/>
                <w:lang w:val="es-ES_tradnl"/>
              </w:rPr>
              <w:t xml:space="preserve"> se hacen corresponder con V mediante la siguiente ecuación: </w:t>
            </w:r>
            <w:r w:rsidR="00CE37FB" w:rsidRPr="00B6543F">
              <w:rPr>
                <w:lang w:val="es-ES_tradnl"/>
              </w:rPr>
              <w:t>V = (</w:t>
            </w:r>
            <w:r w:rsidR="00CE37FB" w:rsidRPr="00B6543F">
              <w:rPr>
                <w:i/>
                <w:iCs/>
                <w:lang w:val="es-ES_tradnl"/>
              </w:rPr>
              <w:t>D</w:t>
            </w:r>
            <w:r w:rsidR="00CE37FB" w:rsidRPr="00B6543F">
              <w:rPr>
                <w:lang w:val="es-ES_tradnl"/>
              </w:rPr>
              <w:t>–64)/876.</w:t>
            </w:r>
          </w:p>
        </w:tc>
      </w:tr>
    </w:tbl>
    <w:p w14:paraId="6E469E8D" w14:textId="77777777" w:rsidR="00534021" w:rsidRPr="00B6543F" w:rsidRDefault="00534021" w:rsidP="00534021">
      <w:pPr>
        <w:pStyle w:val="Tablefin"/>
        <w:rPr>
          <w:lang w:val="es-ES_tradnl"/>
        </w:rPr>
      </w:pPr>
    </w:p>
    <w:p w14:paraId="263D6E8D" w14:textId="77777777" w:rsidR="00534021" w:rsidRPr="00B6543F" w:rsidRDefault="00534021" w:rsidP="00534021">
      <w:pPr>
        <w:pStyle w:val="FigureNo"/>
        <w:rPr>
          <w:lang w:val="es-ES_tradnl"/>
        </w:rPr>
      </w:pPr>
      <w:r w:rsidRPr="00B6543F">
        <w:rPr>
          <w:lang w:val="es-ES_tradnl"/>
        </w:rPr>
        <w:lastRenderedPageBreak/>
        <w:t>FigurA 3</w:t>
      </w:r>
    </w:p>
    <w:p w14:paraId="1DC6DD48" w14:textId="77777777" w:rsidR="00534021" w:rsidRPr="00B6543F" w:rsidRDefault="00534021" w:rsidP="00534021">
      <w:pPr>
        <w:pStyle w:val="Figuretitle"/>
        <w:rPr>
          <w:lang w:val="es-ES_tradnl"/>
        </w:rPr>
      </w:pPr>
      <w:r w:rsidRPr="00B6543F">
        <w:rPr>
          <w:lang w:val="es-ES_tradnl"/>
        </w:rPr>
        <w:t>Luminancia de pantalla en relación con el nivel de señal de vídeo</w:t>
      </w:r>
    </w:p>
    <w:p w14:paraId="7123E6A0" w14:textId="08AC5368" w:rsidR="00534021" w:rsidRPr="00B6543F" w:rsidRDefault="00CE37FB" w:rsidP="00CE37FB">
      <w:pPr>
        <w:pStyle w:val="Figure"/>
        <w:rPr>
          <w:lang w:val="es-ES_tradnl"/>
        </w:rPr>
      </w:pPr>
      <w:r w:rsidRPr="00B6543F">
        <w:rPr>
          <w:lang w:val="es-ES_tradnl"/>
        </w:rPr>
        <w:drawing>
          <wp:inline distT="0" distB="0" distL="0" distR="0" wp14:anchorId="56086C23" wp14:editId="18B753E3">
            <wp:extent cx="4980442" cy="3048006"/>
            <wp:effectExtent l="0" t="0" r="0" b="0"/>
            <wp:docPr id="1140698446" name="Picture 3"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698446" name="Picture 3" descr="A graph of a functi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980442" cy="3048006"/>
                    </a:xfrm>
                    <a:prstGeom prst="rect">
                      <a:avLst/>
                    </a:prstGeom>
                  </pic:spPr>
                </pic:pic>
              </a:graphicData>
            </a:graphic>
          </wp:inline>
        </w:drawing>
      </w:r>
    </w:p>
    <w:p w14:paraId="4EE15337" w14:textId="77777777" w:rsidR="00534021" w:rsidRPr="00B6543F" w:rsidRDefault="00534021" w:rsidP="00534021">
      <w:pPr>
        <w:pStyle w:val="Note"/>
        <w:keepLines/>
        <w:rPr>
          <w:lang w:val="es-ES_tradnl" w:eastAsia="ja-JP"/>
        </w:rPr>
      </w:pPr>
      <w:r w:rsidRPr="00B6543F">
        <w:rPr>
          <w:lang w:val="es-ES_tradnl" w:eastAsia="ja-JP"/>
        </w:rPr>
        <w:t>NOTA 1 – Un nivel de señal de luminancia con valor de código de 10 bits de 400 produce una luminancia de pantalla de 20,1 cd/m</w:t>
      </w:r>
      <w:r w:rsidRPr="00B6543F">
        <w:rPr>
          <w:vertAlign w:val="superscript"/>
          <w:lang w:val="es-ES_tradnl" w:eastAsia="ja-JP"/>
        </w:rPr>
        <w:t>2</w:t>
      </w:r>
      <w:r w:rsidRPr="00B6543F">
        <w:rPr>
          <w:lang w:val="es-ES_tradnl" w:eastAsia="ja-JP"/>
        </w:rPr>
        <w:t xml:space="preserve"> para SDR; de 377 produce 20,1 cd/m</w:t>
      </w:r>
      <w:r w:rsidRPr="00B6543F">
        <w:rPr>
          <w:vertAlign w:val="superscript"/>
          <w:lang w:val="es-ES_tradnl" w:eastAsia="ja-JP"/>
        </w:rPr>
        <w:t>2</w:t>
      </w:r>
      <w:r w:rsidRPr="00B6543F">
        <w:rPr>
          <w:lang w:val="es-ES_tradnl" w:eastAsia="ja-JP"/>
        </w:rPr>
        <w:t xml:space="preserve"> para PQ, y 362 produce 20,1 cd/m</w:t>
      </w:r>
      <w:r w:rsidRPr="00B6543F">
        <w:rPr>
          <w:vertAlign w:val="superscript"/>
          <w:lang w:val="es-ES_tradnl" w:eastAsia="ja-JP"/>
        </w:rPr>
        <w:t>2</w:t>
      </w:r>
      <w:r w:rsidRPr="00B6543F">
        <w:rPr>
          <w:lang w:val="es-ES_tradnl" w:eastAsia="ja-JP"/>
        </w:rPr>
        <w:t xml:space="preserve"> para HLG. Si la imagen más clara de una intermitencia o la imagen estática de carácter repetitivo se encuentra por encima de ese nivel, puede resultar perjudicial cuando la luminosidad producida entre las imágenes más claras y las más oscuras difiere en 20 cd/m</w:t>
      </w:r>
      <w:r w:rsidRPr="00B6543F">
        <w:rPr>
          <w:vertAlign w:val="superscript"/>
          <w:lang w:val="es-ES_tradnl" w:eastAsia="ja-JP"/>
        </w:rPr>
        <w:t>2</w:t>
      </w:r>
      <w:r w:rsidRPr="00B6543F">
        <w:rPr>
          <w:lang w:val="es-ES_tradnl" w:eastAsia="ja-JP"/>
        </w:rPr>
        <w:t xml:space="preserve"> o más.</w:t>
      </w:r>
    </w:p>
    <w:p w14:paraId="35424B69" w14:textId="77777777" w:rsidR="00534021" w:rsidRPr="00B6543F" w:rsidRDefault="00534021" w:rsidP="00534021">
      <w:pPr>
        <w:pStyle w:val="Note"/>
        <w:rPr>
          <w:lang w:val="es-ES_tradnl" w:eastAsia="ja-JP"/>
        </w:rPr>
      </w:pPr>
      <w:r w:rsidRPr="00B6543F">
        <w:rPr>
          <w:lang w:val="es-ES_tradnl" w:eastAsia="ja-JP"/>
        </w:rPr>
        <w:t>NOTA 2 – Un nivel de señal de luminancia con valor de código de 10 bits de 863 produce una luminancia de pantalla de 160,4 cd/m</w:t>
      </w:r>
      <w:r w:rsidRPr="00B6543F">
        <w:rPr>
          <w:vertAlign w:val="superscript"/>
          <w:lang w:val="es-ES_tradnl" w:eastAsia="ja-JP"/>
        </w:rPr>
        <w:t xml:space="preserve">2 </w:t>
      </w:r>
      <w:r w:rsidRPr="00B6543F">
        <w:rPr>
          <w:lang w:val="es-ES_tradnl" w:eastAsia="ja-JP"/>
        </w:rPr>
        <w:t>para SDR; de 552 produce 161,7 cd/m</w:t>
      </w:r>
      <w:r w:rsidRPr="00B6543F">
        <w:rPr>
          <w:vertAlign w:val="superscript"/>
          <w:lang w:val="es-ES_tradnl" w:eastAsia="ja-JP"/>
        </w:rPr>
        <w:t>2</w:t>
      </w:r>
      <w:r w:rsidRPr="00B6543F">
        <w:rPr>
          <w:lang w:val="es-ES_tradnl" w:eastAsia="ja-JP"/>
        </w:rPr>
        <w:t xml:space="preserve"> para PQ, y de 687 produce 160,7 cd/m</w:t>
      </w:r>
      <w:r w:rsidRPr="00B6543F">
        <w:rPr>
          <w:vertAlign w:val="superscript"/>
          <w:lang w:val="es-ES_tradnl" w:eastAsia="ja-JP"/>
        </w:rPr>
        <w:t>2</w:t>
      </w:r>
      <w:r w:rsidRPr="00B6543F">
        <w:rPr>
          <w:lang w:val="es-ES_tradnl" w:eastAsia="ja-JP"/>
        </w:rPr>
        <w:t xml:space="preserve"> para HLG. Si la imagen más oscura o la imagen estática de carácter repetitivo de una intermitencia se encuentra por debajo de ese nivel, puede resultar perjudicial cuando la luminosidad producida entre las imágenes más oscuras y las más claras difiere en 20 cd/m</w:t>
      </w:r>
      <w:r w:rsidRPr="00B6543F">
        <w:rPr>
          <w:vertAlign w:val="superscript"/>
          <w:lang w:val="es-ES_tradnl" w:eastAsia="ja-JP"/>
        </w:rPr>
        <w:t xml:space="preserve">2 </w:t>
      </w:r>
      <w:r w:rsidRPr="00B6543F">
        <w:rPr>
          <w:lang w:val="es-ES_tradnl" w:eastAsia="ja-JP"/>
        </w:rPr>
        <w:t>o más. Si la imagen más oscura o la imagen estática de carácter repetitivo de una intermitencia está por encima de ese nivel, será potencialmente peligrosa si la luminancia de pantalla tiene un contraste de luminancia Michelson igual o superior a 1/17.</w:t>
      </w:r>
    </w:p>
    <w:p w14:paraId="4B53BA3C" w14:textId="77777777" w:rsidR="00534021" w:rsidRPr="00B6543F" w:rsidRDefault="00534021" w:rsidP="00CE37FB">
      <w:pPr>
        <w:rPr>
          <w:lang w:val="es-ES_tradnl" w:eastAsia="ja-JP"/>
        </w:rPr>
      </w:pPr>
    </w:p>
    <w:p w14:paraId="661C6763" w14:textId="77777777" w:rsidR="00534021" w:rsidRPr="00B6543F" w:rsidRDefault="00534021" w:rsidP="00CE37FB">
      <w:pPr>
        <w:rPr>
          <w:lang w:val="es-ES_tradnl" w:eastAsia="ja-JP"/>
        </w:rPr>
      </w:pPr>
    </w:p>
    <w:p w14:paraId="6AB727C4" w14:textId="77777777" w:rsidR="00534021" w:rsidRPr="00B6543F" w:rsidRDefault="00534021" w:rsidP="00534021">
      <w:pPr>
        <w:pStyle w:val="AnnexNoTitle"/>
        <w:rPr>
          <w:lang w:val="es-ES_tradnl" w:eastAsia="ja-JP"/>
        </w:rPr>
      </w:pPr>
      <w:r w:rsidRPr="00B6543F">
        <w:rPr>
          <w:lang w:val="es-ES_tradnl" w:eastAsia="ja-JP"/>
        </w:rPr>
        <w:t>Anexo 3</w:t>
      </w:r>
      <w:r w:rsidRPr="00B6543F">
        <w:rPr>
          <w:lang w:val="es-ES_tradnl" w:eastAsia="ja-JP"/>
        </w:rPr>
        <w:br/>
      </w:r>
      <w:r w:rsidRPr="00B6543F">
        <w:rPr>
          <w:lang w:val="es-ES_tradnl" w:eastAsia="ja-JP"/>
        </w:rPr>
        <w:br/>
        <w:t>Ejemplo marco para una especificación de medición unificada</w:t>
      </w:r>
    </w:p>
    <w:p w14:paraId="0F7D6C23" w14:textId="77777777" w:rsidR="00534021" w:rsidRPr="00B6543F" w:rsidRDefault="00534021" w:rsidP="00534021">
      <w:pPr>
        <w:pStyle w:val="Normalaftertitle"/>
        <w:rPr>
          <w:lang w:val="es-ES_tradnl" w:eastAsia="ja-JP"/>
        </w:rPr>
      </w:pPr>
      <w:r w:rsidRPr="00B6543F">
        <w:rPr>
          <w:lang w:val="es-ES_tradnl" w:eastAsia="ja-JP"/>
        </w:rPr>
        <w:t>Los resultados de las mediciones realizadas para comprobar la conformidad con las directrices dependen de una serie de parámetros de medición. Dado que sería conveniente que para el intercambio internacional de programas se empleen especificaciones de medición coherentes a nivel mundial, será necesario estudiar con más detenimiento esta cuestión a fin de elaborar una especificación unificada que sea conforme con la directriz. El organigrama de flujo de la Fig. 4 constituye un ejemplo marco para elaborar una especificación de medición de esta índole. Será necesario definir esquemáticamente y en detalle cada bloque. Es probable que también se necesiten definiciones y criterios de detección más explícitos a la hora de elaborar las directrices sobre la utilización del color rojo saturado.</w:t>
      </w:r>
    </w:p>
    <w:p w14:paraId="59AA3DB3" w14:textId="77777777" w:rsidR="00534021" w:rsidRPr="00B6543F" w:rsidRDefault="00534021" w:rsidP="00534021">
      <w:pPr>
        <w:pStyle w:val="FigureNo"/>
        <w:rPr>
          <w:lang w:val="es-ES_tradnl" w:eastAsia="ja-JP"/>
        </w:rPr>
      </w:pPr>
      <w:r w:rsidRPr="00B6543F">
        <w:rPr>
          <w:lang w:val="es-ES_tradnl"/>
        </w:rPr>
        <w:lastRenderedPageBreak/>
        <w:t>FigurA</w:t>
      </w:r>
      <w:r w:rsidRPr="00B6543F">
        <w:rPr>
          <w:lang w:val="es-ES_tradnl" w:eastAsia="ja-JP"/>
        </w:rPr>
        <w:t xml:space="preserve"> 4</w:t>
      </w:r>
    </w:p>
    <w:p w14:paraId="730DE4B3" w14:textId="77777777" w:rsidR="00534021" w:rsidRPr="00B6543F" w:rsidRDefault="00534021" w:rsidP="00534021">
      <w:pPr>
        <w:pStyle w:val="Figuretitle"/>
        <w:rPr>
          <w:lang w:val="es-ES_tradnl"/>
        </w:rPr>
      </w:pPr>
      <w:r w:rsidRPr="00B6543F">
        <w:rPr>
          <w:lang w:val="es-ES_tradnl" w:eastAsia="ja-JP"/>
        </w:rPr>
        <w:t>Ejemplo marco para una especificación de medición unificada</w:t>
      </w:r>
    </w:p>
    <w:p w14:paraId="770B9DB6" w14:textId="4DAE09DC" w:rsidR="00534021" w:rsidRPr="00B6543F" w:rsidRDefault="00F96511" w:rsidP="00534021">
      <w:pPr>
        <w:pStyle w:val="Figure"/>
        <w:rPr>
          <w:lang w:val="es-ES_tradnl"/>
        </w:rPr>
      </w:pPr>
      <w:r w:rsidRPr="00B6543F">
        <w:rPr>
          <w:lang w:val="es-ES_tradnl"/>
        </w:rPr>
        <w:drawing>
          <wp:inline distT="0" distB="0" distL="0" distR="0" wp14:anchorId="28BD0DFF" wp14:editId="58882ACB">
            <wp:extent cx="5035306" cy="4715266"/>
            <wp:effectExtent l="0" t="0" r="0" b="9525"/>
            <wp:docPr id="758634355" name="Picture 4"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634355" name="Picture 4" descr="A diagram of a diagram&#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035306" cy="4715266"/>
                    </a:xfrm>
                    <a:prstGeom prst="rect">
                      <a:avLst/>
                    </a:prstGeom>
                  </pic:spPr>
                </pic:pic>
              </a:graphicData>
            </a:graphic>
          </wp:inline>
        </w:drawing>
      </w:r>
    </w:p>
    <w:p w14:paraId="13AE4488" w14:textId="77777777" w:rsidR="00534021" w:rsidRPr="00B6543F" w:rsidRDefault="00534021" w:rsidP="00CE37FB">
      <w:pPr>
        <w:rPr>
          <w:lang w:val="es-ES_tradnl" w:eastAsia="ja-JP"/>
        </w:rPr>
      </w:pPr>
    </w:p>
    <w:p w14:paraId="1F87E129" w14:textId="77777777" w:rsidR="00534021" w:rsidRPr="00B6543F" w:rsidRDefault="00534021" w:rsidP="00CE37FB">
      <w:pPr>
        <w:rPr>
          <w:lang w:val="es-ES_tradnl" w:eastAsia="ja-JP"/>
        </w:rPr>
      </w:pPr>
    </w:p>
    <w:p w14:paraId="3AD5ADDF" w14:textId="77777777" w:rsidR="00534021" w:rsidRPr="00B6543F" w:rsidRDefault="00534021" w:rsidP="00534021">
      <w:pPr>
        <w:pStyle w:val="AnnexNoTitle"/>
        <w:rPr>
          <w:lang w:val="es-ES_tradnl"/>
        </w:rPr>
      </w:pPr>
      <w:r w:rsidRPr="00B6543F">
        <w:rPr>
          <w:lang w:val="es-ES_tradnl" w:eastAsia="ja-JP"/>
        </w:rPr>
        <w:t>Anexo 4</w:t>
      </w:r>
      <w:r w:rsidRPr="00B6543F">
        <w:rPr>
          <w:lang w:val="es-ES_tradnl"/>
        </w:rPr>
        <w:t xml:space="preserve"> </w:t>
      </w:r>
      <w:r w:rsidRPr="00B6543F">
        <w:rPr>
          <w:lang w:val="es-ES_tradnl"/>
        </w:rPr>
        <w:br/>
      </w:r>
      <w:r w:rsidRPr="00B6543F">
        <w:rPr>
          <w:lang w:val="es-ES_tradnl"/>
        </w:rPr>
        <w:br/>
        <w:t>Directrices sobre técnicas de filtrado para reducir</w:t>
      </w:r>
      <w:r w:rsidRPr="00B6543F">
        <w:rPr>
          <w:lang w:val="es-ES_tradnl"/>
        </w:rPr>
        <w:br/>
        <w:t>las imágenes parpadeantes en la televisión</w:t>
      </w:r>
    </w:p>
    <w:p w14:paraId="327C24E5" w14:textId="77777777" w:rsidR="00534021" w:rsidRPr="00B6543F" w:rsidRDefault="00534021" w:rsidP="00534021">
      <w:pPr>
        <w:pStyle w:val="Normalaftertitle"/>
        <w:rPr>
          <w:lang w:val="es-ES_tradnl"/>
        </w:rPr>
      </w:pPr>
      <w:r w:rsidRPr="00B6543F">
        <w:rPr>
          <w:lang w:val="es-ES_tradnl"/>
        </w:rPr>
        <w:t>Puede suponerse que gracias a las mediciones realizadas para reducir el riesgo de la transmisión de estímulos potencialmente peligrosos, tal como se describen en el Anexo 1, se proporciona un alto grado de protección para la inmensa mayoría de personas que sufren de fotosensibilidad.</w:t>
      </w:r>
    </w:p>
    <w:p w14:paraId="5FA039B5" w14:textId="77777777" w:rsidR="00534021" w:rsidRPr="00B6543F" w:rsidRDefault="00534021" w:rsidP="00534021">
      <w:pPr>
        <w:rPr>
          <w:lang w:val="es-ES_tradnl"/>
        </w:rPr>
      </w:pPr>
      <w:r w:rsidRPr="00B6543F">
        <w:rPr>
          <w:lang w:val="es-ES_tradnl"/>
        </w:rPr>
        <w:t>Sin embargo, en algunas personas muy susceptibles, las mediciones para reducir los estímulos temporales antes de la transmisión podrían restringir de modo inaceptable la calidad de las imágenes difundidas, en detrimento de la mayoría de los espectadores. Con el fin de lograr que estas personas extremadamente susceptibles puedan mirar la televisión sin que corran el riesgo de sufrir un ataque, pueden aplicarse técnicas de filtrado en el receptor.</w:t>
      </w:r>
    </w:p>
    <w:p w14:paraId="20D2D0C3" w14:textId="77777777" w:rsidR="00534021" w:rsidRPr="00B6543F" w:rsidRDefault="00534021" w:rsidP="00534021">
      <w:pPr>
        <w:rPr>
          <w:lang w:val="es-ES_tradnl"/>
        </w:rPr>
      </w:pPr>
      <w:r w:rsidRPr="00B6543F">
        <w:rPr>
          <w:lang w:val="es-ES_tradnl"/>
        </w:rPr>
        <w:lastRenderedPageBreak/>
        <w:t>La inclusión opcional de mediciones en los receptores tiene la ventaja de proporcionar protección contra las imágenes parpadeantes que, de vez en cuando, puedan aparecer involuntariamente procedentes de muy diversas fuentes de vídeo.</w:t>
      </w:r>
    </w:p>
    <w:p w14:paraId="529F93EB" w14:textId="77777777" w:rsidR="00534021" w:rsidRPr="00B6543F" w:rsidRDefault="00534021" w:rsidP="00534021">
      <w:pPr>
        <w:rPr>
          <w:lang w:val="es-ES_tradnl"/>
        </w:rPr>
      </w:pPr>
      <w:r w:rsidRPr="00B6543F">
        <w:rPr>
          <w:lang w:val="es-ES_tradnl"/>
        </w:rPr>
        <w:t>Se han identificado dos tipos de medición.</w:t>
      </w:r>
    </w:p>
    <w:p w14:paraId="4EFA785C" w14:textId="77777777" w:rsidR="00534021" w:rsidRPr="00B6543F" w:rsidRDefault="00534021" w:rsidP="00534021">
      <w:pPr>
        <w:pStyle w:val="Headingb"/>
        <w:rPr>
          <w:lang w:val="es-ES_tradnl"/>
        </w:rPr>
      </w:pPr>
      <w:r w:rsidRPr="00B6543F">
        <w:rPr>
          <w:lang w:val="es-ES_tradnl"/>
        </w:rPr>
        <w:t>Filtrado temporal adaptable</w:t>
      </w:r>
    </w:p>
    <w:p w14:paraId="79E84107" w14:textId="77777777" w:rsidR="00534021" w:rsidRPr="00B6543F" w:rsidRDefault="00534021" w:rsidP="00534021">
      <w:pPr>
        <w:rPr>
          <w:lang w:val="es-ES_tradnl"/>
        </w:rPr>
      </w:pPr>
      <w:r w:rsidRPr="00B6543F">
        <w:rPr>
          <w:lang w:val="es-ES_tradnl"/>
        </w:rPr>
        <w:t>El filtrado temporal adaptable debe reducir los estímulos cuadro a cuadro o trama a trama en la región de 10-30 Hz. Los fabricantes son los encargados de determinar los parámetros exactos para la creación de tales filtros, pero normalmente podría esperarse una reducción de 20 dB o más en las frecuencias temporales de 10 Hz o superiores. Debe llegarse a una solución de compromiso entre la eficacia de la protección y el grado de borrosidad de las imágenes.</w:t>
      </w:r>
    </w:p>
    <w:p w14:paraId="5E13A10D" w14:textId="084319F0" w:rsidR="00534021" w:rsidRPr="00B6543F" w:rsidRDefault="00534021" w:rsidP="00534021">
      <w:pPr>
        <w:pStyle w:val="Headingb"/>
        <w:rPr>
          <w:lang w:val="es-ES_tradnl"/>
        </w:rPr>
      </w:pPr>
      <w:r w:rsidRPr="00B6543F">
        <w:rPr>
          <w:lang w:val="es-ES_tradnl"/>
        </w:rPr>
        <w:t>Filtros ópticos compuestos</w:t>
      </w:r>
    </w:p>
    <w:p w14:paraId="32166523" w14:textId="77777777" w:rsidR="00534021" w:rsidRPr="00B6543F" w:rsidRDefault="00534021" w:rsidP="00534021">
      <w:pPr>
        <w:rPr>
          <w:lang w:val="es-ES_tradnl"/>
        </w:rPr>
      </w:pPr>
      <w:r w:rsidRPr="00B6543F">
        <w:rPr>
          <w:lang w:val="es-ES_tradnl"/>
        </w:rPr>
        <w:t>Para algunos espectadores extremadamente fotosensibles, puede utilizarse un filtro óptico compuesto que reduzca considerablemente la respuesta fotoparoxística. Un filtro de esta naturaleza logra que los espectadores muy susceptibles puedan mirar las pantallas de televisión o de los ordenadores, algo que anteriormente era imposible hacer.</w:t>
      </w:r>
    </w:p>
    <w:p w14:paraId="2032BB65" w14:textId="77777777" w:rsidR="00534021" w:rsidRPr="00B6543F" w:rsidRDefault="00534021" w:rsidP="00534021">
      <w:pPr>
        <w:rPr>
          <w:lang w:val="es-ES_tradnl" w:eastAsia="ja-JP"/>
        </w:rPr>
      </w:pPr>
      <w:r w:rsidRPr="00B6543F">
        <w:rPr>
          <w:lang w:val="es-ES_tradnl"/>
        </w:rPr>
        <w:t>Normalmente un filtro eficaz debe estar compuesto de varios elementos de filtrado óptico, un filtro que refleje selectivamente la luz roja de longitud de onda larga, y un filtro que absorba de manera uniforme la luz en el espectro visible (densidad neutra).</w:t>
      </w:r>
    </w:p>
    <w:p w14:paraId="554BD6B3" w14:textId="77777777" w:rsidR="00534021" w:rsidRPr="00B6543F" w:rsidRDefault="00534021" w:rsidP="00534021">
      <w:pPr>
        <w:rPr>
          <w:lang w:val="es-ES_tradnl" w:eastAsia="ja-JP"/>
        </w:rPr>
      </w:pPr>
    </w:p>
    <w:p w14:paraId="59787608" w14:textId="77777777" w:rsidR="00534021" w:rsidRPr="00B6543F" w:rsidRDefault="00534021" w:rsidP="00534021">
      <w:pPr>
        <w:rPr>
          <w:lang w:val="es-ES_tradnl" w:eastAsia="ja-JP"/>
        </w:rPr>
      </w:pPr>
    </w:p>
    <w:p w14:paraId="7D54E50C" w14:textId="1B4A25B0" w:rsidR="00534021" w:rsidRPr="00B6543F" w:rsidRDefault="00534021" w:rsidP="00534021">
      <w:pPr>
        <w:pStyle w:val="AnnexNoTitle"/>
        <w:rPr>
          <w:lang w:val="es-ES_tradnl" w:eastAsia="ja-JP"/>
        </w:rPr>
      </w:pPr>
      <w:r w:rsidRPr="00B6543F">
        <w:rPr>
          <w:lang w:val="es-ES_tradnl" w:eastAsia="ja-JP"/>
        </w:rPr>
        <w:t>Anexo 5</w:t>
      </w:r>
      <w:r w:rsidRPr="00B6543F">
        <w:rPr>
          <w:lang w:val="es-ES_tradnl" w:eastAsia="ja-JP"/>
        </w:rPr>
        <w:br/>
      </w:r>
      <w:r w:rsidRPr="00B6543F">
        <w:rPr>
          <w:lang w:val="es-ES_tradnl" w:eastAsia="ja-JP"/>
        </w:rPr>
        <w:br/>
        <w:t>Información relativa a directrices técnicas</w:t>
      </w:r>
      <w:r w:rsidR="00CE37FB" w:rsidRPr="00B6543F">
        <w:rPr>
          <w:lang w:val="es-ES_tradnl" w:eastAsia="ja-JP"/>
        </w:rPr>
        <w:t xml:space="preserve"> </w:t>
      </w:r>
      <w:r w:rsidRPr="00B6543F">
        <w:rPr>
          <w:lang w:val="es-ES_tradnl" w:eastAsia="ja-JP"/>
        </w:rPr>
        <w:t>sobre los entornos de observación</w:t>
      </w:r>
    </w:p>
    <w:p w14:paraId="3CE3FCE3" w14:textId="77777777" w:rsidR="00534021" w:rsidRPr="00B6543F" w:rsidRDefault="00534021" w:rsidP="00534021">
      <w:pPr>
        <w:pStyle w:val="Normalaftertitle"/>
        <w:rPr>
          <w:lang w:val="es-ES_tradnl"/>
        </w:rPr>
      </w:pPr>
      <w:r w:rsidRPr="00B6543F">
        <w:rPr>
          <w:lang w:val="es-ES_tradnl" w:eastAsia="ja-JP"/>
        </w:rPr>
        <w:t>Aunque la aplicación de directrices técnicas para limitar la aparición de imágenes parpadeantes en televisión resulte eficaz para reducir el número de casos de epilepsia fotosensible causada por la televisión, existen otros factores, además del contenido de los programas, que pueden causar problemas:</w:t>
      </w:r>
    </w:p>
    <w:p w14:paraId="1169704D" w14:textId="77777777" w:rsidR="00534021" w:rsidRPr="00B6543F" w:rsidRDefault="00534021" w:rsidP="00534021">
      <w:pPr>
        <w:pStyle w:val="enumlev1"/>
        <w:rPr>
          <w:lang w:val="es-ES_tradnl"/>
        </w:rPr>
      </w:pPr>
      <w:r w:rsidRPr="00B6543F">
        <w:rPr>
          <w:lang w:val="es-ES_tradnl" w:eastAsia="ja-JP"/>
        </w:rPr>
        <w:t>–</w:t>
      </w:r>
      <w:r w:rsidRPr="00B6543F">
        <w:rPr>
          <w:bCs/>
          <w:i/>
          <w:iCs/>
          <w:lang w:val="es-ES_tradnl" w:eastAsia="ja-JP"/>
        </w:rPr>
        <w:tab/>
      </w:r>
      <w:r w:rsidRPr="00B6543F">
        <w:rPr>
          <w:lang w:val="es-ES_tradnl" w:eastAsia="ja-JP"/>
        </w:rPr>
        <w:t>Entorno de observación: es probable que una determinada parte del material del programa pueda causar más problemas a los telespectadores fotosensibles si se ve la televisión en un cuarto completamente oscuro o en una pantalla más brillante o más ancha; o si el telespectador se encuentra muy cerca de la pantalla.</w:t>
      </w:r>
    </w:p>
    <w:p w14:paraId="1505F9AA" w14:textId="77777777" w:rsidR="00534021" w:rsidRPr="00B6543F" w:rsidRDefault="00534021" w:rsidP="00534021">
      <w:pPr>
        <w:pStyle w:val="enumlev1"/>
        <w:rPr>
          <w:lang w:val="es-ES_tradnl" w:eastAsia="ja-JP"/>
        </w:rPr>
      </w:pPr>
      <w:r w:rsidRPr="00B6543F">
        <w:rPr>
          <w:lang w:val="es-ES_tradnl"/>
        </w:rPr>
        <w:t>–</w:t>
      </w:r>
      <w:r w:rsidRPr="00B6543F">
        <w:rPr>
          <w:bCs/>
          <w:i/>
          <w:iCs/>
          <w:lang w:val="es-ES_tradnl" w:eastAsia="ja-JP"/>
        </w:rPr>
        <w:tab/>
      </w:r>
      <w:r w:rsidRPr="00B6543F">
        <w:rPr>
          <w:lang w:val="es-ES_tradnl" w:eastAsia="ja-JP"/>
        </w:rPr>
        <w:t>Perfil de edad del espectador: se ha observado que los niños y los jóvenes menores de 20 años constituyen la población más propensa a la fotosensibilidad, riesgo que disminuye a medida que aumenta la edad</w:t>
      </w:r>
      <w:r w:rsidRPr="00B6543F">
        <w:rPr>
          <w:lang w:val="es-ES_tradnl"/>
        </w:rPr>
        <w:t>.</w:t>
      </w:r>
    </w:p>
    <w:p w14:paraId="2147B15F" w14:textId="77777777" w:rsidR="00534021" w:rsidRPr="00B6543F" w:rsidRDefault="00534021" w:rsidP="00534021">
      <w:pPr>
        <w:rPr>
          <w:lang w:val="es-ES_tradnl" w:eastAsia="ja-JP"/>
        </w:rPr>
      </w:pPr>
      <w:r w:rsidRPr="00B6543F">
        <w:rPr>
          <w:lang w:val="es-ES_tradnl" w:eastAsia="ja-JP"/>
        </w:rPr>
        <w:t>Una combinación de estos factores puede aumentar aún más la posibilidad de que surjan problemas, por esa razón, el brindar asesoramiento a los telespectadores (y a los padres de los espectadores más jóvenes) acerca de los entornos de observación adecuados puede ser una medida preventiva importante.</w:t>
      </w:r>
    </w:p>
    <w:p w14:paraId="566C4F58" w14:textId="77777777" w:rsidR="00534021" w:rsidRPr="00B6543F" w:rsidRDefault="00534021" w:rsidP="00CE37FB">
      <w:pPr>
        <w:rPr>
          <w:lang w:val="es-ES_tradnl" w:eastAsia="ja-JP"/>
        </w:rPr>
      </w:pPr>
      <w:r w:rsidRPr="00B6543F">
        <w:rPr>
          <w:lang w:val="es-ES_tradnl" w:eastAsia="ja-JP"/>
        </w:rPr>
        <w:t>Por consiguiente, es aconsejable mirar la televisión en un cuarto bien iluminado y a una distancia de al menos dos metros, en particular cuando se ven programas destinados a los telespectadores más jóvenes, tales como los programas de dibujos animados.</w:t>
      </w:r>
    </w:p>
    <w:p w14:paraId="6140F03C" w14:textId="77777777" w:rsidR="00CE37FB" w:rsidRPr="00B6543F" w:rsidRDefault="00CE37FB" w:rsidP="00CE37FB">
      <w:pPr>
        <w:spacing w:before="0"/>
        <w:rPr>
          <w:sz w:val="4"/>
          <w:szCs w:val="4"/>
          <w:lang w:val="es-ES_tradnl" w:eastAsia="ja-JP"/>
        </w:rPr>
      </w:pPr>
    </w:p>
    <w:p w14:paraId="0F2847E1" w14:textId="77777777" w:rsidR="00CE37FB" w:rsidRPr="00B6543F" w:rsidRDefault="00CE37FB" w:rsidP="00CE37FB">
      <w:pPr>
        <w:pStyle w:val="Line"/>
        <w:rPr>
          <w:lang w:val="es-ES_tradnl"/>
        </w:rPr>
      </w:pPr>
    </w:p>
    <w:sectPr w:rsidR="00CE37FB" w:rsidRPr="00B6543F" w:rsidSect="007565CC">
      <w:footerReference w:type="default" r:id="rId21"/>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D0F7D" w14:textId="77777777" w:rsidR="00534021" w:rsidRDefault="00534021">
      <w:r>
        <w:separator/>
      </w:r>
    </w:p>
  </w:endnote>
  <w:endnote w:type="continuationSeparator" w:id="0">
    <w:p w14:paraId="03723921" w14:textId="77777777" w:rsidR="00534021" w:rsidRDefault="00534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425D8" w14:textId="77777777" w:rsidR="00301DB3" w:rsidRDefault="00301DB3">
    <w:pPr>
      <w:pStyle w:val="Footer"/>
    </w:pPr>
    <w:r>
      <w:drawing>
        <wp:anchor distT="0" distB="0" distL="0" distR="0" simplePos="0" relativeHeight="251656192" behindDoc="0" locked="0" layoutInCell="1" allowOverlap="1" wp14:anchorId="7BA55497" wp14:editId="10AB2D61">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19444"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5B4AE" w14:textId="77777777" w:rsidR="00534021" w:rsidRDefault="00534021">
      <w:r>
        <w:separator/>
      </w:r>
    </w:p>
  </w:footnote>
  <w:footnote w:type="continuationSeparator" w:id="0">
    <w:p w14:paraId="5644CBC7" w14:textId="77777777" w:rsidR="00534021" w:rsidRDefault="00534021">
      <w:r>
        <w:continuationSeparator/>
      </w:r>
    </w:p>
  </w:footnote>
  <w:footnote w:id="1">
    <w:p w14:paraId="38522F43" w14:textId="0607B8CE" w:rsidR="0060745C" w:rsidRPr="0060745C" w:rsidRDefault="0060745C">
      <w:pPr>
        <w:pStyle w:val="FootnoteText"/>
      </w:pPr>
      <w:r>
        <w:rPr>
          <w:rStyle w:val="FootnoteReference"/>
        </w:rPr>
        <w:t>1</w:t>
      </w:r>
      <w:r>
        <w:tab/>
      </w:r>
      <w:r w:rsidRPr="00CF7CA3">
        <w:t>Esta Recomendación se ha de poner en conocimiento de la Organización Mundial de la Salud.</w:t>
      </w:r>
    </w:p>
  </w:footnote>
  <w:footnote w:id="2">
    <w:p w14:paraId="2467973C" w14:textId="4FFBD76C" w:rsidR="0060745C" w:rsidRPr="0060745C" w:rsidRDefault="0060745C">
      <w:pPr>
        <w:pStyle w:val="FootnoteText"/>
        <w:rPr>
          <w:lang w:val="es-419"/>
        </w:rPr>
      </w:pPr>
      <w:r>
        <w:rPr>
          <w:rStyle w:val="FootnoteReference"/>
        </w:rPr>
        <w:t>2</w:t>
      </w:r>
      <w:r>
        <w:tab/>
      </w:r>
      <w:r w:rsidRPr="0060745C">
        <w:t>En ocasiones denominado como p</w:t>
      </w:r>
      <w:r>
        <w:t>atrón espacial.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6C9E7"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5915"/>
    </w:tblGrid>
    <w:tr w:rsidR="005B0371" w:rsidRPr="00A239D1" w14:paraId="1FE56A66" w14:textId="77777777" w:rsidTr="0019307B">
      <w:tc>
        <w:tcPr>
          <w:tcW w:w="4634" w:type="dxa"/>
          <w:vAlign w:val="center"/>
        </w:tcPr>
        <w:p w14:paraId="7FA34F71"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372BA1A8"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Uni</w:t>
          </w:r>
          <w:r w:rsidR="00C94436">
            <w:rPr>
              <w:rFonts w:asciiTheme="minorBidi" w:hAnsiTheme="minorBidi"/>
              <w:b/>
              <w:spacing w:val="4"/>
              <w:szCs w:val="24"/>
            </w:rPr>
            <w:t>ó</w:t>
          </w:r>
          <w:r w:rsidRPr="00260B24">
            <w:rPr>
              <w:rFonts w:asciiTheme="minorBidi" w:hAnsiTheme="minorBidi"/>
              <w:b/>
              <w:spacing w:val="4"/>
              <w:szCs w:val="24"/>
            </w:rPr>
            <w:t>n</w:t>
          </w:r>
          <w:r w:rsidR="00A25EE2">
            <w:rPr>
              <w:rFonts w:asciiTheme="minorBidi" w:hAnsiTheme="minorBidi"/>
              <w:b/>
              <w:spacing w:val="4"/>
              <w:szCs w:val="24"/>
            </w:rPr>
            <w:t xml:space="preserve"> </w:t>
          </w:r>
          <w:r w:rsidR="00C94436">
            <w:rPr>
              <w:rFonts w:asciiTheme="minorBidi" w:hAnsiTheme="minorBidi"/>
              <w:b/>
              <w:spacing w:val="4"/>
              <w:szCs w:val="24"/>
            </w:rPr>
            <w:t>I</w:t>
          </w:r>
          <w:r w:rsidR="00A25EE2" w:rsidRPr="00260B24">
            <w:rPr>
              <w:rFonts w:asciiTheme="minorBidi" w:hAnsiTheme="minorBidi"/>
              <w:b/>
              <w:spacing w:val="4"/>
              <w:szCs w:val="24"/>
            </w:rPr>
            <w:t>nterna</w:t>
          </w:r>
          <w:r w:rsidR="0069322D">
            <w:rPr>
              <w:rFonts w:asciiTheme="minorBidi" w:hAnsiTheme="minorBidi"/>
              <w:b/>
              <w:spacing w:val="4"/>
              <w:szCs w:val="24"/>
            </w:rPr>
            <w:t>c</w:t>
          </w:r>
          <w:r w:rsidR="00A25EE2" w:rsidRPr="00260B24">
            <w:rPr>
              <w:rFonts w:asciiTheme="minorBidi" w:hAnsiTheme="minorBidi"/>
              <w:b/>
              <w:spacing w:val="4"/>
              <w:szCs w:val="24"/>
            </w:rPr>
            <w:t xml:space="preserve">ional </w:t>
          </w:r>
          <w:r w:rsidR="00A25EE2">
            <w:rPr>
              <w:rFonts w:asciiTheme="minorBidi" w:hAnsiTheme="minorBidi"/>
              <w:b/>
              <w:spacing w:val="4"/>
              <w:szCs w:val="24"/>
            </w:rPr>
            <w:t xml:space="preserve">de </w:t>
          </w:r>
          <w:r w:rsidR="0069322D">
            <w:rPr>
              <w:rFonts w:asciiTheme="minorBidi" w:hAnsiTheme="minorBidi"/>
              <w:b/>
              <w:spacing w:val="4"/>
              <w:szCs w:val="24"/>
            </w:rPr>
            <w:t>Te</w:t>
          </w:r>
          <w:r w:rsidR="00A25EE2" w:rsidRPr="00260B24">
            <w:rPr>
              <w:rFonts w:asciiTheme="minorBidi" w:hAnsiTheme="minorBidi"/>
              <w:b/>
              <w:spacing w:val="4"/>
              <w:szCs w:val="24"/>
            </w:rPr>
            <w:t>l</w:t>
          </w:r>
          <w:r w:rsidR="0069322D">
            <w:rPr>
              <w:rFonts w:asciiTheme="minorBidi" w:hAnsiTheme="minorBidi"/>
              <w:b/>
              <w:spacing w:val="4"/>
              <w:szCs w:val="24"/>
            </w:rPr>
            <w:t>e</w:t>
          </w:r>
          <w:r w:rsidR="00A25EE2" w:rsidRPr="00260B24">
            <w:rPr>
              <w:rFonts w:asciiTheme="minorBidi" w:hAnsiTheme="minorBidi"/>
              <w:b/>
              <w:spacing w:val="4"/>
              <w:szCs w:val="24"/>
            </w:rPr>
            <w:t>comunica</w:t>
          </w:r>
          <w:r w:rsidR="0069322D">
            <w:rPr>
              <w:rFonts w:asciiTheme="minorBidi" w:hAnsiTheme="minorBidi"/>
              <w:b/>
              <w:spacing w:val="4"/>
              <w:szCs w:val="24"/>
            </w:rPr>
            <w:t>c</w:t>
          </w:r>
          <w:r w:rsidR="00A25EE2" w:rsidRPr="00260B24">
            <w:rPr>
              <w:rFonts w:asciiTheme="minorBidi" w:hAnsiTheme="minorBidi"/>
              <w:b/>
              <w:spacing w:val="4"/>
              <w:szCs w:val="24"/>
            </w:rPr>
            <w:t>ion</w:t>
          </w:r>
          <w:r w:rsidR="0069322D">
            <w:rPr>
              <w:rFonts w:asciiTheme="minorBidi" w:hAnsiTheme="minorBidi"/>
              <w:b/>
              <w:spacing w:val="4"/>
              <w:szCs w:val="24"/>
            </w:rPr>
            <w:t>e</w:t>
          </w:r>
          <w:r w:rsidR="00A25EE2">
            <w:rPr>
              <w:rFonts w:asciiTheme="minorBidi" w:hAnsiTheme="minorBidi"/>
              <w:b/>
              <w:spacing w:val="4"/>
              <w:szCs w:val="24"/>
            </w:rPr>
            <w:t>s</w:t>
          </w:r>
        </w:p>
      </w:tc>
    </w:tr>
    <w:tr w:rsidR="005B0371" w:rsidRPr="00A239D1" w14:paraId="08218205" w14:textId="77777777" w:rsidTr="0019307B">
      <w:tc>
        <w:tcPr>
          <w:tcW w:w="4634" w:type="dxa"/>
          <w:vAlign w:val="center"/>
        </w:tcPr>
        <w:p w14:paraId="3F2F7FA8"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w:t>
          </w:r>
          <w:r w:rsidR="0069322D">
            <w:rPr>
              <w:rFonts w:asciiTheme="minorBidi" w:hAnsiTheme="minorBidi"/>
              <w:spacing w:val="4"/>
              <w:szCs w:val="24"/>
            </w:rPr>
            <w:t>e</w:t>
          </w:r>
          <w:r w:rsidRPr="00260B24">
            <w:rPr>
              <w:rFonts w:asciiTheme="minorBidi" w:hAnsiTheme="minorBidi"/>
              <w:spacing w:val="4"/>
              <w:szCs w:val="24"/>
            </w:rPr>
            <w:t>nda</w:t>
          </w:r>
          <w:r w:rsidR="0069322D">
            <w:rPr>
              <w:rFonts w:asciiTheme="minorBidi" w:hAnsiTheme="minorBidi"/>
              <w:spacing w:val="4"/>
              <w:szCs w:val="24"/>
            </w:rPr>
            <w:t>c</w:t>
          </w:r>
          <w:r w:rsidRPr="00260B24">
            <w:rPr>
              <w:rFonts w:asciiTheme="minorBidi" w:hAnsiTheme="minorBidi"/>
              <w:spacing w:val="4"/>
              <w:szCs w:val="24"/>
            </w:rPr>
            <w:t>i</w:t>
          </w:r>
          <w:r w:rsidR="0069322D">
            <w:rPr>
              <w:rFonts w:asciiTheme="minorBidi" w:hAnsiTheme="minorBidi"/>
              <w:spacing w:val="4"/>
              <w:szCs w:val="24"/>
            </w:rPr>
            <w:t>o</w:t>
          </w:r>
          <w:r w:rsidRPr="00260B24">
            <w:rPr>
              <w:rFonts w:asciiTheme="minorBidi" w:hAnsiTheme="minorBidi"/>
              <w:spacing w:val="4"/>
              <w:szCs w:val="24"/>
            </w:rPr>
            <w:t>n</w:t>
          </w:r>
          <w:r w:rsidR="0069322D">
            <w:rPr>
              <w:rFonts w:asciiTheme="minorBidi" w:hAnsiTheme="minorBidi"/>
              <w:spacing w:val="4"/>
              <w:szCs w:val="24"/>
            </w:rPr>
            <w:t>e</w:t>
          </w:r>
          <w:r w:rsidR="004A6FEB" w:rsidRPr="00260B24">
            <w:rPr>
              <w:rFonts w:asciiTheme="minorBidi" w:hAnsiTheme="minorBidi"/>
              <w:spacing w:val="4"/>
              <w:szCs w:val="24"/>
            </w:rPr>
            <w:t>s</w:t>
          </w:r>
        </w:p>
      </w:tc>
      <w:tc>
        <w:tcPr>
          <w:tcW w:w="5998" w:type="dxa"/>
          <w:vAlign w:val="center"/>
        </w:tcPr>
        <w:p w14:paraId="1C411724" w14:textId="77777777" w:rsidR="00EE47C4" w:rsidRPr="00260B24" w:rsidRDefault="00A25EE2" w:rsidP="00744F8B">
          <w:pPr>
            <w:pStyle w:val="Header"/>
            <w:jc w:val="right"/>
            <w:rPr>
              <w:rFonts w:asciiTheme="minorBidi" w:hAnsiTheme="minorBidi"/>
              <w:spacing w:val="4"/>
              <w:szCs w:val="24"/>
            </w:rPr>
          </w:pPr>
          <w:r>
            <w:rPr>
              <w:rFonts w:asciiTheme="minorBidi" w:hAnsiTheme="minorBidi"/>
              <w:spacing w:val="4"/>
              <w:szCs w:val="24"/>
            </w:rPr>
            <w:t>Sect</w:t>
          </w:r>
          <w:r w:rsidR="0069322D">
            <w:rPr>
              <w:rFonts w:asciiTheme="minorBidi" w:hAnsiTheme="minorBidi"/>
              <w:spacing w:val="4"/>
              <w:szCs w:val="24"/>
            </w:rPr>
            <w:t>o</w:t>
          </w:r>
          <w:r>
            <w:rPr>
              <w:rFonts w:asciiTheme="minorBidi" w:hAnsiTheme="minorBidi"/>
              <w:spacing w:val="4"/>
              <w:szCs w:val="24"/>
            </w:rPr>
            <w:t xml:space="preserve">r de </w:t>
          </w:r>
          <w:r w:rsidR="00EE47C4" w:rsidRPr="00260B24">
            <w:rPr>
              <w:rFonts w:asciiTheme="minorBidi" w:hAnsiTheme="minorBidi"/>
              <w:spacing w:val="4"/>
              <w:szCs w:val="24"/>
            </w:rPr>
            <w:t>Radiocomunica</w:t>
          </w:r>
          <w:r w:rsidR="0069322D">
            <w:rPr>
              <w:rFonts w:asciiTheme="minorBidi" w:hAnsiTheme="minorBidi"/>
              <w:spacing w:val="4"/>
              <w:szCs w:val="24"/>
            </w:rPr>
            <w:t>c</w:t>
          </w:r>
          <w:r w:rsidR="00EE47C4" w:rsidRPr="00260B24">
            <w:rPr>
              <w:rFonts w:asciiTheme="minorBidi" w:hAnsiTheme="minorBidi"/>
              <w:spacing w:val="4"/>
              <w:szCs w:val="24"/>
            </w:rPr>
            <w:t>ion</w:t>
          </w:r>
          <w:r w:rsidR="0069322D">
            <w:rPr>
              <w:rFonts w:asciiTheme="minorBidi" w:hAnsiTheme="minorBidi"/>
              <w:spacing w:val="4"/>
              <w:szCs w:val="24"/>
            </w:rPr>
            <w:t>e</w:t>
          </w:r>
          <w:r>
            <w:rPr>
              <w:rFonts w:asciiTheme="minorBidi" w:hAnsiTheme="minorBidi"/>
              <w:spacing w:val="4"/>
              <w:szCs w:val="24"/>
            </w:rPr>
            <w:t>s</w:t>
          </w:r>
        </w:p>
      </w:tc>
    </w:tr>
  </w:tbl>
  <w:p w14:paraId="0885A74D" w14:textId="77777777" w:rsidR="00EE47C4" w:rsidRDefault="0069322D"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30CD6ACF" wp14:editId="53874D12">
          <wp:simplePos x="0" y="0"/>
          <wp:positionH relativeFrom="column">
            <wp:posOffset>-252095</wp:posOffset>
          </wp:positionH>
          <wp:positionV relativeFrom="paragraph">
            <wp:posOffset>-562165</wp:posOffset>
          </wp:positionV>
          <wp:extent cx="1781299" cy="383901"/>
          <wp:effectExtent l="0" t="0" r="0" b="0"/>
          <wp:wrapNone/>
          <wp:docPr id="7" name="Picture 7" descr="ITU Publicacio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TU Publicacion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299" cy="3839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08A480C6" wp14:editId="29ECE3D4">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FF57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0A6FF245"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7FED02D2" wp14:editId="42922514">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9B8B6E"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58EED" w14:textId="3FCEFC5E"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F111D6">
      <w:rPr>
        <w:rStyle w:val="PageNumber"/>
        <w:b/>
        <w:bCs/>
        <w:lang w:val="en-GB"/>
      </w:rPr>
      <w:t>ii</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EA2E66">
      <w:rPr>
        <w:b/>
        <w:bCs/>
        <w:lang w:val="en-US"/>
      </w:rPr>
      <w:t xml:space="preserve">Rec. </w:t>
    </w:r>
    <w:r>
      <w:rPr>
        <w:b/>
        <w:bCs/>
        <w:lang w:val="en-US"/>
      </w:rPr>
      <w:fldChar w:fldCharType="end"/>
    </w:r>
    <w:r w:rsidRPr="00F111D6">
      <w:rPr>
        <w:b/>
        <w:bCs/>
        <w:lang w:val="en-GB"/>
      </w:rPr>
      <w:t xml:space="preserve"> </w:t>
    </w:r>
    <w:r>
      <w:rPr>
        <w:b/>
        <w:bCs/>
      </w:rPr>
      <w:fldChar w:fldCharType="begin"/>
    </w:r>
    <w:r>
      <w:rPr>
        <w:b/>
        <w:bCs/>
        <w:lang w:val="en-US"/>
      </w:rPr>
      <w:instrText>styleref href</w:instrText>
    </w:r>
    <w:r>
      <w:rPr>
        <w:b/>
        <w:bCs/>
      </w:rPr>
      <w:fldChar w:fldCharType="separate"/>
    </w:r>
    <w:r w:rsidR="009D1DFB">
      <w:rPr>
        <w:b/>
        <w:bCs/>
        <w:noProof/>
        <w:lang w:val="en-US"/>
      </w:rPr>
      <w:t>UIT-R  BT.1702-3</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B7FB7" w14:textId="71F2CCDD"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EA2E66">
      <w:rPr>
        <w:b/>
        <w:bCs/>
      </w:rPr>
      <w:t xml:space="preserve">Rec. </w:t>
    </w:r>
    <w:r w:rsidR="00C84DB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9D1DFB">
      <w:rPr>
        <w:b/>
        <w:bCs/>
        <w:noProof/>
      </w:rPr>
      <w:t>UIT-R  BT.1702-3</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54826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n-GB" w:vendorID="64" w:dllVersion="0" w:nlCheck="1" w:checkStyle="0"/>
  <w:activeWritingStyle w:appName="MSWord" w:lang="es-419"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1">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021"/>
    <w:rsid w:val="00013002"/>
    <w:rsid w:val="00031F14"/>
    <w:rsid w:val="00036EE3"/>
    <w:rsid w:val="00072484"/>
    <w:rsid w:val="00095530"/>
    <w:rsid w:val="00096612"/>
    <w:rsid w:val="000A4A32"/>
    <w:rsid w:val="000B1B2B"/>
    <w:rsid w:val="000B7683"/>
    <w:rsid w:val="000D0677"/>
    <w:rsid w:val="000E0548"/>
    <w:rsid w:val="000E6A6E"/>
    <w:rsid w:val="00102934"/>
    <w:rsid w:val="00147110"/>
    <w:rsid w:val="0014725E"/>
    <w:rsid w:val="001474E1"/>
    <w:rsid w:val="001511A6"/>
    <w:rsid w:val="001511AC"/>
    <w:rsid w:val="00171C4D"/>
    <w:rsid w:val="0017562F"/>
    <w:rsid w:val="0019307B"/>
    <w:rsid w:val="001B0927"/>
    <w:rsid w:val="001B164E"/>
    <w:rsid w:val="001B7886"/>
    <w:rsid w:val="001F38BB"/>
    <w:rsid w:val="002058CE"/>
    <w:rsid w:val="002165F1"/>
    <w:rsid w:val="00233211"/>
    <w:rsid w:val="00260B24"/>
    <w:rsid w:val="0027411A"/>
    <w:rsid w:val="00276D21"/>
    <w:rsid w:val="00282DCF"/>
    <w:rsid w:val="00296D7F"/>
    <w:rsid w:val="002A5D45"/>
    <w:rsid w:val="002B3CF6"/>
    <w:rsid w:val="002B3E59"/>
    <w:rsid w:val="002C768A"/>
    <w:rsid w:val="002D0BD7"/>
    <w:rsid w:val="002D76C4"/>
    <w:rsid w:val="002F5199"/>
    <w:rsid w:val="00301DB3"/>
    <w:rsid w:val="00305119"/>
    <w:rsid w:val="003157F1"/>
    <w:rsid w:val="00346EC2"/>
    <w:rsid w:val="00356B5D"/>
    <w:rsid w:val="00357707"/>
    <w:rsid w:val="0036627C"/>
    <w:rsid w:val="003E5516"/>
    <w:rsid w:val="003F4B75"/>
    <w:rsid w:val="00420DFD"/>
    <w:rsid w:val="00425BC7"/>
    <w:rsid w:val="0043022D"/>
    <w:rsid w:val="00437A76"/>
    <w:rsid w:val="00441AF2"/>
    <w:rsid w:val="004604B2"/>
    <w:rsid w:val="00470E28"/>
    <w:rsid w:val="0047379B"/>
    <w:rsid w:val="00474170"/>
    <w:rsid w:val="00477729"/>
    <w:rsid w:val="004842E2"/>
    <w:rsid w:val="00486EB3"/>
    <w:rsid w:val="004934C5"/>
    <w:rsid w:val="004A6FEB"/>
    <w:rsid w:val="004E61FF"/>
    <w:rsid w:val="00534021"/>
    <w:rsid w:val="005373E0"/>
    <w:rsid w:val="00556548"/>
    <w:rsid w:val="00571B1C"/>
    <w:rsid w:val="00576D47"/>
    <w:rsid w:val="00586EF8"/>
    <w:rsid w:val="005A20C1"/>
    <w:rsid w:val="005B0371"/>
    <w:rsid w:val="005B49AB"/>
    <w:rsid w:val="005B50E7"/>
    <w:rsid w:val="005C4BAB"/>
    <w:rsid w:val="005E12A5"/>
    <w:rsid w:val="005E69F0"/>
    <w:rsid w:val="005E7B4F"/>
    <w:rsid w:val="005F003B"/>
    <w:rsid w:val="005F2E73"/>
    <w:rsid w:val="00601882"/>
    <w:rsid w:val="0060745C"/>
    <w:rsid w:val="00607D68"/>
    <w:rsid w:val="00613212"/>
    <w:rsid w:val="006149B1"/>
    <w:rsid w:val="00640332"/>
    <w:rsid w:val="00642878"/>
    <w:rsid w:val="00680D2B"/>
    <w:rsid w:val="00681B32"/>
    <w:rsid w:val="0069322D"/>
    <w:rsid w:val="00697887"/>
    <w:rsid w:val="006B1D2B"/>
    <w:rsid w:val="006C37D5"/>
    <w:rsid w:val="006E1131"/>
    <w:rsid w:val="006E2037"/>
    <w:rsid w:val="006E6199"/>
    <w:rsid w:val="00712870"/>
    <w:rsid w:val="00714AC0"/>
    <w:rsid w:val="0074147D"/>
    <w:rsid w:val="00743D85"/>
    <w:rsid w:val="00744F8B"/>
    <w:rsid w:val="00747D6E"/>
    <w:rsid w:val="00753CF4"/>
    <w:rsid w:val="007565CC"/>
    <w:rsid w:val="007624B1"/>
    <w:rsid w:val="00763B9A"/>
    <w:rsid w:val="007A6AA8"/>
    <w:rsid w:val="007B1357"/>
    <w:rsid w:val="007B3343"/>
    <w:rsid w:val="007B7428"/>
    <w:rsid w:val="007D03D1"/>
    <w:rsid w:val="007D40BD"/>
    <w:rsid w:val="007F00DD"/>
    <w:rsid w:val="00804E3D"/>
    <w:rsid w:val="008310C9"/>
    <w:rsid w:val="008335F0"/>
    <w:rsid w:val="00834306"/>
    <w:rsid w:val="00853CC5"/>
    <w:rsid w:val="00875543"/>
    <w:rsid w:val="00877E6E"/>
    <w:rsid w:val="0089297D"/>
    <w:rsid w:val="008B083A"/>
    <w:rsid w:val="008C7848"/>
    <w:rsid w:val="00906589"/>
    <w:rsid w:val="00906AD6"/>
    <w:rsid w:val="00917AF2"/>
    <w:rsid w:val="0092418A"/>
    <w:rsid w:val="00930E85"/>
    <w:rsid w:val="00934ED7"/>
    <w:rsid w:val="00940D16"/>
    <w:rsid w:val="009543C3"/>
    <w:rsid w:val="00957559"/>
    <w:rsid w:val="00966E1B"/>
    <w:rsid w:val="00972F51"/>
    <w:rsid w:val="00984A02"/>
    <w:rsid w:val="009947C0"/>
    <w:rsid w:val="009A4039"/>
    <w:rsid w:val="009A41F9"/>
    <w:rsid w:val="009D1DFB"/>
    <w:rsid w:val="009D4BBD"/>
    <w:rsid w:val="009F2D2C"/>
    <w:rsid w:val="009F5580"/>
    <w:rsid w:val="00A03C0E"/>
    <w:rsid w:val="00A16BE1"/>
    <w:rsid w:val="00A239D1"/>
    <w:rsid w:val="00A25EE2"/>
    <w:rsid w:val="00A31928"/>
    <w:rsid w:val="00A35B27"/>
    <w:rsid w:val="00A507D4"/>
    <w:rsid w:val="00A5147A"/>
    <w:rsid w:val="00A62A14"/>
    <w:rsid w:val="00A6617B"/>
    <w:rsid w:val="00A71FE5"/>
    <w:rsid w:val="00A7534B"/>
    <w:rsid w:val="00A76007"/>
    <w:rsid w:val="00A86DD2"/>
    <w:rsid w:val="00A903DE"/>
    <w:rsid w:val="00A936CB"/>
    <w:rsid w:val="00A971A1"/>
    <w:rsid w:val="00AA3AD8"/>
    <w:rsid w:val="00AB0DC8"/>
    <w:rsid w:val="00AB405C"/>
    <w:rsid w:val="00AC015D"/>
    <w:rsid w:val="00AE698D"/>
    <w:rsid w:val="00AF0286"/>
    <w:rsid w:val="00AF5326"/>
    <w:rsid w:val="00B019A2"/>
    <w:rsid w:val="00B0286E"/>
    <w:rsid w:val="00B033C8"/>
    <w:rsid w:val="00B111CE"/>
    <w:rsid w:val="00B20E43"/>
    <w:rsid w:val="00B33425"/>
    <w:rsid w:val="00B42334"/>
    <w:rsid w:val="00B44E24"/>
    <w:rsid w:val="00B54ECC"/>
    <w:rsid w:val="00B60AC0"/>
    <w:rsid w:val="00B6543F"/>
    <w:rsid w:val="00B714F3"/>
    <w:rsid w:val="00B75A52"/>
    <w:rsid w:val="00B874C6"/>
    <w:rsid w:val="00B87B6B"/>
    <w:rsid w:val="00B9169E"/>
    <w:rsid w:val="00B96572"/>
    <w:rsid w:val="00BB4B41"/>
    <w:rsid w:val="00BB7886"/>
    <w:rsid w:val="00BC5D77"/>
    <w:rsid w:val="00BD4283"/>
    <w:rsid w:val="00BD5659"/>
    <w:rsid w:val="00BE5AE7"/>
    <w:rsid w:val="00BF487A"/>
    <w:rsid w:val="00BF5544"/>
    <w:rsid w:val="00C15F3E"/>
    <w:rsid w:val="00C46BD9"/>
    <w:rsid w:val="00C55258"/>
    <w:rsid w:val="00C73560"/>
    <w:rsid w:val="00C84DB7"/>
    <w:rsid w:val="00C87A35"/>
    <w:rsid w:val="00C94436"/>
    <w:rsid w:val="00CB0F14"/>
    <w:rsid w:val="00CD659B"/>
    <w:rsid w:val="00CE0A43"/>
    <w:rsid w:val="00CE37FB"/>
    <w:rsid w:val="00CF130D"/>
    <w:rsid w:val="00D00118"/>
    <w:rsid w:val="00D0483A"/>
    <w:rsid w:val="00D07A86"/>
    <w:rsid w:val="00D16749"/>
    <w:rsid w:val="00D5024B"/>
    <w:rsid w:val="00D61962"/>
    <w:rsid w:val="00D645DD"/>
    <w:rsid w:val="00D72623"/>
    <w:rsid w:val="00D83556"/>
    <w:rsid w:val="00DE5556"/>
    <w:rsid w:val="00DE7970"/>
    <w:rsid w:val="00DF4176"/>
    <w:rsid w:val="00E0095C"/>
    <w:rsid w:val="00E17240"/>
    <w:rsid w:val="00E31B9F"/>
    <w:rsid w:val="00E74595"/>
    <w:rsid w:val="00E77485"/>
    <w:rsid w:val="00EA2E66"/>
    <w:rsid w:val="00EB1CB6"/>
    <w:rsid w:val="00EB7C57"/>
    <w:rsid w:val="00ED2695"/>
    <w:rsid w:val="00ED3CA8"/>
    <w:rsid w:val="00EE04BA"/>
    <w:rsid w:val="00EE47C4"/>
    <w:rsid w:val="00EF2D52"/>
    <w:rsid w:val="00F111D6"/>
    <w:rsid w:val="00F30C9B"/>
    <w:rsid w:val="00F354B1"/>
    <w:rsid w:val="00F354D7"/>
    <w:rsid w:val="00F6343F"/>
    <w:rsid w:val="00F64323"/>
    <w:rsid w:val="00F72776"/>
    <w:rsid w:val="00F73F11"/>
    <w:rsid w:val="00F77360"/>
    <w:rsid w:val="00F92A40"/>
    <w:rsid w:val="00F96511"/>
    <w:rsid w:val="00FB0E4E"/>
    <w:rsid w:val="00FE1E6D"/>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d62a47,#f8f8f8"/>
    </o:shapedefaults>
    <o:shapelayout v:ext="edit">
      <o:idmap v:ext="edit" data="2"/>
    </o:shapelayout>
  </w:shapeDefaults>
  <w:decimalSymbol w:val=","/>
  <w:listSeparator w:val=";"/>
  <w14:docId w14:val="084F6243"/>
  <w15:docId w15:val="{25E83616-0D99-420E-A85A-027C1416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7428"/>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s-ES" w:eastAsia="en-US"/>
    </w:rPr>
  </w:style>
  <w:style w:type="paragraph" w:styleId="Heading1">
    <w:name w:val="heading 1"/>
    <w:basedOn w:val="Normal"/>
    <w:next w:val="Normal"/>
    <w:qFormat/>
    <w:rsid w:val="00A936CB"/>
    <w:pPr>
      <w:keepNext/>
      <w:keepLines/>
      <w:spacing w:before="480"/>
      <w:ind w:left="794" w:hanging="794"/>
      <w:outlineLvl w:val="0"/>
    </w:pPr>
    <w:rPr>
      <w:b/>
    </w:rPr>
  </w:style>
  <w:style w:type="paragraph" w:styleId="Heading2">
    <w:name w:val="heading 2"/>
    <w:basedOn w:val="Heading1"/>
    <w:next w:val="Normal"/>
    <w:qFormat/>
    <w:rsid w:val="00A936CB"/>
    <w:pPr>
      <w:spacing w:before="320"/>
      <w:outlineLvl w:val="1"/>
    </w:pPr>
  </w:style>
  <w:style w:type="paragraph" w:styleId="Heading3">
    <w:name w:val="heading 3"/>
    <w:basedOn w:val="Heading1"/>
    <w:next w:val="Normal"/>
    <w:qFormat/>
    <w:rsid w:val="00A936CB"/>
    <w:pPr>
      <w:spacing w:before="200"/>
      <w:outlineLvl w:val="2"/>
    </w:pPr>
  </w:style>
  <w:style w:type="paragraph" w:styleId="Heading4">
    <w:name w:val="heading 4"/>
    <w:basedOn w:val="Heading3"/>
    <w:next w:val="Normal"/>
    <w:qFormat/>
    <w:rsid w:val="00A936CB"/>
    <w:pPr>
      <w:tabs>
        <w:tab w:val="clear" w:pos="794"/>
        <w:tab w:val="left" w:pos="992"/>
      </w:tabs>
      <w:ind w:left="992" w:hanging="992"/>
      <w:outlineLvl w:val="3"/>
    </w:pPr>
  </w:style>
  <w:style w:type="paragraph" w:styleId="Heading5">
    <w:name w:val="heading 5"/>
    <w:basedOn w:val="Heading4"/>
    <w:next w:val="Normal"/>
    <w:qFormat/>
    <w:rsid w:val="00A936CB"/>
    <w:pPr>
      <w:outlineLvl w:val="4"/>
    </w:pPr>
  </w:style>
  <w:style w:type="paragraph" w:styleId="Heading6">
    <w:name w:val="heading 6"/>
    <w:basedOn w:val="Heading4"/>
    <w:next w:val="Normal"/>
    <w:qFormat/>
    <w:rsid w:val="00A936CB"/>
    <w:pPr>
      <w:tabs>
        <w:tab w:val="clear" w:pos="992"/>
        <w:tab w:val="clear" w:pos="1191"/>
      </w:tabs>
      <w:ind w:left="1588" w:hanging="1588"/>
      <w:outlineLvl w:val="5"/>
    </w:pPr>
  </w:style>
  <w:style w:type="paragraph" w:styleId="Heading7">
    <w:name w:val="heading 7"/>
    <w:basedOn w:val="Heading6"/>
    <w:next w:val="Normal"/>
    <w:qFormat/>
    <w:rsid w:val="00A936CB"/>
    <w:pPr>
      <w:outlineLvl w:val="6"/>
    </w:pPr>
  </w:style>
  <w:style w:type="paragraph" w:styleId="Heading8">
    <w:name w:val="heading 8"/>
    <w:basedOn w:val="Heading6"/>
    <w:next w:val="Normal"/>
    <w:qFormat/>
    <w:rsid w:val="00A936CB"/>
    <w:pPr>
      <w:outlineLvl w:val="7"/>
    </w:pPr>
  </w:style>
  <w:style w:type="paragraph" w:styleId="Heading9">
    <w:name w:val="heading 9"/>
    <w:basedOn w:val="Heading6"/>
    <w:next w:val="Normal"/>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rsid w:val="00F96511"/>
    <w:pPr>
      <w:keepNext/>
      <w:keepLines/>
      <w:spacing w:before="480" w:after="80"/>
      <w:jc w:val="center"/>
      <w:outlineLvl w:val="0"/>
    </w:pPr>
    <w:rPr>
      <w:b/>
      <w:sz w:val="28"/>
    </w:rPr>
  </w:style>
  <w:style w:type="paragraph" w:customStyle="1" w:styleId="Normalaftertitle">
    <w:name w:val="Normal_after_title"/>
    <w:basedOn w:val="Normal"/>
    <w:next w:val="Normal"/>
    <w:link w:val="NormalaftertitleChar"/>
    <w:rsid w:val="00A936CB"/>
    <w:pPr>
      <w:spacing w:before="320"/>
    </w:pPr>
  </w:style>
  <w:style w:type="paragraph" w:customStyle="1" w:styleId="enumlev2">
    <w:name w:val="enumlev2"/>
    <w:basedOn w:val="enumlev1"/>
    <w:rsid w:val="00A936CB"/>
    <w:pPr>
      <w:ind w:left="1191" w:hanging="397"/>
    </w:pPr>
  </w:style>
  <w:style w:type="paragraph" w:customStyle="1" w:styleId="enumlev1">
    <w:name w:val="enumlev1"/>
    <w:basedOn w:val="Normal"/>
    <w:link w:val="enumlev1Char"/>
    <w:rsid w:val="00A936CB"/>
    <w:pPr>
      <w:spacing w:before="80"/>
      <w:ind w:left="794" w:hanging="794"/>
    </w:pPr>
  </w:style>
  <w:style w:type="paragraph" w:customStyle="1" w:styleId="enumlev3">
    <w:name w:val="enumlev3"/>
    <w:basedOn w:val="enumlev2"/>
    <w:rsid w:val="00A936CB"/>
    <w:pPr>
      <w:ind w:left="1588"/>
    </w:pPr>
  </w:style>
  <w:style w:type="paragraph" w:customStyle="1" w:styleId="Note">
    <w:name w:val="Note"/>
    <w:basedOn w:val="Normal"/>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7F00DD"/>
    <w:pPr>
      <w:spacing w:before="240"/>
    </w:pPr>
    <w:rPr>
      <w:sz w:val="22"/>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lang w:val="en-GB"/>
    </w:rPr>
  </w:style>
  <w:style w:type="paragraph" w:customStyle="1" w:styleId="Tablehead">
    <w:name w:val="Table_head"/>
    <w:basedOn w:val="Normal"/>
    <w:next w:val="Normal"/>
    <w:link w:val="TableheadChar"/>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rsid w:val="00A936CB"/>
    <w:pPr>
      <w:keepNext/>
      <w:spacing w:before="360" w:after="120"/>
      <w:jc w:val="center"/>
    </w:pPr>
  </w:style>
  <w:style w:type="paragraph" w:customStyle="1" w:styleId="Tabletext">
    <w:name w:val="Table_text"/>
    <w:basedOn w:val="Normal"/>
    <w:link w:val="TabletextChar"/>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A936CB"/>
    <w:pPr>
      <w:keepNext/>
      <w:keepLines/>
      <w:spacing w:before="480" w:after="80"/>
      <w:jc w:val="center"/>
    </w:pPr>
    <w:rPr>
      <w:caps/>
      <w:sz w:val="18"/>
    </w:rPr>
  </w:style>
  <w:style w:type="paragraph" w:customStyle="1" w:styleId="Figuretitle">
    <w:name w:val="Figure_title"/>
    <w:basedOn w:val="Normal"/>
    <w:next w:val="Figure"/>
    <w:link w:val="FiguretitleChar"/>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A936CB"/>
    <w:pPr>
      <w:keepNext/>
      <w:keepLines/>
      <w:spacing w:before="160"/>
      <w:ind w:left="794"/>
    </w:pPr>
    <w:rPr>
      <w: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basedOn w:val="DefaultParagraphFont"/>
    <w:rsid w:val="00A936CB"/>
    <w:rPr>
      <w:position w:val="6"/>
      <w:sz w:val="18"/>
    </w:rPr>
  </w:style>
  <w:style w:type="paragraph" w:styleId="FootnoteText">
    <w:name w:val="footnote text"/>
    <w:basedOn w:val="Normal"/>
    <w:link w:val="FootnoteTextChar"/>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semiHidden/>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semiHidden/>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A936CB"/>
    <w:pPr>
      <w:tabs>
        <w:tab w:val="clear" w:pos="567"/>
        <w:tab w:val="left" w:pos="1276"/>
      </w:tabs>
      <w:spacing w:before="160"/>
      <w:ind w:left="1276" w:hanging="709"/>
    </w:pPr>
  </w:style>
  <w:style w:type="paragraph" w:styleId="TOC3">
    <w:name w:val="toc 3"/>
    <w:basedOn w:val="TOC2"/>
    <w:semiHidden/>
    <w:rsid w:val="00A936CB"/>
    <w:pPr>
      <w:tabs>
        <w:tab w:val="clear" w:pos="1276"/>
        <w:tab w:val="left" w:pos="2155"/>
      </w:tabs>
      <w:ind w:left="2155" w:hanging="879"/>
    </w:pPr>
  </w:style>
  <w:style w:type="paragraph" w:styleId="TOC4">
    <w:name w:val="toc 4"/>
    <w:basedOn w:val="TOC3"/>
    <w:semiHidden/>
    <w:rsid w:val="00A936CB"/>
    <w:pPr>
      <w:tabs>
        <w:tab w:val="left" w:pos="3261"/>
      </w:tabs>
      <w:spacing w:before="80"/>
      <w:ind w:left="3261" w:hanging="993"/>
    </w:pPr>
  </w:style>
  <w:style w:type="paragraph" w:styleId="TOC5">
    <w:name w:val="toc 5"/>
    <w:basedOn w:val="TOC4"/>
    <w:semiHidden/>
    <w:rsid w:val="00A936CB"/>
  </w:style>
  <w:style w:type="paragraph" w:styleId="TOC6">
    <w:name w:val="toc 6"/>
    <w:basedOn w:val="TOC4"/>
    <w:semiHidden/>
    <w:rsid w:val="00A936CB"/>
  </w:style>
  <w:style w:type="paragraph" w:styleId="TOC7">
    <w:name w:val="toc 7"/>
    <w:basedOn w:val="TOC4"/>
    <w:semiHidden/>
    <w:rsid w:val="00A936CB"/>
  </w:style>
  <w:style w:type="paragraph" w:styleId="TOC8">
    <w:name w:val="toc 8"/>
    <w:basedOn w:val="TOC4"/>
    <w:semiHidden/>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link w:val="TabletitleChar"/>
    <w:rsid w:val="00A936CB"/>
    <w:pPr>
      <w:keepNext/>
      <w:spacing w:before="0" w:after="120"/>
      <w:jc w:val="center"/>
    </w:pPr>
    <w:rPr>
      <w:b/>
    </w:rPr>
  </w:style>
  <w:style w:type="paragraph" w:customStyle="1" w:styleId="Summary">
    <w:name w:val="Summary"/>
    <w:basedOn w:val="Normal"/>
    <w:next w:val="Normalaftertitle"/>
    <w:autoRedefine/>
    <w:rsid w:val="007F00DD"/>
    <w:pPr>
      <w:spacing w:after="480"/>
    </w:pPr>
    <w:rPr>
      <w:sz w:val="22"/>
    </w:rPr>
  </w:style>
  <w:style w:type="character" w:styleId="Hyperlink">
    <w:name w:val="Hyperlink"/>
    <w:basedOn w:val="DefaultParagraphFont"/>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uiPriority w:val="99"/>
    <w:rsid w:val="00EE47C4"/>
    <w:rPr>
      <w:sz w:val="24"/>
      <w:lang w:val="fr-FR" w:eastAsia="en-US"/>
    </w:rPr>
  </w:style>
  <w:style w:type="table" w:styleId="TableGrid">
    <w:name w:val="Table Grid"/>
    <w:basedOn w:val="TableNormal"/>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TitleCover">
    <w:name w:val="Title Cover"/>
    <w:basedOn w:val="Normal"/>
    <w:qFormat/>
    <w:rsid w:val="00534021"/>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FootnoteTextChar">
    <w:name w:val="Footnote Text Char"/>
    <w:basedOn w:val="DefaultParagraphFont"/>
    <w:link w:val="FootnoteText"/>
    <w:rsid w:val="00534021"/>
    <w:rPr>
      <w:sz w:val="22"/>
      <w:lang w:val="es-ES" w:eastAsia="en-US"/>
    </w:rPr>
  </w:style>
  <w:style w:type="paragraph" w:customStyle="1" w:styleId="Reasons">
    <w:name w:val="Reasons"/>
    <w:basedOn w:val="Normal"/>
    <w:qFormat/>
    <w:rsid w:val="00534021"/>
    <w:pPr>
      <w:tabs>
        <w:tab w:val="clear" w:pos="794"/>
        <w:tab w:val="clear" w:pos="1191"/>
        <w:tab w:val="left" w:pos="1134"/>
      </w:tabs>
      <w:jc w:val="left"/>
    </w:pPr>
    <w:rPr>
      <w:lang w:val="en-GB"/>
    </w:rPr>
  </w:style>
  <w:style w:type="character" w:customStyle="1" w:styleId="FiguretitleChar">
    <w:name w:val="Figure_title Char"/>
    <w:basedOn w:val="DefaultParagraphFont"/>
    <w:link w:val="Figuretitle"/>
    <w:rsid w:val="00534021"/>
    <w:rPr>
      <w:rFonts w:ascii="Times New Roman Bold" w:hAnsi="Times New Roman Bold"/>
      <w:b/>
      <w:sz w:val="18"/>
      <w:lang w:val="es-ES" w:eastAsia="en-US"/>
    </w:rPr>
  </w:style>
  <w:style w:type="character" w:customStyle="1" w:styleId="HeadingbChar">
    <w:name w:val="Heading_b Char"/>
    <w:basedOn w:val="DefaultParagraphFont"/>
    <w:link w:val="Headingb"/>
    <w:locked/>
    <w:rsid w:val="00534021"/>
    <w:rPr>
      <w:b/>
      <w:sz w:val="24"/>
      <w:lang w:val="es-ES" w:eastAsia="en-US"/>
    </w:rPr>
  </w:style>
  <w:style w:type="character" w:customStyle="1" w:styleId="enumlev1Char">
    <w:name w:val="enumlev1 Char"/>
    <w:basedOn w:val="DefaultParagraphFont"/>
    <w:link w:val="enumlev1"/>
    <w:locked/>
    <w:rsid w:val="00534021"/>
    <w:rPr>
      <w:sz w:val="24"/>
      <w:lang w:val="es-ES" w:eastAsia="en-US"/>
    </w:rPr>
  </w:style>
  <w:style w:type="character" w:customStyle="1" w:styleId="NormalaftertitleChar">
    <w:name w:val="Normal_after_title Char"/>
    <w:basedOn w:val="DefaultParagraphFont"/>
    <w:link w:val="Normalaftertitle"/>
    <w:locked/>
    <w:rsid w:val="00534021"/>
    <w:rPr>
      <w:sz w:val="24"/>
      <w:lang w:val="es-ES" w:eastAsia="en-US"/>
    </w:rPr>
  </w:style>
  <w:style w:type="character" w:customStyle="1" w:styleId="RectitleChar">
    <w:name w:val="Rec_title Char"/>
    <w:link w:val="Rectitle"/>
    <w:locked/>
    <w:rsid w:val="00534021"/>
    <w:rPr>
      <w:b/>
      <w:sz w:val="28"/>
      <w:lang w:val="es-ES" w:eastAsia="en-US"/>
    </w:rPr>
  </w:style>
  <w:style w:type="character" w:customStyle="1" w:styleId="TabletitleChar">
    <w:name w:val="Table_title Char"/>
    <w:basedOn w:val="DefaultParagraphFont"/>
    <w:link w:val="Tabletitle"/>
    <w:locked/>
    <w:rsid w:val="00534021"/>
    <w:rPr>
      <w:b/>
      <w:sz w:val="24"/>
      <w:lang w:val="es-ES" w:eastAsia="en-US"/>
    </w:rPr>
  </w:style>
  <w:style w:type="character" w:customStyle="1" w:styleId="FigureNoChar">
    <w:name w:val="Figure_No Char"/>
    <w:basedOn w:val="DefaultParagraphFont"/>
    <w:link w:val="FigureNo"/>
    <w:locked/>
    <w:rsid w:val="00534021"/>
    <w:rPr>
      <w:caps/>
      <w:sz w:val="18"/>
      <w:lang w:val="es-ES" w:eastAsia="en-US"/>
    </w:rPr>
  </w:style>
  <w:style w:type="character" w:customStyle="1" w:styleId="CallChar">
    <w:name w:val="Call Char"/>
    <w:link w:val="Call"/>
    <w:locked/>
    <w:rsid w:val="00534021"/>
    <w:rPr>
      <w:i/>
      <w:sz w:val="24"/>
      <w:lang w:val="es-ES" w:eastAsia="en-US"/>
    </w:rPr>
  </w:style>
  <w:style w:type="character" w:customStyle="1" w:styleId="TabletextChar">
    <w:name w:val="Table_text Char"/>
    <w:link w:val="Tabletext"/>
    <w:locked/>
    <w:rsid w:val="00534021"/>
    <w:rPr>
      <w:sz w:val="22"/>
      <w:lang w:val="es-ES" w:eastAsia="en-US"/>
    </w:rPr>
  </w:style>
  <w:style w:type="character" w:customStyle="1" w:styleId="TableNo0">
    <w:name w:val="Table_No Знак"/>
    <w:link w:val="TableNo"/>
    <w:locked/>
    <w:rsid w:val="00534021"/>
    <w:rPr>
      <w:sz w:val="24"/>
      <w:lang w:val="es-ES" w:eastAsia="en-US"/>
    </w:rPr>
  </w:style>
  <w:style w:type="character" w:customStyle="1" w:styleId="TableheadChar">
    <w:name w:val="Table_head Char"/>
    <w:link w:val="Tablehead"/>
    <w:locked/>
    <w:rsid w:val="00534021"/>
    <w:rPr>
      <w:b/>
      <w:sz w:val="22"/>
      <w:lang w:val="es-ES" w:eastAsia="en-US"/>
    </w:rPr>
  </w:style>
  <w:style w:type="paragraph" w:styleId="Revision">
    <w:name w:val="Revision"/>
    <w:hidden/>
    <w:uiPriority w:val="99"/>
    <w:semiHidden/>
    <w:rsid w:val="00F73F11"/>
    <w:rPr>
      <w:sz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1.essex.ac.uk/psychology/overlays/1999-141.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publ/R-REC/es" TargetMode="External"/><Relationship Id="rId17" Type="http://schemas.openxmlformats.org/officeDocument/2006/relationships/hyperlink" Target="https://www.ncbi.nlm.nih.gov/pmc/articles/PMC3404594/"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es"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da\AppData\Local\Temp\44c9722f-9690-416a-a18f-b50807fc91cc_Recomendaciones%20Nueva%20carpeta%20comprimida%20(en%20zip).zip.1cc\2023-ITU-R_REC_BT_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1402E-F989-4D5B-8EEA-A243FDF79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2023-ITU-R_REC_BT_S.dotx</Template>
  <TotalTime>159</TotalTime>
  <Pages>12</Pages>
  <Words>4181</Words>
  <Characters>23093</Characters>
  <Application>Microsoft Office Word</Application>
  <DocSecurity>0</DocSecurity>
  <Lines>679</Lines>
  <Paragraphs>470</Paragraphs>
  <ScaleCrop>false</ScaleCrop>
  <HeadingPairs>
    <vt:vector size="2" baseType="variant">
      <vt:variant>
        <vt:lpstr>Title</vt:lpstr>
      </vt:variant>
      <vt:variant>
        <vt:i4>1</vt:i4>
      </vt:variant>
    </vt:vector>
  </HeadingPairs>
  <TitlesOfParts>
    <vt:vector size="1" baseType="lpstr">
      <vt:lpstr>Recomendación UIT-R BT.1702-3 (11/2023) - Directrices para reducir el riesgo de ataques de epilepsia fotosensible causados por la televisión </vt:lpstr>
    </vt:vector>
  </TitlesOfParts>
  <Manager/>
  <Company>ITU</Company>
  <LinksUpToDate>false</LinksUpToDate>
  <CharactersWithSpaces>26804</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UIT-R BT.1702-3 (11/2023) - Directrices para reducir el riesgo de ataques de epilepsia fotosensible causados por la televisión </dc:title>
  <dc:subject>Serie BT = Servicio de radiodifusión (televisión)</dc:subject>
  <dc:creator>Oficina de Radiocomunicaciones del UIT (BR)</dc:creator>
  <cp:keywords/>
  <dc:description>Saez, 21.08.2024, ITU51017659</dc:description>
  <cp:lastModifiedBy>Saez Grau, Ricardo</cp:lastModifiedBy>
  <cp:revision>13</cp:revision>
  <cp:lastPrinted>2024-08-21T12:21:00Z</cp:lastPrinted>
  <dcterms:created xsi:type="dcterms:W3CDTF">2024-08-21T09:59:00Z</dcterms:created>
  <dcterms:modified xsi:type="dcterms:W3CDTF">2024-08-21T12:40:00Z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Spanish</vt:lpwstr>
  </property>
  <property fmtid="{D5CDD505-2E9C-101B-9397-08002B2CF9AE}" pid="10" name="Typist">
    <vt:lpwstr>Saez</vt:lpwstr>
  </property>
  <property fmtid="{D5CDD505-2E9C-101B-9397-08002B2CF9AE}" pid="11" name="Date completed">
    <vt:lpwstr>mercredi, 21 août 2024</vt:lpwstr>
  </property>
</Properties>
</file>