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CC6D04">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CC6D04">
              <w:rPr>
                <w:rFonts w:ascii="Tahoma" w:hAnsi="Tahoma" w:cs="Tahoma"/>
                <w:b/>
                <w:bCs/>
                <w:iCs/>
                <w:color w:val="243285"/>
                <w:sz w:val="36"/>
                <w:szCs w:val="36"/>
              </w:rPr>
              <w:t>1769</w:t>
            </w:r>
          </w:p>
          <w:p w:rsidR="00FE79FE" w:rsidRPr="006B55A9" w:rsidRDefault="007D3B79" w:rsidP="00CC6D0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C6D04">
              <w:rPr>
                <w:rFonts w:ascii="Tahoma" w:hAnsi="Tahoma" w:cs="Tahoma"/>
                <w:b/>
                <w:bCs/>
                <w:iCs/>
                <w:color w:val="243285"/>
                <w:szCs w:val="24"/>
              </w:rPr>
              <w:t>06</w:t>
            </w:r>
            <w:r w:rsidR="00FE79FE" w:rsidRPr="006B55A9">
              <w:rPr>
                <w:rFonts w:ascii="Tahoma" w:hAnsi="Tahoma" w:cs="Tahoma"/>
                <w:b/>
                <w:bCs/>
                <w:iCs/>
                <w:color w:val="243285"/>
                <w:szCs w:val="24"/>
              </w:rPr>
              <w:t>/</w:t>
            </w:r>
            <w:r w:rsidR="00CC6D04">
              <w:rPr>
                <w:rFonts w:ascii="Tahoma" w:hAnsi="Tahoma" w:cs="Tahoma"/>
                <w:b/>
                <w:bCs/>
                <w:iCs/>
                <w:color w:val="243285"/>
                <w:szCs w:val="24"/>
              </w:rPr>
              <w:t>2008</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CC6D04"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Parameter values for an expanded hierarchy of LSDI image formats for production and international programme exchange</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C743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10</w:t>
      </w:r>
    </w:p>
    <w:p w:rsidR="007D3B79" w:rsidRDefault="007D3B79" w:rsidP="007D3B79">
      <w:pPr>
        <w:jc w:val="center"/>
        <w:rPr>
          <w:sz w:val="22"/>
          <w:lang w:val="en-US"/>
        </w:rPr>
      </w:pPr>
    </w:p>
    <w:p w:rsidR="007D3B79" w:rsidRPr="00470E28" w:rsidRDefault="007D3B79" w:rsidP="00C743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10</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CC6D04" w:rsidRDefault="00CC6D04" w:rsidP="00CC6D04">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1769</w:t>
      </w:r>
      <w:r>
        <w:rPr>
          <w:rStyle w:val="FootnoteReference"/>
          <w:lang w:val="en-US"/>
        </w:rPr>
        <w:footnoteReference w:customMarkFollows="1" w:id="1"/>
        <w:t>*</w:t>
      </w:r>
    </w:p>
    <w:p w:rsidR="00CC6D04" w:rsidRPr="00AD6C00" w:rsidRDefault="00CC6D04" w:rsidP="00CC6D04">
      <w:pPr>
        <w:pStyle w:val="Rectitle"/>
        <w:rPr>
          <w:lang w:val="en-US"/>
        </w:rPr>
      </w:pPr>
      <w:r w:rsidRPr="00AD6C00">
        <w:rPr>
          <w:lang w:val="en-US"/>
        </w:rPr>
        <w:t>Parameter values for an expanded hierarchy of LSDI</w:t>
      </w:r>
      <w:r>
        <w:rPr>
          <w:rStyle w:val="FootnoteReference"/>
          <w:lang w:val="en-US"/>
        </w:rPr>
        <w:footnoteReference w:customMarkFollows="1" w:id="2"/>
        <w:t>**</w:t>
      </w:r>
      <w:r w:rsidRPr="00AD6C00">
        <w:rPr>
          <w:lang w:val="en-US"/>
        </w:rPr>
        <w:t xml:space="preserve"> image</w:t>
      </w:r>
      <w:r w:rsidRPr="00AD6C00">
        <w:rPr>
          <w:lang w:val="en-US"/>
        </w:rPr>
        <w:br/>
        <w:t>formats for production and international programme exchange</w:t>
      </w:r>
      <w:r>
        <w:rPr>
          <w:rStyle w:val="FootnoteReference"/>
          <w:lang w:val="en-US"/>
        </w:rPr>
        <w:footnoteReference w:customMarkFollows="1" w:id="3"/>
        <w:t>***</w:t>
      </w:r>
    </w:p>
    <w:p w:rsidR="00CC6D04" w:rsidRPr="00AD6C00" w:rsidRDefault="00CC6D04" w:rsidP="00CC6D04">
      <w:pPr>
        <w:pStyle w:val="Recref"/>
        <w:rPr>
          <w:rFonts w:eastAsia="MS Gothic"/>
          <w:lang w:val="en-US"/>
        </w:rPr>
      </w:pPr>
      <w:r w:rsidRPr="00AD6C00">
        <w:rPr>
          <w:rFonts w:eastAsia="MS Gothic"/>
          <w:lang w:val="en-US"/>
        </w:rPr>
        <w:t>(Question ITU-R 15/6)</w:t>
      </w:r>
    </w:p>
    <w:p w:rsidR="00CC6D04" w:rsidRDefault="00CC6D04" w:rsidP="00CC6D04">
      <w:pPr>
        <w:pStyle w:val="Recdate"/>
        <w:rPr>
          <w:rFonts w:eastAsia="MS Gothic"/>
          <w:lang w:val="en-US"/>
        </w:rPr>
      </w:pPr>
    </w:p>
    <w:p w:rsidR="00CC6D04" w:rsidRDefault="00CC6D04" w:rsidP="00CC6D04">
      <w:pPr>
        <w:pStyle w:val="Recdate"/>
        <w:rPr>
          <w:rFonts w:eastAsia="MS Gothic"/>
          <w:lang w:val="en-US"/>
        </w:rPr>
      </w:pPr>
      <w:r w:rsidRPr="00AD6C00">
        <w:rPr>
          <w:rFonts w:eastAsia="MS Gothic"/>
          <w:lang w:val="en-US"/>
        </w:rPr>
        <w:t>(2006)</w:t>
      </w:r>
    </w:p>
    <w:p w:rsidR="00CC6D04" w:rsidRPr="007E61AF" w:rsidRDefault="00CC6D04" w:rsidP="00CC6D04">
      <w:pPr>
        <w:rPr>
          <w:rFonts w:eastAsia="MS Gothic"/>
          <w:lang w:val="en-US"/>
        </w:rPr>
      </w:pPr>
    </w:p>
    <w:p w:rsidR="00CC6D04" w:rsidRPr="009B31E1" w:rsidRDefault="00CC6D04" w:rsidP="00CC6D04">
      <w:pPr>
        <w:pStyle w:val="HeadingSum"/>
      </w:pPr>
      <w:r w:rsidRPr="009B31E1">
        <w:t>Scope</w:t>
      </w:r>
    </w:p>
    <w:p w:rsidR="00CC6D04" w:rsidRPr="009B31E1" w:rsidRDefault="00CC6D04" w:rsidP="00CC6D04">
      <w:pPr>
        <w:pStyle w:val="Summary"/>
        <w:rPr>
          <w:rFonts w:eastAsia="HiraKakuPro-W3"/>
        </w:rPr>
      </w:pPr>
      <w:r w:rsidRPr="009B31E1">
        <w:t xml:space="preserve">Some LSDI applications require certain resolution and scanning formats that go beyond HDTV in order to give viewers enhanced visual experiences. This Recommendation specifies </w:t>
      </w:r>
      <w:r w:rsidRPr="009B31E1">
        <w:rPr>
          <w:rFonts w:eastAsia="HiraKakuPro-W3"/>
        </w:rPr>
        <w:t>an expanded hierarchy of LSDI image formats for production and international programme exchange while retaining the tiered relationship with the formats in existing Recommendations.</w:t>
      </w:r>
    </w:p>
    <w:p w:rsidR="00CC6D04" w:rsidRPr="00AD6C00" w:rsidRDefault="00CC6D04" w:rsidP="00CC6D04">
      <w:pPr>
        <w:pStyle w:val="Normalaftertitle"/>
        <w:rPr>
          <w:lang w:val="en-US"/>
        </w:rPr>
      </w:pPr>
      <w:r w:rsidRPr="00AD6C00">
        <w:rPr>
          <w:lang w:val="en-US"/>
        </w:rPr>
        <w:t>The ITU Radiocommunication Assembly,</w:t>
      </w:r>
    </w:p>
    <w:p w:rsidR="00CC6D04" w:rsidRPr="00AD6C00" w:rsidRDefault="00CC6D04" w:rsidP="00CC6D04">
      <w:pPr>
        <w:pStyle w:val="Call"/>
        <w:rPr>
          <w:lang w:val="en-US"/>
        </w:rPr>
      </w:pPr>
      <w:r w:rsidRPr="00AD6C00">
        <w:rPr>
          <w:lang w:val="en-US"/>
        </w:rPr>
        <w:t>considering</w:t>
      </w:r>
    </w:p>
    <w:p w:rsidR="00CC6D04" w:rsidRPr="009B31E1" w:rsidRDefault="00CC6D04" w:rsidP="00CC6D04">
      <w:r w:rsidRPr="009B31E1">
        <w:rPr>
          <w:lang w:eastAsia="ja-JP"/>
        </w:rPr>
        <w:t>a)</w:t>
      </w:r>
      <w:r w:rsidRPr="009B31E1">
        <w:rPr>
          <w:lang w:eastAsia="ja-JP"/>
        </w:rPr>
        <w:tab/>
        <w:t xml:space="preserve">that </w:t>
      </w:r>
      <w:r w:rsidRPr="009B31E1">
        <w:t>LSDI (large screen digital imagery) is a family of digital imagery systems which can be used in a wide variety of applications including programme presentations such as dramas, plays, sporting events, concerts, etc.</w:t>
      </w:r>
      <w:r w:rsidRPr="009B31E1">
        <w:rPr>
          <w:lang w:eastAsia="ja-JP"/>
        </w:rPr>
        <w:t>;</w:t>
      </w:r>
    </w:p>
    <w:p w:rsidR="00CC6D04" w:rsidRPr="009B31E1" w:rsidRDefault="00CC6D04" w:rsidP="00CC6D04">
      <w:r w:rsidRPr="009B31E1">
        <w:rPr>
          <w:lang w:eastAsia="ja-JP"/>
        </w:rPr>
        <w:t>b)</w:t>
      </w:r>
      <w:r w:rsidRPr="009B31E1">
        <w:rPr>
          <w:lang w:eastAsia="ja-JP"/>
        </w:rPr>
        <w:tab/>
        <w:t xml:space="preserve">that </w:t>
      </w:r>
      <w:r w:rsidRPr="009B31E1">
        <w:t xml:space="preserve">hierarchical image formats </w:t>
      </w:r>
      <w:r w:rsidRPr="009B31E1">
        <w:rPr>
          <w:lang w:eastAsia="ja-JP"/>
        </w:rPr>
        <w:t>for LSDI are</w:t>
      </w:r>
      <w:r w:rsidRPr="009B31E1">
        <w:t xml:space="preserve"> required</w:t>
      </w:r>
      <w:r w:rsidRPr="009B31E1">
        <w:rPr>
          <w:lang w:eastAsia="ja-JP"/>
        </w:rPr>
        <w:t xml:space="preserve"> </w:t>
      </w:r>
      <w:r w:rsidRPr="009B31E1">
        <w:t xml:space="preserve">in order to </w:t>
      </w:r>
      <w:r w:rsidRPr="009B31E1">
        <w:rPr>
          <w:lang w:eastAsia="ja-JP"/>
        </w:rPr>
        <w:t>cover</w:t>
      </w:r>
      <w:r w:rsidRPr="009B31E1">
        <w:t xml:space="preserve"> the various applications;</w:t>
      </w:r>
    </w:p>
    <w:p w:rsidR="00CC6D04" w:rsidRPr="009B31E1" w:rsidRDefault="00CC6D04" w:rsidP="00CC6D04">
      <w:r w:rsidRPr="009B31E1">
        <w:rPr>
          <w:lang w:eastAsia="ja-JP"/>
        </w:rPr>
        <w:t>c)</w:t>
      </w:r>
      <w:r w:rsidRPr="009B31E1">
        <w:rPr>
          <w:lang w:eastAsia="ja-JP"/>
        </w:rPr>
        <w:tab/>
        <w:t xml:space="preserve">that </w:t>
      </w:r>
      <w:r w:rsidRPr="009B31E1">
        <w:t>ITU-R Recommendations cover three levels of image formats, namely 0.5 Mega pixels, 1 Mega pixels and 2 Mega pixels</w:t>
      </w:r>
      <w:r w:rsidRPr="009B31E1">
        <w:rPr>
          <w:lang w:eastAsia="ja-JP"/>
        </w:rPr>
        <w:t xml:space="preserve"> and that the </w:t>
      </w:r>
      <w:r w:rsidRPr="009B31E1">
        <w:t>2 Mega pixels systems</w:t>
      </w:r>
      <w:r w:rsidRPr="009B31E1">
        <w:rPr>
          <w:lang w:eastAsia="ja-JP"/>
        </w:rPr>
        <w:t xml:space="preserve"> specified in Recommendation ITU-R BT.709</w:t>
      </w:r>
      <w:r w:rsidRPr="009B31E1">
        <w:t xml:space="preserve"> is the highest picture quality which ITU has ever standardized;</w:t>
      </w:r>
    </w:p>
    <w:p w:rsidR="00CC6D04" w:rsidRPr="009B31E1" w:rsidRDefault="00CC6D04" w:rsidP="00CC6D04">
      <w:pPr>
        <w:rPr>
          <w:lang w:eastAsia="ja-JP"/>
        </w:rPr>
      </w:pPr>
      <w:r w:rsidRPr="009B31E1">
        <w:rPr>
          <w:lang w:eastAsia="ja-JP"/>
        </w:rPr>
        <w:t>d)</w:t>
      </w:r>
      <w:r w:rsidRPr="009B31E1">
        <w:rPr>
          <w:lang w:eastAsia="ja-JP"/>
        </w:rPr>
        <w:tab/>
        <w:t>that parameter</w:t>
      </w:r>
      <w:r w:rsidRPr="009B31E1">
        <w:t xml:space="preserve"> </w:t>
      </w:r>
      <w:r w:rsidRPr="009B31E1">
        <w:rPr>
          <w:lang w:eastAsia="ja-JP"/>
        </w:rPr>
        <w:t>values for an expanded hierarchy of LSDI image formats should provide</w:t>
      </w:r>
      <w:r w:rsidRPr="009B31E1">
        <w:t xml:space="preserve"> conformity with </w:t>
      </w:r>
      <w:r w:rsidRPr="009B31E1">
        <w:rPr>
          <w:lang w:eastAsia="ja-JP"/>
        </w:rPr>
        <w:t>Recommendation ITU-R BT.709;</w:t>
      </w:r>
    </w:p>
    <w:p w:rsidR="00CC6D04" w:rsidRPr="009B31E1" w:rsidRDefault="00CC6D04" w:rsidP="00CC6D04">
      <w:pPr>
        <w:rPr>
          <w:lang w:eastAsia="ja-JP"/>
        </w:rPr>
      </w:pPr>
      <w:r w:rsidRPr="009B31E1">
        <w:rPr>
          <w:lang w:eastAsia="ja-JP"/>
        </w:rPr>
        <w:t>e)</w:t>
      </w:r>
      <w:r w:rsidRPr="009B31E1">
        <w:rPr>
          <w:lang w:eastAsia="ja-JP"/>
        </w:rPr>
        <w:tab/>
        <w:t xml:space="preserve">that Recommendation ITU-R BT.1201 – Extremely high resolution imagery, recommends image resolutions related to 1 920 </w:t>
      </w:r>
      <w:r w:rsidRPr="009B31E1">
        <w:rPr>
          <w:lang w:eastAsia="ja-JP"/>
        </w:rPr>
        <w:sym w:font="Symbol" w:char="F0B4"/>
      </w:r>
      <w:r w:rsidRPr="009B31E1">
        <w:rPr>
          <w:lang w:eastAsia="ja-JP"/>
        </w:rPr>
        <w:t xml:space="preserve"> 1 080 based on Recommendation ITU-R BT.709 by simple integer ratios;</w:t>
      </w:r>
    </w:p>
    <w:p w:rsidR="00CC6D04" w:rsidRPr="009B31E1" w:rsidRDefault="00CC6D04" w:rsidP="00CC6D04">
      <w:pPr>
        <w:rPr>
          <w:lang w:eastAsia="ja-JP"/>
        </w:rPr>
      </w:pPr>
      <w:r w:rsidRPr="009B31E1">
        <w:rPr>
          <w:lang w:eastAsia="ja-JP"/>
        </w:rPr>
        <w:t>f)</w:t>
      </w:r>
      <w:r w:rsidRPr="009B31E1">
        <w:rPr>
          <w:lang w:eastAsia="ja-JP"/>
        </w:rPr>
        <w:tab/>
        <w:t>that Recommendation ITU-R BT.1680 – Baseband imaging format for distribution of large screen digital imagery (LSDI) applications intended for presentation in a theatrical environment, recommends image formats up to HDTV resolution as members of a hierarchy of LSDI digital image formats;</w:t>
      </w:r>
    </w:p>
    <w:p w:rsidR="00CC6D04" w:rsidRPr="009B31E1" w:rsidRDefault="00CC6D04" w:rsidP="00CC6D04">
      <w:pPr>
        <w:keepLines/>
        <w:rPr>
          <w:lang w:eastAsia="ja-JP"/>
        </w:rPr>
      </w:pPr>
      <w:r w:rsidRPr="003718B9">
        <w:rPr>
          <w:lang w:val="en-US" w:eastAsia="ja-JP"/>
        </w:rPr>
        <w:lastRenderedPageBreak/>
        <w:t>g)</w:t>
      </w:r>
      <w:r w:rsidRPr="003718B9">
        <w:rPr>
          <w:lang w:val="en-US" w:eastAsia="ja-JP"/>
        </w:rPr>
        <w:tab/>
      </w:r>
      <w:r w:rsidRPr="003718B9">
        <w:rPr>
          <w:lang w:val="en-US"/>
        </w:rPr>
        <w:t xml:space="preserve">that some LSDI applications will require resolutions beyond that specified in Recommendation ITU-R BT.1680, since </w:t>
      </w:r>
      <w:r w:rsidRPr="003718B9">
        <w:rPr>
          <w:lang w:val="en-US" w:eastAsia="ja-JP"/>
        </w:rPr>
        <w:t>viewing angles determine the required level of image resolution</w:t>
      </w:r>
      <w:r w:rsidRPr="003718B9">
        <w:rPr>
          <w:lang w:val="en-US"/>
        </w:rPr>
        <w:t xml:space="preserve"> </w:t>
      </w:r>
      <w:r w:rsidRPr="003718B9">
        <w:rPr>
          <w:lang w:val="en-US" w:eastAsia="ja-JP"/>
        </w:rPr>
        <w:t xml:space="preserve">and </w:t>
      </w:r>
      <w:r w:rsidRPr="003718B9">
        <w:rPr>
          <w:lang w:val="en-US"/>
        </w:rPr>
        <w:t xml:space="preserve">visual experiences with </w:t>
      </w:r>
      <w:r w:rsidRPr="003718B9">
        <w:rPr>
          <w:lang w:val="en-US" w:eastAsia="ja-JP"/>
        </w:rPr>
        <w:t xml:space="preserve">wider </w:t>
      </w:r>
      <w:r w:rsidRPr="003718B9">
        <w:rPr>
          <w:lang w:val="en-US"/>
        </w:rPr>
        <w:t>viewing angle give viewer</w:t>
      </w:r>
      <w:r w:rsidRPr="003718B9">
        <w:rPr>
          <w:lang w:val="en-US" w:eastAsia="ja-JP"/>
        </w:rPr>
        <w:t>s</w:t>
      </w:r>
      <w:r w:rsidRPr="003718B9">
        <w:rPr>
          <w:lang w:val="en-US"/>
        </w:rPr>
        <w:t xml:space="preserve"> a high</w:t>
      </w:r>
      <w:r w:rsidRPr="003718B9">
        <w:rPr>
          <w:lang w:val="en-US" w:eastAsia="ja-JP"/>
        </w:rPr>
        <w:t xml:space="preserve">er </w:t>
      </w:r>
      <w:r w:rsidRPr="003718B9">
        <w:rPr>
          <w:lang w:val="en-US"/>
        </w:rPr>
        <w:t xml:space="preserve">sensation of reality. </w:t>
      </w:r>
      <w:r w:rsidRPr="009B31E1">
        <w:t>For example, some television productions intended for very large venues may require such higher resolutions</w:t>
      </w:r>
      <w:r w:rsidRPr="009B31E1">
        <w:rPr>
          <w:lang w:eastAsia="ja-JP"/>
        </w:rPr>
        <w:t>;</w:t>
      </w:r>
    </w:p>
    <w:p w:rsidR="00CC6D04" w:rsidRPr="009B31E1" w:rsidRDefault="00CC6D04" w:rsidP="00CC6D04">
      <w:r w:rsidRPr="009B31E1">
        <w:rPr>
          <w:lang w:eastAsia="ja-JP"/>
        </w:rPr>
        <w:t>h)</w:t>
      </w:r>
      <w:r w:rsidRPr="009B31E1">
        <w:rPr>
          <w:lang w:eastAsia="ja-JP"/>
        </w:rPr>
        <w:tab/>
      </w:r>
      <w:r w:rsidRPr="009B31E1">
        <w:t>that LSDI image formats are different from motion picture image formats;</w:t>
      </w:r>
    </w:p>
    <w:p w:rsidR="00CC6D04" w:rsidRPr="009B31E1" w:rsidRDefault="00CC6D04" w:rsidP="00CC6D04">
      <w:pPr>
        <w:rPr>
          <w:lang w:eastAsia="ja-JP"/>
        </w:rPr>
      </w:pPr>
      <w:r w:rsidRPr="009B31E1">
        <w:t>j)</w:t>
      </w:r>
      <w:r w:rsidRPr="009B31E1">
        <w:tab/>
        <w:t>that parameters for the network transport of the expanded hierarchy of LSDI image formats are contained in ITU-T Recommendation J.601,</w:t>
      </w:r>
    </w:p>
    <w:p w:rsidR="00CC6D04" w:rsidRPr="00AD6C00" w:rsidRDefault="00CC6D04" w:rsidP="00CC6D04">
      <w:pPr>
        <w:pStyle w:val="Call"/>
        <w:rPr>
          <w:lang w:val="en-US"/>
        </w:rPr>
      </w:pPr>
      <w:r w:rsidRPr="00AD6C00">
        <w:rPr>
          <w:lang w:val="en-US"/>
        </w:rPr>
        <w:t>recommends</w:t>
      </w:r>
    </w:p>
    <w:p w:rsidR="00CC6D04" w:rsidRDefault="00CC6D04" w:rsidP="00CC6D04">
      <w:r w:rsidRPr="009B31E1">
        <w:rPr>
          <w:b/>
          <w:bCs/>
        </w:rPr>
        <w:t>1</w:t>
      </w:r>
      <w:r w:rsidRPr="009B31E1">
        <w:tab/>
        <w:t>that in order to expand the</w:t>
      </w:r>
      <w:r w:rsidRPr="009B31E1">
        <w:rPr>
          <w:lang w:eastAsia="ja-JP"/>
        </w:rPr>
        <w:t xml:space="preserve"> hierarchy of </w:t>
      </w:r>
      <w:r w:rsidRPr="009B31E1">
        <w:t xml:space="preserve">LSDI </w:t>
      </w:r>
      <w:r w:rsidRPr="009B31E1">
        <w:rPr>
          <w:lang w:eastAsia="ja-JP"/>
        </w:rPr>
        <w:t>image formats for production and international programme exchange</w:t>
      </w:r>
      <w:r w:rsidRPr="009B31E1">
        <w:t xml:space="preserve">, </w:t>
      </w:r>
      <w:r w:rsidRPr="009B31E1">
        <w:rPr>
          <w:lang w:eastAsia="ja-JP"/>
        </w:rPr>
        <w:t>beyond</w:t>
      </w:r>
      <w:r w:rsidRPr="009B31E1">
        <w:t xml:space="preserve"> the image formats recalled in </w:t>
      </w:r>
      <w:r w:rsidRPr="009B31E1">
        <w:rPr>
          <w:i/>
        </w:rPr>
        <w:t>considerings</w:t>
      </w:r>
      <w:r w:rsidRPr="009B31E1">
        <w:t xml:space="preserve"> c) and h) and excluding motion picture image formats, image formats </w:t>
      </w:r>
      <w:r w:rsidRPr="009B31E1">
        <w:rPr>
          <w:lang w:eastAsia="ja-JP"/>
        </w:rPr>
        <w:t xml:space="preserve">based on Table 1 characteristics </w:t>
      </w:r>
      <w:r w:rsidRPr="009B31E1">
        <w:t>should be used when required.</w:t>
      </w:r>
    </w:p>
    <w:p w:rsidR="00CC6D04" w:rsidRPr="009B31E1" w:rsidRDefault="00CC6D04" w:rsidP="00CC6D04"/>
    <w:p w:rsidR="00CC6D04" w:rsidRPr="009B31E1" w:rsidRDefault="00CC6D04" w:rsidP="00CC6D04">
      <w:pPr>
        <w:pStyle w:val="TableNo"/>
        <w:rPr>
          <w:lang w:eastAsia="ja-JP"/>
        </w:rPr>
      </w:pPr>
      <w:r w:rsidRPr="009B31E1">
        <w:rPr>
          <w:lang w:eastAsia="ja-JP"/>
        </w:rPr>
        <w:t>TABLE 1</w:t>
      </w:r>
    </w:p>
    <w:p w:rsidR="00CC6D04" w:rsidRPr="009B31E1" w:rsidRDefault="00CC6D04" w:rsidP="00CC6D04">
      <w:pPr>
        <w:pStyle w:val="Tabletitle"/>
      </w:pPr>
      <w:r w:rsidRPr="009B31E1">
        <w:t>Picture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13"/>
        <w:gridCol w:w="2412"/>
        <w:gridCol w:w="2855"/>
        <w:gridCol w:w="2859"/>
      </w:tblGrid>
      <w:tr w:rsidR="00CC6D04" w:rsidRPr="009B31E1" w:rsidTr="00AD1722">
        <w:tblPrEx>
          <w:tblCellMar>
            <w:top w:w="0" w:type="dxa"/>
            <w:bottom w:w="0" w:type="dxa"/>
          </w:tblCellMar>
        </w:tblPrEx>
        <w:trPr>
          <w:trHeight w:val="20"/>
          <w:jc w:val="center"/>
        </w:trPr>
        <w:tc>
          <w:tcPr>
            <w:tcW w:w="1423" w:type="dxa"/>
            <w:vMerge w:val="restart"/>
            <w:vAlign w:val="center"/>
          </w:tcPr>
          <w:p w:rsidR="00CC6D04" w:rsidRPr="009B31E1" w:rsidRDefault="00CC6D04" w:rsidP="00AD1722">
            <w:pPr>
              <w:pStyle w:val="Tablehead"/>
            </w:pPr>
            <w:r w:rsidRPr="009B31E1">
              <w:t>Item</w:t>
            </w:r>
          </w:p>
        </w:tc>
        <w:tc>
          <w:tcPr>
            <w:tcW w:w="2268" w:type="dxa"/>
            <w:vMerge w:val="restart"/>
            <w:vAlign w:val="center"/>
          </w:tcPr>
          <w:p w:rsidR="00CC6D04" w:rsidRPr="009B31E1" w:rsidRDefault="00CC6D04" w:rsidP="00AD1722">
            <w:pPr>
              <w:pStyle w:val="Tablehead"/>
            </w:pPr>
            <w:r w:rsidRPr="009B31E1">
              <w:t>Parameter</w:t>
            </w:r>
          </w:p>
        </w:tc>
        <w:tc>
          <w:tcPr>
            <w:tcW w:w="5373" w:type="dxa"/>
            <w:gridSpan w:val="2"/>
            <w:vAlign w:val="center"/>
          </w:tcPr>
          <w:p w:rsidR="00CC6D04" w:rsidRPr="009B31E1" w:rsidRDefault="00CC6D04" w:rsidP="00AD1722">
            <w:pPr>
              <w:pStyle w:val="Tablehead"/>
            </w:pPr>
            <w:r w:rsidRPr="009B31E1">
              <w:t>Values</w:t>
            </w:r>
          </w:p>
        </w:tc>
      </w:tr>
      <w:tr w:rsidR="00CC6D04" w:rsidRPr="009B31E1" w:rsidTr="00AD1722">
        <w:tblPrEx>
          <w:tblCellMar>
            <w:top w:w="0" w:type="dxa"/>
            <w:bottom w:w="0" w:type="dxa"/>
          </w:tblCellMar>
        </w:tblPrEx>
        <w:trPr>
          <w:trHeight w:val="20"/>
          <w:jc w:val="center"/>
        </w:trPr>
        <w:tc>
          <w:tcPr>
            <w:tcW w:w="1423" w:type="dxa"/>
            <w:vMerge/>
          </w:tcPr>
          <w:p w:rsidR="00CC6D04" w:rsidRPr="009B31E1" w:rsidRDefault="00CC6D04" w:rsidP="00AD1722">
            <w:pPr>
              <w:pStyle w:val="Tablehead"/>
            </w:pPr>
          </w:p>
        </w:tc>
        <w:tc>
          <w:tcPr>
            <w:tcW w:w="2268" w:type="dxa"/>
            <w:vMerge/>
            <w:vAlign w:val="center"/>
          </w:tcPr>
          <w:p w:rsidR="00CC6D04" w:rsidRPr="009B31E1" w:rsidRDefault="00CC6D04" w:rsidP="00AD1722">
            <w:pPr>
              <w:pStyle w:val="Tablehead"/>
            </w:pPr>
          </w:p>
        </w:tc>
        <w:tc>
          <w:tcPr>
            <w:tcW w:w="2685" w:type="dxa"/>
            <w:vAlign w:val="center"/>
          </w:tcPr>
          <w:p w:rsidR="00CC6D04" w:rsidRPr="009B31E1" w:rsidRDefault="00CC6D04" w:rsidP="00AD1722">
            <w:pPr>
              <w:pStyle w:val="Tablehead"/>
            </w:pPr>
            <w:r w:rsidRPr="009B31E1">
              <w:t xml:space="preserve">3 840 </w:t>
            </w:r>
            <w:r w:rsidRPr="009B31E1">
              <w:sym w:font="Symbol" w:char="F0B4"/>
            </w:r>
            <w:r w:rsidRPr="009B31E1">
              <w:t xml:space="preserve"> 2 160 LSDI system</w:t>
            </w:r>
          </w:p>
        </w:tc>
        <w:tc>
          <w:tcPr>
            <w:tcW w:w="2688" w:type="dxa"/>
            <w:vAlign w:val="center"/>
          </w:tcPr>
          <w:p w:rsidR="00CC6D04" w:rsidRPr="009B31E1" w:rsidRDefault="00CC6D04" w:rsidP="00AD1722">
            <w:pPr>
              <w:pStyle w:val="Tablehead"/>
            </w:pPr>
            <w:r w:rsidRPr="009B31E1">
              <w:t xml:space="preserve">7 680 </w:t>
            </w:r>
            <w:r w:rsidRPr="009B31E1">
              <w:sym w:font="Symbol" w:char="F0B4"/>
            </w:r>
            <w:r w:rsidRPr="009B31E1">
              <w:t xml:space="preserve"> 4 320 LSDI system</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pPr>
            <w:r w:rsidRPr="009B31E1">
              <w:t>1.1</w:t>
            </w:r>
          </w:p>
        </w:tc>
        <w:tc>
          <w:tcPr>
            <w:tcW w:w="2268" w:type="dxa"/>
            <w:vAlign w:val="center"/>
          </w:tcPr>
          <w:p w:rsidR="00CC6D04" w:rsidRPr="009B31E1" w:rsidRDefault="00CC6D04" w:rsidP="00AD1722">
            <w:pPr>
              <w:pStyle w:val="Tabletext"/>
            </w:pPr>
            <w:r w:rsidRPr="009B31E1">
              <w:t>Picture aspect ratio</w:t>
            </w:r>
          </w:p>
        </w:tc>
        <w:tc>
          <w:tcPr>
            <w:tcW w:w="5373" w:type="dxa"/>
            <w:gridSpan w:val="2"/>
            <w:vAlign w:val="center"/>
          </w:tcPr>
          <w:p w:rsidR="00CC6D04" w:rsidRPr="009B31E1" w:rsidRDefault="00CC6D04" w:rsidP="00AD1722">
            <w:pPr>
              <w:pStyle w:val="Tabletext"/>
              <w:jc w:val="center"/>
            </w:pPr>
            <w:r w:rsidRPr="009B31E1">
              <w:t>16:9</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pPr>
            <w:r w:rsidRPr="009B31E1">
              <w:t>1.2</w:t>
            </w:r>
          </w:p>
        </w:tc>
        <w:tc>
          <w:tcPr>
            <w:tcW w:w="2268" w:type="dxa"/>
            <w:vAlign w:val="center"/>
          </w:tcPr>
          <w:p w:rsidR="00CC6D04" w:rsidRPr="009B31E1" w:rsidRDefault="00CC6D04" w:rsidP="00AD1722">
            <w:pPr>
              <w:pStyle w:val="Tabletext"/>
            </w:pPr>
            <w:r w:rsidRPr="009B31E1">
              <w:t>Samples per active line</w:t>
            </w:r>
          </w:p>
        </w:tc>
        <w:tc>
          <w:tcPr>
            <w:tcW w:w="2685" w:type="dxa"/>
            <w:vAlign w:val="center"/>
          </w:tcPr>
          <w:p w:rsidR="00CC6D04" w:rsidRPr="009B31E1" w:rsidRDefault="00CC6D04" w:rsidP="00AD1722">
            <w:pPr>
              <w:pStyle w:val="Tabletext"/>
              <w:jc w:val="center"/>
            </w:pPr>
            <w:r w:rsidRPr="009B31E1">
              <w:t>3 840</w:t>
            </w:r>
          </w:p>
        </w:tc>
        <w:tc>
          <w:tcPr>
            <w:tcW w:w="2688" w:type="dxa"/>
            <w:vAlign w:val="center"/>
          </w:tcPr>
          <w:p w:rsidR="00CC6D04" w:rsidRPr="009B31E1" w:rsidRDefault="00CC6D04" w:rsidP="00AD1722">
            <w:pPr>
              <w:pStyle w:val="Tabletext"/>
              <w:jc w:val="center"/>
            </w:pPr>
            <w:r w:rsidRPr="009B31E1">
              <w:t>7 680</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pPr>
            <w:r w:rsidRPr="009B31E1">
              <w:t>1.3</w:t>
            </w:r>
          </w:p>
        </w:tc>
        <w:tc>
          <w:tcPr>
            <w:tcW w:w="2268" w:type="dxa"/>
            <w:vAlign w:val="center"/>
          </w:tcPr>
          <w:p w:rsidR="00CC6D04" w:rsidRPr="009B31E1" w:rsidRDefault="00CC6D04" w:rsidP="00AD1722">
            <w:pPr>
              <w:pStyle w:val="Tabletext"/>
            </w:pPr>
            <w:r w:rsidRPr="009B31E1">
              <w:t>Active lines per picture</w:t>
            </w:r>
          </w:p>
        </w:tc>
        <w:tc>
          <w:tcPr>
            <w:tcW w:w="2685" w:type="dxa"/>
            <w:vAlign w:val="center"/>
          </w:tcPr>
          <w:p w:rsidR="00CC6D04" w:rsidRPr="009B31E1" w:rsidRDefault="00CC6D04" w:rsidP="00AD1722">
            <w:pPr>
              <w:pStyle w:val="Tabletext"/>
              <w:jc w:val="center"/>
            </w:pPr>
            <w:r w:rsidRPr="009B31E1">
              <w:t>2 160</w:t>
            </w:r>
          </w:p>
        </w:tc>
        <w:tc>
          <w:tcPr>
            <w:tcW w:w="2688" w:type="dxa"/>
            <w:vAlign w:val="center"/>
          </w:tcPr>
          <w:p w:rsidR="00CC6D04" w:rsidRPr="009B31E1" w:rsidRDefault="00CC6D04" w:rsidP="00AD1722">
            <w:pPr>
              <w:pStyle w:val="Tabletext"/>
              <w:jc w:val="center"/>
            </w:pPr>
            <w:r w:rsidRPr="009B31E1">
              <w:t>4 320</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pPr>
            <w:r w:rsidRPr="009B31E1">
              <w:t>1.4</w:t>
            </w:r>
          </w:p>
        </w:tc>
        <w:tc>
          <w:tcPr>
            <w:tcW w:w="2268" w:type="dxa"/>
            <w:vAlign w:val="center"/>
          </w:tcPr>
          <w:p w:rsidR="00CC6D04" w:rsidRPr="009B31E1" w:rsidRDefault="00CC6D04" w:rsidP="00AD1722">
            <w:pPr>
              <w:pStyle w:val="Tabletext"/>
            </w:pPr>
            <w:r w:rsidRPr="009B31E1">
              <w:t>Sampling lattice</w:t>
            </w:r>
          </w:p>
        </w:tc>
        <w:tc>
          <w:tcPr>
            <w:tcW w:w="5373" w:type="dxa"/>
            <w:gridSpan w:val="2"/>
            <w:vAlign w:val="center"/>
          </w:tcPr>
          <w:p w:rsidR="00CC6D04" w:rsidRPr="009B31E1" w:rsidRDefault="00CC6D04" w:rsidP="00AD1722">
            <w:pPr>
              <w:pStyle w:val="Tabletext"/>
              <w:jc w:val="center"/>
            </w:pPr>
            <w:r w:rsidRPr="009B31E1">
              <w:t>Orthogonal</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rPr>
                <w:lang w:eastAsia="ja-JP"/>
              </w:rPr>
            </w:pPr>
            <w:r w:rsidRPr="009B31E1">
              <w:rPr>
                <w:lang w:eastAsia="ja-JP"/>
              </w:rPr>
              <w:t>1.5</w:t>
            </w:r>
          </w:p>
        </w:tc>
        <w:tc>
          <w:tcPr>
            <w:tcW w:w="2268" w:type="dxa"/>
            <w:vAlign w:val="center"/>
          </w:tcPr>
          <w:p w:rsidR="00CC6D04" w:rsidRPr="009B31E1" w:rsidRDefault="00CC6D04" w:rsidP="00AD1722">
            <w:pPr>
              <w:pStyle w:val="Tabletext"/>
              <w:rPr>
                <w:lang w:eastAsia="ja-JP"/>
              </w:rPr>
            </w:pPr>
            <w:r w:rsidRPr="009B31E1">
              <w:rPr>
                <w:lang w:eastAsia="ja-JP"/>
              </w:rPr>
              <w:t>Order of samples</w:t>
            </w:r>
          </w:p>
        </w:tc>
        <w:tc>
          <w:tcPr>
            <w:tcW w:w="5373" w:type="dxa"/>
            <w:gridSpan w:val="2"/>
            <w:vAlign w:val="center"/>
          </w:tcPr>
          <w:p w:rsidR="00CC6D04" w:rsidRPr="00AD6C00" w:rsidRDefault="00CC6D04" w:rsidP="00AD1722">
            <w:pPr>
              <w:pStyle w:val="Tabletext"/>
              <w:jc w:val="center"/>
              <w:rPr>
                <w:lang w:val="en-US" w:eastAsia="ja-JP"/>
              </w:rPr>
            </w:pPr>
            <w:r w:rsidRPr="00AD6C00">
              <w:rPr>
                <w:lang w:val="en-US" w:eastAsia="ja-JP"/>
              </w:rPr>
              <w:t>Left to right, top to bottom</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rPr>
                <w:lang w:eastAsia="ja-JP"/>
              </w:rPr>
            </w:pPr>
            <w:r w:rsidRPr="009B31E1">
              <w:t>1.</w:t>
            </w:r>
            <w:r w:rsidRPr="009B31E1">
              <w:rPr>
                <w:lang w:eastAsia="ja-JP"/>
              </w:rPr>
              <w:t>6</w:t>
            </w:r>
          </w:p>
        </w:tc>
        <w:tc>
          <w:tcPr>
            <w:tcW w:w="2268" w:type="dxa"/>
            <w:vAlign w:val="center"/>
          </w:tcPr>
          <w:p w:rsidR="00CC6D04" w:rsidRPr="009B31E1" w:rsidRDefault="00CC6D04" w:rsidP="00AD1722">
            <w:pPr>
              <w:pStyle w:val="Tabletext"/>
            </w:pPr>
            <w:r w:rsidRPr="009B31E1">
              <w:t>Pixel aspect ratio</w:t>
            </w:r>
          </w:p>
        </w:tc>
        <w:tc>
          <w:tcPr>
            <w:tcW w:w="5373" w:type="dxa"/>
            <w:gridSpan w:val="2"/>
            <w:vAlign w:val="center"/>
          </w:tcPr>
          <w:p w:rsidR="00CC6D04" w:rsidRPr="009B31E1" w:rsidRDefault="00CC6D04" w:rsidP="00AD1722">
            <w:pPr>
              <w:pStyle w:val="Tabletext"/>
              <w:jc w:val="center"/>
            </w:pPr>
            <w:r w:rsidRPr="009B31E1">
              <w:t>1:1 (square pixels)</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rPr>
                <w:lang w:eastAsia="ja-JP"/>
              </w:rPr>
            </w:pPr>
            <w:r w:rsidRPr="009B31E1">
              <w:t>1.</w:t>
            </w:r>
            <w:r w:rsidRPr="009B31E1">
              <w:rPr>
                <w:lang w:eastAsia="ja-JP"/>
              </w:rPr>
              <w:t>7</w:t>
            </w:r>
          </w:p>
        </w:tc>
        <w:tc>
          <w:tcPr>
            <w:tcW w:w="2268" w:type="dxa"/>
            <w:vAlign w:val="center"/>
          </w:tcPr>
          <w:p w:rsidR="00CC6D04" w:rsidRPr="009B31E1" w:rsidRDefault="00CC6D04" w:rsidP="00AD1722">
            <w:pPr>
              <w:pStyle w:val="Tabletext"/>
              <w:rPr>
                <w:lang w:eastAsia="ja-JP"/>
              </w:rPr>
            </w:pPr>
            <w:r w:rsidRPr="009B31E1">
              <w:rPr>
                <w:lang w:eastAsia="ja-JP"/>
              </w:rPr>
              <w:t>Sampling structure</w:t>
            </w:r>
          </w:p>
        </w:tc>
        <w:tc>
          <w:tcPr>
            <w:tcW w:w="5373" w:type="dxa"/>
            <w:gridSpan w:val="2"/>
            <w:vAlign w:val="center"/>
          </w:tcPr>
          <w:p w:rsidR="00CC6D04" w:rsidRPr="009B31E1" w:rsidRDefault="00CC6D04" w:rsidP="00AD1722">
            <w:pPr>
              <w:pStyle w:val="Tabletext"/>
              <w:jc w:val="center"/>
              <w:rPr>
                <w:lang w:eastAsia="ja-JP"/>
              </w:rPr>
            </w:pPr>
            <w:r w:rsidRPr="009B31E1">
              <w:rPr>
                <w:lang w:eastAsia="ja-JP"/>
              </w:rPr>
              <w:t>4:2:0, 4:2:2, 4:4:4</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rPr>
                <w:lang w:eastAsia="ja-JP"/>
              </w:rPr>
            </w:pPr>
            <w:r w:rsidRPr="009B31E1">
              <w:t>1.</w:t>
            </w:r>
            <w:r w:rsidRPr="009B31E1">
              <w:rPr>
                <w:lang w:eastAsia="ja-JP"/>
              </w:rPr>
              <w:t>8</w:t>
            </w:r>
          </w:p>
        </w:tc>
        <w:tc>
          <w:tcPr>
            <w:tcW w:w="2268" w:type="dxa"/>
            <w:vAlign w:val="center"/>
          </w:tcPr>
          <w:p w:rsidR="00CC6D04" w:rsidRPr="009B31E1" w:rsidRDefault="00CC6D04" w:rsidP="00AD1722">
            <w:pPr>
              <w:pStyle w:val="Tabletext"/>
            </w:pPr>
            <w:r w:rsidRPr="009B31E1">
              <w:t>Frame rate (Hz)</w:t>
            </w:r>
          </w:p>
        </w:tc>
        <w:tc>
          <w:tcPr>
            <w:tcW w:w="5373" w:type="dxa"/>
            <w:gridSpan w:val="2"/>
            <w:vAlign w:val="center"/>
          </w:tcPr>
          <w:p w:rsidR="00CC6D04" w:rsidRPr="009B31E1" w:rsidRDefault="00CC6D04" w:rsidP="00AD1722">
            <w:pPr>
              <w:pStyle w:val="Tabletext"/>
              <w:jc w:val="center"/>
            </w:pPr>
            <w:r w:rsidRPr="009B31E1">
              <w:t>24</w:t>
            </w:r>
            <w:r w:rsidRPr="009B31E1">
              <w:rPr>
                <w:vertAlign w:val="superscript"/>
              </w:rPr>
              <w:t>(1)</w:t>
            </w:r>
            <w:r w:rsidRPr="009B31E1">
              <w:t>, 25, 30</w:t>
            </w:r>
            <w:r w:rsidRPr="009B31E1">
              <w:rPr>
                <w:vertAlign w:val="superscript"/>
              </w:rPr>
              <w:t>(1)</w:t>
            </w:r>
            <w:r w:rsidRPr="009B31E1">
              <w:t>, 50, 60</w:t>
            </w:r>
            <w:r w:rsidRPr="009B31E1">
              <w:rPr>
                <w:vertAlign w:val="superscript"/>
              </w:rPr>
              <w:t>(1)</w:t>
            </w:r>
          </w:p>
        </w:tc>
      </w:tr>
      <w:tr w:rsidR="00CC6D04" w:rsidRPr="009B31E1" w:rsidTr="00AD1722">
        <w:tblPrEx>
          <w:tblCellMar>
            <w:top w:w="0" w:type="dxa"/>
            <w:bottom w:w="0" w:type="dxa"/>
          </w:tblCellMar>
        </w:tblPrEx>
        <w:trPr>
          <w:trHeight w:val="20"/>
          <w:jc w:val="center"/>
        </w:trPr>
        <w:tc>
          <w:tcPr>
            <w:tcW w:w="1423" w:type="dxa"/>
            <w:vAlign w:val="center"/>
          </w:tcPr>
          <w:p w:rsidR="00CC6D04" w:rsidRPr="009B31E1" w:rsidRDefault="00CC6D04" w:rsidP="00AD1722">
            <w:pPr>
              <w:pStyle w:val="Tabletext"/>
              <w:jc w:val="center"/>
              <w:rPr>
                <w:lang w:eastAsia="ja-JP"/>
              </w:rPr>
            </w:pPr>
            <w:r w:rsidRPr="009B31E1">
              <w:rPr>
                <w:lang w:eastAsia="ja-JP"/>
              </w:rPr>
              <w:t>1.9</w:t>
            </w:r>
          </w:p>
        </w:tc>
        <w:tc>
          <w:tcPr>
            <w:tcW w:w="2268" w:type="dxa"/>
            <w:vAlign w:val="center"/>
          </w:tcPr>
          <w:p w:rsidR="00CC6D04" w:rsidRPr="009B31E1" w:rsidRDefault="00CC6D04" w:rsidP="00AD1722">
            <w:pPr>
              <w:pStyle w:val="Tabletext"/>
              <w:rPr>
                <w:lang w:eastAsia="ja-JP"/>
              </w:rPr>
            </w:pPr>
            <w:r w:rsidRPr="009B31E1">
              <w:rPr>
                <w:lang w:eastAsia="ja-JP"/>
              </w:rPr>
              <w:t>Image structure</w:t>
            </w:r>
          </w:p>
        </w:tc>
        <w:tc>
          <w:tcPr>
            <w:tcW w:w="5373" w:type="dxa"/>
            <w:gridSpan w:val="2"/>
            <w:vAlign w:val="center"/>
          </w:tcPr>
          <w:p w:rsidR="00CC6D04" w:rsidRPr="009B31E1" w:rsidRDefault="00CC6D04" w:rsidP="00AD1722">
            <w:pPr>
              <w:pStyle w:val="Tabletext"/>
              <w:jc w:val="center"/>
            </w:pPr>
            <w:r w:rsidRPr="009B31E1">
              <w:t>Progressive</w:t>
            </w:r>
          </w:p>
        </w:tc>
      </w:tr>
      <w:tr w:rsidR="00CC6D04" w:rsidRPr="009B31E1" w:rsidTr="00AD1722">
        <w:tblPrEx>
          <w:tblCellMar>
            <w:top w:w="0" w:type="dxa"/>
            <w:bottom w:w="0" w:type="dxa"/>
          </w:tblCellMar>
        </w:tblPrEx>
        <w:trPr>
          <w:trHeight w:val="20"/>
          <w:jc w:val="center"/>
        </w:trPr>
        <w:tc>
          <w:tcPr>
            <w:tcW w:w="1423" w:type="dxa"/>
            <w:tcBorders>
              <w:bottom w:val="single" w:sz="4" w:space="0" w:color="auto"/>
            </w:tcBorders>
            <w:vAlign w:val="center"/>
          </w:tcPr>
          <w:p w:rsidR="00CC6D04" w:rsidRPr="009B31E1" w:rsidRDefault="00CC6D04" w:rsidP="00AD1722">
            <w:pPr>
              <w:pStyle w:val="Tabletext"/>
              <w:jc w:val="center"/>
              <w:rPr>
                <w:lang w:eastAsia="ja-JP"/>
              </w:rPr>
            </w:pPr>
            <w:r w:rsidRPr="009B31E1">
              <w:rPr>
                <w:lang w:eastAsia="ja-JP"/>
              </w:rPr>
              <w:t>1.10</w:t>
            </w:r>
          </w:p>
        </w:tc>
        <w:tc>
          <w:tcPr>
            <w:tcW w:w="2268" w:type="dxa"/>
            <w:tcBorders>
              <w:bottom w:val="single" w:sz="4" w:space="0" w:color="auto"/>
            </w:tcBorders>
            <w:vAlign w:val="center"/>
          </w:tcPr>
          <w:p w:rsidR="00CC6D04" w:rsidRPr="009B31E1" w:rsidRDefault="00CC6D04" w:rsidP="00AD1722">
            <w:pPr>
              <w:pStyle w:val="Tabletext"/>
              <w:rPr>
                <w:lang w:eastAsia="ja-JP"/>
              </w:rPr>
            </w:pPr>
            <w:r w:rsidRPr="009B31E1">
              <w:rPr>
                <w:lang w:eastAsia="ja-JP"/>
              </w:rPr>
              <w:t>Bit/pixel</w:t>
            </w:r>
          </w:p>
        </w:tc>
        <w:tc>
          <w:tcPr>
            <w:tcW w:w="5373" w:type="dxa"/>
            <w:gridSpan w:val="2"/>
            <w:tcBorders>
              <w:bottom w:val="single" w:sz="4" w:space="0" w:color="auto"/>
            </w:tcBorders>
            <w:vAlign w:val="center"/>
          </w:tcPr>
          <w:p w:rsidR="00CC6D04" w:rsidRPr="009B31E1" w:rsidRDefault="00CC6D04" w:rsidP="00AD1722">
            <w:pPr>
              <w:pStyle w:val="Tabletext"/>
              <w:jc w:val="center"/>
              <w:rPr>
                <w:lang w:eastAsia="ja-JP"/>
              </w:rPr>
            </w:pPr>
            <w:r w:rsidRPr="009B31E1">
              <w:rPr>
                <w:lang w:eastAsia="ja-JP"/>
              </w:rPr>
              <w:t>10, 12</w:t>
            </w:r>
          </w:p>
        </w:tc>
      </w:tr>
      <w:tr w:rsidR="00CC6D04" w:rsidRPr="009B31E1" w:rsidTr="00AD1722">
        <w:tblPrEx>
          <w:tblCellMar>
            <w:top w:w="0" w:type="dxa"/>
            <w:bottom w:w="0" w:type="dxa"/>
          </w:tblCellMar>
        </w:tblPrEx>
        <w:trPr>
          <w:trHeight w:val="20"/>
          <w:jc w:val="center"/>
        </w:trPr>
        <w:tc>
          <w:tcPr>
            <w:tcW w:w="1423" w:type="dxa"/>
            <w:tcBorders>
              <w:bottom w:val="single" w:sz="4" w:space="0" w:color="auto"/>
            </w:tcBorders>
            <w:vAlign w:val="center"/>
          </w:tcPr>
          <w:p w:rsidR="00CC6D04" w:rsidRPr="009B31E1" w:rsidRDefault="00CC6D04" w:rsidP="00AD1722">
            <w:pPr>
              <w:pStyle w:val="Tabletext"/>
              <w:jc w:val="center"/>
              <w:rPr>
                <w:lang w:eastAsia="ja-JP"/>
              </w:rPr>
            </w:pPr>
            <w:r w:rsidRPr="009B31E1">
              <w:rPr>
                <w:lang w:eastAsia="ja-JP"/>
              </w:rPr>
              <w:t>1.11</w:t>
            </w:r>
          </w:p>
        </w:tc>
        <w:tc>
          <w:tcPr>
            <w:tcW w:w="2268" w:type="dxa"/>
            <w:tcBorders>
              <w:bottom w:val="single" w:sz="4" w:space="0" w:color="auto"/>
            </w:tcBorders>
            <w:vAlign w:val="center"/>
          </w:tcPr>
          <w:p w:rsidR="00CC6D04" w:rsidRPr="009B31E1" w:rsidRDefault="00CC6D04" w:rsidP="00AD1722">
            <w:pPr>
              <w:pStyle w:val="Tabletext"/>
              <w:rPr>
                <w:lang w:eastAsia="ja-JP"/>
              </w:rPr>
            </w:pPr>
            <w:r w:rsidRPr="009B31E1">
              <w:rPr>
                <w:lang w:eastAsia="ja-JP"/>
              </w:rPr>
              <w:t>Colorimetry</w:t>
            </w:r>
          </w:p>
        </w:tc>
        <w:tc>
          <w:tcPr>
            <w:tcW w:w="5373" w:type="dxa"/>
            <w:gridSpan w:val="2"/>
            <w:tcBorders>
              <w:bottom w:val="single" w:sz="4" w:space="0" w:color="auto"/>
            </w:tcBorders>
            <w:vAlign w:val="center"/>
          </w:tcPr>
          <w:p w:rsidR="00CC6D04" w:rsidRPr="00AD6C00" w:rsidRDefault="00CC6D04" w:rsidP="00AD1722">
            <w:pPr>
              <w:pStyle w:val="Tabletext"/>
              <w:jc w:val="center"/>
              <w:rPr>
                <w:lang w:val="en-US" w:eastAsia="ja-JP"/>
              </w:rPr>
            </w:pPr>
            <w:r w:rsidRPr="00AD6C00">
              <w:rPr>
                <w:lang w:val="en-US" w:eastAsia="ja-JP"/>
              </w:rPr>
              <w:t>See Recommendation ITU-R BT.1361</w:t>
            </w:r>
          </w:p>
        </w:tc>
      </w:tr>
      <w:tr w:rsidR="00CC6D04" w:rsidRPr="009B31E1" w:rsidTr="00AD1722">
        <w:tblPrEx>
          <w:tblCellMar>
            <w:top w:w="0" w:type="dxa"/>
            <w:bottom w:w="0" w:type="dxa"/>
          </w:tblCellMar>
        </w:tblPrEx>
        <w:trPr>
          <w:trHeight w:val="20"/>
          <w:jc w:val="center"/>
        </w:trPr>
        <w:tc>
          <w:tcPr>
            <w:tcW w:w="9064" w:type="dxa"/>
            <w:gridSpan w:val="4"/>
            <w:tcBorders>
              <w:top w:val="single" w:sz="4" w:space="0" w:color="auto"/>
              <w:left w:val="nil"/>
              <w:bottom w:val="nil"/>
              <w:right w:val="nil"/>
            </w:tcBorders>
            <w:vAlign w:val="center"/>
          </w:tcPr>
          <w:p w:rsidR="00CC6D04" w:rsidRPr="00AD6C00" w:rsidRDefault="00CC6D04" w:rsidP="00AD1722">
            <w:pPr>
              <w:pStyle w:val="Tablelegend"/>
              <w:rPr>
                <w:lang w:val="en-US" w:eastAsia="ja-JP"/>
              </w:rPr>
            </w:pPr>
            <w:r w:rsidRPr="00AD6C00">
              <w:rPr>
                <w:vertAlign w:val="superscript"/>
                <w:lang w:val="en-US"/>
              </w:rPr>
              <w:t>(1)</w:t>
            </w:r>
            <w:r w:rsidRPr="00AD6C00">
              <w:rPr>
                <w:lang w:val="en-US"/>
              </w:rPr>
              <w:tab/>
              <w:t xml:space="preserve">For the 24, 30 and 60 Hz systems, frame rates having values divided by 1.001 are also </w:t>
            </w:r>
            <w:r w:rsidRPr="00AD6C00">
              <w:rPr>
                <w:lang w:val="en-US" w:eastAsia="ja-JP"/>
              </w:rPr>
              <w:t>included</w:t>
            </w:r>
            <w:r w:rsidRPr="00AD6C00">
              <w:rPr>
                <w:lang w:val="en-US"/>
              </w:rPr>
              <w:t>.</w:t>
            </w:r>
          </w:p>
        </w:tc>
      </w:tr>
    </w:tbl>
    <w:p w:rsidR="00CC6D04" w:rsidRPr="009B31E1" w:rsidRDefault="00CC6D04" w:rsidP="00CC6D04">
      <w:r w:rsidRPr="009B31E1">
        <w:t xml:space="preserve">NOTE 1 – An example of LSDI system that gives viewers visual experiences of a high-sensation </w:t>
      </w:r>
      <w:r w:rsidRPr="009B31E1">
        <w:br/>
        <w:t>of reality is explained in Appendix 1.</w:t>
      </w:r>
    </w:p>
    <w:p w:rsidR="00CC6D04" w:rsidRPr="009B31E1" w:rsidRDefault="00CC6D04" w:rsidP="00CC6D04">
      <w:r w:rsidRPr="009B31E1">
        <w:t>NOTE 2 –Viewing angles for the hierarchy of LSDI image formats are shown in Appendix 2.</w:t>
      </w:r>
    </w:p>
    <w:p w:rsidR="00CC6D04" w:rsidRPr="009B31E1" w:rsidRDefault="00CC6D04" w:rsidP="00CC6D04">
      <w:r w:rsidRPr="009B31E1">
        <w:t xml:space="preserve">NOTE 3 – A study result on psychological effects of wide-screen video system for LSDI applications is shown in Appendix 3. </w:t>
      </w:r>
    </w:p>
    <w:p w:rsidR="00CC6D04" w:rsidRDefault="00CC6D04" w:rsidP="00CC6D04">
      <w:pPr>
        <w:pStyle w:val="AppendixNoTitle"/>
        <w:rPr>
          <w:lang w:val="en-US"/>
        </w:rPr>
      </w:pPr>
      <w:r w:rsidRPr="00AD6C00">
        <w:rPr>
          <w:lang w:val="en-US"/>
        </w:rPr>
        <w:lastRenderedPageBreak/>
        <w:t>Appendix 1</w:t>
      </w:r>
      <w:r w:rsidRPr="00AD6C00">
        <w:rPr>
          <w:lang w:val="en-US"/>
        </w:rPr>
        <w:br/>
      </w:r>
      <w:r w:rsidRPr="00AD6C00">
        <w:rPr>
          <w:lang w:val="en-US"/>
        </w:rPr>
        <w:br/>
        <w:t xml:space="preserve">An example of LSDI system that gives viewers visual experiences </w:t>
      </w:r>
      <w:r w:rsidRPr="00AD6C00">
        <w:rPr>
          <w:lang w:val="en-US"/>
        </w:rPr>
        <w:br/>
        <w:t>of a high-sensation of reality</w:t>
      </w:r>
    </w:p>
    <w:p w:rsidR="00CC6D04" w:rsidRPr="003718B9" w:rsidRDefault="00CC6D04" w:rsidP="00CC6D04">
      <w:pPr>
        <w:keepNext/>
        <w:rPr>
          <w:lang w:val="en-US"/>
        </w:rPr>
      </w:pPr>
    </w:p>
    <w:p w:rsidR="00CC6D04" w:rsidRPr="00AD6C00" w:rsidRDefault="00CC6D04" w:rsidP="00CC6D04">
      <w:pPr>
        <w:pStyle w:val="FigureNo"/>
        <w:spacing w:before="360"/>
        <w:rPr>
          <w:lang w:val="en-US" w:eastAsia="ja-JP"/>
        </w:rPr>
      </w:pPr>
      <w:r w:rsidRPr="009B31E1">
        <w:rPr>
          <w:noProof/>
        </w:rPr>
        <w:pict>
          <v:rect id="_x0000_s1026" style="position:absolute;left:0;text-align:left;margin-left:99.3pt;margin-top:15.5pt;width:41.2pt;height:37.2pt;z-index:251660288" o:allowincell="f" filled="f" stroked="f">
            <v:textbox style="mso-next-textbox:#_x0000_s1026" inset="0,0,0,0">
              <w:txbxContent>
                <w:p w:rsidR="00CC6D04" w:rsidRDefault="00CC6D04" w:rsidP="00CC6D04">
                  <w:pPr>
                    <w:pStyle w:val="BodyText"/>
                    <w:jc w:val="center"/>
                    <w:rPr>
                      <w:b/>
                    </w:rPr>
                  </w:pPr>
                </w:p>
              </w:txbxContent>
            </v:textbox>
          </v:rect>
        </w:pict>
      </w:r>
      <w:r w:rsidRPr="00AD6C00">
        <w:rPr>
          <w:lang w:val="en-US" w:eastAsia="ja-JP"/>
        </w:rPr>
        <w:t>Figure 1</w:t>
      </w:r>
    </w:p>
    <w:p w:rsidR="00CC6D04" w:rsidRPr="00AD6C00" w:rsidRDefault="00CC6D04" w:rsidP="00CC6D04">
      <w:pPr>
        <w:pStyle w:val="Figuretitle"/>
        <w:rPr>
          <w:lang w:val="en-US"/>
        </w:rPr>
      </w:pPr>
      <w:r w:rsidRPr="00AD6C00">
        <w:rPr>
          <w:lang w:val="en-US"/>
        </w:rPr>
        <w:t>Horizontal viewing angle of LSDI system</w:t>
      </w:r>
    </w:p>
    <w:p w:rsidR="00CC6D04" w:rsidRPr="009B31E1" w:rsidRDefault="00CC6D04" w:rsidP="00CC6D04">
      <w:pPr>
        <w:pStyle w:val="Figure"/>
      </w:pPr>
      <w:r w:rsidRPr="009B31E1">
        <w:object w:dxaOrig="4936" w:dyaOrig="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pt;height:214.8pt" o:ole="">
            <v:imagedata r:id="rId13" o:title=""/>
          </v:shape>
          <o:OLEObject Type="Embed" ProgID="CorelDRAW.Graphic.12" ShapeID="_x0000_i1025" DrawAspect="Content" ObjectID="_1340523096" r:id="rId14"/>
        </w:object>
      </w:r>
    </w:p>
    <w:p w:rsidR="00CC6D04" w:rsidRDefault="00CC6D04" w:rsidP="00CC6D04">
      <w:pPr>
        <w:rPr>
          <w:lang w:val="en-US"/>
        </w:rPr>
      </w:pPr>
    </w:p>
    <w:p w:rsidR="00CC6D04" w:rsidRDefault="00CC6D04" w:rsidP="00CC6D04">
      <w:pPr>
        <w:rPr>
          <w:lang w:val="en-US"/>
        </w:rPr>
      </w:pPr>
    </w:p>
    <w:p w:rsidR="00CC6D04" w:rsidRPr="00AD6C00" w:rsidRDefault="00CC6D04" w:rsidP="00CC6D04">
      <w:pPr>
        <w:pStyle w:val="AppendixNoTitle"/>
        <w:rPr>
          <w:lang w:val="en-US"/>
        </w:rPr>
      </w:pPr>
      <w:r w:rsidRPr="00AD6C00">
        <w:rPr>
          <w:lang w:val="en-US"/>
        </w:rPr>
        <w:t>Appendix 2</w:t>
      </w:r>
      <w:r w:rsidRPr="00AD6C00">
        <w:rPr>
          <w:lang w:val="en-US"/>
        </w:rPr>
        <w:br/>
      </w:r>
      <w:r w:rsidRPr="00AD6C00">
        <w:rPr>
          <w:lang w:val="en-US"/>
        </w:rPr>
        <w:br/>
      </w:r>
      <w:r w:rsidRPr="00AD6C00">
        <w:rPr>
          <w:lang w:val="en-US" w:eastAsia="ja-JP"/>
        </w:rPr>
        <w:t>Viewing angles for the hierarchy of LSDI image formats</w:t>
      </w:r>
    </w:p>
    <w:p w:rsidR="00CC6D04" w:rsidRPr="00AD6C00" w:rsidRDefault="00CC6D04" w:rsidP="00CC6D04">
      <w:pPr>
        <w:pStyle w:val="TableNo"/>
        <w:rPr>
          <w:lang w:val="en-US" w:eastAsia="ja-JP"/>
        </w:rPr>
      </w:pPr>
      <w:r w:rsidRPr="00AD6C00">
        <w:rPr>
          <w:lang w:val="en-US" w:eastAsia="ja-JP"/>
        </w:rPr>
        <w:t>TABLE 2</w:t>
      </w:r>
    </w:p>
    <w:p w:rsidR="00CC6D04" w:rsidRPr="00AD6C00" w:rsidRDefault="00CC6D04" w:rsidP="00CC6D04">
      <w:pPr>
        <w:pStyle w:val="Tabletitle"/>
        <w:rPr>
          <w:lang w:val="en-US" w:eastAsia="ja-JP"/>
        </w:rPr>
      </w:pPr>
      <w:r w:rsidRPr="00AD6C00">
        <w:rPr>
          <w:lang w:val="en-US" w:eastAsia="ja-JP"/>
        </w:rPr>
        <w:t>Horizontal viewing angle for the hierarchy of LSDI image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900"/>
        <w:gridCol w:w="1701"/>
        <w:gridCol w:w="1701"/>
        <w:gridCol w:w="1701"/>
      </w:tblGrid>
      <w:tr w:rsidR="00CC6D04" w:rsidRPr="009B31E1" w:rsidTr="00AD1722">
        <w:tblPrEx>
          <w:tblCellMar>
            <w:top w:w="0" w:type="dxa"/>
            <w:bottom w:w="0" w:type="dxa"/>
          </w:tblCellMar>
        </w:tblPrEx>
        <w:trPr>
          <w:jc w:val="center"/>
        </w:trPr>
        <w:tc>
          <w:tcPr>
            <w:tcW w:w="2900" w:type="dxa"/>
          </w:tcPr>
          <w:p w:rsidR="00CC6D04" w:rsidRPr="009B31E1" w:rsidRDefault="00CC6D04" w:rsidP="00AD1722">
            <w:pPr>
              <w:pStyle w:val="Tabletext"/>
              <w:rPr>
                <w:lang w:eastAsia="ja-JP"/>
              </w:rPr>
            </w:pPr>
            <w:r w:rsidRPr="009B31E1">
              <w:rPr>
                <w:lang w:eastAsia="ja-JP"/>
              </w:rPr>
              <w:t>LSDI system</w:t>
            </w:r>
          </w:p>
        </w:tc>
        <w:tc>
          <w:tcPr>
            <w:tcW w:w="1701" w:type="dxa"/>
          </w:tcPr>
          <w:p w:rsidR="00CC6D04" w:rsidRPr="009B31E1" w:rsidRDefault="00CC6D04" w:rsidP="00AD1722">
            <w:pPr>
              <w:pStyle w:val="Tabletext"/>
              <w:jc w:val="center"/>
              <w:rPr>
                <w:lang w:eastAsia="ja-JP"/>
              </w:rPr>
            </w:pPr>
            <w:r w:rsidRPr="009B31E1">
              <w:rPr>
                <w:lang w:eastAsia="ja-JP"/>
              </w:rPr>
              <w:t xml:space="preserve">1 920 </w:t>
            </w:r>
            <w:r w:rsidRPr="009B31E1">
              <w:rPr>
                <w:lang w:eastAsia="ja-JP"/>
              </w:rPr>
              <w:sym w:font="Symbol" w:char="F0B4"/>
            </w:r>
            <w:r w:rsidRPr="009B31E1">
              <w:t xml:space="preserve"> </w:t>
            </w:r>
            <w:r w:rsidRPr="009B31E1">
              <w:rPr>
                <w:lang w:eastAsia="ja-JP"/>
              </w:rPr>
              <w:t>1 080</w:t>
            </w:r>
          </w:p>
        </w:tc>
        <w:tc>
          <w:tcPr>
            <w:tcW w:w="1701" w:type="dxa"/>
          </w:tcPr>
          <w:p w:rsidR="00CC6D04" w:rsidRPr="009B31E1" w:rsidRDefault="00CC6D04" w:rsidP="00AD1722">
            <w:pPr>
              <w:pStyle w:val="Tabletext"/>
              <w:jc w:val="center"/>
              <w:rPr>
                <w:lang w:eastAsia="ja-JP"/>
              </w:rPr>
            </w:pPr>
            <w:r w:rsidRPr="009B31E1">
              <w:t xml:space="preserve">3 840 </w:t>
            </w:r>
            <w:r w:rsidRPr="009B31E1">
              <w:sym w:font="Symbol" w:char="F0B4"/>
            </w:r>
            <w:r w:rsidRPr="009B31E1">
              <w:t xml:space="preserve"> 2 160</w:t>
            </w:r>
          </w:p>
        </w:tc>
        <w:tc>
          <w:tcPr>
            <w:tcW w:w="1701" w:type="dxa"/>
          </w:tcPr>
          <w:p w:rsidR="00CC6D04" w:rsidRPr="009B31E1" w:rsidRDefault="00CC6D04" w:rsidP="00AD1722">
            <w:pPr>
              <w:pStyle w:val="Tabletext"/>
              <w:jc w:val="center"/>
              <w:rPr>
                <w:lang w:eastAsia="ja-JP"/>
              </w:rPr>
            </w:pPr>
            <w:r w:rsidRPr="009B31E1">
              <w:t xml:space="preserve">7 680 </w:t>
            </w:r>
            <w:r w:rsidRPr="009B31E1">
              <w:sym w:font="Symbol" w:char="F0B4"/>
            </w:r>
            <w:r w:rsidRPr="009B31E1">
              <w:t xml:space="preserve"> 4 320</w:t>
            </w:r>
          </w:p>
        </w:tc>
      </w:tr>
      <w:tr w:rsidR="00CC6D04" w:rsidRPr="009B31E1" w:rsidTr="00AD1722">
        <w:tblPrEx>
          <w:tblCellMar>
            <w:top w:w="0" w:type="dxa"/>
            <w:bottom w:w="0" w:type="dxa"/>
          </w:tblCellMar>
        </w:tblPrEx>
        <w:trPr>
          <w:jc w:val="center"/>
        </w:trPr>
        <w:tc>
          <w:tcPr>
            <w:tcW w:w="2900" w:type="dxa"/>
          </w:tcPr>
          <w:p w:rsidR="00CC6D04" w:rsidRPr="00AD6C00" w:rsidRDefault="00CC6D04" w:rsidP="00AD1722">
            <w:pPr>
              <w:pStyle w:val="Tabletext"/>
              <w:rPr>
                <w:lang w:val="en-US" w:eastAsia="ja-JP"/>
              </w:rPr>
            </w:pPr>
            <w:r w:rsidRPr="00AD6C00">
              <w:rPr>
                <w:lang w:val="en-US" w:eastAsia="ja-JP"/>
              </w:rPr>
              <w:t>Viewing distance (relative to picture height)</w:t>
            </w:r>
          </w:p>
        </w:tc>
        <w:tc>
          <w:tcPr>
            <w:tcW w:w="1701" w:type="dxa"/>
            <w:vAlign w:val="center"/>
          </w:tcPr>
          <w:p w:rsidR="00CC6D04" w:rsidRPr="009B31E1" w:rsidRDefault="00CC6D04" w:rsidP="00AD1722">
            <w:pPr>
              <w:pStyle w:val="Tabletext"/>
              <w:jc w:val="center"/>
              <w:rPr>
                <w:lang w:eastAsia="ja-JP"/>
              </w:rPr>
            </w:pPr>
            <w:r w:rsidRPr="009B31E1">
              <w:rPr>
                <w:lang w:eastAsia="ja-JP"/>
              </w:rPr>
              <w:t>3</w:t>
            </w:r>
          </w:p>
        </w:tc>
        <w:tc>
          <w:tcPr>
            <w:tcW w:w="1701" w:type="dxa"/>
            <w:vAlign w:val="center"/>
          </w:tcPr>
          <w:p w:rsidR="00CC6D04" w:rsidRPr="009B31E1" w:rsidRDefault="00CC6D04" w:rsidP="00AD1722">
            <w:pPr>
              <w:pStyle w:val="Tabletext"/>
              <w:jc w:val="center"/>
              <w:rPr>
                <w:lang w:eastAsia="ja-JP"/>
              </w:rPr>
            </w:pPr>
            <w:r w:rsidRPr="009B31E1">
              <w:rPr>
                <w:lang w:eastAsia="ja-JP"/>
              </w:rPr>
              <w:t>1.5</w:t>
            </w:r>
          </w:p>
        </w:tc>
        <w:tc>
          <w:tcPr>
            <w:tcW w:w="1701" w:type="dxa"/>
            <w:vAlign w:val="center"/>
          </w:tcPr>
          <w:p w:rsidR="00CC6D04" w:rsidRPr="009B31E1" w:rsidRDefault="00CC6D04" w:rsidP="00AD1722">
            <w:pPr>
              <w:pStyle w:val="Tabletext"/>
              <w:jc w:val="center"/>
              <w:rPr>
                <w:lang w:eastAsia="ja-JP"/>
              </w:rPr>
            </w:pPr>
            <w:r w:rsidRPr="009B31E1">
              <w:rPr>
                <w:lang w:eastAsia="ja-JP"/>
              </w:rPr>
              <w:t>0.75</w:t>
            </w:r>
          </w:p>
        </w:tc>
      </w:tr>
      <w:tr w:rsidR="00CC6D04" w:rsidRPr="009B31E1" w:rsidTr="00AD1722">
        <w:tblPrEx>
          <w:tblCellMar>
            <w:top w:w="0" w:type="dxa"/>
            <w:bottom w:w="0" w:type="dxa"/>
          </w:tblCellMar>
        </w:tblPrEx>
        <w:trPr>
          <w:jc w:val="center"/>
        </w:trPr>
        <w:tc>
          <w:tcPr>
            <w:tcW w:w="2900" w:type="dxa"/>
            <w:tcBorders>
              <w:bottom w:val="single" w:sz="4" w:space="0" w:color="auto"/>
            </w:tcBorders>
          </w:tcPr>
          <w:p w:rsidR="00CC6D04" w:rsidRPr="009B31E1" w:rsidRDefault="00CC6D04" w:rsidP="00AD1722">
            <w:pPr>
              <w:pStyle w:val="Tabletext"/>
              <w:rPr>
                <w:lang w:eastAsia="ja-JP"/>
              </w:rPr>
            </w:pPr>
            <w:r w:rsidRPr="009B31E1">
              <w:rPr>
                <w:lang w:eastAsia="ja-JP"/>
              </w:rPr>
              <w:t>Viewing angle (degrees)</w:t>
            </w:r>
          </w:p>
        </w:tc>
        <w:tc>
          <w:tcPr>
            <w:tcW w:w="1701" w:type="dxa"/>
            <w:tcBorders>
              <w:bottom w:val="single" w:sz="4" w:space="0" w:color="auto"/>
            </w:tcBorders>
            <w:vAlign w:val="center"/>
          </w:tcPr>
          <w:p w:rsidR="00CC6D04" w:rsidRPr="009B31E1" w:rsidRDefault="00CC6D04" w:rsidP="00AD1722">
            <w:pPr>
              <w:pStyle w:val="Tabletext"/>
              <w:jc w:val="center"/>
              <w:rPr>
                <w:lang w:eastAsia="ja-JP"/>
              </w:rPr>
            </w:pPr>
            <w:r w:rsidRPr="009B31E1">
              <w:rPr>
                <w:lang w:eastAsia="ja-JP"/>
              </w:rPr>
              <w:t>31</w:t>
            </w:r>
          </w:p>
        </w:tc>
        <w:tc>
          <w:tcPr>
            <w:tcW w:w="1701" w:type="dxa"/>
            <w:tcBorders>
              <w:bottom w:val="single" w:sz="4" w:space="0" w:color="auto"/>
            </w:tcBorders>
            <w:vAlign w:val="center"/>
          </w:tcPr>
          <w:p w:rsidR="00CC6D04" w:rsidRPr="009B31E1" w:rsidRDefault="00CC6D04" w:rsidP="00AD1722">
            <w:pPr>
              <w:pStyle w:val="Tabletext"/>
              <w:jc w:val="center"/>
              <w:rPr>
                <w:lang w:eastAsia="ja-JP"/>
              </w:rPr>
            </w:pPr>
            <w:r w:rsidRPr="009B31E1">
              <w:rPr>
                <w:lang w:eastAsia="ja-JP"/>
              </w:rPr>
              <w:t>58</w:t>
            </w:r>
          </w:p>
        </w:tc>
        <w:tc>
          <w:tcPr>
            <w:tcW w:w="1701" w:type="dxa"/>
            <w:tcBorders>
              <w:bottom w:val="single" w:sz="4" w:space="0" w:color="auto"/>
            </w:tcBorders>
            <w:vAlign w:val="center"/>
          </w:tcPr>
          <w:p w:rsidR="00CC6D04" w:rsidRPr="009B31E1" w:rsidRDefault="00CC6D04" w:rsidP="00AD1722">
            <w:pPr>
              <w:pStyle w:val="Tabletext"/>
              <w:jc w:val="center"/>
              <w:rPr>
                <w:lang w:eastAsia="ja-JP"/>
              </w:rPr>
            </w:pPr>
            <w:r w:rsidRPr="009B31E1">
              <w:rPr>
                <w:lang w:eastAsia="ja-JP"/>
              </w:rPr>
              <w:t>96</w:t>
            </w:r>
          </w:p>
        </w:tc>
      </w:tr>
      <w:tr w:rsidR="00CC6D04" w:rsidRPr="009B31E1" w:rsidTr="00AD1722">
        <w:tblPrEx>
          <w:tblCellMar>
            <w:top w:w="0" w:type="dxa"/>
            <w:bottom w:w="0" w:type="dxa"/>
          </w:tblCellMar>
        </w:tblPrEx>
        <w:trPr>
          <w:jc w:val="center"/>
        </w:trPr>
        <w:tc>
          <w:tcPr>
            <w:tcW w:w="8003" w:type="dxa"/>
            <w:gridSpan w:val="4"/>
            <w:tcBorders>
              <w:left w:val="nil"/>
              <w:bottom w:val="nil"/>
              <w:right w:val="nil"/>
            </w:tcBorders>
          </w:tcPr>
          <w:p w:rsidR="00CC6D04" w:rsidRPr="00AD6C00" w:rsidRDefault="00CC6D04" w:rsidP="00AD1722">
            <w:pPr>
              <w:pStyle w:val="TableLegendNote"/>
              <w:rPr>
                <w:lang w:eastAsia="ja-JP"/>
              </w:rPr>
            </w:pPr>
            <w:r w:rsidRPr="00AD6C00">
              <w:rPr>
                <w:lang w:eastAsia="ja-JP"/>
              </w:rPr>
              <w:t>These values are calculated, assuming the distance at which scanning lines just cannot be perceived by people with visual acuity of 1.0.</w:t>
            </w:r>
          </w:p>
        </w:tc>
      </w:tr>
    </w:tbl>
    <w:p w:rsidR="00CC6D04" w:rsidRPr="00AD6C00" w:rsidRDefault="00CC6D04" w:rsidP="00CC6D04">
      <w:pPr>
        <w:pStyle w:val="AppendixNoTitle"/>
        <w:rPr>
          <w:lang w:val="en-US" w:eastAsia="ja-JP"/>
        </w:rPr>
      </w:pPr>
      <w:r w:rsidRPr="00AD6C00">
        <w:rPr>
          <w:lang w:val="en-US" w:eastAsia="ja-JP"/>
        </w:rPr>
        <w:lastRenderedPageBreak/>
        <w:t>Appendix 3</w:t>
      </w:r>
      <w:r w:rsidRPr="00AD6C00">
        <w:rPr>
          <w:lang w:val="en-US" w:eastAsia="ja-JP"/>
        </w:rPr>
        <w:br/>
      </w:r>
      <w:r w:rsidRPr="00AD6C00">
        <w:rPr>
          <w:lang w:val="en-US" w:eastAsia="ja-JP"/>
        </w:rPr>
        <w:br/>
        <w:t>A study on psychological effects of wide</w:t>
      </w:r>
      <w:r w:rsidRPr="00AD6C00">
        <w:rPr>
          <w:lang w:val="en-US" w:eastAsia="ja-JP"/>
        </w:rPr>
        <w:noBreakHyphen/>
        <w:t xml:space="preserve">screen video system </w:t>
      </w:r>
      <w:r w:rsidRPr="00AD6C00">
        <w:rPr>
          <w:lang w:val="en-US" w:eastAsia="ja-JP"/>
        </w:rPr>
        <w:br/>
        <w:t>for LSDI applications</w:t>
      </w:r>
    </w:p>
    <w:p w:rsidR="00CC6D04" w:rsidRPr="00AD6C00" w:rsidRDefault="00CC6D04" w:rsidP="00CC6D04">
      <w:pPr>
        <w:pStyle w:val="Heading1"/>
        <w:rPr>
          <w:lang w:val="en-US"/>
        </w:rPr>
      </w:pPr>
      <w:r w:rsidRPr="009B31E1">
        <w:fldChar w:fldCharType="begin"/>
      </w:r>
      <w:r w:rsidRPr="00AD6C00">
        <w:rPr>
          <w:lang w:val="en-US"/>
        </w:rPr>
        <w:instrText xml:space="preserve"> MACROBUTTON  "Click here" </w:instrText>
      </w:r>
      <w:r w:rsidRPr="009B31E1">
        <w:fldChar w:fldCharType="end"/>
      </w:r>
      <w:r w:rsidRPr="00AD6C00">
        <w:rPr>
          <w:lang w:val="en-US"/>
        </w:rPr>
        <w:t>1</w:t>
      </w:r>
      <w:r w:rsidRPr="00AD6C00">
        <w:rPr>
          <w:lang w:val="en-US"/>
        </w:rPr>
        <w:tab/>
        <w:t>Introduction</w:t>
      </w:r>
    </w:p>
    <w:p w:rsidR="00CC6D04" w:rsidRPr="009B31E1" w:rsidRDefault="00CC6D04" w:rsidP="00CC6D04">
      <w:pPr>
        <w:keepNext/>
        <w:rPr>
          <w:lang w:eastAsia="ja-JP"/>
        </w:rPr>
      </w:pPr>
      <w:bookmarkStart w:id="3" w:name="OLE_LINK1"/>
      <w:r w:rsidRPr="009B31E1">
        <w:rPr>
          <w:lang w:eastAsia="ja-JP"/>
        </w:rPr>
        <w:t xml:space="preserve">This Appendix describes the psychological evaluation results of “sensation of reality” of LSDI covering from HDTV format to expanded format. </w:t>
      </w:r>
      <w:bookmarkEnd w:id="3"/>
      <w:r w:rsidRPr="009B31E1">
        <w:rPr>
          <w:lang w:eastAsia="ja-JP"/>
        </w:rPr>
        <w:t>The results would contribute toward determining system parameter values such as display size, viewing distance and spatial resolution.</w:t>
      </w:r>
    </w:p>
    <w:p w:rsidR="00CC6D04" w:rsidRPr="00AD6C00" w:rsidRDefault="00CC6D04" w:rsidP="00CC6D04">
      <w:pPr>
        <w:pStyle w:val="Heading1"/>
        <w:rPr>
          <w:lang w:val="en-US"/>
        </w:rPr>
      </w:pPr>
      <w:r w:rsidRPr="00AD6C00">
        <w:rPr>
          <w:lang w:val="en-US"/>
        </w:rPr>
        <w:t>2</w:t>
      </w:r>
      <w:r w:rsidRPr="00AD6C00">
        <w:rPr>
          <w:lang w:val="en-US"/>
        </w:rPr>
        <w:tab/>
      </w:r>
      <w:bookmarkStart w:id="4" w:name="OLE_LINK3"/>
      <w:r w:rsidRPr="00AD6C00">
        <w:rPr>
          <w:lang w:val="en-US"/>
        </w:rPr>
        <w:t>Subjective evaluation experiments</w:t>
      </w:r>
      <w:bookmarkEnd w:id="4"/>
    </w:p>
    <w:p w:rsidR="00CC6D04" w:rsidRPr="009B31E1" w:rsidRDefault="00CC6D04" w:rsidP="00CC6D04">
      <w:pPr>
        <w:rPr>
          <w:lang w:eastAsia="ja-JP"/>
        </w:rPr>
      </w:pPr>
      <w:bookmarkStart w:id="5" w:name="OLE_LINK2"/>
      <w:r w:rsidRPr="009B31E1">
        <w:rPr>
          <w:lang w:eastAsia="ja-JP"/>
        </w:rPr>
        <w:t>A s</w:t>
      </w:r>
      <w:r w:rsidRPr="009B31E1">
        <w:t xml:space="preserve">ingle stimulus method </w:t>
      </w:r>
      <w:r w:rsidRPr="009B31E1">
        <w:rPr>
          <w:lang w:eastAsia="ja-JP"/>
        </w:rPr>
        <w:t xml:space="preserve">with seven-categorical scale (1 = no presence at all; 7 = very strong presence) </w:t>
      </w:r>
      <w:r w:rsidRPr="009B31E1">
        <w:t xml:space="preserve">was used for evaluating the “sensation of </w:t>
      </w:r>
      <w:r w:rsidRPr="009B31E1">
        <w:rPr>
          <w:lang w:eastAsia="ja-JP"/>
        </w:rPr>
        <w:t>reality</w:t>
      </w:r>
      <w:r w:rsidRPr="009B31E1">
        <w:t xml:space="preserve">” of images projected on </w:t>
      </w:r>
      <w:r w:rsidRPr="009B31E1">
        <w:rPr>
          <w:lang w:eastAsia="ja-JP"/>
        </w:rPr>
        <w:t>a</w:t>
      </w:r>
      <w:r w:rsidRPr="009B31E1">
        <w:t xml:space="preserve"> screen. The size of images was varied by changing the number of scanning lines from 1 000 to 4 000. The viewing distance was determined </w:t>
      </w:r>
      <w:r w:rsidRPr="009B31E1">
        <w:rPr>
          <w:lang w:eastAsia="ja-JP"/>
        </w:rPr>
        <w:t>to be the point at which</w:t>
      </w:r>
      <w:r w:rsidRPr="009B31E1">
        <w:t xml:space="preserve"> </w:t>
      </w:r>
      <w:r w:rsidRPr="009B31E1">
        <w:rPr>
          <w:lang w:eastAsia="ja-JP"/>
        </w:rPr>
        <w:t xml:space="preserve">viewers with normal vision could no longer discern the scanning line structure. This corresponds to three times the picture height </w:t>
      </w:r>
      <w:r w:rsidRPr="009B31E1">
        <w:t xml:space="preserve">when the </w:t>
      </w:r>
      <w:r w:rsidRPr="009B31E1">
        <w:rPr>
          <w:lang w:eastAsia="ja-JP"/>
        </w:rPr>
        <w:t>image size</w:t>
      </w:r>
      <w:r w:rsidRPr="009B31E1">
        <w:t xml:space="preserve"> is 1 920 </w:t>
      </w:r>
      <w:r w:rsidRPr="009B31E1">
        <w:sym w:font="Symbol" w:char="F0B4"/>
      </w:r>
      <w:r w:rsidRPr="009B31E1">
        <w:t xml:space="preserve"> 1 080. The viewing angle varies between 33° and 100° according to the image size. Table </w:t>
      </w:r>
      <w:r w:rsidRPr="009B31E1">
        <w:rPr>
          <w:lang w:eastAsia="ja-JP"/>
        </w:rPr>
        <w:t>3 lists the e</w:t>
      </w:r>
      <w:r w:rsidRPr="009B31E1">
        <w:t xml:space="preserve">xperimental conditions. </w:t>
      </w:r>
      <w:r w:rsidRPr="009B31E1">
        <w:rPr>
          <w:lang w:eastAsia="ja-JP"/>
        </w:rPr>
        <w:t xml:space="preserve">Forty-one </w:t>
      </w:r>
      <w:r w:rsidRPr="009B31E1">
        <w:t xml:space="preserve">non-expert </w:t>
      </w:r>
      <w:r w:rsidRPr="009B31E1">
        <w:rPr>
          <w:lang w:eastAsia="ja-JP"/>
        </w:rPr>
        <w:t xml:space="preserve">subjects evaluated </w:t>
      </w:r>
      <w:r w:rsidRPr="009B31E1">
        <w:t xml:space="preserve">five still landscape pictures listed in Table </w:t>
      </w:r>
      <w:r w:rsidRPr="009B31E1">
        <w:rPr>
          <w:lang w:eastAsia="ja-JP"/>
        </w:rPr>
        <w:t>4</w:t>
      </w:r>
      <w:r w:rsidRPr="009B31E1">
        <w:t>.</w:t>
      </w:r>
      <w:r w:rsidRPr="009B31E1">
        <w:rPr>
          <w:lang w:eastAsia="ja-JP"/>
        </w:rPr>
        <w:t xml:space="preserve"> They were shot with two different camera angles of 60° and 100° to see the effect of spatial distortion resulting from the mismatch between the screen-viewing angle and camera angle, and it can result in a reduced “sensation of reality”.</w:t>
      </w:r>
    </w:p>
    <w:p w:rsidR="00CC6D04" w:rsidRPr="009B31E1" w:rsidRDefault="00CC6D04" w:rsidP="00CC6D04">
      <w:pPr>
        <w:rPr>
          <w:lang w:eastAsia="ja-JP"/>
        </w:rPr>
      </w:pPr>
      <w:r w:rsidRPr="009B31E1">
        <w:rPr>
          <w:lang w:eastAsia="ja-JP"/>
        </w:rPr>
        <w:t>The d</w:t>
      </w:r>
      <w:r w:rsidRPr="009B31E1">
        <w:t>isplay sub-system of ultra</w:t>
      </w:r>
      <w:r w:rsidRPr="009B31E1">
        <w:rPr>
          <w:lang w:eastAsia="ja-JP"/>
        </w:rPr>
        <w:t>-</w:t>
      </w:r>
      <w:r w:rsidRPr="009B31E1">
        <w:t>high definition video system with 4 000 scanning lines</w:t>
      </w:r>
      <w:r w:rsidRPr="009B31E1">
        <w:rPr>
          <w:lang w:eastAsia="ja-JP"/>
        </w:rPr>
        <w:t xml:space="preserve"> (</w:t>
      </w:r>
      <w:r w:rsidRPr="009B31E1">
        <w:t>8k × 4k </w:t>
      </w:r>
      <w:r w:rsidRPr="009B31E1">
        <w:rPr>
          <w:lang w:eastAsia="ja-JP"/>
        </w:rPr>
        <w:t>d</w:t>
      </w:r>
      <w:r w:rsidRPr="009B31E1">
        <w:t>isplay system</w:t>
      </w:r>
      <w:r w:rsidRPr="009B31E1">
        <w:rPr>
          <w:lang w:eastAsia="ja-JP"/>
        </w:rPr>
        <w:t>)</w:t>
      </w:r>
      <w:r w:rsidRPr="009B31E1">
        <w:t xml:space="preserve"> </w:t>
      </w:r>
      <w:r w:rsidRPr="009B31E1">
        <w:rPr>
          <w:lang w:eastAsia="ja-JP"/>
        </w:rPr>
        <w:t>was</w:t>
      </w:r>
      <w:r w:rsidRPr="009B31E1">
        <w:t xml:space="preserve"> used </w:t>
      </w:r>
      <w:r w:rsidRPr="009B31E1">
        <w:rPr>
          <w:lang w:eastAsia="ja-JP"/>
        </w:rPr>
        <w:t>for</w:t>
      </w:r>
      <w:r w:rsidRPr="009B31E1">
        <w:t xml:space="preserve"> an experiment apparatus. </w:t>
      </w:r>
      <w:r w:rsidRPr="009B31E1">
        <w:rPr>
          <w:lang w:eastAsia="ja-JP"/>
        </w:rPr>
        <w:t>The system</w:t>
      </w:r>
      <w:r w:rsidRPr="009B31E1">
        <w:t xml:space="preserve"> is reported in Report ITU-R BT.2053 – Large screen digital imagery. The display is equipped with four 8</w:t>
      </w:r>
      <w:r w:rsidRPr="009B31E1">
        <w:noBreakHyphen/>
        <w:t>million</w:t>
      </w:r>
      <w:r w:rsidRPr="009B31E1">
        <w:noBreakHyphen/>
        <w:t>pixel liquid crystal on silicon devices</w:t>
      </w:r>
      <w:r w:rsidRPr="009B31E1">
        <w:rPr>
          <w:lang w:eastAsia="ja-JP"/>
        </w:rPr>
        <w:t>,</w:t>
      </w:r>
      <w:r w:rsidRPr="009B31E1">
        <w:t xml:space="preserve"> and </w:t>
      </w:r>
      <w:r w:rsidRPr="009B31E1">
        <w:rPr>
          <w:lang w:eastAsia="ja-JP"/>
        </w:rPr>
        <w:t xml:space="preserve">a </w:t>
      </w:r>
      <w:r w:rsidRPr="009B31E1">
        <w:t>pixel offset method enhances the resolution as equivalent to 32 million pixel</w:t>
      </w:r>
      <w:r w:rsidRPr="009B31E1">
        <w:rPr>
          <w:lang w:eastAsia="ja-JP"/>
        </w:rPr>
        <w:t>s</w:t>
      </w:r>
      <w:r w:rsidRPr="009B31E1">
        <w:t xml:space="preserve">. The screen size is approximately 7 m horizontally and 4 m vertically (320-inch diagonally). </w:t>
      </w:r>
      <w:r w:rsidRPr="009B31E1">
        <w:rPr>
          <w:lang w:eastAsia="ja-JP"/>
        </w:rPr>
        <w:t>Screen brightness is 50 cd/m</w:t>
      </w:r>
      <w:r w:rsidRPr="009B31E1">
        <w:rPr>
          <w:vertAlign w:val="superscript"/>
          <w:lang w:eastAsia="ja-JP"/>
        </w:rPr>
        <w:t>2</w:t>
      </w:r>
      <w:r w:rsidRPr="009B31E1">
        <w:rPr>
          <w:lang w:eastAsia="ja-JP"/>
        </w:rPr>
        <w:t xml:space="preserve"> and contrast ratio is more than 700:1. Table 5 lists the m</w:t>
      </w:r>
      <w:r w:rsidRPr="009B31E1">
        <w:t>ajor items of</w:t>
      </w:r>
      <w:r w:rsidRPr="009B31E1">
        <w:rPr>
          <w:lang w:eastAsia="ja-JP"/>
        </w:rPr>
        <w:t xml:space="preserve"> the system’s</w:t>
      </w:r>
      <w:r w:rsidRPr="009B31E1">
        <w:t xml:space="preserve"> signal format.</w:t>
      </w:r>
    </w:p>
    <w:bookmarkEnd w:id="5"/>
    <w:p w:rsidR="00CC6D04" w:rsidRPr="00AD6C00" w:rsidRDefault="00CC6D04" w:rsidP="00CC6D04">
      <w:pPr>
        <w:pStyle w:val="Heading1"/>
        <w:rPr>
          <w:lang w:val="en-US"/>
        </w:rPr>
      </w:pPr>
      <w:r w:rsidRPr="00AD6C00">
        <w:rPr>
          <w:lang w:val="en-US"/>
        </w:rPr>
        <w:t>3</w:t>
      </w:r>
      <w:r w:rsidRPr="00AD6C00">
        <w:rPr>
          <w:lang w:val="en-US"/>
        </w:rPr>
        <w:tab/>
        <w:t>Results</w:t>
      </w:r>
    </w:p>
    <w:p w:rsidR="00CC6D04" w:rsidRPr="009B31E1" w:rsidRDefault="00CC6D04" w:rsidP="00CC6D04">
      <w:r w:rsidRPr="009B31E1">
        <w:rPr>
          <w:lang w:eastAsia="ja-JP"/>
        </w:rPr>
        <w:t>“Sensation of reality” evaluated in seven-grade categorical scale</w:t>
      </w:r>
      <w:r w:rsidRPr="009B31E1">
        <w:t xml:space="preserve"> </w:t>
      </w:r>
      <w:r w:rsidRPr="009B31E1">
        <w:rPr>
          <w:lang w:eastAsia="ja-JP"/>
        </w:rPr>
        <w:t>was</w:t>
      </w:r>
      <w:r w:rsidRPr="009B31E1">
        <w:t xml:space="preserve"> converted to interval scale</w:t>
      </w:r>
      <w:r w:rsidRPr="009B31E1">
        <w:rPr>
          <w:lang w:eastAsia="ja-JP"/>
        </w:rPr>
        <w:t xml:space="preserve"> to perform a multivariate analysis of variance (MANOVA) with a three-factor within-subject design (screen-viewing angle, camera angle and picture content)</w:t>
      </w:r>
      <w:r w:rsidRPr="009B31E1">
        <w:t>.</w:t>
      </w:r>
      <w:r w:rsidRPr="009B31E1">
        <w:rPr>
          <w:lang w:eastAsia="ja-JP"/>
        </w:rPr>
        <w:t xml:space="preserve"> Significant values were obtained for the main effect of the screen-viewing angle, the main effect of the picture content, and for screen-viewing angle </w:t>
      </w:r>
      <w:r w:rsidRPr="009B31E1">
        <w:sym w:font="Symbol" w:char="F0B4"/>
      </w:r>
      <w:r w:rsidRPr="009B31E1">
        <w:rPr>
          <w:lang w:eastAsia="ja-JP"/>
        </w:rPr>
        <w:t xml:space="preserve"> camera angle interactions. The main effect of the picture content was significant because picture 1 was rated higher than the other pictures. If MANOVA is performed without the results for picture 2, then significant results are not obtained for the main effect of the picture content</w:t>
      </w:r>
      <w:r w:rsidRPr="009B31E1">
        <w:t xml:space="preserve">. Figure 2 shows the relationship between the average </w:t>
      </w:r>
      <w:r w:rsidRPr="009B31E1">
        <w:rPr>
          <w:lang w:eastAsia="ja-JP"/>
        </w:rPr>
        <w:t>score</w:t>
      </w:r>
      <w:r w:rsidRPr="009B31E1">
        <w:t xml:space="preserve"> of pictures 1</w:t>
      </w:r>
      <w:r w:rsidRPr="009B31E1">
        <w:noBreakHyphen/>
        <w:t>5 and the screen</w:t>
      </w:r>
      <w:r w:rsidRPr="009B31E1">
        <w:rPr>
          <w:lang w:eastAsia="ja-JP"/>
        </w:rPr>
        <w:t>-</w:t>
      </w:r>
      <w:r w:rsidRPr="009B31E1">
        <w:t>viewing angle for different camera angles.</w:t>
      </w:r>
      <w:r w:rsidRPr="009B31E1">
        <w:rPr>
          <w:lang w:eastAsia="ja-JP"/>
        </w:rPr>
        <w:t xml:space="preserve"> “Sensation of reality”</w:t>
      </w:r>
      <w:r w:rsidRPr="009B31E1">
        <w:t xml:space="preserve"> increases monotonously </w:t>
      </w:r>
      <w:r w:rsidRPr="009B31E1">
        <w:rPr>
          <w:lang w:eastAsia="ja-JP"/>
        </w:rPr>
        <w:t>with</w:t>
      </w:r>
      <w:r w:rsidRPr="009B31E1">
        <w:t xml:space="preserve"> viewing angle, although the results for camera angle of 60° slightly levels off at the viewing angle above 90°.</w:t>
      </w:r>
    </w:p>
    <w:p w:rsidR="00CC6D04" w:rsidRPr="00AD6C00" w:rsidRDefault="00CC6D04" w:rsidP="00CC6D04">
      <w:pPr>
        <w:pStyle w:val="Heading1"/>
        <w:rPr>
          <w:lang w:val="en-US"/>
        </w:rPr>
      </w:pPr>
      <w:r>
        <w:rPr>
          <w:lang w:val="en-US" w:eastAsia="ja-JP"/>
        </w:rPr>
        <w:br w:type="page"/>
      </w:r>
      <w:r w:rsidRPr="00AD6C00">
        <w:rPr>
          <w:lang w:val="en-US" w:eastAsia="ja-JP"/>
        </w:rPr>
        <w:lastRenderedPageBreak/>
        <w:t>4</w:t>
      </w:r>
      <w:r w:rsidRPr="00AD6C00">
        <w:rPr>
          <w:lang w:val="en-US"/>
        </w:rPr>
        <w:tab/>
        <w:t>Conclusion</w:t>
      </w:r>
    </w:p>
    <w:p w:rsidR="00CC6D04" w:rsidRPr="009B31E1" w:rsidRDefault="00CC6D04" w:rsidP="00CC6D04">
      <w:pPr>
        <w:rPr>
          <w:lang w:eastAsia="ja-JP"/>
        </w:rPr>
      </w:pPr>
      <w:r w:rsidRPr="009B31E1">
        <w:t xml:space="preserve">The results confirm that wider viewing angle generates higher </w:t>
      </w:r>
      <w:r w:rsidRPr="009B31E1">
        <w:rPr>
          <w:lang w:eastAsia="ja-JP"/>
        </w:rPr>
        <w:t>“</w:t>
      </w:r>
      <w:r w:rsidRPr="009B31E1">
        <w:t xml:space="preserve">sensation of </w:t>
      </w:r>
      <w:r w:rsidRPr="009B31E1">
        <w:rPr>
          <w:lang w:eastAsia="ja-JP"/>
        </w:rPr>
        <w:t>reality”</w:t>
      </w:r>
      <w:r w:rsidRPr="009B31E1">
        <w:t xml:space="preserve">. It also implies that LSDI </w:t>
      </w:r>
      <w:r w:rsidRPr="009B31E1">
        <w:rPr>
          <w:lang w:eastAsia="ja-JP"/>
        </w:rPr>
        <w:t>with higher resolution</w:t>
      </w:r>
      <w:r w:rsidRPr="009B31E1">
        <w:t xml:space="preserve"> than HD</w:t>
      </w:r>
      <w:r w:rsidRPr="009B31E1">
        <w:rPr>
          <w:lang w:eastAsia="ja-JP"/>
        </w:rPr>
        <w:t>TV</w:t>
      </w:r>
      <w:r w:rsidRPr="009B31E1">
        <w:t xml:space="preserve"> would be needed for application</w:t>
      </w:r>
      <w:r w:rsidRPr="009B31E1">
        <w:rPr>
          <w:lang w:eastAsia="ja-JP"/>
        </w:rPr>
        <w:t>s</w:t>
      </w:r>
      <w:r w:rsidRPr="009B31E1">
        <w:t xml:space="preserve"> </w:t>
      </w:r>
      <w:r w:rsidRPr="009B31E1">
        <w:rPr>
          <w:lang w:eastAsia="ja-JP"/>
        </w:rPr>
        <w:t>that</w:t>
      </w:r>
      <w:r w:rsidRPr="009B31E1">
        <w:t xml:space="preserve"> require higher </w:t>
      </w:r>
      <w:r w:rsidRPr="009B31E1">
        <w:rPr>
          <w:lang w:eastAsia="ja-JP"/>
        </w:rPr>
        <w:t>“</w:t>
      </w:r>
      <w:r w:rsidRPr="009B31E1">
        <w:t xml:space="preserve">sensation of </w:t>
      </w:r>
      <w:r w:rsidRPr="009B31E1">
        <w:rPr>
          <w:lang w:eastAsia="ja-JP"/>
        </w:rPr>
        <w:t>reality”</w:t>
      </w:r>
      <w:r w:rsidRPr="009B31E1">
        <w:t>. On the other hand, it is known that decrease</w:t>
      </w:r>
      <w:r w:rsidRPr="009B31E1">
        <w:rPr>
          <w:lang w:eastAsia="ja-JP"/>
        </w:rPr>
        <w:t>s</w:t>
      </w:r>
      <w:r w:rsidRPr="009B31E1">
        <w:t xml:space="preserve"> of comfortableness would arise when the viewing position is too close to wide-screen images. </w:t>
      </w:r>
    </w:p>
    <w:p w:rsidR="00CC6D04" w:rsidRPr="009B31E1" w:rsidRDefault="00CC6D04" w:rsidP="00CC6D04">
      <w:r w:rsidRPr="009B31E1">
        <w:rPr>
          <w:lang w:eastAsia="ja-JP"/>
        </w:rPr>
        <w:t xml:space="preserve">In order </w:t>
      </w:r>
      <w:r w:rsidRPr="009B31E1">
        <w:t>to facilitate a wide variety of LSDI applications</w:t>
      </w:r>
      <w:r w:rsidRPr="009B31E1">
        <w:rPr>
          <w:lang w:eastAsia="ja-JP"/>
        </w:rPr>
        <w:t>,</w:t>
      </w:r>
      <w:r w:rsidRPr="009B31E1">
        <w:t xml:space="preserve"> </w:t>
      </w:r>
      <w:r w:rsidRPr="009B31E1">
        <w:rPr>
          <w:lang w:eastAsia="ja-JP"/>
        </w:rPr>
        <w:t>s</w:t>
      </w:r>
      <w:r w:rsidRPr="009B31E1">
        <w:t xml:space="preserve">tudy of expanded hierarchy of LSDI systems should be </w:t>
      </w:r>
      <w:r w:rsidRPr="009B31E1">
        <w:rPr>
          <w:lang w:eastAsia="ja-JP"/>
        </w:rPr>
        <w:t>advanced</w:t>
      </w:r>
      <w:r w:rsidRPr="009B31E1">
        <w:t>.</w:t>
      </w:r>
    </w:p>
    <w:p w:rsidR="00CC6D04" w:rsidRPr="009B31E1" w:rsidRDefault="00CC6D04" w:rsidP="00CC6D04">
      <w:pPr>
        <w:pStyle w:val="TableNo"/>
      </w:pPr>
      <w:r w:rsidRPr="009B31E1">
        <w:t xml:space="preserve">TABLE </w:t>
      </w:r>
      <w:r w:rsidRPr="009B31E1">
        <w:rPr>
          <w:lang w:eastAsia="ja-JP"/>
        </w:rPr>
        <w:t>3</w:t>
      </w:r>
    </w:p>
    <w:p w:rsidR="00CC6D04" w:rsidRPr="009B31E1" w:rsidRDefault="00CC6D04" w:rsidP="00CC6D04">
      <w:pPr>
        <w:pStyle w:val="Tabletitle"/>
      </w:pPr>
      <w:r w:rsidRPr="009B31E1">
        <w:t>Experimental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148"/>
        <w:gridCol w:w="724"/>
        <w:gridCol w:w="766"/>
        <w:gridCol w:w="860"/>
        <w:gridCol w:w="875"/>
        <w:gridCol w:w="877"/>
        <w:gridCol w:w="875"/>
        <w:gridCol w:w="875"/>
        <w:gridCol w:w="845"/>
        <w:gridCol w:w="891"/>
        <w:gridCol w:w="903"/>
      </w:tblGrid>
      <w:tr w:rsidR="00CC6D04" w:rsidRPr="009B31E1" w:rsidTr="00AD1722">
        <w:tblPrEx>
          <w:tblCellMar>
            <w:top w:w="0" w:type="dxa"/>
            <w:bottom w:w="0" w:type="dxa"/>
          </w:tblCellMar>
        </w:tblPrEx>
        <w:trPr>
          <w:jc w:val="center"/>
        </w:trPr>
        <w:tc>
          <w:tcPr>
            <w:tcW w:w="1737" w:type="dxa"/>
            <w:gridSpan w:val="2"/>
          </w:tcPr>
          <w:p w:rsidR="00CC6D04" w:rsidRPr="009B31E1" w:rsidRDefault="00CC6D04" w:rsidP="00AD1722">
            <w:pPr>
              <w:pStyle w:val="Tabletext"/>
              <w:jc w:val="left"/>
            </w:pPr>
            <w:r w:rsidRPr="009B31E1">
              <w:t>Scanning lines</w:t>
            </w:r>
          </w:p>
        </w:tc>
        <w:tc>
          <w:tcPr>
            <w:tcW w:w="711" w:type="dxa"/>
            <w:vAlign w:val="center"/>
          </w:tcPr>
          <w:p w:rsidR="00CC6D04" w:rsidRPr="009B31E1" w:rsidRDefault="00CC6D04" w:rsidP="00AD1722">
            <w:pPr>
              <w:pStyle w:val="Tabletext"/>
              <w:jc w:val="center"/>
            </w:pPr>
            <w:r w:rsidRPr="009B31E1">
              <w:t>1 000</w:t>
            </w:r>
          </w:p>
        </w:tc>
        <w:tc>
          <w:tcPr>
            <w:tcW w:w="799" w:type="dxa"/>
            <w:vAlign w:val="center"/>
          </w:tcPr>
          <w:p w:rsidR="00CC6D04" w:rsidRPr="009B31E1" w:rsidRDefault="00CC6D04" w:rsidP="00AD1722">
            <w:pPr>
              <w:pStyle w:val="Tabletext"/>
              <w:jc w:val="center"/>
            </w:pPr>
            <w:r w:rsidRPr="009B31E1">
              <w:t>1 143</w:t>
            </w:r>
          </w:p>
        </w:tc>
        <w:tc>
          <w:tcPr>
            <w:tcW w:w="813" w:type="dxa"/>
            <w:vAlign w:val="center"/>
          </w:tcPr>
          <w:p w:rsidR="00CC6D04" w:rsidRPr="009B31E1" w:rsidRDefault="00CC6D04" w:rsidP="00AD1722">
            <w:pPr>
              <w:pStyle w:val="Tabletext"/>
              <w:jc w:val="center"/>
            </w:pPr>
            <w:r w:rsidRPr="009B31E1">
              <w:t>1 333</w:t>
            </w:r>
          </w:p>
        </w:tc>
        <w:tc>
          <w:tcPr>
            <w:tcW w:w="815" w:type="dxa"/>
            <w:vAlign w:val="center"/>
          </w:tcPr>
          <w:p w:rsidR="00CC6D04" w:rsidRPr="009B31E1" w:rsidRDefault="00CC6D04" w:rsidP="00AD1722">
            <w:pPr>
              <w:pStyle w:val="Tabletext"/>
              <w:jc w:val="center"/>
            </w:pPr>
            <w:r w:rsidRPr="009B31E1">
              <w:t>1 600</w:t>
            </w:r>
          </w:p>
        </w:tc>
        <w:tc>
          <w:tcPr>
            <w:tcW w:w="813" w:type="dxa"/>
            <w:vAlign w:val="center"/>
          </w:tcPr>
          <w:p w:rsidR="00CC6D04" w:rsidRPr="009B31E1" w:rsidRDefault="00CC6D04" w:rsidP="00AD1722">
            <w:pPr>
              <w:pStyle w:val="Tabletext"/>
              <w:jc w:val="center"/>
            </w:pPr>
            <w:r w:rsidRPr="009B31E1">
              <w:t>2 000</w:t>
            </w:r>
          </w:p>
        </w:tc>
        <w:tc>
          <w:tcPr>
            <w:tcW w:w="813" w:type="dxa"/>
            <w:vAlign w:val="center"/>
          </w:tcPr>
          <w:p w:rsidR="00CC6D04" w:rsidRPr="009B31E1" w:rsidRDefault="00CC6D04" w:rsidP="00AD1722">
            <w:pPr>
              <w:pStyle w:val="Tabletext"/>
              <w:jc w:val="center"/>
            </w:pPr>
            <w:r w:rsidRPr="009B31E1">
              <w:t>2 667</w:t>
            </w:r>
          </w:p>
        </w:tc>
        <w:tc>
          <w:tcPr>
            <w:tcW w:w="785" w:type="dxa"/>
            <w:vAlign w:val="center"/>
          </w:tcPr>
          <w:p w:rsidR="00CC6D04" w:rsidRPr="009B31E1" w:rsidRDefault="00CC6D04" w:rsidP="00AD1722">
            <w:pPr>
              <w:pStyle w:val="Tabletext"/>
              <w:jc w:val="center"/>
            </w:pPr>
            <w:r w:rsidRPr="009B31E1">
              <w:t>3 200</w:t>
            </w:r>
          </w:p>
        </w:tc>
        <w:tc>
          <w:tcPr>
            <w:tcW w:w="828" w:type="dxa"/>
            <w:vAlign w:val="center"/>
          </w:tcPr>
          <w:p w:rsidR="00CC6D04" w:rsidRPr="009B31E1" w:rsidRDefault="00CC6D04" w:rsidP="00AD1722">
            <w:pPr>
              <w:pStyle w:val="Tabletext"/>
              <w:jc w:val="center"/>
            </w:pPr>
            <w:r w:rsidRPr="009B31E1">
              <w:t>3 556</w:t>
            </w:r>
          </w:p>
        </w:tc>
        <w:tc>
          <w:tcPr>
            <w:tcW w:w="839" w:type="dxa"/>
            <w:vAlign w:val="center"/>
          </w:tcPr>
          <w:p w:rsidR="00CC6D04" w:rsidRPr="009B31E1" w:rsidRDefault="00CC6D04" w:rsidP="00AD1722">
            <w:pPr>
              <w:pStyle w:val="Tabletext"/>
              <w:jc w:val="center"/>
            </w:pPr>
            <w:r w:rsidRPr="009B31E1">
              <w:t>4 000</w:t>
            </w:r>
          </w:p>
        </w:tc>
      </w:tr>
      <w:tr w:rsidR="00CC6D04" w:rsidRPr="009B31E1" w:rsidTr="00AD1722">
        <w:tblPrEx>
          <w:tblCellMar>
            <w:top w:w="0" w:type="dxa"/>
            <w:bottom w:w="0" w:type="dxa"/>
          </w:tblCellMar>
        </w:tblPrEx>
        <w:trPr>
          <w:jc w:val="center"/>
        </w:trPr>
        <w:tc>
          <w:tcPr>
            <w:tcW w:w="1737" w:type="dxa"/>
            <w:gridSpan w:val="2"/>
          </w:tcPr>
          <w:p w:rsidR="00CC6D04" w:rsidRPr="009B31E1" w:rsidRDefault="00CC6D04" w:rsidP="00AD1722">
            <w:pPr>
              <w:pStyle w:val="Tabletext"/>
              <w:jc w:val="left"/>
            </w:pPr>
            <w:r w:rsidRPr="009B31E1">
              <w:rPr>
                <w:lang w:eastAsia="ja-JP"/>
              </w:rPr>
              <w:t>Picture a</w:t>
            </w:r>
            <w:r w:rsidRPr="009B31E1">
              <w:t>spect ratio</w:t>
            </w:r>
          </w:p>
        </w:tc>
        <w:tc>
          <w:tcPr>
            <w:tcW w:w="7216" w:type="dxa"/>
            <w:gridSpan w:val="9"/>
            <w:vAlign w:val="center"/>
          </w:tcPr>
          <w:p w:rsidR="00CC6D04" w:rsidRPr="009B31E1" w:rsidRDefault="00CC6D04" w:rsidP="00AD1722">
            <w:pPr>
              <w:pStyle w:val="Tabletext"/>
              <w:jc w:val="center"/>
            </w:pPr>
            <w:r w:rsidRPr="009B31E1">
              <w:t>16:9</w:t>
            </w:r>
          </w:p>
        </w:tc>
      </w:tr>
      <w:tr w:rsidR="00CC6D04" w:rsidRPr="009B31E1" w:rsidTr="00AD1722">
        <w:tblPrEx>
          <w:tblCellMar>
            <w:top w:w="0" w:type="dxa"/>
            <w:bottom w:w="0" w:type="dxa"/>
          </w:tblCellMar>
        </w:tblPrEx>
        <w:trPr>
          <w:jc w:val="center"/>
        </w:trPr>
        <w:tc>
          <w:tcPr>
            <w:tcW w:w="1737" w:type="dxa"/>
            <w:gridSpan w:val="2"/>
            <w:tcBorders>
              <w:bottom w:val="single" w:sz="4" w:space="0" w:color="auto"/>
            </w:tcBorders>
          </w:tcPr>
          <w:p w:rsidR="00CC6D04" w:rsidRPr="009B31E1" w:rsidRDefault="00CC6D04" w:rsidP="00AD1722">
            <w:pPr>
              <w:pStyle w:val="Tabletext"/>
              <w:jc w:val="left"/>
            </w:pPr>
            <w:r w:rsidRPr="009B31E1">
              <w:t>Picture size</w:t>
            </w:r>
            <w:r w:rsidRPr="009B31E1">
              <w:rPr>
                <w:lang w:eastAsia="ja-JP"/>
              </w:rPr>
              <w:t xml:space="preserve"> diagonally</w:t>
            </w:r>
            <w:r w:rsidRPr="009B31E1">
              <w:t xml:space="preserve"> (inch)</w:t>
            </w:r>
          </w:p>
        </w:tc>
        <w:tc>
          <w:tcPr>
            <w:tcW w:w="711" w:type="dxa"/>
            <w:vAlign w:val="center"/>
          </w:tcPr>
          <w:p w:rsidR="00CC6D04" w:rsidRPr="009B31E1" w:rsidRDefault="00CC6D04" w:rsidP="00AD1722">
            <w:pPr>
              <w:pStyle w:val="Tabletext"/>
              <w:jc w:val="center"/>
            </w:pPr>
            <w:r w:rsidRPr="009B31E1">
              <w:t>75</w:t>
            </w:r>
          </w:p>
        </w:tc>
        <w:tc>
          <w:tcPr>
            <w:tcW w:w="799" w:type="dxa"/>
            <w:vAlign w:val="center"/>
          </w:tcPr>
          <w:p w:rsidR="00CC6D04" w:rsidRPr="009B31E1" w:rsidRDefault="00CC6D04" w:rsidP="00AD1722">
            <w:pPr>
              <w:pStyle w:val="Tabletext"/>
              <w:jc w:val="center"/>
            </w:pPr>
            <w:r w:rsidRPr="009B31E1">
              <w:t>86</w:t>
            </w:r>
          </w:p>
        </w:tc>
        <w:tc>
          <w:tcPr>
            <w:tcW w:w="813" w:type="dxa"/>
            <w:vAlign w:val="center"/>
          </w:tcPr>
          <w:p w:rsidR="00CC6D04" w:rsidRPr="009B31E1" w:rsidRDefault="00CC6D04" w:rsidP="00AD1722">
            <w:pPr>
              <w:pStyle w:val="Tabletext"/>
              <w:jc w:val="center"/>
            </w:pPr>
            <w:r w:rsidRPr="009B31E1">
              <w:t>100</w:t>
            </w:r>
          </w:p>
        </w:tc>
        <w:tc>
          <w:tcPr>
            <w:tcW w:w="815" w:type="dxa"/>
            <w:vAlign w:val="center"/>
          </w:tcPr>
          <w:p w:rsidR="00CC6D04" w:rsidRPr="009B31E1" w:rsidRDefault="00CC6D04" w:rsidP="00AD1722">
            <w:pPr>
              <w:pStyle w:val="Tabletext"/>
              <w:jc w:val="center"/>
            </w:pPr>
            <w:r w:rsidRPr="009B31E1">
              <w:t>120</w:t>
            </w:r>
          </w:p>
        </w:tc>
        <w:tc>
          <w:tcPr>
            <w:tcW w:w="813" w:type="dxa"/>
            <w:vAlign w:val="center"/>
          </w:tcPr>
          <w:p w:rsidR="00CC6D04" w:rsidRPr="009B31E1" w:rsidRDefault="00CC6D04" w:rsidP="00AD1722">
            <w:pPr>
              <w:pStyle w:val="Tabletext"/>
              <w:jc w:val="center"/>
            </w:pPr>
            <w:r w:rsidRPr="009B31E1">
              <w:t>150</w:t>
            </w:r>
          </w:p>
        </w:tc>
        <w:tc>
          <w:tcPr>
            <w:tcW w:w="813" w:type="dxa"/>
            <w:vAlign w:val="center"/>
          </w:tcPr>
          <w:p w:rsidR="00CC6D04" w:rsidRPr="009B31E1" w:rsidRDefault="00CC6D04" w:rsidP="00AD1722">
            <w:pPr>
              <w:pStyle w:val="Tabletext"/>
              <w:jc w:val="center"/>
            </w:pPr>
            <w:r w:rsidRPr="009B31E1">
              <w:t>200</w:t>
            </w:r>
          </w:p>
        </w:tc>
        <w:tc>
          <w:tcPr>
            <w:tcW w:w="785" w:type="dxa"/>
            <w:vAlign w:val="center"/>
          </w:tcPr>
          <w:p w:rsidR="00CC6D04" w:rsidRPr="009B31E1" w:rsidRDefault="00CC6D04" w:rsidP="00AD1722">
            <w:pPr>
              <w:pStyle w:val="Tabletext"/>
              <w:jc w:val="center"/>
            </w:pPr>
            <w:r w:rsidRPr="009B31E1">
              <w:t>240</w:t>
            </w:r>
          </w:p>
        </w:tc>
        <w:tc>
          <w:tcPr>
            <w:tcW w:w="828" w:type="dxa"/>
            <w:vAlign w:val="center"/>
          </w:tcPr>
          <w:p w:rsidR="00CC6D04" w:rsidRPr="009B31E1" w:rsidRDefault="00CC6D04" w:rsidP="00AD1722">
            <w:pPr>
              <w:pStyle w:val="Tabletext"/>
              <w:jc w:val="center"/>
            </w:pPr>
            <w:r w:rsidRPr="009B31E1">
              <w:t>267</w:t>
            </w:r>
          </w:p>
        </w:tc>
        <w:tc>
          <w:tcPr>
            <w:tcW w:w="839" w:type="dxa"/>
            <w:vAlign w:val="center"/>
          </w:tcPr>
          <w:p w:rsidR="00CC6D04" w:rsidRPr="009B31E1" w:rsidRDefault="00CC6D04" w:rsidP="00AD1722">
            <w:pPr>
              <w:pStyle w:val="Tabletext"/>
              <w:jc w:val="center"/>
            </w:pPr>
            <w:r w:rsidRPr="009B31E1">
              <w:t>300</w:t>
            </w:r>
          </w:p>
        </w:tc>
      </w:tr>
      <w:tr w:rsidR="00CC6D04" w:rsidRPr="009B31E1" w:rsidTr="00AD1722">
        <w:tblPrEx>
          <w:tblCellMar>
            <w:top w:w="0" w:type="dxa"/>
            <w:bottom w:w="0" w:type="dxa"/>
          </w:tblCellMar>
        </w:tblPrEx>
        <w:trPr>
          <w:trHeight w:val="315"/>
          <w:jc w:val="center"/>
        </w:trPr>
        <w:tc>
          <w:tcPr>
            <w:tcW w:w="1065" w:type="dxa"/>
            <w:vMerge w:val="restart"/>
            <w:tcBorders>
              <w:right w:val="nil"/>
            </w:tcBorders>
          </w:tcPr>
          <w:p w:rsidR="00CC6D04" w:rsidRPr="009B31E1" w:rsidRDefault="00CC6D04" w:rsidP="00AD1722">
            <w:pPr>
              <w:pStyle w:val="Tabletext"/>
              <w:jc w:val="left"/>
              <w:rPr>
                <w:lang w:eastAsia="ja-JP"/>
              </w:rPr>
            </w:pPr>
            <w:r w:rsidRPr="009B31E1">
              <w:t>Viewing distance</w:t>
            </w:r>
          </w:p>
        </w:tc>
        <w:tc>
          <w:tcPr>
            <w:tcW w:w="672" w:type="dxa"/>
            <w:tcBorders>
              <w:left w:val="nil"/>
            </w:tcBorders>
          </w:tcPr>
          <w:p w:rsidR="00CC6D04" w:rsidRPr="009B31E1" w:rsidRDefault="00CC6D04" w:rsidP="00AD1722">
            <w:pPr>
              <w:pStyle w:val="Tabletext"/>
              <w:jc w:val="left"/>
            </w:pPr>
            <w:r w:rsidRPr="009B31E1">
              <w:t>(m)</w:t>
            </w:r>
          </w:p>
        </w:tc>
        <w:tc>
          <w:tcPr>
            <w:tcW w:w="7216" w:type="dxa"/>
            <w:gridSpan w:val="9"/>
            <w:vAlign w:val="center"/>
          </w:tcPr>
          <w:p w:rsidR="00CC6D04" w:rsidRPr="009B31E1" w:rsidRDefault="00CC6D04" w:rsidP="00AD1722">
            <w:pPr>
              <w:pStyle w:val="Tabletext"/>
              <w:jc w:val="center"/>
            </w:pPr>
            <w:r w:rsidRPr="009B31E1">
              <w:t>2.8</w:t>
            </w:r>
          </w:p>
        </w:tc>
      </w:tr>
      <w:tr w:rsidR="00CC6D04" w:rsidRPr="009B31E1" w:rsidTr="00AD1722">
        <w:tblPrEx>
          <w:tblCellMar>
            <w:top w:w="0" w:type="dxa"/>
            <w:bottom w:w="0" w:type="dxa"/>
          </w:tblCellMar>
        </w:tblPrEx>
        <w:trPr>
          <w:jc w:val="center"/>
        </w:trPr>
        <w:tc>
          <w:tcPr>
            <w:tcW w:w="1065" w:type="dxa"/>
            <w:vMerge/>
            <w:tcBorders>
              <w:right w:val="nil"/>
            </w:tcBorders>
          </w:tcPr>
          <w:p w:rsidR="00CC6D04" w:rsidRPr="009B31E1" w:rsidRDefault="00CC6D04" w:rsidP="00AD1722">
            <w:pPr>
              <w:pStyle w:val="Tabletext"/>
              <w:jc w:val="left"/>
            </w:pPr>
          </w:p>
        </w:tc>
        <w:tc>
          <w:tcPr>
            <w:tcW w:w="672" w:type="dxa"/>
            <w:tcBorders>
              <w:left w:val="nil"/>
            </w:tcBorders>
          </w:tcPr>
          <w:p w:rsidR="00CC6D04" w:rsidRPr="009B31E1" w:rsidRDefault="00CC6D04" w:rsidP="00AD1722">
            <w:pPr>
              <w:pStyle w:val="Tabletext"/>
              <w:jc w:val="left"/>
              <w:rPr>
                <w:lang w:eastAsia="ja-JP"/>
              </w:rPr>
            </w:pPr>
            <w:r w:rsidRPr="009B31E1">
              <w:rPr>
                <w:lang w:eastAsia="ja-JP"/>
              </w:rPr>
              <w:t>(H)</w:t>
            </w:r>
          </w:p>
        </w:tc>
        <w:tc>
          <w:tcPr>
            <w:tcW w:w="711" w:type="dxa"/>
            <w:vAlign w:val="center"/>
          </w:tcPr>
          <w:p w:rsidR="00CC6D04" w:rsidRPr="009B31E1" w:rsidRDefault="00CC6D04" w:rsidP="00AD1722">
            <w:pPr>
              <w:pStyle w:val="Tabletext"/>
              <w:jc w:val="center"/>
            </w:pPr>
            <w:r w:rsidRPr="009B31E1">
              <w:t>3.0</w:t>
            </w:r>
          </w:p>
        </w:tc>
        <w:tc>
          <w:tcPr>
            <w:tcW w:w="799" w:type="dxa"/>
            <w:vAlign w:val="center"/>
          </w:tcPr>
          <w:p w:rsidR="00CC6D04" w:rsidRPr="009B31E1" w:rsidRDefault="00CC6D04" w:rsidP="00AD1722">
            <w:pPr>
              <w:pStyle w:val="Tabletext"/>
              <w:jc w:val="center"/>
            </w:pPr>
            <w:r w:rsidRPr="009B31E1">
              <w:t>2.6</w:t>
            </w:r>
          </w:p>
        </w:tc>
        <w:tc>
          <w:tcPr>
            <w:tcW w:w="813" w:type="dxa"/>
            <w:vAlign w:val="center"/>
          </w:tcPr>
          <w:p w:rsidR="00CC6D04" w:rsidRPr="009B31E1" w:rsidRDefault="00CC6D04" w:rsidP="00AD1722">
            <w:pPr>
              <w:pStyle w:val="Tabletext"/>
              <w:jc w:val="center"/>
            </w:pPr>
            <w:r w:rsidRPr="009B31E1">
              <w:t>2.2</w:t>
            </w:r>
          </w:p>
        </w:tc>
        <w:tc>
          <w:tcPr>
            <w:tcW w:w="815" w:type="dxa"/>
            <w:vAlign w:val="center"/>
          </w:tcPr>
          <w:p w:rsidR="00CC6D04" w:rsidRPr="009B31E1" w:rsidRDefault="00CC6D04" w:rsidP="00AD1722">
            <w:pPr>
              <w:pStyle w:val="Tabletext"/>
              <w:jc w:val="center"/>
            </w:pPr>
            <w:r w:rsidRPr="009B31E1">
              <w:t>1.9</w:t>
            </w:r>
          </w:p>
        </w:tc>
        <w:tc>
          <w:tcPr>
            <w:tcW w:w="813" w:type="dxa"/>
            <w:vAlign w:val="center"/>
          </w:tcPr>
          <w:p w:rsidR="00CC6D04" w:rsidRPr="009B31E1" w:rsidRDefault="00CC6D04" w:rsidP="00AD1722">
            <w:pPr>
              <w:pStyle w:val="Tabletext"/>
              <w:jc w:val="center"/>
            </w:pPr>
            <w:r w:rsidRPr="009B31E1">
              <w:t>1.5</w:t>
            </w:r>
          </w:p>
        </w:tc>
        <w:tc>
          <w:tcPr>
            <w:tcW w:w="813" w:type="dxa"/>
            <w:vAlign w:val="center"/>
          </w:tcPr>
          <w:p w:rsidR="00CC6D04" w:rsidRPr="009B31E1" w:rsidRDefault="00CC6D04" w:rsidP="00AD1722">
            <w:pPr>
              <w:pStyle w:val="Tabletext"/>
              <w:jc w:val="center"/>
            </w:pPr>
            <w:r w:rsidRPr="009B31E1">
              <w:t>1.1</w:t>
            </w:r>
          </w:p>
        </w:tc>
        <w:tc>
          <w:tcPr>
            <w:tcW w:w="785" w:type="dxa"/>
            <w:vAlign w:val="center"/>
          </w:tcPr>
          <w:p w:rsidR="00CC6D04" w:rsidRPr="009B31E1" w:rsidRDefault="00CC6D04" w:rsidP="00AD1722">
            <w:pPr>
              <w:pStyle w:val="Tabletext"/>
              <w:jc w:val="center"/>
            </w:pPr>
            <w:r w:rsidRPr="009B31E1">
              <w:t>0.93</w:t>
            </w:r>
          </w:p>
        </w:tc>
        <w:tc>
          <w:tcPr>
            <w:tcW w:w="828" w:type="dxa"/>
            <w:vAlign w:val="center"/>
          </w:tcPr>
          <w:p w:rsidR="00CC6D04" w:rsidRPr="009B31E1" w:rsidRDefault="00CC6D04" w:rsidP="00AD1722">
            <w:pPr>
              <w:pStyle w:val="Tabletext"/>
              <w:jc w:val="center"/>
            </w:pPr>
            <w:r w:rsidRPr="009B31E1">
              <w:t>0.84</w:t>
            </w:r>
          </w:p>
        </w:tc>
        <w:tc>
          <w:tcPr>
            <w:tcW w:w="839" w:type="dxa"/>
            <w:vAlign w:val="center"/>
          </w:tcPr>
          <w:p w:rsidR="00CC6D04" w:rsidRPr="009B31E1" w:rsidRDefault="00CC6D04" w:rsidP="00AD1722">
            <w:pPr>
              <w:pStyle w:val="Tabletext"/>
              <w:jc w:val="center"/>
            </w:pPr>
            <w:r w:rsidRPr="009B31E1">
              <w:t>0.75</w:t>
            </w:r>
          </w:p>
        </w:tc>
      </w:tr>
      <w:tr w:rsidR="00CC6D04" w:rsidRPr="009B31E1" w:rsidTr="00AD1722">
        <w:tblPrEx>
          <w:tblCellMar>
            <w:top w:w="0" w:type="dxa"/>
            <w:bottom w:w="0" w:type="dxa"/>
          </w:tblCellMar>
        </w:tblPrEx>
        <w:trPr>
          <w:jc w:val="center"/>
        </w:trPr>
        <w:tc>
          <w:tcPr>
            <w:tcW w:w="1737" w:type="dxa"/>
            <w:gridSpan w:val="2"/>
          </w:tcPr>
          <w:p w:rsidR="00CC6D04" w:rsidRPr="009B31E1" w:rsidRDefault="00CC6D04" w:rsidP="00AD1722">
            <w:pPr>
              <w:pStyle w:val="Tabletext"/>
              <w:jc w:val="left"/>
            </w:pPr>
            <w:r w:rsidRPr="009B31E1">
              <w:t>Horizontal viewing angle (degrees)</w:t>
            </w:r>
          </w:p>
        </w:tc>
        <w:tc>
          <w:tcPr>
            <w:tcW w:w="711" w:type="dxa"/>
            <w:vAlign w:val="center"/>
          </w:tcPr>
          <w:p w:rsidR="00CC6D04" w:rsidRPr="009B31E1" w:rsidRDefault="00CC6D04" w:rsidP="00AD1722">
            <w:pPr>
              <w:pStyle w:val="Tabletext"/>
              <w:jc w:val="center"/>
            </w:pPr>
            <w:r w:rsidRPr="009B31E1">
              <w:t>33.2</w:t>
            </w:r>
          </w:p>
        </w:tc>
        <w:tc>
          <w:tcPr>
            <w:tcW w:w="799" w:type="dxa"/>
            <w:vAlign w:val="center"/>
          </w:tcPr>
          <w:p w:rsidR="00CC6D04" w:rsidRPr="009B31E1" w:rsidRDefault="00CC6D04" w:rsidP="00AD1722">
            <w:pPr>
              <w:pStyle w:val="Tabletext"/>
              <w:jc w:val="center"/>
            </w:pPr>
            <w:r w:rsidRPr="009B31E1">
              <w:t>37.6</w:t>
            </w:r>
          </w:p>
        </w:tc>
        <w:tc>
          <w:tcPr>
            <w:tcW w:w="813" w:type="dxa"/>
            <w:vAlign w:val="center"/>
          </w:tcPr>
          <w:p w:rsidR="00CC6D04" w:rsidRPr="009B31E1" w:rsidRDefault="00CC6D04" w:rsidP="00AD1722">
            <w:pPr>
              <w:pStyle w:val="Tabletext"/>
              <w:jc w:val="center"/>
            </w:pPr>
            <w:r w:rsidRPr="009B31E1">
              <w:t>43.3</w:t>
            </w:r>
          </w:p>
        </w:tc>
        <w:tc>
          <w:tcPr>
            <w:tcW w:w="815" w:type="dxa"/>
            <w:vAlign w:val="center"/>
          </w:tcPr>
          <w:p w:rsidR="00CC6D04" w:rsidRPr="009B31E1" w:rsidRDefault="00CC6D04" w:rsidP="00AD1722">
            <w:pPr>
              <w:pStyle w:val="Tabletext"/>
              <w:jc w:val="center"/>
            </w:pPr>
            <w:r w:rsidRPr="009B31E1">
              <w:t>51.0</w:t>
            </w:r>
          </w:p>
        </w:tc>
        <w:tc>
          <w:tcPr>
            <w:tcW w:w="813" w:type="dxa"/>
            <w:vAlign w:val="center"/>
          </w:tcPr>
          <w:p w:rsidR="00CC6D04" w:rsidRPr="009B31E1" w:rsidRDefault="00CC6D04" w:rsidP="00AD1722">
            <w:pPr>
              <w:pStyle w:val="Tabletext"/>
              <w:jc w:val="center"/>
            </w:pPr>
            <w:r w:rsidRPr="009B31E1">
              <w:t>61.6</w:t>
            </w:r>
          </w:p>
        </w:tc>
        <w:tc>
          <w:tcPr>
            <w:tcW w:w="813" w:type="dxa"/>
            <w:vAlign w:val="center"/>
          </w:tcPr>
          <w:p w:rsidR="00CC6D04" w:rsidRPr="009B31E1" w:rsidRDefault="00CC6D04" w:rsidP="00AD1722">
            <w:pPr>
              <w:pStyle w:val="Tabletext"/>
              <w:jc w:val="center"/>
            </w:pPr>
            <w:r w:rsidRPr="009B31E1">
              <w:t>76.9</w:t>
            </w:r>
          </w:p>
        </w:tc>
        <w:tc>
          <w:tcPr>
            <w:tcW w:w="785" w:type="dxa"/>
            <w:vAlign w:val="center"/>
          </w:tcPr>
          <w:p w:rsidR="00CC6D04" w:rsidRPr="009B31E1" w:rsidRDefault="00CC6D04" w:rsidP="00AD1722">
            <w:pPr>
              <w:pStyle w:val="Tabletext"/>
              <w:jc w:val="center"/>
            </w:pPr>
            <w:r w:rsidRPr="009B31E1">
              <w:t>87.3</w:t>
            </w:r>
          </w:p>
        </w:tc>
        <w:tc>
          <w:tcPr>
            <w:tcW w:w="828" w:type="dxa"/>
            <w:vAlign w:val="center"/>
          </w:tcPr>
          <w:p w:rsidR="00CC6D04" w:rsidRPr="009B31E1" w:rsidRDefault="00CC6D04" w:rsidP="00AD1722">
            <w:pPr>
              <w:pStyle w:val="Tabletext"/>
              <w:jc w:val="center"/>
            </w:pPr>
            <w:r w:rsidRPr="009B31E1">
              <w:t>93.3</w:t>
            </w:r>
          </w:p>
        </w:tc>
        <w:tc>
          <w:tcPr>
            <w:tcW w:w="839" w:type="dxa"/>
            <w:vAlign w:val="center"/>
          </w:tcPr>
          <w:p w:rsidR="00CC6D04" w:rsidRPr="009B31E1" w:rsidRDefault="00CC6D04" w:rsidP="00AD1722">
            <w:pPr>
              <w:pStyle w:val="Tabletext"/>
              <w:jc w:val="center"/>
            </w:pPr>
            <w:r w:rsidRPr="009B31E1">
              <w:t>100.0</w:t>
            </w:r>
          </w:p>
        </w:tc>
      </w:tr>
    </w:tbl>
    <w:p w:rsidR="00CC6D04" w:rsidRDefault="00CC6D04" w:rsidP="00CC6D04">
      <w:pPr>
        <w:pStyle w:val="Tablefin"/>
      </w:pPr>
    </w:p>
    <w:p w:rsidR="00CC6D04" w:rsidRPr="009B31E1" w:rsidRDefault="00CC6D04" w:rsidP="00CC6D04">
      <w:pPr>
        <w:pStyle w:val="TableNo"/>
      </w:pPr>
      <w:r w:rsidRPr="009B31E1">
        <w:t>TABLE 4</w:t>
      </w:r>
    </w:p>
    <w:p w:rsidR="00CC6D04" w:rsidRPr="009B31E1" w:rsidRDefault="00CC6D04" w:rsidP="00CC6D04">
      <w:pPr>
        <w:pStyle w:val="Tabletitle"/>
      </w:pPr>
      <w:r w:rsidRPr="009B31E1">
        <w:rPr>
          <w:lang w:eastAsia="ja-JP"/>
        </w:rPr>
        <w:t>Test pictures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50"/>
        <w:gridCol w:w="1570"/>
        <w:gridCol w:w="1570"/>
        <w:gridCol w:w="1570"/>
        <w:gridCol w:w="1570"/>
        <w:gridCol w:w="1570"/>
      </w:tblGrid>
      <w:tr w:rsidR="00CC6D04" w:rsidRPr="009B31E1" w:rsidTr="00AD1722">
        <w:tblPrEx>
          <w:tblCellMar>
            <w:top w:w="0" w:type="dxa"/>
            <w:bottom w:w="0" w:type="dxa"/>
          </w:tblCellMar>
        </w:tblPrEx>
        <w:trPr>
          <w:jc w:val="center"/>
        </w:trPr>
        <w:tc>
          <w:tcPr>
            <w:tcW w:w="1450" w:type="dxa"/>
            <w:vAlign w:val="center"/>
          </w:tcPr>
          <w:p w:rsidR="00CC6D04" w:rsidRPr="009B31E1" w:rsidRDefault="00CC6D04" w:rsidP="00AD1722">
            <w:pPr>
              <w:pStyle w:val="Tabletext"/>
            </w:pPr>
            <w:r w:rsidRPr="009B31E1">
              <w:t>Camera angle 60 (degrees)</w:t>
            </w:r>
          </w:p>
        </w:tc>
        <w:tc>
          <w:tcPr>
            <w:tcW w:w="1570" w:type="dxa"/>
            <w:vAlign w:val="center"/>
          </w:tcPr>
          <w:p w:rsidR="00CC6D04" w:rsidRPr="009B31E1" w:rsidRDefault="00CC6D04" w:rsidP="00AD1722">
            <w:r w:rsidRPr="009B31E1">
              <w:rPr>
                <w:sz w:val="22"/>
              </w:rPr>
              <w:t>1</w:t>
            </w:r>
            <w:r>
              <w:rPr>
                <w:noProof/>
                <w:lang w:val="en-US" w:eastAsia="zh-CN"/>
              </w:rPr>
              <w:drawing>
                <wp:inline distT="0" distB="0" distL="0" distR="0">
                  <wp:extent cx="784860" cy="441960"/>
                  <wp:effectExtent l="19050" t="0" r="0" b="0"/>
                  <wp:docPr id="2" name="Picture 2" descr="1_6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60deg"/>
                          <pic:cNvPicPr>
                            <a:picLocks noChangeAspect="1" noChangeArrowheads="1"/>
                          </pic:cNvPicPr>
                        </pic:nvPicPr>
                        <pic:blipFill>
                          <a:blip r:embed="rId15"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2</w:t>
            </w:r>
            <w:r>
              <w:rPr>
                <w:noProof/>
                <w:lang w:val="en-US" w:eastAsia="zh-CN"/>
              </w:rPr>
              <w:drawing>
                <wp:inline distT="0" distB="0" distL="0" distR="0">
                  <wp:extent cx="784860" cy="441960"/>
                  <wp:effectExtent l="19050" t="0" r="0" b="0"/>
                  <wp:docPr id="3" name="Picture 3" descr="2_6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_60deg"/>
                          <pic:cNvPicPr>
                            <a:picLocks noChangeAspect="1" noChangeArrowheads="1"/>
                          </pic:cNvPicPr>
                        </pic:nvPicPr>
                        <pic:blipFill>
                          <a:blip r:embed="rId16"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3</w:t>
            </w:r>
            <w:r>
              <w:rPr>
                <w:noProof/>
                <w:lang w:val="en-US" w:eastAsia="zh-CN"/>
              </w:rPr>
              <w:drawing>
                <wp:inline distT="0" distB="0" distL="0" distR="0">
                  <wp:extent cx="784860" cy="441960"/>
                  <wp:effectExtent l="19050" t="0" r="0" b="0"/>
                  <wp:docPr id="4" name="Picture 4" descr="3_6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60deg"/>
                          <pic:cNvPicPr>
                            <a:picLocks noChangeAspect="1" noChangeArrowheads="1"/>
                          </pic:cNvPicPr>
                        </pic:nvPicPr>
                        <pic:blipFill>
                          <a:blip r:embed="rId17"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4</w:t>
            </w:r>
            <w:r>
              <w:rPr>
                <w:noProof/>
                <w:lang w:val="en-US" w:eastAsia="zh-CN"/>
              </w:rPr>
              <w:drawing>
                <wp:inline distT="0" distB="0" distL="0" distR="0">
                  <wp:extent cx="784860" cy="441960"/>
                  <wp:effectExtent l="19050" t="0" r="0" b="0"/>
                  <wp:docPr id="5" name="Picture 5" descr="4_6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_60deg"/>
                          <pic:cNvPicPr>
                            <a:picLocks noChangeAspect="1" noChangeArrowheads="1"/>
                          </pic:cNvPicPr>
                        </pic:nvPicPr>
                        <pic:blipFill>
                          <a:blip r:embed="rId18"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5</w:t>
            </w:r>
            <w:r>
              <w:rPr>
                <w:noProof/>
                <w:lang w:val="en-US" w:eastAsia="zh-CN"/>
              </w:rPr>
              <w:drawing>
                <wp:inline distT="0" distB="0" distL="0" distR="0">
                  <wp:extent cx="784860" cy="441960"/>
                  <wp:effectExtent l="19050" t="0" r="0" b="0"/>
                  <wp:docPr id="6" name="Picture 6" descr="5_6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60deg"/>
                          <pic:cNvPicPr>
                            <a:picLocks noChangeAspect="1" noChangeArrowheads="1"/>
                          </pic:cNvPicPr>
                        </pic:nvPicPr>
                        <pic:blipFill>
                          <a:blip r:embed="rId19"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r>
      <w:tr w:rsidR="00CC6D04" w:rsidRPr="009B31E1" w:rsidTr="00AD1722">
        <w:tblPrEx>
          <w:tblCellMar>
            <w:top w:w="0" w:type="dxa"/>
            <w:bottom w:w="0" w:type="dxa"/>
          </w:tblCellMar>
        </w:tblPrEx>
        <w:trPr>
          <w:jc w:val="center"/>
        </w:trPr>
        <w:tc>
          <w:tcPr>
            <w:tcW w:w="1450" w:type="dxa"/>
            <w:vAlign w:val="center"/>
          </w:tcPr>
          <w:p w:rsidR="00CC6D04" w:rsidRPr="009B31E1" w:rsidRDefault="00CC6D04" w:rsidP="00AD1722">
            <w:pPr>
              <w:pStyle w:val="Tabletext"/>
            </w:pPr>
            <w:r w:rsidRPr="009B31E1">
              <w:t>Camera angle 100 (degrees)</w:t>
            </w:r>
          </w:p>
        </w:tc>
        <w:tc>
          <w:tcPr>
            <w:tcW w:w="1570" w:type="dxa"/>
            <w:vAlign w:val="center"/>
          </w:tcPr>
          <w:p w:rsidR="00CC6D04" w:rsidRPr="009B31E1" w:rsidRDefault="00CC6D04" w:rsidP="00AD1722">
            <w:r w:rsidRPr="009B31E1">
              <w:rPr>
                <w:sz w:val="22"/>
              </w:rPr>
              <w:t>1</w:t>
            </w:r>
            <w:r>
              <w:rPr>
                <w:noProof/>
                <w:lang w:val="en-US" w:eastAsia="zh-CN"/>
              </w:rPr>
              <w:drawing>
                <wp:inline distT="0" distB="0" distL="0" distR="0">
                  <wp:extent cx="784860" cy="441960"/>
                  <wp:effectExtent l="19050" t="0" r="0" b="0"/>
                  <wp:docPr id="1" name="Picture 7" descr="1_10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100deg"/>
                          <pic:cNvPicPr>
                            <a:picLocks noChangeAspect="1" noChangeArrowheads="1"/>
                          </pic:cNvPicPr>
                        </pic:nvPicPr>
                        <pic:blipFill>
                          <a:blip r:embed="rId20"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2</w:t>
            </w:r>
            <w:r>
              <w:rPr>
                <w:noProof/>
                <w:lang w:val="en-US" w:eastAsia="zh-CN"/>
              </w:rPr>
              <w:drawing>
                <wp:inline distT="0" distB="0" distL="0" distR="0">
                  <wp:extent cx="784860" cy="441960"/>
                  <wp:effectExtent l="19050" t="0" r="0" b="0"/>
                  <wp:docPr id="8" name="Picture 8" descr="2_10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_100deg"/>
                          <pic:cNvPicPr>
                            <a:picLocks noChangeAspect="1" noChangeArrowheads="1"/>
                          </pic:cNvPicPr>
                        </pic:nvPicPr>
                        <pic:blipFill>
                          <a:blip r:embed="rId21"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3</w:t>
            </w:r>
            <w:r>
              <w:rPr>
                <w:noProof/>
                <w:lang w:val="en-US" w:eastAsia="zh-CN"/>
              </w:rPr>
              <w:drawing>
                <wp:inline distT="0" distB="0" distL="0" distR="0">
                  <wp:extent cx="784860" cy="441960"/>
                  <wp:effectExtent l="19050" t="0" r="0" b="0"/>
                  <wp:docPr id="9" name="Picture 9" descr="3_10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_100deg"/>
                          <pic:cNvPicPr>
                            <a:picLocks noChangeAspect="1" noChangeArrowheads="1"/>
                          </pic:cNvPicPr>
                        </pic:nvPicPr>
                        <pic:blipFill>
                          <a:blip r:embed="rId22"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4</w:t>
            </w:r>
            <w:r>
              <w:rPr>
                <w:noProof/>
                <w:lang w:val="en-US" w:eastAsia="zh-CN"/>
              </w:rPr>
              <w:drawing>
                <wp:inline distT="0" distB="0" distL="0" distR="0">
                  <wp:extent cx="784860" cy="441960"/>
                  <wp:effectExtent l="19050" t="0" r="0" b="0"/>
                  <wp:docPr id="10" name="Picture 10" descr="4_10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_100deg"/>
                          <pic:cNvPicPr>
                            <a:picLocks noChangeAspect="1" noChangeArrowheads="1"/>
                          </pic:cNvPicPr>
                        </pic:nvPicPr>
                        <pic:blipFill>
                          <a:blip r:embed="rId23"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c>
          <w:tcPr>
            <w:tcW w:w="1570" w:type="dxa"/>
            <w:vAlign w:val="center"/>
          </w:tcPr>
          <w:p w:rsidR="00CC6D04" w:rsidRPr="009B31E1" w:rsidRDefault="00CC6D04" w:rsidP="00AD1722">
            <w:r w:rsidRPr="009B31E1">
              <w:rPr>
                <w:sz w:val="22"/>
              </w:rPr>
              <w:t>5</w:t>
            </w:r>
            <w:r>
              <w:rPr>
                <w:noProof/>
                <w:lang w:val="en-US" w:eastAsia="zh-CN"/>
              </w:rPr>
              <w:drawing>
                <wp:inline distT="0" distB="0" distL="0" distR="0">
                  <wp:extent cx="784860" cy="441960"/>
                  <wp:effectExtent l="19050" t="0" r="0" b="0"/>
                  <wp:docPr id="11" name="Picture 11" descr="5_100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_100deg"/>
                          <pic:cNvPicPr>
                            <a:picLocks noChangeAspect="1" noChangeArrowheads="1"/>
                          </pic:cNvPicPr>
                        </pic:nvPicPr>
                        <pic:blipFill>
                          <a:blip r:embed="rId24" cstate="print"/>
                          <a:srcRect/>
                          <a:stretch>
                            <a:fillRect/>
                          </a:stretch>
                        </pic:blipFill>
                        <pic:spPr bwMode="auto">
                          <a:xfrm>
                            <a:off x="0" y="0"/>
                            <a:ext cx="784860" cy="441960"/>
                          </a:xfrm>
                          <a:prstGeom prst="rect">
                            <a:avLst/>
                          </a:prstGeom>
                          <a:noFill/>
                          <a:ln w="9525">
                            <a:noFill/>
                            <a:miter lim="800000"/>
                            <a:headEnd/>
                            <a:tailEnd/>
                          </a:ln>
                        </pic:spPr>
                      </pic:pic>
                    </a:graphicData>
                  </a:graphic>
                </wp:inline>
              </w:drawing>
            </w:r>
          </w:p>
        </w:tc>
      </w:tr>
    </w:tbl>
    <w:p w:rsidR="00CC6D04" w:rsidRDefault="00CC6D04" w:rsidP="00CC6D04">
      <w:pPr>
        <w:pStyle w:val="Tablefin"/>
      </w:pPr>
    </w:p>
    <w:p w:rsidR="00CC6D04" w:rsidRPr="009B31E1" w:rsidRDefault="00CC6D04" w:rsidP="00CC6D04">
      <w:pPr>
        <w:pStyle w:val="TableNo"/>
      </w:pPr>
      <w:r w:rsidRPr="009B31E1">
        <w:t xml:space="preserve">TABLE </w:t>
      </w:r>
      <w:r w:rsidRPr="009B31E1">
        <w:rPr>
          <w:lang w:eastAsia="ja-JP"/>
        </w:rPr>
        <w:t>5</w:t>
      </w:r>
    </w:p>
    <w:p w:rsidR="00CC6D04" w:rsidRPr="00AD6C00" w:rsidRDefault="00CC6D04" w:rsidP="00CC6D04">
      <w:pPr>
        <w:pStyle w:val="Tabletitle"/>
        <w:rPr>
          <w:lang w:val="en-US" w:eastAsia="ja-JP"/>
        </w:rPr>
      </w:pPr>
      <w:r w:rsidRPr="00AD6C00">
        <w:rPr>
          <w:lang w:val="en-US"/>
        </w:rPr>
        <w:t xml:space="preserve">Signal format of 8k </w:t>
      </w:r>
      <w:r w:rsidRPr="009B31E1">
        <w:sym w:font="Symbol" w:char="F0B4"/>
      </w:r>
      <w:r w:rsidRPr="00AD6C00">
        <w:rPr>
          <w:lang w:val="en-US"/>
        </w:rPr>
        <w:t xml:space="preserve"> 4k </w:t>
      </w:r>
      <w:r w:rsidRPr="00AD6C00">
        <w:rPr>
          <w:lang w:val="en-US" w:eastAsia="ja-JP"/>
        </w:rPr>
        <w:t>d</w:t>
      </w:r>
      <w:r w:rsidRPr="00AD6C00">
        <w:rPr>
          <w:lang w:val="en-US"/>
        </w:rPr>
        <w:t>isplay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52"/>
        <w:gridCol w:w="3560"/>
      </w:tblGrid>
      <w:tr w:rsidR="00CC6D04" w:rsidRPr="009B31E1" w:rsidTr="00AD1722">
        <w:tblPrEx>
          <w:tblCellMar>
            <w:top w:w="0" w:type="dxa"/>
            <w:bottom w:w="0" w:type="dxa"/>
          </w:tblCellMar>
        </w:tblPrEx>
        <w:trPr>
          <w:jc w:val="center"/>
        </w:trPr>
        <w:tc>
          <w:tcPr>
            <w:tcW w:w="3952" w:type="dxa"/>
          </w:tcPr>
          <w:p w:rsidR="00CC6D04" w:rsidRPr="009B31E1" w:rsidRDefault="00CC6D04" w:rsidP="00AD1722">
            <w:pPr>
              <w:pStyle w:val="Tablehead"/>
            </w:pPr>
            <w:r w:rsidRPr="009B31E1">
              <w:t>Parameter</w:t>
            </w:r>
          </w:p>
        </w:tc>
        <w:tc>
          <w:tcPr>
            <w:tcW w:w="3560" w:type="dxa"/>
          </w:tcPr>
          <w:p w:rsidR="00CC6D04" w:rsidRPr="009B31E1" w:rsidRDefault="00CC6D04" w:rsidP="00AD1722">
            <w:pPr>
              <w:pStyle w:val="Tablehead"/>
            </w:pPr>
            <w:r w:rsidRPr="009B31E1">
              <w:t>Value</w:t>
            </w:r>
          </w:p>
        </w:tc>
      </w:tr>
      <w:tr w:rsidR="00CC6D04" w:rsidRPr="009B31E1" w:rsidTr="00AD1722">
        <w:tblPrEx>
          <w:tblCellMar>
            <w:top w:w="0" w:type="dxa"/>
            <w:bottom w:w="0" w:type="dxa"/>
          </w:tblCellMar>
        </w:tblPrEx>
        <w:trPr>
          <w:jc w:val="center"/>
        </w:trPr>
        <w:tc>
          <w:tcPr>
            <w:tcW w:w="3952" w:type="dxa"/>
          </w:tcPr>
          <w:p w:rsidR="00CC6D04" w:rsidRPr="009B31E1" w:rsidRDefault="00CC6D04" w:rsidP="00AD1722">
            <w:pPr>
              <w:pStyle w:val="Tabletext"/>
            </w:pPr>
            <w:r w:rsidRPr="009B31E1">
              <w:t>Picture rate</w:t>
            </w:r>
          </w:p>
        </w:tc>
        <w:tc>
          <w:tcPr>
            <w:tcW w:w="3560" w:type="dxa"/>
          </w:tcPr>
          <w:p w:rsidR="00CC6D04" w:rsidRPr="009B31E1" w:rsidRDefault="00CC6D04" w:rsidP="00AD1722">
            <w:pPr>
              <w:pStyle w:val="Tabletext"/>
              <w:jc w:val="center"/>
            </w:pPr>
            <w:r w:rsidRPr="009B31E1">
              <w:t>60 frames per second</w:t>
            </w:r>
          </w:p>
        </w:tc>
      </w:tr>
      <w:tr w:rsidR="00CC6D04" w:rsidRPr="009B31E1" w:rsidTr="00AD1722">
        <w:tblPrEx>
          <w:tblCellMar>
            <w:top w:w="0" w:type="dxa"/>
            <w:bottom w:w="0" w:type="dxa"/>
          </w:tblCellMar>
        </w:tblPrEx>
        <w:trPr>
          <w:jc w:val="center"/>
        </w:trPr>
        <w:tc>
          <w:tcPr>
            <w:tcW w:w="3952" w:type="dxa"/>
          </w:tcPr>
          <w:p w:rsidR="00CC6D04" w:rsidRPr="009B31E1" w:rsidRDefault="00CC6D04" w:rsidP="00AD1722">
            <w:pPr>
              <w:pStyle w:val="Tabletext"/>
              <w:rPr>
                <w:lang w:eastAsia="ja-JP"/>
              </w:rPr>
            </w:pPr>
            <w:r w:rsidRPr="009B31E1">
              <w:rPr>
                <w:lang w:eastAsia="ja-JP"/>
              </w:rPr>
              <w:t>Image structure</w:t>
            </w:r>
          </w:p>
        </w:tc>
        <w:tc>
          <w:tcPr>
            <w:tcW w:w="3560" w:type="dxa"/>
          </w:tcPr>
          <w:p w:rsidR="00CC6D04" w:rsidRPr="009B31E1" w:rsidRDefault="00CC6D04" w:rsidP="00AD1722">
            <w:pPr>
              <w:pStyle w:val="Tabletext"/>
              <w:jc w:val="center"/>
            </w:pPr>
            <w:r w:rsidRPr="009B31E1">
              <w:t>Progressive</w:t>
            </w:r>
          </w:p>
        </w:tc>
      </w:tr>
      <w:tr w:rsidR="00CC6D04" w:rsidRPr="009B31E1" w:rsidTr="00AD1722">
        <w:tblPrEx>
          <w:tblCellMar>
            <w:top w:w="0" w:type="dxa"/>
            <w:bottom w:w="0" w:type="dxa"/>
          </w:tblCellMar>
        </w:tblPrEx>
        <w:trPr>
          <w:jc w:val="center"/>
        </w:trPr>
        <w:tc>
          <w:tcPr>
            <w:tcW w:w="3952" w:type="dxa"/>
          </w:tcPr>
          <w:p w:rsidR="00CC6D04" w:rsidRPr="009B31E1" w:rsidRDefault="00CC6D04" w:rsidP="00AD1722">
            <w:pPr>
              <w:pStyle w:val="Tabletext"/>
            </w:pPr>
            <w:r w:rsidRPr="009B31E1">
              <w:t>Sample per active line</w:t>
            </w:r>
          </w:p>
        </w:tc>
        <w:tc>
          <w:tcPr>
            <w:tcW w:w="3560" w:type="dxa"/>
          </w:tcPr>
          <w:p w:rsidR="00CC6D04" w:rsidRPr="009B31E1" w:rsidRDefault="00CC6D04" w:rsidP="00AD1722">
            <w:pPr>
              <w:pStyle w:val="Tabletext"/>
              <w:jc w:val="center"/>
            </w:pPr>
            <w:r w:rsidRPr="009B31E1">
              <w:t>7 680</w:t>
            </w:r>
          </w:p>
        </w:tc>
      </w:tr>
      <w:tr w:rsidR="00CC6D04" w:rsidRPr="009B31E1" w:rsidTr="00AD1722">
        <w:tblPrEx>
          <w:tblCellMar>
            <w:top w:w="0" w:type="dxa"/>
            <w:bottom w:w="0" w:type="dxa"/>
          </w:tblCellMar>
        </w:tblPrEx>
        <w:trPr>
          <w:jc w:val="center"/>
        </w:trPr>
        <w:tc>
          <w:tcPr>
            <w:tcW w:w="3952" w:type="dxa"/>
          </w:tcPr>
          <w:p w:rsidR="00CC6D04" w:rsidRPr="009B31E1" w:rsidRDefault="00CC6D04" w:rsidP="00AD1722">
            <w:pPr>
              <w:pStyle w:val="Tabletext"/>
            </w:pPr>
            <w:r w:rsidRPr="009B31E1">
              <w:t>Active lines per picture</w:t>
            </w:r>
          </w:p>
        </w:tc>
        <w:tc>
          <w:tcPr>
            <w:tcW w:w="3560" w:type="dxa"/>
          </w:tcPr>
          <w:p w:rsidR="00CC6D04" w:rsidRPr="009B31E1" w:rsidRDefault="00CC6D04" w:rsidP="00AD1722">
            <w:pPr>
              <w:pStyle w:val="Tabletext"/>
              <w:jc w:val="center"/>
            </w:pPr>
            <w:r w:rsidRPr="009B31E1">
              <w:t>4 320</w:t>
            </w:r>
          </w:p>
        </w:tc>
      </w:tr>
      <w:tr w:rsidR="00CC6D04" w:rsidRPr="009B31E1" w:rsidTr="00AD1722">
        <w:tblPrEx>
          <w:tblCellMar>
            <w:top w:w="0" w:type="dxa"/>
            <w:bottom w:w="0" w:type="dxa"/>
          </w:tblCellMar>
        </w:tblPrEx>
        <w:trPr>
          <w:jc w:val="center"/>
        </w:trPr>
        <w:tc>
          <w:tcPr>
            <w:tcW w:w="3952" w:type="dxa"/>
            <w:tcBorders>
              <w:bottom w:val="single" w:sz="4" w:space="0" w:color="auto"/>
            </w:tcBorders>
          </w:tcPr>
          <w:p w:rsidR="00CC6D04" w:rsidRPr="009B31E1" w:rsidRDefault="00CC6D04" w:rsidP="00AD1722">
            <w:pPr>
              <w:pStyle w:val="Tabletext"/>
            </w:pPr>
            <w:r w:rsidRPr="009B31E1">
              <w:t>Picture aspect ratio</w:t>
            </w:r>
          </w:p>
        </w:tc>
        <w:tc>
          <w:tcPr>
            <w:tcW w:w="3560" w:type="dxa"/>
            <w:tcBorders>
              <w:bottom w:val="single" w:sz="4" w:space="0" w:color="auto"/>
            </w:tcBorders>
          </w:tcPr>
          <w:p w:rsidR="00CC6D04" w:rsidRPr="009B31E1" w:rsidRDefault="00CC6D04" w:rsidP="00AD1722">
            <w:pPr>
              <w:pStyle w:val="Tabletext"/>
              <w:jc w:val="center"/>
            </w:pPr>
            <w:r w:rsidRPr="009B31E1">
              <w:t>16:9</w:t>
            </w:r>
          </w:p>
        </w:tc>
      </w:tr>
    </w:tbl>
    <w:p w:rsidR="00CC6D04" w:rsidRPr="009B31E1" w:rsidRDefault="00CC6D04" w:rsidP="00CC6D04">
      <w:pPr>
        <w:pStyle w:val="FigureNo"/>
      </w:pPr>
      <w:r w:rsidRPr="009B31E1">
        <w:lastRenderedPageBreak/>
        <w:t>Figure 2</w:t>
      </w:r>
    </w:p>
    <w:p w:rsidR="00CC6D04" w:rsidRPr="00AD6C00" w:rsidRDefault="00CC6D04" w:rsidP="00CC6D04">
      <w:pPr>
        <w:pStyle w:val="Figuretitle"/>
        <w:rPr>
          <w:lang w:val="en-US" w:eastAsia="ja-JP"/>
        </w:rPr>
      </w:pPr>
      <w:r w:rsidRPr="00AD6C00">
        <w:rPr>
          <w:lang w:val="en-US" w:eastAsia="ja-JP"/>
        </w:rPr>
        <w:t>Sensation of reality vs. viewing angle</w:t>
      </w:r>
    </w:p>
    <w:p w:rsidR="00CC6D04" w:rsidRPr="009B31E1" w:rsidRDefault="00CC6D04" w:rsidP="00CC6D04">
      <w:pPr>
        <w:pStyle w:val="Figure"/>
        <w:rPr>
          <w:lang w:eastAsia="ja-JP"/>
        </w:rPr>
      </w:pPr>
      <w:r w:rsidRPr="009B31E1">
        <w:object w:dxaOrig="5958" w:dyaOrig="6486">
          <v:shape id="_x0000_i1036" type="#_x0000_t75" style="width:298.2pt;height:324.6pt" o:ole="" o:allowoverlap="f">
            <v:imagedata r:id="rId25" o:title=""/>
          </v:shape>
          <o:OLEObject Type="Embed" ProgID="CorelDRAW.Graphic.12" ShapeID="_x0000_i1036" DrawAspect="Content" ObjectID="_1340523097" r:id="rId26"/>
        </w:object>
      </w:r>
    </w:p>
    <w:p w:rsidR="00934ED7" w:rsidRDefault="00934ED7" w:rsidP="00CC6D04">
      <w:pPr>
        <w:rPr>
          <w:lang w:val="en-US"/>
        </w:rPr>
      </w:pPr>
    </w:p>
    <w:p w:rsidR="00CC6D04" w:rsidRDefault="00CC6D04" w:rsidP="00CC6D04">
      <w:pPr>
        <w:rPr>
          <w:lang w:val="en-US"/>
        </w:rPr>
      </w:pPr>
    </w:p>
    <w:p w:rsidR="00CC6D04" w:rsidRDefault="00CC6D04" w:rsidP="00CC6D04">
      <w:pPr>
        <w:rPr>
          <w:lang w:val="en-US"/>
        </w:rPr>
      </w:pPr>
    </w:p>
    <w:p w:rsidR="00CC6D04" w:rsidRPr="00BF487A" w:rsidRDefault="00CC6D04" w:rsidP="00CC6D04">
      <w:pPr>
        <w:pStyle w:val="Line"/>
      </w:pPr>
    </w:p>
    <w:sectPr w:rsidR="00CC6D04"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HiraKakuPro-W3">
    <w:altName w:val="MS Mincho"/>
    <w:panose1 w:val="00000000000000000000"/>
    <w:charset w:val="80"/>
    <w:family w:val="auto"/>
    <w:notTrueType/>
    <w:pitch w:val="default"/>
    <w:sig w:usb0="01000000" w:usb1="00000000" w:usb2="07040001" w:usb3="00000000" w:csb0="0002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CC6D04" w:rsidRPr="00011F58" w:rsidRDefault="00CC6D04" w:rsidP="00CC6D04">
      <w:pPr>
        <w:pStyle w:val="FootnoteText"/>
        <w:tabs>
          <w:tab w:val="clear" w:pos="255"/>
          <w:tab w:val="clear" w:pos="794"/>
          <w:tab w:val="clear" w:pos="1191"/>
          <w:tab w:val="clear" w:pos="1588"/>
          <w:tab w:val="clear" w:pos="1985"/>
          <w:tab w:val="left" w:pos="567"/>
        </w:tabs>
        <w:ind w:left="567" w:hanging="567"/>
        <w:rPr>
          <w:lang w:val="en-US"/>
        </w:rPr>
      </w:pPr>
      <w:r w:rsidRPr="00011F58">
        <w:rPr>
          <w:rStyle w:val="FootnoteReference"/>
          <w:lang w:val="en-US"/>
        </w:rPr>
        <w:t>*</w:t>
      </w:r>
      <w:r w:rsidRPr="00011F58">
        <w:rPr>
          <w:lang w:val="en-US"/>
        </w:rPr>
        <w:t xml:space="preserve"> </w:t>
      </w:r>
      <w:r>
        <w:rPr>
          <w:lang w:val="en-US"/>
        </w:rPr>
        <w:tab/>
      </w:r>
      <w:r w:rsidRPr="00011F58">
        <w:rPr>
          <w:i/>
          <w:iCs/>
          <w:lang w:val="en-US"/>
        </w:rPr>
        <w:t>Note by the BR Secretariat</w:t>
      </w:r>
      <w:r>
        <w:rPr>
          <w:lang w:val="en-US"/>
        </w:rPr>
        <w:t xml:space="preserve"> – This Recommendation was amended editorially in July 2008.</w:t>
      </w:r>
    </w:p>
  </w:footnote>
  <w:footnote w:id="2">
    <w:p w:rsidR="00CC6D04" w:rsidRPr="00E20AD4" w:rsidRDefault="00CC6D04" w:rsidP="00CC6D04">
      <w:pPr>
        <w:pStyle w:val="FootnoteText"/>
        <w:tabs>
          <w:tab w:val="clear" w:pos="255"/>
          <w:tab w:val="clear" w:pos="794"/>
          <w:tab w:val="clear" w:pos="1191"/>
          <w:tab w:val="clear" w:pos="1588"/>
          <w:tab w:val="clear" w:pos="1985"/>
          <w:tab w:val="left" w:pos="567"/>
        </w:tabs>
        <w:ind w:left="567" w:hanging="567"/>
        <w:rPr>
          <w:lang w:val="en-US"/>
        </w:rPr>
      </w:pPr>
      <w:r w:rsidRPr="00E20AD4">
        <w:rPr>
          <w:rStyle w:val="FootnoteReference"/>
          <w:lang w:val="en-US"/>
        </w:rPr>
        <w:t>**</w:t>
      </w:r>
      <w:r>
        <w:rPr>
          <w:lang w:val="en-US"/>
        </w:rPr>
        <w:tab/>
      </w:r>
      <w:r w:rsidRPr="00DB4C9B">
        <w:rPr>
          <w:lang w:val="en-US"/>
        </w:rPr>
        <w:t>LSDI is a family of digital imagery systems applicable to programmes such as dramas, plays, sporting events, concerts, cultural events, etc., from capture to large screen presentation in high</w:t>
      </w:r>
      <w:r w:rsidRPr="00DB4C9B">
        <w:rPr>
          <w:lang w:val="en-US"/>
        </w:rPr>
        <w:noBreakHyphen/>
        <w:t>resolution quality in appropriately equipped theatres, halls, and other venues.</w:t>
      </w:r>
    </w:p>
  </w:footnote>
  <w:footnote w:id="3">
    <w:p w:rsidR="00CC6D04" w:rsidRPr="00E20AD4" w:rsidRDefault="00CC6D04" w:rsidP="00CC6D04">
      <w:pPr>
        <w:pStyle w:val="FootnoteText"/>
        <w:tabs>
          <w:tab w:val="clear" w:pos="255"/>
          <w:tab w:val="clear" w:pos="794"/>
          <w:tab w:val="clear" w:pos="1191"/>
          <w:tab w:val="clear" w:pos="1588"/>
          <w:tab w:val="clear" w:pos="1985"/>
          <w:tab w:val="left" w:pos="567"/>
        </w:tabs>
        <w:ind w:left="567" w:hanging="567"/>
        <w:rPr>
          <w:lang w:val="en-US"/>
        </w:rPr>
      </w:pPr>
      <w:r w:rsidRPr="00E20AD4">
        <w:rPr>
          <w:rStyle w:val="FootnoteReference"/>
          <w:lang w:val="en-US"/>
        </w:rPr>
        <w:t>***</w:t>
      </w:r>
      <w:r w:rsidRPr="00E20AD4">
        <w:rPr>
          <w:lang w:val="en-US"/>
        </w:rPr>
        <w:t xml:space="preserve"> </w:t>
      </w:r>
      <w:r>
        <w:rPr>
          <w:lang w:val="en-US"/>
        </w:rPr>
        <w:tab/>
        <w:t>The two image systems specified in this Recommendation belong to the family of EHRI (extremely high-resolution imagery) systems as specified in Recommendation ITU-R BT.1201.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C05343">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CC6D04">
      <w:rPr>
        <w:rStyle w:val="PageNumber"/>
        <w:b/>
        <w:bCs/>
        <w:noProof/>
      </w:rPr>
      <w:t>6</w:t>
    </w:r>
    <w:r>
      <w:rPr>
        <w:rStyle w:val="PageNumber"/>
        <w:b/>
        <w:bCs/>
      </w:rPr>
      <w:fldChar w:fldCharType="end"/>
    </w:r>
    <w:r w:rsidR="000F6905" w:rsidRPr="000F6905">
      <w:tab/>
    </w:r>
    <w:fldSimple w:instr=" DOCPROPERTY &quot;Header&quot; \* MERGEFORMAT ">
      <w:r w:rsidR="00CC6D04" w:rsidRPr="00CC6D04">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CC6D04">
      <w:rPr>
        <w:b/>
        <w:bCs/>
        <w:noProof/>
      </w:rPr>
      <w:t>ITU-R  BT.1769</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CC6D04" w:rsidRPr="00CC6D04">
        <w:rPr>
          <w:b/>
          <w:bCs/>
        </w:rPr>
        <w:t xml:space="preserve">Rec. </w:t>
      </w:r>
    </w:fldSimple>
    <w:r>
      <w:rPr>
        <w:b/>
        <w:bCs/>
      </w:rPr>
      <w:t xml:space="preserve"> </w:t>
    </w:r>
    <w:r w:rsidR="00C05343">
      <w:rPr>
        <w:b/>
        <w:bCs/>
      </w:rPr>
      <w:fldChar w:fldCharType="begin"/>
    </w:r>
    <w:r>
      <w:rPr>
        <w:b/>
        <w:bCs/>
      </w:rPr>
      <w:instrText>styleref href</w:instrText>
    </w:r>
    <w:r w:rsidR="00C05343">
      <w:rPr>
        <w:b/>
        <w:bCs/>
      </w:rPr>
      <w:fldChar w:fldCharType="separate"/>
    </w:r>
    <w:r w:rsidR="00CC6D04">
      <w:rPr>
        <w:b/>
        <w:bCs/>
        <w:noProof/>
      </w:rPr>
      <w:t>ITU-R  BT.1769</w:t>
    </w:r>
    <w:r w:rsidR="00C05343">
      <w:rPr>
        <w:b/>
        <w:bCs/>
      </w:rPr>
      <w:fldChar w:fldCharType="end"/>
    </w:r>
    <w:r>
      <w:tab/>
    </w:r>
    <w:r w:rsidR="00C05343">
      <w:rPr>
        <w:rStyle w:val="PageNumber"/>
        <w:b/>
        <w:bCs/>
      </w:rPr>
      <w:fldChar w:fldCharType="begin"/>
    </w:r>
    <w:r>
      <w:rPr>
        <w:rStyle w:val="PageNumber"/>
        <w:b/>
        <w:bCs/>
      </w:rPr>
      <w:instrText xml:space="preserve"> PAGE </w:instrText>
    </w:r>
    <w:r w:rsidR="00C05343">
      <w:rPr>
        <w:rStyle w:val="PageNumber"/>
        <w:b/>
        <w:bCs/>
      </w:rPr>
      <w:fldChar w:fldCharType="separate"/>
    </w:r>
    <w:r w:rsidR="00CC6D04">
      <w:rPr>
        <w:rStyle w:val="PageNumber"/>
        <w:b/>
        <w:bCs/>
        <w:noProof/>
      </w:rPr>
      <w:t>5</w:t>
    </w:r>
    <w:r w:rsidR="00C0534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5121">
      <o:colormru v:ext="edit" colors="#d62a47"/>
      <o:colormenu v:ext="edit" strokecolor="#d62a47"/>
    </o:shapedefaults>
  </w:hdrShapeDefaults>
  <w:footnotePr>
    <w:footnote w:id="-1"/>
    <w:footnote w:id="0"/>
  </w:footnotePr>
  <w:endnotePr>
    <w:endnote w:id="-1"/>
    <w:endnote w:id="0"/>
  </w:endnotePr>
  <w:compat/>
  <w:rsids>
    <w:rsidRoot w:val="00934ED7"/>
    <w:rsid w:val="00013002"/>
    <w:rsid w:val="00072484"/>
    <w:rsid w:val="00096612"/>
    <w:rsid w:val="000B7683"/>
    <w:rsid w:val="000C0F2B"/>
    <w:rsid w:val="000F6905"/>
    <w:rsid w:val="00102934"/>
    <w:rsid w:val="00147110"/>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C5D77"/>
    <w:rsid w:val="00BF487A"/>
    <w:rsid w:val="00C05343"/>
    <w:rsid w:val="00C46BD9"/>
    <w:rsid w:val="00C55258"/>
    <w:rsid w:val="00C73560"/>
    <w:rsid w:val="00C7439E"/>
    <w:rsid w:val="00CB0F14"/>
    <w:rsid w:val="00CC6D04"/>
    <w:rsid w:val="00CD659B"/>
    <w:rsid w:val="00DF4176"/>
    <w:rsid w:val="00E17240"/>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121">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link w:val="FootnoteTextChar"/>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FootnoteTextChar">
    <w:name w:val="Footnote Text Char"/>
    <w:basedOn w:val="DefaultParagraphFont"/>
    <w:link w:val="FootnoteText"/>
    <w:semiHidden/>
    <w:rsid w:val="00CC6D04"/>
    <w:rPr>
      <w:sz w:val="22"/>
      <w:lang w:val="fr-FR" w:eastAsia="en-US"/>
    </w:rPr>
  </w:style>
  <w:style w:type="paragraph" w:styleId="BodyText">
    <w:name w:val="Body Text"/>
    <w:basedOn w:val="Normal"/>
    <w:link w:val="BodyTextChar"/>
    <w:rsid w:val="00CC6D04"/>
    <w:pPr>
      <w:tabs>
        <w:tab w:val="clear" w:pos="794"/>
        <w:tab w:val="clear" w:pos="1191"/>
        <w:tab w:val="clear" w:pos="1588"/>
        <w:tab w:val="clear" w:pos="1985"/>
      </w:tabs>
      <w:overflowPunct/>
      <w:autoSpaceDE/>
      <w:autoSpaceDN/>
      <w:adjustRightInd/>
      <w:textAlignment w:val="auto"/>
    </w:pPr>
    <w:rPr>
      <w:lang w:val="en-US"/>
    </w:rPr>
  </w:style>
  <w:style w:type="character" w:customStyle="1" w:styleId="BodyTextChar">
    <w:name w:val="Body Text Char"/>
    <w:basedOn w:val="DefaultParagraphFont"/>
    <w:link w:val="BodyText"/>
    <w:rsid w:val="00CC6D04"/>
    <w:rPr>
      <w:sz w:val="24"/>
      <w:lang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8</Pages>
  <Words>1646</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10951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2</cp:revision>
  <cp:lastPrinted>2009-05-25T08:41:00Z</cp:lastPrinted>
  <dcterms:created xsi:type="dcterms:W3CDTF">2010-07-13T08:44:00Z</dcterms:created>
  <dcterms:modified xsi:type="dcterms:W3CDTF">2010-07-13T08:44:00Z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