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17B" w:rsidRDefault="00A6617B" w:rsidP="008C583F"/>
    <w:p w:rsidR="008C583F" w:rsidRPr="00575CB8" w:rsidRDefault="008C583F" w:rsidP="008C583F">
      <w:pPr>
        <w:rPr>
          <w:lang w:val="en-US"/>
        </w:rPr>
      </w:pPr>
      <w:bookmarkStart w:id="0" w:name="dbreak"/>
      <w:bookmarkEnd w:id="0"/>
    </w:p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p w:rsidR="008C583F" w:rsidRDefault="008C583F" w:rsidP="008C583F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C583F" w:rsidRPr="00F332B9" w:rsidTr="00126867">
        <w:tc>
          <w:tcPr>
            <w:tcW w:w="10089" w:type="dxa"/>
          </w:tcPr>
          <w:p w:rsidR="008C583F" w:rsidRPr="0010336F" w:rsidRDefault="008C583F" w:rsidP="0012686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C583F" w:rsidRPr="0010336F" w:rsidRDefault="008C583F" w:rsidP="0012686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BT.1871-1</w:t>
            </w:r>
          </w:p>
          <w:p w:rsidR="008C583F" w:rsidRPr="0010336F" w:rsidRDefault="008C583F" w:rsidP="0012686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Pr="00C32C72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06/2015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8C583F" w:rsidRPr="00AF072C" w:rsidTr="00126867">
        <w:tc>
          <w:tcPr>
            <w:tcW w:w="10089" w:type="dxa"/>
          </w:tcPr>
          <w:p w:rsidR="008C583F" w:rsidRPr="0010336F" w:rsidRDefault="008C583F" w:rsidP="00126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8C583F" w:rsidRPr="009E1F8B" w:rsidRDefault="008C583F" w:rsidP="009B6E4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usuario para</w:t>
            </w:r>
            <w:r w:rsidR="009B6E4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los</w:t>
            </w:r>
            <w:r w:rsidR="009B6E41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micrófonos inalámbricos</w:t>
            </w:r>
          </w:p>
          <w:p w:rsidR="008C583F" w:rsidRPr="0010336F" w:rsidRDefault="008C583F" w:rsidP="0012686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8C583F" w:rsidRPr="00AF072C" w:rsidTr="00126867">
        <w:tc>
          <w:tcPr>
            <w:tcW w:w="10089" w:type="dxa"/>
          </w:tcPr>
          <w:p w:rsidR="008C583F" w:rsidRPr="0010336F" w:rsidRDefault="008C583F" w:rsidP="0012686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C583F" w:rsidRPr="0010336F" w:rsidRDefault="008C583F" w:rsidP="0012686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8C583F" w:rsidRPr="0010336F" w:rsidRDefault="008C583F" w:rsidP="0012686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8C583F" w:rsidRPr="0010336F" w:rsidRDefault="008C583F" w:rsidP="0012686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8C583F" w:rsidRPr="009E1F8B" w:rsidRDefault="008C583F" w:rsidP="0012686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spacing w:before="80"/>
        <w:rPr>
          <w:i/>
          <w:sz w:val="22"/>
          <w:lang w:val="es-ES_tradnl"/>
        </w:rPr>
      </w:pPr>
    </w:p>
    <w:p w:rsidR="008C583F" w:rsidRPr="0026666F" w:rsidRDefault="008C583F" w:rsidP="008C583F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8C583F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8C583F" w:rsidRPr="006C718C" w:rsidRDefault="008C583F" w:rsidP="009B6E41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8C583F" w:rsidRPr="006C718C" w:rsidRDefault="008C583F" w:rsidP="008C583F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8C583F" w:rsidRPr="006C718C" w:rsidRDefault="008C583F" w:rsidP="008C583F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8C583F" w:rsidRPr="00021E8A" w:rsidRDefault="008C583F" w:rsidP="008C583F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8C583F" w:rsidRPr="00021E8A" w:rsidRDefault="008C583F" w:rsidP="008C583F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8C583F" w:rsidRPr="007C36CA" w:rsidRDefault="008C583F" w:rsidP="008C583F">
      <w:pPr>
        <w:spacing w:before="0"/>
        <w:jc w:val="center"/>
        <w:rPr>
          <w:sz w:val="22"/>
          <w:lang w:val="es-ES_tradnl"/>
        </w:rPr>
      </w:pPr>
    </w:p>
    <w:p w:rsidR="008C583F" w:rsidRPr="007C36CA" w:rsidRDefault="008C583F" w:rsidP="008C583F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8C583F" w:rsidRPr="00AF072C" w:rsidTr="00126867">
        <w:tc>
          <w:tcPr>
            <w:tcW w:w="9360" w:type="dxa"/>
            <w:gridSpan w:val="2"/>
          </w:tcPr>
          <w:p w:rsidR="008C583F" w:rsidRPr="00021E8A" w:rsidRDefault="008C583F" w:rsidP="0012686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8C583F" w:rsidRPr="00763D08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8C583F" w:rsidRPr="00036EE3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8C583F" w:rsidRPr="00036EE3" w:rsidTr="00126867">
        <w:tc>
          <w:tcPr>
            <w:tcW w:w="1140" w:type="dxa"/>
            <w:tcBorders>
              <w:bottom w:val="nil"/>
            </w:tcBorders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8C583F" w:rsidRPr="00021E8A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8C583F" w:rsidRPr="00AF072C" w:rsidTr="0012686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C583F" w:rsidRPr="009E1F8B" w:rsidRDefault="008C583F" w:rsidP="00126867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C583F" w:rsidRPr="009E1F8B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8C583F" w:rsidRPr="00036EE3" w:rsidTr="00126867">
        <w:tc>
          <w:tcPr>
            <w:tcW w:w="1140" w:type="dxa"/>
            <w:tcBorders>
              <w:top w:val="nil"/>
              <w:bottom w:val="nil"/>
            </w:tcBorders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8C583F" w:rsidRPr="00021E8A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8C583F" w:rsidRPr="009E1F8B" w:rsidTr="00126867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8C583F" w:rsidRPr="009E1F8B" w:rsidRDefault="008C583F" w:rsidP="00126867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8C583F" w:rsidRPr="009E1F8B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8C583F" w:rsidRPr="00036EE3" w:rsidTr="0012686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C583F" w:rsidRPr="00021E8A" w:rsidRDefault="008C583F" w:rsidP="001268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8C583F" w:rsidRPr="00AF072C" w:rsidTr="0012686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8C583F" w:rsidRPr="0010336F" w:rsidRDefault="008C583F" w:rsidP="00126867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8C583F" w:rsidRPr="0010336F" w:rsidRDefault="008C583F" w:rsidP="0012686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8C583F" w:rsidRPr="00AF072C" w:rsidTr="00126867">
        <w:tc>
          <w:tcPr>
            <w:tcW w:w="1140" w:type="dxa"/>
            <w:tcBorders>
              <w:top w:val="nil"/>
            </w:tcBorders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8C583F" w:rsidRPr="00AF072C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8C583F" w:rsidRPr="00AF072C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8C583F" w:rsidRPr="00036EE3" w:rsidTr="00126867">
        <w:tc>
          <w:tcPr>
            <w:tcW w:w="1140" w:type="dxa"/>
            <w:shd w:val="clear" w:color="auto" w:fill="auto"/>
          </w:tcPr>
          <w:p w:rsidR="008C583F" w:rsidRPr="001240BC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C583F" w:rsidRPr="001240BC" w:rsidRDefault="008C583F" w:rsidP="0012686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8C583F" w:rsidRPr="00AF072C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8C583F" w:rsidRPr="00036EE3" w:rsidTr="00126867">
        <w:tc>
          <w:tcPr>
            <w:tcW w:w="1140" w:type="dxa"/>
          </w:tcPr>
          <w:p w:rsidR="008C583F" w:rsidRPr="00036EE3" w:rsidRDefault="008C583F" w:rsidP="0012686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8C583F" w:rsidRPr="00021E8A" w:rsidRDefault="008C583F" w:rsidP="00126867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8C583F" w:rsidRPr="00036EE3" w:rsidRDefault="008C583F" w:rsidP="008C583F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8C583F" w:rsidTr="00126867">
        <w:tc>
          <w:tcPr>
            <w:tcW w:w="720" w:type="dxa"/>
          </w:tcPr>
          <w:p w:rsidR="008C583F" w:rsidRDefault="008C583F" w:rsidP="00126867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8C583F" w:rsidRPr="00AF072C" w:rsidTr="00126867">
        <w:tc>
          <w:tcPr>
            <w:tcW w:w="9360" w:type="dxa"/>
          </w:tcPr>
          <w:p w:rsidR="008C583F" w:rsidRPr="00763D08" w:rsidRDefault="008C583F" w:rsidP="00126867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8C583F" w:rsidRPr="00763D08" w:rsidRDefault="008C583F" w:rsidP="008C583F">
      <w:pPr>
        <w:spacing w:before="0"/>
        <w:jc w:val="center"/>
        <w:rPr>
          <w:sz w:val="22"/>
          <w:lang w:val="es-ES_tradnl"/>
        </w:rPr>
      </w:pPr>
    </w:p>
    <w:p w:rsidR="008C583F" w:rsidRPr="00763D08" w:rsidRDefault="008C583F" w:rsidP="008C583F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8C583F" w:rsidRPr="00763D08" w:rsidRDefault="008C583F" w:rsidP="008C583F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18</w:t>
      </w:r>
    </w:p>
    <w:p w:rsidR="008C583F" w:rsidRPr="00763D08" w:rsidRDefault="008C583F" w:rsidP="009B6E41">
      <w:pPr>
        <w:jc w:val="center"/>
        <w:rPr>
          <w:sz w:val="22"/>
          <w:lang w:val="es-ES_tradnl"/>
        </w:rPr>
      </w:pPr>
    </w:p>
    <w:p w:rsidR="008C583F" w:rsidRPr="00763D08" w:rsidRDefault="008C583F" w:rsidP="008C583F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18</w:t>
      </w:r>
    </w:p>
    <w:p w:rsidR="008C583F" w:rsidRPr="006C718C" w:rsidRDefault="008C583F" w:rsidP="008C583F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8C583F" w:rsidRPr="006C718C" w:rsidRDefault="008C583F" w:rsidP="008C583F">
      <w:pPr>
        <w:spacing w:before="160"/>
        <w:rPr>
          <w:i/>
          <w:sz w:val="20"/>
          <w:highlight w:val="yellow"/>
          <w:lang w:val="es-ES_tradnl"/>
        </w:rPr>
        <w:sectPr w:rsidR="008C583F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C583F" w:rsidRDefault="008C583F" w:rsidP="008C583F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</w:t>
      </w:r>
      <w:r w:rsidRPr="00C32C72">
        <w:rPr>
          <w:rStyle w:val="href"/>
          <w:lang w:val="es-ES_tradnl"/>
        </w:rPr>
        <w:t>1871-1</w:t>
      </w:r>
      <w:r w:rsidRPr="00C32C72">
        <w:rPr>
          <w:rStyle w:val="FootnoteReference"/>
          <w:lang w:val="es-ES_tradnl"/>
        </w:rPr>
        <w:footnoteReference w:customMarkFollows="1" w:id="1"/>
        <w:t>*</w:t>
      </w:r>
    </w:p>
    <w:p w:rsidR="008C583F" w:rsidRPr="00C32C72" w:rsidRDefault="008C583F" w:rsidP="008C583F">
      <w:pPr>
        <w:pStyle w:val="Rectitle"/>
        <w:rPr>
          <w:lang w:val="es-ES_tradnl"/>
        </w:rPr>
      </w:pPr>
      <w:r w:rsidRPr="00C32C72">
        <w:rPr>
          <w:lang w:val="es-ES_tradnl"/>
        </w:rPr>
        <w:t>Requisitos de usuario para los micrófonos inalámbricos</w:t>
      </w:r>
    </w:p>
    <w:p w:rsidR="008C583F" w:rsidRPr="00C32C72" w:rsidRDefault="008C583F" w:rsidP="008C583F">
      <w:pPr>
        <w:pStyle w:val="Recref"/>
        <w:rPr>
          <w:lang w:val="es-ES_tradnl"/>
        </w:rPr>
      </w:pPr>
      <w:r w:rsidRPr="00C32C72">
        <w:rPr>
          <w:lang w:val="es-ES_tradnl"/>
        </w:rPr>
        <w:t>(Cuestión ITU-R 121/6)</w:t>
      </w:r>
    </w:p>
    <w:p w:rsidR="008C583F" w:rsidRPr="00C32C72" w:rsidRDefault="008C583F" w:rsidP="008C583F">
      <w:pPr>
        <w:pStyle w:val="Recdate"/>
        <w:rPr>
          <w:lang w:val="es-ES_tradnl"/>
        </w:rPr>
      </w:pPr>
      <w:r w:rsidRPr="00C32C72">
        <w:rPr>
          <w:lang w:val="es-ES_tradnl"/>
        </w:rPr>
        <w:t>(2009-2010-2015)</w:t>
      </w:r>
    </w:p>
    <w:p w:rsidR="008C583F" w:rsidRPr="00C32C72" w:rsidRDefault="008C583F" w:rsidP="008C583F">
      <w:pPr>
        <w:pStyle w:val="HeadingSum"/>
        <w:rPr>
          <w:rFonts w:ascii="Times New Roman Bold" w:hAnsi="Times New Roman Bold" w:cs="Times New Roman Bold"/>
          <w:lang w:eastAsia="ja-JP"/>
        </w:rPr>
      </w:pPr>
      <w:r w:rsidRPr="00C32C72">
        <w:rPr>
          <w:rFonts w:ascii="Times New Roman Bold" w:hAnsi="Times New Roman Bold" w:cs="Times New Roman Bold"/>
          <w:lang w:eastAsia="ja-JP"/>
        </w:rPr>
        <w:t>Cometido</w:t>
      </w:r>
    </w:p>
    <w:p w:rsidR="008C583F" w:rsidRPr="00C32C72" w:rsidRDefault="008C583F" w:rsidP="008C583F">
      <w:pPr>
        <w:pStyle w:val="Summary"/>
      </w:pPr>
      <w:r w:rsidRPr="00C32C72">
        <w:t>Esta Recomendación aborda los requisitos de usuario para los micrófonos inalámbricos. Contiene los parámetros típicos del sistema y los requisitos operacionales relativos a los micrófonos inalámbricos analógicos y digitales, que pueden utilizar las administraciones y los organismos de radiodifusión al planificar las gamas de sintonía en las bandas de frecuencia atribuidas a los servicios de radiodifusión, fijo y móvil.</w:t>
      </w:r>
    </w:p>
    <w:p w:rsidR="008C583F" w:rsidRPr="00C32C72" w:rsidRDefault="008C583F" w:rsidP="008C583F">
      <w:pPr>
        <w:pStyle w:val="Normalaftertitle"/>
        <w:rPr>
          <w:lang w:val="es-ES_tradnl"/>
        </w:rPr>
      </w:pPr>
      <w:r w:rsidRPr="00C32C72">
        <w:rPr>
          <w:lang w:val="es-ES_tradnl"/>
        </w:rPr>
        <w:t>La Asamblea de Radiocomunicaciones de la UIT,</w:t>
      </w:r>
    </w:p>
    <w:p w:rsidR="008C583F" w:rsidRPr="00C32C72" w:rsidRDefault="008C583F" w:rsidP="008C583F">
      <w:pPr>
        <w:pStyle w:val="Call"/>
        <w:rPr>
          <w:lang w:val="es-ES_tradnl"/>
        </w:rPr>
      </w:pPr>
      <w:r w:rsidRPr="00C32C72">
        <w:rPr>
          <w:lang w:val="es-ES_tradnl"/>
        </w:rPr>
        <w:t>considerando</w:t>
      </w:r>
    </w:p>
    <w:p w:rsidR="008C583F" w:rsidRPr="00C32C72" w:rsidRDefault="008C583F" w:rsidP="008C583F">
      <w:pPr>
        <w:rPr>
          <w:lang w:val="es-ES_tradnl"/>
        </w:rPr>
      </w:pPr>
      <w:r w:rsidRPr="00C32C72">
        <w:rPr>
          <w:i/>
          <w:iCs/>
          <w:lang w:val="es-ES_tradnl"/>
        </w:rPr>
        <w:t>a)</w:t>
      </w:r>
      <w:r w:rsidRPr="00C32C72">
        <w:rPr>
          <w:lang w:val="es-ES_tradnl"/>
        </w:rPr>
        <w:tab/>
        <w:t>que existen aplicaciones distintas de micrófonos inalámbricos para el servicio de radiodifusión y para servicios diferentes del de radiodifusión;</w:t>
      </w:r>
    </w:p>
    <w:p w:rsidR="008C583F" w:rsidRPr="00C32C72" w:rsidRDefault="008C583F" w:rsidP="008C583F">
      <w:pPr>
        <w:rPr>
          <w:lang w:val="es-ES_tradnl"/>
        </w:rPr>
      </w:pPr>
      <w:r w:rsidRPr="00C32C72">
        <w:rPr>
          <w:i/>
          <w:iCs/>
          <w:lang w:val="es-ES_tradnl"/>
        </w:rPr>
        <w:t>b)</w:t>
      </w:r>
      <w:r w:rsidRPr="00C32C72">
        <w:rPr>
          <w:lang w:val="es-ES_tradnl"/>
        </w:rPr>
        <w:tab/>
        <w:t>que existen aplicaciones distintas de los micrófonos inalámbricos en la producción de programas de noticias, deportivos, de entretenimiento, de estudio y fuera de estudio para su uso en la radiodifusión;</w:t>
      </w:r>
    </w:p>
    <w:p w:rsidR="008C583F" w:rsidRPr="00C32C72" w:rsidRDefault="008C583F" w:rsidP="008C583F">
      <w:pPr>
        <w:rPr>
          <w:lang w:val="es-ES_tradnl"/>
        </w:rPr>
      </w:pPr>
      <w:r w:rsidRPr="00C32C72">
        <w:rPr>
          <w:i/>
          <w:iCs/>
          <w:lang w:val="es-ES_tradnl"/>
        </w:rPr>
        <w:t>c)</w:t>
      </w:r>
      <w:r w:rsidRPr="00C32C72">
        <w:rPr>
          <w:lang w:val="es-ES_tradnl"/>
        </w:rPr>
        <w:tab/>
        <w:t>que existe un requisito en los sistemas de micrófonos inalámbricos consistente en asignar una gama de frecuencias seleccionables a cada sistema para permitir la gestión de frecuencias y reducir la interferencia;</w:t>
      </w:r>
    </w:p>
    <w:p w:rsidR="008C583F" w:rsidRPr="00C32C72" w:rsidRDefault="008C583F" w:rsidP="00B456EC">
      <w:pPr>
        <w:rPr>
          <w:lang w:val="es-ES_tradnl"/>
        </w:rPr>
      </w:pPr>
      <w:r w:rsidRPr="00C32C72">
        <w:rPr>
          <w:i/>
          <w:iCs/>
          <w:lang w:val="es-ES_tradnl"/>
        </w:rPr>
        <w:t>d)</w:t>
      </w:r>
      <w:r w:rsidRPr="00C32C72">
        <w:rPr>
          <w:lang w:val="es-ES_tradnl"/>
        </w:rPr>
        <w:tab/>
        <w:t>que actualmente a los micrófonos inalámbricos se les asignan frecuencias en bandas atribuidas al servicio móvil en la Región 3 y al servicio de radiodifusión en las Regiones</w:t>
      </w:r>
      <w:r w:rsidR="00B456EC">
        <w:rPr>
          <w:lang w:val="es-ES_tradnl"/>
        </w:rPr>
        <w:t> </w:t>
      </w:r>
      <w:r w:rsidRPr="00C32C72">
        <w:rPr>
          <w:lang w:val="es-ES_tradnl"/>
        </w:rPr>
        <w:t>1 y 2, y muchas administraciones están llevando a cabo la transición de la radiodifusión de televisión terrenal analógica a digital;</w:t>
      </w:r>
    </w:p>
    <w:p w:rsidR="008C583F" w:rsidRPr="00C32C72" w:rsidRDefault="008C583F" w:rsidP="008C583F">
      <w:pPr>
        <w:rPr>
          <w:lang w:val="es-ES_tradnl"/>
        </w:rPr>
      </w:pPr>
      <w:r w:rsidRPr="00C32C72">
        <w:rPr>
          <w:i/>
          <w:iCs/>
          <w:lang w:val="es-ES_tradnl"/>
        </w:rPr>
        <w:t>e)</w:t>
      </w:r>
      <w:r w:rsidRPr="00C32C72">
        <w:rPr>
          <w:lang w:val="es-ES_tradnl"/>
        </w:rPr>
        <w:tab/>
        <w:t>que los sistemas de micrófonos inalámbricos son utilizados en muchos países y en otros países las organizaciones de radiodifusión nacional los emplean para la producción de televisión;</w:t>
      </w:r>
    </w:p>
    <w:p w:rsidR="008C583F" w:rsidRPr="00C32C72" w:rsidRDefault="008C583F" w:rsidP="00B456EC">
      <w:pPr>
        <w:rPr>
          <w:lang w:val="es-ES_tradnl"/>
        </w:rPr>
      </w:pPr>
      <w:r w:rsidRPr="00C32C72">
        <w:rPr>
          <w:i/>
          <w:iCs/>
          <w:lang w:val="es-ES_tradnl"/>
        </w:rPr>
        <w:t>f)</w:t>
      </w:r>
      <w:r w:rsidRPr="00C32C72">
        <w:rPr>
          <w:lang w:val="es-ES_tradnl"/>
        </w:rPr>
        <w:tab/>
        <w:t>que muchas administraciones utilizan las Bandas</w:t>
      </w:r>
      <w:r w:rsidR="00B456EC">
        <w:rPr>
          <w:lang w:val="es-ES_tradnl"/>
        </w:rPr>
        <w:t> </w:t>
      </w:r>
      <w:r w:rsidRPr="00C32C72">
        <w:rPr>
          <w:lang w:val="es-ES_tradnl"/>
        </w:rPr>
        <w:t>IV y V de TV, que también están atribuidas al servicio móvil en la Región</w:t>
      </w:r>
      <w:r w:rsidR="00B456EC">
        <w:rPr>
          <w:lang w:val="es-ES_tradnl"/>
        </w:rPr>
        <w:t> </w:t>
      </w:r>
      <w:r w:rsidRPr="00C32C72">
        <w:rPr>
          <w:lang w:val="es-ES_tradnl"/>
        </w:rPr>
        <w:t>3, como gamas de sintonía para los micrófonos inalámbricos profesionales;</w:t>
      </w:r>
    </w:p>
    <w:p w:rsidR="008C583F" w:rsidRPr="00C32C72" w:rsidRDefault="008C583F" w:rsidP="008C583F">
      <w:pPr>
        <w:rPr>
          <w:lang w:val="es-ES_tradnl"/>
        </w:rPr>
      </w:pPr>
      <w:r w:rsidRPr="00C32C72">
        <w:rPr>
          <w:i/>
          <w:iCs/>
          <w:lang w:val="es-ES_tradnl"/>
        </w:rPr>
        <w:t>g)</w:t>
      </w:r>
      <w:r w:rsidRPr="00C32C72">
        <w:rPr>
          <w:lang w:val="es-ES_tradnl"/>
        </w:rPr>
        <w:tab/>
        <w:t>que es conveniente minimizar la posible interferencia causada a estos sistemas reduciendo lo más posible, al mismo tiempo, los requisitos de los recursos de gestión de frecuencias, disminuyendo la interferencia y aumentando la armonización a escala mundial de las frecuencias seleccionables,</w:t>
      </w:r>
    </w:p>
    <w:p w:rsidR="008C583F" w:rsidRPr="00C32C72" w:rsidRDefault="008C583F" w:rsidP="008C583F">
      <w:pPr>
        <w:pStyle w:val="Call"/>
        <w:rPr>
          <w:lang w:val="es-ES_tradnl"/>
        </w:rPr>
      </w:pPr>
      <w:r w:rsidRPr="00C32C72">
        <w:rPr>
          <w:lang w:val="es-ES_tradnl"/>
        </w:rPr>
        <w:t>recomienda</w:t>
      </w:r>
    </w:p>
    <w:p w:rsidR="008C583F" w:rsidRPr="00C32C72" w:rsidRDefault="008C583F" w:rsidP="00E002E9">
      <w:pPr>
        <w:rPr>
          <w:lang w:val="es-ES_tradnl"/>
        </w:rPr>
      </w:pPr>
      <w:r w:rsidRPr="00C32C72">
        <w:rPr>
          <w:b/>
          <w:lang w:val="es-ES_tradnl"/>
        </w:rPr>
        <w:t>1</w:t>
      </w:r>
      <w:r w:rsidRPr="00C32C72">
        <w:rPr>
          <w:lang w:val="es-ES_tradnl"/>
        </w:rPr>
        <w:tab/>
        <w:t>a las administraciones que deseen explotar estas aplicaciones en las bandas de frecuencias indicadas, que consulten la descripción de los requisitos de usuario y las características fundamentales de los micrófonos inalámbricos analógicos y digitales que figuran en el Anexo 1;</w:t>
      </w:r>
    </w:p>
    <w:p w:rsidR="008C583F" w:rsidRDefault="008C583F" w:rsidP="008C583F">
      <w:pPr>
        <w:rPr>
          <w:bCs/>
          <w:lang w:val="es-ES_tradnl"/>
        </w:rPr>
      </w:pPr>
      <w:r w:rsidRPr="00C32C72">
        <w:rPr>
          <w:b/>
          <w:lang w:val="es-ES_tradnl"/>
        </w:rPr>
        <w:lastRenderedPageBreak/>
        <w:t>2</w:t>
      </w:r>
      <w:r w:rsidRPr="00C32C72">
        <w:rPr>
          <w:bCs/>
          <w:lang w:val="es-ES_tradnl"/>
        </w:rPr>
        <w:tab/>
        <w:t>a las administraciones y organismos de radiodifusión que busquen información, que consulten las gamas de sintonía y los acuerdos de licencia para los micrófonos inalámbricos analógicos y digitales que aparecen en el Anexo 2.</w:t>
      </w:r>
    </w:p>
    <w:p w:rsidR="00E002E9" w:rsidRDefault="00E002E9" w:rsidP="008C583F">
      <w:pPr>
        <w:rPr>
          <w:bCs/>
          <w:lang w:val="es-ES_tradnl"/>
        </w:rPr>
      </w:pPr>
    </w:p>
    <w:p w:rsidR="00E002E9" w:rsidRPr="00C32C72" w:rsidRDefault="00E002E9" w:rsidP="008C583F">
      <w:pPr>
        <w:rPr>
          <w:bCs/>
          <w:lang w:val="es-ES_tradnl"/>
        </w:rPr>
      </w:pPr>
    </w:p>
    <w:p w:rsidR="008C583F" w:rsidRPr="00C32C72" w:rsidRDefault="008C583F" w:rsidP="008C583F">
      <w:pPr>
        <w:pStyle w:val="AnnexNoTitle"/>
        <w:rPr>
          <w:lang w:val="es-ES_tradnl"/>
        </w:rPr>
      </w:pPr>
      <w:r w:rsidRPr="00C32C72">
        <w:rPr>
          <w:lang w:val="es-ES_tradnl"/>
        </w:rPr>
        <w:t>Anexo 1</w:t>
      </w:r>
      <w:r w:rsidRPr="00C32C72">
        <w:rPr>
          <w:szCs w:val="28"/>
          <w:lang w:val="es-ES_tradnl"/>
        </w:rPr>
        <w:br/>
      </w:r>
      <w:r w:rsidRPr="00C32C72">
        <w:rPr>
          <w:szCs w:val="28"/>
          <w:lang w:val="es-ES_tradnl"/>
        </w:rPr>
        <w:br/>
      </w:r>
      <w:r w:rsidRPr="00C32C72">
        <w:rPr>
          <w:lang w:val="es-ES_tradnl"/>
        </w:rPr>
        <w:t>Requisitos de usuarios para los micrófonos inalámbricos</w:t>
      </w:r>
    </w:p>
    <w:p w:rsidR="008C583F" w:rsidRPr="00C32C72" w:rsidRDefault="008C583F" w:rsidP="008C583F">
      <w:pPr>
        <w:pStyle w:val="Normalaftertitle"/>
        <w:rPr>
          <w:lang w:val="es-ES_tradnl"/>
        </w:rPr>
      </w:pPr>
      <w:r w:rsidRPr="00C32C72">
        <w:rPr>
          <w:lang w:val="es-ES_tradnl"/>
        </w:rPr>
        <w:t>En el Cuadro 1 se facilita la descripción de los requisitos de usuario y las características clave de los micrófonos analógicos y digitales inalámbricos a los que deben referirse las administraciones que quieran explotar estas aplicaciones.</w:t>
      </w:r>
    </w:p>
    <w:p w:rsidR="008C583F" w:rsidRPr="00C32C72" w:rsidRDefault="008C583F" w:rsidP="008C583F">
      <w:pPr>
        <w:pStyle w:val="TableNo"/>
        <w:rPr>
          <w:lang w:val="es-ES_tradnl"/>
        </w:rPr>
      </w:pPr>
      <w:r w:rsidRPr="00C32C72">
        <w:rPr>
          <w:lang w:val="es-ES_tradnl"/>
        </w:rPr>
        <w:t>CUADRO 1</w:t>
      </w:r>
    </w:p>
    <w:p w:rsidR="008C583F" w:rsidRPr="00C32C72" w:rsidRDefault="008C583F" w:rsidP="008C583F">
      <w:pPr>
        <w:pStyle w:val="Tabletitle"/>
        <w:rPr>
          <w:lang w:val="es-ES_tradnl"/>
        </w:rPr>
      </w:pPr>
      <w:r w:rsidRPr="00C32C72">
        <w:rPr>
          <w:lang w:val="es-ES_tradnl"/>
        </w:rPr>
        <w:t>Requisitos de usuario para los radiomicrófonos/micrófonos inalámbricos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head"/>
              <w:rPr>
                <w:lang w:val="es-ES_tradnl"/>
              </w:rPr>
            </w:pPr>
            <w:r w:rsidRPr="00C32C72">
              <w:rPr>
                <w:lang w:val="es-ES_tradnl"/>
              </w:rPr>
              <w:t>Características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head"/>
              <w:rPr>
                <w:lang w:val="es-ES_tradnl"/>
              </w:rPr>
            </w:pPr>
            <w:r w:rsidRPr="00C32C72">
              <w:rPr>
                <w:lang w:val="es-ES_tradnl"/>
              </w:rPr>
              <w:t>Especificación</w:t>
            </w:r>
          </w:p>
        </w:tc>
      </w:tr>
      <w:tr w:rsidR="008C583F" w:rsidRPr="00AF072C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Aplicación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Voz (conversación, caución), instrumentos musicales</w:t>
            </w:r>
          </w:p>
        </w:tc>
      </w:tr>
      <w:tr w:rsidR="008C583F" w:rsidRPr="00C32C72" w:rsidTr="00B456EC">
        <w:trPr>
          <w:jc w:val="center"/>
        </w:trPr>
        <w:tc>
          <w:tcPr>
            <w:tcW w:w="9639" w:type="dxa"/>
            <w:gridSpan w:val="2"/>
          </w:tcPr>
          <w:p w:rsidR="008C583F" w:rsidRPr="00C32C72" w:rsidRDefault="008C583F" w:rsidP="00126867">
            <w:pPr>
              <w:pStyle w:val="Tabletext"/>
              <w:jc w:val="center"/>
              <w:rPr>
                <w:b/>
                <w:bCs/>
                <w:lang w:val="es-ES_tradnl"/>
              </w:rPr>
            </w:pPr>
            <w:r w:rsidRPr="00C32C72">
              <w:rPr>
                <w:b/>
                <w:bCs/>
                <w:lang w:val="es-ES_tradnl"/>
              </w:rPr>
              <w:t>Transmisor</w:t>
            </w:r>
          </w:p>
        </w:tc>
      </w:tr>
      <w:tr w:rsidR="008C583F" w:rsidRPr="00AF072C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Emplazamiento del transmisor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Adaptado al cuerpo o de bolsillo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Fuente de alimentación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Batería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Potencia de salida de RF del transmisor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10 a 100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mW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Entrada de audio al transmisor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Nivel micrófono</w:t>
            </w:r>
          </w:p>
        </w:tc>
      </w:tr>
      <w:tr w:rsidR="008C583F" w:rsidRPr="00C32C72" w:rsidTr="00B456EC">
        <w:trPr>
          <w:jc w:val="center"/>
        </w:trPr>
        <w:tc>
          <w:tcPr>
            <w:tcW w:w="9639" w:type="dxa"/>
            <w:gridSpan w:val="2"/>
          </w:tcPr>
          <w:p w:rsidR="008C583F" w:rsidRPr="00C32C72" w:rsidRDefault="008C583F" w:rsidP="00126867">
            <w:pPr>
              <w:pStyle w:val="Tabletext"/>
              <w:jc w:val="center"/>
              <w:rPr>
                <w:b/>
                <w:lang w:val="es-ES_tradnl"/>
              </w:rPr>
            </w:pPr>
            <w:r w:rsidRPr="00C32C72">
              <w:rPr>
                <w:b/>
                <w:lang w:val="es-ES_tradnl"/>
              </w:rPr>
              <w:t>Receptor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Emplazamiento del receptor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Fijo/montado en cámara</w:t>
            </w:r>
          </w:p>
        </w:tc>
      </w:tr>
      <w:tr w:rsidR="008C583F" w:rsidRPr="00AF072C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Fuente de alimentación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Red de c.a.</w:t>
            </w:r>
            <w:r w:rsidRPr="00C32C72">
              <w:rPr>
                <w:lang w:val="es-ES_tradnl"/>
              </w:rPr>
              <w:t>/batería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Salida de audio del receptor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Nivel de línea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Tipo de receptor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Único o por diversidad</w:t>
            </w:r>
          </w:p>
        </w:tc>
      </w:tr>
      <w:tr w:rsidR="008C583F" w:rsidRPr="00C32C72" w:rsidTr="00B456EC">
        <w:trPr>
          <w:jc w:val="center"/>
        </w:trPr>
        <w:tc>
          <w:tcPr>
            <w:tcW w:w="9639" w:type="dxa"/>
            <w:gridSpan w:val="2"/>
          </w:tcPr>
          <w:p w:rsidR="008C583F" w:rsidRPr="00C32C72" w:rsidRDefault="008C583F" w:rsidP="005A13BA">
            <w:pPr>
              <w:pStyle w:val="Tabletext"/>
              <w:jc w:val="center"/>
              <w:rPr>
                <w:b/>
                <w:lang w:val="es-ES_tradnl"/>
              </w:rPr>
            </w:pPr>
            <w:r w:rsidRPr="00C32C72">
              <w:rPr>
                <w:b/>
                <w:lang w:val="es-ES_tradnl"/>
              </w:rPr>
              <w:t>Características generales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5A13B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Tiempo de funcionamiento de batería/fuente de alimentación</w:t>
            </w:r>
          </w:p>
        </w:tc>
        <w:tc>
          <w:tcPr>
            <w:tcW w:w="4961" w:type="dxa"/>
          </w:tcPr>
          <w:p w:rsidR="008C583F" w:rsidRPr="00C32C72" w:rsidRDefault="008C583F" w:rsidP="00553CE5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&gt;4-8 h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5A13BA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Respuesta de audiofrecuencia</w:t>
            </w:r>
          </w:p>
        </w:tc>
        <w:tc>
          <w:tcPr>
            <w:tcW w:w="4961" w:type="dxa"/>
          </w:tcPr>
          <w:p w:rsidR="008C583F" w:rsidRPr="00C32C72" w:rsidRDefault="008C583F" w:rsidP="00553CE5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≤80 a ≥15,000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Hz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Modo de audio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Monofónico</w:t>
            </w:r>
          </w:p>
        </w:tc>
      </w:tr>
      <w:tr w:rsidR="008C583F" w:rsidRPr="00AF072C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Gamas de RF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Bandas III/IV/V de TV, 1,8 GHz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Relación señal/ruido (óptima/posible)</w:t>
            </w:r>
          </w:p>
        </w:tc>
        <w:tc>
          <w:tcPr>
            <w:tcW w:w="4961" w:type="dxa"/>
          </w:tcPr>
          <w:p w:rsidR="008C583F" w:rsidRPr="00C32C72" w:rsidRDefault="00553CE5" w:rsidP="00126867">
            <w:pPr>
              <w:pStyle w:val="Tabletext"/>
              <w:jc w:val="left"/>
              <w:rPr>
                <w:lang w:val="es-ES_tradnl"/>
              </w:rPr>
            </w:pPr>
            <w:r>
              <w:rPr>
                <w:lang w:val="es-ES_tradnl"/>
              </w:rPr>
              <w:t>&gt;</w:t>
            </w:r>
            <w:r w:rsidR="008C583F" w:rsidRPr="00C32C72">
              <w:rPr>
                <w:lang w:val="es-ES_tradnl"/>
              </w:rPr>
              <w:t>100/119 dB</w:t>
            </w:r>
          </w:p>
        </w:tc>
      </w:tr>
      <w:tr w:rsidR="008C583F" w:rsidRPr="00AF072C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Modulación</w:t>
            </w:r>
          </w:p>
        </w:tc>
        <w:tc>
          <w:tcPr>
            <w:tcW w:w="4961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Analógica – FM de banda amplia, digital, MDP-4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Desviación de cresta de RF (AF = 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kHz)</w:t>
            </w:r>
          </w:p>
        </w:tc>
        <w:tc>
          <w:tcPr>
            <w:tcW w:w="4961" w:type="dxa"/>
          </w:tcPr>
          <w:p w:rsidR="008C583F" w:rsidRPr="00C32C72" w:rsidRDefault="008C583F" w:rsidP="00553CE5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±50 kHz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  <w:tcBorders>
              <w:bottom w:val="single" w:sz="4" w:space="0" w:color="auto"/>
            </w:tcBorders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Anchura de banda de RF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C583F" w:rsidRPr="00C32C72" w:rsidRDefault="008C583F" w:rsidP="00553CE5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≤200 kHz</w:t>
            </w:r>
          </w:p>
        </w:tc>
      </w:tr>
      <w:tr w:rsidR="008C583F" w:rsidRPr="00C32C72" w:rsidTr="00B456EC">
        <w:trPr>
          <w:jc w:val="center"/>
        </w:trPr>
        <w:tc>
          <w:tcPr>
            <w:tcW w:w="4678" w:type="dxa"/>
            <w:tcBorders>
              <w:bottom w:val="single" w:sz="4" w:space="0" w:color="auto"/>
            </w:tcBorders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Números de canales de micrófono inalámbrico utilizables por 8 MHz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C583F" w:rsidRPr="00C32C72" w:rsidRDefault="008C583F" w:rsidP="00553CE5">
            <w:pPr>
              <w:pStyle w:val="Tabletext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&gt;12</w:t>
            </w:r>
          </w:p>
        </w:tc>
      </w:tr>
    </w:tbl>
    <w:p w:rsidR="008C583F" w:rsidRPr="00C32C72" w:rsidRDefault="008C583F" w:rsidP="008C583F">
      <w:pPr>
        <w:pStyle w:val="Tablefin"/>
        <w:rPr>
          <w:rFonts w:eastAsia="Batang"/>
          <w:sz w:val="2"/>
          <w:lang w:val="es-ES_tradnl"/>
        </w:rPr>
      </w:pPr>
    </w:p>
    <w:p w:rsidR="00E002E9" w:rsidRDefault="00E002E9" w:rsidP="00E002E9">
      <w:pPr>
        <w:pStyle w:val="Tablefin"/>
        <w:rPr>
          <w:rFonts w:eastAsia="Batang"/>
        </w:rPr>
      </w:pPr>
    </w:p>
    <w:p w:rsidR="008C583F" w:rsidRPr="00C32C72" w:rsidRDefault="008C583F" w:rsidP="00313347">
      <w:pPr>
        <w:pStyle w:val="AnnexNoTitle"/>
        <w:rPr>
          <w:rFonts w:eastAsia="Batang"/>
          <w:lang w:val="es-ES_tradnl"/>
        </w:rPr>
      </w:pPr>
      <w:r w:rsidRPr="00C32C72">
        <w:rPr>
          <w:rFonts w:eastAsia="Batang"/>
          <w:lang w:val="es-ES_tradnl"/>
        </w:rPr>
        <w:lastRenderedPageBreak/>
        <w:t>Anexo 2</w:t>
      </w:r>
      <w:r w:rsidRPr="00C32C72">
        <w:rPr>
          <w:rFonts w:eastAsia="Batang"/>
          <w:lang w:val="es-ES_tradnl"/>
        </w:rPr>
        <w:br/>
      </w:r>
      <w:r w:rsidRPr="00C32C72">
        <w:rPr>
          <w:rFonts w:eastAsia="Batang"/>
          <w:lang w:val="es-ES_tradnl"/>
        </w:rPr>
        <w:br/>
        <w:t xml:space="preserve">Gamas de sintonía de los </w:t>
      </w:r>
      <w:r w:rsidRPr="00E002E9">
        <w:rPr>
          <w:rFonts w:eastAsia="Batang"/>
          <w:lang w:val="es-ES_tradnl"/>
        </w:rPr>
        <w:t>micrófonos</w:t>
      </w:r>
      <w:r w:rsidRPr="00C32C72">
        <w:rPr>
          <w:rFonts w:eastAsia="Batang"/>
          <w:lang w:val="es-ES_tradnl"/>
        </w:rPr>
        <w:t xml:space="preserve"> inalámbricos</w:t>
      </w:r>
    </w:p>
    <w:p w:rsidR="008C583F" w:rsidRPr="00C32C72" w:rsidRDefault="008C583F" w:rsidP="008C583F">
      <w:pPr>
        <w:pStyle w:val="Normalaftertitle"/>
        <w:rPr>
          <w:b/>
          <w:lang w:val="es-ES_tradnl"/>
        </w:rPr>
      </w:pPr>
      <w:r w:rsidRPr="00C32C72">
        <w:rPr>
          <w:lang w:val="es-ES_tradnl"/>
        </w:rPr>
        <w:t>Las gamas de sintonía de los micrófonos inalámbricos tienen por objeto orientar a las administraciones y radiodifusores que pretendan explotar micrófonos inalámbricos analógicos y digitales y centrar las consideraciones sobre comparación de frecuencias con otros servicios.</w:t>
      </w:r>
    </w:p>
    <w:p w:rsidR="008C583F" w:rsidRPr="00C32C72" w:rsidRDefault="008C583F" w:rsidP="00B456EC">
      <w:pPr>
        <w:rPr>
          <w:lang w:val="es-ES_tradnl"/>
        </w:rPr>
      </w:pPr>
      <w:r w:rsidRPr="00C32C72">
        <w:rPr>
          <w:lang w:val="es-ES_tradnl"/>
        </w:rPr>
        <w:t>El Cuadro</w:t>
      </w:r>
      <w:r w:rsidR="00B456EC">
        <w:rPr>
          <w:lang w:val="es-ES_tradnl"/>
        </w:rPr>
        <w:t> </w:t>
      </w:r>
      <w:r w:rsidRPr="00C32C72">
        <w:rPr>
          <w:lang w:val="es-ES_tradnl"/>
        </w:rPr>
        <w:t>2 presenta las bandas de frecuencias y los acuerdos de licencias en algunas administraciones</w:t>
      </w:r>
      <w:r w:rsidRPr="00C32C72">
        <w:rPr>
          <w:lang w:val="es-ES_tradnl" w:eastAsia="ko-KR"/>
        </w:rPr>
        <w:t>.</w:t>
      </w:r>
    </w:p>
    <w:p w:rsidR="008C583F" w:rsidRPr="00C32C72" w:rsidRDefault="008C583F" w:rsidP="00313347">
      <w:pPr>
        <w:pStyle w:val="TableNo"/>
        <w:rPr>
          <w:lang w:val="es-ES_tradnl" w:eastAsia="ja-JP"/>
        </w:rPr>
      </w:pPr>
      <w:r w:rsidRPr="00AF072C">
        <w:rPr>
          <w:lang w:val="es-ES_tradnl"/>
        </w:rPr>
        <w:t>CUADRO</w:t>
      </w:r>
      <w:r w:rsidRPr="00C32C72">
        <w:rPr>
          <w:lang w:val="es-ES_tradnl"/>
        </w:rPr>
        <w:t xml:space="preserve"> </w:t>
      </w:r>
      <w:r w:rsidRPr="00C32C72">
        <w:rPr>
          <w:lang w:val="es-ES_tradnl" w:eastAsia="ja-JP"/>
        </w:rPr>
        <w:t>2</w:t>
      </w:r>
    </w:p>
    <w:p w:rsidR="008C583F" w:rsidRPr="00C32C72" w:rsidRDefault="008C583F" w:rsidP="008C583F">
      <w:pPr>
        <w:pStyle w:val="Tabletitle"/>
        <w:keepNext w:val="0"/>
        <w:widowControl w:val="0"/>
        <w:rPr>
          <w:lang w:val="es-ES_tradnl" w:eastAsia="ko-KR"/>
        </w:rPr>
      </w:pPr>
      <w:bookmarkStart w:id="4" w:name="OLE_LINK1"/>
      <w:bookmarkStart w:id="5" w:name="OLE_LINK2"/>
      <w:r w:rsidRPr="00C32C72">
        <w:rPr>
          <w:lang w:val="es-ES_tradnl" w:eastAsia="ko-KR"/>
        </w:rPr>
        <w:t>Bandas de frecuencias y acuerdos de licencias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02"/>
        <w:gridCol w:w="4876"/>
      </w:tblGrid>
      <w:tr w:rsidR="008C583F" w:rsidRPr="00C32C72" w:rsidTr="00656354">
        <w:trPr>
          <w:trHeight w:val="2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C33EF5">
            <w:pPr>
              <w:pStyle w:val="Tablehead"/>
              <w:rPr>
                <w:snapToGrid w:val="0"/>
                <w:lang w:val="es-ES_tradnl" w:eastAsia="ko-KR"/>
              </w:rPr>
            </w:pPr>
            <w:r w:rsidRPr="00C32C72">
              <w:rPr>
                <w:snapToGrid w:val="0"/>
                <w:lang w:val="es-ES_tradnl"/>
              </w:rPr>
              <w:t>País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C33EF5">
            <w:pPr>
              <w:pStyle w:val="Tablehead"/>
              <w:rPr>
                <w:snapToGrid w:val="0"/>
                <w:lang w:val="es-ES_tradnl" w:eastAsia="ja-JP"/>
              </w:rPr>
            </w:pPr>
            <w:r w:rsidRPr="00C32C72">
              <w:rPr>
                <w:snapToGrid w:val="0"/>
                <w:lang w:val="es-ES_tradnl" w:eastAsia="ja-JP"/>
              </w:rPr>
              <w:t>Gama de sintonía de frecuencia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C33EF5">
            <w:pPr>
              <w:pStyle w:val="Tablehead"/>
              <w:rPr>
                <w:snapToGrid w:val="0"/>
                <w:lang w:val="es-ES_tradnl" w:eastAsia="ja-JP"/>
              </w:rPr>
            </w:pPr>
            <w:r w:rsidRPr="00C32C72">
              <w:rPr>
                <w:snapToGrid w:val="0"/>
                <w:lang w:val="es-ES_tradnl" w:eastAsia="ja-JP"/>
              </w:rPr>
              <w:t>Acuerdos de licencias</w:t>
            </w:r>
          </w:p>
        </w:tc>
      </w:tr>
      <w:bookmarkEnd w:id="4"/>
      <w:bookmarkEnd w:id="5"/>
      <w:tr w:rsidR="008C583F" w:rsidRPr="00AF072C" w:rsidTr="00656354">
        <w:trPr>
          <w:trHeight w:val="20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C32C72" w:rsidRDefault="008C583F" w:rsidP="00126867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Australia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szCs w:val="23"/>
                <w:lang w:val="es-ES_tradnl" w:eastAsia="ko-KR"/>
              </w:rPr>
            </w:pPr>
            <w:r w:rsidRPr="00C32C72">
              <w:rPr>
                <w:szCs w:val="23"/>
                <w:lang w:val="es-ES_tradnl"/>
              </w:rPr>
              <w:t xml:space="preserve">Banda III de ondas métricas – </w:t>
            </w:r>
            <w:r w:rsidRPr="00C32C72">
              <w:rPr>
                <w:szCs w:val="23"/>
                <w:lang w:val="es-ES_tradnl"/>
              </w:rPr>
              <w:br/>
              <w:t>174-230</w:t>
            </w:r>
            <w:r>
              <w:rPr>
                <w:szCs w:val="23"/>
                <w:lang w:val="es-ES_tradnl"/>
              </w:rPr>
              <w:t> </w:t>
            </w:r>
            <w:r w:rsidRPr="00C32C72">
              <w:rPr>
                <w:szCs w:val="23"/>
                <w:lang w:val="es-ES_tradnl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C33EF5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clase de licenci</w:t>
            </w:r>
            <w:r>
              <w:rPr>
                <w:lang w:val="es-ES_tradnl"/>
              </w:rPr>
              <w:t>a permite una p.i.r.e. de hasta</w:t>
            </w:r>
            <w:r w:rsidR="00C33EF5">
              <w:rPr>
                <w:lang w:val="es-ES_tradnl"/>
              </w:rPr>
              <w:t xml:space="preserve"> </w:t>
            </w:r>
            <w:r w:rsidRPr="00C32C72">
              <w:rPr>
                <w:lang w:val="es-ES_tradnl"/>
              </w:rPr>
              <w:t>3 mW (obsérvese que se está considerando un</w:t>
            </w:r>
            <w:r w:rsidR="00B456EC">
              <w:rPr>
                <w:lang w:val="es-ES_tradnl"/>
              </w:rPr>
              <w:t> </w:t>
            </w:r>
            <w:r w:rsidRPr="00C32C72">
              <w:rPr>
                <w:lang w:val="es-ES_tradnl"/>
              </w:rPr>
              <w:t>incremento de la p.i.r.e. a 50 mW)</w:t>
            </w:r>
            <w:r>
              <w:rPr>
                <w:lang w:val="es-ES_tradnl"/>
              </w:rPr>
              <w:t>.</w:t>
            </w:r>
          </w:p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  <w:r w:rsidRPr="00C32C72">
              <w:rPr>
                <w:snapToGrid w:val="0"/>
                <w:lang w:val="es-ES_tradnl"/>
              </w:rPr>
              <w:t>La norma australiana</w:t>
            </w:r>
            <w:r w:rsidRPr="00C32C72">
              <w:rPr>
                <w:snapToGrid w:val="0"/>
                <w:color w:val="000000"/>
                <w:lang w:val="es-ES_tradnl"/>
              </w:rPr>
              <w:t xml:space="preserve"> </w:t>
            </w:r>
            <w:r w:rsidRPr="00C32C72">
              <w:rPr>
                <w:color w:val="000000"/>
                <w:lang w:val="es-ES_tradnl"/>
              </w:rPr>
              <w:t>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color w:val="000000"/>
                <w:lang w:val="es-ES_tradnl"/>
              </w:rPr>
              <w:t>4268</w:t>
            </w:r>
            <w:r w:rsidRPr="00C32C72">
              <w:rPr>
                <w:color w:val="000000"/>
                <w:vertAlign w:val="superscript"/>
                <w:lang w:val="es-ES_tradnl"/>
              </w:rPr>
              <w:t>(1)</w:t>
            </w:r>
            <w:r w:rsidRPr="00C32C72">
              <w:rPr>
                <w:color w:val="000000"/>
                <w:lang w:val="es-ES_tradnl"/>
              </w:rPr>
              <w:t xml:space="preserve"> sobre dispositivos de corto alcance especifica 0,1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color w:val="000000"/>
                <w:lang w:val="es-ES_tradnl"/>
              </w:rPr>
              <w:t>µW como</w:t>
            </w:r>
            <w:r w:rsidR="00313347">
              <w:rPr>
                <w:color w:val="000000"/>
                <w:lang w:val="es-ES_tradnl"/>
              </w:rPr>
              <w:t> </w:t>
            </w:r>
            <w:r w:rsidRPr="00C32C72">
              <w:rPr>
                <w:color w:val="000000"/>
                <w:lang w:val="es-ES_tradnl"/>
              </w:rPr>
              <w:t>nivel de emisión no esencial en el canal adyacente</w:t>
            </w:r>
            <w:r>
              <w:rPr>
                <w:color w:val="000000"/>
                <w:lang w:val="es-ES_tradnl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C32C72" w:rsidRDefault="008C583F" w:rsidP="00126867">
            <w:pPr>
              <w:pStyle w:val="Tabletext"/>
              <w:widowControl w:val="0"/>
              <w:jc w:val="lef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szCs w:val="23"/>
                <w:lang w:val="es-ES_tradnl"/>
              </w:rPr>
            </w:pPr>
            <w:r w:rsidRPr="00C32C72">
              <w:rPr>
                <w:szCs w:val="22"/>
                <w:lang w:val="es-ES_tradnl" w:eastAsia="ja-JP"/>
              </w:rPr>
              <w:t>520-694</w:t>
            </w:r>
            <w:r>
              <w:rPr>
                <w:rFonts w:eastAsia="Batang"/>
                <w:szCs w:val="22"/>
                <w:lang w:val="es-ES_tradnl" w:eastAsia="ko-KR"/>
              </w:rPr>
              <w:t> </w:t>
            </w:r>
            <w:r w:rsidRPr="00C32C72">
              <w:rPr>
                <w:rFonts w:eastAsia="Batang"/>
                <w:szCs w:val="22"/>
                <w:lang w:val="es-ES_tradnl" w:eastAsia="ko-KR"/>
              </w:rPr>
              <w:t>MHz</w:t>
            </w:r>
            <w:r w:rsidRPr="00F850FF">
              <w:rPr>
                <w:rFonts w:eastAsia="Batang"/>
                <w:szCs w:val="22"/>
                <w:vertAlign w:val="superscript"/>
                <w:lang w:val="es-ES_tradnl" w:eastAsia="ko-KR"/>
              </w:rPr>
              <w:t>(3)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C583F" w:rsidRPr="00C32C72" w:rsidRDefault="008C583F" w:rsidP="00126867">
            <w:pPr>
              <w:pStyle w:val="Tabletext"/>
              <w:widowControl w:val="0"/>
              <w:jc w:val="left"/>
              <w:rPr>
                <w:snapToGrid w:val="0"/>
                <w:szCs w:val="22"/>
                <w:lang w:val="es-ES_tradnl" w:eastAsia="ja-JP"/>
              </w:rPr>
            </w:pPr>
            <w:r w:rsidRPr="00C32C72">
              <w:rPr>
                <w:snapToGrid w:val="0"/>
                <w:szCs w:val="22"/>
                <w:lang w:val="es-ES_tradnl" w:eastAsia="ja-JP"/>
              </w:rPr>
              <w:t>Hasta 100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napToGrid w:val="0"/>
                <w:szCs w:val="22"/>
                <w:lang w:val="es-ES_tradnl" w:eastAsia="ja-JP"/>
              </w:rPr>
              <w:t>mW de p.i.r.e.</w:t>
            </w:r>
          </w:p>
          <w:p w:rsidR="008C583F" w:rsidRPr="00C32C72" w:rsidRDefault="008C583F" w:rsidP="00656354">
            <w:pPr>
              <w:pStyle w:val="Tabletext"/>
              <w:widowControl w:val="0"/>
              <w:jc w:val="left"/>
              <w:rPr>
                <w:snapToGrid w:val="0"/>
                <w:szCs w:val="22"/>
                <w:lang w:val="es-ES_tradnl"/>
              </w:rPr>
            </w:pPr>
            <w:r w:rsidRPr="00C32C72">
              <w:rPr>
                <w:snapToGrid w:val="0"/>
                <w:szCs w:val="22"/>
                <w:lang w:val="es-ES_tradnl" w:eastAsia="ja-JP"/>
              </w:rPr>
              <w:t>Algunas concesiones de licencias para aparatos (mucho menos utilizados) para usos de mayor potencia</w:t>
            </w:r>
            <w:r w:rsidR="00656354">
              <w:rPr>
                <w:snapToGrid w:val="0"/>
                <w:szCs w:val="22"/>
                <w:lang w:val="es-ES_tradnl" w:eastAsia="ja-JP"/>
              </w:rPr>
              <w:t> </w:t>
            </w:r>
            <w:r w:rsidRPr="00C32C72">
              <w:rPr>
                <w:snapToGrid w:val="0"/>
                <w:szCs w:val="22"/>
                <w:lang w:val="es-ES_tradnl" w:eastAsia="ja-JP"/>
              </w:rPr>
              <w:t>utilizan hasta 250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napToGrid w:val="0"/>
                <w:szCs w:val="22"/>
                <w:lang w:val="es-ES_tradnl" w:eastAsia="ja-JP"/>
              </w:rPr>
              <w:t>mW de p.i.r.e.</w:t>
            </w:r>
            <w:r w:rsidRPr="00C32C72">
              <w:rPr>
                <w:snapToGrid w:val="0"/>
                <w:szCs w:val="22"/>
                <w:lang w:val="es-ES_tradnl"/>
              </w:rPr>
              <w:t xml:space="preserve"> (para sistemas digitales)</w:t>
            </w:r>
            <w:r w:rsidR="00B456EC">
              <w:rPr>
                <w:snapToGrid w:val="0"/>
                <w:szCs w:val="22"/>
                <w:lang w:val="es-ES_tradnl"/>
              </w:rPr>
              <w:t>.</w:t>
            </w:r>
          </w:p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norma australiana 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4268</w:t>
            </w:r>
            <w:r w:rsidRPr="00F850FF">
              <w:rPr>
                <w:vertAlign w:val="superscript"/>
                <w:lang w:val="es-ES_tradnl"/>
              </w:rPr>
              <w:t>(1)</w:t>
            </w:r>
            <w:r w:rsidRPr="00C32C72">
              <w:rPr>
                <w:lang w:val="es-ES_tradnl"/>
              </w:rPr>
              <w:t xml:space="preserve"> sobre dispositivos de corto alcance especifica 0,1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µW como</w:t>
            </w:r>
            <w:r w:rsidR="00313347">
              <w:rPr>
                <w:lang w:val="es-ES_tradnl"/>
              </w:rPr>
              <w:t> </w:t>
            </w:r>
            <w:r w:rsidRPr="00C32C72">
              <w:rPr>
                <w:lang w:val="es-ES_tradnl"/>
              </w:rPr>
              <w:t>nivel de emisión no esencial en el canal adyacente</w:t>
            </w:r>
            <w:r>
              <w:rPr>
                <w:lang w:val="es-ES_tradnl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C32C72" w:rsidRDefault="008C583F" w:rsidP="00126867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szCs w:val="22"/>
                <w:lang w:val="es-ES_tradnl" w:eastAsia="ko-KR"/>
              </w:rPr>
            </w:pPr>
            <w:r w:rsidRPr="00C32C72">
              <w:rPr>
                <w:szCs w:val="22"/>
                <w:lang w:val="es-ES_tradnl"/>
              </w:rPr>
              <w:t>1</w:t>
            </w:r>
            <w:r>
              <w:rPr>
                <w:szCs w:val="22"/>
                <w:lang w:val="es-ES_tradnl"/>
              </w:rPr>
              <w:t> 790-1 800 </w:t>
            </w:r>
            <w:r w:rsidRPr="00C32C72">
              <w:rPr>
                <w:szCs w:val="22"/>
                <w:lang w:val="es-ES_tradnl"/>
              </w:rPr>
              <w:t>MHz</w:t>
            </w:r>
            <w:r w:rsidRPr="00C32C72">
              <w:rPr>
                <w:rFonts w:eastAsia="Batang"/>
                <w:szCs w:val="22"/>
                <w:vertAlign w:val="superscript"/>
                <w:lang w:val="es-ES_tradnl" w:eastAsia="ko-KR"/>
              </w:rPr>
              <w:t>(3)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Default="008C583F" w:rsidP="00126867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p.i.r.e. máxima es de 100</w:t>
            </w:r>
            <w:r>
              <w:rPr>
                <w:szCs w:val="23"/>
                <w:lang w:val="es-ES_tradnl" w:eastAsia="zh-CN"/>
              </w:rPr>
              <w:t> </w:t>
            </w:r>
            <w:r>
              <w:rPr>
                <w:lang w:val="es-ES_tradnl"/>
              </w:rPr>
              <w:t>mW.</w:t>
            </w:r>
          </w:p>
          <w:p w:rsidR="008C583F" w:rsidRPr="00C32C72" w:rsidRDefault="008C583F" w:rsidP="00656354">
            <w:pPr>
              <w:pStyle w:val="Tabletext"/>
              <w:widowControl w:val="0"/>
              <w:jc w:val="left"/>
              <w:rPr>
                <w:lang w:val="es-ES_tradnl" w:eastAsia="ko-KR"/>
              </w:rPr>
            </w:pPr>
            <w:r w:rsidRPr="00C32C72">
              <w:rPr>
                <w:lang w:val="es-ES_tradnl"/>
              </w:rPr>
              <w:t>Se está considerando</w:t>
            </w:r>
            <w:r>
              <w:rPr>
                <w:lang w:val="es-ES_tradnl"/>
              </w:rPr>
              <w:t xml:space="preserve"> la ampliación a 1 785</w:t>
            </w:r>
            <w:r w:rsidR="006F7A33">
              <w:rPr>
                <w:lang w:val="es-ES_tradnl"/>
              </w:rPr>
              <w:noBreakHyphen/>
            </w:r>
            <w:r>
              <w:rPr>
                <w:lang w:val="es-ES_tradnl"/>
              </w:rPr>
              <w:t>1 790 </w:t>
            </w:r>
            <w:r w:rsidRPr="00C32C72">
              <w:rPr>
                <w:lang w:val="es-ES_tradnl"/>
              </w:rPr>
              <w:t>MHz con las limitaciones adicionales de</w:t>
            </w:r>
            <w:r w:rsidR="006F7A33">
              <w:rPr>
                <w:lang w:val="es-ES_tradnl"/>
              </w:rPr>
              <w:t> </w:t>
            </w:r>
            <w:r w:rsidRPr="00C32C72">
              <w:rPr>
                <w:lang w:val="es-ES_tradnl"/>
              </w:rPr>
              <w:t>que los transmisores no debe</w:t>
            </w:r>
            <w:r>
              <w:rPr>
                <w:lang w:val="es-ES_tradnl"/>
              </w:rPr>
              <w:t>n funcionar en frecuencias dentro de 1 MHz de 1 785 </w:t>
            </w:r>
            <w:r w:rsidRPr="00C32C72">
              <w:rPr>
                <w:lang w:val="es-ES_tradnl"/>
              </w:rPr>
              <w:t>MHz y de que los transmisores que</w:t>
            </w:r>
            <w:r w:rsidR="00656354">
              <w:rPr>
                <w:lang w:val="es-ES_tradnl"/>
              </w:rPr>
              <w:t> </w:t>
            </w:r>
            <w:r w:rsidRPr="00C32C72">
              <w:rPr>
                <w:lang w:val="es-ES_tradnl"/>
              </w:rPr>
              <w:t>utilicen frecuencias por debajo de 1</w:t>
            </w:r>
            <w:r>
              <w:rPr>
                <w:lang w:val="es-ES_tradnl"/>
              </w:rPr>
              <w:t> 790 </w:t>
            </w:r>
            <w:r w:rsidRPr="00C32C72">
              <w:rPr>
                <w:lang w:val="es-ES_tradnl"/>
              </w:rPr>
              <w:t xml:space="preserve">MHz se utilicen únicamente en el interior. Estas </w:t>
            </w:r>
            <w:r>
              <w:rPr>
                <w:lang w:val="es-ES_tradnl"/>
              </w:rPr>
              <w:t>limitaciones propuestas sobre 4 </w:t>
            </w:r>
            <w:r w:rsidRPr="00C32C72">
              <w:rPr>
                <w:lang w:val="es-ES_tradnl"/>
              </w:rPr>
              <w:t>MHz de la banda de frecuencias permitida adicional que se propone deben prever la coexistencia con los servicios adyacentes.</w:t>
            </w:r>
          </w:p>
          <w:p w:rsidR="008C583F" w:rsidRPr="00C32C72" w:rsidRDefault="008C583F" w:rsidP="00313347">
            <w:pPr>
              <w:pStyle w:val="Tabletext"/>
              <w:widowControl w:val="0"/>
              <w:jc w:val="left"/>
              <w:rPr>
                <w:lang w:val="es-ES_tradnl"/>
              </w:rPr>
            </w:pPr>
            <w:r w:rsidRPr="00C32C72">
              <w:rPr>
                <w:lang w:val="es-ES_tradnl"/>
              </w:rPr>
              <w:t>La norma australiana AS/NZS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/>
              </w:rPr>
              <w:t>4268</w:t>
            </w:r>
            <w:r w:rsidRPr="00F850FF">
              <w:rPr>
                <w:vertAlign w:val="superscript"/>
                <w:lang w:val="es-ES_tradnl"/>
              </w:rPr>
              <w:t>(1)</w:t>
            </w:r>
            <w:r w:rsidRPr="00AF072C">
              <w:rPr>
                <w:lang w:val="es-ES_tradnl"/>
              </w:rPr>
              <w:t xml:space="preserve"> </w:t>
            </w:r>
            <w:r w:rsidRPr="00C32C72">
              <w:rPr>
                <w:lang w:val="es-ES_tradnl"/>
              </w:rPr>
              <w:t>sobre dispositivos de corto</w:t>
            </w:r>
            <w:r>
              <w:rPr>
                <w:lang w:val="es-ES_tradnl"/>
              </w:rPr>
              <w:t xml:space="preserve"> alcance especifica 0,1 </w:t>
            </w:r>
            <w:r w:rsidRPr="00C32C72">
              <w:rPr>
                <w:lang w:val="es-ES_tradnl"/>
              </w:rPr>
              <w:t>µW como</w:t>
            </w:r>
            <w:r w:rsidR="00313347">
              <w:rPr>
                <w:lang w:val="es-ES_tradnl"/>
              </w:rPr>
              <w:t> </w:t>
            </w:r>
            <w:r w:rsidRPr="00C32C72">
              <w:rPr>
                <w:lang w:val="es-ES_tradnl"/>
              </w:rPr>
              <w:t>nivel de emisión no esencial en el canal adyacente</w:t>
            </w:r>
            <w:r>
              <w:rPr>
                <w:lang w:val="es-ES_tradnl"/>
              </w:rPr>
              <w:t>.</w:t>
            </w:r>
          </w:p>
        </w:tc>
      </w:tr>
    </w:tbl>
    <w:p w:rsidR="008C583F" w:rsidRPr="00313347" w:rsidRDefault="008C583F" w:rsidP="00B456EC">
      <w:pPr>
        <w:pStyle w:val="Tablefin"/>
        <w:rPr>
          <w:lang w:val="es-ES_tradnl"/>
        </w:rPr>
      </w:pPr>
    </w:p>
    <w:p w:rsidR="008C583F" w:rsidRPr="00C32C72" w:rsidRDefault="008C583F" w:rsidP="00313347">
      <w:pPr>
        <w:pStyle w:val="TableNo"/>
        <w:rPr>
          <w:lang w:val="es-ES_tradnl" w:eastAsia="ko-KR"/>
        </w:rPr>
      </w:pPr>
      <w:r w:rsidRPr="00313347">
        <w:lastRenderedPageBreak/>
        <w:t>CUADRO</w:t>
      </w:r>
      <w:r w:rsidRPr="00C32C72">
        <w:rPr>
          <w:lang w:val="es-ES_tradnl"/>
        </w:rPr>
        <w:t xml:space="preserve"> </w:t>
      </w:r>
      <w:r w:rsidRPr="00C32C72">
        <w:rPr>
          <w:lang w:val="es-ES_tradnl" w:eastAsia="ko-KR"/>
        </w:rPr>
        <w:t>2 (</w:t>
      </w:r>
      <w:r w:rsidRPr="00313347">
        <w:rPr>
          <w:i/>
          <w:iCs/>
          <w:lang w:val="es-ES_tradnl" w:eastAsia="ko-KR"/>
        </w:rPr>
        <w:t>cont.</w:t>
      </w:r>
      <w:r w:rsidRPr="00C32C72">
        <w:rPr>
          <w:lang w:val="es-ES_tradnl" w:eastAsia="ko-KR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02"/>
        <w:gridCol w:w="4876"/>
      </w:tblGrid>
      <w:tr w:rsidR="008C583F" w:rsidRPr="00542FBB" w:rsidTr="00656354">
        <w:trPr>
          <w:trHeight w:val="2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542FBB" w:rsidRDefault="008C583F" w:rsidP="00542FBB">
            <w:pPr>
              <w:pStyle w:val="Tablehead"/>
            </w:pPr>
            <w:r w:rsidRPr="00542FBB">
              <w:t>País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AF072C" w:rsidRDefault="008C583F" w:rsidP="00542FBB">
            <w:pPr>
              <w:pStyle w:val="Tablehead"/>
              <w:rPr>
                <w:lang w:val="es-ES_tradnl"/>
              </w:rPr>
            </w:pPr>
            <w:r w:rsidRPr="00AF072C">
              <w:rPr>
                <w:lang w:val="es-ES_tradnl"/>
              </w:rPr>
              <w:t>Gama de sintonía de frecuencia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583F" w:rsidRPr="00542FBB" w:rsidRDefault="008C583F" w:rsidP="00542FBB">
            <w:pPr>
              <w:pStyle w:val="Tablehead"/>
            </w:pPr>
            <w:r w:rsidRPr="00542FBB">
              <w:t>Acuerdos de licencias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313347">
            <w:pPr>
              <w:pStyle w:val="Tabletext"/>
              <w:keepNext/>
              <w:keepLines/>
              <w:rPr>
                <w:lang w:val="es-ES_tradnl" w:eastAsia="zh-CN"/>
              </w:rPr>
            </w:pPr>
            <w:r w:rsidRPr="00C32C72">
              <w:rPr>
                <w:lang w:val="es-ES_tradnl" w:eastAsia="zh-CN"/>
              </w:rPr>
              <w:t>Japón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C33EF5">
            <w:pPr>
              <w:pStyle w:val="Tabletext"/>
              <w:keepNext/>
              <w:keepLines/>
              <w:jc w:val="lef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40,68</w:t>
            </w:r>
            <w:r>
              <w:rPr>
                <w:szCs w:val="23"/>
                <w:lang w:val="es-ES_tradnl" w:eastAsia="zh-CN"/>
              </w:rPr>
              <w:t> MHz</w:t>
            </w:r>
            <w:r w:rsidR="00C33EF5">
              <w:rPr>
                <w:szCs w:val="23"/>
                <w:lang w:val="es-ES_tradnl" w:eastAsia="zh-CN"/>
              </w:rPr>
              <w:t>,</w:t>
            </w:r>
            <w:r w:rsidR="00C33EF5">
              <w:rPr>
                <w:szCs w:val="23"/>
                <w:lang w:val="es-ES_tradnl" w:eastAsia="zh-CN"/>
              </w:rPr>
              <w:br/>
            </w:r>
            <w:r w:rsidRPr="00C32C72">
              <w:rPr>
                <w:szCs w:val="23"/>
                <w:lang w:val="es-ES_tradnl" w:eastAsia="zh-CN"/>
              </w:rPr>
              <w:t>42,89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</w:p>
        </w:tc>
        <w:tc>
          <w:tcPr>
            <w:tcW w:w="4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keepNext/>
              <w:keepLines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Máxima potencia a la entrada de antena: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mW (para sistemas analógicos)</w:t>
            </w:r>
            <w:r w:rsidR="006F7A33">
              <w:rPr>
                <w:lang w:val="es-ES_tradnl" w:eastAsia="zh-CN"/>
              </w:rPr>
              <w:t>.</w:t>
            </w:r>
          </w:p>
        </w:tc>
      </w:tr>
      <w:tr w:rsidR="008C583F" w:rsidRPr="00C33EF5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313347">
            <w:pPr>
              <w:pStyle w:val="Tabletext"/>
              <w:keepNext/>
              <w:keepLines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keepNext/>
              <w:keepLines/>
              <w:jc w:val="lef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44,</w:t>
            </w:r>
            <w:r w:rsidR="00C33EF5">
              <w:rPr>
                <w:szCs w:val="23"/>
                <w:lang w:val="es-ES_tradnl" w:eastAsia="zh-CN"/>
              </w:rPr>
              <w:t>87 MHz,</w:t>
            </w:r>
            <w:r w:rsidR="00C33EF5">
              <w:rPr>
                <w:szCs w:val="23"/>
                <w:lang w:val="es-ES_tradnl" w:eastAsia="zh-CN"/>
              </w:rPr>
              <w:br/>
            </w:r>
            <w:r w:rsidRPr="00C32C72">
              <w:rPr>
                <w:szCs w:val="23"/>
                <w:lang w:val="es-ES_tradnl" w:eastAsia="zh-CN"/>
              </w:rPr>
              <w:t>47,</w:t>
            </w:r>
            <w:r>
              <w:rPr>
                <w:szCs w:val="23"/>
                <w:lang w:val="es-ES_tradnl" w:eastAsia="zh-CN"/>
              </w:rPr>
              <w:t>27 </w:t>
            </w:r>
            <w:r w:rsidRPr="00C32C72">
              <w:rPr>
                <w:szCs w:val="23"/>
                <w:lang w:val="es-ES_tradnl" w:eastAsia="zh-CN"/>
              </w:rPr>
              <w:t>MHz</w:t>
            </w:r>
          </w:p>
        </w:tc>
        <w:tc>
          <w:tcPr>
            <w:tcW w:w="4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keepNext/>
              <w:keepLines/>
              <w:jc w:val="left"/>
              <w:rPr>
                <w:lang w:val="es-ES_tradnl" w:eastAsia="zh-CN"/>
              </w:rPr>
            </w:pP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313347">
            <w:pPr>
              <w:pStyle w:val="Tabletext"/>
              <w:keepNext/>
              <w:keepLines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keepNext/>
              <w:keepLines/>
              <w:jc w:val="left"/>
              <w:rPr>
                <w:szCs w:val="23"/>
                <w:lang w:val="es-ES_tradnl" w:eastAsia="zh-CN"/>
              </w:rPr>
            </w:pPr>
            <w:r w:rsidRPr="00C32C72">
              <w:rPr>
                <w:szCs w:val="23"/>
                <w:lang w:val="es-ES_tradnl" w:eastAsia="ja-JP"/>
              </w:rPr>
              <w:t>470-714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ja-JP"/>
              </w:rPr>
              <w:t>MHz</w:t>
            </w:r>
            <w:r w:rsidRPr="00C32C72">
              <w:rPr>
                <w:vertAlign w:val="superscript"/>
                <w:lang w:val="es-ES_tradnl" w:eastAsia="zh-CN"/>
              </w:rPr>
              <w:t>(</w:t>
            </w:r>
            <w:r w:rsidRPr="00C32C72">
              <w:rPr>
                <w:vertAlign w:val="superscript"/>
                <w:lang w:val="es-ES_tradnl" w:eastAsia="ja-JP"/>
              </w:rPr>
              <w:t>6</w:t>
            </w:r>
            <w:r w:rsidRPr="00C32C72">
              <w:rPr>
                <w:vertAlign w:val="superscript"/>
                <w:lang w:val="es-ES_tradnl" w:eastAsia="zh-CN"/>
              </w:rPr>
              <w:t>)</w:t>
            </w:r>
            <w:r w:rsidRPr="00C32C72">
              <w:rPr>
                <w:vertAlign w:val="superscript"/>
                <w:lang w:val="es-ES_tradnl" w:eastAsia="ja-JP"/>
              </w:rPr>
              <w:t>(7)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keepNext/>
              <w:keepLines/>
              <w:jc w:val="left"/>
              <w:rPr>
                <w:caps/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Máxima potencia a la entrada de antena:</w:t>
            </w:r>
          </w:p>
          <w:p w:rsidR="008C583F" w:rsidRPr="006C0045" w:rsidRDefault="008C583F" w:rsidP="00313347">
            <w:pPr>
              <w:pStyle w:val="Tabletext"/>
              <w:keepNext/>
              <w:keepLines/>
              <w:jc w:val="left"/>
              <w:rPr>
                <w:caps/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analógicos)</w:t>
            </w:r>
          </w:p>
          <w:p w:rsidR="008C583F" w:rsidRPr="006C0045" w:rsidRDefault="008C583F" w:rsidP="00313347">
            <w:pPr>
              <w:pStyle w:val="Tabletext"/>
              <w:keepNext/>
              <w:keepLines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ja-JP"/>
              </w:rPr>
              <w:t>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digitales)</w:t>
            </w:r>
            <w:r w:rsidR="00313347">
              <w:rPr>
                <w:lang w:val="es-ES_tradnl" w:eastAsia="ja-JP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779,125-787,875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Máxima potencia a la entrada de antena: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mW (para sistemas analógicos)</w:t>
            </w:r>
            <w:r w:rsidR="006F7A33">
              <w:rPr>
                <w:lang w:val="es-ES_tradnl" w:eastAsia="zh-CN"/>
              </w:rPr>
              <w:t>.</w:t>
            </w:r>
          </w:p>
        </w:tc>
      </w:tr>
      <w:tr w:rsidR="008C583F" w:rsidRPr="00C32C72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3"/>
                <w:lang w:val="es-ES_tradnl" w:eastAsia="zh-CN"/>
              </w:rPr>
              <w:t>797,125-805,875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3"/>
                <w:lang w:val="es-ES_tradnl" w:eastAsia="zh-CN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ja-JP"/>
              </w:rPr>
              <w:t>770,250-778,750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rFonts w:eastAsia="Batang"/>
                <w:szCs w:val="22"/>
                <w:lang w:val="es-ES_tradnl" w:eastAsia="ko-KR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Máxima potencia a la entrada de antena: 50 mW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 xml:space="preserve">Tolerancia de potencia a la entrada de antena: </w:t>
            </w:r>
            <w:r w:rsidRPr="006C0045">
              <w:rPr>
                <w:snapToGrid w:val="0"/>
                <w:lang w:val="es-ES_tradnl" w:eastAsia="ja-JP"/>
              </w:rPr>
              <w:br/>
              <w:t xml:space="preserve">–50% </w:t>
            </w:r>
            <w:r>
              <w:rPr>
                <w:snapToGrid w:val="0"/>
                <w:lang w:val="es-ES_tradnl" w:eastAsia="ja-JP"/>
              </w:rPr>
              <w:t>a</w:t>
            </w:r>
            <w:r w:rsidRPr="006C0045">
              <w:rPr>
                <w:snapToGrid w:val="0"/>
                <w:lang w:val="es-ES_tradnl" w:eastAsia="ja-JP"/>
              </w:rPr>
              <w:t xml:space="preserve"> +50%</w:t>
            </w:r>
            <w:r w:rsidR="006F7A33">
              <w:rPr>
                <w:snapToGrid w:val="0"/>
                <w:lang w:val="es-ES_tradnl" w:eastAsia="ja-JP"/>
              </w:rPr>
              <w:t>.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Mínima separación de canales de funcionamiento</w:t>
            </w:r>
            <w:r w:rsidR="005F2291">
              <w:rPr>
                <w:snapToGrid w:val="0"/>
                <w:lang w:val="es-ES_tradnl" w:eastAsia="ja-JP"/>
              </w:rPr>
              <w:t xml:space="preserve">: </w:t>
            </w:r>
            <w:r w:rsidRPr="006C0045">
              <w:rPr>
                <w:snapToGrid w:val="0"/>
                <w:lang w:val="es-ES_tradnl" w:eastAsia="ja-JP"/>
              </w:rPr>
              <w:t xml:space="preserve">500 kHz </w:t>
            </w:r>
            <w:r>
              <w:rPr>
                <w:snapToGrid w:val="0"/>
                <w:lang w:val="es-ES_tradnl" w:eastAsia="ja-JP"/>
              </w:rPr>
              <w:t>para</w:t>
            </w:r>
            <w:r w:rsidRPr="006C0045">
              <w:rPr>
                <w:snapToGrid w:val="0"/>
                <w:lang w:val="es-ES_tradnl" w:eastAsia="ja-JP"/>
              </w:rPr>
              <w:t xml:space="preserve"> </w:t>
            </w:r>
            <w:r w:rsidRPr="006C0045">
              <w:rPr>
                <w:snapToGrid w:val="0"/>
                <w:lang w:val="es-ES_tradnl" w:eastAsia="zh-CN"/>
              </w:rPr>
              <w:t>128 </w:t>
            </w:r>
            <w:r w:rsidR="00E07495" w:rsidRPr="003617C8">
              <w:rPr>
                <w:lang w:val="es-ES_tradnl"/>
              </w:rPr>
              <w:t>ksímbolo</w:t>
            </w:r>
            <w:r w:rsidRPr="006C0045">
              <w:rPr>
                <w:snapToGrid w:val="0"/>
                <w:lang w:val="es-ES_tradnl" w:eastAsia="zh-CN"/>
              </w:rPr>
              <w:t>/s</w:t>
            </w:r>
            <w:r w:rsidR="006F7A33">
              <w:rPr>
                <w:snapToGrid w:val="0"/>
                <w:lang w:val="es-ES_tradnl" w:eastAsia="zh-CN"/>
              </w:rPr>
              <w:t>.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snapToGrid w:val="0"/>
                <w:lang w:val="es-ES_tradnl" w:eastAsia="ja-JP"/>
              </w:rPr>
              <w:t>Máxima anchura de banda ocupada: 288 kHz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snapToGrid w:val="0"/>
                <w:lang w:val="es-ES_tradnl" w:eastAsia="ja-JP"/>
              </w:rPr>
            </w:pPr>
            <w:r w:rsidRPr="006C0045">
              <w:rPr>
                <w:lang w:val="es-ES_tradnl" w:eastAsia="zh-CN"/>
              </w:rPr>
              <w:t>Máximo número de canales en funcionamiento simultáneo en una anchura de banda de 9 MHz: 18</w:t>
            </w:r>
            <w:r w:rsidR="00313347">
              <w:rPr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canales (para sistemas digitales)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C32C72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F850FF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778,875-797,125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8C583F" w:rsidRPr="00C32C72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C32C72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797,250-805,750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(5)</w:t>
            </w:r>
          </w:p>
        </w:tc>
        <w:tc>
          <w:tcPr>
            <w:tcW w:w="48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83F" w:rsidRPr="00C32C72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C32C72">
              <w:rPr>
                <w:szCs w:val="22"/>
                <w:lang w:val="es-ES_tradnl" w:eastAsia="ja-JP"/>
              </w:rPr>
              <w:t>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240-1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252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>
              <w:rPr>
                <w:szCs w:val="22"/>
                <w:lang w:val="es-ES_tradnl" w:eastAsia="ja-JP"/>
              </w:rPr>
              <w:br/>
            </w:r>
            <w:r w:rsidRPr="00C32C72">
              <w:rPr>
                <w:szCs w:val="22"/>
                <w:lang w:val="es-ES_tradnl" w:eastAsia="ja-JP"/>
              </w:rPr>
              <w:t>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253-1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260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ja-JP"/>
              </w:rPr>
              <w:t>MHz</w:t>
            </w:r>
            <w:r w:rsidRPr="00C32C72">
              <w:rPr>
                <w:szCs w:val="23"/>
                <w:vertAlign w:val="superscript"/>
                <w:lang w:val="es-ES_tradnl" w:eastAsia="ja-JP"/>
              </w:rPr>
              <w:t>(7)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ja-JP"/>
              </w:rPr>
            </w:pPr>
            <w:r w:rsidRPr="006C0045">
              <w:rPr>
                <w:lang w:val="es-ES_tradnl" w:eastAsia="ja-JP"/>
              </w:rPr>
              <w:t>Máxima potencia a la entrada de antena:</w:t>
            </w:r>
            <w:r>
              <w:rPr>
                <w:lang w:val="es-ES_tradnl" w:eastAsia="ja-JP"/>
              </w:rPr>
              <w:t xml:space="preserve"> </w:t>
            </w:r>
            <w:r w:rsidRPr="006C0045">
              <w:rPr>
                <w:lang w:val="es-ES_tradnl" w:eastAsia="ja-JP"/>
              </w:rPr>
              <w:t>50</w:t>
            </w:r>
            <w:r w:rsidRPr="006C0045">
              <w:rPr>
                <w:lang w:val="es-ES_tradnl" w:eastAsia="zh-CN"/>
              </w:rPr>
              <w:t> </w:t>
            </w:r>
            <w:r w:rsidRPr="006C0045">
              <w:rPr>
                <w:lang w:val="es-ES_tradnl" w:eastAsia="ja-JP"/>
              </w:rPr>
              <w:t>mW (para sistemas analógicos/digitales)</w:t>
            </w:r>
            <w:r w:rsidR="005F2291">
              <w:rPr>
                <w:lang w:val="es-ES_tradnl" w:eastAsia="ja-JP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126867">
            <w:pPr>
              <w:pStyle w:val="Tabletext"/>
              <w:rPr>
                <w:lang w:val="es-ES_tradnl" w:eastAsia="ko-KR"/>
              </w:rPr>
            </w:pPr>
            <w:r w:rsidRPr="00C32C72">
              <w:rPr>
                <w:lang w:val="es-ES_tradnl" w:eastAsia="zh-CN"/>
              </w:rPr>
              <w:t>Francia</w:t>
            </w:r>
            <w:r w:rsidRPr="00C32C72">
              <w:rPr>
                <w:vertAlign w:val="superscript"/>
                <w:lang w:val="es-ES_tradnl" w:eastAsia="zh-CN"/>
              </w:rPr>
              <w:t>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C33EF5">
            <w:pPr>
              <w:pStyle w:val="Tabletext"/>
              <w:jc w:val="left"/>
              <w:rPr>
                <w:szCs w:val="22"/>
                <w:lang w:val="es-ES_tradnl" w:eastAsia="ko-KR"/>
              </w:rPr>
            </w:pPr>
            <w:r w:rsidRPr="00C32C72">
              <w:rPr>
                <w:szCs w:val="22"/>
                <w:lang w:val="es-ES_tradnl" w:eastAsia="zh-CN"/>
              </w:rPr>
              <w:t>32,</w:t>
            </w:r>
            <w:r>
              <w:rPr>
                <w:szCs w:val="22"/>
                <w:lang w:val="es-ES_tradnl" w:eastAsia="zh-CN"/>
              </w:rPr>
              <w:t>8 MHz;</w:t>
            </w:r>
            <w:r w:rsidR="00C33EF5">
              <w:rPr>
                <w:szCs w:val="22"/>
                <w:lang w:val="es-ES_tradnl" w:eastAsia="zh-CN"/>
              </w:rPr>
              <w:br/>
            </w:r>
            <w:r w:rsidRPr="00C32C72">
              <w:rPr>
                <w:szCs w:val="22"/>
                <w:lang w:val="es-ES_tradnl" w:eastAsia="zh-CN"/>
              </w:rPr>
              <w:t>36,</w:t>
            </w:r>
            <w:r>
              <w:rPr>
                <w:szCs w:val="22"/>
                <w:lang w:val="es-ES_tradnl" w:eastAsia="zh-CN"/>
              </w:rPr>
              <w:t>4 MHz;</w:t>
            </w:r>
            <w:r w:rsidR="00C33EF5">
              <w:rPr>
                <w:szCs w:val="22"/>
                <w:lang w:val="es-ES_tradnl" w:eastAsia="zh-CN"/>
              </w:rPr>
              <w:br/>
            </w:r>
            <w:r w:rsidRPr="00C32C72">
              <w:rPr>
                <w:szCs w:val="22"/>
                <w:lang w:val="es-ES_tradnl" w:eastAsia="zh-CN"/>
              </w:rPr>
              <w:t>39,2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656354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p.r.a. de 1 mW y anchura de banda de 200 kHz (para</w:t>
            </w:r>
            <w:r w:rsidR="00656354">
              <w:rPr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sistemas analógicos)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zh-CN"/>
              </w:rPr>
              <w:t>169,4-169,6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szCs w:val="22"/>
                <w:lang w:val="es-ES_tradnl" w:eastAsia="zh-CN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p.r.a. de 500 mW y anchura de banda de hasta</w:t>
            </w:r>
            <w:r w:rsidR="00313347">
              <w:rPr>
                <w:lang w:val="es-ES_tradnl" w:eastAsia="zh-CN"/>
              </w:rPr>
              <w:t xml:space="preserve"> </w:t>
            </w:r>
            <w:r w:rsidRPr="006C0045">
              <w:rPr>
                <w:lang w:val="es-ES_tradnl" w:eastAsia="zh-CN"/>
              </w:rPr>
              <w:t>50 kHz (para sistemas analógicos)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zh-CN"/>
              </w:rPr>
              <w:t>175,5-178,5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p.r.a. de 10 mW y anchura de band</w:t>
            </w:r>
            <w:r w:rsidR="00313347">
              <w:rPr>
                <w:lang w:val="es-ES_tradnl" w:eastAsia="zh-CN"/>
              </w:rPr>
              <w:t xml:space="preserve">a de hasta </w:t>
            </w:r>
            <w:r w:rsidRPr="006C0045">
              <w:rPr>
                <w:lang w:val="es-ES_tradnl" w:eastAsia="zh-CN"/>
              </w:rPr>
              <w:t>200 kHz (para sistemas analógicos)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zh-CN"/>
              </w:rPr>
              <w:t>183,5-186,5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zh-CN"/>
              </w:rPr>
              <w:t xml:space="preserve">p.r.a. de 10 mW </w:t>
            </w:r>
            <w:r w:rsidR="00313347">
              <w:rPr>
                <w:lang w:val="es-ES_tradnl" w:eastAsia="zh-CN"/>
              </w:rPr>
              <w:t xml:space="preserve">y anchura de banda de hasta </w:t>
            </w:r>
            <w:r>
              <w:rPr>
                <w:lang w:val="es-ES_tradnl" w:eastAsia="zh-CN"/>
              </w:rPr>
              <w:t>200 </w:t>
            </w:r>
            <w:r w:rsidRPr="006C0045">
              <w:rPr>
                <w:lang w:val="es-ES_tradnl" w:eastAsia="zh-CN"/>
              </w:rPr>
              <w:t>kHz (para sistemas analógicos)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zh-CN"/>
              </w:rPr>
            </w:pPr>
            <w:r w:rsidRPr="00C32C72">
              <w:rPr>
                <w:szCs w:val="22"/>
                <w:lang w:val="es-ES_tradnl" w:eastAsia="zh-CN"/>
              </w:rPr>
              <w:t>470-830 MHz</w:t>
            </w:r>
            <w:r w:rsidRPr="00C32C72">
              <w:rPr>
                <w:vertAlign w:val="superscript"/>
                <w:lang w:val="es-ES_tradnl" w:eastAsia="zh-CN"/>
              </w:rPr>
              <w:t>(3)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ED503E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Limitada a utilizaciones en medios profesionales</w:t>
            </w:r>
            <w:r w:rsidR="005F2291">
              <w:rPr>
                <w:lang w:val="es-ES_tradnl" w:eastAsia="zh-CN"/>
              </w:rPr>
              <w:t>.</w:t>
            </w:r>
            <w:r w:rsidR="00ED503E" w:rsidRPr="006C0045">
              <w:rPr>
                <w:vertAlign w:val="superscript"/>
                <w:lang w:val="es-ES_tradnl" w:eastAsia="zh-CN"/>
              </w:rPr>
              <w:t>(2)</w:t>
            </w:r>
          </w:p>
        </w:tc>
      </w:tr>
      <w:tr w:rsidR="008C583F" w:rsidRPr="00E27652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ko-KR"/>
              </w:rPr>
            </w:pPr>
            <w:r w:rsidRPr="00C32C72">
              <w:rPr>
                <w:szCs w:val="22"/>
                <w:lang w:val="es-ES_tradnl" w:eastAsia="zh-CN"/>
              </w:rPr>
              <w:t>863-865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b/>
                <w:lang w:val="es-ES_tradnl" w:eastAsia="zh-CN"/>
              </w:rPr>
            </w:pPr>
            <w:r w:rsidRPr="006C0045">
              <w:rPr>
                <w:lang w:val="es-ES_tradnl" w:eastAsia="zh-CN"/>
              </w:rPr>
              <w:t>SAB</w:t>
            </w:r>
            <w:r w:rsidRPr="006C0045">
              <w:rPr>
                <w:vertAlign w:val="superscript"/>
                <w:lang w:val="es-ES_tradnl" w:eastAsia="zh-CN"/>
              </w:rPr>
              <w:t>(8)</w:t>
            </w:r>
            <w:r w:rsidRPr="006C0045">
              <w:rPr>
                <w:lang w:val="es-ES_tradnl" w:eastAsia="zh-CN"/>
              </w:rPr>
              <w:t xml:space="preserve"> (véanse Decisiones ART</w:t>
            </w:r>
            <w:r w:rsidRPr="006C0045">
              <w:rPr>
                <w:vertAlign w:val="superscript"/>
                <w:lang w:val="es-ES_tradnl" w:eastAsia="zh-CN"/>
              </w:rPr>
              <w:t>(9)</w:t>
            </w:r>
            <w:r w:rsidRPr="006C0045">
              <w:rPr>
                <w:lang w:val="es-ES_tradnl" w:eastAsia="zh-CN"/>
              </w:rPr>
              <w:t xml:space="preserve"> núm</w:t>
            </w:r>
            <w:r w:rsidR="00313347">
              <w:rPr>
                <w:lang w:val="es-ES_tradnl" w:eastAsia="zh-CN"/>
              </w:rPr>
              <w:t>ero</w:t>
            </w:r>
            <w:r>
              <w:rPr>
                <w:lang w:val="es-ES_tradnl" w:eastAsia="zh-CN"/>
              </w:rPr>
              <w:t>s</w:t>
            </w:r>
            <w:r w:rsidR="00313347">
              <w:rPr>
                <w:lang w:val="es-ES_tradnl" w:eastAsia="zh-CN"/>
              </w:rPr>
              <w:t xml:space="preserve"> 99-781, </w:t>
            </w:r>
            <w:r w:rsidRPr="006C0045">
              <w:rPr>
                <w:lang w:val="es-ES_tradnl" w:eastAsia="zh-CN"/>
              </w:rPr>
              <w:t>99-782 y 00-20)</w:t>
            </w:r>
            <w:r w:rsidRPr="006C0045">
              <w:rPr>
                <w:lang w:val="es-ES_tradnl" w:eastAsia="ko-KR"/>
              </w:rPr>
              <w:t xml:space="preserve"> (para sistemas analógicos)</w:t>
            </w:r>
            <w:r w:rsidR="005F2291">
              <w:rPr>
                <w:lang w:val="es-ES_tradnl" w:eastAsia="ko-KR"/>
              </w:rPr>
              <w:t>.</w:t>
            </w:r>
          </w:p>
        </w:tc>
      </w:tr>
      <w:tr w:rsidR="008C583F" w:rsidRPr="00C32C72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F850FF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ko-KR"/>
              </w:rPr>
            </w:pPr>
            <w:r w:rsidRPr="00C32C72">
              <w:rPr>
                <w:szCs w:val="22"/>
                <w:lang w:val="es-ES_tradnl" w:eastAsia="zh-CN"/>
              </w:rPr>
              <w:t>1 785-1 800 MHz</w:t>
            </w:r>
            <w:r w:rsidRPr="00C32C72">
              <w:rPr>
                <w:vertAlign w:val="superscript"/>
                <w:lang w:val="es-ES_tradnl" w:eastAsia="zh-CN"/>
              </w:rPr>
              <w:t>(4)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6C0045">
              <w:rPr>
                <w:lang w:val="es-ES_tradnl"/>
              </w:rPr>
              <w:t>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</w:t>
            </w:r>
            <w:r w:rsidRPr="006C0045">
              <w:rPr>
                <w:lang w:val="es-ES_tradnl" w:eastAsia="ko-KR"/>
              </w:rPr>
              <w:t xml:space="preserve"> (para sistemas analógicos)</w:t>
            </w:r>
            <w:r w:rsidR="005F2291">
              <w:rPr>
                <w:lang w:val="es-ES_tradnl" w:eastAsia="ko-KR"/>
              </w:rPr>
              <w:t>.</w:t>
            </w:r>
          </w:p>
        </w:tc>
      </w:tr>
      <w:tr w:rsidR="008C583F" w:rsidRPr="00E27652" w:rsidTr="00656354">
        <w:trPr>
          <w:trHeight w:val="20"/>
          <w:jc w:val="center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126867">
            <w:pPr>
              <w:pStyle w:val="Tabletext"/>
              <w:rPr>
                <w:lang w:val="es-ES_tradnl" w:eastAsia="ko-K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szCs w:val="22"/>
                <w:lang w:val="es-ES_tradnl" w:eastAsia="ko-KR"/>
              </w:rPr>
            </w:pP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zh-CN"/>
              </w:rPr>
              <w:t>p.r.a. de 20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zh-CN"/>
              </w:rPr>
              <w:t>mW (véase la Recomendación ERC/REC/70-03 (Anexo 10)</w:t>
            </w:r>
            <w:r w:rsidRPr="006C0045">
              <w:rPr>
                <w:vertAlign w:val="superscript"/>
                <w:lang w:val="es-ES_tradnl" w:eastAsia="zh-CN"/>
              </w:rPr>
              <w:t>(4)</w:t>
            </w:r>
            <w:r w:rsidRPr="006C0045">
              <w:rPr>
                <w:lang w:val="es-ES_tradnl" w:eastAsia="zh-CN"/>
              </w:rPr>
              <w:t xml:space="preserve"> Micrófonos)</w:t>
            </w:r>
            <w:r w:rsidR="005F2291">
              <w:rPr>
                <w:lang w:val="es-ES_tradnl" w:eastAsia="zh-CN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C32C72" w:rsidRDefault="008C583F" w:rsidP="00126867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lang w:val="es-ES_tradnl" w:eastAsia="ko-KR"/>
              </w:rPr>
              <w:t>Corea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C32C72">
              <w:rPr>
                <w:lang w:val="es-ES_tradnl" w:eastAsia="zh-CN"/>
              </w:rPr>
              <w:t>72,610-73,</w:t>
            </w:r>
            <w:r>
              <w:rPr>
                <w:lang w:val="es-ES_tradnl" w:eastAsia="zh-CN"/>
              </w:rPr>
              <w:t>910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74,000-74,800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75,620-75,790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 w:rsidR="00313347"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 w:eastAsia="ko-KR"/>
              </w:rPr>
              <w:t>60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  <w:r w:rsidR="005F2291">
              <w:rPr>
                <w:lang w:val="es-ES_tradnl" w:eastAsia="ko-KR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6C0045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lang w:val="es-ES_tradnl" w:eastAsia="zh-CN"/>
              </w:rPr>
              <w:t>173,020-173,280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zh-CN"/>
              </w:rPr>
              <w:t>MHz</w:t>
            </w:r>
            <w:r w:rsidRPr="00C32C72">
              <w:rPr>
                <w:lang w:val="es-ES_tradnl" w:eastAsia="ko-KR"/>
              </w:rPr>
              <w:t xml:space="preserve">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217,250-220,110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 xml:space="preserve">MHz, </w:t>
            </w:r>
            <w:r w:rsidRPr="00C32C72">
              <w:rPr>
                <w:lang w:val="es-ES_tradnl" w:eastAsia="ko-KR"/>
              </w:rPr>
              <w:br/>
            </w:r>
            <w:r w:rsidRPr="00C32C72">
              <w:rPr>
                <w:lang w:val="es-ES_tradnl" w:eastAsia="zh-CN"/>
              </w:rPr>
              <w:t>223,000-225,000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zh-CN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 w:rsidR="00313347"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  <w:r w:rsidR="005F2291">
              <w:rPr>
                <w:lang w:val="es-ES_tradnl" w:eastAsia="ko-KR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C583F" w:rsidRPr="006C0045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C32C72" w:rsidRDefault="008C583F" w:rsidP="00313347">
            <w:pPr>
              <w:pStyle w:val="Tabletext"/>
              <w:jc w:val="left"/>
              <w:rPr>
                <w:lang w:val="es-ES_tradnl" w:eastAsia="ko-KR"/>
              </w:rPr>
            </w:pPr>
            <w:r w:rsidRPr="00C32C72">
              <w:rPr>
                <w:lang w:val="es-ES_tradnl" w:eastAsia="ko-KR"/>
              </w:rPr>
              <w:t>470-698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lang w:val="es-ES_tradnl" w:eastAsia="ko-KR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83F" w:rsidRPr="006C0045" w:rsidRDefault="008C583F" w:rsidP="00C33EF5">
            <w:pPr>
              <w:pStyle w:val="Tabletext"/>
              <w:ind w:right="-57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 de 250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 w:rsidR="00313347"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  <w:r w:rsidR="00313347">
              <w:rPr>
                <w:lang w:val="es-ES_tradnl" w:eastAsia="ko-KR"/>
              </w:rPr>
              <w:t xml:space="preserve"> </w:t>
            </w:r>
            <w:r w:rsidRPr="006C0045">
              <w:rPr>
                <w:lang w:val="es-ES_tradnl" w:eastAsia="ko-KR"/>
              </w:rPr>
              <w:t>(para SAB/SAP y licenciados únicamente)</w:t>
            </w:r>
            <w:r w:rsidR="00C33EF5">
              <w:rPr>
                <w:lang w:val="es-ES_tradnl" w:eastAsia="ko-KR"/>
              </w:rPr>
              <w:t>.</w:t>
            </w:r>
          </w:p>
        </w:tc>
      </w:tr>
      <w:tr w:rsidR="008C583F" w:rsidRPr="00AF072C" w:rsidTr="00656354">
        <w:trPr>
          <w:trHeight w:val="20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 w:eastAsia="zh-C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C32C72" w:rsidRDefault="008C583F" w:rsidP="00313347">
            <w:pPr>
              <w:pStyle w:val="Tabletext"/>
              <w:jc w:val="left"/>
              <w:rPr>
                <w:lang w:val="es-ES_tradnl" w:eastAsia="zh-CN"/>
              </w:rPr>
            </w:pPr>
            <w:r w:rsidRPr="00C32C72">
              <w:rPr>
                <w:rFonts w:eastAsia="Gulim"/>
                <w:lang w:val="es-ES_tradnl" w:eastAsia="zh-CN"/>
              </w:rPr>
              <w:t>925,</w:t>
            </w:r>
            <w:r w:rsidRPr="006C0045">
              <w:rPr>
                <w:rFonts w:eastAsia="Gulim"/>
                <w:lang w:val="es-ES_tradnl" w:eastAsia="zh-CN"/>
              </w:rPr>
              <w:t>000-</w:t>
            </w:r>
            <w:r w:rsidRPr="006C0045">
              <w:rPr>
                <w:rFonts w:eastAsia="Gulim"/>
                <w:lang w:val="es-ES_tradnl"/>
              </w:rPr>
              <w:t>937</w:t>
            </w:r>
            <w:r w:rsidRPr="00C32C72">
              <w:rPr>
                <w:rFonts w:eastAsia="Gulim"/>
                <w:lang w:val="es-ES_tradnl"/>
              </w:rPr>
              <w:t>,500</w:t>
            </w:r>
            <w:r>
              <w:rPr>
                <w:szCs w:val="23"/>
                <w:lang w:val="es-ES_tradnl" w:eastAsia="zh-CN"/>
              </w:rPr>
              <w:t> </w:t>
            </w:r>
            <w:r w:rsidRPr="00C32C72">
              <w:rPr>
                <w:rFonts w:eastAsia="Gulim"/>
                <w:lang w:val="es-ES_tradnl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656354">
            <w:pPr>
              <w:pStyle w:val="Tabletext"/>
              <w:jc w:val="left"/>
              <w:rPr>
                <w:lang w:val="es-ES_tradnl" w:eastAsia="ko-KR"/>
              </w:rPr>
            </w:pPr>
            <w:r w:rsidRPr="006C0045">
              <w:rPr>
                <w:lang w:val="es-ES_tradnl" w:eastAsia="ko-KR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mW y anchura de banda de hasta</w:t>
            </w:r>
            <w:r w:rsidR="00656354"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 w:eastAsia="ko-KR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 w:eastAsia="ko-KR"/>
              </w:rPr>
              <w:t>kHz</w:t>
            </w:r>
            <w:r w:rsidR="005F2291">
              <w:rPr>
                <w:lang w:val="es-ES_tradnl" w:eastAsia="ko-KR"/>
              </w:rPr>
              <w:t>.</w:t>
            </w:r>
          </w:p>
        </w:tc>
      </w:tr>
    </w:tbl>
    <w:p w:rsidR="00E002E9" w:rsidRPr="00656354" w:rsidRDefault="00E002E9" w:rsidP="00E002E9">
      <w:pPr>
        <w:pStyle w:val="Tablefin"/>
        <w:rPr>
          <w:rFonts w:eastAsia="Batang"/>
          <w:lang w:val="es-ES_tradnl"/>
        </w:rPr>
      </w:pPr>
    </w:p>
    <w:p w:rsidR="008C583F" w:rsidRPr="00C32C72" w:rsidRDefault="008C583F" w:rsidP="008C583F">
      <w:pPr>
        <w:pStyle w:val="TableNo"/>
        <w:rPr>
          <w:lang w:val="es-ES_tradnl" w:eastAsia="ko-KR"/>
        </w:rPr>
      </w:pPr>
      <w:r w:rsidRPr="00C32C72">
        <w:rPr>
          <w:lang w:val="es-ES_tradnl"/>
        </w:rPr>
        <w:t xml:space="preserve">CUADRO </w:t>
      </w:r>
      <w:r w:rsidRPr="00C32C72">
        <w:rPr>
          <w:lang w:val="es-ES_tradnl" w:eastAsia="ko-KR"/>
        </w:rPr>
        <w:t>2 (</w:t>
      </w:r>
      <w:r w:rsidRPr="00C32C72">
        <w:rPr>
          <w:i/>
          <w:iCs/>
          <w:lang w:val="es-ES_tradnl" w:eastAsia="ko-KR"/>
        </w:rPr>
        <w:t>fin</w:t>
      </w:r>
      <w:r w:rsidRPr="00C32C72">
        <w:rPr>
          <w:lang w:val="es-ES_tradnl" w:eastAsia="ko-KR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3402"/>
        <w:gridCol w:w="4876"/>
      </w:tblGrid>
      <w:tr w:rsidR="008C583F" w:rsidRPr="00542FBB" w:rsidTr="00656354">
        <w:trPr>
          <w:cantSplit/>
          <w:trHeight w:val="210"/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542FBB" w:rsidRDefault="008C583F" w:rsidP="00542FBB">
            <w:pPr>
              <w:pStyle w:val="Tablehead"/>
            </w:pPr>
            <w:r w:rsidRPr="00542FBB">
              <w:t>País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656354" w:rsidRDefault="008C583F" w:rsidP="00542FBB">
            <w:pPr>
              <w:pStyle w:val="Tablehead"/>
              <w:rPr>
                <w:lang w:val="es-ES_tradnl"/>
              </w:rPr>
            </w:pPr>
            <w:r w:rsidRPr="00656354">
              <w:rPr>
                <w:lang w:val="es-ES_tradnl"/>
              </w:rPr>
              <w:t>Gama de sintonía de frecuencia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C583F" w:rsidRPr="00542FBB" w:rsidRDefault="008C583F" w:rsidP="00542FBB">
            <w:pPr>
              <w:pStyle w:val="Tablehead"/>
            </w:pPr>
            <w:r w:rsidRPr="00542FBB">
              <w:t>Acuerdos de licencias</w:t>
            </w:r>
          </w:p>
        </w:tc>
      </w:tr>
      <w:tr w:rsidR="008C583F" w:rsidRPr="00AF072C" w:rsidTr="00656354">
        <w:trPr>
          <w:cantSplit/>
          <w:trHeight w:val="529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/>
              </w:rPr>
            </w:pPr>
            <w:r w:rsidRPr="006C0045">
              <w:rPr>
                <w:lang w:val="es-ES_tradnl"/>
              </w:rPr>
              <w:t>Canadá</w:t>
            </w:r>
            <w:r w:rsidRPr="00737F03">
              <w:rPr>
                <w:vertAlign w:val="superscript"/>
                <w:lang w:val="es-ES_tradnl"/>
              </w:rPr>
              <w:t>(10)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Del="007C0018" w:rsidRDefault="008C583F" w:rsidP="00313347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26,10-26,48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88-107,5 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1W y 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="005F2291">
              <w:rPr>
                <w:lang w:val="es-ES_tradnl"/>
              </w:rPr>
              <w:t>.</w:t>
            </w:r>
          </w:p>
        </w:tc>
      </w:tr>
      <w:tr w:rsidR="008C583F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Del="007C0018" w:rsidRDefault="008C583F" w:rsidP="00313347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450-451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455-456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1W y 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kHz, </w:t>
            </w:r>
            <w:r>
              <w:rPr>
                <w:lang w:val="es-ES_tradnl"/>
              </w:rPr>
              <w:t>sólo</w:t>
            </w:r>
            <w:r w:rsidRPr="006C0045">
              <w:rPr>
                <w:lang w:val="es-ES_tradnl"/>
              </w:rPr>
              <w:t xml:space="preserve"> para uso auxiliar a radiodifusión</w:t>
            </w:r>
            <w:r w:rsidR="005F2291">
              <w:rPr>
                <w:lang w:val="es-ES_tradnl"/>
              </w:rPr>
              <w:t>.</w:t>
            </w:r>
          </w:p>
        </w:tc>
      </w:tr>
      <w:tr w:rsidR="008C583F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Del="007C0018" w:rsidRDefault="008C583F" w:rsidP="00313347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54-72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76-88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  <w:r w:rsidRPr="00C32C72">
              <w:rPr>
                <w:lang w:val="es-ES_tradnl"/>
              </w:rPr>
              <w:br/>
            </w:r>
            <w:r w:rsidRPr="006C0045">
              <w:rPr>
                <w:lang w:val="es-ES_tradnl"/>
              </w:rPr>
              <w:t>174-216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  <w:r w:rsidR="005F2291">
              <w:rPr>
                <w:lang w:val="es-ES_tradnl"/>
              </w:rPr>
              <w:t>.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200 kHz</w:t>
            </w:r>
            <w:r w:rsidR="005F2291">
              <w:rPr>
                <w:lang w:val="es-ES_tradnl"/>
              </w:rPr>
              <w:t>.</w:t>
            </w:r>
          </w:p>
        </w:tc>
      </w:tr>
      <w:tr w:rsidR="008C583F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Del="007C0018" w:rsidRDefault="008C583F" w:rsidP="00313347">
            <w:pPr>
              <w:pStyle w:val="Tabletext"/>
              <w:jc w:val="left"/>
              <w:rPr>
                <w:rFonts w:eastAsia="Gulim"/>
                <w:lang w:val="es-ES_tradnl"/>
              </w:rPr>
            </w:pPr>
            <w:r w:rsidRPr="006C0045">
              <w:rPr>
                <w:lang w:val="es-ES_tradnl"/>
              </w:rPr>
              <w:t>150-174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  <w:r w:rsidR="005F2291">
              <w:rPr>
                <w:lang w:val="es-ES_tradnl"/>
              </w:rPr>
              <w:t>.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54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="005F2291">
              <w:rPr>
                <w:lang w:val="es-ES_tradnl"/>
              </w:rPr>
              <w:t>.</w:t>
            </w:r>
          </w:p>
        </w:tc>
      </w:tr>
      <w:tr w:rsidR="008C583F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83F" w:rsidRPr="006C0045" w:rsidRDefault="008C583F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Del="007C0018" w:rsidRDefault="00E002E9" w:rsidP="00E002E9">
            <w:pPr>
              <w:pStyle w:val="Tabletext"/>
              <w:jc w:val="left"/>
              <w:rPr>
                <w:rFonts w:eastAsia="Gulim"/>
                <w:lang w:val="es-ES_tradnl"/>
              </w:rPr>
            </w:pPr>
            <w:r>
              <w:rPr>
                <w:rFonts w:eastAsia="Gulim"/>
                <w:lang w:val="es-ES_tradnl"/>
              </w:rPr>
              <w:t>470-608 MHz</w:t>
            </w:r>
            <w:r>
              <w:rPr>
                <w:rFonts w:eastAsia="Gulim"/>
                <w:lang w:val="es-ES_tradnl"/>
              </w:rPr>
              <w:br/>
              <w:t>614-698 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Máxima potencia a la entrada de antena: 50 mW</w:t>
            </w:r>
            <w:r w:rsidR="005F2291">
              <w:rPr>
                <w:lang w:val="es-ES_tradnl"/>
              </w:rPr>
              <w:t>.</w:t>
            </w:r>
          </w:p>
          <w:p w:rsidR="008C583F" w:rsidRPr="006C0045" w:rsidRDefault="008C583F" w:rsidP="00313347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Anchura de banda de hasta 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="005F2291">
              <w:rPr>
                <w:lang w:val="es-ES_tradnl"/>
              </w:rPr>
              <w:t>.</w:t>
            </w:r>
          </w:p>
        </w:tc>
      </w:tr>
      <w:tr w:rsidR="00656354" w:rsidRPr="00C32C72" w:rsidTr="00656354">
        <w:trPr>
          <w:cantSplit/>
          <w:trHeight w:val="259"/>
          <w:jc w:val="center"/>
        </w:trPr>
        <w:tc>
          <w:tcPr>
            <w:tcW w:w="136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  <w:r w:rsidRPr="006C0045">
              <w:rPr>
                <w:lang w:val="es-ES_tradnl"/>
              </w:rPr>
              <w:t>Alemania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32,475-38,125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6C0045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10/50 mW</w:t>
            </w:r>
            <w:r w:rsidRPr="00737F03">
              <w:rPr>
                <w:vertAlign w:val="superscript"/>
                <w:lang w:val="es-ES_tradnl"/>
              </w:rPr>
              <w:t>(11) (12)</w:t>
            </w:r>
            <w:r>
              <w:t>.</w:t>
            </w:r>
          </w:p>
        </w:tc>
      </w:tr>
      <w:tr w:rsidR="00656354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174-230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6C0045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50 mW, Anchura de banda de hasta</w:t>
            </w:r>
            <w:r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kHz, disposición de canal de 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Pr="005F2291">
              <w:rPr>
                <w:lang w:val="es-ES_tradnl"/>
              </w:rPr>
              <w:t>.</w:t>
            </w:r>
            <w:r w:rsidRPr="00737F03">
              <w:rPr>
                <w:vertAlign w:val="superscript"/>
                <w:lang w:val="es-ES_tradnl"/>
              </w:rPr>
              <w:t>(12)</w:t>
            </w:r>
          </w:p>
        </w:tc>
      </w:tr>
      <w:tr w:rsidR="00656354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C33EF5">
            <w:pPr>
              <w:pStyle w:val="Tabletext"/>
              <w:jc w:val="left"/>
            </w:pPr>
            <w:r w:rsidRPr="00C02653">
              <w:t>470-608 MHz,</w:t>
            </w:r>
            <w:r>
              <w:br/>
            </w:r>
            <w:r w:rsidRPr="00C02653">
              <w:t>614-703 MHz,</w:t>
            </w:r>
            <w:r w:rsidRPr="00C02653">
              <w:br/>
              <w:t>733</w:t>
            </w:r>
            <w:r w:rsidRPr="00C02653">
              <w:noBreakHyphen/>
              <w:t>823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5F2291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mW, Anchura de banda de hasta</w:t>
            </w:r>
            <w:r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kHz, disposición de canal de 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Pr="005F2291">
              <w:rPr>
                <w:lang w:val="es-ES_tradnl"/>
              </w:rPr>
              <w:t>.</w:t>
            </w:r>
            <w:r w:rsidRPr="00737F03">
              <w:rPr>
                <w:vertAlign w:val="superscript"/>
                <w:lang w:val="es-ES_tradnl"/>
              </w:rPr>
              <w:t>(12)</w:t>
            </w:r>
          </w:p>
        </w:tc>
      </w:tr>
      <w:tr w:rsidR="00656354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C33EF5">
            <w:pPr>
              <w:pStyle w:val="Tabletext"/>
              <w:jc w:val="left"/>
            </w:pPr>
            <w:r w:rsidRPr="00C02653">
              <w:t>790-814 MHz,</w:t>
            </w:r>
            <w:r>
              <w:br/>
            </w:r>
            <w:r w:rsidRPr="00C02653">
              <w:t>838-862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5F2291" w:rsidRDefault="00656354" w:rsidP="005F2291">
            <w:pPr>
              <w:pStyle w:val="Tabletext"/>
              <w:ind w:right="-57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50 mW, Anchura de banda de hasta</w:t>
            </w:r>
            <w:r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/>
              </w:rPr>
              <w:t>200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kHz, disposición de canal de</w:t>
            </w:r>
            <w:r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/>
              </w:rPr>
              <w:t>25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Pr="005F2291">
              <w:rPr>
                <w:lang w:val="es-ES_tradnl"/>
              </w:rPr>
              <w:t>.</w:t>
            </w:r>
            <w:r w:rsidRPr="00737F03">
              <w:rPr>
                <w:vertAlign w:val="superscript"/>
                <w:lang w:val="es-ES_tradnl"/>
              </w:rPr>
              <w:t>(11)(13)</w:t>
            </w:r>
          </w:p>
        </w:tc>
      </w:tr>
      <w:tr w:rsidR="00656354" w:rsidRPr="00C32C72" w:rsidTr="00656354">
        <w:trPr>
          <w:cantSplit/>
          <w:trHeight w:val="27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823-832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6C0045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82/100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</w:t>
            </w:r>
            <w:r w:rsidRPr="005F2291">
              <w:t>.</w:t>
            </w:r>
            <w:r w:rsidRPr="00737F03">
              <w:rPr>
                <w:vertAlign w:val="superscript"/>
                <w:lang w:val="es-ES_tradnl"/>
              </w:rPr>
              <w:t>(11)</w:t>
            </w:r>
          </w:p>
        </w:tc>
      </w:tr>
      <w:tr w:rsidR="00656354" w:rsidRPr="00AF072C" w:rsidTr="00656354">
        <w:trPr>
          <w:cantSplit/>
          <w:trHeight w:val="52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863-865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5F2291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p.r.a. de 10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mW, Anchura de banda de hasta</w:t>
            </w:r>
            <w:r>
              <w:rPr>
                <w:szCs w:val="23"/>
                <w:lang w:val="es-ES_tradnl" w:eastAsia="zh-CN"/>
              </w:rPr>
              <w:t xml:space="preserve"> </w:t>
            </w:r>
            <w:r w:rsidRPr="006C0045">
              <w:rPr>
                <w:lang w:val="es-ES_tradnl"/>
              </w:rPr>
              <w:t>200/300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kHz</w:t>
            </w:r>
            <w:r w:rsidRPr="005F2291">
              <w:rPr>
                <w:lang w:val="es-ES_tradnl"/>
              </w:rPr>
              <w:t>.</w:t>
            </w:r>
            <w:r w:rsidRPr="00737F03">
              <w:rPr>
                <w:vertAlign w:val="superscript"/>
                <w:lang w:val="es-ES_tradnl"/>
              </w:rPr>
              <w:t>(11)</w:t>
            </w:r>
          </w:p>
        </w:tc>
      </w:tr>
      <w:tr w:rsidR="00656354" w:rsidRPr="00C32C72" w:rsidTr="00656354">
        <w:trPr>
          <w:cantSplit/>
          <w:trHeight w:val="334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1 452-1 492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6C0045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</w:t>
            </w:r>
            <w:r w:rsidRPr="005F2291">
              <w:rPr>
                <w:lang w:val="es-ES_tradnl"/>
              </w:rPr>
              <w:t>.</w:t>
            </w:r>
            <w:r>
              <w:rPr>
                <w:vertAlign w:val="superscript"/>
                <w:lang w:val="es-ES_tradnl"/>
              </w:rPr>
              <w:t>(</w:t>
            </w:r>
            <w:r w:rsidRPr="00737F03">
              <w:rPr>
                <w:vertAlign w:val="superscript"/>
                <w:lang w:val="es-ES_tradnl"/>
              </w:rPr>
              <w:t>12)</w:t>
            </w:r>
          </w:p>
        </w:tc>
      </w:tr>
      <w:tr w:rsidR="00656354" w:rsidRPr="00AF072C" w:rsidTr="00656354">
        <w:trPr>
          <w:cantSplit/>
          <w:trHeight w:val="269"/>
          <w:jc w:val="center"/>
        </w:trPr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1 492-1 518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5F2291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50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 xml:space="preserve">mW, </w:t>
            </w:r>
            <w:r>
              <w:rPr>
                <w:lang w:val="es-ES_tradnl"/>
              </w:rPr>
              <w:t>sólo</w:t>
            </w:r>
            <w:r w:rsidRPr="006C0045">
              <w:rPr>
                <w:lang w:val="es-ES_tradnl"/>
              </w:rPr>
              <w:t xml:space="preserve"> en el interior</w:t>
            </w:r>
            <w:r w:rsidRPr="005F2291">
              <w:rPr>
                <w:lang w:val="es-ES_tradnl"/>
              </w:rPr>
              <w:t>.</w:t>
            </w:r>
            <w:r w:rsidRPr="00737F03">
              <w:rPr>
                <w:vertAlign w:val="superscript"/>
                <w:lang w:val="es-ES_tradnl"/>
              </w:rPr>
              <w:t>(12)</w:t>
            </w:r>
          </w:p>
        </w:tc>
      </w:tr>
      <w:tr w:rsidR="00656354" w:rsidRPr="00C32C72" w:rsidTr="00656354">
        <w:trPr>
          <w:cantSplit/>
          <w:trHeight w:val="359"/>
          <w:jc w:val="center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6354" w:rsidRPr="006C0045" w:rsidRDefault="00656354" w:rsidP="00126867">
            <w:pPr>
              <w:pStyle w:val="Tabletext"/>
              <w:rPr>
                <w:lang w:val="es-ES_tradn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C02653" w:rsidRDefault="00656354" w:rsidP="00313347">
            <w:pPr>
              <w:pStyle w:val="Tabletext"/>
              <w:jc w:val="left"/>
            </w:pPr>
            <w:r w:rsidRPr="00C02653">
              <w:t>1 785-1 805 MHz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354" w:rsidRPr="006C0045" w:rsidRDefault="00656354" w:rsidP="005F2291">
            <w:pPr>
              <w:pStyle w:val="Tabletext"/>
              <w:jc w:val="left"/>
              <w:rPr>
                <w:lang w:val="es-ES_tradnl"/>
              </w:rPr>
            </w:pPr>
            <w:r w:rsidRPr="006C0045">
              <w:rPr>
                <w:lang w:val="es-ES_tradnl"/>
              </w:rPr>
              <w:t>p.i.r.e. de 82</w:t>
            </w:r>
            <w:r>
              <w:rPr>
                <w:szCs w:val="23"/>
                <w:lang w:val="es-ES_tradnl" w:eastAsia="zh-CN"/>
              </w:rPr>
              <w:t> </w:t>
            </w:r>
            <w:r w:rsidRPr="006C0045">
              <w:rPr>
                <w:lang w:val="es-ES_tradnl"/>
              </w:rPr>
              <w:t>mW</w:t>
            </w:r>
            <w:r w:rsidRPr="005F2291">
              <w:t>.</w:t>
            </w:r>
            <w:r w:rsidRPr="00737F03">
              <w:rPr>
                <w:vertAlign w:val="superscript"/>
                <w:lang w:val="es-ES_tradnl"/>
              </w:rPr>
              <w:t>(11)</w:t>
            </w:r>
          </w:p>
        </w:tc>
      </w:tr>
      <w:tr w:rsidR="008C583F" w:rsidRPr="00AF072C" w:rsidTr="006563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9639" w:type="dxa"/>
            <w:gridSpan w:val="3"/>
            <w:hideMark/>
          </w:tcPr>
          <w:p w:rsidR="00307732" w:rsidRPr="00AF072C" w:rsidRDefault="00307732" w:rsidP="005F2291">
            <w:pPr>
              <w:pStyle w:val="Tablelegend"/>
              <w:rPr>
                <w:i/>
                <w:iCs/>
                <w:lang w:val="es-ES_tradnl"/>
              </w:rPr>
            </w:pPr>
            <w:r w:rsidRPr="00AF072C">
              <w:rPr>
                <w:i/>
                <w:iCs/>
                <w:lang w:val="es-ES_tradnl"/>
              </w:rPr>
              <w:t>Notas relativas al Cuadro 2:</w:t>
            </w:r>
          </w:p>
          <w:p w:rsidR="008C583F" w:rsidRPr="00542FBB" w:rsidRDefault="008C583F" w:rsidP="005F2291">
            <w:pPr>
              <w:pStyle w:val="Tablelegend"/>
              <w:rPr>
                <w:lang w:val="es-ES_tradnl"/>
              </w:rPr>
            </w:pPr>
            <w:r w:rsidRPr="00542FBB">
              <w:rPr>
                <w:vertAlign w:val="superscript"/>
                <w:lang w:val="es-ES_tradnl"/>
              </w:rPr>
              <w:t>(1)</w:t>
            </w:r>
            <w:r w:rsidRPr="00542FBB">
              <w:rPr>
                <w:lang w:val="es-ES_tradnl"/>
              </w:rPr>
              <w:tab/>
              <w:t>AS/NZS 426</w:t>
            </w:r>
            <w:bookmarkStart w:id="6" w:name="_GoBack"/>
            <w:bookmarkEnd w:id="6"/>
            <w:r w:rsidRPr="00542FBB">
              <w:rPr>
                <w:lang w:val="es-ES_tradnl"/>
              </w:rPr>
              <w:t>8:2012 Equipos y sistemas de radiocomunicaciones: Dispositivos de corto alcance – Límites y métodos de medición.</w:t>
            </w:r>
          </w:p>
          <w:p w:rsidR="008C583F" w:rsidRPr="005F2291" w:rsidRDefault="008C583F" w:rsidP="005F2291">
            <w:pPr>
              <w:pStyle w:val="Tablelegend"/>
              <w:jc w:val="left"/>
              <w:rPr>
                <w:lang w:val="es-ES_tradnl"/>
              </w:rPr>
            </w:pPr>
            <w:r w:rsidRPr="005F2291">
              <w:rPr>
                <w:vertAlign w:val="superscript"/>
                <w:lang w:val="es-ES_tradnl"/>
              </w:rPr>
              <w:t>(2)</w:t>
            </w:r>
            <w:r w:rsidRPr="005F2291">
              <w:rPr>
                <w:lang w:val="es-ES_tradnl"/>
              </w:rPr>
              <w:tab/>
              <w:t>Para obtener información más detallada visite:</w:t>
            </w:r>
            <w:r w:rsidRPr="005F2291">
              <w:rPr>
                <w:lang w:val="es-ES_tradnl"/>
              </w:rPr>
              <w:br/>
            </w:r>
            <w:hyperlink r:id="rId14" w:tgtFrame="_blank" w:history="1">
              <w:r w:rsidR="005F2291" w:rsidRPr="005F2291">
                <w:rPr>
                  <w:rStyle w:val="Hyperlink"/>
                  <w:lang w:val="es-ES_tradnl"/>
                </w:rPr>
                <w:t>http://www.anfr.fr/fileadmin/mediatheque/documents/tnrbf/DR-02_13__Annexe_7__AFP_.pdf</w:t>
              </w:r>
            </w:hyperlink>
            <w:r w:rsidR="005F2291" w:rsidRPr="005F2291">
              <w:rPr>
                <w:color w:val="000000"/>
                <w:lang w:val="es-ES_tradnl"/>
              </w:rPr>
              <w:t xml:space="preserve"> </w:t>
            </w:r>
            <w:r w:rsidR="005F2291">
              <w:rPr>
                <w:lang w:val="es-ES_tradnl" w:eastAsia="zh-CN"/>
              </w:rPr>
              <w:t>y</w:t>
            </w:r>
            <w:r w:rsidR="005F2291" w:rsidRPr="005F2291">
              <w:rPr>
                <w:lang w:val="es-ES_tradnl" w:eastAsia="zh-CN"/>
              </w:rPr>
              <w:t xml:space="preserve"> </w:t>
            </w:r>
            <w:hyperlink r:id="rId15" w:history="1">
              <w:r w:rsidR="005F2291" w:rsidRPr="005F2291">
                <w:rPr>
                  <w:rStyle w:val="Hyperlink"/>
                  <w:lang w:val="es-ES_tradnl" w:eastAsia="zh-CN"/>
                </w:rPr>
                <w:t>http://www.arcep.fr/</w:t>
              </w:r>
            </w:hyperlink>
          </w:p>
          <w:p w:rsidR="008C583F" w:rsidRPr="00AF072C" w:rsidRDefault="008C583F" w:rsidP="005F2291">
            <w:pPr>
              <w:pStyle w:val="Tablelegend"/>
              <w:rPr>
                <w:lang w:val="es-ES_tradnl"/>
              </w:rPr>
            </w:pPr>
            <w:r w:rsidRPr="005F2291">
              <w:rPr>
                <w:lang w:val="es-ES_tradnl"/>
              </w:rPr>
              <w:tab/>
            </w:r>
            <w:r w:rsidRPr="00AF072C">
              <w:rPr>
                <w:lang w:val="es-ES_tradnl"/>
              </w:rPr>
              <w:t>Los radiomicrófonos analógicos y digitales cumplen la Norma EN 300 422 del ETSI y las frecuencias permitidas para los sistemas analógicos pueden ser reutilizadas por los sistemas digitales.</w:t>
            </w:r>
          </w:p>
          <w:p w:rsidR="008C583F" w:rsidRPr="00AF072C" w:rsidRDefault="008C583F" w:rsidP="005F2291">
            <w:pPr>
              <w:pStyle w:val="Tablelegend"/>
              <w:rPr>
                <w:lang w:val="es-ES_tradnl"/>
              </w:rPr>
            </w:pPr>
            <w:r w:rsidRPr="00AF072C">
              <w:rPr>
                <w:vertAlign w:val="superscript"/>
                <w:lang w:val="es-ES_tradnl"/>
              </w:rPr>
              <w:t>(3)</w:t>
            </w:r>
            <w:r w:rsidRPr="00AF072C">
              <w:rPr>
                <w:lang w:val="es-ES_tradnl"/>
              </w:rPr>
              <w:tab/>
              <w:t>Aunque la gama de sintonía en la actual licencia de clase de Radiocomunicaciones 2000 (dispositivos de bajo potencial interferente) es 520-820 MHz, se está revisando esta licencia de clase.</w:t>
            </w:r>
          </w:p>
          <w:p w:rsidR="008C583F" w:rsidRPr="00AF072C" w:rsidRDefault="008C583F" w:rsidP="005F2291">
            <w:pPr>
              <w:pStyle w:val="Tablelegend"/>
              <w:rPr>
                <w:lang w:val="es-ES_tradnl"/>
              </w:rPr>
            </w:pPr>
            <w:r w:rsidRPr="00AF072C">
              <w:rPr>
                <w:vertAlign w:val="superscript"/>
                <w:lang w:val="es-ES_tradnl"/>
              </w:rPr>
              <w:t>(4)</w:t>
            </w:r>
            <w:r w:rsidRPr="00AF072C">
              <w:rPr>
                <w:lang w:val="es-ES_tradnl"/>
              </w:rPr>
              <w:tab/>
            </w:r>
            <w:hyperlink r:id="rId16" w:history="1">
              <w:r w:rsidR="005F2291" w:rsidRPr="00AF072C">
                <w:rPr>
                  <w:rStyle w:val="Hyperlink"/>
                  <w:lang w:val="es-ES_tradnl" w:eastAsia="zh-CN"/>
                </w:rPr>
                <w:t>http://www.erodocdb.dk/Docs/doc98/official/pdf/REC7003E.PDF</w:t>
              </w:r>
            </w:hyperlink>
          </w:p>
          <w:p w:rsidR="008C583F" w:rsidRPr="00AF072C" w:rsidRDefault="008C583F" w:rsidP="005F2291">
            <w:pPr>
              <w:pStyle w:val="Tablelegend"/>
              <w:rPr>
                <w:lang w:val="es-ES_tradnl"/>
              </w:rPr>
            </w:pPr>
            <w:r w:rsidRPr="00AF072C">
              <w:rPr>
                <w:vertAlign w:val="superscript"/>
                <w:lang w:val="es-ES_tradnl"/>
              </w:rPr>
              <w:t>(5)</w:t>
            </w:r>
            <w:r w:rsidRPr="00AF072C">
              <w:rPr>
                <w:lang w:val="es-ES_tradnl"/>
              </w:rPr>
              <w:tab/>
              <w:t>En la última versión de ARIB STD RCR STD-22 aparece información más detallada al respecto.</w:t>
            </w:r>
          </w:p>
          <w:p w:rsidR="008C583F" w:rsidRPr="00AF072C" w:rsidRDefault="008C583F" w:rsidP="005F2291">
            <w:pPr>
              <w:pStyle w:val="Tablelegend"/>
              <w:rPr>
                <w:lang w:val="es-ES_tradnl"/>
              </w:rPr>
            </w:pPr>
            <w:r w:rsidRPr="00AF072C">
              <w:rPr>
                <w:vertAlign w:val="superscript"/>
                <w:lang w:val="es-ES_tradnl"/>
              </w:rPr>
              <w:t>(6)</w:t>
            </w:r>
            <w:r w:rsidRPr="00AF072C">
              <w:rPr>
                <w:lang w:val="es-ES_tradnl"/>
              </w:rPr>
              <w:tab/>
              <w:t>La gama de frecuencias 470-710 MHz se utiliza para la radiodifusión de televisión digital terrenal como servicio primario, y para los micrófonos inalámbricos como servicio secundario. La Administración regula la disposición y las ubicaciones de canales de los micrófonos inalámbricos.</w:t>
            </w:r>
          </w:p>
          <w:p w:rsidR="008C583F" w:rsidRPr="00AF072C" w:rsidRDefault="008C583F" w:rsidP="00C33EF5">
            <w:pPr>
              <w:pStyle w:val="Tablelegend"/>
              <w:rPr>
                <w:lang w:val="es-ES_tradnl"/>
              </w:rPr>
            </w:pPr>
            <w:r w:rsidRPr="00AF072C">
              <w:rPr>
                <w:vertAlign w:val="superscript"/>
                <w:lang w:val="es-ES_tradnl"/>
              </w:rPr>
              <w:t>(7)</w:t>
            </w:r>
            <w:r w:rsidRPr="00AF072C">
              <w:rPr>
                <w:lang w:val="es-ES_tradnl"/>
              </w:rPr>
              <w:tab/>
              <w:t>En la última versión de la norma ARIB STD-T112 aparece información más detallada al respecto.</w:t>
            </w:r>
          </w:p>
        </w:tc>
      </w:tr>
      <w:tr w:rsidR="00307732" w:rsidRPr="00AF072C" w:rsidTr="006563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  <w:jc w:val="center"/>
        </w:trPr>
        <w:tc>
          <w:tcPr>
            <w:tcW w:w="9638" w:type="dxa"/>
            <w:gridSpan w:val="3"/>
          </w:tcPr>
          <w:p w:rsidR="00307732" w:rsidRPr="00307732" w:rsidRDefault="00307732" w:rsidP="00AF072C">
            <w:pPr>
              <w:pStyle w:val="Tablelegend"/>
              <w:rPr>
                <w:i/>
                <w:iCs/>
                <w:lang w:val="es-ES_tradnl"/>
              </w:rPr>
            </w:pPr>
            <w:r w:rsidRPr="00307732">
              <w:rPr>
                <w:i/>
                <w:iCs/>
                <w:lang w:val="es-ES_tradnl"/>
              </w:rPr>
              <w:lastRenderedPageBreak/>
              <w:t>Notas relativas al Cuadro 2</w:t>
            </w:r>
            <w:r>
              <w:rPr>
                <w:i/>
                <w:iCs/>
                <w:lang w:val="es-ES_tradnl"/>
              </w:rPr>
              <w:t xml:space="preserve"> (</w:t>
            </w:r>
            <w:r w:rsidR="00AF072C">
              <w:rPr>
                <w:i/>
                <w:iCs/>
                <w:lang w:val="es-ES_tradnl"/>
              </w:rPr>
              <w:t>fin</w:t>
            </w:r>
            <w:r>
              <w:rPr>
                <w:i/>
                <w:iCs/>
                <w:lang w:val="es-ES_tradnl"/>
              </w:rPr>
              <w:t>)</w:t>
            </w:r>
            <w:r w:rsidRPr="00307732">
              <w:rPr>
                <w:i/>
                <w:iCs/>
                <w:lang w:val="es-ES_tradnl"/>
              </w:rPr>
              <w:t>:</w:t>
            </w:r>
          </w:p>
          <w:p w:rsidR="00C33EF5" w:rsidRPr="00C33EF5" w:rsidRDefault="00C33EF5" w:rsidP="00C33EF5">
            <w:pPr>
              <w:pStyle w:val="Tablelegend"/>
              <w:rPr>
                <w:lang w:val="es-ES_tradnl"/>
              </w:rPr>
            </w:pPr>
            <w:r w:rsidRPr="00C33EF5">
              <w:rPr>
                <w:vertAlign w:val="superscript"/>
                <w:lang w:val="es-ES_tradnl"/>
              </w:rPr>
              <w:t>(8)</w:t>
            </w:r>
            <w:r w:rsidRPr="00C33EF5">
              <w:rPr>
                <w:lang w:val="es-ES_tradnl"/>
              </w:rPr>
              <w:tab/>
              <w:t>Servicios auxiliares para la radiodifusión.</w:t>
            </w:r>
          </w:p>
          <w:p w:rsidR="00BF022B" w:rsidRDefault="00C33EF5" w:rsidP="00C33EF5">
            <w:pPr>
              <w:pStyle w:val="Tablelegend"/>
              <w:rPr>
                <w:lang w:val="fr-CH"/>
              </w:rPr>
            </w:pPr>
            <w:r w:rsidRPr="005F2291">
              <w:rPr>
                <w:vertAlign w:val="superscript"/>
              </w:rPr>
              <w:t>(9)</w:t>
            </w:r>
            <w:r w:rsidRPr="005F2291">
              <w:tab/>
              <w:t>Autorité de Régulations des Télécommunications.</w:t>
            </w:r>
          </w:p>
          <w:p w:rsidR="00307732" w:rsidRPr="00307732" w:rsidRDefault="00307732" w:rsidP="00C33EF5">
            <w:pPr>
              <w:pStyle w:val="Tablelegend"/>
              <w:rPr>
                <w:lang w:val="es-ES_tradnl"/>
              </w:rPr>
            </w:pPr>
            <w:r w:rsidRPr="00307732">
              <w:rPr>
                <w:vertAlign w:val="superscript"/>
                <w:lang w:val="es-ES_tradnl"/>
              </w:rPr>
              <w:t>(10)</w:t>
            </w:r>
            <w:r w:rsidRPr="00307732">
              <w:rPr>
                <w:lang w:val="es-ES_tradnl"/>
              </w:rPr>
              <w:tab/>
              <w:t>En RSS-123 aparece información más detallada al respecto:</w:t>
            </w:r>
          </w:p>
          <w:p w:rsidR="00307732" w:rsidRPr="00307732" w:rsidRDefault="00307732" w:rsidP="00307732">
            <w:pPr>
              <w:pStyle w:val="Tablelegend"/>
              <w:rPr>
                <w:lang w:val="es-ES_tradnl"/>
              </w:rPr>
            </w:pPr>
            <w:r w:rsidRPr="00307732">
              <w:rPr>
                <w:lang w:val="es-ES_tradnl"/>
              </w:rPr>
              <w:tab/>
            </w:r>
            <w:hyperlink r:id="rId17" w:anchor="s52" w:history="1">
              <w:r w:rsidRPr="00307732">
                <w:rPr>
                  <w:rStyle w:val="Hyperlink"/>
                  <w:lang w:val="es-ES_tradnl"/>
                </w:rPr>
                <w:t>https://www.ic.gc.ca/eic/site/smt-gst.nsf/eng/sf10154.html#s52</w:t>
              </w:r>
            </w:hyperlink>
          </w:p>
          <w:p w:rsidR="00307732" w:rsidRPr="005F2291" w:rsidRDefault="00307732" w:rsidP="00307732">
            <w:pPr>
              <w:pStyle w:val="Tablelegend"/>
              <w:rPr>
                <w:lang w:val="es-ES_tradnl"/>
              </w:rPr>
            </w:pPr>
            <w:r w:rsidRPr="005F2291">
              <w:rPr>
                <w:vertAlign w:val="superscript"/>
                <w:lang w:val="es-ES_tradnl"/>
              </w:rPr>
              <w:t>(11)</w:t>
            </w:r>
            <w:r w:rsidRPr="005F2291">
              <w:rPr>
                <w:lang w:val="es-ES_tradnl"/>
              </w:rPr>
              <w:tab/>
              <w:t xml:space="preserve">Para obtener información más detallada visite </w:t>
            </w:r>
            <w:hyperlink r:id="rId18" w:history="1">
              <w:r w:rsidRPr="005F2291">
                <w:rPr>
                  <w:rStyle w:val="Hyperlink"/>
                  <w:lang w:val="es-ES_tradnl" w:eastAsia="zh-CN"/>
                </w:rPr>
                <w:t>http://www.bundesnetzagentur.de/allgemeinzuteilungen</w:t>
              </w:r>
            </w:hyperlink>
            <w:r w:rsidRPr="005F2291">
              <w:rPr>
                <w:rStyle w:val="Hyperlink"/>
                <w:lang w:val="es-ES_tradnl" w:eastAsia="zh-CN"/>
              </w:rPr>
              <w:t xml:space="preserve"> </w:t>
            </w:r>
            <w:r w:rsidRPr="005F2291">
              <w:rPr>
                <w:lang w:val="es-ES_tradnl"/>
              </w:rPr>
              <w:t>→ "Mikrofone"</w:t>
            </w:r>
            <w:r w:rsidR="00BF022B">
              <w:rPr>
                <w:lang w:val="es-ES_tradnl"/>
              </w:rPr>
              <w:t>.</w:t>
            </w:r>
          </w:p>
          <w:p w:rsidR="00307732" w:rsidRPr="005F2291" w:rsidRDefault="00307732" w:rsidP="00307732">
            <w:pPr>
              <w:pStyle w:val="Tablelegend"/>
              <w:rPr>
                <w:lang w:val="es-ES_tradnl"/>
              </w:rPr>
            </w:pPr>
            <w:r w:rsidRPr="005F2291">
              <w:rPr>
                <w:vertAlign w:val="superscript"/>
                <w:lang w:val="es-ES_tradnl"/>
              </w:rPr>
              <w:t>(12)</w:t>
            </w:r>
            <w:r w:rsidRPr="005F2291">
              <w:rPr>
                <w:lang w:val="es-ES_tradnl"/>
              </w:rPr>
              <w:tab/>
              <w:t xml:space="preserve">Para obtener información más detallada visite </w:t>
            </w:r>
            <w:hyperlink r:id="rId19" w:history="1">
              <w:r w:rsidRPr="005F2291">
                <w:rPr>
                  <w:rStyle w:val="Hyperlink"/>
                  <w:lang w:val="es-ES_tradnl" w:eastAsia="zh-CN"/>
                </w:rPr>
                <w:t>http://www.bundesnetzagentur.de/drahtlosemikrofone</w:t>
              </w:r>
            </w:hyperlink>
            <w:r w:rsidRPr="005F2291">
              <w:rPr>
                <w:rStyle w:val="Hyperlink"/>
                <w:color w:val="auto"/>
                <w:u w:val="none"/>
                <w:lang w:val="es-ES_tradnl"/>
              </w:rPr>
              <w:t xml:space="preserve"> </w:t>
            </w:r>
            <w:r w:rsidR="00BF022B">
              <w:rPr>
                <w:rStyle w:val="Hyperlink"/>
                <w:color w:val="auto"/>
                <w:u w:val="none"/>
                <w:lang w:val="es-ES_tradnl"/>
              </w:rPr>
              <w:br/>
            </w:r>
            <w:r w:rsidRPr="005F2291">
              <w:rPr>
                <w:lang w:val="es-ES_tradnl"/>
              </w:rPr>
              <w:t>→ "Funkmikrofone (Drahtlose Mikrofone)"</w:t>
            </w:r>
            <w:r w:rsidR="00BF022B">
              <w:rPr>
                <w:lang w:val="es-ES_tradnl"/>
              </w:rPr>
              <w:t>.</w:t>
            </w:r>
          </w:p>
          <w:p w:rsidR="00307732" w:rsidRPr="00307732" w:rsidRDefault="00307732" w:rsidP="00307732">
            <w:pPr>
              <w:pStyle w:val="Tablelegend"/>
              <w:rPr>
                <w:vertAlign w:val="superscript"/>
                <w:lang w:val="es-ES_tradnl"/>
              </w:rPr>
            </w:pPr>
            <w:r w:rsidRPr="00307732">
              <w:rPr>
                <w:vertAlign w:val="superscript"/>
                <w:lang w:val="es-ES_tradnl"/>
              </w:rPr>
              <w:t>(13)</w:t>
            </w:r>
            <w:r w:rsidRPr="00307732">
              <w:rPr>
                <w:lang w:val="es-ES_tradnl"/>
              </w:rPr>
              <w:tab/>
              <w:t>La licencia general Vfg. 91/2005 expirará el 31.12.2015</w:t>
            </w:r>
            <w:r w:rsidR="00BF022B">
              <w:rPr>
                <w:lang w:val="es-ES_tradnl"/>
              </w:rPr>
              <w:t>.</w:t>
            </w:r>
          </w:p>
        </w:tc>
      </w:tr>
    </w:tbl>
    <w:p w:rsidR="00E002E9" w:rsidRPr="00307732" w:rsidRDefault="00E002E9" w:rsidP="00E002E9">
      <w:pPr>
        <w:pStyle w:val="Tablefin"/>
        <w:rPr>
          <w:rFonts w:eastAsia="Batang"/>
          <w:lang w:val="es-ES_tradnl"/>
        </w:rPr>
      </w:pPr>
    </w:p>
    <w:p w:rsidR="008C583F" w:rsidRPr="00C32C72" w:rsidRDefault="008C583F" w:rsidP="00E002E9">
      <w:pPr>
        <w:rPr>
          <w:lang w:val="es-ES_tradnl"/>
        </w:rPr>
      </w:pPr>
    </w:p>
    <w:p w:rsidR="00542FBB" w:rsidRPr="00307732" w:rsidRDefault="00542FBB" w:rsidP="00542FBB">
      <w:pPr>
        <w:rPr>
          <w:lang w:val="es-ES_tradnl"/>
        </w:rPr>
      </w:pPr>
    </w:p>
    <w:p w:rsidR="00542FBB" w:rsidRDefault="00542FBB">
      <w:pPr>
        <w:jc w:val="center"/>
      </w:pPr>
      <w:r>
        <w:t>______________</w:t>
      </w:r>
    </w:p>
    <w:p w:rsidR="008C583F" w:rsidRPr="008C583F" w:rsidRDefault="008C583F" w:rsidP="008C583F">
      <w:pPr>
        <w:rPr>
          <w:lang w:val="es-ES_tradnl"/>
        </w:rPr>
      </w:pPr>
    </w:p>
    <w:sectPr w:rsidR="008C583F" w:rsidRPr="008C583F" w:rsidSect="008C583F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83F" w:rsidRDefault="008C583F">
      <w:r>
        <w:separator/>
      </w:r>
    </w:p>
  </w:endnote>
  <w:endnote w:type="continuationSeparator" w:id="0">
    <w:p w:rsidR="008C583F" w:rsidRDefault="008C5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83F" w:rsidRDefault="008C583F">
      <w:r>
        <w:separator/>
      </w:r>
    </w:p>
  </w:footnote>
  <w:footnote w:type="continuationSeparator" w:id="0">
    <w:p w:rsidR="008C583F" w:rsidRDefault="008C583F">
      <w:r>
        <w:continuationSeparator/>
      </w:r>
    </w:p>
  </w:footnote>
  <w:footnote w:id="1">
    <w:p w:rsidR="008C583F" w:rsidRPr="00EE44E7" w:rsidRDefault="008C583F" w:rsidP="008C583F">
      <w:pPr>
        <w:pStyle w:val="FootnoteText"/>
        <w:rPr>
          <w:lang w:val="es-ES_tradnl"/>
        </w:rPr>
      </w:pPr>
      <w:r w:rsidRPr="00EE44E7">
        <w:rPr>
          <w:rStyle w:val="FootnoteReference"/>
          <w:lang w:val="es-ES_tradnl"/>
        </w:rPr>
        <w:t>*</w:t>
      </w:r>
      <w:r w:rsidRPr="00EE44E7">
        <w:rPr>
          <w:lang w:val="es-ES_tradnl"/>
        </w:rPr>
        <w:tab/>
      </w:r>
      <w:r>
        <w:rPr>
          <w:lang w:val="es-ES_tradnl"/>
        </w:rPr>
        <w:t>La Comisión de Estudio 6 de Radiocomunicaciones introdujo cambios de edición en la presente Recomendación en mayo de 2011</w:t>
      </w:r>
      <w:r w:rsidRPr="00EE44E7">
        <w:rPr>
          <w:lang w:val="es-ES_tradn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83F" w:rsidRDefault="008C583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83F" w:rsidRDefault="008C583F" w:rsidP="009E1F8B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7216" behindDoc="1" locked="0" layoutInCell="1" allowOverlap="1" wp14:anchorId="6018D927" wp14:editId="344F8B2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83F" w:rsidRDefault="008C583F" w:rsidP="00091138">
    <w:pPr>
      <w:pStyle w:val="Header"/>
      <w:jc w:val="both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66109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166109" w:rsidRPr="0016610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6109">
      <w:rPr>
        <w:b/>
        <w:bCs/>
        <w:noProof/>
      </w:rPr>
      <w:t>UIT-R  BT.1871-1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583F" w:rsidRDefault="008C583F">
    <w:pPr>
      <w:pStyle w:val="Header"/>
    </w:pPr>
    <w:r>
      <w:tab/>
    </w:r>
    <w:fldSimple w:instr=" DOCPROPERTY &quot;Header&quot; \* MERGEFORMAT ">
      <w:r w:rsidR="00166109" w:rsidRPr="0016610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6109">
      <w:rPr>
        <w:b/>
        <w:bCs/>
        <w:noProof/>
      </w:rPr>
      <w:t>UIT-R  BT.1871-1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66109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166109" w:rsidRPr="00166109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6109">
      <w:rPr>
        <w:b/>
        <w:bCs/>
        <w:noProof/>
      </w:rPr>
      <w:t>UIT-R  BT.1871-1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166109" w:rsidRPr="0016610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6109">
      <w:rPr>
        <w:b/>
        <w:bCs/>
        <w:noProof/>
      </w:rPr>
      <w:t>UIT-R  BT.1871-1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66109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8C28B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C5C1E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22A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88B3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F4ADC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68F5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CAFD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A69F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5EC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ACF3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83F"/>
    <w:rsid w:val="00166109"/>
    <w:rsid w:val="00217EBF"/>
    <w:rsid w:val="00242AEE"/>
    <w:rsid w:val="002D76C4"/>
    <w:rsid w:val="00307732"/>
    <w:rsid w:val="00313347"/>
    <w:rsid w:val="003D4331"/>
    <w:rsid w:val="0052529D"/>
    <w:rsid w:val="00542FBB"/>
    <w:rsid w:val="00553CE5"/>
    <w:rsid w:val="005A13BA"/>
    <w:rsid w:val="005F2291"/>
    <w:rsid w:val="00607D68"/>
    <w:rsid w:val="00656354"/>
    <w:rsid w:val="006F7A33"/>
    <w:rsid w:val="007468DA"/>
    <w:rsid w:val="007C5534"/>
    <w:rsid w:val="008C583F"/>
    <w:rsid w:val="009B6E41"/>
    <w:rsid w:val="009E00A8"/>
    <w:rsid w:val="00A6617B"/>
    <w:rsid w:val="00AB0DC8"/>
    <w:rsid w:val="00AF072C"/>
    <w:rsid w:val="00B44E24"/>
    <w:rsid w:val="00B456EC"/>
    <w:rsid w:val="00BF022B"/>
    <w:rsid w:val="00C02653"/>
    <w:rsid w:val="00C33EF5"/>
    <w:rsid w:val="00DF4176"/>
    <w:rsid w:val="00E002E9"/>
    <w:rsid w:val="00E07495"/>
    <w:rsid w:val="00E27652"/>
    <w:rsid w:val="00ED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3AD1411-83B5-449E-8515-2530E6435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83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8C583F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8C583F"/>
    <w:rPr>
      <w:sz w:val="22"/>
      <w:lang w:val="fr-FR" w:eastAsia="en-US"/>
    </w:rPr>
  </w:style>
  <w:style w:type="character" w:customStyle="1" w:styleId="TabletextChar">
    <w:name w:val="Table_text Char"/>
    <w:link w:val="Tabletext"/>
    <w:locked/>
    <w:rsid w:val="008C583F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1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yperlink" Target="http://www.bundesnetzagentur.de/allgemeinzuteilungen" TargetMode="Externa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hyperlink" Target="https://www.ic.gc.ca/eic/site/smt-gst.nsf/eng/sf10154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rodocdb.dk/Docs/doc98/official/pdf/REC7003E.PDF" TargetMode="External"/><Relationship Id="rId20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rcep.f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tu.int/publ/R-REC/es)" TargetMode="External"/><Relationship Id="rId19" Type="http://schemas.openxmlformats.org/officeDocument/2006/relationships/hyperlink" Target="http://www.bundesnetzagentur.de/drahtlosemikrofon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yperlink" Target="http://www.anfr.fr/fileadmin/mediatheque/documents/tnrbf/DR-02_13__Annexe_7__AFP_.pdf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187</TotalTime>
  <Pages>8</Pages>
  <Words>1864</Words>
  <Characters>12589</Characters>
  <Application>Microsoft Office Word</Application>
  <DocSecurity>0</DocSecurity>
  <Lines>1258</Lines>
  <Paragraphs>516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Template BR_Rec_2005.dot</vt:lpstr>
      <vt:lpstr>Política sobre Derechos de Propiedad Intelectual (IPR)</vt:lpstr>
    </vt:vector>
  </TitlesOfParts>
  <Manager/>
  <Company>ITU</Company>
  <LinksUpToDate>false</LinksUpToDate>
  <CharactersWithSpaces>13937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Angel Martinez Romera</dc:creator>
  <cp:keywords/>
  <dc:description/>
  <cp:lastModifiedBy>Angel Martinez Romera</cp:lastModifiedBy>
  <cp:revision>16</cp:revision>
  <cp:lastPrinted>2018-05-02T13:52:00Z</cp:lastPrinted>
  <dcterms:created xsi:type="dcterms:W3CDTF">2018-05-01T14:51:00Z</dcterms:created>
  <dcterms:modified xsi:type="dcterms:W3CDTF">2018-05-02T13:57:00Z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