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56B" w:rsidRPr="00CB77D9" w:rsidRDefault="00CB556B">
      <w:pPr>
        <w:rPr>
          <w:lang w:val="fr-CH"/>
        </w:rPr>
      </w:pPr>
      <w:bookmarkStart w:id="0" w:name="Doc_title"/>
      <w:bookmarkStart w:id="1" w:name="_GoBack"/>
      <w:bookmarkEnd w:id="1"/>
    </w:p>
    <w:p w:rsidR="00CB556B" w:rsidRPr="00CB77D9" w:rsidRDefault="00CB556B">
      <w:pPr>
        <w:rPr>
          <w:lang w:val="fr-CH"/>
        </w:rPr>
      </w:pPr>
    </w:p>
    <w:p w:rsidR="00CB556B" w:rsidRPr="00CB77D9" w:rsidRDefault="00CB556B">
      <w:pPr>
        <w:rPr>
          <w:lang w:val="fr-CH"/>
        </w:rPr>
      </w:pPr>
    </w:p>
    <w:p w:rsidR="00CB556B" w:rsidRPr="00CB77D9" w:rsidRDefault="00CB556B">
      <w:pPr>
        <w:rPr>
          <w:lang w:val="fr-CH"/>
        </w:rPr>
      </w:pPr>
    </w:p>
    <w:p w:rsidR="00CB556B" w:rsidRPr="00CB77D9" w:rsidRDefault="00CB556B">
      <w:pPr>
        <w:rPr>
          <w:lang w:val="fr-CH"/>
        </w:rPr>
      </w:pPr>
    </w:p>
    <w:p w:rsidR="00CB556B" w:rsidRPr="00CB77D9" w:rsidRDefault="00CB556B">
      <w:pPr>
        <w:rPr>
          <w:lang w:val="fr-CH"/>
        </w:rPr>
      </w:pPr>
    </w:p>
    <w:p w:rsidR="00CB556B" w:rsidRPr="00CB77D9" w:rsidRDefault="00CB556B">
      <w:pPr>
        <w:rPr>
          <w:lang w:val="fr-CH"/>
        </w:rPr>
      </w:pPr>
    </w:p>
    <w:p w:rsidR="00CB556B" w:rsidRPr="00CB77D9" w:rsidRDefault="00CB556B">
      <w:pPr>
        <w:rPr>
          <w:lang w:val="fr-CH"/>
        </w:rPr>
      </w:pPr>
    </w:p>
    <w:p w:rsidR="00CB556B" w:rsidRPr="00CB77D9" w:rsidRDefault="00CB556B">
      <w:pPr>
        <w:rPr>
          <w:lang w:val="fr-CH"/>
        </w:rPr>
      </w:pPr>
    </w:p>
    <w:p w:rsidR="00CB556B" w:rsidRPr="00CB77D9" w:rsidRDefault="00CB556B">
      <w:pPr>
        <w:rPr>
          <w:lang w:val="fr-CH"/>
        </w:rPr>
      </w:pPr>
    </w:p>
    <w:p w:rsidR="00CB556B" w:rsidRPr="00CB77D9" w:rsidRDefault="00CB556B">
      <w:pPr>
        <w:rPr>
          <w:lang w:val="fr-CH"/>
        </w:rPr>
      </w:pPr>
    </w:p>
    <w:p w:rsidR="00CB556B" w:rsidRPr="00CB77D9" w:rsidRDefault="00CB556B">
      <w:pPr>
        <w:rPr>
          <w:lang w:val="fr-CH"/>
        </w:rPr>
      </w:pPr>
    </w:p>
    <w:tbl>
      <w:tblPr>
        <w:tblW w:w="10089" w:type="dxa"/>
        <w:tblLook w:val="01E0" w:firstRow="1" w:lastRow="1" w:firstColumn="1" w:lastColumn="1" w:noHBand="0" w:noVBand="0"/>
      </w:tblPr>
      <w:tblGrid>
        <w:gridCol w:w="10089"/>
      </w:tblGrid>
      <w:tr w:rsidR="00CB556B" w:rsidRPr="00CB77D9">
        <w:tc>
          <w:tcPr>
            <w:tcW w:w="10089" w:type="dxa"/>
          </w:tcPr>
          <w:p w:rsidR="00CB556B" w:rsidRPr="00CB77D9" w:rsidRDefault="00CB556B" w:rsidP="0014322C">
            <w:pPr>
              <w:spacing w:before="380" w:line="280" w:lineRule="exact"/>
              <w:jc w:val="right"/>
              <w:rPr>
                <w:rFonts w:ascii="Tahoma" w:hAnsi="Tahoma" w:cs="Tahoma"/>
                <w:b/>
                <w:bCs/>
                <w:iCs/>
                <w:color w:val="243285"/>
                <w:sz w:val="32"/>
                <w:szCs w:val="32"/>
                <w:lang w:val="fr-CH"/>
              </w:rPr>
            </w:pPr>
          </w:p>
          <w:p w:rsidR="00CB556B" w:rsidRPr="00CB77D9" w:rsidRDefault="00CB556B" w:rsidP="00291C24">
            <w:pPr>
              <w:spacing w:before="380" w:line="280" w:lineRule="exact"/>
              <w:jc w:val="right"/>
              <w:rPr>
                <w:rFonts w:ascii="Tahoma" w:hAnsi="Tahoma" w:cs="Tahoma"/>
                <w:b/>
                <w:bCs/>
                <w:iCs/>
                <w:color w:val="243285"/>
                <w:sz w:val="36"/>
                <w:szCs w:val="36"/>
                <w:lang w:val="fr-CH"/>
              </w:rPr>
            </w:pPr>
            <w:r w:rsidRPr="00CB77D9">
              <w:rPr>
                <w:rFonts w:ascii="Tahoma" w:hAnsi="Tahoma" w:cs="Tahoma"/>
                <w:b/>
                <w:bCs/>
                <w:iCs/>
                <w:color w:val="243285"/>
                <w:sz w:val="36"/>
                <w:szCs w:val="36"/>
                <w:lang w:val="fr-CH"/>
              </w:rPr>
              <w:t>Recommandation  UIT-R  BT.1887</w:t>
            </w:r>
          </w:p>
          <w:p w:rsidR="00CB556B" w:rsidRPr="00CB77D9" w:rsidRDefault="00CB556B" w:rsidP="00CB556B">
            <w:pPr>
              <w:spacing w:before="80" w:line="280" w:lineRule="exact"/>
              <w:jc w:val="right"/>
              <w:rPr>
                <w:rFonts w:ascii="Tahoma" w:hAnsi="Tahoma" w:cs="Tahoma"/>
                <w:b/>
                <w:bCs/>
                <w:iCs/>
                <w:color w:val="243285"/>
                <w:szCs w:val="24"/>
                <w:lang w:val="fr-CH"/>
              </w:rPr>
            </w:pPr>
            <w:r w:rsidRPr="00CB77D9">
              <w:rPr>
                <w:rFonts w:ascii="Tahoma" w:hAnsi="Tahoma" w:cs="Tahoma"/>
                <w:b/>
                <w:bCs/>
                <w:iCs/>
                <w:color w:val="243285"/>
                <w:szCs w:val="24"/>
                <w:lang w:val="fr-CH"/>
              </w:rPr>
              <w:t>(03/2011)</w:t>
            </w:r>
          </w:p>
        </w:tc>
      </w:tr>
      <w:tr w:rsidR="00CB556B" w:rsidRPr="00CB77D9">
        <w:tc>
          <w:tcPr>
            <w:tcW w:w="10089" w:type="dxa"/>
          </w:tcPr>
          <w:p w:rsidR="00CB556B" w:rsidRPr="00CB77D9" w:rsidRDefault="00CB556B" w:rsidP="0014322C">
            <w:pPr>
              <w:spacing w:before="80" w:line="500" w:lineRule="exact"/>
              <w:jc w:val="right"/>
              <w:rPr>
                <w:rFonts w:ascii="Tahoma" w:hAnsi="Tahoma" w:cs="Tahoma"/>
                <w:b/>
                <w:bCs/>
                <w:iCs/>
                <w:color w:val="243285"/>
                <w:sz w:val="44"/>
                <w:szCs w:val="44"/>
                <w:lang w:val="fr-CH"/>
              </w:rPr>
            </w:pPr>
          </w:p>
          <w:p w:rsidR="00CB556B" w:rsidRPr="00CB77D9" w:rsidRDefault="00CB556B" w:rsidP="00FD4389">
            <w:pPr>
              <w:spacing w:before="80"/>
              <w:jc w:val="right"/>
              <w:rPr>
                <w:rFonts w:ascii="Tahoma" w:hAnsi="Tahoma" w:cs="Tahoma"/>
                <w:b/>
                <w:bCs/>
                <w:color w:val="243285"/>
                <w:sz w:val="44"/>
                <w:szCs w:val="44"/>
                <w:lang w:val="fr-CH"/>
              </w:rPr>
            </w:pPr>
            <w:r w:rsidRPr="00CB77D9">
              <w:rPr>
                <w:rFonts w:ascii="Tahoma" w:hAnsi="Tahoma" w:cs="Tahoma"/>
                <w:b/>
                <w:bCs/>
                <w:color w:val="243285"/>
                <w:sz w:val="44"/>
                <w:szCs w:val="44"/>
                <w:lang w:val="fr-CH"/>
              </w:rPr>
              <w:t>Achemine</w:t>
            </w:r>
            <w:r w:rsidR="00FD4389">
              <w:rPr>
                <w:rFonts w:ascii="Tahoma" w:hAnsi="Tahoma" w:cs="Tahoma"/>
                <w:b/>
                <w:bCs/>
                <w:color w:val="243285"/>
                <w:sz w:val="44"/>
                <w:szCs w:val="44"/>
                <w:lang w:val="fr-CH"/>
              </w:rPr>
              <w:t xml:space="preserve">ment de paquets IP dans des </w:t>
            </w:r>
            <w:r w:rsidR="00FD4389">
              <w:rPr>
                <w:rFonts w:ascii="Tahoma" w:hAnsi="Tahoma" w:cs="Tahoma"/>
                <w:b/>
                <w:bCs/>
                <w:color w:val="243285"/>
                <w:sz w:val="44"/>
                <w:szCs w:val="44"/>
                <w:lang w:val="fr-CH"/>
              </w:rPr>
              <w:br/>
              <w:t xml:space="preserve">flux </w:t>
            </w:r>
            <w:r w:rsidRPr="00CB77D9">
              <w:rPr>
                <w:rFonts w:ascii="Tahoma" w:hAnsi="Tahoma" w:cs="Tahoma"/>
                <w:b/>
                <w:bCs/>
                <w:color w:val="243285"/>
                <w:sz w:val="44"/>
                <w:szCs w:val="44"/>
                <w:lang w:val="fr-CH"/>
              </w:rPr>
              <w:t>de transport MPEG-2</w:t>
            </w:r>
            <w:r w:rsidR="00FD4389">
              <w:rPr>
                <w:rFonts w:ascii="Tahoma" w:hAnsi="Tahoma" w:cs="Tahoma"/>
                <w:b/>
                <w:bCs/>
                <w:color w:val="243285"/>
                <w:sz w:val="44"/>
                <w:szCs w:val="44"/>
                <w:lang w:val="fr-CH"/>
              </w:rPr>
              <w:t xml:space="preserve"> pour la  </w:t>
            </w:r>
            <w:r w:rsidRPr="00CB77D9">
              <w:rPr>
                <w:rFonts w:ascii="Tahoma" w:hAnsi="Tahoma" w:cs="Tahoma"/>
                <w:b/>
                <w:bCs/>
                <w:color w:val="243285"/>
                <w:sz w:val="44"/>
                <w:szCs w:val="44"/>
                <w:lang w:val="fr-CH"/>
              </w:rPr>
              <w:t xml:space="preserve"> </w:t>
            </w:r>
          </w:p>
          <w:p w:rsidR="00CB556B" w:rsidRPr="00CB77D9" w:rsidRDefault="00CB556B" w:rsidP="00C32207">
            <w:pPr>
              <w:spacing w:before="80" w:line="500" w:lineRule="exact"/>
              <w:jc w:val="right"/>
              <w:rPr>
                <w:rFonts w:ascii="Tahoma" w:hAnsi="Tahoma" w:cs="Tahoma"/>
                <w:b/>
                <w:bCs/>
                <w:iCs/>
                <w:color w:val="243285"/>
                <w:sz w:val="44"/>
                <w:szCs w:val="44"/>
                <w:lang w:val="fr-CH"/>
              </w:rPr>
            </w:pPr>
            <w:r w:rsidRPr="00CB77D9">
              <w:rPr>
                <w:rFonts w:ascii="Tahoma" w:hAnsi="Tahoma" w:cs="Tahoma"/>
                <w:b/>
                <w:bCs/>
                <w:color w:val="243285"/>
                <w:sz w:val="44"/>
                <w:szCs w:val="44"/>
                <w:lang w:val="fr-CH"/>
              </w:rPr>
              <w:t>radiodiffusion multimédia</w:t>
            </w:r>
            <w:r w:rsidRPr="00CB77D9">
              <w:rPr>
                <w:rFonts w:ascii="Tahoma" w:hAnsi="Tahoma" w:cs="Tahoma"/>
                <w:b/>
                <w:bCs/>
                <w:iCs/>
                <w:color w:val="243285"/>
                <w:sz w:val="44"/>
                <w:szCs w:val="44"/>
                <w:lang w:val="fr-CH"/>
              </w:rPr>
              <w:t xml:space="preserve"> </w:t>
            </w:r>
          </w:p>
        </w:tc>
      </w:tr>
      <w:tr w:rsidR="00CB556B" w:rsidRPr="00CB77D9">
        <w:tc>
          <w:tcPr>
            <w:tcW w:w="10089" w:type="dxa"/>
          </w:tcPr>
          <w:p w:rsidR="00CB556B" w:rsidRPr="00CB77D9" w:rsidRDefault="00CB556B" w:rsidP="0014322C">
            <w:pPr>
              <w:spacing w:before="80" w:line="280" w:lineRule="exact"/>
              <w:ind w:right="640"/>
              <w:rPr>
                <w:rFonts w:ascii="Tahoma" w:hAnsi="Tahoma" w:cs="Tahoma"/>
                <w:b/>
                <w:bCs/>
                <w:iCs/>
                <w:color w:val="243285"/>
                <w:sz w:val="32"/>
                <w:szCs w:val="32"/>
                <w:lang w:val="fr-CH"/>
              </w:rPr>
            </w:pPr>
          </w:p>
          <w:p w:rsidR="00CB556B" w:rsidRPr="00CB77D9" w:rsidRDefault="00CB556B" w:rsidP="0014322C">
            <w:pPr>
              <w:spacing w:before="80" w:line="280" w:lineRule="exact"/>
              <w:ind w:right="640"/>
              <w:rPr>
                <w:rFonts w:ascii="Tahoma" w:hAnsi="Tahoma" w:cs="Tahoma"/>
                <w:b/>
                <w:bCs/>
                <w:iCs/>
                <w:color w:val="243285"/>
                <w:sz w:val="32"/>
                <w:szCs w:val="32"/>
                <w:lang w:val="fr-CH"/>
              </w:rPr>
            </w:pPr>
          </w:p>
          <w:p w:rsidR="00CB556B" w:rsidRPr="00CB77D9" w:rsidRDefault="00CB556B" w:rsidP="0014322C">
            <w:pPr>
              <w:spacing w:before="80" w:after="180" w:line="360" w:lineRule="exact"/>
              <w:ind w:right="720"/>
              <w:rPr>
                <w:rFonts w:ascii="Tahoma" w:hAnsi="Tahoma" w:cs="Tahoma"/>
                <w:b/>
                <w:bCs/>
                <w:iCs/>
                <w:color w:val="243285"/>
                <w:sz w:val="36"/>
                <w:szCs w:val="36"/>
                <w:lang w:val="fr-CH"/>
              </w:rPr>
            </w:pPr>
          </w:p>
          <w:p w:rsidR="00CB556B" w:rsidRPr="00CB77D9" w:rsidRDefault="00CB556B" w:rsidP="0014322C">
            <w:pPr>
              <w:spacing w:before="80" w:after="180" w:line="360" w:lineRule="exact"/>
              <w:jc w:val="right"/>
              <w:rPr>
                <w:rFonts w:ascii="Tahoma" w:hAnsi="Tahoma" w:cs="Tahoma"/>
                <w:b/>
                <w:bCs/>
                <w:iCs/>
                <w:color w:val="243285"/>
                <w:sz w:val="36"/>
                <w:szCs w:val="36"/>
                <w:lang w:val="fr-CH"/>
              </w:rPr>
            </w:pPr>
            <w:r w:rsidRPr="00CB77D9">
              <w:rPr>
                <w:rFonts w:ascii="Tahoma" w:hAnsi="Tahoma" w:cs="Tahoma"/>
                <w:b/>
                <w:bCs/>
                <w:iCs/>
                <w:color w:val="243285"/>
                <w:sz w:val="36"/>
                <w:szCs w:val="36"/>
                <w:lang w:val="fr-CH"/>
              </w:rPr>
              <w:t>Série BT</w:t>
            </w:r>
          </w:p>
          <w:p w:rsidR="00CB556B" w:rsidRPr="00CB77D9" w:rsidRDefault="00CB556B" w:rsidP="0014322C">
            <w:pPr>
              <w:spacing w:before="80" w:line="420" w:lineRule="exact"/>
              <w:jc w:val="right"/>
              <w:rPr>
                <w:rFonts w:ascii="Tahoma" w:hAnsi="Tahoma" w:cs="Tahoma"/>
                <w:b/>
                <w:iCs/>
                <w:color w:val="243285"/>
                <w:sz w:val="36"/>
                <w:szCs w:val="36"/>
                <w:lang w:val="fr-CH"/>
              </w:rPr>
            </w:pPr>
            <w:r w:rsidRPr="00CB77D9">
              <w:rPr>
                <w:rFonts w:ascii="Tahoma" w:hAnsi="Tahoma" w:cs="Tahoma"/>
                <w:b/>
                <w:bCs/>
                <w:color w:val="243285"/>
                <w:sz w:val="36"/>
                <w:szCs w:val="36"/>
                <w:lang w:val="fr-CH"/>
              </w:rPr>
              <w:t>Service de radiodiffusion télévisuelle</w:t>
            </w:r>
          </w:p>
        </w:tc>
      </w:tr>
    </w:tbl>
    <w:p w:rsidR="00CB556B" w:rsidRPr="00CB77D9" w:rsidRDefault="00CB556B" w:rsidP="0014322C">
      <w:pPr>
        <w:spacing w:before="80"/>
        <w:rPr>
          <w:i/>
          <w:sz w:val="22"/>
          <w:lang w:val="fr-CH"/>
        </w:rPr>
      </w:pPr>
    </w:p>
    <w:p w:rsidR="00CB556B" w:rsidRPr="00CB77D9" w:rsidRDefault="00CB556B" w:rsidP="0014322C">
      <w:pPr>
        <w:spacing w:before="80"/>
        <w:rPr>
          <w:i/>
          <w:sz w:val="22"/>
          <w:lang w:val="fr-CH"/>
        </w:rPr>
      </w:pPr>
    </w:p>
    <w:p w:rsidR="00CB556B" w:rsidRPr="00CB77D9" w:rsidRDefault="00CB556B" w:rsidP="0014322C">
      <w:pPr>
        <w:spacing w:before="80"/>
        <w:rPr>
          <w:i/>
          <w:sz w:val="22"/>
          <w:lang w:val="fr-CH"/>
        </w:rPr>
      </w:pPr>
    </w:p>
    <w:p w:rsidR="00CB556B" w:rsidRPr="00CB77D9" w:rsidRDefault="00CB556B" w:rsidP="0014322C">
      <w:pPr>
        <w:spacing w:before="80"/>
        <w:rPr>
          <w:i/>
          <w:sz w:val="22"/>
          <w:lang w:val="fr-CH"/>
        </w:rPr>
      </w:pPr>
    </w:p>
    <w:p w:rsidR="00CB556B" w:rsidRPr="00CB77D9" w:rsidRDefault="00CB556B" w:rsidP="0014322C">
      <w:pPr>
        <w:spacing w:before="80"/>
        <w:rPr>
          <w:i/>
          <w:sz w:val="22"/>
          <w:lang w:val="fr-CH"/>
        </w:rPr>
      </w:pPr>
    </w:p>
    <w:p w:rsidR="00CB556B" w:rsidRPr="00CB77D9" w:rsidRDefault="00CB556B" w:rsidP="0014322C">
      <w:pPr>
        <w:spacing w:before="80"/>
        <w:rPr>
          <w:i/>
          <w:sz w:val="22"/>
          <w:lang w:val="fr-CH"/>
        </w:rPr>
      </w:pPr>
    </w:p>
    <w:p w:rsidR="00CB556B" w:rsidRPr="00CB77D9" w:rsidRDefault="00CB556B" w:rsidP="0014322C">
      <w:pPr>
        <w:pStyle w:val="Equation"/>
        <w:tabs>
          <w:tab w:val="clear" w:pos="4820"/>
          <w:tab w:val="clear" w:pos="9639"/>
          <w:tab w:val="left" w:pos="1191"/>
          <w:tab w:val="left" w:pos="1588"/>
          <w:tab w:val="left" w:pos="1985"/>
        </w:tabs>
        <w:rPr>
          <w:rFonts w:ascii="Palatino Linotype" w:hAnsi="Palatino Linotype"/>
          <w:lang w:val="fr-CH"/>
        </w:rPr>
        <w:sectPr w:rsidR="00CB556B" w:rsidRPr="00CB77D9" w:rsidSect="0014322C">
          <w:headerReference w:type="even" r:id="rId9"/>
          <w:headerReference w:type="default" r:id="rId10"/>
          <w:pgSz w:w="11907" w:h="16834" w:code="9"/>
          <w:pgMar w:top="1418" w:right="1134" w:bottom="1134" w:left="1134" w:header="720" w:footer="482" w:gutter="0"/>
          <w:paperSrc w:first="15" w:other="15"/>
          <w:cols w:space="720"/>
        </w:sectPr>
      </w:pPr>
    </w:p>
    <w:p w:rsidR="00CB556B" w:rsidRPr="00CB77D9" w:rsidRDefault="00CB55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2" w:name="c2tope"/>
      <w:bookmarkEnd w:id="2"/>
      <w:r w:rsidRPr="00CB77D9">
        <w:rPr>
          <w:bCs/>
          <w:sz w:val="24"/>
          <w:szCs w:val="24"/>
          <w:lang w:val="fr-CH"/>
        </w:rPr>
        <w:lastRenderedPageBreak/>
        <w:t>Avant-propos</w:t>
      </w:r>
    </w:p>
    <w:p w:rsidR="00CB556B" w:rsidRPr="00CB77D9" w:rsidRDefault="00CB556B" w:rsidP="0014322C">
      <w:pPr>
        <w:spacing w:before="240"/>
        <w:rPr>
          <w:sz w:val="20"/>
          <w:lang w:val="fr-CH"/>
        </w:rPr>
      </w:pPr>
      <w:r w:rsidRPr="00CB77D9">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B556B" w:rsidRPr="00CB77D9" w:rsidRDefault="00CB556B" w:rsidP="0014322C">
      <w:pPr>
        <w:rPr>
          <w:sz w:val="20"/>
          <w:lang w:val="fr-CH"/>
        </w:rPr>
      </w:pPr>
      <w:r w:rsidRPr="00CB77D9">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CB556B" w:rsidRPr="00CB77D9" w:rsidRDefault="00CB556B" w:rsidP="0014322C">
      <w:pPr>
        <w:pStyle w:val="Heading1"/>
        <w:spacing w:before="360"/>
        <w:jc w:val="center"/>
        <w:rPr>
          <w:szCs w:val="24"/>
          <w:lang w:val="fr-CH"/>
        </w:rPr>
      </w:pPr>
      <w:r w:rsidRPr="00CB77D9">
        <w:rPr>
          <w:szCs w:val="24"/>
          <w:lang w:val="fr-CH"/>
        </w:rPr>
        <w:t>Politique en matière de droits de propriété intellectuelle (IPR)</w:t>
      </w:r>
    </w:p>
    <w:p w:rsidR="00CB556B" w:rsidRPr="00CB77D9" w:rsidRDefault="00CB556B" w:rsidP="0014322C">
      <w:pPr>
        <w:spacing w:before="240"/>
        <w:rPr>
          <w:sz w:val="20"/>
          <w:lang w:val="fr-CH"/>
        </w:rPr>
      </w:pPr>
      <w:r w:rsidRPr="00CB77D9">
        <w:rPr>
          <w:sz w:val="20"/>
          <w:lang w:val="fr-CH"/>
        </w:rPr>
        <w:t>La politique de l'UIT</w:t>
      </w:r>
      <w:r w:rsidRPr="00CB77D9">
        <w:rPr>
          <w:sz w:val="20"/>
          <w:lang w:val="fr-CH"/>
        </w:rPr>
        <w:noBreakHyphen/>
        <w:t>R en matière de droits de propriété intellectuelle est décrite dans la «Politique commune de l'UIT</w:t>
      </w:r>
      <w:r w:rsidRPr="00CB77D9">
        <w:rPr>
          <w:sz w:val="20"/>
          <w:lang w:val="fr-CH"/>
        </w:rPr>
        <w:noBreakHyphen/>
        <w:t>T, l'UIT</w:t>
      </w:r>
      <w:r w:rsidRPr="00CB77D9">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CB77D9">
          <w:rPr>
            <w:rStyle w:val="Hyperlink"/>
            <w:sz w:val="20"/>
            <w:lang w:val="fr-CH"/>
          </w:rPr>
          <w:t>http://www.itu.int/ITU-R/go/patents/fr</w:t>
        </w:r>
      </w:hyperlink>
      <w:r w:rsidRPr="00CB77D9">
        <w:rPr>
          <w:sz w:val="20"/>
          <w:lang w:val="fr-CH"/>
        </w:rPr>
        <w:t>, où l'on trouvera également les Lignes directrices pour la mise en oeuvre de la politique commune en matière de brevets de l'UIT</w:t>
      </w:r>
      <w:r w:rsidRPr="00CB77D9">
        <w:rPr>
          <w:sz w:val="20"/>
          <w:lang w:val="fr-CH"/>
        </w:rPr>
        <w:noBreakHyphen/>
        <w:t>T, l'UIT</w:t>
      </w:r>
      <w:r w:rsidRPr="00CB77D9">
        <w:rPr>
          <w:sz w:val="20"/>
          <w:lang w:val="fr-CH"/>
        </w:rPr>
        <w:noBreakHyphen/>
        <w:t>R, l'ISO et la CEI</w:t>
      </w:r>
      <w:r w:rsidRPr="00CB77D9" w:rsidDel="0061025C">
        <w:rPr>
          <w:sz w:val="20"/>
          <w:lang w:val="fr-CH"/>
        </w:rPr>
        <w:t xml:space="preserve"> </w:t>
      </w:r>
      <w:r w:rsidRPr="00CB77D9">
        <w:rPr>
          <w:sz w:val="20"/>
          <w:lang w:val="fr-CH"/>
        </w:rPr>
        <w:t>et la base de données en matière de brevets de l'UIT-R.</w:t>
      </w:r>
    </w:p>
    <w:p w:rsidR="00CB556B" w:rsidRPr="00CB77D9" w:rsidRDefault="00CB556B"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556B" w:rsidRPr="00CB77D9">
        <w:tc>
          <w:tcPr>
            <w:tcW w:w="9360" w:type="dxa"/>
            <w:gridSpan w:val="2"/>
          </w:tcPr>
          <w:p w:rsidR="00CB556B" w:rsidRPr="00CB77D9" w:rsidRDefault="00CB556B" w:rsidP="0014322C">
            <w:pPr>
              <w:pStyle w:val="Chaptitle"/>
              <w:keepLines w:val="0"/>
              <w:tabs>
                <w:tab w:val="clear" w:pos="794"/>
                <w:tab w:val="clear" w:pos="1191"/>
                <w:tab w:val="clear" w:pos="1588"/>
                <w:tab w:val="clear" w:pos="1985"/>
              </w:tabs>
              <w:overflowPunct/>
              <w:spacing w:before="140"/>
              <w:textAlignment w:val="auto"/>
              <w:rPr>
                <w:sz w:val="22"/>
                <w:szCs w:val="22"/>
                <w:lang w:val="fr-CH"/>
              </w:rPr>
            </w:pPr>
            <w:r w:rsidRPr="00CB77D9">
              <w:rPr>
                <w:sz w:val="22"/>
                <w:szCs w:val="22"/>
                <w:lang w:val="fr-CH"/>
              </w:rPr>
              <w:t xml:space="preserve">Séries des Recommandations UIT-R </w:t>
            </w:r>
          </w:p>
          <w:p w:rsidR="00CB556B" w:rsidRPr="00CB77D9" w:rsidRDefault="00CB55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B77D9">
              <w:rPr>
                <w:b w:val="0"/>
                <w:sz w:val="18"/>
                <w:szCs w:val="18"/>
                <w:lang w:val="fr-CH"/>
              </w:rPr>
              <w:t xml:space="preserve">(Egalement disponible en ligne: </w:t>
            </w:r>
            <w:hyperlink r:id="rId12" w:history="1">
              <w:r w:rsidRPr="00CB77D9">
                <w:rPr>
                  <w:rStyle w:val="Hyperlink"/>
                  <w:b w:val="0"/>
                  <w:bCs/>
                  <w:sz w:val="18"/>
                  <w:szCs w:val="18"/>
                  <w:lang w:val="fr-CH"/>
                </w:rPr>
                <w:t>http://www.itu.int/publ/R-REC/fr</w:t>
              </w:r>
            </w:hyperlink>
            <w:r w:rsidRPr="00CB77D9">
              <w:rPr>
                <w:b w:val="0"/>
                <w:bCs/>
                <w:sz w:val="18"/>
                <w:szCs w:val="18"/>
                <w:lang w:val="fr-CH"/>
              </w:rPr>
              <w:t>)</w:t>
            </w:r>
          </w:p>
        </w:tc>
      </w:tr>
      <w:tr w:rsidR="00CB556B" w:rsidRPr="00CB77D9">
        <w:tc>
          <w:tcPr>
            <w:tcW w:w="1140" w:type="dxa"/>
          </w:tcPr>
          <w:p w:rsidR="00CB556B" w:rsidRPr="00CB77D9" w:rsidRDefault="00CB556B" w:rsidP="0014322C">
            <w:pPr>
              <w:spacing w:before="90" w:after="100"/>
              <w:ind w:left="57"/>
              <w:rPr>
                <w:b/>
                <w:bCs/>
                <w:sz w:val="20"/>
                <w:lang w:val="fr-CH"/>
              </w:rPr>
            </w:pPr>
            <w:r w:rsidRPr="00CB77D9">
              <w:rPr>
                <w:b/>
                <w:bCs/>
                <w:sz w:val="20"/>
                <w:lang w:val="fr-CH"/>
              </w:rPr>
              <w:t>Séries</w:t>
            </w:r>
          </w:p>
        </w:tc>
        <w:tc>
          <w:tcPr>
            <w:tcW w:w="8220" w:type="dxa"/>
          </w:tcPr>
          <w:p w:rsidR="00CB556B" w:rsidRPr="00CB77D9" w:rsidRDefault="00CB55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CB77D9">
              <w:rPr>
                <w:bCs/>
                <w:sz w:val="20"/>
                <w:lang w:val="fr-CH"/>
              </w:rPr>
              <w:t>Titre</w:t>
            </w:r>
          </w:p>
        </w:tc>
      </w:tr>
      <w:tr w:rsidR="00CB556B" w:rsidRPr="00CB77D9" w:rsidTr="0014322C">
        <w:tc>
          <w:tcPr>
            <w:tcW w:w="1140" w:type="dxa"/>
            <w:tcBorders>
              <w:bottom w:val="nil"/>
            </w:tcBorders>
          </w:tcPr>
          <w:p w:rsidR="00CB556B" w:rsidRPr="00CB77D9" w:rsidRDefault="00CB556B" w:rsidP="0014322C">
            <w:pPr>
              <w:spacing w:before="30" w:after="30"/>
              <w:ind w:left="57"/>
              <w:rPr>
                <w:b/>
                <w:bCs/>
                <w:sz w:val="20"/>
                <w:lang w:val="fr-CH"/>
              </w:rPr>
            </w:pPr>
            <w:r w:rsidRPr="00CB77D9">
              <w:rPr>
                <w:b/>
                <w:bCs/>
                <w:sz w:val="20"/>
                <w:lang w:val="fr-CH"/>
              </w:rPr>
              <w:t>BO</w:t>
            </w:r>
          </w:p>
        </w:tc>
        <w:tc>
          <w:tcPr>
            <w:tcW w:w="8220" w:type="dxa"/>
            <w:tcBorders>
              <w:bottom w:val="nil"/>
            </w:tcBorders>
          </w:tcPr>
          <w:p w:rsidR="00CB556B" w:rsidRPr="00CB77D9" w:rsidRDefault="00CB55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B77D9">
              <w:rPr>
                <w:b w:val="0"/>
                <w:bCs/>
                <w:sz w:val="20"/>
                <w:lang w:val="fr-CH"/>
              </w:rPr>
              <w:t>Diffusion par satellite</w:t>
            </w:r>
          </w:p>
        </w:tc>
      </w:tr>
      <w:tr w:rsidR="00CB556B" w:rsidRPr="00CB77D9" w:rsidTr="0014322C">
        <w:tc>
          <w:tcPr>
            <w:tcW w:w="1140" w:type="dxa"/>
            <w:tcBorders>
              <w:top w:val="nil"/>
              <w:bottom w:val="nil"/>
            </w:tcBorders>
            <w:shd w:val="clear" w:color="auto" w:fill="auto"/>
          </w:tcPr>
          <w:p w:rsidR="00CB556B" w:rsidRPr="00CB77D9" w:rsidRDefault="00CB556B" w:rsidP="0014322C">
            <w:pPr>
              <w:spacing w:before="30" w:after="30"/>
              <w:ind w:left="57"/>
              <w:rPr>
                <w:rFonts w:ascii="Times New Roman Bold" w:hAnsi="Times New Roman Bold" w:cs="Times New Roman Bold"/>
                <w:sz w:val="20"/>
                <w:lang w:val="fr-CH"/>
              </w:rPr>
            </w:pPr>
            <w:r w:rsidRPr="00CB77D9">
              <w:rPr>
                <w:rFonts w:ascii="Times New Roman Bold" w:hAnsi="Times New Roman Bold" w:cs="Times New Roman Bold"/>
                <w:sz w:val="20"/>
                <w:lang w:val="fr-CH"/>
              </w:rPr>
              <w:t>BR</w:t>
            </w:r>
          </w:p>
        </w:tc>
        <w:tc>
          <w:tcPr>
            <w:tcW w:w="8220" w:type="dxa"/>
            <w:tcBorders>
              <w:top w:val="nil"/>
              <w:bottom w:val="nil"/>
            </w:tcBorders>
            <w:shd w:val="clear" w:color="auto" w:fill="auto"/>
          </w:tcPr>
          <w:p w:rsidR="00CB556B" w:rsidRPr="00CB77D9" w:rsidRDefault="00CB55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CB77D9">
              <w:rPr>
                <w:rFonts w:hAnsi="Times New Roman Bold"/>
                <w:b w:val="0"/>
                <w:sz w:val="20"/>
                <w:lang w:val="fr-CH"/>
              </w:rPr>
              <w:t>Enregistrement pour la production, l'archivage et la diffusion; films pour la t</w:t>
            </w:r>
            <w:r w:rsidRPr="00CB77D9">
              <w:rPr>
                <w:rFonts w:hAnsi="Times New Roman Bold"/>
                <w:b w:val="0"/>
                <w:sz w:val="20"/>
                <w:lang w:val="fr-CH"/>
              </w:rPr>
              <w:t>é</w:t>
            </w:r>
            <w:r w:rsidRPr="00CB77D9">
              <w:rPr>
                <w:rFonts w:hAnsi="Times New Roman Bold"/>
                <w:b w:val="0"/>
                <w:sz w:val="20"/>
                <w:lang w:val="fr-CH"/>
              </w:rPr>
              <w:t>l</w:t>
            </w:r>
            <w:r w:rsidRPr="00CB77D9">
              <w:rPr>
                <w:rFonts w:hAnsi="Times New Roman Bold"/>
                <w:b w:val="0"/>
                <w:sz w:val="20"/>
                <w:lang w:val="fr-CH"/>
              </w:rPr>
              <w:t>é</w:t>
            </w:r>
            <w:r w:rsidRPr="00CB77D9">
              <w:rPr>
                <w:rFonts w:hAnsi="Times New Roman Bold"/>
                <w:b w:val="0"/>
                <w:sz w:val="20"/>
                <w:lang w:val="fr-CH"/>
              </w:rPr>
              <w:t>vision</w:t>
            </w:r>
          </w:p>
        </w:tc>
      </w:tr>
      <w:tr w:rsidR="00CB556B" w:rsidRPr="00CB77D9" w:rsidTr="0014322C">
        <w:tc>
          <w:tcPr>
            <w:tcW w:w="1140" w:type="dxa"/>
            <w:tcBorders>
              <w:top w:val="nil"/>
              <w:bottom w:val="nil"/>
            </w:tcBorders>
          </w:tcPr>
          <w:p w:rsidR="00CB556B" w:rsidRPr="00CB77D9" w:rsidRDefault="00CB556B" w:rsidP="0014322C">
            <w:pPr>
              <w:spacing w:before="30" w:after="30"/>
              <w:ind w:left="57"/>
              <w:rPr>
                <w:b/>
                <w:bCs/>
                <w:sz w:val="20"/>
                <w:lang w:val="fr-CH"/>
              </w:rPr>
            </w:pPr>
            <w:r w:rsidRPr="00CB77D9">
              <w:rPr>
                <w:b/>
                <w:bCs/>
                <w:sz w:val="20"/>
                <w:lang w:val="fr-CH"/>
              </w:rPr>
              <w:t>BS</w:t>
            </w:r>
          </w:p>
        </w:tc>
        <w:tc>
          <w:tcPr>
            <w:tcW w:w="8220" w:type="dxa"/>
            <w:tcBorders>
              <w:top w:val="nil"/>
              <w:bottom w:val="nil"/>
            </w:tcBorders>
          </w:tcPr>
          <w:p w:rsidR="00CB556B" w:rsidRPr="00CB77D9" w:rsidRDefault="00CB55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B77D9">
              <w:rPr>
                <w:b w:val="0"/>
                <w:bCs/>
                <w:sz w:val="20"/>
                <w:lang w:val="fr-CH"/>
              </w:rPr>
              <w:t>Service de radiodiffusion sonore</w:t>
            </w:r>
          </w:p>
        </w:tc>
      </w:tr>
      <w:tr w:rsidR="00CB556B" w:rsidRPr="00CB77D9" w:rsidTr="0014322C">
        <w:tc>
          <w:tcPr>
            <w:tcW w:w="1140" w:type="dxa"/>
            <w:tcBorders>
              <w:top w:val="nil"/>
              <w:bottom w:val="nil"/>
            </w:tcBorders>
            <w:shd w:val="clear" w:color="auto" w:fill="F3F3F3"/>
          </w:tcPr>
          <w:p w:rsidR="00CB556B" w:rsidRPr="00CB77D9" w:rsidRDefault="00CB556B" w:rsidP="0014322C">
            <w:pPr>
              <w:spacing w:before="30" w:after="30"/>
              <w:ind w:left="57"/>
              <w:rPr>
                <w:rFonts w:ascii="Times New Roman Bold" w:hAnsi="Times New Roman Bold" w:cs="Times New Roman Bold"/>
                <w:b/>
                <w:bCs/>
                <w:color w:val="243285"/>
                <w:sz w:val="20"/>
                <w:lang w:val="fr-CH"/>
              </w:rPr>
            </w:pPr>
            <w:r w:rsidRPr="00CB77D9">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CB556B" w:rsidRPr="00CB77D9" w:rsidRDefault="00CB55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CB77D9">
              <w:rPr>
                <w:rFonts w:ascii="Times New Roman Bold" w:hAnsi="Times New Roman Bold" w:cs="Times New Roman Bold"/>
                <w:bCs/>
                <w:color w:val="243285"/>
                <w:sz w:val="20"/>
                <w:lang w:val="fr-CH"/>
              </w:rPr>
              <w:t>Service de radiodiffusion télévisuelle</w:t>
            </w:r>
          </w:p>
        </w:tc>
      </w:tr>
      <w:tr w:rsidR="00CB556B" w:rsidRPr="00CB77D9" w:rsidTr="0014322C">
        <w:tc>
          <w:tcPr>
            <w:tcW w:w="1140" w:type="dxa"/>
            <w:tcBorders>
              <w:top w:val="nil"/>
              <w:bottom w:val="nil"/>
            </w:tcBorders>
            <w:shd w:val="clear" w:color="auto" w:fill="auto"/>
          </w:tcPr>
          <w:p w:rsidR="00CB556B" w:rsidRPr="00CB77D9" w:rsidRDefault="00CB556B" w:rsidP="0014322C">
            <w:pPr>
              <w:spacing w:before="30" w:after="30"/>
              <w:ind w:left="57"/>
              <w:rPr>
                <w:b/>
                <w:bCs/>
                <w:sz w:val="20"/>
                <w:lang w:val="fr-CH"/>
              </w:rPr>
            </w:pPr>
            <w:r w:rsidRPr="00CB77D9">
              <w:rPr>
                <w:b/>
                <w:bCs/>
                <w:sz w:val="20"/>
                <w:lang w:val="fr-CH"/>
              </w:rPr>
              <w:t>F</w:t>
            </w:r>
          </w:p>
        </w:tc>
        <w:tc>
          <w:tcPr>
            <w:tcW w:w="8220" w:type="dxa"/>
            <w:tcBorders>
              <w:top w:val="nil"/>
              <w:bottom w:val="nil"/>
            </w:tcBorders>
            <w:shd w:val="clear" w:color="auto" w:fill="auto"/>
          </w:tcPr>
          <w:p w:rsidR="00CB556B" w:rsidRPr="00CB77D9" w:rsidRDefault="00CB556B"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B77D9">
              <w:rPr>
                <w:sz w:val="20"/>
                <w:lang w:val="fr-CH"/>
              </w:rPr>
              <w:t>Service fixe</w:t>
            </w:r>
          </w:p>
        </w:tc>
      </w:tr>
      <w:tr w:rsidR="00CB556B" w:rsidRPr="00CB77D9" w:rsidTr="0014322C">
        <w:tc>
          <w:tcPr>
            <w:tcW w:w="1140" w:type="dxa"/>
            <w:tcBorders>
              <w:top w:val="nil"/>
              <w:bottom w:val="nil"/>
            </w:tcBorders>
            <w:shd w:val="clear" w:color="auto" w:fill="auto"/>
          </w:tcPr>
          <w:p w:rsidR="00CB556B" w:rsidRPr="00CB77D9" w:rsidRDefault="00CB556B" w:rsidP="0014322C">
            <w:pPr>
              <w:spacing w:before="30" w:after="30"/>
              <w:ind w:left="57"/>
              <w:rPr>
                <w:b/>
                <w:bCs/>
                <w:sz w:val="20"/>
                <w:lang w:val="fr-CH"/>
              </w:rPr>
            </w:pPr>
            <w:r w:rsidRPr="00CB77D9">
              <w:rPr>
                <w:b/>
                <w:bCs/>
                <w:sz w:val="20"/>
                <w:lang w:val="fr-CH"/>
              </w:rPr>
              <w:t>M</w:t>
            </w:r>
          </w:p>
        </w:tc>
        <w:tc>
          <w:tcPr>
            <w:tcW w:w="8220" w:type="dxa"/>
            <w:tcBorders>
              <w:top w:val="nil"/>
              <w:bottom w:val="nil"/>
            </w:tcBorders>
            <w:shd w:val="clear" w:color="auto" w:fill="auto"/>
          </w:tcPr>
          <w:p w:rsidR="00CB556B" w:rsidRPr="00CB77D9" w:rsidRDefault="00CB556B"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B77D9">
              <w:rPr>
                <w:b w:val="0"/>
                <w:sz w:val="20"/>
                <w:lang w:val="fr-CH"/>
              </w:rPr>
              <w:t>Services mobile, de radiorepérage et d'amateur y compris les services par satellite associés</w:t>
            </w:r>
          </w:p>
        </w:tc>
      </w:tr>
      <w:tr w:rsidR="00CB556B" w:rsidRPr="00CB77D9" w:rsidTr="0014322C">
        <w:tc>
          <w:tcPr>
            <w:tcW w:w="1140" w:type="dxa"/>
            <w:tcBorders>
              <w:top w:val="nil"/>
            </w:tcBorders>
          </w:tcPr>
          <w:p w:rsidR="00CB556B" w:rsidRPr="00CB77D9" w:rsidRDefault="00CB556B" w:rsidP="0014322C">
            <w:pPr>
              <w:spacing w:before="30" w:after="30"/>
              <w:ind w:left="57"/>
              <w:rPr>
                <w:b/>
                <w:bCs/>
                <w:sz w:val="20"/>
                <w:lang w:val="fr-CH"/>
              </w:rPr>
            </w:pPr>
            <w:r w:rsidRPr="00CB77D9">
              <w:rPr>
                <w:b/>
                <w:bCs/>
                <w:sz w:val="20"/>
                <w:lang w:val="fr-CH"/>
              </w:rPr>
              <w:t>P</w:t>
            </w:r>
          </w:p>
        </w:tc>
        <w:tc>
          <w:tcPr>
            <w:tcW w:w="8220" w:type="dxa"/>
            <w:tcBorders>
              <w:top w:val="nil"/>
            </w:tcBorders>
          </w:tcPr>
          <w:p w:rsidR="00CB556B" w:rsidRPr="00CB77D9" w:rsidRDefault="00CB556B" w:rsidP="0014322C">
            <w:pPr>
              <w:spacing w:before="30" w:after="30"/>
              <w:rPr>
                <w:sz w:val="20"/>
                <w:lang w:val="fr-CH"/>
              </w:rPr>
            </w:pPr>
            <w:r w:rsidRPr="00CB77D9">
              <w:rPr>
                <w:sz w:val="20"/>
                <w:lang w:val="fr-CH"/>
              </w:rPr>
              <w:t>Propagation des ondes radioélectriques</w:t>
            </w:r>
          </w:p>
        </w:tc>
      </w:tr>
      <w:tr w:rsidR="00CB556B" w:rsidRPr="00CB77D9">
        <w:tc>
          <w:tcPr>
            <w:tcW w:w="1140" w:type="dxa"/>
          </w:tcPr>
          <w:p w:rsidR="00CB556B" w:rsidRPr="00CB77D9" w:rsidRDefault="00CB556B" w:rsidP="0014322C">
            <w:pPr>
              <w:spacing w:before="30" w:after="30"/>
              <w:ind w:left="57"/>
              <w:rPr>
                <w:b/>
                <w:bCs/>
                <w:sz w:val="20"/>
                <w:lang w:val="fr-CH"/>
              </w:rPr>
            </w:pPr>
            <w:r w:rsidRPr="00CB77D9">
              <w:rPr>
                <w:b/>
                <w:bCs/>
                <w:sz w:val="20"/>
                <w:lang w:val="fr-CH"/>
              </w:rPr>
              <w:t>RA</w:t>
            </w:r>
          </w:p>
        </w:tc>
        <w:tc>
          <w:tcPr>
            <w:tcW w:w="8220" w:type="dxa"/>
          </w:tcPr>
          <w:p w:rsidR="00CB556B" w:rsidRPr="00CB77D9" w:rsidRDefault="00CB556B"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B77D9">
              <w:rPr>
                <w:sz w:val="20"/>
                <w:lang w:val="fr-CH"/>
              </w:rPr>
              <w:t>Radio astronomie</w:t>
            </w:r>
          </w:p>
        </w:tc>
      </w:tr>
      <w:tr w:rsidR="00CB556B" w:rsidRPr="00CB77D9">
        <w:tc>
          <w:tcPr>
            <w:tcW w:w="1140" w:type="dxa"/>
          </w:tcPr>
          <w:p w:rsidR="00CB556B" w:rsidRPr="00CB77D9" w:rsidRDefault="00CB556B" w:rsidP="0014322C">
            <w:pPr>
              <w:spacing w:before="30" w:after="30"/>
              <w:ind w:left="57"/>
              <w:rPr>
                <w:b/>
                <w:bCs/>
                <w:sz w:val="20"/>
                <w:lang w:val="fr-CH"/>
              </w:rPr>
            </w:pPr>
            <w:r w:rsidRPr="00CB77D9">
              <w:rPr>
                <w:b/>
                <w:bCs/>
                <w:sz w:val="20"/>
                <w:lang w:val="fr-CH"/>
              </w:rPr>
              <w:t>RS</w:t>
            </w:r>
          </w:p>
        </w:tc>
        <w:tc>
          <w:tcPr>
            <w:tcW w:w="8220" w:type="dxa"/>
          </w:tcPr>
          <w:p w:rsidR="00CB556B" w:rsidRPr="00CB77D9" w:rsidRDefault="00CB556B"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B77D9">
              <w:rPr>
                <w:sz w:val="20"/>
                <w:lang w:val="fr-CH"/>
              </w:rPr>
              <w:t>Systèmes de télédétection</w:t>
            </w:r>
          </w:p>
        </w:tc>
      </w:tr>
      <w:tr w:rsidR="00CB556B" w:rsidRPr="00CB77D9">
        <w:tc>
          <w:tcPr>
            <w:tcW w:w="1140" w:type="dxa"/>
          </w:tcPr>
          <w:p w:rsidR="00CB556B" w:rsidRPr="00CB77D9" w:rsidRDefault="00CB556B" w:rsidP="0014322C">
            <w:pPr>
              <w:spacing w:before="30" w:after="30"/>
              <w:ind w:left="57"/>
              <w:rPr>
                <w:b/>
                <w:bCs/>
                <w:sz w:val="20"/>
                <w:lang w:val="fr-CH"/>
              </w:rPr>
            </w:pPr>
            <w:r w:rsidRPr="00CB77D9">
              <w:rPr>
                <w:b/>
                <w:bCs/>
                <w:sz w:val="20"/>
                <w:lang w:val="fr-CH"/>
              </w:rPr>
              <w:t>S</w:t>
            </w:r>
          </w:p>
        </w:tc>
        <w:tc>
          <w:tcPr>
            <w:tcW w:w="8220" w:type="dxa"/>
          </w:tcPr>
          <w:p w:rsidR="00CB556B" w:rsidRPr="00CB77D9" w:rsidRDefault="00CB556B" w:rsidP="0014322C">
            <w:pPr>
              <w:spacing w:before="30" w:after="30"/>
              <w:rPr>
                <w:sz w:val="20"/>
                <w:lang w:val="fr-CH"/>
              </w:rPr>
            </w:pPr>
            <w:r w:rsidRPr="00CB77D9">
              <w:rPr>
                <w:sz w:val="20"/>
                <w:lang w:val="fr-CH"/>
              </w:rPr>
              <w:t>Service fixe par satellite</w:t>
            </w:r>
          </w:p>
        </w:tc>
      </w:tr>
      <w:tr w:rsidR="00CB556B" w:rsidRPr="00CB77D9">
        <w:tc>
          <w:tcPr>
            <w:tcW w:w="1140" w:type="dxa"/>
          </w:tcPr>
          <w:p w:rsidR="00CB556B" w:rsidRPr="00CB77D9" w:rsidRDefault="00CB556B" w:rsidP="0014322C">
            <w:pPr>
              <w:spacing w:before="30" w:after="30"/>
              <w:ind w:left="57"/>
              <w:rPr>
                <w:b/>
                <w:bCs/>
                <w:sz w:val="20"/>
                <w:lang w:val="fr-CH"/>
              </w:rPr>
            </w:pPr>
            <w:r w:rsidRPr="00CB77D9">
              <w:rPr>
                <w:b/>
                <w:bCs/>
                <w:sz w:val="20"/>
                <w:lang w:val="fr-CH"/>
              </w:rPr>
              <w:t>SA</w:t>
            </w:r>
          </w:p>
        </w:tc>
        <w:tc>
          <w:tcPr>
            <w:tcW w:w="8220" w:type="dxa"/>
          </w:tcPr>
          <w:p w:rsidR="00CB556B" w:rsidRPr="00CB77D9" w:rsidRDefault="00CB556B" w:rsidP="0014322C">
            <w:pPr>
              <w:spacing w:before="30" w:after="30"/>
              <w:rPr>
                <w:sz w:val="20"/>
                <w:lang w:val="fr-CH"/>
              </w:rPr>
            </w:pPr>
            <w:r w:rsidRPr="00CB77D9">
              <w:rPr>
                <w:sz w:val="20"/>
                <w:lang w:val="fr-CH"/>
              </w:rPr>
              <w:t>Applications spatiales et météorologie</w:t>
            </w:r>
          </w:p>
        </w:tc>
      </w:tr>
      <w:tr w:rsidR="00CB556B" w:rsidRPr="00CB77D9">
        <w:tc>
          <w:tcPr>
            <w:tcW w:w="1140" w:type="dxa"/>
          </w:tcPr>
          <w:p w:rsidR="00CB556B" w:rsidRPr="00CB77D9" w:rsidRDefault="00CB556B" w:rsidP="0014322C">
            <w:pPr>
              <w:spacing w:before="30" w:after="30"/>
              <w:ind w:left="57"/>
              <w:rPr>
                <w:b/>
                <w:bCs/>
                <w:sz w:val="20"/>
                <w:lang w:val="fr-CH"/>
              </w:rPr>
            </w:pPr>
            <w:r w:rsidRPr="00CB77D9">
              <w:rPr>
                <w:b/>
                <w:bCs/>
                <w:sz w:val="20"/>
                <w:lang w:val="fr-CH"/>
              </w:rPr>
              <w:t>SF</w:t>
            </w:r>
          </w:p>
        </w:tc>
        <w:tc>
          <w:tcPr>
            <w:tcW w:w="8220" w:type="dxa"/>
          </w:tcPr>
          <w:p w:rsidR="00CB556B" w:rsidRPr="00CB77D9" w:rsidRDefault="00CB556B" w:rsidP="0014322C">
            <w:pPr>
              <w:spacing w:before="30" w:after="30"/>
              <w:rPr>
                <w:sz w:val="20"/>
                <w:lang w:val="fr-CH"/>
              </w:rPr>
            </w:pPr>
            <w:r w:rsidRPr="00CB77D9">
              <w:rPr>
                <w:sz w:val="20"/>
                <w:lang w:val="fr-CH"/>
              </w:rPr>
              <w:t>Partage des fréquences et coordination entre les systèmes du service fixe par satellite et du service fixe</w:t>
            </w:r>
          </w:p>
        </w:tc>
      </w:tr>
      <w:tr w:rsidR="00CB556B" w:rsidRPr="00CB77D9">
        <w:tc>
          <w:tcPr>
            <w:tcW w:w="1140" w:type="dxa"/>
            <w:shd w:val="clear" w:color="auto" w:fill="auto"/>
          </w:tcPr>
          <w:p w:rsidR="00CB556B" w:rsidRPr="00CB77D9" w:rsidRDefault="00CB556B" w:rsidP="0014322C">
            <w:pPr>
              <w:spacing w:before="30" w:after="30"/>
              <w:ind w:left="57"/>
              <w:rPr>
                <w:b/>
                <w:bCs/>
                <w:sz w:val="20"/>
                <w:lang w:val="fr-CH"/>
              </w:rPr>
            </w:pPr>
            <w:r w:rsidRPr="00CB77D9">
              <w:rPr>
                <w:b/>
                <w:bCs/>
                <w:sz w:val="20"/>
                <w:lang w:val="fr-CH"/>
              </w:rPr>
              <w:t>SM</w:t>
            </w:r>
          </w:p>
        </w:tc>
        <w:tc>
          <w:tcPr>
            <w:tcW w:w="8220" w:type="dxa"/>
            <w:shd w:val="clear" w:color="auto" w:fill="auto"/>
          </w:tcPr>
          <w:p w:rsidR="00CB556B" w:rsidRPr="00CB77D9" w:rsidRDefault="00CB556B" w:rsidP="0014322C">
            <w:pPr>
              <w:spacing w:before="30" w:after="30"/>
              <w:rPr>
                <w:sz w:val="20"/>
                <w:lang w:val="fr-CH"/>
              </w:rPr>
            </w:pPr>
            <w:r w:rsidRPr="00CB77D9">
              <w:rPr>
                <w:sz w:val="20"/>
                <w:lang w:val="fr-CH"/>
              </w:rPr>
              <w:t>Gestion du spectre</w:t>
            </w:r>
          </w:p>
        </w:tc>
      </w:tr>
      <w:tr w:rsidR="00CB556B" w:rsidRPr="00CB77D9">
        <w:tc>
          <w:tcPr>
            <w:tcW w:w="1140" w:type="dxa"/>
          </w:tcPr>
          <w:p w:rsidR="00CB556B" w:rsidRPr="00CB77D9" w:rsidRDefault="00CB556B" w:rsidP="0014322C">
            <w:pPr>
              <w:spacing w:before="30" w:after="30"/>
              <w:ind w:left="57"/>
              <w:rPr>
                <w:b/>
                <w:bCs/>
                <w:sz w:val="20"/>
                <w:lang w:val="fr-CH"/>
              </w:rPr>
            </w:pPr>
            <w:r w:rsidRPr="00CB77D9">
              <w:rPr>
                <w:b/>
                <w:bCs/>
                <w:sz w:val="20"/>
                <w:lang w:val="fr-CH"/>
              </w:rPr>
              <w:t>SNG</w:t>
            </w:r>
          </w:p>
        </w:tc>
        <w:tc>
          <w:tcPr>
            <w:tcW w:w="8220" w:type="dxa"/>
          </w:tcPr>
          <w:p w:rsidR="00CB556B" w:rsidRPr="00CB77D9" w:rsidRDefault="00CB556B" w:rsidP="0014322C">
            <w:pPr>
              <w:spacing w:before="30" w:after="30"/>
              <w:rPr>
                <w:sz w:val="20"/>
                <w:lang w:val="fr-CH"/>
              </w:rPr>
            </w:pPr>
            <w:r w:rsidRPr="00CB77D9">
              <w:rPr>
                <w:sz w:val="20"/>
                <w:lang w:val="fr-CH"/>
              </w:rPr>
              <w:t>Reportage d'actualités par satellite</w:t>
            </w:r>
          </w:p>
        </w:tc>
      </w:tr>
      <w:tr w:rsidR="00CB556B" w:rsidRPr="00CB77D9">
        <w:tc>
          <w:tcPr>
            <w:tcW w:w="1140" w:type="dxa"/>
          </w:tcPr>
          <w:p w:rsidR="00CB556B" w:rsidRPr="00CB77D9" w:rsidRDefault="00CB556B" w:rsidP="0014322C">
            <w:pPr>
              <w:spacing w:before="30" w:after="30"/>
              <w:ind w:left="57"/>
              <w:rPr>
                <w:b/>
                <w:bCs/>
                <w:sz w:val="20"/>
                <w:lang w:val="fr-CH"/>
              </w:rPr>
            </w:pPr>
            <w:r w:rsidRPr="00CB77D9">
              <w:rPr>
                <w:b/>
                <w:bCs/>
                <w:sz w:val="20"/>
                <w:lang w:val="fr-CH"/>
              </w:rPr>
              <w:t>TF</w:t>
            </w:r>
          </w:p>
        </w:tc>
        <w:tc>
          <w:tcPr>
            <w:tcW w:w="8220" w:type="dxa"/>
          </w:tcPr>
          <w:p w:rsidR="00CB556B" w:rsidRPr="00CB77D9" w:rsidRDefault="00CB556B" w:rsidP="0014322C">
            <w:pPr>
              <w:spacing w:before="30" w:after="30"/>
              <w:rPr>
                <w:sz w:val="20"/>
                <w:lang w:val="fr-CH"/>
              </w:rPr>
            </w:pPr>
            <w:r w:rsidRPr="00CB77D9">
              <w:rPr>
                <w:sz w:val="20"/>
                <w:lang w:val="fr-CH"/>
              </w:rPr>
              <w:t>Emissions de fréquences étalon et de signaux horaires</w:t>
            </w:r>
          </w:p>
        </w:tc>
      </w:tr>
      <w:tr w:rsidR="00CB556B" w:rsidRPr="00CB77D9">
        <w:tc>
          <w:tcPr>
            <w:tcW w:w="1140" w:type="dxa"/>
          </w:tcPr>
          <w:p w:rsidR="00CB556B" w:rsidRPr="00CB77D9" w:rsidRDefault="00CB556B" w:rsidP="0014322C">
            <w:pPr>
              <w:spacing w:before="30" w:after="30"/>
              <w:ind w:left="57"/>
              <w:rPr>
                <w:b/>
                <w:bCs/>
                <w:sz w:val="20"/>
                <w:lang w:val="fr-CH"/>
              </w:rPr>
            </w:pPr>
            <w:r w:rsidRPr="00CB77D9">
              <w:rPr>
                <w:b/>
                <w:bCs/>
                <w:sz w:val="20"/>
                <w:lang w:val="fr-CH"/>
              </w:rPr>
              <w:t>V</w:t>
            </w:r>
          </w:p>
        </w:tc>
        <w:tc>
          <w:tcPr>
            <w:tcW w:w="8220" w:type="dxa"/>
          </w:tcPr>
          <w:p w:rsidR="00CB556B" w:rsidRPr="00CB77D9" w:rsidRDefault="00CB556B" w:rsidP="0014322C">
            <w:pPr>
              <w:spacing w:before="30" w:after="140"/>
              <w:rPr>
                <w:sz w:val="20"/>
                <w:lang w:val="fr-CH"/>
              </w:rPr>
            </w:pPr>
            <w:r w:rsidRPr="00CB77D9">
              <w:rPr>
                <w:sz w:val="20"/>
                <w:lang w:val="fr-CH"/>
              </w:rPr>
              <w:t>Vocabulaire et sujets associés</w:t>
            </w:r>
          </w:p>
        </w:tc>
      </w:tr>
    </w:tbl>
    <w:p w:rsidR="00CB556B" w:rsidRPr="00CB77D9" w:rsidRDefault="00CB556B" w:rsidP="0014322C">
      <w:pPr>
        <w:spacing w:before="0"/>
        <w:jc w:val="center"/>
        <w:rPr>
          <w:sz w:val="20"/>
          <w:lang w:val="fr-CH"/>
        </w:rPr>
      </w:pPr>
    </w:p>
    <w:p w:rsidR="00CB556B" w:rsidRPr="00CB77D9" w:rsidRDefault="00CB556B" w:rsidP="0014322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B556B" w:rsidRPr="00CB77D9">
        <w:tc>
          <w:tcPr>
            <w:tcW w:w="9360" w:type="dxa"/>
          </w:tcPr>
          <w:p w:rsidR="00CB556B" w:rsidRPr="00CB77D9" w:rsidRDefault="00CB556B" w:rsidP="0014322C">
            <w:pPr>
              <w:spacing w:before="80" w:after="80"/>
              <w:jc w:val="left"/>
              <w:rPr>
                <w:i/>
                <w:iCs/>
                <w:sz w:val="20"/>
                <w:lang w:val="fr-CH"/>
              </w:rPr>
            </w:pPr>
            <w:r w:rsidRPr="00CB77D9">
              <w:rPr>
                <w:b/>
                <w:bCs/>
                <w:i/>
                <w:iCs/>
                <w:sz w:val="20"/>
                <w:lang w:val="fr-CH"/>
              </w:rPr>
              <w:t xml:space="preserve">    Note</w:t>
            </w:r>
            <w:r w:rsidRPr="00CB77D9">
              <w:rPr>
                <w:i/>
                <w:iCs/>
                <w:sz w:val="20"/>
                <w:lang w:val="fr-CH"/>
              </w:rPr>
              <w:t>: Cette Recommandation UIT-R a été approuvée en anglais aux termes de la procédure détaillée dans la</w:t>
            </w:r>
            <w:r w:rsidRPr="00CB77D9">
              <w:rPr>
                <w:i/>
                <w:iCs/>
                <w:sz w:val="20"/>
                <w:lang w:val="fr-CH"/>
              </w:rPr>
              <w:br/>
              <w:t xml:space="preserve">   Résolution UIT-R 1. </w:t>
            </w:r>
          </w:p>
        </w:tc>
      </w:tr>
    </w:tbl>
    <w:p w:rsidR="00CB556B" w:rsidRPr="00CB77D9" w:rsidRDefault="00CB556B" w:rsidP="0014322C">
      <w:pPr>
        <w:spacing w:before="0"/>
        <w:jc w:val="center"/>
        <w:rPr>
          <w:sz w:val="22"/>
          <w:lang w:val="fr-CH"/>
        </w:rPr>
      </w:pPr>
    </w:p>
    <w:p w:rsidR="00CB556B" w:rsidRPr="00CB77D9" w:rsidRDefault="00CB556B" w:rsidP="0014322C">
      <w:pPr>
        <w:spacing w:before="100"/>
        <w:jc w:val="right"/>
        <w:rPr>
          <w:i/>
          <w:iCs/>
          <w:sz w:val="20"/>
          <w:lang w:val="fr-CH"/>
        </w:rPr>
      </w:pPr>
      <w:r w:rsidRPr="00CB77D9">
        <w:rPr>
          <w:i/>
          <w:iCs/>
          <w:sz w:val="20"/>
          <w:lang w:val="fr-CH"/>
        </w:rPr>
        <w:t>Publication électronique</w:t>
      </w:r>
    </w:p>
    <w:p w:rsidR="00CB556B" w:rsidRPr="00CB77D9" w:rsidRDefault="00CB556B" w:rsidP="00CB556B">
      <w:pPr>
        <w:spacing w:before="0"/>
        <w:jc w:val="right"/>
        <w:rPr>
          <w:sz w:val="20"/>
          <w:lang w:val="fr-CH"/>
        </w:rPr>
      </w:pPr>
      <w:r w:rsidRPr="00CB77D9">
        <w:rPr>
          <w:sz w:val="20"/>
          <w:lang w:val="fr-CH"/>
        </w:rPr>
        <w:t>Genève, 2011</w:t>
      </w:r>
    </w:p>
    <w:p w:rsidR="00CB556B" w:rsidRPr="00CB77D9" w:rsidRDefault="00CB556B" w:rsidP="009D3E41">
      <w:pPr>
        <w:spacing w:before="200"/>
        <w:jc w:val="center"/>
        <w:rPr>
          <w:sz w:val="20"/>
          <w:lang w:val="fr-CH"/>
        </w:rPr>
      </w:pPr>
      <w:r w:rsidRPr="00CB77D9">
        <w:rPr>
          <w:sz w:val="20"/>
          <w:lang w:val="fr-CH"/>
        </w:rPr>
        <w:sym w:font="Symbol" w:char="F0E3"/>
      </w:r>
      <w:r w:rsidRPr="00CB77D9">
        <w:rPr>
          <w:sz w:val="20"/>
          <w:lang w:val="fr-CH"/>
        </w:rPr>
        <w:t xml:space="preserve"> UIT </w:t>
      </w:r>
      <w:bookmarkStart w:id="3" w:name="iiannee"/>
      <w:bookmarkEnd w:id="3"/>
      <w:r w:rsidRPr="00CB77D9">
        <w:rPr>
          <w:sz w:val="20"/>
          <w:lang w:val="fr-CH"/>
        </w:rPr>
        <w:t>2011</w:t>
      </w:r>
    </w:p>
    <w:p w:rsidR="00CB556B" w:rsidRPr="00CB77D9" w:rsidRDefault="00CB556B" w:rsidP="0014322C">
      <w:pPr>
        <w:rPr>
          <w:sz w:val="18"/>
          <w:szCs w:val="18"/>
          <w:lang w:val="fr-CH"/>
        </w:rPr>
      </w:pPr>
      <w:r w:rsidRPr="00CB77D9">
        <w:rPr>
          <w:sz w:val="18"/>
          <w:szCs w:val="18"/>
          <w:lang w:val="fr-CH"/>
        </w:rPr>
        <w:t>Tous droits réservés. Aucune partie de cette publication ne peut être reproduite, par quelque procédé que ce soit, sans l’accord écrit préalable de l’UIT.</w:t>
      </w:r>
    </w:p>
    <w:p w:rsidR="00CB556B" w:rsidRPr="00CB77D9" w:rsidRDefault="00CB556B" w:rsidP="0014322C">
      <w:pPr>
        <w:spacing w:before="160"/>
        <w:rPr>
          <w:i/>
          <w:sz w:val="20"/>
          <w:highlight w:val="yellow"/>
          <w:lang w:val="fr-CH"/>
        </w:rPr>
        <w:sectPr w:rsidR="00CB556B" w:rsidRPr="00CB77D9" w:rsidSect="0014322C">
          <w:headerReference w:type="even" r:id="rId13"/>
          <w:headerReference w:type="default" r:id="rId14"/>
          <w:pgSz w:w="11907" w:h="16834" w:code="9"/>
          <w:pgMar w:top="1418" w:right="1134" w:bottom="1134" w:left="1134" w:header="720" w:footer="482" w:gutter="0"/>
          <w:pgNumType w:fmt="lowerRoman" w:start="2"/>
          <w:cols w:space="720"/>
        </w:sectPr>
      </w:pPr>
    </w:p>
    <w:p w:rsidR="00CB556B" w:rsidRPr="00CB77D9" w:rsidRDefault="00CB556B" w:rsidP="00CB556B">
      <w:pPr>
        <w:pStyle w:val="RecNo"/>
        <w:spacing w:before="0"/>
        <w:rPr>
          <w:lang w:val="fr-CH"/>
        </w:rPr>
      </w:pPr>
      <w:bookmarkStart w:id="4" w:name="irecnoe"/>
      <w:bookmarkEnd w:id="4"/>
      <w:r w:rsidRPr="00CB77D9">
        <w:rPr>
          <w:lang w:val="fr-CH"/>
        </w:rPr>
        <w:lastRenderedPageBreak/>
        <w:t xml:space="preserve">RECOMMANDATION  </w:t>
      </w:r>
      <w:r w:rsidRPr="00CB77D9">
        <w:rPr>
          <w:rStyle w:val="href"/>
          <w:lang w:val="fr-CH"/>
        </w:rPr>
        <w:t>UIT-R  BT</w:t>
      </w:r>
      <w:bookmarkEnd w:id="0"/>
      <w:r w:rsidRPr="00CB77D9">
        <w:rPr>
          <w:rStyle w:val="href"/>
          <w:lang w:val="fr-CH"/>
        </w:rPr>
        <w:t>.1887</w:t>
      </w:r>
    </w:p>
    <w:p w:rsidR="00CB556B" w:rsidRPr="00CB77D9" w:rsidRDefault="00CB556B" w:rsidP="00291C24">
      <w:pPr>
        <w:pStyle w:val="Rectitle"/>
        <w:rPr>
          <w:lang w:val="fr-CH"/>
        </w:rPr>
      </w:pPr>
      <w:r w:rsidRPr="00CB77D9">
        <w:rPr>
          <w:lang w:val="fr-CH"/>
        </w:rPr>
        <w:t>Acheminement de paquets IP dans des flux de transport MPEG 2</w:t>
      </w:r>
      <w:r w:rsidR="00291C24" w:rsidRPr="00CB77D9">
        <w:rPr>
          <w:lang w:val="fr-CH"/>
        </w:rPr>
        <w:br/>
      </w:r>
      <w:r w:rsidRPr="00CB77D9">
        <w:rPr>
          <w:lang w:val="fr-CH"/>
        </w:rPr>
        <w:t>pour la radiodiffusion multimédia</w:t>
      </w:r>
      <w:r w:rsidRPr="00CB77D9">
        <w:rPr>
          <w:rStyle w:val="FootnoteReference"/>
          <w:lang w:val="fr-CH"/>
        </w:rPr>
        <w:t xml:space="preserve"> </w:t>
      </w:r>
    </w:p>
    <w:p w:rsidR="00CB556B" w:rsidRPr="00CB77D9" w:rsidRDefault="00CB556B" w:rsidP="00CB556B">
      <w:pPr>
        <w:pStyle w:val="Recref"/>
        <w:rPr>
          <w:lang w:val="fr-CH"/>
        </w:rPr>
      </w:pPr>
      <w:r w:rsidRPr="00CB77D9">
        <w:rPr>
          <w:lang w:val="fr-CH"/>
        </w:rPr>
        <w:t>(Question UIT-R 45-2/6)</w:t>
      </w:r>
    </w:p>
    <w:p w:rsidR="00CB556B" w:rsidRPr="00CB77D9" w:rsidRDefault="00CB556B" w:rsidP="00CB556B">
      <w:pPr>
        <w:pStyle w:val="Recdate"/>
        <w:rPr>
          <w:lang w:val="fr-CH"/>
        </w:rPr>
      </w:pPr>
      <w:r w:rsidRPr="00CB77D9">
        <w:rPr>
          <w:lang w:val="fr-CH"/>
        </w:rPr>
        <w:t>(2011)</w:t>
      </w:r>
    </w:p>
    <w:p w:rsidR="00CB556B" w:rsidRPr="00CB77D9" w:rsidRDefault="00CB556B" w:rsidP="00CB556B">
      <w:pPr>
        <w:pStyle w:val="HeadingSum"/>
        <w:rPr>
          <w:lang w:val="fr-CH"/>
        </w:rPr>
      </w:pPr>
      <w:r w:rsidRPr="00CB77D9">
        <w:rPr>
          <w:lang w:val="fr-CH"/>
        </w:rPr>
        <w:t>Domaine d'application</w:t>
      </w:r>
    </w:p>
    <w:p w:rsidR="00CB556B" w:rsidRPr="00CB77D9" w:rsidRDefault="00CB556B" w:rsidP="00CB556B">
      <w:pPr>
        <w:pStyle w:val="Summary"/>
        <w:rPr>
          <w:lang w:val="fr-CH"/>
        </w:rPr>
      </w:pPr>
      <w:r w:rsidRPr="00CB77D9">
        <w:rPr>
          <w:lang w:val="fr-CH"/>
        </w:rPr>
        <w:t>La présente Recommandation porte sur l'acheminement de paquets IP dans des flux de transport MPEG-2 pour la radiodiffusion numérique multimédia. Elle spécifie les techniques d'encapsulation et les techniques de compression d'en-têtes IP.</w:t>
      </w:r>
    </w:p>
    <w:p w:rsidR="00CB556B" w:rsidRPr="00CB77D9" w:rsidRDefault="00CB556B" w:rsidP="00291C24">
      <w:pPr>
        <w:pStyle w:val="Normalaftertitle"/>
        <w:rPr>
          <w:lang w:val="fr-CH" w:eastAsia="ja-JP"/>
        </w:rPr>
      </w:pPr>
      <w:r w:rsidRPr="00CB77D9">
        <w:rPr>
          <w:lang w:val="fr-CH"/>
        </w:rPr>
        <w:t>L'Assemblée des radiocommunications de l'UIT,</w:t>
      </w:r>
    </w:p>
    <w:p w:rsidR="00CB556B" w:rsidRPr="00CB77D9" w:rsidRDefault="00CB556B" w:rsidP="00291C24">
      <w:pPr>
        <w:pStyle w:val="Call"/>
        <w:rPr>
          <w:lang w:val="fr-CH" w:eastAsia="ja-JP"/>
        </w:rPr>
      </w:pPr>
      <w:r w:rsidRPr="00CB77D9">
        <w:rPr>
          <w:lang w:val="fr-CH" w:eastAsia="ja-JP"/>
        </w:rPr>
        <w:t xml:space="preserve">considérant </w:t>
      </w:r>
    </w:p>
    <w:p w:rsidR="00CB556B" w:rsidRPr="00CB77D9" w:rsidRDefault="00CB556B" w:rsidP="00CB556B">
      <w:pPr>
        <w:rPr>
          <w:lang w:val="fr-CH" w:eastAsia="ja-JP"/>
        </w:rPr>
      </w:pPr>
      <w:r w:rsidRPr="00CB77D9">
        <w:rPr>
          <w:lang w:val="fr-CH" w:eastAsia="ja-JP"/>
        </w:rPr>
        <w:t>a)</w:t>
      </w:r>
      <w:r w:rsidRPr="00CB77D9">
        <w:rPr>
          <w:lang w:val="fr-CH" w:eastAsia="ja-JP"/>
        </w:rPr>
        <w:tab/>
        <w:t>que divers types de signaux pour services multimédias peuvent être transmis dans le cadre de la radiodiffusion numérique;</w:t>
      </w:r>
    </w:p>
    <w:p w:rsidR="00CB556B" w:rsidRPr="00CB77D9" w:rsidRDefault="00CB556B" w:rsidP="00CB556B">
      <w:pPr>
        <w:rPr>
          <w:lang w:val="fr-CH" w:eastAsia="ja-JP"/>
        </w:rPr>
      </w:pPr>
      <w:r w:rsidRPr="00CB77D9">
        <w:rPr>
          <w:lang w:val="fr-CH" w:eastAsia="ja-JP"/>
        </w:rPr>
        <w:t>b)</w:t>
      </w:r>
      <w:r w:rsidRPr="00CB77D9">
        <w:rPr>
          <w:lang w:val="fr-CH" w:eastAsia="ja-JP"/>
        </w:rPr>
        <w:tab/>
        <w:t>que la Recommandation UIT-T H.222.0 (systèmes MPEG-2) décrit les méthodes de transport de services et de multiplexage des services utilisées par la plupart des systèmes de radiodiffusion numérique;</w:t>
      </w:r>
    </w:p>
    <w:p w:rsidR="00CB556B" w:rsidRPr="00CB77D9" w:rsidRDefault="00CB556B" w:rsidP="00CB556B">
      <w:pPr>
        <w:rPr>
          <w:lang w:val="fr-CH" w:eastAsia="ja-JP"/>
        </w:rPr>
      </w:pPr>
      <w:r w:rsidRPr="00CB77D9">
        <w:rPr>
          <w:lang w:val="fr-CH" w:eastAsia="ja-JP"/>
        </w:rPr>
        <w:t>c)</w:t>
      </w:r>
      <w:r w:rsidRPr="00CB77D9">
        <w:rPr>
          <w:lang w:val="fr-CH" w:eastAsia="ja-JP"/>
        </w:rPr>
        <w:tab/>
        <w:t>qu'avec l'accélération du développement des réseaux de télécommunication IP, l'utilisation d'un paquet IP est aujourd'hui une autre méthode de transport pour divers types de signaux;</w:t>
      </w:r>
    </w:p>
    <w:p w:rsidR="00CB556B" w:rsidRPr="00CB77D9" w:rsidRDefault="00CB556B" w:rsidP="00CB556B">
      <w:pPr>
        <w:rPr>
          <w:lang w:val="fr-CH" w:eastAsia="ja-JP"/>
        </w:rPr>
      </w:pPr>
      <w:r w:rsidRPr="00CB77D9">
        <w:rPr>
          <w:lang w:val="fr-CH" w:eastAsia="ja-JP"/>
        </w:rPr>
        <w:t>d)</w:t>
      </w:r>
      <w:r w:rsidRPr="00CB77D9">
        <w:rPr>
          <w:lang w:val="fr-CH" w:eastAsia="ja-JP"/>
        </w:rPr>
        <w:tab/>
        <w:t>que la demande d'harmonisation des services de radiodiffusion et des services de télécommunication est de plus en plus forte;</w:t>
      </w:r>
    </w:p>
    <w:p w:rsidR="00CB556B" w:rsidRPr="00CB77D9" w:rsidRDefault="00CB556B" w:rsidP="00CB556B">
      <w:pPr>
        <w:rPr>
          <w:lang w:val="fr-CH" w:eastAsia="ja-JP"/>
        </w:rPr>
      </w:pPr>
      <w:r w:rsidRPr="00CB77D9">
        <w:rPr>
          <w:lang w:val="fr-CH" w:eastAsia="ja-JP"/>
        </w:rPr>
        <w:t>e)</w:t>
      </w:r>
      <w:r w:rsidRPr="00CB77D9">
        <w:rPr>
          <w:lang w:val="fr-CH" w:eastAsia="ja-JP"/>
        </w:rPr>
        <w:tab/>
        <w:t>que, dans le cas des systèmes de radiodiffusion numérique existants ne prenant en charge, comme format du flux à l'entrée, que les flux de transport MPEG-2, il est souhaitable de pouvoir acheminer des paquets IP dans un flux de transport MPEG-2;</w:t>
      </w:r>
    </w:p>
    <w:p w:rsidR="00CB556B" w:rsidRPr="00CB77D9" w:rsidRDefault="00CB556B" w:rsidP="00CB556B">
      <w:pPr>
        <w:rPr>
          <w:lang w:val="fr-CH" w:eastAsia="ja-JP"/>
        </w:rPr>
      </w:pPr>
      <w:r w:rsidRPr="00CB77D9">
        <w:rPr>
          <w:lang w:val="fr-CH" w:eastAsia="ja-JP"/>
        </w:rPr>
        <w:t>f)</w:t>
      </w:r>
      <w:r w:rsidRPr="00CB77D9">
        <w:rPr>
          <w:lang w:val="fr-CH" w:eastAsia="ja-JP"/>
        </w:rPr>
        <w:tab/>
        <w:t>qu'il est souhaitable de limiter le nombre de mécanismes d'encapsulation utilisés par les différents systèmes de radiodiffusion,</w:t>
      </w:r>
    </w:p>
    <w:p w:rsidR="00CB556B" w:rsidRPr="00CB77D9" w:rsidRDefault="00CB556B" w:rsidP="00291C24">
      <w:pPr>
        <w:pStyle w:val="Call"/>
        <w:rPr>
          <w:lang w:val="fr-CH" w:eastAsia="ja-JP"/>
        </w:rPr>
      </w:pPr>
      <w:r w:rsidRPr="00CB77D9">
        <w:rPr>
          <w:lang w:val="fr-CH" w:eastAsia="ja-JP"/>
        </w:rPr>
        <w:t>recommande</w:t>
      </w:r>
    </w:p>
    <w:p w:rsidR="00CB556B" w:rsidRPr="00CB77D9" w:rsidRDefault="00CB556B" w:rsidP="00CB556B">
      <w:pPr>
        <w:rPr>
          <w:lang w:val="fr-CH" w:eastAsia="ja-JP"/>
        </w:rPr>
      </w:pPr>
      <w:r w:rsidRPr="00CB77D9">
        <w:rPr>
          <w:b/>
          <w:lang w:val="fr-CH" w:eastAsia="ja-JP"/>
        </w:rPr>
        <w:t>1</w:t>
      </w:r>
      <w:r w:rsidRPr="00CB77D9">
        <w:rPr>
          <w:lang w:val="fr-CH" w:eastAsia="ja-JP"/>
        </w:rPr>
        <w:tab/>
        <w:t>d'utiliser les mécanismes d'encapsulation décrits dans l'Annexe 1 pour l'acheminement des paquets IP dans des flux de transport MPEG-2 pour la radiodiffusion multimédia;</w:t>
      </w:r>
    </w:p>
    <w:p w:rsidR="00CB556B" w:rsidRPr="00CB77D9" w:rsidRDefault="00CB556B" w:rsidP="00CB556B">
      <w:pPr>
        <w:rPr>
          <w:lang w:val="fr-CH"/>
        </w:rPr>
      </w:pPr>
      <w:r w:rsidRPr="00CB77D9">
        <w:rPr>
          <w:b/>
          <w:lang w:val="fr-CH"/>
        </w:rPr>
        <w:t>2</w:t>
      </w:r>
      <w:r w:rsidRPr="00CB77D9">
        <w:rPr>
          <w:lang w:val="fr-CH"/>
        </w:rPr>
        <w:tab/>
        <w:t>que la conformité avec la présente Recommandation soit facultative. Toutefois, la présente Recommandation pourra contenir des dispositions obligatoires (pour garantir par exemple l'interopérabilité et l'applicabilité) et il y a conformité avec la présente Recommandation dès lors que toutes ces dispositions obligatoires sont appliquées. L'utilisation du verbe «devoir» ou de toute autre expression exprimant une obligation, comme le verbe «falloir», ainsi que l'utilisation de leur forme négative, servent à énoncer des exigences et ne doivent en aucun cas être interprétées comme impliquant la conformité partielle ou totale avec la présente Recommandation.</w:t>
      </w:r>
    </w:p>
    <w:p w:rsidR="00CB556B" w:rsidRPr="00CB77D9" w:rsidRDefault="00CB556B" w:rsidP="00563EA9">
      <w:pPr>
        <w:pStyle w:val="AnnexNoTitle"/>
        <w:rPr>
          <w:lang w:val="fr-CH"/>
        </w:rPr>
      </w:pPr>
      <w:r w:rsidRPr="00CB77D9">
        <w:rPr>
          <w:lang w:val="fr-CH" w:eastAsia="ja-JP"/>
        </w:rPr>
        <w:lastRenderedPageBreak/>
        <w:t>Annexe 1</w:t>
      </w:r>
      <w:r w:rsidRPr="00CB77D9">
        <w:rPr>
          <w:lang w:val="fr-CH" w:eastAsia="ja-JP"/>
        </w:rPr>
        <w:br/>
      </w:r>
      <w:r w:rsidRPr="00CB77D9">
        <w:rPr>
          <w:lang w:val="fr-CH" w:eastAsia="ja-JP"/>
        </w:rPr>
        <w:br/>
      </w:r>
      <w:r w:rsidRPr="00CB77D9">
        <w:rPr>
          <w:lang w:val="fr-CH"/>
        </w:rPr>
        <w:t xml:space="preserve">Acheminement de paquets IP dans des flux de transport MPEG 2 </w:t>
      </w:r>
      <w:r w:rsidRPr="00CB77D9">
        <w:rPr>
          <w:lang w:val="fr-CH"/>
        </w:rPr>
        <w:br/>
        <w:t>pour la radiodiffusion multimédia</w:t>
      </w:r>
    </w:p>
    <w:p w:rsidR="00CB556B" w:rsidRPr="00CB77D9" w:rsidRDefault="00CB556B" w:rsidP="00563EA9">
      <w:pPr>
        <w:pStyle w:val="Reftitle"/>
        <w:rPr>
          <w:lang w:val="fr-CH"/>
        </w:rPr>
      </w:pPr>
      <w:r w:rsidRPr="00CB77D9">
        <w:rPr>
          <w:lang w:val="fr-CH"/>
        </w:rPr>
        <w:t>Références</w:t>
      </w:r>
    </w:p>
    <w:p w:rsidR="00CB556B" w:rsidRPr="00CB77D9" w:rsidRDefault="00CB556B" w:rsidP="00CB556B">
      <w:pPr>
        <w:pStyle w:val="Headingb"/>
        <w:rPr>
          <w:lang w:val="fr-CH" w:eastAsia="ja-JP"/>
        </w:rPr>
      </w:pPr>
      <w:r w:rsidRPr="00CB77D9">
        <w:rPr>
          <w:lang w:val="fr-CH" w:eastAsia="ja-JP"/>
        </w:rPr>
        <w:t>Références normatives</w:t>
      </w:r>
    </w:p>
    <w:p w:rsidR="00CB556B" w:rsidRPr="00CB77D9" w:rsidRDefault="00CB556B" w:rsidP="00C32207">
      <w:pPr>
        <w:pStyle w:val="Reftext"/>
        <w:rPr>
          <w:lang w:val="fr-CH"/>
        </w:rPr>
      </w:pPr>
      <w:r w:rsidRPr="00CB77D9">
        <w:rPr>
          <w:lang w:val="fr-CH"/>
        </w:rPr>
        <w:t>[1]</w:t>
      </w:r>
      <w:r w:rsidRPr="00CB77D9">
        <w:rPr>
          <w:lang w:val="fr-CH"/>
        </w:rPr>
        <w:tab/>
      </w:r>
      <w:r w:rsidRPr="00CB77D9">
        <w:rPr>
          <w:lang w:val="fr-CH" w:eastAsia="ja-JP"/>
        </w:rPr>
        <w:t>Recommandation UIT-T H.222.0 (2006): Technologies de l'information</w:t>
      </w:r>
      <w:r w:rsidR="00C32207" w:rsidRPr="00CB77D9">
        <w:rPr>
          <w:lang w:val="fr-CH" w:eastAsia="ja-JP"/>
        </w:rPr>
        <w:t xml:space="preserve"> </w:t>
      </w:r>
      <w:r w:rsidRPr="00CB77D9">
        <w:rPr>
          <w:lang w:val="fr-CH" w:eastAsia="ja-JP"/>
        </w:rPr>
        <w:t>– Codage générique d'images animées et information audio associée: Systèmes.</w:t>
      </w:r>
    </w:p>
    <w:p w:rsidR="00CB556B" w:rsidRPr="00CB77D9" w:rsidRDefault="00CB556B" w:rsidP="00291C24">
      <w:pPr>
        <w:pStyle w:val="Reftext"/>
        <w:rPr>
          <w:lang w:val="fr-CH"/>
        </w:rPr>
      </w:pPr>
      <w:r w:rsidRPr="00CB77D9">
        <w:rPr>
          <w:lang w:val="fr-CH"/>
        </w:rPr>
        <w:t>[2]</w:t>
      </w:r>
      <w:r w:rsidRPr="00CB77D9">
        <w:rPr>
          <w:lang w:val="fr-CH"/>
        </w:rPr>
        <w:tab/>
        <w:t>ISO/CEI 13818-6 (1998), Technologies de l'information – Codage générique des images animées et des informations sonores associées – Partie 6: Extensions pour DSM-CC.</w:t>
      </w:r>
    </w:p>
    <w:p w:rsidR="00CB556B" w:rsidRPr="00CB77D9" w:rsidRDefault="00CB556B" w:rsidP="00291C24">
      <w:pPr>
        <w:pStyle w:val="Reftext"/>
        <w:rPr>
          <w:lang w:val="fr-CH"/>
        </w:rPr>
      </w:pPr>
      <w:r w:rsidRPr="00CB77D9">
        <w:rPr>
          <w:lang w:val="fr-CH"/>
        </w:rPr>
        <w:t>[3]</w:t>
      </w:r>
      <w:r w:rsidRPr="00CB77D9">
        <w:rPr>
          <w:lang w:val="fr-CH"/>
        </w:rPr>
        <w:tab/>
        <w:t>Recommandation UIT-R BT.1869 (2010): Schéma de multiplexage de paquets de longueur variable dans des systèmes de diffusion multimédias numériques.</w:t>
      </w:r>
    </w:p>
    <w:p w:rsidR="00CB556B" w:rsidRPr="00FD4389" w:rsidRDefault="00CB556B" w:rsidP="00291C24">
      <w:pPr>
        <w:pStyle w:val="Reftext"/>
        <w:rPr>
          <w:lang w:val="en-US"/>
        </w:rPr>
      </w:pPr>
      <w:r w:rsidRPr="00FD4389">
        <w:rPr>
          <w:lang w:val="en-US"/>
        </w:rPr>
        <w:t>[4]</w:t>
      </w:r>
      <w:r w:rsidRPr="00FD4389">
        <w:rPr>
          <w:lang w:val="en-US"/>
        </w:rPr>
        <w:tab/>
        <w:t>IETF RFC 3095 (juillet 2001): Robust Header Compression (ROHC): Framework and four profiles: RTP, UDP, ESP, and uncompressed.</w:t>
      </w:r>
    </w:p>
    <w:p w:rsidR="00CB556B" w:rsidRPr="00CB77D9" w:rsidRDefault="00CB556B" w:rsidP="00291C24">
      <w:pPr>
        <w:pStyle w:val="Reftext"/>
        <w:rPr>
          <w:lang w:val="fr-CH"/>
        </w:rPr>
      </w:pPr>
      <w:r w:rsidRPr="00FD4389">
        <w:rPr>
          <w:lang w:val="en-US"/>
        </w:rPr>
        <w:tab/>
      </w:r>
      <w:r w:rsidRPr="00CB77D9">
        <w:rPr>
          <w:lang w:val="fr-CH"/>
        </w:rPr>
        <w:t xml:space="preserve">Cette norme IETF est disponible à l'adresse </w:t>
      </w:r>
      <w:hyperlink r:id="rId15" w:history="1">
        <w:r w:rsidRPr="00CB77D9">
          <w:rPr>
            <w:rStyle w:val="Hyperlink"/>
            <w:lang w:val="fr-CH"/>
          </w:rPr>
          <w:t>http://www.ietf.org/rfc/rfc3095.txt</w:t>
        </w:r>
      </w:hyperlink>
      <w:r w:rsidRPr="00CB77D9">
        <w:rPr>
          <w:rStyle w:val="Hyperlink"/>
          <w:lang w:val="fr-CH"/>
        </w:rPr>
        <w:t>.</w:t>
      </w:r>
    </w:p>
    <w:p w:rsidR="00CB556B" w:rsidRPr="00FD4389" w:rsidRDefault="00CB556B" w:rsidP="00291C24">
      <w:pPr>
        <w:pStyle w:val="Reftext"/>
        <w:rPr>
          <w:lang w:val="en-US"/>
        </w:rPr>
      </w:pPr>
      <w:r w:rsidRPr="00FD4389">
        <w:rPr>
          <w:lang w:val="en-US"/>
        </w:rPr>
        <w:t>[5]</w:t>
      </w:r>
      <w:r w:rsidRPr="00FD4389">
        <w:rPr>
          <w:lang w:val="en-US"/>
        </w:rPr>
        <w:tab/>
        <w:t>IETF RFC 4326 (décembre 2005): Unidirectional Lightweight Encapsulation (ULE) for Transmission of IP Datagrams over an MPEG 2 Transport Stream (TS).</w:t>
      </w:r>
    </w:p>
    <w:p w:rsidR="00CB556B" w:rsidRPr="00CB77D9" w:rsidRDefault="00CB556B" w:rsidP="00291C24">
      <w:pPr>
        <w:pStyle w:val="Reftext"/>
        <w:rPr>
          <w:lang w:val="fr-CH"/>
        </w:rPr>
      </w:pPr>
      <w:r w:rsidRPr="00FD4389">
        <w:rPr>
          <w:lang w:val="en-US"/>
        </w:rPr>
        <w:tab/>
      </w:r>
      <w:r w:rsidRPr="00CB77D9">
        <w:rPr>
          <w:lang w:val="fr-CH"/>
        </w:rPr>
        <w:t xml:space="preserve">Cette norme IETF est disponible à l'adresse </w:t>
      </w:r>
      <w:hyperlink r:id="rId16" w:history="1">
        <w:r w:rsidRPr="00CB77D9">
          <w:rPr>
            <w:rStyle w:val="Hyperlink"/>
            <w:lang w:val="fr-CH"/>
          </w:rPr>
          <w:t>http://www.ietf.org/rfc/rfc4326.txt</w:t>
        </w:r>
      </w:hyperlink>
      <w:r w:rsidRPr="00CB77D9">
        <w:rPr>
          <w:lang w:val="fr-CH"/>
        </w:rPr>
        <w:t>.</w:t>
      </w:r>
    </w:p>
    <w:p w:rsidR="00CB556B" w:rsidRPr="00FD4389" w:rsidRDefault="00CB556B" w:rsidP="00291C24">
      <w:pPr>
        <w:pStyle w:val="Reftext"/>
        <w:rPr>
          <w:lang w:val="en-US" w:eastAsia="ja-JP"/>
        </w:rPr>
      </w:pPr>
      <w:r w:rsidRPr="00FD4389">
        <w:rPr>
          <w:lang w:val="en-US" w:eastAsia="ja-JP"/>
        </w:rPr>
        <w:t xml:space="preserve">[6] </w:t>
      </w:r>
      <w:r w:rsidRPr="00FD4389">
        <w:rPr>
          <w:lang w:val="en-US" w:eastAsia="ja-JP"/>
        </w:rPr>
        <w:tab/>
        <w:t>ATSC Doc. A/90 (juillet 2000): ATSC Data Broadcast Standard.</w:t>
      </w:r>
    </w:p>
    <w:p w:rsidR="00CB556B" w:rsidRPr="00FD4389" w:rsidRDefault="00CB556B" w:rsidP="00291C24">
      <w:pPr>
        <w:pStyle w:val="Reftext"/>
        <w:rPr>
          <w:lang w:val="en-US" w:eastAsia="ja-JP"/>
        </w:rPr>
      </w:pPr>
      <w:r w:rsidRPr="00FD4389">
        <w:rPr>
          <w:lang w:val="en-US" w:eastAsia="ja-JP"/>
        </w:rPr>
        <w:t xml:space="preserve">[7] </w:t>
      </w:r>
      <w:r w:rsidRPr="00FD4389">
        <w:rPr>
          <w:lang w:val="en-US" w:eastAsia="ja-JP"/>
        </w:rPr>
        <w:tab/>
        <w:t>ATSC Doc. A/92 (janvier 2002): ATSC Standard: Delivery of IP Multicast Sessions over ATSC Data Broadcast.</w:t>
      </w:r>
    </w:p>
    <w:p w:rsidR="00CB556B" w:rsidRPr="00FD4389" w:rsidRDefault="00CB556B" w:rsidP="00291C24">
      <w:pPr>
        <w:pStyle w:val="Reftext"/>
        <w:rPr>
          <w:lang w:val="en-US"/>
        </w:rPr>
      </w:pPr>
      <w:r w:rsidRPr="00FD4389">
        <w:rPr>
          <w:lang w:val="en-US"/>
        </w:rPr>
        <w:t xml:space="preserve">[8] </w:t>
      </w:r>
      <w:r w:rsidRPr="00FD4389">
        <w:rPr>
          <w:lang w:val="en-US"/>
        </w:rPr>
        <w:tab/>
        <w:t>ETSI EN 301 192 v1.5.1 (2009-11): Digital Video Broadcasting (DVB); DVB specification for data broadcasting.</w:t>
      </w:r>
    </w:p>
    <w:p w:rsidR="00CB556B" w:rsidRPr="00CB77D9" w:rsidRDefault="00CB556B" w:rsidP="00291C24">
      <w:pPr>
        <w:pStyle w:val="Reftext"/>
        <w:rPr>
          <w:lang w:val="fr-CH"/>
        </w:rPr>
      </w:pPr>
      <w:r w:rsidRPr="00CB77D9">
        <w:rPr>
          <w:lang w:val="fr-CH"/>
        </w:rPr>
        <w:t xml:space="preserve">[9] </w:t>
      </w:r>
      <w:r w:rsidRPr="00CB77D9">
        <w:rPr>
          <w:lang w:val="fr-CH"/>
        </w:rPr>
        <w:tab/>
        <w:t>IETF RFC 791 (septembre 1981): Internet Protocol.</w:t>
      </w:r>
    </w:p>
    <w:p w:rsidR="00CB556B" w:rsidRPr="00CB77D9" w:rsidRDefault="00CB556B" w:rsidP="00291C24">
      <w:pPr>
        <w:pStyle w:val="Reftext"/>
        <w:rPr>
          <w:lang w:val="fr-CH"/>
        </w:rPr>
      </w:pPr>
      <w:r w:rsidRPr="00CB77D9">
        <w:rPr>
          <w:lang w:val="fr-CH"/>
        </w:rPr>
        <w:tab/>
        <w:t xml:space="preserve">Cette norme IETF est disponible à l'adresse </w:t>
      </w:r>
      <w:hyperlink r:id="rId17" w:history="1">
        <w:r w:rsidRPr="00CB77D9">
          <w:rPr>
            <w:rStyle w:val="Hyperlink"/>
            <w:lang w:val="fr-CH"/>
          </w:rPr>
          <w:t>http://www.ietf.org/rfc/rfc791.txt</w:t>
        </w:r>
      </w:hyperlink>
      <w:r w:rsidRPr="00CB77D9">
        <w:rPr>
          <w:lang w:val="fr-CH"/>
        </w:rPr>
        <w:t xml:space="preserve">. </w:t>
      </w:r>
    </w:p>
    <w:p w:rsidR="00CB556B" w:rsidRPr="00CB77D9" w:rsidRDefault="00CB556B" w:rsidP="00291C24">
      <w:pPr>
        <w:pStyle w:val="Reftext"/>
        <w:rPr>
          <w:lang w:val="fr-CH"/>
        </w:rPr>
      </w:pPr>
      <w:r w:rsidRPr="00CB77D9">
        <w:rPr>
          <w:lang w:val="fr-CH"/>
        </w:rPr>
        <w:t xml:space="preserve">[10] </w:t>
      </w:r>
      <w:r w:rsidRPr="00CB77D9">
        <w:rPr>
          <w:lang w:val="fr-CH"/>
        </w:rPr>
        <w:tab/>
        <w:t>IETF RFC 2460 (décembre 1998): Internet Protocol, Version 6 (IPv6) Specification.</w:t>
      </w:r>
    </w:p>
    <w:p w:rsidR="00CB556B" w:rsidRPr="00CB77D9" w:rsidRDefault="00CB556B" w:rsidP="00291C24">
      <w:pPr>
        <w:pStyle w:val="Reftext"/>
        <w:rPr>
          <w:lang w:val="fr-CH"/>
        </w:rPr>
      </w:pPr>
      <w:r w:rsidRPr="00CB77D9">
        <w:rPr>
          <w:lang w:val="fr-CH"/>
        </w:rPr>
        <w:tab/>
        <w:t xml:space="preserve">Cette norme IETF est disponible à l'adresse </w:t>
      </w:r>
      <w:hyperlink r:id="rId18" w:history="1">
        <w:r w:rsidRPr="00CB77D9">
          <w:rPr>
            <w:rStyle w:val="Hyperlink"/>
            <w:lang w:val="fr-CH"/>
          </w:rPr>
          <w:t>http://www.ietf.org/rfc/rfc2460.txt</w:t>
        </w:r>
      </w:hyperlink>
      <w:r w:rsidRPr="00CB77D9">
        <w:rPr>
          <w:lang w:val="fr-CH"/>
        </w:rPr>
        <w:t xml:space="preserve">. </w:t>
      </w:r>
    </w:p>
    <w:p w:rsidR="00CB556B" w:rsidRPr="00CB77D9" w:rsidRDefault="00CB556B" w:rsidP="00291C24">
      <w:pPr>
        <w:pStyle w:val="Reftext"/>
        <w:rPr>
          <w:lang w:val="fr-CH"/>
        </w:rPr>
      </w:pPr>
      <w:r w:rsidRPr="00CB77D9">
        <w:rPr>
          <w:lang w:val="fr-CH"/>
        </w:rPr>
        <w:t xml:space="preserve">[11] </w:t>
      </w:r>
      <w:r w:rsidRPr="00CB77D9">
        <w:rPr>
          <w:lang w:val="fr-CH"/>
        </w:rPr>
        <w:tab/>
        <w:t>ISO/CEI 8802-2 (1998): Technologies de l'information – Télécommunications et échange d'information entre systèmes – Réseaux locaux et métropolitains – Exigences spécifiques – Partie 2: Contrôle de liaison logique.</w:t>
      </w:r>
    </w:p>
    <w:p w:rsidR="00CB556B" w:rsidRPr="00CB77D9" w:rsidRDefault="00CB556B" w:rsidP="00291C24">
      <w:pPr>
        <w:pStyle w:val="Reftext"/>
        <w:rPr>
          <w:lang w:val="fr-CH"/>
        </w:rPr>
      </w:pPr>
      <w:r w:rsidRPr="00CB77D9">
        <w:rPr>
          <w:lang w:val="fr-CH"/>
        </w:rPr>
        <w:t>[12]</w:t>
      </w:r>
      <w:r w:rsidRPr="00CB77D9">
        <w:rPr>
          <w:lang w:val="fr-CH"/>
        </w:rPr>
        <w:tab/>
        <w:t>ISO/CEI TR 8802-1 (2001): Technologies de l'information – Télécommunications et échange d'information entre systèmes – Réseaux locaux et métropolitains – Exigences spécifiques – Partie 1: Vue d'ensemble des normes de réseaux locaux.</w:t>
      </w:r>
    </w:p>
    <w:p w:rsidR="00CB556B" w:rsidRPr="00CB77D9" w:rsidRDefault="00CB556B" w:rsidP="00291C24">
      <w:pPr>
        <w:pStyle w:val="Reftext"/>
        <w:rPr>
          <w:lang w:val="fr-CH"/>
        </w:rPr>
      </w:pPr>
      <w:r w:rsidRPr="00CB77D9">
        <w:rPr>
          <w:lang w:val="fr-CH"/>
        </w:rPr>
        <w:t xml:space="preserve">[13] </w:t>
      </w:r>
      <w:r w:rsidRPr="00CB77D9">
        <w:rPr>
          <w:lang w:val="fr-CH"/>
        </w:rPr>
        <w:tab/>
        <w:t>Recommandation UIT-T J.122 (2007) – Systèmes de transmission de deuxième génération pour les services interactifs de télévision par câble</w:t>
      </w:r>
      <w:r w:rsidR="00563EA9" w:rsidRPr="00CB77D9">
        <w:rPr>
          <w:lang w:val="fr-CH"/>
        </w:rPr>
        <w:t xml:space="preserve"> – </w:t>
      </w:r>
      <w:r w:rsidRPr="00CB77D9">
        <w:rPr>
          <w:lang w:val="fr-CH"/>
        </w:rPr>
        <w:t>Câblo-modems pour protocole IP.</w:t>
      </w:r>
    </w:p>
    <w:p w:rsidR="00CB556B" w:rsidRPr="00CB77D9" w:rsidRDefault="00CB556B" w:rsidP="00291C24">
      <w:pPr>
        <w:pStyle w:val="Reftext"/>
        <w:rPr>
          <w:lang w:val="fr-CH"/>
        </w:rPr>
      </w:pPr>
      <w:r w:rsidRPr="00CB77D9">
        <w:rPr>
          <w:lang w:val="fr-CH"/>
        </w:rPr>
        <w:t xml:space="preserve">[14] </w:t>
      </w:r>
      <w:r w:rsidRPr="00CB77D9">
        <w:rPr>
          <w:lang w:val="fr-CH"/>
        </w:rPr>
        <w:tab/>
        <w:t>Recommandation UIT-T J.222.2 (2007) – Systèmes de transmission de troisième génération pour les services interactifs de télévision par câble – Câblo-modems IP: protocoles de la couche MAC et des couches supérieures.</w:t>
      </w:r>
    </w:p>
    <w:p w:rsidR="00CB556B" w:rsidRPr="00CB77D9" w:rsidRDefault="00CB556B" w:rsidP="00291C24">
      <w:pPr>
        <w:pStyle w:val="Headingb"/>
        <w:rPr>
          <w:lang w:val="fr-CH"/>
        </w:rPr>
      </w:pPr>
      <w:r w:rsidRPr="00CB77D9">
        <w:rPr>
          <w:lang w:val="fr-CH"/>
        </w:rPr>
        <w:lastRenderedPageBreak/>
        <w:t>Abréviations</w:t>
      </w:r>
    </w:p>
    <w:p w:rsidR="00CB556B" w:rsidRPr="00CB77D9" w:rsidRDefault="00CB556B" w:rsidP="00291C24">
      <w:pPr>
        <w:keepNext/>
        <w:keepLines/>
        <w:rPr>
          <w:lang w:val="fr-CH" w:eastAsia="ja-JP"/>
        </w:rPr>
      </w:pPr>
      <w:r w:rsidRPr="00CB77D9">
        <w:rPr>
          <w:lang w:val="fr-CH" w:eastAsia="ja-JP"/>
        </w:rPr>
        <w:t>ATSC</w:t>
      </w:r>
      <w:r w:rsidRPr="00CB77D9">
        <w:rPr>
          <w:lang w:val="fr-CH" w:eastAsia="ja-JP"/>
        </w:rPr>
        <w:tab/>
      </w:r>
      <w:r w:rsidR="00291C24" w:rsidRPr="00CB77D9">
        <w:rPr>
          <w:lang w:val="fr-CH" w:eastAsia="ja-JP"/>
        </w:rPr>
        <w:tab/>
      </w:r>
      <w:r w:rsidRPr="00CB77D9">
        <w:rPr>
          <w:lang w:val="fr-CH" w:eastAsia="ja-JP"/>
        </w:rPr>
        <w:t>Comité de systèmes de télévision évolués (</w:t>
      </w:r>
      <w:r w:rsidRPr="00CB77D9">
        <w:rPr>
          <w:i/>
          <w:iCs/>
          <w:lang w:val="fr-CH" w:eastAsia="ja-JP"/>
        </w:rPr>
        <w:t>advanced television system committee</w:t>
      </w:r>
      <w:r w:rsidRPr="00CB77D9">
        <w:rPr>
          <w:lang w:val="fr-CH" w:eastAsia="ja-JP"/>
        </w:rPr>
        <w:t>)</w:t>
      </w:r>
    </w:p>
    <w:p w:rsidR="00CB556B" w:rsidRPr="00CB77D9" w:rsidRDefault="00CB556B" w:rsidP="00291C24">
      <w:pPr>
        <w:keepNext/>
        <w:keepLines/>
        <w:tabs>
          <w:tab w:val="clear" w:pos="794"/>
        </w:tabs>
        <w:ind w:left="1191" w:hanging="1191"/>
        <w:jc w:val="left"/>
        <w:rPr>
          <w:lang w:val="fr-CH" w:eastAsia="ja-JP"/>
        </w:rPr>
      </w:pPr>
      <w:r w:rsidRPr="00CB77D9">
        <w:rPr>
          <w:lang w:val="fr-CH" w:eastAsia="ja-JP"/>
        </w:rPr>
        <w:t>CEI</w:t>
      </w:r>
      <w:r w:rsidRPr="00CB77D9">
        <w:rPr>
          <w:lang w:val="fr-CH" w:eastAsia="ja-JP"/>
        </w:rPr>
        <w:tab/>
        <w:t xml:space="preserve">Commission électrotechnique internationale </w:t>
      </w:r>
    </w:p>
    <w:p w:rsidR="00CB556B" w:rsidRPr="00CB77D9" w:rsidRDefault="00CB556B" w:rsidP="00CB556B">
      <w:pPr>
        <w:tabs>
          <w:tab w:val="clear" w:pos="794"/>
        </w:tabs>
        <w:jc w:val="left"/>
        <w:rPr>
          <w:lang w:val="fr-CH" w:eastAsia="ja-JP"/>
        </w:rPr>
      </w:pPr>
      <w:r w:rsidRPr="00CB77D9">
        <w:rPr>
          <w:lang w:val="fr-CH" w:eastAsia="ja-JP"/>
        </w:rPr>
        <w:t>CRC</w:t>
      </w:r>
      <w:r w:rsidRPr="00CB77D9">
        <w:rPr>
          <w:lang w:val="fr-CH" w:eastAsia="ja-JP"/>
        </w:rPr>
        <w:tab/>
        <w:t>contrôle de redondance cyclique (</w:t>
      </w:r>
      <w:r w:rsidRPr="00CB77D9">
        <w:rPr>
          <w:i/>
          <w:iCs/>
          <w:lang w:val="fr-CH" w:eastAsia="ja-JP"/>
        </w:rPr>
        <w:t>cyclic redundancy check</w:t>
      </w:r>
      <w:r w:rsidRPr="00CB77D9">
        <w:rPr>
          <w:lang w:val="fr-CH" w:eastAsia="ja-JP"/>
        </w:rPr>
        <w:t>)</w:t>
      </w:r>
    </w:p>
    <w:p w:rsidR="00CB556B" w:rsidRPr="00CB77D9" w:rsidRDefault="00CB556B" w:rsidP="00CB556B">
      <w:pPr>
        <w:tabs>
          <w:tab w:val="clear" w:pos="794"/>
        </w:tabs>
        <w:ind w:left="1191" w:hanging="1191"/>
        <w:jc w:val="left"/>
        <w:rPr>
          <w:lang w:val="fr-CH" w:eastAsia="ja-JP"/>
        </w:rPr>
      </w:pPr>
      <w:r w:rsidRPr="00CB77D9">
        <w:rPr>
          <w:lang w:val="fr-CH" w:eastAsia="ja-JP"/>
        </w:rPr>
        <w:t>DSM</w:t>
      </w:r>
      <w:r w:rsidRPr="00CB77D9">
        <w:rPr>
          <w:lang w:val="fr-CH"/>
        </w:rPr>
        <w:noBreakHyphen/>
      </w:r>
      <w:r w:rsidRPr="00CB77D9">
        <w:rPr>
          <w:lang w:val="fr-CH" w:eastAsia="ja-JP"/>
        </w:rPr>
        <w:t>CC</w:t>
      </w:r>
      <w:r w:rsidRPr="00CB77D9">
        <w:rPr>
          <w:lang w:val="fr-CH" w:eastAsia="ja-JP"/>
        </w:rPr>
        <w:tab/>
      </w:r>
      <w:r w:rsidRPr="00CB77D9">
        <w:rPr>
          <w:lang w:val="fr-CH"/>
        </w:rPr>
        <w:t>commande et contrôle de support d'enregistrement numérique</w:t>
      </w:r>
      <w:r w:rsidRPr="00CB77D9">
        <w:rPr>
          <w:lang w:val="fr-CH" w:eastAsia="ja-JP"/>
        </w:rPr>
        <w:t xml:space="preserve"> (</w:t>
      </w:r>
      <w:r w:rsidRPr="00CB77D9">
        <w:rPr>
          <w:i/>
          <w:iCs/>
          <w:lang w:val="fr-CH" w:eastAsia="ja-JP"/>
        </w:rPr>
        <w:t>digital storage media</w:t>
      </w:r>
      <w:r w:rsidRPr="00CB77D9">
        <w:rPr>
          <w:i/>
          <w:iCs/>
          <w:lang w:val="fr-CH" w:eastAsia="ja-JP"/>
        </w:rPr>
        <w:noBreakHyphen/>
        <w:t>command and control</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DVB</w:t>
      </w:r>
      <w:r w:rsidRPr="00CB77D9">
        <w:rPr>
          <w:lang w:val="fr-CH" w:eastAsia="ja-JP"/>
        </w:rPr>
        <w:tab/>
        <w:t>radiodiffusion vidéo numérique (</w:t>
      </w:r>
      <w:r w:rsidRPr="00CB77D9">
        <w:rPr>
          <w:i/>
          <w:iCs/>
          <w:lang w:val="fr-CH" w:eastAsia="ja-JP"/>
        </w:rPr>
        <w:t>digital video broadcast</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ESP</w:t>
      </w:r>
      <w:r w:rsidRPr="00CB77D9">
        <w:rPr>
          <w:lang w:val="fr-CH" w:eastAsia="ja-JP"/>
        </w:rPr>
        <w:tab/>
        <w:t>charge utile d'encapsulation de sécurité (</w:t>
      </w:r>
      <w:r w:rsidRPr="00CB77D9">
        <w:rPr>
          <w:i/>
          <w:iCs/>
          <w:lang w:val="fr-CH" w:eastAsia="ja-JP"/>
        </w:rPr>
        <w:t>encapsulating security payload</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ETSI</w:t>
      </w:r>
      <w:r w:rsidRPr="00CB77D9">
        <w:rPr>
          <w:lang w:val="fr-CH" w:eastAsia="ja-JP"/>
        </w:rPr>
        <w:tab/>
        <w:t>European Telecommunications Standards Institute</w:t>
      </w:r>
    </w:p>
    <w:p w:rsidR="00CB556B" w:rsidRPr="00CB77D9" w:rsidRDefault="00CB556B" w:rsidP="00CB556B">
      <w:pPr>
        <w:tabs>
          <w:tab w:val="clear" w:pos="794"/>
        </w:tabs>
        <w:jc w:val="left"/>
        <w:rPr>
          <w:lang w:val="fr-CH" w:eastAsia="ja-JP"/>
        </w:rPr>
      </w:pPr>
      <w:r w:rsidRPr="00CB77D9">
        <w:rPr>
          <w:lang w:val="fr-CH" w:eastAsia="ja-JP"/>
        </w:rPr>
        <w:t>HCfB</w:t>
      </w:r>
      <w:r w:rsidRPr="00CB77D9">
        <w:rPr>
          <w:lang w:val="fr-CH" w:eastAsia="ja-JP"/>
        </w:rPr>
        <w:tab/>
        <w:t>compression d'en-têtes pour la radiodiffusion (</w:t>
      </w:r>
      <w:r w:rsidRPr="00CB77D9">
        <w:rPr>
          <w:i/>
          <w:iCs/>
          <w:lang w:val="fr-CH" w:eastAsia="ja-JP"/>
        </w:rPr>
        <w:t>header compression for broadcasting</w:t>
      </w:r>
      <w:r w:rsidRPr="00CB77D9">
        <w:rPr>
          <w:lang w:val="fr-CH" w:eastAsia="ja-JP"/>
        </w:rPr>
        <w:t>)</w:t>
      </w:r>
    </w:p>
    <w:p w:rsidR="00CB556B" w:rsidRPr="00FD4389" w:rsidRDefault="00CB556B" w:rsidP="00CB556B">
      <w:pPr>
        <w:tabs>
          <w:tab w:val="clear" w:pos="794"/>
        </w:tabs>
        <w:jc w:val="left"/>
        <w:rPr>
          <w:lang w:val="en-US" w:eastAsia="ja-JP"/>
        </w:rPr>
      </w:pPr>
      <w:r w:rsidRPr="00FD4389">
        <w:rPr>
          <w:lang w:val="en-US" w:eastAsia="ja-JP"/>
        </w:rPr>
        <w:t>IETF</w:t>
      </w:r>
      <w:r w:rsidRPr="00FD4389">
        <w:rPr>
          <w:lang w:val="en-US" w:eastAsia="ja-JP"/>
        </w:rPr>
        <w:tab/>
        <w:t>Internet Engineering Task Force</w:t>
      </w:r>
    </w:p>
    <w:p w:rsidR="00CB556B" w:rsidRPr="00FD4389" w:rsidRDefault="00CB556B" w:rsidP="00CB556B">
      <w:pPr>
        <w:tabs>
          <w:tab w:val="clear" w:pos="794"/>
        </w:tabs>
        <w:jc w:val="left"/>
        <w:rPr>
          <w:lang w:val="en-US" w:eastAsia="ja-JP"/>
        </w:rPr>
      </w:pPr>
      <w:r w:rsidRPr="00FD4389">
        <w:rPr>
          <w:lang w:val="en-US" w:eastAsia="ja-JP"/>
        </w:rPr>
        <w:t>IP</w:t>
      </w:r>
      <w:r w:rsidRPr="00FD4389">
        <w:rPr>
          <w:lang w:val="en-US" w:eastAsia="ja-JP"/>
        </w:rPr>
        <w:tab/>
        <w:t>Protocole Internet (</w:t>
      </w:r>
      <w:r w:rsidRPr="00FD4389">
        <w:rPr>
          <w:i/>
          <w:iCs/>
          <w:lang w:val="en-US" w:eastAsia="ja-JP"/>
        </w:rPr>
        <w:t>Internet protocol</w:t>
      </w:r>
      <w:r w:rsidRPr="00FD4389">
        <w:rPr>
          <w:lang w:val="en-US" w:eastAsia="ja-JP"/>
        </w:rPr>
        <w:t>)</w:t>
      </w:r>
    </w:p>
    <w:p w:rsidR="00CB556B" w:rsidRPr="00CB77D9" w:rsidRDefault="00CB556B" w:rsidP="00CB556B">
      <w:pPr>
        <w:tabs>
          <w:tab w:val="clear" w:pos="794"/>
        </w:tabs>
        <w:ind w:left="1191" w:hanging="1191"/>
        <w:jc w:val="left"/>
        <w:rPr>
          <w:lang w:val="fr-CH" w:eastAsia="ja-JP"/>
        </w:rPr>
      </w:pPr>
      <w:r w:rsidRPr="00CB77D9">
        <w:rPr>
          <w:lang w:val="fr-CH" w:eastAsia="ja-JP"/>
        </w:rPr>
        <w:t>ISO</w:t>
      </w:r>
      <w:r w:rsidRPr="00CB77D9">
        <w:rPr>
          <w:lang w:val="fr-CH" w:eastAsia="ja-JP"/>
        </w:rPr>
        <w:tab/>
        <w:t>Organisation internationale de normalisation (</w:t>
      </w:r>
      <w:r w:rsidRPr="00CB77D9">
        <w:rPr>
          <w:i/>
          <w:iCs/>
          <w:lang w:val="fr-CH" w:eastAsia="ja-JP"/>
        </w:rPr>
        <w:t>International Organization for Standardization</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LLC</w:t>
      </w:r>
      <w:r w:rsidRPr="00CB77D9">
        <w:rPr>
          <w:lang w:val="fr-CH" w:eastAsia="ja-JP"/>
        </w:rPr>
        <w:tab/>
        <w:t>commande de liaison logique (</w:t>
      </w:r>
      <w:r w:rsidRPr="00CB77D9">
        <w:rPr>
          <w:i/>
          <w:iCs/>
          <w:lang w:val="fr-CH" w:eastAsia="ja-JP"/>
        </w:rPr>
        <w:t>logical link control</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MAC</w:t>
      </w:r>
      <w:r w:rsidRPr="00CB77D9">
        <w:rPr>
          <w:lang w:val="fr-CH" w:eastAsia="ja-JP"/>
        </w:rPr>
        <w:tab/>
        <w:t>contrôle d'accès aux médias (</w:t>
      </w:r>
      <w:r w:rsidRPr="00CB77D9">
        <w:rPr>
          <w:i/>
          <w:iCs/>
          <w:lang w:val="fr-CH" w:eastAsia="ja-JP"/>
        </w:rPr>
        <w:t>media access control</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MPE</w:t>
      </w:r>
      <w:r w:rsidRPr="00CB77D9">
        <w:rPr>
          <w:lang w:val="fr-CH" w:eastAsia="ja-JP"/>
        </w:rPr>
        <w:tab/>
        <w:t>encapsulation multiprotocole (</w:t>
      </w:r>
      <w:r w:rsidRPr="00CB77D9">
        <w:rPr>
          <w:i/>
          <w:iCs/>
          <w:lang w:val="fr-CH" w:eastAsia="ja-JP"/>
        </w:rPr>
        <w:t>multi protocol encapsulation</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MPEG</w:t>
      </w:r>
      <w:r w:rsidRPr="00CB77D9">
        <w:rPr>
          <w:lang w:val="fr-CH" w:eastAsia="ja-JP"/>
        </w:rPr>
        <w:tab/>
        <w:t>Moving Pictures Experts Group</w:t>
      </w:r>
    </w:p>
    <w:p w:rsidR="00CB556B" w:rsidRPr="00CB77D9" w:rsidRDefault="00CB556B" w:rsidP="00CB556B">
      <w:pPr>
        <w:tabs>
          <w:tab w:val="clear" w:pos="794"/>
        </w:tabs>
        <w:jc w:val="left"/>
        <w:rPr>
          <w:lang w:val="fr-CH" w:eastAsia="ja-JP"/>
        </w:rPr>
      </w:pPr>
      <w:r w:rsidRPr="00CB77D9">
        <w:rPr>
          <w:lang w:val="fr-CH" w:eastAsia="ja-JP"/>
        </w:rPr>
        <w:t>PDU</w:t>
      </w:r>
      <w:r w:rsidRPr="00CB77D9">
        <w:rPr>
          <w:lang w:val="fr-CH" w:eastAsia="ja-JP"/>
        </w:rPr>
        <w:tab/>
        <w:t>unité de données de protocole (</w:t>
      </w:r>
      <w:r w:rsidRPr="00CB77D9">
        <w:rPr>
          <w:i/>
          <w:iCs/>
          <w:lang w:val="fr-CH" w:eastAsia="ja-JP"/>
        </w:rPr>
        <w:t>protocol data unit</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PES</w:t>
      </w:r>
      <w:r w:rsidRPr="00CB77D9">
        <w:rPr>
          <w:lang w:val="fr-CH" w:eastAsia="ja-JP"/>
        </w:rPr>
        <w:tab/>
        <w:t>flux élémentaire en mode paquet (</w:t>
      </w:r>
      <w:r w:rsidRPr="00CB77D9">
        <w:rPr>
          <w:i/>
          <w:iCs/>
          <w:lang w:val="fr-CH" w:eastAsia="ja-JP"/>
        </w:rPr>
        <w:t>packetized elementary stream</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RFC</w:t>
      </w:r>
      <w:r w:rsidRPr="00CB77D9">
        <w:rPr>
          <w:lang w:val="fr-CH" w:eastAsia="ja-JP"/>
        </w:rPr>
        <w:tab/>
        <w:t>appel aux commentaires (norme IETF) (</w:t>
      </w:r>
      <w:r w:rsidRPr="00CB77D9">
        <w:rPr>
          <w:i/>
          <w:iCs/>
          <w:lang w:val="fr-CH" w:eastAsia="ja-JP"/>
        </w:rPr>
        <w:t>request for comment (IETF standard)</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ROHC</w:t>
      </w:r>
      <w:r w:rsidRPr="00CB77D9">
        <w:rPr>
          <w:lang w:val="fr-CH" w:eastAsia="ja-JP"/>
        </w:rPr>
        <w:tab/>
        <w:t>compression robuste d'en-têtes (</w:t>
      </w:r>
      <w:r w:rsidRPr="00CB77D9">
        <w:rPr>
          <w:i/>
          <w:iCs/>
          <w:lang w:val="fr-CH" w:eastAsia="ja-JP"/>
        </w:rPr>
        <w:t>robust header compression</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RTP</w:t>
      </w:r>
      <w:r w:rsidRPr="00CB77D9">
        <w:rPr>
          <w:lang w:val="fr-CH" w:eastAsia="ja-JP"/>
        </w:rPr>
        <w:tab/>
        <w:t>protocole de transport en temps réel (</w:t>
      </w:r>
      <w:r w:rsidRPr="00CB77D9">
        <w:rPr>
          <w:i/>
          <w:iCs/>
          <w:lang w:val="fr-CH" w:eastAsia="ja-JP"/>
        </w:rPr>
        <w:t>real-time transport protocol</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SNAP</w:t>
      </w:r>
      <w:r w:rsidRPr="00CB77D9">
        <w:rPr>
          <w:lang w:val="fr-CH" w:eastAsia="ja-JP"/>
        </w:rPr>
        <w:tab/>
        <w:t>point de rattachement au sous-réseau (</w:t>
      </w:r>
      <w:r w:rsidRPr="00CB77D9">
        <w:rPr>
          <w:i/>
          <w:iCs/>
          <w:lang w:val="fr-CH" w:eastAsia="ja-JP"/>
        </w:rPr>
        <w:t>sub-network attachment point</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SNDU</w:t>
      </w:r>
      <w:r w:rsidRPr="00CB77D9">
        <w:rPr>
          <w:lang w:val="fr-CH" w:eastAsia="ja-JP"/>
        </w:rPr>
        <w:tab/>
        <w:t>unité de données de sous-réseau (</w:t>
      </w:r>
      <w:r w:rsidRPr="00CB77D9">
        <w:rPr>
          <w:i/>
          <w:iCs/>
          <w:lang w:val="fr-CH" w:eastAsia="ja-JP"/>
        </w:rPr>
        <w:t>sub-network data unit</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TS</w:t>
      </w:r>
      <w:r w:rsidRPr="00CB77D9">
        <w:rPr>
          <w:lang w:val="fr-CH" w:eastAsia="ja-JP"/>
        </w:rPr>
        <w:tab/>
        <w:t>flux de transport (</w:t>
      </w:r>
      <w:r w:rsidRPr="00CB77D9">
        <w:rPr>
          <w:i/>
          <w:iCs/>
          <w:lang w:val="fr-CH" w:eastAsia="ja-JP"/>
        </w:rPr>
        <w:t>transport stream</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UDP</w:t>
      </w:r>
      <w:r w:rsidRPr="00CB77D9">
        <w:rPr>
          <w:lang w:val="fr-CH" w:eastAsia="ja-JP"/>
        </w:rPr>
        <w:tab/>
        <w:t>protocole datagramme d'utilisateur (</w:t>
      </w:r>
      <w:r w:rsidRPr="00CB77D9">
        <w:rPr>
          <w:i/>
          <w:iCs/>
          <w:lang w:val="fr-CH" w:eastAsia="ja-JP"/>
        </w:rPr>
        <w:t>user datagram protocol</w:t>
      </w:r>
      <w:r w:rsidRPr="00CB77D9">
        <w:rPr>
          <w:lang w:val="fr-CH" w:eastAsia="ja-JP"/>
        </w:rPr>
        <w:t>)</w:t>
      </w:r>
    </w:p>
    <w:p w:rsidR="00CB556B" w:rsidRPr="00CB77D9" w:rsidRDefault="00CB556B" w:rsidP="00CB556B">
      <w:pPr>
        <w:tabs>
          <w:tab w:val="clear" w:pos="794"/>
        </w:tabs>
        <w:jc w:val="left"/>
        <w:rPr>
          <w:lang w:val="fr-CH" w:eastAsia="ja-JP"/>
        </w:rPr>
      </w:pPr>
      <w:r w:rsidRPr="00CB77D9">
        <w:rPr>
          <w:lang w:val="fr-CH" w:eastAsia="ja-JP"/>
        </w:rPr>
        <w:t>ULE</w:t>
      </w:r>
      <w:r w:rsidRPr="00CB77D9">
        <w:rPr>
          <w:lang w:val="fr-CH" w:eastAsia="ja-JP"/>
        </w:rPr>
        <w:tab/>
        <w:t>encapsulation légère unidirectionnelle (</w:t>
      </w:r>
      <w:r w:rsidRPr="00CB77D9">
        <w:rPr>
          <w:i/>
          <w:iCs/>
          <w:lang w:val="fr-CH" w:eastAsia="ja-JP"/>
        </w:rPr>
        <w:t>unidirectional lightweight encapsulation</w:t>
      </w:r>
      <w:r w:rsidRPr="00CB77D9">
        <w:rPr>
          <w:lang w:val="fr-CH" w:eastAsia="ja-JP"/>
        </w:rPr>
        <w:t>)</w:t>
      </w:r>
    </w:p>
    <w:p w:rsidR="00CB556B" w:rsidRPr="00CB77D9" w:rsidRDefault="00CB556B" w:rsidP="00CB556B">
      <w:pPr>
        <w:pStyle w:val="Heading1"/>
        <w:rPr>
          <w:lang w:val="fr-CH"/>
        </w:rPr>
      </w:pPr>
      <w:r w:rsidRPr="00CB77D9">
        <w:rPr>
          <w:lang w:val="fr-CH"/>
        </w:rPr>
        <w:t>1</w:t>
      </w:r>
      <w:r w:rsidRPr="00CB77D9">
        <w:rPr>
          <w:lang w:val="fr-CH"/>
        </w:rPr>
        <w:tab/>
        <w:t>Introduction</w:t>
      </w:r>
    </w:p>
    <w:p w:rsidR="00CB556B" w:rsidRPr="00CB77D9" w:rsidRDefault="00CB556B" w:rsidP="00C32207">
      <w:pPr>
        <w:rPr>
          <w:lang w:val="fr-CH" w:eastAsia="ja-JP"/>
        </w:rPr>
      </w:pPr>
      <w:r w:rsidRPr="00CB77D9">
        <w:rPr>
          <w:lang w:val="fr-CH" w:eastAsia="ja-JP"/>
        </w:rPr>
        <w:t xml:space="preserve">Bon nombre des systèmes de radiodiffusion numérique déjà déployés utilisent, comme format de flux à l'entrée, un flux de transport MPEG-2 [1]. Deux procédures permettent d'acheminer des paquets IP dans un flux de transport MPEG-2 dans de tels systèmes de radiodiffusion: l'une consiste à encapsuler les paquets dans un flux privé du flux de transport MPEG-2 (voir la </w:t>
      </w:r>
      <w:r w:rsidR="00291C24" w:rsidRPr="00CB77D9">
        <w:rPr>
          <w:lang w:val="fr-CH" w:eastAsia="ja-JP"/>
        </w:rPr>
        <w:t>Fig. </w:t>
      </w:r>
      <w:r w:rsidRPr="00CB77D9">
        <w:rPr>
          <w:lang w:val="fr-CH" w:eastAsia="ja-JP"/>
        </w:rPr>
        <w:t>1), tandis que l'autre prévoit l'encapsulation des paquets dans une section du flux de transport MPEG</w:t>
      </w:r>
      <w:r w:rsidRPr="00CB77D9">
        <w:rPr>
          <w:lang w:val="fr-CH" w:eastAsia="ja-JP"/>
        </w:rPr>
        <w:noBreakHyphen/>
        <w:t>2 (voir</w:t>
      </w:r>
      <w:r w:rsidR="00C32207" w:rsidRPr="00CB77D9">
        <w:rPr>
          <w:lang w:val="fr-CH" w:eastAsia="ja-JP"/>
        </w:rPr>
        <w:t xml:space="preserve"> </w:t>
      </w:r>
      <w:r w:rsidRPr="00CB77D9">
        <w:rPr>
          <w:lang w:val="fr-CH" w:eastAsia="ja-JP"/>
        </w:rPr>
        <w:t xml:space="preserve">la </w:t>
      </w:r>
      <w:r w:rsidR="00C32207" w:rsidRPr="00CB77D9">
        <w:rPr>
          <w:lang w:val="fr-CH" w:eastAsia="ja-JP"/>
        </w:rPr>
        <w:t>Fig. </w:t>
      </w:r>
      <w:r w:rsidRPr="00CB77D9">
        <w:rPr>
          <w:lang w:val="fr-CH" w:eastAsia="ja-JP"/>
        </w:rPr>
        <w:t>2).</w:t>
      </w:r>
    </w:p>
    <w:p w:rsidR="00CB556B" w:rsidRPr="00CB77D9" w:rsidRDefault="00CB556B" w:rsidP="00291C24">
      <w:pPr>
        <w:rPr>
          <w:lang w:val="fr-CH" w:eastAsia="ja-JP"/>
        </w:rPr>
      </w:pPr>
      <w:r w:rsidRPr="00CB77D9">
        <w:rPr>
          <w:lang w:val="fr-CH" w:eastAsia="ja-JP"/>
        </w:rPr>
        <w:t>L'information d'en-tête IP n'étant pas nécessaire sur les canaux de radiodiffusion, elle peut être compressée avant encapsulation, ce qui accroît l'efficacité.</w:t>
      </w:r>
    </w:p>
    <w:p w:rsidR="00CB556B" w:rsidRPr="00CB77D9" w:rsidRDefault="00CB556B" w:rsidP="00CB556B">
      <w:pPr>
        <w:pStyle w:val="FigureNo"/>
        <w:rPr>
          <w:lang w:val="fr-CH"/>
        </w:rPr>
      </w:pPr>
      <w:r w:rsidRPr="00CB77D9">
        <w:rPr>
          <w:lang w:val="fr-CH"/>
        </w:rPr>
        <w:lastRenderedPageBreak/>
        <w:t>FIGURE 1</w:t>
      </w:r>
    </w:p>
    <w:p w:rsidR="00CB556B" w:rsidRPr="00CB77D9" w:rsidRDefault="00CB556B" w:rsidP="00CB556B">
      <w:pPr>
        <w:pStyle w:val="Figuretitle"/>
        <w:rPr>
          <w:lang w:val="fr-CH"/>
        </w:rPr>
      </w:pPr>
      <w:r w:rsidRPr="00CB77D9">
        <w:rPr>
          <w:lang w:val="fr-CH"/>
        </w:rPr>
        <w:t xml:space="preserve">Pile de protocoles pour l'encapsulation de paquets IP </w:t>
      </w:r>
      <w:r w:rsidRPr="00CB77D9">
        <w:rPr>
          <w:lang w:val="fr-CH"/>
        </w:rPr>
        <w:br/>
        <w:t>dans un flux privé d'un flux de transport MPEG-2</w:t>
      </w:r>
    </w:p>
    <w:p w:rsidR="00CB556B" w:rsidRPr="00CB77D9" w:rsidRDefault="00291C24" w:rsidP="00291C24">
      <w:pPr>
        <w:pStyle w:val="Figure"/>
        <w:rPr>
          <w:lang w:val="fr-CH" w:eastAsia="ja-JP"/>
        </w:rPr>
      </w:pPr>
      <w:r w:rsidRPr="00CB77D9">
        <w:rPr>
          <w:lang w:val="fr-CH"/>
        </w:rPr>
        <w:object w:dxaOrig="5702" w:dyaOrig="3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54pt" o:ole="">
            <v:imagedata r:id="rId19" o:title=""/>
          </v:shape>
          <o:OLEObject Type="Embed" ProgID="CorelDRAW.Graphic.14" ShapeID="_x0000_i1025" DrawAspect="Content" ObjectID="_1369725535" r:id="rId20"/>
        </w:object>
      </w:r>
    </w:p>
    <w:p w:rsidR="00CB556B" w:rsidRPr="00CB77D9" w:rsidRDefault="00CB556B" w:rsidP="00CB556B">
      <w:pPr>
        <w:pStyle w:val="FigureNo"/>
        <w:rPr>
          <w:lang w:val="fr-CH"/>
        </w:rPr>
      </w:pPr>
      <w:r w:rsidRPr="00CB77D9">
        <w:rPr>
          <w:lang w:val="fr-CH"/>
        </w:rPr>
        <w:t>FIGURE 2</w:t>
      </w:r>
    </w:p>
    <w:p w:rsidR="00CB556B" w:rsidRPr="00CB77D9" w:rsidRDefault="00CB556B" w:rsidP="00CB556B">
      <w:pPr>
        <w:pStyle w:val="Figuretitle"/>
        <w:rPr>
          <w:lang w:val="fr-CH"/>
        </w:rPr>
      </w:pPr>
      <w:r w:rsidRPr="00CB77D9">
        <w:rPr>
          <w:lang w:val="fr-CH"/>
        </w:rPr>
        <w:t xml:space="preserve">Pile de protocoles pour l'encapsulation de paquets IP dans une section </w:t>
      </w:r>
      <w:r w:rsidRPr="00CB77D9">
        <w:rPr>
          <w:lang w:val="fr-CH"/>
        </w:rPr>
        <w:br/>
        <w:t>d'un flux de transport MPEG-2</w:t>
      </w:r>
    </w:p>
    <w:p w:rsidR="00CB556B" w:rsidRPr="00CB77D9" w:rsidRDefault="00291C24" w:rsidP="00CB556B">
      <w:pPr>
        <w:pStyle w:val="Figure"/>
        <w:rPr>
          <w:lang w:val="fr-CH"/>
        </w:rPr>
      </w:pPr>
      <w:r w:rsidRPr="00CB77D9">
        <w:rPr>
          <w:lang w:val="fr-CH"/>
        </w:rPr>
        <w:object w:dxaOrig="5716" w:dyaOrig="3283">
          <v:shape id="_x0000_i1026" type="#_x0000_t75" style="width:267pt;height:154pt" o:ole="">
            <v:imagedata r:id="rId21" o:title=""/>
          </v:shape>
          <o:OLEObject Type="Embed" ProgID="CorelDRAW.Graphic.14" ShapeID="_x0000_i1026" DrawAspect="Content" ObjectID="_1369725536" r:id="rId22"/>
        </w:object>
      </w:r>
    </w:p>
    <w:p w:rsidR="00CB556B" w:rsidRPr="00CB77D9" w:rsidRDefault="00CB556B" w:rsidP="00291C24">
      <w:pPr>
        <w:pStyle w:val="Heading1"/>
        <w:rPr>
          <w:lang w:val="fr-CH" w:eastAsia="ja-JP"/>
        </w:rPr>
      </w:pPr>
      <w:r w:rsidRPr="00CB77D9">
        <w:rPr>
          <w:lang w:val="fr-CH" w:eastAsia="ja-JP"/>
        </w:rPr>
        <w:t>2</w:t>
      </w:r>
      <w:r w:rsidRPr="00CB77D9">
        <w:rPr>
          <w:lang w:val="fr-CH" w:eastAsia="ja-JP"/>
        </w:rPr>
        <w:tab/>
        <w:t>Techniques d'encapsulation des paquets IP dans un flux de transport MPEG-2</w:t>
      </w:r>
    </w:p>
    <w:p w:rsidR="00CB556B" w:rsidRPr="00CB77D9" w:rsidRDefault="00CB556B" w:rsidP="00291C24">
      <w:pPr>
        <w:pStyle w:val="Heading2"/>
        <w:rPr>
          <w:lang w:val="fr-CH" w:eastAsia="ja-JP"/>
        </w:rPr>
      </w:pPr>
      <w:r w:rsidRPr="00CB77D9">
        <w:rPr>
          <w:lang w:val="fr-CH" w:eastAsia="ja-JP"/>
        </w:rPr>
        <w:t>2.1</w:t>
      </w:r>
      <w:r w:rsidRPr="00CB77D9">
        <w:rPr>
          <w:lang w:val="fr-CH" w:eastAsia="ja-JP"/>
        </w:rPr>
        <w:tab/>
        <w:t>Encapsulation de paquets IP dans un flux privé d'un flux de transport MPEG-2</w:t>
      </w:r>
    </w:p>
    <w:p w:rsidR="00CB556B" w:rsidRPr="00CB77D9" w:rsidRDefault="00CB556B" w:rsidP="00291C24">
      <w:pPr>
        <w:rPr>
          <w:lang w:val="fr-CH" w:eastAsia="ja-JP"/>
        </w:rPr>
      </w:pPr>
      <w:r w:rsidRPr="00CB77D9">
        <w:rPr>
          <w:lang w:val="fr-CH" w:eastAsia="ja-JP"/>
        </w:rPr>
        <w:t>L'encapsulation légère unidirectionnelle (ULE) spécifiée dans la norme IETF RFC 4326 [5] est une technique permettant d'encapsuler des paquets IP ou des paquets fondés sur un autre protocole dans un flux de transport MPEG-2 comme données privées.</w:t>
      </w:r>
    </w:p>
    <w:p w:rsidR="00CB556B" w:rsidRPr="00CB77D9" w:rsidRDefault="00CB556B" w:rsidP="00291C24">
      <w:pPr>
        <w:rPr>
          <w:lang w:val="fr-CH" w:eastAsia="ja-JP"/>
        </w:rPr>
      </w:pPr>
      <w:r w:rsidRPr="00CB77D9">
        <w:rPr>
          <w:lang w:val="fr-CH" w:eastAsia="ja-JP"/>
        </w:rPr>
        <w:t>Un paquet transféré, par exemple un paquet IP, est appelé unité de données de protocole (PDU). Chaque unité PDU est encapsulée dans une unité de données de sous-réseau (SNDU) grâce à l'ajout d'un en-tête d'encapsulation et d'un postambule de contrôle d'intégrité. Le Tableau 1 présente la syntaxe d'une unité SNDU. Une unité SNDU est fragmentée en une série d'un ou plusieurs paquets de flux de transport MPEG-2.</w:t>
      </w:r>
    </w:p>
    <w:p w:rsidR="00CB556B" w:rsidRPr="00CB77D9" w:rsidRDefault="00CB556B" w:rsidP="00563EA9">
      <w:pPr>
        <w:pStyle w:val="TableNo"/>
        <w:keepLines/>
        <w:rPr>
          <w:lang w:val="fr-CH"/>
        </w:rPr>
      </w:pPr>
      <w:r w:rsidRPr="00CB77D9">
        <w:rPr>
          <w:lang w:val="fr-CH"/>
        </w:rPr>
        <w:lastRenderedPageBreak/>
        <w:t>TABLEAU 1</w:t>
      </w:r>
    </w:p>
    <w:p w:rsidR="00CB556B" w:rsidRPr="00CB77D9" w:rsidRDefault="00CB556B" w:rsidP="00563EA9">
      <w:pPr>
        <w:pStyle w:val="Tabletitle"/>
        <w:keepLines/>
        <w:rPr>
          <w:lang w:val="fr-CH" w:eastAsia="ja-JP"/>
        </w:rPr>
      </w:pPr>
      <w:r w:rsidRPr="00CB77D9">
        <w:rPr>
          <w:lang w:val="fr-CH" w:eastAsia="ja-JP"/>
        </w:rPr>
        <w:t>Syntaxe d'une unité SNDU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276"/>
        <w:gridCol w:w="1631"/>
      </w:tblGrid>
      <w:tr w:rsidR="00CB556B" w:rsidRPr="00CB77D9" w:rsidTr="00291C24">
        <w:trPr>
          <w:jc w:val="center"/>
        </w:trPr>
        <w:tc>
          <w:tcPr>
            <w:tcW w:w="4820" w:type="dxa"/>
            <w:vAlign w:val="center"/>
          </w:tcPr>
          <w:p w:rsidR="00CB556B" w:rsidRPr="00CB77D9" w:rsidRDefault="00CB556B" w:rsidP="00563EA9">
            <w:pPr>
              <w:pStyle w:val="Tablehead"/>
              <w:keepLines/>
              <w:snapToGrid w:val="0"/>
              <w:rPr>
                <w:szCs w:val="21"/>
                <w:lang w:val="fr-CH"/>
              </w:rPr>
            </w:pPr>
            <w:r w:rsidRPr="00CB77D9">
              <w:rPr>
                <w:lang w:val="fr-CH"/>
              </w:rPr>
              <w:t>Syntaxe</w:t>
            </w:r>
          </w:p>
        </w:tc>
        <w:tc>
          <w:tcPr>
            <w:tcW w:w="1276" w:type="dxa"/>
            <w:vAlign w:val="center"/>
          </w:tcPr>
          <w:p w:rsidR="00CB556B" w:rsidRPr="00CB77D9" w:rsidRDefault="00CB556B" w:rsidP="002E3E3E">
            <w:pPr>
              <w:pStyle w:val="Tablehead"/>
              <w:keepLines/>
              <w:snapToGrid w:val="0"/>
              <w:rPr>
                <w:lang w:val="fr-CH"/>
              </w:rPr>
            </w:pPr>
            <w:r w:rsidRPr="00CB77D9">
              <w:rPr>
                <w:lang w:val="fr-CH"/>
              </w:rPr>
              <w:t>N</w:t>
            </w:r>
            <w:r w:rsidR="002E3E3E">
              <w:rPr>
                <w:lang w:val="fr-CH"/>
              </w:rPr>
              <w:t>om</w:t>
            </w:r>
            <w:r w:rsidRPr="00CB77D9">
              <w:rPr>
                <w:lang w:val="fr-CH"/>
              </w:rPr>
              <w:t>bre de bits</w:t>
            </w:r>
          </w:p>
        </w:tc>
        <w:tc>
          <w:tcPr>
            <w:tcW w:w="1631" w:type="dxa"/>
            <w:vAlign w:val="center"/>
          </w:tcPr>
          <w:p w:rsidR="00CB556B" w:rsidRPr="00CB77D9" w:rsidRDefault="00CB556B" w:rsidP="00563EA9">
            <w:pPr>
              <w:pStyle w:val="Tablehead"/>
              <w:keepLines/>
              <w:snapToGrid w:val="0"/>
              <w:rPr>
                <w:lang w:val="fr-CH"/>
              </w:rPr>
            </w:pPr>
            <w:r w:rsidRPr="00CB77D9">
              <w:rPr>
                <w:lang w:val="fr-CH"/>
              </w:rPr>
              <w:t>Mnémonique</w:t>
            </w:r>
          </w:p>
        </w:tc>
      </w:tr>
      <w:tr w:rsidR="00CB556B" w:rsidRPr="00CB77D9" w:rsidTr="00FC05E1">
        <w:trPr>
          <w:jc w:val="center"/>
        </w:trPr>
        <w:tc>
          <w:tcPr>
            <w:tcW w:w="4820" w:type="dxa"/>
          </w:tcPr>
          <w:p w:rsidR="00CB556B" w:rsidRPr="00CB77D9" w:rsidRDefault="00CB556B" w:rsidP="00563EA9">
            <w:pPr>
              <w:pStyle w:val="Tabletext"/>
              <w:keepNext/>
              <w:keepLines/>
              <w:widowControl w:val="0"/>
              <w:snapToGrid w:val="0"/>
              <w:ind w:firstLineChars="100" w:firstLine="220"/>
              <w:jc w:val="left"/>
              <w:rPr>
                <w:rFonts w:eastAsia="MS PGothic"/>
                <w:lang w:val="fr-CH"/>
              </w:rPr>
            </w:pPr>
            <w:r w:rsidRPr="00CB77D9">
              <w:rPr>
                <w:lang w:val="fr-CH" w:eastAsia="ja-JP"/>
              </w:rPr>
              <w:t>SNDU</w:t>
            </w:r>
            <w:r w:rsidRPr="00CB77D9">
              <w:rPr>
                <w:lang w:val="fr-CH"/>
              </w:rPr>
              <w:t xml:space="preserve"> {</w:t>
            </w:r>
          </w:p>
        </w:tc>
        <w:tc>
          <w:tcPr>
            <w:tcW w:w="1276" w:type="dxa"/>
          </w:tcPr>
          <w:p w:rsidR="00CB556B" w:rsidRPr="00CB77D9" w:rsidRDefault="00CB556B" w:rsidP="00563EA9">
            <w:pPr>
              <w:pStyle w:val="Tabletext"/>
              <w:keepNext/>
              <w:keepLines/>
              <w:widowControl w:val="0"/>
              <w:snapToGrid w:val="0"/>
              <w:ind w:leftChars="-51" w:left="1" w:hangingChars="56" w:hanging="123"/>
              <w:jc w:val="center"/>
              <w:rPr>
                <w:rFonts w:eastAsia="MS PGothic"/>
                <w:lang w:val="fr-CH"/>
              </w:rPr>
            </w:pPr>
          </w:p>
        </w:tc>
        <w:tc>
          <w:tcPr>
            <w:tcW w:w="1631" w:type="dxa"/>
          </w:tcPr>
          <w:p w:rsidR="00CB556B" w:rsidRPr="00CB77D9" w:rsidRDefault="00CB556B" w:rsidP="00563EA9">
            <w:pPr>
              <w:pStyle w:val="Tabletext"/>
              <w:keepNext/>
              <w:keepLines/>
              <w:widowControl w:val="0"/>
              <w:snapToGrid w:val="0"/>
              <w:ind w:leftChars="-45" w:hangingChars="49" w:hanging="108"/>
              <w:jc w:val="center"/>
              <w:rPr>
                <w:rFonts w:eastAsia="MS PGothic"/>
                <w:lang w:val="fr-CH"/>
              </w:rPr>
            </w:pPr>
          </w:p>
        </w:tc>
      </w:tr>
      <w:tr w:rsidR="00CB556B" w:rsidRPr="00CB77D9" w:rsidTr="00FC05E1">
        <w:trPr>
          <w:jc w:val="center"/>
        </w:trPr>
        <w:tc>
          <w:tcPr>
            <w:tcW w:w="4820" w:type="dxa"/>
          </w:tcPr>
          <w:p w:rsidR="00CB556B" w:rsidRPr="00CB77D9" w:rsidRDefault="00CB556B" w:rsidP="00563EA9">
            <w:pPr>
              <w:pStyle w:val="Tabletext"/>
              <w:widowControl w:val="0"/>
              <w:snapToGrid w:val="0"/>
              <w:ind w:firstLineChars="150" w:firstLine="330"/>
              <w:jc w:val="left"/>
              <w:rPr>
                <w:lang w:val="fr-CH" w:eastAsia="ja-JP"/>
              </w:rPr>
            </w:pPr>
            <w:r w:rsidRPr="00CB77D9">
              <w:rPr>
                <w:lang w:val="fr-CH" w:eastAsia="ja-JP"/>
              </w:rPr>
              <w:t>destination_address_absent_flag</w:t>
            </w:r>
          </w:p>
        </w:tc>
        <w:tc>
          <w:tcPr>
            <w:tcW w:w="1276"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1</w:t>
            </w:r>
          </w:p>
        </w:tc>
        <w:tc>
          <w:tcPr>
            <w:tcW w:w="1631"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FC05E1">
        <w:trPr>
          <w:jc w:val="center"/>
        </w:trPr>
        <w:tc>
          <w:tcPr>
            <w:tcW w:w="4820" w:type="dxa"/>
          </w:tcPr>
          <w:p w:rsidR="00CB556B" w:rsidRPr="00CB77D9" w:rsidRDefault="00CB556B" w:rsidP="00563EA9">
            <w:pPr>
              <w:pStyle w:val="Tabletext"/>
              <w:widowControl w:val="0"/>
              <w:snapToGrid w:val="0"/>
              <w:ind w:firstLineChars="100" w:firstLine="220"/>
              <w:jc w:val="left"/>
              <w:rPr>
                <w:lang w:val="fr-CH" w:eastAsia="ja-JP"/>
              </w:rPr>
            </w:pPr>
            <w:r w:rsidRPr="00CB77D9">
              <w:rPr>
                <w:lang w:val="fr-CH" w:eastAsia="ja-JP"/>
              </w:rPr>
              <w:t xml:space="preserve">  length</w:t>
            </w:r>
          </w:p>
        </w:tc>
        <w:tc>
          <w:tcPr>
            <w:tcW w:w="1276"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15</w:t>
            </w:r>
          </w:p>
        </w:tc>
        <w:tc>
          <w:tcPr>
            <w:tcW w:w="1631"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FC05E1">
        <w:trPr>
          <w:jc w:val="center"/>
        </w:trPr>
        <w:tc>
          <w:tcPr>
            <w:tcW w:w="4820" w:type="dxa"/>
          </w:tcPr>
          <w:p w:rsidR="00CB556B" w:rsidRPr="00CB77D9" w:rsidRDefault="00CB556B" w:rsidP="00563EA9">
            <w:pPr>
              <w:pStyle w:val="Tabletext"/>
              <w:widowControl w:val="0"/>
              <w:snapToGrid w:val="0"/>
              <w:ind w:firstLineChars="100" w:firstLine="220"/>
              <w:jc w:val="left"/>
              <w:rPr>
                <w:lang w:val="fr-CH" w:eastAsia="ja-JP"/>
              </w:rPr>
            </w:pPr>
            <w:r w:rsidRPr="00CB77D9">
              <w:rPr>
                <w:lang w:val="fr-CH" w:eastAsia="ja-JP"/>
              </w:rPr>
              <w:t xml:space="preserve">  type</w:t>
            </w:r>
          </w:p>
        </w:tc>
        <w:tc>
          <w:tcPr>
            <w:tcW w:w="1276"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16</w:t>
            </w:r>
          </w:p>
        </w:tc>
        <w:tc>
          <w:tcPr>
            <w:tcW w:w="1631"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FD4389" w:rsidTr="00FC05E1">
        <w:trPr>
          <w:jc w:val="center"/>
        </w:trPr>
        <w:tc>
          <w:tcPr>
            <w:tcW w:w="4820" w:type="dxa"/>
          </w:tcPr>
          <w:p w:rsidR="00CB556B" w:rsidRPr="00FD4389" w:rsidRDefault="00CB556B" w:rsidP="00563EA9">
            <w:pPr>
              <w:pStyle w:val="Tabletext"/>
              <w:widowControl w:val="0"/>
              <w:snapToGrid w:val="0"/>
              <w:ind w:firstLineChars="100" w:firstLine="220"/>
              <w:jc w:val="left"/>
              <w:rPr>
                <w:lang w:val="en-US" w:eastAsia="ja-JP"/>
              </w:rPr>
            </w:pPr>
            <w:r w:rsidRPr="00FD4389">
              <w:rPr>
                <w:lang w:val="en-US" w:eastAsia="ja-JP"/>
              </w:rPr>
              <w:t xml:space="preserve">  if( destination_address_absent_flag==«0»)</w:t>
            </w:r>
          </w:p>
        </w:tc>
        <w:tc>
          <w:tcPr>
            <w:tcW w:w="1276" w:type="dxa"/>
          </w:tcPr>
          <w:p w:rsidR="00CB556B" w:rsidRPr="00FD4389" w:rsidRDefault="00CB556B" w:rsidP="00CB556B">
            <w:pPr>
              <w:pStyle w:val="Tabletext"/>
              <w:widowControl w:val="0"/>
              <w:snapToGrid w:val="0"/>
              <w:ind w:leftChars="-51" w:left="1" w:hangingChars="56" w:hanging="123"/>
              <w:jc w:val="center"/>
              <w:rPr>
                <w:rFonts w:eastAsia="MS PGothic"/>
                <w:lang w:val="en-US"/>
              </w:rPr>
            </w:pPr>
          </w:p>
        </w:tc>
        <w:tc>
          <w:tcPr>
            <w:tcW w:w="1631" w:type="dxa"/>
          </w:tcPr>
          <w:p w:rsidR="00CB556B" w:rsidRPr="00FD4389" w:rsidRDefault="00CB556B" w:rsidP="00CB556B">
            <w:pPr>
              <w:pStyle w:val="Tabletext"/>
              <w:widowControl w:val="0"/>
              <w:snapToGrid w:val="0"/>
              <w:ind w:leftChars="-45" w:hangingChars="49" w:hanging="108"/>
              <w:jc w:val="center"/>
              <w:rPr>
                <w:rFonts w:eastAsia="MS PGothic"/>
                <w:lang w:val="en-US"/>
              </w:rPr>
            </w:pPr>
          </w:p>
        </w:tc>
      </w:tr>
      <w:tr w:rsidR="00CB556B" w:rsidRPr="00CB77D9" w:rsidTr="00FC05E1">
        <w:trPr>
          <w:jc w:val="center"/>
        </w:trPr>
        <w:tc>
          <w:tcPr>
            <w:tcW w:w="4820" w:type="dxa"/>
          </w:tcPr>
          <w:p w:rsidR="00CB556B" w:rsidRPr="00CB77D9" w:rsidRDefault="00CB556B" w:rsidP="00563EA9">
            <w:pPr>
              <w:pStyle w:val="Tabletext"/>
              <w:widowControl w:val="0"/>
              <w:snapToGrid w:val="0"/>
              <w:ind w:firstLineChars="100" w:firstLine="220"/>
              <w:jc w:val="left"/>
              <w:rPr>
                <w:lang w:val="fr-CH" w:eastAsia="ja-JP"/>
              </w:rPr>
            </w:pPr>
            <w:r w:rsidRPr="00FD4389">
              <w:rPr>
                <w:lang w:val="en-US" w:eastAsia="ja-JP"/>
              </w:rPr>
              <w:t xml:space="preserve">     </w:t>
            </w:r>
            <w:r w:rsidRPr="00CB77D9">
              <w:rPr>
                <w:lang w:val="fr-CH" w:eastAsia="ja-JP"/>
              </w:rPr>
              <w:t xml:space="preserve">destination_address </w:t>
            </w:r>
          </w:p>
        </w:tc>
        <w:tc>
          <w:tcPr>
            <w:tcW w:w="1276"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48</w:t>
            </w:r>
          </w:p>
        </w:tc>
        <w:tc>
          <w:tcPr>
            <w:tcW w:w="1631"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FC05E1">
        <w:trPr>
          <w:jc w:val="center"/>
        </w:trPr>
        <w:tc>
          <w:tcPr>
            <w:tcW w:w="4820" w:type="dxa"/>
          </w:tcPr>
          <w:p w:rsidR="00CB556B" w:rsidRPr="00CB77D9" w:rsidRDefault="00CB556B" w:rsidP="00563EA9">
            <w:pPr>
              <w:pStyle w:val="Tabletext"/>
              <w:widowControl w:val="0"/>
              <w:snapToGrid w:val="0"/>
              <w:ind w:firstLineChars="100" w:firstLine="220"/>
              <w:jc w:val="left"/>
              <w:rPr>
                <w:lang w:val="fr-CH" w:eastAsia="ja-JP"/>
              </w:rPr>
            </w:pPr>
            <w:r w:rsidRPr="00CB77D9">
              <w:rPr>
                <w:lang w:val="fr-CH" w:eastAsia="ja-JP"/>
              </w:rPr>
              <w:t xml:space="preserve">  if( type==0x0800 )</w:t>
            </w:r>
          </w:p>
        </w:tc>
        <w:tc>
          <w:tcPr>
            <w:tcW w:w="1276"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31"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FC05E1">
        <w:trPr>
          <w:jc w:val="center"/>
        </w:trPr>
        <w:tc>
          <w:tcPr>
            <w:tcW w:w="4820" w:type="dxa"/>
          </w:tcPr>
          <w:p w:rsidR="00CB556B" w:rsidRPr="00CB77D9" w:rsidRDefault="00CB556B" w:rsidP="00563EA9">
            <w:pPr>
              <w:pStyle w:val="Tabletext"/>
              <w:widowControl w:val="0"/>
              <w:snapToGrid w:val="0"/>
              <w:ind w:firstLineChars="100" w:firstLine="220"/>
              <w:jc w:val="left"/>
              <w:rPr>
                <w:rFonts w:eastAsia="MS PGothic"/>
                <w:lang w:val="fr-CH" w:eastAsia="ja-JP"/>
              </w:rPr>
            </w:pPr>
            <w:r w:rsidRPr="00CB77D9">
              <w:rPr>
                <w:rFonts w:eastAsia="MS PGothic"/>
                <w:lang w:val="fr-CH" w:eastAsia="ja-JP"/>
              </w:rPr>
              <w:t xml:space="preserve">     IPv4_packet () </w:t>
            </w:r>
          </w:p>
        </w:tc>
        <w:tc>
          <w:tcPr>
            <w:tcW w:w="1276"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31"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FC05E1">
        <w:trPr>
          <w:jc w:val="center"/>
        </w:trPr>
        <w:tc>
          <w:tcPr>
            <w:tcW w:w="4820" w:type="dxa"/>
          </w:tcPr>
          <w:p w:rsidR="00CB556B" w:rsidRPr="00CB77D9" w:rsidRDefault="00CB556B" w:rsidP="00563EA9">
            <w:pPr>
              <w:pStyle w:val="Tabletext"/>
              <w:widowControl w:val="0"/>
              <w:snapToGrid w:val="0"/>
              <w:ind w:firstLineChars="100" w:firstLine="220"/>
              <w:jc w:val="left"/>
              <w:rPr>
                <w:lang w:val="fr-CH" w:eastAsia="ja-JP"/>
              </w:rPr>
            </w:pPr>
            <w:r w:rsidRPr="00CB77D9">
              <w:rPr>
                <w:lang w:val="fr-CH" w:eastAsia="ja-JP"/>
              </w:rPr>
              <w:t xml:space="preserve">  else if ( type==0x86DD )</w:t>
            </w:r>
          </w:p>
        </w:tc>
        <w:tc>
          <w:tcPr>
            <w:tcW w:w="1276"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31"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FC05E1">
        <w:trPr>
          <w:jc w:val="center"/>
        </w:trPr>
        <w:tc>
          <w:tcPr>
            <w:tcW w:w="4820" w:type="dxa"/>
          </w:tcPr>
          <w:p w:rsidR="00CB556B" w:rsidRPr="00CB77D9" w:rsidRDefault="00CB556B" w:rsidP="00563EA9">
            <w:pPr>
              <w:pStyle w:val="Tabletext"/>
              <w:widowControl w:val="0"/>
              <w:snapToGrid w:val="0"/>
              <w:ind w:firstLineChars="100" w:firstLine="220"/>
              <w:jc w:val="left"/>
              <w:rPr>
                <w:rFonts w:eastAsia="MS PGothic"/>
                <w:lang w:val="fr-CH" w:eastAsia="ja-JP"/>
              </w:rPr>
            </w:pPr>
            <w:r w:rsidRPr="00CB77D9">
              <w:rPr>
                <w:rFonts w:eastAsia="MS PGothic"/>
                <w:lang w:val="fr-CH" w:eastAsia="ja-JP"/>
              </w:rPr>
              <w:t xml:space="preserve">     IPv6_packet ()</w:t>
            </w:r>
          </w:p>
        </w:tc>
        <w:tc>
          <w:tcPr>
            <w:tcW w:w="1276"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31"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FD4389" w:rsidTr="00FC05E1">
        <w:trPr>
          <w:jc w:val="center"/>
        </w:trPr>
        <w:tc>
          <w:tcPr>
            <w:tcW w:w="4820" w:type="dxa"/>
          </w:tcPr>
          <w:p w:rsidR="00CB556B" w:rsidRPr="00FD4389" w:rsidRDefault="00CB556B" w:rsidP="00563EA9">
            <w:pPr>
              <w:pStyle w:val="Tabletext"/>
              <w:widowControl w:val="0"/>
              <w:snapToGrid w:val="0"/>
              <w:ind w:firstLineChars="100" w:firstLine="220"/>
              <w:jc w:val="left"/>
              <w:rPr>
                <w:rFonts w:eastAsia="MS PGothic"/>
                <w:lang w:val="en-US" w:eastAsia="ja-JP"/>
              </w:rPr>
            </w:pPr>
            <w:r w:rsidRPr="00FD4389">
              <w:rPr>
                <w:rFonts w:eastAsia="MS PGothic"/>
                <w:lang w:val="en-US" w:eastAsia="ja-JP"/>
              </w:rPr>
              <w:t xml:space="preserve">  else if (type==[T.B.D] )</w:t>
            </w:r>
          </w:p>
        </w:tc>
        <w:tc>
          <w:tcPr>
            <w:tcW w:w="1276" w:type="dxa"/>
          </w:tcPr>
          <w:p w:rsidR="00CB556B" w:rsidRPr="00FD4389" w:rsidRDefault="00CB556B" w:rsidP="00CB556B">
            <w:pPr>
              <w:pStyle w:val="Tabletext"/>
              <w:widowControl w:val="0"/>
              <w:snapToGrid w:val="0"/>
              <w:ind w:leftChars="-51" w:left="1" w:hangingChars="56" w:hanging="123"/>
              <w:jc w:val="center"/>
              <w:rPr>
                <w:rFonts w:eastAsia="MS PGothic"/>
                <w:lang w:val="en-US"/>
              </w:rPr>
            </w:pPr>
          </w:p>
        </w:tc>
        <w:tc>
          <w:tcPr>
            <w:tcW w:w="1631" w:type="dxa"/>
          </w:tcPr>
          <w:p w:rsidR="00CB556B" w:rsidRPr="00FD4389" w:rsidRDefault="00CB556B" w:rsidP="00CB556B">
            <w:pPr>
              <w:pStyle w:val="Tabletext"/>
              <w:widowControl w:val="0"/>
              <w:snapToGrid w:val="0"/>
              <w:ind w:leftChars="-45" w:hangingChars="49" w:hanging="108"/>
              <w:jc w:val="center"/>
              <w:rPr>
                <w:rFonts w:eastAsia="MS PGothic"/>
                <w:lang w:val="en-US"/>
              </w:rPr>
            </w:pPr>
          </w:p>
        </w:tc>
      </w:tr>
      <w:tr w:rsidR="00CB556B" w:rsidRPr="00CB77D9" w:rsidTr="00FC05E1">
        <w:trPr>
          <w:jc w:val="center"/>
        </w:trPr>
        <w:tc>
          <w:tcPr>
            <w:tcW w:w="4820" w:type="dxa"/>
          </w:tcPr>
          <w:p w:rsidR="00CB556B" w:rsidRPr="00CB77D9" w:rsidRDefault="00CB556B" w:rsidP="00563EA9">
            <w:pPr>
              <w:pStyle w:val="Tabletext"/>
              <w:widowControl w:val="0"/>
              <w:snapToGrid w:val="0"/>
              <w:ind w:firstLineChars="100" w:firstLine="220"/>
              <w:jc w:val="left"/>
              <w:rPr>
                <w:lang w:val="fr-CH" w:eastAsia="ja-JP"/>
              </w:rPr>
            </w:pPr>
            <w:r w:rsidRPr="00FD4389">
              <w:rPr>
                <w:lang w:val="en-US" w:eastAsia="ja-JP"/>
              </w:rPr>
              <w:t xml:space="preserve">     </w:t>
            </w:r>
            <w:r w:rsidRPr="00CB77D9">
              <w:rPr>
                <w:lang w:val="fr-CH" w:eastAsia="ja-JP"/>
              </w:rPr>
              <w:t>compressed_ip_packet ()</w:t>
            </w:r>
          </w:p>
        </w:tc>
        <w:tc>
          <w:tcPr>
            <w:tcW w:w="1276"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31"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FD4389" w:rsidTr="00FC05E1">
        <w:trPr>
          <w:jc w:val="center"/>
        </w:trPr>
        <w:tc>
          <w:tcPr>
            <w:tcW w:w="4820" w:type="dxa"/>
          </w:tcPr>
          <w:p w:rsidR="00CB556B" w:rsidRPr="00FD4389" w:rsidRDefault="00CB556B" w:rsidP="00563EA9">
            <w:pPr>
              <w:pStyle w:val="Tabletext"/>
              <w:widowControl w:val="0"/>
              <w:snapToGrid w:val="0"/>
              <w:ind w:firstLineChars="100" w:firstLine="220"/>
              <w:jc w:val="left"/>
              <w:rPr>
                <w:lang w:val="en-US" w:eastAsia="ja-JP"/>
              </w:rPr>
            </w:pPr>
            <w:r w:rsidRPr="00FD4389">
              <w:rPr>
                <w:lang w:val="en-US" w:eastAsia="ja-JP"/>
              </w:rPr>
              <w:t xml:space="preserve">  else if (type==[T.B.D] )</w:t>
            </w:r>
          </w:p>
        </w:tc>
        <w:tc>
          <w:tcPr>
            <w:tcW w:w="1276" w:type="dxa"/>
          </w:tcPr>
          <w:p w:rsidR="00CB556B" w:rsidRPr="00FD4389" w:rsidRDefault="00CB556B" w:rsidP="00CB556B">
            <w:pPr>
              <w:pStyle w:val="Tabletext"/>
              <w:widowControl w:val="0"/>
              <w:snapToGrid w:val="0"/>
              <w:ind w:leftChars="-51" w:left="1" w:hangingChars="56" w:hanging="123"/>
              <w:jc w:val="center"/>
              <w:rPr>
                <w:rFonts w:eastAsia="MS PGothic"/>
                <w:lang w:val="en-US"/>
              </w:rPr>
            </w:pPr>
          </w:p>
        </w:tc>
        <w:tc>
          <w:tcPr>
            <w:tcW w:w="1631" w:type="dxa"/>
          </w:tcPr>
          <w:p w:rsidR="00CB556B" w:rsidRPr="00FD4389" w:rsidRDefault="00CB556B" w:rsidP="00CB556B">
            <w:pPr>
              <w:pStyle w:val="Tabletext"/>
              <w:widowControl w:val="0"/>
              <w:snapToGrid w:val="0"/>
              <w:ind w:leftChars="-45" w:hangingChars="49" w:hanging="108"/>
              <w:jc w:val="center"/>
              <w:rPr>
                <w:rFonts w:eastAsia="MS PGothic"/>
                <w:lang w:val="en-US"/>
              </w:rPr>
            </w:pPr>
          </w:p>
        </w:tc>
      </w:tr>
      <w:tr w:rsidR="00CB556B" w:rsidRPr="00CB77D9" w:rsidTr="00FC05E1">
        <w:trPr>
          <w:jc w:val="center"/>
        </w:trPr>
        <w:tc>
          <w:tcPr>
            <w:tcW w:w="4820" w:type="dxa"/>
          </w:tcPr>
          <w:p w:rsidR="00CB556B" w:rsidRPr="00CB77D9" w:rsidRDefault="00CB556B" w:rsidP="00563EA9">
            <w:pPr>
              <w:pStyle w:val="Tabletext"/>
              <w:widowControl w:val="0"/>
              <w:snapToGrid w:val="0"/>
              <w:ind w:firstLineChars="100" w:firstLine="220"/>
              <w:jc w:val="left"/>
              <w:rPr>
                <w:rFonts w:eastAsia="MS PGothic"/>
                <w:lang w:val="fr-CH" w:eastAsia="ja-JP"/>
              </w:rPr>
            </w:pPr>
            <w:r w:rsidRPr="00FD4389">
              <w:rPr>
                <w:rFonts w:eastAsia="MS PGothic"/>
                <w:lang w:val="en-US" w:eastAsia="ja-JP"/>
              </w:rPr>
              <w:t xml:space="preserve">     </w:t>
            </w:r>
            <w:r w:rsidRPr="00CB77D9">
              <w:rPr>
                <w:rFonts w:eastAsia="MS PGothic"/>
                <w:lang w:val="fr-CH" w:eastAsia="ja-JP"/>
              </w:rPr>
              <w:t>compressed_ip_packet_ROHC ()</w:t>
            </w:r>
          </w:p>
        </w:tc>
        <w:tc>
          <w:tcPr>
            <w:tcW w:w="1276"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31"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FC05E1">
        <w:trPr>
          <w:jc w:val="center"/>
        </w:trPr>
        <w:tc>
          <w:tcPr>
            <w:tcW w:w="4820" w:type="dxa"/>
          </w:tcPr>
          <w:p w:rsidR="00CB556B" w:rsidRPr="00CB77D9" w:rsidRDefault="00CB556B" w:rsidP="00563EA9">
            <w:pPr>
              <w:pStyle w:val="Tabletext"/>
              <w:widowControl w:val="0"/>
              <w:snapToGrid w:val="0"/>
              <w:ind w:firstLineChars="100" w:firstLine="220"/>
              <w:jc w:val="left"/>
              <w:rPr>
                <w:rFonts w:eastAsia="MS PGothic"/>
                <w:lang w:val="fr-CH" w:eastAsia="ja-JP"/>
              </w:rPr>
            </w:pPr>
            <w:r w:rsidRPr="00CB77D9">
              <w:rPr>
                <w:rFonts w:eastAsia="MS PGothic"/>
                <w:lang w:val="fr-CH" w:eastAsia="ja-JP"/>
              </w:rPr>
              <w:t xml:space="preserve">  CRC_32</w:t>
            </w:r>
          </w:p>
        </w:tc>
        <w:tc>
          <w:tcPr>
            <w:tcW w:w="1276"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32</w:t>
            </w:r>
          </w:p>
        </w:tc>
        <w:tc>
          <w:tcPr>
            <w:tcW w:w="1631"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rpchof</w:t>
            </w:r>
          </w:p>
        </w:tc>
      </w:tr>
      <w:tr w:rsidR="00CB556B" w:rsidRPr="00CB77D9" w:rsidTr="00FC05E1">
        <w:trPr>
          <w:jc w:val="center"/>
        </w:trPr>
        <w:tc>
          <w:tcPr>
            <w:tcW w:w="4820" w:type="dxa"/>
          </w:tcPr>
          <w:p w:rsidR="00CB556B" w:rsidRPr="00CB77D9" w:rsidRDefault="00CB556B" w:rsidP="00563EA9">
            <w:pPr>
              <w:pStyle w:val="Tabletext"/>
              <w:widowControl w:val="0"/>
              <w:snapToGrid w:val="0"/>
              <w:ind w:firstLineChars="100" w:firstLine="220"/>
              <w:jc w:val="left"/>
              <w:rPr>
                <w:lang w:val="fr-CH" w:eastAsia="ja-JP"/>
              </w:rPr>
            </w:pPr>
            <w:r w:rsidRPr="00CB77D9">
              <w:rPr>
                <w:lang w:val="fr-CH" w:eastAsia="ja-JP"/>
              </w:rPr>
              <w:t>}</w:t>
            </w:r>
          </w:p>
        </w:tc>
        <w:tc>
          <w:tcPr>
            <w:tcW w:w="1276"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31"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bl>
    <w:p w:rsidR="00CB556B" w:rsidRPr="00CB77D9" w:rsidRDefault="00CB556B" w:rsidP="00CB556B">
      <w:pPr>
        <w:pStyle w:val="Tablefin"/>
        <w:rPr>
          <w:lang w:val="fr-CH" w:eastAsia="ja-JP"/>
        </w:rPr>
      </w:pPr>
    </w:p>
    <w:p w:rsidR="00CB556B" w:rsidRPr="00CB77D9" w:rsidRDefault="00CB556B" w:rsidP="00291C24">
      <w:pPr>
        <w:rPr>
          <w:lang w:val="fr-CH" w:eastAsia="ja-JP"/>
        </w:rPr>
      </w:pPr>
      <w:r w:rsidRPr="00CB77D9">
        <w:rPr>
          <w:b/>
          <w:bCs/>
          <w:lang w:val="fr-CH" w:eastAsia="ja-JP"/>
        </w:rPr>
        <w:t>destination_address_absent_flag</w:t>
      </w:r>
      <w:r w:rsidRPr="00CB77D9">
        <w:rPr>
          <w:lang w:val="fr-CH" w:eastAsia="ja-JP"/>
        </w:rPr>
        <w:t xml:space="preserve"> – Indique l'absence de champ destination_address. Une valeur de «0» indique la présence du champ destination_address. Une valeur de «1» indique qu'il n'y a pas de champ destination_address.</w:t>
      </w:r>
    </w:p>
    <w:p w:rsidR="00CB556B" w:rsidRPr="00CB77D9" w:rsidRDefault="00CB556B" w:rsidP="00291C24">
      <w:pPr>
        <w:rPr>
          <w:lang w:val="fr-CH" w:eastAsia="ja-JP"/>
        </w:rPr>
      </w:pPr>
      <w:r w:rsidRPr="00CB77D9">
        <w:rPr>
          <w:b/>
          <w:bCs/>
          <w:lang w:val="fr-CH" w:eastAsia="ja-JP"/>
        </w:rPr>
        <w:t>length</w:t>
      </w:r>
      <w:r w:rsidRPr="00CB77D9">
        <w:rPr>
          <w:lang w:val="fr-CH" w:eastAsia="ja-JP"/>
        </w:rPr>
        <w:t xml:space="preserve"> – Indique la longueur, en octets, de l'unité SNDU mesurée à partir de l'octet suivant le champ type jusqu'au champ CRC_32 inclus.</w:t>
      </w:r>
    </w:p>
    <w:p w:rsidR="00CB556B" w:rsidRPr="00CB77D9" w:rsidRDefault="00CB556B" w:rsidP="00563EA9">
      <w:pPr>
        <w:rPr>
          <w:lang w:val="fr-CH" w:eastAsia="ja-JP"/>
        </w:rPr>
      </w:pPr>
      <w:r w:rsidRPr="00CB77D9">
        <w:rPr>
          <w:b/>
          <w:bCs/>
          <w:lang w:val="fr-CH" w:eastAsia="ja-JP"/>
        </w:rPr>
        <w:t>type</w:t>
      </w:r>
      <w:r w:rsidRPr="00CB77D9">
        <w:rPr>
          <w:lang w:val="fr-CH" w:eastAsia="ja-JP"/>
        </w:rPr>
        <w:t xml:space="preserve"> – Indique le type de charge utile acheminée dans une unité SNDU, ou la présence d'un en</w:t>
      </w:r>
      <w:r w:rsidR="00563EA9" w:rsidRPr="00CB77D9">
        <w:rPr>
          <w:lang w:val="fr-CH" w:eastAsia="ja-JP"/>
        </w:rPr>
        <w:noBreakHyphen/>
      </w:r>
      <w:r w:rsidRPr="00CB77D9">
        <w:rPr>
          <w:lang w:val="fr-CH" w:eastAsia="ja-JP"/>
        </w:rPr>
        <w:t xml:space="preserve">tête suivant. </w:t>
      </w:r>
    </w:p>
    <w:p w:rsidR="00CB556B" w:rsidRPr="00CB77D9" w:rsidRDefault="00CB556B" w:rsidP="00291C24">
      <w:pPr>
        <w:rPr>
          <w:lang w:val="fr-CH" w:eastAsia="ja-JP"/>
        </w:rPr>
      </w:pPr>
      <w:r w:rsidRPr="00CB77D9">
        <w:rPr>
          <w:b/>
          <w:bCs/>
          <w:lang w:val="fr-CH" w:eastAsia="ja-JP"/>
        </w:rPr>
        <w:t>destination_address</w:t>
      </w:r>
      <w:r w:rsidRPr="00CB77D9">
        <w:rPr>
          <w:lang w:val="fr-CH" w:eastAsia="ja-JP"/>
        </w:rPr>
        <w:t xml:space="preserve"> – Identifie le ou les récepteur(s) qui traite(nt) une unité SNDU reçue.</w:t>
      </w:r>
    </w:p>
    <w:p w:rsidR="00CB556B" w:rsidRPr="00CB77D9" w:rsidRDefault="00CB556B" w:rsidP="00291C24">
      <w:pPr>
        <w:rPr>
          <w:lang w:val="fr-CH" w:eastAsia="ja-JP"/>
        </w:rPr>
      </w:pPr>
      <w:r w:rsidRPr="00CB77D9">
        <w:rPr>
          <w:b/>
          <w:bCs/>
          <w:lang w:val="fr-CH" w:eastAsia="ja-JP"/>
        </w:rPr>
        <w:t>IPv4_packet ()</w:t>
      </w:r>
      <w:r w:rsidRPr="00CB77D9">
        <w:rPr>
          <w:lang w:val="fr-CH" w:eastAsia="ja-JP"/>
        </w:rPr>
        <w:t xml:space="preserve"> – Indique un paquet IPv4 qui comporte un en-tête IPv4 défini dans la norme RFC 791 [9].</w:t>
      </w:r>
    </w:p>
    <w:p w:rsidR="00CB556B" w:rsidRPr="00CB77D9" w:rsidRDefault="00CB556B" w:rsidP="00291C24">
      <w:pPr>
        <w:rPr>
          <w:lang w:val="fr-CH" w:eastAsia="ja-JP"/>
        </w:rPr>
      </w:pPr>
      <w:r w:rsidRPr="00CB77D9">
        <w:rPr>
          <w:b/>
          <w:bCs/>
          <w:lang w:val="fr-CH" w:eastAsia="ja-JP"/>
        </w:rPr>
        <w:t>IPv6_packet ()</w:t>
      </w:r>
      <w:r w:rsidRPr="00CB77D9">
        <w:rPr>
          <w:lang w:val="fr-CH" w:eastAsia="ja-JP"/>
        </w:rPr>
        <w:t xml:space="preserve"> – Indique un paquet IPv6 qui comporte un en-tête IPv6 défini dans la norme RFC 2460 [10].</w:t>
      </w:r>
    </w:p>
    <w:p w:rsidR="00CB556B" w:rsidRPr="00CB77D9" w:rsidRDefault="00CB556B" w:rsidP="00291C24">
      <w:pPr>
        <w:rPr>
          <w:lang w:val="fr-CH" w:eastAsia="ja-JP"/>
        </w:rPr>
      </w:pPr>
      <w:r w:rsidRPr="00CB77D9">
        <w:rPr>
          <w:b/>
          <w:bCs/>
          <w:lang w:val="fr-CH" w:eastAsia="ja-JP"/>
        </w:rPr>
        <w:t>compressed_ip_packet ()</w:t>
      </w:r>
      <w:r w:rsidRPr="00CB77D9">
        <w:rPr>
          <w:lang w:val="fr-CH" w:eastAsia="ja-JP"/>
        </w:rPr>
        <w:t xml:space="preserve"> – Indique un paquet qui comporte des en-têtes compressés selon la technique présentée au § 3.1 de la présente Recommandation et au § 4 de la Recommandation UIT</w:t>
      </w:r>
      <w:r w:rsidRPr="00CB77D9">
        <w:rPr>
          <w:lang w:val="fr-CH" w:eastAsia="ja-JP"/>
        </w:rPr>
        <w:noBreakHyphen/>
        <w:t>R BT.1869.</w:t>
      </w:r>
    </w:p>
    <w:p w:rsidR="00CB556B" w:rsidRPr="00CB77D9" w:rsidRDefault="00CB556B" w:rsidP="00291C24">
      <w:pPr>
        <w:rPr>
          <w:lang w:val="fr-CH" w:eastAsia="ja-JP"/>
        </w:rPr>
      </w:pPr>
      <w:r w:rsidRPr="00CB77D9">
        <w:rPr>
          <w:b/>
          <w:bCs/>
          <w:lang w:val="fr-CH" w:eastAsia="ja-JP"/>
        </w:rPr>
        <w:t>compressed_ip_packet_ROHC ()</w:t>
      </w:r>
      <w:r w:rsidRPr="00CB77D9">
        <w:rPr>
          <w:lang w:val="fr-CH" w:eastAsia="ja-JP"/>
        </w:rPr>
        <w:t xml:space="preserve"> – Indique un paquet IP qui comporte des en-têtes compressés selon la technique de compression robuste d'en-têtes (ROHC) [4] décrite au § 3.2 de la présente Recommandation.</w:t>
      </w:r>
    </w:p>
    <w:p w:rsidR="00CB556B" w:rsidRPr="00CB77D9" w:rsidRDefault="00CB556B" w:rsidP="00C32207">
      <w:pPr>
        <w:keepNext/>
        <w:keepLines/>
        <w:rPr>
          <w:lang w:val="fr-CH" w:eastAsia="ja-JP"/>
        </w:rPr>
      </w:pPr>
      <w:r w:rsidRPr="00CB77D9">
        <w:rPr>
          <w:b/>
          <w:bCs/>
          <w:lang w:val="fr-CH" w:eastAsia="ja-JP"/>
        </w:rPr>
        <w:lastRenderedPageBreak/>
        <w:t>CRC_32</w:t>
      </w:r>
      <w:r w:rsidRPr="00CB77D9">
        <w:rPr>
          <w:lang w:val="fr-CH" w:eastAsia="ja-JP"/>
        </w:rPr>
        <w:t xml:space="preserve"> </w:t>
      </w:r>
      <w:r w:rsidRPr="00CB77D9">
        <w:rPr>
          <w:lang w:val="fr-CH"/>
        </w:rPr>
        <w:t>– Champ conforme à la Recommandation UIT</w:t>
      </w:r>
      <w:r w:rsidRPr="00CB77D9">
        <w:rPr>
          <w:lang w:val="fr-CH"/>
        </w:rPr>
        <w:noBreakHyphen/>
        <w:t>T H.222.0</w:t>
      </w:r>
      <w:r w:rsidRPr="00CB77D9">
        <w:rPr>
          <w:lang w:val="fr-CH" w:eastAsia="ja-JP"/>
        </w:rPr>
        <w:t>.</w:t>
      </w:r>
    </w:p>
    <w:p w:rsidR="00CB556B" w:rsidRPr="00CB77D9" w:rsidRDefault="00CB556B" w:rsidP="00C32207">
      <w:pPr>
        <w:keepNext/>
        <w:keepLines/>
        <w:rPr>
          <w:lang w:val="fr-CH" w:eastAsia="ja-JP"/>
        </w:rPr>
      </w:pPr>
      <w:r w:rsidRPr="00CB77D9">
        <w:rPr>
          <w:lang w:val="fr-CH" w:eastAsia="ja-JP"/>
        </w:rPr>
        <w:t xml:space="preserve">L'unité SNDU est répartie dans une série de charges utiles des paquets d'un flux de transport. Il existe deux procédures de répartition: le remplissage et le tassement. Les procédures de remplissage et de tassement sont décrites dans les </w:t>
      </w:r>
      <w:r w:rsidR="00563EA9" w:rsidRPr="00CB77D9">
        <w:rPr>
          <w:lang w:val="fr-CH" w:eastAsia="ja-JP"/>
        </w:rPr>
        <w:t xml:space="preserve">Fig. </w:t>
      </w:r>
      <w:r w:rsidRPr="00CB77D9">
        <w:rPr>
          <w:lang w:val="fr-CH" w:eastAsia="ja-JP"/>
        </w:rPr>
        <w:t>3 et 4, respectivement. La procédure de tassement est facultative et peut être appliquée pour une seule session ou unité SNDU.</w:t>
      </w:r>
    </w:p>
    <w:p w:rsidR="00CB556B" w:rsidRPr="00CB77D9" w:rsidRDefault="00CB556B" w:rsidP="00291C24">
      <w:pPr>
        <w:rPr>
          <w:lang w:val="fr-CH" w:eastAsia="ja-JP"/>
        </w:rPr>
      </w:pPr>
      <w:r w:rsidRPr="00CB77D9">
        <w:rPr>
          <w:lang w:val="fr-CH" w:eastAsia="ja-JP"/>
        </w:rPr>
        <w:t>La procédure de remplissage prévoit que l'on n'encapsule pas une autre unité SNDU immédiatement après une unité SNDU encapsulée dans une série de paquets d'un flux de transport MPEG-2, même s'il reste de l'espace disponible dans un paquet d'un flux de transport partiellement rempli. Cette procédure permet de compenser une efficacité moindre par un temps de latence plus court.</w:t>
      </w:r>
    </w:p>
    <w:p w:rsidR="00CB556B" w:rsidRPr="00CB77D9" w:rsidRDefault="00CB556B" w:rsidP="00CB556B">
      <w:pPr>
        <w:pStyle w:val="FigureNo"/>
        <w:rPr>
          <w:lang w:val="fr-CH" w:eastAsia="ja-JP"/>
        </w:rPr>
      </w:pPr>
      <w:r w:rsidRPr="00CB77D9">
        <w:rPr>
          <w:lang w:val="fr-CH" w:eastAsia="ja-JP"/>
        </w:rPr>
        <w:t>FIGURE 3</w:t>
      </w:r>
    </w:p>
    <w:p w:rsidR="00CB556B" w:rsidRPr="00CB77D9" w:rsidRDefault="00CB556B" w:rsidP="00CB556B">
      <w:pPr>
        <w:pStyle w:val="Figuretitle"/>
        <w:rPr>
          <w:lang w:val="fr-CH" w:eastAsia="ja-JP"/>
        </w:rPr>
      </w:pPr>
      <w:r w:rsidRPr="00CB77D9">
        <w:rPr>
          <w:lang w:val="fr-CH" w:eastAsia="ja-JP"/>
        </w:rPr>
        <w:t xml:space="preserve">Encapsulation d'une unité SNDU dans les paquets d'un flux de transport MPEG-2 </w:t>
      </w:r>
      <w:r w:rsidRPr="00CB77D9">
        <w:rPr>
          <w:lang w:val="fr-CH" w:eastAsia="ja-JP"/>
        </w:rPr>
        <w:br/>
        <w:t>selon la procédure de remplissage</w:t>
      </w:r>
    </w:p>
    <w:p w:rsidR="00CB556B" w:rsidRPr="00CB77D9" w:rsidRDefault="00291C24" w:rsidP="00C32207">
      <w:pPr>
        <w:pStyle w:val="Figure"/>
        <w:rPr>
          <w:lang w:val="fr-CH" w:eastAsia="ja-JP"/>
        </w:rPr>
      </w:pPr>
      <w:r w:rsidRPr="00CB77D9">
        <w:rPr>
          <w:lang w:val="fr-CH" w:eastAsia="ja-JP"/>
        </w:rPr>
        <w:object w:dxaOrig="7311" w:dyaOrig="3233">
          <v:shape id="_x0000_i1027" type="#_x0000_t75" style="width:343pt;height:151.5pt" o:ole="">
            <v:imagedata r:id="rId23" o:title=""/>
          </v:shape>
          <o:OLEObject Type="Embed" ProgID="CorelDRAW.Graphic.14" ShapeID="_x0000_i1027" DrawAspect="Content" ObjectID="_1369725537" r:id="rId24"/>
        </w:object>
      </w:r>
    </w:p>
    <w:p w:rsidR="00CB556B" w:rsidRPr="00CB77D9" w:rsidRDefault="00CB556B" w:rsidP="00291C24">
      <w:pPr>
        <w:pStyle w:val="Normalaftertitle"/>
        <w:rPr>
          <w:lang w:val="fr-CH" w:eastAsia="ja-JP"/>
        </w:rPr>
      </w:pPr>
      <w:r w:rsidRPr="00CB77D9">
        <w:rPr>
          <w:lang w:val="fr-CH" w:eastAsia="ja-JP"/>
        </w:rPr>
        <w:t>Dans la procédure de tassement, lorsque plusieurs unités SNDU attendent d'être transférées et qu'il reste un espace suffisant dans la charge utile du paquet d'un flux de transport MPEG-2, on ajoute une autre unité SNDU après une unité SNDU préalablement encapsulée en utilisant l'octet disponible suivant dans la charge utile du paquet du flux de transport.</w:t>
      </w:r>
    </w:p>
    <w:p w:rsidR="00CB556B" w:rsidRPr="00CB77D9" w:rsidRDefault="00CB556B" w:rsidP="00CB556B">
      <w:pPr>
        <w:pStyle w:val="FigureNo"/>
        <w:rPr>
          <w:lang w:val="fr-CH"/>
        </w:rPr>
      </w:pPr>
      <w:r w:rsidRPr="00CB77D9">
        <w:rPr>
          <w:lang w:val="fr-CH"/>
        </w:rPr>
        <w:t>FIGURE 4</w:t>
      </w:r>
    </w:p>
    <w:p w:rsidR="00CB556B" w:rsidRPr="00CB77D9" w:rsidRDefault="00CB556B" w:rsidP="00CB556B">
      <w:pPr>
        <w:pStyle w:val="Figuretitle"/>
        <w:rPr>
          <w:lang w:val="fr-CH"/>
        </w:rPr>
      </w:pPr>
      <w:r w:rsidRPr="00CB77D9">
        <w:rPr>
          <w:lang w:val="fr-CH"/>
        </w:rPr>
        <w:t xml:space="preserve">Encapsulation d'unités SNDU dans les paquets d'un flux de transport MPEG-2 </w:t>
      </w:r>
      <w:r w:rsidRPr="00CB77D9">
        <w:rPr>
          <w:lang w:val="fr-CH"/>
        </w:rPr>
        <w:br/>
        <w:t>selon la procédure de tassement</w:t>
      </w:r>
    </w:p>
    <w:p w:rsidR="00CB556B" w:rsidRPr="00CB77D9" w:rsidRDefault="00291C24" w:rsidP="00C32207">
      <w:pPr>
        <w:pStyle w:val="Figure"/>
        <w:rPr>
          <w:lang w:val="fr-CH" w:eastAsia="ja-JP"/>
        </w:rPr>
      </w:pPr>
      <w:r w:rsidRPr="00CB77D9">
        <w:rPr>
          <w:lang w:val="fr-CH" w:eastAsia="ja-JP"/>
        </w:rPr>
        <w:object w:dxaOrig="6863" w:dyaOrig="3053">
          <v:shape id="_x0000_i1028" type="#_x0000_t75" style="width:322pt;height:143pt" o:ole="">
            <v:imagedata r:id="rId25" o:title=""/>
          </v:shape>
          <o:OLEObject Type="Embed" ProgID="CorelDRAW.Graphic.14" ShapeID="_x0000_i1028" DrawAspect="Content" ObjectID="_1369725538" r:id="rId26"/>
        </w:object>
      </w:r>
    </w:p>
    <w:p w:rsidR="00CB556B" w:rsidRPr="00CB77D9" w:rsidRDefault="00CB556B" w:rsidP="00291C24">
      <w:pPr>
        <w:pStyle w:val="Heading2"/>
        <w:rPr>
          <w:lang w:val="fr-CH" w:eastAsia="ja-JP"/>
        </w:rPr>
      </w:pPr>
      <w:r w:rsidRPr="00CB77D9">
        <w:rPr>
          <w:lang w:val="fr-CH" w:eastAsia="ja-JP"/>
        </w:rPr>
        <w:t>2.2</w:t>
      </w:r>
      <w:r w:rsidRPr="00CB77D9">
        <w:rPr>
          <w:lang w:val="fr-CH" w:eastAsia="ja-JP"/>
        </w:rPr>
        <w:tab/>
        <w:t>Encapsulation de paquets IP dans une section d'un flux de transport MPEG-2</w:t>
      </w:r>
    </w:p>
    <w:p w:rsidR="00CB556B" w:rsidRPr="00CB77D9" w:rsidRDefault="00CB556B" w:rsidP="00291C24">
      <w:pPr>
        <w:rPr>
          <w:lang w:val="fr-CH" w:eastAsia="ja-JP"/>
        </w:rPr>
      </w:pPr>
      <w:r w:rsidRPr="00CB77D9">
        <w:rPr>
          <w:lang w:val="fr-CH" w:eastAsia="ja-JP"/>
        </w:rPr>
        <w:t>Les deux mécanismes décrits ci-après peuvent être utilisés pour encapsuler des paquets IP dans une section d'un flux de transport MPEG-2.</w:t>
      </w:r>
    </w:p>
    <w:p w:rsidR="00CB556B" w:rsidRPr="00CB77D9" w:rsidRDefault="00CB556B" w:rsidP="00563EA9">
      <w:pPr>
        <w:pStyle w:val="Heading3"/>
        <w:rPr>
          <w:lang w:val="fr-CH" w:eastAsia="ja-JP"/>
        </w:rPr>
      </w:pPr>
      <w:r w:rsidRPr="00CB77D9">
        <w:rPr>
          <w:lang w:val="fr-CH" w:eastAsia="ja-JP"/>
        </w:rPr>
        <w:lastRenderedPageBreak/>
        <w:t>2.2.1</w:t>
      </w:r>
      <w:r w:rsidRPr="00CB77D9">
        <w:rPr>
          <w:lang w:val="fr-CH" w:eastAsia="ja-JP"/>
        </w:rPr>
        <w:tab/>
        <w:t>Encapsulation multiprotocole [6]; [7]</w:t>
      </w:r>
    </w:p>
    <w:p w:rsidR="00CB556B" w:rsidRPr="00CB77D9" w:rsidRDefault="00CB556B" w:rsidP="00C32207">
      <w:pPr>
        <w:rPr>
          <w:lang w:val="fr-CH" w:eastAsia="ja-JP"/>
        </w:rPr>
      </w:pPr>
      <w:r w:rsidRPr="00CB77D9">
        <w:rPr>
          <w:lang w:val="fr-CH" w:eastAsia="ja-JP"/>
        </w:rPr>
        <w:t>Un paquet IP est encapsulé dans une section adressable DSM-CC. La syntaxe de la section adressable DSM-CC permettant d'encapsuler un paquet IP est décrite dans le Tableau 2. Le mappage de sections dans des paquets du flux de transport MPEG-2 est défini dans la Recommandation UIT-T H.220.0.</w:t>
      </w:r>
    </w:p>
    <w:p w:rsidR="00CB556B" w:rsidRPr="00CB77D9" w:rsidRDefault="00CB556B" w:rsidP="00CB556B">
      <w:pPr>
        <w:pStyle w:val="TableNo"/>
        <w:rPr>
          <w:lang w:val="fr-CH" w:eastAsia="ja-JP"/>
        </w:rPr>
      </w:pPr>
      <w:r w:rsidRPr="00CB77D9">
        <w:rPr>
          <w:lang w:val="fr-CH" w:eastAsia="ja-JP"/>
        </w:rPr>
        <w:t>TABLEAU 2</w:t>
      </w:r>
    </w:p>
    <w:p w:rsidR="00CB556B" w:rsidRPr="00CB77D9" w:rsidRDefault="00CB556B" w:rsidP="00CB556B">
      <w:pPr>
        <w:pStyle w:val="Tabletitle"/>
        <w:rPr>
          <w:lang w:val="fr-CH" w:eastAsia="ja-JP"/>
        </w:rPr>
      </w:pPr>
      <w:r w:rsidRPr="00CB77D9">
        <w:rPr>
          <w:lang w:val="fr-CH" w:eastAsia="ja-JP"/>
        </w:rPr>
        <w:t>Syntaxe de la section DSM-CC_addressable_section</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8"/>
        <w:gridCol w:w="1323"/>
        <w:gridCol w:w="1617"/>
      </w:tblGrid>
      <w:tr w:rsidR="00CB556B" w:rsidRPr="00CB77D9" w:rsidTr="00C32207">
        <w:trPr>
          <w:jc w:val="center"/>
        </w:trPr>
        <w:tc>
          <w:tcPr>
            <w:tcW w:w="4998" w:type="dxa"/>
            <w:vAlign w:val="center"/>
          </w:tcPr>
          <w:p w:rsidR="00CB556B" w:rsidRPr="00CB77D9" w:rsidRDefault="00CB556B" w:rsidP="00291C24">
            <w:pPr>
              <w:pStyle w:val="Tablehead"/>
              <w:rPr>
                <w:lang w:val="fr-CH"/>
              </w:rPr>
            </w:pPr>
            <w:r w:rsidRPr="00CB77D9">
              <w:rPr>
                <w:lang w:val="fr-CH"/>
              </w:rPr>
              <w:t>Syntaxe</w:t>
            </w:r>
          </w:p>
        </w:tc>
        <w:tc>
          <w:tcPr>
            <w:tcW w:w="1323" w:type="dxa"/>
            <w:vAlign w:val="center"/>
          </w:tcPr>
          <w:p w:rsidR="00CB556B" w:rsidRPr="00CB77D9" w:rsidRDefault="00CB556B" w:rsidP="00291C24">
            <w:pPr>
              <w:pStyle w:val="Tablehead"/>
              <w:rPr>
                <w:lang w:val="fr-CH"/>
              </w:rPr>
            </w:pPr>
            <w:r w:rsidRPr="00CB77D9">
              <w:rPr>
                <w:lang w:val="fr-CH"/>
              </w:rPr>
              <w:t>N</w:t>
            </w:r>
            <w:r w:rsidR="002E3E3E">
              <w:rPr>
                <w:lang w:val="fr-CH"/>
              </w:rPr>
              <w:t>om</w:t>
            </w:r>
            <w:r w:rsidRPr="00CB77D9">
              <w:rPr>
                <w:lang w:val="fr-CH"/>
              </w:rPr>
              <w:t>bre de bits</w:t>
            </w:r>
          </w:p>
        </w:tc>
        <w:tc>
          <w:tcPr>
            <w:tcW w:w="1617" w:type="dxa"/>
            <w:vAlign w:val="center"/>
          </w:tcPr>
          <w:p w:rsidR="00CB556B" w:rsidRPr="00CB77D9" w:rsidRDefault="00CB556B" w:rsidP="00291C24">
            <w:pPr>
              <w:pStyle w:val="Tablehead"/>
              <w:rPr>
                <w:lang w:val="fr-CH"/>
              </w:rPr>
            </w:pPr>
            <w:r w:rsidRPr="00CB77D9">
              <w:rPr>
                <w:lang w:val="fr-CH"/>
              </w:rPr>
              <w:t>Mnémonique</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00" w:firstLine="220"/>
              <w:rPr>
                <w:rFonts w:eastAsia="MS PGothic"/>
                <w:lang w:val="fr-CH" w:eastAsia="ja-JP"/>
              </w:rPr>
            </w:pPr>
            <w:r w:rsidRPr="00CB77D9">
              <w:rPr>
                <w:rFonts w:eastAsia="MS PGothic"/>
                <w:lang w:val="fr-CH" w:eastAsia="ja-JP"/>
              </w:rPr>
              <w:t>DSMCC_addressable_section ()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table_id</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section_syntax_indicator</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1</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error_detection_type</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1</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reserved</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section_length</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12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deviceID[7...0]</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deviceID[15...8]</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reserved</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payload_scrambling_control</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address_scrambling_control</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LLC_SNAP_flag</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1</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current_next_indicator</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1</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section_number</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last_section_number</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deviceID[23...16]</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deviceID[31...24]</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deviceID[39...32]</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deviceID[47...40]</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if (LLC_SNAP_flag==«1»)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xml:space="preserve">   LLC_SNAP()</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else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xml:space="preserve">    for (j=0; j&lt;N; j++)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xml:space="preserve">       </w:t>
            </w:r>
            <w:r w:rsidRPr="00CB77D9">
              <w:rPr>
                <w:lang w:val="fr-CH"/>
              </w:rPr>
              <w:t>IPv4_packet</w:t>
            </w:r>
            <w:r w:rsidRPr="00CB77D9">
              <w:rPr>
                <w:lang w:val="fr-CH" w:eastAsia="ja-JP"/>
              </w:rPr>
              <w:t xml:space="preserve"> </w:t>
            </w:r>
            <w:r w:rsidRPr="00CB77D9">
              <w:rPr>
                <w:lang w:val="fr-CH"/>
              </w:rPr>
              <w:t>(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300" w:firstLine="660"/>
              <w:rPr>
                <w:rFonts w:eastAsia="MS PGothic"/>
                <w:lang w:val="fr-CH" w:eastAsia="ja-JP"/>
              </w:rPr>
            </w:pPr>
            <w:r w:rsidRPr="00CB77D9">
              <w:rPr>
                <w:rFonts w:eastAsia="MS PGothic"/>
                <w:lang w:val="fr-CH" w:eastAsia="ja-JP"/>
              </w:rPr>
              <w:t>}</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FD4389" w:rsidTr="00C32207">
        <w:trPr>
          <w:jc w:val="center"/>
        </w:trPr>
        <w:tc>
          <w:tcPr>
            <w:tcW w:w="4998" w:type="dxa"/>
          </w:tcPr>
          <w:p w:rsidR="00CB556B" w:rsidRPr="00FD4389" w:rsidRDefault="00CB556B" w:rsidP="00CB556B">
            <w:pPr>
              <w:pStyle w:val="Tabletext"/>
              <w:widowControl w:val="0"/>
              <w:snapToGrid w:val="0"/>
              <w:ind w:firstLineChars="214" w:firstLine="471"/>
              <w:rPr>
                <w:rFonts w:eastAsia="MS PGothic"/>
                <w:lang w:val="en-US" w:eastAsia="ja-JP"/>
              </w:rPr>
            </w:pPr>
            <w:r w:rsidRPr="00FD4389">
              <w:rPr>
                <w:rFonts w:eastAsia="MS PGothic"/>
                <w:lang w:val="en-US" w:eastAsia="ja-JP"/>
              </w:rPr>
              <w:t>if(section</w:t>
            </w:r>
            <w:r w:rsidRPr="00FD4389">
              <w:rPr>
                <w:lang w:val="en-US" w:eastAsia="ja-JP"/>
              </w:rPr>
              <w:t>_</w:t>
            </w:r>
            <w:r w:rsidRPr="00FD4389">
              <w:rPr>
                <w:rFonts w:eastAsia="MS PGothic"/>
                <w:lang w:val="en-US" w:eastAsia="ja-JP"/>
              </w:rPr>
              <w:t>number == last</w:t>
            </w:r>
            <w:r w:rsidRPr="00FD4389">
              <w:rPr>
                <w:lang w:val="en-US" w:eastAsia="ja-JP"/>
              </w:rPr>
              <w:t>_</w:t>
            </w:r>
            <w:r w:rsidRPr="00FD4389">
              <w:rPr>
                <w:rFonts w:eastAsia="MS PGothic"/>
                <w:lang w:val="en-US" w:eastAsia="ja-JP"/>
              </w:rPr>
              <w:t>section</w:t>
            </w:r>
            <w:r w:rsidRPr="00FD4389">
              <w:rPr>
                <w:lang w:val="en-US" w:eastAsia="ja-JP"/>
              </w:rPr>
              <w:t>_</w:t>
            </w:r>
            <w:r w:rsidRPr="00FD4389">
              <w:rPr>
                <w:rFonts w:eastAsia="MS PGothic"/>
                <w:lang w:val="en-US" w:eastAsia="ja-JP"/>
              </w:rPr>
              <w:t>number) {</w:t>
            </w:r>
          </w:p>
        </w:tc>
        <w:tc>
          <w:tcPr>
            <w:tcW w:w="1323" w:type="dxa"/>
          </w:tcPr>
          <w:p w:rsidR="00CB556B" w:rsidRPr="00FD4389" w:rsidRDefault="00CB556B" w:rsidP="00CB556B">
            <w:pPr>
              <w:pStyle w:val="Tabletext"/>
              <w:widowControl w:val="0"/>
              <w:snapToGrid w:val="0"/>
              <w:ind w:leftChars="-51" w:left="1" w:hangingChars="56" w:hanging="123"/>
              <w:jc w:val="center"/>
              <w:rPr>
                <w:rFonts w:eastAsia="MS PGothic"/>
                <w:lang w:val="en-US"/>
              </w:rPr>
            </w:pPr>
          </w:p>
        </w:tc>
        <w:tc>
          <w:tcPr>
            <w:tcW w:w="1617" w:type="dxa"/>
          </w:tcPr>
          <w:p w:rsidR="00CB556B" w:rsidRPr="00FD4389" w:rsidRDefault="00CB556B" w:rsidP="00CB556B">
            <w:pPr>
              <w:pStyle w:val="Tabletext"/>
              <w:widowControl w:val="0"/>
              <w:snapToGrid w:val="0"/>
              <w:ind w:leftChars="-45" w:hangingChars="49" w:hanging="108"/>
              <w:jc w:val="center"/>
              <w:rPr>
                <w:rFonts w:eastAsia="MS PGothic"/>
                <w:lang w:val="en-US"/>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rFonts w:eastAsia="MS PGothic"/>
                <w:lang w:val="fr-CH" w:eastAsia="ja-JP"/>
              </w:rPr>
            </w:pPr>
            <w:r w:rsidRPr="00FD4389">
              <w:rPr>
                <w:rFonts w:eastAsia="MS PGothic"/>
                <w:lang w:val="en-US" w:eastAsia="ja-JP"/>
              </w:rPr>
              <w:t xml:space="preserve">  </w:t>
            </w:r>
            <w:r w:rsidRPr="00CB77D9">
              <w:rPr>
                <w:rFonts w:eastAsia="MS PGothic"/>
                <w:lang w:val="fr-CH" w:eastAsia="ja-JP"/>
              </w:rPr>
              <w:t>for(j=0; j&lt;N; j++)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xml:space="preserve">    stuffing_byte</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78" w:firstLine="612"/>
              <w:rPr>
                <w:lang w:val="fr-CH" w:eastAsia="ja-JP"/>
              </w:rPr>
            </w:pPr>
            <w:r w:rsidRPr="00CB77D9">
              <w:rPr>
                <w:lang w:val="fr-CH" w:eastAsia="ja-JP"/>
              </w:rPr>
              <w:t>}</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rFonts w:eastAsia="MS PGothic"/>
                <w:lang w:val="fr-CH" w:eastAsia="ja-JP"/>
              </w:rPr>
            </w:pPr>
            <w:r w:rsidRPr="00CB77D9">
              <w:rPr>
                <w:rFonts w:eastAsia="MS PGothic"/>
                <w:lang w:val="fr-CH" w:eastAsia="ja-JP"/>
              </w:rPr>
              <w:t>}</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bl>
    <w:p w:rsidR="00C32207" w:rsidRPr="00CB77D9" w:rsidRDefault="00C32207" w:rsidP="00C32207">
      <w:pPr>
        <w:pStyle w:val="Tablefin"/>
        <w:rPr>
          <w:lang w:val="fr-CH" w:eastAsia="ja-JP"/>
        </w:rPr>
      </w:pPr>
    </w:p>
    <w:p w:rsidR="00C32207" w:rsidRPr="00CB77D9" w:rsidRDefault="00C32207" w:rsidP="00C32207">
      <w:pPr>
        <w:pStyle w:val="TableNo"/>
        <w:rPr>
          <w:lang w:val="fr-CH" w:eastAsia="ja-JP"/>
        </w:rPr>
      </w:pPr>
      <w:r w:rsidRPr="00CB77D9">
        <w:rPr>
          <w:lang w:val="fr-CH" w:eastAsia="ja-JP"/>
        </w:rPr>
        <w:lastRenderedPageBreak/>
        <w:t>TABLEAU 2 (</w:t>
      </w:r>
      <w:r w:rsidRPr="00CB77D9">
        <w:rPr>
          <w:i/>
          <w:iCs/>
          <w:lang w:val="fr-CH" w:eastAsia="ja-JP"/>
        </w:rPr>
        <w:t>fin</w:t>
      </w:r>
      <w:r w:rsidRPr="00CB77D9">
        <w:rPr>
          <w:lang w:val="fr-CH" w:eastAsia="ja-JP"/>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8"/>
        <w:gridCol w:w="1323"/>
        <w:gridCol w:w="1617"/>
      </w:tblGrid>
      <w:tr w:rsidR="00C32207" w:rsidRPr="00CB77D9" w:rsidTr="00C32207">
        <w:trPr>
          <w:jc w:val="center"/>
        </w:trPr>
        <w:tc>
          <w:tcPr>
            <w:tcW w:w="4998" w:type="dxa"/>
            <w:vAlign w:val="center"/>
          </w:tcPr>
          <w:p w:rsidR="00C32207" w:rsidRPr="00CB77D9" w:rsidRDefault="00C32207" w:rsidP="00FC05E1">
            <w:pPr>
              <w:pStyle w:val="Tablehead"/>
              <w:rPr>
                <w:lang w:val="fr-CH"/>
              </w:rPr>
            </w:pPr>
            <w:r w:rsidRPr="00CB77D9">
              <w:rPr>
                <w:lang w:val="fr-CH"/>
              </w:rPr>
              <w:t>Syntaxe</w:t>
            </w:r>
          </w:p>
        </w:tc>
        <w:tc>
          <w:tcPr>
            <w:tcW w:w="1323" w:type="dxa"/>
            <w:vAlign w:val="center"/>
          </w:tcPr>
          <w:p w:rsidR="00C32207" w:rsidRPr="00CB77D9" w:rsidRDefault="00C32207" w:rsidP="00FC05E1">
            <w:pPr>
              <w:pStyle w:val="Tablehead"/>
              <w:rPr>
                <w:lang w:val="fr-CH"/>
              </w:rPr>
            </w:pPr>
            <w:r w:rsidRPr="00CB77D9">
              <w:rPr>
                <w:lang w:val="fr-CH"/>
              </w:rPr>
              <w:t>N</w:t>
            </w:r>
            <w:r w:rsidR="002E3E3E">
              <w:rPr>
                <w:lang w:val="fr-CH"/>
              </w:rPr>
              <w:t>om</w:t>
            </w:r>
            <w:r w:rsidRPr="00CB77D9">
              <w:rPr>
                <w:lang w:val="fr-CH"/>
              </w:rPr>
              <w:t>bre de bits</w:t>
            </w:r>
          </w:p>
        </w:tc>
        <w:tc>
          <w:tcPr>
            <w:tcW w:w="1617" w:type="dxa"/>
            <w:vAlign w:val="center"/>
          </w:tcPr>
          <w:p w:rsidR="00C32207" w:rsidRPr="00CB77D9" w:rsidRDefault="00C32207" w:rsidP="00FC05E1">
            <w:pPr>
              <w:pStyle w:val="Tablehead"/>
              <w:rPr>
                <w:lang w:val="fr-CH"/>
              </w:rPr>
            </w:pPr>
            <w:r w:rsidRPr="00CB77D9">
              <w:rPr>
                <w:lang w:val="fr-CH"/>
              </w:rPr>
              <w:t>Mnémonique</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rFonts w:eastAsia="MS PGothic"/>
                <w:lang w:val="fr-CH" w:eastAsia="ja-JP"/>
              </w:rPr>
            </w:pPr>
            <w:r w:rsidRPr="00CB77D9">
              <w:rPr>
                <w:rFonts w:eastAsia="MS PGothic"/>
                <w:lang w:val="fr-CH" w:eastAsia="ja-JP"/>
              </w:rPr>
              <w:t>if (error</w:t>
            </w:r>
            <w:r w:rsidRPr="00CB77D9">
              <w:rPr>
                <w:lang w:val="fr-CH" w:eastAsia="ja-JP"/>
              </w:rPr>
              <w:t>_</w:t>
            </w:r>
            <w:r w:rsidRPr="00CB77D9">
              <w:rPr>
                <w:rFonts w:eastAsia="MS PGothic"/>
                <w:lang w:val="fr-CH" w:eastAsia="ja-JP"/>
              </w:rPr>
              <w:t>detection</w:t>
            </w:r>
            <w:r w:rsidRPr="00CB77D9">
              <w:rPr>
                <w:lang w:val="fr-CH" w:eastAsia="ja-JP"/>
              </w:rPr>
              <w:t>_</w:t>
            </w:r>
            <w:r w:rsidRPr="00CB77D9">
              <w:rPr>
                <w:rFonts w:eastAsia="MS PGothic"/>
                <w:lang w:val="fr-CH" w:eastAsia="ja-JP"/>
              </w:rPr>
              <w:t>type==</w:t>
            </w:r>
            <w:r w:rsidRPr="00CB77D9">
              <w:rPr>
                <w:lang w:val="fr-CH" w:eastAsia="ja-JP"/>
              </w:rPr>
              <w:t>«1»</w:t>
            </w:r>
            <w:r w:rsidRPr="00CB77D9">
              <w:rPr>
                <w:rFonts w:eastAsia="MS PGothic"/>
                <w:lang w:val="fr-CH" w:eastAsia="ja-JP"/>
              </w:rPr>
              <w:t>)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xml:space="preserve">  checksum</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32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else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xml:space="preserve">  CRC_32</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32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rpchof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00" w:firstLine="220"/>
              <w:rPr>
                <w:lang w:val="fr-CH" w:eastAsia="ja-JP"/>
              </w:rPr>
            </w:pPr>
            <w:r w:rsidRPr="00CB77D9">
              <w:rPr>
                <w:lang w:val="fr-CH" w:eastAsia="ja-JP"/>
              </w:rPr>
              <w:t>}</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bl>
    <w:p w:rsidR="00CB556B" w:rsidRPr="00CB77D9" w:rsidRDefault="00CB556B" w:rsidP="00CB556B">
      <w:pPr>
        <w:pStyle w:val="Tablefin"/>
        <w:rPr>
          <w:lang w:val="fr-CH"/>
        </w:rPr>
      </w:pPr>
    </w:p>
    <w:p w:rsidR="00CB556B" w:rsidRPr="00CB77D9" w:rsidRDefault="00CB556B" w:rsidP="00291C24">
      <w:pPr>
        <w:rPr>
          <w:lang w:val="fr-CH" w:eastAsia="ja-JP"/>
        </w:rPr>
      </w:pPr>
      <w:r w:rsidRPr="00CB77D9">
        <w:rPr>
          <w:b/>
          <w:lang w:val="fr-CH" w:eastAsia="ja-JP"/>
        </w:rPr>
        <w:t>table_id</w:t>
      </w:r>
      <w:r w:rsidRPr="00CB77D9">
        <w:rPr>
          <w:lang w:val="fr-CH" w:eastAsia="ja-JP"/>
        </w:rPr>
        <w:t xml:space="preserve"> – Ce champ identifie le type de section DSM-CC. Il est mis à «0x3F» dans le cas d'une section adressable DSM-CC.</w:t>
      </w:r>
    </w:p>
    <w:p w:rsidR="00CB556B" w:rsidRPr="00CB77D9" w:rsidRDefault="00CB556B" w:rsidP="00C32207">
      <w:pPr>
        <w:rPr>
          <w:lang w:val="fr-CH" w:eastAsia="ja-JP"/>
        </w:rPr>
      </w:pPr>
      <w:r w:rsidRPr="00CB77D9">
        <w:rPr>
          <w:b/>
          <w:lang w:val="fr-CH" w:eastAsia="ja-JP"/>
        </w:rPr>
        <w:t>section_syntax_indicator</w:t>
      </w:r>
      <w:r w:rsidRPr="00CB77D9">
        <w:rPr>
          <w:lang w:val="fr-CH" w:eastAsia="ja-JP"/>
        </w:rPr>
        <w:t xml:space="preserve"> – Il s'agit d'un fanion de 1 bit. S'il est mis à «1», il indique la présence du champ CRC_32. S'il est mis à «0», il indique la présence du champ checksum.</w:t>
      </w:r>
    </w:p>
    <w:p w:rsidR="00CB556B" w:rsidRPr="00CB77D9" w:rsidRDefault="00CB556B" w:rsidP="00291C24">
      <w:pPr>
        <w:rPr>
          <w:lang w:val="fr-CH" w:eastAsia="ja-JP"/>
        </w:rPr>
      </w:pPr>
      <w:r w:rsidRPr="00CB77D9">
        <w:rPr>
          <w:b/>
          <w:lang w:val="fr-CH" w:eastAsia="ja-JP"/>
        </w:rPr>
        <w:t>error_detection_type</w:t>
      </w:r>
      <w:r w:rsidRPr="00CB77D9">
        <w:rPr>
          <w:lang w:val="fr-CH" w:eastAsia="ja-JP"/>
        </w:rPr>
        <w:t xml:space="preserve"> – Il s'agit d'un fanion de 1 bit. S'il est mis à «1», il indique la présence du champ checksum. S'il est mis à «0», il indique la présence du champ CRC_32.</w:t>
      </w:r>
    </w:p>
    <w:p w:rsidR="00CB556B" w:rsidRPr="00CB77D9" w:rsidRDefault="00CB556B" w:rsidP="00291C24">
      <w:pPr>
        <w:rPr>
          <w:lang w:val="fr-CH" w:eastAsia="ja-JP"/>
        </w:rPr>
      </w:pPr>
      <w:r w:rsidRPr="00CB77D9">
        <w:rPr>
          <w:b/>
          <w:lang w:val="fr-CH" w:eastAsia="ja-JP"/>
        </w:rPr>
        <w:t>reserved</w:t>
      </w:r>
      <w:r w:rsidRPr="00CB77D9">
        <w:rPr>
          <w:lang w:val="fr-CH" w:eastAsia="ja-JP"/>
        </w:rPr>
        <w:t xml:space="preserve"> – Ce champ de 2 bits est mis à </w:t>
      </w:r>
      <w:r w:rsidRPr="00CB77D9">
        <w:rPr>
          <w:lang w:val="fr-CH"/>
        </w:rPr>
        <w:t>«1</w:t>
      </w:r>
      <w:r w:rsidRPr="00CB77D9">
        <w:rPr>
          <w:lang w:val="fr-CH" w:eastAsia="ja-JP"/>
        </w:rPr>
        <w:t>1</w:t>
      </w:r>
      <w:r w:rsidRPr="00CB77D9">
        <w:rPr>
          <w:lang w:val="fr-CH"/>
        </w:rPr>
        <w:t>»</w:t>
      </w:r>
      <w:r w:rsidRPr="00CB77D9">
        <w:rPr>
          <w:lang w:val="fr-CH" w:eastAsia="ja-JP"/>
        </w:rPr>
        <w:t>.</w:t>
      </w:r>
    </w:p>
    <w:p w:rsidR="00CB556B" w:rsidRPr="00CB77D9" w:rsidRDefault="00CB556B" w:rsidP="00291C24">
      <w:pPr>
        <w:rPr>
          <w:lang w:val="fr-CH" w:eastAsia="ja-JP"/>
        </w:rPr>
      </w:pPr>
      <w:r w:rsidRPr="00CB77D9">
        <w:rPr>
          <w:b/>
          <w:lang w:val="fr-CH" w:eastAsia="ja-JP"/>
        </w:rPr>
        <w:t>section_length</w:t>
      </w:r>
      <w:r w:rsidRPr="00CB77D9">
        <w:rPr>
          <w:lang w:val="fr-CH" w:eastAsia="ja-JP"/>
        </w:rPr>
        <w:t xml:space="preserve"> – Ce champ spécifie le nombre d'octets restants venant immédiatement après le champ section_length jusqu'à la fin de la section, champ checksum ou CRC_32 compris.</w:t>
      </w:r>
    </w:p>
    <w:p w:rsidR="00CB556B" w:rsidRPr="00CB77D9" w:rsidRDefault="00CB556B" w:rsidP="00291C24">
      <w:pPr>
        <w:rPr>
          <w:lang w:val="fr-CH" w:eastAsia="ja-JP"/>
        </w:rPr>
      </w:pPr>
      <w:r w:rsidRPr="00CB77D9">
        <w:rPr>
          <w:b/>
          <w:lang w:val="fr-CH" w:eastAsia="ja-JP"/>
        </w:rPr>
        <w:t>deviceId</w:t>
      </w:r>
      <w:r w:rsidRPr="00CB77D9">
        <w:rPr>
          <w:lang w:val="fr-CH" w:eastAsia="ja-JP"/>
        </w:rPr>
        <w:t xml:space="preserve"> – Ce champ de 48 bits identifie le dispositif de réception auquel le paquet est destiné. Il est reconstitué en concaténant, dans cet ordre, les champs d</w:t>
      </w:r>
      <w:r w:rsidRPr="00CB77D9">
        <w:rPr>
          <w:lang w:val="fr-CH"/>
        </w:rPr>
        <w:t xml:space="preserve">eviceId[47…40], deviceId[39…32], deviceId[31…24], deviceId[23…16], deviceId[15…8] et deviceId[7…0], qui représentent respectivement les bits numéro 47 à 40, 39 à 32, 31 à 24, 23 à 16, 15 à 8 </w:t>
      </w:r>
      <w:r w:rsidRPr="00CB77D9">
        <w:rPr>
          <w:lang w:val="fr-CH" w:eastAsia="ja-JP"/>
        </w:rPr>
        <w:t>et</w:t>
      </w:r>
      <w:r w:rsidRPr="00CB77D9">
        <w:rPr>
          <w:lang w:val="fr-CH"/>
        </w:rPr>
        <w:t xml:space="preserve"> 7 à 0.</w:t>
      </w:r>
    </w:p>
    <w:p w:rsidR="00CB556B" w:rsidRPr="00CB77D9" w:rsidRDefault="00CB556B" w:rsidP="00291C24">
      <w:pPr>
        <w:rPr>
          <w:lang w:val="fr-CH" w:eastAsia="ja-JP"/>
        </w:rPr>
      </w:pPr>
      <w:r w:rsidRPr="00CB77D9">
        <w:rPr>
          <w:b/>
          <w:lang w:val="fr-CH" w:eastAsia="ja-JP"/>
        </w:rPr>
        <w:t>payload_scrambling_control</w:t>
      </w:r>
      <w:r w:rsidRPr="00CB77D9">
        <w:rPr>
          <w:lang w:val="fr-CH" w:eastAsia="ja-JP"/>
        </w:rPr>
        <w:t xml:space="preserve"> – Ce champ définit le mode d'embrouillage de la charge utile. Il comprend la charge utile qui commence avant l'octet DeviceId[47..40], mais ne comprend pas le champ checksum ou CRC_32.</w:t>
      </w:r>
    </w:p>
    <w:p w:rsidR="00CB556B" w:rsidRPr="00CB77D9" w:rsidRDefault="00CB556B" w:rsidP="00291C24">
      <w:pPr>
        <w:rPr>
          <w:lang w:val="fr-CH" w:eastAsia="ja-JP"/>
        </w:rPr>
      </w:pPr>
      <w:r w:rsidRPr="00CB77D9">
        <w:rPr>
          <w:b/>
          <w:lang w:val="fr-CH" w:eastAsia="ja-JP"/>
        </w:rPr>
        <w:t>address_scrambling_control</w:t>
      </w:r>
      <w:r w:rsidRPr="00CB77D9">
        <w:rPr>
          <w:lang w:val="fr-CH" w:eastAsia="ja-JP"/>
        </w:rPr>
        <w:t xml:space="preserve"> – Ce champ définit le mode d'embrouillage du champ deviceId.</w:t>
      </w:r>
    </w:p>
    <w:p w:rsidR="00CB556B" w:rsidRPr="00CB77D9" w:rsidRDefault="00CB556B" w:rsidP="00291C24">
      <w:pPr>
        <w:rPr>
          <w:lang w:val="fr-CH" w:eastAsia="ja-JP"/>
        </w:rPr>
      </w:pPr>
      <w:r w:rsidRPr="00CB77D9">
        <w:rPr>
          <w:b/>
          <w:lang w:val="fr-CH" w:eastAsia="ja-JP"/>
        </w:rPr>
        <w:t>LLC_SNAP_flag</w:t>
      </w:r>
      <w:r w:rsidRPr="00CB77D9">
        <w:rPr>
          <w:lang w:val="fr-CH" w:eastAsia="ja-JP"/>
        </w:rPr>
        <w:t xml:space="preserve"> – Il s'agit d'un fanion de 1 bit. S'il est mis à «1», la charge utile achemine un datagramme encapsulé LLC/SNAP venant après le champ deviceID[47..40]. La structure LLC/SNAP indique le type de paquet transporté. Si ce fanion est mis à «0», la section contient un paquet IPv4 sans encapsulation LLC/SNAP.</w:t>
      </w:r>
    </w:p>
    <w:p w:rsidR="00CB556B" w:rsidRPr="00CB77D9" w:rsidRDefault="00CB556B" w:rsidP="00291C24">
      <w:pPr>
        <w:rPr>
          <w:lang w:val="fr-CH" w:eastAsia="ja-JP"/>
        </w:rPr>
      </w:pPr>
      <w:r w:rsidRPr="00CB77D9">
        <w:rPr>
          <w:b/>
          <w:lang w:val="fr-CH" w:eastAsia="ja-JP"/>
        </w:rPr>
        <w:t>current_next_indicator</w:t>
      </w:r>
      <w:r w:rsidRPr="00CB77D9">
        <w:rPr>
          <w:lang w:val="fr-CH" w:eastAsia="ja-JP"/>
        </w:rPr>
        <w:t xml:space="preserve"> – Il s'agit d'un fanion de 1 bit</w:t>
      </w:r>
      <w:r w:rsidRPr="00CB77D9">
        <w:rPr>
          <w:bCs/>
          <w:szCs w:val="21"/>
          <w:lang w:val="fr-CH" w:eastAsia="ja-JP"/>
        </w:rPr>
        <w:t>. Si la valeur du champ table_id est comprise entre 0x3A et 0x3C, ce bit est mis à «1». Dans les autres cas, c'est l'utilisateur qui définit la valeur et l'utilisation de ce champ.</w:t>
      </w:r>
    </w:p>
    <w:p w:rsidR="00CB556B" w:rsidRPr="00CB77D9" w:rsidRDefault="00CB556B" w:rsidP="00291C24">
      <w:pPr>
        <w:rPr>
          <w:lang w:val="fr-CH" w:eastAsia="ja-JP"/>
        </w:rPr>
      </w:pPr>
      <w:r w:rsidRPr="00CB77D9">
        <w:rPr>
          <w:b/>
          <w:lang w:val="fr-CH" w:eastAsia="ja-JP"/>
        </w:rPr>
        <w:t>section_number</w:t>
      </w:r>
      <w:r w:rsidRPr="00CB77D9">
        <w:rPr>
          <w:lang w:val="fr-CH" w:eastAsia="ja-JP"/>
        </w:rPr>
        <w:t xml:space="preserve"> – La valeur et l'utilisation de ce champ sont définies par l'utilisateur.</w:t>
      </w:r>
    </w:p>
    <w:p w:rsidR="00CB556B" w:rsidRPr="00CB77D9" w:rsidRDefault="00CB556B" w:rsidP="00291C24">
      <w:pPr>
        <w:rPr>
          <w:lang w:val="fr-CH" w:eastAsia="ja-JP"/>
        </w:rPr>
      </w:pPr>
      <w:r w:rsidRPr="00CB77D9">
        <w:rPr>
          <w:b/>
          <w:lang w:val="fr-CH" w:eastAsia="ja-JP"/>
        </w:rPr>
        <w:t>last_section_number</w:t>
      </w:r>
      <w:r w:rsidRPr="00CB77D9">
        <w:rPr>
          <w:lang w:val="fr-CH" w:eastAsia="ja-JP"/>
        </w:rPr>
        <w:t xml:space="preserve"> – Ce champ est mis à la valeur maximale encodée dans le champ </w:t>
      </w:r>
      <w:r w:rsidRPr="00CB77D9">
        <w:rPr>
          <w:bCs/>
          <w:szCs w:val="21"/>
          <w:lang w:val="fr-CH" w:eastAsia="ja-JP"/>
        </w:rPr>
        <w:t>section_number pour le même champ table_id.</w:t>
      </w:r>
    </w:p>
    <w:p w:rsidR="00CB556B" w:rsidRPr="00CB77D9" w:rsidRDefault="00CB556B" w:rsidP="00563EA9">
      <w:pPr>
        <w:rPr>
          <w:lang w:val="fr-CH" w:eastAsia="ja-JP"/>
        </w:rPr>
      </w:pPr>
      <w:r w:rsidRPr="00CB77D9">
        <w:rPr>
          <w:b/>
          <w:lang w:val="fr-CH" w:eastAsia="ja-JP"/>
        </w:rPr>
        <w:t xml:space="preserve">LLC_SNAP() </w:t>
      </w:r>
      <w:r w:rsidRPr="00CB77D9">
        <w:rPr>
          <w:lang w:val="fr-CH" w:eastAsia="ja-JP"/>
        </w:rPr>
        <w:t xml:space="preserve">– Cette structure contient le datagramme conforme aux normes ISO/CEI 8802-2 </w:t>
      </w:r>
      <w:r w:rsidRPr="00CB77D9">
        <w:rPr>
          <w:lang w:val="fr-CH"/>
        </w:rPr>
        <w:t>Contrôle de liaison logique</w:t>
      </w:r>
      <w:r w:rsidRPr="00CB77D9">
        <w:rPr>
          <w:lang w:val="fr-CH" w:eastAsia="ja-JP"/>
        </w:rPr>
        <w:t xml:space="preserve"> (LLC) [</w:t>
      </w:r>
      <w:r w:rsidRPr="00CB77D9">
        <w:rPr>
          <w:lang w:val="fr-CH"/>
        </w:rPr>
        <w:t>11]</w:t>
      </w:r>
      <w:r w:rsidRPr="00CB77D9">
        <w:rPr>
          <w:lang w:val="fr-CH" w:eastAsia="ja-JP"/>
        </w:rPr>
        <w:t xml:space="preserve"> et ISO/CEI 8802-1 Point de rattachement au sous-réseau (SNAP)</w:t>
      </w:r>
      <w:r w:rsidR="00563EA9" w:rsidRPr="00CB77D9">
        <w:rPr>
          <w:lang w:val="fr-CH" w:eastAsia="ja-JP"/>
        </w:rPr>
        <w:t xml:space="preserve"> </w:t>
      </w:r>
      <w:r w:rsidRPr="00CB77D9">
        <w:rPr>
          <w:lang w:val="fr-CH" w:eastAsia="ja-JP"/>
        </w:rPr>
        <w:t>[</w:t>
      </w:r>
      <w:r w:rsidRPr="00CB77D9">
        <w:rPr>
          <w:lang w:val="fr-CH"/>
        </w:rPr>
        <w:t>12].</w:t>
      </w:r>
      <w:r w:rsidRPr="00CB77D9">
        <w:rPr>
          <w:lang w:val="fr-CH" w:eastAsia="ja-JP"/>
        </w:rPr>
        <w:t xml:space="preserve"> </w:t>
      </w:r>
    </w:p>
    <w:p w:rsidR="00CB556B" w:rsidRPr="00CB77D9" w:rsidRDefault="00CB556B" w:rsidP="00291C24">
      <w:pPr>
        <w:rPr>
          <w:lang w:val="fr-CH" w:eastAsia="ja-JP"/>
        </w:rPr>
      </w:pPr>
      <w:r w:rsidRPr="00CB77D9">
        <w:rPr>
          <w:b/>
          <w:lang w:val="fr-CH" w:eastAsia="ja-JP"/>
        </w:rPr>
        <w:t>IPv4_packet ( )</w:t>
      </w:r>
      <w:r w:rsidRPr="00CB77D9">
        <w:rPr>
          <w:lang w:val="fr-CH" w:eastAsia="ja-JP"/>
        </w:rPr>
        <w:t xml:space="preserve"> – Indique un paquet IPv4 qui comporte un en-tête IPv4 défini dans la RFC 791</w:t>
      </w:r>
      <w:r w:rsidRPr="00CB77D9">
        <w:rPr>
          <w:lang w:val="fr-CH"/>
        </w:rPr>
        <w:t xml:space="preserve"> [9]</w:t>
      </w:r>
      <w:r w:rsidRPr="00CB77D9">
        <w:rPr>
          <w:lang w:val="fr-CH" w:eastAsia="ja-JP"/>
        </w:rPr>
        <w:t>.</w:t>
      </w:r>
    </w:p>
    <w:p w:rsidR="00CB556B" w:rsidRPr="00CB77D9" w:rsidRDefault="00CB556B" w:rsidP="00291C24">
      <w:pPr>
        <w:rPr>
          <w:lang w:val="fr-CH" w:eastAsia="ja-JP"/>
        </w:rPr>
      </w:pPr>
      <w:r w:rsidRPr="00CB77D9">
        <w:rPr>
          <w:b/>
          <w:lang w:val="fr-CH" w:eastAsia="ja-JP"/>
        </w:rPr>
        <w:t>stuffing_byte</w:t>
      </w:r>
      <w:r w:rsidRPr="00CB77D9">
        <w:rPr>
          <w:lang w:val="fr-CH" w:eastAsia="ja-JP"/>
        </w:rPr>
        <w:t xml:space="preserve"> – Il s'agit d'un champ de 8 bits facultatif dont la valeur n'est pas spécifiée.</w:t>
      </w:r>
    </w:p>
    <w:p w:rsidR="00CB556B" w:rsidRPr="00CB77D9" w:rsidRDefault="00CB556B" w:rsidP="00563EA9">
      <w:pPr>
        <w:keepNext/>
        <w:keepLines/>
        <w:rPr>
          <w:lang w:val="fr-CH" w:eastAsia="ja-JP"/>
        </w:rPr>
      </w:pPr>
      <w:r w:rsidRPr="00CB77D9">
        <w:rPr>
          <w:b/>
          <w:lang w:val="fr-CH" w:eastAsia="ja-JP"/>
        </w:rPr>
        <w:lastRenderedPageBreak/>
        <w:t>checksum</w:t>
      </w:r>
      <w:r w:rsidRPr="00CB77D9">
        <w:rPr>
          <w:lang w:val="fr-CH" w:eastAsia="ja-JP"/>
        </w:rPr>
        <w:t xml:space="preserve"> – Il s'agit d'une somme de contrôle de 32 bits calculée sur la totalité de la section DSMCC_addressable_section. Elle est obtenue en considérant la section DSMCC_addressable_section comme une séquence d'entiers de 32 bits et en prenant le complément à un de la somme des compléments à un (opération ou exclusif) de tous les entiers, en mettant l'octet de plus fort poids en premier.</w:t>
      </w:r>
    </w:p>
    <w:p w:rsidR="00CB556B" w:rsidRPr="00CB77D9" w:rsidRDefault="00CB556B" w:rsidP="00291C24">
      <w:pPr>
        <w:rPr>
          <w:lang w:val="fr-CH"/>
        </w:rPr>
      </w:pPr>
      <w:r w:rsidRPr="00CB77D9">
        <w:rPr>
          <w:b/>
          <w:lang w:val="fr-CH" w:eastAsia="ja-JP"/>
        </w:rPr>
        <w:t>CRC_32</w:t>
      </w:r>
      <w:r w:rsidRPr="00CB77D9">
        <w:rPr>
          <w:lang w:val="fr-CH" w:eastAsia="ja-JP"/>
        </w:rPr>
        <w:t xml:space="preserve"> – </w:t>
      </w:r>
      <w:r w:rsidRPr="00CB77D9">
        <w:rPr>
          <w:lang w:val="fr-CH"/>
        </w:rPr>
        <w:t>Champ conforme à la Recommandation UIT T H.222.0.</w:t>
      </w:r>
    </w:p>
    <w:p w:rsidR="00CB556B" w:rsidRPr="00CB77D9" w:rsidRDefault="00CB556B" w:rsidP="00291C24">
      <w:pPr>
        <w:pStyle w:val="Heading3"/>
        <w:rPr>
          <w:lang w:val="fr-CH"/>
        </w:rPr>
      </w:pPr>
      <w:r w:rsidRPr="00CB77D9">
        <w:rPr>
          <w:lang w:val="fr-CH"/>
        </w:rPr>
        <w:t>2.2.2</w:t>
      </w:r>
      <w:r w:rsidRPr="00CB77D9">
        <w:rPr>
          <w:lang w:val="fr-CH"/>
        </w:rPr>
        <w:tab/>
        <w:t>Encapsulation multiprotocole [8]</w:t>
      </w:r>
    </w:p>
    <w:p w:rsidR="00CB556B" w:rsidRPr="00CB77D9" w:rsidRDefault="00CB556B" w:rsidP="00291C24">
      <w:pPr>
        <w:rPr>
          <w:lang w:val="fr-CH" w:eastAsia="ja-JP"/>
        </w:rPr>
      </w:pPr>
      <w:r w:rsidRPr="00CB77D9">
        <w:rPr>
          <w:lang w:val="fr-CH" w:eastAsia="ja-JP"/>
        </w:rPr>
        <w:t>Un paquet IP est encapsulé dans une section datagram_section, qui est conforme au format de la section DSMCC_section [2]. La syntaxe de la section datagram_section est décrite dans le Tableau 3. Le mappage de sections dans des paquets du flux de transport MPEG-2 est défini dans la Recommandation UIT-T H.220.0.</w:t>
      </w:r>
    </w:p>
    <w:p w:rsidR="00CB556B" w:rsidRPr="00CB77D9" w:rsidRDefault="00CB556B" w:rsidP="00CB556B">
      <w:pPr>
        <w:pStyle w:val="TableNo"/>
        <w:rPr>
          <w:lang w:val="fr-CH" w:eastAsia="ja-JP"/>
        </w:rPr>
      </w:pPr>
      <w:r w:rsidRPr="00CB77D9">
        <w:rPr>
          <w:lang w:val="fr-CH" w:eastAsia="ja-JP"/>
        </w:rPr>
        <w:t>TABLEAU 3</w:t>
      </w:r>
    </w:p>
    <w:p w:rsidR="00CB556B" w:rsidRPr="00CB77D9" w:rsidRDefault="00CB556B" w:rsidP="00CB556B">
      <w:pPr>
        <w:pStyle w:val="Tabletitle"/>
        <w:rPr>
          <w:lang w:val="fr-CH" w:eastAsia="ja-JP"/>
        </w:rPr>
      </w:pPr>
      <w:r w:rsidRPr="00CB77D9">
        <w:rPr>
          <w:lang w:val="fr-CH" w:eastAsia="ja-JP"/>
        </w:rPr>
        <w:t>Syntaxe de la section datagram_section</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8"/>
        <w:gridCol w:w="1323"/>
        <w:gridCol w:w="1617"/>
      </w:tblGrid>
      <w:tr w:rsidR="00CB556B" w:rsidRPr="00CB77D9" w:rsidTr="00C32207">
        <w:trPr>
          <w:jc w:val="center"/>
        </w:trPr>
        <w:tc>
          <w:tcPr>
            <w:tcW w:w="4998" w:type="dxa"/>
            <w:vAlign w:val="center"/>
          </w:tcPr>
          <w:p w:rsidR="00CB556B" w:rsidRPr="00CB77D9" w:rsidRDefault="00CB556B" w:rsidP="00291C24">
            <w:pPr>
              <w:pStyle w:val="Tablehead"/>
              <w:rPr>
                <w:szCs w:val="21"/>
                <w:lang w:val="fr-CH"/>
              </w:rPr>
            </w:pPr>
            <w:r w:rsidRPr="00CB77D9">
              <w:rPr>
                <w:lang w:val="fr-CH"/>
              </w:rPr>
              <w:t>Syntaxe</w:t>
            </w:r>
          </w:p>
        </w:tc>
        <w:tc>
          <w:tcPr>
            <w:tcW w:w="1323" w:type="dxa"/>
            <w:vAlign w:val="center"/>
          </w:tcPr>
          <w:p w:rsidR="00CB556B" w:rsidRPr="00CB77D9" w:rsidRDefault="00CB556B" w:rsidP="00291C24">
            <w:pPr>
              <w:pStyle w:val="Tablehead"/>
              <w:rPr>
                <w:lang w:val="fr-CH"/>
              </w:rPr>
            </w:pPr>
            <w:r w:rsidRPr="00CB77D9">
              <w:rPr>
                <w:lang w:val="fr-CH"/>
              </w:rPr>
              <w:t>Nombre de bits</w:t>
            </w:r>
          </w:p>
        </w:tc>
        <w:tc>
          <w:tcPr>
            <w:tcW w:w="1617" w:type="dxa"/>
            <w:vAlign w:val="center"/>
          </w:tcPr>
          <w:p w:rsidR="00CB556B" w:rsidRPr="00CB77D9" w:rsidRDefault="00CB556B" w:rsidP="00291C24">
            <w:pPr>
              <w:pStyle w:val="Tablehead"/>
              <w:rPr>
                <w:lang w:val="fr-CH"/>
              </w:rPr>
            </w:pPr>
            <w:r w:rsidRPr="00CB77D9">
              <w:rPr>
                <w:lang w:val="fr-CH"/>
              </w:rPr>
              <w:t>Mnémonique</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00" w:firstLine="220"/>
              <w:rPr>
                <w:rFonts w:eastAsia="MS PGothic"/>
                <w:lang w:val="fr-CH" w:eastAsia="ja-JP"/>
              </w:rPr>
            </w:pPr>
            <w:r w:rsidRPr="00CB77D9">
              <w:rPr>
                <w:rFonts w:eastAsia="MS PGothic"/>
                <w:lang w:val="fr-CH" w:eastAsia="ja-JP"/>
              </w:rPr>
              <w:t>datagram_section ()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table_id</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section_syntax_indicator</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1</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private_indicator</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1</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reserved</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section_length</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12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MAC_address_6</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MAC_address_5</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reserved</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payload_scrambling_control</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address_scrambling_control</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LLC_SNAP_flag</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1</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current_next_indicator</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1</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section_number</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last_section_number</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MAC_address_4</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MAC_address_3</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MAC_address_2</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49" w:firstLine="328"/>
              <w:rPr>
                <w:lang w:val="fr-CH" w:eastAsia="ja-JP"/>
              </w:rPr>
            </w:pPr>
            <w:r w:rsidRPr="00CB77D9">
              <w:rPr>
                <w:lang w:val="fr-CH" w:eastAsia="ja-JP"/>
              </w:rPr>
              <w:t xml:space="preserve">  MAC_address_1</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if (LLC_SNAP_flag == «1»)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xml:space="preserve">   LLC_SNAP()</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else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xml:space="preserve">    for (j=0; j&lt;N; j++)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xml:space="preserve">       </w:t>
            </w:r>
            <w:r w:rsidRPr="00CB77D9">
              <w:rPr>
                <w:lang w:val="fr-CH"/>
              </w:rPr>
              <w:t>IPv4_packet</w:t>
            </w:r>
            <w:r w:rsidRPr="00CB77D9">
              <w:rPr>
                <w:lang w:val="fr-CH" w:eastAsia="ja-JP"/>
              </w:rPr>
              <w:t xml:space="preserve"> </w:t>
            </w:r>
            <w:r w:rsidRPr="00CB77D9">
              <w:rPr>
                <w:lang w:val="fr-CH"/>
              </w:rPr>
              <w:t>(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300" w:firstLine="660"/>
              <w:rPr>
                <w:rFonts w:eastAsia="MS PGothic"/>
                <w:lang w:val="fr-CH" w:eastAsia="ja-JP"/>
              </w:rPr>
            </w:pPr>
            <w:r w:rsidRPr="00CB77D9">
              <w:rPr>
                <w:rFonts w:eastAsia="MS PGothic"/>
                <w:lang w:val="fr-CH" w:eastAsia="ja-JP"/>
              </w:rPr>
              <w:t>}</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bl>
    <w:p w:rsidR="00C32207" w:rsidRPr="00CB77D9" w:rsidRDefault="00C32207" w:rsidP="00C32207">
      <w:pPr>
        <w:pStyle w:val="TableNo"/>
        <w:rPr>
          <w:lang w:val="fr-CH" w:eastAsia="ja-JP"/>
        </w:rPr>
      </w:pPr>
      <w:r w:rsidRPr="00CB77D9">
        <w:rPr>
          <w:lang w:val="fr-CH" w:eastAsia="ja-JP"/>
        </w:rPr>
        <w:lastRenderedPageBreak/>
        <w:t>TABLEAU 3 (</w:t>
      </w:r>
      <w:r w:rsidRPr="00CB77D9">
        <w:rPr>
          <w:i/>
          <w:iCs/>
          <w:lang w:val="fr-CH" w:eastAsia="ja-JP"/>
        </w:rPr>
        <w:t>fin</w:t>
      </w:r>
      <w:r w:rsidRPr="00CB77D9">
        <w:rPr>
          <w:lang w:val="fr-CH" w:eastAsia="ja-JP"/>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8"/>
        <w:gridCol w:w="1323"/>
        <w:gridCol w:w="1617"/>
      </w:tblGrid>
      <w:tr w:rsidR="00C32207" w:rsidRPr="00CB77D9" w:rsidTr="00C32207">
        <w:trPr>
          <w:jc w:val="center"/>
        </w:trPr>
        <w:tc>
          <w:tcPr>
            <w:tcW w:w="4998" w:type="dxa"/>
            <w:vAlign w:val="center"/>
          </w:tcPr>
          <w:p w:rsidR="00C32207" w:rsidRPr="00CB77D9" w:rsidRDefault="00C32207" w:rsidP="00FC05E1">
            <w:pPr>
              <w:pStyle w:val="Tablehead"/>
              <w:rPr>
                <w:szCs w:val="21"/>
                <w:lang w:val="fr-CH"/>
              </w:rPr>
            </w:pPr>
            <w:r w:rsidRPr="00CB77D9">
              <w:rPr>
                <w:lang w:val="fr-CH"/>
              </w:rPr>
              <w:t>Syntaxe</w:t>
            </w:r>
          </w:p>
        </w:tc>
        <w:tc>
          <w:tcPr>
            <w:tcW w:w="1323" w:type="dxa"/>
            <w:vAlign w:val="center"/>
          </w:tcPr>
          <w:p w:rsidR="00C32207" w:rsidRPr="00CB77D9" w:rsidRDefault="00C32207" w:rsidP="00FC05E1">
            <w:pPr>
              <w:pStyle w:val="Tablehead"/>
              <w:rPr>
                <w:lang w:val="fr-CH"/>
              </w:rPr>
            </w:pPr>
            <w:r w:rsidRPr="00CB77D9">
              <w:rPr>
                <w:lang w:val="fr-CH"/>
              </w:rPr>
              <w:t>Nombre de bits</w:t>
            </w:r>
          </w:p>
        </w:tc>
        <w:tc>
          <w:tcPr>
            <w:tcW w:w="1617" w:type="dxa"/>
            <w:vAlign w:val="center"/>
          </w:tcPr>
          <w:p w:rsidR="00C32207" w:rsidRPr="00CB77D9" w:rsidRDefault="00C32207" w:rsidP="00FC05E1">
            <w:pPr>
              <w:pStyle w:val="Tablehead"/>
              <w:rPr>
                <w:lang w:val="fr-CH"/>
              </w:rPr>
            </w:pPr>
            <w:r w:rsidRPr="00CB77D9">
              <w:rPr>
                <w:lang w:val="fr-CH"/>
              </w:rPr>
              <w:t>Mnémonique</w:t>
            </w:r>
          </w:p>
        </w:tc>
      </w:tr>
      <w:tr w:rsidR="00CB556B" w:rsidRPr="00FD4389" w:rsidTr="00C32207">
        <w:trPr>
          <w:jc w:val="center"/>
        </w:trPr>
        <w:tc>
          <w:tcPr>
            <w:tcW w:w="4998" w:type="dxa"/>
          </w:tcPr>
          <w:p w:rsidR="00CB556B" w:rsidRPr="00FD4389" w:rsidRDefault="00CB556B" w:rsidP="00CB556B">
            <w:pPr>
              <w:pStyle w:val="Tabletext"/>
              <w:widowControl w:val="0"/>
              <w:snapToGrid w:val="0"/>
              <w:ind w:firstLineChars="214" w:firstLine="471"/>
              <w:rPr>
                <w:rFonts w:eastAsia="MS PGothic"/>
                <w:lang w:val="en-US" w:eastAsia="ja-JP"/>
              </w:rPr>
            </w:pPr>
            <w:r w:rsidRPr="00FD4389">
              <w:rPr>
                <w:rFonts w:eastAsia="MS PGothic"/>
                <w:lang w:val="en-US" w:eastAsia="ja-JP"/>
              </w:rPr>
              <w:t>if(section</w:t>
            </w:r>
            <w:r w:rsidRPr="00FD4389">
              <w:rPr>
                <w:lang w:val="en-US" w:eastAsia="ja-JP"/>
              </w:rPr>
              <w:t>_</w:t>
            </w:r>
            <w:r w:rsidRPr="00FD4389">
              <w:rPr>
                <w:rFonts w:eastAsia="MS PGothic"/>
                <w:lang w:val="en-US" w:eastAsia="ja-JP"/>
              </w:rPr>
              <w:t>number == last</w:t>
            </w:r>
            <w:r w:rsidRPr="00FD4389">
              <w:rPr>
                <w:lang w:val="en-US" w:eastAsia="ja-JP"/>
              </w:rPr>
              <w:t>_</w:t>
            </w:r>
            <w:r w:rsidRPr="00FD4389">
              <w:rPr>
                <w:rFonts w:eastAsia="MS PGothic"/>
                <w:lang w:val="en-US" w:eastAsia="ja-JP"/>
              </w:rPr>
              <w:t>section</w:t>
            </w:r>
            <w:r w:rsidRPr="00FD4389">
              <w:rPr>
                <w:lang w:val="en-US" w:eastAsia="ja-JP"/>
              </w:rPr>
              <w:t>_</w:t>
            </w:r>
            <w:r w:rsidRPr="00FD4389">
              <w:rPr>
                <w:rFonts w:eastAsia="MS PGothic"/>
                <w:lang w:val="en-US" w:eastAsia="ja-JP"/>
              </w:rPr>
              <w:t>number) {</w:t>
            </w:r>
          </w:p>
        </w:tc>
        <w:tc>
          <w:tcPr>
            <w:tcW w:w="1323" w:type="dxa"/>
          </w:tcPr>
          <w:p w:rsidR="00CB556B" w:rsidRPr="00FD4389" w:rsidRDefault="00CB556B" w:rsidP="00CB556B">
            <w:pPr>
              <w:pStyle w:val="Tabletext"/>
              <w:widowControl w:val="0"/>
              <w:snapToGrid w:val="0"/>
              <w:ind w:leftChars="-51" w:left="1" w:hangingChars="56" w:hanging="123"/>
              <w:jc w:val="center"/>
              <w:rPr>
                <w:rFonts w:eastAsia="MS PGothic"/>
                <w:lang w:val="en-US"/>
              </w:rPr>
            </w:pPr>
          </w:p>
        </w:tc>
        <w:tc>
          <w:tcPr>
            <w:tcW w:w="1617" w:type="dxa"/>
          </w:tcPr>
          <w:p w:rsidR="00CB556B" w:rsidRPr="00FD4389" w:rsidRDefault="00CB556B" w:rsidP="00CB556B">
            <w:pPr>
              <w:pStyle w:val="Tabletext"/>
              <w:widowControl w:val="0"/>
              <w:snapToGrid w:val="0"/>
              <w:ind w:leftChars="-45" w:hangingChars="49" w:hanging="108"/>
              <w:jc w:val="center"/>
              <w:rPr>
                <w:rFonts w:eastAsia="MS PGothic"/>
                <w:lang w:val="en-US"/>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rFonts w:eastAsia="MS PGothic"/>
                <w:lang w:val="fr-CH" w:eastAsia="ja-JP"/>
              </w:rPr>
            </w:pPr>
            <w:r w:rsidRPr="00FD4389">
              <w:rPr>
                <w:rFonts w:eastAsia="MS PGothic"/>
                <w:lang w:val="en-US" w:eastAsia="ja-JP"/>
              </w:rPr>
              <w:t xml:space="preserve">  </w:t>
            </w:r>
            <w:r w:rsidRPr="00CB77D9">
              <w:rPr>
                <w:rFonts w:eastAsia="MS PGothic"/>
                <w:lang w:val="fr-CH" w:eastAsia="ja-JP"/>
              </w:rPr>
              <w:t>for(j=0; j&lt;N; j++)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xml:space="preserve">    stuffing_byte</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8</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bslbf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78" w:firstLine="612"/>
              <w:rPr>
                <w:lang w:val="fr-CH" w:eastAsia="ja-JP"/>
              </w:rPr>
            </w:pPr>
            <w:r w:rsidRPr="00CB77D9">
              <w:rPr>
                <w:lang w:val="fr-CH" w:eastAsia="ja-JP"/>
              </w:rPr>
              <w:t>}</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rFonts w:eastAsia="MS PGothic"/>
                <w:lang w:val="fr-CH" w:eastAsia="ja-JP"/>
              </w:rPr>
            </w:pPr>
            <w:r w:rsidRPr="00CB77D9">
              <w:rPr>
                <w:rFonts w:eastAsia="MS PGothic"/>
                <w:lang w:val="fr-CH" w:eastAsia="ja-JP"/>
              </w:rPr>
              <w:t>}</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rFonts w:eastAsia="MS PGothic"/>
                <w:lang w:val="fr-CH" w:eastAsia="ja-JP"/>
              </w:rPr>
            </w:pPr>
            <w:r w:rsidRPr="00CB77D9">
              <w:rPr>
                <w:rFonts w:eastAsia="MS PGothic"/>
                <w:lang w:val="fr-CH" w:eastAsia="ja-JP"/>
              </w:rPr>
              <w:t>if (section_syntax_indicator ==</w:t>
            </w:r>
            <w:r w:rsidRPr="00CB77D9">
              <w:rPr>
                <w:lang w:val="fr-CH" w:eastAsia="ja-JP"/>
              </w:rPr>
              <w:t>«0»</w:t>
            </w:r>
            <w:r w:rsidRPr="00CB77D9">
              <w:rPr>
                <w:rFonts w:eastAsia="MS PGothic"/>
                <w:lang w:val="fr-CH" w:eastAsia="ja-JP"/>
              </w:rPr>
              <w:t>)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xml:space="preserve">  checksum</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32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r w:rsidRPr="00CB77D9">
              <w:rPr>
                <w:rFonts w:eastAsia="MS PGothic"/>
                <w:lang w:val="fr-CH" w:eastAsia="ja-JP"/>
              </w:rPr>
              <w:t>uimsbf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else {</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 xml:space="preserve">  CRC_32</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eastAsia="ja-JP"/>
              </w:rPr>
            </w:pPr>
            <w:r w:rsidRPr="00CB77D9">
              <w:rPr>
                <w:rFonts w:eastAsia="MS PGothic"/>
                <w:lang w:val="fr-CH" w:eastAsia="ja-JP"/>
              </w:rPr>
              <w:t>32</w:t>
            </w: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eastAsia="ja-JP"/>
              </w:rPr>
            </w:pPr>
            <w:r w:rsidRPr="00CB77D9">
              <w:rPr>
                <w:rFonts w:eastAsia="MS PGothic"/>
                <w:lang w:val="fr-CH" w:eastAsia="ja-JP"/>
              </w:rPr>
              <w:t>rpchof</w:t>
            </w: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214" w:firstLine="471"/>
              <w:rPr>
                <w:lang w:val="fr-CH" w:eastAsia="ja-JP"/>
              </w:rPr>
            </w:pPr>
            <w:r w:rsidRPr="00CB77D9">
              <w:rPr>
                <w:lang w:val="fr-CH" w:eastAsia="ja-JP"/>
              </w:rPr>
              <w:t>}</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r w:rsidR="00CB556B" w:rsidRPr="00CB77D9" w:rsidTr="00C32207">
        <w:trPr>
          <w:jc w:val="center"/>
        </w:trPr>
        <w:tc>
          <w:tcPr>
            <w:tcW w:w="4998" w:type="dxa"/>
          </w:tcPr>
          <w:p w:rsidR="00CB556B" w:rsidRPr="00CB77D9" w:rsidRDefault="00CB556B" w:rsidP="00CB556B">
            <w:pPr>
              <w:pStyle w:val="Tabletext"/>
              <w:widowControl w:val="0"/>
              <w:snapToGrid w:val="0"/>
              <w:ind w:firstLineChars="100" w:firstLine="220"/>
              <w:rPr>
                <w:lang w:val="fr-CH" w:eastAsia="ja-JP"/>
              </w:rPr>
            </w:pPr>
            <w:r w:rsidRPr="00CB77D9">
              <w:rPr>
                <w:lang w:val="fr-CH" w:eastAsia="ja-JP"/>
              </w:rPr>
              <w:t>}</w:t>
            </w:r>
          </w:p>
        </w:tc>
        <w:tc>
          <w:tcPr>
            <w:tcW w:w="1323" w:type="dxa"/>
          </w:tcPr>
          <w:p w:rsidR="00CB556B" w:rsidRPr="00CB77D9" w:rsidRDefault="00CB556B" w:rsidP="00CB556B">
            <w:pPr>
              <w:pStyle w:val="Tabletext"/>
              <w:widowControl w:val="0"/>
              <w:snapToGrid w:val="0"/>
              <w:ind w:leftChars="-51" w:left="1" w:hangingChars="56" w:hanging="123"/>
              <w:jc w:val="center"/>
              <w:rPr>
                <w:rFonts w:eastAsia="MS PGothic"/>
                <w:lang w:val="fr-CH"/>
              </w:rPr>
            </w:pPr>
          </w:p>
        </w:tc>
        <w:tc>
          <w:tcPr>
            <w:tcW w:w="1617" w:type="dxa"/>
          </w:tcPr>
          <w:p w:rsidR="00CB556B" w:rsidRPr="00CB77D9" w:rsidRDefault="00CB556B" w:rsidP="00CB556B">
            <w:pPr>
              <w:pStyle w:val="Tabletext"/>
              <w:widowControl w:val="0"/>
              <w:snapToGrid w:val="0"/>
              <w:ind w:leftChars="-45" w:hangingChars="49" w:hanging="108"/>
              <w:jc w:val="center"/>
              <w:rPr>
                <w:rFonts w:eastAsia="MS PGothic"/>
                <w:lang w:val="fr-CH"/>
              </w:rPr>
            </w:pPr>
          </w:p>
        </w:tc>
      </w:tr>
    </w:tbl>
    <w:p w:rsidR="00CB556B" w:rsidRPr="00CB77D9" w:rsidRDefault="00CB556B" w:rsidP="00CB556B">
      <w:pPr>
        <w:pStyle w:val="Tablefin"/>
        <w:rPr>
          <w:lang w:val="fr-CH" w:eastAsia="ja-JP"/>
        </w:rPr>
      </w:pPr>
    </w:p>
    <w:p w:rsidR="00CB556B" w:rsidRPr="00CB77D9" w:rsidRDefault="00CB556B" w:rsidP="00291C24">
      <w:pPr>
        <w:rPr>
          <w:lang w:val="fr-CH" w:eastAsia="ja-JP"/>
        </w:rPr>
      </w:pPr>
      <w:r w:rsidRPr="00CB77D9">
        <w:rPr>
          <w:b/>
          <w:lang w:val="fr-CH" w:eastAsia="ja-JP"/>
        </w:rPr>
        <w:t>table_id</w:t>
      </w:r>
      <w:r w:rsidRPr="00CB77D9">
        <w:rPr>
          <w:lang w:val="fr-CH" w:eastAsia="ja-JP"/>
        </w:rPr>
        <w:t xml:space="preserve"> – Ce champ identifie le type de la section DSM-CC. Il est mis à «0x3E» dans le cas de sections DSM-CC contenant des données privées.</w:t>
      </w:r>
    </w:p>
    <w:p w:rsidR="00CB556B" w:rsidRPr="00CB77D9" w:rsidRDefault="00CB556B" w:rsidP="00291C24">
      <w:pPr>
        <w:rPr>
          <w:lang w:val="fr-CH" w:eastAsia="ja-JP"/>
        </w:rPr>
      </w:pPr>
      <w:r w:rsidRPr="00CB77D9">
        <w:rPr>
          <w:b/>
          <w:lang w:val="fr-CH" w:eastAsia="ja-JP"/>
        </w:rPr>
        <w:t>section_syntax_indicator</w:t>
      </w:r>
      <w:r w:rsidRPr="00CB77D9">
        <w:rPr>
          <w:lang w:val="fr-CH" w:eastAsia="ja-JP"/>
        </w:rPr>
        <w:t xml:space="preserve"> – Il s'agit d'un fanion de 1 bit. S'il est mis à «1», il indique la présence du champ CRC_32. S'il est mis à «0», il indique la présence du champ checksum.</w:t>
      </w:r>
    </w:p>
    <w:p w:rsidR="00CB556B" w:rsidRPr="00CB77D9" w:rsidRDefault="00CB556B" w:rsidP="00291C24">
      <w:pPr>
        <w:rPr>
          <w:lang w:val="fr-CH" w:eastAsia="ja-JP"/>
        </w:rPr>
      </w:pPr>
      <w:r w:rsidRPr="00CB77D9">
        <w:rPr>
          <w:b/>
          <w:lang w:val="fr-CH" w:eastAsia="ja-JP"/>
        </w:rPr>
        <w:t>private_indicator</w:t>
      </w:r>
      <w:r w:rsidRPr="00CB77D9">
        <w:rPr>
          <w:lang w:val="fr-CH" w:eastAsia="ja-JP"/>
        </w:rPr>
        <w:t xml:space="preserve"> – Il s'agit d'un fanion de 1 bit. Il est mis au complément à un du fanion section_syntax_indicator.</w:t>
      </w:r>
    </w:p>
    <w:p w:rsidR="00CB556B" w:rsidRPr="00CB77D9" w:rsidRDefault="00CB556B" w:rsidP="00291C24">
      <w:pPr>
        <w:rPr>
          <w:lang w:val="fr-CH" w:eastAsia="ja-JP"/>
        </w:rPr>
      </w:pPr>
      <w:r w:rsidRPr="00CB77D9">
        <w:rPr>
          <w:b/>
          <w:lang w:val="fr-CH" w:eastAsia="ja-JP"/>
        </w:rPr>
        <w:t>reserved</w:t>
      </w:r>
      <w:r w:rsidRPr="00CB77D9">
        <w:rPr>
          <w:lang w:val="fr-CH" w:eastAsia="ja-JP"/>
        </w:rPr>
        <w:t xml:space="preserve"> – Ce champ de 2 bits est mis à </w:t>
      </w:r>
      <w:r w:rsidRPr="00CB77D9">
        <w:rPr>
          <w:lang w:val="fr-CH"/>
        </w:rPr>
        <w:t>«1</w:t>
      </w:r>
      <w:r w:rsidRPr="00CB77D9">
        <w:rPr>
          <w:lang w:val="fr-CH" w:eastAsia="ja-JP"/>
        </w:rPr>
        <w:t>1</w:t>
      </w:r>
      <w:r w:rsidRPr="00CB77D9">
        <w:rPr>
          <w:lang w:val="fr-CH"/>
        </w:rPr>
        <w:t>»</w:t>
      </w:r>
      <w:r w:rsidRPr="00CB77D9">
        <w:rPr>
          <w:lang w:val="fr-CH" w:eastAsia="ja-JP"/>
        </w:rPr>
        <w:t>.</w:t>
      </w:r>
    </w:p>
    <w:p w:rsidR="00CB556B" w:rsidRPr="00CB77D9" w:rsidRDefault="00CB556B" w:rsidP="00291C24">
      <w:pPr>
        <w:rPr>
          <w:lang w:val="fr-CH" w:eastAsia="ja-JP"/>
        </w:rPr>
      </w:pPr>
      <w:r w:rsidRPr="00CB77D9">
        <w:rPr>
          <w:b/>
          <w:lang w:val="fr-CH" w:eastAsia="ja-JP"/>
        </w:rPr>
        <w:t>section_length</w:t>
      </w:r>
      <w:r w:rsidRPr="00CB77D9">
        <w:rPr>
          <w:lang w:val="fr-CH" w:eastAsia="ja-JP"/>
        </w:rPr>
        <w:t xml:space="preserve"> – Ce champ spécifie le nombre d'octets restants venant immédiatement après le champ section_length jusqu'à la fin de la section, champ checksum ou CRC_32 compris.</w:t>
      </w:r>
    </w:p>
    <w:p w:rsidR="00CB556B" w:rsidRPr="00CB77D9" w:rsidRDefault="00CB556B" w:rsidP="00291C24">
      <w:pPr>
        <w:rPr>
          <w:lang w:val="fr-CH" w:eastAsia="ja-JP"/>
        </w:rPr>
      </w:pPr>
      <w:r w:rsidRPr="00CB77D9">
        <w:rPr>
          <w:b/>
          <w:lang w:val="fr-CH" w:eastAsia="ja-JP"/>
        </w:rPr>
        <w:t>MAC_address</w:t>
      </w:r>
      <w:r w:rsidRPr="00CB77D9">
        <w:rPr>
          <w:lang w:val="fr-CH" w:eastAsia="ja-JP"/>
        </w:rPr>
        <w:t xml:space="preserve"> –</w:t>
      </w:r>
      <w:r w:rsidRPr="00CB77D9">
        <w:rPr>
          <w:lang w:val="fr-CH"/>
        </w:rPr>
        <w:t xml:space="preserve"> Ce champ de 48 bits contient l'adresse MAC de la destination. L'adresse MAC est fragmentée en 6 champs de 8 bits, étiquetés </w:t>
      </w:r>
      <w:r w:rsidRPr="00CB77D9">
        <w:rPr>
          <w:lang w:val="fr-CH" w:eastAsia="ja-JP"/>
        </w:rPr>
        <w:t>MAC_address_1 à MAC_address_6.</w:t>
      </w:r>
    </w:p>
    <w:p w:rsidR="00CB556B" w:rsidRPr="00CB77D9" w:rsidRDefault="00CB556B" w:rsidP="00291C24">
      <w:pPr>
        <w:rPr>
          <w:lang w:val="fr-CH" w:eastAsia="ja-JP"/>
        </w:rPr>
      </w:pPr>
      <w:r w:rsidRPr="00CB77D9">
        <w:rPr>
          <w:b/>
          <w:lang w:val="fr-CH" w:eastAsia="ja-JP"/>
        </w:rPr>
        <w:t>payload_scrambling_control</w:t>
      </w:r>
      <w:r w:rsidRPr="00CB77D9">
        <w:rPr>
          <w:lang w:val="fr-CH" w:eastAsia="ja-JP"/>
        </w:rPr>
        <w:t xml:space="preserve"> – Ce champ définit le mode d'embrouillage de la charge utile. Il comprend la charge utile qui commence après l'octet MAC_address_1, mais ne comprend pas le champ checksum ou CRC_32.</w:t>
      </w:r>
    </w:p>
    <w:p w:rsidR="00CB556B" w:rsidRPr="00CB77D9" w:rsidRDefault="00CB556B" w:rsidP="00291C24">
      <w:pPr>
        <w:rPr>
          <w:lang w:val="fr-CH" w:eastAsia="ja-JP"/>
        </w:rPr>
      </w:pPr>
      <w:r w:rsidRPr="00CB77D9">
        <w:rPr>
          <w:b/>
          <w:lang w:val="fr-CH" w:eastAsia="ja-JP"/>
        </w:rPr>
        <w:t>address_scrambling_control</w:t>
      </w:r>
      <w:r w:rsidRPr="00CB77D9">
        <w:rPr>
          <w:lang w:val="fr-CH" w:eastAsia="ja-JP"/>
        </w:rPr>
        <w:t xml:space="preserve"> – Ce champ définit le mode d'embrouillage de l'adresse MAC.</w:t>
      </w:r>
    </w:p>
    <w:p w:rsidR="00CB556B" w:rsidRPr="00CB77D9" w:rsidRDefault="00CB556B" w:rsidP="00291C24">
      <w:pPr>
        <w:rPr>
          <w:lang w:val="fr-CH" w:eastAsia="ja-JP"/>
        </w:rPr>
      </w:pPr>
      <w:r w:rsidRPr="00CB77D9">
        <w:rPr>
          <w:b/>
          <w:lang w:val="fr-CH" w:eastAsia="ja-JP"/>
        </w:rPr>
        <w:t>LLC_SNAP_flag</w:t>
      </w:r>
      <w:r w:rsidRPr="00CB77D9">
        <w:rPr>
          <w:lang w:val="fr-CH" w:eastAsia="ja-JP"/>
        </w:rPr>
        <w:t xml:space="preserve"> – Il s'agit d'un fanion de 1 bit. S'il est mis à «1», la charge utile achemine un datagramme encapsulé LLC/SNAP venant après le champ MAC_address_1. La structure LLC/SNAP indique le type de paquet transporté. Si ce fanion est mis à «0», la section contient un paquet IPv4 sans encapsulation LLC/SNAP.</w:t>
      </w:r>
    </w:p>
    <w:p w:rsidR="00CB556B" w:rsidRPr="00CB77D9" w:rsidRDefault="00CB556B" w:rsidP="00291C24">
      <w:pPr>
        <w:rPr>
          <w:lang w:val="fr-CH" w:eastAsia="ja-JP"/>
        </w:rPr>
      </w:pPr>
      <w:r w:rsidRPr="00CB77D9">
        <w:rPr>
          <w:b/>
          <w:lang w:val="fr-CH" w:eastAsia="ja-JP"/>
        </w:rPr>
        <w:t>current_next_indicator</w:t>
      </w:r>
      <w:r w:rsidRPr="00CB77D9">
        <w:rPr>
          <w:lang w:val="fr-CH" w:eastAsia="ja-JP"/>
        </w:rPr>
        <w:t xml:space="preserve"> – Il s'agit d'un fanion de 1 bit</w:t>
      </w:r>
      <w:r w:rsidRPr="00CB77D9">
        <w:rPr>
          <w:bCs/>
          <w:szCs w:val="21"/>
          <w:lang w:val="fr-CH" w:eastAsia="ja-JP"/>
        </w:rPr>
        <w:t>. Si la valeur du champ table_id est comprise entre 0x3A et 0x3C, ce bit est mis à «1». Dans les autres cas, c'est l'utilisateur qui définit la valeur et l'utilisation de ce champ.</w:t>
      </w:r>
    </w:p>
    <w:p w:rsidR="00CB556B" w:rsidRPr="00CB77D9" w:rsidRDefault="00CB556B" w:rsidP="00291C24">
      <w:pPr>
        <w:rPr>
          <w:lang w:val="fr-CH" w:eastAsia="ja-JP"/>
        </w:rPr>
      </w:pPr>
      <w:r w:rsidRPr="00CB77D9">
        <w:rPr>
          <w:b/>
          <w:lang w:val="fr-CH" w:eastAsia="ja-JP"/>
        </w:rPr>
        <w:t>section_number</w:t>
      </w:r>
      <w:r w:rsidRPr="00CB77D9">
        <w:rPr>
          <w:lang w:val="fr-CH" w:eastAsia="ja-JP"/>
        </w:rPr>
        <w:t xml:space="preserve"> – Lorsque le datagramme est acheminé en plusieurs sections, ce champ indique la position de la section dans le processus de fragmentation. Dans les autres cas, il est mis à «0».</w:t>
      </w:r>
    </w:p>
    <w:p w:rsidR="00CB556B" w:rsidRPr="00CB77D9" w:rsidRDefault="00CB556B" w:rsidP="00291C24">
      <w:pPr>
        <w:rPr>
          <w:lang w:val="fr-CH" w:eastAsia="ja-JP"/>
        </w:rPr>
      </w:pPr>
      <w:r w:rsidRPr="00CB77D9">
        <w:rPr>
          <w:b/>
          <w:lang w:val="fr-CH" w:eastAsia="ja-JP"/>
        </w:rPr>
        <w:t>last_section_number</w:t>
      </w:r>
      <w:r w:rsidRPr="00CB77D9">
        <w:rPr>
          <w:lang w:val="fr-CH" w:eastAsia="ja-JP"/>
        </w:rPr>
        <w:t xml:space="preserve"> – Ce champ indique le numéro de la dernière section utilisée pour acheminer le datagramme, c'est-à-dire le numéro de la dernière section du processus de fragmentation</w:t>
      </w:r>
      <w:r w:rsidRPr="00CB77D9">
        <w:rPr>
          <w:bCs/>
          <w:szCs w:val="21"/>
          <w:lang w:val="fr-CH" w:eastAsia="ja-JP"/>
        </w:rPr>
        <w:t>.</w:t>
      </w:r>
    </w:p>
    <w:p w:rsidR="00CB556B" w:rsidRPr="00CB77D9" w:rsidRDefault="00CB556B" w:rsidP="00563EA9">
      <w:pPr>
        <w:rPr>
          <w:lang w:val="fr-CH" w:eastAsia="ja-JP"/>
        </w:rPr>
      </w:pPr>
      <w:r w:rsidRPr="00CB77D9">
        <w:rPr>
          <w:b/>
          <w:lang w:val="fr-CH" w:eastAsia="ja-JP"/>
        </w:rPr>
        <w:lastRenderedPageBreak/>
        <w:t xml:space="preserve">LLC_SNAP() </w:t>
      </w:r>
      <w:r w:rsidRPr="00CB77D9">
        <w:rPr>
          <w:lang w:val="fr-CH" w:eastAsia="ja-JP"/>
        </w:rPr>
        <w:t xml:space="preserve">– Cette structure contient le datagramme conforme aux normes ISO/CEI 8802-2 </w:t>
      </w:r>
      <w:r w:rsidRPr="00CB77D9">
        <w:rPr>
          <w:lang w:val="fr-CH"/>
        </w:rPr>
        <w:t>Contrôle de liaison logique</w:t>
      </w:r>
      <w:r w:rsidRPr="00CB77D9">
        <w:rPr>
          <w:lang w:val="fr-CH" w:eastAsia="ja-JP"/>
        </w:rPr>
        <w:t xml:space="preserve"> (LLC) [</w:t>
      </w:r>
      <w:r w:rsidRPr="00CB77D9">
        <w:rPr>
          <w:lang w:val="fr-CH"/>
        </w:rPr>
        <w:t>11]</w:t>
      </w:r>
      <w:r w:rsidRPr="00CB77D9">
        <w:rPr>
          <w:lang w:val="fr-CH" w:eastAsia="ja-JP"/>
        </w:rPr>
        <w:t xml:space="preserve"> et ISO/CEI 8802-1 Point de rattachement au sous-réseau (SNAP)</w:t>
      </w:r>
      <w:r w:rsidR="00563EA9" w:rsidRPr="00CB77D9">
        <w:rPr>
          <w:lang w:val="fr-CH" w:eastAsia="ja-JP"/>
        </w:rPr>
        <w:t xml:space="preserve"> </w:t>
      </w:r>
      <w:r w:rsidRPr="00CB77D9">
        <w:rPr>
          <w:lang w:val="fr-CH" w:eastAsia="ja-JP"/>
        </w:rPr>
        <w:t>[</w:t>
      </w:r>
      <w:r w:rsidRPr="00CB77D9">
        <w:rPr>
          <w:lang w:val="fr-CH"/>
        </w:rPr>
        <w:t>12].</w:t>
      </w:r>
      <w:r w:rsidRPr="00CB77D9">
        <w:rPr>
          <w:lang w:val="fr-CH" w:eastAsia="ja-JP"/>
        </w:rPr>
        <w:t xml:space="preserve"> </w:t>
      </w:r>
    </w:p>
    <w:p w:rsidR="00CB556B" w:rsidRPr="00CB77D9" w:rsidRDefault="00CB556B" w:rsidP="00291C24">
      <w:pPr>
        <w:rPr>
          <w:lang w:val="fr-CH" w:eastAsia="ja-JP"/>
        </w:rPr>
      </w:pPr>
      <w:r w:rsidRPr="00CB77D9">
        <w:rPr>
          <w:b/>
          <w:lang w:val="fr-CH" w:eastAsia="ja-JP"/>
        </w:rPr>
        <w:t>IPv4_packet ( )</w:t>
      </w:r>
      <w:r w:rsidRPr="00CB77D9">
        <w:rPr>
          <w:lang w:val="fr-CH" w:eastAsia="ja-JP"/>
        </w:rPr>
        <w:t xml:space="preserve"> – Indique un paquet IPv4 qui comporte un en-tête IPv4 défini dans la RFC 791</w:t>
      </w:r>
      <w:r w:rsidRPr="00CB77D9">
        <w:rPr>
          <w:lang w:val="fr-CH"/>
        </w:rPr>
        <w:t xml:space="preserve"> [9]</w:t>
      </w:r>
      <w:r w:rsidRPr="00CB77D9">
        <w:rPr>
          <w:lang w:val="fr-CH" w:eastAsia="ja-JP"/>
        </w:rPr>
        <w:t>.</w:t>
      </w:r>
    </w:p>
    <w:p w:rsidR="00CB556B" w:rsidRPr="00CB77D9" w:rsidRDefault="00CB556B" w:rsidP="00291C24">
      <w:pPr>
        <w:rPr>
          <w:lang w:val="fr-CH" w:eastAsia="ja-JP"/>
        </w:rPr>
      </w:pPr>
      <w:r w:rsidRPr="00CB77D9">
        <w:rPr>
          <w:b/>
          <w:lang w:val="fr-CH" w:eastAsia="ja-JP"/>
        </w:rPr>
        <w:t>stuffing_byte</w:t>
      </w:r>
      <w:r w:rsidRPr="00CB77D9">
        <w:rPr>
          <w:lang w:val="fr-CH" w:eastAsia="ja-JP"/>
        </w:rPr>
        <w:t xml:space="preserve"> – Il s'agit d'un champ de 8 bits facultatif dont la valeur n'est pas spécifiée.</w:t>
      </w:r>
    </w:p>
    <w:p w:rsidR="00CB556B" w:rsidRPr="00CB77D9" w:rsidRDefault="00CB556B" w:rsidP="00291C24">
      <w:pPr>
        <w:rPr>
          <w:lang w:val="fr-CH" w:eastAsia="ja-JP"/>
        </w:rPr>
      </w:pPr>
      <w:r w:rsidRPr="00CB77D9">
        <w:rPr>
          <w:b/>
          <w:lang w:val="fr-CH" w:eastAsia="ja-JP"/>
        </w:rPr>
        <w:t>checksum</w:t>
      </w:r>
      <w:r w:rsidRPr="00CB77D9">
        <w:rPr>
          <w:lang w:val="fr-CH" w:eastAsia="ja-JP"/>
        </w:rPr>
        <w:t xml:space="preserve"> – Il s'agit d'une somme de contrôle de 32 bits calculée sur la totalité de la section DSMCC_addressable_section. Elle est obtenue en considérant la section DSMCC_addressable_section comme une séquence d'entiers de 32 bits et en prenant le complément à un de la somme des compléments à un (opération ou exclusif) de tous les nombres entiers, en mettant l'octet de plus fort poids en premier.</w:t>
      </w:r>
    </w:p>
    <w:p w:rsidR="00CB556B" w:rsidRPr="00CB77D9" w:rsidRDefault="00CB556B" w:rsidP="00291C24">
      <w:pPr>
        <w:rPr>
          <w:lang w:val="fr-CH"/>
        </w:rPr>
      </w:pPr>
      <w:r w:rsidRPr="00CB77D9">
        <w:rPr>
          <w:b/>
          <w:lang w:val="fr-CH" w:eastAsia="ja-JP"/>
        </w:rPr>
        <w:t>CRC_32</w:t>
      </w:r>
      <w:r w:rsidRPr="00CB77D9">
        <w:rPr>
          <w:lang w:val="fr-CH" w:eastAsia="ja-JP"/>
        </w:rPr>
        <w:t xml:space="preserve"> – </w:t>
      </w:r>
      <w:r w:rsidRPr="00CB77D9">
        <w:rPr>
          <w:lang w:val="fr-CH"/>
        </w:rPr>
        <w:t>Champ conforme à la Recommandation UIT T H.222.0.</w:t>
      </w:r>
    </w:p>
    <w:p w:rsidR="00CB556B" w:rsidRPr="00CB77D9" w:rsidRDefault="00CB556B" w:rsidP="00291C24">
      <w:pPr>
        <w:pStyle w:val="Heading1"/>
        <w:rPr>
          <w:lang w:val="fr-CH" w:eastAsia="ja-JP"/>
        </w:rPr>
      </w:pPr>
      <w:r w:rsidRPr="00CB77D9">
        <w:rPr>
          <w:lang w:val="fr-CH" w:eastAsia="ja-JP"/>
        </w:rPr>
        <w:t>3</w:t>
      </w:r>
      <w:r w:rsidRPr="00CB77D9">
        <w:rPr>
          <w:lang w:val="fr-CH" w:eastAsia="ja-JP"/>
        </w:rPr>
        <w:tab/>
        <w:t>Compression d'en-têtes IP</w:t>
      </w:r>
    </w:p>
    <w:p w:rsidR="00CB556B" w:rsidRPr="00CB77D9" w:rsidRDefault="00CB556B" w:rsidP="00291C24">
      <w:pPr>
        <w:rPr>
          <w:lang w:val="fr-CH" w:eastAsia="ja-JP"/>
        </w:rPr>
      </w:pPr>
      <w:r w:rsidRPr="00CB77D9">
        <w:rPr>
          <w:lang w:val="fr-CH" w:eastAsia="ja-JP"/>
        </w:rPr>
        <w:t>En règle générale, chaque paquet IP comprend un en-tête IPv4 d'au moins 20 octets ou un en-tête IPv6 de 40 octets. A partir de ces en-têtes, les routeurs des réseaux de télécommunication doivent déterminer la direction dans laquelle chaque paquet doit être transféré. Ces en-têtes jouent donc un rôle très important dans les réseaux de télécommunication.</w:t>
      </w:r>
    </w:p>
    <w:p w:rsidR="00CB556B" w:rsidRPr="00CB77D9" w:rsidRDefault="00CB556B" w:rsidP="00291C24">
      <w:pPr>
        <w:rPr>
          <w:lang w:val="fr-CH" w:eastAsia="ja-JP"/>
        </w:rPr>
      </w:pPr>
      <w:r w:rsidRPr="00CB77D9">
        <w:rPr>
          <w:lang w:val="fr-CH" w:eastAsia="ja-JP"/>
        </w:rPr>
        <w:t>En revanche, ils ne sont pas nécessaires sur les canaux de radiodiffusion, puisque tous les paquets dans les canaux de radiodiffusion sont uniquement transférés à des récepteurs. Il est possible d'augmenter le débit de transfert en compressant l'information d'en-tête inutilisée.</w:t>
      </w:r>
    </w:p>
    <w:p w:rsidR="00CB556B" w:rsidRPr="00CB77D9" w:rsidRDefault="00CB556B" w:rsidP="00563EA9">
      <w:pPr>
        <w:rPr>
          <w:lang w:val="fr-CH" w:eastAsia="ja-JP"/>
        </w:rPr>
      </w:pPr>
      <w:r w:rsidRPr="00CB77D9">
        <w:rPr>
          <w:lang w:val="fr-CH" w:eastAsia="ja-JP"/>
        </w:rPr>
        <w:t>Il est possible d'acheminer un paquet en mode en-tête compressé dans des paquets d'un flux de transport MPEG-2 en procédant à une encapsulation ULE ou MPE. Les deux mécanismes décrits ci-après peuvent être utilisés pour compresser l'information d'en-tête IP. Il est nécessaire d'identifier le mécanisme utilisé pour compresser l'en-tête.</w:t>
      </w:r>
    </w:p>
    <w:p w:rsidR="00CB556B" w:rsidRPr="00CB77D9" w:rsidRDefault="00CB556B" w:rsidP="00291C24">
      <w:pPr>
        <w:pStyle w:val="Heading2"/>
        <w:rPr>
          <w:lang w:val="fr-CH" w:eastAsia="ja-JP"/>
        </w:rPr>
      </w:pPr>
      <w:r w:rsidRPr="00CB77D9">
        <w:rPr>
          <w:lang w:val="fr-CH" w:eastAsia="ja-JP"/>
        </w:rPr>
        <w:t>3.1</w:t>
      </w:r>
      <w:r w:rsidRPr="00CB77D9">
        <w:rPr>
          <w:lang w:val="fr-CH" w:eastAsia="ja-JP"/>
        </w:rPr>
        <w:tab/>
        <w:t>Compression d'en-têtes pour la radiodiffusion [3]</w:t>
      </w:r>
    </w:p>
    <w:p w:rsidR="00CB556B" w:rsidRPr="00CB77D9" w:rsidRDefault="00CB556B" w:rsidP="00291C24">
      <w:pPr>
        <w:rPr>
          <w:lang w:val="fr-CH" w:eastAsia="ja-JP"/>
        </w:rPr>
      </w:pPr>
      <w:r w:rsidRPr="00CB77D9">
        <w:rPr>
          <w:lang w:val="fr-CH" w:eastAsia="ja-JP"/>
        </w:rPr>
        <w:t>Cette technique de compression des en-têtes décrite au § 4 de la Recommandation UIT-R BT.1869 consiste à remplacer, pour la plupart des paquets, les en-têtes IP et UDP par des en-têtes compressés de 3 ou de 5 octets. Lorsque le contenu est transféré dans des paquets IP, la plupart des champs de ces en-têtes ne changent pas pendant la connexion. Une fois qu'un en-tête non compressé a été transféré, il ne sera peut-être pas forcément nécessaire de transférer les champs ayant les mêmes valeurs dans les paquets suivants. Selon ce principe, les en-têtes IP et UPD contenant la totalité de l'information sont transférés à des intervalles espacés, tandis que les en-têtes compressés sont transférés pour presque tous les paquets.</w:t>
      </w:r>
    </w:p>
    <w:p w:rsidR="00CB556B" w:rsidRPr="00CB77D9" w:rsidRDefault="00CB556B" w:rsidP="00291C24">
      <w:pPr>
        <w:rPr>
          <w:lang w:val="fr-CH" w:eastAsia="ja-JP"/>
        </w:rPr>
      </w:pPr>
      <w:r w:rsidRPr="00CB77D9">
        <w:rPr>
          <w:lang w:val="fr-CH" w:eastAsia="ja-JP"/>
        </w:rPr>
        <w:t>On restaure les en-têtes compressés au niveau du récepteur en les remplissant avec l'en-tête d'un paquet précédent qui contient la totalité de l'information d'en-tête.</w:t>
      </w:r>
    </w:p>
    <w:p w:rsidR="00CB556B" w:rsidRPr="00CB77D9" w:rsidRDefault="00CB556B" w:rsidP="00291C24">
      <w:pPr>
        <w:pStyle w:val="Heading2"/>
        <w:rPr>
          <w:lang w:val="fr-CH" w:eastAsia="ja-JP"/>
        </w:rPr>
      </w:pPr>
      <w:r w:rsidRPr="00CB77D9">
        <w:rPr>
          <w:lang w:val="fr-CH" w:eastAsia="ja-JP"/>
        </w:rPr>
        <w:t>3.2</w:t>
      </w:r>
      <w:r w:rsidRPr="00CB77D9">
        <w:rPr>
          <w:lang w:val="fr-CH" w:eastAsia="ja-JP"/>
        </w:rPr>
        <w:tab/>
        <w:t>Compression robuste des en-têtes en mode unidirectionnel [4]</w:t>
      </w:r>
    </w:p>
    <w:p w:rsidR="00CB556B" w:rsidRPr="00CB77D9" w:rsidRDefault="00CB556B" w:rsidP="00291C24">
      <w:pPr>
        <w:rPr>
          <w:lang w:val="fr-CH" w:eastAsia="ja-JP"/>
        </w:rPr>
      </w:pPr>
      <w:r w:rsidRPr="00CB77D9">
        <w:rPr>
          <w:lang w:val="fr-CH" w:eastAsia="ja-JP"/>
        </w:rPr>
        <w:t>Il s'agit d'une technique de compression robuste et efficace des en-têtes RTP/UDP/IP, UDP/IP et ESP/IP, qui a été élaborée car les techniques existantes de compression des en-têtes ne fonctionnent pas bien lorsqu'elles sont utilisées sur des liaisons ayant un taux d'erreurs élevé et des temps d'aller</w:t>
      </w:r>
      <w:r w:rsidRPr="00CB77D9">
        <w:rPr>
          <w:lang w:val="fr-CH" w:eastAsia="ja-JP"/>
        </w:rPr>
        <w:noBreakHyphen/>
        <w:t>retour importants.</w:t>
      </w:r>
    </w:p>
    <w:p w:rsidR="00CB556B" w:rsidRPr="00CB77D9" w:rsidRDefault="00CB556B" w:rsidP="00C32207">
      <w:pPr>
        <w:keepNext/>
        <w:keepLines/>
        <w:rPr>
          <w:lang w:val="fr-CH" w:eastAsia="ja-JP"/>
        </w:rPr>
      </w:pPr>
      <w:r w:rsidRPr="00CB77D9">
        <w:rPr>
          <w:lang w:val="fr-CH" w:eastAsia="ja-JP"/>
        </w:rPr>
        <w:lastRenderedPageBreak/>
        <w:t>Pour effectuer cette compression robuste, trois modes de fonctionnement sont définis et utilisés en</w:t>
      </w:r>
      <w:r w:rsidR="00563EA9" w:rsidRPr="00CB77D9">
        <w:rPr>
          <w:lang w:val="fr-CH" w:eastAsia="ja-JP"/>
        </w:rPr>
        <w:t xml:space="preserve"> </w:t>
      </w:r>
      <w:r w:rsidRPr="00CB77D9">
        <w:rPr>
          <w:lang w:val="fr-CH" w:eastAsia="ja-JP"/>
        </w:rPr>
        <w:t>fonction de la situation: le mode unidirectionnel (mode U), le mode bidirectionnel optimiste (mode</w:t>
      </w:r>
      <w:r w:rsidR="00563EA9" w:rsidRPr="00CB77D9">
        <w:rPr>
          <w:lang w:val="fr-CH" w:eastAsia="ja-JP"/>
        </w:rPr>
        <w:t> </w:t>
      </w:r>
      <w:r w:rsidRPr="00CB77D9">
        <w:rPr>
          <w:lang w:val="fr-CH" w:eastAsia="ja-JP"/>
        </w:rPr>
        <w:t>O) et le mode bidirectionnel fiable (mode R). Bien que cette technique de compression des en-têtes soit en règle générale utilisée sur des canaux bidirectionnels, elle peut être utilisée sur des canaux unidirectionnels, comme ceux servant à la radiodiffusion, lorsqu'elle est appliquée en mode</w:t>
      </w:r>
      <w:r w:rsidR="00563EA9" w:rsidRPr="00CB77D9">
        <w:rPr>
          <w:lang w:val="fr-CH" w:eastAsia="ja-JP"/>
        </w:rPr>
        <w:t> </w:t>
      </w:r>
      <w:r w:rsidRPr="00CB77D9">
        <w:rPr>
          <w:lang w:val="fr-CH" w:eastAsia="ja-JP"/>
        </w:rPr>
        <w:t>U.</w:t>
      </w:r>
    </w:p>
    <w:p w:rsidR="00C32207" w:rsidRPr="00CB77D9" w:rsidRDefault="00C32207" w:rsidP="00C32207">
      <w:pPr>
        <w:rPr>
          <w:lang w:val="fr-CH" w:eastAsia="ja-JP"/>
        </w:rPr>
      </w:pPr>
    </w:p>
    <w:p w:rsidR="00CB556B" w:rsidRPr="00CB77D9" w:rsidRDefault="00CB556B" w:rsidP="00563EA9">
      <w:pPr>
        <w:pStyle w:val="Line"/>
        <w:rPr>
          <w:lang w:val="fr-CH"/>
        </w:rPr>
      </w:pPr>
    </w:p>
    <w:sectPr w:rsidR="00CB556B" w:rsidRPr="00CB77D9" w:rsidSect="00C32207">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56B" w:rsidRDefault="00CB556B">
      <w:r>
        <w:separator/>
      </w:r>
    </w:p>
  </w:endnote>
  <w:endnote w:type="continuationSeparator" w:id="0">
    <w:p w:rsidR="00CB556B" w:rsidRDefault="00CB5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56B" w:rsidRDefault="00CB556B">
      <w:r>
        <w:separator/>
      </w:r>
    </w:p>
  </w:footnote>
  <w:footnote w:type="continuationSeparator" w:id="0">
    <w:p w:rsidR="00CB556B" w:rsidRDefault="00CB55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56B" w:rsidRDefault="00CB556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56B" w:rsidRDefault="00CB556B" w:rsidP="0014322C">
    <w:pPr>
      <w:pStyle w:val="Header"/>
      <w:ind w:right="360" w:firstLine="360"/>
    </w:pPr>
    <w:r>
      <w:rPr>
        <w:noProof/>
        <w:lang w:val="en-US" w:eastAsia="zh-CN"/>
      </w:rPr>
      <w:drawing>
        <wp:anchor distT="0" distB="0" distL="114300" distR="114300" simplePos="0" relativeHeight="251659264" behindDoc="1" locked="0" layoutInCell="1" allowOverlap="1" wp14:anchorId="45BAA81F" wp14:editId="24D095F0">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56B" w:rsidRPr="00CB556B" w:rsidRDefault="00CB556B">
    <w:pPr>
      <w:pStyle w:val="Header"/>
      <w:jc w:val="left"/>
      <w:rPr>
        <w:lang w:val="fr-CH"/>
      </w:rPr>
    </w:pPr>
    <w:r>
      <w:rPr>
        <w:rStyle w:val="PageNumber"/>
        <w:b/>
        <w:bCs/>
      </w:rPr>
      <w:fldChar w:fldCharType="begin"/>
    </w:r>
    <w:r w:rsidRPr="00CB556B">
      <w:rPr>
        <w:rStyle w:val="PageNumber"/>
        <w:b/>
        <w:bCs/>
        <w:lang w:val="fr-CH"/>
      </w:rPr>
      <w:instrText xml:space="preserve"> PAGE </w:instrText>
    </w:r>
    <w:r>
      <w:rPr>
        <w:rStyle w:val="PageNumber"/>
        <w:b/>
        <w:bCs/>
      </w:rPr>
      <w:fldChar w:fldCharType="separate"/>
    </w:r>
    <w:r w:rsidR="002E3E3E">
      <w:rPr>
        <w:rStyle w:val="PageNumber"/>
        <w:b/>
        <w:bCs/>
        <w:noProof/>
        <w:lang w:val="fr-CH"/>
      </w:rPr>
      <w:t>ii</w:t>
    </w:r>
    <w:r>
      <w:rPr>
        <w:rStyle w:val="PageNumber"/>
        <w:b/>
        <w:bCs/>
      </w:rPr>
      <w:fldChar w:fldCharType="end"/>
    </w:r>
    <w:r w:rsidRPr="00CB556B">
      <w:rPr>
        <w:lang w:val="fr-CH"/>
      </w:rPr>
      <w:tab/>
    </w:r>
    <w:r w:rsidR="002E3E3E">
      <w:fldChar w:fldCharType="begin"/>
    </w:r>
    <w:r w:rsidR="002E3E3E">
      <w:instrText xml:space="preserve"> DOCPROPERTY "Header" \* MERGEFORMAT </w:instrText>
    </w:r>
    <w:r w:rsidR="002E3E3E">
      <w:fldChar w:fldCharType="separate"/>
    </w:r>
    <w:r w:rsidR="00FD4389" w:rsidRPr="00FD4389">
      <w:rPr>
        <w:b/>
        <w:bCs/>
        <w:lang w:val="fr-CH"/>
      </w:rPr>
      <w:t xml:space="preserve">Rec. </w:t>
    </w:r>
    <w:r w:rsidR="002E3E3E">
      <w:rPr>
        <w:b/>
        <w:bCs/>
        <w:lang w:val="fr-CH"/>
      </w:rPr>
      <w:fldChar w:fldCharType="end"/>
    </w:r>
    <w:r>
      <w:rPr>
        <w:b/>
        <w:bCs/>
      </w:rPr>
      <w:t xml:space="preserve"> </w:t>
    </w:r>
    <w:r>
      <w:rPr>
        <w:b/>
        <w:bCs/>
      </w:rPr>
      <w:fldChar w:fldCharType="begin"/>
    </w:r>
    <w:r w:rsidRPr="00CB556B">
      <w:rPr>
        <w:b/>
        <w:bCs/>
        <w:lang w:val="fr-CH"/>
      </w:rPr>
      <w:instrText>styleref href</w:instrText>
    </w:r>
    <w:r>
      <w:rPr>
        <w:b/>
        <w:bCs/>
      </w:rPr>
      <w:fldChar w:fldCharType="separate"/>
    </w:r>
    <w:r w:rsidR="002E3E3E">
      <w:rPr>
        <w:b/>
        <w:bCs/>
        <w:noProof/>
      </w:rPr>
      <w:t>UIT-R  BT.1887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56B" w:rsidRDefault="00CB556B">
    <w:pPr>
      <w:pStyle w:val="Header"/>
    </w:pPr>
    <w:r>
      <w:tab/>
    </w:r>
    <w:r w:rsidR="002E3E3E">
      <w:fldChar w:fldCharType="begin"/>
    </w:r>
    <w:r w:rsidR="002E3E3E">
      <w:instrText xml:space="preserve"> DOCPROPERTY "Header" \* MERGEFORMAT </w:instrText>
    </w:r>
    <w:r w:rsidR="002E3E3E">
      <w:fldChar w:fldCharType="separate"/>
    </w:r>
    <w:r w:rsidR="00FD4389" w:rsidRPr="00FD4389">
      <w:rPr>
        <w:b/>
        <w:bCs/>
      </w:rPr>
      <w:t xml:space="preserve">Rec. </w:t>
    </w:r>
    <w:r w:rsidR="002E3E3E">
      <w:rPr>
        <w:b/>
        <w:bCs/>
      </w:rPr>
      <w:fldChar w:fldCharType="end"/>
    </w:r>
    <w:r>
      <w:rPr>
        <w:b/>
        <w:bCs/>
      </w:rPr>
      <w:t xml:space="preserve"> </w:t>
    </w:r>
    <w:r>
      <w:rPr>
        <w:b/>
        <w:bCs/>
      </w:rPr>
      <w:fldChar w:fldCharType="begin"/>
    </w:r>
    <w:r>
      <w:rPr>
        <w:b/>
        <w:bCs/>
      </w:rPr>
      <w:instrText>styleref href</w:instrText>
    </w:r>
    <w:r>
      <w:rPr>
        <w:b/>
        <w:bCs/>
      </w:rPr>
      <w:fldChar w:fldCharType="separate"/>
    </w:r>
    <w:r w:rsidR="00FD4389">
      <w:rPr>
        <w:b/>
        <w:bCs/>
        <w:noProof/>
      </w:rPr>
      <w:t>UIT-R  BT.1887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E3E3E">
      <w:rPr>
        <w:rStyle w:val="PageNumber"/>
        <w:b/>
        <w:bCs/>
        <w:noProof/>
        <w:lang w:val="en-US"/>
      </w:rPr>
      <w:t>10</w:t>
    </w:r>
    <w:r>
      <w:rPr>
        <w:rStyle w:val="PageNumber"/>
        <w:b/>
        <w:bCs/>
      </w:rPr>
      <w:fldChar w:fldCharType="end"/>
    </w:r>
    <w:r>
      <w:rPr>
        <w:lang w:val="en-US"/>
      </w:rPr>
      <w:tab/>
    </w:r>
    <w:fldSimple w:instr=" DOCPROPERTY &quot;Header&quot; \* MERGEFORMAT ">
      <w:r w:rsidR="00FD4389" w:rsidRPr="00FD438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E3E3E">
      <w:rPr>
        <w:b/>
        <w:bCs/>
        <w:noProof/>
      </w:rPr>
      <w:t>UIT-R  BT.1887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FD4389" w:rsidRPr="00FD438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E3E3E">
      <w:rPr>
        <w:b/>
        <w:bCs/>
        <w:noProof/>
      </w:rPr>
      <w:t>UIT-R  BT.1887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3E3E">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95A9E"/>
    <w:multiLevelType w:val="hybridMultilevel"/>
    <w:tmpl w:val="59D00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000648"/>
    <w:multiLevelType w:val="hybridMultilevel"/>
    <w:tmpl w:val="4D2E3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900237"/>
    <w:multiLevelType w:val="hybridMultilevel"/>
    <w:tmpl w:val="59D00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12035A"/>
    <w:multiLevelType w:val="hybridMultilevel"/>
    <w:tmpl w:val="474A5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56B"/>
    <w:rsid w:val="00217EBF"/>
    <w:rsid w:val="00291C24"/>
    <w:rsid w:val="002D76C4"/>
    <w:rsid w:val="002E3E3E"/>
    <w:rsid w:val="00346554"/>
    <w:rsid w:val="00563EA9"/>
    <w:rsid w:val="00607D68"/>
    <w:rsid w:val="007468DA"/>
    <w:rsid w:val="00867210"/>
    <w:rsid w:val="00A6617B"/>
    <w:rsid w:val="00AB0DC8"/>
    <w:rsid w:val="00B44E24"/>
    <w:rsid w:val="00C32207"/>
    <w:rsid w:val="00CB556B"/>
    <w:rsid w:val="00CB77D9"/>
    <w:rsid w:val="00DF4176"/>
    <w:rsid w:val="00FD43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B556B"/>
    <w:rPr>
      <w:color w:val="0000FF"/>
      <w:u w:val="single"/>
    </w:rPr>
  </w:style>
  <w:style w:type="character" w:customStyle="1" w:styleId="Heading1Char">
    <w:name w:val="Heading 1 Char"/>
    <w:basedOn w:val="DefaultParagraphFont"/>
    <w:link w:val="Heading1"/>
    <w:rsid w:val="00CB556B"/>
    <w:rPr>
      <w:b/>
      <w:sz w:val="24"/>
      <w:lang w:val="fr-FR" w:eastAsia="en-US"/>
    </w:rPr>
  </w:style>
  <w:style w:type="character" w:customStyle="1" w:styleId="Heading2Char">
    <w:name w:val="Heading 2 Char"/>
    <w:basedOn w:val="DefaultParagraphFont"/>
    <w:link w:val="Heading2"/>
    <w:rsid w:val="00CB556B"/>
    <w:rPr>
      <w:b/>
      <w:sz w:val="24"/>
      <w:lang w:val="fr-FR" w:eastAsia="en-US"/>
    </w:rPr>
  </w:style>
  <w:style w:type="character" w:customStyle="1" w:styleId="Heading3Char">
    <w:name w:val="Heading 3 Char"/>
    <w:basedOn w:val="DefaultParagraphFont"/>
    <w:link w:val="Heading3"/>
    <w:rsid w:val="00CB556B"/>
    <w:rPr>
      <w:b/>
      <w:sz w:val="24"/>
      <w:lang w:val="fr-FR" w:eastAsia="en-US"/>
    </w:rPr>
  </w:style>
  <w:style w:type="character" w:customStyle="1" w:styleId="Heading4Char">
    <w:name w:val="Heading 4 Char"/>
    <w:basedOn w:val="DefaultParagraphFont"/>
    <w:link w:val="Heading4"/>
    <w:rsid w:val="00CB556B"/>
    <w:rPr>
      <w:b/>
      <w:sz w:val="24"/>
      <w:lang w:val="fr-FR" w:eastAsia="en-US"/>
    </w:rPr>
  </w:style>
  <w:style w:type="character" w:customStyle="1" w:styleId="Heading5Char">
    <w:name w:val="Heading 5 Char"/>
    <w:basedOn w:val="DefaultParagraphFont"/>
    <w:link w:val="Heading5"/>
    <w:rsid w:val="00CB556B"/>
    <w:rPr>
      <w:b/>
      <w:sz w:val="24"/>
      <w:lang w:val="fr-FR" w:eastAsia="en-US"/>
    </w:rPr>
  </w:style>
  <w:style w:type="character" w:customStyle="1" w:styleId="Heading6Char">
    <w:name w:val="Heading 6 Char"/>
    <w:basedOn w:val="DefaultParagraphFont"/>
    <w:link w:val="Heading6"/>
    <w:rsid w:val="00CB556B"/>
    <w:rPr>
      <w:b/>
      <w:sz w:val="24"/>
      <w:lang w:val="fr-FR" w:eastAsia="en-US"/>
    </w:rPr>
  </w:style>
  <w:style w:type="character" w:customStyle="1" w:styleId="Heading7Char">
    <w:name w:val="Heading 7 Char"/>
    <w:basedOn w:val="DefaultParagraphFont"/>
    <w:link w:val="Heading7"/>
    <w:rsid w:val="00CB556B"/>
    <w:rPr>
      <w:b/>
      <w:sz w:val="24"/>
      <w:lang w:val="fr-FR" w:eastAsia="en-US"/>
    </w:rPr>
  </w:style>
  <w:style w:type="character" w:customStyle="1" w:styleId="Heading8Char">
    <w:name w:val="Heading 8 Char"/>
    <w:basedOn w:val="DefaultParagraphFont"/>
    <w:link w:val="Heading8"/>
    <w:rsid w:val="00CB556B"/>
    <w:rPr>
      <w:b/>
      <w:sz w:val="24"/>
      <w:lang w:val="fr-FR" w:eastAsia="en-US"/>
    </w:rPr>
  </w:style>
  <w:style w:type="character" w:customStyle="1" w:styleId="Heading9Char">
    <w:name w:val="Heading 9 Char"/>
    <w:basedOn w:val="DefaultParagraphFont"/>
    <w:link w:val="Heading9"/>
    <w:rsid w:val="00CB556B"/>
    <w:rPr>
      <w:b/>
      <w:sz w:val="24"/>
      <w:lang w:val="fr-FR" w:eastAsia="en-US"/>
    </w:rPr>
  </w:style>
  <w:style w:type="character" w:customStyle="1" w:styleId="HeaderChar">
    <w:name w:val="Header Char"/>
    <w:basedOn w:val="DefaultParagraphFont"/>
    <w:link w:val="Header"/>
    <w:rsid w:val="00CB556B"/>
    <w:rPr>
      <w:sz w:val="24"/>
      <w:lang w:val="fr-FR" w:eastAsia="en-US"/>
    </w:rPr>
  </w:style>
  <w:style w:type="character" w:customStyle="1" w:styleId="FooterChar">
    <w:name w:val="Footer Char"/>
    <w:basedOn w:val="DefaultParagraphFont"/>
    <w:link w:val="Footer"/>
    <w:rsid w:val="00CB556B"/>
    <w:rPr>
      <w:noProof/>
      <w:sz w:val="18"/>
      <w:lang w:val="fr-FR" w:eastAsia="en-US"/>
    </w:rPr>
  </w:style>
  <w:style w:type="character" w:customStyle="1" w:styleId="FootnoteTextChar">
    <w:name w:val="Footnote Text Char"/>
    <w:basedOn w:val="DefaultParagraphFont"/>
    <w:link w:val="FootnoteText"/>
    <w:semiHidden/>
    <w:rsid w:val="00CB556B"/>
    <w:rPr>
      <w:sz w:val="22"/>
      <w:lang w:val="fr-FR" w:eastAsia="en-US"/>
    </w:rPr>
  </w:style>
  <w:style w:type="paragraph" w:styleId="ListParagraph">
    <w:name w:val="List Paragraph"/>
    <w:basedOn w:val="Normal"/>
    <w:uiPriority w:val="34"/>
    <w:qFormat/>
    <w:rsid w:val="00CB55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B556B"/>
    <w:rPr>
      <w:color w:val="0000FF"/>
      <w:u w:val="single"/>
    </w:rPr>
  </w:style>
  <w:style w:type="character" w:customStyle="1" w:styleId="Heading1Char">
    <w:name w:val="Heading 1 Char"/>
    <w:basedOn w:val="DefaultParagraphFont"/>
    <w:link w:val="Heading1"/>
    <w:rsid w:val="00CB556B"/>
    <w:rPr>
      <w:b/>
      <w:sz w:val="24"/>
      <w:lang w:val="fr-FR" w:eastAsia="en-US"/>
    </w:rPr>
  </w:style>
  <w:style w:type="character" w:customStyle="1" w:styleId="Heading2Char">
    <w:name w:val="Heading 2 Char"/>
    <w:basedOn w:val="DefaultParagraphFont"/>
    <w:link w:val="Heading2"/>
    <w:rsid w:val="00CB556B"/>
    <w:rPr>
      <w:b/>
      <w:sz w:val="24"/>
      <w:lang w:val="fr-FR" w:eastAsia="en-US"/>
    </w:rPr>
  </w:style>
  <w:style w:type="character" w:customStyle="1" w:styleId="Heading3Char">
    <w:name w:val="Heading 3 Char"/>
    <w:basedOn w:val="DefaultParagraphFont"/>
    <w:link w:val="Heading3"/>
    <w:rsid w:val="00CB556B"/>
    <w:rPr>
      <w:b/>
      <w:sz w:val="24"/>
      <w:lang w:val="fr-FR" w:eastAsia="en-US"/>
    </w:rPr>
  </w:style>
  <w:style w:type="character" w:customStyle="1" w:styleId="Heading4Char">
    <w:name w:val="Heading 4 Char"/>
    <w:basedOn w:val="DefaultParagraphFont"/>
    <w:link w:val="Heading4"/>
    <w:rsid w:val="00CB556B"/>
    <w:rPr>
      <w:b/>
      <w:sz w:val="24"/>
      <w:lang w:val="fr-FR" w:eastAsia="en-US"/>
    </w:rPr>
  </w:style>
  <w:style w:type="character" w:customStyle="1" w:styleId="Heading5Char">
    <w:name w:val="Heading 5 Char"/>
    <w:basedOn w:val="DefaultParagraphFont"/>
    <w:link w:val="Heading5"/>
    <w:rsid w:val="00CB556B"/>
    <w:rPr>
      <w:b/>
      <w:sz w:val="24"/>
      <w:lang w:val="fr-FR" w:eastAsia="en-US"/>
    </w:rPr>
  </w:style>
  <w:style w:type="character" w:customStyle="1" w:styleId="Heading6Char">
    <w:name w:val="Heading 6 Char"/>
    <w:basedOn w:val="DefaultParagraphFont"/>
    <w:link w:val="Heading6"/>
    <w:rsid w:val="00CB556B"/>
    <w:rPr>
      <w:b/>
      <w:sz w:val="24"/>
      <w:lang w:val="fr-FR" w:eastAsia="en-US"/>
    </w:rPr>
  </w:style>
  <w:style w:type="character" w:customStyle="1" w:styleId="Heading7Char">
    <w:name w:val="Heading 7 Char"/>
    <w:basedOn w:val="DefaultParagraphFont"/>
    <w:link w:val="Heading7"/>
    <w:rsid w:val="00CB556B"/>
    <w:rPr>
      <w:b/>
      <w:sz w:val="24"/>
      <w:lang w:val="fr-FR" w:eastAsia="en-US"/>
    </w:rPr>
  </w:style>
  <w:style w:type="character" w:customStyle="1" w:styleId="Heading8Char">
    <w:name w:val="Heading 8 Char"/>
    <w:basedOn w:val="DefaultParagraphFont"/>
    <w:link w:val="Heading8"/>
    <w:rsid w:val="00CB556B"/>
    <w:rPr>
      <w:b/>
      <w:sz w:val="24"/>
      <w:lang w:val="fr-FR" w:eastAsia="en-US"/>
    </w:rPr>
  </w:style>
  <w:style w:type="character" w:customStyle="1" w:styleId="Heading9Char">
    <w:name w:val="Heading 9 Char"/>
    <w:basedOn w:val="DefaultParagraphFont"/>
    <w:link w:val="Heading9"/>
    <w:rsid w:val="00CB556B"/>
    <w:rPr>
      <w:b/>
      <w:sz w:val="24"/>
      <w:lang w:val="fr-FR" w:eastAsia="en-US"/>
    </w:rPr>
  </w:style>
  <w:style w:type="character" w:customStyle="1" w:styleId="HeaderChar">
    <w:name w:val="Header Char"/>
    <w:basedOn w:val="DefaultParagraphFont"/>
    <w:link w:val="Header"/>
    <w:rsid w:val="00CB556B"/>
    <w:rPr>
      <w:sz w:val="24"/>
      <w:lang w:val="fr-FR" w:eastAsia="en-US"/>
    </w:rPr>
  </w:style>
  <w:style w:type="character" w:customStyle="1" w:styleId="FooterChar">
    <w:name w:val="Footer Char"/>
    <w:basedOn w:val="DefaultParagraphFont"/>
    <w:link w:val="Footer"/>
    <w:rsid w:val="00CB556B"/>
    <w:rPr>
      <w:noProof/>
      <w:sz w:val="18"/>
      <w:lang w:val="fr-FR" w:eastAsia="en-US"/>
    </w:rPr>
  </w:style>
  <w:style w:type="character" w:customStyle="1" w:styleId="FootnoteTextChar">
    <w:name w:val="Footnote Text Char"/>
    <w:basedOn w:val="DefaultParagraphFont"/>
    <w:link w:val="FootnoteText"/>
    <w:semiHidden/>
    <w:rsid w:val="00CB556B"/>
    <w:rPr>
      <w:sz w:val="22"/>
      <w:lang w:val="fr-FR" w:eastAsia="en-US"/>
    </w:rPr>
  </w:style>
  <w:style w:type="paragraph" w:styleId="ListParagraph">
    <w:name w:val="List Paragraph"/>
    <w:basedOn w:val="Normal"/>
    <w:uiPriority w:val="34"/>
    <w:qFormat/>
    <w:rsid w:val="00CB55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ietf.org/rfc/rfc2460.txt"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www.itu.int/publ/R-REC/fr" TargetMode="External"/><Relationship Id="rId17" Type="http://schemas.openxmlformats.org/officeDocument/2006/relationships/hyperlink" Target="http://www.ietf.org/rfc/rfc791.txt"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www.ietf.org/rfc/rfc4326.txt"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hyperlink" Target="http://www.ietf.org/rfc/rfc3095.txt" TargetMode="External"/><Relationship Id="rId23" Type="http://schemas.openxmlformats.org/officeDocument/2006/relationships/image" Target="media/image4.emf"/><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28F2E-6064-421F-B046-D00402180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TotalTime>
  <Pages>14</Pages>
  <Words>3699</Words>
  <Characters>22445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6</cp:revision>
  <cp:lastPrinted>2005-02-10T15:54:00Z</cp:lastPrinted>
  <dcterms:created xsi:type="dcterms:W3CDTF">2011-05-20T12:11:00Z</dcterms:created>
  <dcterms:modified xsi:type="dcterms:W3CDTF">2011-06-16T08:31:00Z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