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276" w:rsidRPr="00575CB8" w:rsidRDefault="00D57276" w:rsidP="00D57276">
      <w:pPr>
        <w:rPr>
          <w:lang w:val="en-US"/>
        </w:rPr>
      </w:pPr>
    </w:p>
    <w:p w:rsidR="00D57276" w:rsidRDefault="00D57276" w:rsidP="00D57276"/>
    <w:p w:rsidR="00D57276" w:rsidRDefault="00D57276" w:rsidP="00D57276"/>
    <w:p w:rsidR="00D57276" w:rsidRDefault="00D57276" w:rsidP="00D57276"/>
    <w:p w:rsidR="00D57276" w:rsidRDefault="00D57276" w:rsidP="00D57276"/>
    <w:p w:rsidR="00D57276" w:rsidRDefault="00D57276" w:rsidP="00D57276"/>
    <w:p w:rsidR="00D57276" w:rsidRDefault="00D57276" w:rsidP="00D57276"/>
    <w:p w:rsidR="00D57276" w:rsidRDefault="00D57276" w:rsidP="00D57276"/>
    <w:p w:rsidR="00D57276" w:rsidRDefault="00D57276" w:rsidP="00D57276"/>
    <w:p w:rsidR="00D57276" w:rsidRDefault="00D57276" w:rsidP="00D57276"/>
    <w:p w:rsidR="00D57276" w:rsidRDefault="00D57276" w:rsidP="00D57276"/>
    <w:p w:rsidR="00D57276" w:rsidRDefault="00D57276" w:rsidP="00D57276"/>
    <w:tbl>
      <w:tblPr>
        <w:tblW w:w="10089" w:type="dxa"/>
        <w:tblLook w:val="01E0" w:firstRow="1" w:lastRow="1" w:firstColumn="1" w:lastColumn="1" w:noHBand="0" w:noVBand="0"/>
      </w:tblPr>
      <w:tblGrid>
        <w:gridCol w:w="10089"/>
      </w:tblGrid>
      <w:tr w:rsidR="00D57276" w:rsidRPr="004065A9" w:rsidTr="00385724">
        <w:tc>
          <w:tcPr>
            <w:tcW w:w="10089" w:type="dxa"/>
          </w:tcPr>
          <w:p w:rsidR="00D57276" w:rsidRPr="0010336F" w:rsidRDefault="00D57276" w:rsidP="00385724">
            <w:pPr>
              <w:spacing w:before="380" w:line="280" w:lineRule="exact"/>
              <w:jc w:val="right"/>
              <w:rPr>
                <w:rFonts w:ascii="Tahoma" w:hAnsi="Tahoma" w:cs="Tahoma"/>
                <w:b/>
                <w:bCs/>
                <w:iCs/>
                <w:color w:val="243285"/>
                <w:sz w:val="32"/>
                <w:szCs w:val="32"/>
                <w:lang w:val="en-US"/>
              </w:rPr>
            </w:pPr>
          </w:p>
          <w:p w:rsidR="00D57276" w:rsidRPr="0010336F" w:rsidRDefault="00D57276" w:rsidP="00385724">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2035</w:t>
            </w:r>
          </w:p>
          <w:p w:rsidR="00D57276" w:rsidRPr="0010336F" w:rsidRDefault="00D57276" w:rsidP="00D57276">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07</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D57276" w:rsidRPr="00470916" w:rsidTr="00385724">
        <w:tc>
          <w:tcPr>
            <w:tcW w:w="10089" w:type="dxa"/>
          </w:tcPr>
          <w:p w:rsidR="00D57276" w:rsidRPr="0010336F" w:rsidRDefault="00D57276" w:rsidP="00385724">
            <w:pPr>
              <w:spacing w:before="80" w:line="500" w:lineRule="exact"/>
              <w:jc w:val="right"/>
              <w:rPr>
                <w:rFonts w:ascii="Tahoma" w:hAnsi="Tahoma" w:cs="Tahoma"/>
                <w:b/>
                <w:bCs/>
                <w:iCs/>
                <w:color w:val="243285"/>
                <w:sz w:val="44"/>
                <w:szCs w:val="44"/>
                <w:lang w:val="es-ES_tradnl"/>
              </w:rPr>
            </w:pPr>
          </w:p>
          <w:p w:rsidR="00D57276" w:rsidRPr="009E1F8B" w:rsidRDefault="00470916" w:rsidP="00385724">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Entorno de observación de referencia para la evaluación de material de programas</w:t>
            </w:r>
            <w:r>
              <w:rPr>
                <w:rFonts w:ascii="Tahoma" w:hAnsi="Tahoma" w:cs="Tahoma"/>
                <w:b/>
                <w:bCs/>
                <w:color w:val="243285"/>
                <w:sz w:val="44"/>
                <w:szCs w:val="44"/>
                <w:lang w:val="es-ES_tradnl"/>
              </w:rPr>
              <w:br/>
              <w:t xml:space="preserve">o programas completos de TVAD </w:t>
            </w:r>
          </w:p>
          <w:p w:rsidR="00D57276" w:rsidRPr="0010336F" w:rsidRDefault="00D57276" w:rsidP="00385724">
            <w:pPr>
              <w:spacing w:before="80" w:line="500" w:lineRule="exact"/>
              <w:jc w:val="right"/>
              <w:rPr>
                <w:rFonts w:ascii="Tahoma" w:hAnsi="Tahoma" w:cs="Tahoma"/>
                <w:b/>
                <w:bCs/>
                <w:iCs/>
                <w:color w:val="243285"/>
                <w:sz w:val="44"/>
                <w:szCs w:val="44"/>
                <w:lang w:val="es-ES_tradnl"/>
              </w:rPr>
            </w:pPr>
          </w:p>
        </w:tc>
      </w:tr>
      <w:tr w:rsidR="00D57276" w:rsidRPr="004065A9" w:rsidTr="00385724">
        <w:tc>
          <w:tcPr>
            <w:tcW w:w="10089" w:type="dxa"/>
          </w:tcPr>
          <w:p w:rsidR="00D57276" w:rsidRPr="0010336F" w:rsidRDefault="00D57276" w:rsidP="00385724">
            <w:pPr>
              <w:spacing w:before="80" w:line="280" w:lineRule="exact"/>
              <w:ind w:right="640"/>
              <w:rPr>
                <w:rFonts w:ascii="Tahoma" w:hAnsi="Tahoma" w:cs="Tahoma"/>
                <w:b/>
                <w:bCs/>
                <w:iCs/>
                <w:color w:val="243285"/>
                <w:sz w:val="32"/>
                <w:szCs w:val="32"/>
                <w:lang w:val="es-ES_tradnl"/>
              </w:rPr>
            </w:pPr>
          </w:p>
          <w:p w:rsidR="00D57276" w:rsidRPr="0010336F" w:rsidRDefault="00D57276" w:rsidP="00385724">
            <w:pPr>
              <w:spacing w:before="80" w:line="280" w:lineRule="exact"/>
              <w:ind w:right="640"/>
              <w:rPr>
                <w:rFonts w:ascii="Tahoma" w:hAnsi="Tahoma" w:cs="Tahoma"/>
                <w:b/>
                <w:bCs/>
                <w:iCs/>
                <w:color w:val="243285"/>
                <w:sz w:val="32"/>
                <w:szCs w:val="32"/>
                <w:lang w:val="es-ES_tradnl"/>
              </w:rPr>
            </w:pPr>
          </w:p>
          <w:p w:rsidR="00D57276" w:rsidRPr="0010336F" w:rsidRDefault="00D57276" w:rsidP="00385724">
            <w:pPr>
              <w:spacing w:before="80" w:after="180" w:line="360" w:lineRule="exact"/>
              <w:ind w:right="720"/>
              <w:rPr>
                <w:rFonts w:ascii="Tahoma" w:hAnsi="Tahoma" w:cs="Tahoma"/>
                <w:b/>
                <w:bCs/>
                <w:iCs/>
                <w:color w:val="243285"/>
                <w:sz w:val="36"/>
                <w:szCs w:val="36"/>
                <w:lang w:val="es-ES_tradnl"/>
              </w:rPr>
            </w:pPr>
          </w:p>
          <w:p w:rsidR="00D57276" w:rsidRPr="0010336F" w:rsidRDefault="00D57276" w:rsidP="00385724">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D57276" w:rsidRPr="009E1F8B" w:rsidRDefault="00D57276" w:rsidP="00385724">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 (televisión</w:t>
            </w:r>
            <w:r w:rsidRPr="009E1F8B">
              <w:rPr>
                <w:rFonts w:ascii="Tahoma" w:hAnsi="Tahoma" w:cs="Tahoma"/>
                <w:b/>
                <w:bCs/>
                <w:color w:val="000080"/>
                <w:sz w:val="36"/>
                <w:szCs w:val="36"/>
                <w:lang w:val="es-ES_tradnl"/>
              </w:rPr>
              <w:t>)</w:t>
            </w:r>
          </w:p>
        </w:tc>
      </w:tr>
    </w:tbl>
    <w:p w:rsidR="00D57276" w:rsidRPr="0026666F" w:rsidRDefault="00D57276" w:rsidP="00D57276">
      <w:pPr>
        <w:spacing w:before="80"/>
        <w:rPr>
          <w:i/>
          <w:sz w:val="22"/>
          <w:lang w:val="es-ES_tradnl"/>
        </w:rPr>
      </w:pPr>
    </w:p>
    <w:p w:rsidR="00D57276" w:rsidRPr="0026666F" w:rsidRDefault="00D57276" w:rsidP="00D57276">
      <w:pPr>
        <w:spacing w:before="80"/>
        <w:rPr>
          <w:i/>
          <w:sz w:val="22"/>
          <w:lang w:val="es-ES_tradnl"/>
        </w:rPr>
      </w:pPr>
    </w:p>
    <w:p w:rsidR="00D57276" w:rsidRPr="0026666F" w:rsidRDefault="00D57276" w:rsidP="00D57276">
      <w:pPr>
        <w:spacing w:before="80"/>
        <w:rPr>
          <w:i/>
          <w:sz w:val="22"/>
          <w:lang w:val="es-ES_tradnl"/>
        </w:rPr>
      </w:pPr>
    </w:p>
    <w:p w:rsidR="00D57276" w:rsidRPr="0026666F" w:rsidRDefault="00D57276" w:rsidP="00D57276">
      <w:pPr>
        <w:spacing w:before="80"/>
        <w:rPr>
          <w:i/>
          <w:sz w:val="22"/>
          <w:lang w:val="es-ES_tradnl"/>
        </w:rPr>
      </w:pPr>
    </w:p>
    <w:p w:rsidR="00D57276" w:rsidRPr="0026666F" w:rsidRDefault="00D57276" w:rsidP="00D57276">
      <w:pPr>
        <w:spacing w:before="80"/>
        <w:rPr>
          <w:i/>
          <w:sz w:val="22"/>
          <w:lang w:val="es-ES_tradnl"/>
        </w:rPr>
      </w:pPr>
    </w:p>
    <w:p w:rsidR="00D57276" w:rsidRPr="0026666F" w:rsidRDefault="00D57276" w:rsidP="00D57276">
      <w:pPr>
        <w:spacing w:before="80"/>
        <w:rPr>
          <w:i/>
          <w:sz w:val="22"/>
          <w:lang w:val="es-ES_tradnl"/>
        </w:rPr>
      </w:pPr>
    </w:p>
    <w:p w:rsidR="00D57276" w:rsidRPr="0026666F" w:rsidRDefault="00D57276" w:rsidP="00D57276">
      <w:pPr>
        <w:pStyle w:val="Equation"/>
        <w:tabs>
          <w:tab w:val="clear" w:pos="4820"/>
          <w:tab w:val="clear" w:pos="9639"/>
          <w:tab w:val="left" w:pos="1191"/>
          <w:tab w:val="left" w:pos="1588"/>
          <w:tab w:val="left" w:pos="1985"/>
        </w:tabs>
        <w:rPr>
          <w:rFonts w:ascii="Palatino Linotype" w:hAnsi="Palatino Linotype"/>
          <w:lang w:val="es-ES_tradnl"/>
        </w:rPr>
        <w:sectPr w:rsidR="00D57276"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D57276" w:rsidRPr="006C718C" w:rsidRDefault="00D57276" w:rsidP="00D5727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D57276" w:rsidRPr="006C718C" w:rsidRDefault="00D57276" w:rsidP="00D57276">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57276" w:rsidRPr="006C718C" w:rsidRDefault="00D57276" w:rsidP="00D57276">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D57276" w:rsidRPr="00021E8A" w:rsidRDefault="00D57276" w:rsidP="00D57276">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D57276" w:rsidRPr="00021E8A" w:rsidRDefault="00D57276" w:rsidP="00D57276">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D57276" w:rsidRPr="007C36CA" w:rsidRDefault="00D57276" w:rsidP="00D57276">
      <w:pPr>
        <w:spacing w:before="0"/>
        <w:jc w:val="center"/>
        <w:rPr>
          <w:sz w:val="22"/>
          <w:lang w:val="es-ES_tradnl"/>
        </w:rPr>
      </w:pPr>
    </w:p>
    <w:p w:rsidR="00D57276" w:rsidRPr="007C36CA" w:rsidRDefault="00D57276" w:rsidP="00D57276">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57276" w:rsidRPr="004065A9" w:rsidTr="00385724">
        <w:tc>
          <w:tcPr>
            <w:tcW w:w="9360" w:type="dxa"/>
            <w:gridSpan w:val="2"/>
          </w:tcPr>
          <w:p w:rsidR="00D57276" w:rsidRPr="00021E8A" w:rsidRDefault="00D57276" w:rsidP="0038572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D57276" w:rsidRPr="00763D08" w:rsidRDefault="00D57276" w:rsidP="003857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0" w:history="1">
              <w:hyperlink r:id="rId11"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D57276" w:rsidRPr="00036EE3" w:rsidTr="00385724">
        <w:tc>
          <w:tcPr>
            <w:tcW w:w="1140" w:type="dxa"/>
          </w:tcPr>
          <w:p w:rsidR="00D57276" w:rsidRPr="00036EE3" w:rsidRDefault="00D57276" w:rsidP="00385724">
            <w:pPr>
              <w:spacing w:before="180" w:after="100"/>
              <w:ind w:left="57"/>
              <w:rPr>
                <w:b/>
                <w:bCs/>
                <w:sz w:val="20"/>
                <w:lang w:val="en-US"/>
              </w:rPr>
            </w:pPr>
            <w:r w:rsidRPr="00036EE3">
              <w:rPr>
                <w:b/>
                <w:bCs/>
                <w:sz w:val="20"/>
                <w:lang w:val="en-US"/>
              </w:rPr>
              <w:t>Series</w:t>
            </w:r>
          </w:p>
        </w:tc>
        <w:tc>
          <w:tcPr>
            <w:tcW w:w="8220" w:type="dxa"/>
          </w:tcPr>
          <w:p w:rsidR="00D57276" w:rsidRPr="00036EE3" w:rsidRDefault="00D57276" w:rsidP="003857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D57276" w:rsidRPr="00036EE3" w:rsidTr="00385724">
        <w:tc>
          <w:tcPr>
            <w:tcW w:w="1140" w:type="dxa"/>
            <w:tcBorders>
              <w:bottom w:val="nil"/>
            </w:tcBorders>
          </w:tcPr>
          <w:p w:rsidR="00D57276" w:rsidRPr="00036EE3" w:rsidRDefault="00D57276" w:rsidP="00385724">
            <w:pPr>
              <w:spacing w:before="30" w:after="30"/>
              <w:ind w:left="57"/>
              <w:jc w:val="left"/>
              <w:rPr>
                <w:b/>
                <w:bCs/>
                <w:sz w:val="20"/>
                <w:lang w:val="en-US"/>
              </w:rPr>
            </w:pPr>
            <w:r w:rsidRPr="00036EE3">
              <w:rPr>
                <w:b/>
                <w:bCs/>
                <w:sz w:val="20"/>
                <w:lang w:val="en-US"/>
              </w:rPr>
              <w:t>BO</w:t>
            </w:r>
          </w:p>
        </w:tc>
        <w:tc>
          <w:tcPr>
            <w:tcW w:w="8220" w:type="dxa"/>
            <w:tcBorders>
              <w:bottom w:val="nil"/>
            </w:tcBorders>
          </w:tcPr>
          <w:p w:rsidR="00D57276" w:rsidRPr="00021E8A" w:rsidRDefault="00D57276" w:rsidP="003857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D57276" w:rsidRPr="004065A9" w:rsidTr="00385724">
        <w:tc>
          <w:tcPr>
            <w:tcW w:w="1140" w:type="dxa"/>
            <w:tcBorders>
              <w:top w:val="nil"/>
              <w:bottom w:val="nil"/>
            </w:tcBorders>
            <w:shd w:val="clear" w:color="auto" w:fill="auto"/>
          </w:tcPr>
          <w:p w:rsidR="00D57276" w:rsidRPr="009E1F8B" w:rsidRDefault="00D57276" w:rsidP="00385724">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D57276" w:rsidRPr="009E1F8B" w:rsidRDefault="00D57276" w:rsidP="003857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D57276" w:rsidRPr="00036EE3" w:rsidTr="00385724">
        <w:tc>
          <w:tcPr>
            <w:tcW w:w="1140" w:type="dxa"/>
            <w:tcBorders>
              <w:top w:val="nil"/>
              <w:bottom w:val="nil"/>
            </w:tcBorders>
          </w:tcPr>
          <w:p w:rsidR="00D57276" w:rsidRPr="00036EE3" w:rsidRDefault="00D57276" w:rsidP="00385724">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D57276" w:rsidRPr="00021E8A" w:rsidRDefault="00D57276" w:rsidP="003857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D57276" w:rsidRPr="009E1F8B" w:rsidTr="00385724">
        <w:tc>
          <w:tcPr>
            <w:tcW w:w="1140" w:type="dxa"/>
            <w:tcBorders>
              <w:top w:val="nil"/>
              <w:bottom w:val="nil"/>
            </w:tcBorders>
            <w:shd w:val="clear" w:color="auto" w:fill="F3F3F3"/>
          </w:tcPr>
          <w:p w:rsidR="00D57276" w:rsidRPr="009E1F8B" w:rsidRDefault="00D57276" w:rsidP="00385724">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D57276" w:rsidRPr="009E1F8B" w:rsidRDefault="00D57276" w:rsidP="003857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D57276" w:rsidRPr="00036EE3" w:rsidTr="00385724">
        <w:tc>
          <w:tcPr>
            <w:tcW w:w="1140" w:type="dxa"/>
            <w:tcBorders>
              <w:top w:val="nil"/>
              <w:bottom w:val="nil"/>
            </w:tcBorders>
            <w:shd w:val="clear" w:color="auto" w:fill="auto"/>
          </w:tcPr>
          <w:p w:rsidR="00D57276" w:rsidRPr="00036EE3" w:rsidRDefault="00D57276" w:rsidP="00385724">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D57276" w:rsidRPr="00021E8A" w:rsidRDefault="00D57276" w:rsidP="0038572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D57276" w:rsidRPr="004065A9" w:rsidTr="00385724">
        <w:tc>
          <w:tcPr>
            <w:tcW w:w="1140" w:type="dxa"/>
            <w:tcBorders>
              <w:top w:val="nil"/>
              <w:bottom w:val="nil"/>
            </w:tcBorders>
            <w:shd w:val="clear" w:color="auto" w:fill="auto"/>
          </w:tcPr>
          <w:p w:rsidR="00D57276" w:rsidRPr="0010336F" w:rsidRDefault="00D57276" w:rsidP="0038572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D57276" w:rsidRPr="0010336F" w:rsidRDefault="00D57276" w:rsidP="003857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D57276" w:rsidRPr="004065A9" w:rsidTr="00385724">
        <w:tc>
          <w:tcPr>
            <w:tcW w:w="1140" w:type="dxa"/>
            <w:tcBorders>
              <w:top w:val="nil"/>
            </w:tcBorders>
          </w:tcPr>
          <w:p w:rsidR="00D57276" w:rsidRPr="00036EE3" w:rsidRDefault="00D57276" w:rsidP="00385724">
            <w:pPr>
              <w:spacing w:before="30" w:after="30"/>
              <w:ind w:left="57"/>
              <w:jc w:val="left"/>
              <w:rPr>
                <w:b/>
                <w:bCs/>
                <w:sz w:val="20"/>
                <w:lang w:val="fr-CH"/>
              </w:rPr>
            </w:pPr>
            <w:r w:rsidRPr="00036EE3">
              <w:rPr>
                <w:b/>
                <w:bCs/>
                <w:sz w:val="20"/>
                <w:lang w:val="fr-CH"/>
              </w:rPr>
              <w:t>P</w:t>
            </w:r>
          </w:p>
        </w:tc>
        <w:tc>
          <w:tcPr>
            <w:tcW w:w="8220" w:type="dxa"/>
            <w:tcBorders>
              <w:top w:val="nil"/>
            </w:tcBorders>
          </w:tcPr>
          <w:p w:rsidR="00D57276" w:rsidRPr="00021E8A" w:rsidRDefault="00D57276" w:rsidP="00385724">
            <w:pPr>
              <w:spacing w:before="30" w:after="30"/>
              <w:jc w:val="left"/>
              <w:rPr>
                <w:bCs/>
                <w:sz w:val="20"/>
                <w:lang w:val="es-ES_tradnl"/>
              </w:rPr>
            </w:pPr>
            <w:r w:rsidRPr="00021E8A">
              <w:rPr>
                <w:bCs/>
                <w:sz w:val="20"/>
                <w:lang w:val="es-ES_tradnl"/>
              </w:rPr>
              <w:t>Propagación de las ondas radioeléctricas</w:t>
            </w:r>
          </w:p>
        </w:tc>
      </w:tr>
      <w:tr w:rsidR="00D57276" w:rsidRPr="00036EE3" w:rsidTr="00385724">
        <w:tc>
          <w:tcPr>
            <w:tcW w:w="1140" w:type="dxa"/>
          </w:tcPr>
          <w:p w:rsidR="00D57276" w:rsidRPr="00036EE3" w:rsidRDefault="00D57276" w:rsidP="00385724">
            <w:pPr>
              <w:spacing w:before="30" w:after="30"/>
              <w:ind w:left="57"/>
              <w:jc w:val="left"/>
              <w:rPr>
                <w:b/>
                <w:bCs/>
                <w:sz w:val="20"/>
                <w:lang w:val="en-US"/>
              </w:rPr>
            </w:pPr>
            <w:r w:rsidRPr="00036EE3">
              <w:rPr>
                <w:b/>
                <w:bCs/>
                <w:sz w:val="20"/>
                <w:lang w:val="en-US"/>
              </w:rPr>
              <w:t>RA</w:t>
            </w:r>
          </w:p>
        </w:tc>
        <w:tc>
          <w:tcPr>
            <w:tcW w:w="8220" w:type="dxa"/>
          </w:tcPr>
          <w:p w:rsidR="00D57276" w:rsidRPr="00021E8A" w:rsidRDefault="00470916" w:rsidP="0038572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D57276" w:rsidRPr="00021E8A">
              <w:rPr>
                <w:bCs/>
                <w:sz w:val="20"/>
              </w:rPr>
              <w:t>astronomía</w:t>
            </w:r>
          </w:p>
        </w:tc>
      </w:tr>
      <w:tr w:rsidR="00D57276" w:rsidRPr="004065A9" w:rsidTr="00385724">
        <w:tc>
          <w:tcPr>
            <w:tcW w:w="1140" w:type="dxa"/>
          </w:tcPr>
          <w:p w:rsidR="00D57276" w:rsidRPr="00036EE3" w:rsidRDefault="00D57276" w:rsidP="00385724">
            <w:pPr>
              <w:spacing w:before="30" w:after="30"/>
              <w:ind w:left="57"/>
              <w:jc w:val="left"/>
              <w:rPr>
                <w:b/>
                <w:bCs/>
                <w:sz w:val="20"/>
                <w:lang w:val="en-US"/>
              </w:rPr>
            </w:pPr>
            <w:r w:rsidRPr="00036EE3">
              <w:rPr>
                <w:b/>
                <w:bCs/>
                <w:sz w:val="20"/>
                <w:lang w:val="en-US"/>
              </w:rPr>
              <w:t>RS</w:t>
            </w:r>
          </w:p>
        </w:tc>
        <w:tc>
          <w:tcPr>
            <w:tcW w:w="8220" w:type="dxa"/>
          </w:tcPr>
          <w:p w:rsidR="00D57276" w:rsidRPr="00021E8A" w:rsidRDefault="00D57276" w:rsidP="0038572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D57276" w:rsidRPr="00036EE3" w:rsidTr="00385724">
        <w:tc>
          <w:tcPr>
            <w:tcW w:w="1140" w:type="dxa"/>
          </w:tcPr>
          <w:p w:rsidR="00D57276" w:rsidRPr="00036EE3" w:rsidRDefault="00D57276" w:rsidP="00385724">
            <w:pPr>
              <w:spacing w:before="30" w:after="30"/>
              <w:ind w:left="57"/>
              <w:jc w:val="left"/>
              <w:rPr>
                <w:b/>
                <w:bCs/>
                <w:sz w:val="20"/>
                <w:lang w:val="en-US"/>
              </w:rPr>
            </w:pPr>
            <w:r w:rsidRPr="00036EE3">
              <w:rPr>
                <w:b/>
                <w:bCs/>
                <w:sz w:val="20"/>
                <w:lang w:val="en-US"/>
              </w:rPr>
              <w:t>S</w:t>
            </w:r>
          </w:p>
        </w:tc>
        <w:tc>
          <w:tcPr>
            <w:tcW w:w="8220" w:type="dxa"/>
          </w:tcPr>
          <w:p w:rsidR="00D57276" w:rsidRPr="00021E8A" w:rsidRDefault="00D57276" w:rsidP="00385724">
            <w:pPr>
              <w:spacing w:before="30" w:after="30"/>
              <w:jc w:val="left"/>
              <w:rPr>
                <w:bCs/>
                <w:sz w:val="20"/>
                <w:lang w:val="en-US"/>
              </w:rPr>
            </w:pPr>
            <w:r w:rsidRPr="00021E8A">
              <w:rPr>
                <w:bCs/>
                <w:sz w:val="20"/>
              </w:rPr>
              <w:t>Servicio fijo por satélite</w:t>
            </w:r>
          </w:p>
        </w:tc>
      </w:tr>
      <w:tr w:rsidR="00D57276" w:rsidRPr="00036EE3" w:rsidTr="00385724">
        <w:tc>
          <w:tcPr>
            <w:tcW w:w="1140" w:type="dxa"/>
          </w:tcPr>
          <w:p w:rsidR="00D57276" w:rsidRPr="00036EE3" w:rsidRDefault="00D57276" w:rsidP="00385724">
            <w:pPr>
              <w:spacing w:before="30" w:after="30"/>
              <w:ind w:left="57"/>
              <w:jc w:val="left"/>
              <w:rPr>
                <w:b/>
                <w:bCs/>
                <w:sz w:val="20"/>
                <w:lang w:val="en-US"/>
              </w:rPr>
            </w:pPr>
            <w:r w:rsidRPr="00036EE3">
              <w:rPr>
                <w:b/>
                <w:bCs/>
                <w:sz w:val="20"/>
                <w:lang w:val="en-US"/>
              </w:rPr>
              <w:t>SA</w:t>
            </w:r>
          </w:p>
        </w:tc>
        <w:tc>
          <w:tcPr>
            <w:tcW w:w="8220" w:type="dxa"/>
          </w:tcPr>
          <w:p w:rsidR="00D57276" w:rsidRPr="00021E8A" w:rsidRDefault="00D57276" w:rsidP="00385724">
            <w:pPr>
              <w:spacing w:before="30" w:after="30"/>
              <w:jc w:val="left"/>
              <w:rPr>
                <w:bCs/>
                <w:sz w:val="20"/>
                <w:lang w:val="en-US"/>
              </w:rPr>
            </w:pPr>
            <w:r w:rsidRPr="00021E8A">
              <w:rPr>
                <w:bCs/>
                <w:sz w:val="20"/>
              </w:rPr>
              <w:t>Aplicaciones espaciales y meteorología</w:t>
            </w:r>
          </w:p>
        </w:tc>
      </w:tr>
      <w:tr w:rsidR="00D57276" w:rsidRPr="004065A9" w:rsidTr="00385724">
        <w:tc>
          <w:tcPr>
            <w:tcW w:w="1140" w:type="dxa"/>
          </w:tcPr>
          <w:p w:rsidR="00D57276" w:rsidRPr="00036EE3" w:rsidRDefault="00D57276" w:rsidP="00385724">
            <w:pPr>
              <w:spacing w:before="30" w:after="30"/>
              <w:ind w:left="57"/>
              <w:jc w:val="left"/>
              <w:rPr>
                <w:b/>
                <w:bCs/>
                <w:sz w:val="20"/>
                <w:lang w:val="en-US"/>
              </w:rPr>
            </w:pPr>
            <w:r w:rsidRPr="00036EE3">
              <w:rPr>
                <w:b/>
                <w:bCs/>
                <w:sz w:val="20"/>
                <w:lang w:val="en-US"/>
              </w:rPr>
              <w:t>SF</w:t>
            </w:r>
          </w:p>
        </w:tc>
        <w:tc>
          <w:tcPr>
            <w:tcW w:w="8220" w:type="dxa"/>
          </w:tcPr>
          <w:p w:rsidR="00D57276" w:rsidRPr="00021E8A" w:rsidRDefault="00D57276" w:rsidP="0038572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D57276" w:rsidRPr="00036EE3" w:rsidTr="00385724">
        <w:tc>
          <w:tcPr>
            <w:tcW w:w="1140" w:type="dxa"/>
            <w:shd w:val="clear" w:color="auto" w:fill="auto"/>
          </w:tcPr>
          <w:p w:rsidR="00D57276" w:rsidRPr="001240BC" w:rsidRDefault="00D57276" w:rsidP="00385724">
            <w:pPr>
              <w:spacing w:before="30" w:after="30"/>
              <w:ind w:left="57"/>
              <w:jc w:val="left"/>
              <w:rPr>
                <w:b/>
                <w:bCs/>
                <w:sz w:val="20"/>
                <w:lang w:val="en-US"/>
              </w:rPr>
            </w:pPr>
            <w:r w:rsidRPr="001240BC">
              <w:rPr>
                <w:b/>
                <w:bCs/>
                <w:sz w:val="20"/>
                <w:lang w:val="en-US"/>
              </w:rPr>
              <w:t>SM</w:t>
            </w:r>
          </w:p>
        </w:tc>
        <w:tc>
          <w:tcPr>
            <w:tcW w:w="8220" w:type="dxa"/>
            <w:shd w:val="clear" w:color="auto" w:fill="auto"/>
          </w:tcPr>
          <w:p w:rsidR="00D57276" w:rsidRPr="001240BC" w:rsidRDefault="00D57276" w:rsidP="00385724">
            <w:pPr>
              <w:spacing w:before="30" w:after="30"/>
              <w:jc w:val="left"/>
              <w:rPr>
                <w:sz w:val="20"/>
                <w:lang w:val="en-US"/>
              </w:rPr>
            </w:pPr>
            <w:r w:rsidRPr="001240BC">
              <w:rPr>
                <w:sz w:val="20"/>
              </w:rPr>
              <w:t>Gestión del espectro</w:t>
            </w:r>
          </w:p>
        </w:tc>
      </w:tr>
      <w:tr w:rsidR="00D57276" w:rsidRPr="00036EE3" w:rsidTr="00385724">
        <w:tc>
          <w:tcPr>
            <w:tcW w:w="1140" w:type="dxa"/>
          </w:tcPr>
          <w:p w:rsidR="00D57276" w:rsidRPr="00036EE3" w:rsidRDefault="00D57276" w:rsidP="00385724">
            <w:pPr>
              <w:spacing w:before="30" w:after="30"/>
              <w:ind w:left="57"/>
              <w:jc w:val="left"/>
              <w:rPr>
                <w:b/>
                <w:bCs/>
                <w:sz w:val="20"/>
                <w:lang w:val="en-US"/>
              </w:rPr>
            </w:pPr>
            <w:r w:rsidRPr="00036EE3">
              <w:rPr>
                <w:b/>
                <w:bCs/>
                <w:sz w:val="20"/>
                <w:lang w:val="en-US"/>
              </w:rPr>
              <w:t>SNG</w:t>
            </w:r>
          </w:p>
        </w:tc>
        <w:tc>
          <w:tcPr>
            <w:tcW w:w="8220" w:type="dxa"/>
          </w:tcPr>
          <w:p w:rsidR="00D57276" w:rsidRPr="00021E8A" w:rsidRDefault="00D57276" w:rsidP="00385724">
            <w:pPr>
              <w:spacing w:before="30" w:after="30"/>
              <w:jc w:val="left"/>
              <w:rPr>
                <w:bCs/>
                <w:sz w:val="20"/>
                <w:lang w:val="en-US"/>
              </w:rPr>
            </w:pPr>
            <w:r w:rsidRPr="00021E8A">
              <w:rPr>
                <w:bCs/>
                <w:sz w:val="20"/>
              </w:rPr>
              <w:t>Periodismo electrónico por satélite</w:t>
            </w:r>
          </w:p>
        </w:tc>
      </w:tr>
      <w:tr w:rsidR="00D57276" w:rsidRPr="004065A9" w:rsidTr="00385724">
        <w:tc>
          <w:tcPr>
            <w:tcW w:w="1140" w:type="dxa"/>
          </w:tcPr>
          <w:p w:rsidR="00D57276" w:rsidRPr="00036EE3" w:rsidRDefault="00D57276" w:rsidP="00385724">
            <w:pPr>
              <w:spacing w:before="30" w:after="30"/>
              <w:ind w:left="57"/>
              <w:jc w:val="left"/>
              <w:rPr>
                <w:b/>
                <w:bCs/>
                <w:sz w:val="20"/>
                <w:lang w:val="en-US"/>
              </w:rPr>
            </w:pPr>
            <w:r w:rsidRPr="00036EE3">
              <w:rPr>
                <w:b/>
                <w:bCs/>
                <w:sz w:val="20"/>
                <w:lang w:val="en-US"/>
              </w:rPr>
              <w:t>TF</w:t>
            </w:r>
          </w:p>
        </w:tc>
        <w:tc>
          <w:tcPr>
            <w:tcW w:w="8220" w:type="dxa"/>
          </w:tcPr>
          <w:p w:rsidR="00D57276" w:rsidRPr="00021E8A" w:rsidRDefault="00D57276" w:rsidP="00385724">
            <w:pPr>
              <w:spacing w:before="30" w:after="30"/>
              <w:jc w:val="left"/>
              <w:rPr>
                <w:bCs/>
                <w:sz w:val="20"/>
                <w:lang w:val="es-ES_tradnl"/>
              </w:rPr>
            </w:pPr>
            <w:r w:rsidRPr="00021E8A">
              <w:rPr>
                <w:bCs/>
                <w:sz w:val="20"/>
                <w:lang w:val="es-ES_tradnl"/>
              </w:rPr>
              <w:t>Emisiones de frecuencias patrón y señales horarias</w:t>
            </w:r>
          </w:p>
        </w:tc>
      </w:tr>
      <w:tr w:rsidR="00D57276" w:rsidRPr="00036EE3" w:rsidTr="00385724">
        <w:tc>
          <w:tcPr>
            <w:tcW w:w="1140" w:type="dxa"/>
          </w:tcPr>
          <w:p w:rsidR="00D57276" w:rsidRPr="00036EE3" w:rsidRDefault="00D57276" w:rsidP="00385724">
            <w:pPr>
              <w:spacing w:before="30" w:after="30"/>
              <w:ind w:left="57"/>
              <w:jc w:val="left"/>
              <w:rPr>
                <w:b/>
                <w:bCs/>
                <w:sz w:val="20"/>
                <w:lang w:val="en-US"/>
              </w:rPr>
            </w:pPr>
            <w:r w:rsidRPr="00036EE3">
              <w:rPr>
                <w:b/>
                <w:bCs/>
                <w:sz w:val="20"/>
                <w:lang w:val="en-US"/>
              </w:rPr>
              <w:t>V</w:t>
            </w:r>
          </w:p>
        </w:tc>
        <w:tc>
          <w:tcPr>
            <w:tcW w:w="8220" w:type="dxa"/>
          </w:tcPr>
          <w:p w:rsidR="00D57276" w:rsidRPr="00021E8A" w:rsidRDefault="00D57276" w:rsidP="00385724">
            <w:pPr>
              <w:spacing w:before="30" w:after="140"/>
              <w:jc w:val="left"/>
              <w:rPr>
                <w:bCs/>
                <w:sz w:val="20"/>
                <w:lang w:val="en-US"/>
              </w:rPr>
            </w:pPr>
            <w:r w:rsidRPr="00021E8A">
              <w:rPr>
                <w:bCs/>
                <w:sz w:val="20"/>
              </w:rPr>
              <w:t>Vocabulario y cuestiones afines</w:t>
            </w:r>
          </w:p>
        </w:tc>
      </w:tr>
    </w:tbl>
    <w:p w:rsidR="00D57276" w:rsidRPr="00036EE3" w:rsidRDefault="00D57276" w:rsidP="00D57276">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57276" w:rsidTr="00385724">
        <w:tc>
          <w:tcPr>
            <w:tcW w:w="720" w:type="dxa"/>
          </w:tcPr>
          <w:p w:rsidR="00D57276" w:rsidRDefault="00D57276" w:rsidP="0038572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D57276" w:rsidRPr="004065A9" w:rsidTr="00385724">
        <w:tc>
          <w:tcPr>
            <w:tcW w:w="9360" w:type="dxa"/>
          </w:tcPr>
          <w:p w:rsidR="00D57276" w:rsidRPr="00763D08" w:rsidRDefault="00D57276" w:rsidP="00385724">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D57276" w:rsidRPr="00763D08" w:rsidRDefault="00D57276" w:rsidP="00D57276">
      <w:pPr>
        <w:spacing w:before="0"/>
        <w:jc w:val="center"/>
        <w:rPr>
          <w:sz w:val="22"/>
          <w:lang w:val="es-ES_tradnl"/>
        </w:rPr>
      </w:pPr>
    </w:p>
    <w:p w:rsidR="00D57276" w:rsidRPr="00763D08" w:rsidRDefault="00D57276" w:rsidP="00D57276">
      <w:pPr>
        <w:spacing w:before="60"/>
        <w:jc w:val="right"/>
        <w:rPr>
          <w:i/>
          <w:iCs/>
          <w:sz w:val="20"/>
          <w:lang w:val="es-ES_tradnl"/>
        </w:rPr>
      </w:pPr>
      <w:r w:rsidRPr="00763D08">
        <w:rPr>
          <w:i/>
          <w:iCs/>
          <w:sz w:val="20"/>
          <w:lang w:val="es-ES_tradnl"/>
        </w:rPr>
        <w:t>Publicación electrónica</w:t>
      </w:r>
    </w:p>
    <w:p w:rsidR="00D57276" w:rsidRPr="00763D08" w:rsidRDefault="00D57276" w:rsidP="00D57276">
      <w:pPr>
        <w:spacing w:before="0" w:after="40"/>
        <w:jc w:val="right"/>
        <w:rPr>
          <w:sz w:val="20"/>
          <w:lang w:val="es-ES_tradnl"/>
        </w:rPr>
      </w:pPr>
      <w:r w:rsidRPr="00763D08">
        <w:rPr>
          <w:sz w:val="20"/>
          <w:lang w:val="es-ES_tradnl"/>
        </w:rPr>
        <w:t>Ginebra, 20</w:t>
      </w:r>
      <w:r>
        <w:rPr>
          <w:sz w:val="20"/>
          <w:lang w:val="es-ES_tradnl"/>
        </w:rPr>
        <w:t>14</w:t>
      </w:r>
    </w:p>
    <w:p w:rsidR="00D57276" w:rsidRPr="00763D08" w:rsidRDefault="00D57276" w:rsidP="00D57276">
      <w:pPr>
        <w:spacing w:before="0"/>
        <w:jc w:val="center"/>
        <w:rPr>
          <w:sz w:val="22"/>
          <w:lang w:val="es-ES_tradnl"/>
        </w:rPr>
      </w:pPr>
    </w:p>
    <w:p w:rsidR="00D57276" w:rsidRPr="00763D08" w:rsidRDefault="00D57276" w:rsidP="00D5727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14</w:t>
      </w:r>
    </w:p>
    <w:p w:rsidR="00D57276" w:rsidRPr="006C718C" w:rsidRDefault="00D57276" w:rsidP="00D57276">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D57276" w:rsidRPr="006C718C" w:rsidRDefault="00D57276" w:rsidP="00D57276">
      <w:pPr>
        <w:spacing w:before="160"/>
        <w:rPr>
          <w:i/>
          <w:sz w:val="20"/>
          <w:highlight w:val="yellow"/>
          <w:lang w:val="es-ES_tradnl"/>
        </w:rPr>
        <w:sectPr w:rsidR="00D57276"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D57276" w:rsidRDefault="00D57276" w:rsidP="00D57276">
      <w:pPr>
        <w:pStyle w:val="RecNo"/>
        <w:spacing w:before="0"/>
        <w:rPr>
          <w:lang w:val="es-ES_tradnl"/>
        </w:rPr>
      </w:pPr>
      <w:bookmarkStart w:id="2" w:name="irecnoe"/>
      <w:bookmarkEnd w:id="2"/>
      <w:r>
        <w:rPr>
          <w:lang w:val="es-ES_tradnl"/>
        </w:rPr>
        <w:lastRenderedPageBreak/>
        <w:t xml:space="preserve">RECOMENDACIÓN  </w:t>
      </w:r>
      <w:r>
        <w:rPr>
          <w:rStyle w:val="href"/>
          <w:lang w:val="es-ES_tradnl"/>
        </w:rPr>
        <w:t>UIT-R  BT.2035</w:t>
      </w:r>
    </w:p>
    <w:p w:rsidR="00A53D53" w:rsidRPr="00987B2B" w:rsidRDefault="00A53D53" w:rsidP="00A53D53">
      <w:pPr>
        <w:pStyle w:val="Rectitle"/>
        <w:rPr>
          <w:lang w:val="es-ES_tradnl"/>
        </w:rPr>
      </w:pPr>
      <w:r w:rsidRPr="00987B2B">
        <w:rPr>
          <w:lang w:val="es-ES_tradnl"/>
        </w:rPr>
        <w:t xml:space="preserve">Entorno de observación de referencia para la evaluación de material </w:t>
      </w:r>
      <w:r w:rsidRPr="00987B2B">
        <w:rPr>
          <w:lang w:val="es-ES_tradnl"/>
        </w:rPr>
        <w:br/>
        <w:t>de programas o programas completos de TVAD</w:t>
      </w:r>
    </w:p>
    <w:p w:rsidR="00A53D53" w:rsidRDefault="00A53D53" w:rsidP="00F20FA8">
      <w:pPr>
        <w:pStyle w:val="Blanc"/>
      </w:pPr>
    </w:p>
    <w:p w:rsidR="00A53D53" w:rsidRDefault="00A53D53" w:rsidP="00A53D53">
      <w:pPr>
        <w:pStyle w:val="Recdate"/>
        <w:rPr>
          <w:lang w:val="es-ES_tradnl"/>
        </w:rPr>
      </w:pPr>
      <w:r>
        <w:rPr>
          <w:lang w:val="es-ES_tradnl"/>
        </w:rPr>
        <w:t>(2013)</w:t>
      </w:r>
    </w:p>
    <w:p w:rsidR="00F20FA8" w:rsidRDefault="00F20FA8" w:rsidP="00F20FA8">
      <w:pPr>
        <w:pStyle w:val="Blanc"/>
      </w:pPr>
    </w:p>
    <w:p w:rsidR="00A53D53" w:rsidRPr="00987B2B" w:rsidRDefault="00A53D53" w:rsidP="00A53D53">
      <w:pPr>
        <w:pStyle w:val="HeadingSum"/>
        <w:rPr>
          <w:szCs w:val="22"/>
        </w:rPr>
      </w:pPr>
      <w:r w:rsidRPr="00987B2B">
        <w:rPr>
          <w:szCs w:val="22"/>
        </w:rPr>
        <w:t>Cometido</w:t>
      </w:r>
    </w:p>
    <w:p w:rsidR="00A53D53" w:rsidRDefault="00A53D53" w:rsidP="00A53D53">
      <w:pPr>
        <w:pStyle w:val="Summary"/>
        <w:rPr>
          <w:szCs w:val="22"/>
        </w:rPr>
      </w:pPr>
      <w:r>
        <w:rPr>
          <w:szCs w:val="22"/>
        </w:rPr>
        <w:t>Esta Recomendación presenta un método que permite a los productores o a los radiodifusores de TVAD establecer unas condiciones de observación de referencia para evaluar material de programas o programas completos de TVAD que puede proporcionar resultados repetibles de una instalación a otra cuando se observa el mismo material. Incluye el dispositivo de presentación y el entorno circundante.</w:t>
      </w:r>
      <w:r>
        <w:rPr>
          <w:rStyle w:val="FootnoteReference"/>
          <w:szCs w:val="22"/>
        </w:rPr>
        <w:footnoteReference w:id="1"/>
      </w:r>
    </w:p>
    <w:p w:rsidR="00A53D53" w:rsidRDefault="00A53D53" w:rsidP="00A53D53">
      <w:pPr>
        <w:pStyle w:val="Normalaftertitle"/>
        <w:rPr>
          <w:lang w:val="es-ES_tradnl"/>
        </w:rPr>
      </w:pPr>
      <w:r>
        <w:rPr>
          <w:lang w:val="es-ES_tradnl"/>
        </w:rPr>
        <w:t>La Asamblea de Radiocomunicaciones de la UIT,</w:t>
      </w:r>
    </w:p>
    <w:p w:rsidR="00A53D53" w:rsidRDefault="00A53D53" w:rsidP="00A53D53">
      <w:pPr>
        <w:pStyle w:val="Call"/>
        <w:rPr>
          <w:lang w:val="es-ES_tradnl"/>
        </w:rPr>
      </w:pPr>
      <w:r>
        <w:rPr>
          <w:lang w:val="es-ES_tradnl"/>
        </w:rPr>
        <w:t>considerando</w:t>
      </w:r>
    </w:p>
    <w:p w:rsidR="00A53D53" w:rsidRDefault="00A53D53" w:rsidP="00A53D53">
      <w:pPr>
        <w:rPr>
          <w:lang w:val="es-ES_tradnl"/>
        </w:rPr>
      </w:pPr>
      <w:r w:rsidRPr="00F20FA8">
        <w:rPr>
          <w:i/>
          <w:lang w:val="es-ES_tradnl"/>
        </w:rPr>
        <w:t>a)</w:t>
      </w:r>
      <w:r>
        <w:rPr>
          <w:lang w:val="es-ES_tradnl"/>
        </w:rPr>
        <w:tab/>
        <w:t>que ya no hay disponibles monitores de TRC para la TVAD y es necesario revisar los criterios para la evaluación subjetiva de las imágenes de TVAD;</w:t>
      </w:r>
    </w:p>
    <w:p w:rsidR="00A53D53" w:rsidRDefault="00A53D53" w:rsidP="00A53D53">
      <w:pPr>
        <w:rPr>
          <w:lang w:val="es-ES_tradnl"/>
        </w:rPr>
      </w:pPr>
      <w:r w:rsidRPr="00F20FA8">
        <w:rPr>
          <w:i/>
          <w:lang w:val="es-ES_tradnl"/>
        </w:rPr>
        <w:t>b)</w:t>
      </w:r>
      <w:r>
        <w:rPr>
          <w:lang w:val="es-ES_tradnl"/>
        </w:rPr>
        <w:tab/>
        <w:t>que las características de presentación de imagen difieren entre monitores con y sin TRC;</w:t>
      </w:r>
    </w:p>
    <w:p w:rsidR="00A53D53" w:rsidRDefault="00A53D53" w:rsidP="00A53D53">
      <w:pPr>
        <w:rPr>
          <w:lang w:val="es-ES_tradnl"/>
        </w:rPr>
      </w:pPr>
      <w:r w:rsidRPr="00F20FA8">
        <w:rPr>
          <w:i/>
          <w:lang w:val="es-ES_tradnl"/>
        </w:rPr>
        <w:t>c)</w:t>
      </w:r>
      <w:r>
        <w:rPr>
          <w:lang w:val="es-ES_tradnl"/>
        </w:rPr>
        <w:tab/>
        <w:t>que la influencia del entorno de observación puede cambiar significativamente las características de la imagen percibida;</w:t>
      </w:r>
    </w:p>
    <w:p w:rsidR="00A53D53" w:rsidRDefault="00A53D53" w:rsidP="00A53D53">
      <w:pPr>
        <w:rPr>
          <w:lang w:val="es-ES_tradnl"/>
        </w:rPr>
      </w:pPr>
      <w:r w:rsidRPr="00F20FA8">
        <w:rPr>
          <w:i/>
          <w:lang w:val="es-ES_tradnl"/>
        </w:rPr>
        <w:t>d)</w:t>
      </w:r>
      <w:r>
        <w:rPr>
          <w:lang w:val="es-ES_tradnl"/>
        </w:rPr>
        <w:tab/>
        <w:t>que se necesita un monitor de referencia definido para minimizar las diferencias en la tecnología de presentación;</w:t>
      </w:r>
    </w:p>
    <w:p w:rsidR="00A53D53" w:rsidRDefault="00A53D53" w:rsidP="00A53D53">
      <w:pPr>
        <w:rPr>
          <w:lang w:val="es-ES_tradnl"/>
        </w:rPr>
      </w:pPr>
      <w:r w:rsidRPr="00F20FA8">
        <w:rPr>
          <w:i/>
          <w:lang w:val="es-ES_tradnl"/>
        </w:rPr>
        <w:t>e)</w:t>
      </w:r>
      <w:r>
        <w:rPr>
          <w:lang w:val="es-ES_tradnl"/>
        </w:rPr>
        <w:tab/>
        <w:t>que otras Recomendaciones de la UIT tales como la Recomendación UIT-R BT.2022 definen otras condiciones de observación para aplicaciones específicas;</w:t>
      </w:r>
    </w:p>
    <w:p w:rsidR="00A53D53" w:rsidRDefault="00A53D53" w:rsidP="00A53D53">
      <w:pPr>
        <w:rPr>
          <w:lang w:val="es-ES_tradnl"/>
        </w:rPr>
      </w:pPr>
      <w:r w:rsidRPr="00F20FA8">
        <w:rPr>
          <w:i/>
          <w:lang w:val="es-ES_tradnl"/>
        </w:rPr>
        <w:t>f)</w:t>
      </w:r>
      <w:r>
        <w:rPr>
          <w:lang w:val="es-ES_tradnl"/>
        </w:rPr>
        <w:tab/>
        <w:t>que son necesarias evaluaciones visuales repetibles para confirmar las representaciones de la imagen,</w:t>
      </w:r>
    </w:p>
    <w:p w:rsidR="00A53D53" w:rsidRDefault="00A53D53" w:rsidP="00A53D53">
      <w:pPr>
        <w:pStyle w:val="Call"/>
        <w:rPr>
          <w:lang w:val="es-ES_tradnl"/>
        </w:rPr>
      </w:pPr>
      <w:r>
        <w:rPr>
          <w:lang w:val="es-ES_tradnl"/>
        </w:rPr>
        <w:t>recomienda</w:t>
      </w:r>
    </w:p>
    <w:p w:rsidR="00A53D53" w:rsidRDefault="00A53D53" w:rsidP="00A53D53">
      <w:pPr>
        <w:rPr>
          <w:lang w:val="es-ES_tradnl"/>
        </w:rPr>
      </w:pPr>
      <w:r w:rsidRPr="000A04A2">
        <w:rPr>
          <w:b/>
          <w:bCs/>
          <w:lang w:val="es-ES_tradnl"/>
        </w:rPr>
        <w:t>1</w:t>
      </w:r>
      <w:r>
        <w:rPr>
          <w:lang w:val="es-ES_tradnl"/>
        </w:rPr>
        <w:tab/>
        <w:t>que para evaluar el material de programa o programas completos de TVAD se utilicen las características de una condición de observación de referencia descritas en el Anexo 1;</w:t>
      </w:r>
    </w:p>
    <w:p w:rsidR="00A53D53" w:rsidRDefault="00A53D53" w:rsidP="00A53D53">
      <w:pPr>
        <w:rPr>
          <w:lang w:val="es-ES_tradnl"/>
        </w:rPr>
      </w:pPr>
      <w:r w:rsidRPr="000A04A2">
        <w:rPr>
          <w:b/>
          <w:bCs/>
          <w:lang w:val="es-ES_tradnl"/>
        </w:rPr>
        <w:t>2</w:t>
      </w:r>
      <w:r>
        <w:rPr>
          <w:lang w:val="es-ES_tradnl"/>
        </w:rPr>
        <w:tab/>
        <w:t>que para lograr el mayor grado posible de uniformidad en la imagen mostrada, se empleen las mismas tecnologías de presentación entre instalaciones cuando vayan a realizarse comparaciones.</w:t>
      </w:r>
    </w:p>
    <w:p w:rsidR="00A53D53" w:rsidRPr="000A04A2" w:rsidRDefault="00A53D53" w:rsidP="00F20FA8">
      <w:pPr>
        <w:rPr>
          <w:lang w:val="es-ES_tradnl"/>
        </w:rPr>
      </w:pPr>
      <w:r w:rsidRPr="000A04A2">
        <w:rPr>
          <w:lang w:val="es-ES_tradnl"/>
        </w:rPr>
        <w:t>NOTA</w:t>
      </w:r>
      <w:r w:rsidR="00F20FA8">
        <w:rPr>
          <w:lang w:val="es-ES_tradnl"/>
        </w:rPr>
        <w:t> </w:t>
      </w:r>
      <w:r w:rsidRPr="000A04A2">
        <w:rPr>
          <w:lang w:val="es-ES_tradnl"/>
        </w:rPr>
        <w:t>1</w:t>
      </w:r>
      <w:r w:rsidR="00F20FA8">
        <w:rPr>
          <w:lang w:val="es-ES_tradnl"/>
        </w:rPr>
        <w:t> </w:t>
      </w:r>
      <w:r w:rsidRPr="000A04A2">
        <w:rPr>
          <w:lang w:val="es-ES_tradnl"/>
        </w:rPr>
        <w:t>–</w:t>
      </w:r>
      <w:r w:rsidR="00F20FA8">
        <w:rPr>
          <w:lang w:val="es-ES_tradnl"/>
        </w:rPr>
        <w:t> </w:t>
      </w:r>
      <w:r w:rsidRPr="000A04A2">
        <w:rPr>
          <w:lang w:val="es-ES_tradnl"/>
        </w:rPr>
        <w:t>No se han definido todos los posibles parámetros y se supone que el dispositivo de presentación se ha calibrado para cualquier deficiencia obvia antes del proceso de evaluación. Los dispositivos de presentación para los monitores de usuario no deben utilizarse para efectuar evaluaciones profesionales.</w:t>
      </w:r>
    </w:p>
    <w:p w:rsidR="00A53D53" w:rsidRDefault="00A53D53" w:rsidP="00A53D53">
      <w:pPr>
        <w:rPr>
          <w:lang w:val="es-ES_tradnl"/>
        </w:rPr>
      </w:pPr>
    </w:p>
    <w:p w:rsidR="00A53D53" w:rsidRDefault="00A53D53" w:rsidP="00A53D53">
      <w:pPr>
        <w:rPr>
          <w:lang w:val="es-ES_tradnl"/>
        </w:rPr>
      </w:pPr>
    </w:p>
    <w:p w:rsidR="00A53D53" w:rsidRDefault="00A53D53" w:rsidP="00A53D53">
      <w:pPr>
        <w:pStyle w:val="AnnexNoTitle"/>
        <w:rPr>
          <w:lang w:val="es-ES_tradnl"/>
        </w:rPr>
      </w:pPr>
      <w:r>
        <w:rPr>
          <w:lang w:val="es-ES_tradnl"/>
        </w:rPr>
        <w:lastRenderedPageBreak/>
        <w:t>Anexo 1</w:t>
      </w:r>
    </w:p>
    <w:p w:rsidR="00A53D53" w:rsidRPr="00F26550" w:rsidRDefault="00A53D53" w:rsidP="00F20FA8">
      <w:pPr>
        <w:pStyle w:val="Headingb"/>
        <w:rPr>
          <w:lang w:val="es-ES_tradnl"/>
        </w:rPr>
      </w:pPr>
      <w:r>
        <w:rPr>
          <w:lang w:val="es-ES_tradnl"/>
        </w:rPr>
        <w:t>Consideraciones generales</w:t>
      </w:r>
    </w:p>
    <w:p w:rsidR="00A53D53" w:rsidRDefault="00A53D53" w:rsidP="00A53D53">
      <w:pPr>
        <w:rPr>
          <w:lang w:val="es-ES_tradnl"/>
        </w:rPr>
      </w:pPr>
      <w:r>
        <w:rPr>
          <w:lang w:val="es-ES_tradnl"/>
        </w:rPr>
        <w:t>Para evaluar el comportamiento de un dispositivo de presentación, es necesario medir o caracterizar un gran número de parámetros tales como los descritos en el Informe UIT-R BT.2129. Para evaluar las imágenes todos los días no es posible llevar a cabo estas mediciones, por tanto se sugiere utilizar diariamente un subconjunto de dichos parámetros. La presente Recomendación también presenta una condición de observación de referencia.</w:t>
      </w:r>
    </w:p>
    <w:p w:rsidR="00A53D53" w:rsidRDefault="00A53D53" w:rsidP="00A53D53">
      <w:pPr>
        <w:rPr>
          <w:lang w:val="es-ES_tradnl"/>
        </w:rPr>
      </w:pPr>
      <w:r>
        <w:rPr>
          <w:lang w:val="es-ES_tradnl"/>
        </w:rPr>
        <w:t>La amplia gama de tecnologías utilizadas en los monitores de pantalla plana hace casi imposible la tarea de definir un solo conjunto de parámetros para un dispositivo de presentación de referencia. A diferencia de los TRC en los que se empleó una sola tecnología para convertir las señales eléctricas en imágenes observables, las diversas tecnologías de pantalla plana proporcionan un número casi infinito de variables.</w:t>
      </w:r>
    </w:p>
    <w:p w:rsidR="00A53D53" w:rsidRDefault="00A53D53" w:rsidP="00A53D53">
      <w:pPr>
        <w:rPr>
          <w:lang w:val="es-ES_tradnl"/>
        </w:rPr>
      </w:pPr>
      <w:r>
        <w:rPr>
          <w:lang w:val="es-ES_tradnl"/>
        </w:rPr>
        <w:t>El objetivo de la Recomendación es ofrecer orientaciones sobre los valores de los parámetros que van a medirse a fin de establecer el entorno y los parámetros de presentación teniendo en cuenta que la medición y el ajuste de todos los posibles parámetros pueden ser una tarea muy engorrosa y llevar mucho tiempo.</w:t>
      </w:r>
    </w:p>
    <w:p w:rsidR="00A53D53" w:rsidRDefault="00A53D53" w:rsidP="00A53D53">
      <w:pPr>
        <w:rPr>
          <w:lang w:val="es-ES_tradnl"/>
        </w:rPr>
      </w:pPr>
      <w:r>
        <w:rPr>
          <w:lang w:val="es-ES_tradnl"/>
        </w:rPr>
        <w:t>Hay que tener presente que los instrumentos de medición comercialmente disponibles pueden arrojar diferentes resultados; estas diferencias pueden ser consecuencia de las distintas tecnologías utilizadas para detectar la luz en el monitor. Deben consultarse los manuales de instrucción de los fabricantes.</w:t>
      </w:r>
    </w:p>
    <w:p w:rsidR="00A53D53" w:rsidRDefault="00A53D53" w:rsidP="00A53D53">
      <w:pPr>
        <w:pStyle w:val="Heading1"/>
        <w:rPr>
          <w:lang w:val="es-ES_tradnl"/>
        </w:rPr>
      </w:pPr>
      <w:r>
        <w:rPr>
          <w:lang w:val="es-ES_tradnl"/>
        </w:rPr>
        <w:t>1</w:t>
      </w:r>
      <w:r>
        <w:rPr>
          <w:lang w:val="es-ES_tradnl"/>
        </w:rPr>
        <w:tab/>
        <w:t>C</w:t>
      </w:r>
      <w:r w:rsidRPr="009D74C3">
        <w:rPr>
          <w:lang w:val="es-ES_tradnl"/>
        </w:rPr>
        <w:t>ondiciones de observación de referencia</w:t>
      </w:r>
    </w:p>
    <w:p w:rsidR="00A53D53" w:rsidRDefault="00A53D53" w:rsidP="00A53D53">
      <w:pPr>
        <w:rPr>
          <w:lang w:val="es-ES_tradnl"/>
        </w:rPr>
      </w:pPr>
      <w:r>
        <w:rPr>
          <w:lang w:val="es-ES_tradnl"/>
        </w:rPr>
        <w:t>El entorno de observación de referencia tiene por objeto proporcionar un entorno que pueda repetirse de una instalación a otra. Los dispositivos de presentación que utilizan diferentes tecnologías pueden influenciar el grado en que puede lograrse la uniformidad de la imagen presentada. Este entorno de observación de referencia sirve como directriz para una implementación práctica:</w:t>
      </w:r>
    </w:p>
    <w:p w:rsidR="00A53D53" w:rsidRDefault="00A53D53" w:rsidP="00A53D53">
      <w:pPr>
        <w:pStyle w:val="Heading2"/>
        <w:rPr>
          <w:lang w:val="es-ES_tradnl"/>
        </w:rPr>
      </w:pPr>
      <w:r>
        <w:rPr>
          <w:lang w:val="es-ES_tradnl"/>
        </w:rPr>
        <w:t>1.1</w:t>
      </w:r>
      <w:r>
        <w:rPr>
          <w:lang w:val="es-ES_tradnl"/>
        </w:rPr>
        <w:tab/>
        <w:t>Entorno de observación para una evaluación subjetiva</w:t>
      </w:r>
    </w:p>
    <w:tbl>
      <w:tblPr>
        <w:tblW w:w="9785" w:type="dxa"/>
        <w:tblLayout w:type="fixed"/>
        <w:tblLook w:val="04A0" w:firstRow="1" w:lastRow="0" w:firstColumn="1" w:lastColumn="0" w:noHBand="0" w:noVBand="1"/>
      </w:tblPr>
      <w:tblGrid>
        <w:gridCol w:w="709"/>
        <w:gridCol w:w="5448"/>
        <w:gridCol w:w="3628"/>
      </w:tblGrid>
      <w:tr w:rsidR="00A53D53" w:rsidRPr="0000112B" w:rsidTr="00F20FA8">
        <w:tc>
          <w:tcPr>
            <w:tcW w:w="709" w:type="dxa"/>
            <w:hideMark/>
          </w:tcPr>
          <w:p w:rsidR="00A53D53" w:rsidRPr="000A04A2" w:rsidRDefault="00A53D53" w:rsidP="00B24A40">
            <w:pPr>
              <w:tabs>
                <w:tab w:val="clear" w:pos="794"/>
              </w:tabs>
              <w:ind w:left="-57"/>
              <w:jc w:val="left"/>
              <w:rPr>
                <w:lang w:val="en-GB" w:eastAsia="zh-CN"/>
              </w:rPr>
            </w:pPr>
            <w:r w:rsidRPr="000A04A2">
              <w:rPr>
                <w:lang w:val="en-GB" w:eastAsia="ja-JP"/>
              </w:rPr>
              <w:t>a</w:t>
            </w:r>
            <w:r w:rsidRPr="000A04A2">
              <w:rPr>
                <w:lang w:val="en-GB" w:eastAsia="zh-CN"/>
              </w:rPr>
              <w:t>)</w:t>
            </w:r>
          </w:p>
        </w:tc>
        <w:tc>
          <w:tcPr>
            <w:tcW w:w="5448" w:type="dxa"/>
            <w:hideMark/>
          </w:tcPr>
          <w:p w:rsidR="00A53D53" w:rsidRPr="0000112B" w:rsidRDefault="00A53D53" w:rsidP="00385724">
            <w:pPr>
              <w:jc w:val="left"/>
              <w:rPr>
                <w:lang w:val="en-GB" w:eastAsia="zh-CN"/>
              </w:rPr>
            </w:pPr>
            <w:r>
              <w:rPr>
                <w:lang w:val="en-GB" w:eastAsia="ja-JP"/>
              </w:rPr>
              <w:t>Iluminación de la sala</w:t>
            </w:r>
            <w:r w:rsidRPr="0000112B">
              <w:rPr>
                <w:lang w:val="en-GB" w:eastAsia="zh-CN"/>
              </w:rPr>
              <w:t>:</w:t>
            </w:r>
          </w:p>
        </w:tc>
        <w:tc>
          <w:tcPr>
            <w:tcW w:w="3628" w:type="dxa"/>
            <w:hideMark/>
          </w:tcPr>
          <w:p w:rsidR="00A53D53" w:rsidRPr="0000112B" w:rsidRDefault="00A53D53" w:rsidP="00385724">
            <w:pPr>
              <w:jc w:val="left"/>
              <w:rPr>
                <w:i/>
                <w:lang w:val="en-GB" w:eastAsia="zh-CN"/>
              </w:rPr>
            </w:pPr>
            <w:r w:rsidRPr="0000112B">
              <w:rPr>
                <w:i/>
                <w:lang w:val="en-GB" w:eastAsia="zh-CN"/>
              </w:rPr>
              <w:t>10 Lux</w:t>
            </w:r>
          </w:p>
        </w:tc>
      </w:tr>
      <w:tr w:rsidR="00A53D53" w:rsidRPr="00A53D53" w:rsidTr="00F20FA8">
        <w:tc>
          <w:tcPr>
            <w:tcW w:w="709" w:type="dxa"/>
            <w:hideMark/>
          </w:tcPr>
          <w:p w:rsidR="00A53D53" w:rsidRPr="0000112B" w:rsidRDefault="00A53D53" w:rsidP="00B24A40">
            <w:pPr>
              <w:tabs>
                <w:tab w:val="clear" w:pos="794"/>
              </w:tabs>
              <w:ind w:left="-57"/>
              <w:jc w:val="left"/>
              <w:rPr>
                <w:lang w:val="en-GB" w:eastAsia="ja-JP"/>
              </w:rPr>
            </w:pPr>
            <w:r w:rsidRPr="0000112B">
              <w:rPr>
                <w:lang w:val="en-GB" w:eastAsia="ja-JP"/>
              </w:rPr>
              <w:t>b</w:t>
            </w:r>
            <w:r w:rsidRPr="0000112B">
              <w:rPr>
                <w:lang w:val="en-GB" w:eastAsia="zh-CN"/>
              </w:rPr>
              <w:t>)</w:t>
            </w:r>
          </w:p>
        </w:tc>
        <w:tc>
          <w:tcPr>
            <w:tcW w:w="5448" w:type="dxa"/>
            <w:hideMark/>
          </w:tcPr>
          <w:p w:rsidR="00A53D53" w:rsidRPr="0000112B" w:rsidRDefault="00A53D53" w:rsidP="00385724">
            <w:pPr>
              <w:jc w:val="left"/>
              <w:rPr>
                <w:lang w:val="en-GB" w:eastAsia="ja-JP"/>
              </w:rPr>
            </w:pPr>
            <w:r>
              <w:rPr>
                <w:lang w:val="en-GB" w:eastAsia="zh-CN"/>
              </w:rPr>
              <w:t>Cromaticidad del fondo</w:t>
            </w:r>
            <w:r w:rsidRPr="0000112B">
              <w:rPr>
                <w:lang w:val="en-GB" w:eastAsia="zh-CN"/>
              </w:rPr>
              <w:t>:</w:t>
            </w:r>
          </w:p>
        </w:tc>
        <w:tc>
          <w:tcPr>
            <w:tcW w:w="3628" w:type="dxa"/>
            <w:hideMark/>
          </w:tcPr>
          <w:p w:rsidR="00A53D53" w:rsidRPr="00091047" w:rsidRDefault="00A53D53" w:rsidP="00F20FA8">
            <w:pPr>
              <w:rPr>
                <w:lang w:val="es-ES_tradnl" w:eastAsia="ja-JP"/>
              </w:rPr>
            </w:pPr>
            <w:r w:rsidRPr="00091047">
              <w:rPr>
                <w:i/>
                <w:lang w:val="es-ES_tradnl" w:eastAsia="zh-CN"/>
              </w:rPr>
              <w:t>D</w:t>
            </w:r>
            <w:r w:rsidRPr="00091047">
              <w:rPr>
                <w:iCs/>
                <w:vertAlign w:val="subscript"/>
                <w:lang w:val="es-ES_tradnl" w:eastAsia="zh-CN"/>
              </w:rPr>
              <w:t>65</w:t>
            </w:r>
            <w:r w:rsidRPr="00091047">
              <w:rPr>
                <w:lang w:val="es-ES_tradnl"/>
              </w:rPr>
              <w:t xml:space="preserve"> </w:t>
            </w:r>
            <w:r w:rsidRPr="00091047">
              <w:rPr>
                <w:iCs/>
                <w:lang w:val="es-ES_tradnl" w:eastAsia="zh-CN"/>
              </w:rPr>
              <w:t xml:space="preserve">(opcionalmente </w:t>
            </w:r>
            <w:r w:rsidRPr="00091047">
              <w:rPr>
                <w:i/>
                <w:lang w:val="es-ES_tradnl" w:eastAsia="zh-CN"/>
              </w:rPr>
              <w:t>D</w:t>
            </w:r>
            <w:r w:rsidRPr="00091047">
              <w:rPr>
                <w:iCs/>
                <w:vertAlign w:val="subscript"/>
                <w:lang w:val="es-ES_tradnl" w:eastAsia="zh-CN"/>
              </w:rPr>
              <w:t>93</w:t>
            </w:r>
            <w:r w:rsidRPr="00091047">
              <w:rPr>
                <w:iCs/>
                <w:lang w:val="es-ES_tradnl" w:eastAsia="zh-CN"/>
              </w:rPr>
              <w:t xml:space="preserve"> en algunas regiones)</w:t>
            </w:r>
          </w:p>
        </w:tc>
      </w:tr>
      <w:tr w:rsidR="00A53D53" w:rsidRPr="00A53D53" w:rsidTr="00F20FA8">
        <w:tc>
          <w:tcPr>
            <w:tcW w:w="709" w:type="dxa"/>
          </w:tcPr>
          <w:p w:rsidR="00A53D53" w:rsidRPr="0000112B" w:rsidRDefault="00A53D53" w:rsidP="00B24A40">
            <w:pPr>
              <w:tabs>
                <w:tab w:val="clear" w:pos="794"/>
              </w:tabs>
              <w:ind w:left="-57"/>
              <w:jc w:val="left"/>
              <w:rPr>
                <w:lang w:val="en-GB" w:eastAsia="ja-JP"/>
              </w:rPr>
            </w:pPr>
            <w:r w:rsidRPr="0000112B">
              <w:rPr>
                <w:lang w:val="en-GB" w:eastAsia="ja-JP"/>
              </w:rPr>
              <w:t>c)</w:t>
            </w:r>
          </w:p>
        </w:tc>
        <w:tc>
          <w:tcPr>
            <w:tcW w:w="5448" w:type="dxa"/>
          </w:tcPr>
          <w:p w:rsidR="00A53D53" w:rsidRPr="00091047" w:rsidRDefault="00A53D53" w:rsidP="00F20FA8">
            <w:pPr>
              <w:jc w:val="left"/>
              <w:rPr>
                <w:lang w:val="es-ES_tradnl" w:eastAsia="zh-CN"/>
              </w:rPr>
            </w:pPr>
            <w:r w:rsidRPr="00091047">
              <w:rPr>
                <w:lang w:val="es-ES_tradnl" w:eastAsia="zh-CN"/>
              </w:rPr>
              <w:t>Relación entre la luminancia de fondo detrás del</w:t>
            </w:r>
            <w:r w:rsidR="00F20FA8">
              <w:rPr>
                <w:lang w:val="es-ES_tradnl" w:eastAsia="zh-CN"/>
              </w:rPr>
              <w:t> </w:t>
            </w:r>
            <w:r w:rsidRPr="00091047">
              <w:rPr>
                <w:lang w:val="es-ES_tradnl" w:eastAsia="zh-CN"/>
              </w:rPr>
              <w:t>receptor de imágenes y el valor de cresta de</w:t>
            </w:r>
            <w:r w:rsidR="00F20FA8">
              <w:rPr>
                <w:lang w:val="es-ES_tradnl" w:eastAsia="zh-CN"/>
              </w:rPr>
              <w:t> </w:t>
            </w:r>
            <w:r w:rsidRPr="00091047">
              <w:rPr>
                <w:lang w:val="es-ES_tradnl" w:eastAsia="zh-CN"/>
              </w:rPr>
              <w:t>luminancia de la imagen:</w:t>
            </w:r>
          </w:p>
        </w:tc>
        <w:tc>
          <w:tcPr>
            <w:tcW w:w="3628" w:type="dxa"/>
          </w:tcPr>
          <w:p w:rsidR="00A53D53" w:rsidRPr="00091047" w:rsidRDefault="00A53D53" w:rsidP="00F20FA8">
            <w:pPr>
              <w:rPr>
                <w:i/>
                <w:lang w:val="es-ES_tradnl" w:eastAsia="zh-CN"/>
              </w:rPr>
            </w:pPr>
            <w:r w:rsidRPr="0000112B">
              <w:rPr>
                <w:rFonts w:ascii="Symbol" w:hAnsi="Symbol"/>
                <w:lang w:val="en-GB" w:eastAsia="zh-CN"/>
              </w:rPr>
              <w:t></w:t>
            </w:r>
            <w:r w:rsidRPr="00091047">
              <w:rPr>
                <w:lang w:val="es-ES_tradnl" w:eastAsia="zh-CN"/>
              </w:rPr>
              <w:t> Entre 10% ±2% del valor del blanco de referencia</w:t>
            </w:r>
          </w:p>
        </w:tc>
      </w:tr>
    </w:tbl>
    <w:p w:rsidR="00A53D53" w:rsidRPr="00D85FAE" w:rsidRDefault="00A53D53" w:rsidP="00A53D53">
      <w:pPr>
        <w:pStyle w:val="Blanc"/>
        <w:rPr>
          <w:lang w:val="es-ES_tradnl"/>
        </w:rPr>
      </w:pPr>
    </w:p>
    <w:p w:rsidR="00A53D53" w:rsidRPr="006753BC" w:rsidRDefault="00A53D53" w:rsidP="00A53D53">
      <w:pPr>
        <w:pStyle w:val="Heading2"/>
        <w:rPr>
          <w:lang w:val="es-ES_tradnl"/>
        </w:rPr>
      </w:pPr>
      <w:r w:rsidRPr="006753BC">
        <w:rPr>
          <w:lang w:val="es-ES_tradnl"/>
        </w:rPr>
        <w:t>1.</w:t>
      </w:r>
      <w:r>
        <w:rPr>
          <w:lang w:val="es-ES_tradnl"/>
        </w:rPr>
        <w:t>2</w:t>
      </w:r>
      <w:r w:rsidRPr="006753BC">
        <w:rPr>
          <w:lang w:val="es-ES_tradnl"/>
        </w:rPr>
        <w:tab/>
        <w:t>Distancia de observación</w:t>
      </w:r>
    </w:p>
    <w:p w:rsidR="00A53D53" w:rsidRPr="006753BC" w:rsidRDefault="00A53D53" w:rsidP="00A53D53">
      <w:pPr>
        <w:rPr>
          <w:lang w:val="es-ES_tradnl"/>
        </w:rPr>
      </w:pPr>
      <w:r w:rsidRPr="006753BC">
        <w:rPr>
          <w:lang w:val="es-ES_tradnl"/>
        </w:rPr>
        <w:t xml:space="preserve">La distancia de observación se basa en el tamaño de la pantalla y puede elegirse según dos criterios distintos: la distancia de observación preferida (PVD, </w:t>
      </w:r>
      <w:r w:rsidRPr="006753BC">
        <w:rPr>
          <w:i/>
          <w:iCs/>
          <w:lang w:val="es-ES_tradnl"/>
        </w:rPr>
        <w:t>preferred viewing distance</w:t>
      </w:r>
      <w:r w:rsidRPr="006753BC">
        <w:rPr>
          <w:lang w:val="es-ES_tradnl"/>
        </w:rPr>
        <w:t xml:space="preserve">) y la distancia de observación de diseño (DVD, </w:t>
      </w:r>
      <w:r w:rsidRPr="006753BC">
        <w:rPr>
          <w:i/>
          <w:iCs/>
          <w:lang w:val="es-ES_tradnl"/>
        </w:rPr>
        <w:t>design viewing distance</w:t>
      </w:r>
      <w:r w:rsidRPr="006753BC">
        <w:rPr>
          <w:lang w:val="es-ES_tradnl"/>
        </w:rPr>
        <w:t xml:space="preserve">). </w:t>
      </w:r>
      <w:r>
        <w:rPr>
          <w:lang w:val="es-ES_tradnl"/>
        </w:rPr>
        <w:t>En esta aplicación se utiliza el criterio DVD</w:t>
      </w:r>
      <w:r w:rsidRPr="006753BC">
        <w:rPr>
          <w:lang w:val="es-ES_tradnl"/>
        </w:rPr>
        <w:t>.</w:t>
      </w:r>
    </w:p>
    <w:p w:rsidR="00A53D53" w:rsidRPr="0043590A" w:rsidRDefault="00A53D53" w:rsidP="00A53D53">
      <w:pPr>
        <w:pStyle w:val="Heading3"/>
        <w:rPr>
          <w:lang w:val="es-ES_tradnl" w:eastAsia="zh-CN"/>
        </w:rPr>
      </w:pPr>
      <w:r w:rsidRPr="0043590A">
        <w:rPr>
          <w:lang w:val="es-ES_tradnl" w:eastAsia="zh-CN"/>
        </w:rPr>
        <w:t>1.</w:t>
      </w:r>
      <w:r>
        <w:rPr>
          <w:lang w:val="es-ES_tradnl" w:eastAsia="zh-CN"/>
        </w:rPr>
        <w:t>2.1</w:t>
      </w:r>
      <w:r w:rsidRPr="0043590A">
        <w:rPr>
          <w:lang w:val="es-ES_tradnl" w:eastAsia="zh-CN"/>
        </w:rPr>
        <w:tab/>
        <w:t>Distancia de observación de diseño</w:t>
      </w:r>
    </w:p>
    <w:p w:rsidR="00A53D53" w:rsidRPr="0043590A" w:rsidRDefault="00A53D53" w:rsidP="00A53D53">
      <w:pPr>
        <w:rPr>
          <w:lang w:val="es-ES_tradnl" w:eastAsia="zh-CN"/>
        </w:rPr>
      </w:pPr>
      <w:r w:rsidRPr="0043590A">
        <w:rPr>
          <w:lang w:val="es-ES_tradnl" w:eastAsia="zh-CN"/>
        </w:rPr>
        <w:t>La distancia de observación de diseño (DVD), o distancia de observación óptima, en un sistema digital es la distancia a la cual dos píxeles adyacentes subtienden un ángulo de 1 arc-minuto en el ojo del observador; y el ángulo de observación horizontal óptimo es el ángulo bajo el cual se ve una imagen a su distancia de observación óptima.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2125"/>
        <w:gridCol w:w="1275"/>
        <w:gridCol w:w="1461"/>
        <w:gridCol w:w="1638"/>
        <w:gridCol w:w="1437"/>
      </w:tblGrid>
      <w:tr w:rsidR="00A53D53" w:rsidRPr="0000112B" w:rsidTr="00385724">
        <w:trPr>
          <w:jc w:val="center"/>
        </w:trPr>
        <w:tc>
          <w:tcPr>
            <w:tcW w:w="1703" w:type="dxa"/>
            <w:tcBorders>
              <w:top w:val="single" w:sz="4" w:space="0" w:color="auto"/>
              <w:left w:val="single" w:sz="4" w:space="0" w:color="auto"/>
              <w:bottom w:val="single" w:sz="4" w:space="0" w:color="auto"/>
              <w:right w:val="single" w:sz="4" w:space="0" w:color="auto"/>
            </w:tcBorders>
            <w:vAlign w:val="center"/>
            <w:hideMark/>
          </w:tcPr>
          <w:p w:rsidR="00A53D53" w:rsidRPr="004203DA" w:rsidRDefault="00A53D53" w:rsidP="00385724">
            <w:pPr>
              <w:pStyle w:val="Tablehead"/>
            </w:pPr>
            <w:r w:rsidRPr="004203DA">
              <w:lastRenderedPageBreak/>
              <w:t>Sistema de imagen</w:t>
            </w:r>
          </w:p>
        </w:tc>
        <w:tc>
          <w:tcPr>
            <w:tcW w:w="2125" w:type="dxa"/>
            <w:tcBorders>
              <w:top w:val="single" w:sz="4" w:space="0" w:color="auto"/>
              <w:left w:val="single" w:sz="4" w:space="0" w:color="auto"/>
              <w:bottom w:val="single" w:sz="4" w:space="0" w:color="auto"/>
              <w:right w:val="single" w:sz="4" w:space="0" w:color="auto"/>
            </w:tcBorders>
            <w:vAlign w:val="center"/>
            <w:hideMark/>
          </w:tcPr>
          <w:p w:rsidR="00A53D53" w:rsidRPr="004203DA" w:rsidRDefault="00A53D53" w:rsidP="00385724">
            <w:pPr>
              <w:pStyle w:val="Tablehead"/>
            </w:pPr>
            <w:r w:rsidRPr="004203DA">
              <w:t>Referencia</w:t>
            </w:r>
          </w:p>
        </w:tc>
        <w:tc>
          <w:tcPr>
            <w:tcW w:w="1275" w:type="dxa"/>
            <w:tcBorders>
              <w:top w:val="single" w:sz="4" w:space="0" w:color="auto"/>
              <w:left w:val="single" w:sz="4" w:space="0" w:color="auto"/>
              <w:bottom w:val="single" w:sz="4" w:space="0" w:color="auto"/>
              <w:right w:val="single" w:sz="4" w:space="0" w:color="auto"/>
            </w:tcBorders>
            <w:vAlign w:val="center"/>
            <w:hideMark/>
          </w:tcPr>
          <w:p w:rsidR="00A53D53" w:rsidRPr="004203DA" w:rsidRDefault="00A53D53" w:rsidP="00385724">
            <w:pPr>
              <w:pStyle w:val="Tablehead"/>
            </w:pPr>
            <w:r w:rsidRPr="004203DA">
              <w:t>Formato de imagen</w:t>
            </w:r>
          </w:p>
        </w:tc>
        <w:tc>
          <w:tcPr>
            <w:tcW w:w="1461" w:type="dxa"/>
            <w:tcBorders>
              <w:top w:val="single" w:sz="4" w:space="0" w:color="auto"/>
              <w:left w:val="single" w:sz="4" w:space="0" w:color="auto"/>
              <w:bottom w:val="single" w:sz="4" w:space="0" w:color="auto"/>
              <w:right w:val="single" w:sz="4" w:space="0" w:color="auto"/>
            </w:tcBorders>
            <w:vAlign w:val="center"/>
            <w:hideMark/>
          </w:tcPr>
          <w:p w:rsidR="00A53D53" w:rsidRPr="0043590A" w:rsidRDefault="00A53D53" w:rsidP="00385724">
            <w:pPr>
              <w:pStyle w:val="Tablehead"/>
              <w:rPr>
                <w:lang w:val="es-ES_tradnl"/>
              </w:rPr>
            </w:pPr>
            <w:r w:rsidRPr="0043590A">
              <w:rPr>
                <w:lang w:val="es-ES_tradnl"/>
              </w:rPr>
              <w:t>Formato de imagen del píxel</w:t>
            </w:r>
          </w:p>
        </w:tc>
        <w:tc>
          <w:tcPr>
            <w:tcW w:w="1638" w:type="dxa"/>
            <w:tcBorders>
              <w:top w:val="single" w:sz="4" w:space="0" w:color="auto"/>
              <w:left w:val="single" w:sz="4" w:space="0" w:color="auto"/>
              <w:bottom w:val="single" w:sz="4" w:space="0" w:color="auto"/>
              <w:right w:val="single" w:sz="4" w:space="0" w:color="auto"/>
            </w:tcBorders>
            <w:vAlign w:val="center"/>
            <w:hideMark/>
          </w:tcPr>
          <w:p w:rsidR="00A53D53" w:rsidRPr="0043590A" w:rsidRDefault="00A53D53" w:rsidP="00385724">
            <w:pPr>
              <w:pStyle w:val="Tablehead"/>
              <w:rPr>
                <w:lang w:val="es-ES_tradnl"/>
              </w:rPr>
            </w:pPr>
            <w:r w:rsidRPr="0043590A">
              <w:rPr>
                <w:lang w:val="es-ES_tradnl"/>
              </w:rPr>
              <w:t>Ángulo de observación horizontal óptimo</w:t>
            </w:r>
          </w:p>
        </w:tc>
        <w:tc>
          <w:tcPr>
            <w:tcW w:w="1437" w:type="dxa"/>
            <w:tcBorders>
              <w:top w:val="single" w:sz="4" w:space="0" w:color="auto"/>
              <w:left w:val="single" w:sz="4" w:space="0" w:color="auto"/>
              <w:bottom w:val="single" w:sz="4" w:space="0" w:color="auto"/>
              <w:right w:val="single" w:sz="4" w:space="0" w:color="auto"/>
            </w:tcBorders>
            <w:vAlign w:val="center"/>
            <w:hideMark/>
          </w:tcPr>
          <w:p w:rsidR="00A53D53" w:rsidRPr="004203DA" w:rsidRDefault="00A53D53" w:rsidP="00385724">
            <w:pPr>
              <w:pStyle w:val="Tablehead"/>
            </w:pPr>
            <w:r w:rsidRPr="004203DA">
              <w:t>Distancia de observación óptima</w:t>
            </w:r>
          </w:p>
        </w:tc>
      </w:tr>
      <w:tr w:rsidR="00A53D53" w:rsidRPr="0000112B" w:rsidTr="00385724">
        <w:trPr>
          <w:jc w:val="center"/>
        </w:trPr>
        <w:tc>
          <w:tcPr>
            <w:tcW w:w="1703" w:type="dxa"/>
            <w:tcBorders>
              <w:top w:val="single" w:sz="4" w:space="0" w:color="auto"/>
              <w:left w:val="single" w:sz="4" w:space="0" w:color="auto"/>
              <w:bottom w:val="single" w:sz="4" w:space="0" w:color="auto"/>
              <w:right w:val="single" w:sz="4" w:space="0" w:color="auto"/>
            </w:tcBorders>
            <w:hideMark/>
          </w:tcPr>
          <w:p w:rsidR="00A53D53" w:rsidRPr="0000112B" w:rsidRDefault="00A53D53" w:rsidP="00385724">
            <w:pPr>
              <w:pStyle w:val="Tabletext"/>
              <w:jc w:val="center"/>
              <w:rPr>
                <w:lang w:val="en-GB" w:eastAsia="zh-CN"/>
              </w:rPr>
            </w:pPr>
            <w:r w:rsidRPr="0000112B">
              <w:rPr>
                <w:lang w:val="en-GB" w:eastAsia="zh-CN"/>
              </w:rPr>
              <w:t xml:space="preserve">1 920 </w:t>
            </w:r>
            <w:r w:rsidRPr="0000112B">
              <w:rPr>
                <w:lang w:val="en-GB" w:eastAsia="zh-CN"/>
              </w:rPr>
              <w:sym w:font="Symbol" w:char="F0B4"/>
            </w:r>
            <w:r w:rsidRPr="0000112B">
              <w:rPr>
                <w:lang w:val="en-GB" w:eastAsia="zh-CN"/>
              </w:rPr>
              <w:t xml:space="preserve"> 1 080</w:t>
            </w:r>
          </w:p>
        </w:tc>
        <w:tc>
          <w:tcPr>
            <w:tcW w:w="2125" w:type="dxa"/>
            <w:tcBorders>
              <w:top w:val="single" w:sz="4" w:space="0" w:color="auto"/>
              <w:left w:val="single" w:sz="4" w:space="0" w:color="auto"/>
              <w:bottom w:val="single" w:sz="4" w:space="0" w:color="auto"/>
              <w:right w:val="single" w:sz="4" w:space="0" w:color="auto"/>
            </w:tcBorders>
            <w:hideMark/>
          </w:tcPr>
          <w:p w:rsidR="00A53D53" w:rsidRPr="0000112B" w:rsidRDefault="00A53D53" w:rsidP="00385724">
            <w:pPr>
              <w:pStyle w:val="Tabletext"/>
              <w:jc w:val="center"/>
              <w:rPr>
                <w:lang w:val="en-GB" w:eastAsia="zh-CN"/>
              </w:rPr>
            </w:pPr>
            <w:r w:rsidRPr="0000112B">
              <w:rPr>
                <w:lang w:val="en-GB" w:eastAsia="zh-CN"/>
              </w:rPr>
              <w:t>Rec.</w:t>
            </w:r>
            <w:r>
              <w:rPr>
                <w:lang w:val="en-GB" w:eastAsia="zh-CN"/>
              </w:rPr>
              <w:t> UIT</w:t>
            </w:r>
            <w:r>
              <w:rPr>
                <w:lang w:val="en-GB" w:eastAsia="zh-CN"/>
              </w:rPr>
              <w:noBreakHyphen/>
            </w:r>
            <w:r w:rsidRPr="0000112B">
              <w:rPr>
                <w:lang w:val="en-GB" w:eastAsia="zh-CN"/>
              </w:rPr>
              <w:t>R</w:t>
            </w:r>
            <w:r>
              <w:rPr>
                <w:lang w:val="en-GB" w:eastAsia="zh-CN"/>
              </w:rPr>
              <w:t> </w:t>
            </w:r>
            <w:r w:rsidRPr="0000112B">
              <w:rPr>
                <w:lang w:val="en-GB" w:eastAsia="zh-CN"/>
              </w:rPr>
              <w:t>BT.709</w:t>
            </w:r>
          </w:p>
        </w:tc>
        <w:tc>
          <w:tcPr>
            <w:tcW w:w="1275" w:type="dxa"/>
            <w:tcBorders>
              <w:top w:val="single" w:sz="4" w:space="0" w:color="auto"/>
              <w:left w:val="single" w:sz="4" w:space="0" w:color="auto"/>
              <w:bottom w:val="single" w:sz="4" w:space="0" w:color="auto"/>
              <w:right w:val="single" w:sz="4" w:space="0" w:color="auto"/>
            </w:tcBorders>
            <w:hideMark/>
          </w:tcPr>
          <w:p w:rsidR="00A53D53" w:rsidRPr="0000112B" w:rsidRDefault="00A53D53" w:rsidP="00385724">
            <w:pPr>
              <w:pStyle w:val="Tabletext"/>
              <w:jc w:val="center"/>
              <w:rPr>
                <w:lang w:val="en-GB" w:eastAsia="zh-CN"/>
              </w:rPr>
            </w:pPr>
            <w:r w:rsidRPr="0000112B">
              <w:rPr>
                <w:lang w:val="en-GB" w:eastAsia="zh-CN"/>
              </w:rPr>
              <w:t>16:9</w:t>
            </w:r>
          </w:p>
        </w:tc>
        <w:tc>
          <w:tcPr>
            <w:tcW w:w="1461" w:type="dxa"/>
            <w:tcBorders>
              <w:top w:val="single" w:sz="4" w:space="0" w:color="auto"/>
              <w:left w:val="single" w:sz="4" w:space="0" w:color="auto"/>
              <w:bottom w:val="single" w:sz="4" w:space="0" w:color="auto"/>
              <w:right w:val="single" w:sz="4" w:space="0" w:color="auto"/>
            </w:tcBorders>
            <w:hideMark/>
          </w:tcPr>
          <w:p w:rsidR="00A53D53" w:rsidRPr="0000112B" w:rsidRDefault="00A53D53" w:rsidP="00385724">
            <w:pPr>
              <w:pStyle w:val="Tabletext"/>
              <w:jc w:val="center"/>
              <w:rPr>
                <w:lang w:val="en-GB" w:eastAsia="zh-CN"/>
              </w:rPr>
            </w:pPr>
            <w:r w:rsidRPr="0000112B">
              <w:rPr>
                <w:lang w:val="en-GB" w:eastAsia="zh-CN"/>
              </w:rPr>
              <w:t>1</w:t>
            </w:r>
          </w:p>
        </w:tc>
        <w:tc>
          <w:tcPr>
            <w:tcW w:w="1638" w:type="dxa"/>
            <w:tcBorders>
              <w:top w:val="single" w:sz="4" w:space="0" w:color="auto"/>
              <w:left w:val="single" w:sz="4" w:space="0" w:color="auto"/>
              <w:bottom w:val="single" w:sz="4" w:space="0" w:color="auto"/>
              <w:right w:val="single" w:sz="4" w:space="0" w:color="auto"/>
            </w:tcBorders>
            <w:hideMark/>
          </w:tcPr>
          <w:p w:rsidR="00A53D53" w:rsidRPr="0000112B" w:rsidRDefault="00A53D53" w:rsidP="00385724">
            <w:pPr>
              <w:pStyle w:val="Tabletext"/>
              <w:jc w:val="center"/>
              <w:rPr>
                <w:lang w:val="en-GB" w:eastAsia="zh-CN"/>
              </w:rPr>
            </w:pPr>
            <w:r w:rsidRPr="0000112B">
              <w:rPr>
                <w:lang w:val="en-GB" w:eastAsia="ja-JP"/>
              </w:rPr>
              <w:t>31</w:t>
            </w:r>
            <w:r w:rsidRPr="0000112B">
              <w:rPr>
                <w:lang w:val="en-GB" w:eastAsia="zh-CN"/>
              </w:rPr>
              <w:t>°</w:t>
            </w:r>
          </w:p>
        </w:tc>
        <w:tc>
          <w:tcPr>
            <w:tcW w:w="1437" w:type="dxa"/>
            <w:tcBorders>
              <w:top w:val="single" w:sz="4" w:space="0" w:color="auto"/>
              <w:left w:val="single" w:sz="4" w:space="0" w:color="auto"/>
              <w:bottom w:val="single" w:sz="4" w:space="0" w:color="auto"/>
              <w:right w:val="single" w:sz="4" w:space="0" w:color="auto"/>
            </w:tcBorders>
            <w:hideMark/>
          </w:tcPr>
          <w:p w:rsidR="00A53D53" w:rsidRPr="0000112B" w:rsidRDefault="00A53D53" w:rsidP="00385724">
            <w:pPr>
              <w:pStyle w:val="Tabletext"/>
              <w:jc w:val="center"/>
              <w:rPr>
                <w:lang w:val="en-GB" w:eastAsia="zh-CN"/>
              </w:rPr>
            </w:pPr>
            <w:r w:rsidRPr="0000112B">
              <w:rPr>
                <w:lang w:val="en-GB" w:eastAsia="ja-JP"/>
              </w:rPr>
              <w:t>3.2</w:t>
            </w:r>
            <w:r w:rsidRPr="0000112B">
              <w:rPr>
                <w:lang w:val="en-GB" w:eastAsia="zh-CN"/>
              </w:rPr>
              <w:t xml:space="preserve"> </w:t>
            </w:r>
            <w:r w:rsidRPr="0000112B">
              <w:rPr>
                <w:i/>
                <w:iCs/>
                <w:lang w:val="en-GB" w:eastAsia="zh-CN"/>
              </w:rPr>
              <w:t>H</w:t>
            </w:r>
          </w:p>
        </w:tc>
      </w:tr>
    </w:tbl>
    <w:p w:rsidR="00A53D53" w:rsidRPr="0043590A" w:rsidRDefault="00A53D53" w:rsidP="00A53D53">
      <w:pPr>
        <w:pStyle w:val="Heading2"/>
        <w:rPr>
          <w:lang w:val="es-ES_tradnl"/>
        </w:rPr>
      </w:pPr>
      <w:r w:rsidRPr="0043590A">
        <w:rPr>
          <w:lang w:val="es-ES_tradnl"/>
        </w:rPr>
        <w:t>1.</w:t>
      </w:r>
      <w:r>
        <w:rPr>
          <w:lang w:val="es-ES_tradnl"/>
        </w:rPr>
        <w:t>3</w:t>
      </w:r>
      <w:r w:rsidRPr="0043590A">
        <w:rPr>
          <w:lang w:val="es-ES_tradnl"/>
        </w:rPr>
        <w:tab/>
        <w:t>Ángulo de observación</w:t>
      </w:r>
    </w:p>
    <w:p w:rsidR="00A53D53" w:rsidRPr="0043590A" w:rsidRDefault="00A53D53" w:rsidP="00A53D53">
      <w:pPr>
        <w:rPr>
          <w:lang w:val="es-ES_tradnl"/>
        </w:rPr>
      </w:pPr>
      <w:r w:rsidRPr="0043590A">
        <w:rPr>
          <w:lang w:val="es-ES_tradnl"/>
        </w:rPr>
        <w:t>El máximo ángulo de observación con respecto al ángulo de observación normal debe limitarse de forma que las desviaciones en el color reproducido en la pantalla no sean visibles al observador. Para determinar el ángulo de observación, también debe considerarse el ángulo de observación horizontal óptimo de un sistema de imágenes sometido a prueba.</w:t>
      </w:r>
    </w:p>
    <w:p w:rsidR="00A53D53" w:rsidRDefault="00A53D53" w:rsidP="00A53D53">
      <w:pPr>
        <w:rPr>
          <w:lang w:val="es-ES_tradnl"/>
        </w:rPr>
      </w:pPr>
      <w:r>
        <w:rPr>
          <w:lang w:val="es-ES_tradnl"/>
        </w:rPr>
        <w:t xml:space="preserve">Como orientación, un valor numérico aceptable, </w:t>
      </w:r>
      <w:r w:rsidRPr="0000112B">
        <w:rPr>
          <w:lang w:val="en-GB" w:eastAsia="ja-JP"/>
        </w:rPr>
        <w:t>Δ</w:t>
      </w:r>
      <w:r w:rsidRPr="008D6377">
        <w:rPr>
          <w:lang w:val="es-ES_tradnl" w:eastAsia="ja-JP"/>
        </w:rPr>
        <w:t>u</w:t>
      </w:r>
      <w:r>
        <w:rPr>
          <w:lang w:val="es-ES_tradnl" w:eastAsia="ja-JP"/>
        </w:rPr>
        <w:t>'</w:t>
      </w:r>
      <w:r w:rsidRPr="008D6377">
        <w:rPr>
          <w:lang w:val="es-ES_tradnl" w:eastAsia="ja-JP"/>
        </w:rPr>
        <w:t xml:space="preserve">, </w:t>
      </w:r>
      <w:r w:rsidRPr="0000112B">
        <w:rPr>
          <w:lang w:val="en-GB" w:eastAsia="ja-JP"/>
        </w:rPr>
        <w:t>Δ</w:t>
      </w:r>
      <w:r w:rsidRPr="008D6377">
        <w:rPr>
          <w:lang w:val="es-ES_tradnl" w:eastAsia="ja-JP"/>
        </w:rPr>
        <w:t>v</w:t>
      </w:r>
      <w:r>
        <w:rPr>
          <w:lang w:val="es-ES_tradnl" w:eastAsia="ja-JP"/>
        </w:rPr>
        <w:t>'</w:t>
      </w:r>
      <w:r w:rsidRPr="008D6377">
        <w:rPr>
          <w:lang w:val="es-ES_tradnl" w:eastAsia="ja-JP"/>
        </w:rPr>
        <w:t xml:space="preserve"> (</w:t>
      </w:r>
      <w:r>
        <w:rPr>
          <w:lang w:val="es-ES_tradnl"/>
        </w:rPr>
        <w:t xml:space="preserve">diferencias de cromaticidad </w:t>
      </w:r>
      <w:r w:rsidRPr="008D6377">
        <w:rPr>
          <w:lang w:val="es-ES_tradnl" w:eastAsia="ja-JP"/>
        </w:rPr>
        <w:t>CIE 1976</w:t>
      </w:r>
      <w:r>
        <w:rPr>
          <w:lang w:val="es-ES_tradnl"/>
        </w:rPr>
        <w:t>) debe ser inferior a 0,01 para cualquiera de los colores situados dentro de la gama de la Recomendación UIT-R BT.709.</w:t>
      </w:r>
    </w:p>
    <w:p w:rsidR="00A53D53" w:rsidRDefault="00A53D53" w:rsidP="00A53D53">
      <w:pPr>
        <w:rPr>
          <w:lang w:val="es-ES_tradnl"/>
        </w:rPr>
      </w:pPr>
      <w:r>
        <w:rPr>
          <w:lang w:val="es-ES_tradnl"/>
        </w:rPr>
        <w:t xml:space="preserve">Como orientación sobre un valor numérico aceptable puede decirse que el valor de luminancia debe disminuir menos del 10% para ángulos de observación dentro de </w:t>
      </w:r>
      <w:r w:rsidRPr="00611FC5">
        <w:rPr>
          <w:lang w:val="es-ES_tradnl" w:eastAsia="ja-JP"/>
        </w:rPr>
        <w:t>±</w:t>
      </w:r>
      <w:r>
        <w:rPr>
          <w:lang w:val="es-ES_tradnl"/>
        </w:rPr>
        <w:t>30</w:t>
      </w:r>
      <w:r w:rsidR="00B24A40">
        <w:rPr>
          <w:lang w:val="es-ES_tradnl"/>
        </w:rPr>
        <w:t>°</w:t>
      </w:r>
      <w:r>
        <w:rPr>
          <w:lang w:val="es-ES_tradnl"/>
        </w:rPr>
        <w:t xml:space="preserve"> horizontal, vertical y diagonalmente y menos del 20% para ángulo</w:t>
      </w:r>
      <w:r w:rsidR="00587F0C">
        <w:rPr>
          <w:lang w:val="es-ES_tradnl"/>
        </w:rPr>
        <w:t>s</w:t>
      </w:r>
      <w:r>
        <w:rPr>
          <w:lang w:val="es-ES_tradnl"/>
        </w:rPr>
        <w:t xml:space="preserve"> de observación dentro de </w:t>
      </w:r>
      <w:r w:rsidRPr="00611FC5">
        <w:rPr>
          <w:lang w:val="es-ES_tradnl" w:eastAsia="ja-JP"/>
        </w:rPr>
        <w:t>±</w:t>
      </w:r>
      <w:r>
        <w:rPr>
          <w:lang w:val="es-ES_tradnl"/>
        </w:rPr>
        <w:t>30</w:t>
      </w:r>
      <w:r w:rsidR="00B24A40">
        <w:rPr>
          <w:lang w:val="es-ES_tradnl"/>
        </w:rPr>
        <w:t>°</w:t>
      </w:r>
      <w:r>
        <w:rPr>
          <w:lang w:val="es-ES_tradnl"/>
        </w:rPr>
        <w:t xml:space="preserve"> y </w:t>
      </w:r>
      <w:r w:rsidRPr="00611FC5">
        <w:rPr>
          <w:lang w:val="es-ES_tradnl" w:eastAsia="ja-JP"/>
        </w:rPr>
        <w:t>±</w:t>
      </w:r>
      <w:r>
        <w:rPr>
          <w:lang w:val="es-ES_tradnl"/>
        </w:rPr>
        <w:t>45</w:t>
      </w:r>
      <w:r w:rsidR="00B24A40">
        <w:rPr>
          <w:lang w:val="es-ES_tradnl"/>
        </w:rPr>
        <w:t>°</w:t>
      </w:r>
      <w:r>
        <w:rPr>
          <w:lang w:val="es-ES_tradnl"/>
        </w:rPr>
        <w:t xml:space="preserve"> horizontal, vertical y diagonalmente.</w:t>
      </w:r>
    </w:p>
    <w:p w:rsidR="00A53D53" w:rsidRDefault="00A53D53" w:rsidP="00A53D53">
      <w:pPr>
        <w:pStyle w:val="Heading2"/>
        <w:rPr>
          <w:lang w:val="es-ES_tradnl"/>
        </w:rPr>
      </w:pPr>
      <w:r>
        <w:rPr>
          <w:lang w:val="es-ES_tradnl"/>
        </w:rPr>
        <w:t>1.4</w:t>
      </w:r>
      <w:r>
        <w:rPr>
          <w:lang w:val="es-ES_tradnl"/>
        </w:rPr>
        <w:tab/>
      </w:r>
      <w:r w:rsidR="00845B66">
        <w:rPr>
          <w:lang w:val="es-ES_tradnl"/>
        </w:rPr>
        <w:t xml:space="preserve">Esquema </w:t>
      </w:r>
      <w:r>
        <w:rPr>
          <w:lang w:val="es-ES_tradnl"/>
        </w:rPr>
        <w:t>del entorno de color de la sala</w:t>
      </w:r>
    </w:p>
    <w:p w:rsidR="00A53D53" w:rsidRDefault="00A53D53" w:rsidP="00A53D53">
      <w:pPr>
        <w:rPr>
          <w:lang w:val="es-ES_tradnl"/>
        </w:rPr>
      </w:pPr>
      <w:r>
        <w:rPr>
          <w:lang w:val="es-ES_tradnl"/>
        </w:rPr>
        <w:t>El color del fondo de pantalla debe ser el mismo que el punto blanco de referencia; para el resto de superficies de la sala debe utilizarse un color oscuro mate. El objetivo es minimizar la luz dispersa en la pantalla de presentación.</w:t>
      </w:r>
    </w:p>
    <w:p w:rsidR="00A53D53" w:rsidRDefault="00A53D53" w:rsidP="00A53D53">
      <w:pPr>
        <w:pStyle w:val="Heading1"/>
        <w:rPr>
          <w:lang w:val="es-ES_tradnl"/>
        </w:rPr>
      </w:pPr>
      <w:r>
        <w:rPr>
          <w:lang w:val="es-ES_tradnl"/>
        </w:rPr>
        <w:t>2</w:t>
      </w:r>
      <w:r>
        <w:rPr>
          <w:lang w:val="es-ES_tradnl"/>
        </w:rPr>
        <w:tab/>
        <w:t>Características de la presentación</w:t>
      </w:r>
    </w:p>
    <w:p w:rsidR="00A53D53" w:rsidRDefault="00A53D53" w:rsidP="00A53D53">
      <w:pPr>
        <w:rPr>
          <w:lang w:val="es-ES_tradnl"/>
        </w:rPr>
      </w:pPr>
      <w:r>
        <w:rPr>
          <w:lang w:val="es-ES_tradnl"/>
        </w:rPr>
        <w:t>Existe un cierto número de tecnologías de presentación disponibles todas ellas con distintas características. En este punto se presenta un conjunto general de criterios que deben utilizarse para minimizar las diferencias en la tecnología de presentación.</w:t>
      </w:r>
    </w:p>
    <w:p w:rsidR="00A53D53" w:rsidRDefault="00A53D53" w:rsidP="00A53D53">
      <w:pPr>
        <w:pStyle w:val="Heading2"/>
        <w:rPr>
          <w:lang w:val="es-ES_tradnl"/>
        </w:rPr>
      </w:pPr>
      <w:r>
        <w:rPr>
          <w:lang w:val="es-ES_tradnl"/>
        </w:rPr>
        <w:t>2.1</w:t>
      </w:r>
      <w:r>
        <w:rPr>
          <w:lang w:val="es-ES_tradnl"/>
        </w:rPr>
        <w:tab/>
        <w:t>Tamaño de imagen</w:t>
      </w:r>
    </w:p>
    <w:p w:rsidR="00A53D53" w:rsidRDefault="00A53D53" w:rsidP="00A53D53">
      <w:pPr>
        <w:rPr>
          <w:lang w:val="es-ES_tradnl"/>
        </w:rPr>
      </w:pPr>
      <w:r>
        <w:rPr>
          <w:lang w:val="es-ES_tradnl"/>
        </w:rPr>
        <w:t>Las imágenes que van a evaluarse debe llenar completamente la pantalla. Se recomienda la utilización de unos tamaños de pantalla entre 25 pulgadas y 60 pulgadas, aunque no se prohíbe el empleo de pantallas de mayores dimensiones.</w:t>
      </w:r>
    </w:p>
    <w:p w:rsidR="00A53D53" w:rsidRDefault="00A53D53" w:rsidP="00A53D53">
      <w:pPr>
        <w:pStyle w:val="Heading2"/>
        <w:rPr>
          <w:lang w:val="es-ES_tradnl"/>
        </w:rPr>
      </w:pPr>
      <w:r>
        <w:rPr>
          <w:lang w:val="es-ES_tradnl"/>
        </w:rPr>
        <w:t>2.2</w:t>
      </w:r>
      <w:r>
        <w:rPr>
          <w:lang w:val="es-ES_tradnl"/>
        </w:rPr>
        <w:tab/>
        <w:t>Procesamiento de la imagen mostrada</w:t>
      </w:r>
    </w:p>
    <w:p w:rsidR="00A53D53" w:rsidRDefault="00A53D53" w:rsidP="00A53D53">
      <w:pPr>
        <w:rPr>
          <w:lang w:val="es-ES_tradnl"/>
        </w:rPr>
      </w:pPr>
      <w:r>
        <w:rPr>
          <w:lang w:val="es-ES_tradnl"/>
        </w:rPr>
        <w:t>Si se lleva a cabo un procesamiento en el monitor, tal como cambio de escala de la imagen, conversión de la velocidad de trama o mejora de la imagen, debe realizarse de forma que no se introduzcan perturbación visibles. Todo informe de prueba debe indicar si se utiliza o no descentrelazador para la presentación de imágenes entrelazadas. Para estas imágenes es preferible no utilizar un descentralazador; la imagen mostrada debe presentarse preferentemente como entrelazada.</w:t>
      </w:r>
    </w:p>
    <w:p w:rsidR="00A53D53" w:rsidRDefault="00F20FA8" w:rsidP="00F20FA8">
      <w:pPr>
        <w:pStyle w:val="Heading2"/>
        <w:rPr>
          <w:lang w:val="es-ES_tradnl"/>
        </w:rPr>
      </w:pPr>
      <w:r>
        <w:rPr>
          <w:lang w:val="es-ES_tradnl"/>
        </w:rPr>
        <w:t>2.3</w:t>
      </w:r>
      <w:r w:rsidR="00A53D53">
        <w:rPr>
          <w:lang w:val="es-ES_tradnl"/>
        </w:rPr>
        <w:tab/>
        <w:t>Matriz de píxeles del monitor</w:t>
      </w:r>
    </w:p>
    <w:p w:rsidR="00A53D53" w:rsidRDefault="00A53D53" w:rsidP="00A53D53">
      <w:pPr>
        <w:rPr>
          <w:lang w:val="es-ES_tradnl"/>
        </w:rPr>
      </w:pPr>
      <w:r>
        <w:rPr>
          <w:lang w:val="es-ES_tradnl"/>
        </w:rPr>
        <w:t xml:space="preserve">La matriz de pixel debe ser como mínimo de 1920 </w:t>
      </w:r>
      <w:r w:rsidRPr="00CC0B38">
        <w:rPr>
          <w:lang w:val="es-ES_tradnl"/>
        </w:rPr>
        <w:t>×</w:t>
      </w:r>
      <w:r>
        <w:rPr>
          <w:lang w:val="es-ES_tradnl"/>
        </w:rPr>
        <w:t xml:space="preserve"> 1080.</w:t>
      </w:r>
    </w:p>
    <w:p w:rsidR="00A53D53" w:rsidRDefault="00A53D53" w:rsidP="00A53D53">
      <w:pPr>
        <w:pStyle w:val="Heading2"/>
        <w:rPr>
          <w:lang w:val="es-ES_tradnl"/>
        </w:rPr>
      </w:pPr>
      <w:r>
        <w:rPr>
          <w:lang w:val="es-ES_tradnl"/>
        </w:rPr>
        <w:lastRenderedPageBreak/>
        <w:t>2.4</w:t>
      </w:r>
      <w:r>
        <w:rPr>
          <w:lang w:val="es-ES_tradnl"/>
        </w:rPr>
        <w:tab/>
        <w:t>Sobreoscilación</w:t>
      </w:r>
    </w:p>
    <w:p w:rsidR="00A53D53" w:rsidRDefault="00A53D53" w:rsidP="00A53D53">
      <w:pPr>
        <w:rPr>
          <w:lang w:val="es-ES_tradnl"/>
        </w:rPr>
      </w:pPr>
      <w:r>
        <w:rPr>
          <w:lang w:val="es-ES_tradnl"/>
        </w:rPr>
        <w:t>Ningún procesamiento en el monitor debe introducir sobreoscilación. La sobreoscilación «en la señal de imagen» debe mostrarse. Los monitores no deben recortar la suboscilaciones y las sobreoscilaciones o los niveles por debajo del negro y por encima del banco que no vulneran los valores protegidos utilizados para la sincronización.</w:t>
      </w:r>
    </w:p>
    <w:p w:rsidR="00A53D53" w:rsidRDefault="00A53D53" w:rsidP="00A53D53">
      <w:pPr>
        <w:pStyle w:val="Heading2"/>
        <w:rPr>
          <w:lang w:val="es-ES_tradnl"/>
        </w:rPr>
      </w:pPr>
      <w:r>
        <w:rPr>
          <w:lang w:val="es-ES_tradnl"/>
        </w:rPr>
        <w:t>2.5</w:t>
      </w:r>
      <w:r>
        <w:rPr>
          <w:lang w:val="es-ES_tradnl"/>
        </w:rPr>
        <w:tab/>
        <w:t>Características temporales</w:t>
      </w:r>
    </w:p>
    <w:p w:rsidR="00A53D53" w:rsidRDefault="00A53D53" w:rsidP="00A53D53">
      <w:pPr>
        <w:rPr>
          <w:lang w:val="es-ES_tradnl"/>
        </w:rPr>
      </w:pPr>
      <w:r>
        <w:rPr>
          <w:lang w:val="es-ES_tradnl"/>
        </w:rPr>
        <w:t>Debe prestarse la debida atención a las características temporales del monitor por las siguientes razones.</w:t>
      </w:r>
    </w:p>
    <w:p w:rsidR="00A53D53" w:rsidRDefault="00A53D53" w:rsidP="00A53D53">
      <w:pPr>
        <w:rPr>
          <w:lang w:val="es-ES_tradnl"/>
        </w:rPr>
      </w:pPr>
      <w:r>
        <w:rPr>
          <w:lang w:val="es-ES_tradnl"/>
        </w:rPr>
        <w:t>Las características temporales de los monitores varían de acuerdo con las tecnologías de presentación y los parámetros de procesamiento de la presentación. En el pasado, la tecnología del TRC era virtualmente la única utilizada en el dispositivo de presentación de las imágenes de TV; sus características eran predecibles y garantizaban la coherencia de las características temporales de los monitores tanto en los estudios como en los hogares.</w:t>
      </w:r>
    </w:p>
    <w:p w:rsidR="00A53D53" w:rsidRDefault="00A53D53" w:rsidP="00A53D53">
      <w:pPr>
        <w:pStyle w:val="Heading1"/>
        <w:rPr>
          <w:lang w:val="es-ES_tradnl"/>
        </w:rPr>
      </w:pPr>
      <w:r>
        <w:rPr>
          <w:lang w:val="es-ES_tradnl"/>
        </w:rPr>
        <w:t>3</w:t>
      </w:r>
      <w:r>
        <w:rPr>
          <w:lang w:val="es-ES_tradnl"/>
        </w:rPr>
        <w:tab/>
        <w:t>Ajuste del monitor</w:t>
      </w:r>
    </w:p>
    <w:p w:rsidR="00A53D53" w:rsidRDefault="00A53D53" w:rsidP="00A53D53">
      <w:pPr>
        <w:rPr>
          <w:lang w:val="es-ES_tradnl"/>
        </w:rPr>
      </w:pPr>
      <w:r>
        <w:rPr>
          <w:lang w:val="es-ES_tradnl"/>
        </w:rPr>
        <w:t>El tema de los ajustes del dispositivo de presentación y la fijación de los valores continúa siendo abordado en muchos foros de esta industria. En la mayoría de los casos los distintos fabricantes ofrecen información sobre productos individuales que pueden ser necesarios para lograr el resultado deseado.</w:t>
      </w:r>
    </w:p>
    <w:p w:rsidR="00A53D53" w:rsidRDefault="00A53D53" w:rsidP="00A53D53">
      <w:pPr>
        <w:pStyle w:val="Heading3"/>
        <w:rPr>
          <w:lang w:val="es-ES_tradnl"/>
        </w:rPr>
      </w:pPr>
      <w:r>
        <w:rPr>
          <w:lang w:val="es-ES_tradnl"/>
        </w:rPr>
        <w:t>3.1</w:t>
      </w:r>
      <w:r>
        <w:rPr>
          <w:lang w:val="es-ES_tradnl"/>
        </w:rPr>
        <w:tab/>
        <w:t>Interfaz</w:t>
      </w:r>
    </w:p>
    <w:p w:rsidR="00A53D53" w:rsidRDefault="00A53D53" w:rsidP="00A53D53">
      <w:pPr>
        <w:rPr>
          <w:lang w:val="es-ES_tradnl"/>
        </w:rPr>
      </w:pPr>
      <w:r>
        <w:rPr>
          <w:lang w:val="es-ES_tradnl"/>
        </w:rPr>
        <w:t>La interfaz de la señal de TVAD definida en la Recomendación UIT-R BT.1120 debe utilizarse como fuente de entrada.</w:t>
      </w:r>
    </w:p>
    <w:p w:rsidR="00A53D53" w:rsidRDefault="00A53D53" w:rsidP="00A53D53">
      <w:pPr>
        <w:pStyle w:val="Heading2"/>
        <w:rPr>
          <w:lang w:val="es-ES_tradnl"/>
        </w:rPr>
      </w:pPr>
      <w:r>
        <w:rPr>
          <w:lang w:val="es-ES_tradnl"/>
        </w:rPr>
        <w:t>3.2</w:t>
      </w:r>
      <w:r>
        <w:rPr>
          <w:lang w:val="es-ES_tradnl"/>
        </w:rPr>
        <w:tab/>
        <w:t>Blanco de referencia y negro de referencia</w:t>
      </w:r>
    </w:p>
    <w:p w:rsidR="00A53D53" w:rsidRDefault="00A53D53" w:rsidP="00A53D53">
      <w:pPr>
        <w:rPr>
          <w:lang w:val="es-ES_tradnl"/>
        </w:rPr>
      </w:pPr>
      <w:r>
        <w:rPr>
          <w:lang w:val="es-ES_tradnl"/>
        </w:rPr>
        <w:t>El blanco de referencia (valor 940) corresponde a 100 cd/m</w:t>
      </w:r>
      <w:r w:rsidRPr="00CC0B38">
        <w:rPr>
          <w:vertAlign w:val="superscript"/>
          <w:lang w:val="es-ES_tradnl"/>
        </w:rPr>
        <w:t>2</w:t>
      </w:r>
      <w:r>
        <w:rPr>
          <w:lang w:val="es-ES_tradnl"/>
        </w:rPr>
        <w:t xml:space="preserve"> y el negro de referencia (valor 64) debe ser inferior a 0,01 cd/m</w:t>
      </w:r>
      <w:r w:rsidRPr="00CC0B38">
        <w:rPr>
          <w:vertAlign w:val="superscript"/>
          <w:lang w:val="es-ES_tradnl"/>
        </w:rPr>
        <w:t>2</w:t>
      </w:r>
      <w:r>
        <w:rPr>
          <w:vertAlign w:val="superscript"/>
          <w:lang w:val="es-ES_tradnl"/>
        </w:rPr>
        <w:t xml:space="preserve"> </w:t>
      </w:r>
      <w:r w:rsidRPr="0000112B">
        <w:rPr>
          <w:rStyle w:val="FootnoteReference"/>
          <w:vertAlign w:val="superscript"/>
          <w:lang w:val="en-GB"/>
        </w:rPr>
        <w:footnoteReference w:id="2"/>
      </w:r>
      <w:r>
        <w:rPr>
          <w:lang w:val="es-ES_tradnl"/>
        </w:rPr>
        <w:t>. Para determinar estos niveles puede utilizarse la forma de onda definida en la Recomendación UIT-R BT.815.</w:t>
      </w:r>
    </w:p>
    <w:p w:rsidR="00A53D53" w:rsidRDefault="00A53D53" w:rsidP="00A53D53">
      <w:pPr>
        <w:pStyle w:val="Heading2"/>
        <w:rPr>
          <w:lang w:val="es-ES_tradnl"/>
        </w:rPr>
      </w:pPr>
      <w:r>
        <w:rPr>
          <w:lang w:val="es-ES_tradnl"/>
        </w:rPr>
        <w:t>3.3</w:t>
      </w:r>
      <w:r>
        <w:rPr>
          <w:lang w:val="es-ES_tradnl"/>
        </w:rPr>
        <w:tab/>
        <w:t>Punto blanco</w:t>
      </w:r>
    </w:p>
    <w:p w:rsidR="00A53D53" w:rsidRDefault="00A53D53" w:rsidP="00A53D53">
      <w:pPr>
        <w:pStyle w:val="enumlev1"/>
        <w:rPr>
          <w:lang w:val="es-ES_tradnl"/>
        </w:rPr>
      </w:pPr>
      <w:r>
        <w:rPr>
          <w:lang w:val="es-ES_tradnl"/>
        </w:rPr>
        <w:t>i)</w:t>
      </w:r>
      <w:r>
        <w:rPr>
          <w:lang w:val="es-ES_tradnl"/>
        </w:rPr>
        <w:tab/>
        <w:t xml:space="preserve">Para un punto blanco </w:t>
      </w:r>
      <w:r w:rsidRPr="00CC0B38">
        <w:rPr>
          <w:i/>
          <w:iCs/>
          <w:lang w:val="es-ES_tradnl"/>
        </w:rPr>
        <w:t>D</w:t>
      </w:r>
      <w:r w:rsidRPr="00CC0B38">
        <w:rPr>
          <w:vertAlign w:val="subscript"/>
          <w:lang w:val="es-ES_tradnl"/>
        </w:rPr>
        <w:t>65</w:t>
      </w:r>
      <w:r>
        <w:rPr>
          <w:lang w:val="es-ES_tradnl"/>
        </w:rPr>
        <w:t xml:space="preserve"> las coordenadas deben ser:</w:t>
      </w:r>
    </w:p>
    <w:p w:rsidR="00A53D53" w:rsidRPr="00CC0B38" w:rsidRDefault="00A53D53" w:rsidP="00A53D53">
      <w:pPr>
        <w:pStyle w:val="enumlev1"/>
        <w:rPr>
          <w:lang w:val="es-ES_tradnl"/>
        </w:rPr>
      </w:pPr>
      <w:r w:rsidRPr="00D85FAE">
        <w:rPr>
          <w:lang w:val="es-ES_tradnl"/>
        </w:rPr>
        <w:tab/>
      </w:r>
      <w:r w:rsidRPr="00CC0B38">
        <w:rPr>
          <w:i/>
          <w:iCs/>
          <w:lang w:val="es-ES_tradnl"/>
        </w:rPr>
        <w:t>Y</w:t>
      </w:r>
      <w:r w:rsidRPr="00CC0B38">
        <w:rPr>
          <w:lang w:val="es-ES_tradnl"/>
        </w:rPr>
        <w:t xml:space="preserve"> = 100 cd/m</w:t>
      </w:r>
      <w:r w:rsidRPr="00CC0B38">
        <w:rPr>
          <w:vertAlign w:val="superscript"/>
          <w:lang w:val="es-ES_tradnl"/>
        </w:rPr>
        <w:t>2</w:t>
      </w:r>
      <w:r w:rsidRPr="00CC0B38">
        <w:rPr>
          <w:lang w:val="es-ES_tradnl"/>
        </w:rPr>
        <w:t xml:space="preserve">, </w:t>
      </w:r>
      <w:r w:rsidRPr="00CC0B38">
        <w:rPr>
          <w:i/>
          <w:iCs/>
          <w:lang w:val="es-ES_tradnl"/>
        </w:rPr>
        <w:t>x</w:t>
      </w:r>
      <w:r w:rsidRPr="00CC0B38">
        <w:rPr>
          <w:lang w:val="es-ES_tradnl"/>
        </w:rPr>
        <w:t xml:space="preserve"> = 0,3127, </w:t>
      </w:r>
      <w:r w:rsidRPr="00CC0B38">
        <w:rPr>
          <w:i/>
          <w:iCs/>
          <w:lang w:val="es-ES_tradnl"/>
        </w:rPr>
        <w:t>y</w:t>
      </w:r>
      <w:r w:rsidRPr="00CC0B38">
        <w:rPr>
          <w:lang w:val="es-ES_tradnl"/>
        </w:rPr>
        <w:t xml:space="preserve"> = 0,3290.</w:t>
      </w:r>
    </w:p>
    <w:p w:rsidR="00A53D53" w:rsidRDefault="00845B66" w:rsidP="00845B66">
      <w:pPr>
        <w:pStyle w:val="enumlev1"/>
        <w:rPr>
          <w:lang w:val="es-ES_tradnl"/>
        </w:rPr>
      </w:pPr>
      <w:r>
        <w:rPr>
          <w:lang w:val="es-ES_tradnl"/>
        </w:rPr>
        <w:tab/>
      </w:r>
      <w:r w:rsidR="00A53D53">
        <w:rPr>
          <w:lang w:val="es-ES_tradnl"/>
        </w:rPr>
        <w:t>Si el instrumento de medición hace uso del sistema de colorimetría CIE1931 XYZ y de las funciones de adaptación de color, puede dar un resultado erróneo. La aplicación de la modificación de Judd</w:t>
      </w:r>
      <w:r w:rsidR="00A53D53" w:rsidRPr="0000112B">
        <w:rPr>
          <w:rStyle w:val="FootnoteReference"/>
          <w:lang w:val="en-GB"/>
        </w:rPr>
        <w:footnoteReference w:id="3"/>
      </w:r>
      <w:r w:rsidR="00A53D53">
        <w:rPr>
          <w:lang w:val="es-ES_tradnl"/>
        </w:rPr>
        <w:t xml:space="preserve"> a estas mediciones puede mejorar significativamente la adaptación de los resultados entre las diversas tecnologías. Si se emplean otras escalas de referencia CIE es preciso realizar las conversiones apropiadas.</w:t>
      </w:r>
    </w:p>
    <w:p w:rsidR="00A53D53" w:rsidRDefault="00A53D53" w:rsidP="00A53D53">
      <w:pPr>
        <w:pStyle w:val="enumlev1"/>
        <w:rPr>
          <w:lang w:val="es-ES_tradnl"/>
        </w:rPr>
      </w:pPr>
      <w:r>
        <w:rPr>
          <w:lang w:val="es-ES_tradnl"/>
        </w:rPr>
        <w:t>ii)</w:t>
      </w:r>
      <w:r>
        <w:rPr>
          <w:lang w:val="es-ES_tradnl"/>
        </w:rPr>
        <w:tab/>
        <w:t xml:space="preserve">En algunas regiones se utiliza </w:t>
      </w:r>
      <w:r w:rsidRPr="00AC3EC7">
        <w:rPr>
          <w:i/>
          <w:iCs/>
          <w:lang w:val="es-ES_tradnl"/>
        </w:rPr>
        <w:t>D</w:t>
      </w:r>
      <w:r w:rsidRPr="00AC3EC7">
        <w:rPr>
          <w:vertAlign w:val="subscript"/>
          <w:lang w:val="es-ES_tradnl"/>
        </w:rPr>
        <w:t>93</w:t>
      </w:r>
      <w:r>
        <w:rPr>
          <w:lang w:val="es-ES_tradnl"/>
        </w:rPr>
        <w:t xml:space="preserve"> como el punto blanco de referencia, en ese caso:</w:t>
      </w:r>
    </w:p>
    <w:p w:rsidR="00A53D53" w:rsidRPr="00AC3EC7" w:rsidRDefault="00A53D53" w:rsidP="00A53D53">
      <w:pPr>
        <w:rPr>
          <w:lang w:val="es-ES_tradnl"/>
        </w:rPr>
      </w:pPr>
      <w:r w:rsidRPr="00D85FAE">
        <w:rPr>
          <w:lang w:val="es-ES_tradnl"/>
        </w:rPr>
        <w:tab/>
      </w:r>
      <w:r w:rsidRPr="00AC3EC7">
        <w:rPr>
          <w:i/>
          <w:iCs/>
          <w:lang w:val="es-ES_tradnl"/>
        </w:rPr>
        <w:t>x</w:t>
      </w:r>
      <w:r w:rsidRPr="00AC3EC7">
        <w:rPr>
          <w:lang w:val="es-ES_tradnl"/>
        </w:rPr>
        <w:t xml:space="preserve"> = 0,2831 y </w:t>
      </w:r>
      <w:r w:rsidRPr="00AC3EC7">
        <w:rPr>
          <w:i/>
          <w:iCs/>
          <w:lang w:val="es-ES_tradnl"/>
        </w:rPr>
        <w:t>y</w:t>
      </w:r>
      <w:r w:rsidRPr="00AC3EC7">
        <w:rPr>
          <w:lang w:val="es-ES_tradnl"/>
        </w:rPr>
        <w:t> = 0,2971.</w:t>
      </w:r>
    </w:p>
    <w:p w:rsidR="00A53D53" w:rsidRDefault="00A53D53" w:rsidP="00A53D53">
      <w:pPr>
        <w:pStyle w:val="Heading2"/>
        <w:rPr>
          <w:lang w:val="es-ES_tradnl"/>
        </w:rPr>
      </w:pPr>
      <w:r>
        <w:rPr>
          <w:lang w:val="es-ES_tradnl"/>
        </w:rPr>
        <w:lastRenderedPageBreak/>
        <w:t>3.4</w:t>
      </w:r>
      <w:r>
        <w:rPr>
          <w:lang w:val="es-ES_tradnl"/>
        </w:rPr>
        <w:tab/>
        <w:t>Características gamma</w:t>
      </w:r>
    </w:p>
    <w:p w:rsidR="00A53D53" w:rsidRDefault="00A53D53" w:rsidP="00A53D53">
      <w:pPr>
        <w:rPr>
          <w:lang w:val="es-ES_tradnl"/>
        </w:rPr>
      </w:pPr>
      <w:r>
        <w:rPr>
          <w:lang w:val="es-ES_tradnl"/>
        </w:rPr>
        <w:t>Las características gamma (característica de transferencia electroóptica) del monitor deben ajustarse a los valores de la curva a lo largo de la gama completa contenida en la Recomendación UIT</w:t>
      </w:r>
      <w:r w:rsidR="00091375">
        <w:rPr>
          <w:lang w:val="es-ES_tradnl"/>
        </w:rPr>
        <w:noBreakHyphen/>
      </w:r>
      <w:r>
        <w:rPr>
          <w:lang w:val="es-ES_tradnl"/>
        </w:rPr>
        <w:t>R</w:t>
      </w:r>
      <w:r w:rsidR="00091375">
        <w:rPr>
          <w:lang w:val="es-ES_tradnl"/>
        </w:rPr>
        <w:t> </w:t>
      </w:r>
      <w:r>
        <w:rPr>
          <w:lang w:val="es-ES_tradnl"/>
        </w:rPr>
        <w:t>BT.1886 – Función de transferencia electroóptica de referencia para pantallas planas utilizadas en la producción de TVAD en estudio.</w:t>
      </w:r>
    </w:p>
    <w:p w:rsidR="00A53D53" w:rsidRDefault="00A53D53" w:rsidP="00A53D53">
      <w:pPr>
        <w:pStyle w:val="Heading2"/>
        <w:rPr>
          <w:lang w:val="es-ES_tradnl"/>
        </w:rPr>
      </w:pPr>
      <w:r>
        <w:rPr>
          <w:lang w:val="es-ES_tradnl"/>
        </w:rPr>
        <w:t>3.5</w:t>
      </w:r>
      <w:r>
        <w:rPr>
          <w:lang w:val="es-ES_tradnl"/>
        </w:rPr>
        <w:tab/>
        <w:t>Cartas de ajuste</w:t>
      </w:r>
    </w:p>
    <w:p w:rsidR="00A53D53" w:rsidRDefault="00A53D53" w:rsidP="00A53D53">
      <w:pPr>
        <w:rPr>
          <w:lang w:val="es-ES_tradnl"/>
        </w:rPr>
      </w:pPr>
      <w:r>
        <w:rPr>
          <w:lang w:val="es-ES_tradnl"/>
        </w:rPr>
        <w:t>la carta de ajuste definida por la Recomendación UIT-R BT.1729 – Modelo de carta de ajuste de referencia para los sistemas de televisión digital de formato 16:9 ó 4:3, puede utilizarse para confirmar la linealidad del dispositivo de presentación y confirmar igualmente que no se produce un recorte más allá del nivel del blanco de referencia (y del nivel del negro de referencia). La Recomendación UIT</w:t>
      </w:r>
      <w:r>
        <w:rPr>
          <w:lang w:val="es-ES_tradnl"/>
        </w:rPr>
        <w:noBreakHyphen/>
        <w:t>R BT.1729 define todos los parámetros de señal que pueden utilizarse para ajustar el dispositivo de presentación distintos a los parámetros contenidos en los § 3.1 a § 3.5 que corresponden a la Recomendación UIT</w:t>
      </w:r>
      <w:r>
        <w:rPr>
          <w:lang w:val="es-ES_tradnl"/>
        </w:rPr>
        <w:noBreakHyphen/>
        <w:t>R BT.815.</w:t>
      </w:r>
    </w:p>
    <w:p w:rsidR="00A53D53" w:rsidRDefault="00A53D53" w:rsidP="00A53D53">
      <w:pPr>
        <w:pStyle w:val="Heading3"/>
        <w:rPr>
          <w:lang w:val="es-ES_tradnl"/>
        </w:rPr>
      </w:pPr>
      <w:r>
        <w:rPr>
          <w:lang w:val="es-ES_tradnl"/>
        </w:rPr>
        <w:t>3.5.1</w:t>
      </w:r>
      <w:r>
        <w:rPr>
          <w:lang w:val="es-ES_tradnl"/>
        </w:rPr>
        <w:tab/>
        <w:t>Barra de color 100% valores x, y (Zona 4)</w:t>
      </w:r>
    </w:p>
    <w:p w:rsidR="00A53D53" w:rsidRDefault="00A53D53" w:rsidP="00A53D53">
      <w:pPr>
        <w:pStyle w:val="FigureNo"/>
        <w:rPr>
          <w:lang w:val="es-ES_tradnl"/>
        </w:rPr>
      </w:pPr>
      <w:r>
        <w:rPr>
          <w:lang w:val="es-ES_tradnl"/>
        </w:rPr>
        <w:t>Figura 1</w:t>
      </w:r>
    </w:p>
    <w:p w:rsidR="00A53D53" w:rsidRPr="002943F4" w:rsidRDefault="00A53D53" w:rsidP="00A53D53">
      <w:pPr>
        <w:pStyle w:val="Figuretitle"/>
        <w:rPr>
          <w:lang w:val="es-ES_tradnl"/>
        </w:rPr>
      </w:pPr>
      <w:r>
        <w:rPr>
          <w:lang w:val="es-ES_tradnl"/>
        </w:rPr>
        <w:t>Carta de ajuste multiformato tal como aparece en pantalla</w:t>
      </w:r>
    </w:p>
    <w:p w:rsidR="00A53D53" w:rsidRDefault="007313FA" w:rsidP="00A53D53">
      <w:pPr>
        <w:pStyle w:val="Figure"/>
      </w:pPr>
      <w:r>
        <w:object w:dxaOrig="5351" w:dyaOrig="3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pt;height:326.3pt" o:ole="">
            <v:imagedata r:id="rId14" o:title=""/>
          </v:shape>
          <o:OLEObject Type="Embed" ProgID="CorelDRAW.Graphic.14" ShapeID="_x0000_i1025" DrawAspect="Content" ObjectID="_1470813605" r:id="rId15"/>
        </w:object>
      </w:r>
    </w:p>
    <w:p w:rsidR="00A53D53" w:rsidRPr="002201A9" w:rsidRDefault="00A53D53" w:rsidP="00A53D53">
      <w:pPr>
        <w:rPr>
          <w:lang w:val="es-ES_tradnl"/>
        </w:rPr>
      </w:pPr>
      <w:r>
        <w:rPr>
          <w:lang w:val="es-ES_tradnl"/>
        </w:rPr>
        <w:tab/>
      </w:r>
      <w:r w:rsidRPr="002201A9">
        <w:rPr>
          <w:lang w:val="es-ES_tradnl"/>
        </w:rPr>
        <w:t xml:space="preserve">(Diagrama copiado de </w:t>
      </w:r>
      <w:r>
        <w:rPr>
          <w:lang w:val="es-ES_tradnl"/>
        </w:rPr>
        <w:t xml:space="preserve">la Recomendación </w:t>
      </w:r>
      <w:r w:rsidRPr="002201A9">
        <w:rPr>
          <w:lang w:val="es-ES_tradnl"/>
        </w:rPr>
        <w:t>UIT-R B</w:t>
      </w:r>
      <w:r>
        <w:rPr>
          <w:lang w:val="es-ES_tradnl"/>
        </w:rPr>
        <w:t>T.1729E.)</w:t>
      </w:r>
    </w:p>
    <w:p w:rsidR="00A53D53" w:rsidRDefault="00A53D53" w:rsidP="00A53D53">
      <w:pPr>
        <w:pStyle w:val="FigureNo"/>
        <w:rPr>
          <w:lang w:val="es-ES_tradnl"/>
        </w:rPr>
      </w:pPr>
      <w:r>
        <w:rPr>
          <w:lang w:val="es-ES_tradnl"/>
        </w:rPr>
        <w:lastRenderedPageBreak/>
        <w:t>Figura 2</w:t>
      </w:r>
    </w:p>
    <w:p w:rsidR="00A53D53" w:rsidRDefault="00A53D53" w:rsidP="00A53D53">
      <w:pPr>
        <w:pStyle w:val="Figuretitle"/>
        <w:rPr>
          <w:lang w:val="es-ES_tradnl"/>
        </w:rPr>
      </w:pPr>
      <w:r>
        <w:rPr>
          <w:lang w:val="es-ES_tradnl"/>
        </w:rPr>
        <w:t>Sistemas de 1</w:t>
      </w:r>
    </w:p>
    <w:p w:rsidR="00091375" w:rsidRPr="00091375" w:rsidRDefault="00091375" w:rsidP="00091375">
      <w:pPr>
        <w:pStyle w:val="Blanc"/>
        <w:rPr>
          <w:lang w:eastAsia="ja-JP"/>
        </w:rPr>
      </w:pPr>
    </w:p>
    <w:p w:rsidR="00A53D53" w:rsidRDefault="00091375" w:rsidP="00091375">
      <w:pPr>
        <w:pStyle w:val="Figure"/>
      </w:pPr>
      <w:r>
        <w:object w:dxaOrig="5461" w:dyaOrig="4669">
          <v:shape id="_x0000_i1026" type="#_x0000_t75" style="width:454.6pt;height:389.1pt" o:ole="">
            <v:imagedata r:id="rId16" o:title=""/>
          </v:shape>
          <o:OLEObject Type="Embed" ProgID="CorelDRAW.Graphic.14" ShapeID="_x0000_i1026" DrawAspect="Content" ObjectID="_1470813606" r:id="rId17"/>
        </w:object>
      </w:r>
    </w:p>
    <w:p w:rsidR="00A53D53" w:rsidRPr="00776A27" w:rsidRDefault="00A53D53" w:rsidP="00A53D53">
      <w:pPr>
        <w:rPr>
          <w:szCs w:val="24"/>
          <w:lang w:val="es-ES_tradnl"/>
        </w:rPr>
      </w:pPr>
      <w:r w:rsidRPr="00776A27">
        <w:rPr>
          <w:szCs w:val="24"/>
          <w:lang w:val="es-ES_tradnl"/>
        </w:rPr>
        <w:t>(Diagrama copiado de la Recomenda</w:t>
      </w:r>
      <w:r>
        <w:rPr>
          <w:szCs w:val="24"/>
          <w:lang w:val="es-ES_tradnl"/>
        </w:rPr>
        <w:t>ción UIT</w:t>
      </w:r>
      <w:r w:rsidRPr="00776A27">
        <w:rPr>
          <w:szCs w:val="24"/>
          <w:lang w:val="es-ES_tradnl"/>
        </w:rPr>
        <w:t>-R BT.1729.)</w:t>
      </w:r>
    </w:p>
    <w:p w:rsidR="00A53D53" w:rsidRPr="005C7FD2" w:rsidRDefault="00A53D53" w:rsidP="00A53D53">
      <w:pPr>
        <w:pStyle w:val="TableNo"/>
        <w:rPr>
          <w:lang w:val="es-ES_tradnl"/>
        </w:rPr>
      </w:pPr>
      <w:r w:rsidRPr="005C7FD2">
        <w:rPr>
          <w:lang w:val="es-ES_tradnl"/>
        </w:rPr>
        <w:t>CUADRO 1</w:t>
      </w:r>
    </w:p>
    <w:p w:rsidR="00A53D53" w:rsidRPr="005C7FD2" w:rsidRDefault="00A53D53" w:rsidP="00A53D53">
      <w:pPr>
        <w:pStyle w:val="Tabletitle"/>
        <w:rPr>
          <w:lang w:val="es-ES_tradnl"/>
        </w:rPr>
      </w:pPr>
      <w:r w:rsidRPr="005C7FD2">
        <w:rPr>
          <w:lang w:val="es-ES_tradnl"/>
        </w:rPr>
        <w:t>Valores típicos de la zona 4 de la carta de ajuste</w:t>
      </w:r>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60" w:firstRow="1" w:lastRow="1" w:firstColumn="0" w:lastColumn="0" w:noHBand="0" w:noVBand="1"/>
      </w:tblPr>
      <w:tblGrid>
        <w:gridCol w:w="3118"/>
        <w:gridCol w:w="1701"/>
        <w:gridCol w:w="1701"/>
        <w:gridCol w:w="1701"/>
      </w:tblGrid>
      <w:tr w:rsidR="00A53D53" w:rsidRPr="0000112B" w:rsidTr="00A53D53">
        <w:trPr>
          <w:jc w:val="center"/>
        </w:trPr>
        <w:tc>
          <w:tcPr>
            <w:tcW w:w="3118" w:type="dxa"/>
          </w:tcPr>
          <w:p w:rsidR="00A53D53" w:rsidRPr="007F789F" w:rsidRDefault="00A53D53" w:rsidP="00385724">
            <w:pPr>
              <w:pStyle w:val="Tablehead"/>
              <w:spacing w:before="60" w:after="60"/>
              <w:rPr>
                <w:lang w:val="es-ES_tradnl"/>
              </w:rPr>
            </w:pPr>
            <w:r w:rsidRPr="007F789F">
              <w:rPr>
                <w:lang w:val="es-ES_tradnl"/>
              </w:rPr>
              <w:t xml:space="preserve">Color/valor </w:t>
            </w:r>
            <w:r w:rsidRPr="007F789F">
              <w:rPr>
                <w:i/>
                <w:iCs/>
                <w:lang w:val="es-ES_tradnl"/>
              </w:rPr>
              <w:t>Y</w:t>
            </w:r>
            <w:r w:rsidRPr="007F789F">
              <w:rPr>
                <w:lang w:val="es-ES_tradnl"/>
              </w:rPr>
              <w:t xml:space="preserve"> </w:t>
            </w:r>
          </w:p>
        </w:tc>
        <w:tc>
          <w:tcPr>
            <w:tcW w:w="1701" w:type="dxa"/>
          </w:tcPr>
          <w:p w:rsidR="00A53D53" w:rsidRPr="007F789F" w:rsidRDefault="00A53D53" w:rsidP="00385724">
            <w:pPr>
              <w:pStyle w:val="Tablehead"/>
              <w:spacing w:before="60" w:after="60"/>
              <w:rPr>
                <w:lang w:val="es-ES_tradnl"/>
              </w:rPr>
            </w:pPr>
            <w:r w:rsidRPr="007F789F">
              <w:rPr>
                <w:i/>
                <w:iCs/>
                <w:lang w:val="es-ES_tradnl"/>
              </w:rPr>
              <w:t>L</w:t>
            </w:r>
            <w:r w:rsidRPr="007F789F">
              <w:rPr>
                <w:lang w:val="es-ES_tradnl"/>
              </w:rPr>
              <w:t xml:space="preserve"> (cd/m</w:t>
            </w:r>
            <w:r w:rsidRPr="007F789F">
              <w:rPr>
                <w:rFonts w:cs="Times New Roman Bold"/>
                <w:vertAlign w:val="superscript"/>
                <w:lang w:val="es-ES_tradnl"/>
              </w:rPr>
              <w:t>2</w:t>
            </w:r>
            <w:r w:rsidRPr="007F789F">
              <w:rPr>
                <w:lang w:val="es-ES_tradnl"/>
              </w:rPr>
              <w:t>)</w:t>
            </w:r>
          </w:p>
        </w:tc>
        <w:tc>
          <w:tcPr>
            <w:tcW w:w="1701" w:type="dxa"/>
          </w:tcPr>
          <w:p w:rsidR="00A53D53" w:rsidRPr="007F789F" w:rsidRDefault="00A53D53" w:rsidP="00385724">
            <w:pPr>
              <w:pStyle w:val="Tablehead"/>
              <w:spacing w:before="60" w:after="60"/>
              <w:rPr>
                <w:i/>
                <w:iCs/>
                <w:lang w:val="es-ES_tradnl"/>
              </w:rPr>
            </w:pPr>
            <w:r w:rsidRPr="007F789F">
              <w:rPr>
                <w:i/>
                <w:iCs/>
                <w:lang w:val="es-ES_tradnl"/>
              </w:rPr>
              <w:t>x</w:t>
            </w:r>
          </w:p>
        </w:tc>
        <w:tc>
          <w:tcPr>
            <w:tcW w:w="1701" w:type="dxa"/>
          </w:tcPr>
          <w:p w:rsidR="00A53D53" w:rsidRPr="007F789F" w:rsidRDefault="00A53D53" w:rsidP="00385724">
            <w:pPr>
              <w:pStyle w:val="Tablehead"/>
              <w:spacing w:before="60" w:after="60"/>
              <w:rPr>
                <w:i/>
                <w:iCs/>
                <w:lang w:val="es-ES_tradnl"/>
              </w:rPr>
            </w:pPr>
            <w:r w:rsidRPr="007F789F">
              <w:rPr>
                <w:i/>
                <w:iCs/>
                <w:lang w:val="es-ES_tradnl"/>
              </w:rPr>
              <w:t>y</w:t>
            </w:r>
          </w:p>
        </w:tc>
      </w:tr>
      <w:tr w:rsidR="00A53D53" w:rsidRPr="0000112B" w:rsidTr="00A53D53">
        <w:trPr>
          <w:jc w:val="center"/>
        </w:trPr>
        <w:tc>
          <w:tcPr>
            <w:tcW w:w="3118" w:type="dxa"/>
          </w:tcPr>
          <w:p w:rsidR="00A53D53" w:rsidRPr="007F789F" w:rsidRDefault="00A53D53" w:rsidP="00385724">
            <w:pPr>
              <w:pStyle w:val="Tabletext"/>
              <w:jc w:val="left"/>
              <w:rPr>
                <w:lang w:val="es-ES_tradnl"/>
              </w:rPr>
            </w:pPr>
            <w:r w:rsidRPr="007F789F">
              <w:rPr>
                <w:lang w:val="es-ES_tradnl"/>
              </w:rPr>
              <w:t>Negro de referencia (64</w:t>
            </w:r>
            <w:r w:rsidRPr="007F789F">
              <w:rPr>
                <w:vertAlign w:val="subscript"/>
                <w:lang w:val="es-ES_tradnl"/>
              </w:rPr>
              <w:t>10</w:t>
            </w:r>
            <w:r w:rsidRPr="007F789F">
              <w:rPr>
                <w:lang w:val="es-ES_tradnl"/>
              </w:rPr>
              <w:t>)</w:t>
            </w:r>
          </w:p>
        </w:tc>
        <w:tc>
          <w:tcPr>
            <w:tcW w:w="1701" w:type="dxa"/>
          </w:tcPr>
          <w:p w:rsidR="00A53D53" w:rsidRPr="007F789F" w:rsidRDefault="00A53D53" w:rsidP="00385724">
            <w:pPr>
              <w:pStyle w:val="Tabletext"/>
              <w:jc w:val="center"/>
              <w:rPr>
                <w:lang w:val="es-ES_tradnl"/>
              </w:rPr>
            </w:pPr>
            <w:r w:rsidRPr="007F789F">
              <w:rPr>
                <w:lang w:val="es-ES_tradnl"/>
              </w:rPr>
              <w:t>0,0001</w:t>
            </w:r>
          </w:p>
        </w:tc>
        <w:tc>
          <w:tcPr>
            <w:tcW w:w="1701" w:type="dxa"/>
          </w:tcPr>
          <w:p w:rsidR="00A53D53" w:rsidRPr="007F789F" w:rsidRDefault="00A53D53" w:rsidP="00385724">
            <w:pPr>
              <w:pStyle w:val="Tabletext"/>
              <w:jc w:val="center"/>
              <w:rPr>
                <w:lang w:val="es-ES_tradnl"/>
              </w:rPr>
            </w:pPr>
            <w:r w:rsidRPr="007F789F">
              <w:rPr>
                <w:lang w:val="es-ES_tradnl"/>
              </w:rPr>
              <w:t>0,3889</w:t>
            </w:r>
          </w:p>
        </w:tc>
        <w:tc>
          <w:tcPr>
            <w:tcW w:w="1701" w:type="dxa"/>
          </w:tcPr>
          <w:p w:rsidR="00A53D53" w:rsidRPr="007F789F" w:rsidRDefault="00A53D53" w:rsidP="00385724">
            <w:pPr>
              <w:pStyle w:val="Tabletext"/>
              <w:jc w:val="center"/>
              <w:rPr>
                <w:lang w:val="es-ES_tradnl"/>
              </w:rPr>
            </w:pPr>
            <w:r w:rsidRPr="007F789F">
              <w:rPr>
                <w:lang w:val="es-ES_tradnl"/>
              </w:rPr>
              <w:t>0,3701</w:t>
            </w:r>
          </w:p>
        </w:tc>
      </w:tr>
      <w:tr w:rsidR="00A53D53" w:rsidRPr="0000112B" w:rsidTr="00A53D53">
        <w:trPr>
          <w:jc w:val="center"/>
        </w:trPr>
        <w:tc>
          <w:tcPr>
            <w:tcW w:w="3118" w:type="dxa"/>
          </w:tcPr>
          <w:p w:rsidR="00A53D53" w:rsidRPr="007F789F" w:rsidRDefault="00A53D53" w:rsidP="00385724">
            <w:pPr>
              <w:pStyle w:val="Tabletext"/>
              <w:jc w:val="left"/>
              <w:rPr>
                <w:lang w:val="es-ES_tradnl"/>
              </w:rPr>
            </w:pPr>
            <w:r w:rsidRPr="007F789F">
              <w:rPr>
                <w:lang w:val="es-ES_tradnl"/>
              </w:rPr>
              <w:t>Blanco de referencia (940</w:t>
            </w:r>
            <w:r w:rsidRPr="007F789F">
              <w:rPr>
                <w:vertAlign w:val="subscript"/>
                <w:lang w:val="es-ES_tradnl"/>
              </w:rPr>
              <w:t>10</w:t>
            </w:r>
            <w:r w:rsidRPr="007F789F">
              <w:rPr>
                <w:lang w:val="es-ES_tradnl"/>
              </w:rPr>
              <w:t>)</w:t>
            </w:r>
          </w:p>
        </w:tc>
        <w:tc>
          <w:tcPr>
            <w:tcW w:w="1701" w:type="dxa"/>
          </w:tcPr>
          <w:p w:rsidR="00A53D53" w:rsidRPr="007F789F" w:rsidRDefault="00A53D53" w:rsidP="00385724">
            <w:pPr>
              <w:pStyle w:val="Tabletext"/>
              <w:jc w:val="center"/>
              <w:rPr>
                <w:lang w:val="es-ES_tradnl"/>
              </w:rPr>
            </w:pPr>
            <w:r w:rsidRPr="007F789F">
              <w:rPr>
                <w:lang w:val="es-ES_tradnl"/>
              </w:rPr>
              <w:t>100,001</w:t>
            </w:r>
          </w:p>
        </w:tc>
        <w:tc>
          <w:tcPr>
            <w:tcW w:w="1701" w:type="dxa"/>
          </w:tcPr>
          <w:p w:rsidR="00A53D53" w:rsidRPr="007F789F" w:rsidRDefault="00A53D53" w:rsidP="00385724">
            <w:pPr>
              <w:pStyle w:val="Tabletext"/>
              <w:jc w:val="center"/>
              <w:rPr>
                <w:lang w:val="es-ES_tradnl"/>
              </w:rPr>
            </w:pPr>
            <w:r w:rsidRPr="007F789F">
              <w:rPr>
                <w:lang w:val="es-ES_tradnl"/>
              </w:rPr>
              <w:t>0,3127</w:t>
            </w:r>
          </w:p>
        </w:tc>
        <w:tc>
          <w:tcPr>
            <w:tcW w:w="1701" w:type="dxa"/>
          </w:tcPr>
          <w:p w:rsidR="00A53D53" w:rsidRPr="007F789F" w:rsidRDefault="00A53D53" w:rsidP="00385724">
            <w:pPr>
              <w:pStyle w:val="Tabletext"/>
              <w:jc w:val="center"/>
              <w:rPr>
                <w:lang w:val="es-ES_tradnl"/>
              </w:rPr>
            </w:pPr>
            <w:r w:rsidRPr="007F789F">
              <w:rPr>
                <w:lang w:val="es-ES_tradnl"/>
              </w:rPr>
              <w:t>0,3290</w:t>
            </w:r>
          </w:p>
        </w:tc>
      </w:tr>
      <w:tr w:rsidR="00A53D53" w:rsidRPr="0000112B" w:rsidTr="00A53D53">
        <w:trPr>
          <w:jc w:val="center"/>
        </w:trPr>
        <w:tc>
          <w:tcPr>
            <w:tcW w:w="3118" w:type="dxa"/>
          </w:tcPr>
          <w:p w:rsidR="00A53D53" w:rsidRPr="007F789F" w:rsidRDefault="00A53D53" w:rsidP="00385724">
            <w:pPr>
              <w:pStyle w:val="Tabletext"/>
              <w:jc w:val="left"/>
              <w:rPr>
                <w:lang w:val="es-ES_tradnl"/>
              </w:rPr>
            </w:pPr>
            <w:r w:rsidRPr="007F789F">
              <w:rPr>
                <w:lang w:val="es-ES_tradnl"/>
              </w:rPr>
              <w:t>Amarillo (877</w:t>
            </w:r>
            <w:r w:rsidRPr="007F789F">
              <w:rPr>
                <w:vertAlign w:val="subscript"/>
                <w:lang w:val="es-ES_tradnl"/>
              </w:rPr>
              <w:t>10</w:t>
            </w:r>
            <w:r w:rsidRPr="007F789F">
              <w:rPr>
                <w:lang w:val="es-ES_tradnl"/>
              </w:rPr>
              <w:t>)</w:t>
            </w:r>
          </w:p>
        </w:tc>
        <w:tc>
          <w:tcPr>
            <w:tcW w:w="1701" w:type="dxa"/>
          </w:tcPr>
          <w:p w:rsidR="00A53D53" w:rsidRPr="007F789F" w:rsidRDefault="00A53D53" w:rsidP="00385724">
            <w:pPr>
              <w:pStyle w:val="Tabletext"/>
              <w:jc w:val="center"/>
              <w:rPr>
                <w:lang w:val="es-ES_tradnl"/>
              </w:rPr>
            </w:pPr>
            <w:r w:rsidRPr="007F789F">
              <w:rPr>
                <w:lang w:val="es-ES_tradnl"/>
              </w:rPr>
              <w:t>91,9090</w:t>
            </w:r>
          </w:p>
        </w:tc>
        <w:tc>
          <w:tcPr>
            <w:tcW w:w="1701" w:type="dxa"/>
          </w:tcPr>
          <w:p w:rsidR="00A53D53" w:rsidRPr="007F789F" w:rsidRDefault="00A53D53" w:rsidP="00385724">
            <w:pPr>
              <w:pStyle w:val="Tabletext"/>
              <w:jc w:val="center"/>
              <w:rPr>
                <w:lang w:val="es-ES_tradnl"/>
              </w:rPr>
            </w:pPr>
            <w:r w:rsidRPr="007F789F">
              <w:rPr>
                <w:lang w:val="es-ES_tradnl"/>
              </w:rPr>
              <w:t>0,4165</w:t>
            </w:r>
          </w:p>
        </w:tc>
        <w:tc>
          <w:tcPr>
            <w:tcW w:w="1701" w:type="dxa"/>
          </w:tcPr>
          <w:p w:rsidR="00A53D53" w:rsidRPr="007F789F" w:rsidRDefault="00A53D53" w:rsidP="00385724">
            <w:pPr>
              <w:pStyle w:val="Tabletext"/>
              <w:jc w:val="center"/>
              <w:rPr>
                <w:lang w:val="es-ES_tradnl"/>
              </w:rPr>
            </w:pPr>
            <w:r w:rsidRPr="007F789F">
              <w:rPr>
                <w:lang w:val="es-ES_tradnl"/>
              </w:rPr>
              <w:t>0,5027</w:t>
            </w:r>
          </w:p>
        </w:tc>
      </w:tr>
      <w:tr w:rsidR="00A53D53" w:rsidRPr="0000112B" w:rsidTr="00A53D53">
        <w:trPr>
          <w:jc w:val="center"/>
        </w:trPr>
        <w:tc>
          <w:tcPr>
            <w:tcW w:w="3118" w:type="dxa"/>
          </w:tcPr>
          <w:p w:rsidR="00A53D53" w:rsidRPr="007F789F" w:rsidRDefault="00A53D53" w:rsidP="00385724">
            <w:pPr>
              <w:pStyle w:val="Tabletext"/>
              <w:jc w:val="left"/>
              <w:rPr>
                <w:lang w:val="es-ES_tradnl"/>
              </w:rPr>
            </w:pPr>
            <w:r w:rsidRPr="007F789F">
              <w:rPr>
                <w:lang w:val="es-ES_tradnl"/>
              </w:rPr>
              <w:t>C</w:t>
            </w:r>
            <w:r>
              <w:rPr>
                <w:lang w:val="es-ES_tradnl"/>
              </w:rPr>
              <w:t>i</w:t>
            </w:r>
            <w:r w:rsidRPr="007F789F">
              <w:rPr>
                <w:lang w:val="es-ES_tradnl"/>
              </w:rPr>
              <w:t>an (754</w:t>
            </w:r>
            <w:r w:rsidRPr="007F789F">
              <w:rPr>
                <w:vertAlign w:val="subscript"/>
                <w:lang w:val="es-ES_tradnl"/>
              </w:rPr>
              <w:t>10</w:t>
            </w:r>
            <w:r w:rsidRPr="007F789F">
              <w:rPr>
                <w:lang w:val="es-ES_tradnl"/>
              </w:rPr>
              <w:t>)</w:t>
            </w:r>
          </w:p>
        </w:tc>
        <w:tc>
          <w:tcPr>
            <w:tcW w:w="1701" w:type="dxa"/>
          </w:tcPr>
          <w:p w:rsidR="00A53D53" w:rsidRPr="007F789F" w:rsidRDefault="00A53D53" w:rsidP="00385724">
            <w:pPr>
              <w:pStyle w:val="Tabletext"/>
              <w:jc w:val="center"/>
              <w:rPr>
                <w:lang w:val="es-ES_tradnl"/>
              </w:rPr>
            </w:pPr>
            <w:r w:rsidRPr="007F789F">
              <w:rPr>
                <w:lang w:val="es-ES_tradnl"/>
              </w:rPr>
              <w:t>76,2150</w:t>
            </w:r>
          </w:p>
        </w:tc>
        <w:tc>
          <w:tcPr>
            <w:tcW w:w="1701" w:type="dxa"/>
          </w:tcPr>
          <w:p w:rsidR="00A53D53" w:rsidRPr="007F789F" w:rsidRDefault="00A53D53" w:rsidP="00385724">
            <w:pPr>
              <w:pStyle w:val="Tabletext"/>
              <w:jc w:val="center"/>
              <w:rPr>
                <w:lang w:val="es-ES_tradnl"/>
              </w:rPr>
            </w:pPr>
            <w:r w:rsidRPr="007F789F">
              <w:rPr>
                <w:lang w:val="es-ES_tradnl"/>
              </w:rPr>
              <w:t>0,2179</w:t>
            </w:r>
          </w:p>
        </w:tc>
        <w:tc>
          <w:tcPr>
            <w:tcW w:w="1701" w:type="dxa"/>
          </w:tcPr>
          <w:p w:rsidR="00A53D53" w:rsidRPr="007F789F" w:rsidRDefault="00A53D53" w:rsidP="00385724">
            <w:pPr>
              <w:pStyle w:val="Tabletext"/>
              <w:jc w:val="center"/>
              <w:rPr>
                <w:lang w:val="es-ES_tradnl"/>
              </w:rPr>
            </w:pPr>
            <w:r w:rsidRPr="007F789F">
              <w:rPr>
                <w:lang w:val="es-ES_tradnl"/>
              </w:rPr>
              <w:t>0,3283</w:t>
            </w:r>
          </w:p>
        </w:tc>
      </w:tr>
      <w:tr w:rsidR="00A53D53" w:rsidRPr="0000112B" w:rsidTr="00A53D53">
        <w:trPr>
          <w:jc w:val="center"/>
        </w:trPr>
        <w:tc>
          <w:tcPr>
            <w:tcW w:w="3118" w:type="dxa"/>
          </w:tcPr>
          <w:p w:rsidR="00A53D53" w:rsidRPr="007F789F" w:rsidRDefault="00A53D53" w:rsidP="00385724">
            <w:pPr>
              <w:pStyle w:val="Tabletext"/>
              <w:jc w:val="left"/>
              <w:rPr>
                <w:lang w:val="es-ES_tradnl"/>
              </w:rPr>
            </w:pPr>
            <w:r w:rsidRPr="007F789F">
              <w:rPr>
                <w:lang w:val="es-ES_tradnl"/>
              </w:rPr>
              <w:t>Verde (691</w:t>
            </w:r>
            <w:r w:rsidRPr="007F789F">
              <w:rPr>
                <w:vertAlign w:val="subscript"/>
                <w:lang w:val="es-ES_tradnl"/>
              </w:rPr>
              <w:t>10</w:t>
            </w:r>
            <w:r w:rsidRPr="007F789F">
              <w:rPr>
                <w:lang w:val="es-ES_tradnl"/>
              </w:rPr>
              <w:t>)</w:t>
            </w:r>
          </w:p>
        </w:tc>
        <w:tc>
          <w:tcPr>
            <w:tcW w:w="1701" w:type="dxa"/>
          </w:tcPr>
          <w:p w:rsidR="00A53D53" w:rsidRPr="007F789F" w:rsidRDefault="00A53D53" w:rsidP="00385724">
            <w:pPr>
              <w:pStyle w:val="Tabletext"/>
              <w:jc w:val="center"/>
              <w:rPr>
                <w:lang w:val="es-ES_tradnl"/>
              </w:rPr>
            </w:pPr>
            <w:r w:rsidRPr="007F789F">
              <w:rPr>
                <w:lang w:val="es-ES_tradnl"/>
              </w:rPr>
              <w:t>69,2110</w:t>
            </w:r>
          </w:p>
        </w:tc>
        <w:tc>
          <w:tcPr>
            <w:tcW w:w="1701" w:type="dxa"/>
          </w:tcPr>
          <w:p w:rsidR="00A53D53" w:rsidRPr="007F789F" w:rsidRDefault="00A53D53" w:rsidP="00385724">
            <w:pPr>
              <w:pStyle w:val="Tabletext"/>
              <w:jc w:val="center"/>
              <w:rPr>
                <w:lang w:val="es-ES_tradnl"/>
              </w:rPr>
            </w:pPr>
            <w:r w:rsidRPr="007F789F">
              <w:rPr>
                <w:lang w:val="es-ES_tradnl"/>
              </w:rPr>
              <w:t>0,2876</w:t>
            </w:r>
          </w:p>
        </w:tc>
        <w:tc>
          <w:tcPr>
            <w:tcW w:w="1701" w:type="dxa"/>
          </w:tcPr>
          <w:p w:rsidR="00A53D53" w:rsidRPr="007F789F" w:rsidRDefault="00A53D53" w:rsidP="00385724">
            <w:pPr>
              <w:pStyle w:val="Tabletext"/>
              <w:jc w:val="center"/>
              <w:rPr>
                <w:lang w:val="es-ES_tradnl"/>
              </w:rPr>
            </w:pPr>
            <w:r w:rsidRPr="007F789F">
              <w:rPr>
                <w:lang w:val="es-ES_tradnl"/>
              </w:rPr>
              <w:t>0,6001</w:t>
            </w:r>
          </w:p>
        </w:tc>
      </w:tr>
      <w:tr w:rsidR="00A53D53" w:rsidRPr="0000112B" w:rsidTr="00A53D53">
        <w:trPr>
          <w:jc w:val="center"/>
        </w:trPr>
        <w:tc>
          <w:tcPr>
            <w:tcW w:w="3118" w:type="dxa"/>
          </w:tcPr>
          <w:p w:rsidR="00A53D53" w:rsidRPr="007F789F" w:rsidRDefault="00A53D53" w:rsidP="00385724">
            <w:pPr>
              <w:pStyle w:val="Tabletext"/>
              <w:jc w:val="left"/>
              <w:rPr>
                <w:lang w:val="es-ES_tradnl"/>
              </w:rPr>
            </w:pPr>
            <w:r w:rsidRPr="007F789F">
              <w:rPr>
                <w:lang w:val="es-ES_tradnl"/>
              </w:rPr>
              <w:t>Magenta (313</w:t>
            </w:r>
            <w:r w:rsidRPr="007F789F">
              <w:rPr>
                <w:vertAlign w:val="subscript"/>
                <w:lang w:val="es-ES_tradnl"/>
              </w:rPr>
              <w:t>10</w:t>
            </w:r>
            <w:r w:rsidRPr="007F789F">
              <w:rPr>
                <w:lang w:val="es-ES_tradnl"/>
              </w:rPr>
              <w:t>)</w:t>
            </w:r>
          </w:p>
        </w:tc>
        <w:tc>
          <w:tcPr>
            <w:tcW w:w="1701" w:type="dxa"/>
          </w:tcPr>
          <w:p w:rsidR="00A53D53" w:rsidRPr="007F789F" w:rsidRDefault="00A53D53" w:rsidP="00385724">
            <w:pPr>
              <w:pStyle w:val="Tabletext"/>
              <w:jc w:val="center"/>
              <w:rPr>
                <w:lang w:val="es-ES_tradnl"/>
              </w:rPr>
            </w:pPr>
            <w:r w:rsidRPr="007F789F">
              <w:rPr>
                <w:lang w:val="es-ES_tradnl"/>
              </w:rPr>
              <w:t>29,3650</w:t>
            </w:r>
          </w:p>
        </w:tc>
        <w:tc>
          <w:tcPr>
            <w:tcW w:w="1701" w:type="dxa"/>
          </w:tcPr>
          <w:p w:rsidR="00A53D53" w:rsidRPr="007F789F" w:rsidRDefault="00A53D53" w:rsidP="00385724">
            <w:pPr>
              <w:pStyle w:val="Tabletext"/>
              <w:jc w:val="center"/>
              <w:rPr>
                <w:lang w:val="es-ES_tradnl"/>
              </w:rPr>
            </w:pPr>
            <w:r w:rsidRPr="007F789F">
              <w:rPr>
                <w:lang w:val="es-ES_tradnl"/>
              </w:rPr>
              <w:t>0,3279</w:t>
            </w:r>
          </w:p>
        </w:tc>
        <w:tc>
          <w:tcPr>
            <w:tcW w:w="1701" w:type="dxa"/>
          </w:tcPr>
          <w:p w:rsidR="00A53D53" w:rsidRPr="007F789F" w:rsidRDefault="00A53D53" w:rsidP="00385724">
            <w:pPr>
              <w:pStyle w:val="Tabletext"/>
              <w:jc w:val="center"/>
              <w:rPr>
                <w:lang w:val="es-ES_tradnl"/>
              </w:rPr>
            </w:pPr>
            <w:r w:rsidRPr="007F789F">
              <w:rPr>
                <w:lang w:val="es-ES_tradnl"/>
              </w:rPr>
              <w:t>0,1585</w:t>
            </w:r>
          </w:p>
        </w:tc>
      </w:tr>
      <w:tr w:rsidR="00A53D53" w:rsidRPr="0000112B" w:rsidTr="00A53D53">
        <w:trPr>
          <w:jc w:val="center"/>
        </w:trPr>
        <w:tc>
          <w:tcPr>
            <w:tcW w:w="3118" w:type="dxa"/>
          </w:tcPr>
          <w:p w:rsidR="00A53D53" w:rsidRPr="007F789F" w:rsidRDefault="00A53D53" w:rsidP="00385724">
            <w:pPr>
              <w:pStyle w:val="Tabletext"/>
              <w:jc w:val="left"/>
              <w:rPr>
                <w:lang w:val="es-ES_tradnl"/>
              </w:rPr>
            </w:pPr>
            <w:r w:rsidRPr="007F789F">
              <w:rPr>
                <w:lang w:val="es-ES_tradnl"/>
              </w:rPr>
              <w:t>Rojo (250</w:t>
            </w:r>
            <w:r w:rsidRPr="007F789F">
              <w:rPr>
                <w:vertAlign w:val="subscript"/>
                <w:lang w:val="es-ES_tradnl"/>
              </w:rPr>
              <w:t>10</w:t>
            </w:r>
            <w:r w:rsidRPr="007F789F">
              <w:rPr>
                <w:lang w:val="es-ES_tradnl"/>
              </w:rPr>
              <w:t>)</w:t>
            </w:r>
          </w:p>
        </w:tc>
        <w:tc>
          <w:tcPr>
            <w:tcW w:w="1701" w:type="dxa"/>
          </w:tcPr>
          <w:p w:rsidR="00A53D53" w:rsidRPr="007F789F" w:rsidRDefault="00A53D53" w:rsidP="00385724">
            <w:pPr>
              <w:pStyle w:val="Tabletext"/>
              <w:jc w:val="center"/>
              <w:rPr>
                <w:lang w:val="es-ES_tradnl"/>
              </w:rPr>
            </w:pPr>
            <w:r w:rsidRPr="007F789F">
              <w:rPr>
                <w:lang w:val="es-ES_tradnl"/>
              </w:rPr>
              <w:t>22,2500</w:t>
            </w:r>
          </w:p>
        </w:tc>
        <w:tc>
          <w:tcPr>
            <w:tcW w:w="1701" w:type="dxa"/>
          </w:tcPr>
          <w:p w:rsidR="00A53D53" w:rsidRPr="007F789F" w:rsidRDefault="00A53D53" w:rsidP="00385724">
            <w:pPr>
              <w:pStyle w:val="Tabletext"/>
              <w:jc w:val="center"/>
              <w:rPr>
                <w:lang w:val="es-ES_tradnl"/>
              </w:rPr>
            </w:pPr>
            <w:r w:rsidRPr="007F789F">
              <w:rPr>
                <w:lang w:val="es-ES_tradnl"/>
              </w:rPr>
              <w:t>0,6373</w:t>
            </w:r>
          </w:p>
        </w:tc>
        <w:tc>
          <w:tcPr>
            <w:tcW w:w="1701" w:type="dxa"/>
          </w:tcPr>
          <w:p w:rsidR="00A53D53" w:rsidRPr="007F789F" w:rsidRDefault="00A53D53" w:rsidP="00385724">
            <w:pPr>
              <w:pStyle w:val="Tabletext"/>
              <w:jc w:val="center"/>
              <w:rPr>
                <w:lang w:val="es-ES_tradnl"/>
              </w:rPr>
            </w:pPr>
            <w:r w:rsidRPr="007F789F">
              <w:rPr>
                <w:lang w:val="es-ES_tradnl"/>
              </w:rPr>
              <w:t>0,3304</w:t>
            </w:r>
          </w:p>
        </w:tc>
      </w:tr>
      <w:tr w:rsidR="00A53D53" w:rsidRPr="0000112B" w:rsidTr="00A53D53">
        <w:trPr>
          <w:jc w:val="center"/>
        </w:trPr>
        <w:tc>
          <w:tcPr>
            <w:tcW w:w="3118" w:type="dxa"/>
          </w:tcPr>
          <w:p w:rsidR="00A53D53" w:rsidRPr="007F789F" w:rsidRDefault="00A53D53" w:rsidP="00385724">
            <w:pPr>
              <w:pStyle w:val="Tabletext"/>
              <w:jc w:val="left"/>
              <w:rPr>
                <w:lang w:val="es-ES_tradnl"/>
              </w:rPr>
            </w:pPr>
            <w:r w:rsidRPr="007F789F">
              <w:rPr>
                <w:lang w:val="es-ES_tradnl"/>
              </w:rPr>
              <w:t>Azul (127</w:t>
            </w:r>
            <w:r w:rsidRPr="007F789F">
              <w:rPr>
                <w:vertAlign w:val="subscript"/>
                <w:lang w:val="es-ES_tradnl"/>
              </w:rPr>
              <w:t>10</w:t>
            </w:r>
            <w:r w:rsidRPr="007F789F">
              <w:rPr>
                <w:lang w:val="es-ES_tradnl"/>
              </w:rPr>
              <w:t>)</w:t>
            </w:r>
          </w:p>
        </w:tc>
        <w:tc>
          <w:tcPr>
            <w:tcW w:w="1701" w:type="dxa"/>
          </w:tcPr>
          <w:p w:rsidR="00A53D53" w:rsidRPr="007F789F" w:rsidRDefault="00A53D53" w:rsidP="00385724">
            <w:pPr>
              <w:pStyle w:val="Tabletext"/>
              <w:jc w:val="center"/>
              <w:rPr>
                <w:lang w:val="es-ES_tradnl"/>
              </w:rPr>
            </w:pPr>
            <w:r w:rsidRPr="007F789F">
              <w:rPr>
                <w:lang w:val="es-ES_tradnl"/>
              </w:rPr>
              <w:t>7,2947</w:t>
            </w:r>
          </w:p>
        </w:tc>
        <w:tc>
          <w:tcPr>
            <w:tcW w:w="1701" w:type="dxa"/>
          </w:tcPr>
          <w:p w:rsidR="00A53D53" w:rsidRPr="007F789F" w:rsidRDefault="00A53D53" w:rsidP="00385724">
            <w:pPr>
              <w:pStyle w:val="Tabletext"/>
              <w:jc w:val="center"/>
              <w:rPr>
                <w:lang w:val="es-ES_tradnl"/>
              </w:rPr>
            </w:pPr>
            <w:r w:rsidRPr="007F789F">
              <w:rPr>
                <w:lang w:val="es-ES_tradnl"/>
              </w:rPr>
              <w:t>0,1501</w:t>
            </w:r>
          </w:p>
        </w:tc>
        <w:tc>
          <w:tcPr>
            <w:tcW w:w="1701" w:type="dxa"/>
          </w:tcPr>
          <w:p w:rsidR="00A53D53" w:rsidRPr="007F789F" w:rsidRDefault="00A53D53" w:rsidP="00385724">
            <w:pPr>
              <w:pStyle w:val="Tabletext"/>
              <w:jc w:val="center"/>
              <w:rPr>
                <w:lang w:val="es-ES_tradnl"/>
              </w:rPr>
            </w:pPr>
            <w:r w:rsidRPr="007F789F">
              <w:rPr>
                <w:lang w:val="es-ES_tradnl"/>
              </w:rPr>
              <w:t>0,0605</w:t>
            </w:r>
          </w:p>
        </w:tc>
      </w:tr>
    </w:tbl>
    <w:p w:rsidR="00A53D53" w:rsidRDefault="00A53D53" w:rsidP="00A53D53">
      <w:pPr>
        <w:pStyle w:val="Tablefin"/>
      </w:pPr>
    </w:p>
    <w:p w:rsidR="00A53D53" w:rsidRPr="00437E2A" w:rsidRDefault="00A53D53" w:rsidP="00A53D53">
      <w:pPr>
        <w:rPr>
          <w:lang w:val="es-ES_tradnl"/>
        </w:rPr>
      </w:pPr>
      <w:r w:rsidRPr="00437E2A">
        <w:rPr>
          <w:lang w:val="es-ES_tradnl"/>
        </w:rPr>
        <w:t>Los valores anteriores no son valores absolutos y se indican como una muestra de los valores medidos.</w:t>
      </w:r>
    </w:p>
    <w:p w:rsidR="00A53D53" w:rsidRPr="00437E2A" w:rsidRDefault="00A53D53" w:rsidP="00A53D53">
      <w:pPr>
        <w:pStyle w:val="TableNo"/>
        <w:keepLines/>
        <w:rPr>
          <w:lang w:val="es-ES_tradnl"/>
        </w:rPr>
      </w:pPr>
      <w:r w:rsidRPr="00437E2A">
        <w:rPr>
          <w:lang w:val="es-ES_tradnl"/>
        </w:rPr>
        <w:lastRenderedPageBreak/>
        <w:t>CUADRO 2</w:t>
      </w:r>
    </w:p>
    <w:p w:rsidR="00A53D53" w:rsidRPr="00437E2A" w:rsidRDefault="00A53D53" w:rsidP="00A53D53">
      <w:pPr>
        <w:pStyle w:val="Tabletitle"/>
        <w:keepLines/>
        <w:rPr>
          <w:lang w:val="es-ES_tradnl"/>
        </w:rPr>
      </w:pPr>
      <w:r w:rsidRPr="00437E2A">
        <w:rPr>
          <w:lang w:val="es-ES_tradnl"/>
        </w:rPr>
        <w:t>Valores calculados de la zon</w:t>
      </w:r>
      <w:r>
        <w:rPr>
          <w:lang w:val="es-ES_tradnl"/>
        </w:rPr>
        <w:t>a</w:t>
      </w:r>
      <w:r w:rsidRPr="00437E2A">
        <w:rPr>
          <w:lang w:val="es-ES_tradnl"/>
        </w:rPr>
        <w:t xml:space="preserve"> 4 </w:t>
      </w:r>
      <w:r>
        <w:rPr>
          <w:lang w:val="es-ES_tradnl"/>
        </w:rPr>
        <w:t>de la carta de ajuste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60" w:firstRow="1" w:lastRow="1" w:firstColumn="0" w:lastColumn="0" w:noHBand="0" w:noVBand="1"/>
      </w:tblPr>
      <w:tblGrid>
        <w:gridCol w:w="2268"/>
        <w:gridCol w:w="1701"/>
        <w:gridCol w:w="1701"/>
      </w:tblGrid>
      <w:tr w:rsidR="00A53D53" w:rsidRPr="0000112B" w:rsidTr="00A53D53">
        <w:trPr>
          <w:jc w:val="center"/>
        </w:trPr>
        <w:tc>
          <w:tcPr>
            <w:tcW w:w="2268" w:type="dxa"/>
          </w:tcPr>
          <w:p w:rsidR="00A53D53" w:rsidRPr="0000112B" w:rsidRDefault="00A53D53" w:rsidP="00385724">
            <w:pPr>
              <w:pStyle w:val="Tablehead"/>
              <w:keepLines/>
              <w:spacing w:before="60" w:after="60"/>
              <w:rPr>
                <w:lang w:val="en-GB"/>
              </w:rPr>
            </w:pPr>
            <w:r w:rsidRPr="0000112B">
              <w:rPr>
                <w:lang w:val="en-GB"/>
              </w:rPr>
              <w:t>Color/val</w:t>
            </w:r>
            <w:r>
              <w:rPr>
                <w:lang w:val="en-GB"/>
              </w:rPr>
              <w:t>or</w:t>
            </w:r>
            <w:r w:rsidRPr="0000112B">
              <w:rPr>
                <w:i/>
                <w:iCs/>
                <w:lang w:val="en-GB"/>
              </w:rPr>
              <w:t xml:space="preserve"> Y</w:t>
            </w:r>
            <w:r w:rsidRPr="0000112B">
              <w:rPr>
                <w:lang w:val="en-GB"/>
              </w:rPr>
              <w:t xml:space="preserve"> </w:t>
            </w:r>
          </w:p>
        </w:tc>
        <w:tc>
          <w:tcPr>
            <w:tcW w:w="1701" w:type="dxa"/>
          </w:tcPr>
          <w:p w:rsidR="00A53D53" w:rsidRPr="0000112B" w:rsidRDefault="00A53D53" w:rsidP="00385724">
            <w:pPr>
              <w:pStyle w:val="Tablehead"/>
              <w:keepLines/>
              <w:spacing w:before="60" w:after="60"/>
              <w:rPr>
                <w:i/>
                <w:iCs/>
                <w:szCs w:val="24"/>
                <w:lang w:val="en-GB"/>
              </w:rPr>
            </w:pPr>
            <w:r w:rsidRPr="0000112B">
              <w:rPr>
                <w:i/>
                <w:iCs/>
                <w:szCs w:val="24"/>
                <w:lang w:val="en-GB"/>
              </w:rPr>
              <w:t>x</w:t>
            </w:r>
          </w:p>
        </w:tc>
        <w:tc>
          <w:tcPr>
            <w:tcW w:w="1701" w:type="dxa"/>
          </w:tcPr>
          <w:p w:rsidR="00A53D53" w:rsidRPr="0000112B" w:rsidRDefault="00A53D53" w:rsidP="00385724">
            <w:pPr>
              <w:pStyle w:val="Tablehead"/>
              <w:keepLines/>
              <w:spacing w:before="60" w:after="60"/>
              <w:rPr>
                <w:i/>
                <w:iCs/>
                <w:szCs w:val="24"/>
                <w:lang w:val="en-GB"/>
              </w:rPr>
            </w:pPr>
            <w:r w:rsidRPr="0000112B">
              <w:rPr>
                <w:i/>
                <w:iCs/>
                <w:szCs w:val="24"/>
                <w:lang w:val="en-GB"/>
              </w:rPr>
              <w:t>y</w:t>
            </w:r>
          </w:p>
        </w:tc>
      </w:tr>
      <w:tr w:rsidR="00A53D53" w:rsidRPr="0000112B" w:rsidTr="00A53D53">
        <w:trPr>
          <w:jc w:val="center"/>
        </w:trPr>
        <w:tc>
          <w:tcPr>
            <w:tcW w:w="2268" w:type="dxa"/>
          </w:tcPr>
          <w:p w:rsidR="00A53D53" w:rsidRPr="0000112B" w:rsidRDefault="00A53D53" w:rsidP="00385724">
            <w:pPr>
              <w:pStyle w:val="Tabletext"/>
              <w:keepNext/>
              <w:keepLines/>
              <w:jc w:val="left"/>
              <w:rPr>
                <w:lang w:val="en-GB"/>
              </w:rPr>
            </w:pPr>
            <w:r>
              <w:rPr>
                <w:lang w:val="en-GB"/>
              </w:rPr>
              <w:t>Negro</w:t>
            </w:r>
            <w:r w:rsidRPr="0000112B">
              <w:rPr>
                <w:lang w:val="en-GB"/>
              </w:rPr>
              <w:t xml:space="preserve"> (64</w:t>
            </w:r>
            <w:r w:rsidRPr="0000112B">
              <w:rPr>
                <w:vertAlign w:val="subscript"/>
                <w:lang w:val="en-GB"/>
              </w:rPr>
              <w:t>10</w:t>
            </w:r>
            <w:r w:rsidRPr="0000112B">
              <w:rPr>
                <w:lang w:val="en-GB"/>
              </w:rPr>
              <w:t>)</w:t>
            </w:r>
          </w:p>
        </w:tc>
        <w:tc>
          <w:tcPr>
            <w:tcW w:w="1701" w:type="dxa"/>
          </w:tcPr>
          <w:p w:rsidR="00A53D53" w:rsidRPr="0000112B" w:rsidRDefault="00A53D53" w:rsidP="00385724">
            <w:pPr>
              <w:pStyle w:val="Tabletext"/>
              <w:keepNext/>
              <w:keepLines/>
              <w:jc w:val="center"/>
              <w:rPr>
                <w:lang w:val="en-GB"/>
              </w:rPr>
            </w:pPr>
            <w:r w:rsidRPr="0000112B">
              <w:rPr>
                <w:lang w:val="en-GB"/>
              </w:rPr>
              <w:t>0</w:t>
            </w:r>
            <w:r>
              <w:rPr>
                <w:lang w:val="en-GB"/>
              </w:rPr>
              <w:t>,</w:t>
            </w:r>
            <w:r w:rsidRPr="0000112B">
              <w:rPr>
                <w:lang w:val="en-GB"/>
              </w:rPr>
              <w:t>3889</w:t>
            </w:r>
          </w:p>
        </w:tc>
        <w:tc>
          <w:tcPr>
            <w:tcW w:w="1701" w:type="dxa"/>
          </w:tcPr>
          <w:p w:rsidR="00A53D53" w:rsidRPr="0000112B" w:rsidRDefault="00A53D53" w:rsidP="00385724">
            <w:pPr>
              <w:pStyle w:val="Tabletext"/>
              <w:keepNext/>
              <w:keepLines/>
              <w:jc w:val="center"/>
              <w:rPr>
                <w:lang w:val="en-GB"/>
              </w:rPr>
            </w:pPr>
            <w:r w:rsidRPr="0000112B">
              <w:rPr>
                <w:lang w:val="en-GB"/>
              </w:rPr>
              <w:t>0</w:t>
            </w:r>
            <w:r>
              <w:rPr>
                <w:lang w:val="en-GB"/>
              </w:rPr>
              <w:t>,</w:t>
            </w:r>
            <w:r w:rsidRPr="0000112B">
              <w:rPr>
                <w:lang w:val="en-GB"/>
              </w:rPr>
              <w:t>3701</w:t>
            </w:r>
          </w:p>
        </w:tc>
      </w:tr>
      <w:tr w:rsidR="00A53D53" w:rsidRPr="0000112B" w:rsidTr="00A53D53">
        <w:trPr>
          <w:jc w:val="center"/>
        </w:trPr>
        <w:tc>
          <w:tcPr>
            <w:tcW w:w="2268" w:type="dxa"/>
          </w:tcPr>
          <w:p w:rsidR="00A53D53" w:rsidRPr="0000112B" w:rsidRDefault="00A53D53" w:rsidP="00385724">
            <w:pPr>
              <w:pStyle w:val="Tabletext"/>
              <w:keepNext/>
              <w:keepLines/>
              <w:jc w:val="left"/>
              <w:rPr>
                <w:lang w:val="en-GB"/>
              </w:rPr>
            </w:pPr>
            <w:r>
              <w:rPr>
                <w:lang w:val="en-GB"/>
              </w:rPr>
              <w:t>Blanco</w:t>
            </w:r>
            <w:r w:rsidRPr="0000112B">
              <w:rPr>
                <w:lang w:val="en-GB"/>
              </w:rPr>
              <w:t xml:space="preserve"> (940</w:t>
            </w:r>
            <w:r w:rsidRPr="0000112B">
              <w:rPr>
                <w:vertAlign w:val="subscript"/>
                <w:lang w:val="en-GB"/>
              </w:rPr>
              <w:t>10</w:t>
            </w:r>
            <w:r w:rsidRPr="0000112B">
              <w:rPr>
                <w:lang w:val="en-GB"/>
              </w:rPr>
              <w:t>)</w:t>
            </w:r>
          </w:p>
        </w:tc>
        <w:tc>
          <w:tcPr>
            <w:tcW w:w="1701" w:type="dxa"/>
          </w:tcPr>
          <w:p w:rsidR="00A53D53" w:rsidRPr="0000112B" w:rsidRDefault="00A53D53" w:rsidP="00385724">
            <w:pPr>
              <w:pStyle w:val="Tabletext"/>
              <w:keepNext/>
              <w:keepLines/>
              <w:jc w:val="center"/>
              <w:rPr>
                <w:lang w:val="en-GB"/>
              </w:rPr>
            </w:pPr>
            <w:r w:rsidRPr="0000112B">
              <w:rPr>
                <w:lang w:val="en-GB"/>
              </w:rPr>
              <w:t>0</w:t>
            </w:r>
            <w:r>
              <w:rPr>
                <w:lang w:val="en-GB"/>
              </w:rPr>
              <w:t>,</w:t>
            </w:r>
            <w:r w:rsidRPr="0000112B">
              <w:rPr>
                <w:lang w:val="en-GB"/>
              </w:rPr>
              <w:t>3127</w:t>
            </w:r>
          </w:p>
        </w:tc>
        <w:tc>
          <w:tcPr>
            <w:tcW w:w="1701" w:type="dxa"/>
          </w:tcPr>
          <w:p w:rsidR="00A53D53" w:rsidRPr="0000112B" w:rsidRDefault="00A53D53" w:rsidP="00385724">
            <w:pPr>
              <w:pStyle w:val="Tabletext"/>
              <w:keepNext/>
              <w:keepLines/>
              <w:jc w:val="center"/>
              <w:rPr>
                <w:lang w:val="en-GB"/>
              </w:rPr>
            </w:pPr>
            <w:r w:rsidRPr="0000112B">
              <w:rPr>
                <w:lang w:val="en-GB"/>
              </w:rPr>
              <w:t>0</w:t>
            </w:r>
            <w:r>
              <w:rPr>
                <w:lang w:val="en-GB"/>
              </w:rPr>
              <w:t>,</w:t>
            </w:r>
            <w:r w:rsidRPr="0000112B">
              <w:rPr>
                <w:lang w:val="en-GB"/>
              </w:rPr>
              <w:t>3290</w:t>
            </w:r>
          </w:p>
        </w:tc>
      </w:tr>
      <w:tr w:rsidR="00A53D53" w:rsidRPr="0000112B" w:rsidTr="00A53D53">
        <w:trPr>
          <w:jc w:val="center"/>
        </w:trPr>
        <w:tc>
          <w:tcPr>
            <w:tcW w:w="2268" w:type="dxa"/>
          </w:tcPr>
          <w:p w:rsidR="00A53D53" w:rsidRPr="0000112B" w:rsidRDefault="00A53D53" w:rsidP="00385724">
            <w:pPr>
              <w:pStyle w:val="Tabletext"/>
              <w:jc w:val="left"/>
              <w:rPr>
                <w:lang w:val="en-GB"/>
              </w:rPr>
            </w:pPr>
            <w:r>
              <w:rPr>
                <w:lang w:val="en-GB"/>
              </w:rPr>
              <w:t xml:space="preserve">Amarillo </w:t>
            </w:r>
            <w:r w:rsidRPr="0000112B">
              <w:rPr>
                <w:lang w:val="en-GB"/>
              </w:rPr>
              <w:t>(877</w:t>
            </w:r>
            <w:r w:rsidRPr="0000112B">
              <w:rPr>
                <w:vertAlign w:val="subscript"/>
                <w:lang w:val="en-GB"/>
              </w:rPr>
              <w:t>10</w:t>
            </w:r>
            <w:r w:rsidRPr="0000112B">
              <w:rPr>
                <w:lang w:val="en-GB"/>
              </w:rPr>
              <w:t>)</w:t>
            </w:r>
          </w:p>
        </w:tc>
        <w:tc>
          <w:tcPr>
            <w:tcW w:w="1701" w:type="dxa"/>
          </w:tcPr>
          <w:p w:rsidR="00A53D53" w:rsidRPr="0000112B" w:rsidRDefault="00A53D53" w:rsidP="00385724">
            <w:pPr>
              <w:pStyle w:val="Tabletext"/>
              <w:jc w:val="center"/>
              <w:rPr>
                <w:lang w:val="en-GB"/>
              </w:rPr>
            </w:pPr>
            <w:r w:rsidRPr="0000112B">
              <w:rPr>
                <w:lang w:val="en-GB"/>
              </w:rPr>
              <w:t>0</w:t>
            </w:r>
            <w:r>
              <w:rPr>
                <w:lang w:val="en-GB"/>
              </w:rPr>
              <w:t>,</w:t>
            </w:r>
            <w:r w:rsidRPr="0000112B">
              <w:rPr>
                <w:lang w:val="en-GB"/>
              </w:rPr>
              <w:t>4193</w:t>
            </w:r>
          </w:p>
        </w:tc>
        <w:tc>
          <w:tcPr>
            <w:tcW w:w="1701" w:type="dxa"/>
          </w:tcPr>
          <w:p w:rsidR="00A53D53" w:rsidRPr="0000112B" w:rsidRDefault="00A53D53" w:rsidP="00385724">
            <w:pPr>
              <w:pStyle w:val="Tabletext"/>
              <w:jc w:val="center"/>
              <w:rPr>
                <w:lang w:val="en-GB"/>
              </w:rPr>
            </w:pPr>
            <w:r w:rsidRPr="0000112B">
              <w:rPr>
                <w:lang w:val="en-GB"/>
              </w:rPr>
              <w:t>0</w:t>
            </w:r>
            <w:r>
              <w:rPr>
                <w:lang w:val="en-GB"/>
              </w:rPr>
              <w:t>,</w:t>
            </w:r>
            <w:r w:rsidRPr="0000112B">
              <w:rPr>
                <w:lang w:val="en-GB"/>
              </w:rPr>
              <w:t>5053</w:t>
            </w:r>
          </w:p>
        </w:tc>
      </w:tr>
      <w:tr w:rsidR="00A53D53" w:rsidRPr="0000112B" w:rsidTr="00A53D53">
        <w:trPr>
          <w:jc w:val="center"/>
        </w:trPr>
        <w:tc>
          <w:tcPr>
            <w:tcW w:w="2268" w:type="dxa"/>
          </w:tcPr>
          <w:p w:rsidR="00A53D53" w:rsidRPr="0000112B" w:rsidRDefault="00A53D53" w:rsidP="00385724">
            <w:pPr>
              <w:pStyle w:val="Tabletext"/>
              <w:jc w:val="left"/>
              <w:rPr>
                <w:lang w:val="en-GB"/>
              </w:rPr>
            </w:pPr>
            <w:r w:rsidRPr="0000112B">
              <w:rPr>
                <w:lang w:val="en-GB"/>
              </w:rPr>
              <w:t>C</w:t>
            </w:r>
            <w:r>
              <w:rPr>
                <w:lang w:val="en-GB"/>
              </w:rPr>
              <w:t>i</w:t>
            </w:r>
            <w:r w:rsidRPr="0000112B">
              <w:rPr>
                <w:lang w:val="en-GB"/>
              </w:rPr>
              <w:t>an (754</w:t>
            </w:r>
            <w:r w:rsidRPr="0000112B">
              <w:rPr>
                <w:vertAlign w:val="subscript"/>
                <w:lang w:val="en-GB"/>
              </w:rPr>
              <w:t>10</w:t>
            </w:r>
            <w:r w:rsidRPr="0000112B">
              <w:rPr>
                <w:lang w:val="en-GB"/>
              </w:rPr>
              <w:t>)</w:t>
            </w:r>
          </w:p>
        </w:tc>
        <w:tc>
          <w:tcPr>
            <w:tcW w:w="1701" w:type="dxa"/>
          </w:tcPr>
          <w:p w:rsidR="00A53D53" w:rsidRPr="0000112B" w:rsidRDefault="00A53D53" w:rsidP="00385724">
            <w:pPr>
              <w:pStyle w:val="Tabletext"/>
              <w:jc w:val="center"/>
              <w:rPr>
                <w:lang w:val="en-GB"/>
              </w:rPr>
            </w:pPr>
            <w:r w:rsidRPr="0000112B">
              <w:rPr>
                <w:lang w:val="en-GB"/>
              </w:rPr>
              <w:t>0</w:t>
            </w:r>
            <w:r>
              <w:rPr>
                <w:lang w:val="en-GB"/>
              </w:rPr>
              <w:t>,</w:t>
            </w:r>
            <w:r w:rsidRPr="0000112B">
              <w:rPr>
                <w:lang w:val="en-GB"/>
              </w:rPr>
              <w:t>2246</w:t>
            </w:r>
          </w:p>
        </w:tc>
        <w:tc>
          <w:tcPr>
            <w:tcW w:w="1701" w:type="dxa"/>
          </w:tcPr>
          <w:p w:rsidR="00A53D53" w:rsidRPr="0000112B" w:rsidRDefault="00A53D53" w:rsidP="00385724">
            <w:pPr>
              <w:pStyle w:val="Tabletext"/>
              <w:jc w:val="center"/>
              <w:rPr>
                <w:lang w:val="en-GB"/>
              </w:rPr>
            </w:pPr>
            <w:r w:rsidRPr="0000112B">
              <w:rPr>
                <w:lang w:val="en-GB"/>
              </w:rPr>
              <w:t>0</w:t>
            </w:r>
            <w:r>
              <w:rPr>
                <w:lang w:val="en-GB"/>
              </w:rPr>
              <w:t>,</w:t>
            </w:r>
            <w:r w:rsidRPr="0000112B">
              <w:rPr>
                <w:lang w:val="en-GB"/>
              </w:rPr>
              <w:t>3287</w:t>
            </w:r>
          </w:p>
        </w:tc>
      </w:tr>
      <w:tr w:rsidR="00A53D53" w:rsidRPr="0000112B" w:rsidTr="00A53D53">
        <w:trPr>
          <w:jc w:val="center"/>
        </w:trPr>
        <w:tc>
          <w:tcPr>
            <w:tcW w:w="2268" w:type="dxa"/>
          </w:tcPr>
          <w:p w:rsidR="00A53D53" w:rsidRPr="0000112B" w:rsidRDefault="00A53D53" w:rsidP="00385724">
            <w:pPr>
              <w:pStyle w:val="Tabletext"/>
              <w:jc w:val="left"/>
              <w:rPr>
                <w:lang w:val="en-GB"/>
              </w:rPr>
            </w:pPr>
            <w:r>
              <w:rPr>
                <w:lang w:val="en-GB"/>
              </w:rPr>
              <w:t>Verde</w:t>
            </w:r>
            <w:r w:rsidRPr="0000112B">
              <w:rPr>
                <w:lang w:val="en-GB"/>
              </w:rPr>
              <w:t xml:space="preserve"> (691</w:t>
            </w:r>
            <w:r w:rsidRPr="0000112B">
              <w:rPr>
                <w:vertAlign w:val="subscript"/>
                <w:lang w:val="en-GB"/>
              </w:rPr>
              <w:t>10</w:t>
            </w:r>
            <w:r w:rsidRPr="0000112B">
              <w:rPr>
                <w:lang w:val="en-GB"/>
              </w:rPr>
              <w:t>)</w:t>
            </w:r>
          </w:p>
        </w:tc>
        <w:tc>
          <w:tcPr>
            <w:tcW w:w="1701" w:type="dxa"/>
          </w:tcPr>
          <w:p w:rsidR="00A53D53" w:rsidRPr="0000112B" w:rsidRDefault="00A53D53" w:rsidP="00385724">
            <w:pPr>
              <w:pStyle w:val="Tabletext"/>
              <w:jc w:val="center"/>
              <w:rPr>
                <w:lang w:val="en-GB"/>
              </w:rPr>
            </w:pPr>
            <w:r w:rsidRPr="0000112B">
              <w:rPr>
                <w:lang w:val="en-GB"/>
              </w:rPr>
              <w:t>0</w:t>
            </w:r>
            <w:r>
              <w:rPr>
                <w:lang w:val="en-GB"/>
              </w:rPr>
              <w:t>,</w:t>
            </w:r>
            <w:r w:rsidRPr="0000112B">
              <w:rPr>
                <w:lang w:val="en-GB"/>
              </w:rPr>
              <w:t>2876</w:t>
            </w:r>
          </w:p>
        </w:tc>
        <w:tc>
          <w:tcPr>
            <w:tcW w:w="1701" w:type="dxa"/>
          </w:tcPr>
          <w:p w:rsidR="00A53D53" w:rsidRPr="0000112B" w:rsidRDefault="00A53D53" w:rsidP="00385724">
            <w:pPr>
              <w:pStyle w:val="Tabletext"/>
              <w:jc w:val="center"/>
              <w:rPr>
                <w:lang w:val="en-GB"/>
              </w:rPr>
            </w:pPr>
            <w:r w:rsidRPr="0000112B">
              <w:rPr>
                <w:lang w:val="en-GB"/>
              </w:rPr>
              <w:t>0</w:t>
            </w:r>
            <w:r>
              <w:rPr>
                <w:lang w:val="en-GB"/>
              </w:rPr>
              <w:t>,</w:t>
            </w:r>
            <w:r w:rsidRPr="0000112B">
              <w:rPr>
                <w:lang w:val="en-GB"/>
              </w:rPr>
              <w:t>6001</w:t>
            </w:r>
          </w:p>
        </w:tc>
      </w:tr>
      <w:tr w:rsidR="00A53D53" w:rsidRPr="0000112B" w:rsidTr="00A53D53">
        <w:trPr>
          <w:jc w:val="center"/>
        </w:trPr>
        <w:tc>
          <w:tcPr>
            <w:tcW w:w="2268" w:type="dxa"/>
          </w:tcPr>
          <w:p w:rsidR="00A53D53" w:rsidRPr="0000112B" w:rsidRDefault="00A53D53" w:rsidP="00385724">
            <w:pPr>
              <w:pStyle w:val="Tabletext"/>
              <w:jc w:val="left"/>
              <w:rPr>
                <w:lang w:val="en-GB"/>
              </w:rPr>
            </w:pPr>
            <w:r w:rsidRPr="0000112B">
              <w:rPr>
                <w:lang w:val="en-GB"/>
              </w:rPr>
              <w:t>Magenta (313</w:t>
            </w:r>
            <w:r w:rsidRPr="0000112B">
              <w:rPr>
                <w:vertAlign w:val="subscript"/>
                <w:lang w:val="en-GB"/>
              </w:rPr>
              <w:t>10</w:t>
            </w:r>
            <w:r w:rsidRPr="0000112B">
              <w:rPr>
                <w:lang w:val="en-GB"/>
              </w:rPr>
              <w:t>)</w:t>
            </w:r>
          </w:p>
        </w:tc>
        <w:tc>
          <w:tcPr>
            <w:tcW w:w="1701" w:type="dxa"/>
          </w:tcPr>
          <w:p w:rsidR="00A53D53" w:rsidRPr="0000112B" w:rsidRDefault="00A53D53" w:rsidP="00385724">
            <w:pPr>
              <w:pStyle w:val="Tabletext"/>
              <w:jc w:val="center"/>
              <w:rPr>
                <w:lang w:val="en-GB"/>
              </w:rPr>
            </w:pPr>
            <w:r w:rsidRPr="0000112B">
              <w:rPr>
                <w:lang w:val="en-GB"/>
              </w:rPr>
              <w:t>0</w:t>
            </w:r>
            <w:r>
              <w:rPr>
                <w:lang w:val="en-GB"/>
              </w:rPr>
              <w:t>,</w:t>
            </w:r>
            <w:r w:rsidRPr="0000112B">
              <w:rPr>
                <w:lang w:val="en-GB"/>
              </w:rPr>
              <w:t>3209</w:t>
            </w:r>
          </w:p>
        </w:tc>
        <w:tc>
          <w:tcPr>
            <w:tcW w:w="1701" w:type="dxa"/>
          </w:tcPr>
          <w:p w:rsidR="00A53D53" w:rsidRPr="0000112B" w:rsidRDefault="00A53D53" w:rsidP="00385724">
            <w:pPr>
              <w:pStyle w:val="Tabletext"/>
              <w:jc w:val="center"/>
              <w:rPr>
                <w:lang w:val="en-GB"/>
              </w:rPr>
            </w:pPr>
            <w:r w:rsidRPr="0000112B">
              <w:rPr>
                <w:lang w:val="en-GB"/>
              </w:rPr>
              <w:t>0</w:t>
            </w:r>
            <w:r>
              <w:rPr>
                <w:lang w:val="en-GB"/>
              </w:rPr>
              <w:t>,</w:t>
            </w:r>
            <w:r w:rsidRPr="0000112B">
              <w:rPr>
                <w:lang w:val="en-GB"/>
              </w:rPr>
              <w:t>1542</w:t>
            </w:r>
          </w:p>
        </w:tc>
      </w:tr>
      <w:tr w:rsidR="00A53D53" w:rsidRPr="0000112B" w:rsidTr="00A53D53">
        <w:trPr>
          <w:jc w:val="center"/>
        </w:trPr>
        <w:tc>
          <w:tcPr>
            <w:tcW w:w="2268" w:type="dxa"/>
          </w:tcPr>
          <w:p w:rsidR="00A53D53" w:rsidRPr="0000112B" w:rsidRDefault="00A53D53" w:rsidP="00385724">
            <w:pPr>
              <w:pStyle w:val="Tabletext"/>
              <w:jc w:val="left"/>
              <w:rPr>
                <w:lang w:val="en-GB"/>
              </w:rPr>
            </w:pPr>
            <w:r>
              <w:rPr>
                <w:lang w:val="en-GB"/>
              </w:rPr>
              <w:t>Rojo</w:t>
            </w:r>
            <w:r w:rsidRPr="0000112B">
              <w:rPr>
                <w:lang w:val="en-GB"/>
              </w:rPr>
              <w:t xml:space="preserve"> (250</w:t>
            </w:r>
            <w:r w:rsidRPr="0000112B">
              <w:rPr>
                <w:vertAlign w:val="subscript"/>
                <w:lang w:val="en-GB"/>
              </w:rPr>
              <w:t>10</w:t>
            </w:r>
            <w:r w:rsidRPr="0000112B">
              <w:rPr>
                <w:lang w:val="en-GB"/>
              </w:rPr>
              <w:t>)</w:t>
            </w:r>
          </w:p>
        </w:tc>
        <w:tc>
          <w:tcPr>
            <w:tcW w:w="1701" w:type="dxa"/>
          </w:tcPr>
          <w:p w:rsidR="00A53D53" w:rsidRPr="0000112B" w:rsidRDefault="00A53D53" w:rsidP="00385724">
            <w:pPr>
              <w:pStyle w:val="Tabletext"/>
              <w:jc w:val="center"/>
              <w:rPr>
                <w:lang w:val="en-GB"/>
              </w:rPr>
            </w:pPr>
            <w:r w:rsidRPr="0000112B">
              <w:rPr>
                <w:lang w:val="en-GB"/>
              </w:rPr>
              <w:t>0</w:t>
            </w:r>
            <w:r>
              <w:rPr>
                <w:lang w:val="en-GB"/>
              </w:rPr>
              <w:t>,</w:t>
            </w:r>
            <w:r w:rsidRPr="0000112B">
              <w:rPr>
                <w:lang w:val="en-GB"/>
              </w:rPr>
              <w:t>6400</w:t>
            </w:r>
          </w:p>
        </w:tc>
        <w:tc>
          <w:tcPr>
            <w:tcW w:w="1701" w:type="dxa"/>
          </w:tcPr>
          <w:p w:rsidR="00A53D53" w:rsidRPr="0000112B" w:rsidRDefault="00A53D53" w:rsidP="00385724">
            <w:pPr>
              <w:pStyle w:val="Tabletext"/>
              <w:jc w:val="center"/>
              <w:rPr>
                <w:lang w:val="en-GB"/>
              </w:rPr>
            </w:pPr>
            <w:r w:rsidRPr="0000112B">
              <w:rPr>
                <w:lang w:val="en-GB"/>
              </w:rPr>
              <w:t>0</w:t>
            </w:r>
            <w:r>
              <w:rPr>
                <w:lang w:val="en-GB"/>
              </w:rPr>
              <w:t>,</w:t>
            </w:r>
            <w:r w:rsidRPr="0000112B">
              <w:rPr>
                <w:lang w:val="en-GB"/>
              </w:rPr>
              <w:t>3300</w:t>
            </w:r>
          </w:p>
        </w:tc>
      </w:tr>
      <w:tr w:rsidR="00A53D53" w:rsidRPr="0000112B" w:rsidTr="00A53D53">
        <w:trPr>
          <w:jc w:val="center"/>
        </w:trPr>
        <w:tc>
          <w:tcPr>
            <w:tcW w:w="2268" w:type="dxa"/>
          </w:tcPr>
          <w:p w:rsidR="00A53D53" w:rsidRPr="0000112B" w:rsidRDefault="00A53D53" w:rsidP="00385724">
            <w:pPr>
              <w:pStyle w:val="Tabletext"/>
              <w:jc w:val="left"/>
              <w:rPr>
                <w:lang w:val="en-GB"/>
              </w:rPr>
            </w:pPr>
            <w:r>
              <w:rPr>
                <w:lang w:val="en-GB"/>
              </w:rPr>
              <w:t>Azul</w:t>
            </w:r>
            <w:r w:rsidRPr="0000112B">
              <w:rPr>
                <w:lang w:val="en-GB"/>
              </w:rPr>
              <w:t xml:space="preserve"> (127</w:t>
            </w:r>
            <w:r w:rsidRPr="0000112B">
              <w:rPr>
                <w:vertAlign w:val="subscript"/>
                <w:lang w:val="en-GB"/>
              </w:rPr>
              <w:t>10</w:t>
            </w:r>
            <w:r w:rsidRPr="0000112B">
              <w:rPr>
                <w:lang w:val="en-GB"/>
              </w:rPr>
              <w:t>)</w:t>
            </w:r>
          </w:p>
        </w:tc>
        <w:tc>
          <w:tcPr>
            <w:tcW w:w="1701" w:type="dxa"/>
          </w:tcPr>
          <w:p w:rsidR="00A53D53" w:rsidRPr="0000112B" w:rsidRDefault="00A53D53" w:rsidP="00385724">
            <w:pPr>
              <w:pStyle w:val="Tabletext"/>
              <w:jc w:val="center"/>
              <w:rPr>
                <w:lang w:val="en-GB"/>
              </w:rPr>
            </w:pPr>
            <w:r w:rsidRPr="0000112B">
              <w:rPr>
                <w:lang w:val="en-GB"/>
              </w:rPr>
              <w:t>0</w:t>
            </w:r>
            <w:r>
              <w:rPr>
                <w:lang w:val="en-GB"/>
              </w:rPr>
              <w:t>,</w:t>
            </w:r>
            <w:r w:rsidRPr="0000112B">
              <w:rPr>
                <w:lang w:val="en-GB"/>
              </w:rPr>
              <w:t>1501</w:t>
            </w:r>
          </w:p>
        </w:tc>
        <w:tc>
          <w:tcPr>
            <w:tcW w:w="1701" w:type="dxa"/>
          </w:tcPr>
          <w:p w:rsidR="00A53D53" w:rsidRPr="0000112B" w:rsidRDefault="00A53D53" w:rsidP="00385724">
            <w:pPr>
              <w:pStyle w:val="Tabletext"/>
              <w:jc w:val="center"/>
              <w:rPr>
                <w:lang w:val="en-GB"/>
              </w:rPr>
            </w:pPr>
            <w:r w:rsidRPr="0000112B">
              <w:rPr>
                <w:lang w:val="en-GB"/>
              </w:rPr>
              <w:t>0</w:t>
            </w:r>
            <w:r>
              <w:rPr>
                <w:lang w:val="en-GB"/>
              </w:rPr>
              <w:t>,</w:t>
            </w:r>
            <w:r w:rsidRPr="0000112B">
              <w:rPr>
                <w:lang w:val="en-GB"/>
              </w:rPr>
              <w:t>0605</w:t>
            </w:r>
          </w:p>
        </w:tc>
      </w:tr>
    </w:tbl>
    <w:p w:rsidR="00A53D53" w:rsidRPr="0000112B" w:rsidRDefault="00A53D53" w:rsidP="00A53D53">
      <w:pPr>
        <w:pStyle w:val="Tablefin"/>
      </w:pPr>
    </w:p>
    <w:p w:rsidR="00A53D53" w:rsidRDefault="00A53D53" w:rsidP="00A53D53">
      <w:pPr>
        <w:pStyle w:val="Heading5"/>
        <w:rPr>
          <w:lang w:val="es-ES_tradnl"/>
        </w:rPr>
      </w:pPr>
      <w:r>
        <w:rPr>
          <w:lang w:val="es-ES_tradnl"/>
        </w:rPr>
        <w:t>3.5.2</w:t>
      </w:r>
      <w:r>
        <w:rPr>
          <w:lang w:val="es-ES_tradnl"/>
        </w:rPr>
        <w:tab/>
        <w:t>Control de la escala de grises (Zona 11)</w:t>
      </w:r>
    </w:p>
    <w:p w:rsidR="00A53D53" w:rsidRDefault="00A53D53" w:rsidP="00A53D53">
      <w:pPr>
        <w:rPr>
          <w:lang w:val="es-ES_tradnl"/>
        </w:rPr>
      </w:pPr>
      <w:r w:rsidRPr="00776A27">
        <w:rPr>
          <w:lang w:val="es-ES_tradnl"/>
        </w:rPr>
        <w:t xml:space="preserve">La </w:t>
      </w:r>
      <w:r>
        <w:rPr>
          <w:lang w:val="es-ES_tradnl"/>
        </w:rPr>
        <w:t>escala de grises de 10 escalones de la zona 11 debe medirse para confirmar que no se produce un procesamiento no lineal que distorsione la escala de grises. No debe haber coloración visual de la escala de grises.</w:t>
      </w:r>
    </w:p>
    <w:p w:rsidR="00A53D53" w:rsidRDefault="00A53D53" w:rsidP="00A53D53">
      <w:pPr>
        <w:pStyle w:val="Heading2"/>
        <w:rPr>
          <w:lang w:val="es-ES_tradnl"/>
        </w:rPr>
      </w:pPr>
      <w:r>
        <w:rPr>
          <w:lang w:val="es-ES_tradnl"/>
        </w:rPr>
        <w:t>3.6</w:t>
      </w:r>
      <w:r>
        <w:rPr>
          <w:lang w:val="es-ES_tradnl"/>
        </w:rPr>
        <w:tab/>
        <w:t>Perturbaciones del movimiento</w:t>
      </w:r>
    </w:p>
    <w:p w:rsidR="00A53D53" w:rsidRDefault="00A53D53" w:rsidP="00A53D53">
      <w:pPr>
        <w:rPr>
          <w:lang w:val="es-ES_tradnl"/>
        </w:rPr>
      </w:pPr>
      <w:r>
        <w:rPr>
          <w:lang w:val="es-ES_tradnl"/>
        </w:rPr>
        <w:t>El monitor no debe introducir perturbaciones del movimiento producidas por tecnologías de presentación específicas. Los efectos del movimiento incluidos en la señal de entrada deben representarse en el monitor. Además, la frecuencia de actualización de los monitores de pantalla plana puede que no sea la misma que la frecuencia original de la imagen. Debe tomarse la precaución de asegurar que no se introduce ninguna diferencia en la presentación del movimiento.</w:t>
      </w:r>
    </w:p>
    <w:p w:rsidR="00A53D53" w:rsidRDefault="00A53D53" w:rsidP="00A53D53">
      <w:pPr>
        <w:rPr>
          <w:lang w:val="es-ES_tradnl"/>
        </w:rPr>
      </w:pPr>
    </w:p>
    <w:p w:rsidR="00F20FA8" w:rsidRDefault="00F20FA8" w:rsidP="00A53D53">
      <w:pPr>
        <w:rPr>
          <w:lang w:val="es-ES_tradnl"/>
        </w:rPr>
      </w:pPr>
    </w:p>
    <w:p w:rsidR="00A53D53" w:rsidRDefault="00A53D53" w:rsidP="00A53D53">
      <w:pPr>
        <w:pStyle w:val="AppendixNoTitle"/>
        <w:rPr>
          <w:lang w:val="es-ES_tradnl" w:eastAsia="ja-JP"/>
        </w:rPr>
      </w:pPr>
      <w:r>
        <w:rPr>
          <w:lang w:val="es-ES_tradnl" w:eastAsia="ja-JP"/>
        </w:rPr>
        <w:t>Apé</w:t>
      </w:r>
      <w:r w:rsidRPr="00FD248C">
        <w:rPr>
          <w:lang w:val="es-ES_tradnl" w:eastAsia="ja-JP"/>
        </w:rPr>
        <w:t>ndi</w:t>
      </w:r>
      <w:r>
        <w:rPr>
          <w:lang w:val="es-ES_tradnl" w:eastAsia="ja-JP"/>
        </w:rPr>
        <w:t>ce</w:t>
      </w:r>
      <w:r w:rsidRPr="00FD248C">
        <w:rPr>
          <w:lang w:val="es-ES_tradnl" w:eastAsia="ja-JP"/>
        </w:rPr>
        <w:t xml:space="preserve"> 1 </w:t>
      </w:r>
      <w:r w:rsidRPr="00FD248C">
        <w:rPr>
          <w:lang w:val="es-ES_tradnl" w:eastAsia="ja-JP"/>
        </w:rPr>
        <w:br/>
        <w:t>(</w:t>
      </w:r>
      <w:r w:rsidR="00845B66">
        <w:rPr>
          <w:lang w:val="es-ES_tradnl" w:eastAsia="ja-JP"/>
        </w:rPr>
        <w:t>I</w:t>
      </w:r>
      <w:r w:rsidR="00845B66" w:rsidRPr="00FD248C">
        <w:rPr>
          <w:lang w:val="es-ES_tradnl" w:eastAsia="ja-JP"/>
        </w:rPr>
        <w:t>nformativ</w:t>
      </w:r>
      <w:r w:rsidR="00845B66">
        <w:rPr>
          <w:lang w:val="es-ES_tradnl" w:eastAsia="ja-JP"/>
        </w:rPr>
        <w:t>o</w:t>
      </w:r>
      <w:r w:rsidRPr="00FD248C">
        <w:rPr>
          <w:lang w:val="es-ES_tradnl" w:eastAsia="ja-JP"/>
        </w:rPr>
        <w:t>)</w:t>
      </w:r>
    </w:p>
    <w:p w:rsidR="00091375" w:rsidRPr="00091375" w:rsidRDefault="00091375" w:rsidP="00091375">
      <w:pPr>
        <w:pStyle w:val="Blanc"/>
        <w:rPr>
          <w:lang w:eastAsia="ja-JP"/>
        </w:rPr>
      </w:pPr>
    </w:p>
    <w:p w:rsidR="00A53D53" w:rsidRPr="00FD248C" w:rsidRDefault="00A53D53" w:rsidP="00955B75">
      <w:pPr>
        <w:pStyle w:val="Headingb"/>
        <w:rPr>
          <w:lang w:val="es-ES_tradnl"/>
        </w:rPr>
      </w:pPr>
      <w:r w:rsidRPr="00FD248C">
        <w:rPr>
          <w:lang w:val="es-ES_tradnl"/>
        </w:rPr>
        <w:t>Características del monitor en general</w:t>
      </w:r>
    </w:p>
    <w:p w:rsidR="00A53D53" w:rsidRPr="00FD248C" w:rsidRDefault="00A53D53" w:rsidP="00A53D53">
      <w:pPr>
        <w:rPr>
          <w:lang w:val="es-ES_tradnl"/>
        </w:rPr>
      </w:pPr>
      <w:r w:rsidRPr="00FD248C">
        <w:rPr>
          <w:lang w:val="es-ES_tradnl"/>
        </w:rPr>
        <w:t xml:space="preserve">Obsérvese que utilizando características distintas en los monitores </w:t>
      </w:r>
      <w:r>
        <w:rPr>
          <w:lang w:val="es-ES_tradnl"/>
        </w:rPr>
        <w:t xml:space="preserve">puede </w:t>
      </w:r>
      <w:r w:rsidRPr="00FD248C">
        <w:rPr>
          <w:lang w:val="es-ES_tradnl"/>
        </w:rPr>
        <w:t>obtene</w:t>
      </w:r>
      <w:r>
        <w:rPr>
          <w:lang w:val="es-ES_tradnl"/>
        </w:rPr>
        <w:t>rse</w:t>
      </w:r>
      <w:r w:rsidRPr="00FD248C">
        <w:rPr>
          <w:lang w:val="es-ES_tradnl"/>
        </w:rPr>
        <w:t xml:space="preserve"> diferentes calidades de imagen. Por consiguiente, se recomienda verificar de antemano las características de los monitores utilizados. Cuando se utilicen monitores de pantalla plana profesionales para la evaluación subjetiva puede consultarse la Recomendación UIT-R BT.1886, Función de transferencia electroóptica de referencia para las pantallas planas utilizadas en la producción de TVAD en estudio, y el Informe UIT-R BT.2129, Requisitos de usuario para un monitor de pantalla plana empleado como monitor principal en un entorno de producción de programas de TVAD.</w:t>
      </w:r>
    </w:p>
    <w:p w:rsidR="00A53D53" w:rsidRDefault="00A53D53">
      <w:pPr>
        <w:jc w:val="center"/>
      </w:pPr>
      <w:bookmarkStart w:id="3" w:name="_GoBack"/>
      <w:bookmarkEnd w:id="3"/>
      <w:r>
        <w:t>______________</w:t>
      </w:r>
    </w:p>
    <w:sectPr w:rsidR="00A53D53" w:rsidSect="00A53D53">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7276" w:rsidRDefault="00D57276">
      <w:r>
        <w:separator/>
      </w:r>
    </w:p>
  </w:endnote>
  <w:endnote w:type="continuationSeparator" w:id="0">
    <w:p w:rsidR="00D57276" w:rsidRDefault="00D57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7276" w:rsidRDefault="00D57276">
      <w:r>
        <w:separator/>
      </w:r>
    </w:p>
  </w:footnote>
  <w:footnote w:type="continuationSeparator" w:id="0">
    <w:p w:rsidR="00D57276" w:rsidRDefault="00D57276">
      <w:r>
        <w:continuationSeparator/>
      </w:r>
    </w:p>
  </w:footnote>
  <w:footnote w:id="1">
    <w:p w:rsidR="00A53D53" w:rsidRPr="004D791A" w:rsidRDefault="00A53D53" w:rsidP="00A53D53">
      <w:pPr>
        <w:pStyle w:val="FootnoteText"/>
        <w:rPr>
          <w:lang w:val="es-ES_tradnl"/>
        </w:rPr>
      </w:pPr>
      <w:r>
        <w:rPr>
          <w:rStyle w:val="FootnoteReference"/>
        </w:rPr>
        <w:footnoteRef/>
      </w:r>
      <w:r w:rsidRPr="004D791A">
        <w:rPr>
          <w:lang w:val="es-ES_tradnl"/>
        </w:rPr>
        <w:tab/>
        <w:t>Las instalaciones de observación crítica y de alta calidad pueden ser y continuar</w:t>
      </w:r>
      <w:r>
        <w:rPr>
          <w:lang w:val="es-ES_tradnl"/>
        </w:rPr>
        <w:t>án siendo establecidas de muchas formas por entidades implicadas en la edición, la corrección del color, las pruebas, etc., y esta Recomendación no tiene por objeto sugerir la necesidad de establecer una uniformidad absoluta en dichas instalaciones.</w:t>
      </w:r>
    </w:p>
  </w:footnote>
  <w:footnote w:id="2">
    <w:p w:rsidR="00A53D53" w:rsidRPr="00CC0B38" w:rsidRDefault="00A53D53" w:rsidP="00A53D53">
      <w:pPr>
        <w:pStyle w:val="FootnoteText"/>
        <w:rPr>
          <w:lang w:val="es-ES_tradnl"/>
        </w:rPr>
      </w:pPr>
      <w:r>
        <w:rPr>
          <w:rStyle w:val="FootnoteReference"/>
        </w:rPr>
        <w:footnoteRef/>
      </w:r>
      <w:r w:rsidRPr="00CC0B38">
        <w:rPr>
          <w:lang w:val="es-ES_tradnl"/>
        </w:rPr>
        <w:t xml:space="preserve"> </w:t>
      </w:r>
      <w:r w:rsidRPr="00CC0B38">
        <w:rPr>
          <w:lang w:val="es-ES_tradnl"/>
        </w:rPr>
        <w:tab/>
        <w:t>Esta medición puede ser difícil bajo ciertas condici</w:t>
      </w:r>
      <w:r>
        <w:rPr>
          <w:lang w:val="es-ES_tradnl"/>
        </w:rPr>
        <w:t>o</w:t>
      </w:r>
      <w:r w:rsidRPr="00CC0B38">
        <w:rPr>
          <w:lang w:val="es-ES_tradnl"/>
        </w:rPr>
        <w:t>nes.</w:t>
      </w:r>
    </w:p>
  </w:footnote>
  <w:footnote w:id="3">
    <w:p w:rsidR="00A53D53" w:rsidRPr="00CC0B38" w:rsidRDefault="00A53D53" w:rsidP="00A53D53">
      <w:pPr>
        <w:pStyle w:val="FootnoteText"/>
        <w:rPr>
          <w:lang w:val="es-ES_tradnl"/>
        </w:rPr>
      </w:pPr>
      <w:r>
        <w:rPr>
          <w:rStyle w:val="FootnoteReference"/>
        </w:rPr>
        <w:footnoteRef/>
      </w:r>
      <w:r w:rsidRPr="00CC0B38">
        <w:rPr>
          <w:lang w:val="es-ES_tradnl"/>
        </w:rPr>
        <w:t xml:space="preserve"> </w:t>
      </w:r>
      <w:r w:rsidRPr="00CC0B38">
        <w:rPr>
          <w:lang w:val="es-ES_tradnl"/>
        </w:rPr>
        <w:tab/>
        <w:t>CIE 1988 2 Â° Función de eficiencia luminosa espectral para visi</w:t>
      </w:r>
      <w:r>
        <w:rPr>
          <w:lang w:val="es-ES_tradnl"/>
        </w:rPr>
        <w:t>ón fotópica</w:t>
      </w:r>
      <w:r w:rsidRPr="00CC0B38">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276" w:rsidRDefault="00D5727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276" w:rsidRDefault="00D57276" w:rsidP="009E1F8B">
    <w:pPr>
      <w:pStyle w:val="Header"/>
      <w:ind w:right="360" w:firstLine="360"/>
    </w:pPr>
    <w:r>
      <w:rPr>
        <w:noProof/>
        <w:lang w:val="en-US"/>
      </w:rPr>
      <w:drawing>
        <wp:anchor distT="0" distB="0" distL="114300" distR="114300" simplePos="0" relativeHeight="251659264" behindDoc="1" locked="0" layoutInCell="1" allowOverlap="1" wp14:anchorId="03B1CF01" wp14:editId="575F1C4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276" w:rsidRDefault="00D57276"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B952F3">
      <w:rPr>
        <w:rStyle w:val="PageNumber"/>
        <w:b/>
        <w:bCs/>
        <w:noProof/>
      </w:rPr>
      <w:t>ii</w:t>
    </w:r>
    <w:r>
      <w:rPr>
        <w:rStyle w:val="PageNumber"/>
        <w:b/>
        <w:bCs/>
      </w:rPr>
      <w:fldChar w:fldCharType="end"/>
    </w:r>
    <w:r>
      <w:tab/>
    </w:r>
    <w:fldSimple w:instr=" DOCPROPERTY &quot;Header&quot; \* MERGEFORMAT ">
      <w:r w:rsidR="00091375" w:rsidRPr="0009137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952F3">
      <w:rPr>
        <w:b/>
        <w:bCs/>
        <w:noProof/>
      </w:rPr>
      <w:t>UIT-R  BT.2035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276" w:rsidRDefault="00D57276">
    <w:pPr>
      <w:pStyle w:val="Header"/>
    </w:pPr>
    <w:r>
      <w:tab/>
    </w:r>
    <w:fldSimple w:instr=" DOCPROPERTY &quot;Header&quot; \* MERGEFORMAT ">
      <w:r w:rsidR="00091375" w:rsidRPr="0009137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91375">
      <w:rPr>
        <w:b/>
        <w:bCs/>
        <w:noProof/>
      </w:rPr>
      <w:t>UIT-R  BT.2035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952F3">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091375" w:rsidRPr="00091375">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952F3">
      <w:rPr>
        <w:b/>
        <w:bCs/>
        <w:noProof/>
      </w:rPr>
      <w:t>UIT-R  BT.2035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B952F3">
      <w:fldChar w:fldCharType="begin"/>
    </w:r>
    <w:r w:rsidR="00B952F3">
      <w:instrText xml:space="preserve"> DOCPROPERTY "Header" \* MERGEFORMAT </w:instrText>
    </w:r>
    <w:r w:rsidR="00B952F3">
      <w:fldChar w:fldCharType="separate"/>
    </w:r>
    <w:r w:rsidR="00091375" w:rsidRPr="00091375">
      <w:rPr>
        <w:b/>
        <w:bCs/>
      </w:rPr>
      <w:t xml:space="preserve">Rec. </w:t>
    </w:r>
    <w:r w:rsidR="00B952F3">
      <w:rPr>
        <w:b/>
        <w:bCs/>
      </w:rPr>
      <w:fldChar w:fldCharType="end"/>
    </w:r>
    <w:r>
      <w:rPr>
        <w:b/>
        <w:bCs/>
      </w:rPr>
      <w:t xml:space="preserve"> </w:t>
    </w:r>
    <w:r>
      <w:rPr>
        <w:b/>
        <w:bCs/>
      </w:rPr>
      <w:fldChar w:fldCharType="begin"/>
    </w:r>
    <w:r>
      <w:rPr>
        <w:b/>
        <w:bCs/>
      </w:rPr>
      <w:instrText>styleref href</w:instrText>
    </w:r>
    <w:r>
      <w:rPr>
        <w:b/>
        <w:bCs/>
      </w:rPr>
      <w:fldChar w:fldCharType="separate"/>
    </w:r>
    <w:r w:rsidR="00B952F3">
      <w:rPr>
        <w:b/>
        <w:bCs/>
        <w:noProof/>
      </w:rPr>
      <w:t>UIT-R  BT.2035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952F3">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E782562"/>
    <w:lvl w:ilvl="0">
      <w:start w:val="1"/>
      <w:numFmt w:val="decimal"/>
      <w:lvlText w:val="%1."/>
      <w:lvlJc w:val="left"/>
      <w:pPr>
        <w:tabs>
          <w:tab w:val="num" w:pos="1492"/>
        </w:tabs>
        <w:ind w:left="1492" w:hanging="360"/>
      </w:pPr>
    </w:lvl>
  </w:abstractNum>
  <w:abstractNum w:abstractNumId="1">
    <w:nsid w:val="FFFFFF7D"/>
    <w:multiLevelType w:val="singleLevel"/>
    <w:tmpl w:val="BF4A0F88"/>
    <w:lvl w:ilvl="0">
      <w:start w:val="1"/>
      <w:numFmt w:val="decimal"/>
      <w:lvlText w:val="%1."/>
      <w:lvlJc w:val="left"/>
      <w:pPr>
        <w:tabs>
          <w:tab w:val="num" w:pos="1209"/>
        </w:tabs>
        <w:ind w:left="1209" w:hanging="360"/>
      </w:pPr>
    </w:lvl>
  </w:abstractNum>
  <w:abstractNum w:abstractNumId="2">
    <w:nsid w:val="FFFFFF7E"/>
    <w:multiLevelType w:val="singleLevel"/>
    <w:tmpl w:val="1A022806"/>
    <w:lvl w:ilvl="0">
      <w:start w:val="1"/>
      <w:numFmt w:val="decimal"/>
      <w:lvlText w:val="%1."/>
      <w:lvlJc w:val="left"/>
      <w:pPr>
        <w:tabs>
          <w:tab w:val="num" w:pos="926"/>
        </w:tabs>
        <w:ind w:left="926" w:hanging="360"/>
      </w:pPr>
    </w:lvl>
  </w:abstractNum>
  <w:abstractNum w:abstractNumId="3">
    <w:nsid w:val="FFFFFF7F"/>
    <w:multiLevelType w:val="singleLevel"/>
    <w:tmpl w:val="00FE6A3C"/>
    <w:lvl w:ilvl="0">
      <w:start w:val="1"/>
      <w:numFmt w:val="decimal"/>
      <w:lvlText w:val="%1."/>
      <w:lvlJc w:val="left"/>
      <w:pPr>
        <w:tabs>
          <w:tab w:val="num" w:pos="643"/>
        </w:tabs>
        <w:ind w:left="643" w:hanging="360"/>
      </w:pPr>
    </w:lvl>
  </w:abstractNum>
  <w:abstractNum w:abstractNumId="4">
    <w:nsid w:val="FFFFFF80"/>
    <w:multiLevelType w:val="singleLevel"/>
    <w:tmpl w:val="A31258D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136D21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D72F55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1F6CC9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3429AC"/>
    <w:lvl w:ilvl="0">
      <w:start w:val="1"/>
      <w:numFmt w:val="decimal"/>
      <w:lvlText w:val="%1."/>
      <w:lvlJc w:val="left"/>
      <w:pPr>
        <w:tabs>
          <w:tab w:val="num" w:pos="360"/>
        </w:tabs>
        <w:ind w:left="360" w:hanging="360"/>
      </w:pPr>
    </w:lvl>
  </w:abstractNum>
  <w:abstractNum w:abstractNumId="9">
    <w:nsid w:val="FFFFFF89"/>
    <w:multiLevelType w:val="singleLevel"/>
    <w:tmpl w:val="B9A0E75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276"/>
    <w:rsid w:val="00091375"/>
    <w:rsid w:val="00217EBF"/>
    <w:rsid w:val="00242AEE"/>
    <w:rsid w:val="002D76C4"/>
    <w:rsid w:val="00360C92"/>
    <w:rsid w:val="00470916"/>
    <w:rsid w:val="0052529D"/>
    <w:rsid w:val="00587F0C"/>
    <w:rsid w:val="00607D68"/>
    <w:rsid w:val="007313FA"/>
    <w:rsid w:val="007468DA"/>
    <w:rsid w:val="00845B66"/>
    <w:rsid w:val="00955B75"/>
    <w:rsid w:val="009E00A8"/>
    <w:rsid w:val="00A53D53"/>
    <w:rsid w:val="00A6617B"/>
    <w:rsid w:val="00AB0DC8"/>
    <w:rsid w:val="00B24A40"/>
    <w:rsid w:val="00B44E24"/>
    <w:rsid w:val="00B952F3"/>
    <w:rsid w:val="00D57276"/>
    <w:rsid w:val="00DF4176"/>
    <w:rsid w:val="00F20F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1C23FEA8-9865-49B8-84AE-7C7512362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727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57276"/>
    <w:rPr>
      <w:color w:val="0000FF"/>
      <w:u w:val="single"/>
    </w:rPr>
  </w:style>
  <w:style w:type="character" w:customStyle="1" w:styleId="Heading2Char">
    <w:name w:val="Heading 2 Char"/>
    <w:basedOn w:val="DefaultParagraphFont"/>
    <w:link w:val="Heading2"/>
    <w:rsid w:val="00A53D53"/>
    <w:rPr>
      <w:b/>
      <w:sz w:val="24"/>
      <w:lang w:val="fr-FR" w:eastAsia="en-US"/>
    </w:rPr>
  </w:style>
  <w:style w:type="character" w:customStyle="1" w:styleId="Heading3Char">
    <w:name w:val="Heading 3 Char"/>
    <w:basedOn w:val="DefaultParagraphFont"/>
    <w:link w:val="Heading3"/>
    <w:rsid w:val="00A53D53"/>
    <w:rPr>
      <w:b/>
      <w:sz w:val="24"/>
      <w:lang w:val="fr-FR" w:eastAsia="en-US"/>
    </w:rPr>
  </w:style>
  <w:style w:type="character" w:customStyle="1" w:styleId="FootnoteTextChar">
    <w:name w:val="Footnote Text Char"/>
    <w:basedOn w:val="DefaultParagraphFont"/>
    <w:link w:val="FootnoteText"/>
    <w:rsid w:val="00A53D53"/>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hyperlink" Target="http://www.itu.int/publ/R-REC/es)" TargetMode="Externa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69</TotalTime>
  <Pages>9</Pages>
  <Words>2445</Words>
  <Characters>13918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Gachet, Christelle</cp:lastModifiedBy>
  <cp:revision>12</cp:revision>
  <cp:lastPrinted>2014-08-28T12:36:00Z</cp:lastPrinted>
  <dcterms:created xsi:type="dcterms:W3CDTF">2014-08-28T12:23:00Z</dcterms:created>
  <dcterms:modified xsi:type="dcterms:W3CDTF">2014-08-29T08:18:00Z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