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507CA" w14:textId="77777777" w:rsidR="00FE79FE" w:rsidRPr="00D20DEF" w:rsidRDefault="00FE79FE">
      <w:pPr>
        <w:rPr>
          <w:lang w:val="en-GB"/>
        </w:rPr>
      </w:pPr>
    </w:p>
    <w:p w14:paraId="4EF8A92C" w14:textId="77777777" w:rsidR="00FE79FE" w:rsidRPr="00D20DEF" w:rsidRDefault="00FE79FE">
      <w:pPr>
        <w:rPr>
          <w:lang w:val="en-GB"/>
        </w:rPr>
      </w:pPr>
    </w:p>
    <w:p w14:paraId="347EE031" w14:textId="77777777" w:rsidR="00FE79FE" w:rsidRPr="00D20DEF" w:rsidRDefault="00FE79FE">
      <w:pPr>
        <w:rPr>
          <w:lang w:val="en-GB"/>
        </w:rPr>
      </w:pPr>
    </w:p>
    <w:p w14:paraId="026B7E2A" w14:textId="77777777" w:rsidR="00FE79FE" w:rsidRPr="00D20DEF" w:rsidRDefault="00FE79FE">
      <w:pPr>
        <w:rPr>
          <w:lang w:val="en-GB"/>
        </w:rPr>
      </w:pPr>
    </w:p>
    <w:p w14:paraId="70D3B3DF" w14:textId="77777777" w:rsidR="00FE79FE" w:rsidRPr="00D20DEF" w:rsidRDefault="00FE79FE">
      <w:pPr>
        <w:rPr>
          <w:lang w:val="en-GB"/>
        </w:rPr>
      </w:pPr>
    </w:p>
    <w:p w14:paraId="04A86F13" w14:textId="77777777" w:rsidR="00013002" w:rsidRPr="00D20DEF" w:rsidRDefault="00013002">
      <w:pPr>
        <w:rPr>
          <w:lang w:val="en-GB"/>
        </w:rPr>
      </w:pPr>
    </w:p>
    <w:p w14:paraId="4CB9D616" w14:textId="77777777" w:rsidR="00013002" w:rsidRPr="00D20DEF" w:rsidRDefault="00013002">
      <w:pPr>
        <w:rPr>
          <w:lang w:val="en-GB"/>
        </w:rPr>
      </w:pPr>
    </w:p>
    <w:p w14:paraId="1056EDF3" w14:textId="77777777" w:rsidR="00013002" w:rsidRPr="00D20DEF" w:rsidRDefault="00013002">
      <w:pPr>
        <w:rPr>
          <w:lang w:val="en-GB"/>
        </w:rPr>
      </w:pPr>
    </w:p>
    <w:p w14:paraId="71F34297" w14:textId="77777777" w:rsidR="00FE79FE" w:rsidRPr="00D20DEF" w:rsidRDefault="00FE79FE">
      <w:pPr>
        <w:rPr>
          <w:lang w:val="en-GB"/>
        </w:rPr>
      </w:pPr>
    </w:p>
    <w:p w14:paraId="1C4E875B" w14:textId="77777777" w:rsidR="00FE79FE" w:rsidRPr="00D20DEF" w:rsidRDefault="00FE79FE">
      <w:pPr>
        <w:rPr>
          <w:lang w:val="en-GB"/>
        </w:rPr>
      </w:pPr>
    </w:p>
    <w:p w14:paraId="0BAB6223" w14:textId="77777777" w:rsidR="00FE79FE" w:rsidRPr="00D20DEF" w:rsidRDefault="00FE79FE">
      <w:pPr>
        <w:rPr>
          <w:lang w:val="en-GB"/>
        </w:rPr>
      </w:pPr>
    </w:p>
    <w:p w14:paraId="48E09568" w14:textId="77777777" w:rsidR="00FE79FE" w:rsidRPr="00D20DEF" w:rsidRDefault="00FE79FE">
      <w:pPr>
        <w:rPr>
          <w:lang w:val="en-GB"/>
        </w:rPr>
      </w:pPr>
    </w:p>
    <w:tbl>
      <w:tblPr>
        <w:tblW w:w="10089" w:type="dxa"/>
        <w:tblLook w:val="01E0" w:firstRow="1" w:lastRow="1" w:firstColumn="1" w:lastColumn="1" w:noHBand="0" w:noVBand="0"/>
      </w:tblPr>
      <w:tblGrid>
        <w:gridCol w:w="10089"/>
      </w:tblGrid>
      <w:tr w:rsidR="00FE79FE" w:rsidRPr="00D20DEF" w14:paraId="5DF5F416" w14:textId="77777777">
        <w:tc>
          <w:tcPr>
            <w:tcW w:w="10089" w:type="dxa"/>
          </w:tcPr>
          <w:p w14:paraId="6AD09590" w14:textId="77777777" w:rsidR="00276D21" w:rsidRPr="00D20DEF" w:rsidRDefault="00276D21" w:rsidP="00013002">
            <w:pPr>
              <w:spacing w:before="380" w:line="280" w:lineRule="exact"/>
              <w:jc w:val="right"/>
              <w:rPr>
                <w:rFonts w:ascii="Tahoma" w:hAnsi="Tahoma" w:cs="Tahoma"/>
                <w:b/>
                <w:bCs/>
                <w:iCs/>
                <w:color w:val="243285"/>
                <w:sz w:val="32"/>
                <w:szCs w:val="32"/>
                <w:lang w:val="en-GB"/>
              </w:rPr>
            </w:pPr>
          </w:p>
          <w:p w14:paraId="5F06ACE5" w14:textId="277BB737" w:rsidR="00FE79FE" w:rsidRPr="00D20DEF" w:rsidRDefault="00FE79FE" w:rsidP="00B93581">
            <w:pPr>
              <w:spacing w:before="380" w:line="280" w:lineRule="exact"/>
              <w:jc w:val="right"/>
              <w:rPr>
                <w:rFonts w:ascii="Tahoma" w:hAnsi="Tahoma" w:cs="Tahoma"/>
                <w:b/>
                <w:bCs/>
                <w:iCs/>
                <w:color w:val="243285"/>
                <w:sz w:val="36"/>
                <w:szCs w:val="36"/>
                <w:lang w:val="en-GB"/>
              </w:rPr>
            </w:pPr>
            <w:r w:rsidRPr="00D20DEF">
              <w:rPr>
                <w:rFonts w:ascii="Tahoma" w:hAnsi="Tahoma" w:cs="Tahoma"/>
                <w:b/>
                <w:bCs/>
                <w:iCs/>
                <w:color w:val="243285"/>
                <w:sz w:val="36"/>
                <w:szCs w:val="36"/>
                <w:lang w:val="en-GB"/>
              </w:rPr>
              <w:t xml:space="preserve">Recommendation  ITU-R  </w:t>
            </w:r>
            <w:r w:rsidR="0083590E" w:rsidRPr="00D20DEF">
              <w:rPr>
                <w:rFonts w:ascii="Tahoma" w:hAnsi="Tahoma" w:cs="Tahoma"/>
                <w:b/>
                <w:bCs/>
                <w:iCs/>
                <w:color w:val="243285"/>
                <w:sz w:val="36"/>
                <w:szCs w:val="36"/>
                <w:lang w:val="en-GB"/>
              </w:rPr>
              <w:t>B</w:t>
            </w:r>
            <w:r w:rsidR="00B41BF2">
              <w:rPr>
                <w:rFonts w:ascii="Tahoma" w:hAnsi="Tahoma" w:cs="Tahoma"/>
                <w:b/>
                <w:bCs/>
                <w:iCs/>
                <w:color w:val="243285"/>
                <w:sz w:val="36"/>
                <w:szCs w:val="36"/>
                <w:lang w:val="en-GB"/>
              </w:rPr>
              <w:t>T</w:t>
            </w:r>
            <w:r w:rsidRPr="00D20DEF">
              <w:rPr>
                <w:rFonts w:ascii="Tahoma" w:hAnsi="Tahoma" w:cs="Tahoma"/>
                <w:b/>
                <w:bCs/>
                <w:iCs/>
                <w:color w:val="243285"/>
                <w:sz w:val="36"/>
                <w:szCs w:val="36"/>
                <w:lang w:val="en-GB"/>
              </w:rPr>
              <w:t>.</w:t>
            </w:r>
            <w:r w:rsidR="00482ADC" w:rsidRPr="00D20DEF">
              <w:rPr>
                <w:rFonts w:ascii="Tahoma" w:hAnsi="Tahoma" w:cs="Tahoma"/>
                <w:b/>
                <w:bCs/>
                <w:iCs/>
                <w:color w:val="243285"/>
                <w:sz w:val="36"/>
                <w:szCs w:val="36"/>
                <w:lang w:val="en-GB"/>
              </w:rPr>
              <w:t>214</w:t>
            </w:r>
            <w:r w:rsidR="00962353">
              <w:rPr>
                <w:rFonts w:ascii="Tahoma" w:hAnsi="Tahoma" w:cs="Tahoma"/>
                <w:b/>
                <w:bCs/>
                <w:iCs/>
                <w:color w:val="243285"/>
                <w:sz w:val="36"/>
                <w:szCs w:val="36"/>
                <w:lang w:val="en-GB"/>
              </w:rPr>
              <w:t>4</w:t>
            </w:r>
            <w:r w:rsidR="00482ADC" w:rsidRPr="00D20DEF">
              <w:rPr>
                <w:rFonts w:ascii="Tahoma" w:hAnsi="Tahoma" w:cs="Tahoma"/>
                <w:b/>
                <w:bCs/>
                <w:iCs/>
                <w:color w:val="243285"/>
                <w:sz w:val="36"/>
                <w:szCs w:val="36"/>
                <w:lang w:val="en-GB"/>
              </w:rPr>
              <w:t>-0</w:t>
            </w:r>
          </w:p>
          <w:p w14:paraId="1E23C980" w14:textId="48EF973C" w:rsidR="00FE79FE" w:rsidRPr="00D20DEF" w:rsidRDefault="00FE79FE" w:rsidP="00B93581">
            <w:pPr>
              <w:spacing w:before="80" w:line="280" w:lineRule="exact"/>
              <w:jc w:val="right"/>
              <w:rPr>
                <w:rFonts w:ascii="Tahoma" w:hAnsi="Tahoma" w:cs="Tahoma"/>
                <w:b/>
                <w:bCs/>
                <w:iCs/>
                <w:color w:val="243285"/>
                <w:szCs w:val="24"/>
                <w:lang w:val="en-GB"/>
              </w:rPr>
            </w:pPr>
            <w:r w:rsidRPr="00D20DEF">
              <w:rPr>
                <w:rFonts w:ascii="Tahoma" w:hAnsi="Tahoma" w:cs="Tahoma"/>
                <w:b/>
                <w:bCs/>
                <w:iCs/>
                <w:color w:val="243285"/>
                <w:szCs w:val="24"/>
                <w:lang w:val="en-GB"/>
              </w:rPr>
              <w:t>(</w:t>
            </w:r>
            <w:r w:rsidR="00CD51FA" w:rsidRPr="00D20DEF">
              <w:rPr>
                <w:rFonts w:ascii="Tahoma" w:hAnsi="Tahoma" w:cs="Tahoma"/>
                <w:b/>
                <w:bCs/>
                <w:iCs/>
                <w:color w:val="243285"/>
                <w:szCs w:val="24"/>
                <w:lang w:val="en-GB"/>
              </w:rPr>
              <w:t>0</w:t>
            </w:r>
            <w:r w:rsidR="00962353">
              <w:rPr>
                <w:rFonts w:ascii="Tahoma" w:hAnsi="Tahoma" w:cs="Tahoma"/>
                <w:b/>
                <w:bCs/>
                <w:iCs/>
                <w:color w:val="243285"/>
                <w:szCs w:val="24"/>
                <w:lang w:val="en-GB"/>
              </w:rPr>
              <w:t>5</w:t>
            </w:r>
            <w:r w:rsidRPr="00D20DEF">
              <w:rPr>
                <w:rFonts w:ascii="Tahoma" w:hAnsi="Tahoma" w:cs="Tahoma"/>
                <w:b/>
                <w:bCs/>
                <w:iCs/>
                <w:color w:val="243285"/>
                <w:szCs w:val="24"/>
                <w:lang w:val="en-GB"/>
              </w:rPr>
              <w:t>/</w:t>
            </w:r>
            <w:r w:rsidR="00166B27" w:rsidRPr="00D20DEF">
              <w:rPr>
                <w:rFonts w:ascii="Tahoma" w:hAnsi="Tahoma" w:cs="Tahoma"/>
                <w:b/>
                <w:bCs/>
                <w:iCs/>
                <w:color w:val="243285"/>
                <w:szCs w:val="24"/>
                <w:lang w:val="en-GB"/>
              </w:rPr>
              <w:t>20</w:t>
            </w:r>
            <w:r w:rsidR="00CD51FA" w:rsidRPr="00D20DEF">
              <w:rPr>
                <w:rFonts w:ascii="Tahoma" w:hAnsi="Tahoma" w:cs="Tahoma"/>
                <w:b/>
                <w:bCs/>
                <w:iCs/>
                <w:color w:val="243285"/>
                <w:szCs w:val="24"/>
                <w:lang w:val="en-GB"/>
              </w:rPr>
              <w:t>22</w:t>
            </w:r>
            <w:r w:rsidRPr="00D20DEF">
              <w:rPr>
                <w:rFonts w:ascii="Tahoma" w:hAnsi="Tahoma" w:cs="Tahoma"/>
                <w:b/>
                <w:bCs/>
                <w:iCs/>
                <w:color w:val="243285"/>
                <w:szCs w:val="24"/>
                <w:lang w:val="en-GB"/>
              </w:rPr>
              <w:t>)</w:t>
            </w:r>
          </w:p>
        </w:tc>
      </w:tr>
      <w:tr w:rsidR="00FE79FE" w:rsidRPr="006D0942" w14:paraId="21A6E1F8" w14:textId="77777777">
        <w:tc>
          <w:tcPr>
            <w:tcW w:w="10089" w:type="dxa"/>
          </w:tcPr>
          <w:p w14:paraId="7ABFC639" w14:textId="77777777" w:rsidR="00E47533" w:rsidRPr="00D20DEF" w:rsidRDefault="00E47533" w:rsidP="00164DBD">
            <w:pPr>
              <w:spacing w:before="80" w:line="500" w:lineRule="exact"/>
              <w:jc w:val="right"/>
              <w:rPr>
                <w:rFonts w:ascii="Tahoma" w:hAnsi="Tahoma" w:cs="Tahoma"/>
                <w:b/>
                <w:bCs/>
                <w:iCs/>
                <w:color w:val="243285"/>
                <w:sz w:val="44"/>
                <w:szCs w:val="44"/>
                <w:lang w:val="en-GB"/>
              </w:rPr>
            </w:pPr>
          </w:p>
          <w:p w14:paraId="3FA1DFDC" w14:textId="669CCD43" w:rsidR="00FE79FE" w:rsidRPr="00D20DEF" w:rsidRDefault="00962353" w:rsidP="00164DBD">
            <w:pPr>
              <w:spacing w:before="80" w:line="500" w:lineRule="exact"/>
              <w:jc w:val="right"/>
              <w:rPr>
                <w:rFonts w:ascii="Tahoma" w:hAnsi="Tahoma" w:cs="Tahoma"/>
                <w:b/>
                <w:bCs/>
                <w:iCs/>
                <w:color w:val="243285"/>
                <w:sz w:val="44"/>
                <w:szCs w:val="44"/>
                <w:lang w:val="en-GB"/>
              </w:rPr>
            </w:pPr>
            <w:r w:rsidRPr="00962353">
              <w:rPr>
                <w:rFonts w:ascii="Tahoma" w:hAnsi="Tahoma" w:cs="Tahoma"/>
                <w:b/>
                <w:bCs/>
                <w:iCs/>
                <w:color w:val="243285"/>
                <w:sz w:val="44"/>
                <w:szCs w:val="44"/>
                <w:lang w:val="en-GB"/>
              </w:rPr>
              <w:t xml:space="preserve">Guidance for the introduction of new DTTB systems, technologies and applications </w:t>
            </w:r>
            <w:r>
              <w:rPr>
                <w:rFonts w:ascii="Tahoma" w:hAnsi="Tahoma" w:cs="Tahoma"/>
                <w:b/>
                <w:bCs/>
                <w:iCs/>
                <w:color w:val="243285"/>
                <w:sz w:val="44"/>
                <w:szCs w:val="44"/>
                <w:lang w:val="en-GB"/>
              </w:rPr>
              <w:br/>
            </w:r>
            <w:r w:rsidRPr="00962353">
              <w:rPr>
                <w:rFonts w:ascii="Tahoma" w:hAnsi="Tahoma" w:cs="Tahoma"/>
                <w:b/>
                <w:bCs/>
                <w:iCs/>
                <w:color w:val="243285"/>
                <w:sz w:val="44"/>
                <w:szCs w:val="44"/>
                <w:lang w:val="en-GB"/>
              </w:rPr>
              <w:t>in the broadcasting service</w:t>
            </w:r>
          </w:p>
          <w:p w14:paraId="4015DC07" w14:textId="77777777" w:rsidR="00A62A14" w:rsidRPr="00D20DEF" w:rsidRDefault="00A62A14" w:rsidP="00FE79FE">
            <w:pPr>
              <w:spacing w:before="80" w:line="500" w:lineRule="exact"/>
              <w:jc w:val="right"/>
              <w:rPr>
                <w:rFonts w:ascii="Tahoma" w:hAnsi="Tahoma" w:cs="Tahoma"/>
                <w:b/>
                <w:bCs/>
                <w:iCs/>
                <w:color w:val="243285"/>
                <w:sz w:val="40"/>
                <w:szCs w:val="40"/>
                <w:lang w:val="en-GB"/>
              </w:rPr>
            </w:pPr>
          </w:p>
        </w:tc>
      </w:tr>
      <w:tr w:rsidR="00FE79FE" w:rsidRPr="006D0942" w14:paraId="65D633D0" w14:textId="77777777">
        <w:tc>
          <w:tcPr>
            <w:tcW w:w="10089" w:type="dxa"/>
          </w:tcPr>
          <w:p w14:paraId="1A37B060" w14:textId="77777777" w:rsidR="00070A2F" w:rsidRPr="00D20DEF" w:rsidRDefault="00070A2F" w:rsidP="00070A2F">
            <w:pPr>
              <w:spacing w:before="80" w:line="280" w:lineRule="exact"/>
              <w:ind w:right="640"/>
              <w:rPr>
                <w:rFonts w:ascii="Tahoma" w:hAnsi="Tahoma" w:cs="Tahoma"/>
                <w:b/>
                <w:bCs/>
                <w:iCs/>
                <w:color w:val="243285"/>
                <w:sz w:val="32"/>
                <w:szCs w:val="32"/>
                <w:lang w:val="en-GB"/>
              </w:rPr>
            </w:pPr>
          </w:p>
          <w:p w14:paraId="65761F13" w14:textId="77777777" w:rsidR="00070A2F" w:rsidRPr="00D20DEF" w:rsidRDefault="00070A2F" w:rsidP="00070A2F">
            <w:pPr>
              <w:spacing w:before="80" w:line="280" w:lineRule="exact"/>
              <w:ind w:right="640"/>
              <w:rPr>
                <w:rFonts w:ascii="Tahoma" w:hAnsi="Tahoma" w:cs="Tahoma"/>
                <w:b/>
                <w:bCs/>
                <w:iCs/>
                <w:color w:val="243285"/>
                <w:sz w:val="32"/>
                <w:szCs w:val="32"/>
                <w:lang w:val="en-GB"/>
              </w:rPr>
            </w:pPr>
          </w:p>
          <w:p w14:paraId="7F9311B0" w14:textId="77777777" w:rsidR="00070A2F" w:rsidRPr="00D20DEF" w:rsidRDefault="00070A2F" w:rsidP="00070A2F">
            <w:pPr>
              <w:spacing w:before="80" w:after="180" w:line="360" w:lineRule="exact"/>
              <w:ind w:right="720"/>
              <w:rPr>
                <w:rFonts w:ascii="Tahoma" w:hAnsi="Tahoma" w:cs="Tahoma"/>
                <w:b/>
                <w:bCs/>
                <w:iCs/>
                <w:color w:val="243285"/>
                <w:sz w:val="36"/>
                <w:szCs w:val="36"/>
                <w:lang w:val="en-GB"/>
              </w:rPr>
            </w:pPr>
          </w:p>
          <w:p w14:paraId="481A7B75" w14:textId="64EF3BF4" w:rsidR="00013002" w:rsidRPr="00D20DEF" w:rsidRDefault="0083590E" w:rsidP="00013002">
            <w:pPr>
              <w:spacing w:before="80" w:after="180" w:line="360" w:lineRule="exact"/>
              <w:jc w:val="right"/>
              <w:rPr>
                <w:rFonts w:ascii="Tahoma" w:hAnsi="Tahoma" w:cs="Tahoma"/>
                <w:b/>
                <w:bCs/>
                <w:iCs/>
                <w:color w:val="243285"/>
                <w:sz w:val="36"/>
                <w:szCs w:val="36"/>
                <w:lang w:val="en-GB"/>
              </w:rPr>
            </w:pPr>
            <w:r w:rsidRPr="00D20DEF">
              <w:rPr>
                <w:rFonts w:ascii="Tahoma" w:hAnsi="Tahoma" w:cs="Tahoma"/>
                <w:b/>
                <w:bCs/>
                <w:iCs/>
                <w:color w:val="243285"/>
                <w:sz w:val="36"/>
                <w:szCs w:val="36"/>
                <w:lang w:val="en-GB"/>
              </w:rPr>
              <w:t>B</w:t>
            </w:r>
            <w:r w:rsidR="00B41BF2">
              <w:rPr>
                <w:rFonts w:ascii="Tahoma" w:hAnsi="Tahoma" w:cs="Tahoma"/>
                <w:b/>
                <w:bCs/>
                <w:iCs/>
                <w:color w:val="243285"/>
                <w:sz w:val="36"/>
                <w:szCs w:val="36"/>
                <w:lang w:val="en-GB"/>
              </w:rPr>
              <w:t>T</w:t>
            </w:r>
            <w:r w:rsidR="00FE79FE" w:rsidRPr="00D20DEF">
              <w:rPr>
                <w:rFonts w:ascii="Tahoma" w:hAnsi="Tahoma" w:cs="Tahoma"/>
                <w:b/>
                <w:bCs/>
                <w:iCs/>
                <w:color w:val="243285"/>
                <w:sz w:val="36"/>
                <w:szCs w:val="36"/>
                <w:lang w:val="en-GB"/>
              </w:rPr>
              <w:t xml:space="preserve"> Series</w:t>
            </w:r>
          </w:p>
          <w:p w14:paraId="3AFF0E59" w14:textId="36F011F0" w:rsidR="00FE79FE" w:rsidRPr="00D20DEF" w:rsidRDefault="000A4386" w:rsidP="00FE79FE">
            <w:pPr>
              <w:spacing w:before="80" w:line="360" w:lineRule="exact"/>
              <w:jc w:val="right"/>
              <w:rPr>
                <w:rFonts w:ascii="Tahoma" w:hAnsi="Tahoma" w:cs="Tahoma"/>
                <w:b/>
                <w:bCs/>
                <w:iCs/>
                <w:color w:val="243285"/>
                <w:sz w:val="36"/>
                <w:szCs w:val="36"/>
                <w:lang w:val="en-GB"/>
              </w:rPr>
            </w:pPr>
            <w:r w:rsidRPr="00D20DEF">
              <w:rPr>
                <w:rFonts w:ascii="Tahoma" w:hAnsi="Tahoma" w:cs="Tahoma"/>
                <w:b/>
                <w:bCs/>
                <w:color w:val="243285"/>
                <w:sz w:val="36"/>
                <w:szCs w:val="36"/>
                <w:lang w:val="en-GB"/>
              </w:rPr>
              <w:t>Broadcasting service (</w:t>
            </w:r>
            <w:r w:rsidR="00B41BF2">
              <w:rPr>
                <w:rFonts w:ascii="Tahoma" w:hAnsi="Tahoma" w:cs="Tahoma"/>
                <w:b/>
                <w:bCs/>
                <w:color w:val="243285"/>
                <w:sz w:val="36"/>
                <w:szCs w:val="36"/>
                <w:lang w:val="en-GB"/>
              </w:rPr>
              <w:t>television</w:t>
            </w:r>
            <w:r w:rsidRPr="00D20DEF">
              <w:rPr>
                <w:rFonts w:ascii="Tahoma" w:hAnsi="Tahoma" w:cs="Tahoma"/>
                <w:b/>
                <w:bCs/>
                <w:color w:val="243285"/>
                <w:sz w:val="36"/>
                <w:szCs w:val="36"/>
                <w:lang w:val="en-GB"/>
              </w:rPr>
              <w:t>)</w:t>
            </w:r>
          </w:p>
        </w:tc>
      </w:tr>
    </w:tbl>
    <w:p w14:paraId="658E9757" w14:textId="77777777" w:rsidR="00A71FE5" w:rsidRPr="00D20DEF" w:rsidRDefault="00A71FE5" w:rsidP="00CD659B">
      <w:pPr>
        <w:spacing w:before="80"/>
        <w:rPr>
          <w:i/>
          <w:sz w:val="22"/>
          <w:lang w:val="en-GB"/>
        </w:rPr>
      </w:pPr>
    </w:p>
    <w:p w14:paraId="2A50CA36" w14:textId="77777777" w:rsidR="00FE79FE" w:rsidRPr="00D20DEF" w:rsidRDefault="00FE79FE" w:rsidP="00CD659B">
      <w:pPr>
        <w:spacing w:before="80"/>
        <w:rPr>
          <w:i/>
          <w:sz w:val="22"/>
          <w:lang w:val="en-GB"/>
        </w:rPr>
      </w:pPr>
    </w:p>
    <w:p w14:paraId="786A38C7" w14:textId="77777777" w:rsidR="00FE79FE" w:rsidRPr="00D20DEF" w:rsidRDefault="00FE79FE" w:rsidP="00CD659B">
      <w:pPr>
        <w:spacing w:before="80"/>
        <w:rPr>
          <w:i/>
          <w:sz w:val="22"/>
          <w:lang w:val="en-GB"/>
        </w:rPr>
      </w:pPr>
    </w:p>
    <w:p w14:paraId="1E112F38" w14:textId="77777777" w:rsidR="00FE79FE" w:rsidRPr="00D20DEF" w:rsidRDefault="00FE79FE" w:rsidP="00CD659B">
      <w:pPr>
        <w:spacing w:before="80"/>
        <w:rPr>
          <w:i/>
          <w:sz w:val="22"/>
          <w:lang w:val="en-GB"/>
        </w:rPr>
      </w:pPr>
    </w:p>
    <w:p w14:paraId="144D33D0" w14:textId="77777777" w:rsidR="00FE79FE" w:rsidRPr="00D20DEF" w:rsidRDefault="00FE79FE" w:rsidP="00CD659B">
      <w:pPr>
        <w:spacing w:before="80"/>
        <w:rPr>
          <w:i/>
          <w:sz w:val="22"/>
          <w:lang w:val="en-GB"/>
        </w:rPr>
      </w:pPr>
    </w:p>
    <w:p w14:paraId="70C97C70" w14:textId="77777777" w:rsidR="00A71FE5" w:rsidRPr="00D20DEF" w:rsidRDefault="00A71FE5" w:rsidP="00CD659B">
      <w:pPr>
        <w:spacing w:before="80"/>
        <w:rPr>
          <w:i/>
          <w:sz w:val="22"/>
          <w:lang w:val="en-GB"/>
        </w:rPr>
      </w:pPr>
    </w:p>
    <w:p w14:paraId="7CB7D8A2" w14:textId="77777777" w:rsidR="00CD659B" w:rsidRPr="00D20DEF"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D20DEF">
          <w:headerReference w:type="even" r:id="rId11"/>
          <w:headerReference w:type="default" r:id="rId12"/>
          <w:headerReference w:type="first" r:id="rId13"/>
          <w:pgSz w:w="11907" w:h="16840" w:code="9"/>
          <w:pgMar w:top="1089" w:right="1089" w:bottom="284" w:left="1089" w:header="567" w:footer="284" w:gutter="0"/>
          <w:pgNumType w:start="1"/>
          <w:cols w:space="720"/>
        </w:sectPr>
      </w:pPr>
    </w:p>
    <w:p w14:paraId="33FEBA1C" w14:textId="77777777" w:rsidR="00586EF8" w:rsidRPr="00D20DEF"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D20DEF">
        <w:rPr>
          <w:bCs/>
          <w:sz w:val="24"/>
          <w:szCs w:val="24"/>
          <w:lang w:val="en-GB"/>
        </w:rPr>
        <w:lastRenderedPageBreak/>
        <w:t>Foreword</w:t>
      </w:r>
    </w:p>
    <w:p w14:paraId="4E36965E" w14:textId="77777777" w:rsidR="00586EF8" w:rsidRPr="00D20DEF" w:rsidRDefault="00586EF8" w:rsidP="00586EF8">
      <w:pPr>
        <w:spacing w:before="240"/>
        <w:rPr>
          <w:sz w:val="20"/>
          <w:lang w:val="en-GB"/>
        </w:rPr>
      </w:pPr>
      <w:r w:rsidRPr="00D20DEF">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F3377F5" w14:textId="77777777" w:rsidR="00586EF8" w:rsidRPr="00D20DEF" w:rsidRDefault="00586EF8" w:rsidP="00586EF8">
      <w:pPr>
        <w:rPr>
          <w:sz w:val="20"/>
          <w:lang w:val="en-GB"/>
        </w:rPr>
      </w:pPr>
      <w:r w:rsidRPr="00D20DEF">
        <w:rPr>
          <w:sz w:val="20"/>
          <w:lang w:val="en-GB"/>
        </w:rPr>
        <w:t>The regulatory and policy functions of the Radiocommunication Sector are performed by World and Regional Radiocommunication Conferences and Radiocommunication Assemblies supported by Study Groups.</w:t>
      </w:r>
    </w:p>
    <w:p w14:paraId="148DA362" w14:textId="77777777" w:rsidR="00B714F3" w:rsidRPr="00D20DEF" w:rsidRDefault="00B714F3" w:rsidP="002F5199">
      <w:pPr>
        <w:pStyle w:val="Heading1"/>
        <w:spacing w:before="680"/>
        <w:jc w:val="center"/>
        <w:rPr>
          <w:szCs w:val="24"/>
          <w:lang w:val="en-GB"/>
        </w:rPr>
      </w:pPr>
      <w:bookmarkStart w:id="1" w:name="_Toc100654059"/>
      <w:r w:rsidRPr="00D20DEF">
        <w:rPr>
          <w:szCs w:val="24"/>
          <w:lang w:val="en-GB"/>
        </w:rPr>
        <w:t>Policy on Intellectual Property Right (IPR)</w:t>
      </w:r>
      <w:bookmarkEnd w:id="1"/>
    </w:p>
    <w:p w14:paraId="18C1B4FB" w14:textId="2DB5BADD" w:rsidR="00B714F3" w:rsidRPr="00D20DEF" w:rsidRDefault="00B714F3" w:rsidP="00B93581">
      <w:pPr>
        <w:tabs>
          <w:tab w:val="clear" w:pos="794"/>
          <w:tab w:val="clear" w:pos="1191"/>
          <w:tab w:val="clear" w:pos="1588"/>
          <w:tab w:val="clear" w:pos="1985"/>
        </w:tabs>
        <w:spacing w:before="240"/>
        <w:rPr>
          <w:sz w:val="20"/>
          <w:lang w:val="en-GB"/>
        </w:rPr>
      </w:pPr>
      <w:r w:rsidRPr="00D20DEF">
        <w:rPr>
          <w:sz w:val="20"/>
          <w:lang w:val="en-GB"/>
        </w:rPr>
        <w:t>ITU-R policy on IPR is described in the Common Patent Policy for ITU-T/ITU-R/ISO/IEC referenced in Resolution ITU</w:t>
      </w:r>
      <w:r w:rsidR="00B93581" w:rsidRPr="00D20DEF">
        <w:rPr>
          <w:sz w:val="20"/>
          <w:lang w:val="en-GB"/>
        </w:rPr>
        <w:noBreakHyphen/>
      </w:r>
      <w:r w:rsidRPr="00D20DEF">
        <w:rPr>
          <w:sz w:val="20"/>
          <w:lang w:val="en-GB"/>
        </w:rPr>
        <w:t xml:space="preserve">R 1. Forms to be used for the submission of patent statements and licensing declarations by patent holders are available from </w:t>
      </w:r>
      <w:hyperlink r:id="rId14" w:history="1">
        <w:r w:rsidR="00BC3587" w:rsidRPr="00D20DEF">
          <w:rPr>
            <w:rStyle w:val="Hyperlink"/>
            <w:sz w:val="20"/>
            <w:lang w:val="en-GB"/>
          </w:rPr>
          <w:t>http://www.itu.int/ITU-R/go/patents/en</w:t>
        </w:r>
      </w:hyperlink>
      <w:r w:rsidRPr="00D20DEF">
        <w:rPr>
          <w:sz w:val="20"/>
          <w:lang w:val="en-GB"/>
        </w:rPr>
        <w:t xml:space="preserve"> where the Guidelines for Implementation of the Common Patent Policy for ITU</w:t>
      </w:r>
      <w:r w:rsidRPr="00D20DEF">
        <w:rPr>
          <w:sz w:val="20"/>
          <w:lang w:val="en-GB"/>
        </w:rPr>
        <w:noBreakHyphen/>
        <w:t>T/ITU</w:t>
      </w:r>
      <w:r w:rsidRPr="00D20DEF">
        <w:rPr>
          <w:sz w:val="20"/>
          <w:lang w:val="en-GB"/>
        </w:rPr>
        <w:noBreakHyphen/>
        <w:t xml:space="preserve">R/ISO/IEC and the ITU-R patent information database can also be found. </w:t>
      </w:r>
    </w:p>
    <w:p w14:paraId="5A48B482" w14:textId="77777777" w:rsidR="00586EF8" w:rsidRPr="00D20DEF" w:rsidRDefault="00586EF8" w:rsidP="00586EF8">
      <w:pPr>
        <w:jc w:val="center"/>
        <w:rPr>
          <w:sz w:val="22"/>
          <w:lang w:val="en-GB"/>
        </w:rPr>
      </w:pPr>
    </w:p>
    <w:p w14:paraId="3241C954" w14:textId="77777777" w:rsidR="00A971A1" w:rsidRPr="00D20DEF"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6D0942" w14:paraId="4ABE1CEF" w14:textId="77777777">
        <w:tc>
          <w:tcPr>
            <w:tcW w:w="9360" w:type="dxa"/>
            <w:gridSpan w:val="2"/>
          </w:tcPr>
          <w:p w14:paraId="20D556C9" w14:textId="77777777" w:rsidR="00036EE3" w:rsidRPr="00D20DEF"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D20DEF">
              <w:rPr>
                <w:sz w:val="22"/>
                <w:szCs w:val="22"/>
                <w:lang w:val="en-GB"/>
              </w:rPr>
              <w:t xml:space="preserve">Series of ITU-R Recommendations </w:t>
            </w:r>
          </w:p>
          <w:p w14:paraId="336F2A7F" w14:textId="77777777" w:rsidR="00036EE3" w:rsidRPr="00D20DEF"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D20DEF">
              <w:rPr>
                <w:b w:val="0"/>
                <w:sz w:val="18"/>
                <w:szCs w:val="18"/>
                <w:lang w:val="en-GB"/>
              </w:rPr>
              <w:t xml:space="preserve">(Also available online at </w:t>
            </w:r>
            <w:hyperlink r:id="rId15" w:history="1">
              <w:r w:rsidR="00DB63E5" w:rsidRPr="00D20DEF">
                <w:rPr>
                  <w:rStyle w:val="Hyperlink"/>
                  <w:b w:val="0"/>
                  <w:sz w:val="18"/>
                  <w:szCs w:val="18"/>
                  <w:lang w:val="en-GB"/>
                </w:rPr>
                <w:t>http://www.itu.int/publ/R-REC/en</w:t>
              </w:r>
            </w:hyperlink>
            <w:r w:rsidRPr="00D20DEF">
              <w:rPr>
                <w:b w:val="0"/>
                <w:sz w:val="18"/>
                <w:szCs w:val="18"/>
                <w:lang w:val="en-GB"/>
              </w:rPr>
              <w:t>)</w:t>
            </w:r>
          </w:p>
        </w:tc>
      </w:tr>
      <w:tr w:rsidR="00A971A1" w:rsidRPr="00D20DEF" w14:paraId="0107CC81" w14:textId="77777777">
        <w:tc>
          <w:tcPr>
            <w:tcW w:w="1140" w:type="dxa"/>
          </w:tcPr>
          <w:p w14:paraId="7A68CBA5" w14:textId="77777777" w:rsidR="00A971A1" w:rsidRPr="00D20DEF" w:rsidRDefault="00A971A1" w:rsidP="000D0677">
            <w:pPr>
              <w:spacing w:before="200" w:after="100"/>
              <w:ind w:left="57"/>
              <w:rPr>
                <w:b/>
                <w:bCs/>
                <w:sz w:val="20"/>
                <w:lang w:val="en-GB"/>
              </w:rPr>
            </w:pPr>
            <w:r w:rsidRPr="00D20DEF">
              <w:rPr>
                <w:b/>
                <w:bCs/>
                <w:sz w:val="20"/>
                <w:lang w:val="en-GB"/>
              </w:rPr>
              <w:t>Series</w:t>
            </w:r>
          </w:p>
        </w:tc>
        <w:tc>
          <w:tcPr>
            <w:tcW w:w="8220" w:type="dxa"/>
          </w:tcPr>
          <w:p w14:paraId="21597C71" w14:textId="77777777" w:rsidR="00A971A1" w:rsidRPr="00D20DEF"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D20DEF">
              <w:rPr>
                <w:bCs/>
                <w:sz w:val="20"/>
                <w:lang w:val="en-GB"/>
              </w:rPr>
              <w:t>Title</w:t>
            </w:r>
          </w:p>
        </w:tc>
      </w:tr>
      <w:tr w:rsidR="00A31928" w:rsidRPr="00D20DEF" w14:paraId="302F78D9" w14:textId="77777777">
        <w:tc>
          <w:tcPr>
            <w:tcW w:w="1140" w:type="dxa"/>
          </w:tcPr>
          <w:p w14:paraId="233D0EFD" w14:textId="77777777" w:rsidR="00A31928" w:rsidRPr="00D20DEF" w:rsidRDefault="00A31928" w:rsidP="006B1D2B">
            <w:pPr>
              <w:spacing w:before="30" w:after="30"/>
              <w:ind w:left="57"/>
              <w:jc w:val="left"/>
              <w:rPr>
                <w:b/>
                <w:bCs/>
                <w:sz w:val="20"/>
                <w:lang w:val="en-GB"/>
              </w:rPr>
            </w:pPr>
            <w:r w:rsidRPr="00D20DEF">
              <w:rPr>
                <w:b/>
                <w:bCs/>
                <w:sz w:val="20"/>
                <w:lang w:val="en-GB"/>
              </w:rPr>
              <w:t>BO</w:t>
            </w:r>
          </w:p>
        </w:tc>
        <w:tc>
          <w:tcPr>
            <w:tcW w:w="8220" w:type="dxa"/>
          </w:tcPr>
          <w:p w14:paraId="7874B422" w14:textId="77777777" w:rsidR="00A31928" w:rsidRPr="00D20DE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D20DEF">
              <w:rPr>
                <w:b w:val="0"/>
                <w:bCs/>
                <w:sz w:val="20"/>
                <w:lang w:val="en-GB"/>
              </w:rPr>
              <w:t>Satellite delivery</w:t>
            </w:r>
          </w:p>
        </w:tc>
      </w:tr>
      <w:tr w:rsidR="00A31928" w:rsidRPr="006D0942" w14:paraId="05554D49" w14:textId="77777777" w:rsidTr="00B41BF2">
        <w:tc>
          <w:tcPr>
            <w:tcW w:w="1140" w:type="dxa"/>
            <w:tcBorders>
              <w:bottom w:val="nil"/>
            </w:tcBorders>
          </w:tcPr>
          <w:p w14:paraId="283BDBB3" w14:textId="77777777" w:rsidR="00A31928" w:rsidRPr="00D20DEF" w:rsidRDefault="00A31928" w:rsidP="006B1D2B">
            <w:pPr>
              <w:spacing w:before="30" w:after="30"/>
              <w:ind w:left="57"/>
              <w:jc w:val="left"/>
              <w:rPr>
                <w:b/>
                <w:bCs/>
                <w:sz w:val="20"/>
                <w:lang w:val="en-GB"/>
              </w:rPr>
            </w:pPr>
            <w:r w:rsidRPr="00D20DEF">
              <w:rPr>
                <w:b/>
                <w:bCs/>
                <w:sz w:val="20"/>
                <w:lang w:val="en-GB"/>
              </w:rPr>
              <w:t>BR</w:t>
            </w:r>
          </w:p>
        </w:tc>
        <w:tc>
          <w:tcPr>
            <w:tcW w:w="8220" w:type="dxa"/>
            <w:tcBorders>
              <w:bottom w:val="nil"/>
            </w:tcBorders>
          </w:tcPr>
          <w:p w14:paraId="1B6824B7" w14:textId="77777777" w:rsidR="00A31928" w:rsidRPr="00D20DE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0DEF">
              <w:rPr>
                <w:b w:val="0"/>
                <w:sz w:val="20"/>
                <w:lang w:val="en-GB"/>
              </w:rPr>
              <w:t>Recording for production, archival and play-out; film for television</w:t>
            </w:r>
          </w:p>
        </w:tc>
      </w:tr>
      <w:tr w:rsidR="00A31928" w:rsidRPr="00D20DEF" w14:paraId="2B1F8BEC" w14:textId="77777777" w:rsidTr="00B41BF2">
        <w:tc>
          <w:tcPr>
            <w:tcW w:w="1140" w:type="dxa"/>
            <w:tcBorders>
              <w:top w:val="nil"/>
              <w:bottom w:val="nil"/>
            </w:tcBorders>
            <w:shd w:val="clear" w:color="auto" w:fill="auto"/>
          </w:tcPr>
          <w:p w14:paraId="3482A3F7" w14:textId="77777777" w:rsidR="00A31928" w:rsidRPr="00B41BF2" w:rsidRDefault="00A31928" w:rsidP="006B1D2B">
            <w:pPr>
              <w:spacing w:before="30" w:after="30"/>
              <w:ind w:left="57"/>
              <w:jc w:val="left"/>
              <w:rPr>
                <w:b/>
                <w:bCs/>
                <w:sz w:val="20"/>
                <w:lang w:val="en-GB"/>
              </w:rPr>
            </w:pPr>
            <w:r w:rsidRPr="00B41BF2">
              <w:rPr>
                <w:b/>
                <w:bCs/>
                <w:sz w:val="20"/>
                <w:lang w:val="en-GB"/>
              </w:rPr>
              <w:t>BS</w:t>
            </w:r>
          </w:p>
        </w:tc>
        <w:tc>
          <w:tcPr>
            <w:tcW w:w="8220" w:type="dxa"/>
            <w:tcBorders>
              <w:top w:val="nil"/>
              <w:bottom w:val="nil"/>
            </w:tcBorders>
            <w:shd w:val="clear" w:color="auto" w:fill="auto"/>
          </w:tcPr>
          <w:p w14:paraId="12D90849" w14:textId="77777777" w:rsidR="00A31928" w:rsidRPr="00B41BF2"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B41BF2">
              <w:rPr>
                <w:b w:val="0"/>
                <w:sz w:val="20"/>
                <w:lang w:val="en-GB"/>
              </w:rPr>
              <w:t>Broadcasting service (sound)</w:t>
            </w:r>
          </w:p>
        </w:tc>
      </w:tr>
      <w:tr w:rsidR="00A31928" w:rsidRPr="00D20DEF" w14:paraId="270ADF61" w14:textId="77777777" w:rsidTr="000A4386">
        <w:tc>
          <w:tcPr>
            <w:tcW w:w="1140" w:type="dxa"/>
            <w:tcBorders>
              <w:top w:val="nil"/>
            </w:tcBorders>
            <w:shd w:val="clear" w:color="auto" w:fill="auto"/>
          </w:tcPr>
          <w:p w14:paraId="7447A76F" w14:textId="77777777" w:rsidR="00A31928" w:rsidRPr="00B41BF2" w:rsidRDefault="00A31928" w:rsidP="006B1D2B">
            <w:pPr>
              <w:spacing w:before="30" w:after="30"/>
              <w:ind w:left="57"/>
              <w:jc w:val="left"/>
              <w:rPr>
                <w:rFonts w:ascii="Times New Roman Bold" w:hAnsi="Times New Roman Bold" w:cs="Times New Roman Bold"/>
                <w:color w:val="000080"/>
                <w:sz w:val="20"/>
                <w:lang w:val="en-GB"/>
              </w:rPr>
            </w:pPr>
            <w:r w:rsidRPr="00B41BF2">
              <w:rPr>
                <w:rFonts w:ascii="Times New Roman Bold" w:hAnsi="Times New Roman Bold" w:cs="Times New Roman Bold"/>
                <w:color w:val="000080"/>
                <w:sz w:val="20"/>
                <w:lang w:val="en-GB"/>
              </w:rPr>
              <w:t>BT</w:t>
            </w:r>
          </w:p>
        </w:tc>
        <w:tc>
          <w:tcPr>
            <w:tcW w:w="8220" w:type="dxa"/>
            <w:tcBorders>
              <w:top w:val="nil"/>
            </w:tcBorders>
            <w:shd w:val="clear" w:color="auto" w:fill="auto"/>
          </w:tcPr>
          <w:p w14:paraId="7BEF5132" w14:textId="77777777" w:rsidR="00A31928" w:rsidRPr="00B41BF2"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B41BF2">
              <w:rPr>
                <w:rFonts w:ascii="Times New Roman Bold" w:hAnsi="Times New Roman Bold" w:cs="Times New Roman Bold"/>
                <w:b w:val="0"/>
                <w:color w:val="000080"/>
                <w:sz w:val="20"/>
                <w:lang w:val="en-GB"/>
              </w:rPr>
              <w:t>Broadcasting service (television)</w:t>
            </w:r>
          </w:p>
        </w:tc>
      </w:tr>
      <w:tr w:rsidR="00A31928" w:rsidRPr="00D20DEF" w14:paraId="66538DE2" w14:textId="77777777">
        <w:tc>
          <w:tcPr>
            <w:tcW w:w="1140" w:type="dxa"/>
            <w:shd w:val="clear" w:color="auto" w:fill="auto"/>
          </w:tcPr>
          <w:p w14:paraId="67285B96" w14:textId="77777777" w:rsidR="00A31928" w:rsidRPr="00D20DEF" w:rsidRDefault="00A31928" w:rsidP="006B1D2B">
            <w:pPr>
              <w:spacing w:before="30" w:after="30"/>
              <w:ind w:left="57"/>
              <w:jc w:val="left"/>
              <w:rPr>
                <w:b/>
                <w:bCs/>
                <w:sz w:val="20"/>
                <w:lang w:val="en-GB"/>
              </w:rPr>
            </w:pPr>
            <w:r w:rsidRPr="00D20DEF">
              <w:rPr>
                <w:b/>
                <w:bCs/>
                <w:sz w:val="20"/>
                <w:lang w:val="en-GB"/>
              </w:rPr>
              <w:t>F</w:t>
            </w:r>
          </w:p>
        </w:tc>
        <w:tc>
          <w:tcPr>
            <w:tcW w:w="8220" w:type="dxa"/>
            <w:shd w:val="clear" w:color="auto" w:fill="auto"/>
          </w:tcPr>
          <w:p w14:paraId="124E710C" w14:textId="77777777" w:rsidR="00A31928" w:rsidRPr="00D20DE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0DEF">
              <w:rPr>
                <w:sz w:val="20"/>
                <w:lang w:val="en-GB"/>
              </w:rPr>
              <w:t>Fixed service</w:t>
            </w:r>
          </w:p>
        </w:tc>
      </w:tr>
      <w:tr w:rsidR="00A31928" w:rsidRPr="00D20DEF" w14:paraId="66648E9E" w14:textId="77777777">
        <w:tc>
          <w:tcPr>
            <w:tcW w:w="1140" w:type="dxa"/>
            <w:shd w:val="clear" w:color="auto" w:fill="auto"/>
          </w:tcPr>
          <w:p w14:paraId="2E76FD9B" w14:textId="77777777" w:rsidR="00A31928" w:rsidRPr="00D20DEF" w:rsidRDefault="00A31928" w:rsidP="006B1D2B">
            <w:pPr>
              <w:spacing w:before="30" w:after="30"/>
              <w:ind w:left="57"/>
              <w:jc w:val="left"/>
              <w:rPr>
                <w:b/>
                <w:bCs/>
                <w:sz w:val="20"/>
                <w:lang w:val="en-GB"/>
              </w:rPr>
            </w:pPr>
            <w:r w:rsidRPr="00D20DEF">
              <w:rPr>
                <w:b/>
                <w:bCs/>
                <w:sz w:val="20"/>
                <w:lang w:val="en-GB"/>
              </w:rPr>
              <w:t>M</w:t>
            </w:r>
          </w:p>
        </w:tc>
        <w:tc>
          <w:tcPr>
            <w:tcW w:w="8220" w:type="dxa"/>
            <w:shd w:val="clear" w:color="auto" w:fill="auto"/>
          </w:tcPr>
          <w:p w14:paraId="25EBE95E" w14:textId="77777777" w:rsidR="00A31928" w:rsidRPr="00D20DE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0DEF">
              <w:rPr>
                <w:b w:val="0"/>
                <w:sz w:val="20"/>
                <w:lang w:val="en-GB"/>
              </w:rPr>
              <w:t>Mobile, radiodetermination, amateur and related satellite services</w:t>
            </w:r>
          </w:p>
        </w:tc>
      </w:tr>
      <w:tr w:rsidR="00A31928" w:rsidRPr="00D20DEF" w14:paraId="7ABA2B4E" w14:textId="77777777">
        <w:tc>
          <w:tcPr>
            <w:tcW w:w="1140" w:type="dxa"/>
          </w:tcPr>
          <w:p w14:paraId="3AC02A93" w14:textId="77777777" w:rsidR="00A31928" w:rsidRPr="00D20DEF" w:rsidRDefault="00A31928" w:rsidP="006B1D2B">
            <w:pPr>
              <w:spacing w:before="30" w:after="30"/>
              <w:ind w:left="57"/>
              <w:jc w:val="left"/>
              <w:rPr>
                <w:b/>
                <w:bCs/>
                <w:sz w:val="20"/>
                <w:lang w:val="en-GB"/>
              </w:rPr>
            </w:pPr>
            <w:r w:rsidRPr="00D20DEF">
              <w:rPr>
                <w:b/>
                <w:bCs/>
                <w:sz w:val="20"/>
                <w:lang w:val="en-GB"/>
              </w:rPr>
              <w:t>P</w:t>
            </w:r>
          </w:p>
        </w:tc>
        <w:tc>
          <w:tcPr>
            <w:tcW w:w="8220" w:type="dxa"/>
          </w:tcPr>
          <w:p w14:paraId="792E27CF" w14:textId="77777777" w:rsidR="00A31928" w:rsidRPr="00D20DEF" w:rsidRDefault="00A31928" w:rsidP="006B1D2B">
            <w:pPr>
              <w:spacing w:before="30" w:after="30"/>
              <w:jc w:val="left"/>
              <w:rPr>
                <w:sz w:val="20"/>
                <w:lang w:val="en-GB"/>
              </w:rPr>
            </w:pPr>
            <w:r w:rsidRPr="00D20DEF">
              <w:rPr>
                <w:sz w:val="20"/>
                <w:lang w:val="en-GB"/>
              </w:rPr>
              <w:t>Radiowave propagation</w:t>
            </w:r>
          </w:p>
        </w:tc>
      </w:tr>
      <w:tr w:rsidR="00A31928" w:rsidRPr="00D20DEF" w14:paraId="7889A195" w14:textId="77777777">
        <w:tc>
          <w:tcPr>
            <w:tcW w:w="1140" w:type="dxa"/>
          </w:tcPr>
          <w:p w14:paraId="531C39F5" w14:textId="77777777" w:rsidR="00A31928" w:rsidRPr="00D20DEF" w:rsidRDefault="00A31928" w:rsidP="006B1D2B">
            <w:pPr>
              <w:spacing w:before="30" w:after="30"/>
              <w:ind w:left="57"/>
              <w:jc w:val="left"/>
              <w:rPr>
                <w:b/>
                <w:bCs/>
                <w:sz w:val="20"/>
                <w:lang w:val="en-GB"/>
              </w:rPr>
            </w:pPr>
            <w:r w:rsidRPr="00D20DEF">
              <w:rPr>
                <w:b/>
                <w:bCs/>
                <w:sz w:val="20"/>
                <w:lang w:val="en-GB"/>
              </w:rPr>
              <w:t>RA</w:t>
            </w:r>
          </w:p>
        </w:tc>
        <w:tc>
          <w:tcPr>
            <w:tcW w:w="8220" w:type="dxa"/>
          </w:tcPr>
          <w:p w14:paraId="7CE8581F" w14:textId="77777777" w:rsidR="00A31928" w:rsidRPr="00D20DE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0DEF">
              <w:rPr>
                <w:sz w:val="20"/>
                <w:lang w:val="en-GB"/>
              </w:rPr>
              <w:t>Radio astronomy</w:t>
            </w:r>
          </w:p>
        </w:tc>
      </w:tr>
      <w:tr w:rsidR="00A31928" w:rsidRPr="00D20DEF" w14:paraId="22EC35BB" w14:textId="77777777">
        <w:tc>
          <w:tcPr>
            <w:tcW w:w="1140" w:type="dxa"/>
          </w:tcPr>
          <w:p w14:paraId="5308C8F0" w14:textId="77777777" w:rsidR="00A31928" w:rsidRPr="00D20DEF" w:rsidRDefault="00A31928" w:rsidP="006B1D2B">
            <w:pPr>
              <w:spacing w:before="30" w:after="30"/>
              <w:ind w:left="57"/>
              <w:jc w:val="left"/>
              <w:rPr>
                <w:b/>
                <w:bCs/>
                <w:sz w:val="20"/>
                <w:lang w:val="en-GB"/>
              </w:rPr>
            </w:pPr>
            <w:r w:rsidRPr="00D20DEF">
              <w:rPr>
                <w:b/>
                <w:bCs/>
                <w:sz w:val="20"/>
                <w:lang w:val="en-GB"/>
              </w:rPr>
              <w:t>RS</w:t>
            </w:r>
          </w:p>
        </w:tc>
        <w:tc>
          <w:tcPr>
            <w:tcW w:w="8220" w:type="dxa"/>
          </w:tcPr>
          <w:p w14:paraId="13118A1D" w14:textId="77777777" w:rsidR="00A31928" w:rsidRPr="00D20DE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0DEF">
              <w:rPr>
                <w:sz w:val="20"/>
                <w:lang w:val="en-GB"/>
              </w:rPr>
              <w:t>Remote sensing systems</w:t>
            </w:r>
          </w:p>
        </w:tc>
      </w:tr>
      <w:tr w:rsidR="00A31928" w:rsidRPr="00D20DEF" w14:paraId="6CE9BE8B" w14:textId="77777777">
        <w:tc>
          <w:tcPr>
            <w:tcW w:w="1140" w:type="dxa"/>
          </w:tcPr>
          <w:p w14:paraId="5AD60D71" w14:textId="77777777" w:rsidR="00A31928" w:rsidRPr="00D20DEF" w:rsidRDefault="00A31928" w:rsidP="006B1D2B">
            <w:pPr>
              <w:spacing w:before="30" w:after="30"/>
              <w:ind w:left="57"/>
              <w:jc w:val="left"/>
              <w:rPr>
                <w:b/>
                <w:bCs/>
                <w:sz w:val="20"/>
                <w:lang w:val="en-GB"/>
              </w:rPr>
            </w:pPr>
            <w:r w:rsidRPr="00D20DEF">
              <w:rPr>
                <w:b/>
                <w:bCs/>
                <w:sz w:val="20"/>
                <w:lang w:val="en-GB"/>
              </w:rPr>
              <w:t>S</w:t>
            </w:r>
          </w:p>
        </w:tc>
        <w:tc>
          <w:tcPr>
            <w:tcW w:w="8220" w:type="dxa"/>
          </w:tcPr>
          <w:p w14:paraId="60CE7EF7" w14:textId="77777777" w:rsidR="00A31928" w:rsidRPr="00D20DEF" w:rsidRDefault="00A31928" w:rsidP="006B1D2B">
            <w:pPr>
              <w:spacing w:before="30" w:after="30"/>
              <w:jc w:val="left"/>
              <w:rPr>
                <w:sz w:val="20"/>
                <w:lang w:val="en-GB"/>
              </w:rPr>
            </w:pPr>
            <w:r w:rsidRPr="00D20DEF">
              <w:rPr>
                <w:sz w:val="20"/>
                <w:lang w:val="en-GB"/>
              </w:rPr>
              <w:t>Fixed-satellite service</w:t>
            </w:r>
          </w:p>
        </w:tc>
      </w:tr>
      <w:tr w:rsidR="00A31928" w:rsidRPr="00D20DEF" w14:paraId="4B340630" w14:textId="77777777">
        <w:tc>
          <w:tcPr>
            <w:tcW w:w="1140" w:type="dxa"/>
          </w:tcPr>
          <w:p w14:paraId="5E3FBB27" w14:textId="77777777" w:rsidR="00A31928" w:rsidRPr="00D20DEF" w:rsidRDefault="00A31928" w:rsidP="006B1D2B">
            <w:pPr>
              <w:spacing w:before="30" w:after="30"/>
              <w:ind w:left="57"/>
              <w:jc w:val="left"/>
              <w:rPr>
                <w:b/>
                <w:bCs/>
                <w:sz w:val="20"/>
                <w:lang w:val="en-GB"/>
              </w:rPr>
            </w:pPr>
            <w:r w:rsidRPr="00D20DEF">
              <w:rPr>
                <w:b/>
                <w:bCs/>
                <w:sz w:val="20"/>
                <w:lang w:val="en-GB"/>
              </w:rPr>
              <w:t>SA</w:t>
            </w:r>
          </w:p>
        </w:tc>
        <w:tc>
          <w:tcPr>
            <w:tcW w:w="8220" w:type="dxa"/>
          </w:tcPr>
          <w:p w14:paraId="4DFBAD4B" w14:textId="77777777" w:rsidR="00A31928" w:rsidRPr="00D20DEF" w:rsidRDefault="00A31928" w:rsidP="006B1D2B">
            <w:pPr>
              <w:spacing w:before="30" w:after="30"/>
              <w:jc w:val="left"/>
              <w:rPr>
                <w:sz w:val="20"/>
                <w:lang w:val="en-GB"/>
              </w:rPr>
            </w:pPr>
            <w:r w:rsidRPr="00D20DEF">
              <w:rPr>
                <w:sz w:val="20"/>
                <w:lang w:val="en-GB"/>
              </w:rPr>
              <w:t>Space applications and meteorology</w:t>
            </w:r>
          </w:p>
        </w:tc>
      </w:tr>
      <w:tr w:rsidR="00A31928" w:rsidRPr="006D0942" w14:paraId="18D487D9" w14:textId="77777777" w:rsidTr="000A4386">
        <w:tc>
          <w:tcPr>
            <w:tcW w:w="1140" w:type="dxa"/>
            <w:tcBorders>
              <w:bottom w:val="nil"/>
            </w:tcBorders>
          </w:tcPr>
          <w:p w14:paraId="25DE4784" w14:textId="77777777" w:rsidR="00A31928" w:rsidRPr="00D20DEF" w:rsidRDefault="00A31928" w:rsidP="006B1D2B">
            <w:pPr>
              <w:spacing w:before="30" w:after="30"/>
              <w:ind w:left="57"/>
              <w:jc w:val="left"/>
              <w:rPr>
                <w:b/>
                <w:bCs/>
                <w:sz w:val="20"/>
                <w:lang w:val="en-GB"/>
              </w:rPr>
            </w:pPr>
            <w:r w:rsidRPr="00D20DEF">
              <w:rPr>
                <w:b/>
                <w:bCs/>
                <w:sz w:val="20"/>
                <w:lang w:val="en-GB"/>
              </w:rPr>
              <w:t>SF</w:t>
            </w:r>
          </w:p>
        </w:tc>
        <w:tc>
          <w:tcPr>
            <w:tcW w:w="8220" w:type="dxa"/>
            <w:tcBorders>
              <w:bottom w:val="nil"/>
            </w:tcBorders>
          </w:tcPr>
          <w:p w14:paraId="5B6A51E4" w14:textId="77777777" w:rsidR="00A31928" w:rsidRPr="00D20DEF" w:rsidRDefault="00A31928" w:rsidP="006B1D2B">
            <w:pPr>
              <w:spacing w:before="30" w:after="30"/>
              <w:jc w:val="left"/>
              <w:rPr>
                <w:sz w:val="20"/>
                <w:lang w:val="en-GB"/>
              </w:rPr>
            </w:pPr>
            <w:r w:rsidRPr="00D20DEF">
              <w:rPr>
                <w:sz w:val="20"/>
                <w:lang w:val="en-GB"/>
              </w:rPr>
              <w:t>Frequency sharing and coordination between fixed-satellite and fixed service systems</w:t>
            </w:r>
          </w:p>
        </w:tc>
      </w:tr>
      <w:tr w:rsidR="00A31928" w:rsidRPr="00D20DEF" w14:paraId="4F4EC7F5" w14:textId="77777777" w:rsidTr="000A4386">
        <w:tc>
          <w:tcPr>
            <w:tcW w:w="1140" w:type="dxa"/>
            <w:tcBorders>
              <w:top w:val="nil"/>
              <w:bottom w:val="nil"/>
            </w:tcBorders>
            <w:shd w:val="clear" w:color="auto" w:fill="auto"/>
          </w:tcPr>
          <w:p w14:paraId="2C6C5884" w14:textId="77777777" w:rsidR="00A31928" w:rsidRPr="00D20DEF" w:rsidRDefault="00A31928" w:rsidP="006B1D2B">
            <w:pPr>
              <w:spacing w:before="30" w:after="30"/>
              <w:ind w:left="57"/>
              <w:jc w:val="left"/>
              <w:rPr>
                <w:b/>
                <w:bCs/>
                <w:sz w:val="20"/>
                <w:lang w:val="en-GB"/>
              </w:rPr>
            </w:pPr>
            <w:r w:rsidRPr="00D20DEF">
              <w:rPr>
                <w:b/>
                <w:bCs/>
                <w:sz w:val="20"/>
                <w:lang w:val="en-GB"/>
              </w:rPr>
              <w:t>SM</w:t>
            </w:r>
          </w:p>
        </w:tc>
        <w:tc>
          <w:tcPr>
            <w:tcW w:w="8220" w:type="dxa"/>
            <w:tcBorders>
              <w:top w:val="nil"/>
              <w:bottom w:val="nil"/>
            </w:tcBorders>
            <w:shd w:val="clear" w:color="auto" w:fill="auto"/>
          </w:tcPr>
          <w:p w14:paraId="538C7AC5" w14:textId="77777777" w:rsidR="00A31928" w:rsidRPr="00D20DEF" w:rsidRDefault="00A31928" w:rsidP="006B1D2B">
            <w:pPr>
              <w:spacing w:before="30" w:after="30"/>
              <w:jc w:val="left"/>
              <w:rPr>
                <w:sz w:val="20"/>
                <w:lang w:val="en-GB"/>
              </w:rPr>
            </w:pPr>
            <w:r w:rsidRPr="00D20DEF">
              <w:rPr>
                <w:sz w:val="20"/>
                <w:lang w:val="en-GB"/>
              </w:rPr>
              <w:t>Spectrum management</w:t>
            </w:r>
          </w:p>
        </w:tc>
      </w:tr>
      <w:tr w:rsidR="00A31928" w:rsidRPr="00D20DEF" w14:paraId="56C23FAA" w14:textId="77777777" w:rsidTr="000A4386">
        <w:tc>
          <w:tcPr>
            <w:tcW w:w="1140" w:type="dxa"/>
            <w:tcBorders>
              <w:top w:val="nil"/>
            </w:tcBorders>
          </w:tcPr>
          <w:p w14:paraId="1C59ED87" w14:textId="77777777" w:rsidR="00A31928" w:rsidRPr="00D20DEF" w:rsidRDefault="00A31928" w:rsidP="006B1D2B">
            <w:pPr>
              <w:spacing w:before="30" w:after="30"/>
              <w:ind w:left="57"/>
              <w:jc w:val="left"/>
              <w:rPr>
                <w:b/>
                <w:bCs/>
                <w:sz w:val="20"/>
                <w:lang w:val="en-GB"/>
              </w:rPr>
            </w:pPr>
            <w:r w:rsidRPr="00D20DEF">
              <w:rPr>
                <w:b/>
                <w:bCs/>
                <w:sz w:val="20"/>
                <w:lang w:val="en-GB"/>
              </w:rPr>
              <w:t>SNG</w:t>
            </w:r>
          </w:p>
        </w:tc>
        <w:tc>
          <w:tcPr>
            <w:tcW w:w="8220" w:type="dxa"/>
            <w:tcBorders>
              <w:top w:val="nil"/>
            </w:tcBorders>
          </w:tcPr>
          <w:p w14:paraId="40FA209F" w14:textId="77777777" w:rsidR="00A31928" w:rsidRPr="00D20DEF" w:rsidRDefault="00A31928" w:rsidP="006B1D2B">
            <w:pPr>
              <w:spacing w:before="30" w:after="30"/>
              <w:jc w:val="left"/>
              <w:rPr>
                <w:sz w:val="20"/>
                <w:lang w:val="en-GB"/>
              </w:rPr>
            </w:pPr>
            <w:r w:rsidRPr="00D20DEF">
              <w:rPr>
                <w:sz w:val="20"/>
                <w:lang w:val="en-GB"/>
              </w:rPr>
              <w:t>Satellite news gathering</w:t>
            </w:r>
          </w:p>
        </w:tc>
      </w:tr>
      <w:tr w:rsidR="00A31928" w:rsidRPr="006D0942" w14:paraId="1D14C9F9" w14:textId="77777777">
        <w:tc>
          <w:tcPr>
            <w:tcW w:w="1140" w:type="dxa"/>
          </w:tcPr>
          <w:p w14:paraId="751136AB" w14:textId="77777777" w:rsidR="00A31928" w:rsidRPr="00D20DEF" w:rsidRDefault="00A31928" w:rsidP="006B1D2B">
            <w:pPr>
              <w:spacing w:before="30" w:after="30"/>
              <w:ind w:left="57"/>
              <w:jc w:val="left"/>
              <w:rPr>
                <w:b/>
                <w:bCs/>
                <w:sz w:val="20"/>
                <w:lang w:val="en-GB"/>
              </w:rPr>
            </w:pPr>
            <w:r w:rsidRPr="00D20DEF">
              <w:rPr>
                <w:b/>
                <w:bCs/>
                <w:sz w:val="20"/>
                <w:lang w:val="en-GB"/>
              </w:rPr>
              <w:t>TF</w:t>
            </w:r>
          </w:p>
        </w:tc>
        <w:tc>
          <w:tcPr>
            <w:tcW w:w="8220" w:type="dxa"/>
          </w:tcPr>
          <w:p w14:paraId="306B3D20" w14:textId="77777777" w:rsidR="00A31928" w:rsidRPr="00D20DEF" w:rsidRDefault="00A31928" w:rsidP="006B1D2B">
            <w:pPr>
              <w:spacing w:before="30" w:after="30"/>
              <w:jc w:val="left"/>
              <w:rPr>
                <w:sz w:val="20"/>
                <w:lang w:val="en-GB"/>
              </w:rPr>
            </w:pPr>
            <w:r w:rsidRPr="00D20DEF">
              <w:rPr>
                <w:sz w:val="20"/>
                <w:lang w:val="en-GB"/>
              </w:rPr>
              <w:t>Time signals and frequency standards emissions</w:t>
            </w:r>
          </w:p>
        </w:tc>
      </w:tr>
      <w:tr w:rsidR="00A31928" w:rsidRPr="00D20DEF" w14:paraId="23146FC3" w14:textId="77777777">
        <w:tc>
          <w:tcPr>
            <w:tcW w:w="1140" w:type="dxa"/>
          </w:tcPr>
          <w:p w14:paraId="419504A9" w14:textId="77777777" w:rsidR="00A31928" w:rsidRPr="00D20DEF" w:rsidRDefault="00A31928" w:rsidP="006B1D2B">
            <w:pPr>
              <w:spacing w:before="30" w:after="30"/>
              <w:ind w:left="57"/>
              <w:jc w:val="left"/>
              <w:rPr>
                <w:b/>
                <w:bCs/>
                <w:sz w:val="20"/>
                <w:lang w:val="en-GB"/>
              </w:rPr>
            </w:pPr>
            <w:r w:rsidRPr="00D20DEF">
              <w:rPr>
                <w:b/>
                <w:bCs/>
                <w:sz w:val="20"/>
                <w:lang w:val="en-GB"/>
              </w:rPr>
              <w:t>V</w:t>
            </w:r>
          </w:p>
        </w:tc>
        <w:tc>
          <w:tcPr>
            <w:tcW w:w="8220" w:type="dxa"/>
          </w:tcPr>
          <w:p w14:paraId="0CE0B1DF" w14:textId="77777777" w:rsidR="00A31928" w:rsidRPr="00D20DEF" w:rsidRDefault="00A31928" w:rsidP="00906589">
            <w:pPr>
              <w:spacing w:before="30" w:after="180"/>
              <w:jc w:val="left"/>
              <w:rPr>
                <w:sz w:val="20"/>
                <w:lang w:val="en-GB"/>
              </w:rPr>
            </w:pPr>
            <w:r w:rsidRPr="00D20DEF">
              <w:rPr>
                <w:sz w:val="20"/>
                <w:lang w:val="en-GB"/>
              </w:rPr>
              <w:t>Vocabulary and related subjects</w:t>
            </w:r>
          </w:p>
        </w:tc>
      </w:tr>
    </w:tbl>
    <w:p w14:paraId="621044B5" w14:textId="77777777" w:rsidR="00036EE3" w:rsidRPr="00D20DEF" w:rsidRDefault="00036EE3"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D20DEF" w14:paraId="2991D89A" w14:textId="77777777">
        <w:tc>
          <w:tcPr>
            <w:tcW w:w="720" w:type="dxa"/>
          </w:tcPr>
          <w:p w14:paraId="2528CECA" w14:textId="77777777" w:rsidR="00036EE3" w:rsidRPr="00D20DEF" w:rsidRDefault="00036EE3" w:rsidP="00036EE3">
            <w:pPr>
              <w:jc w:val="center"/>
              <w:rPr>
                <w:sz w:val="22"/>
                <w:lang w:val="en-GB"/>
              </w:rPr>
            </w:pPr>
          </w:p>
        </w:tc>
      </w:tr>
    </w:tbl>
    <w:p w14:paraId="5B2F4EC8" w14:textId="77777777" w:rsidR="00036EE3" w:rsidRPr="00D20DEF" w:rsidRDefault="00036EE3"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6D0942" w14:paraId="0BB6E043" w14:textId="77777777" w:rsidTr="00166B27">
        <w:tc>
          <w:tcPr>
            <w:tcW w:w="9360" w:type="dxa"/>
            <w:tcMar>
              <w:left w:w="85" w:type="dxa"/>
              <w:right w:w="102" w:type="dxa"/>
            </w:tcMar>
          </w:tcPr>
          <w:p w14:paraId="40EE2965" w14:textId="77777777" w:rsidR="00036EE3" w:rsidRPr="00D20DEF" w:rsidRDefault="00036EE3" w:rsidP="002F5199">
            <w:pPr>
              <w:spacing w:after="120"/>
              <w:jc w:val="center"/>
              <w:rPr>
                <w:sz w:val="20"/>
                <w:lang w:val="en-GB"/>
              </w:rPr>
            </w:pPr>
            <w:r w:rsidRPr="00D20DEF">
              <w:rPr>
                <w:b/>
                <w:bCs/>
                <w:i/>
                <w:iCs/>
                <w:sz w:val="20"/>
                <w:lang w:val="en-GB"/>
              </w:rPr>
              <w:t>Note</w:t>
            </w:r>
            <w:r w:rsidRPr="00D20DEF">
              <w:rPr>
                <w:sz w:val="20"/>
                <w:lang w:val="en-GB"/>
              </w:rPr>
              <w:t xml:space="preserve">: </w:t>
            </w:r>
            <w:r w:rsidRPr="00D20DEF">
              <w:rPr>
                <w:i/>
                <w:iCs/>
                <w:sz w:val="20"/>
                <w:lang w:val="en-GB"/>
              </w:rPr>
              <w:t>This ITU-R Recommendation was approved in English under the procedure detailed in Resolution ITU-R 1.</w:t>
            </w:r>
          </w:p>
        </w:tc>
      </w:tr>
    </w:tbl>
    <w:p w14:paraId="01C61248" w14:textId="77777777" w:rsidR="00B714F3" w:rsidRPr="00D20DEF" w:rsidRDefault="00B714F3" w:rsidP="002F5199">
      <w:pPr>
        <w:spacing w:before="0"/>
        <w:jc w:val="center"/>
        <w:rPr>
          <w:sz w:val="22"/>
          <w:lang w:val="en-GB"/>
        </w:rPr>
      </w:pPr>
    </w:p>
    <w:p w14:paraId="26B80084" w14:textId="77777777" w:rsidR="00B714F3" w:rsidRPr="00D20DEF" w:rsidRDefault="00B714F3" w:rsidP="002F5199">
      <w:pPr>
        <w:spacing w:before="0"/>
        <w:jc w:val="center"/>
        <w:rPr>
          <w:sz w:val="22"/>
          <w:lang w:val="en-GB"/>
        </w:rPr>
      </w:pPr>
    </w:p>
    <w:p w14:paraId="7BF88FCF" w14:textId="77777777" w:rsidR="00470E28" w:rsidRPr="00D20DEF" w:rsidRDefault="002F5199" w:rsidP="00906589">
      <w:pPr>
        <w:spacing w:before="0"/>
        <w:jc w:val="right"/>
        <w:rPr>
          <w:i/>
          <w:iCs/>
          <w:sz w:val="20"/>
          <w:lang w:val="en-GB"/>
        </w:rPr>
      </w:pPr>
      <w:r w:rsidRPr="00D20DEF">
        <w:rPr>
          <w:i/>
          <w:iCs/>
          <w:sz w:val="20"/>
          <w:lang w:val="en-GB"/>
        </w:rPr>
        <w:t>Electronic Publication</w:t>
      </w:r>
    </w:p>
    <w:p w14:paraId="09B1F076" w14:textId="04A93699" w:rsidR="002F5199" w:rsidRPr="00D20DEF" w:rsidRDefault="002F5199" w:rsidP="00B93581">
      <w:pPr>
        <w:spacing w:before="0"/>
        <w:jc w:val="right"/>
        <w:rPr>
          <w:sz w:val="20"/>
          <w:lang w:val="en-GB"/>
        </w:rPr>
      </w:pPr>
      <w:r w:rsidRPr="00D20DEF">
        <w:rPr>
          <w:sz w:val="20"/>
          <w:lang w:val="en-GB"/>
        </w:rPr>
        <w:t>Geneva, 20</w:t>
      </w:r>
      <w:r w:rsidR="00DE2F90" w:rsidRPr="00D20DEF">
        <w:rPr>
          <w:sz w:val="20"/>
          <w:lang w:val="en-GB"/>
        </w:rPr>
        <w:t>22</w:t>
      </w:r>
    </w:p>
    <w:p w14:paraId="0A62A6E0" w14:textId="77777777" w:rsidR="00470E28" w:rsidRPr="00D20DEF" w:rsidRDefault="00470E28" w:rsidP="00906589">
      <w:pPr>
        <w:jc w:val="center"/>
        <w:rPr>
          <w:sz w:val="22"/>
          <w:lang w:val="en-GB"/>
        </w:rPr>
      </w:pPr>
    </w:p>
    <w:p w14:paraId="05A8A836" w14:textId="490874E2" w:rsidR="00586EF8" w:rsidRPr="00D20DEF" w:rsidRDefault="00586EF8" w:rsidP="00B93581">
      <w:pPr>
        <w:jc w:val="center"/>
        <w:rPr>
          <w:sz w:val="20"/>
          <w:lang w:val="en-GB"/>
        </w:rPr>
      </w:pPr>
      <w:r w:rsidRPr="00D20DEF">
        <w:rPr>
          <w:sz w:val="20"/>
          <w:lang w:val="en-GB"/>
        </w:rPr>
        <w:sym w:font="Symbol" w:char="F0E3"/>
      </w:r>
      <w:r w:rsidRPr="00D20DEF">
        <w:rPr>
          <w:sz w:val="20"/>
          <w:lang w:val="en-GB"/>
        </w:rPr>
        <w:t xml:space="preserve"> ITU </w:t>
      </w:r>
      <w:bookmarkStart w:id="2" w:name="iiannee"/>
      <w:bookmarkEnd w:id="2"/>
      <w:r w:rsidRPr="00D20DEF">
        <w:rPr>
          <w:sz w:val="20"/>
          <w:lang w:val="en-GB"/>
        </w:rPr>
        <w:t>20</w:t>
      </w:r>
      <w:r w:rsidR="00DE2F90" w:rsidRPr="00D20DEF">
        <w:rPr>
          <w:sz w:val="20"/>
          <w:lang w:val="en-GB"/>
        </w:rPr>
        <w:t>22</w:t>
      </w:r>
    </w:p>
    <w:p w14:paraId="3249C203" w14:textId="77777777" w:rsidR="00586EF8" w:rsidRPr="00D20DEF" w:rsidRDefault="00586EF8" w:rsidP="00470E28">
      <w:pPr>
        <w:rPr>
          <w:sz w:val="18"/>
          <w:szCs w:val="18"/>
          <w:lang w:val="en-GB"/>
        </w:rPr>
      </w:pPr>
      <w:r w:rsidRPr="00D20DEF">
        <w:rPr>
          <w:sz w:val="18"/>
          <w:szCs w:val="18"/>
          <w:lang w:val="en-GB"/>
        </w:rPr>
        <w:t>All rights reserved. No part of thi</w:t>
      </w:r>
      <w:r w:rsidR="00470E28" w:rsidRPr="00D20DEF">
        <w:rPr>
          <w:sz w:val="18"/>
          <w:szCs w:val="18"/>
          <w:lang w:val="en-GB"/>
        </w:rPr>
        <w:t xml:space="preserve">s publication may be reproduced, </w:t>
      </w:r>
      <w:r w:rsidRPr="00D20DEF">
        <w:rPr>
          <w:sz w:val="18"/>
          <w:szCs w:val="18"/>
          <w:lang w:val="en-GB"/>
        </w:rPr>
        <w:t xml:space="preserve">by any means </w:t>
      </w:r>
      <w:r w:rsidR="00470E28" w:rsidRPr="00D20DEF">
        <w:rPr>
          <w:sz w:val="18"/>
          <w:szCs w:val="18"/>
          <w:lang w:val="en-GB"/>
        </w:rPr>
        <w:t xml:space="preserve">whatsoever, </w:t>
      </w:r>
      <w:r w:rsidRPr="00D20DEF">
        <w:rPr>
          <w:sz w:val="18"/>
          <w:szCs w:val="18"/>
          <w:lang w:val="en-GB"/>
        </w:rPr>
        <w:t xml:space="preserve">without written permission </w:t>
      </w:r>
      <w:r w:rsidR="00470E28" w:rsidRPr="00D20DEF">
        <w:rPr>
          <w:sz w:val="18"/>
          <w:szCs w:val="18"/>
          <w:lang w:val="en-GB"/>
        </w:rPr>
        <w:t>of</w:t>
      </w:r>
      <w:r w:rsidRPr="00D20DEF">
        <w:rPr>
          <w:sz w:val="18"/>
          <w:szCs w:val="18"/>
          <w:lang w:val="en-GB"/>
        </w:rPr>
        <w:t xml:space="preserve"> ITU.</w:t>
      </w:r>
    </w:p>
    <w:p w14:paraId="52A4AEE0" w14:textId="77777777" w:rsidR="007565CC" w:rsidRPr="00D20DEF" w:rsidRDefault="007565CC" w:rsidP="00A971A1">
      <w:pPr>
        <w:spacing w:before="160"/>
        <w:rPr>
          <w:i/>
          <w:sz w:val="20"/>
          <w:lang w:val="en-GB"/>
        </w:rPr>
        <w:sectPr w:rsidR="007565CC" w:rsidRPr="00D20DEF" w:rsidSect="002058CE">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12D5B3A6" w14:textId="002626E6" w:rsidR="00934ED7" w:rsidRPr="00D20DEF" w:rsidRDefault="00934ED7" w:rsidP="00B93581">
      <w:pPr>
        <w:pStyle w:val="RecNo"/>
        <w:spacing w:before="0"/>
        <w:rPr>
          <w:lang w:val="en-GB"/>
        </w:rPr>
      </w:pPr>
      <w:bookmarkStart w:id="3" w:name="irecnoe"/>
      <w:bookmarkEnd w:id="3"/>
      <w:r w:rsidRPr="00D20DEF">
        <w:rPr>
          <w:lang w:val="en-GB"/>
        </w:rPr>
        <w:lastRenderedPageBreak/>
        <w:t xml:space="preserve">RECOMMENDATION  </w:t>
      </w:r>
      <w:r w:rsidRPr="00D20DEF">
        <w:rPr>
          <w:rStyle w:val="href"/>
          <w:lang w:val="en-GB"/>
        </w:rPr>
        <w:t xml:space="preserve">ITU-R  </w:t>
      </w:r>
      <w:r w:rsidR="000A4386" w:rsidRPr="00D20DEF">
        <w:rPr>
          <w:rStyle w:val="href"/>
          <w:lang w:val="en-GB"/>
        </w:rPr>
        <w:t>B</w:t>
      </w:r>
      <w:r w:rsidR="00B41BF2">
        <w:rPr>
          <w:rStyle w:val="href"/>
          <w:lang w:val="en-GB"/>
        </w:rPr>
        <w:t>T</w:t>
      </w:r>
      <w:r w:rsidRPr="00D20DEF">
        <w:rPr>
          <w:rStyle w:val="href"/>
          <w:lang w:val="en-GB"/>
        </w:rPr>
        <w:t>.</w:t>
      </w:r>
      <w:r w:rsidR="00045A51" w:rsidRPr="00D20DEF">
        <w:rPr>
          <w:rStyle w:val="href"/>
          <w:lang w:val="en-GB"/>
        </w:rPr>
        <w:t>214</w:t>
      </w:r>
      <w:r w:rsidR="00962353">
        <w:rPr>
          <w:rStyle w:val="href"/>
          <w:lang w:val="en-GB"/>
        </w:rPr>
        <w:t>4</w:t>
      </w:r>
      <w:r w:rsidR="00045A51" w:rsidRPr="00D20DEF">
        <w:rPr>
          <w:rStyle w:val="href"/>
          <w:lang w:val="en-GB"/>
        </w:rPr>
        <w:t>-0</w:t>
      </w:r>
    </w:p>
    <w:p w14:paraId="2B59ACD7" w14:textId="3C39538B" w:rsidR="00164DBD" w:rsidRPr="00D20DEF" w:rsidRDefault="00962353" w:rsidP="00164DBD">
      <w:pPr>
        <w:pStyle w:val="Rectitle"/>
        <w:rPr>
          <w:lang w:val="en-GB"/>
        </w:rPr>
      </w:pPr>
      <w:r w:rsidRPr="00706DE2">
        <w:rPr>
          <w:lang w:val="en-GB"/>
        </w:rPr>
        <w:t>Guidance</w:t>
      </w:r>
      <w:r w:rsidRPr="00706DE2">
        <w:rPr>
          <w:lang w:val="en-GB" w:eastAsia="ja-JP"/>
        </w:rPr>
        <w:t xml:space="preserve"> for the introduction of new DTTB systems, </w:t>
      </w:r>
      <w:r w:rsidR="00856967" w:rsidRPr="00706DE2">
        <w:rPr>
          <w:lang w:val="en-GB" w:eastAsia="ja-JP"/>
        </w:rPr>
        <w:br/>
      </w:r>
      <w:r w:rsidRPr="00706DE2">
        <w:rPr>
          <w:lang w:val="en-GB" w:eastAsia="ja-JP"/>
        </w:rPr>
        <w:t>technologies</w:t>
      </w:r>
      <w:r w:rsidR="00856967" w:rsidRPr="00706DE2">
        <w:rPr>
          <w:lang w:val="en-GB" w:eastAsia="ja-JP"/>
        </w:rPr>
        <w:t xml:space="preserve"> </w:t>
      </w:r>
      <w:r w:rsidRPr="00706DE2">
        <w:rPr>
          <w:lang w:val="en-GB" w:eastAsia="ja-JP"/>
        </w:rPr>
        <w:t>and applications in the broadcasting service</w:t>
      </w:r>
    </w:p>
    <w:p w14:paraId="39F66B8E" w14:textId="682F279E" w:rsidR="00164DBD" w:rsidRPr="00D20DEF" w:rsidRDefault="003A1A4E" w:rsidP="003A1A4E">
      <w:pPr>
        <w:pStyle w:val="Recdate"/>
        <w:rPr>
          <w:lang w:val="en-GB"/>
        </w:rPr>
      </w:pPr>
      <w:r w:rsidRPr="00D20DEF">
        <w:rPr>
          <w:lang w:val="en-GB"/>
        </w:rPr>
        <w:t>(</w:t>
      </w:r>
      <w:r w:rsidR="00DE2F90" w:rsidRPr="00D20DEF">
        <w:rPr>
          <w:lang w:val="en-GB"/>
        </w:rPr>
        <w:t>2022</w:t>
      </w:r>
      <w:r w:rsidRPr="00D20DEF">
        <w:rPr>
          <w:lang w:val="en-GB"/>
        </w:rPr>
        <w:t>)</w:t>
      </w:r>
    </w:p>
    <w:p w14:paraId="609CB27F" w14:textId="77777777" w:rsidR="00EB5233" w:rsidRPr="00706DE2" w:rsidRDefault="00EB5233" w:rsidP="00706DE2">
      <w:pPr>
        <w:pStyle w:val="HeadingSum"/>
      </w:pPr>
      <w:r w:rsidRPr="00706DE2">
        <w:t>Scope</w:t>
      </w:r>
    </w:p>
    <w:p w14:paraId="7678A599" w14:textId="2571842B" w:rsidR="00EB5233" w:rsidRPr="00706DE2" w:rsidRDefault="00EB5233" w:rsidP="00706DE2">
      <w:pPr>
        <w:pStyle w:val="Summary"/>
      </w:pPr>
      <w:r w:rsidRPr="00706DE2">
        <w:t>This Recommendation provides guidance for the introduction of new Digital Terrestrial Television Broadcasting (DTTB) systems, technologies and applications in the broadcasting service. An appropriate method may be chosen depending on the requirements and situations in a country or region.</w:t>
      </w:r>
    </w:p>
    <w:p w14:paraId="0D75DB44" w14:textId="77777777" w:rsidR="00EB5233" w:rsidRPr="00706DE2" w:rsidRDefault="00EB5233" w:rsidP="00EB5233">
      <w:pPr>
        <w:pStyle w:val="Headingb"/>
        <w:rPr>
          <w:lang w:val="en-GB"/>
        </w:rPr>
      </w:pPr>
      <w:r w:rsidRPr="00706DE2">
        <w:rPr>
          <w:lang w:val="en-GB"/>
        </w:rPr>
        <w:t>Keywords</w:t>
      </w:r>
    </w:p>
    <w:p w14:paraId="7D697CC4" w14:textId="58A9342D" w:rsidR="00EB5233" w:rsidRPr="00706DE2" w:rsidRDefault="00EB5233" w:rsidP="00EB5233">
      <w:pPr>
        <w:rPr>
          <w:lang w:val="en-GB" w:eastAsia="ja-JP"/>
        </w:rPr>
      </w:pPr>
      <w:r w:rsidRPr="00706DE2">
        <w:rPr>
          <w:lang w:val="en-GB" w:eastAsia="ja-JP"/>
        </w:rPr>
        <w:t>Digital Terrestrial Television Broadcasting, introduction of new systems</w:t>
      </w:r>
    </w:p>
    <w:p w14:paraId="52E46CD4" w14:textId="77777777" w:rsidR="00EB5233" w:rsidRPr="00706DE2" w:rsidRDefault="00EB5233" w:rsidP="00EB5233">
      <w:pPr>
        <w:pStyle w:val="Headingb"/>
        <w:rPr>
          <w:lang w:val="en-GB"/>
        </w:rPr>
      </w:pPr>
      <w:r w:rsidRPr="00706DE2">
        <w:rPr>
          <w:lang w:val="en-GB"/>
        </w:rPr>
        <w:t>Abbreviations/Glossary</w:t>
      </w:r>
    </w:p>
    <w:p w14:paraId="169605ED" w14:textId="77777777" w:rsidR="00706DE2" w:rsidRPr="00706DE2" w:rsidRDefault="00706DE2" w:rsidP="00706DE2">
      <w:pPr>
        <w:tabs>
          <w:tab w:val="clear" w:pos="794"/>
          <w:tab w:val="clear" w:pos="1191"/>
        </w:tabs>
        <w:rPr>
          <w:b/>
          <w:bCs/>
          <w:lang w:val="en-GB"/>
        </w:rPr>
      </w:pPr>
      <w:r w:rsidRPr="00706DE2">
        <w:rPr>
          <w:b/>
          <w:bCs/>
          <w:lang w:val="en-GB"/>
        </w:rPr>
        <w:t>Acronym</w:t>
      </w:r>
      <w:r w:rsidRPr="00706DE2">
        <w:rPr>
          <w:b/>
          <w:bCs/>
          <w:lang w:val="en-GB"/>
        </w:rPr>
        <w:tab/>
        <w:t>Definition</w:t>
      </w:r>
    </w:p>
    <w:p w14:paraId="146E0608" w14:textId="77777777" w:rsidR="00706DE2" w:rsidRPr="00706DE2" w:rsidRDefault="00706DE2" w:rsidP="00706DE2">
      <w:pPr>
        <w:tabs>
          <w:tab w:val="clear" w:pos="794"/>
          <w:tab w:val="clear" w:pos="1191"/>
        </w:tabs>
        <w:rPr>
          <w:lang w:val="en-GB"/>
        </w:rPr>
      </w:pPr>
      <w:r w:rsidRPr="00706DE2">
        <w:rPr>
          <w:i/>
          <w:iCs/>
          <w:lang w:val="en-GB" w:eastAsia="ja-JP"/>
        </w:rPr>
        <w:t>C</w:t>
      </w:r>
      <w:r w:rsidRPr="00706DE2">
        <w:rPr>
          <w:lang w:val="en-GB" w:eastAsia="ja-JP"/>
        </w:rPr>
        <w:t>/</w:t>
      </w:r>
      <w:r w:rsidRPr="00706DE2">
        <w:rPr>
          <w:i/>
          <w:iCs/>
          <w:lang w:val="en-GB" w:eastAsia="ja-JP"/>
        </w:rPr>
        <w:t>N</w:t>
      </w:r>
      <w:r w:rsidRPr="00706DE2">
        <w:rPr>
          <w:lang w:val="en-GB"/>
        </w:rPr>
        <w:tab/>
        <w:t>Carrier-to-noise ratio</w:t>
      </w:r>
    </w:p>
    <w:p w14:paraId="5BEA1320" w14:textId="77777777" w:rsidR="00706DE2" w:rsidRPr="00706DE2" w:rsidRDefault="00706DE2" w:rsidP="00706DE2">
      <w:pPr>
        <w:tabs>
          <w:tab w:val="clear" w:pos="794"/>
          <w:tab w:val="clear" w:pos="1191"/>
        </w:tabs>
        <w:rPr>
          <w:lang w:val="en-GB"/>
        </w:rPr>
      </w:pPr>
      <w:r w:rsidRPr="00706DE2">
        <w:rPr>
          <w:lang w:val="en-GB"/>
        </w:rPr>
        <w:t>DTTB</w:t>
      </w:r>
      <w:r w:rsidRPr="00706DE2">
        <w:rPr>
          <w:lang w:val="en-GB"/>
        </w:rPr>
        <w:tab/>
        <w:t xml:space="preserve">Digital terrestrial television broadcasting </w:t>
      </w:r>
    </w:p>
    <w:p w14:paraId="3DEC9F71" w14:textId="77777777" w:rsidR="00706DE2" w:rsidRPr="00706DE2" w:rsidRDefault="00706DE2" w:rsidP="00706DE2">
      <w:pPr>
        <w:tabs>
          <w:tab w:val="clear" w:pos="794"/>
          <w:tab w:val="clear" w:pos="1191"/>
        </w:tabs>
        <w:rPr>
          <w:lang w:val="en-GB"/>
        </w:rPr>
      </w:pPr>
      <w:r w:rsidRPr="00706DE2">
        <w:rPr>
          <w:lang w:val="en-GB"/>
        </w:rPr>
        <w:t>FDM</w:t>
      </w:r>
      <w:r w:rsidRPr="00706DE2">
        <w:rPr>
          <w:lang w:val="en-GB"/>
        </w:rPr>
        <w:tab/>
        <w:t>Frequency-division multiplexing</w:t>
      </w:r>
    </w:p>
    <w:p w14:paraId="39AD7A22" w14:textId="77777777" w:rsidR="00706DE2" w:rsidRPr="00706DE2" w:rsidRDefault="00706DE2" w:rsidP="00706DE2">
      <w:pPr>
        <w:tabs>
          <w:tab w:val="clear" w:pos="794"/>
          <w:tab w:val="clear" w:pos="1191"/>
        </w:tabs>
        <w:rPr>
          <w:lang w:val="en-GB"/>
        </w:rPr>
      </w:pPr>
      <w:r w:rsidRPr="00706DE2">
        <w:rPr>
          <w:lang w:val="en-GB"/>
        </w:rPr>
        <w:t>HDTV</w:t>
      </w:r>
      <w:r w:rsidRPr="00706DE2">
        <w:rPr>
          <w:lang w:val="en-GB"/>
        </w:rPr>
        <w:tab/>
        <w:t>High-definition television</w:t>
      </w:r>
    </w:p>
    <w:p w14:paraId="4F333A26" w14:textId="77777777" w:rsidR="00706DE2" w:rsidRPr="00706DE2" w:rsidRDefault="00706DE2" w:rsidP="00706DE2">
      <w:pPr>
        <w:tabs>
          <w:tab w:val="clear" w:pos="794"/>
          <w:tab w:val="clear" w:pos="1191"/>
        </w:tabs>
        <w:rPr>
          <w:lang w:val="en-GB"/>
        </w:rPr>
      </w:pPr>
      <w:r w:rsidRPr="00706DE2">
        <w:rPr>
          <w:lang w:val="en-GB"/>
        </w:rPr>
        <w:t>IBB</w:t>
      </w:r>
      <w:r w:rsidRPr="00706DE2">
        <w:rPr>
          <w:lang w:val="en-GB"/>
        </w:rPr>
        <w:tab/>
        <w:t>Integrated broadcast-broadband</w:t>
      </w:r>
    </w:p>
    <w:p w14:paraId="7B4AAECD" w14:textId="77777777" w:rsidR="00706DE2" w:rsidRPr="00706DE2" w:rsidRDefault="00706DE2" w:rsidP="00706DE2">
      <w:pPr>
        <w:tabs>
          <w:tab w:val="clear" w:pos="794"/>
          <w:tab w:val="clear" w:pos="1191"/>
        </w:tabs>
        <w:rPr>
          <w:lang w:val="en-GB"/>
        </w:rPr>
      </w:pPr>
      <w:r w:rsidRPr="00706DE2">
        <w:rPr>
          <w:lang w:val="en-GB"/>
        </w:rPr>
        <w:t>LDM</w:t>
      </w:r>
      <w:r w:rsidRPr="00706DE2">
        <w:rPr>
          <w:lang w:val="en-GB"/>
        </w:rPr>
        <w:tab/>
        <w:t>Layered-division multiplexing</w:t>
      </w:r>
    </w:p>
    <w:p w14:paraId="7B20D6FF" w14:textId="77777777" w:rsidR="00706DE2" w:rsidRPr="00706DE2" w:rsidRDefault="00706DE2" w:rsidP="00706DE2">
      <w:pPr>
        <w:tabs>
          <w:tab w:val="clear" w:pos="794"/>
          <w:tab w:val="clear" w:pos="1191"/>
        </w:tabs>
        <w:rPr>
          <w:lang w:val="en-GB"/>
        </w:rPr>
      </w:pPr>
      <w:r w:rsidRPr="00706DE2">
        <w:rPr>
          <w:lang w:val="en-GB"/>
        </w:rPr>
        <w:t>MFN</w:t>
      </w:r>
      <w:r w:rsidRPr="00706DE2">
        <w:rPr>
          <w:lang w:val="en-GB"/>
        </w:rPr>
        <w:tab/>
        <w:t>Multi-frequency network</w:t>
      </w:r>
    </w:p>
    <w:p w14:paraId="35E4DD76" w14:textId="77777777" w:rsidR="00706DE2" w:rsidRPr="00706DE2" w:rsidRDefault="00706DE2" w:rsidP="00706DE2">
      <w:pPr>
        <w:tabs>
          <w:tab w:val="clear" w:pos="794"/>
          <w:tab w:val="clear" w:pos="1191"/>
        </w:tabs>
        <w:rPr>
          <w:lang w:val="en-GB"/>
        </w:rPr>
      </w:pPr>
      <w:r w:rsidRPr="00706DE2">
        <w:rPr>
          <w:lang w:val="en-GB"/>
        </w:rPr>
        <w:t>MIMO</w:t>
      </w:r>
      <w:r w:rsidRPr="00706DE2">
        <w:rPr>
          <w:lang w:val="en-GB"/>
        </w:rPr>
        <w:tab/>
        <w:t>Multiple-input multiple-output</w:t>
      </w:r>
    </w:p>
    <w:p w14:paraId="2810D634" w14:textId="77777777" w:rsidR="00706DE2" w:rsidRPr="00706DE2" w:rsidRDefault="00706DE2" w:rsidP="00706DE2">
      <w:pPr>
        <w:tabs>
          <w:tab w:val="clear" w:pos="794"/>
          <w:tab w:val="clear" w:pos="1191"/>
        </w:tabs>
        <w:rPr>
          <w:lang w:val="en-GB"/>
        </w:rPr>
      </w:pPr>
      <w:r w:rsidRPr="00706DE2">
        <w:rPr>
          <w:lang w:val="en-GB"/>
        </w:rPr>
        <w:t>MPEG</w:t>
      </w:r>
      <w:r w:rsidRPr="00706DE2">
        <w:rPr>
          <w:lang w:val="en-GB"/>
        </w:rPr>
        <w:tab/>
        <w:t>Moving pictures expert group</w:t>
      </w:r>
    </w:p>
    <w:p w14:paraId="28F656AB" w14:textId="77777777" w:rsidR="00706DE2" w:rsidRPr="00706DE2" w:rsidRDefault="00706DE2" w:rsidP="00706DE2">
      <w:pPr>
        <w:tabs>
          <w:tab w:val="clear" w:pos="794"/>
          <w:tab w:val="clear" w:pos="1191"/>
        </w:tabs>
        <w:rPr>
          <w:lang w:val="en-GB"/>
        </w:rPr>
      </w:pPr>
      <w:r w:rsidRPr="00706DE2">
        <w:rPr>
          <w:lang w:val="en-GB"/>
        </w:rPr>
        <w:t>PMSE</w:t>
      </w:r>
      <w:r w:rsidRPr="00706DE2">
        <w:rPr>
          <w:lang w:val="en-GB"/>
        </w:rPr>
        <w:tab/>
        <w:t>Programme making- and special events</w:t>
      </w:r>
    </w:p>
    <w:p w14:paraId="0D67A66E" w14:textId="77777777" w:rsidR="00706DE2" w:rsidRPr="00706DE2" w:rsidRDefault="00706DE2" w:rsidP="00706DE2">
      <w:pPr>
        <w:tabs>
          <w:tab w:val="clear" w:pos="794"/>
          <w:tab w:val="clear" w:pos="1191"/>
        </w:tabs>
        <w:rPr>
          <w:lang w:val="en-GB"/>
        </w:rPr>
      </w:pPr>
      <w:r w:rsidRPr="00706DE2">
        <w:rPr>
          <w:lang w:val="en-GB"/>
        </w:rPr>
        <w:t>PSM</w:t>
      </w:r>
      <w:r w:rsidRPr="00706DE2">
        <w:rPr>
          <w:lang w:val="en-GB"/>
        </w:rPr>
        <w:tab/>
        <w:t>Public service media</w:t>
      </w:r>
    </w:p>
    <w:p w14:paraId="5C68884D" w14:textId="77777777" w:rsidR="00706DE2" w:rsidRPr="00706DE2" w:rsidRDefault="00706DE2" w:rsidP="00706DE2">
      <w:pPr>
        <w:tabs>
          <w:tab w:val="clear" w:pos="794"/>
          <w:tab w:val="clear" w:pos="1191"/>
        </w:tabs>
        <w:rPr>
          <w:lang w:val="en-GB"/>
        </w:rPr>
      </w:pPr>
      <w:r w:rsidRPr="00706DE2">
        <w:rPr>
          <w:lang w:val="en-GB"/>
        </w:rPr>
        <w:t>QoS</w:t>
      </w:r>
      <w:r w:rsidRPr="00706DE2">
        <w:rPr>
          <w:lang w:val="en-GB"/>
        </w:rPr>
        <w:tab/>
        <w:t>Quality of service</w:t>
      </w:r>
    </w:p>
    <w:p w14:paraId="3141D09C" w14:textId="77777777" w:rsidR="00706DE2" w:rsidRPr="00706DE2" w:rsidRDefault="00706DE2" w:rsidP="00706DE2">
      <w:pPr>
        <w:tabs>
          <w:tab w:val="clear" w:pos="794"/>
          <w:tab w:val="clear" w:pos="1191"/>
        </w:tabs>
        <w:rPr>
          <w:lang w:val="en-GB"/>
        </w:rPr>
      </w:pPr>
      <w:r w:rsidRPr="00706DE2">
        <w:rPr>
          <w:lang w:val="en-GB"/>
        </w:rPr>
        <w:t>SDM</w:t>
      </w:r>
      <w:r w:rsidRPr="00706DE2">
        <w:rPr>
          <w:lang w:val="en-GB"/>
        </w:rPr>
        <w:tab/>
        <w:t>Space division multiplexing</w:t>
      </w:r>
    </w:p>
    <w:p w14:paraId="44ECB3F5" w14:textId="77777777" w:rsidR="00706DE2" w:rsidRPr="00706DE2" w:rsidRDefault="00706DE2" w:rsidP="00706DE2">
      <w:pPr>
        <w:tabs>
          <w:tab w:val="clear" w:pos="794"/>
          <w:tab w:val="clear" w:pos="1191"/>
        </w:tabs>
        <w:rPr>
          <w:lang w:val="en-GB"/>
        </w:rPr>
      </w:pPr>
      <w:r w:rsidRPr="00706DE2">
        <w:rPr>
          <w:lang w:val="en-GB"/>
        </w:rPr>
        <w:t>SDTV</w:t>
      </w:r>
      <w:r w:rsidRPr="00706DE2">
        <w:rPr>
          <w:lang w:val="en-GB"/>
        </w:rPr>
        <w:tab/>
        <w:t>Standard definition television</w:t>
      </w:r>
    </w:p>
    <w:p w14:paraId="47C09C30" w14:textId="77777777" w:rsidR="00706DE2" w:rsidRPr="00706DE2" w:rsidRDefault="00706DE2" w:rsidP="00706DE2">
      <w:pPr>
        <w:tabs>
          <w:tab w:val="clear" w:pos="794"/>
          <w:tab w:val="clear" w:pos="1191"/>
        </w:tabs>
        <w:rPr>
          <w:lang w:val="en-GB"/>
        </w:rPr>
      </w:pPr>
      <w:r w:rsidRPr="00706DE2">
        <w:rPr>
          <w:lang w:val="en-GB"/>
        </w:rPr>
        <w:t>SFN</w:t>
      </w:r>
      <w:r w:rsidRPr="00706DE2">
        <w:rPr>
          <w:lang w:val="en-GB"/>
        </w:rPr>
        <w:tab/>
        <w:t>Single-frequency network</w:t>
      </w:r>
    </w:p>
    <w:p w14:paraId="4334C3A4" w14:textId="77777777" w:rsidR="00706DE2" w:rsidRPr="00706DE2" w:rsidRDefault="00706DE2" w:rsidP="00706DE2">
      <w:pPr>
        <w:tabs>
          <w:tab w:val="clear" w:pos="794"/>
          <w:tab w:val="clear" w:pos="1191"/>
        </w:tabs>
        <w:rPr>
          <w:lang w:val="en-GB"/>
        </w:rPr>
      </w:pPr>
      <w:r w:rsidRPr="00706DE2">
        <w:rPr>
          <w:lang w:val="en-GB"/>
        </w:rPr>
        <w:t>SISO</w:t>
      </w:r>
      <w:r w:rsidRPr="00706DE2">
        <w:rPr>
          <w:lang w:val="en-GB"/>
        </w:rPr>
        <w:tab/>
        <w:t>Single-input single-output</w:t>
      </w:r>
    </w:p>
    <w:p w14:paraId="5A423B20" w14:textId="77777777" w:rsidR="00706DE2" w:rsidRPr="00706DE2" w:rsidRDefault="00706DE2" w:rsidP="00706DE2">
      <w:pPr>
        <w:tabs>
          <w:tab w:val="clear" w:pos="794"/>
          <w:tab w:val="clear" w:pos="1191"/>
        </w:tabs>
        <w:rPr>
          <w:lang w:val="en-GB"/>
        </w:rPr>
      </w:pPr>
      <w:r w:rsidRPr="00706DE2">
        <w:rPr>
          <w:lang w:val="en-GB"/>
        </w:rPr>
        <w:t>TDM</w:t>
      </w:r>
      <w:r w:rsidRPr="00706DE2">
        <w:rPr>
          <w:lang w:val="en-GB"/>
        </w:rPr>
        <w:tab/>
        <w:t>Time-division multiplexing</w:t>
      </w:r>
    </w:p>
    <w:p w14:paraId="39E31E94" w14:textId="77777777" w:rsidR="00706DE2" w:rsidRPr="00706DE2" w:rsidRDefault="00706DE2" w:rsidP="00706DE2">
      <w:pPr>
        <w:tabs>
          <w:tab w:val="clear" w:pos="794"/>
          <w:tab w:val="clear" w:pos="1191"/>
        </w:tabs>
        <w:rPr>
          <w:lang w:val="en-GB"/>
        </w:rPr>
      </w:pPr>
      <w:r w:rsidRPr="00706DE2">
        <w:rPr>
          <w:lang w:val="en-GB"/>
        </w:rPr>
        <w:t>UHDTV</w:t>
      </w:r>
      <w:r w:rsidRPr="00706DE2">
        <w:rPr>
          <w:lang w:val="en-GB"/>
        </w:rPr>
        <w:tab/>
        <w:t>Ultra-high definition television</w:t>
      </w:r>
    </w:p>
    <w:p w14:paraId="6532CD1E" w14:textId="77777777" w:rsidR="00EB5233" w:rsidRPr="00B41BF2" w:rsidRDefault="00EB5233" w:rsidP="00EB5233">
      <w:pPr>
        <w:pStyle w:val="Headingb"/>
        <w:rPr>
          <w:lang w:val="en-GB"/>
        </w:rPr>
      </w:pPr>
      <w:r w:rsidRPr="00B41BF2">
        <w:rPr>
          <w:lang w:val="en-GB"/>
        </w:rPr>
        <w:t>Related ITU Recommendations, Reports</w:t>
      </w:r>
    </w:p>
    <w:p w14:paraId="68F3F181" w14:textId="6489F2D5" w:rsidR="00EB5233" w:rsidRPr="00706DE2" w:rsidRDefault="00EB5233" w:rsidP="00706DE2">
      <w:pPr>
        <w:pStyle w:val="Reftext"/>
        <w:rPr>
          <w:lang w:val="en-GB" w:eastAsia="ja-JP"/>
        </w:rPr>
      </w:pPr>
      <w:r w:rsidRPr="00706DE2">
        <w:rPr>
          <w:lang w:val="en-GB" w:eastAsia="ja-JP"/>
        </w:rPr>
        <w:t xml:space="preserve">Recommendation ITU-R </w:t>
      </w:r>
      <w:hyperlink r:id="rId18" w:history="1">
        <w:r w:rsidRPr="00706DE2">
          <w:rPr>
            <w:rStyle w:val="Hyperlink"/>
            <w:rFonts w:asciiTheme="majorBidi" w:hAnsiTheme="majorBidi" w:cstheme="majorBidi"/>
            <w:color w:val="auto"/>
            <w:szCs w:val="24"/>
            <w:u w:val="none"/>
            <w:lang w:val="en-GB"/>
          </w:rPr>
          <w:t>BT.1877</w:t>
        </w:r>
      </w:hyperlink>
      <w:r w:rsidRPr="00706DE2">
        <w:rPr>
          <w:sz w:val="23"/>
          <w:szCs w:val="23"/>
          <w:lang w:val="en-GB"/>
        </w:rPr>
        <w:t xml:space="preserve"> –</w:t>
      </w:r>
      <w:r w:rsidRPr="00706DE2">
        <w:rPr>
          <w:lang w:val="en-GB" w:eastAsia="ja-JP"/>
        </w:rPr>
        <w:t xml:space="preserve"> Error-correction, data framing, modulation and emission methods and selection guidance for second generation digital terrestrial television broadcasting systems</w:t>
      </w:r>
    </w:p>
    <w:p w14:paraId="7184DA7F" w14:textId="03CFBBE4" w:rsidR="00EB5233" w:rsidRPr="00706DE2" w:rsidRDefault="00EB5233" w:rsidP="00706DE2">
      <w:pPr>
        <w:pStyle w:val="Reftext"/>
        <w:rPr>
          <w:lang w:val="en-GB" w:eastAsia="ja-JP"/>
        </w:rPr>
      </w:pPr>
      <w:r w:rsidRPr="00706DE2">
        <w:rPr>
          <w:lang w:val="en-GB" w:eastAsia="ja-JP"/>
        </w:rPr>
        <w:t>Report</w:t>
      </w:r>
      <w:r w:rsidR="000A57A2" w:rsidRPr="00706DE2">
        <w:rPr>
          <w:lang w:val="en-GB" w:eastAsia="ja-JP"/>
        </w:rPr>
        <w:t xml:space="preserve"> ITU-R</w:t>
      </w:r>
      <w:r w:rsidRPr="00706DE2">
        <w:rPr>
          <w:lang w:val="en-GB" w:eastAsia="ja-JP"/>
        </w:rPr>
        <w:t xml:space="preserve"> </w:t>
      </w:r>
      <w:hyperlink r:id="rId19" w:history="1">
        <w:r w:rsidR="000A57A2" w:rsidRPr="00706DE2">
          <w:rPr>
            <w:rStyle w:val="Hyperlink"/>
            <w:rFonts w:asciiTheme="majorBidi" w:hAnsiTheme="majorBidi" w:cstheme="majorBidi"/>
            <w:color w:val="auto"/>
            <w:szCs w:val="24"/>
            <w:u w:val="none"/>
            <w:lang w:val="en-GB"/>
          </w:rPr>
          <w:t>BT.2400</w:t>
        </w:r>
      </w:hyperlink>
      <w:r w:rsidRPr="00706DE2">
        <w:rPr>
          <w:lang w:val="en-GB" w:eastAsia="ja-JP"/>
        </w:rPr>
        <w:t xml:space="preserve"> </w:t>
      </w:r>
      <w:r w:rsidRPr="00706DE2">
        <w:rPr>
          <w:sz w:val="23"/>
          <w:szCs w:val="23"/>
          <w:lang w:val="en-GB"/>
        </w:rPr>
        <w:t>–</w:t>
      </w:r>
      <w:r w:rsidRPr="00706DE2">
        <w:rPr>
          <w:lang w:val="en-GB" w:eastAsia="ja-JP"/>
        </w:rPr>
        <w:t xml:space="preserve"> Usage scenarios, requirements and technical elements of a global platform for the broadcasting service</w:t>
      </w:r>
    </w:p>
    <w:p w14:paraId="10BF24EA" w14:textId="2C76BAC7" w:rsidR="00EB5233" w:rsidRPr="00706DE2" w:rsidRDefault="00EB5233" w:rsidP="00706DE2">
      <w:pPr>
        <w:pStyle w:val="Reftext"/>
        <w:rPr>
          <w:lang w:val="en-GB" w:eastAsia="ja-JP"/>
        </w:rPr>
      </w:pPr>
      <w:r w:rsidRPr="00706DE2">
        <w:rPr>
          <w:lang w:val="en-GB" w:eastAsia="ja-JP"/>
        </w:rPr>
        <w:lastRenderedPageBreak/>
        <w:t>Report</w:t>
      </w:r>
      <w:r w:rsidR="000A57A2" w:rsidRPr="00706DE2">
        <w:rPr>
          <w:lang w:val="en-GB" w:eastAsia="ja-JP"/>
        </w:rPr>
        <w:t xml:space="preserve"> ITU-R</w:t>
      </w:r>
      <w:r w:rsidRPr="00706DE2">
        <w:rPr>
          <w:lang w:val="en-GB" w:eastAsia="ja-JP"/>
        </w:rPr>
        <w:t xml:space="preserve"> </w:t>
      </w:r>
      <w:hyperlink r:id="rId20" w:history="1">
        <w:r w:rsidR="000A57A2" w:rsidRPr="00706DE2">
          <w:rPr>
            <w:rStyle w:val="Hyperlink"/>
            <w:rFonts w:asciiTheme="majorBidi" w:hAnsiTheme="majorBidi" w:cstheme="majorBidi"/>
            <w:color w:val="auto"/>
            <w:szCs w:val="24"/>
            <w:u w:val="none"/>
            <w:lang w:val="en-GB"/>
          </w:rPr>
          <w:t>BT.2485</w:t>
        </w:r>
      </w:hyperlink>
      <w:r w:rsidRPr="00706DE2">
        <w:rPr>
          <w:sz w:val="23"/>
          <w:szCs w:val="23"/>
          <w:lang w:val="en-GB"/>
        </w:rPr>
        <w:t xml:space="preserve"> –</w:t>
      </w:r>
      <w:r w:rsidRPr="00706DE2">
        <w:rPr>
          <w:lang w:val="en-GB" w:eastAsia="ja-JP"/>
        </w:rPr>
        <w:t xml:space="preserve"> Advanced network planning and transmission methods for enhancements of digital terrestrial television broadcasting</w:t>
      </w:r>
    </w:p>
    <w:p w14:paraId="0FF7D258" w14:textId="77777777" w:rsidR="00EB5233" w:rsidRPr="00706DE2" w:rsidRDefault="00EB5233" w:rsidP="00EB5233">
      <w:pPr>
        <w:pStyle w:val="Normalaftertitle"/>
        <w:rPr>
          <w:lang w:val="en-GB"/>
        </w:rPr>
      </w:pPr>
      <w:r w:rsidRPr="00706DE2">
        <w:rPr>
          <w:lang w:val="en-GB"/>
        </w:rPr>
        <w:t>The ITU Radiocommunication Assembly,</w:t>
      </w:r>
    </w:p>
    <w:p w14:paraId="314D2953" w14:textId="77777777" w:rsidR="00EB5233" w:rsidRPr="00706DE2" w:rsidRDefault="00EB5233" w:rsidP="00EB5233">
      <w:pPr>
        <w:pStyle w:val="Call"/>
        <w:rPr>
          <w:lang w:val="en-GB"/>
        </w:rPr>
      </w:pPr>
      <w:r w:rsidRPr="00706DE2">
        <w:rPr>
          <w:lang w:val="en-GB"/>
        </w:rPr>
        <w:t>considering</w:t>
      </w:r>
    </w:p>
    <w:p w14:paraId="78372732" w14:textId="58D04F99" w:rsidR="00EB5233" w:rsidRPr="00706DE2" w:rsidRDefault="00706DE2" w:rsidP="00706DE2">
      <w:pPr>
        <w:rPr>
          <w:lang w:val="en-GB"/>
        </w:rPr>
      </w:pPr>
      <w:r w:rsidRPr="00706DE2">
        <w:rPr>
          <w:i/>
          <w:iCs/>
          <w:lang w:val="en-GB"/>
        </w:rPr>
        <w:t>a)</w:t>
      </w:r>
      <w:r>
        <w:rPr>
          <w:lang w:val="en-GB"/>
        </w:rPr>
        <w:tab/>
      </w:r>
      <w:r w:rsidR="00EB5233" w:rsidRPr="00706DE2">
        <w:rPr>
          <w:lang w:val="en-GB"/>
        </w:rPr>
        <w:t>that a long time has passed since the world first launched terrestrial digital television services and that the transition from analogue to digital television broadcasting globally has either been completed or is currently underway;</w:t>
      </w:r>
    </w:p>
    <w:p w14:paraId="76E7A564" w14:textId="345161B6" w:rsidR="00EB5233" w:rsidRPr="00D147A8" w:rsidRDefault="00EB5233" w:rsidP="00706DE2">
      <w:pPr>
        <w:rPr>
          <w:lang w:val="en-GB"/>
        </w:rPr>
      </w:pPr>
      <w:r w:rsidRPr="00D147A8">
        <w:rPr>
          <w:i/>
          <w:iCs/>
          <w:lang w:val="en-GB"/>
        </w:rPr>
        <w:t>b)</w:t>
      </w:r>
      <w:r w:rsidRPr="00D147A8">
        <w:rPr>
          <w:lang w:val="en-GB"/>
        </w:rPr>
        <w:tab/>
        <w:t xml:space="preserve">that </w:t>
      </w:r>
      <w:r w:rsidRPr="00D147A8">
        <w:rPr>
          <w:lang w:val="en-GB" w:eastAsia="ja-JP"/>
        </w:rPr>
        <w:t>new systems, technologies</w:t>
      </w:r>
      <w:r w:rsidR="007F6F17">
        <w:rPr>
          <w:lang w:val="en-GB" w:eastAsia="ja-JP"/>
        </w:rPr>
        <w:t>,</w:t>
      </w:r>
      <w:r w:rsidRPr="00D147A8">
        <w:rPr>
          <w:lang w:val="en-GB" w:eastAsia="ja-JP"/>
        </w:rPr>
        <w:t xml:space="preserve"> and applications for broadcasting aim </w:t>
      </w:r>
      <w:r w:rsidR="007F6F17">
        <w:rPr>
          <w:lang w:val="en-GB" w:eastAsia="ja-JP"/>
        </w:rPr>
        <w:t>to</w:t>
      </w:r>
      <w:r w:rsidRPr="00D147A8">
        <w:rPr>
          <w:lang w:val="en-GB" w:eastAsia="ja-JP"/>
        </w:rPr>
        <w:t xml:space="preserve"> deliver television, sound and multimedia programmes more efficiently and </w:t>
      </w:r>
      <w:r w:rsidR="007F6F17">
        <w:rPr>
          <w:lang w:val="en-GB" w:eastAsia="ja-JP"/>
        </w:rPr>
        <w:t xml:space="preserve">to </w:t>
      </w:r>
      <w:r w:rsidRPr="00D147A8">
        <w:rPr>
          <w:lang w:val="en-GB" w:eastAsia="ja-JP"/>
        </w:rPr>
        <w:t>provid</w:t>
      </w:r>
      <w:r w:rsidR="007F6F17">
        <w:rPr>
          <w:lang w:val="en-GB" w:eastAsia="ja-JP"/>
        </w:rPr>
        <w:t>e</w:t>
      </w:r>
      <w:r w:rsidRPr="00D147A8">
        <w:rPr>
          <w:lang w:val="en-GB" w:eastAsia="ja-JP"/>
        </w:rPr>
        <w:t xml:space="preserve"> the audience with new audio-visual experiences</w:t>
      </w:r>
      <w:r w:rsidRPr="00D147A8">
        <w:rPr>
          <w:lang w:val="en-GB"/>
        </w:rPr>
        <w:t>;</w:t>
      </w:r>
    </w:p>
    <w:p w14:paraId="2FC0F3D3" w14:textId="4C9384C7" w:rsidR="00EB5233" w:rsidRPr="00D147A8" w:rsidRDefault="00EB5233" w:rsidP="00706DE2">
      <w:pPr>
        <w:rPr>
          <w:lang w:val="en-GB"/>
        </w:rPr>
      </w:pPr>
      <w:r w:rsidRPr="00D147A8">
        <w:rPr>
          <w:i/>
          <w:iCs/>
          <w:lang w:val="en-GB"/>
        </w:rPr>
        <w:t>c)</w:t>
      </w:r>
      <w:r w:rsidRPr="00D147A8">
        <w:rPr>
          <w:lang w:val="en-GB"/>
        </w:rPr>
        <w:tab/>
        <w:t xml:space="preserve">that </w:t>
      </w:r>
      <w:r w:rsidRPr="00D147A8">
        <w:rPr>
          <w:lang w:val="en-GB" w:eastAsia="ja-JP"/>
        </w:rPr>
        <w:t>a crucial issue is how best such new systems, technologies and applications can be introduced in the broadcasting service where the first generation of DTTB systems are in operation, without giving adverse effects to the audience</w:t>
      </w:r>
      <w:r w:rsidRPr="00D147A8">
        <w:rPr>
          <w:lang w:val="en-GB"/>
        </w:rPr>
        <w:t>;</w:t>
      </w:r>
    </w:p>
    <w:p w14:paraId="1856C14B" w14:textId="77777777" w:rsidR="00EB5233" w:rsidRPr="00D147A8" w:rsidRDefault="00EB5233" w:rsidP="00706DE2">
      <w:pPr>
        <w:rPr>
          <w:lang w:val="en-GB"/>
        </w:rPr>
      </w:pPr>
      <w:r w:rsidRPr="00D147A8">
        <w:rPr>
          <w:i/>
          <w:iCs/>
          <w:lang w:val="en-GB" w:eastAsia="ja-JP"/>
        </w:rPr>
        <w:t>d</w:t>
      </w:r>
      <w:r w:rsidRPr="00D147A8">
        <w:rPr>
          <w:i/>
          <w:iCs/>
          <w:lang w:val="en-GB"/>
        </w:rPr>
        <w:t>)</w:t>
      </w:r>
      <w:r w:rsidRPr="00D147A8">
        <w:rPr>
          <w:lang w:val="en-GB"/>
        </w:rPr>
        <w:tab/>
        <w:t xml:space="preserve">that </w:t>
      </w:r>
      <w:r w:rsidRPr="00D147A8">
        <w:rPr>
          <w:lang w:val="en-GB" w:eastAsia="ja-JP"/>
        </w:rPr>
        <w:t>it is also important to consider methods that can ensure continuous advancements of broadcasting in the future</w:t>
      </w:r>
      <w:r w:rsidRPr="00D147A8">
        <w:rPr>
          <w:lang w:val="en-GB"/>
        </w:rPr>
        <w:t>;</w:t>
      </w:r>
    </w:p>
    <w:p w14:paraId="53421357" w14:textId="18A9C371" w:rsidR="00EB5233" w:rsidRPr="00706DE2" w:rsidRDefault="00EB5233" w:rsidP="00706DE2">
      <w:pPr>
        <w:rPr>
          <w:lang w:val="en-GB" w:eastAsia="ja-JP"/>
        </w:rPr>
      </w:pPr>
      <w:r w:rsidRPr="00706DE2">
        <w:rPr>
          <w:i/>
          <w:iCs/>
          <w:lang w:val="en-GB" w:eastAsia="ja-JP"/>
        </w:rPr>
        <w:t>e)</w:t>
      </w:r>
      <w:r w:rsidRPr="00706DE2">
        <w:rPr>
          <w:lang w:val="en-GB" w:eastAsia="ja-JP"/>
        </w:rPr>
        <w:tab/>
        <w:t>that several scenarios may be possible in terms of timelines of the process, parties involved and public policies to drive transitions,</w:t>
      </w:r>
    </w:p>
    <w:p w14:paraId="28ECDA2E" w14:textId="77777777" w:rsidR="00EB5233" w:rsidRPr="007F132A" w:rsidRDefault="00EB5233" w:rsidP="00EB5233">
      <w:pPr>
        <w:pStyle w:val="Call"/>
        <w:rPr>
          <w:lang w:val="en-GB"/>
        </w:rPr>
      </w:pPr>
      <w:r w:rsidRPr="007F132A">
        <w:rPr>
          <w:lang w:val="en-GB"/>
        </w:rPr>
        <w:t>recognizing</w:t>
      </w:r>
    </w:p>
    <w:p w14:paraId="217AEDEE" w14:textId="7E76584B" w:rsidR="00EB5233" w:rsidRPr="007F132A" w:rsidRDefault="007F132A" w:rsidP="007F132A">
      <w:pPr>
        <w:rPr>
          <w:lang w:val="en-GB" w:eastAsia="ja-JP"/>
        </w:rPr>
      </w:pPr>
      <w:r w:rsidRPr="007F132A">
        <w:rPr>
          <w:i/>
          <w:iCs/>
          <w:lang w:val="en-GB"/>
        </w:rPr>
        <w:t>a)</w:t>
      </w:r>
      <w:r>
        <w:rPr>
          <w:lang w:val="en-GB"/>
        </w:rPr>
        <w:tab/>
      </w:r>
      <w:r w:rsidR="00EB5233" w:rsidRPr="007F132A">
        <w:rPr>
          <w:lang w:val="en-GB"/>
        </w:rPr>
        <w:t xml:space="preserve">that Resolution </w:t>
      </w:r>
      <w:hyperlink r:id="rId21" w:history="1">
        <w:r w:rsidR="00EB5233" w:rsidRPr="007F132A">
          <w:rPr>
            <w:rStyle w:val="Hyperlink"/>
            <w:rFonts w:asciiTheme="majorBidi" w:hAnsiTheme="majorBidi" w:cstheme="majorBidi"/>
            <w:color w:val="auto"/>
            <w:szCs w:val="24"/>
            <w:u w:val="none"/>
            <w:lang w:val="en-GB"/>
          </w:rPr>
          <w:t>ITU-R 70</w:t>
        </w:r>
      </w:hyperlink>
      <w:r w:rsidR="00EB5233" w:rsidRPr="007F132A">
        <w:rPr>
          <w:lang w:val="en-GB"/>
        </w:rPr>
        <w:t xml:space="preserve"> resolves to develop Recommendations and Reports for the introduction of new systems, technologies and applications for broadcasting to achieve global harmonization of specifications;</w:t>
      </w:r>
    </w:p>
    <w:p w14:paraId="0406876D" w14:textId="514E6E3B" w:rsidR="00EB5233" w:rsidRPr="007F132A" w:rsidRDefault="007F132A" w:rsidP="007F132A">
      <w:pPr>
        <w:rPr>
          <w:lang w:val="en-GB" w:eastAsia="ja-JP"/>
        </w:rPr>
      </w:pPr>
      <w:r w:rsidRPr="007F132A">
        <w:rPr>
          <w:i/>
          <w:iCs/>
          <w:lang w:val="en-GB"/>
        </w:rPr>
        <w:t>b)</w:t>
      </w:r>
      <w:r>
        <w:rPr>
          <w:i/>
          <w:iCs/>
          <w:lang w:val="en-GB"/>
        </w:rPr>
        <w:tab/>
      </w:r>
      <w:r w:rsidR="00EB5233" w:rsidRPr="007F132A">
        <w:rPr>
          <w:lang w:val="en-GB"/>
        </w:rPr>
        <w:t xml:space="preserve">that Resolution </w:t>
      </w:r>
      <w:hyperlink r:id="rId22" w:history="1">
        <w:r w:rsidR="00EB5233" w:rsidRPr="007F132A">
          <w:rPr>
            <w:rStyle w:val="Hyperlink"/>
            <w:rFonts w:asciiTheme="majorBidi" w:hAnsiTheme="majorBidi" w:cstheme="majorBidi"/>
            <w:color w:val="auto"/>
            <w:szCs w:val="24"/>
            <w:u w:val="none"/>
            <w:lang w:val="en-GB"/>
          </w:rPr>
          <w:t>ITU-R 71</w:t>
        </w:r>
      </w:hyperlink>
      <w:r w:rsidR="00EB5233" w:rsidRPr="007F132A">
        <w:rPr>
          <w:lang w:val="en-GB"/>
        </w:rPr>
        <w:t xml:space="preserve"> resolves that a roadmap for ITU-R activities for broadcasting should be developed by the relevant Radiocommunication Study Group to ensure that this work is progressed effectively and efficiently</w:t>
      </w:r>
      <w:r w:rsidR="00EB5233" w:rsidRPr="007F132A">
        <w:rPr>
          <w:lang w:val="en-GB" w:eastAsia="ja-JP"/>
        </w:rPr>
        <w:t>;</w:t>
      </w:r>
    </w:p>
    <w:p w14:paraId="09860A69" w14:textId="4DF29E70" w:rsidR="00EB5233" w:rsidRPr="007F132A" w:rsidRDefault="007F132A" w:rsidP="007F132A">
      <w:pPr>
        <w:rPr>
          <w:lang w:val="en-GB" w:eastAsia="ja-JP"/>
        </w:rPr>
      </w:pPr>
      <w:r w:rsidRPr="007F132A">
        <w:rPr>
          <w:i/>
          <w:iCs/>
          <w:lang w:val="en-GB" w:eastAsia="ja-JP"/>
        </w:rPr>
        <w:t>c)</w:t>
      </w:r>
      <w:r>
        <w:rPr>
          <w:i/>
          <w:iCs/>
          <w:lang w:val="en-GB" w:eastAsia="ja-JP"/>
        </w:rPr>
        <w:tab/>
      </w:r>
      <w:r w:rsidR="00EB5233" w:rsidRPr="007F132A">
        <w:rPr>
          <w:lang w:val="en-GB" w:eastAsia="ja-JP"/>
        </w:rPr>
        <w:t xml:space="preserve">that Recommendation ITU-R </w:t>
      </w:r>
      <w:hyperlink r:id="rId23" w:history="1">
        <w:r w:rsidR="00EB5233" w:rsidRPr="007F132A">
          <w:rPr>
            <w:rStyle w:val="Hyperlink"/>
            <w:rFonts w:asciiTheme="majorBidi" w:hAnsiTheme="majorBidi" w:cstheme="majorBidi"/>
            <w:color w:val="auto"/>
            <w:szCs w:val="24"/>
            <w:u w:val="none"/>
            <w:lang w:val="en-GB"/>
          </w:rPr>
          <w:t>BT.1877</w:t>
        </w:r>
      </w:hyperlink>
      <w:r w:rsidR="00EB5233" w:rsidRPr="007F132A">
        <w:rPr>
          <w:lang w:val="en-GB" w:eastAsia="ja-JP"/>
        </w:rPr>
        <w:t xml:space="preserve"> specifies second generation digital terrestrial television broadcasting systems,</w:t>
      </w:r>
    </w:p>
    <w:p w14:paraId="764A1F41" w14:textId="77777777" w:rsidR="00EB5233" w:rsidRPr="00D147A8" w:rsidRDefault="00EB5233" w:rsidP="00EB5233">
      <w:pPr>
        <w:pStyle w:val="Call"/>
        <w:rPr>
          <w:lang w:val="en-GB"/>
        </w:rPr>
      </w:pPr>
      <w:r w:rsidRPr="00D147A8">
        <w:rPr>
          <w:lang w:val="en-GB"/>
        </w:rPr>
        <w:t>recommends</w:t>
      </w:r>
    </w:p>
    <w:p w14:paraId="149DFAE6" w14:textId="064FAED5" w:rsidR="00EB5233" w:rsidRPr="00D147A8" w:rsidRDefault="00EB5233" w:rsidP="007F132A">
      <w:pPr>
        <w:rPr>
          <w:lang w:val="en-GB" w:eastAsia="ja-JP"/>
        </w:rPr>
      </w:pPr>
      <w:r w:rsidRPr="00D147A8">
        <w:rPr>
          <w:lang w:val="en-GB"/>
        </w:rPr>
        <w:t xml:space="preserve">that the guidance provided in the </w:t>
      </w:r>
      <w:r w:rsidR="00A83E6B" w:rsidRPr="00D147A8">
        <w:rPr>
          <w:lang w:val="en-GB"/>
        </w:rPr>
        <w:t xml:space="preserve">Annex </w:t>
      </w:r>
      <w:r w:rsidRPr="00D147A8">
        <w:rPr>
          <w:lang w:val="en-GB"/>
        </w:rPr>
        <w:t xml:space="preserve">should be considered for the introduction of </w:t>
      </w:r>
      <w:r w:rsidRPr="00D147A8">
        <w:rPr>
          <w:lang w:val="en-GB" w:eastAsia="ja-JP"/>
        </w:rPr>
        <w:t xml:space="preserve">new DTTB systems, technologies and applications in the broadcasting service. </w:t>
      </w:r>
    </w:p>
    <w:p w14:paraId="31503D89" w14:textId="268BDA7D" w:rsidR="00856967" w:rsidRPr="00D147A8" w:rsidRDefault="00856967" w:rsidP="00EB5233">
      <w:pPr>
        <w:rPr>
          <w:lang w:val="en-GB" w:eastAsia="ja-JP"/>
        </w:rPr>
      </w:pPr>
    </w:p>
    <w:p w14:paraId="5E49AE99" w14:textId="3AC96ED8" w:rsidR="00856967" w:rsidRPr="00D147A8" w:rsidRDefault="00856967" w:rsidP="00EB5233">
      <w:pPr>
        <w:rPr>
          <w:lang w:val="en-GB" w:eastAsia="ja-JP"/>
        </w:rPr>
      </w:pPr>
    </w:p>
    <w:p w14:paraId="7CE03EA8" w14:textId="77777777" w:rsidR="007F132A" w:rsidRDefault="007F132A" w:rsidP="00EB5233">
      <w:pPr>
        <w:pStyle w:val="AnnexNoTitle"/>
        <w:rPr>
          <w:lang w:val="en-GB"/>
        </w:rPr>
      </w:pPr>
      <w:r>
        <w:rPr>
          <w:lang w:val="en-GB"/>
        </w:rPr>
        <w:br w:type="page"/>
      </w:r>
    </w:p>
    <w:p w14:paraId="55B1D09C" w14:textId="4897A6A1" w:rsidR="00EB5233" w:rsidRPr="00706DE2" w:rsidRDefault="00EB5233" w:rsidP="00EB5233">
      <w:pPr>
        <w:pStyle w:val="AnnexNoTitle"/>
        <w:rPr>
          <w:lang w:val="en-GB" w:eastAsia="ja-JP"/>
        </w:rPr>
      </w:pPr>
      <w:bookmarkStart w:id="4" w:name="_Toc100654060"/>
      <w:r w:rsidRPr="00706DE2">
        <w:rPr>
          <w:lang w:val="en-GB"/>
        </w:rPr>
        <w:lastRenderedPageBreak/>
        <w:t>Annex</w:t>
      </w:r>
      <w:r w:rsidRPr="00706DE2">
        <w:rPr>
          <w:lang w:val="en-GB"/>
        </w:rPr>
        <w:br/>
      </w:r>
      <w:r w:rsidRPr="00706DE2">
        <w:rPr>
          <w:lang w:val="en-GB"/>
        </w:rPr>
        <w:br/>
        <w:t xml:space="preserve">Guidance for the introduction of </w:t>
      </w:r>
      <w:r w:rsidRPr="00706DE2">
        <w:rPr>
          <w:lang w:val="en-GB" w:eastAsia="ja-JP"/>
        </w:rPr>
        <w:t xml:space="preserve">new DTTB systems, technologies </w:t>
      </w:r>
      <w:r w:rsidR="00715F5F" w:rsidRPr="00706DE2">
        <w:rPr>
          <w:lang w:val="en-GB" w:eastAsia="ja-JP"/>
        </w:rPr>
        <w:br/>
      </w:r>
      <w:r w:rsidRPr="00706DE2">
        <w:rPr>
          <w:lang w:val="en-GB" w:eastAsia="ja-JP"/>
        </w:rPr>
        <w:t>and applications in the broadcasting service</w:t>
      </w:r>
      <w:bookmarkEnd w:id="4"/>
    </w:p>
    <w:p w14:paraId="16A49A2E" w14:textId="41FAB628" w:rsidR="00EB5233" w:rsidRPr="009678BB" w:rsidRDefault="00715F5F" w:rsidP="00B02F8C">
      <w:pPr>
        <w:jc w:val="center"/>
      </w:pPr>
      <w:r w:rsidRPr="009678BB">
        <w:t>TABLE OF CONTENTS</w:t>
      </w:r>
    </w:p>
    <w:p w14:paraId="43BB8CE2" w14:textId="77777777" w:rsidR="00EB5233" w:rsidRPr="00706DE2" w:rsidRDefault="00EB5233" w:rsidP="00EB5233">
      <w:pPr>
        <w:pStyle w:val="toc0"/>
        <w:rPr>
          <w:lang w:val="en-GB"/>
        </w:rPr>
      </w:pPr>
      <w:r w:rsidRPr="00706DE2">
        <w:rPr>
          <w:lang w:val="en-GB"/>
        </w:rPr>
        <w:tab/>
        <w:t>Page</w:t>
      </w:r>
    </w:p>
    <w:p w14:paraId="5655044B" w14:textId="449930B4" w:rsidR="00B02F8C" w:rsidRDefault="00B02F8C">
      <w:pPr>
        <w:pStyle w:val="TOC1"/>
        <w:rPr>
          <w:rFonts w:asciiTheme="minorHAnsi" w:eastAsiaTheme="minorEastAsia" w:hAnsiTheme="minorHAnsi" w:cstheme="minorBidi"/>
          <w:noProof/>
          <w:sz w:val="22"/>
          <w:szCs w:val="22"/>
          <w:lang w:val="en-GB" w:eastAsia="en-GB"/>
        </w:rPr>
      </w:pPr>
      <w:r>
        <w:fldChar w:fldCharType="begin"/>
      </w:r>
      <w:r>
        <w:instrText xml:space="preserve"> TOC \o "1-2" \h \z \u </w:instrText>
      </w:r>
      <w:r>
        <w:fldChar w:fldCharType="separate"/>
      </w:r>
      <w:hyperlink w:anchor="_Toc100654059" w:history="1">
        <w:r w:rsidRPr="00522CC1">
          <w:rPr>
            <w:rStyle w:val="Hyperlink"/>
            <w:noProof/>
            <w:lang w:val="en-GB"/>
          </w:rPr>
          <w:t>Policy on Intellectual Property Right (IPR)</w:t>
        </w:r>
        <w:r>
          <w:rPr>
            <w:rStyle w:val="Hyperlink"/>
            <w:noProof/>
            <w:lang w:val="en-GB"/>
          </w:rPr>
          <w:tab/>
        </w:r>
        <w:r>
          <w:rPr>
            <w:noProof/>
            <w:webHidden/>
          </w:rPr>
          <w:tab/>
        </w:r>
        <w:r>
          <w:rPr>
            <w:noProof/>
            <w:webHidden/>
          </w:rPr>
          <w:fldChar w:fldCharType="begin"/>
        </w:r>
        <w:r>
          <w:rPr>
            <w:noProof/>
            <w:webHidden/>
          </w:rPr>
          <w:instrText xml:space="preserve"> PAGEREF _Toc100654059 \h </w:instrText>
        </w:r>
        <w:r>
          <w:rPr>
            <w:noProof/>
            <w:webHidden/>
          </w:rPr>
        </w:r>
        <w:r>
          <w:rPr>
            <w:noProof/>
            <w:webHidden/>
          </w:rPr>
          <w:fldChar w:fldCharType="separate"/>
        </w:r>
        <w:r w:rsidR="006D0942">
          <w:rPr>
            <w:noProof/>
            <w:webHidden/>
          </w:rPr>
          <w:t>ii</w:t>
        </w:r>
        <w:r>
          <w:rPr>
            <w:noProof/>
            <w:webHidden/>
          </w:rPr>
          <w:fldChar w:fldCharType="end"/>
        </w:r>
      </w:hyperlink>
    </w:p>
    <w:p w14:paraId="1692A2FD" w14:textId="73BDC35E" w:rsidR="00B02F8C" w:rsidRDefault="006D0942">
      <w:pPr>
        <w:pStyle w:val="TOC1"/>
        <w:rPr>
          <w:rFonts w:asciiTheme="minorHAnsi" w:eastAsiaTheme="minorEastAsia" w:hAnsiTheme="minorHAnsi" w:cstheme="minorBidi"/>
          <w:noProof/>
          <w:sz w:val="22"/>
          <w:szCs w:val="22"/>
          <w:lang w:val="en-GB" w:eastAsia="en-GB"/>
        </w:rPr>
      </w:pPr>
      <w:hyperlink w:anchor="_Toc100654060" w:history="1">
        <w:r w:rsidR="00B02F8C" w:rsidRPr="00522CC1">
          <w:rPr>
            <w:rStyle w:val="Hyperlink"/>
            <w:noProof/>
            <w:lang w:val="en-GB"/>
          </w:rPr>
          <w:t xml:space="preserve">Annex  Guidance for the introduction of </w:t>
        </w:r>
        <w:r w:rsidR="00B02F8C" w:rsidRPr="00522CC1">
          <w:rPr>
            <w:rStyle w:val="Hyperlink"/>
            <w:noProof/>
            <w:lang w:val="en-GB" w:eastAsia="ja-JP"/>
          </w:rPr>
          <w:t>new DTTB systems, technologies  and applications in the broadcasting service</w:t>
        </w:r>
        <w:r w:rsidR="00B02F8C">
          <w:rPr>
            <w:rStyle w:val="Hyperlink"/>
            <w:noProof/>
            <w:lang w:val="en-GB" w:eastAsia="ja-JP"/>
          </w:rPr>
          <w:tab/>
        </w:r>
        <w:r w:rsidR="00B02F8C">
          <w:rPr>
            <w:noProof/>
            <w:webHidden/>
          </w:rPr>
          <w:tab/>
        </w:r>
        <w:r w:rsidR="00B02F8C">
          <w:rPr>
            <w:noProof/>
            <w:webHidden/>
          </w:rPr>
          <w:fldChar w:fldCharType="begin"/>
        </w:r>
        <w:r w:rsidR="00B02F8C">
          <w:rPr>
            <w:noProof/>
            <w:webHidden/>
          </w:rPr>
          <w:instrText xml:space="preserve"> PAGEREF _Toc100654060 \h </w:instrText>
        </w:r>
        <w:r w:rsidR="00B02F8C">
          <w:rPr>
            <w:noProof/>
            <w:webHidden/>
          </w:rPr>
        </w:r>
        <w:r w:rsidR="00B02F8C">
          <w:rPr>
            <w:noProof/>
            <w:webHidden/>
          </w:rPr>
          <w:fldChar w:fldCharType="separate"/>
        </w:r>
        <w:r>
          <w:rPr>
            <w:noProof/>
            <w:webHidden/>
          </w:rPr>
          <w:t>3</w:t>
        </w:r>
        <w:r w:rsidR="00B02F8C">
          <w:rPr>
            <w:noProof/>
            <w:webHidden/>
          </w:rPr>
          <w:fldChar w:fldCharType="end"/>
        </w:r>
      </w:hyperlink>
    </w:p>
    <w:p w14:paraId="1283936A" w14:textId="6CC0632B" w:rsidR="00B02F8C" w:rsidRDefault="006D0942">
      <w:pPr>
        <w:pStyle w:val="TOC1"/>
        <w:rPr>
          <w:rFonts w:asciiTheme="minorHAnsi" w:eastAsiaTheme="minorEastAsia" w:hAnsiTheme="minorHAnsi" w:cstheme="minorBidi"/>
          <w:noProof/>
          <w:sz w:val="22"/>
          <w:szCs w:val="22"/>
          <w:lang w:val="en-GB" w:eastAsia="en-GB"/>
        </w:rPr>
      </w:pPr>
      <w:hyperlink w:anchor="_Toc100654061" w:history="1">
        <w:r w:rsidR="00B02F8C" w:rsidRPr="00522CC1">
          <w:rPr>
            <w:rStyle w:val="Hyperlink"/>
            <w:noProof/>
            <w:lang w:val="en-GB"/>
          </w:rPr>
          <w:t>1</w:t>
        </w:r>
        <w:r w:rsidR="00B02F8C">
          <w:rPr>
            <w:rFonts w:asciiTheme="minorHAnsi" w:eastAsiaTheme="minorEastAsia" w:hAnsiTheme="minorHAnsi" w:cstheme="minorBidi"/>
            <w:noProof/>
            <w:sz w:val="22"/>
            <w:szCs w:val="22"/>
            <w:lang w:val="en-GB" w:eastAsia="en-GB"/>
          </w:rPr>
          <w:tab/>
        </w:r>
        <w:r w:rsidR="00B02F8C" w:rsidRPr="00522CC1">
          <w:rPr>
            <w:rStyle w:val="Hyperlink"/>
            <w:noProof/>
            <w:lang w:val="en-GB"/>
          </w:rPr>
          <w:t>Introduction</w:t>
        </w:r>
        <w:r w:rsidR="00B02F8C">
          <w:rPr>
            <w:rStyle w:val="Hyperlink"/>
            <w:noProof/>
            <w:lang w:val="en-GB"/>
          </w:rPr>
          <w:tab/>
        </w:r>
        <w:r w:rsidR="00B02F8C">
          <w:rPr>
            <w:noProof/>
            <w:webHidden/>
          </w:rPr>
          <w:tab/>
        </w:r>
        <w:r w:rsidR="00B02F8C">
          <w:rPr>
            <w:noProof/>
            <w:webHidden/>
          </w:rPr>
          <w:fldChar w:fldCharType="begin"/>
        </w:r>
        <w:r w:rsidR="00B02F8C">
          <w:rPr>
            <w:noProof/>
            <w:webHidden/>
          </w:rPr>
          <w:instrText xml:space="preserve"> PAGEREF _Toc100654061 \h </w:instrText>
        </w:r>
        <w:r w:rsidR="00B02F8C">
          <w:rPr>
            <w:noProof/>
            <w:webHidden/>
          </w:rPr>
        </w:r>
        <w:r w:rsidR="00B02F8C">
          <w:rPr>
            <w:noProof/>
            <w:webHidden/>
          </w:rPr>
          <w:fldChar w:fldCharType="separate"/>
        </w:r>
        <w:r>
          <w:rPr>
            <w:noProof/>
            <w:webHidden/>
          </w:rPr>
          <w:t>4</w:t>
        </w:r>
        <w:r w:rsidR="00B02F8C">
          <w:rPr>
            <w:noProof/>
            <w:webHidden/>
          </w:rPr>
          <w:fldChar w:fldCharType="end"/>
        </w:r>
      </w:hyperlink>
    </w:p>
    <w:p w14:paraId="5CBAF244" w14:textId="1DA2D2EA" w:rsidR="00B02F8C" w:rsidRDefault="006D0942">
      <w:pPr>
        <w:pStyle w:val="TOC1"/>
        <w:rPr>
          <w:rFonts w:asciiTheme="minorHAnsi" w:eastAsiaTheme="minorEastAsia" w:hAnsiTheme="minorHAnsi" w:cstheme="minorBidi"/>
          <w:noProof/>
          <w:sz w:val="22"/>
          <w:szCs w:val="22"/>
          <w:lang w:val="en-GB" w:eastAsia="en-GB"/>
        </w:rPr>
      </w:pPr>
      <w:hyperlink w:anchor="_Toc100654062" w:history="1">
        <w:r w:rsidR="00B02F8C" w:rsidRPr="00522CC1">
          <w:rPr>
            <w:rStyle w:val="Hyperlink"/>
            <w:noProof/>
            <w:lang w:val="en-GB"/>
          </w:rPr>
          <w:t>2</w:t>
        </w:r>
        <w:r w:rsidR="00B02F8C">
          <w:rPr>
            <w:rFonts w:asciiTheme="minorHAnsi" w:eastAsiaTheme="minorEastAsia" w:hAnsiTheme="minorHAnsi" w:cstheme="minorBidi"/>
            <w:noProof/>
            <w:sz w:val="22"/>
            <w:szCs w:val="22"/>
            <w:lang w:val="en-GB" w:eastAsia="en-GB"/>
          </w:rPr>
          <w:tab/>
        </w:r>
        <w:r w:rsidR="00B02F8C" w:rsidRPr="00522CC1">
          <w:rPr>
            <w:rStyle w:val="Hyperlink"/>
            <w:noProof/>
            <w:lang w:val="en-GB"/>
          </w:rPr>
          <w:t>Requirements for the implementation of new DTTB systems, technologies and applications</w:t>
        </w:r>
        <w:r w:rsidR="00B02F8C">
          <w:rPr>
            <w:rStyle w:val="Hyperlink"/>
            <w:noProof/>
            <w:lang w:val="en-GB"/>
          </w:rPr>
          <w:tab/>
        </w:r>
        <w:r w:rsidR="00B02F8C">
          <w:rPr>
            <w:noProof/>
            <w:webHidden/>
          </w:rPr>
          <w:tab/>
        </w:r>
        <w:r w:rsidR="00B02F8C">
          <w:rPr>
            <w:noProof/>
            <w:webHidden/>
          </w:rPr>
          <w:fldChar w:fldCharType="begin"/>
        </w:r>
        <w:r w:rsidR="00B02F8C">
          <w:rPr>
            <w:noProof/>
            <w:webHidden/>
          </w:rPr>
          <w:instrText xml:space="preserve"> PAGEREF _Toc100654062 \h </w:instrText>
        </w:r>
        <w:r w:rsidR="00B02F8C">
          <w:rPr>
            <w:noProof/>
            <w:webHidden/>
          </w:rPr>
        </w:r>
        <w:r w:rsidR="00B02F8C">
          <w:rPr>
            <w:noProof/>
            <w:webHidden/>
          </w:rPr>
          <w:fldChar w:fldCharType="separate"/>
        </w:r>
        <w:r>
          <w:rPr>
            <w:noProof/>
            <w:webHidden/>
          </w:rPr>
          <w:t>4</w:t>
        </w:r>
        <w:r w:rsidR="00B02F8C">
          <w:rPr>
            <w:noProof/>
            <w:webHidden/>
          </w:rPr>
          <w:fldChar w:fldCharType="end"/>
        </w:r>
      </w:hyperlink>
    </w:p>
    <w:p w14:paraId="0AED13B7" w14:textId="3EA86C39" w:rsidR="00B02F8C" w:rsidRDefault="006D0942">
      <w:pPr>
        <w:pStyle w:val="TOC2"/>
        <w:rPr>
          <w:rFonts w:asciiTheme="minorHAnsi" w:eastAsiaTheme="minorEastAsia" w:hAnsiTheme="minorHAnsi" w:cstheme="minorBidi"/>
          <w:noProof/>
          <w:sz w:val="22"/>
          <w:szCs w:val="22"/>
          <w:lang w:val="en-GB" w:eastAsia="en-GB"/>
        </w:rPr>
      </w:pPr>
      <w:hyperlink w:anchor="_Toc100654063" w:history="1">
        <w:r w:rsidR="00B02F8C" w:rsidRPr="00522CC1">
          <w:rPr>
            <w:rStyle w:val="Hyperlink"/>
            <w:noProof/>
            <w:lang w:val="en-GB"/>
          </w:rPr>
          <w:t>2.1</w:t>
        </w:r>
        <w:r w:rsidR="00B02F8C">
          <w:rPr>
            <w:rFonts w:asciiTheme="minorHAnsi" w:eastAsiaTheme="minorEastAsia" w:hAnsiTheme="minorHAnsi" w:cstheme="minorBidi"/>
            <w:noProof/>
            <w:sz w:val="22"/>
            <w:szCs w:val="22"/>
            <w:lang w:val="en-GB" w:eastAsia="en-GB"/>
          </w:rPr>
          <w:tab/>
        </w:r>
        <w:r w:rsidR="00B02F8C" w:rsidRPr="00522CC1">
          <w:rPr>
            <w:rStyle w:val="Hyperlink"/>
            <w:noProof/>
            <w:lang w:val="en-GB"/>
          </w:rPr>
          <w:t>Receiver-related requirements</w:t>
        </w:r>
        <w:r w:rsidR="00B02F8C">
          <w:rPr>
            <w:rStyle w:val="Hyperlink"/>
            <w:noProof/>
            <w:lang w:val="en-GB"/>
          </w:rPr>
          <w:tab/>
        </w:r>
        <w:r w:rsidR="00B02F8C">
          <w:rPr>
            <w:noProof/>
            <w:webHidden/>
          </w:rPr>
          <w:tab/>
        </w:r>
        <w:r w:rsidR="00B02F8C">
          <w:rPr>
            <w:noProof/>
            <w:webHidden/>
          </w:rPr>
          <w:fldChar w:fldCharType="begin"/>
        </w:r>
        <w:r w:rsidR="00B02F8C">
          <w:rPr>
            <w:noProof/>
            <w:webHidden/>
          </w:rPr>
          <w:instrText xml:space="preserve"> PAGEREF _Toc100654063 \h </w:instrText>
        </w:r>
        <w:r w:rsidR="00B02F8C">
          <w:rPr>
            <w:noProof/>
            <w:webHidden/>
          </w:rPr>
        </w:r>
        <w:r w:rsidR="00B02F8C">
          <w:rPr>
            <w:noProof/>
            <w:webHidden/>
          </w:rPr>
          <w:fldChar w:fldCharType="separate"/>
        </w:r>
        <w:r>
          <w:rPr>
            <w:noProof/>
            <w:webHidden/>
          </w:rPr>
          <w:t>5</w:t>
        </w:r>
        <w:r w:rsidR="00B02F8C">
          <w:rPr>
            <w:noProof/>
            <w:webHidden/>
          </w:rPr>
          <w:fldChar w:fldCharType="end"/>
        </w:r>
      </w:hyperlink>
    </w:p>
    <w:p w14:paraId="441A145E" w14:textId="3B05E00F" w:rsidR="00B02F8C" w:rsidRDefault="006D0942">
      <w:pPr>
        <w:pStyle w:val="TOC2"/>
        <w:rPr>
          <w:rFonts w:asciiTheme="minorHAnsi" w:eastAsiaTheme="minorEastAsia" w:hAnsiTheme="minorHAnsi" w:cstheme="minorBidi"/>
          <w:noProof/>
          <w:sz w:val="22"/>
          <w:szCs w:val="22"/>
          <w:lang w:val="en-GB" w:eastAsia="en-GB"/>
        </w:rPr>
      </w:pPr>
      <w:hyperlink w:anchor="_Toc100654064" w:history="1">
        <w:r w:rsidR="00B02F8C" w:rsidRPr="00522CC1">
          <w:rPr>
            <w:rStyle w:val="Hyperlink"/>
            <w:noProof/>
            <w:lang w:val="en-GB"/>
          </w:rPr>
          <w:t>2.2</w:t>
        </w:r>
        <w:r w:rsidR="00B02F8C">
          <w:rPr>
            <w:rFonts w:asciiTheme="minorHAnsi" w:eastAsiaTheme="minorEastAsia" w:hAnsiTheme="minorHAnsi" w:cstheme="minorBidi"/>
            <w:noProof/>
            <w:sz w:val="22"/>
            <w:szCs w:val="22"/>
            <w:lang w:val="en-GB" w:eastAsia="en-GB"/>
          </w:rPr>
          <w:tab/>
        </w:r>
        <w:r w:rsidR="00B02F8C" w:rsidRPr="00522CC1">
          <w:rPr>
            <w:rStyle w:val="Hyperlink"/>
            <w:noProof/>
            <w:lang w:val="en-GB"/>
          </w:rPr>
          <w:t>Service-related requirements</w:t>
        </w:r>
        <w:r w:rsidR="00B02F8C">
          <w:rPr>
            <w:rStyle w:val="Hyperlink"/>
            <w:noProof/>
            <w:lang w:val="en-GB"/>
          </w:rPr>
          <w:tab/>
        </w:r>
        <w:r w:rsidR="00B02F8C">
          <w:rPr>
            <w:noProof/>
            <w:webHidden/>
          </w:rPr>
          <w:tab/>
        </w:r>
        <w:r w:rsidR="00B02F8C">
          <w:rPr>
            <w:noProof/>
            <w:webHidden/>
          </w:rPr>
          <w:fldChar w:fldCharType="begin"/>
        </w:r>
        <w:r w:rsidR="00B02F8C">
          <w:rPr>
            <w:noProof/>
            <w:webHidden/>
          </w:rPr>
          <w:instrText xml:space="preserve"> PAGEREF _Toc100654064 \h </w:instrText>
        </w:r>
        <w:r w:rsidR="00B02F8C">
          <w:rPr>
            <w:noProof/>
            <w:webHidden/>
          </w:rPr>
        </w:r>
        <w:r w:rsidR="00B02F8C">
          <w:rPr>
            <w:noProof/>
            <w:webHidden/>
          </w:rPr>
          <w:fldChar w:fldCharType="separate"/>
        </w:r>
        <w:r>
          <w:rPr>
            <w:noProof/>
            <w:webHidden/>
          </w:rPr>
          <w:t>5</w:t>
        </w:r>
        <w:r w:rsidR="00B02F8C">
          <w:rPr>
            <w:noProof/>
            <w:webHidden/>
          </w:rPr>
          <w:fldChar w:fldCharType="end"/>
        </w:r>
      </w:hyperlink>
    </w:p>
    <w:p w14:paraId="378C3F87" w14:textId="7C7A6FB7" w:rsidR="00B02F8C" w:rsidRDefault="006D0942">
      <w:pPr>
        <w:pStyle w:val="TOC2"/>
        <w:rPr>
          <w:rFonts w:asciiTheme="minorHAnsi" w:eastAsiaTheme="minorEastAsia" w:hAnsiTheme="minorHAnsi" w:cstheme="minorBidi"/>
          <w:noProof/>
          <w:sz w:val="22"/>
          <w:szCs w:val="22"/>
          <w:lang w:val="en-GB" w:eastAsia="en-GB"/>
        </w:rPr>
      </w:pPr>
      <w:hyperlink w:anchor="_Toc100654065" w:history="1">
        <w:r w:rsidR="00B02F8C" w:rsidRPr="00522CC1">
          <w:rPr>
            <w:rStyle w:val="Hyperlink"/>
            <w:noProof/>
            <w:lang w:val="en-GB"/>
          </w:rPr>
          <w:t>2.3</w:t>
        </w:r>
        <w:r w:rsidR="00B02F8C">
          <w:rPr>
            <w:rFonts w:asciiTheme="minorHAnsi" w:eastAsiaTheme="minorEastAsia" w:hAnsiTheme="minorHAnsi" w:cstheme="minorBidi"/>
            <w:noProof/>
            <w:sz w:val="22"/>
            <w:szCs w:val="22"/>
            <w:lang w:val="en-GB" w:eastAsia="en-GB"/>
          </w:rPr>
          <w:tab/>
        </w:r>
        <w:r w:rsidR="00B02F8C" w:rsidRPr="00522CC1">
          <w:rPr>
            <w:rStyle w:val="Hyperlink"/>
            <w:noProof/>
            <w:lang w:val="en-GB"/>
          </w:rPr>
          <w:t>Spectrum-related requirements</w:t>
        </w:r>
        <w:r w:rsidR="00B02F8C">
          <w:rPr>
            <w:rStyle w:val="Hyperlink"/>
            <w:noProof/>
            <w:lang w:val="en-GB"/>
          </w:rPr>
          <w:tab/>
        </w:r>
        <w:r w:rsidR="00B02F8C">
          <w:rPr>
            <w:noProof/>
            <w:webHidden/>
          </w:rPr>
          <w:tab/>
        </w:r>
        <w:r w:rsidR="00B02F8C">
          <w:rPr>
            <w:noProof/>
            <w:webHidden/>
          </w:rPr>
          <w:fldChar w:fldCharType="begin"/>
        </w:r>
        <w:r w:rsidR="00B02F8C">
          <w:rPr>
            <w:noProof/>
            <w:webHidden/>
          </w:rPr>
          <w:instrText xml:space="preserve"> PAGEREF _Toc100654065 \h </w:instrText>
        </w:r>
        <w:r w:rsidR="00B02F8C">
          <w:rPr>
            <w:noProof/>
            <w:webHidden/>
          </w:rPr>
        </w:r>
        <w:r w:rsidR="00B02F8C">
          <w:rPr>
            <w:noProof/>
            <w:webHidden/>
          </w:rPr>
          <w:fldChar w:fldCharType="separate"/>
        </w:r>
        <w:r>
          <w:rPr>
            <w:noProof/>
            <w:webHidden/>
          </w:rPr>
          <w:t>5</w:t>
        </w:r>
        <w:r w:rsidR="00B02F8C">
          <w:rPr>
            <w:noProof/>
            <w:webHidden/>
          </w:rPr>
          <w:fldChar w:fldCharType="end"/>
        </w:r>
      </w:hyperlink>
    </w:p>
    <w:p w14:paraId="1A6DEEAB" w14:textId="670CCFAF" w:rsidR="00B02F8C" w:rsidRDefault="006D0942">
      <w:pPr>
        <w:pStyle w:val="TOC1"/>
        <w:rPr>
          <w:rFonts w:asciiTheme="minorHAnsi" w:eastAsiaTheme="minorEastAsia" w:hAnsiTheme="minorHAnsi" w:cstheme="minorBidi"/>
          <w:noProof/>
          <w:sz w:val="22"/>
          <w:szCs w:val="22"/>
          <w:lang w:val="en-GB" w:eastAsia="en-GB"/>
        </w:rPr>
      </w:pPr>
      <w:hyperlink w:anchor="_Toc100654066" w:history="1">
        <w:r w:rsidR="00B02F8C" w:rsidRPr="00522CC1">
          <w:rPr>
            <w:rStyle w:val="Hyperlink"/>
            <w:noProof/>
            <w:lang w:eastAsia="ja-JP"/>
          </w:rPr>
          <w:t>3</w:t>
        </w:r>
        <w:r w:rsidR="00B02F8C">
          <w:rPr>
            <w:rFonts w:asciiTheme="minorHAnsi" w:eastAsiaTheme="minorEastAsia" w:hAnsiTheme="minorHAnsi" w:cstheme="minorBidi"/>
            <w:noProof/>
            <w:sz w:val="22"/>
            <w:szCs w:val="22"/>
            <w:lang w:val="en-GB" w:eastAsia="en-GB"/>
          </w:rPr>
          <w:tab/>
        </w:r>
        <w:r w:rsidR="00B02F8C" w:rsidRPr="00522CC1">
          <w:rPr>
            <w:rStyle w:val="Hyperlink"/>
            <w:noProof/>
            <w:lang w:eastAsia="ja-JP"/>
          </w:rPr>
          <w:t>Scenarios and methods for transition</w:t>
        </w:r>
        <w:r w:rsidR="00B02F8C">
          <w:rPr>
            <w:rStyle w:val="Hyperlink"/>
            <w:noProof/>
            <w:lang w:eastAsia="ja-JP"/>
          </w:rPr>
          <w:tab/>
        </w:r>
        <w:r w:rsidR="00B02F8C">
          <w:rPr>
            <w:noProof/>
            <w:webHidden/>
          </w:rPr>
          <w:tab/>
        </w:r>
        <w:r w:rsidR="00B02F8C">
          <w:rPr>
            <w:noProof/>
            <w:webHidden/>
          </w:rPr>
          <w:fldChar w:fldCharType="begin"/>
        </w:r>
        <w:r w:rsidR="00B02F8C">
          <w:rPr>
            <w:noProof/>
            <w:webHidden/>
          </w:rPr>
          <w:instrText xml:space="preserve"> PAGEREF _Toc100654066 \h </w:instrText>
        </w:r>
        <w:r w:rsidR="00B02F8C">
          <w:rPr>
            <w:noProof/>
            <w:webHidden/>
          </w:rPr>
        </w:r>
        <w:r w:rsidR="00B02F8C">
          <w:rPr>
            <w:noProof/>
            <w:webHidden/>
          </w:rPr>
          <w:fldChar w:fldCharType="separate"/>
        </w:r>
        <w:r>
          <w:rPr>
            <w:noProof/>
            <w:webHidden/>
          </w:rPr>
          <w:t>6</w:t>
        </w:r>
        <w:r w:rsidR="00B02F8C">
          <w:rPr>
            <w:noProof/>
            <w:webHidden/>
          </w:rPr>
          <w:fldChar w:fldCharType="end"/>
        </w:r>
      </w:hyperlink>
    </w:p>
    <w:p w14:paraId="0669DAAF" w14:textId="191855FC" w:rsidR="00B02F8C" w:rsidRDefault="006D0942">
      <w:pPr>
        <w:pStyle w:val="TOC2"/>
        <w:rPr>
          <w:rFonts w:asciiTheme="minorHAnsi" w:eastAsiaTheme="minorEastAsia" w:hAnsiTheme="minorHAnsi" w:cstheme="minorBidi"/>
          <w:noProof/>
          <w:sz w:val="22"/>
          <w:szCs w:val="22"/>
          <w:lang w:val="en-GB" w:eastAsia="en-GB"/>
        </w:rPr>
      </w:pPr>
      <w:hyperlink w:anchor="_Toc100654067" w:history="1">
        <w:r w:rsidR="00B02F8C" w:rsidRPr="00522CC1">
          <w:rPr>
            <w:rStyle w:val="Hyperlink"/>
            <w:noProof/>
            <w:lang w:val="en-GB"/>
          </w:rPr>
          <w:t>3.1</w:t>
        </w:r>
        <w:r w:rsidR="00B02F8C">
          <w:rPr>
            <w:rFonts w:asciiTheme="minorHAnsi" w:eastAsiaTheme="minorEastAsia" w:hAnsiTheme="minorHAnsi" w:cstheme="minorBidi"/>
            <w:noProof/>
            <w:sz w:val="22"/>
            <w:szCs w:val="22"/>
            <w:lang w:val="en-GB" w:eastAsia="en-GB"/>
          </w:rPr>
          <w:tab/>
        </w:r>
        <w:r w:rsidR="00B02F8C" w:rsidRPr="00522CC1">
          <w:rPr>
            <w:rStyle w:val="Hyperlink"/>
            <w:noProof/>
            <w:lang w:val="en-GB"/>
          </w:rPr>
          <w:t>Method A: Introducing a new service in the same channel used for existing services</w:t>
        </w:r>
        <w:r w:rsidR="00B02F8C">
          <w:rPr>
            <w:noProof/>
            <w:webHidden/>
          </w:rPr>
          <w:tab/>
        </w:r>
        <w:r w:rsidR="00B02F8C">
          <w:rPr>
            <w:noProof/>
            <w:webHidden/>
          </w:rPr>
          <w:tab/>
        </w:r>
        <w:r w:rsidR="00B02F8C">
          <w:rPr>
            <w:noProof/>
            <w:webHidden/>
          </w:rPr>
          <w:fldChar w:fldCharType="begin"/>
        </w:r>
        <w:r w:rsidR="00B02F8C">
          <w:rPr>
            <w:noProof/>
            <w:webHidden/>
          </w:rPr>
          <w:instrText xml:space="preserve"> PAGEREF _Toc100654067 \h </w:instrText>
        </w:r>
        <w:r w:rsidR="00B02F8C">
          <w:rPr>
            <w:noProof/>
            <w:webHidden/>
          </w:rPr>
        </w:r>
        <w:r w:rsidR="00B02F8C">
          <w:rPr>
            <w:noProof/>
            <w:webHidden/>
          </w:rPr>
          <w:fldChar w:fldCharType="separate"/>
        </w:r>
        <w:r>
          <w:rPr>
            <w:noProof/>
            <w:webHidden/>
          </w:rPr>
          <w:t>6</w:t>
        </w:r>
        <w:r w:rsidR="00B02F8C">
          <w:rPr>
            <w:noProof/>
            <w:webHidden/>
          </w:rPr>
          <w:fldChar w:fldCharType="end"/>
        </w:r>
      </w:hyperlink>
    </w:p>
    <w:p w14:paraId="25F726C5" w14:textId="1113A268" w:rsidR="00B02F8C" w:rsidRDefault="006D0942">
      <w:pPr>
        <w:pStyle w:val="TOC2"/>
        <w:rPr>
          <w:rFonts w:asciiTheme="minorHAnsi" w:eastAsiaTheme="minorEastAsia" w:hAnsiTheme="minorHAnsi" w:cstheme="minorBidi"/>
          <w:noProof/>
          <w:sz w:val="22"/>
          <w:szCs w:val="22"/>
          <w:lang w:val="en-GB" w:eastAsia="en-GB"/>
        </w:rPr>
      </w:pPr>
      <w:hyperlink w:anchor="_Toc100654068" w:history="1">
        <w:r w:rsidR="00B02F8C" w:rsidRPr="00522CC1">
          <w:rPr>
            <w:rStyle w:val="Hyperlink"/>
            <w:noProof/>
            <w:lang w:val="en-GB"/>
          </w:rPr>
          <w:t>3.2</w:t>
        </w:r>
        <w:r w:rsidR="00B02F8C">
          <w:rPr>
            <w:rFonts w:asciiTheme="minorHAnsi" w:eastAsiaTheme="minorEastAsia" w:hAnsiTheme="minorHAnsi" w:cstheme="minorBidi"/>
            <w:noProof/>
            <w:sz w:val="22"/>
            <w:szCs w:val="22"/>
            <w:lang w:val="en-GB" w:eastAsia="en-GB"/>
          </w:rPr>
          <w:tab/>
        </w:r>
        <w:r w:rsidR="00B02F8C" w:rsidRPr="00522CC1">
          <w:rPr>
            <w:rStyle w:val="Hyperlink"/>
            <w:noProof/>
            <w:lang w:val="en-GB"/>
          </w:rPr>
          <w:t>Method B: Introducing a new service in a different channel that is not used for existing services</w:t>
        </w:r>
        <w:r w:rsidR="00B02F8C">
          <w:rPr>
            <w:noProof/>
            <w:webHidden/>
          </w:rPr>
          <w:tab/>
        </w:r>
        <w:r w:rsidR="00B02F8C">
          <w:rPr>
            <w:noProof/>
            <w:webHidden/>
          </w:rPr>
          <w:tab/>
        </w:r>
        <w:r w:rsidR="00B02F8C">
          <w:rPr>
            <w:noProof/>
            <w:webHidden/>
          </w:rPr>
          <w:fldChar w:fldCharType="begin"/>
        </w:r>
        <w:r w:rsidR="00B02F8C">
          <w:rPr>
            <w:noProof/>
            <w:webHidden/>
          </w:rPr>
          <w:instrText xml:space="preserve"> PAGEREF _Toc100654068 \h </w:instrText>
        </w:r>
        <w:r w:rsidR="00B02F8C">
          <w:rPr>
            <w:noProof/>
            <w:webHidden/>
          </w:rPr>
        </w:r>
        <w:r w:rsidR="00B02F8C">
          <w:rPr>
            <w:noProof/>
            <w:webHidden/>
          </w:rPr>
          <w:fldChar w:fldCharType="separate"/>
        </w:r>
        <w:r>
          <w:rPr>
            <w:noProof/>
            <w:webHidden/>
          </w:rPr>
          <w:t>10</w:t>
        </w:r>
        <w:r w:rsidR="00B02F8C">
          <w:rPr>
            <w:noProof/>
            <w:webHidden/>
          </w:rPr>
          <w:fldChar w:fldCharType="end"/>
        </w:r>
      </w:hyperlink>
    </w:p>
    <w:p w14:paraId="15971A14" w14:textId="6B2938CD" w:rsidR="00B02F8C" w:rsidRDefault="006D0942">
      <w:pPr>
        <w:pStyle w:val="TOC2"/>
        <w:rPr>
          <w:rFonts w:asciiTheme="minorHAnsi" w:eastAsiaTheme="minorEastAsia" w:hAnsiTheme="minorHAnsi" w:cstheme="minorBidi"/>
          <w:noProof/>
          <w:sz w:val="22"/>
          <w:szCs w:val="22"/>
          <w:lang w:val="en-GB" w:eastAsia="en-GB"/>
        </w:rPr>
      </w:pPr>
      <w:hyperlink w:anchor="_Toc100654069" w:history="1">
        <w:r w:rsidR="00B02F8C" w:rsidRPr="00522CC1">
          <w:rPr>
            <w:rStyle w:val="Hyperlink"/>
            <w:noProof/>
            <w:lang w:val="en-GB"/>
          </w:rPr>
          <w:t>3.3</w:t>
        </w:r>
        <w:r w:rsidR="00B02F8C">
          <w:rPr>
            <w:rFonts w:asciiTheme="minorHAnsi" w:eastAsiaTheme="minorEastAsia" w:hAnsiTheme="minorHAnsi" w:cstheme="minorBidi"/>
            <w:noProof/>
            <w:sz w:val="22"/>
            <w:szCs w:val="22"/>
            <w:lang w:val="en-GB" w:eastAsia="en-GB"/>
          </w:rPr>
          <w:tab/>
        </w:r>
        <w:r w:rsidR="00B02F8C" w:rsidRPr="00522CC1">
          <w:rPr>
            <w:rStyle w:val="Hyperlink"/>
            <w:noProof/>
            <w:lang w:val="en-GB"/>
          </w:rPr>
          <w:t>Comparison of features of the methods</w:t>
        </w:r>
        <w:r w:rsidR="00B02F8C">
          <w:rPr>
            <w:rStyle w:val="Hyperlink"/>
            <w:noProof/>
            <w:lang w:val="en-GB"/>
          </w:rPr>
          <w:tab/>
        </w:r>
        <w:r w:rsidR="00B02F8C">
          <w:rPr>
            <w:noProof/>
            <w:webHidden/>
          </w:rPr>
          <w:tab/>
        </w:r>
        <w:r w:rsidR="00B02F8C">
          <w:rPr>
            <w:noProof/>
            <w:webHidden/>
          </w:rPr>
          <w:fldChar w:fldCharType="begin"/>
        </w:r>
        <w:r w:rsidR="00B02F8C">
          <w:rPr>
            <w:noProof/>
            <w:webHidden/>
          </w:rPr>
          <w:instrText xml:space="preserve"> PAGEREF _Toc100654069 \h </w:instrText>
        </w:r>
        <w:r w:rsidR="00B02F8C">
          <w:rPr>
            <w:noProof/>
            <w:webHidden/>
          </w:rPr>
        </w:r>
        <w:r w:rsidR="00B02F8C">
          <w:rPr>
            <w:noProof/>
            <w:webHidden/>
          </w:rPr>
          <w:fldChar w:fldCharType="separate"/>
        </w:r>
        <w:r>
          <w:rPr>
            <w:noProof/>
            <w:webHidden/>
          </w:rPr>
          <w:t>12</w:t>
        </w:r>
        <w:r w:rsidR="00B02F8C">
          <w:rPr>
            <w:noProof/>
            <w:webHidden/>
          </w:rPr>
          <w:fldChar w:fldCharType="end"/>
        </w:r>
      </w:hyperlink>
    </w:p>
    <w:p w14:paraId="0BE5850C" w14:textId="115F9A08" w:rsidR="00EB5233" w:rsidRDefault="00B02F8C" w:rsidP="00EB5233">
      <w:pPr>
        <w:pStyle w:val="Normalsplit"/>
        <w:tabs>
          <w:tab w:val="left" w:leader="dot" w:pos="9356"/>
        </w:tabs>
      </w:pPr>
      <w:r>
        <w:fldChar w:fldCharType="end"/>
      </w:r>
    </w:p>
    <w:p w14:paraId="527103E7" w14:textId="77777777" w:rsidR="007F132A" w:rsidRDefault="007F132A" w:rsidP="007F132A">
      <w:pPr>
        <w:pStyle w:val="Heading1"/>
        <w:rPr>
          <w:lang w:val="en-GB"/>
        </w:rPr>
      </w:pPr>
      <w:bookmarkStart w:id="5" w:name="_Toc97756970"/>
      <w:bookmarkStart w:id="6" w:name="_Toc97757241"/>
      <w:bookmarkStart w:id="7" w:name="_Toc97816606"/>
      <w:bookmarkStart w:id="8" w:name="_Toc98311857"/>
      <w:r>
        <w:rPr>
          <w:lang w:val="en-GB"/>
        </w:rPr>
        <w:br w:type="page"/>
      </w:r>
    </w:p>
    <w:p w14:paraId="7F2DC824" w14:textId="691B2BED" w:rsidR="00EB5233" w:rsidRPr="00706DE2" w:rsidRDefault="00EB5233" w:rsidP="007F132A">
      <w:pPr>
        <w:pStyle w:val="Heading1"/>
        <w:rPr>
          <w:lang w:val="en-GB"/>
        </w:rPr>
      </w:pPr>
      <w:bookmarkStart w:id="9" w:name="_Toc100654061"/>
      <w:r w:rsidRPr="00706DE2">
        <w:rPr>
          <w:lang w:val="en-GB"/>
        </w:rPr>
        <w:lastRenderedPageBreak/>
        <w:t>1</w:t>
      </w:r>
      <w:r w:rsidRPr="00706DE2">
        <w:rPr>
          <w:lang w:val="en-GB"/>
        </w:rPr>
        <w:tab/>
        <w:t>Introduction</w:t>
      </w:r>
      <w:bookmarkEnd w:id="5"/>
      <w:bookmarkEnd w:id="6"/>
      <w:bookmarkEnd w:id="7"/>
      <w:bookmarkEnd w:id="8"/>
      <w:bookmarkEnd w:id="9"/>
    </w:p>
    <w:p w14:paraId="1A64026B" w14:textId="378B2EA9" w:rsidR="00EB5233" w:rsidRPr="00706DE2" w:rsidRDefault="00EB5233" w:rsidP="00EB5233">
      <w:pPr>
        <w:rPr>
          <w:spacing w:val="-2"/>
          <w:lang w:val="en-GB" w:eastAsia="ja-JP"/>
        </w:rPr>
      </w:pPr>
      <w:r w:rsidRPr="00706DE2">
        <w:rPr>
          <w:spacing w:val="-2"/>
          <w:lang w:val="en-GB" w:eastAsia="ja-JP"/>
        </w:rPr>
        <w:t xml:space="preserve">Over 20 years have passed since the world’s first launch of </w:t>
      </w:r>
      <w:r w:rsidRPr="00706DE2">
        <w:rPr>
          <w:lang w:val="en-GB"/>
        </w:rPr>
        <w:t>DTTB</w:t>
      </w:r>
      <w:r w:rsidRPr="00706DE2">
        <w:rPr>
          <w:spacing w:val="-2"/>
          <w:lang w:val="en-GB" w:eastAsia="ja-JP"/>
        </w:rPr>
        <w:t>. With the advent of new systems, technologies and applications for broadcasting that aim at delivering television, sound and multimedia programmes more efficiently and providing the audience with new audio-visual experiences, a crucial issue is how best such new systems, technologies and applications can be introduced in the broadcasting service where the first generation of DTTB systems are in operation, without giving adverse effects to the audience. It is also important to consider methods that can ensure the continuous advancement of broadcasting in the future.</w:t>
      </w:r>
    </w:p>
    <w:p w14:paraId="09BD87BC" w14:textId="3217ABE1" w:rsidR="00EB5233" w:rsidRPr="00706DE2" w:rsidRDefault="00EB5233" w:rsidP="00EB5233">
      <w:pPr>
        <w:rPr>
          <w:lang w:val="en-GB" w:eastAsia="ja-JP"/>
        </w:rPr>
      </w:pPr>
      <w:r w:rsidRPr="00706DE2">
        <w:rPr>
          <w:lang w:val="en-GB" w:eastAsia="ja-JP"/>
        </w:rPr>
        <w:t>Several scenarios may be possible in terms of timelines of the process, parties involved and public policies to drive transitions.</w:t>
      </w:r>
    </w:p>
    <w:p w14:paraId="470CE800" w14:textId="5B3A7AAB" w:rsidR="00EB5233" w:rsidRPr="00706DE2" w:rsidRDefault="00EB5233" w:rsidP="00EB5233">
      <w:pPr>
        <w:pStyle w:val="Heading1"/>
        <w:rPr>
          <w:lang w:val="en-GB"/>
        </w:rPr>
      </w:pPr>
      <w:bookmarkStart w:id="10" w:name="_Toc97756971"/>
      <w:bookmarkStart w:id="11" w:name="_Toc97757242"/>
      <w:bookmarkStart w:id="12" w:name="_Toc97816607"/>
      <w:bookmarkStart w:id="13" w:name="_Toc98311858"/>
      <w:bookmarkStart w:id="14" w:name="_Toc100654062"/>
      <w:r w:rsidRPr="00706DE2">
        <w:rPr>
          <w:lang w:val="en-GB"/>
        </w:rPr>
        <w:t>2</w:t>
      </w:r>
      <w:r w:rsidRPr="00706DE2">
        <w:rPr>
          <w:lang w:val="en-GB"/>
        </w:rPr>
        <w:tab/>
        <w:t>Requirements for the implementation of new DTTB systems, technologies and applications</w:t>
      </w:r>
      <w:bookmarkEnd w:id="10"/>
      <w:bookmarkEnd w:id="11"/>
      <w:bookmarkEnd w:id="12"/>
      <w:bookmarkEnd w:id="13"/>
      <w:bookmarkEnd w:id="14"/>
    </w:p>
    <w:p w14:paraId="552D2463" w14:textId="0D1E2F1D" w:rsidR="00EB5233" w:rsidRPr="00706DE2" w:rsidRDefault="00EB5233" w:rsidP="00EB5233">
      <w:pPr>
        <w:rPr>
          <w:lang w:val="en-GB" w:eastAsia="ja-JP"/>
        </w:rPr>
      </w:pPr>
      <w:r w:rsidRPr="00706DE2">
        <w:rPr>
          <w:lang w:val="en-GB" w:eastAsia="ja-JP"/>
        </w:rPr>
        <w:t>Each country and region may have different requirements for introducing a new system due to different situations in the usage of the frequency band allocated to broadcasting, e.g. the number of channels used and unused and the intended new services and applications that may have different transmission capacity requirements, and different transmission systems and technologies adopted in the existing broadcasting service (e.g. DTTB Systems A, B, C and D; video source coding of MPEG</w:t>
      </w:r>
      <w:r w:rsidRPr="00706DE2">
        <w:rPr>
          <w:lang w:val="en-GB" w:eastAsia="ja-JP"/>
        </w:rPr>
        <w:noBreakHyphen/>
        <w:t>2, MPEG-4; video formats of SDTV and HDTV; sound formats of stereo and 5.1 multichannel).</w:t>
      </w:r>
    </w:p>
    <w:p w14:paraId="3FD9C261" w14:textId="11F1B74E" w:rsidR="00EB5233" w:rsidRPr="00D147A8" w:rsidRDefault="00EB5233" w:rsidP="00EB5233">
      <w:pPr>
        <w:rPr>
          <w:lang w:val="en-GB"/>
        </w:rPr>
      </w:pPr>
      <w:r w:rsidRPr="00D147A8">
        <w:rPr>
          <w:lang w:val="en-GB"/>
        </w:rPr>
        <w:t>In general, the requirements that need to be specified for the implementation of new digital terrestrial broadcasting systems, technologies and applications can be grouped into three parts: receiver-related requirements, service-related requirements and spectrum-related requirements.</w:t>
      </w:r>
    </w:p>
    <w:p w14:paraId="2002E9F8" w14:textId="77777777" w:rsidR="00EB5233" w:rsidRPr="00706DE2" w:rsidRDefault="00EB5233" w:rsidP="00EB5233">
      <w:pPr>
        <w:rPr>
          <w:lang w:val="en-GB"/>
        </w:rPr>
      </w:pPr>
      <w:r w:rsidRPr="00706DE2">
        <w:rPr>
          <w:lang w:val="en-GB"/>
        </w:rPr>
        <w:t>To be generally accepted, any new digital terrestrial broadcasting system should fulfil the requirements of both Public Service Media (PSM) and Commercial Broadcasters.</w:t>
      </w:r>
    </w:p>
    <w:p w14:paraId="2AD683B2" w14:textId="77777777" w:rsidR="00EB5233" w:rsidRPr="00D147A8" w:rsidRDefault="00EB5233" w:rsidP="00EB5233">
      <w:pPr>
        <w:rPr>
          <w:lang w:val="en-GB"/>
        </w:rPr>
      </w:pPr>
      <w:r w:rsidRPr="00D147A8">
        <w:rPr>
          <w:lang w:val="en-GB"/>
        </w:rPr>
        <w:t>The general requirements for broadcasters are:</w:t>
      </w:r>
    </w:p>
    <w:p w14:paraId="02870AC6" w14:textId="77777777" w:rsidR="00EB5233" w:rsidRPr="00706DE2" w:rsidRDefault="00EB5233" w:rsidP="00EB5233">
      <w:pPr>
        <w:pStyle w:val="enumlev1"/>
        <w:rPr>
          <w:lang w:val="en-GB"/>
        </w:rPr>
      </w:pPr>
      <w:r w:rsidRPr="00706DE2">
        <w:rPr>
          <w:lang w:val="en-GB"/>
        </w:rPr>
        <w:t>–</w:t>
      </w:r>
      <w:r w:rsidRPr="00706DE2">
        <w:rPr>
          <w:lang w:val="en-GB"/>
        </w:rPr>
        <w:tab/>
        <w:t>The ability to provide content free-to-air (no additional cost for viewers/listeners).</w:t>
      </w:r>
    </w:p>
    <w:p w14:paraId="11B50FDF" w14:textId="39A1B09B" w:rsidR="00EB5233" w:rsidRPr="00706DE2" w:rsidRDefault="00EB5233" w:rsidP="00EB5233">
      <w:pPr>
        <w:pStyle w:val="enumlev1"/>
        <w:rPr>
          <w:lang w:val="en-GB"/>
        </w:rPr>
      </w:pPr>
      <w:r w:rsidRPr="00706DE2">
        <w:rPr>
          <w:lang w:val="en-GB"/>
        </w:rPr>
        <w:t>–</w:t>
      </w:r>
      <w:r w:rsidRPr="00706DE2">
        <w:rPr>
          <w:lang w:val="en-GB"/>
        </w:rPr>
        <w:tab/>
        <w:t>Delivery of the content to the public without blocking or filtering the service offer, i.e. no gatekeeping.</w:t>
      </w:r>
    </w:p>
    <w:p w14:paraId="6A2E8B7E" w14:textId="76EB0972" w:rsidR="00EB5233" w:rsidRPr="00706DE2" w:rsidRDefault="00EB5233" w:rsidP="00EB5233">
      <w:pPr>
        <w:pStyle w:val="enumlev1"/>
        <w:rPr>
          <w:lang w:val="en-GB"/>
        </w:rPr>
      </w:pPr>
      <w:r w:rsidRPr="00D147A8">
        <w:rPr>
          <w:lang w:val="en-GB"/>
        </w:rPr>
        <w:t>–</w:t>
      </w:r>
      <w:r w:rsidRPr="00D147A8">
        <w:rPr>
          <w:lang w:val="en-GB"/>
        </w:rPr>
        <w:tab/>
        <w:t xml:space="preserve">Content and service integrity: no modification of the content or service by third parties. </w:t>
      </w:r>
      <w:r w:rsidRPr="00706DE2">
        <w:rPr>
          <w:lang w:val="en-GB"/>
        </w:rPr>
        <w:t>For example, television content and additional services (e.g. subtitles, IBB applications, etc.) must be displayed on the screen, unaltered and without unauthorized overlays.</w:t>
      </w:r>
    </w:p>
    <w:p w14:paraId="16AA5B6F" w14:textId="14304C6E" w:rsidR="00EB5233" w:rsidRPr="00706DE2" w:rsidRDefault="00EB5233" w:rsidP="00EB5233">
      <w:pPr>
        <w:pStyle w:val="enumlev1"/>
        <w:rPr>
          <w:lang w:val="en-GB"/>
        </w:rPr>
      </w:pPr>
      <w:r w:rsidRPr="00706DE2">
        <w:rPr>
          <w:lang w:val="en-GB"/>
        </w:rPr>
        <w:t>–</w:t>
      </w:r>
      <w:r w:rsidRPr="00706DE2">
        <w:rPr>
          <w:lang w:val="en-GB"/>
        </w:rPr>
        <w:tab/>
        <w:t>Quality of service (QoS) is to be defined by the broadcaster, including the availability of a network, its robustness, up-time and reliability.</w:t>
      </w:r>
    </w:p>
    <w:p w14:paraId="20827211" w14:textId="77777777" w:rsidR="00EB5233" w:rsidRPr="00706DE2" w:rsidRDefault="00EB5233" w:rsidP="00EB5233">
      <w:pPr>
        <w:pStyle w:val="enumlev1"/>
        <w:rPr>
          <w:lang w:val="en-GB"/>
        </w:rPr>
      </w:pPr>
      <w:r w:rsidRPr="00706DE2">
        <w:rPr>
          <w:lang w:val="en-GB"/>
        </w:rPr>
        <w:t>–</w:t>
      </w:r>
      <w:r w:rsidRPr="00706DE2">
        <w:rPr>
          <w:lang w:val="en-GB"/>
        </w:rPr>
        <w:tab/>
        <w:t>QoS for each user shall be independent of the size of the audience.</w:t>
      </w:r>
    </w:p>
    <w:p w14:paraId="475EA741" w14:textId="77777777" w:rsidR="00EB5233" w:rsidRPr="00706DE2" w:rsidRDefault="00EB5233" w:rsidP="00EB5233">
      <w:pPr>
        <w:pStyle w:val="enumlev1"/>
        <w:rPr>
          <w:lang w:val="en-GB"/>
        </w:rPr>
      </w:pPr>
      <w:r w:rsidRPr="00706DE2">
        <w:rPr>
          <w:lang w:val="en-GB"/>
        </w:rPr>
        <w:t>–</w:t>
      </w:r>
      <w:r w:rsidRPr="00706DE2">
        <w:rPr>
          <w:lang w:val="en-GB"/>
        </w:rPr>
        <w:tab/>
        <w:t>The broadcasting service shall not be subject to discrimination compared to equivalent services.</w:t>
      </w:r>
    </w:p>
    <w:p w14:paraId="1543417B" w14:textId="702198C2" w:rsidR="00EB5233" w:rsidRPr="00706DE2" w:rsidRDefault="00EB5233" w:rsidP="00EB5233">
      <w:pPr>
        <w:pStyle w:val="enumlev1"/>
        <w:rPr>
          <w:lang w:val="en-GB"/>
        </w:rPr>
      </w:pPr>
      <w:r w:rsidRPr="00706DE2">
        <w:rPr>
          <w:lang w:val="en-GB"/>
        </w:rPr>
        <w:t>–</w:t>
      </w:r>
      <w:r w:rsidRPr="00706DE2">
        <w:rPr>
          <w:lang w:val="en-GB"/>
        </w:rPr>
        <w:tab/>
        <w:t>Geographical availability of the service (e.g. national, regional, local) is to be defined by the broadcaster.</w:t>
      </w:r>
    </w:p>
    <w:p w14:paraId="5033CF7E" w14:textId="52EE26F6" w:rsidR="00EB5233" w:rsidRPr="00706DE2" w:rsidRDefault="00EB5233" w:rsidP="00EB5233">
      <w:pPr>
        <w:pStyle w:val="enumlev1"/>
        <w:rPr>
          <w:lang w:val="en-GB"/>
        </w:rPr>
      </w:pPr>
      <w:r w:rsidRPr="00706DE2">
        <w:rPr>
          <w:lang w:val="en-GB"/>
        </w:rPr>
        <w:t>–</w:t>
      </w:r>
      <w:r w:rsidRPr="00706DE2">
        <w:rPr>
          <w:lang w:val="en-GB"/>
        </w:rPr>
        <w:tab/>
        <w:t>A distribution network needs to support at least a minimum service offer (e.g. a minimum number of programmes) as defined by the broadcaster. These services should be available concurrently to all users within designated geographical areas.</w:t>
      </w:r>
    </w:p>
    <w:p w14:paraId="6EABFD5F" w14:textId="77777777" w:rsidR="00EB5233" w:rsidRPr="00D147A8" w:rsidRDefault="00EB5233" w:rsidP="00EB5233">
      <w:pPr>
        <w:pStyle w:val="enumlev1"/>
        <w:rPr>
          <w:lang w:val="en-GB"/>
        </w:rPr>
      </w:pPr>
      <w:r w:rsidRPr="00D147A8">
        <w:rPr>
          <w:lang w:val="en-GB"/>
        </w:rPr>
        <w:t>–</w:t>
      </w:r>
      <w:r w:rsidRPr="00D147A8">
        <w:rPr>
          <w:lang w:val="en-GB"/>
        </w:rPr>
        <w:tab/>
        <w:t>Ease of use: straightforward accessibility and prominence of the broadcasting offer.</w:t>
      </w:r>
    </w:p>
    <w:p w14:paraId="5724153B" w14:textId="04F9E325" w:rsidR="00EB5233" w:rsidRPr="00706DE2" w:rsidRDefault="00EB5233" w:rsidP="00EB5233">
      <w:pPr>
        <w:pStyle w:val="enumlev1"/>
        <w:rPr>
          <w:lang w:val="en-GB"/>
        </w:rPr>
      </w:pPr>
      <w:r w:rsidRPr="00706DE2">
        <w:rPr>
          <w:lang w:val="en-GB"/>
        </w:rPr>
        <w:t>–</w:t>
      </w:r>
      <w:r w:rsidRPr="00706DE2">
        <w:rPr>
          <w:lang w:val="en-GB"/>
        </w:rPr>
        <w:tab/>
        <w:t>Low barrier for access to broadcasting content and services for people with disabilities (e.g. subtitles, audio description and signing).</w:t>
      </w:r>
    </w:p>
    <w:p w14:paraId="1E4F4BAE" w14:textId="77777777" w:rsidR="00EB5233" w:rsidRPr="00706DE2" w:rsidRDefault="00EB5233" w:rsidP="00EB5233">
      <w:pPr>
        <w:pStyle w:val="enumlev1"/>
        <w:rPr>
          <w:lang w:val="en-GB"/>
        </w:rPr>
      </w:pPr>
      <w:r w:rsidRPr="00706DE2">
        <w:rPr>
          <w:lang w:val="en-GB"/>
        </w:rPr>
        <w:lastRenderedPageBreak/>
        <w:t>–</w:t>
      </w:r>
      <w:r w:rsidRPr="00706DE2">
        <w:rPr>
          <w:lang w:val="en-GB"/>
        </w:rPr>
        <w:tab/>
        <w:t>Option for anonymous reception of free-to-air content.</w:t>
      </w:r>
    </w:p>
    <w:p w14:paraId="6317247B" w14:textId="77777777" w:rsidR="00EB5233" w:rsidRPr="00D147A8" w:rsidRDefault="00EB5233" w:rsidP="00EB5233">
      <w:pPr>
        <w:pStyle w:val="enumlev1"/>
        <w:rPr>
          <w:lang w:val="en-GB"/>
        </w:rPr>
      </w:pPr>
      <w:bookmarkStart w:id="15" w:name="_Hlk31895316"/>
      <w:r w:rsidRPr="00D147A8">
        <w:rPr>
          <w:lang w:val="en-GB"/>
        </w:rPr>
        <w:t>–</w:t>
      </w:r>
      <w:bookmarkEnd w:id="15"/>
      <w:r w:rsidRPr="00D147A8">
        <w:rPr>
          <w:lang w:val="en-GB"/>
        </w:rPr>
        <w:tab/>
        <w:t>In case a broadcast service provider has collected, upon agreement of the end-user, usage data and/or audience analytics, the broadcaster providing the content should have unconstrained access to this data.</w:t>
      </w:r>
    </w:p>
    <w:p w14:paraId="09DF6D76" w14:textId="77777777" w:rsidR="00EB5233" w:rsidRPr="00706DE2" w:rsidRDefault="00EB5233" w:rsidP="00EB5233">
      <w:pPr>
        <w:pStyle w:val="enumlev1"/>
        <w:rPr>
          <w:lang w:val="en-GB"/>
        </w:rPr>
      </w:pPr>
      <w:r w:rsidRPr="00706DE2">
        <w:rPr>
          <w:lang w:val="en-GB"/>
        </w:rPr>
        <w:t>–</w:t>
      </w:r>
      <w:r w:rsidRPr="00706DE2">
        <w:rPr>
          <w:lang w:val="en-GB"/>
        </w:rPr>
        <w:tab/>
        <w:t>The ability to reach audiences in emergency situations.</w:t>
      </w:r>
    </w:p>
    <w:p w14:paraId="5B76F51F" w14:textId="6DBC290A" w:rsidR="00EB5233" w:rsidRPr="00706DE2" w:rsidRDefault="00EB5233" w:rsidP="00EB5233">
      <w:pPr>
        <w:rPr>
          <w:lang w:val="en-GB"/>
        </w:rPr>
      </w:pPr>
      <w:r w:rsidRPr="00706DE2">
        <w:rPr>
          <w:lang w:val="en-GB"/>
        </w:rPr>
        <w:t>Furthermore, the distribution system should support different implementation options tailored to specific commercial requirements and several national factors, such as specific market situation, regulation</w:t>
      </w:r>
      <w:r w:rsidR="00E147EB" w:rsidRPr="00706DE2">
        <w:rPr>
          <w:lang w:val="en-GB"/>
        </w:rPr>
        <w:t xml:space="preserve"> and </w:t>
      </w:r>
      <w:r w:rsidRPr="00706DE2">
        <w:rPr>
          <w:lang w:val="en-GB"/>
        </w:rPr>
        <w:t>target audience</w:t>
      </w:r>
      <w:r w:rsidR="00E147EB" w:rsidRPr="00706DE2">
        <w:rPr>
          <w:lang w:val="en-GB"/>
        </w:rPr>
        <w:t xml:space="preserve"> among</w:t>
      </w:r>
      <w:r w:rsidR="00537086" w:rsidRPr="00706DE2">
        <w:rPr>
          <w:lang w:val="en-GB"/>
        </w:rPr>
        <w:t>st</w:t>
      </w:r>
      <w:r w:rsidR="00E147EB" w:rsidRPr="00706DE2">
        <w:rPr>
          <w:lang w:val="en-GB"/>
        </w:rPr>
        <w:t xml:space="preserve"> others</w:t>
      </w:r>
      <w:r w:rsidRPr="00706DE2">
        <w:rPr>
          <w:lang w:val="en-GB"/>
        </w:rPr>
        <w:t>.</w:t>
      </w:r>
    </w:p>
    <w:p w14:paraId="7DA69B5F" w14:textId="77777777" w:rsidR="00EB5233" w:rsidRPr="00706DE2" w:rsidRDefault="00EB5233" w:rsidP="00EB5233">
      <w:pPr>
        <w:pStyle w:val="Heading2"/>
        <w:rPr>
          <w:lang w:val="en-GB"/>
        </w:rPr>
      </w:pPr>
      <w:bookmarkStart w:id="16" w:name="_Toc97756972"/>
      <w:bookmarkStart w:id="17" w:name="_Toc97757243"/>
      <w:bookmarkStart w:id="18" w:name="_Toc97816608"/>
      <w:bookmarkStart w:id="19" w:name="_Toc98311859"/>
      <w:bookmarkStart w:id="20" w:name="_Toc100654063"/>
      <w:r w:rsidRPr="00706DE2">
        <w:rPr>
          <w:lang w:val="en-GB"/>
        </w:rPr>
        <w:t>2.1</w:t>
      </w:r>
      <w:r w:rsidRPr="00706DE2">
        <w:rPr>
          <w:lang w:val="en-GB"/>
        </w:rPr>
        <w:tab/>
        <w:t>Receiver-related requirements</w:t>
      </w:r>
      <w:bookmarkEnd w:id="16"/>
      <w:bookmarkEnd w:id="17"/>
      <w:bookmarkEnd w:id="18"/>
      <w:bookmarkEnd w:id="19"/>
      <w:bookmarkEnd w:id="20"/>
    </w:p>
    <w:p w14:paraId="7BA3880A" w14:textId="77109226" w:rsidR="00EB5233" w:rsidRPr="00706DE2" w:rsidRDefault="00EB5233" w:rsidP="00EB5233">
      <w:pPr>
        <w:rPr>
          <w:lang w:val="en-GB" w:eastAsia="ja-JP"/>
        </w:rPr>
      </w:pPr>
      <w:r w:rsidRPr="00706DE2" w:rsidDel="00A904D3">
        <w:rPr>
          <w:lang w:val="en-GB" w:eastAsia="ja-JP"/>
        </w:rPr>
        <w:t>The introduction of new broadcasting systems, technologies and applications must guarantee the audiences will be able to continue receiving broadcast services. Wide deployment of new receivers capable of receiving new broadcast signals is essential. This may require a period of transition, simulcast</w:t>
      </w:r>
      <w:r w:rsidRPr="00706DE2">
        <w:rPr>
          <w:lang w:val="en-GB" w:eastAsia="ja-JP"/>
        </w:rPr>
        <w:t>ing</w:t>
      </w:r>
      <w:r w:rsidRPr="00706DE2" w:rsidDel="00A904D3">
        <w:rPr>
          <w:lang w:val="en-GB" w:eastAsia="ja-JP"/>
        </w:rPr>
        <w:t xml:space="preserve"> services by both the legacy and new systems.</w:t>
      </w:r>
    </w:p>
    <w:p w14:paraId="4BA6E3A4" w14:textId="77777777" w:rsidR="00EB5233" w:rsidRPr="00706DE2" w:rsidDel="00A904D3" w:rsidRDefault="00EB5233" w:rsidP="00EB5233">
      <w:pPr>
        <w:rPr>
          <w:lang w:val="en-GB" w:eastAsia="ja-JP"/>
        </w:rPr>
      </w:pPr>
      <w:r w:rsidRPr="00706DE2">
        <w:rPr>
          <w:lang w:val="en-GB" w:eastAsia="ja-JP"/>
        </w:rPr>
        <w:t xml:space="preserve">To facilitate the technological transition, receivers of the new system made available during the simulcast period should be also capable of receiving the previous system. The more transparent the integration between the two technologies at the receiver (e.g. accessing the programme services transmitted in both technologies through the same user interface and in the same channel line-up, avoiding the duplicate display in the line-up of the same programme service in both technologies by automatically removing from the line-up the equivalent programme services in the previous technology, if any), the more convenient this transition will be for the general public. </w:t>
      </w:r>
    </w:p>
    <w:p w14:paraId="5C77D5BB" w14:textId="77777777" w:rsidR="00EB5233" w:rsidRPr="00706DE2" w:rsidRDefault="00EB5233" w:rsidP="00EB5233">
      <w:pPr>
        <w:pStyle w:val="Heading2"/>
        <w:rPr>
          <w:lang w:val="en-GB"/>
        </w:rPr>
      </w:pPr>
      <w:bookmarkStart w:id="21" w:name="_Toc97756973"/>
      <w:bookmarkStart w:id="22" w:name="_Toc97757244"/>
      <w:bookmarkStart w:id="23" w:name="_Toc97816609"/>
      <w:bookmarkStart w:id="24" w:name="_Toc98311860"/>
      <w:bookmarkStart w:id="25" w:name="_Toc100654064"/>
      <w:r w:rsidRPr="00706DE2">
        <w:rPr>
          <w:lang w:val="en-GB"/>
        </w:rPr>
        <w:t>2.2</w:t>
      </w:r>
      <w:r w:rsidRPr="00706DE2">
        <w:rPr>
          <w:lang w:val="en-GB"/>
        </w:rPr>
        <w:tab/>
        <w:t>Service-related requirements</w:t>
      </w:r>
      <w:bookmarkEnd w:id="21"/>
      <w:bookmarkEnd w:id="22"/>
      <w:bookmarkEnd w:id="23"/>
      <w:bookmarkEnd w:id="24"/>
      <w:bookmarkEnd w:id="25"/>
    </w:p>
    <w:p w14:paraId="7C4F47E3" w14:textId="1A62298D" w:rsidR="00EB5233" w:rsidRPr="00706DE2" w:rsidRDefault="00EB5233" w:rsidP="00EB5233">
      <w:pPr>
        <w:rPr>
          <w:lang w:val="en-GB"/>
        </w:rPr>
      </w:pPr>
      <w:r w:rsidRPr="00706DE2">
        <w:rPr>
          <w:lang w:val="en-GB"/>
        </w:rPr>
        <w:t>Picture and sound quality and formats and the number of programmes</w:t>
      </w:r>
      <w:r w:rsidR="00537086" w:rsidRPr="00706DE2">
        <w:rPr>
          <w:lang w:val="en-GB"/>
        </w:rPr>
        <w:t>,</w:t>
      </w:r>
      <w:r w:rsidRPr="00706DE2">
        <w:rPr>
          <w:lang w:val="en-GB"/>
        </w:rPr>
        <w:t xml:space="preserve"> together with auxiliary services</w:t>
      </w:r>
      <w:r w:rsidR="00537086" w:rsidRPr="00706DE2">
        <w:rPr>
          <w:lang w:val="en-GB"/>
        </w:rPr>
        <w:t>,</w:t>
      </w:r>
      <w:r w:rsidRPr="00706DE2">
        <w:rPr>
          <w:lang w:val="en-GB"/>
        </w:rPr>
        <w:t xml:space="preserve"> will determine the required transmission capacity for each programme service. The quality of the new service must be significantly higher than the previous service for the technological transition to be attractive to users.</w:t>
      </w:r>
    </w:p>
    <w:p w14:paraId="0885D152" w14:textId="5996EBAC" w:rsidR="00EB5233" w:rsidRPr="00706DE2" w:rsidRDefault="00EB5233" w:rsidP="00EB5233">
      <w:pPr>
        <w:rPr>
          <w:lang w:val="en-GB" w:eastAsia="ja-JP"/>
        </w:rPr>
      </w:pPr>
      <w:r w:rsidRPr="00706DE2">
        <w:rPr>
          <w:lang w:val="en-GB" w:eastAsia="ja-JP"/>
        </w:rPr>
        <w:t>The objectives/motivations for introducing new systems, technologies and applications will determine the number of physical channels, the number of programme services in a channel and the total transmission capacity required for the DTTB system.</w:t>
      </w:r>
    </w:p>
    <w:p w14:paraId="10BBE207" w14:textId="77777777" w:rsidR="00EB5233" w:rsidRPr="00706DE2" w:rsidRDefault="00EB5233" w:rsidP="00EB5233">
      <w:pPr>
        <w:rPr>
          <w:lang w:val="en-GB" w:eastAsia="ja-JP"/>
        </w:rPr>
      </w:pPr>
      <w:r w:rsidRPr="00706DE2">
        <w:rPr>
          <w:lang w:val="en-GB" w:eastAsia="ja-JP"/>
        </w:rPr>
        <w:t>There should be a distinction between the service-related requirements during the simulcast period and after the completion of the technology transition. If the receivers of the new system are also compatible with the previous system, it may not be necessary to simulcast all the existing programme services. It is desirable, though, that at least the most popular programme services in which there are noticeable quality gains in the new system be among the first to be made available with the novel technology to increase its attractiveness.</w:t>
      </w:r>
    </w:p>
    <w:p w14:paraId="12DAD29B" w14:textId="2FC31172" w:rsidR="00EB5233" w:rsidRPr="00706DE2" w:rsidRDefault="00EB5233" w:rsidP="00EB5233">
      <w:pPr>
        <w:rPr>
          <w:lang w:val="en-GB"/>
        </w:rPr>
      </w:pPr>
      <w:r w:rsidRPr="00706DE2">
        <w:rPr>
          <w:lang w:val="en-GB"/>
        </w:rPr>
        <w:t>Reception mode (fixed, portable, handheld and mobile), target area/population coverage and service availability in locations and in time determine the transmission parameters.</w:t>
      </w:r>
    </w:p>
    <w:p w14:paraId="6FCE304A" w14:textId="77777777" w:rsidR="00EB5233" w:rsidRPr="00706DE2" w:rsidRDefault="00EB5233" w:rsidP="00EB5233">
      <w:pPr>
        <w:pStyle w:val="Heading2"/>
        <w:rPr>
          <w:lang w:val="en-GB"/>
        </w:rPr>
      </w:pPr>
      <w:bookmarkStart w:id="26" w:name="_Toc97756974"/>
      <w:bookmarkStart w:id="27" w:name="_Toc97757245"/>
      <w:bookmarkStart w:id="28" w:name="_Toc97816610"/>
      <w:bookmarkStart w:id="29" w:name="_Toc98311861"/>
      <w:bookmarkStart w:id="30" w:name="_Toc100654065"/>
      <w:r w:rsidRPr="00706DE2">
        <w:rPr>
          <w:lang w:val="en-GB"/>
        </w:rPr>
        <w:t>2.3</w:t>
      </w:r>
      <w:r w:rsidRPr="00706DE2">
        <w:rPr>
          <w:lang w:val="en-GB"/>
        </w:rPr>
        <w:tab/>
        <w:t>Spectrum-related requirements</w:t>
      </w:r>
      <w:bookmarkEnd w:id="26"/>
      <w:bookmarkEnd w:id="27"/>
      <w:bookmarkEnd w:id="28"/>
      <w:bookmarkEnd w:id="29"/>
      <w:bookmarkEnd w:id="30"/>
    </w:p>
    <w:p w14:paraId="541F78A0" w14:textId="77777777" w:rsidR="00EB5233" w:rsidRPr="00706DE2" w:rsidRDefault="00EB5233" w:rsidP="00EB5233">
      <w:pPr>
        <w:rPr>
          <w:lang w:val="en-GB"/>
        </w:rPr>
      </w:pPr>
      <w:r w:rsidRPr="00706DE2">
        <w:rPr>
          <w:lang w:val="en-GB" w:eastAsia="ja-JP"/>
        </w:rPr>
        <w:t xml:space="preserve">The number of physical channels currently used for the existing service and the number of unused channels, together with the requirements identified above, will determine the fundamental strategy for introducing a new DTTB system. Requirements for network planning include </w:t>
      </w:r>
      <w:r w:rsidRPr="00706DE2">
        <w:rPr>
          <w:lang w:val="en-GB"/>
        </w:rPr>
        <w:t>spectrum needed to implement DTTB networks that meet all the requirements above, spectrum usage mode (MFN or SFN), target frequency bands and possible new signal bandwidths. Regional Agreements, where applicable (e.g. GE06) should be considered.</w:t>
      </w:r>
    </w:p>
    <w:p w14:paraId="566361C6" w14:textId="77777777" w:rsidR="00EB5233" w:rsidRPr="00706DE2" w:rsidRDefault="00EB5233" w:rsidP="00EB5233">
      <w:pPr>
        <w:rPr>
          <w:lang w:val="en-GB"/>
        </w:rPr>
      </w:pPr>
      <w:r w:rsidRPr="00706DE2">
        <w:rPr>
          <w:lang w:val="en-GB"/>
        </w:rPr>
        <w:lastRenderedPageBreak/>
        <w:t>Finally, co-existence with other primary or secondary systems in the same or adjacent bands need also to be studied under this category of requirements.</w:t>
      </w:r>
    </w:p>
    <w:p w14:paraId="3DAAC5FE" w14:textId="77777777" w:rsidR="00EB5233" w:rsidRPr="00B41BF2" w:rsidRDefault="00EB5233" w:rsidP="00EB5233">
      <w:pPr>
        <w:pStyle w:val="Heading1"/>
        <w:rPr>
          <w:lang w:val="en-GB" w:eastAsia="ja-JP"/>
        </w:rPr>
      </w:pPr>
      <w:bookmarkStart w:id="31" w:name="_Toc97756975"/>
      <w:bookmarkStart w:id="32" w:name="_Toc97757246"/>
      <w:bookmarkStart w:id="33" w:name="_Toc97816611"/>
      <w:bookmarkStart w:id="34" w:name="_Toc98311862"/>
      <w:bookmarkStart w:id="35" w:name="_Toc100654066"/>
      <w:r w:rsidRPr="00B41BF2">
        <w:rPr>
          <w:lang w:val="en-GB" w:eastAsia="ja-JP"/>
        </w:rPr>
        <w:t>3</w:t>
      </w:r>
      <w:r w:rsidRPr="00B41BF2">
        <w:rPr>
          <w:lang w:val="en-GB" w:eastAsia="ja-JP"/>
        </w:rPr>
        <w:tab/>
        <w:t>Scenarios and methods for transition</w:t>
      </w:r>
      <w:bookmarkEnd w:id="31"/>
      <w:bookmarkEnd w:id="32"/>
      <w:bookmarkEnd w:id="33"/>
      <w:bookmarkEnd w:id="34"/>
      <w:bookmarkEnd w:id="35"/>
    </w:p>
    <w:p w14:paraId="5B7A6BAD" w14:textId="0B593923" w:rsidR="00EB5233" w:rsidRPr="00D147A8" w:rsidRDefault="00EB5233" w:rsidP="00EB5233">
      <w:pPr>
        <w:rPr>
          <w:lang w:val="en-GB" w:eastAsia="ja-JP"/>
        </w:rPr>
      </w:pPr>
      <w:r w:rsidRPr="00D147A8">
        <w:rPr>
          <w:lang w:val="en-GB" w:eastAsia="ja-JP"/>
        </w:rPr>
        <w:t>Depending on the current spectrum usage and the requirements for introducing new systems, technologies and applications, different scenarios need to be developed, from which a method that best meets the requirements and situations in a country/region may be chosen. Methods for the coexistence of new and existing broadcasting services in a transition period should also be addressed.</w:t>
      </w:r>
    </w:p>
    <w:p w14:paraId="0281B3DA" w14:textId="77777777" w:rsidR="00EB5233" w:rsidRPr="00D147A8" w:rsidRDefault="00EB5233" w:rsidP="00EB5233">
      <w:pPr>
        <w:rPr>
          <w:lang w:val="en-GB"/>
        </w:rPr>
      </w:pPr>
      <w:r w:rsidRPr="00D147A8">
        <w:rPr>
          <w:lang w:val="en-GB"/>
        </w:rPr>
        <w:t xml:space="preserve">Two general methods can be </w:t>
      </w:r>
      <w:r w:rsidRPr="00D147A8">
        <w:rPr>
          <w:lang w:val="en-GB" w:eastAsia="ja-JP"/>
        </w:rPr>
        <w:t xml:space="preserve">assumed in </w:t>
      </w:r>
      <w:r w:rsidRPr="00D147A8">
        <w:rPr>
          <w:lang w:val="en-GB"/>
        </w:rPr>
        <w:t xml:space="preserve">introducing new systems and services </w:t>
      </w:r>
      <w:r w:rsidRPr="00D147A8">
        <w:rPr>
          <w:lang w:val="en-GB" w:eastAsia="ja-JP"/>
        </w:rPr>
        <w:t>simultaneously</w:t>
      </w:r>
      <w:r w:rsidRPr="00D147A8">
        <w:rPr>
          <w:lang w:val="en-GB"/>
        </w:rPr>
        <w:t xml:space="preserve"> with existing broadcasting services: </w:t>
      </w:r>
    </w:p>
    <w:p w14:paraId="44DD6A2B" w14:textId="77777777" w:rsidR="00EB5233" w:rsidRPr="00706DE2" w:rsidRDefault="00EB5233" w:rsidP="00EB5233">
      <w:pPr>
        <w:pStyle w:val="enumlev1"/>
        <w:rPr>
          <w:lang w:val="en-GB"/>
        </w:rPr>
      </w:pPr>
      <w:r w:rsidRPr="00D147A8">
        <w:rPr>
          <w:lang w:val="en-GB"/>
        </w:rPr>
        <w:t>–</w:t>
      </w:r>
      <w:r w:rsidRPr="00D147A8">
        <w:rPr>
          <w:lang w:val="en-GB"/>
        </w:rPr>
        <w:tab/>
        <w:t xml:space="preserve">Method A: Introducing a new service (system) in the same channel used for existing services. </w:t>
      </w:r>
      <w:r w:rsidRPr="00706DE2">
        <w:rPr>
          <w:lang w:val="en-GB"/>
        </w:rPr>
        <w:t xml:space="preserve">This method may be used in circumstances where a vacant channel cannot be identified or created to introduce a new service. </w:t>
      </w:r>
    </w:p>
    <w:p w14:paraId="7D3EC165" w14:textId="77777777" w:rsidR="00EB5233" w:rsidRPr="00706DE2" w:rsidRDefault="00EB5233" w:rsidP="00EB5233">
      <w:pPr>
        <w:pStyle w:val="enumlev1"/>
        <w:rPr>
          <w:lang w:val="en-GB"/>
        </w:rPr>
      </w:pPr>
      <w:r w:rsidRPr="00D147A8">
        <w:rPr>
          <w:lang w:val="en-GB"/>
        </w:rPr>
        <w:t>–</w:t>
      </w:r>
      <w:r w:rsidRPr="00D147A8">
        <w:rPr>
          <w:lang w:val="en-GB"/>
        </w:rPr>
        <w:tab/>
        <w:t xml:space="preserve">Method B: Introducing a new service (system) in a different channel that is not used for existing services. </w:t>
      </w:r>
      <w:r w:rsidRPr="00706DE2">
        <w:rPr>
          <w:lang w:val="en-GB"/>
        </w:rPr>
        <w:t>This method may be used in circumstances where a vacant channel can be identified or created to introduce a new service.</w:t>
      </w:r>
    </w:p>
    <w:p w14:paraId="6B8E455C" w14:textId="62B13477" w:rsidR="00EB5233" w:rsidRPr="00706DE2" w:rsidRDefault="00EB5233" w:rsidP="00EB5233">
      <w:pPr>
        <w:rPr>
          <w:lang w:val="en-GB" w:eastAsia="ja-JP"/>
        </w:rPr>
      </w:pPr>
      <w:r w:rsidRPr="00706DE2">
        <w:rPr>
          <w:lang w:val="en-GB"/>
        </w:rPr>
        <w:t>In both methods, the existing services must continue to function with existing receivers that support only the existing system, including video/audio source coding, multiplexing and transmission schemes. In addition, because new services employ new and advanced video/audio source coding, multiplexing and transmission schemes, new receivers are required to support these services.</w:t>
      </w:r>
    </w:p>
    <w:p w14:paraId="4C07DC6C" w14:textId="6BE487D5" w:rsidR="00EB5233" w:rsidRPr="00D147A8" w:rsidRDefault="00EB5233" w:rsidP="00EB5233">
      <w:pPr>
        <w:rPr>
          <w:lang w:val="en-GB"/>
        </w:rPr>
      </w:pPr>
      <w:r w:rsidRPr="00D147A8">
        <w:rPr>
          <w:lang w:val="en-GB"/>
        </w:rPr>
        <w:t>Although various types of new services can be considered, HDTV and UHDTV are assumed for the existing service and the new service, respectively, to simplify the description in this section. Figure 1</w:t>
      </w:r>
      <w:r w:rsidRPr="00D147A8">
        <w:rPr>
          <w:lang w:val="en-GB" w:eastAsia="ja-JP"/>
        </w:rPr>
        <w:t xml:space="preserve"> shows a block diagram of the existing HDTV service.</w:t>
      </w:r>
    </w:p>
    <w:p w14:paraId="649FFAC4" w14:textId="5327CBD2" w:rsidR="00EB5233" w:rsidRPr="009678BB" w:rsidRDefault="00EB5233" w:rsidP="00EB5233">
      <w:pPr>
        <w:pStyle w:val="FigureNo"/>
      </w:pPr>
      <w:r w:rsidRPr="009678BB">
        <w:t>Figure 1</w:t>
      </w:r>
    </w:p>
    <w:p w14:paraId="686421BE" w14:textId="77777777" w:rsidR="00EB5233" w:rsidRPr="009678BB" w:rsidRDefault="00EB5233" w:rsidP="00EB5233">
      <w:pPr>
        <w:pStyle w:val="Figuretitle"/>
      </w:pPr>
      <w:r w:rsidRPr="009678BB">
        <w:rPr>
          <w:lang w:eastAsia="ja-JP"/>
        </w:rPr>
        <w:t>Existing service</w:t>
      </w:r>
    </w:p>
    <w:p w14:paraId="646F6F7B" w14:textId="092B4F08" w:rsidR="00EB5233" w:rsidRPr="009678BB" w:rsidRDefault="00BA7676" w:rsidP="00EB5233">
      <w:pPr>
        <w:pStyle w:val="Figure"/>
      </w:pPr>
      <w:r>
        <w:rPr>
          <w:noProof/>
        </w:rPr>
        <w:drawing>
          <wp:inline distT="0" distB="0" distL="0" distR="0" wp14:anchorId="5D8390D7" wp14:editId="56B42CAC">
            <wp:extent cx="6120765" cy="1895475"/>
            <wp:effectExtent l="0" t="0" r="0" b="952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1895475"/>
                    </a:xfrm>
                    <a:prstGeom prst="rect">
                      <a:avLst/>
                    </a:prstGeom>
                  </pic:spPr>
                </pic:pic>
              </a:graphicData>
            </a:graphic>
          </wp:inline>
        </w:drawing>
      </w:r>
    </w:p>
    <w:p w14:paraId="2214AC62" w14:textId="77777777" w:rsidR="00EB5233" w:rsidRPr="00D147A8" w:rsidRDefault="00EB5233" w:rsidP="00EB5233">
      <w:pPr>
        <w:pStyle w:val="Heading2"/>
        <w:rPr>
          <w:lang w:val="en-GB"/>
        </w:rPr>
      </w:pPr>
      <w:bookmarkStart w:id="36" w:name="_Toc97756976"/>
      <w:bookmarkStart w:id="37" w:name="_Toc97757247"/>
      <w:bookmarkStart w:id="38" w:name="_Toc97816612"/>
      <w:bookmarkStart w:id="39" w:name="_Toc98311863"/>
      <w:bookmarkStart w:id="40" w:name="_Toc100654067"/>
      <w:r w:rsidRPr="00D147A8">
        <w:rPr>
          <w:lang w:val="en-GB"/>
        </w:rPr>
        <w:t>3.1</w:t>
      </w:r>
      <w:r w:rsidRPr="00D147A8">
        <w:rPr>
          <w:lang w:val="en-GB"/>
        </w:rPr>
        <w:tab/>
        <w:t>Method A: Introducing a new service in the same channel used for existing services</w:t>
      </w:r>
      <w:bookmarkEnd w:id="36"/>
      <w:bookmarkEnd w:id="37"/>
      <w:bookmarkEnd w:id="38"/>
      <w:bookmarkEnd w:id="39"/>
      <w:bookmarkEnd w:id="40"/>
    </w:p>
    <w:p w14:paraId="0E25F842" w14:textId="6D8EE0A2" w:rsidR="00EB5233" w:rsidRPr="00D147A8" w:rsidRDefault="00EB5233" w:rsidP="00EB5233">
      <w:pPr>
        <w:rPr>
          <w:lang w:val="en-GB"/>
        </w:rPr>
      </w:pPr>
      <w:r w:rsidRPr="00D147A8">
        <w:rPr>
          <w:lang w:val="en-GB"/>
        </w:rPr>
        <w:t>Two types of methods can be assumed for introducing new services in the same channel used for existing services: (1) multiplexing in a higher layer above the physical layer</w:t>
      </w:r>
      <w:r w:rsidR="00151757" w:rsidRPr="00D147A8">
        <w:rPr>
          <w:lang w:val="en-GB"/>
        </w:rPr>
        <w:t>,</w:t>
      </w:r>
      <w:r w:rsidRPr="00D147A8">
        <w:rPr>
          <w:lang w:val="en-GB"/>
        </w:rPr>
        <w:t xml:space="preserve"> and (2) multiplexing in the physical layer.</w:t>
      </w:r>
    </w:p>
    <w:p w14:paraId="61B1A87B" w14:textId="77777777" w:rsidR="00EB5233" w:rsidRPr="00D147A8" w:rsidRDefault="00EB5233" w:rsidP="00EB5233">
      <w:pPr>
        <w:pStyle w:val="Heading3"/>
        <w:rPr>
          <w:lang w:val="en-GB"/>
        </w:rPr>
      </w:pPr>
      <w:bookmarkStart w:id="41" w:name="_Toc97756977"/>
      <w:bookmarkStart w:id="42" w:name="_Toc97757248"/>
      <w:bookmarkStart w:id="43" w:name="_Toc97816613"/>
      <w:r w:rsidRPr="00D147A8">
        <w:rPr>
          <w:lang w:val="en-GB" w:eastAsia="ja-JP"/>
        </w:rPr>
        <w:t>3.1.1</w:t>
      </w:r>
      <w:r w:rsidRPr="00D147A8">
        <w:rPr>
          <w:lang w:val="en-GB" w:eastAsia="ja-JP"/>
        </w:rPr>
        <w:tab/>
        <w:t xml:space="preserve">Method A1: </w:t>
      </w:r>
      <w:r w:rsidRPr="00D147A8">
        <w:rPr>
          <w:lang w:val="en-GB"/>
        </w:rPr>
        <w:t>Multiplexing in the transport layer</w:t>
      </w:r>
      <w:bookmarkEnd w:id="41"/>
      <w:bookmarkEnd w:id="42"/>
      <w:bookmarkEnd w:id="43"/>
    </w:p>
    <w:p w14:paraId="779972D6" w14:textId="5D6B6A69" w:rsidR="00EB5233" w:rsidRPr="00706DE2" w:rsidRDefault="00EB5233" w:rsidP="00EB5233">
      <w:pPr>
        <w:rPr>
          <w:lang w:val="en-GB"/>
        </w:rPr>
      </w:pPr>
      <w:r w:rsidRPr="00D147A8">
        <w:rPr>
          <w:lang w:val="en-GB"/>
        </w:rPr>
        <w:t xml:space="preserve">Both existing and new services can be multiplexed in the transport layer. </w:t>
      </w:r>
      <w:r w:rsidRPr="00706DE2">
        <w:rPr>
          <w:lang w:val="en-GB" w:eastAsia="ja-JP"/>
        </w:rPr>
        <w:t>Figure 2</w:t>
      </w:r>
      <w:r w:rsidRPr="00706DE2">
        <w:rPr>
          <w:lang w:val="en-GB"/>
        </w:rPr>
        <w:t xml:space="preserve"> shows a block diagram of this method. As the </w:t>
      </w:r>
      <w:r w:rsidRPr="00706DE2">
        <w:rPr>
          <w:lang w:val="en-GB" w:eastAsia="ja-JP"/>
        </w:rPr>
        <w:t xml:space="preserve">transmission </w:t>
      </w:r>
      <w:r w:rsidRPr="00706DE2">
        <w:rPr>
          <w:lang w:val="en-GB"/>
        </w:rPr>
        <w:t xml:space="preserve">technology remains unchanged, multiplexing methods above the physical layer split transmission capacity between the existing and new services. </w:t>
      </w:r>
    </w:p>
    <w:p w14:paraId="54D77B1F" w14:textId="77777777" w:rsidR="00EB5233" w:rsidRPr="00706DE2" w:rsidRDefault="00EB5233" w:rsidP="00EB5233">
      <w:pPr>
        <w:pStyle w:val="Headingb"/>
        <w:rPr>
          <w:lang w:val="en-GB"/>
        </w:rPr>
      </w:pPr>
      <w:r w:rsidRPr="00706DE2">
        <w:rPr>
          <w:lang w:val="en-GB"/>
        </w:rPr>
        <w:lastRenderedPageBreak/>
        <w:t>(1)</w:t>
      </w:r>
      <w:r w:rsidRPr="00706DE2">
        <w:rPr>
          <w:lang w:val="en-GB"/>
        </w:rPr>
        <w:tab/>
        <w:t>Existing service</w:t>
      </w:r>
    </w:p>
    <w:p w14:paraId="699B2602" w14:textId="77777777" w:rsidR="00EB5233" w:rsidRPr="00706DE2" w:rsidRDefault="00EB5233" w:rsidP="00EB5233">
      <w:pPr>
        <w:rPr>
          <w:lang w:val="en-GB"/>
        </w:rPr>
      </w:pPr>
      <w:r w:rsidRPr="00706DE2">
        <w:rPr>
          <w:lang w:val="en-GB"/>
        </w:rPr>
        <w:t>When the same parameters for the physical layer are used, the service area is unaffected, but the capacity is reduced, resulting in quality degradation.</w:t>
      </w:r>
    </w:p>
    <w:p w14:paraId="000DFB17" w14:textId="77777777" w:rsidR="00EB5233" w:rsidRPr="00706DE2" w:rsidRDefault="00EB5233" w:rsidP="00EB5233">
      <w:pPr>
        <w:pStyle w:val="Headingb"/>
        <w:rPr>
          <w:lang w:val="en-GB"/>
        </w:rPr>
      </w:pPr>
      <w:r w:rsidRPr="00706DE2">
        <w:rPr>
          <w:lang w:val="en-GB"/>
        </w:rPr>
        <w:t>(2)</w:t>
      </w:r>
      <w:r w:rsidRPr="00706DE2">
        <w:rPr>
          <w:lang w:val="en-GB"/>
        </w:rPr>
        <w:tab/>
        <w:t>New service</w:t>
      </w:r>
    </w:p>
    <w:p w14:paraId="33664519" w14:textId="77777777" w:rsidR="00EB5233" w:rsidRPr="00706DE2" w:rsidRDefault="00EB5233" w:rsidP="00EB5233">
      <w:pPr>
        <w:rPr>
          <w:lang w:val="en-GB"/>
        </w:rPr>
      </w:pPr>
      <w:r w:rsidRPr="00706DE2">
        <w:rPr>
          <w:lang w:val="en-GB"/>
        </w:rPr>
        <w:t xml:space="preserve">Since the parameters for the physical layer are common for both existing and new services, the service area is the same for both services. During the simulcast period, the capacity for a new service depends on the payload allocation. A newer video coding technology, with higher efficiency, is employed for the new service. </w:t>
      </w:r>
    </w:p>
    <w:p w14:paraId="75759C35" w14:textId="67BE3CE8" w:rsidR="00EB5233" w:rsidRPr="00706DE2" w:rsidRDefault="00EB5233" w:rsidP="00EB5233">
      <w:pPr>
        <w:pStyle w:val="FigureNo"/>
        <w:rPr>
          <w:lang w:val="en-GB"/>
        </w:rPr>
      </w:pPr>
      <w:r w:rsidRPr="00706DE2">
        <w:rPr>
          <w:lang w:val="en-GB"/>
        </w:rPr>
        <w:t>Figure 2</w:t>
      </w:r>
    </w:p>
    <w:p w14:paraId="3BF699B6" w14:textId="77777777" w:rsidR="00EB5233" w:rsidRPr="00706DE2" w:rsidRDefault="00EB5233" w:rsidP="00EB5233">
      <w:pPr>
        <w:pStyle w:val="Figuretitle"/>
        <w:rPr>
          <w:lang w:val="en-GB"/>
        </w:rPr>
      </w:pPr>
      <w:r w:rsidRPr="00706DE2">
        <w:rPr>
          <w:lang w:val="en-GB"/>
        </w:rPr>
        <w:t>Multiplexing above the physical layer</w:t>
      </w:r>
    </w:p>
    <w:p w14:paraId="7E73A9B7" w14:textId="4DC58202" w:rsidR="00EB5233" w:rsidRPr="00B41BF2" w:rsidRDefault="00BA7676" w:rsidP="00EB5233">
      <w:pPr>
        <w:pStyle w:val="Figure"/>
        <w:rPr>
          <w:lang w:val="en-GB"/>
        </w:rPr>
      </w:pPr>
      <w:r>
        <w:rPr>
          <w:noProof/>
          <w:lang w:val="en-GB"/>
        </w:rPr>
        <w:drawing>
          <wp:inline distT="0" distB="0" distL="0" distR="0" wp14:anchorId="2D19637D" wp14:editId="3C9CB6D2">
            <wp:extent cx="6120765" cy="1959610"/>
            <wp:effectExtent l="0" t="0" r="0" b="254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1959610"/>
                    </a:xfrm>
                    <a:prstGeom prst="rect">
                      <a:avLst/>
                    </a:prstGeom>
                  </pic:spPr>
                </pic:pic>
              </a:graphicData>
            </a:graphic>
          </wp:inline>
        </w:drawing>
      </w:r>
    </w:p>
    <w:p w14:paraId="3642C013" w14:textId="5321DE20" w:rsidR="00EB5233" w:rsidRPr="00B41BF2" w:rsidRDefault="00EB5233" w:rsidP="003028ED">
      <w:pPr>
        <w:pStyle w:val="Heading3"/>
        <w:rPr>
          <w:lang w:val="en-GB"/>
        </w:rPr>
      </w:pPr>
      <w:bookmarkStart w:id="44" w:name="_Toc97756978"/>
      <w:bookmarkStart w:id="45" w:name="_Toc97757249"/>
      <w:bookmarkStart w:id="46" w:name="_Toc97816614"/>
      <w:r w:rsidRPr="00B41BF2">
        <w:rPr>
          <w:lang w:val="en-GB"/>
        </w:rPr>
        <w:t>3.1.2</w:t>
      </w:r>
      <w:r w:rsidRPr="00B41BF2">
        <w:rPr>
          <w:lang w:val="en-GB"/>
        </w:rPr>
        <w:tab/>
        <w:t>Multiplexing in the physical layer</w:t>
      </w:r>
      <w:bookmarkEnd w:id="44"/>
      <w:bookmarkEnd w:id="45"/>
      <w:bookmarkEnd w:id="46"/>
    </w:p>
    <w:p w14:paraId="39CF76A3" w14:textId="74010723" w:rsidR="00EB5233" w:rsidRPr="00706DE2" w:rsidRDefault="00EB5233" w:rsidP="00EB5233">
      <w:pPr>
        <w:rPr>
          <w:lang w:val="en-GB"/>
        </w:rPr>
      </w:pPr>
      <w:r w:rsidRPr="00D147A8">
        <w:rPr>
          <w:lang w:val="en-GB"/>
        </w:rPr>
        <w:t>Multiplexing in the physical layer means employing hierarchical transmission</w:t>
      </w:r>
      <w:r w:rsidR="00D1588E" w:rsidRPr="00D147A8">
        <w:rPr>
          <w:lang w:val="en-GB"/>
        </w:rPr>
        <w:t>;</w:t>
      </w:r>
      <w:r w:rsidRPr="00D147A8">
        <w:rPr>
          <w:lang w:val="en-GB"/>
        </w:rPr>
        <w:t xml:space="preserve"> that is, frequency-division multiplexing (FDM), time-division multiplexing (TDM), or layered-division multiplexing (LDM). </w:t>
      </w:r>
      <w:r w:rsidRPr="00706DE2">
        <w:rPr>
          <w:lang w:val="en-GB"/>
        </w:rPr>
        <w:t>Space-division multiplexing – multiple-input multiple-output (SDM–MIMO), which uses different polarizations,</w:t>
      </w:r>
      <w:r w:rsidRPr="00706DE2">
        <w:rPr>
          <w:lang w:val="en-GB" w:eastAsia="ja-JP"/>
        </w:rPr>
        <w:t xml:space="preserve"> can also be employed along with </w:t>
      </w:r>
      <w:r w:rsidRPr="00706DE2">
        <w:rPr>
          <w:lang w:val="en-GB"/>
        </w:rPr>
        <w:t xml:space="preserve">hierarchical transmission. Both existing and new services can be transmitted in the same channel by allocating each payload to different physical layers using the hierarchical transmission function. </w:t>
      </w:r>
    </w:p>
    <w:p w14:paraId="67072DF8" w14:textId="5F868C46" w:rsidR="00EB5233" w:rsidRPr="00D147A8" w:rsidRDefault="00EB5233" w:rsidP="00EB5233">
      <w:pPr>
        <w:pStyle w:val="Heading4"/>
        <w:rPr>
          <w:lang w:val="en-GB" w:eastAsia="ja-JP"/>
        </w:rPr>
      </w:pPr>
      <w:bookmarkStart w:id="47" w:name="_Toc97816615"/>
      <w:r w:rsidRPr="00D147A8">
        <w:rPr>
          <w:lang w:val="en-GB" w:eastAsia="ja-JP"/>
        </w:rPr>
        <w:t>3.1.2.1</w:t>
      </w:r>
      <w:r w:rsidR="000E6979" w:rsidRPr="00D147A8">
        <w:rPr>
          <w:lang w:val="en-GB" w:eastAsia="ja-JP"/>
        </w:rPr>
        <w:t xml:space="preserve"> </w:t>
      </w:r>
      <w:r w:rsidRPr="00D147A8">
        <w:rPr>
          <w:lang w:val="en-GB" w:eastAsia="ja-JP"/>
        </w:rPr>
        <w:tab/>
        <w:t>Method A2: TDM and FDM</w:t>
      </w:r>
      <w:bookmarkEnd w:id="47"/>
    </w:p>
    <w:p w14:paraId="197B6C5F" w14:textId="13FA51F0" w:rsidR="00EB5233" w:rsidRPr="00706DE2" w:rsidRDefault="00EB5233" w:rsidP="00EB5233">
      <w:pPr>
        <w:rPr>
          <w:lang w:val="en-GB" w:eastAsia="ja-JP"/>
        </w:rPr>
      </w:pPr>
      <w:r w:rsidRPr="00D147A8">
        <w:rPr>
          <w:lang w:val="en-GB"/>
        </w:rPr>
        <w:t xml:space="preserve">Figure 3 shows a block diagram for multiplexing existing and new services using the TDM or FDM. </w:t>
      </w:r>
      <w:r w:rsidRPr="00706DE2">
        <w:rPr>
          <w:lang w:val="en-GB"/>
        </w:rPr>
        <w:t xml:space="preserve">This method can only be used when the existing service employs TDM or FDM. </w:t>
      </w:r>
      <w:r w:rsidRPr="00706DE2">
        <w:rPr>
          <w:lang w:val="en-GB" w:eastAsia="ja-JP"/>
        </w:rPr>
        <w:t xml:space="preserve">New and advanced source coding and multiplexing schemes may be used for new services. The payloads of the existing and new services are multiplexed using TDM or FDM. </w:t>
      </w:r>
    </w:p>
    <w:p w14:paraId="2EF933DB" w14:textId="77777777" w:rsidR="00EB5233" w:rsidRPr="00706DE2" w:rsidRDefault="00EB5233" w:rsidP="00EB5233">
      <w:pPr>
        <w:pStyle w:val="Headingb"/>
        <w:rPr>
          <w:lang w:val="en-GB"/>
        </w:rPr>
      </w:pPr>
      <w:r w:rsidRPr="00706DE2">
        <w:rPr>
          <w:lang w:val="en-GB"/>
        </w:rPr>
        <w:t>(1)</w:t>
      </w:r>
      <w:r w:rsidRPr="00706DE2">
        <w:rPr>
          <w:lang w:val="en-GB"/>
        </w:rPr>
        <w:tab/>
        <w:t>Existing service</w:t>
      </w:r>
    </w:p>
    <w:p w14:paraId="29472D01" w14:textId="77777777" w:rsidR="00EB5233" w:rsidRPr="00706DE2" w:rsidRDefault="00EB5233" w:rsidP="00EB5233">
      <w:pPr>
        <w:rPr>
          <w:lang w:val="en-GB"/>
        </w:rPr>
      </w:pPr>
      <w:r w:rsidRPr="00706DE2">
        <w:rPr>
          <w:lang w:val="en-GB"/>
        </w:rPr>
        <w:t xml:space="preserve">When the transmission parameters for the existing service are not changed, the service area of the existing service remains the same. However, its transmission capacity is reduced, resulting in quality degradation. </w:t>
      </w:r>
    </w:p>
    <w:p w14:paraId="2A964E0A" w14:textId="77777777" w:rsidR="00EB5233" w:rsidRPr="00706DE2" w:rsidRDefault="00EB5233" w:rsidP="00EB5233">
      <w:pPr>
        <w:pStyle w:val="Headingb"/>
        <w:rPr>
          <w:lang w:val="en-GB"/>
        </w:rPr>
      </w:pPr>
      <w:r w:rsidRPr="00706DE2">
        <w:rPr>
          <w:lang w:val="en-GB"/>
        </w:rPr>
        <w:t>(2)</w:t>
      </w:r>
      <w:r w:rsidRPr="00706DE2">
        <w:rPr>
          <w:lang w:val="en-GB"/>
        </w:rPr>
        <w:tab/>
        <w:t>New service</w:t>
      </w:r>
    </w:p>
    <w:p w14:paraId="633CA4D5" w14:textId="77777777" w:rsidR="00EB5233" w:rsidRPr="00706DE2" w:rsidRDefault="00EB5233" w:rsidP="00EB5233">
      <w:pPr>
        <w:rPr>
          <w:lang w:val="en-GB"/>
        </w:rPr>
      </w:pPr>
      <w:r w:rsidRPr="00706DE2">
        <w:rPr>
          <w:lang w:val="en-GB"/>
        </w:rPr>
        <w:t xml:space="preserve">The service area and transmission capacity of the new service depend on modulation parameters and error correction technologies. Thus, using advanced modulation and error correction technologies is necessary to ensure a well-balanced service area and capacity for the new service. Coding technologies with higher efficiency can improve the quality of service within a limited capacity during the simulcast period. </w:t>
      </w:r>
    </w:p>
    <w:p w14:paraId="288C58FF" w14:textId="083F907A" w:rsidR="00EB5233" w:rsidRPr="009678BB" w:rsidRDefault="00EB5233" w:rsidP="00EB5233">
      <w:pPr>
        <w:pStyle w:val="FigureNo"/>
      </w:pPr>
      <w:r w:rsidRPr="009678BB">
        <w:lastRenderedPageBreak/>
        <w:t>Figure 3</w:t>
      </w:r>
    </w:p>
    <w:p w14:paraId="2B3EEB68" w14:textId="7D6091BD" w:rsidR="00EB5233" w:rsidRDefault="00EB5233" w:rsidP="00EB5233">
      <w:pPr>
        <w:pStyle w:val="Figuretitle"/>
      </w:pPr>
      <w:r w:rsidRPr="009678BB">
        <w:t xml:space="preserve">TDM or FDM </w:t>
      </w:r>
    </w:p>
    <w:p w14:paraId="7CC40BC6" w14:textId="7875D8D3" w:rsidR="00BA7676" w:rsidRPr="00BA7676" w:rsidRDefault="00BA7676" w:rsidP="00BA7676">
      <w:pPr>
        <w:pStyle w:val="Figure"/>
      </w:pPr>
      <w:r>
        <w:rPr>
          <w:noProof/>
        </w:rPr>
        <w:drawing>
          <wp:inline distT="0" distB="0" distL="0" distR="0" wp14:anchorId="5C0C12CF" wp14:editId="544E11CD">
            <wp:extent cx="6120765" cy="2517140"/>
            <wp:effectExtent l="0" t="0" r="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2517140"/>
                    </a:xfrm>
                    <a:prstGeom prst="rect">
                      <a:avLst/>
                    </a:prstGeom>
                  </pic:spPr>
                </pic:pic>
              </a:graphicData>
            </a:graphic>
          </wp:inline>
        </w:drawing>
      </w:r>
    </w:p>
    <w:p w14:paraId="65E1C915" w14:textId="77777777" w:rsidR="00EB5233" w:rsidRPr="00D147A8" w:rsidRDefault="00EB5233" w:rsidP="00EB5233">
      <w:pPr>
        <w:pStyle w:val="Heading4"/>
        <w:rPr>
          <w:lang w:val="en-GB" w:eastAsia="ja-JP"/>
        </w:rPr>
      </w:pPr>
      <w:bookmarkStart w:id="48" w:name="_Toc97816616"/>
      <w:r w:rsidRPr="00D147A8">
        <w:rPr>
          <w:lang w:val="en-GB" w:eastAsia="ja-JP"/>
        </w:rPr>
        <w:t>3.1.2.2</w:t>
      </w:r>
      <w:r w:rsidRPr="00D147A8">
        <w:rPr>
          <w:lang w:val="en-GB" w:eastAsia="ja-JP"/>
        </w:rPr>
        <w:tab/>
        <w:t>Method A3: LDM</w:t>
      </w:r>
      <w:bookmarkEnd w:id="48"/>
    </w:p>
    <w:p w14:paraId="21EC2750" w14:textId="4EF815CB" w:rsidR="00EB5233" w:rsidRPr="00706DE2" w:rsidRDefault="00EB5233" w:rsidP="00EB5233">
      <w:pPr>
        <w:rPr>
          <w:lang w:val="en-GB"/>
        </w:rPr>
      </w:pPr>
      <w:r w:rsidRPr="00D147A8">
        <w:rPr>
          <w:lang w:val="en-GB" w:eastAsia="ja-JP"/>
        </w:rPr>
        <w:t>Figure 4 shows a block diagram for multiplexing existing and new services using the LDM. Figure 4</w:t>
      </w:r>
      <w:r w:rsidR="00A26492" w:rsidRPr="00D147A8">
        <w:rPr>
          <w:lang w:val="en-GB" w:eastAsia="ja-JP"/>
        </w:rPr>
        <w:t> </w:t>
      </w:r>
      <w:r w:rsidRPr="00D147A8">
        <w:rPr>
          <w:lang w:val="en-GB" w:eastAsia="ja-JP"/>
        </w:rPr>
        <w:t>(a) shows the method for multiplexing signals with synchronization inside the modulator. Figure 4</w:t>
      </w:r>
      <w:r w:rsidR="00A26492" w:rsidRPr="00D147A8">
        <w:rPr>
          <w:lang w:val="en-GB" w:eastAsia="ja-JP"/>
        </w:rPr>
        <w:t> </w:t>
      </w:r>
      <w:r w:rsidRPr="00D147A8">
        <w:rPr>
          <w:lang w:val="en-GB" w:eastAsia="ja-JP"/>
        </w:rPr>
        <w:t xml:space="preserve">(b) shows another method to multiplex signals without synchronization; </w:t>
      </w:r>
      <w:r w:rsidRPr="00D147A8">
        <w:rPr>
          <w:lang w:val="en-GB"/>
        </w:rPr>
        <w:t xml:space="preserve">this method can be used for any of the existing broadcasting systems and can be combined with TDM and FDM. New services can use a new broadcasting system and an extended bandwidth. </w:t>
      </w:r>
      <w:r w:rsidRPr="00706DE2">
        <w:rPr>
          <w:lang w:val="en-GB"/>
        </w:rPr>
        <w:t>The signal of the new service is introduced in the lower layer and superimposed with the existing broadcast signal in the upper layer. LDM may be more efficient than FDM and TDM</w:t>
      </w:r>
      <w:r w:rsidRPr="00706DE2">
        <w:rPr>
          <w:lang w:val="en-GB" w:eastAsia="ja-JP"/>
        </w:rPr>
        <w:t xml:space="preserve"> especially operating with a different required </w:t>
      </w:r>
      <w:r w:rsidRPr="00706DE2">
        <w:rPr>
          <w:i/>
          <w:iCs/>
          <w:lang w:val="en-GB" w:eastAsia="ja-JP"/>
        </w:rPr>
        <w:t>C</w:t>
      </w:r>
      <w:r w:rsidRPr="00706DE2">
        <w:rPr>
          <w:lang w:val="en-GB" w:eastAsia="ja-JP"/>
        </w:rPr>
        <w:t>/</w:t>
      </w:r>
      <w:r w:rsidRPr="00706DE2">
        <w:rPr>
          <w:i/>
          <w:iCs/>
          <w:lang w:val="en-GB" w:eastAsia="ja-JP"/>
        </w:rPr>
        <w:t>N</w:t>
      </w:r>
      <w:r w:rsidRPr="00706DE2">
        <w:rPr>
          <w:lang w:val="en-GB" w:eastAsia="ja-JP"/>
        </w:rPr>
        <w:t xml:space="preserve"> between upper layer and lower layer</w:t>
      </w:r>
      <w:r w:rsidRPr="00706DE2">
        <w:rPr>
          <w:lang w:val="en-GB"/>
        </w:rPr>
        <w:t>. But its use implies greater receiver complexity.</w:t>
      </w:r>
    </w:p>
    <w:p w14:paraId="7BACE520" w14:textId="77777777" w:rsidR="00EB5233" w:rsidRPr="00706DE2" w:rsidRDefault="00EB5233" w:rsidP="00EB5233">
      <w:pPr>
        <w:pStyle w:val="Headingb"/>
        <w:rPr>
          <w:lang w:val="en-GB"/>
        </w:rPr>
      </w:pPr>
      <w:r w:rsidRPr="00706DE2">
        <w:rPr>
          <w:lang w:val="en-GB"/>
        </w:rPr>
        <w:t>(1)</w:t>
      </w:r>
      <w:r w:rsidRPr="00706DE2">
        <w:rPr>
          <w:lang w:val="en-GB"/>
        </w:rPr>
        <w:tab/>
        <w:t>Existing service</w:t>
      </w:r>
    </w:p>
    <w:p w14:paraId="32DEFE41" w14:textId="77777777" w:rsidR="00EB5233" w:rsidRPr="00706DE2" w:rsidRDefault="00EB5233" w:rsidP="00EB5233">
      <w:pPr>
        <w:rPr>
          <w:lang w:val="en-GB"/>
        </w:rPr>
      </w:pPr>
      <w:r w:rsidRPr="00706DE2">
        <w:rPr>
          <w:lang w:val="en-GB"/>
        </w:rPr>
        <w:t>To increase robustness against interference from the new service, transmission parameters of the existing service must be changed. This, however, reduces the capacity if the existing broadcast service area is to be retained. If the parameters of the physical layer applied to the existing service remain unchanged, the service area is reduced due to interference from the signal of the new service.</w:t>
      </w:r>
    </w:p>
    <w:p w14:paraId="2FCCC062" w14:textId="77777777" w:rsidR="00EB5233" w:rsidRPr="00706DE2" w:rsidRDefault="00EB5233" w:rsidP="00EB5233">
      <w:pPr>
        <w:pStyle w:val="Headingb"/>
        <w:rPr>
          <w:lang w:val="en-GB"/>
        </w:rPr>
      </w:pPr>
      <w:r w:rsidRPr="00706DE2">
        <w:rPr>
          <w:lang w:val="en-GB"/>
        </w:rPr>
        <w:t>(2)</w:t>
      </w:r>
      <w:r w:rsidRPr="00706DE2">
        <w:rPr>
          <w:lang w:val="en-GB"/>
        </w:rPr>
        <w:tab/>
        <w:t>New service</w:t>
      </w:r>
    </w:p>
    <w:p w14:paraId="5CFD2EFD" w14:textId="77777777" w:rsidR="00EB5233" w:rsidRPr="00706DE2" w:rsidRDefault="00EB5233" w:rsidP="00EB5233">
      <w:pPr>
        <w:rPr>
          <w:lang w:val="en-GB"/>
        </w:rPr>
      </w:pPr>
      <w:r w:rsidRPr="00706DE2">
        <w:rPr>
          <w:lang w:val="en-GB"/>
        </w:rPr>
        <w:t xml:space="preserve">To reduce the interference with the existing service, the transmission power of the new service must be decreased, thereby reducing the service area. To achieve the same service area as the existing service even with the reduced transmission power, transmission parameters with higher robustness </w:t>
      </w:r>
      <w:r w:rsidRPr="00706DE2">
        <w:rPr>
          <w:lang w:val="en-GB" w:eastAsia="ja-JP"/>
        </w:rPr>
        <w:t xml:space="preserve">need to </w:t>
      </w:r>
      <w:r w:rsidRPr="00706DE2">
        <w:rPr>
          <w:lang w:val="en-GB"/>
        </w:rPr>
        <w:t>be employed, which reduces the transmission capacity.</w:t>
      </w:r>
    </w:p>
    <w:p w14:paraId="7800935F" w14:textId="378CCFAE" w:rsidR="00EB5233" w:rsidRPr="00706DE2" w:rsidRDefault="00EB5233" w:rsidP="00EB5233">
      <w:pPr>
        <w:pStyle w:val="FigureNo"/>
        <w:rPr>
          <w:lang w:val="en-GB"/>
        </w:rPr>
      </w:pPr>
      <w:r w:rsidRPr="00706DE2">
        <w:rPr>
          <w:lang w:val="en-GB"/>
        </w:rPr>
        <w:lastRenderedPageBreak/>
        <w:t>Figure 4</w:t>
      </w:r>
      <w:bookmarkStart w:id="49" w:name="_GoBack"/>
      <w:bookmarkEnd w:id="49"/>
    </w:p>
    <w:p w14:paraId="4922A031" w14:textId="4C149ABF" w:rsidR="00EB5233" w:rsidRDefault="00EB5233" w:rsidP="00EB5233">
      <w:pPr>
        <w:pStyle w:val="Figuretitle"/>
        <w:rPr>
          <w:lang w:val="en-GB"/>
        </w:rPr>
      </w:pPr>
      <w:r w:rsidRPr="00706DE2">
        <w:rPr>
          <w:lang w:val="en-GB"/>
        </w:rPr>
        <w:t>LDM</w:t>
      </w:r>
    </w:p>
    <w:p w14:paraId="4D817B43" w14:textId="3244D5B2" w:rsidR="00C84BEA" w:rsidRPr="00C84BEA" w:rsidRDefault="00C84BEA" w:rsidP="00C84BEA">
      <w:pPr>
        <w:pStyle w:val="Figure"/>
        <w:rPr>
          <w:lang w:val="en-GB"/>
        </w:rPr>
      </w:pPr>
      <w:r>
        <w:rPr>
          <w:noProof/>
          <w:lang w:val="en-GB"/>
        </w:rPr>
        <w:drawing>
          <wp:inline distT="0" distB="0" distL="0" distR="0" wp14:anchorId="15C6D825" wp14:editId="4873606E">
            <wp:extent cx="6120765" cy="6892925"/>
            <wp:effectExtent l="0" t="0" r="0" b="317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6892925"/>
                    </a:xfrm>
                    <a:prstGeom prst="rect">
                      <a:avLst/>
                    </a:prstGeom>
                  </pic:spPr>
                </pic:pic>
              </a:graphicData>
            </a:graphic>
          </wp:inline>
        </w:drawing>
      </w:r>
    </w:p>
    <w:p w14:paraId="7543A0D1" w14:textId="77777777" w:rsidR="00EB5233" w:rsidRPr="00D147A8" w:rsidRDefault="00EB5233" w:rsidP="00EB5233">
      <w:pPr>
        <w:pStyle w:val="Heading4"/>
        <w:rPr>
          <w:lang w:val="en-GB" w:eastAsia="ja-JP"/>
        </w:rPr>
      </w:pPr>
      <w:bookmarkStart w:id="50" w:name="_Toc97816617"/>
      <w:r w:rsidRPr="00D147A8">
        <w:rPr>
          <w:lang w:val="en-GB" w:eastAsia="ja-JP"/>
        </w:rPr>
        <w:t>3.1.2.3</w:t>
      </w:r>
      <w:r w:rsidRPr="00D147A8">
        <w:rPr>
          <w:lang w:val="en-GB" w:eastAsia="ja-JP"/>
        </w:rPr>
        <w:tab/>
        <w:t>Method A4: SDM-MIMO</w:t>
      </w:r>
      <w:bookmarkEnd w:id="50"/>
    </w:p>
    <w:p w14:paraId="3E7D6DDC" w14:textId="2E91048D" w:rsidR="00EB5233" w:rsidRPr="00706DE2" w:rsidRDefault="00EB5233" w:rsidP="00EB5233">
      <w:pPr>
        <w:rPr>
          <w:lang w:val="en-GB"/>
        </w:rPr>
      </w:pPr>
      <w:r w:rsidRPr="00D147A8">
        <w:rPr>
          <w:lang w:val="en-GB" w:eastAsia="ja-JP"/>
        </w:rPr>
        <w:t>Figure 5 shows a block diagram for multiplexing existing and new services using SDM</w:t>
      </w:r>
      <w:r w:rsidRPr="00D147A8">
        <w:rPr>
          <w:lang w:val="en-GB"/>
        </w:rPr>
        <w:t>-</w:t>
      </w:r>
      <w:r w:rsidRPr="00D147A8">
        <w:rPr>
          <w:lang w:val="en-GB" w:eastAsia="ja-JP"/>
        </w:rPr>
        <w:t>MIMO.</w:t>
      </w:r>
      <w:r w:rsidRPr="00D147A8">
        <w:rPr>
          <w:lang w:val="en-GB"/>
        </w:rPr>
        <w:t xml:space="preserve"> </w:t>
      </w:r>
      <w:r w:rsidRPr="00706DE2">
        <w:rPr>
          <w:lang w:val="en-GB" w:eastAsia="ja-JP"/>
        </w:rPr>
        <w:t xml:space="preserve">This method </w:t>
      </w:r>
      <w:r w:rsidRPr="00706DE2">
        <w:rPr>
          <w:lang w:val="en-GB"/>
        </w:rPr>
        <w:t xml:space="preserve">can be utilized for any of </w:t>
      </w:r>
      <w:r w:rsidRPr="00706DE2">
        <w:rPr>
          <w:lang w:val="en-GB" w:eastAsia="ja-JP"/>
        </w:rPr>
        <w:t xml:space="preserve">the existing broadcasting systems and can be </w:t>
      </w:r>
      <w:r w:rsidRPr="00706DE2">
        <w:rPr>
          <w:lang w:val="en-GB"/>
        </w:rPr>
        <w:t>combined with TDM and FDM.</w:t>
      </w:r>
      <w:r w:rsidRPr="00706DE2">
        <w:rPr>
          <w:lang w:val="en-GB" w:eastAsia="ja-JP"/>
        </w:rPr>
        <w:t xml:space="preserve"> New services employing the new broadcasting system</w:t>
      </w:r>
      <w:r w:rsidRPr="00706DE2">
        <w:rPr>
          <w:lang w:val="en-GB"/>
        </w:rPr>
        <w:t xml:space="preserve"> and an extended bandwidth</w:t>
      </w:r>
      <w:r w:rsidRPr="00706DE2">
        <w:rPr>
          <w:lang w:val="en-GB" w:eastAsia="ja-JP"/>
        </w:rPr>
        <w:t xml:space="preserve"> can be transmitted using opposite polarization.</w:t>
      </w:r>
      <w:r w:rsidRPr="00706DE2">
        <w:rPr>
          <w:lang w:val="en-GB"/>
        </w:rPr>
        <w:t xml:space="preserve"> This method may be more efficient than FDM and TDM, but it should be noticed that it relies on the polarization discrimination that can be obtained when the polarization of the receiving antennas conforms to that of the wanted signal, which generally can only be assumed for the case of fixed outdoor reception. In the case of portable/mobile DTTB reception, </w:t>
      </w:r>
      <w:r w:rsidRPr="00706DE2">
        <w:rPr>
          <w:lang w:val="en-GB"/>
        </w:rPr>
        <w:lastRenderedPageBreak/>
        <w:t>no polarization discrimination can be assumed for the receiving antennas, so this method cannot be applied.</w:t>
      </w:r>
    </w:p>
    <w:p w14:paraId="6CEC552E" w14:textId="77777777" w:rsidR="00EB5233" w:rsidRPr="00706DE2" w:rsidRDefault="00EB5233" w:rsidP="00EB5233">
      <w:pPr>
        <w:pStyle w:val="Headingb"/>
        <w:rPr>
          <w:lang w:val="en-GB"/>
        </w:rPr>
      </w:pPr>
      <w:r w:rsidRPr="00706DE2">
        <w:rPr>
          <w:lang w:val="en-GB"/>
        </w:rPr>
        <w:t>(1)</w:t>
      </w:r>
      <w:r w:rsidRPr="00706DE2">
        <w:rPr>
          <w:lang w:val="en-GB"/>
        </w:rPr>
        <w:tab/>
        <w:t>Existing service</w:t>
      </w:r>
    </w:p>
    <w:p w14:paraId="418CB1C2" w14:textId="77777777" w:rsidR="00EB5233" w:rsidRPr="00706DE2" w:rsidRDefault="00EB5233" w:rsidP="00EB5233">
      <w:pPr>
        <w:rPr>
          <w:lang w:val="en-GB"/>
        </w:rPr>
      </w:pPr>
      <w:r w:rsidRPr="00706DE2">
        <w:rPr>
          <w:lang w:val="en-GB"/>
        </w:rPr>
        <w:t>To increase robustness against interference from the new service, transmission parameters for the existing service must be changed. This, however, reduces the capacity if the existing broadcast service area is to be retained. If the parameters of the physical layer applied to the existing service remain unchanged, the service area is reduced due to interference from the signal of the new service.</w:t>
      </w:r>
    </w:p>
    <w:p w14:paraId="4D8C369E" w14:textId="77777777" w:rsidR="00EB5233" w:rsidRPr="00706DE2" w:rsidRDefault="00EB5233" w:rsidP="00EB5233">
      <w:pPr>
        <w:pStyle w:val="Headingb"/>
        <w:rPr>
          <w:lang w:val="en-GB"/>
        </w:rPr>
      </w:pPr>
      <w:r w:rsidRPr="00706DE2">
        <w:rPr>
          <w:lang w:val="en-GB"/>
        </w:rPr>
        <w:t>(2)</w:t>
      </w:r>
      <w:r w:rsidRPr="00706DE2">
        <w:rPr>
          <w:lang w:val="en-GB"/>
        </w:rPr>
        <w:tab/>
        <w:t>New service</w:t>
      </w:r>
    </w:p>
    <w:p w14:paraId="17182EC2" w14:textId="77777777" w:rsidR="00EB5233" w:rsidRPr="00706DE2" w:rsidRDefault="00EB5233" w:rsidP="00EB5233">
      <w:pPr>
        <w:rPr>
          <w:lang w:val="en-GB"/>
        </w:rPr>
      </w:pPr>
      <w:r w:rsidRPr="00706DE2">
        <w:rPr>
          <w:lang w:val="en-GB"/>
        </w:rPr>
        <w:t xml:space="preserve">To reduce the interference with the existing service, the transmission power of the new service must be reduced, thereby reducing the service area. To retain the same service area as the existing service even with the decreased transmission power, transmission parameters with higher robustness needs to be employed, which reduces the transmission capacity. </w:t>
      </w:r>
    </w:p>
    <w:p w14:paraId="15C67669" w14:textId="76CFA7CE" w:rsidR="00EB5233" w:rsidRPr="009678BB" w:rsidRDefault="00EB5233" w:rsidP="00EB5233">
      <w:pPr>
        <w:pStyle w:val="FigureNo"/>
      </w:pPr>
      <w:r w:rsidRPr="009678BB">
        <w:t>Figure 5</w:t>
      </w:r>
    </w:p>
    <w:p w14:paraId="79B95AE1" w14:textId="00850EE8" w:rsidR="00EB5233" w:rsidRPr="009678BB" w:rsidRDefault="00EB5233" w:rsidP="00EB5233">
      <w:pPr>
        <w:pStyle w:val="Figuretitle"/>
      </w:pPr>
      <w:r w:rsidRPr="009678BB">
        <w:t>SDM-MIMO</w:t>
      </w:r>
    </w:p>
    <w:p w14:paraId="56E0678B" w14:textId="679D424A" w:rsidR="00EB5233" w:rsidRPr="009678BB" w:rsidRDefault="00C84BEA" w:rsidP="00EB5233">
      <w:pPr>
        <w:pStyle w:val="Figure"/>
      </w:pPr>
      <w:r>
        <w:rPr>
          <w:noProof/>
        </w:rPr>
        <w:drawing>
          <wp:inline distT="0" distB="0" distL="0" distR="0" wp14:anchorId="17050852" wp14:editId="220C0EF9">
            <wp:extent cx="6120765" cy="2441575"/>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2441575"/>
                    </a:xfrm>
                    <a:prstGeom prst="rect">
                      <a:avLst/>
                    </a:prstGeom>
                  </pic:spPr>
                </pic:pic>
              </a:graphicData>
            </a:graphic>
          </wp:inline>
        </w:drawing>
      </w:r>
    </w:p>
    <w:p w14:paraId="79F1186F" w14:textId="77777777" w:rsidR="00EB5233" w:rsidRPr="00D147A8" w:rsidRDefault="00EB5233" w:rsidP="00EB5233">
      <w:pPr>
        <w:pStyle w:val="Heading2"/>
        <w:rPr>
          <w:lang w:val="en-GB"/>
        </w:rPr>
      </w:pPr>
      <w:bookmarkStart w:id="51" w:name="_Toc97756979"/>
      <w:bookmarkStart w:id="52" w:name="_Toc97757250"/>
      <w:bookmarkStart w:id="53" w:name="_Toc97816618"/>
      <w:bookmarkStart w:id="54" w:name="_Toc98311864"/>
      <w:bookmarkStart w:id="55" w:name="_Toc100654068"/>
      <w:r w:rsidRPr="00D147A8">
        <w:rPr>
          <w:lang w:val="en-GB"/>
        </w:rPr>
        <w:t>3.2</w:t>
      </w:r>
      <w:r w:rsidRPr="00D147A8">
        <w:rPr>
          <w:lang w:val="en-GB"/>
        </w:rPr>
        <w:tab/>
        <w:t>Method B: Introducing a new service in a different channel that is not used for existing services</w:t>
      </w:r>
      <w:bookmarkEnd w:id="51"/>
      <w:bookmarkEnd w:id="52"/>
      <w:bookmarkEnd w:id="53"/>
      <w:bookmarkEnd w:id="54"/>
      <w:bookmarkEnd w:id="55"/>
    </w:p>
    <w:p w14:paraId="31434B78" w14:textId="77777777" w:rsidR="00EB5233" w:rsidRPr="00D147A8" w:rsidRDefault="00EB5233" w:rsidP="00EB5233">
      <w:pPr>
        <w:pStyle w:val="Heading3"/>
        <w:rPr>
          <w:lang w:val="en-GB"/>
        </w:rPr>
      </w:pPr>
      <w:bookmarkStart w:id="56" w:name="_Toc97756980"/>
      <w:bookmarkStart w:id="57" w:name="_Toc97757251"/>
      <w:bookmarkStart w:id="58" w:name="_Toc97816619"/>
      <w:r w:rsidRPr="00D147A8">
        <w:rPr>
          <w:lang w:val="en-GB" w:eastAsia="ja-JP"/>
        </w:rPr>
        <w:t>3.2.1</w:t>
      </w:r>
      <w:r w:rsidRPr="00D147A8">
        <w:rPr>
          <w:lang w:val="en-GB" w:eastAsia="ja-JP"/>
        </w:rPr>
        <w:tab/>
        <w:t xml:space="preserve">Method B1: </w:t>
      </w:r>
      <w:r w:rsidRPr="00D147A8">
        <w:rPr>
          <w:lang w:val="en-GB"/>
        </w:rPr>
        <w:t>Introducing a new service in a different channel when there are not enough channels available for simulcasting</w:t>
      </w:r>
      <w:bookmarkEnd w:id="56"/>
      <w:bookmarkEnd w:id="57"/>
      <w:bookmarkEnd w:id="58"/>
    </w:p>
    <w:p w14:paraId="7DB2F8DB" w14:textId="54CEBA5D" w:rsidR="00EB5233" w:rsidRPr="00706DE2" w:rsidRDefault="00EB5233" w:rsidP="00EB5233">
      <w:pPr>
        <w:rPr>
          <w:lang w:val="en-GB"/>
        </w:rPr>
      </w:pPr>
      <w:r w:rsidRPr="00D147A8">
        <w:rPr>
          <w:lang w:val="en-GB"/>
        </w:rPr>
        <w:t xml:space="preserve">If there are not enough channels available for simulcasting, new services may be introduced in different channels if some channels used for the existing service are released by multiplexing more programme services on the same physical channel. </w:t>
      </w:r>
      <w:r w:rsidRPr="00D147A8">
        <w:rPr>
          <w:lang w:val="en-GB" w:eastAsia="ja-JP"/>
        </w:rPr>
        <w:t xml:space="preserve">Figure 6 shows a block diagram for the method of introducing a new service in a different channel when there are not enough channels available for simulcasting. </w:t>
      </w:r>
      <w:r w:rsidRPr="00706DE2">
        <w:rPr>
          <w:lang w:val="en-GB"/>
        </w:rPr>
        <w:t xml:space="preserve">In such cases, a new broadcasting system comprising new, advanced source coding, multiplexing and modulation technologies, as well an extended bandwidth, can achieve a better quality of service. </w:t>
      </w:r>
      <w:r w:rsidRPr="00706DE2">
        <w:rPr>
          <w:lang w:val="en-GB" w:eastAsia="ja-JP"/>
        </w:rPr>
        <w:t>A</w:t>
      </w:r>
      <w:r w:rsidRPr="00706DE2">
        <w:rPr>
          <w:lang w:val="en-GB"/>
        </w:rPr>
        <w:t xml:space="preserve"> new antenna is required when the new service employs SDM-MIMO or the existing antenna does not support the new channel. The number of physical channels required for the new service can be reduced either by maximizing their capacity or by reducing their frequency reuse factor. In the first case, more programme services can be multiplexed on the same physical channel, while in the second case the same physical channel can be reused by independent local multiplexers within a shorter distance. In the limit, in the case of reuse-1, the same physical channel can be used </w:t>
      </w:r>
      <w:r w:rsidRPr="00706DE2">
        <w:rPr>
          <w:lang w:val="en-GB"/>
        </w:rPr>
        <w:lastRenderedPageBreak/>
        <w:t>by adjacent independent stations, allowing the network to be reconfigured for a different geographical segmentation of the service area at any time, without the need for channel re-planning.</w:t>
      </w:r>
    </w:p>
    <w:p w14:paraId="5601E796" w14:textId="77777777" w:rsidR="00EB5233" w:rsidRPr="00706DE2" w:rsidRDefault="00EB5233" w:rsidP="00EB5233">
      <w:pPr>
        <w:pStyle w:val="Headingb"/>
        <w:rPr>
          <w:lang w:val="en-GB"/>
        </w:rPr>
      </w:pPr>
      <w:r w:rsidRPr="00706DE2">
        <w:rPr>
          <w:lang w:val="en-GB"/>
        </w:rPr>
        <w:t>(1)</w:t>
      </w:r>
      <w:r w:rsidRPr="00706DE2">
        <w:rPr>
          <w:lang w:val="en-GB"/>
        </w:rPr>
        <w:tab/>
        <w:t>Existing service</w:t>
      </w:r>
    </w:p>
    <w:p w14:paraId="221E536A" w14:textId="77777777" w:rsidR="00EB5233" w:rsidRPr="00706DE2" w:rsidRDefault="00EB5233" w:rsidP="00EB5233">
      <w:pPr>
        <w:rPr>
          <w:lang w:val="en-GB" w:eastAsia="ja-JP"/>
        </w:rPr>
      </w:pPr>
      <w:r w:rsidRPr="00706DE2">
        <w:rPr>
          <w:lang w:val="en-GB" w:eastAsia="ja-JP"/>
        </w:rPr>
        <w:t>The service area remains unchanged. The capacity for each programme service and quality of service are reduced due to the multiplexing of more programme services on the same physical channel.</w:t>
      </w:r>
    </w:p>
    <w:p w14:paraId="0072CEE5" w14:textId="1ADDA139" w:rsidR="00EB5233" w:rsidRPr="00706DE2" w:rsidRDefault="00EB5233" w:rsidP="00EB5233">
      <w:pPr>
        <w:pStyle w:val="Headingb"/>
        <w:rPr>
          <w:lang w:val="en-GB"/>
        </w:rPr>
      </w:pPr>
      <w:r w:rsidRPr="00706DE2">
        <w:rPr>
          <w:lang w:val="en-GB"/>
        </w:rPr>
        <w:t>(2)</w:t>
      </w:r>
      <w:r w:rsidRPr="00706DE2">
        <w:rPr>
          <w:lang w:val="en-GB"/>
        </w:rPr>
        <w:tab/>
        <w:t xml:space="preserve">New </w:t>
      </w:r>
      <w:r w:rsidR="00AA743B" w:rsidRPr="00706DE2">
        <w:rPr>
          <w:lang w:val="en-GB"/>
        </w:rPr>
        <w:t>service</w:t>
      </w:r>
    </w:p>
    <w:p w14:paraId="4F77E24F" w14:textId="77777777" w:rsidR="00EB5233" w:rsidRPr="00706DE2" w:rsidRDefault="00EB5233" w:rsidP="00EB5233">
      <w:pPr>
        <w:rPr>
          <w:lang w:val="en-GB"/>
        </w:rPr>
      </w:pPr>
      <w:r w:rsidRPr="00706DE2">
        <w:rPr>
          <w:lang w:val="en-GB"/>
        </w:rPr>
        <w:t>The service area of the new service can be created similar or different to the existing service by selecting an appropriate set of transmission parameters. A significantly better transmission capacity and quality of service than existing services can be attained using advanced transmission and coding technologies. If during the simulcast phase more programme services of the new service are multiplexed on the same physical channel due to limited spectrum availability, they would have less capacity and quality of service than what would be the case after the transition is completed.</w:t>
      </w:r>
    </w:p>
    <w:p w14:paraId="4531D69A" w14:textId="2FBC263C" w:rsidR="00EB5233" w:rsidRPr="00706DE2" w:rsidRDefault="00EB5233" w:rsidP="00EB5233">
      <w:pPr>
        <w:pStyle w:val="FigureNo"/>
        <w:rPr>
          <w:lang w:val="en-GB"/>
        </w:rPr>
      </w:pPr>
      <w:r w:rsidRPr="00706DE2">
        <w:rPr>
          <w:lang w:val="en-GB"/>
        </w:rPr>
        <w:t>Figure 6</w:t>
      </w:r>
    </w:p>
    <w:p w14:paraId="2402B873" w14:textId="77777777" w:rsidR="00EB5233" w:rsidRPr="00706DE2" w:rsidRDefault="00EB5233" w:rsidP="00EB5233">
      <w:pPr>
        <w:pStyle w:val="Figuretitle"/>
        <w:rPr>
          <w:lang w:val="en-GB"/>
        </w:rPr>
      </w:pPr>
      <w:r w:rsidRPr="00706DE2">
        <w:rPr>
          <w:lang w:val="en-GB"/>
        </w:rPr>
        <w:t>Introduction using a separate channel when there are not enough channels available for simulcasting</w:t>
      </w:r>
    </w:p>
    <w:p w14:paraId="176AD9D7" w14:textId="4331B157" w:rsidR="00EB5233" w:rsidRPr="00C84BEA" w:rsidRDefault="00C84BEA" w:rsidP="003028ED">
      <w:pPr>
        <w:pStyle w:val="Figure"/>
      </w:pPr>
      <w:r>
        <w:rPr>
          <w:noProof/>
        </w:rPr>
        <w:drawing>
          <wp:inline distT="0" distB="0" distL="0" distR="0" wp14:anchorId="646D3683" wp14:editId="599C1CA1">
            <wp:extent cx="6120765" cy="3259455"/>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3259455"/>
                    </a:xfrm>
                    <a:prstGeom prst="rect">
                      <a:avLst/>
                    </a:prstGeom>
                  </pic:spPr>
                </pic:pic>
              </a:graphicData>
            </a:graphic>
          </wp:inline>
        </w:drawing>
      </w:r>
    </w:p>
    <w:p w14:paraId="7933BA36" w14:textId="77777777" w:rsidR="00EB5233" w:rsidRPr="00D147A8" w:rsidRDefault="00EB5233" w:rsidP="00EB5233">
      <w:pPr>
        <w:pStyle w:val="Heading3"/>
        <w:rPr>
          <w:lang w:val="en-GB"/>
        </w:rPr>
      </w:pPr>
      <w:bookmarkStart w:id="59" w:name="_Toc97756981"/>
      <w:bookmarkStart w:id="60" w:name="_Toc97757252"/>
      <w:bookmarkStart w:id="61" w:name="_Toc97816620"/>
      <w:r w:rsidRPr="00D147A8">
        <w:rPr>
          <w:lang w:val="en-GB" w:eastAsia="ja-JP"/>
        </w:rPr>
        <w:t>3.2.2</w:t>
      </w:r>
      <w:r w:rsidRPr="00D147A8">
        <w:rPr>
          <w:lang w:val="en-GB" w:eastAsia="ja-JP"/>
        </w:rPr>
        <w:tab/>
        <w:t xml:space="preserve">Method B2: </w:t>
      </w:r>
      <w:r w:rsidRPr="00D147A8">
        <w:rPr>
          <w:lang w:val="en-GB"/>
        </w:rPr>
        <w:t>Introducing a new service in a different channel when there are enough channels available for simulcasting</w:t>
      </w:r>
      <w:bookmarkEnd w:id="59"/>
      <w:bookmarkEnd w:id="60"/>
      <w:bookmarkEnd w:id="61"/>
    </w:p>
    <w:p w14:paraId="507B90CB" w14:textId="0BC3C574" w:rsidR="00EB5233" w:rsidRPr="00706DE2" w:rsidRDefault="00EB5233" w:rsidP="00EB5233">
      <w:pPr>
        <w:rPr>
          <w:lang w:val="en-GB"/>
        </w:rPr>
      </w:pPr>
      <w:r w:rsidRPr="00D147A8">
        <w:rPr>
          <w:lang w:val="en-GB"/>
        </w:rPr>
        <w:t xml:space="preserve">If there are enough vacant channels or if enough channels can be made available by replanning the existing networks (e.g. by making more intensive use of SFNs), new services may be introduced in these channels by ensuring appropriate planning conditions. </w:t>
      </w:r>
      <w:r w:rsidRPr="00D147A8">
        <w:rPr>
          <w:lang w:val="en-GB" w:eastAsia="ja-JP"/>
        </w:rPr>
        <w:t xml:space="preserve">Figure 7 shows a block diagram for the method of introducing a new service in a different channel when there are enough channels available for simulcasting. </w:t>
      </w:r>
      <w:r w:rsidRPr="00706DE2">
        <w:rPr>
          <w:lang w:val="en-GB"/>
        </w:rPr>
        <w:t xml:space="preserve">Similar to the case of Method B1, a new broadcasting system comprising new, advanced source coding, multiplexing and modulation technologies, as well an extended bandwidth, can achieve a better quality of service. </w:t>
      </w:r>
      <w:r w:rsidRPr="00706DE2">
        <w:rPr>
          <w:lang w:val="en-GB" w:eastAsia="ja-JP"/>
        </w:rPr>
        <w:t>A</w:t>
      </w:r>
      <w:r w:rsidRPr="00706DE2">
        <w:rPr>
          <w:lang w:val="en-GB"/>
        </w:rPr>
        <w:t xml:space="preserve"> new antenna is required when the new service employs SDM-MIMO or the existing antenna does not support the new channel. Likewise, the number of physical channels required for the new service can be reduced either by maximizing their capacity or by reducing their frequency reuse factor.</w:t>
      </w:r>
    </w:p>
    <w:p w14:paraId="2F6E9A3B" w14:textId="77777777" w:rsidR="00EB5233" w:rsidRPr="00706DE2" w:rsidRDefault="00EB5233" w:rsidP="00EB5233">
      <w:pPr>
        <w:pStyle w:val="Headingb"/>
        <w:rPr>
          <w:lang w:val="en-GB"/>
        </w:rPr>
      </w:pPr>
      <w:r w:rsidRPr="00706DE2">
        <w:rPr>
          <w:lang w:val="en-GB"/>
        </w:rPr>
        <w:lastRenderedPageBreak/>
        <w:t>(1)</w:t>
      </w:r>
      <w:r w:rsidRPr="00706DE2">
        <w:rPr>
          <w:lang w:val="en-GB"/>
        </w:rPr>
        <w:tab/>
        <w:t>Existing service</w:t>
      </w:r>
    </w:p>
    <w:p w14:paraId="411FA525" w14:textId="01818C27" w:rsidR="00EB5233" w:rsidRPr="00706DE2" w:rsidRDefault="00EB5233" w:rsidP="00EB5233">
      <w:pPr>
        <w:rPr>
          <w:lang w:val="en-GB" w:eastAsia="ja-JP"/>
        </w:rPr>
      </w:pPr>
      <w:r w:rsidRPr="00706DE2">
        <w:rPr>
          <w:lang w:val="en-GB" w:eastAsia="ja-JP"/>
        </w:rPr>
        <w:t>The service area, capacity and quality of service remain unchanged.</w:t>
      </w:r>
    </w:p>
    <w:p w14:paraId="760F62DE" w14:textId="77777777" w:rsidR="00EB5233" w:rsidRPr="00706DE2" w:rsidRDefault="00EB5233" w:rsidP="00EB5233">
      <w:pPr>
        <w:pStyle w:val="Headingb"/>
        <w:rPr>
          <w:lang w:val="en-GB"/>
        </w:rPr>
      </w:pPr>
      <w:r w:rsidRPr="00706DE2">
        <w:rPr>
          <w:lang w:val="en-GB"/>
        </w:rPr>
        <w:t>(2)</w:t>
      </w:r>
      <w:r w:rsidRPr="00706DE2">
        <w:rPr>
          <w:lang w:val="en-GB"/>
        </w:rPr>
        <w:tab/>
        <w:t>New service</w:t>
      </w:r>
    </w:p>
    <w:p w14:paraId="4750C41A" w14:textId="77777777" w:rsidR="00EB5233" w:rsidRPr="00706DE2" w:rsidRDefault="00EB5233" w:rsidP="00EB5233">
      <w:pPr>
        <w:rPr>
          <w:lang w:val="en-GB"/>
        </w:rPr>
      </w:pPr>
      <w:r w:rsidRPr="00706DE2">
        <w:rPr>
          <w:lang w:val="en-GB"/>
        </w:rPr>
        <w:t>The service area of the new service can be created similar or different to the existing service by selecting an appropriate set of transmission parameters. A significantly better transmission capacity and quality of service than existing services can be attained using advanced transmission and coding technologies.</w:t>
      </w:r>
    </w:p>
    <w:p w14:paraId="007FF131" w14:textId="6D43CAED" w:rsidR="00EB5233" w:rsidRPr="00706DE2" w:rsidRDefault="00EB5233" w:rsidP="00EB5233">
      <w:pPr>
        <w:pStyle w:val="FigureNo"/>
        <w:rPr>
          <w:lang w:val="en-GB"/>
        </w:rPr>
      </w:pPr>
      <w:r w:rsidRPr="00706DE2">
        <w:rPr>
          <w:lang w:val="en-GB"/>
        </w:rPr>
        <w:t>Figure 7</w:t>
      </w:r>
    </w:p>
    <w:p w14:paraId="47548CD0" w14:textId="77777777" w:rsidR="00EB5233" w:rsidRPr="00706DE2" w:rsidRDefault="00EB5233" w:rsidP="00EB5233">
      <w:pPr>
        <w:pStyle w:val="Figuretitle"/>
        <w:rPr>
          <w:lang w:val="en-GB"/>
        </w:rPr>
      </w:pPr>
      <w:r w:rsidRPr="00706DE2">
        <w:rPr>
          <w:lang w:val="en-GB"/>
        </w:rPr>
        <w:t>Introduction using a separate channel when there are enough channels available for simulcasting</w:t>
      </w:r>
    </w:p>
    <w:p w14:paraId="11AAE142" w14:textId="30C77665" w:rsidR="00EB5233" w:rsidRPr="009678BB" w:rsidRDefault="00C84BEA" w:rsidP="00EB5233">
      <w:pPr>
        <w:pStyle w:val="Figure"/>
      </w:pPr>
      <w:r>
        <w:rPr>
          <w:noProof/>
        </w:rPr>
        <w:drawing>
          <wp:inline distT="0" distB="0" distL="0" distR="0" wp14:anchorId="6F15D762" wp14:editId="00217A3D">
            <wp:extent cx="5861316" cy="3087630"/>
            <wp:effectExtent l="0" t="0" r="6350" b="0"/>
            <wp:docPr id="15" name="Picture 1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61316" cy="3087630"/>
                    </a:xfrm>
                    <a:prstGeom prst="rect">
                      <a:avLst/>
                    </a:prstGeom>
                  </pic:spPr>
                </pic:pic>
              </a:graphicData>
            </a:graphic>
          </wp:inline>
        </w:drawing>
      </w:r>
    </w:p>
    <w:p w14:paraId="639049D0" w14:textId="77777777" w:rsidR="00EB5233" w:rsidRPr="00706DE2" w:rsidRDefault="00EB5233" w:rsidP="00EB5233">
      <w:pPr>
        <w:pStyle w:val="Heading2"/>
        <w:rPr>
          <w:lang w:val="en-GB"/>
        </w:rPr>
      </w:pPr>
      <w:bookmarkStart w:id="62" w:name="_Toc97756982"/>
      <w:bookmarkStart w:id="63" w:name="_Toc97757253"/>
      <w:bookmarkStart w:id="64" w:name="_Toc97816621"/>
      <w:bookmarkStart w:id="65" w:name="_Toc98311865"/>
      <w:bookmarkStart w:id="66" w:name="_Toc100654069"/>
      <w:r w:rsidRPr="00706DE2">
        <w:rPr>
          <w:lang w:val="en-GB"/>
        </w:rPr>
        <w:t>3.3</w:t>
      </w:r>
      <w:r w:rsidRPr="00706DE2">
        <w:rPr>
          <w:lang w:val="en-GB"/>
        </w:rPr>
        <w:tab/>
        <w:t>Comparison of features of the methods</w:t>
      </w:r>
      <w:bookmarkEnd w:id="62"/>
      <w:bookmarkEnd w:id="63"/>
      <w:bookmarkEnd w:id="64"/>
      <w:bookmarkEnd w:id="65"/>
      <w:bookmarkEnd w:id="66"/>
    </w:p>
    <w:p w14:paraId="316C8A2E" w14:textId="188CFED0" w:rsidR="00EB5233" w:rsidRPr="00706DE2" w:rsidRDefault="00EB5233" w:rsidP="00EB5233">
      <w:pPr>
        <w:rPr>
          <w:lang w:val="en-GB"/>
        </w:rPr>
      </w:pPr>
      <w:r w:rsidRPr="00706DE2">
        <w:rPr>
          <w:lang w:val="en-GB"/>
        </w:rPr>
        <w:t xml:space="preserve">Table 1 compares the features of the methods during simulcast discussed in the previous sections in terms of broadcast service areas, transmission capacity and associated quality of service. </w:t>
      </w:r>
    </w:p>
    <w:p w14:paraId="2BFDC37B" w14:textId="1B323B94" w:rsidR="00EB5233" w:rsidRPr="00706DE2" w:rsidRDefault="00EB5233" w:rsidP="00EB5233">
      <w:pPr>
        <w:rPr>
          <w:strike/>
          <w:lang w:val="en-GB" w:eastAsia="ja-JP"/>
        </w:rPr>
      </w:pPr>
      <w:r w:rsidRPr="00706DE2">
        <w:rPr>
          <w:lang w:val="en-GB" w:eastAsia="ja-JP"/>
        </w:rPr>
        <w:t xml:space="preserve">Table 2 compares the features of the new service operation after complete transition. </w:t>
      </w:r>
    </w:p>
    <w:p w14:paraId="369A6711" w14:textId="77777777" w:rsidR="004D246A" w:rsidRDefault="004D246A" w:rsidP="00EB5233">
      <w:pPr>
        <w:pStyle w:val="TableNo"/>
        <w:rPr>
          <w:lang w:val="en-GB"/>
        </w:rPr>
        <w:sectPr w:rsidR="004D246A" w:rsidSect="00B02F8C">
          <w:headerReference w:type="even" r:id="rId31"/>
          <w:headerReference w:type="default" r:id="rId32"/>
          <w:pgSz w:w="11907" w:h="16834" w:code="9"/>
          <w:pgMar w:top="1418" w:right="1134" w:bottom="1134" w:left="1134" w:header="720" w:footer="482" w:gutter="0"/>
          <w:pgNumType w:start="1"/>
          <w:cols w:space="720"/>
          <w:docGrid w:linePitch="326"/>
        </w:sectPr>
      </w:pPr>
    </w:p>
    <w:p w14:paraId="766C7700" w14:textId="2CA883D0" w:rsidR="00EB5233" w:rsidRPr="00706DE2" w:rsidRDefault="00AA743B" w:rsidP="00EB5233">
      <w:pPr>
        <w:pStyle w:val="TableNo"/>
        <w:rPr>
          <w:lang w:val="en-GB"/>
        </w:rPr>
      </w:pPr>
      <w:r w:rsidRPr="00706DE2">
        <w:rPr>
          <w:lang w:val="en-GB"/>
        </w:rPr>
        <w:lastRenderedPageBreak/>
        <w:t xml:space="preserve">TABLE </w:t>
      </w:r>
      <w:r w:rsidR="00EB5233" w:rsidRPr="00706DE2">
        <w:rPr>
          <w:lang w:val="en-GB"/>
        </w:rPr>
        <w:t>1</w:t>
      </w:r>
    </w:p>
    <w:p w14:paraId="3A1E37AE" w14:textId="77777777" w:rsidR="00EB5233" w:rsidRPr="00706DE2" w:rsidRDefault="00EB5233" w:rsidP="00EB5233">
      <w:pPr>
        <w:pStyle w:val="Tabletitle"/>
        <w:rPr>
          <w:lang w:val="en-GB"/>
        </w:rPr>
      </w:pPr>
      <w:r w:rsidRPr="00706DE2">
        <w:rPr>
          <w:lang w:val="en-GB" w:eastAsia="ja-JP"/>
        </w:rPr>
        <w:t>Comparison of features of the methods during simulcast</w:t>
      </w:r>
    </w:p>
    <w:tbl>
      <w:tblPr>
        <w:tblStyle w:val="TableGrid"/>
        <w:tblW w:w="5000" w:type="pct"/>
        <w:jc w:val="center"/>
        <w:tblCellMar>
          <w:left w:w="28" w:type="dxa"/>
          <w:right w:w="28" w:type="dxa"/>
        </w:tblCellMar>
        <w:tblLook w:val="04A0" w:firstRow="1" w:lastRow="0" w:firstColumn="1" w:lastColumn="0" w:noHBand="0" w:noVBand="1"/>
      </w:tblPr>
      <w:tblGrid>
        <w:gridCol w:w="1969"/>
        <w:gridCol w:w="2428"/>
        <w:gridCol w:w="1344"/>
        <w:gridCol w:w="9"/>
        <w:gridCol w:w="1724"/>
        <w:gridCol w:w="9"/>
        <w:gridCol w:w="1567"/>
        <w:gridCol w:w="9"/>
        <w:gridCol w:w="2055"/>
        <w:gridCol w:w="9"/>
        <w:gridCol w:w="1567"/>
        <w:gridCol w:w="9"/>
        <w:gridCol w:w="1573"/>
      </w:tblGrid>
      <w:tr w:rsidR="00EB5233" w:rsidRPr="009678BB" w14:paraId="6507AFA1" w14:textId="77777777" w:rsidTr="004D246A">
        <w:trPr>
          <w:cantSplit/>
          <w:tblHeader/>
          <w:jc w:val="center"/>
        </w:trPr>
        <w:tc>
          <w:tcPr>
            <w:tcW w:w="1540" w:type="pct"/>
            <w:gridSpan w:val="2"/>
            <w:vAlign w:val="center"/>
          </w:tcPr>
          <w:p w14:paraId="344AF1A4" w14:textId="77777777" w:rsidR="00EB5233" w:rsidRPr="009678BB" w:rsidRDefault="00EB5233" w:rsidP="003028ED">
            <w:pPr>
              <w:pStyle w:val="Tablehead"/>
            </w:pPr>
            <w:r w:rsidRPr="009678BB">
              <w:t>Method</w:t>
            </w:r>
          </w:p>
        </w:tc>
        <w:tc>
          <w:tcPr>
            <w:tcW w:w="474" w:type="pct"/>
            <w:gridSpan w:val="2"/>
            <w:vAlign w:val="center"/>
          </w:tcPr>
          <w:p w14:paraId="3A24FBD7" w14:textId="77777777" w:rsidR="00EB5233" w:rsidRPr="009678BB" w:rsidRDefault="00EB5233" w:rsidP="003028ED">
            <w:pPr>
              <w:pStyle w:val="Tablehead"/>
            </w:pPr>
            <w:r w:rsidRPr="009678BB">
              <w:t>A1</w:t>
            </w:r>
          </w:p>
        </w:tc>
        <w:tc>
          <w:tcPr>
            <w:tcW w:w="607" w:type="pct"/>
            <w:gridSpan w:val="2"/>
            <w:vAlign w:val="center"/>
          </w:tcPr>
          <w:p w14:paraId="37DE4A16" w14:textId="77777777" w:rsidR="00EB5233" w:rsidRPr="009678BB" w:rsidRDefault="00EB5233" w:rsidP="003028ED">
            <w:pPr>
              <w:pStyle w:val="Tablehead"/>
            </w:pPr>
            <w:r w:rsidRPr="009678BB">
              <w:t>A2</w:t>
            </w:r>
          </w:p>
        </w:tc>
        <w:tc>
          <w:tcPr>
            <w:tcW w:w="552" w:type="pct"/>
            <w:gridSpan w:val="2"/>
            <w:vAlign w:val="center"/>
          </w:tcPr>
          <w:p w14:paraId="65CD05CE" w14:textId="77777777" w:rsidR="00EB5233" w:rsidRPr="009678BB" w:rsidRDefault="00EB5233" w:rsidP="003028ED">
            <w:pPr>
              <w:pStyle w:val="Tablehead"/>
            </w:pPr>
            <w:r w:rsidRPr="009678BB">
              <w:t>A3</w:t>
            </w:r>
          </w:p>
        </w:tc>
        <w:tc>
          <w:tcPr>
            <w:tcW w:w="723" w:type="pct"/>
            <w:gridSpan w:val="2"/>
          </w:tcPr>
          <w:p w14:paraId="0564AB8C" w14:textId="77777777" w:rsidR="00EB5233" w:rsidRPr="009678BB" w:rsidDel="00207A26" w:rsidRDefault="00EB5233" w:rsidP="003028ED">
            <w:pPr>
              <w:pStyle w:val="Tablehead"/>
              <w:rPr>
                <w:lang w:eastAsia="ja-JP"/>
              </w:rPr>
            </w:pPr>
            <w:r w:rsidRPr="009678BB">
              <w:rPr>
                <w:lang w:eastAsia="ja-JP"/>
              </w:rPr>
              <w:t>A4</w:t>
            </w:r>
          </w:p>
        </w:tc>
        <w:tc>
          <w:tcPr>
            <w:tcW w:w="552" w:type="pct"/>
            <w:gridSpan w:val="2"/>
            <w:vAlign w:val="center"/>
          </w:tcPr>
          <w:p w14:paraId="0215C911" w14:textId="77777777" w:rsidR="00EB5233" w:rsidRPr="009678BB" w:rsidRDefault="00EB5233" w:rsidP="003028ED">
            <w:pPr>
              <w:pStyle w:val="Tablehead"/>
            </w:pPr>
            <w:r w:rsidRPr="009678BB">
              <w:t>B1</w:t>
            </w:r>
          </w:p>
        </w:tc>
        <w:tc>
          <w:tcPr>
            <w:tcW w:w="551" w:type="pct"/>
            <w:vAlign w:val="center"/>
          </w:tcPr>
          <w:p w14:paraId="18CF554A" w14:textId="77777777" w:rsidR="00EB5233" w:rsidRPr="009678BB" w:rsidDel="00207A26" w:rsidRDefault="00EB5233" w:rsidP="003028ED">
            <w:pPr>
              <w:pStyle w:val="Tablehead"/>
            </w:pPr>
            <w:r w:rsidRPr="009678BB">
              <w:t>B2</w:t>
            </w:r>
          </w:p>
        </w:tc>
      </w:tr>
      <w:tr w:rsidR="00EB5233" w:rsidRPr="006D0942" w14:paraId="5BC2BF04" w14:textId="77777777" w:rsidTr="004D246A">
        <w:trPr>
          <w:cantSplit/>
          <w:jc w:val="center"/>
        </w:trPr>
        <w:tc>
          <w:tcPr>
            <w:tcW w:w="690" w:type="pct"/>
            <w:vMerge w:val="restart"/>
            <w:vAlign w:val="center"/>
          </w:tcPr>
          <w:p w14:paraId="72E9A9B9" w14:textId="4B031C32" w:rsidR="00EB5233" w:rsidRPr="009678BB" w:rsidRDefault="00EB5233" w:rsidP="003028ED">
            <w:pPr>
              <w:pStyle w:val="Tabletext"/>
              <w:keepNext/>
              <w:jc w:val="center"/>
              <w:rPr>
                <w:b/>
                <w:bCs/>
              </w:rPr>
            </w:pPr>
            <w:r w:rsidRPr="009678BB">
              <w:rPr>
                <w:b/>
                <w:bCs/>
              </w:rPr>
              <w:t>Transmission</w:t>
            </w:r>
          </w:p>
        </w:tc>
        <w:tc>
          <w:tcPr>
            <w:tcW w:w="851" w:type="pct"/>
            <w:vAlign w:val="center"/>
          </w:tcPr>
          <w:p w14:paraId="0921102D" w14:textId="77777777" w:rsidR="00EB5233" w:rsidRPr="00706DE2" w:rsidRDefault="00EB5233" w:rsidP="003028ED">
            <w:pPr>
              <w:pStyle w:val="Tabletext"/>
              <w:keepNext/>
              <w:rPr>
                <w:b/>
                <w:bCs/>
                <w:lang w:val="en-GB"/>
              </w:rPr>
            </w:pPr>
            <w:r w:rsidRPr="00706DE2">
              <w:rPr>
                <w:b/>
                <w:bCs/>
                <w:lang w:val="en-GB"/>
              </w:rPr>
              <w:t>Channel for introducing the new service</w:t>
            </w:r>
          </w:p>
        </w:tc>
        <w:tc>
          <w:tcPr>
            <w:tcW w:w="2356" w:type="pct"/>
            <w:gridSpan w:val="8"/>
            <w:vAlign w:val="center"/>
          </w:tcPr>
          <w:p w14:paraId="54764C76" w14:textId="77777777" w:rsidR="00EB5233" w:rsidRPr="00706DE2" w:rsidRDefault="00EB5233" w:rsidP="003028ED">
            <w:pPr>
              <w:pStyle w:val="Tabletext"/>
              <w:keepNext/>
              <w:jc w:val="center"/>
              <w:rPr>
                <w:lang w:val="en-GB"/>
              </w:rPr>
            </w:pPr>
            <w:r w:rsidRPr="00706DE2">
              <w:rPr>
                <w:lang w:val="en-GB"/>
              </w:rPr>
              <w:t>Same channel used for the existing service</w:t>
            </w:r>
          </w:p>
        </w:tc>
        <w:tc>
          <w:tcPr>
            <w:tcW w:w="1103" w:type="pct"/>
            <w:gridSpan w:val="3"/>
            <w:vAlign w:val="center"/>
          </w:tcPr>
          <w:p w14:paraId="59603AF5" w14:textId="77777777" w:rsidR="00EB5233" w:rsidRPr="00706DE2" w:rsidRDefault="00EB5233" w:rsidP="003028ED">
            <w:pPr>
              <w:pStyle w:val="Tabletext"/>
              <w:keepNext/>
              <w:jc w:val="center"/>
              <w:rPr>
                <w:lang w:val="en-GB"/>
              </w:rPr>
            </w:pPr>
            <w:r w:rsidRPr="00706DE2">
              <w:rPr>
                <w:lang w:val="en-GB"/>
              </w:rPr>
              <w:t>Different channel, not used for the existing service</w:t>
            </w:r>
          </w:p>
        </w:tc>
      </w:tr>
      <w:tr w:rsidR="00EB5233" w:rsidRPr="009678BB" w14:paraId="46D6A96A" w14:textId="77777777" w:rsidTr="004D246A">
        <w:trPr>
          <w:cantSplit/>
          <w:jc w:val="center"/>
        </w:trPr>
        <w:tc>
          <w:tcPr>
            <w:tcW w:w="690" w:type="pct"/>
            <w:vMerge/>
            <w:vAlign w:val="center"/>
          </w:tcPr>
          <w:p w14:paraId="5926D983" w14:textId="77777777" w:rsidR="00EB5233" w:rsidRPr="00706DE2" w:rsidRDefault="00EB5233" w:rsidP="003028ED">
            <w:pPr>
              <w:pStyle w:val="Tabletext"/>
              <w:keepNext/>
              <w:jc w:val="center"/>
              <w:rPr>
                <w:b/>
                <w:bCs/>
                <w:lang w:val="en-GB"/>
              </w:rPr>
            </w:pPr>
          </w:p>
        </w:tc>
        <w:tc>
          <w:tcPr>
            <w:tcW w:w="851" w:type="pct"/>
            <w:vMerge w:val="restart"/>
            <w:vAlign w:val="center"/>
          </w:tcPr>
          <w:p w14:paraId="4273675B" w14:textId="77777777" w:rsidR="00EB5233" w:rsidRPr="00706DE2" w:rsidRDefault="00EB5233" w:rsidP="003028ED">
            <w:pPr>
              <w:pStyle w:val="Tabletext"/>
              <w:keepNext/>
              <w:rPr>
                <w:b/>
                <w:bCs/>
                <w:lang w:val="en-GB"/>
              </w:rPr>
            </w:pPr>
            <w:r w:rsidRPr="00706DE2">
              <w:rPr>
                <w:b/>
                <w:bCs/>
                <w:lang w:val="en-GB" w:eastAsia="ja-JP"/>
              </w:rPr>
              <w:t>M</w:t>
            </w:r>
            <w:r w:rsidRPr="00706DE2">
              <w:rPr>
                <w:b/>
                <w:bCs/>
                <w:lang w:val="en-GB"/>
              </w:rPr>
              <w:t>ultiplexing between existing and new services</w:t>
            </w:r>
          </w:p>
        </w:tc>
        <w:tc>
          <w:tcPr>
            <w:tcW w:w="474" w:type="pct"/>
            <w:gridSpan w:val="2"/>
            <w:vMerge w:val="restart"/>
            <w:vAlign w:val="center"/>
          </w:tcPr>
          <w:p w14:paraId="6050F60F" w14:textId="77777777" w:rsidR="00EB5233" w:rsidRPr="009678BB" w:rsidRDefault="00EB5233" w:rsidP="003028ED">
            <w:pPr>
              <w:pStyle w:val="Tabletext"/>
              <w:keepNext/>
              <w:jc w:val="center"/>
            </w:pPr>
            <w:r w:rsidRPr="009678BB">
              <w:t>Transport layer</w:t>
            </w:r>
          </w:p>
        </w:tc>
        <w:tc>
          <w:tcPr>
            <w:tcW w:w="1882" w:type="pct"/>
            <w:gridSpan w:val="6"/>
            <w:vAlign w:val="center"/>
          </w:tcPr>
          <w:p w14:paraId="1CFC7BC9" w14:textId="77777777" w:rsidR="00EB5233" w:rsidRPr="009678BB" w:rsidRDefault="00EB5233" w:rsidP="003028ED">
            <w:pPr>
              <w:pStyle w:val="Tabletext"/>
              <w:keepNext/>
              <w:jc w:val="center"/>
              <w:rPr>
                <w:lang w:eastAsia="ja-JP"/>
              </w:rPr>
            </w:pPr>
            <w:r w:rsidRPr="009678BB">
              <w:t>Physical layer</w:t>
            </w:r>
          </w:p>
        </w:tc>
        <w:tc>
          <w:tcPr>
            <w:tcW w:w="1103" w:type="pct"/>
            <w:gridSpan w:val="3"/>
            <w:vMerge w:val="restart"/>
            <w:vAlign w:val="center"/>
          </w:tcPr>
          <w:p w14:paraId="1D259BCC" w14:textId="77777777" w:rsidR="00EB5233" w:rsidRPr="009678BB" w:rsidRDefault="00EB5233" w:rsidP="003028ED">
            <w:pPr>
              <w:pStyle w:val="Tabletext"/>
              <w:keepNext/>
              <w:jc w:val="center"/>
              <w:rPr>
                <w:lang w:eastAsia="ja-JP"/>
              </w:rPr>
            </w:pPr>
            <w:r w:rsidRPr="009678BB">
              <w:rPr>
                <w:lang w:eastAsia="ja-JP"/>
              </w:rPr>
              <w:t>−</w:t>
            </w:r>
          </w:p>
        </w:tc>
      </w:tr>
      <w:tr w:rsidR="00EB5233" w:rsidRPr="009678BB" w14:paraId="40F70CA6" w14:textId="77777777" w:rsidTr="004D246A">
        <w:trPr>
          <w:cantSplit/>
          <w:jc w:val="center"/>
        </w:trPr>
        <w:tc>
          <w:tcPr>
            <w:tcW w:w="690" w:type="pct"/>
            <w:vMerge/>
            <w:vAlign w:val="center"/>
          </w:tcPr>
          <w:p w14:paraId="342E2C36" w14:textId="77777777" w:rsidR="00EB5233" w:rsidRPr="009678BB" w:rsidRDefault="00EB5233" w:rsidP="003028ED">
            <w:pPr>
              <w:pStyle w:val="Tabletext"/>
              <w:keepNext/>
              <w:jc w:val="center"/>
              <w:rPr>
                <w:b/>
                <w:bCs/>
              </w:rPr>
            </w:pPr>
          </w:p>
        </w:tc>
        <w:tc>
          <w:tcPr>
            <w:tcW w:w="851" w:type="pct"/>
            <w:vMerge/>
            <w:vAlign w:val="center"/>
          </w:tcPr>
          <w:p w14:paraId="6A62F240" w14:textId="77777777" w:rsidR="00EB5233" w:rsidRPr="009678BB" w:rsidRDefault="00EB5233" w:rsidP="003028ED">
            <w:pPr>
              <w:pStyle w:val="Tabletext"/>
              <w:keepNext/>
              <w:rPr>
                <w:b/>
                <w:bCs/>
              </w:rPr>
            </w:pPr>
          </w:p>
        </w:tc>
        <w:tc>
          <w:tcPr>
            <w:tcW w:w="474" w:type="pct"/>
            <w:gridSpan w:val="2"/>
            <w:vMerge/>
            <w:vAlign w:val="center"/>
          </w:tcPr>
          <w:p w14:paraId="70F46AE5" w14:textId="77777777" w:rsidR="00EB5233" w:rsidRPr="009678BB" w:rsidRDefault="00EB5233" w:rsidP="003028ED">
            <w:pPr>
              <w:pStyle w:val="Tabletext"/>
              <w:keepNext/>
              <w:jc w:val="center"/>
            </w:pPr>
          </w:p>
        </w:tc>
        <w:tc>
          <w:tcPr>
            <w:tcW w:w="607" w:type="pct"/>
            <w:gridSpan w:val="2"/>
            <w:vAlign w:val="center"/>
          </w:tcPr>
          <w:p w14:paraId="6BB5D7BD" w14:textId="77777777" w:rsidR="00EB5233" w:rsidRPr="009678BB" w:rsidRDefault="00EB5233" w:rsidP="003028ED">
            <w:pPr>
              <w:pStyle w:val="Tabletext"/>
              <w:keepNext/>
              <w:jc w:val="center"/>
            </w:pPr>
            <w:r w:rsidRPr="009678BB">
              <w:t>FDM, TDM</w:t>
            </w:r>
          </w:p>
        </w:tc>
        <w:tc>
          <w:tcPr>
            <w:tcW w:w="552" w:type="pct"/>
            <w:gridSpan w:val="2"/>
            <w:vAlign w:val="center"/>
          </w:tcPr>
          <w:p w14:paraId="3A2253F0" w14:textId="7486D396" w:rsidR="00EB5233" w:rsidRPr="009678BB" w:rsidRDefault="00EB5233" w:rsidP="003028ED">
            <w:pPr>
              <w:pStyle w:val="Tabletext"/>
              <w:keepNext/>
              <w:jc w:val="center"/>
            </w:pPr>
            <w:r w:rsidRPr="009678BB">
              <w:t>LDM</w:t>
            </w:r>
            <w:r w:rsidR="00C83465">
              <w:rPr>
                <w:vertAlign w:val="superscript"/>
              </w:rPr>
              <w:t>(1)</w:t>
            </w:r>
          </w:p>
        </w:tc>
        <w:tc>
          <w:tcPr>
            <w:tcW w:w="723" w:type="pct"/>
            <w:gridSpan w:val="2"/>
            <w:vAlign w:val="center"/>
          </w:tcPr>
          <w:p w14:paraId="51FAF5C7" w14:textId="7DCE17B1" w:rsidR="00EB5233" w:rsidRPr="009678BB" w:rsidRDefault="00EB5233" w:rsidP="003028ED">
            <w:pPr>
              <w:pStyle w:val="Tabletext"/>
              <w:keepNext/>
              <w:jc w:val="center"/>
            </w:pPr>
            <w:r w:rsidRPr="009678BB">
              <w:t>SDM</w:t>
            </w:r>
            <w:r w:rsidRPr="009678BB">
              <w:noBreakHyphen/>
              <w:t>MIMO</w:t>
            </w:r>
            <w:r w:rsidR="00C83465">
              <w:rPr>
                <w:vertAlign w:val="superscript"/>
              </w:rPr>
              <w:t>(2)</w:t>
            </w:r>
          </w:p>
        </w:tc>
        <w:tc>
          <w:tcPr>
            <w:tcW w:w="1103" w:type="pct"/>
            <w:gridSpan w:val="3"/>
            <w:vMerge/>
            <w:vAlign w:val="center"/>
          </w:tcPr>
          <w:p w14:paraId="23B3BA19" w14:textId="77777777" w:rsidR="00EB5233" w:rsidRPr="009678BB" w:rsidRDefault="00EB5233" w:rsidP="003028ED">
            <w:pPr>
              <w:pStyle w:val="Tabletext"/>
              <w:keepNext/>
              <w:jc w:val="center"/>
            </w:pPr>
          </w:p>
        </w:tc>
      </w:tr>
      <w:tr w:rsidR="00EB5233" w:rsidRPr="006D0942" w14:paraId="76B59AC2" w14:textId="77777777" w:rsidTr="004D246A">
        <w:trPr>
          <w:cantSplit/>
          <w:jc w:val="center"/>
        </w:trPr>
        <w:tc>
          <w:tcPr>
            <w:tcW w:w="690" w:type="pct"/>
            <w:vMerge/>
            <w:vAlign w:val="center"/>
          </w:tcPr>
          <w:p w14:paraId="60AD25A7" w14:textId="77777777" w:rsidR="00EB5233" w:rsidRPr="009678BB" w:rsidRDefault="00EB5233" w:rsidP="003028ED">
            <w:pPr>
              <w:pStyle w:val="Tabletext"/>
              <w:keepNext/>
              <w:jc w:val="center"/>
              <w:rPr>
                <w:b/>
                <w:bCs/>
              </w:rPr>
            </w:pPr>
          </w:p>
        </w:tc>
        <w:tc>
          <w:tcPr>
            <w:tcW w:w="851" w:type="pct"/>
            <w:vAlign w:val="center"/>
          </w:tcPr>
          <w:p w14:paraId="6D8A6057" w14:textId="77777777" w:rsidR="00EB5233" w:rsidRPr="00706DE2" w:rsidRDefault="00EB5233" w:rsidP="003028ED">
            <w:pPr>
              <w:pStyle w:val="Tabletext"/>
              <w:keepNext/>
              <w:rPr>
                <w:b/>
                <w:bCs/>
                <w:lang w:val="en-GB"/>
              </w:rPr>
            </w:pPr>
            <w:r w:rsidRPr="00706DE2">
              <w:rPr>
                <w:b/>
                <w:bCs/>
                <w:lang w:val="en-GB"/>
              </w:rPr>
              <w:t>Transmission scheme for the new service</w:t>
            </w:r>
          </w:p>
        </w:tc>
        <w:tc>
          <w:tcPr>
            <w:tcW w:w="474" w:type="pct"/>
            <w:gridSpan w:val="2"/>
            <w:vAlign w:val="center"/>
          </w:tcPr>
          <w:p w14:paraId="709EE04A" w14:textId="77777777" w:rsidR="00EB5233" w:rsidRPr="00706DE2" w:rsidRDefault="00EB5233" w:rsidP="003028ED">
            <w:pPr>
              <w:pStyle w:val="Tabletext"/>
              <w:keepNext/>
              <w:jc w:val="center"/>
              <w:rPr>
                <w:lang w:val="en-GB"/>
              </w:rPr>
            </w:pPr>
            <w:r w:rsidRPr="00706DE2">
              <w:rPr>
                <w:lang w:val="en-GB"/>
              </w:rPr>
              <w:t>Same as the existing service</w:t>
            </w:r>
          </w:p>
        </w:tc>
        <w:tc>
          <w:tcPr>
            <w:tcW w:w="607" w:type="pct"/>
            <w:gridSpan w:val="2"/>
            <w:vAlign w:val="center"/>
          </w:tcPr>
          <w:p w14:paraId="1A0F6C4C" w14:textId="77777777" w:rsidR="00EB5233" w:rsidRPr="00706DE2" w:rsidRDefault="00EB5233" w:rsidP="003028ED">
            <w:pPr>
              <w:pStyle w:val="Tabletext"/>
              <w:keepNext/>
              <w:jc w:val="center"/>
              <w:rPr>
                <w:lang w:val="en-GB"/>
              </w:rPr>
            </w:pPr>
            <w:r w:rsidRPr="00706DE2">
              <w:rPr>
                <w:lang w:val="en-GB"/>
              </w:rPr>
              <w:t>Able to use a higher-efficiency transmission technology</w:t>
            </w:r>
          </w:p>
        </w:tc>
        <w:tc>
          <w:tcPr>
            <w:tcW w:w="2378" w:type="pct"/>
            <w:gridSpan w:val="7"/>
            <w:vAlign w:val="center"/>
          </w:tcPr>
          <w:p w14:paraId="5CBA6B5C" w14:textId="77777777" w:rsidR="00EB5233" w:rsidRPr="00706DE2" w:rsidRDefault="00EB5233" w:rsidP="003028ED">
            <w:pPr>
              <w:pStyle w:val="Tabletext"/>
              <w:keepNext/>
              <w:jc w:val="center"/>
              <w:rPr>
                <w:lang w:val="en-GB"/>
              </w:rPr>
            </w:pPr>
            <w:r w:rsidRPr="00706DE2">
              <w:rPr>
                <w:lang w:val="en-GB"/>
              </w:rPr>
              <w:t>Able to use a higher-efficiency transmission technology</w:t>
            </w:r>
            <w:r w:rsidRPr="00706DE2">
              <w:rPr>
                <w:lang w:val="en-GB" w:eastAsia="ja-JP"/>
              </w:rPr>
              <w:t>, bandwidth can also be extended</w:t>
            </w:r>
          </w:p>
        </w:tc>
      </w:tr>
      <w:tr w:rsidR="00EB5233" w:rsidRPr="006D0942" w14:paraId="29861FF3" w14:textId="77777777" w:rsidTr="004D246A">
        <w:trPr>
          <w:cantSplit/>
          <w:jc w:val="center"/>
        </w:trPr>
        <w:tc>
          <w:tcPr>
            <w:tcW w:w="690" w:type="pct"/>
            <w:vMerge/>
            <w:vAlign w:val="center"/>
          </w:tcPr>
          <w:p w14:paraId="2FFF0BB9" w14:textId="77777777" w:rsidR="00EB5233" w:rsidRPr="00706DE2" w:rsidRDefault="00EB5233" w:rsidP="003028ED">
            <w:pPr>
              <w:pStyle w:val="Tabletext"/>
              <w:jc w:val="center"/>
              <w:rPr>
                <w:b/>
                <w:bCs/>
                <w:lang w:val="en-GB"/>
              </w:rPr>
            </w:pPr>
          </w:p>
        </w:tc>
        <w:tc>
          <w:tcPr>
            <w:tcW w:w="851" w:type="pct"/>
            <w:vAlign w:val="center"/>
          </w:tcPr>
          <w:p w14:paraId="66718CCD" w14:textId="77777777" w:rsidR="00EB5233" w:rsidRPr="00706DE2" w:rsidRDefault="00EB5233" w:rsidP="003028ED">
            <w:pPr>
              <w:pStyle w:val="Tabletext"/>
              <w:rPr>
                <w:b/>
                <w:bCs/>
                <w:lang w:val="en-GB"/>
              </w:rPr>
            </w:pPr>
            <w:r w:rsidRPr="00706DE2">
              <w:rPr>
                <w:b/>
                <w:bCs/>
                <w:lang w:val="en-GB"/>
              </w:rPr>
              <w:t>Video</w:t>
            </w:r>
            <w:r w:rsidRPr="00706DE2">
              <w:rPr>
                <w:b/>
                <w:bCs/>
                <w:lang w:val="en-GB" w:eastAsia="ja-JP"/>
              </w:rPr>
              <w:t>/audio source</w:t>
            </w:r>
            <w:r w:rsidRPr="00706DE2">
              <w:rPr>
                <w:b/>
                <w:bCs/>
                <w:lang w:val="en-GB"/>
              </w:rPr>
              <w:t xml:space="preserve"> coding scheme for the new service</w:t>
            </w:r>
          </w:p>
        </w:tc>
        <w:tc>
          <w:tcPr>
            <w:tcW w:w="3460" w:type="pct"/>
            <w:gridSpan w:val="11"/>
            <w:vAlign w:val="center"/>
          </w:tcPr>
          <w:p w14:paraId="2D337116" w14:textId="77777777" w:rsidR="00EB5233" w:rsidRPr="00706DE2" w:rsidRDefault="00EB5233" w:rsidP="003028ED">
            <w:pPr>
              <w:pStyle w:val="Tabletext"/>
              <w:jc w:val="center"/>
              <w:rPr>
                <w:lang w:val="en-GB"/>
              </w:rPr>
            </w:pPr>
            <w:r w:rsidRPr="00706DE2">
              <w:rPr>
                <w:lang w:val="en-GB"/>
              </w:rPr>
              <w:t>Able to use a higher-efficiency source coding technology</w:t>
            </w:r>
          </w:p>
        </w:tc>
      </w:tr>
      <w:tr w:rsidR="004D246A" w:rsidRPr="006D0942" w14:paraId="4E8B2F94" w14:textId="77777777" w:rsidTr="00623DF0">
        <w:trPr>
          <w:cantSplit/>
          <w:jc w:val="center"/>
        </w:trPr>
        <w:tc>
          <w:tcPr>
            <w:tcW w:w="690" w:type="pct"/>
            <w:vMerge w:val="restart"/>
            <w:vAlign w:val="center"/>
          </w:tcPr>
          <w:p w14:paraId="3365763F" w14:textId="77777777" w:rsidR="004D246A" w:rsidRPr="00706DE2" w:rsidRDefault="004D246A" w:rsidP="00623DF0">
            <w:pPr>
              <w:pStyle w:val="Tabletext"/>
              <w:jc w:val="center"/>
              <w:rPr>
                <w:b/>
                <w:bCs/>
                <w:lang w:val="en-GB"/>
              </w:rPr>
            </w:pPr>
            <w:r w:rsidRPr="00706DE2">
              <w:rPr>
                <w:b/>
                <w:bCs/>
                <w:lang w:val="en-GB"/>
              </w:rPr>
              <w:t>Existing service operation during simulcast</w:t>
            </w:r>
          </w:p>
        </w:tc>
        <w:tc>
          <w:tcPr>
            <w:tcW w:w="851" w:type="pct"/>
            <w:vAlign w:val="center"/>
          </w:tcPr>
          <w:p w14:paraId="56761458" w14:textId="77777777" w:rsidR="004D246A" w:rsidRPr="009678BB" w:rsidRDefault="004D246A" w:rsidP="00623DF0">
            <w:pPr>
              <w:pStyle w:val="Tabletext"/>
              <w:rPr>
                <w:b/>
                <w:bCs/>
              </w:rPr>
            </w:pPr>
            <w:r w:rsidRPr="009678BB">
              <w:rPr>
                <w:b/>
                <w:bCs/>
              </w:rPr>
              <w:t>Service area</w:t>
            </w:r>
          </w:p>
        </w:tc>
        <w:tc>
          <w:tcPr>
            <w:tcW w:w="471" w:type="pct"/>
            <w:vAlign w:val="center"/>
          </w:tcPr>
          <w:p w14:paraId="0AF75C6C" w14:textId="77777777" w:rsidR="004D246A" w:rsidRPr="00706DE2" w:rsidRDefault="004D246A" w:rsidP="00623DF0">
            <w:pPr>
              <w:pStyle w:val="Tabletext"/>
              <w:jc w:val="center"/>
              <w:rPr>
                <w:lang w:val="en-GB"/>
              </w:rPr>
            </w:pPr>
            <w:r w:rsidRPr="00706DE2">
              <w:rPr>
                <w:lang w:val="en-GB"/>
              </w:rPr>
              <w:t>Same as the existing area</w:t>
            </w:r>
          </w:p>
        </w:tc>
        <w:tc>
          <w:tcPr>
            <w:tcW w:w="607" w:type="pct"/>
            <w:gridSpan w:val="2"/>
            <w:vAlign w:val="center"/>
          </w:tcPr>
          <w:p w14:paraId="4EA156A7" w14:textId="77777777" w:rsidR="004D246A" w:rsidRPr="00706DE2" w:rsidRDefault="004D246A" w:rsidP="00623DF0">
            <w:pPr>
              <w:pStyle w:val="Tabletext"/>
              <w:jc w:val="center"/>
              <w:rPr>
                <w:lang w:val="en-GB"/>
              </w:rPr>
            </w:pPr>
            <w:r w:rsidRPr="00706DE2">
              <w:rPr>
                <w:lang w:val="en-GB"/>
              </w:rPr>
              <w:t>Same as the existing area</w:t>
            </w:r>
          </w:p>
        </w:tc>
        <w:tc>
          <w:tcPr>
            <w:tcW w:w="552" w:type="pct"/>
            <w:gridSpan w:val="2"/>
            <w:vAlign w:val="center"/>
          </w:tcPr>
          <w:p w14:paraId="1E862015" w14:textId="77777777" w:rsidR="004D246A" w:rsidRPr="00706DE2" w:rsidRDefault="004D246A" w:rsidP="00623DF0">
            <w:pPr>
              <w:pStyle w:val="Tabletext"/>
              <w:jc w:val="center"/>
              <w:rPr>
                <w:lang w:val="en-GB"/>
              </w:rPr>
            </w:pPr>
            <w:r w:rsidRPr="00706DE2">
              <w:rPr>
                <w:lang w:val="en-GB"/>
              </w:rPr>
              <w:t>Same as, or narrower than the existing area</w:t>
            </w:r>
            <w:r w:rsidRPr="00706DE2">
              <w:rPr>
                <w:vertAlign w:val="superscript"/>
                <w:lang w:val="en-GB"/>
              </w:rPr>
              <w:t> (3)</w:t>
            </w:r>
          </w:p>
        </w:tc>
        <w:tc>
          <w:tcPr>
            <w:tcW w:w="723" w:type="pct"/>
            <w:gridSpan w:val="2"/>
            <w:vAlign w:val="center"/>
          </w:tcPr>
          <w:p w14:paraId="1A89902F" w14:textId="77777777" w:rsidR="004D246A" w:rsidRPr="00706DE2" w:rsidRDefault="004D246A" w:rsidP="00623DF0">
            <w:pPr>
              <w:pStyle w:val="Tabletext"/>
              <w:jc w:val="center"/>
              <w:rPr>
                <w:lang w:val="en-GB"/>
              </w:rPr>
            </w:pPr>
            <w:r w:rsidRPr="00706DE2">
              <w:rPr>
                <w:lang w:val="en-GB"/>
              </w:rPr>
              <w:t>Same as, or narrower than the existing area</w:t>
            </w:r>
            <w:r w:rsidRPr="00706DE2">
              <w:rPr>
                <w:vertAlign w:val="superscript"/>
                <w:lang w:val="en-GB"/>
              </w:rPr>
              <w:t> (3)</w:t>
            </w:r>
          </w:p>
        </w:tc>
        <w:tc>
          <w:tcPr>
            <w:tcW w:w="552" w:type="pct"/>
            <w:gridSpan w:val="2"/>
            <w:vAlign w:val="center"/>
          </w:tcPr>
          <w:p w14:paraId="2A6D2AA6" w14:textId="77777777" w:rsidR="004D246A" w:rsidRPr="00706DE2" w:rsidRDefault="004D246A" w:rsidP="00623DF0">
            <w:pPr>
              <w:pStyle w:val="Tabletext"/>
              <w:jc w:val="center"/>
              <w:rPr>
                <w:lang w:val="en-GB"/>
              </w:rPr>
            </w:pPr>
            <w:r w:rsidRPr="00706DE2">
              <w:rPr>
                <w:lang w:val="en-GB"/>
              </w:rPr>
              <w:t>Same as the existing area</w:t>
            </w:r>
          </w:p>
        </w:tc>
        <w:tc>
          <w:tcPr>
            <w:tcW w:w="554" w:type="pct"/>
            <w:gridSpan w:val="2"/>
            <w:vAlign w:val="center"/>
          </w:tcPr>
          <w:p w14:paraId="3909F866" w14:textId="77777777" w:rsidR="004D246A" w:rsidRPr="00706DE2" w:rsidRDefault="004D246A" w:rsidP="00623DF0">
            <w:pPr>
              <w:pStyle w:val="Tabletext"/>
              <w:jc w:val="center"/>
              <w:rPr>
                <w:lang w:val="en-GB"/>
              </w:rPr>
            </w:pPr>
            <w:r w:rsidRPr="00706DE2">
              <w:rPr>
                <w:lang w:val="en-GB"/>
              </w:rPr>
              <w:t>Same as the existing area</w:t>
            </w:r>
          </w:p>
        </w:tc>
      </w:tr>
      <w:tr w:rsidR="004D246A" w:rsidRPr="006D0942" w14:paraId="3D065294" w14:textId="77777777" w:rsidTr="00623DF0">
        <w:trPr>
          <w:cantSplit/>
          <w:jc w:val="center"/>
        </w:trPr>
        <w:tc>
          <w:tcPr>
            <w:tcW w:w="690" w:type="pct"/>
            <w:vMerge/>
            <w:vAlign w:val="center"/>
          </w:tcPr>
          <w:p w14:paraId="4CAD2864" w14:textId="77777777" w:rsidR="004D246A" w:rsidRPr="00706DE2" w:rsidRDefault="004D246A" w:rsidP="00623DF0">
            <w:pPr>
              <w:pStyle w:val="Tabletext"/>
              <w:jc w:val="center"/>
              <w:rPr>
                <w:b/>
                <w:bCs/>
                <w:lang w:val="en-GB"/>
              </w:rPr>
            </w:pPr>
          </w:p>
        </w:tc>
        <w:tc>
          <w:tcPr>
            <w:tcW w:w="851" w:type="pct"/>
            <w:vAlign w:val="center"/>
          </w:tcPr>
          <w:p w14:paraId="29F36630" w14:textId="77777777" w:rsidR="004D246A" w:rsidRPr="009678BB" w:rsidRDefault="004D246A" w:rsidP="00623DF0">
            <w:pPr>
              <w:pStyle w:val="Tabletext"/>
              <w:rPr>
                <w:b/>
                <w:bCs/>
              </w:rPr>
            </w:pPr>
            <w:r w:rsidRPr="009678BB">
              <w:rPr>
                <w:b/>
                <w:bCs/>
              </w:rPr>
              <w:t>Transmission capacity</w:t>
            </w:r>
          </w:p>
        </w:tc>
        <w:tc>
          <w:tcPr>
            <w:tcW w:w="471" w:type="pct"/>
            <w:vAlign w:val="center"/>
          </w:tcPr>
          <w:p w14:paraId="79A3FB74" w14:textId="77777777" w:rsidR="004D246A" w:rsidRPr="00706DE2" w:rsidRDefault="004D246A" w:rsidP="00623DF0">
            <w:pPr>
              <w:pStyle w:val="Tabletext"/>
              <w:jc w:val="center"/>
              <w:rPr>
                <w:lang w:val="en-GB"/>
              </w:rPr>
            </w:pPr>
            <w:r w:rsidRPr="00706DE2">
              <w:rPr>
                <w:lang w:val="en-GB"/>
              </w:rPr>
              <w:t>Smaller than the existing capacity</w:t>
            </w:r>
          </w:p>
        </w:tc>
        <w:tc>
          <w:tcPr>
            <w:tcW w:w="607" w:type="pct"/>
            <w:gridSpan w:val="2"/>
            <w:vAlign w:val="center"/>
          </w:tcPr>
          <w:p w14:paraId="22F27DF0" w14:textId="77777777" w:rsidR="004D246A" w:rsidRPr="00706DE2" w:rsidRDefault="004D246A" w:rsidP="00623DF0">
            <w:pPr>
              <w:pStyle w:val="Tabletext"/>
              <w:jc w:val="center"/>
              <w:rPr>
                <w:lang w:val="en-GB"/>
              </w:rPr>
            </w:pPr>
            <w:r w:rsidRPr="00706DE2">
              <w:rPr>
                <w:lang w:val="en-GB"/>
              </w:rPr>
              <w:t>Smaller than the existing capacity, higher than Method A1</w:t>
            </w:r>
          </w:p>
        </w:tc>
        <w:tc>
          <w:tcPr>
            <w:tcW w:w="552" w:type="pct"/>
            <w:gridSpan w:val="2"/>
            <w:vAlign w:val="center"/>
          </w:tcPr>
          <w:p w14:paraId="4BD63023" w14:textId="77777777" w:rsidR="004D246A" w:rsidRPr="00706DE2" w:rsidRDefault="004D246A" w:rsidP="00623DF0">
            <w:pPr>
              <w:pStyle w:val="Tabletext"/>
              <w:jc w:val="center"/>
              <w:rPr>
                <w:lang w:val="en-GB"/>
              </w:rPr>
            </w:pPr>
            <w:r w:rsidRPr="00706DE2">
              <w:rPr>
                <w:lang w:val="en-GB"/>
              </w:rPr>
              <w:t>Same as, or smaller than the existing capacity</w:t>
            </w:r>
            <w:r w:rsidRPr="00706DE2">
              <w:rPr>
                <w:vertAlign w:val="superscript"/>
                <w:lang w:val="en-GB"/>
              </w:rPr>
              <w:t> (3)</w:t>
            </w:r>
            <w:r w:rsidRPr="00706DE2">
              <w:rPr>
                <w:lang w:val="en-GB"/>
              </w:rPr>
              <w:t>, higher than Method A2</w:t>
            </w:r>
          </w:p>
        </w:tc>
        <w:tc>
          <w:tcPr>
            <w:tcW w:w="723" w:type="pct"/>
            <w:gridSpan w:val="2"/>
            <w:vAlign w:val="center"/>
          </w:tcPr>
          <w:p w14:paraId="73018148" w14:textId="77777777" w:rsidR="004D246A" w:rsidRPr="00706DE2" w:rsidRDefault="004D246A" w:rsidP="00623DF0">
            <w:pPr>
              <w:pStyle w:val="Tabletext"/>
              <w:jc w:val="center"/>
              <w:rPr>
                <w:lang w:val="en-GB"/>
              </w:rPr>
            </w:pPr>
            <w:r w:rsidRPr="00706DE2">
              <w:rPr>
                <w:lang w:val="en-GB"/>
              </w:rPr>
              <w:t>Same as, or smaller than the existing capacity</w:t>
            </w:r>
            <w:r w:rsidRPr="00706DE2">
              <w:rPr>
                <w:vertAlign w:val="superscript"/>
                <w:lang w:val="en-GB"/>
              </w:rPr>
              <w:t> (3)</w:t>
            </w:r>
            <w:r w:rsidRPr="00706DE2">
              <w:rPr>
                <w:lang w:val="en-GB"/>
              </w:rPr>
              <w:t>, higher than Method A2</w:t>
            </w:r>
          </w:p>
        </w:tc>
        <w:tc>
          <w:tcPr>
            <w:tcW w:w="552" w:type="pct"/>
            <w:gridSpan w:val="2"/>
            <w:vAlign w:val="center"/>
          </w:tcPr>
          <w:p w14:paraId="1BC9ADCE" w14:textId="77777777" w:rsidR="004D246A" w:rsidRPr="00706DE2" w:rsidRDefault="004D246A" w:rsidP="00623DF0">
            <w:pPr>
              <w:pStyle w:val="Tabletext"/>
              <w:jc w:val="center"/>
              <w:rPr>
                <w:lang w:val="en-GB"/>
              </w:rPr>
            </w:pPr>
            <w:r w:rsidRPr="00706DE2">
              <w:rPr>
                <w:lang w:val="en-GB"/>
              </w:rPr>
              <w:t>Smaller than the existing capacity</w:t>
            </w:r>
          </w:p>
        </w:tc>
        <w:tc>
          <w:tcPr>
            <w:tcW w:w="554" w:type="pct"/>
            <w:gridSpan w:val="2"/>
            <w:vAlign w:val="center"/>
          </w:tcPr>
          <w:p w14:paraId="231D7B0C" w14:textId="77777777" w:rsidR="004D246A" w:rsidRPr="00706DE2" w:rsidRDefault="004D246A" w:rsidP="00623DF0">
            <w:pPr>
              <w:pStyle w:val="Tabletext"/>
              <w:jc w:val="center"/>
              <w:rPr>
                <w:lang w:val="en-GB"/>
              </w:rPr>
            </w:pPr>
            <w:r w:rsidRPr="00706DE2">
              <w:rPr>
                <w:lang w:val="en-GB"/>
              </w:rPr>
              <w:t>Same as the existing capacity</w:t>
            </w:r>
          </w:p>
        </w:tc>
      </w:tr>
      <w:tr w:rsidR="004D246A" w:rsidRPr="006D0942" w14:paraId="1CBD15B9" w14:textId="77777777" w:rsidTr="00623DF0">
        <w:trPr>
          <w:cantSplit/>
          <w:jc w:val="center"/>
        </w:trPr>
        <w:tc>
          <w:tcPr>
            <w:tcW w:w="690" w:type="pct"/>
            <w:vMerge/>
            <w:vAlign w:val="center"/>
          </w:tcPr>
          <w:p w14:paraId="369ABBBA" w14:textId="77777777" w:rsidR="004D246A" w:rsidRPr="00706DE2" w:rsidRDefault="004D246A" w:rsidP="00623DF0">
            <w:pPr>
              <w:pStyle w:val="Tabletext"/>
              <w:jc w:val="center"/>
              <w:rPr>
                <w:b/>
                <w:bCs/>
                <w:lang w:val="en-GB"/>
              </w:rPr>
            </w:pPr>
          </w:p>
        </w:tc>
        <w:tc>
          <w:tcPr>
            <w:tcW w:w="851" w:type="pct"/>
            <w:vAlign w:val="center"/>
          </w:tcPr>
          <w:p w14:paraId="69209EBE" w14:textId="77777777" w:rsidR="004D246A" w:rsidRPr="009678BB" w:rsidRDefault="004D246A" w:rsidP="00623DF0">
            <w:pPr>
              <w:pStyle w:val="Tabletext"/>
              <w:rPr>
                <w:b/>
                <w:bCs/>
              </w:rPr>
            </w:pPr>
            <w:r w:rsidRPr="009678BB">
              <w:rPr>
                <w:b/>
                <w:bCs/>
                <w:lang w:eastAsia="ja-JP"/>
              </w:rPr>
              <w:t>Video/audio</w:t>
            </w:r>
            <w:r w:rsidRPr="009678BB">
              <w:rPr>
                <w:b/>
                <w:bCs/>
              </w:rPr>
              <w:t xml:space="preserve"> service quality</w:t>
            </w:r>
          </w:p>
        </w:tc>
        <w:tc>
          <w:tcPr>
            <w:tcW w:w="471" w:type="pct"/>
            <w:vAlign w:val="center"/>
          </w:tcPr>
          <w:p w14:paraId="2376C680" w14:textId="77777777" w:rsidR="004D246A" w:rsidRPr="00706DE2" w:rsidRDefault="004D246A" w:rsidP="00623DF0">
            <w:pPr>
              <w:pStyle w:val="Tabletext"/>
              <w:jc w:val="center"/>
              <w:rPr>
                <w:lang w:val="en-GB"/>
              </w:rPr>
            </w:pPr>
            <w:r w:rsidRPr="00706DE2">
              <w:rPr>
                <w:lang w:val="en-GB"/>
              </w:rPr>
              <w:t>Lower than the existing service quality</w:t>
            </w:r>
          </w:p>
        </w:tc>
        <w:tc>
          <w:tcPr>
            <w:tcW w:w="607" w:type="pct"/>
            <w:gridSpan w:val="2"/>
            <w:vAlign w:val="center"/>
          </w:tcPr>
          <w:p w14:paraId="1EA9F06C" w14:textId="77777777" w:rsidR="004D246A" w:rsidRPr="00706DE2" w:rsidRDefault="004D246A" w:rsidP="00623DF0">
            <w:pPr>
              <w:pStyle w:val="Tabletext"/>
              <w:jc w:val="center"/>
              <w:rPr>
                <w:lang w:val="en-GB"/>
              </w:rPr>
            </w:pPr>
            <w:r w:rsidRPr="00706DE2">
              <w:rPr>
                <w:lang w:val="en-GB"/>
              </w:rPr>
              <w:t>Lower than the existing service quality, higher than Method A1</w:t>
            </w:r>
          </w:p>
        </w:tc>
        <w:tc>
          <w:tcPr>
            <w:tcW w:w="552" w:type="pct"/>
            <w:gridSpan w:val="2"/>
            <w:vAlign w:val="center"/>
          </w:tcPr>
          <w:p w14:paraId="7879237E" w14:textId="77777777" w:rsidR="004D246A" w:rsidRPr="00706DE2" w:rsidRDefault="004D246A" w:rsidP="00623DF0">
            <w:pPr>
              <w:pStyle w:val="Tabletext"/>
              <w:jc w:val="center"/>
              <w:rPr>
                <w:lang w:val="en-GB"/>
              </w:rPr>
            </w:pPr>
            <w:r w:rsidRPr="00706DE2">
              <w:rPr>
                <w:lang w:val="en-GB"/>
              </w:rPr>
              <w:t>Same as, or lower than the existing service quality</w:t>
            </w:r>
            <w:r w:rsidRPr="00706DE2">
              <w:rPr>
                <w:vertAlign w:val="superscript"/>
                <w:lang w:val="en-GB"/>
              </w:rPr>
              <w:t> (3)</w:t>
            </w:r>
            <w:r w:rsidRPr="00706DE2">
              <w:rPr>
                <w:lang w:val="en-GB"/>
              </w:rPr>
              <w:t>, higher than Method A2</w:t>
            </w:r>
          </w:p>
        </w:tc>
        <w:tc>
          <w:tcPr>
            <w:tcW w:w="723" w:type="pct"/>
            <w:gridSpan w:val="2"/>
            <w:vAlign w:val="center"/>
          </w:tcPr>
          <w:p w14:paraId="5A5384D2" w14:textId="77777777" w:rsidR="004D246A" w:rsidRPr="00706DE2" w:rsidRDefault="004D246A" w:rsidP="00623DF0">
            <w:pPr>
              <w:pStyle w:val="Tabletext"/>
              <w:jc w:val="center"/>
              <w:rPr>
                <w:lang w:val="en-GB"/>
              </w:rPr>
            </w:pPr>
            <w:r w:rsidRPr="00706DE2">
              <w:rPr>
                <w:lang w:val="en-GB"/>
              </w:rPr>
              <w:t>Same as, or lower than the existing service quality</w:t>
            </w:r>
            <w:r w:rsidRPr="00706DE2">
              <w:rPr>
                <w:vertAlign w:val="superscript"/>
                <w:lang w:val="en-GB"/>
              </w:rPr>
              <w:t> (3)</w:t>
            </w:r>
            <w:r w:rsidRPr="00706DE2">
              <w:rPr>
                <w:lang w:val="en-GB"/>
              </w:rPr>
              <w:t>, higher than Method A2</w:t>
            </w:r>
          </w:p>
        </w:tc>
        <w:tc>
          <w:tcPr>
            <w:tcW w:w="552" w:type="pct"/>
            <w:gridSpan w:val="2"/>
            <w:vAlign w:val="center"/>
          </w:tcPr>
          <w:p w14:paraId="511B436E" w14:textId="77777777" w:rsidR="004D246A" w:rsidRPr="00706DE2" w:rsidRDefault="004D246A" w:rsidP="00623DF0">
            <w:pPr>
              <w:pStyle w:val="Tabletext"/>
              <w:jc w:val="center"/>
              <w:rPr>
                <w:lang w:val="en-GB"/>
              </w:rPr>
            </w:pPr>
            <w:r w:rsidRPr="00706DE2">
              <w:rPr>
                <w:lang w:val="en-GB"/>
              </w:rPr>
              <w:t>Lower than the existing service quality</w:t>
            </w:r>
          </w:p>
        </w:tc>
        <w:tc>
          <w:tcPr>
            <w:tcW w:w="554" w:type="pct"/>
            <w:gridSpan w:val="2"/>
            <w:vAlign w:val="center"/>
          </w:tcPr>
          <w:p w14:paraId="1DF6B651" w14:textId="77777777" w:rsidR="004D246A" w:rsidRPr="00706DE2" w:rsidRDefault="004D246A" w:rsidP="00623DF0">
            <w:pPr>
              <w:pStyle w:val="Tabletext"/>
              <w:jc w:val="center"/>
              <w:rPr>
                <w:lang w:val="en-GB"/>
              </w:rPr>
            </w:pPr>
            <w:r w:rsidRPr="00706DE2">
              <w:rPr>
                <w:lang w:val="en-GB"/>
              </w:rPr>
              <w:t>Same as the existing service quality</w:t>
            </w:r>
          </w:p>
        </w:tc>
      </w:tr>
    </w:tbl>
    <w:p w14:paraId="5033B281" w14:textId="4998D55C" w:rsidR="003028ED" w:rsidRPr="00706DE2" w:rsidRDefault="003028ED" w:rsidP="004D246A">
      <w:pPr>
        <w:pStyle w:val="TableNo"/>
        <w:rPr>
          <w:lang w:val="en-GB"/>
        </w:rPr>
      </w:pPr>
      <w:r w:rsidRPr="00706DE2">
        <w:rPr>
          <w:lang w:val="en-GB"/>
        </w:rPr>
        <w:lastRenderedPageBreak/>
        <w:t>TABLE 1</w:t>
      </w:r>
      <w:r>
        <w:rPr>
          <w:lang w:val="en-GB"/>
        </w:rPr>
        <w:t xml:space="preserve"> (</w:t>
      </w:r>
      <w:r w:rsidRPr="003028ED">
        <w:rPr>
          <w:i/>
          <w:iCs/>
          <w:lang w:val="en-GB"/>
        </w:rPr>
        <w:t>continued</w:t>
      </w:r>
      <w:r>
        <w:rPr>
          <w:lang w:val="en-GB"/>
        </w:rPr>
        <w:t>)</w:t>
      </w:r>
    </w:p>
    <w:tbl>
      <w:tblPr>
        <w:tblStyle w:val="TableGrid"/>
        <w:tblW w:w="5002" w:type="pct"/>
        <w:jc w:val="center"/>
        <w:tblCellMar>
          <w:left w:w="28" w:type="dxa"/>
          <w:right w:w="28" w:type="dxa"/>
        </w:tblCellMar>
        <w:tblLook w:val="04A0" w:firstRow="1" w:lastRow="0" w:firstColumn="1" w:lastColumn="0" w:noHBand="0" w:noVBand="1"/>
      </w:tblPr>
      <w:tblGrid>
        <w:gridCol w:w="1971"/>
        <w:gridCol w:w="2430"/>
        <w:gridCol w:w="1345"/>
        <w:gridCol w:w="1733"/>
        <w:gridCol w:w="1576"/>
        <w:gridCol w:w="2065"/>
        <w:gridCol w:w="1576"/>
        <w:gridCol w:w="1582"/>
      </w:tblGrid>
      <w:tr w:rsidR="003028ED" w:rsidRPr="003028ED" w14:paraId="76E540F0" w14:textId="77777777" w:rsidTr="004D246A">
        <w:trPr>
          <w:cantSplit/>
          <w:jc w:val="center"/>
        </w:trPr>
        <w:tc>
          <w:tcPr>
            <w:tcW w:w="1541" w:type="pct"/>
            <w:gridSpan w:val="2"/>
            <w:vAlign w:val="center"/>
          </w:tcPr>
          <w:p w14:paraId="3AD92201" w14:textId="427A7888" w:rsidR="003028ED" w:rsidRPr="003028ED" w:rsidRDefault="003028ED" w:rsidP="003028ED">
            <w:pPr>
              <w:pStyle w:val="Tablehead"/>
            </w:pPr>
            <w:r>
              <w:t>Method</w:t>
            </w:r>
          </w:p>
        </w:tc>
        <w:tc>
          <w:tcPr>
            <w:tcW w:w="471" w:type="pct"/>
            <w:vAlign w:val="center"/>
          </w:tcPr>
          <w:p w14:paraId="36FA500D" w14:textId="3A7B9AE0" w:rsidR="003028ED" w:rsidRPr="003028ED" w:rsidRDefault="003028ED" w:rsidP="003028ED">
            <w:pPr>
              <w:pStyle w:val="Tablehead"/>
            </w:pPr>
            <w:r>
              <w:t>A1</w:t>
            </w:r>
          </w:p>
        </w:tc>
        <w:tc>
          <w:tcPr>
            <w:tcW w:w="607" w:type="pct"/>
            <w:vAlign w:val="center"/>
          </w:tcPr>
          <w:p w14:paraId="3BDDD00D" w14:textId="39E6E52D" w:rsidR="003028ED" w:rsidRPr="003028ED" w:rsidRDefault="003028ED" w:rsidP="003028ED">
            <w:pPr>
              <w:pStyle w:val="Tablehead"/>
            </w:pPr>
            <w:r>
              <w:t>A2</w:t>
            </w:r>
          </w:p>
        </w:tc>
        <w:tc>
          <w:tcPr>
            <w:tcW w:w="552" w:type="pct"/>
            <w:vAlign w:val="center"/>
          </w:tcPr>
          <w:p w14:paraId="47834795" w14:textId="108548E7" w:rsidR="003028ED" w:rsidRPr="003028ED" w:rsidRDefault="003028ED" w:rsidP="003028ED">
            <w:pPr>
              <w:pStyle w:val="Tablehead"/>
            </w:pPr>
            <w:r>
              <w:t>A3</w:t>
            </w:r>
          </w:p>
        </w:tc>
        <w:tc>
          <w:tcPr>
            <w:tcW w:w="723" w:type="pct"/>
            <w:vAlign w:val="center"/>
          </w:tcPr>
          <w:p w14:paraId="125DF633" w14:textId="75227844" w:rsidR="003028ED" w:rsidRPr="003028ED" w:rsidRDefault="003028ED" w:rsidP="003028ED">
            <w:pPr>
              <w:pStyle w:val="Tablehead"/>
            </w:pPr>
            <w:r>
              <w:t>A4</w:t>
            </w:r>
          </w:p>
        </w:tc>
        <w:tc>
          <w:tcPr>
            <w:tcW w:w="552" w:type="pct"/>
            <w:vAlign w:val="center"/>
          </w:tcPr>
          <w:p w14:paraId="39BAB88D" w14:textId="2A40E41A" w:rsidR="003028ED" w:rsidRPr="003028ED" w:rsidRDefault="003028ED" w:rsidP="003028ED">
            <w:pPr>
              <w:pStyle w:val="Tablehead"/>
            </w:pPr>
            <w:r>
              <w:t>B1</w:t>
            </w:r>
          </w:p>
        </w:tc>
        <w:tc>
          <w:tcPr>
            <w:tcW w:w="554" w:type="pct"/>
            <w:vAlign w:val="center"/>
          </w:tcPr>
          <w:p w14:paraId="4B46D1A3" w14:textId="04EDC83E" w:rsidR="003028ED" w:rsidRPr="003028ED" w:rsidRDefault="003028ED" w:rsidP="003028ED">
            <w:pPr>
              <w:pStyle w:val="Tablehead"/>
            </w:pPr>
            <w:r>
              <w:t>B2</w:t>
            </w:r>
          </w:p>
        </w:tc>
      </w:tr>
      <w:tr w:rsidR="00EB5233" w:rsidRPr="006D0942" w14:paraId="176DBF01" w14:textId="77777777" w:rsidTr="004D246A">
        <w:trPr>
          <w:cantSplit/>
          <w:jc w:val="center"/>
        </w:trPr>
        <w:tc>
          <w:tcPr>
            <w:tcW w:w="690" w:type="pct"/>
            <w:vMerge w:val="restart"/>
            <w:vAlign w:val="center"/>
          </w:tcPr>
          <w:p w14:paraId="0C8804A8" w14:textId="5192E635" w:rsidR="00EB5233" w:rsidRPr="00706DE2" w:rsidRDefault="00EB5233" w:rsidP="003028ED">
            <w:pPr>
              <w:pStyle w:val="Tabletext"/>
              <w:jc w:val="center"/>
              <w:rPr>
                <w:b/>
                <w:bCs/>
                <w:lang w:val="en-GB"/>
              </w:rPr>
            </w:pPr>
            <w:r w:rsidRPr="00706DE2">
              <w:rPr>
                <w:b/>
                <w:bCs/>
                <w:lang w:val="en-GB"/>
              </w:rPr>
              <w:t>New service operation during simulcast</w:t>
            </w:r>
          </w:p>
        </w:tc>
        <w:tc>
          <w:tcPr>
            <w:tcW w:w="851" w:type="pct"/>
            <w:vAlign w:val="center"/>
          </w:tcPr>
          <w:p w14:paraId="59276717" w14:textId="77777777" w:rsidR="00EB5233" w:rsidRPr="009678BB" w:rsidRDefault="00EB5233" w:rsidP="003028ED">
            <w:pPr>
              <w:pStyle w:val="Tabletext"/>
              <w:rPr>
                <w:b/>
                <w:bCs/>
              </w:rPr>
            </w:pPr>
            <w:r w:rsidRPr="009678BB">
              <w:rPr>
                <w:b/>
                <w:bCs/>
              </w:rPr>
              <w:t>Service area</w:t>
            </w:r>
          </w:p>
        </w:tc>
        <w:tc>
          <w:tcPr>
            <w:tcW w:w="471" w:type="pct"/>
            <w:vAlign w:val="center"/>
          </w:tcPr>
          <w:p w14:paraId="57AAB0D3" w14:textId="77777777" w:rsidR="00EB5233" w:rsidRPr="00706DE2" w:rsidRDefault="00EB5233" w:rsidP="003028ED">
            <w:pPr>
              <w:pStyle w:val="Tabletext"/>
              <w:jc w:val="center"/>
              <w:rPr>
                <w:lang w:val="en-GB"/>
              </w:rPr>
            </w:pPr>
            <w:r w:rsidRPr="00706DE2">
              <w:rPr>
                <w:lang w:val="en-GB"/>
              </w:rPr>
              <w:t>Same as the existing area</w:t>
            </w:r>
          </w:p>
        </w:tc>
        <w:tc>
          <w:tcPr>
            <w:tcW w:w="607" w:type="pct"/>
            <w:vAlign w:val="center"/>
          </w:tcPr>
          <w:p w14:paraId="4A4E75D4" w14:textId="4284455D" w:rsidR="00EB5233" w:rsidRPr="00706DE2" w:rsidRDefault="00EB5233" w:rsidP="003028ED">
            <w:pPr>
              <w:pStyle w:val="Tabletext"/>
              <w:jc w:val="center"/>
              <w:rPr>
                <w:lang w:val="en-GB"/>
              </w:rPr>
            </w:pPr>
            <w:r w:rsidRPr="00706DE2">
              <w:rPr>
                <w:lang w:val="en-GB"/>
              </w:rPr>
              <w:t>Can be similar or different to the existing service </w:t>
            </w:r>
            <w:r w:rsidR="003028ED" w:rsidRPr="00706DE2">
              <w:rPr>
                <w:vertAlign w:val="superscript"/>
                <w:lang w:val="en-GB"/>
              </w:rPr>
              <w:t>(4)</w:t>
            </w:r>
          </w:p>
        </w:tc>
        <w:tc>
          <w:tcPr>
            <w:tcW w:w="552" w:type="pct"/>
            <w:vAlign w:val="center"/>
          </w:tcPr>
          <w:p w14:paraId="3F0B246D" w14:textId="0755CD7F" w:rsidR="00EB5233" w:rsidRPr="00706DE2" w:rsidRDefault="00EB5233" w:rsidP="003028ED">
            <w:pPr>
              <w:pStyle w:val="Tabletext"/>
              <w:jc w:val="center"/>
              <w:rPr>
                <w:lang w:val="en-GB"/>
              </w:rPr>
            </w:pPr>
            <w:r w:rsidRPr="00706DE2">
              <w:rPr>
                <w:lang w:val="en-GB"/>
              </w:rPr>
              <w:t>Can be similar or different to the existing service </w:t>
            </w:r>
            <w:r w:rsidR="00C83465" w:rsidRPr="00706DE2">
              <w:rPr>
                <w:vertAlign w:val="superscript"/>
                <w:lang w:val="en-GB"/>
              </w:rPr>
              <w:t>(</w:t>
            </w:r>
            <w:r w:rsidRPr="00706DE2">
              <w:rPr>
                <w:vertAlign w:val="superscript"/>
                <w:lang w:val="en-GB"/>
              </w:rPr>
              <w:t>4</w:t>
            </w:r>
            <w:r w:rsidR="00C83465" w:rsidRPr="00706DE2">
              <w:rPr>
                <w:vertAlign w:val="superscript"/>
                <w:lang w:val="en-GB"/>
              </w:rPr>
              <w:t>)</w:t>
            </w:r>
          </w:p>
        </w:tc>
        <w:tc>
          <w:tcPr>
            <w:tcW w:w="723" w:type="pct"/>
            <w:vAlign w:val="center"/>
          </w:tcPr>
          <w:p w14:paraId="29813E58" w14:textId="2992219C" w:rsidR="00EB5233" w:rsidRPr="00706DE2" w:rsidDel="002047B8" w:rsidRDefault="00EB5233" w:rsidP="003028ED">
            <w:pPr>
              <w:pStyle w:val="Tabletext"/>
              <w:jc w:val="center"/>
              <w:rPr>
                <w:lang w:val="en-GB"/>
              </w:rPr>
            </w:pPr>
            <w:r w:rsidRPr="00706DE2">
              <w:rPr>
                <w:lang w:val="en-GB"/>
              </w:rPr>
              <w:t>Can be similar or different to the existing service </w:t>
            </w:r>
            <w:r w:rsidR="008825BF" w:rsidRPr="00706DE2">
              <w:rPr>
                <w:vertAlign w:val="superscript"/>
                <w:lang w:val="en-GB"/>
              </w:rPr>
              <w:t>(4)</w:t>
            </w:r>
          </w:p>
        </w:tc>
        <w:tc>
          <w:tcPr>
            <w:tcW w:w="552" w:type="pct"/>
            <w:vAlign w:val="center"/>
          </w:tcPr>
          <w:p w14:paraId="5E417A27" w14:textId="691249AA" w:rsidR="00EB5233" w:rsidRPr="00706DE2" w:rsidRDefault="00EB5233" w:rsidP="003028ED">
            <w:pPr>
              <w:pStyle w:val="Tabletext"/>
              <w:jc w:val="center"/>
              <w:rPr>
                <w:lang w:val="en-GB"/>
              </w:rPr>
            </w:pPr>
            <w:r w:rsidRPr="00706DE2">
              <w:rPr>
                <w:lang w:val="en-GB"/>
              </w:rPr>
              <w:t>Can be similar or different to the existing service </w:t>
            </w:r>
            <w:r w:rsidR="008825BF" w:rsidRPr="00706DE2">
              <w:rPr>
                <w:vertAlign w:val="superscript"/>
                <w:lang w:val="en-GB"/>
              </w:rPr>
              <w:t>(4)</w:t>
            </w:r>
          </w:p>
        </w:tc>
        <w:tc>
          <w:tcPr>
            <w:tcW w:w="554" w:type="pct"/>
            <w:vAlign w:val="center"/>
          </w:tcPr>
          <w:p w14:paraId="10F80F40" w14:textId="6D323DE5" w:rsidR="00EB5233" w:rsidRPr="00706DE2" w:rsidRDefault="00EB5233" w:rsidP="003028ED">
            <w:pPr>
              <w:pStyle w:val="Tabletext"/>
              <w:jc w:val="center"/>
              <w:rPr>
                <w:lang w:val="en-GB"/>
              </w:rPr>
            </w:pPr>
            <w:r w:rsidRPr="00706DE2">
              <w:rPr>
                <w:lang w:val="en-GB"/>
              </w:rPr>
              <w:t>Can be similar or different to the existing service </w:t>
            </w:r>
            <w:r w:rsidR="008825BF" w:rsidRPr="00706DE2">
              <w:rPr>
                <w:vertAlign w:val="superscript"/>
                <w:lang w:val="en-GB"/>
              </w:rPr>
              <w:t>(4)</w:t>
            </w:r>
          </w:p>
        </w:tc>
      </w:tr>
      <w:tr w:rsidR="00EB5233" w:rsidRPr="006D0942" w14:paraId="0570FC95" w14:textId="77777777" w:rsidTr="004D246A">
        <w:trPr>
          <w:cantSplit/>
          <w:jc w:val="center"/>
        </w:trPr>
        <w:tc>
          <w:tcPr>
            <w:tcW w:w="690" w:type="pct"/>
            <w:vMerge/>
            <w:vAlign w:val="center"/>
          </w:tcPr>
          <w:p w14:paraId="6845380B" w14:textId="77777777" w:rsidR="00EB5233" w:rsidRPr="00706DE2" w:rsidRDefault="00EB5233" w:rsidP="003028ED">
            <w:pPr>
              <w:pStyle w:val="Tabletext"/>
              <w:jc w:val="center"/>
              <w:rPr>
                <w:b/>
                <w:bCs/>
                <w:lang w:val="en-GB"/>
              </w:rPr>
            </w:pPr>
          </w:p>
        </w:tc>
        <w:tc>
          <w:tcPr>
            <w:tcW w:w="851" w:type="pct"/>
            <w:vAlign w:val="center"/>
          </w:tcPr>
          <w:p w14:paraId="4283DE0E" w14:textId="77777777" w:rsidR="00EB5233" w:rsidRPr="009678BB" w:rsidRDefault="00EB5233" w:rsidP="003028ED">
            <w:pPr>
              <w:pStyle w:val="Tabletext"/>
              <w:rPr>
                <w:b/>
                <w:bCs/>
              </w:rPr>
            </w:pPr>
            <w:r w:rsidRPr="009678BB">
              <w:rPr>
                <w:b/>
                <w:bCs/>
              </w:rPr>
              <w:t>Transmission capacity</w:t>
            </w:r>
          </w:p>
        </w:tc>
        <w:tc>
          <w:tcPr>
            <w:tcW w:w="471" w:type="pct"/>
            <w:vAlign w:val="center"/>
          </w:tcPr>
          <w:p w14:paraId="57EA93AE" w14:textId="77777777" w:rsidR="00EB5233" w:rsidRPr="00706DE2" w:rsidRDefault="00EB5233" w:rsidP="003028ED">
            <w:pPr>
              <w:pStyle w:val="Tabletext"/>
              <w:jc w:val="center"/>
              <w:rPr>
                <w:lang w:val="en-GB"/>
              </w:rPr>
            </w:pPr>
            <w:r w:rsidRPr="00706DE2">
              <w:rPr>
                <w:lang w:val="en-GB"/>
              </w:rPr>
              <w:t>Lower than the existing capacity</w:t>
            </w:r>
          </w:p>
        </w:tc>
        <w:tc>
          <w:tcPr>
            <w:tcW w:w="607" w:type="pct"/>
            <w:vAlign w:val="center"/>
          </w:tcPr>
          <w:p w14:paraId="5D3056D2" w14:textId="6409EE18" w:rsidR="00EB5233" w:rsidRPr="00706DE2" w:rsidRDefault="00EB5233" w:rsidP="003028ED">
            <w:pPr>
              <w:pStyle w:val="Tabletext"/>
              <w:jc w:val="center"/>
              <w:rPr>
                <w:lang w:val="en-GB"/>
              </w:rPr>
            </w:pPr>
            <w:r w:rsidRPr="00706DE2">
              <w:rPr>
                <w:lang w:val="en-GB"/>
              </w:rPr>
              <w:t>Can be increased from the existing capacity </w:t>
            </w:r>
            <w:r w:rsidR="003028ED" w:rsidRPr="00706DE2">
              <w:rPr>
                <w:vertAlign w:val="superscript"/>
                <w:lang w:val="en-GB"/>
              </w:rPr>
              <w:t>(4)</w:t>
            </w:r>
          </w:p>
        </w:tc>
        <w:tc>
          <w:tcPr>
            <w:tcW w:w="552" w:type="pct"/>
            <w:vAlign w:val="center"/>
          </w:tcPr>
          <w:p w14:paraId="227FA39D" w14:textId="408193B2" w:rsidR="00EB5233" w:rsidRPr="00706DE2" w:rsidRDefault="00EB5233" w:rsidP="003028ED">
            <w:pPr>
              <w:pStyle w:val="Tabletext"/>
              <w:jc w:val="center"/>
              <w:rPr>
                <w:lang w:val="en-GB"/>
              </w:rPr>
            </w:pPr>
            <w:r w:rsidRPr="00706DE2">
              <w:rPr>
                <w:lang w:val="en-GB"/>
              </w:rPr>
              <w:t>Can be increased from the existing capacity </w:t>
            </w:r>
            <w:r w:rsidR="008825BF" w:rsidRPr="00706DE2">
              <w:rPr>
                <w:vertAlign w:val="superscript"/>
                <w:lang w:val="en-GB"/>
              </w:rPr>
              <w:t>(4)</w:t>
            </w:r>
            <w:r w:rsidRPr="00706DE2">
              <w:rPr>
                <w:lang w:val="en-GB"/>
              </w:rPr>
              <w:t>, higher than Method A2</w:t>
            </w:r>
          </w:p>
        </w:tc>
        <w:tc>
          <w:tcPr>
            <w:tcW w:w="723" w:type="pct"/>
            <w:vAlign w:val="center"/>
          </w:tcPr>
          <w:p w14:paraId="15B4720A" w14:textId="4D11885B" w:rsidR="00EB5233" w:rsidRPr="00706DE2" w:rsidRDefault="00EB5233" w:rsidP="003028ED">
            <w:pPr>
              <w:pStyle w:val="Tabletext"/>
              <w:jc w:val="center"/>
              <w:rPr>
                <w:lang w:val="en-GB"/>
              </w:rPr>
            </w:pPr>
            <w:r w:rsidRPr="00706DE2">
              <w:rPr>
                <w:lang w:val="en-GB"/>
              </w:rPr>
              <w:t>Can be increased from the existing capacity </w:t>
            </w:r>
            <w:r w:rsidR="008825BF" w:rsidRPr="00706DE2">
              <w:rPr>
                <w:vertAlign w:val="superscript"/>
                <w:lang w:val="en-GB"/>
              </w:rPr>
              <w:t>(4)</w:t>
            </w:r>
            <w:r w:rsidRPr="00706DE2">
              <w:rPr>
                <w:lang w:val="en-GB"/>
              </w:rPr>
              <w:t>, higher than Method A2</w:t>
            </w:r>
          </w:p>
        </w:tc>
        <w:tc>
          <w:tcPr>
            <w:tcW w:w="552" w:type="pct"/>
            <w:vAlign w:val="center"/>
          </w:tcPr>
          <w:p w14:paraId="46879F5B" w14:textId="6B2A972B" w:rsidR="00EB5233" w:rsidRPr="00706DE2" w:rsidRDefault="00EB5233" w:rsidP="003028ED">
            <w:pPr>
              <w:pStyle w:val="Tabletext"/>
              <w:jc w:val="center"/>
              <w:rPr>
                <w:lang w:val="en-GB"/>
              </w:rPr>
            </w:pPr>
            <w:r w:rsidRPr="00706DE2">
              <w:rPr>
                <w:lang w:val="en-GB"/>
              </w:rPr>
              <w:t>Can be increased over the existing capacity </w:t>
            </w:r>
            <w:r w:rsidR="008825BF" w:rsidRPr="00706DE2">
              <w:rPr>
                <w:vertAlign w:val="superscript"/>
                <w:lang w:val="en-GB"/>
              </w:rPr>
              <w:t>(4)</w:t>
            </w:r>
            <w:r w:rsidRPr="00706DE2">
              <w:rPr>
                <w:lang w:val="en-GB"/>
              </w:rPr>
              <w:t>, higher than Method A3</w:t>
            </w:r>
          </w:p>
        </w:tc>
        <w:tc>
          <w:tcPr>
            <w:tcW w:w="554" w:type="pct"/>
            <w:vAlign w:val="center"/>
          </w:tcPr>
          <w:p w14:paraId="5BF948F6" w14:textId="01A7106B" w:rsidR="00EB5233" w:rsidRPr="00706DE2" w:rsidRDefault="00EB5233" w:rsidP="003028ED">
            <w:pPr>
              <w:pStyle w:val="Tabletext"/>
              <w:jc w:val="center"/>
              <w:rPr>
                <w:lang w:val="en-GB"/>
              </w:rPr>
            </w:pPr>
            <w:r w:rsidRPr="00706DE2">
              <w:rPr>
                <w:lang w:val="en-GB"/>
              </w:rPr>
              <w:t>Can be increased over the existing capacity </w:t>
            </w:r>
            <w:r w:rsidR="008825BF" w:rsidRPr="00706DE2">
              <w:rPr>
                <w:vertAlign w:val="superscript"/>
                <w:lang w:val="en-GB"/>
              </w:rPr>
              <w:t>(4)</w:t>
            </w:r>
            <w:r w:rsidRPr="00706DE2">
              <w:rPr>
                <w:lang w:val="en-GB"/>
              </w:rPr>
              <w:t>, higher than or equal to Method B1</w:t>
            </w:r>
          </w:p>
        </w:tc>
      </w:tr>
      <w:tr w:rsidR="00EB5233" w:rsidRPr="006D0942" w14:paraId="0F5AE3EB" w14:textId="77777777" w:rsidTr="004D246A">
        <w:trPr>
          <w:cantSplit/>
          <w:jc w:val="center"/>
        </w:trPr>
        <w:tc>
          <w:tcPr>
            <w:tcW w:w="690" w:type="pct"/>
            <w:vMerge/>
            <w:tcBorders>
              <w:bottom w:val="single" w:sz="4" w:space="0" w:color="auto"/>
            </w:tcBorders>
            <w:vAlign w:val="center"/>
          </w:tcPr>
          <w:p w14:paraId="5A96933B" w14:textId="77777777" w:rsidR="00EB5233" w:rsidRPr="00706DE2" w:rsidRDefault="00EB5233" w:rsidP="003028ED">
            <w:pPr>
              <w:pStyle w:val="Tabletext"/>
              <w:jc w:val="center"/>
              <w:rPr>
                <w:b/>
                <w:bCs/>
                <w:lang w:val="en-GB"/>
              </w:rPr>
            </w:pPr>
          </w:p>
        </w:tc>
        <w:tc>
          <w:tcPr>
            <w:tcW w:w="851" w:type="pct"/>
            <w:tcBorders>
              <w:bottom w:val="single" w:sz="4" w:space="0" w:color="auto"/>
            </w:tcBorders>
            <w:vAlign w:val="center"/>
          </w:tcPr>
          <w:p w14:paraId="5D9B13A0" w14:textId="77777777" w:rsidR="00EB5233" w:rsidRPr="009678BB" w:rsidRDefault="00EB5233" w:rsidP="003028ED">
            <w:pPr>
              <w:pStyle w:val="Tabletext"/>
              <w:rPr>
                <w:b/>
                <w:bCs/>
              </w:rPr>
            </w:pPr>
            <w:r w:rsidRPr="009678BB">
              <w:rPr>
                <w:b/>
                <w:bCs/>
                <w:lang w:eastAsia="ja-JP"/>
              </w:rPr>
              <w:t>Video/audio</w:t>
            </w:r>
            <w:r w:rsidRPr="009678BB">
              <w:rPr>
                <w:b/>
                <w:bCs/>
              </w:rPr>
              <w:t xml:space="preserve"> service quality</w:t>
            </w:r>
          </w:p>
        </w:tc>
        <w:tc>
          <w:tcPr>
            <w:tcW w:w="471" w:type="pct"/>
            <w:tcBorders>
              <w:bottom w:val="single" w:sz="4" w:space="0" w:color="auto"/>
            </w:tcBorders>
            <w:vAlign w:val="center"/>
          </w:tcPr>
          <w:p w14:paraId="214CCF1F" w14:textId="77777777" w:rsidR="00EB5233" w:rsidRPr="00706DE2" w:rsidRDefault="00EB5233" w:rsidP="003028ED">
            <w:pPr>
              <w:pStyle w:val="Tabletext"/>
              <w:jc w:val="center"/>
              <w:rPr>
                <w:lang w:val="en-GB"/>
              </w:rPr>
            </w:pPr>
            <w:r w:rsidRPr="00706DE2">
              <w:rPr>
                <w:lang w:val="en-GB"/>
              </w:rPr>
              <w:t>Can be higher than the existing service</w:t>
            </w:r>
          </w:p>
        </w:tc>
        <w:tc>
          <w:tcPr>
            <w:tcW w:w="607" w:type="pct"/>
            <w:tcBorders>
              <w:bottom w:val="single" w:sz="4" w:space="0" w:color="auto"/>
            </w:tcBorders>
            <w:vAlign w:val="center"/>
          </w:tcPr>
          <w:p w14:paraId="1AB2A49E" w14:textId="77777777" w:rsidR="00EB5233" w:rsidRPr="00706DE2" w:rsidRDefault="00EB5233" w:rsidP="003028ED">
            <w:pPr>
              <w:pStyle w:val="Tabletext"/>
              <w:jc w:val="center"/>
              <w:rPr>
                <w:lang w:val="en-GB"/>
              </w:rPr>
            </w:pPr>
            <w:r w:rsidRPr="00706DE2">
              <w:rPr>
                <w:lang w:val="en-GB"/>
              </w:rPr>
              <w:t>Can be higher than the existing service, higher than Method A1</w:t>
            </w:r>
          </w:p>
        </w:tc>
        <w:tc>
          <w:tcPr>
            <w:tcW w:w="552" w:type="pct"/>
            <w:tcBorders>
              <w:bottom w:val="single" w:sz="4" w:space="0" w:color="auto"/>
            </w:tcBorders>
            <w:vAlign w:val="center"/>
          </w:tcPr>
          <w:p w14:paraId="5261F865" w14:textId="77777777" w:rsidR="00EB5233" w:rsidRPr="00706DE2" w:rsidRDefault="00EB5233" w:rsidP="003028ED">
            <w:pPr>
              <w:pStyle w:val="Tabletext"/>
              <w:jc w:val="center"/>
              <w:rPr>
                <w:lang w:val="en-GB"/>
              </w:rPr>
            </w:pPr>
            <w:r w:rsidRPr="00706DE2">
              <w:rPr>
                <w:lang w:val="en-GB"/>
              </w:rPr>
              <w:t>Can be higher than the existing service, higher than Method A2</w:t>
            </w:r>
          </w:p>
        </w:tc>
        <w:tc>
          <w:tcPr>
            <w:tcW w:w="723" w:type="pct"/>
            <w:tcBorders>
              <w:bottom w:val="single" w:sz="4" w:space="0" w:color="auto"/>
            </w:tcBorders>
            <w:vAlign w:val="center"/>
          </w:tcPr>
          <w:p w14:paraId="138320F9" w14:textId="77777777" w:rsidR="00EB5233" w:rsidRPr="00706DE2" w:rsidRDefault="00EB5233" w:rsidP="003028ED">
            <w:pPr>
              <w:pStyle w:val="Tabletext"/>
              <w:jc w:val="center"/>
              <w:rPr>
                <w:lang w:val="en-GB"/>
              </w:rPr>
            </w:pPr>
            <w:r w:rsidRPr="00706DE2">
              <w:rPr>
                <w:lang w:val="en-GB"/>
              </w:rPr>
              <w:t>Can be higher than the existing service, higher than Method A2</w:t>
            </w:r>
          </w:p>
        </w:tc>
        <w:tc>
          <w:tcPr>
            <w:tcW w:w="552" w:type="pct"/>
            <w:tcBorders>
              <w:bottom w:val="single" w:sz="4" w:space="0" w:color="auto"/>
            </w:tcBorders>
            <w:vAlign w:val="center"/>
          </w:tcPr>
          <w:p w14:paraId="2894A19D" w14:textId="77777777" w:rsidR="00EB5233" w:rsidRPr="00706DE2" w:rsidRDefault="00EB5233" w:rsidP="003028ED">
            <w:pPr>
              <w:pStyle w:val="Tabletext"/>
              <w:jc w:val="center"/>
              <w:rPr>
                <w:lang w:val="en-GB"/>
              </w:rPr>
            </w:pPr>
            <w:r w:rsidRPr="00706DE2">
              <w:rPr>
                <w:lang w:val="en-GB"/>
              </w:rPr>
              <w:t>Can be higher than the existing service, can be higher than Method A3</w:t>
            </w:r>
          </w:p>
        </w:tc>
        <w:tc>
          <w:tcPr>
            <w:tcW w:w="554" w:type="pct"/>
            <w:tcBorders>
              <w:bottom w:val="single" w:sz="4" w:space="0" w:color="auto"/>
            </w:tcBorders>
            <w:vAlign w:val="center"/>
          </w:tcPr>
          <w:p w14:paraId="6908BD81" w14:textId="77777777" w:rsidR="00EB5233" w:rsidRPr="00706DE2" w:rsidRDefault="00EB5233" w:rsidP="003028ED">
            <w:pPr>
              <w:pStyle w:val="Tabletext"/>
              <w:jc w:val="center"/>
              <w:rPr>
                <w:lang w:val="en-GB"/>
              </w:rPr>
            </w:pPr>
            <w:r w:rsidRPr="00706DE2">
              <w:rPr>
                <w:lang w:val="en-GB"/>
              </w:rPr>
              <w:t>Higher than the existing service, higher than or equal to Method B1</w:t>
            </w:r>
          </w:p>
        </w:tc>
      </w:tr>
      <w:tr w:rsidR="004D246A" w:rsidRPr="006D0942" w14:paraId="0CD4394E" w14:textId="77777777" w:rsidTr="004D246A">
        <w:trPr>
          <w:cantSplit/>
          <w:jc w:val="center"/>
        </w:trPr>
        <w:tc>
          <w:tcPr>
            <w:tcW w:w="5000" w:type="pct"/>
            <w:gridSpan w:val="8"/>
            <w:tcBorders>
              <w:left w:val="nil"/>
              <w:bottom w:val="nil"/>
              <w:right w:val="nil"/>
            </w:tcBorders>
            <w:vAlign w:val="center"/>
          </w:tcPr>
          <w:p w14:paraId="0A2B11AF" w14:textId="77777777" w:rsidR="004D246A" w:rsidRPr="0074019D" w:rsidRDefault="004D246A" w:rsidP="004D246A">
            <w:pPr>
              <w:keepNext/>
              <w:keepLines/>
              <w:rPr>
                <w:i/>
                <w:iCs/>
                <w:lang w:val="en-GB"/>
              </w:rPr>
            </w:pPr>
            <w:r w:rsidRPr="0074019D">
              <w:rPr>
                <w:i/>
                <w:iCs/>
                <w:lang w:val="en-GB"/>
              </w:rPr>
              <w:t>Notes to Table 1:</w:t>
            </w:r>
          </w:p>
          <w:p w14:paraId="31522F42" w14:textId="77777777" w:rsidR="004D246A" w:rsidRPr="00706DE2" w:rsidRDefault="004D246A" w:rsidP="004D246A">
            <w:pPr>
              <w:pStyle w:val="Tabletext"/>
              <w:keepNext/>
              <w:keepLines/>
              <w:ind w:left="284" w:hanging="284"/>
              <w:rPr>
                <w:lang w:val="en-GB"/>
              </w:rPr>
            </w:pPr>
            <w:r w:rsidRPr="00706DE2">
              <w:rPr>
                <w:vertAlign w:val="superscript"/>
                <w:lang w:val="en-GB"/>
              </w:rPr>
              <w:t>(1)</w:t>
            </w:r>
            <w:r w:rsidRPr="00706DE2">
              <w:rPr>
                <w:lang w:val="en-GB"/>
              </w:rPr>
              <w:tab/>
              <w:t>LDM may be more efficient than FDM and TDM</w:t>
            </w:r>
            <w:r w:rsidRPr="00706DE2">
              <w:rPr>
                <w:rFonts w:hint="eastAsia"/>
                <w:lang w:val="en-GB"/>
              </w:rPr>
              <w:t xml:space="preserve"> </w:t>
            </w:r>
            <w:r w:rsidRPr="00706DE2">
              <w:rPr>
                <w:lang w:val="en-GB"/>
              </w:rPr>
              <w:t xml:space="preserve">especially operating with a different required </w:t>
            </w:r>
            <w:r w:rsidRPr="00706DE2">
              <w:rPr>
                <w:i/>
                <w:iCs/>
                <w:lang w:val="en-GB"/>
              </w:rPr>
              <w:t>C/N</w:t>
            </w:r>
            <w:r w:rsidRPr="00706DE2">
              <w:rPr>
                <w:lang w:val="en-GB"/>
              </w:rPr>
              <w:t xml:space="preserve"> between upper layer and lower layer, but its use implies greater receiver complexity.</w:t>
            </w:r>
          </w:p>
          <w:p w14:paraId="38EBB1CC" w14:textId="77777777" w:rsidR="004D246A" w:rsidRPr="00706DE2" w:rsidRDefault="004D246A" w:rsidP="004D246A">
            <w:pPr>
              <w:pStyle w:val="Tabletext"/>
              <w:ind w:left="284" w:hanging="284"/>
              <w:rPr>
                <w:lang w:val="en-GB"/>
              </w:rPr>
            </w:pPr>
            <w:r w:rsidRPr="00706DE2">
              <w:rPr>
                <w:vertAlign w:val="superscript"/>
                <w:lang w:val="en-GB"/>
              </w:rPr>
              <w:t>(2)</w:t>
            </w:r>
            <w:r w:rsidRPr="00706DE2">
              <w:rPr>
                <w:lang w:val="en-GB"/>
              </w:rPr>
              <w:tab/>
              <w:t>SDM-MIMO may be more efficient than FDM and TDM, but it is not applicable to portable/mobile DTTB reception.</w:t>
            </w:r>
          </w:p>
          <w:p w14:paraId="4510A923" w14:textId="77777777" w:rsidR="004D246A" w:rsidRPr="00706DE2" w:rsidRDefault="004D246A" w:rsidP="004D246A">
            <w:pPr>
              <w:pStyle w:val="Tabletext"/>
              <w:ind w:left="284" w:hanging="284"/>
              <w:rPr>
                <w:lang w:val="en-GB"/>
              </w:rPr>
            </w:pPr>
            <w:r w:rsidRPr="00D147A8">
              <w:rPr>
                <w:vertAlign w:val="superscript"/>
                <w:lang w:val="en-GB"/>
              </w:rPr>
              <w:t>(3)</w:t>
            </w:r>
            <w:r w:rsidRPr="00D147A8">
              <w:rPr>
                <w:lang w:val="en-GB"/>
              </w:rPr>
              <w:tab/>
              <w:t xml:space="preserve">Owing to interference from the transmitted signal of the new service, the service area will be narrower than the existing area if the transmission parameters of the existing service remain unchanged; this can provide the same capacity and quality as the existing service. </w:t>
            </w:r>
            <w:r w:rsidRPr="00706DE2">
              <w:rPr>
                <w:lang w:val="en-GB"/>
              </w:rPr>
              <w:t>Alternatively, if the transmission parameters of the existing service are changed to retain the existing service area, the transmission capacity and quality will be degraded.</w:t>
            </w:r>
          </w:p>
          <w:p w14:paraId="0EE546A7" w14:textId="2B358F3D" w:rsidR="004D246A" w:rsidRPr="00706DE2" w:rsidRDefault="004D246A" w:rsidP="004D246A">
            <w:pPr>
              <w:pStyle w:val="Tabletext"/>
              <w:rPr>
                <w:lang w:val="en-GB"/>
              </w:rPr>
            </w:pPr>
            <w:r w:rsidRPr="00706DE2">
              <w:rPr>
                <w:vertAlign w:val="superscript"/>
                <w:lang w:val="en-GB"/>
              </w:rPr>
              <w:t>(4)</w:t>
            </w:r>
            <w:r w:rsidRPr="00706DE2">
              <w:rPr>
                <w:lang w:val="en-GB"/>
              </w:rPr>
              <w:tab/>
              <w:t>There is a trade-off between the service area and transmission capacity.</w:t>
            </w:r>
          </w:p>
        </w:tc>
      </w:tr>
    </w:tbl>
    <w:p w14:paraId="3BCA0D8A" w14:textId="1151590F" w:rsidR="003028ED" w:rsidRDefault="003028ED" w:rsidP="0074019D">
      <w:pPr>
        <w:pStyle w:val="Tablefin"/>
      </w:pPr>
    </w:p>
    <w:p w14:paraId="59B471BE" w14:textId="4A87DDAA" w:rsidR="00EB5233" w:rsidRPr="00706DE2" w:rsidRDefault="008825BF" w:rsidP="00EB5233">
      <w:pPr>
        <w:pStyle w:val="TableNo"/>
        <w:rPr>
          <w:lang w:val="en-GB" w:eastAsia="ja-JP"/>
        </w:rPr>
      </w:pPr>
      <w:r w:rsidRPr="00706DE2">
        <w:rPr>
          <w:lang w:val="en-GB"/>
        </w:rPr>
        <w:lastRenderedPageBreak/>
        <w:t xml:space="preserve">TABLE </w:t>
      </w:r>
      <w:r w:rsidR="00EB5233" w:rsidRPr="00706DE2">
        <w:rPr>
          <w:lang w:val="en-GB" w:eastAsia="ja-JP"/>
        </w:rPr>
        <w:t>2</w:t>
      </w:r>
    </w:p>
    <w:p w14:paraId="7A7C596A" w14:textId="77777777" w:rsidR="00EB5233" w:rsidRPr="00706DE2" w:rsidRDefault="00EB5233" w:rsidP="00EB5233">
      <w:pPr>
        <w:pStyle w:val="Tabletitle"/>
        <w:rPr>
          <w:lang w:val="en-GB"/>
        </w:rPr>
      </w:pPr>
      <w:r w:rsidRPr="00706DE2">
        <w:rPr>
          <w:lang w:val="en-GB" w:eastAsia="ja-JP"/>
        </w:rPr>
        <w:t xml:space="preserve">Comparison of features of the </w:t>
      </w:r>
      <w:r w:rsidRPr="00706DE2">
        <w:rPr>
          <w:bCs/>
          <w:lang w:val="en-GB"/>
        </w:rPr>
        <w:t>new service operation after complete transition</w:t>
      </w:r>
    </w:p>
    <w:tbl>
      <w:tblPr>
        <w:tblStyle w:val="TableGrid"/>
        <w:tblW w:w="5000" w:type="pct"/>
        <w:jc w:val="center"/>
        <w:tblCellMar>
          <w:left w:w="28" w:type="dxa"/>
          <w:right w:w="28" w:type="dxa"/>
        </w:tblCellMar>
        <w:tblLook w:val="04A0" w:firstRow="1" w:lastRow="0" w:firstColumn="1" w:lastColumn="0" w:noHBand="0" w:noVBand="1"/>
      </w:tblPr>
      <w:tblGrid>
        <w:gridCol w:w="3826"/>
        <w:gridCol w:w="1741"/>
        <w:gridCol w:w="1741"/>
        <w:gridCol w:w="1741"/>
        <w:gridCol w:w="1741"/>
        <w:gridCol w:w="1741"/>
        <w:gridCol w:w="1741"/>
      </w:tblGrid>
      <w:tr w:rsidR="00EB5233" w:rsidRPr="0074019D" w14:paraId="4EC553CC" w14:textId="77777777" w:rsidTr="00C047A7">
        <w:trPr>
          <w:cantSplit/>
          <w:tblHeader/>
          <w:jc w:val="center"/>
        </w:trPr>
        <w:tc>
          <w:tcPr>
            <w:tcW w:w="1340" w:type="pct"/>
            <w:vAlign w:val="center"/>
          </w:tcPr>
          <w:p w14:paraId="0F7F3E15" w14:textId="77777777" w:rsidR="00EB5233" w:rsidRPr="0074019D" w:rsidRDefault="00EB5233" w:rsidP="003028ED">
            <w:pPr>
              <w:pStyle w:val="Tablehead"/>
              <w:rPr>
                <w:sz w:val="21"/>
                <w:szCs w:val="21"/>
              </w:rPr>
            </w:pPr>
            <w:r w:rsidRPr="0074019D">
              <w:rPr>
                <w:sz w:val="21"/>
                <w:szCs w:val="21"/>
              </w:rPr>
              <w:t>Method</w:t>
            </w:r>
          </w:p>
        </w:tc>
        <w:tc>
          <w:tcPr>
            <w:tcW w:w="610" w:type="pct"/>
            <w:vAlign w:val="center"/>
          </w:tcPr>
          <w:p w14:paraId="1F7D67CC" w14:textId="77777777" w:rsidR="00EB5233" w:rsidRPr="0074019D" w:rsidRDefault="00EB5233" w:rsidP="003028ED">
            <w:pPr>
              <w:pStyle w:val="Tablehead"/>
              <w:rPr>
                <w:sz w:val="21"/>
                <w:szCs w:val="21"/>
              </w:rPr>
            </w:pPr>
            <w:r w:rsidRPr="0074019D">
              <w:rPr>
                <w:sz w:val="21"/>
                <w:szCs w:val="21"/>
              </w:rPr>
              <w:t>A1</w:t>
            </w:r>
          </w:p>
        </w:tc>
        <w:tc>
          <w:tcPr>
            <w:tcW w:w="610" w:type="pct"/>
            <w:vAlign w:val="center"/>
          </w:tcPr>
          <w:p w14:paraId="2903D17B" w14:textId="77777777" w:rsidR="00EB5233" w:rsidRPr="0074019D" w:rsidRDefault="00EB5233" w:rsidP="003028ED">
            <w:pPr>
              <w:pStyle w:val="Tablehead"/>
              <w:rPr>
                <w:sz w:val="21"/>
                <w:szCs w:val="21"/>
              </w:rPr>
            </w:pPr>
            <w:r w:rsidRPr="0074019D">
              <w:rPr>
                <w:sz w:val="21"/>
                <w:szCs w:val="21"/>
              </w:rPr>
              <w:t>A2</w:t>
            </w:r>
          </w:p>
        </w:tc>
        <w:tc>
          <w:tcPr>
            <w:tcW w:w="610" w:type="pct"/>
            <w:vAlign w:val="center"/>
          </w:tcPr>
          <w:p w14:paraId="12882365" w14:textId="77777777" w:rsidR="00EB5233" w:rsidRPr="0074019D" w:rsidRDefault="00EB5233" w:rsidP="003028ED">
            <w:pPr>
              <w:pStyle w:val="Tablehead"/>
              <w:rPr>
                <w:sz w:val="21"/>
                <w:szCs w:val="21"/>
              </w:rPr>
            </w:pPr>
            <w:r w:rsidRPr="0074019D">
              <w:rPr>
                <w:sz w:val="21"/>
                <w:szCs w:val="21"/>
              </w:rPr>
              <w:t>A3</w:t>
            </w:r>
          </w:p>
        </w:tc>
        <w:tc>
          <w:tcPr>
            <w:tcW w:w="610" w:type="pct"/>
          </w:tcPr>
          <w:p w14:paraId="0BC286A7" w14:textId="77777777" w:rsidR="00EB5233" w:rsidRPr="0074019D" w:rsidDel="00207A26" w:rsidRDefault="00EB5233" w:rsidP="003028ED">
            <w:pPr>
              <w:pStyle w:val="Tablehead"/>
              <w:rPr>
                <w:sz w:val="21"/>
                <w:szCs w:val="21"/>
                <w:lang w:eastAsia="ja-JP"/>
              </w:rPr>
            </w:pPr>
            <w:r w:rsidRPr="0074019D">
              <w:rPr>
                <w:sz w:val="21"/>
                <w:szCs w:val="21"/>
                <w:lang w:eastAsia="ja-JP"/>
              </w:rPr>
              <w:t>A4</w:t>
            </w:r>
          </w:p>
        </w:tc>
        <w:tc>
          <w:tcPr>
            <w:tcW w:w="610" w:type="pct"/>
            <w:vAlign w:val="center"/>
          </w:tcPr>
          <w:p w14:paraId="40B4678B" w14:textId="77777777" w:rsidR="00EB5233" w:rsidRPr="0074019D" w:rsidRDefault="00EB5233" w:rsidP="003028ED">
            <w:pPr>
              <w:pStyle w:val="Tablehead"/>
              <w:rPr>
                <w:sz w:val="21"/>
                <w:szCs w:val="21"/>
              </w:rPr>
            </w:pPr>
            <w:r w:rsidRPr="0074019D">
              <w:rPr>
                <w:sz w:val="21"/>
                <w:szCs w:val="21"/>
              </w:rPr>
              <w:t>B1</w:t>
            </w:r>
          </w:p>
        </w:tc>
        <w:tc>
          <w:tcPr>
            <w:tcW w:w="610" w:type="pct"/>
            <w:vAlign w:val="center"/>
          </w:tcPr>
          <w:p w14:paraId="63F52625" w14:textId="77777777" w:rsidR="00EB5233" w:rsidRPr="0074019D" w:rsidDel="00207A26" w:rsidRDefault="00EB5233" w:rsidP="003028ED">
            <w:pPr>
              <w:pStyle w:val="Tablehead"/>
              <w:rPr>
                <w:sz w:val="21"/>
                <w:szCs w:val="21"/>
              </w:rPr>
            </w:pPr>
            <w:r w:rsidRPr="0074019D">
              <w:rPr>
                <w:sz w:val="21"/>
                <w:szCs w:val="21"/>
              </w:rPr>
              <w:t>B2</w:t>
            </w:r>
          </w:p>
        </w:tc>
      </w:tr>
      <w:tr w:rsidR="00EB5233" w:rsidRPr="006D0942" w14:paraId="7F553459" w14:textId="77777777" w:rsidTr="00C047A7">
        <w:trPr>
          <w:cantSplit/>
          <w:jc w:val="center"/>
        </w:trPr>
        <w:tc>
          <w:tcPr>
            <w:tcW w:w="1340" w:type="pct"/>
            <w:tcBorders>
              <w:bottom w:val="single" w:sz="4" w:space="0" w:color="auto"/>
            </w:tcBorders>
            <w:vAlign w:val="center"/>
          </w:tcPr>
          <w:p w14:paraId="032CAAB4" w14:textId="77777777" w:rsidR="00EB5233" w:rsidRPr="0074019D" w:rsidRDefault="00EB5233" w:rsidP="003028ED">
            <w:pPr>
              <w:pStyle w:val="Tabletext"/>
              <w:keepNext/>
              <w:rPr>
                <w:b/>
                <w:bCs/>
                <w:sz w:val="21"/>
                <w:szCs w:val="21"/>
              </w:rPr>
            </w:pPr>
            <w:r w:rsidRPr="0074019D">
              <w:rPr>
                <w:b/>
                <w:bCs/>
                <w:sz w:val="21"/>
                <w:szCs w:val="21"/>
              </w:rPr>
              <w:t>Transmission scheme</w:t>
            </w:r>
          </w:p>
        </w:tc>
        <w:tc>
          <w:tcPr>
            <w:tcW w:w="610" w:type="pct"/>
            <w:tcBorders>
              <w:bottom w:val="single" w:sz="4" w:space="0" w:color="auto"/>
            </w:tcBorders>
            <w:vAlign w:val="center"/>
          </w:tcPr>
          <w:p w14:paraId="639D7CF3" w14:textId="77777777" w:rsidR="00EB5233" w:rsidRPr="0074019D" w:rsidRDefault="00EB5233" w:rsidP="003028ED">
            <w:pPr>
              <w:pStyle w:val="Tabletext"/>
              <w:keepNext/>
              <w:jc w:val="center"/>
              <w:rPr>
                <w:sz w:val="21"/>
                <w:szCs w:val="21"/>
                <w:lang w:val="en-GB" w:eastAsia="ja-JP"/>
              </w:rPr>
            </w:pPr>
            <w:r w:rsidRPr="0074019D">
              <w:rPr>
                <w:sz w:val="21"/>
                <w:szCs w:val="21"/>
                <w:lang w:val="en-GB" w:eastAsia="ja-JP"/>
              </w:rPr>
              <w:t>Same as the existing service</w:t>
            </w:r>
          </w:p>
        </w:tc>
        <w:tc>
          <w:tcPr>
            <w:tcW w:w="610" w:type="pct"/>
            <w:tcBorders>
              <w:bottom w:val="single" w:sz="4" w:space="0" w:color="auto"/>
            </w:tcBorders>
            <w:vAlign w:val="center"/>
          </w:tcPr>
          <w:p w14:paraId="2BCF7403" w14:textId="77777777" w:rsidR="00EB5233" w:rsidRPr="0074019D" w:rsidRDefault="00EB5233" w:rsidP="003028ED">
            <w:pPr>
              <w:pStyle w:val="Tabletext"/>
              <w:keepNext/>
              <w:jc w:val="center"/>
              <w:rPr>
                <w:sz w:val="21"/>
                <w:szCs w:val="21"/>
                <w:lang w:val="en-GB" w:eastAsia="ja-JP"/>
              </w:rPr>
            </w:pPr>
            <w:r w:rsidRPr="0074019D">
              <w:rPr>
                <w:sz w:val="21"/>
                <w:szCs w:val="21"/>
                <w:lang w:val="en-GB" w:eastAsia="ja-JP"/>
              </w:rPr>
              <w:t>Able to use a higher-efficiency transmission technology</w:t>
            </w:r>
          </w:p>
        </w:tc>
        <w:tc>
          <w:tcPr>
            <w:tcW w:w="2440" w:type="pct"/>
            <w:gridSpan w:val="4"/>
            <w:tcBorders>
              <w:bottom w:val="single" w:sz="4" w:space="0" w:color="auto"/>
            </w:tcBorders>
            <w:vAlign w:val="center"/>
          </w:tcPr>
          <w:p w14:paraId="50A259A0" w14:textId="77777777" w:rsidR="00EB5233" w:rsidRPr="0074019D" w:rsidRDefault="00EB5233" w:rsidP="003028ED">
            <w:pPr>
              <w:pStyle w:val="Tabletext"/>
              <w:keepNext/>
              <w:jc w:val="center"/>
              <w:rPr>
                <w:sz w:val="21"/>
                <w:szCs w:val="21"/>
                <w:lang w:val="en-GB"/>
              </w:rPr>
            </w:pPr>
            <w:r w:rsidRPr="0074019D">
              <w:rPr>
                <w:sz w:val="21"/>
                <w:szCs w:val="21"/>
                <w:lang w:val="en-GB" w:eastAsia="ja-JP"/>
              </w:rPr>
              <w:t>Able to use a higher-efficiency transmission technology, bandwidth can also be extended</w:t>
            </w:r>
          </w:p>
        </w:tc>
      </w:tr>
      <w:tr w:rsidR="00EB5233" w:rsidRPr="006D0942" w14:paraId="27C25EFE" w14:textId="77777777" w:rsidTr="00C047A7">
        <w:trPr>
          <w:cantSplit/>
          <w:jc w:val="center"/>
        </w:trPr>
        <w:tc>
          <w:tcPr>
            <w:tcW w:w="1340" w:type="pct"/>
            <w:tcBorders>
              <w:bottom w:val="single" w:sz="4" w:space="0" w:color="auto"/>
            </w:tcBorders>
            <w:vAlign w:val="center"/>
          </w:tcPr>
          <w:p w14:paraId="02C649C0" w14:textId="77777777" w:rsidR="00EB5233" w:rsidRPr="0074019D" w:rsidRDefault="00EB5233" w:rsidP="003028ED">
            <w:pPr>
              <w:pStyle w:val="Tabletext"/>
              <w:keepNext/>
              <w:rPr>
                <w:b/>
                <w:bCs/>
                <w:sz w:val="21"/>
                <w:szCs w:val="21"/>
                <w:lang w:val="en-GB" w:eastAsia="ja-JP"/>
              </w:rPr>
            </w:pPr>
            <w:r w:rsidRPr="0074019D">
              <w:rPr>
                <w:b/>
                <w:bCs/>
                <w:sz w:val="21"/>
                <w:szCs w:val="21"/>
                <w:lang w:val="en-GB"/>
              </w:rPr>
              <w:t>Video</w:t>
            </w:r>
            <w:r w:rsidRPr="0074019D">
              <w:rPr>
                <w:b/>
                <w:bCs/>
                <w:sz w:val="21"/>
                <w:szCs w:val="21"/>
                <w:lang w:val="en-GB" w:eastAsia="ja-JP"/>
              </w:rPr>
              <w:t>/audio source</w:t>
            </w:r>
            <w:r w:rsidRPr="0074019D">
              <w:rPr>
                <w:b/>
                <w:bCs/>
                <w:sz w:val="21"/>
                <w:szCs w:val="21"/>
                <w:lang w:val="en-GB"/>
              </w:rPr>
              <w:t xml:space="preserve"> coding scheme</w:t>
            </w:r>
          </w:p>
        </w:tc>
        <w:tc>
          <w:tcPr>
            <w:tcW w:w="3660" w:type="pct"/>
            <w:gridSpan w:val="6"/>
            <w:tcBorders>
              <w:bottom w:val="single" w:sz="4" w:space="0" w:color="auto"/>
            </w:tcBorders>
          </w:tcPr>
          <w:p w14:paraId="0C07F157" w14:textId="77777777" w:rsidR="00EB5233" w:rsidRPr="0074019D" w:rsidRDefault="00EB5233" w:rsidP="003028ED">
            <w:pPr>
              <w:pStyle w:val="Tabletext"/>
              <w:keepNext/>
              <w:jc w:val="center"/>
              <w:rPr>
                <w:sz w:val="21"/>
                <w:szCs w:val="21"/>
                <w:lang w:val="en-GB"/>
              </w:rPr>
            </w:pPr>
            <w:r w:rsidRPr="0074019D">
              <w:rPr>
                <w:sz w:val="21"/>
                <w:szCs w:val="21"/>
                <w:lang w:val="en-GB"/>
              </w:rPr>
              <w:t>Able to use a higher-efficiency source coding technology</w:t>
            </w:r>
          </w:p>
        </w:tc>
      </w:tr>
      <w:tr w:rsidR="00EB5233" w:rsidRPr="0074019D" w14:paraId="496F395A" w14:textId="77777777" w:rsidTr="00C047A7">
        <w:trPr>
          <w:cantSplit/>
          <w:jc w:val="center"/>
        </w:trPr>
        <w:tc>
          <w:tcPr>
            <w:tcW w:w="1340" w:type="pct"/>
            <w:tcBorders>
              <w:bottom w:val="single" w:sz="4" w:space="0" w:color="auto"/>
            </w:tcBorders>
            <w:vAlign w:val="center"/>
          </w:tcPr>
          <w:p w14:paraId="66C2EC36" w14:textId="77777777" w:rsidR="00EB5233" w:rsidRPr="0074019D" w:rsidRDefault="00EB5233" w:rsidP="003028ED">
            <w:pPr>
              <w:pStyle w:val="Tabletext"/>
              <w:keepNext/>
              <w:rPr>
                <w:b/>
                <w:bCs/>
                <w:sz w:val="21"/>
                <w:szCs w:val="21"/>
                <w:lang w:eastAsia="ja-JP"/>
              </w:rPr>
            </w:pPr>
            <w:r w:rsidRPr="0074019D">
              <w:rPr>
                <w:b/>
                <w:bCs/>
                <w:sz w:val="21"/>
                <w:szCs w:val="21"/>
                <w:lang w:eastAsia="ja-JP"/>
              </w:rPr>
              <w:t>SISO/MIMO</w:t>
            </w:r>
          </w:p>
        </w:tc>
        <w:tc>
          <w:tcPr>
            <w:tcW w:w="610" w:type="pct"/>
            <w:tcBorders>
              <w:bottom w:val="single" w:sz="4" w:space="0" w:color="auto"/>
            </w:tcBorders>
            <w:vAlign w:val="center"/>
          </w:tcPr>
          <w:p w14:paraId="5EECBC2E" w14:textId="77777777" w:rsidR="00EB5233" w:rsidRPr="0074019D" w:rsidRDefault="00EB5233" w:rsidP="003028ED">
            <w:pPr>
              <w:pStyle w:val="Tabletext"/>
              <w:keepNext/>
              <w:jc w:val="center"/>
              <w:rPr>
                <w:sz w:val="21"/>
                <w:szCs w:val="21"/>
                <w:lang w:eastAsia="ja-JP"/>
              </w:rPr>
            </w:pPr>
            <w:r w:rsidRPr="0074019D">
              <w:rPr>
                <w:sz w:val="21"/>
                <w:szCs w:val="21"/>
                <w:lang w:eastAsia="ja-JP"/>
              </w:rPr>
              <w:t>SISO</w:t>
            </w:r>
          </w:p>
        </w:tc>
        <w:tc>
          <w:tcPr>
            <w:tcW w:w="610" w:type="pct"/>
            <w:tcBorders>
              <w:bottom w:val="single" w:sz="4" w:space="0" w:color="auto"/>
            </w:tcBorders>
            <w:vAlign w:val="center"/>
          </w:tcPr>
          <w:p w14:paraId="3AFC09BA" w14:textId="77777777" w:rsidR="00EB5233" w:rsidRPr="0074019D" w:rsidRDefault="00EB5233" w:rsidP="003028ED">
            <w:pPr>
              <w:pStyle w:val="Tabletext"/>
              <w:keepNext/>
              <w:jc w:val="center"/>
              <w:rPr>
                <w:sz w:val="21"/>
                <w:szCs w:val="21"/>
                <w:lang w:eastAsia="ja-JP"/>
              </w:rPr>
            </w:pPr>
            <w:r w:rsidRPr="0074019D">
              <w:rPr>
                <w:sz w:val="21"/>
                <w:szCs w:val="21"/>
                <w:lang w:eastAsia="ja-JP"/>
              </w:rPr>
              <w:t>SISO</w:t>
            </w:r>
          </w:p>
        </w:tc>
        <w:tc>
          <w:tcPr>
            <w:tcW w:w="610" w:type="pct"/>
            <w:tcBorders>
              <w:bottom w:val="single" w:sz="4" w:space="0" w:color="auto"/>
            </w:tcBorders>
            <w:vAlign w:val="center"/>
          </w:tcPr>
          <w:p w14:paraId="720DF650" w14:textId="77777777" w:rsidR="00EB5233" w:rsidRPr="0074019D" w:rsidRDefault="00EB5233" w:rsidP="003028ED">
            <w:pPr>
              <w:pStyle w:val="Tabletext"/>
              <w:keepNext/>
              <w:jc w:val="center"/>
              <w:rPr>
                <w:sz w:val="21"/>
                <w:szCs w:val="21"/>
                <w:lang w:eastAsia="ja-JP"/>
              </w:rPr>
            </w:pPr>
            <w:r w:rsidRPr="0074019D">
              <w:rPr>
                <w:sz w:val="21"/>
                <w:szCs w:val="21"/>
                <w:lang w:eastAsia="ja-JP"/>
              </w:rPr>
              <w:t>SISO</w:t>
            </w:r>
          </w:p>
        </w:tc>
        <w:tc>
          <w:tcPr>
            <w:tcW w:w="610" w:type="pct"/>
            <w:tcBorders>
              <w:bottom w:val="single" w:sz="4" w:space="0" w:color="auto"/>
            </w:tcBorders>
            <w:vAlign w:val="center"/>
          </w:tcPr>
          <w:p w14:paraId="1CAF61C9" w14:textId="77777777" w:rsidR="00EB5233" w:rsidRPr="0074019D" w:rsidRDefault="00EB5233" w:rsidP="003028ED">
            <w:pPr>
              <w:pStyle w:val="Tabletext"/>
              <w:keepNext/>
              <w:jc w:val="center"/>
              <w:rPr>
                <w:sz w:val="21"/>
                <w:szCs w:val="21"/>
                <w:lang w:eastAsia="ja-JP"/>
              </w:rPr>
            </w:pPr>
            <w:r w:rsidRPr="0074019D">
              <w:rPr>
                <w:sz w:val="21"/>
                <w:szCs w:val="21"/>
                <w:lang w:eastAsia="ja-JP"/>
              </w:rPr>
              <w:t>SISO</w:t>
            </w:r>
          </w:p>
        </w:tc>
        <w:tc>
          <w:tcPr>
            <w:tcW w:w="610" w:type="pct"/>
            <w:tcBorders>
              <w:bottom w:val="single" w:sz="4" w:space="0" w:color="auto"/>
            </w:tcBorders>
            <w:vAlign w:val="center"/>
          </w:tcPr>
          <w:p w14:paraId="0F472647" w14:textId="77777777" w:rsidR="00EB5233" w:rsidRPr="0074019D" w:rsidRDefault="00EB5233" w:rsidP="003028ED">
            <w:pPr>
              <w:pStyle w:val="Tabletext"/>
              <w:keepNext/>
              <w:jc w:val="center"/>
              <w:rPr>
                <w:sz w:val="21"/>
                <w:szCs w:val="21"/>
                <w:lang w:eastAsia="ja-JP"/>
              </w:rPr>
            </w:pPr>
            <w:r w:rsidRPr="0074019D">
              <w:rPr>
                <w:sz w:val="21"/>
                <w:szCs w:val="21"/>
                <w:lang w:eastAsia="ja-JP"/>
              </w:rPr>
              <w:t>SISO or MIMO</w:t>
            </w:r>
          </w:p>
        </w:tc>
        <w:tc>
          <w:tcPr>
            <w:tcW w:w="610" w:type="pct"/>
            <w:tcBorders>
              <w:bottom w:val="single" w:sz="4" w:space="0" w:color="auto"/>
            </w:tcBorders>
            <w:vAlign w:val="center"/>
          </w:tcPr>
          <w:p w14:paraId="3794257F" w14:textId="77777777" w:rsidR="00EB5233" w:rsidRPr="0074019D" w:rsidRDefault="00EB5233" w:rsidP="003028ED">
            <w:pPr>
              <w:pStyle w:val="Tabletext"/>
              <w:keepNext/>
              <w:jc w:val="center"/>
              <w:rPr>
                <w:sz w:val="21"/>
                <w:szCs w:val="21"/>
                <w:lang w:eastAsia="ja-JP"/>
              </w:rPr>
            </w:pPr>
            <w:r w:rsidRPr="0074019D">
              <w:rPr>
                <w:sz w:val="21"/>
                <w:szCs w:val="21"/>
                <w:lang w:eastAsia="ja-JP"/>
              </w:rPr>
              <w:t>SISO or MIMO</w:t>
            </w:r>
          </w:p>
        </w:tc>
      </w:tr>
      <w:tr w:rsidR="00EB5233" w:rsidRPr="006D0942" w14:paraId="212C3500" w14:textId="77777777" w:rsidTr="00C047A7">
        <w:trPr>
          <w:cantSplit/>
          <w:jc w:val="center"/>
        </w:trPr>
        <w:tc>
          <w:tcPr>
            <w:tcW w:w="1340" w:type="pct"/>
            <w:tcBorders>
              <w:bottom w:val="single" w:sz="4" w:space="0" w:color="auto"/>
            </w:tcBorders>
            <w:vAlign w:val="center"/>
          </w:tcPr>
          <w:p w14:paraId="4AF7FEB9" w14:textId="77777777" w:rsidR="00EB5233" w:rsidRPr="0074019D" w:rsidRDefault="00EB5233" w:rsidP="003028ED">
            <w:pPr>
              <w:pStyle w:val="Tabletext"/>
              <w:keepNext/>
              <w:rPr>
                <w:b/>
                <w:bCs/>
                <w:sz w:val="21"/>
                <w:szCs w:val="21"/>
              </w:rPr>
            </w:pPr>
            <w:r w:rsidRPr="0074019D">
              <w:rPr>
                <w:b/>
                <w:bCs/>
                <w:sz w:val="21"/>
                <w:szCs w:val="21"/>
              </w:rPr>
              <w:t>Service area</w:t>
            </w:r>
          </w:p>
        </w:tc>
        <w:tc>
          <w:tcPr>
            <w:tcW w:w="610" w:type="pct"/>
            <w:tcBorders>
              <w:bottom w:val="single" w:sz="4" w:space="0" w:color="auto"/>
            </w:tcBorders>
            <w:vAlign w:val="center"/>
          </w:tcPr>
          <w:p w14:paraId="26F3CE8F" w14:textId="77777777" w:rsidR="00EB5233" w:rsidRPr="0074019D" w:rsidRDefault="00EB5233" w:rsidP="003028ED">
            <w:pPr>
              <w:pStyle w:val="Tabletext"/>
              <w:keepNext/>
              <w:jc w:val="center"/>
              <w:rPr>
                <w:sz w:val="21"/>
                <w:szCs w:val="21"/>
                <w:lang w:val="en-GB"/>
              </w:rPr>
            </w:pPr>
            <w:r w:rsidRPr="0074019D">
              <w:rPr>
                <w:sz w:val="21"/>
                <w:szCs w:val="21"/>
                <w:lang w:val="en-GB"/>
              </w:rPr>
              <w:t>Same as the existing area</w:t>
            </w:r>
          </w:p>
        </w:tc>
        <w:tc>
          <w:tcPr>
            <w:tcW w:w="610" w:type="pct"/>
            <w:tcBorders>
              <w:bottom w:val="single" w:sz="4" w:space="0" w:color="auto"/>
            </w:tcBorders>
            <w:vAlign w:val="center"/>
          </w:tcPr>
          <w:p w14:paraId="72480522" w14:textId="5C41AA2E" w:rsidR="00EB5233" w:rsidRPr="0074019D" w:rsidRDefault="00EB5233" w:rsidP="003028ED">
            <w:pPr>
              <w:pStyle w:val="Tabletext"/>
              <w:keepNext/>
              <w:jc w:val="center"/>
              <w:rPr>
                <w:sz w:val="21"/>
                <w:szCs w:val="21"/>
                <w:lang w:val="en-GB"/>
              </w:rPr>
            </w:pPr>
            <w:r w:rsidRPr="0074019D">
              <w:rPr>
                <w:sz w:val="21"/>
                <w:szCs w:val="21"/>
                <w:lang w:val="en-GB"/>
              </w:rPr>
              <w:t>Can be similar or different to the existing service</w:t>
            </w:r>
            <w:r w:rsidR="008825BF" w:rsidRPr="0074019D">
              <w:rPr>
                <w:sz w:val="21"/>
                <w:szCs w:val="21"/>
                <w:lang w:val="en-GB"/>
              </w:rPr>
              <w:t xml:space="preserve"> </w:t>
            </w:r>
            <w:r w:rsidR="008825BF" w:rsidRPr="0074019D">
              <w:rPr>
                <w:sz w:val="21"/>
                <w:szCs w:val="21"/>
                <w:vertAlign w:val="superscript"/>
                <w:lang w:val="en-GB"/>
              </w:rPr>
              <w:t>(1)</w:t>
            </w:r>
          </w:p>
        </w:tc>
        <w:tc>
          <w:tcPr>
            <w:tcW w:w="610" w:type="pct"/>
            <w:tcBorders>
              <w:bottom w:val="single" w:sz="4" w:space="0" w:color="auto"/>
            </w:tcBorders>
            <w:vAlign w:val="center"/>
          </w:tcPr>
          <w:p w14:paraId="4FF9EA9A" w14:textId="15E0B34B" w:rsidR="00EB5233" w:rsidRPr="0074019D" w:rsidRDefault="00EB5233" w:rsidP="003028ED">
            <w:pPr>
              <w:pStyle w:val="Tabletext"/>
              <w:keepNext/>
              <w:jc w:val="center"/>
              <w:rPr>
                <w:sz w:val="21"/>
                <w:szCs w:val="21"/>
                <w:lang w:val="en-GB"/>
              </w:rPr>
            </w:pPr>
            <w:r w:rsidRPr="0074019D">
              <w:rPr>
                <w:sz w:val="21"/>
                <w:szCs w:val="21"/>
                <w:lang w:val="en-GB"/>
              </w:rPr>
              <w:t>Can be similar or different to the existing service </w:t>
            </w:r>
            <w:r w:rsidR="008825BF" w:rsidRPr="0074019D">
              <w:rPr>
                <w:sz w:val="21"/>
                <w:szCs w:val="21"/>
                <w:vertAlign w:val="superscript"/>
                <w:lang w:val="en-GB"/>
              </w:rPr>
              <w:t>(1)</w:t>
            </w:r>
          </w:p>
        </w:tc>
        <w:tc>
          <w:tcPr>
            <w:tcW w:w="610" w:type="pct"/>
            <w:tcBorders>
              <w:bottom w:val="single" w:sz="4" w:space="0" w:color="auto"/>
            </w:tcBorders>
            <w:vAlign w:val="center"/>
          </w:tcPr>
          <w:p w14:paraId="41A9FC86" w14:textId="0790FBFA" w:rsidR="00EB5233" w:rsidRPr="0074019D" w:rsidRDefault="00EB5233" w:rsidP="003028ED">
            <w:pPr>
              <w:pStyle w:val="Tabletext"/>
              <w:keepNext/>
              <w:jc w:val="center"/>
              <w:rPr>
                <w:sz w:val="21"/>
                <w:szCs w:val="21"/>
                <w:lang w:val="en-GB"/>
              </w:rPr>
            </w:pPr>
            <w:r w:rsidRPr="0074019D">
              <w:rPr>
                <w:sz w:val="21"/>
                <w:szCs w:val="21"/>
                <w:lang w:val="en-GB"/>
              </w:rPr>
              <w:t>Can be similar or different to the existing service </w:t>
            </w:r>
            <w:r w:rsidR="008825BF" w:rsidRPr="0074019D">
              <w:rPr>
                <w:sz w:val="21"/>
                <w:szCs w:val="21"/>
                <w:vertAlign w:val="superscript"/>
                <w:lang w:val="en-GB"/>
              </w:rPr>
              <w:t>(1)</w:t>
            </w:r>
          </w:p>
        </w:tc>
        <w:tc>
          <w:tcPr>
            <w:tcW w:w="610" w:type="pct"/>
            <w:tcBorders>
              <w:bottom w:val="single" w:sz="4" w:space="0" w:color="auto"/>
            </w:tcBorders>
            <w:vAlign w:val="center"/>
          </w:tcPr>
          <w:p w14:paraId="31496DB5" w14:textId="69504CA0" w:rsidR="00EB5233" w:rsidRPr="0074019D" w:rsidRDefault="00EB5233" w:rsidP="003028ED">
            <w:pPr>
              <w:pStyle w:val="Tabletext"/>
              <w:keepNext/>
              <w:jc w:val="center"/>
              <w:rPr>
                <w:sz w:val="21"/>
                <w:szCs w:val="21"/>
                <w:lang w:val="en-GB"/>
              </w:rPr>
            </w:pPr>
            <w:r w:rsidRPr="0074019D">
              <w:rPr>
                <w:sz w:val="21"/>
                <w:szCs w:val="21"/>
                <w:lang w:val="en-GB"/>
              </w:rPr>
              <w:t>Can be similar or different to the existing service </w:t>
            </w:r>
            <w:r w:rsidR="008825BF" w:rsidRPr="0074019D">
              <w:rPr>
                <w:sz w:val="21"/>
                <w:szCs w:val="21"/>
                <w:vertAlign w:val="superscript"/>
                <w:lang w:val="en-GB"/>
              </w:rPr>
              <w:t>(1)</w:t>
            </w:r>
          </w:p>
        </w:tc>
        <w:tc>
          <w:tcPr>
            <w:tcW w:w="610" w:type="pct"/>
            <w:tcBorders>
              <w:bottom w:val="single" w:sz="4" w:space="0" w:color="auto"/>
            </w:tcBorders>
            <w:vAlign w:val="center"/>
          </w:tcPr>
          <w:p w14:paraId="6902881A" w14:textId="7049C104" w:rsidR="00EB5233" w:rsidRPr="0074019D" w:rsidRDefault="00EB5233" w:rsidP="003028ED">
            <w:pPr>
              <w:pStyle w:val="Tabletext"/>
              <w:keepNext/>
              <w:jc w:val="center"/>
              <w:rPr>
                <w:sz w:val="21"/>
                <w:szCs w:val="21"/>
                <w:lang w:val="en-GB"/>
              </w:rPr>
            </w:pPr>
            <w:r w:rsidRPr="0074019D">
              <w:rPr>
                <w:sz w:val="21"/>
                <w:szCs w:val="21"/>
                <w:lang w:val="en-GB"/>
              </w:rPr>
              <w:t>Can be similar or different to the existing service </w:t>
            </w:r>
            <w:r w:rsidR="008825BF" w:rsidRPr="0074019D">
              <w:rPr>
                <w:sz w:val="21"/>
                <w:szCs w:val="21"/>
                <w:vertAlign w:val="superscript"/>
                <w:lang w:val="en-GB"/>
              </w:rPr>
              <w:t>(1)</w:t>
            </w:r>
          </w:p>
        </w:tc>
      </w:tr>
      <w:tr w:rsidR="00EB5233" w:rsidRPr="006D0942" w14:paraId="75BE5656" w14:textId="77777777" w:rsidTr="00C047A7">
        <w:trPr>
          <w:cantSplit/>
          <w:jc w:val="center"/>
        </w:trPr>
        <w:tc>
          <w:tcPr>
            <w:tcW w:w="1340" w:type="pct"/>
            <w:tcBorders>
              <w:bottom w:val="single" w:sz="4" w:space="0" w:color="auto"/>
            </w:tcBorders>
            <w:vAlign w:val="center"/>
          </w:tcPr>
          <w:p w14:paraId="37F9F587" w14:textId="77777777" w:rsidR="00EB5233" w:rsidRPr="0074019D" w:rsidRDefault="00EB5233" w:rsidP="003028ED">
            <w:pPr>
              <w:pStyle w:val="Tabletext"/>
              <w:keepNext/>
              <w:rPr>
                <w:b/>
                <w:bCs/>
                <w:sz w:val="21"/>
                <w:szCs w:val="21"/>
              </w:rPr>
            </w:pPr>
            <w:r w:rsidRPr="0074019D">
              <w:rPr>
                <w:b/>
                <w:bCs/>
                <w:sz w:val="21"/>
                <w:szCs w:val="21"/>
              </w:rPr>
              <w:t>Transmission capacity</w:t>
            </w:r>
          </w:p>
        </w:tc>
        <w:tc>
          <w:tcPr>
            <w:tcW w:w="610" w:type="pct"/>
            <w:tcBorders>
              <w:bottom w:val="single" w:sz="4" w:space="0" w:color="auto"/>
            </w:tcBorders>
            <w:vAlign w:val="center"/>
          </w:tcPr>
          <w:p w14:paraId="0B4CFC2F" w14:textId="77777777" w:rsidR="00EB5233" w:rsidRPr="0074019D" w:rsidRDefault="00EB5233" w:rsidP="003028ED">
            <w:pPr>
              <w:pStyle w:val="Tabletext"/>
              <w:keepNext/>
              <w:jc w:val="center"/>
              <w:rPr>
                <w:sz w:val="21"/>
                <w:szCs w:val="21"/>
                <w:lang w:val="en-GB"/>
              </w:rPr>
            </w:pPr>
            <w:r w:rsidRPr="0074019D">
              <w:rPr>
                <w:sz w:val="21"/>
                <w:szCs w:val="21"/>
                <w:lang w:val="en-GB"/>
              </w:rPr>
              <w:t>Same as the existing capacity</w:t>
            </w:r>
          </w:p>
        </w:tc>
        <w:tc>
          <w:tcPr>
            <w:tcW w:w="610" w:type="pct"/>
            <w:tcBorders>
              <w:bottom w:val="single" w:sz="4" w:space="0" w:color="auto"/>
            </w:tcBorders>
            <w:vAlign w:val="center"/>
          </w:tcPr>
          <w:p w14:paraId="23735D22" w14:textId="6252BDF7" w:rsidR="00EB5233" w:rsidRPr="0074019D" w:rsidRDefault="00EB5233" w:rsidP="003028ED">
            <w:pPr>
              <w:pStyle w:val="Tabletext"/>
              <w:keepNext/>
              <w:jc w:val="center"/>
              <w:rPr>
                <w:sz w:val="21"/>
                <w:szCs w:val="21"/>
                <w:lang w:val="en-GB"/>
              </w:rPr>
            </w:pPr>
            <w:r w:rsidRPr="0074019D">
              <w:rPr>
                <w:sz w:val="21"/>
                <w:szCs w:val="21"/>
                <w:lang w:val="en-GB"/>
              </w:rPr>
              <w:t>Can be increased from the existing capacity </w:t>
            </w:r>
            <w:r w:rsidR="0074019D" w:rsidRPr="0074019D">
              <w:rPr>
                <w:sz w:val="21"/>
                <w:szCs w:val="21"/>
                <w:vertAlign w:val="superscript"/>
                <w:lang w:val="en-GB"/>
              </w:rPr>
              <w:t>(1)</w:t>
            </w:r>
            <w:r w:rsidRPr="0074019D">
              <w:rPr>
                <w:sz w:val="21"/>
                <w:szCs w:val="21"/>
                <w:lang w:val="en-GB"/>
              </w:rPr>
              <w:t>, higher than during simulcast, higher than Method A1</w:t>
            </w:r>
          </w:p>
        </w:tc>
        <w:tc>
          <w:tcPr>
            <w:tcW w:w="610" w:type="pct"/>
            <w:tcBorders>
              <w:bottom w:val="single" w:sz="4" w:space="0" w:color="auto"/>
            </w:tcBorders>
            <w:vAlign w:val="center"/>
          </w:tcPr>
          <w:p w14:paraId="1BC8B4D3" w14:textId="60CF36A1" w:rsidR="00EB5233" w:rsidRPr="0074019D" w:rsidRDefault="00EB5233" w:rsidP="003028ED">
            <w:pPr>
              <w:pStyle w:val="Tabletext"/>
              <w:keepNext/>
              <w:jc w:val="center"/>
              <w:rPr>
                <w:sz w:val="21"/>
                <w:szCs w:val="21"/>
                <w:lang w:val="en-GB"/>
              </w:rPr>
            </w:pPr>
            <w:r w:rsidRPr="0074019D">
              <w:rPr>
                <w:sz w:val="21"/>
                <w:szCs w:val="21"/>
                <w:lang w:val="en-GB"/>
              </w:rPr>
              <w:t>Can be increased from the existing capacity</w:t>
            </w:r>
            <w:r w:rsidR="008825BF" w:rsidRPr="0074019D">
              <w:rPr>
                <w:sz w:val="21"/>
                <w:szCs w:val="21"/>
                <w:lang w:val="en-GB"/>
              </w:rPr>
              <w:t xml:space="preserve"> </w:t>
            </w:r>
            <w:r w:rsidR="008825BF" w:rsidRPr="0074019D">
              <w:rPr>
                <w:sz w:val="21"/>
                <w:szCs w:val="21"/>
                <w:vertAlign w:val="superscript"/>
                <w:lang w:val="en-GB"/>
              </w:rPr>
              <w:t>(1)</w:t>
            </w:r>
            <w:r w:rsidRPr="0074019D">
              <w:rPr>
                <w:sz w:val="21"/>
                <w:szCs w:val="21"/>
                <w:lang w:val="en-GB"/>
              </w:rPr>
              <w:t>, higher than during simulcast, higher than Method A2</w:t>
            </w:r>
          </w:p>
        </w:tc>
        <w:tc>
          <w:tcPr>
            <w:tcW w:w="610" w:type="pct"/>
            <w:tcBorders>
              <w:bottom w:val="single" w:sz="4" w:space="0" w:color="auto"/>
            </w:tcBorders>
            <w:vAlign w:val="center"/>
          </w:tcPr>
          <w:p w14:paraId="7DCDC376" w14:textId="0B61AC66" w:rsidR="00EB5233" w:rsidRPr="0074019D" w:rsidRDefault="00EB5233" w:rsidP="003028ED">
            <w:pPr>
              <w:pStyle w:val="Tabletext"/>
              <w:keepNext/>
              <w:jc w:val="center"/>
              <w:rPr>
                <w:sz w:val="21"/>
                <w:szCs w:val="21"/>
                <w:lang w:val="en-GB"/>
              </w:rPr>
            </w:pPr>
            <w:r w:rsidRPr="0074019D">
              <w:rPr>
                <w:sz w:val="21"/>
                <w:szCs w:val="21"/>
                <w:lang w:val="en-GB"/>
              </w:rPr>
              <w:t>Can be increased from the existing capacity</w:t>
            </w:r>
            <w:r w:rsidR="008825BF" w:rsidRPr="0074019D">
              <w:rPr>
                <w:sz w:val="21"/>
                <w:szCs w:val="21"/>
                <w:lang w:val="en-GB"/>
              </w:rPr>
              <w:t xml:space="preserve"> </w:t>
            </w:r>
            <w:r w:rsidR="008825BF" w:rsidRPr="0074019D">
              <w:rPr>
                <w:sz w:val="21"/>
                <w:szCs w:val="21"/>
                <w:vertAlign w:val="superscript"/>
                <w:lang w:val="en-GB"/>
              </w:rPr>
              <w:t>(1)</w:t>
            </w:r>
            <w:r w:rsidRPr="0074019D">
              <w:rPr>
                <w:sz w:val="21"/>
                <w:szCs w:val="21"/>
                <w:lang w:val="en-GB"/>
              </w:rPr>
              <w:t>, higher than during simulcast, higher than Method A2</w:t>
            </w:r>
          </w:p>
        </w:tc>
        <w:tc>
          <w:tcPr>
            <w:tcW w:w="610" w:type="pct"/>
            <w:tcBorders>
              <w:bottom w:val="single" w:sz="4" w:space="0" w:color="auto"/>
            </w:tcBorders>
            <w:vAlign w:val="center"/>
          </w:tcPr>
          <w:p w14:paraId="59D08AA4" w14:textId="0D67DC6E" w:rsidR="00EB5233" w:rsidRPr="0074019D" w:rsidRDefault="00EB5233" w:rsidP="003028ED">
            <w:pPr>
              <w:pStyle w:val="Tabletext"/>
              <w:keepNext/>
              <w:jc w:val="center"/>
              <w:rPr>
                <w:sz w:val="21"/>
                <w:szCs w:val="21"/>
                <w:lang w:val="en-GB"/>
              </w:rPr>
            </w:pPr>
            <w:r w:rsidRPr="0074019D">
              <w:rPr>
                <w:sz w:val="21"/>
                <w:szCs w:val="21"/>
                <w:lang w:val="en-GB"/>
              </w:rPr>
              <w:t>Can be increased from the existing capacity </w:t>
            </w:r>
            <w:r w:rsidR="008825BF" w:rsidRPr="0074019D">
              <w:rPr>
                <w:sz w:val="21"/>
                <w:szCs w:val="21"/>
                <w:vertAlign w:val="superscript"/>
                <w:lang w:val="en-GB"/>
              </w:rPr>
              <w:t>(1)</w:t>
            </w:r>
            <w:r w:rsidRPr="0074019D">
              <w:rPr>
                <w:sz w:val="21"/>
                <w:szCs w:val="21"/>
                <w:lang w:val="en-GB"/>
              </w:rPr>
              <w:t>, higher than during simulcast, higher than Method A2</w:t>
            </w:r>
          </w:p>
        </w:tc>
        <w:tc>
          <w:tcPr>
            <w:tcW w:w="610" w:type="pct"/>
            <w:tcBorders>
              <w:bottom w:val="single" w:sz="4" w:space="0" w:color="auto"/>
            </w:tcBorders>
            <w:vAlign w:val="center"/>
          </w:tcPr>
          <w:p w14:paraId="30638A53" w14:textId="79DE6FE9" w:rsidR="00EB5233" w:rsidRPr="0074019D" w:rsidRDefault="00EB5233" w:rsidP="003028ED">
            <w:pPr>
              <w:pStyle w:val="Tabletext"/>
              <w:keepNext/>
              <w:jc w:val="center"/>
              <w:rPr>
                <w:sz w:val="21"/>
                <w:szCs w:val="21"/>
                <w:lang w:val="en-GB"/>
              </w:rPr>
            </w:pPr>
            <w:r w:rsidRPr="0074019D">
              <w:rPr>
                <w:sz w:val="21"/>
                <w:szCs w:val="21"/>
                <w:lang w:val="en-GB"/>
              </w:rPr>
              <w:t>Can be increased from the existing capacity </w:t>
            </w:r>
            <w:r w:rsidR="008825BF" w:rsidRPr="0074019D">
              <w:rPr>
                <w:sz w:val="21"/>
                <w:szCs w:val="21"/>
                <w:vertAlign w:val="superscript"/>
                <w:lang w:val="en-GB"/>
              </w:rPr>
              <w:t>(1)</w:t>
            </w:r>
            <w:r w:rsidRPr="0074019D">
              <w:rPr>
                <w:sz w:val="21"/>
                <w:szCs w:val="21"/>
                <w:lang w:val="en-GB"/>
              </w:rPr>
              <w:t>, same as during simulcast, higher than Method A2</w:t>
            </w:r>
          </w:p>
        </w:tc>
      </w:tr>
      <w:tr w:rsidR="00EB5233" w:rsidRPr="006D0942" w14:paraId="6D6E53BF" w14:textId="77777777" w:rsidTr="00C047A7">
        <w:trPr>
          <w:cantSplit/>
          <w:jc w:val="center"/>
        </w:trPr>
        <w:tc>
          <w:tcPr>
            <w:tcW w:w="1340" w:type="pct"/>
            <w:tcBorders>
              <w:bottom w:val="single" w:sz="4" w:space="0" w:color="auto"/>
            </w:tcBorders>
            <w:vAlign w:val="center"/>
          </w:tcPr>
          <w:p w14:paraId="22030653" w14:textId="77777777" w:rsidR="00EB5233" w:rsidRPr="0074019D" w:rsidRDefault="00EB5233" w:rsidP="003028ED">
            <w:pPr>
              <w:pStyle w:val="Tabletext"/>
              <w:keepNext/>
              <w:rPr>
                <w:b/>
                <w:bCs/>
                <w:sz w:val="21"/>
                <w:szCs w:val="21"/>
              </w:rPr>
            </w:pPr>
            <w:r w:rsidRPr="0074019D">
              <w:rPr>
                <w:b/>
                <w:bCs/>
                <w:sz w:val="21"/>
                <w:szCs w:val="21"/>
              </w:rPr>
              <w:t>Service quality</w:t>
            </w:r>
          </w:p>
        </w:tc>
        <w:tc>
          <w:tcPr>
            <w:tcW w:w="610" w:type="pct"/>
            <w:tcBorders>
              <w:bottom w:val="single" w:sz="4" w:space="0" w:color="auto"/>
            </w:tcBorders>
            <w:vAlign w:val="center"/>
          </w:tcPr>
          <w:p w14:paraId="691652FA" w14:textId="77777777" w:rsidR="00EB5233" w:rsidRPr="0074019D" w:rsidRDefault="00EB5233" w:rsidP="003028ED">
            <w:pPr>
              <w:pStyle w:val="Tabletext"/>
              <w:keepNext/>
              <w:jc w:val="center"/>
              <w:rPr>
                <w:sz w:val="21"/>
                <w:szCs w:val="21"/>
                <w:lang w:val="en-GB"/>
              </w:rPr>
            </w:pPr>
            <w:r w:rsidRPr="0074019D">
              <w:rPr>
                <w:sz w:val="21"/>
                <w:szCs w:val="21"/>
                <w:lang w:val="en-GB"/>
              </w:rPr>
              <w:t>Higher than the existing service, higher than during simulcast</w:t>
            </w:r>
          </w:p>
        </w:tc>
        <w:tc>
          <w:tcPr>
            <w:tcW w:w="610" w:type="pct"/>
            <w:tcBorders>
              <w:bottom w:val="single" w:sz="4" w:space="0" w:color="auto"/>
            </w:tcBorders>
            <w:vAlign w:val="center"/>
          </w:tcPr>
          <w:p w14:paraId="187A1CD6" w14:textId="77777777" w:rsidR="00EB5233" w:rsidRPr="0074019D" w:rsidRDefault="00EB5233" w:rsidP="003028ED">
            <w:pPr>
              <w:pStyle w:val="Tabletext"/>
              <w:keepNext/>
              <w:jc w:val="center"/>
              <w:rPr>
                <w:sz w:val="21"/>
                <w:szCs w:val="21"/>
                <w:lang w:val="en-GB"/>
              </w:rPr>
            </w:pPr>
            <w:r w:rsidRPr="0074019D">
              <w:rPr>
                <w:sz w:val="21"/>
                <w:szCs w:val="21"/>
                <w:lang w:val="en-GB"/>
              </w:rPr>
              <w:t>Higher than the existing service, higher than during simulcast, higher than Method A1</w:t>
            </w:r>
          </w:p>
        </w:tc>
        <w:tc>
          <w:tcPr>
            <w:tcW w:w="610" w:type="pct"/>
            <w:tcBorders>
              <w:bottom w:val="single" w:sz="4" w:space="0" w:color="auto"/>
            </w:tcBorders>
            <w:vAlign w:val="center"/>
          </w:tcPr>
          <w:p w14:paraId="1FB0F351" w14:textId="77777777" w:rsidR="00EB5233" w:rsidRPr="0074019D" w:rsidRDefault="00EB5233" w:rsidP="003028ED">
            <w:pPr>
              <w:pStyle w:val="Tabletext"/>
              <w:keepNext/>
              <w:jc w:val="center"/>
              <w:rPr>
                <w:sz w:val="21"/>
                <w:szCs w:val="21"/>
                <w:lang w:val="en-GB"/>
              </w:rPr>
            </w:pPr>
            <w:r w:rsidRPr="0074019D">
              <w:rPr>
                <w:sz w:val="21"/>
                <w:szCs w:val="21"/>
                <w:lang w:val="en-GB"/>
              </w:rPr>
              <w:t>Higher than the existing service, higher than during simulcast, higher than Method A2</w:t>
            </w:r>
          </w:p>
        </w:tc>
        <w:tc>
          <w:tcPr>
            <w:tcW w:w="610" w:type="pct"/>
            <w:tcBorders>
              <w:bottom w:val="single" w:sz="4" w:space="0" w:color="auto"/>
            </w:tcBorders>
            <w:vAlign w:val="center"/>
          </w:tcPr>
          <w:p w14:paraId="62733F65" w14:textId="77777777" w:rsidR="00EB5233" w:rsidRPr="0074019D" w:rsidRDefault="00EB5233" w:rsidP="003028ED">
            <w:pPr>
              <w:pStyle w:val="Tabletext"/>
              <w:keepNext/>
              <w:jc w:val="center"/>
              <w:rPr>
                <w:sz w:val="21"/>
                <w:szCs w:val="21"/>
                <w:lang w:val="en-GB"/>
              </w:rPr>
            </w:pPr>
            <w:r w:rsidRPr="0074019D">
              <w:rPr>
                <w:sz w:val="21"/>
                <w:szCs w:val="21"/>
                <w:lang w:val="en-GB"/>
              </w:rPr>
              <w:t>Higher than the existing service, higher than during simulcast, higher than Method A2</w:t>
            </w:r>
          </w:p>
        </w:tc>
        <w:tc>
          <w:tcPr>
            <w:tcW w:w="610" w:type="pct"/>
            <w:tcBorders>
              <w:bottom w:val="single" w:sz="4" w:space="0" w:color="auto"/>
            </w:tcBorders>
            <w:vAlign w:val="center"/>
          </w:tcPr>
          <w:p w14:paraId="7A53DEC7" w14:textId="77777777" w:rsidR="00EB5233" w:rsidRPr="0074019D" w:rsidRDefault="00EB5233" w:rsidP="003028ED">
            <w:pPr>
              <w:pStyle w:val="Tabletext"/>
              <w:keepNext/>
              <w:jc w:val="center"/>
              <w:rPr>
                <w:sz w:val="21"/>
                <w:szCs w:val="21"/>
                <w:lang w:val="en-GB"/>
              </w:rPr>
            </w:pPr>
            <w:r w:rsidRPr="0074019D">
              <w:rPr>
                <w:sz w:val="21"/>
                <w:szCs w:val="21"/>
                <w:lang w:val="en-GB"/>
              </w:rPr>
              <w:t>Higher than the existing service, higher than during simulcast, higher than Method A2</w:t>
            </w:r>
          </w:p>
        </w:tc>
        <w:tc>
          <w:tcPr>
            <w:tcW w:w="610" w:type="pct"/>
            <w:tcBorders>
              <w:bottom w:val="single" w:sz="4" w:space="0" w:color="auto"/>
            </w:tcBorders>
            <w:vAlign w:val="center"/>
          </w:tcPr>
          <w:p w14:paraId="7E96775E" w14:textId="77777777" w:rsidR="00EB5233" w:rsidRPr="0074019D" w:rsidRDefault="00EB5233" w:rsidP="003028ED">
            <w:pPr>
              <w:pStyle w:val="Tabletext"/>
              <w:keepNext/>
              <w:jc w:val="center"/>
              <w:rPr>
                <w:sz w:val="21"/>
                <w:szCs w:val="21"/>
                <w:lang w:val="en-GB"/>
              </w:rPr>
            </w:pPr>
            <w:r w:rsidRPr="0074019D">
              <w:rPr>
                <w:sz w:val="21"/>
                <w:szCs w:val="21"/>
                <w:lang w:val="en-GB"/>
              </w:rPr>
              <w:t>Higher than the existing service, same as during simulcast, higher than Method A2</w:t>
            </w:r>
          </w:p>
        </w:tc>
      </w:tr>
      <w:tr w:rsidR="00EB5233" w:rsidRPr="006D0942" w14:paraId="7077FAFB" w14:textId="77777777" w:rsidTr="00C047A7">
        <w:trPr>
          <w:cantSplit/>
          <w:jc w:val="center"/>
        </w:trPr>
        <w:tc>
          <w:tcPr>
            <w:tcW w:w="5000" w:type="pct"/>
            <w:gridSpan w:val="7"/>
            <w:tcBorders>
              <w:left w:val="nil"/>
              <w:bottom w:val="nil"/>
              <w:right w:val="nil"/>
            </w:tcBorders>
            <w:vAlign w:val="center"/>
          </w:tcPr>
          <w:p w14:paraId="3C8FB74E" w14:textId="2DC691DE" w:rsidR="00EB5233" w:rsidRPr="0074019D" w:rsidRDefault="008825BF" w:rsidP="0074019D">
            <w:pPr>
              <w:pStyle w:val="Tabletext"/>
              <w:keepNext/>
              <w:rPr>
                <w:sz w:val="21"/>
                <w:szCs w:val="21"/>
                <w:lang w:val="en-GB"/>
              </w:rPr>
            </w:pPr>
            <w:r w:rsidRPr="0074019D">
              <w:rPr>
                <w:sz w:val="21"/>
                <w:szCs w:val="21"/>
                <w:vertAlign w:val="superscript"/>
                <w:lang w:val="en-GB"/>
              </w:rPr>
              <w:t>(1)</w:t>
            </w:r>
            <w:r w:rsidR="00EB5233" w:rsidRPr="0074019D">
              <w:rPr>
                <w:sz w:val="21"/>
                <w:szCs w:val="21"/>
                <w:lang w:val="en-GB"/>
              </w:rPr>
              <w:tab/>
              <w:t>There is a trade-off between the service area and transmission capacity.</w:t>
            </w:r>
          </w:p>
        </w:tc>
      </w:tr>
    </w:tbl>
    <w:p w14:paraId="45E4729C" w14:textId="63B9B3DF" w:rsidR="00EB5233" w:rsidRDefault="00EB5233" w:rsidP="0074019D">
      <w:pPr>
        <w:pStyle w:val="Tablefin"/>
      </w:pPr>
    </w:p>
    <w:p w14:paraId="53D159A9" w14:textId="77777777" w:rsidR="00C047A7" w:rsidRPr="009678BB" w:rsidRDefault="00C047A7" w:rsidP="00C047A7">
      <w:pPr>
        <w:jc w:val="center"/>
      </w:pPr>
      <w:r w:rsidRPr="009678BB">
        <w:t>______________</w:t>
      </w:r>
    </w:p>
    <w:p w14:paraId="6636628D" w14:textId="77777777" w:rsidR="00C047A7" w:rsidRPr="00C047A7" w:rsidRDefault="00C047A7" w:rsidP="00C047A7">
      <w:pPr>
        <w:rPr>
          <w:lang w:val="en-GB"/>
        </w:rPr>
      </w:pPr>
    </w:p>
    <w:sectPr w:rsidR="00C047A7" w:rsidRPr="00C047A7" w:rsidSect="001F630F">
      <w:headerReference w:type="even" r:id="rId33"/>
      <w:headerReference w:type="default" r:id="rId34"/>
      <w:pgSz w:w="16834" w:h="11907" w:orient="landscape" w:code="9"/>
      <w:pgMar w:top="1134" w:right="1418"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FA283" w14:textId="77777777" w:rsidR="004F2D50" w:rsidRDefault="004F2D50">
      <w:r>
        <w:separator/>
      </w:r>
    </w:p>
  </w:endnote>
  <w:endnote w:type="continuationSeparator" w:id="0">
    <w:p w14:paraId="757D67B4" w14:textId="77777777" w:rsidR="004F2D50" w:rsidRDefault="004F2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Helv">
    <w:panose1 w:val="020B0604020202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49161" w14:textId="77777777" w:rsidR="004F2D50" w:rsidRDefault="004F2D50">
      <w:r>
        <w:separator/>
      </w:r>
    </w:p>
  </w:footnote>
  <w:footnote w:type="continuationSeparator" w:id="0">
    <w:p w14:paraId="53858A10" w14:textId="77777777" w:rsidR="004F2D50" w:rsidRDefault="004F2D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4F912" w14:textId="77777777" w:rsidR="003028ED" w:rsidRDefault="003028E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4746F" w14:textId="77777777" w:rsidR="003028ED" w:rsidRDefault="003028ED" w:rsidP="00B033C8">
    <w:pPr>
      <w:pStyle w:val="Header"/>
      <w:ind w:right="360" w:firstLine="360"/>
    </w:pPr>
    <w:r>
      <w:rPr>
        <w:noProof/>
        <w:lang w:val="en-GB" w:eastAsia="en-GB"/>
      </w:rPr>
      <w:drawing>
        <wp:anchor distT="0" distB="0" distL="114300" distR="114300" simplePos="0" relativeHeight="251657728" behindDoc="1" locked="0" layoutInCell="1" allowOverlap="1" wp14:anchorId="1644D233" wp14:editId="6940B5DB">
          <wp:simplePos x="0" y="0"/>
          <wp:positionH relativeFrom="page">
            <wp:posOffset>0</wp:posOffset>
          </wp:positionH>
          <wp:positionV relativeFrom="page">
            <wp:posOffset>0</wp:posOffset>
          </wp:positionV>
          <wp:extent cx="7578725" cy="10724515"/>
          <wp:effectExtent l="19050" t="0" r="3175" b="0"/>
          <wp:wrapNone/>
          <wp:docPr id="31" name="Picture 3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43E33" w14:textId="22685247" w:rsidR="003028ED" w:rsidRDefault="003028ED">
    <w:pPr>
      <w:pStyle w:val="Header"/>
    </w:pPr>
    <w:r w:rsidRPr="00706DE2">
      <w:tab/>
    </w:r>
    <w:r w:rsidR="006D0942">
      <w:fldChar w:fldCharType="begin"/>
    </w:r>
    <w:r w:rsidR="006D0942">
      <w:instrText xml:space="preserve"> DOCPROPERTY "Header" \* MERGEFORMAT </w:instrText>
    </w:r>
    <w:r w:rsidR="006D0942">
      <w:fldChar w:fldCharType="separate"/>
    </w:r>
    <w:r w:rsidR="006D0942" w:rsidRPr="006D0942">
      <w:rPr>
        <w:b/>
        <w:bCs/>
      </w:rPr>
      <w:t xml:space="preserve">Rec. </w:t>
    </w:r>
    <w:r w:rsidR="006D0942">
      <w:rPr>
        <w:b/>
        <w:bCs/>
      </w:rPr>
      <w:fldChar w:fldCharType="end"/>
    </w:r>
    <w:r w:rsidRPr="00706DE2">
      <w:rPr>
        <w:b/>
        <w:bCs/>
      </w:rPr>
      <w:t xml:space="preserve"> </w:t>
    </w:r>
    <w:r w:rsidRPr="00706DE2">
      <w:rPr>
        <w:b/>
        <w:bCs/>
      </w:rPr>
      <w:fldChar w:fldCharType="begin"/>
    </w:r>
    <w:r w:rsidRPr="00706DE2">
      <w:rPr>
        <w:b/>
        <w:bCs/>
      </w:rPr>
      <w:instrText>styleref href</w:instrText>
    </w:r>
    <w:r w:rsidRPr="00706DE2">
      <w:rPr>
        <w:b/>
        <w:bCs/>
      </w:rPr>
      <w:fldChar w:fldCharType="separate"/>
    </w:r>
    <w:r w:rsidR="006D0942">
      <w:rPr>
        <w:b/>
        <w:bCs/>
        <w:noProof/>
      </w:rPr>
      <w:t>ITU-R  BT.2144-0</w:t>
    </w:r>
    <w:r w:rsidRPr="00706DE2">
      <w:fldChar w:fldCharType="end"/>
    </w:r>
    <w:r w:rsidRPr="00706DE2">
      <w:rPr>
        <w:b/>
        <w:bCs/>
      </w:rPr>
      <w:tab/>
    </w:r>
    <w:r w:rsidRPr="00706DE2">
      <w:rPr>
        <w:b/>
        <w:bCs/>
      </w:rPr>
      <w:fldChar w:fldCharType="begin"/>
    </w:r>
    <w:r w:rsidRPr="00706DE2">
      <w:rPr>
        <w:b/>
        <w:bCs/>
      </w:rPr>
      <w:instrText xml:space="preserve"> PAGE </w:instrText>
    </w:r>
    <w:r w:rsidRPr="00706DE2">
      <w:rPr>
        <w:b/>
        <w:bCs/>
      </w:rPr>
      <w:fldChar w:fldCharType="separate"/>
    </w:r>
    <w:r w:rsidRPr="00706DE2">
      <w:rPr>
        <w:b/>
        <w:bCs/>
      </w:rPr>
      <w:t>1</w:t>
    </w:r>
    <w:r w:rsidRPr="00706DE2">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56B9A" w14:textId="7DDC25CD" w:rsidR="003028ED" w:rsidRPr="00FC42AF" w:rsidRDefault="003028ED" w:rsidP="00706DE2">
    <w:pPr>
      <w:pStyle w:val="Header"/>
      <w:tabs>
        <w:tab w:val="clear" w:pos="4848"/>
        <w:tab w:val="center" w:pos="4820"/>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r w:rsidR="006D0942">
      <w:fldChar w:fldCharType="begin"/>
    </w:r>
    <w:r w:rsidR="006D0942">
      <w:instrText xml:space="preserve"> DOCPROPERTY "Header" \* MERGEFORMAT </w:instrText>
    </w:r>
    <w:r w:rsidR="006D0942">
      <w:fldChar w:fldCharType="separate"/>
    </w:r>
    <w:r w:rsidR="006D0942" w:rsidRPr="006D0942">
      <w:rPr>
        <w:b/>
        <w:bCs/>
      </w:rPr>
      <w:t xml:space="preserve">Rec. </w:t>
    </w:r>
    <w:r w:rsidR="006D0942">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D0942">
      <w:rPr>
        <w:b/>
        <w:bCs/>
        <w:noProof/>
      </w:rPr>
      <w:t>ITU-R  BT.2144-0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02798" w14:textId="20080494" w:rsidR="003028ED" w:rsidRDefault="003028ED">
    <w:pPr>
      <w:pStyle w:val="Header"/>
    </w:pPr>
    <w:r>
      <w:tab/>
    </w:r>
    <w:r w:rsidR="006D0942">
      <w:fldChar w:fldCharType="begin"/>
    </w:r>
    <w:r w:rsidR="006D0942">
      <w:instrText xml:space="preserve"> DOCPROPERTY "Header" \* MERGEFORMAT </w:instrText>
    </w:r>
    <w:r w:rsidR="006D0942">
      <w:fldChar w:fldCharType="separate"/>
    </w:r>
    <w:r w:rsidR="006D0942" w:rsidRPr="006D0942">
      <w:rPr>
        <w:b/>
        <w:bCs/>
      </w:rPr>
      <w:t xml:space="preserve">Rec. </w:t>
    </w:r>
    <w:r w:rsidR="006D0942">
      <w:rPr>
        <w:b/>
        <w:bCs/>
      </w:rPr>
      <w:fldChar w:fldCharType="end"/>
    </w:r>
    <w:r>
      <w:rPr>
        <w:b/>
        <w:bCs/>
      </w:rPr>
      <w:t xml:space="preserve"> </w:t>
    </w:r>
    <w:r>
      <w:rPr>
        <w:b/>
        <w:bCs/>
      </w:rPr>
      <w:fldChar w:fldCharType="begin"/>
    </w:r>
    <w:r>
      <w:rPr>
        <w:b/>
        <w:bCs/>
      </w:rPr>
      <w:instrText>styleref href</w:instrText>
    </w:r>
    <w:r>
      <w:rPr>
        <w:b/>
        <w:bCs/>
      </w:rPr>
      <w:fldChar w:fldCharType="separate"/>
    </w:r>
    <w:r w:rsidR="006D0942">
      <w:rPr>
        <w:b/>
        <w:bCs/>
        <w:noProof/>
      </w:rPr>
      <w:t>ITU-R  BT.2144-0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D40A2" w14:textId="33A10485" w:rsidR="003028ED" w:rsidRPr="00FC42AF" w:rsidRDefault="003028ED" w:rsidP="006D0942">
    <w:pPr>
      <w:pStyle w:val="Header"/>
      <w:tabs>
        <w:tab w:val="clear" w:pos="4848"/>
        <w:tab w:val="center" w:pos="4820"/>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108</w:t>
    </w:r>
    <w:r>
      <w:rPr>
        <w:rStyle w:val="PageNumber"/>
        <w:b/>
        <w:bCs/>
      </w:rPr>
      <w:fldChar w:fldCharType="end"/>
    </w:r>
    <w:r w:rsidRPr="00FC42AF">
      <w:tab/>
    </w:r>
    <w:r w:rsidR="006D0942">
      <w:fldChar w:fldCharType="begin"/>
    </w:r>
    <w:r w:rsidR="006D0942">
      <w:instrText xml:space="preserve"> DOCPROPERTY "Header" \* MERGEFORMAT </w:instrText>
    </w:r>
    <w:r w:rsidR="006D0942">
      <w:fldChar w:fldCharType="separate"/>
    </w:r>
    <w:r w:rsidR="006D0942" w:rsidRPr="006D0942">
      <w:rPr>
        <w:b/>
        <w:bCs/>
      </w:rPr>
      <w:t xml:space="preserve">Rec. </w:t>
    </w:r>
    <w:r w:rsidR="006D0942">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D0942">
      <w:rPr>
        <w:b/>
        <w:bCs/>
        <w:noProof/>
      </w:rPr>
      <w:t>ITU-R  BT.2144-0</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82858" w14:textId="39E33281" w:rsidR="003028ED" w:rsidRPr="00706DE2" w:rsidRDefault="003028ED" w:rsidP="00706DE2">
    <w:pPr>
      <w:pStyle w:val="Header"/>
    </w:pPr>
    <w:r w:rsidRPr="00706DE2">
      <w:tab/>
    </w:r>
    <w:r w:rsidR="006D0942">
      <w:fldChar w:fldCharType="begin"/>
    </w:r>
    <w:r w:rsidR="006D0942">
      <w:instrText xml:space="preserve"> DOCPROPERTY "Header" \* MERGEFORMAT </w:instrText>
    </w:r>
    <w:r w:rsidR="006D0942">
      <w:fldChar w:fldCharType="separate"/>
    </w:r>
    <w:r w:rsidR="006D0942" w:rsidRPr="006D0942">
      <w:rPr>
        <w:b/>
        <w:bCs/>
      </w:rPr>
      <w:t xml:space="preserve">Rec. </w:t>
    </w:r>
    <w:r w:rsidR="006D0942">
      <w:rPr>
        <w:b/>
        <w:bCs/>
      </w:rPr>
      <w:fldChar w:fldCharType="end"/>
    </w:r>
    <w:r w:rsidRPr="00706DE2">
      <w:rPr>
        <w:b/>
        <w:bCs/>
      </w:rPr>
      <w:t xml:space="preserve"> </w:t>
    </w:r>
    <w:r w:rsidRPr="00706DE2">
      <w:rPr>
        <w:b/>
        <w:bCs/>
      </w:rPr>
      <w:fldChar w:fldCharType="begin"/>
    </w:r>
    <w:r w:rsidRPr="00706DE2">
      <w:rPr>
        <w:b/>
        <w:bCs/>
      </w:rPr>
      <w:instrText>styleref href</w:instrText>
    </w:r>
    <w:r w:rsidRPr="00706DE2">
      <w:rPr>
        <w:b/>
        <w:bCs/>
      </w:rPr>
      <w:fldChar w:fldCharType="separate"/>
    </w:r>
    <w:r w:rsidR="006D0942">
      <w:rPr>
        <w:b/>
        <w:bCs/>
        <w:noProof/>
      </w:rPr>
      <w:t>ITU-R  BT.2144-0</w:t>
    </w:r>
    <w:r w:rsidRPr="00706DE2">
      <w:fldChar w:fldCharType="end"/>
    </w:r>
    <w:r w:rsidRPr="00706DE2">
      <w:rPr>
        <w:b/>
        <w:bCs/>
      </w:rPr>
      <w:tab/>
    </w:r>
    <w:r w:rsidRPr="00706DE2">
      <w:rPr>
        <w:b/>
        <w:bCs/>
      </w:rPr>
      <w:fldChar w:fldCharType="begin"/>
    </w:r>
    <w:r w:rsidRPr="00706DE2">
      <w:rPr>
        <w:b/>
        <w:bCs/>
      </w:rPr>
      <w:instrText xml:space="preserve"> PAGE </w:instrText>
    </w:r>
    <w:r w:rsidRPr="00706DE2">
      <w:rPr>
        <w:b/>
        <w:bCs/>
      </w:rPr>
      <w:fldChar w:fldCharType="separate"/>
    </w:r>
    <w:r>
      <w:rPr>
        <w:b/>
        <w:bCs/>
      </w:rPr>
      <w:t>1</w:t>
    </w:r>
    <w:r w:rsidRPr="00706DE2">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496B8" w14:textId="70EE6465" w:rsidR="006D0942" w:rsidRPr="00FC42AF" w:rsidRDefault="006D0942" w:rsidP="006D0942">
    <w:pPr>
      <w:pStyle w:val="Header"/>
      <w:tabs>
        <w:tab w:val="clear" w:pos="4848"/>
        <w:tab w:val="center" w:pos="708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108</w:t>
    </w:r>
    <w:r>
      <w:rPr>
        <w:rStyle w:val="PageNumber"/>
        <w:b/>
        <w:bCs/>
      </w:rPr>
      <w:fldChar w:fldCharType="end"/>
    </w:r>
    <w:r w:rsidRPr="00FC42AF">
      <w:tab/>
    </w:r>
    <w:r>
      <w:fldChar w:fldCharType="begin"/>
    </w:r>
    <w:r>
      <w:instrText xml:space="preserve"> DOCPROPERTY "Header" \* MERGEFORMAT </w:instrText>
    </w:r>
    <w:r>
      <w:fldChar w:fldCharType="separate"/>
    </w:r>
    <w:r w:rsidRPr="006D0942">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BT.2144-0</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3FEEE" w14:textId="2723C138" w:rsidR="006D0942" w:rsidRPr="00706DE2" w:rsidRDefault="006D0942" w:rsidP="006D0942">
    <w:pPr>
      <w:pStyle w:val="Header"/>
      <w:tabs>
        <w:tab w:val="clear" w:pos="4848"/>
        <w:tab w:val="clear" w:pos="9696"/>
        <w:tab w:val="center" w:pos="7088"/>
        <w:tab w:val="right" w:pos="13892"/>
      </w:tabs>
    </w:pPr>
    <w:r w:rsidRPr="00706DE2">
      <w:tab/>
    </w:r>
    <w:r>
      <w:fldChar w:fldCharType="begin"/>
    </w:r>
    <w:r>
      <w:instrText xml:space="preserve"> DOCPROPERTY "Header" \* MERGEFORMAT </w:instrText>
    </w:r>
    <w:r>
      <w:fldChar w:fldCharType="separate"/>
    </w:r>
    <w:r w:rsidRPr="006D0942">
      <w:rPr>
        <w:b/>
        <w:bCs/>
      </w:rPr>
      <w:t xml:space="preserve">Rec. </w:t>
    </w:r>
    <w:r>
      <w:rPr>
        <w:b/>
        <w:bCs/>
      </w:rPr>
      <w:fldChar w:fldCharType="end"/>
    </w:r>
    <w:r w:rsidRPr="00706DE2">
      <w:rPr>
        <w:b/>
        <w:bCs/>
      </w:rPr>
      <w:t xml:space="preserve"> </w:t>
    </w:r>
    <w:r w:rsidRPr="00706DE2">
      <w:rPr>
        <w:b/>
        <w:bCs/>
      </w:rPr>
      <w:fldChar w:fldCharType="begin"/>
    </w:r>
    <w:r w:rsidRPr="00706DE2">
      <w:rPr>
        <w:b/>
        <w:bCs/>
      </w:rPr>
      <w:instrText>styleref href</w:instrText>
    </w:r>
    <w:r w:rsidRPr="00706DE2">
      <w:rPr>
        <w:b/>
        <w:bCs/>
      </w:rPr>
      <w:fldChar w:fldCharType="separate"/>
    </w:r>
    <w:r>
      <w:rPr>
        <w:b/>
        <w:bCs/>
        <w:noProof/>
      </w:rPr>
      <w:t>ITU-R  BT.2144-0</w:t>
    </w:r>
    <w:r w:rsidRPr="00706DE2">
      <w:fldChar w:fldCharType="end"/>
    </w:r>
    <w:r w:rsidRPr="00706DE2">
      <w:rPr>
        <w:b/>
        <w:bCs/>
      </w:rPr>
      <w:tab/>
    </w:r>
    <w:r w:rsidRPr="00706DE2">
      <w:rPr>
        <w:b/>
        <w:bCs/>
      </w:rPr>
      <w:fldChar w:fldCharType="begin"/>
    </w:r>
    <w:r w:rsidRPr="00706DE2">
      <w:rPr>
        <w:b/>
        <w:bCs/>
      </w:rPr>
      <w:instrText xml:space="preserve"> PAGE </w:instrText>
    </w:r>
    <w:r w:rsidRPr="00706DE2">
      <w:rPr>
        <w:b/>
        <w:bCs/>
      </w:rPr>
      <w:fldChar w:fldCharType="separate"/>
    </w:r>
    <w:r>
      <w:rPr>
        <w:b/>
        <w:bCs/>
      </w:rPr>
      <w:t>1</w:t>
    </w:r>
    <w:r w:rsidRPr="00706DE2">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1F66D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C06C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20A8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106BF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9289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9236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4E42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60F1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7869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E6B5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7D6E06"/>
    <w:multiLevelType w:val="hybridMultilevel"/>
    <w:tmpl w:val="795898D4"/>
    <w:lvl w:ilvl="0" w:tplc="896EE590">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F3A56A8"/>
    <w:multiLevelType w:val="multilevel"/>
    <w:tmpl w:val="D4A0A496"/>
    <w:numStyleLink w:val="AnnexPrime"/>
  </w:abstractNum>
  <w:abstractNum w:abstractNumId="12" w15:restartNumberingAfterBreak="0">
    <w:nsid w:val="12463F6F"/>
    <w:multiLevelType w:val="hybridMultilevel"/>
    <w:tmpl w:val="75E65BE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37C4313"/>
    <w:multiLevelType w:val="hybridMultilevel"/>
    <w:tmpl w:val="F46A3512"/>
    <w:lvl w:ilvl="0" w:tplc="7EFE41D0">
      <w:start w:val="1"/>
      <w:numFmt w:val="bullet"/>
      <w:pStyle w:val="SBodyText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E8023C"/>
    <w:multiLevelType w:val="hybridMultilevel"/>
    <w:tmpl w:val="F54C151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C965BD5"/>
    <w:multiLevelType w:val="hybridMultilevel"/>
    <w:tmpl w:val="7076BC8A"/>
    <w:lvl w:ilvl="0" w:tplc="755A6B78">
      <w:start w:val="1"/>
      <w:numFmt w:val="lowerLetter"/>
      <w:lvlText w:val="%1)"/>
      <w:lvlJc w:val="left"/>
      <w:pPr>
        <w:ind w:left="1130" w:hanging="1130"/>
      </w:pPr>
      <w:rPr>
        <w:rFonts w:hint="default"/>
        <w: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88812B1"/>
    <w:multiLevelType w:val="multilevel"/>
    <w:tmpl w:val="D4A0A496"/>
    <w:numStyleLink w:val="AnnexPrime"/>
  </w:abstractNum>
  <w:abstractNum w:abstractNumId="18" w15:restartNumberingAfterBreak="0">
    <w:nsid w:val="29D046AB"/>
    <w:multiLevelType w:val="hybridMultilevel"/>
    <w:tmpl w:val="3342E8E4"/>
    <w:lvl w:ilvl="0" w:tplc="21447F4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B9229B3"/>
    <w:multiLevelType w:val="hybridMultilevel"/>
    <w:tmpl w:val="2F2ABA0C"/>
    <w:lvl w:ilvl="0" w:tplc="B04250AC">
      <w:numFmt w:val="bullet"/>
      <w:lvlText w:val="★"/>
      <w:lvlJc w:val="left"/>
      <w:pPr>
        <w:ind w:left="360" w:hanging="360"/>
      </w:pPr>
      <w:rPr>
        <w:rFonts w:ascii="MS Mincho" w:eastAsia="MS Mincho" w:hAnsi="MS Minch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BB62DCC"/>
    <w:multiLevelType w:val="hybridMultilevel"/>
    <w:tmpl w:val="7EEEE966"/>
    <w:lvl w:ilvl="0" w:tplc="EA4023B0">
      <w:start w:val="5"/>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FAD405B"/>
    <w:multiLevelType w:val="hybridMultilevel"/>
    <w:tmpl w:val="19FAD5FE"/>
    <w:lvl w:ilvl="0" w:tplc="307459D0">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0236E57"/>
    <w:multiLevelType w:val="hybridMultilevel"/>
    <w:tmpl w:val="448AD222"/>
    <w:lvl w:ilvl="0" w:tplc="23107342">
      <w:start w:val="1"/>
      <w:numFmt w:val="lowerLetter"/>
      <w:lvlText w:val="%1)"/>
      <w:lvlJc w:val="left"/>
      <w:pPr>
        <w:ind w:left="1131" w:hanging="1131"/>
      </w:pPr>
      <w:rPr>
        <w:rFonts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19C66E2"/>
    <w:multiLevelType w:val="hybridMultilevel"/>
    <w:tmpl w:val="A6FA4DF8"/>
    <w:lvl w:ilvl="0" w:tplc="AB10FA22">
      <w:start w:val="1"/>
      <w:numFmt w:val="lowerLetter"/>
      <w:lvlText w:val="%1)"/>
      <w:lvlJc w:val="left"/>
      <w:pPr>
        <w:ind w:left="1130" w:hanging="1130"/>
      </w:pPr>
      <w:rPr>
        <w:rFonts w:hint="default"/>
        <w: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5F665B9"/>
    <w:multiLevelType w:val="hybridMultilevel"/>
    <w:tmpl w:val="51FCC1C0"/>
    <w:lvl w:ilvl="0" w:tplc="896EE590">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7A91046"/>
    <w:multiLevelType w:val="multilevel"/>
    <w:tmpl w:val="D4A0A496"/>
    <w:numStyleLink w:val="AnnexPrime"/>
  </w:abstractNum>
  <w:abstractNum w:abstractNumId="26" w15:restartNumberingAfterBreak="0">
    <w:nsid w:val="3C0556FD"/>
    <w:multiLevelType w:val="multilevel"/>
    <w:tmpl w:val="3C0556FD"/>
    <w:lvl w:ilvl="0">
      <w:start w:val="1"/>
      <w:numFmt w:val="decimal"/>
      <w:pStyle w:val="a"/>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27" w15:restartNumberingAfterBreak="0">
    <w:nsid w:val="461C732A"/>
    <w:multiLevelType w:val="multilevel"/>
    <w:tmpl w:val="B6321828"/>
    <w:styleLink w:val="Annex"/>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C4C48A1"/>
    <w:multiLevelType w:val="hybridMultilevel"/>
    <w:tmpl w:val="EF9CD5EA"/>
    <w:lvl w:ilvl="0" w:tplc="0E240046">
      <w:start w:val="1"/>
      <w:numFmt w:val="bullet"/>
      <w:lvlText w:val="・"/>
      <w:lvlJc w:val="left"/>
      <w:pPr>
        <w:ind w:left="360" w:hanging="360"/>
      </w:pPr>
      <w:rPr>
        <w:rFonts w:ascii="MS Mincho" w:eastAsia="MS Mincho" w:hAnsi="MS Minch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D405C34"/>
    <w:multiLevelType w:val="multilevel"/>
    <w:tmpl w:val="D4A0A496"/>
    <w:numStyleLink w:val="AnnexPrime"/>
  </w:abstractNum>
  <w:abstractNum w:abstractNumId="30" w15:restartNumberingAfterBreak="0">
    <w:nsid w:val="52484A99"/>
    <w:multiLevelType w:val="multilevel"/>
    <w:tmpl w:val="D4A0A496"/>
    <w:styleLink w:val="AnnexPrime"/>
    <w:lvl w:ilvl="0">
      <w:start w:val="1"/>
      <w:numFmt w:val="upperLetter"/>
      <w:pStyle w:val="SAnnexHeading1"/>
      <w:lvlText w:val="Annex %1"/>
      <w:lvlJc w:val="left"/>
      <w:pPr>
        <w:tabs>
          <w:tab w:val="num" w:pos="1440"/>
        </w:tabs>
        <w:ind w:left="1440" w:hanging="1440"/>
      </w:pPr>
      <w:rPr>
        <w:rFonts w:hint="default"/>
      </w:rPr>
    </w:lvl>
    <w:lvl w:ilvl="1">
      <w:start w:val="1"/>
      <w:numFmt w:val="decimal"/>
      <w:pStyle w:val="SAnnexHeading2"/>
      <w:suff w:val="space"/>
      <w:lvlText w:val="%1.%2"/>
      <w:lvlJc w:val="left"/>
      <w:pPr>
        <w:ind w:left="1116" w:hanging="1116"/>
      </w:pPr>
      <w:rPr>
        <w:rFonts w:hint="default"/>
      </w:rPr>
    </w:lvl>
    <w:lvl w:ilvl="2">
      <w:start w:val="1"/>
      <w:numFmt w:val="decimal"/>
      <w:pStyle w:val="SAnnexHeading3"/>
      <w:suff w:val="space"/>
      <w:lvlText w:val="%1.%2.%3"/>
      <w:lvlJc w:val="left"/>
      <w:pPr>
        <w:ind w:left="1123" w:hanging="1123"/>
      </w:pPr>
      <w:rPr>
        <w:rFonts w:hint="default"/>
      </w:rPr>
    </w:lvl>
    <w:lvl w:ilvl="3">
      <w:start w:val="1"/>
      <w:numFmt w:val="decimal"/>
      <w:pStyle w:val="SAnnexHeading4"/>
      <w:suff w:val="space"/>
      <w:lvlText w:val="%1.%2.%3.%4"/>
      <w:lvlJc w:val="left"/>
      <w:pPr>
        <w:ind w:left="1123" w:hanging="1123"/>
      </w:pPr>
      <w:rPr>
        <w:rFonts w:hint="default"/>
      </w:rPr>
    </w:lvl>
    <w:lvl w:ilvl="4">
      <w:start w:val="1"/>
      <w:numFmt w:val="decimal"/>
      <w:pStyle w:val="SAnnexHeading5"/>
      <w:suff w:val="space"/>
      <w:lvlText w:val="%1.%2.%3.%4.%5"/>
      <w:lvlJc w:val="left"/>
      <w:pPr>
        <w:ind w:left="1123" w:hanging="1123"/>
      </w:pPr>
      <w:rPr>
        <w:rFonts w:hint="default"/>
      </w:rPr>
    </w:lvl>
    <w:lvl w:ilvl="5">
      <w:start w:val="1"/>
      <w:numFmt w:val="decimal"/>
      <w:pStyle w:val="SAnnex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2D44D27"/>
    <w:multiLevelType w:val="multilevel"/>
    <w:tmpl w:val="D4A0A496"/>
    <w:numStyleLink w:val="AnnexPrime"/>
  </w:abstractNum>
  <w:abstractNum w:abstractNumId="32" w15:restartNumberingAfterBreak="0">
    <w:nsid w:val="54FB76A3"/>
    <w:multiLevelType w:val="multilevel"/>
    <w:tmpl w:val="D4A0A496"/>
    <w:numStyleLink w:val="AnnexPrime"/>
  </w:abstractNum>
  <w:abstractNum w:abstractNumId="33" w15:restartNumberingAfterBreak="0">
    <w:nsid w:val="59B42404"/>
    <w:multiLevelType w:val="hybridMultilevel"/>
    <w:tmpl w:val="030C40E2"/>
    <w:lvl w:ilvl="0" w:tplc="C20CF3EA">
      <w:start w:val="1"/>
      <w:numFmt w:val="decimal"/>
      <w:lvlText w:val="%1"/>
      <w:lvlJc w:val="left"/>
      <w:pPr>
        <w:ind w:left="1100" w:hanging="11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EF05A6E"/>
    <w:multiLevelType w:val="hybridMultilevel"/>
    <w:tmpl w:val="D5BE905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F57628A"/>
    <w:multiLevelType w:val="hybridMultilevel"/>
    <w:tmpl w:val="7A708D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1D16047"/>
    <w:multiLevelType w:val="hybridMultilevel"/>
    <w:tmpl w:val="A0A2D2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B864F28"/>
    <w:multiLevelType w:val="multilevel"/>
    <w:tmpl w:val="303CF2C6"/>
    <w:lvl w:ilvl="0">
      <w:start w:val="1"/>
      <w:numFmt w:val="decimal"/>
      <w:lvlText w:val="%1"/>
      <w:lvlJc w:val="left"/>
      <w:pPr>
        <w:ind w:left="612" w:hanging="432"/>
      </w:p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6C0B31A2"/>
    <w:multiLevelType w:val="multilevel"/>
    <w:tmpl w:val="D4A0A496"/>
    <w:numStyleLink w:val="AnnexPrime"/>
  </w:abstractNum>
  <w:abstractNum w:abstractNumId="39" w15:restartNumberingAfterBreak="0">
    <w:nsid w:val="726D06E6"/>
    <w:multiLevelType w:val="multilevel"/>
    <w:tmpl w:val="D4A0A496"/>
    <w:numStyleLink w:val="AnnexPrime"/>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6"/>
  </w:num>
  <w:num w:numId="13">
    <w:abstractNumId w:val="34"/>
  </w:num>
  <w:num w:numId="14">
    <w:abstractNumId w:val="14"/>
  </w:num>
  <w:num w:numId="15">
    <w:abstractNumId w:val="35"/>
  </w:num>
  <w:num w:numId="16">
    <w:abstractNumId w:val="12"/>
  </w:num>
  <w:num w:numId="17">
    <w:abstractNumId w:val="36"/>
  </w:num>
  <w:num w:numId="18">
    <w:abstractNumId w:val="18"/>
  </w:num>
  <w:num w:numId="19">
    <w:abstractNumId w:val="20"/>
  </w:num>
  <w:num w:numId="20">
    <w:abstractNumId w:val="33"/>
  </w:num>
  <w:num w:numId="21">
    <w:abstractNumId w:val="13"/>
  </w:num>
  <w:num w:numId="22">
    <w:abstractNumId w:val="37"/>
  </w:num>
  <w:num w:numId="23">
    <w:abstractNumId w:val="27"/>
  </w:num>
  <w:num w:numId="24">
    <w:abstractNumId w:val="30"/>
  </w:num>
  <w:num w:numId="25">
    <w:abstractNumId w:val="31"/>
  </w:num>
  <w:num w:numId="26">
    <w:abstractNumId w:val="32"/>
  </w:num>
  <w:num w:numId="27">
    <w:abstractNumId w:val="38"/>
  </w:num>
  <w:num w:numId="28">
    <w:abstractNumId w:val="11"/>
  </w:num>
  <w:num w:numId="29">
    <w:abstractNumId w:val="29"/>
  </w:num>
  <w:num w:numId="30">
    <w:abstractNumId w:val="17"/>
  </w:num>
  <w:num w:numId="31">
    <w:abstractNumId w:val="39"/>
  </w:num>
  <w:num w:numId="32">
    <w:abstractNumId w:val="25"/>
  </w:num>
  <w:num w:numId="33">
    <w:abstractNumId w:val="19"/>
  </w:num>
  <w:num w:numId="34">
    <w:abstractNumId w:val="28"/>
  </w:num>
  <w:num w:numId="35">
    <w:abstractNumId w:val="21"/>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24"/>
  </w:num>
  <w:num w:numId="42">
    <w:abstractNumId w:val="10"/>
  </w:num>
  <w:num w:numId="43">
    <w:abstractNumId w:val="23"/>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ja-JP" w:vendorID="64" w:dllVersion="0"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v:textbox inset="5.85pt,.7pt,5.85pt,.7pt"/>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1454"/>
    <w:rsid w:val="00001D9E"/>
    <w:rsid w:val="00013002"/>
    <w:rsid w:val="0002120A"/>
    <w:rsid w:val="0002213E"/>
    <w:rsid w:val="000254F6"/>
    <w:rsid w:val="000325C6"/>
    <w:rsid w:val="00036EE3"/>
    <w:rsid w:val="000429FD"/>
    <w:rsid w:val="00042B17"/>
    <w:rsid w:val="00045A51"/>
    <w:rsid w:val="000541F3"/>
    <w:rsid w:val="00067FD6"/>
    <w:rsid w:val="00070A2F"/>
    <w:rsid w:val="00072484"/>
    <w:rsid w:val="000747FB"/>
    <w:rsid w:val="0008281C"/>
    <w:rsid w:val="0008789B"/>
    <w:rsid w:val="00091043"/>
    <w:rsid w:val="00096612"/>
    <w:rsid w:val="000A270C"/>
    <w:rsid w:val="000A3CE1"/>
    <w:rsid w:val="000A4386"/>
    <w:rsid w:val="000A4417"/>
    <w:rsid w:val="000A57A2"/>
    <w:rsid w:val="000A66F3"/>
    <w:rsid w:val="000B7683"/>
    <w:rsid w:val="000D0677"/>
    <w:rsid w:val="000E25EB"/>
    <w:rsid w:val="000E33FC"/>
    <w:rsid w:val="000E6979"/>
    <w:rsid w:val="000E6A6E"/>
    <w:rsid w:val="000F3CA3"/>
    <w:rsid w:val="000F58EC"/>
    <w:rsid w:val="000F6800"/>
    <w:rsid w:val="00102934"/>
    <w:rsid w:val="001142F0"/>
    <w:rsid w:val="00124C91"/>
    <w:rsid w:val="001442F2"/>
    <w:rsid w:val="00147110"/>
    <w:rsid w:val="00150CF9"/>
    <w:rsid w:val="001511A6"/>
    <w:rsid w:val="00151757"/>
    <w:rsid w:val="001517F5"/>
    <w:rsid w:val="00160E18"/>
    <w:rsid w:val="00164DBD"/>
    <w:rsid w:val="00166B27"/>
    <w:rsid w:val="00166BC3"/>
    <w:rsid w:val="00170F33"/>
    <w:rsid w:val="001718EA"/>
    <w:rsid w:val="00177A79"/>
    <w:rsid w:val="00177F5B"/>
    <w:rsid w:val="00182FB1"/>
    <w:rsid w:val="00187B07"/>
    <w:rsid w:val="00192065"/>
    <w:rsid w:val="001A1169"/>
    <w:rsid w:val="001A19D1"/>
    <w:rsid w:val="001A63B4"/>
    <w:rsid w:val="001B22EC"/>
    <w:rsid w:val="001B3E3B"/>
    <w:rsid w:val="001B5E4D"/>
    <w:rsid w:val="001B6EE0"/>
    <w:rsid w:val="001C05DF"/>
    <w:rsid w:val="001D660B"/>
    <w:rsid w:val="001E2457"/>
    <w:rsid w:val="001E292B"/>
    <w:rsid w:val="001E4C18"/>
    <w:rsid w:val="001F2203"/>
    <w:rsid w:val="001F571E"/>
    <w:rsid w:val="001F630F"/>
    <w:rsid w:val="001F717C"/>
    <w:rsid w:val="002058CE"/>
    <w:rsid w:val="00205930"/>
    <w:rsid w:val="00206E9E"/>
    <w:rsid w:val="00213BFD"/>
    <w:rsid w:val="00216229"/>
    <w:rsid w:val="002165F1"/>
    <w:rsid w:val="00234F71"/>
    <w:rsid w:val="002463E6"/>
    <w:rsid w:val="00251C90"/>
    <w:rsid w:val="002579B8"/>
    <w:rsid w:val="00261806"/>
    <w:rsid w:val="00263769"/>
    <w:rsid w:val="002669A4"/>
    <w:rsid w:val="00272686"/>
    <w:rsid w:val="0027601E"/>
    <w:rsid w:val="00276D21"/>
    <w:rsid w:val="002862E2"/>
    <w:rsid w:val="00290D9C"/>
    <w:rsid w:val="002920F7"/>
    <w:rsid w:val="00293D3E"/>
    <w:rsid w:val="00295CDE"/>
    <w:rsid w:val="00296D7F"/>
    <w:rsid w:val="00297230"/>
    <w:rsid w:val="00297E11"/>
    <w:rsid w:val="002A0A7F"/>
    <w:rsid w:val="002A18B8"/>
    <w:rsid w:val="002A5F51"/>
    <w:rsid w:val="002B3CF6"/>
    <w:rsid w:val="002C01B9"/>
    <w:rsid w:val="002C04D9"/>
    <w:rsid w:val="002C20A4"/>
    <w:rsid w:val="002C56F8"/>
    <w:rsid w:val="002C768A"/>
    <w:rsid w:val="002D1717"/>
    <w:rsid w:val="002D76C4"/>
    <w:rsid w:val="002E6FB3"/>
    <w:rsid w:val="002F08B5"/>
    <w:rsid w:val="002F2FE8"/>
    <w:rsid w:val="002F5199"/>
    <w:rsid w:val="002F6E4E"/>
    <w:rsid w:val="0030121D"/>
    <w:rsid w:val="003021A5"/>
    <w:rsid w:val="003028ED"/>
    <w:rsid w:val="00304EEF"/>
    <w:rsid w:val="00310BEF"/>
    <w:rsid w:val="00310BF5"/>
    <w:rsid w:val="00321C5D"/>
    <w:rsid w:val="00325BBC"/>
    <w:rsid w:val="003314FC"/>
    <w:rsid w:val="00333920"/>
    <w:rsid w:val="00333D5D"/>
    <w:rsid w:val="003422CA"/>
    <w:rsid w:val="00347820"/>
    <w:rsid w:val="0035116C"/>
    <w:rsid w:val="00356B5D"/>
    <w:rsid w:val="00360E73"/>
    <w:rsid w:val="00361277"/>
    <w:rsid w:val="00376707"/>
    <w:rsid w:val="00392E98"/>
    <w:rsid w:val="003A0629"/>
    <w:rsid w:val="003A1A4E"/>
    <w:rsid w:val="003A4A6E"/>
    <w:rsid w:val="003B62CB"/>
    <w:rsid w:val="003C1F31"/>
    <w:rsid w:val="003E72B5"/>
    <w:rsid w:val="003E7C37"/>
    <w:rsid w:val="004017E2"/>
    <w:rsid w:val="00406033"/>
    <w:rsid w:val="00410B45"/>
    <w:rsid w:val="00420DFD"/>
    <w:rsid w:val="00422937"/>
    <w:rsid w:val="00437A76"/>
    <w:rsid w:val="00442020"/>
    <w:rsid w:val="004428A8"/>
    <w:rsid w:val="00447B39"/>
    <w:rsid w:val="004563F9"/>
    <w:rsid w:val="00461523"/>
    <w:rsid w:val="00463B38"/>
    <w:rsid w:val="00463BF3"/>
    <w:rsid w:val="00467B2C"/>
    <w:rsid w:val="00470E28"/>
    <w:rsid w:val="00476B4D"/>
    <w:rsid w:val="00476F77"/>
    <w:rsid w:val="004820CD"/>
    <w:rsid w:val="00482ADC"/>
    <w:rsid w:val="00484C3A"/>
    <w:rsid w:val="00492182"/>
    <w:rsid w:val="004934C5"/>
    <w:rsid w:val="00494DA5"/>
    <w:rsid w:val="004C091F"/>
    <w:rsid w:val="004C30BA"/>
    <w:rsid w:val="004D026C"/>
    <w:rsid w:val="004D03C0"/>
    <w:rsid w:val="004D246A"/>
    <w:rsid w:val="004E116C"/>
    <w:rsid w:val="004E3FBF"/>
    <w:rsid w:val="004E64A1"/>
    <w:rsid w:val="004E7046"/>
    <w:rsid w:val="004F2D50"/>
    <w:rsid w:val="004F645F"/>
    <w:rsid w:val="004F6A27"/>
    <w:rsid w:val="00507F83"/>
    <w:rsid w:val="00512377"/>
    <w:rsid w:val="005126EB"/>
    <w:rsid w:val="00513028"/>
    <w:rsid w:val="00513079"/>
    <w:rsid w:val="00513D49"/>
    <w:rsid w:val="0051544D"/>
    <w:rsid w:val="0052451B"/>
    <w:rsid w:val="00524642"/>
    <w:rsid w:val="00524A42"/>
    <w:rsid w:val="00525226"/>
    <w:rsid w:val="00536101"/>
    <w:rsid w:val="00537086"/>
    <w:rsid w:val="00545C85"/>
    <w:rsid w:val="00547738"/>
    <w:rsid w:val="00553938"/>
    <w:rsid w:val="00553B77"/>
    <w:rsid w:val="00556548"/>
    <w:rsid w:val="00561BC3"/>
    <w:rsid w:val="00563622"/>
    <w:rsid w:val="0057020B"/>
    <w:rsid w:val="00577513"/>
    <w:rsid w:val="00585335"/>
    <w:rsid w:val="00586EF8"/>
    <w:rsid w:val="005A1C34"/>
    <w:rsid w:val="005A5409"/>
    <w:rsid w:val="005B02E6"/>
    <w:rsid w:val="005B4004"/>
    <w:rsid w:val="005B49AB"/>
    <w:rsid w:val="005B50E7"/>
    <w:rsid w:val="005B75F6"/>
    <w:rsid w:val="005C01E8"/>
    <w:rsid w:val="005E22C6"/>
    <w:rsid w:val="005E3A2D"/>
    <w:rsid w:val="005E5A15"/>
    <w:rsid w:val="005E7B4F"/>
    <w:rsid w:val="005F5282"/>
    <w:rsid w:val="005F7949"/>
    <w:rsid w:val="00601882"/>
    <w:rsid w:val="0060373E"/>
    <w:rsid w:val="00603D58"/>
    <w:rsid w:val="00607D68"/>
    <w:rsid w:val="0061063F"/>
    <w:rsid w:val="00613212"/>
    <w:rsid w:val="006149B1"/>
    <w:rsid w:val="0061542A"/>
    <w:rsid w:val="00615A6D"/>
    <w:rsid w:val="0061604F"/>
    <w:rsid w:val="00627E0C"/>
    <w:rsid w:val="00640135"/>
    <w:rsid w:val="00647829"/>
    <w:rsid w:val="00652B60"/>
    <w:rsid w:val="00655B2A"/>
    <w:rsid w:val="00656A19"/>
    <w:rsid w:val="0066379A"/>
    <w:rsid w:val="00663F9A"/>
    <w:rsid w:val="006734B9"/>
    <w:rsid w:val="0068022F"/>
    <w:rsid w:val="00680C6E"/>
    <w:rsid w:val="00680D2B"/>
    <w:rsid w:val="00681B32"/>
    <w:rsid w:val="00685CFD"/>
    <w:rsid w:val="00693384"/>
    <w:rsid w:val="006B1D2B"/>
    <w:rsid w:val="006B4BBC"/>
    <w:rsid w:val="006C1FD3"/>
    <w:rsid w:val="006D0942"/>
    <w:rsid w:val="006D2D7A"/>
    <w:rsid w:val="006D39BF"/>
    <w:rsid w:val="006D3C75"/>
    <w:rsid w:val="006E1131"/>
    <w:rsid w:val="006E2037"/>
    <w:rsid w:val="006E6199"/>
    <w:rsid w:val="007023CD"/>
    <w:rsid w:val="00706D5A"/>
    <w:rsid w:val="00706DE2"/>
    <w:rsid w:val="00712870"/>
    <w:rsid w:val="00713E85"/>
    <w:rsid w:val="00715F5F"/>
    <w:rsid w:val="0072628B"/>
    <w:rsid w:val="0073359E"/>
    <w:rsid w:val="0074019D"/>
    <w:rsid w:val="007409DA"/>
    <w:rsid w:val="007429CC"/>
    <w:rsid w:val="00743D85"/>
    <w:rsid w:val="00747FB8"/>
    <w:rsid w:val="00751DBF"/>
    <w:rsid w:val="00753CF4"/>
    <w:rsid w:val="00754387"/>
    <w:rsid w:val="007565CC"/>
    <w:rsid w:val="0076070F"/>
    <w:rsid w:val="00762AF6"/>
    <w:rsid w:val="00763B9A"/>
    <w:rsid w:val="007645DE"/>
    <w:rsid w:val="00774272"/>
    <w:rsid w:val="00774827"/>
    <w:rsid w:val="00774B4C"/>
    <w:rsid w:val="0079258A"/>
    <w:rsid w:val="00794726"/>
    <w:rsid w:val="00796FBB"/>
    <w:rsid w:val="007A6AA8"/>
    <w:rsid w:val="007A7331"/>
    <w:rsid w:val="007B103F"/>
    <w:rsid w:val="007C0D47"/>
    <w:rsid w:val="007E556F"/>
    <w:rsid w:val="007E5F08"/>
    <w:rsid w:val="007E7B89"/>
    <w:rsid w:val="007F132A"/>
    <w:rsid w:val="007F5210"/>
    <w:rsid w:val="007F6F17"/>
    <w:rsid w:val="00802661"/>
    <w:rsid w:val="00805896"/>
    <w:rsid w:val="00822EA2"/>
    <w:rsid w:val="00827053"/>
    <w:rsid w:val="008310C9"/>
    <w:rsid w:val="00833976"/>
    <w:rsid w:val="008339A4"/>
    <w:rsid w:val="0083590E"/>
    <w:rsid w:val="00842604"/>
    <w:rsid w:val="00853CC5"/>
    <w:rsid w:val="00854DA2"/>
    <w:rsid w:val="00856967"/>
    <w:rsid w:val="00870955"/>
    <w:rsid w:val="00872741"/>
    <w:rsid w:val="00876AC1"/>
    <w:rsid w:val="0087706D"/>
    <w:rsid w:val="008800B5"/>
    <w:rsid w:val="00881385"/>
    <w:rsid w:val="008825BF"/>
    <w:rsid w:val="00886BB3"/>
    <w:rsid w:val="008873FA"/>
    <w:rsid w:val="00891FD2"/>
    <w:rsid w:val="00895CE2"/>
    <w:rsid w:val="008A00A7"/>
    <w:rsid w:val="008A6299"/>
    <w:rsid w:val="008B186C"/>
    <w:rsid w:val="008B18BC"/>
    <w:rsid w:val="008C044A"/>
    <w:rsid w:val="008C163C"/>
    <w:rsid w:val="008C2459"/>
    <w:rsid w:val="008C30BF"/>
    <w:rsid w:val="008C5D83"/>
    <w:rsid w:val="008C7848"/>
    <w:rsid w:val="008D0A91"/>
    <w:rsid w:val="008E02D1"/>
    <w:rsid w:val="008E6F52"/>
    <w:rsid w:val="008F221F"/>
    <w:rsid w:val="00900F05"/>
    <w:rsid w:val="00901574"/>
    <w:rsid w:val="009052D2"/>
    <w:rsid w:val="00906589"/>
    <w:rsid w:val="00906AD6"/>
    <w:rsid w:val="00917AF2"/>
    <w:rsid w:val="0092121E"/>
    <w:rsid w:val="0092418A"/>
    <w:rsid w:val="0092469D"/>
    <w:rsid w:val="00930D81"/>
    <w:rsid w:val="00931BF2"/>
    <w:rsid w:val="00931EC0"/>
    <w:rsid w:val="00932BB7"/>
    <w:rsid w:val="00934ED7"/>
    <w:rsid w:val="0093523C"/>
    <w:rsid w:val="00937825"/>
    <w:rsid w:val="00940D3D"/>
    <w:rsid w:val="009543C3"/>
    <w:rsid w:val="00954742"/>
    <w:rsid w:val="00960724"/>
    <w:rsid w:val="00961204"/>
    <w:rsid w:val="00962353"/>
    <w:rsid w:val="00966E1B"/>
    <w:rsid w:val="00966E56"/>
    <w:rsid w:val="00975568"/>
    <w:rsid w:val="0097605A"/>
    <w:rsid w:val="00986810"/>
    <w:rsid w:val="00991158"/>
    <w:rsid w:val="00991D93"/>
    <w:rsid w:val="009947C0"/>
    <w:rsid w:val="009A5645"/>
    <w:rsid w:val="009B7848"/>
    <w:rsid w:val="009C01E3"/>
    <w:rsid w:val="009C1361"/>
    <w:rsid w:val="009C44D4"/>
    <w:rsid w:val="009E6038"/>
    <w:rsid w:val="009E7DDD"/>
    <w:rsid w:val="009F2D2C"/>
    <w:rsid w:val="00A04E44"/>
    <w:rsid w:val="00A075C9"/>
    <w:rsid w:val="00A258F4"/>
    <w:rsid w:val="00A26492"/>
    <w:rsid w:val="00A279B9"/>
    <w:rsid w:val="00A31928"/>
    <w:rsid w:val="00A477B3"/>
    <w:rsid w:val="00A529CC"/>
    <w:rsid w:val="00A53B4D"/>
    <w:rsid w:val="00A6144C"/>
    <w:rsid w:val="00A62A14"/>
    <w:rsid w:val="00A63669"/>
    <w:rsid w:val="00A65EA3"/>
    <w:rsid w:val="00A65F00"/>
    <w:rsid w:val="00A6617B"/>
    <w:rsid w:val="00A674EB"/>
    <w:rsid w:val="00A71FE5"/>
    <w:rsid w:val="00A72994"/>
    <w:rsid w:val="00A83E6B"/>
    <w:rsid w:val="00A84411"/>
    <w:rsid w:val="00A854B6"/>
    <w:rsid w:val="00A971A1"/>
    <w:rsid w:val="00AA3AD8"/>
    <w:rsid w:val="00AA3DBD"/>
    <w:rsid w:val="00AA743B"/>
    <w:rsid w:val="00AB0DC8"/>
    <w:rsid w:val="00AB21E5"/>
    <w:rsid w:val="00AB74C6"/>
    <w:rsid w:val="00AC34D8"/>
    <w:rsid w:val="00AC7B62"/>
    <w:rsid w:val="00AE6C36"/>
    <w:rsid w:val="00AF4E59"/>
    <w:rsid w:val="00B02F8C"/>
    <w:rsid w:val="00B033C8"/>
    <w:rsid w:val="00B133B6"/>
    <w:rsid w:val="00B27584"/>
    <w:rsid w:val="00B30F51"/>
    <w:rsid w:val="00B33425"/>
    <w:rsid w:val="00B35C53"/>
    <w:rsid w:val="00B41BF2"/>
    <w:rsid w:val="00B44E24"/>
    <w:rsid w:val="00B46161"/>
    <w:rsid w:val="00B54933"/>
    <w:rsid w:val="00B54ECC"/>
    <w:rsid w:val="00B623B8"/>
    <w:rsid w:val="00B66A4E"/>
    <w:rsid w:val="00B70783"/>
    <w:rsid w:val="00B714F3"/>
    <w:rsid w:val="00B753D5"/>
    <w:rsid w:val="00B8689B"/>
    <w:rsid w:val="00B87B6B"/>
    <w:rsid w:val="00B90A9B"/>
    <w:rsid w:val="00B920FE"/>
    <w:rsid w:val="00B93581"/>
    <w:rsid w:val="00B95751"/>
    <w:rsid w:val="00BA7676"/>
    <w:rsid w:val="00BB12B3"/>
    <w:rsid w:val="00BB4DFD"/>
    <w:rsid w:val="00BC3587"/>
    <w:rsid w:val="00BC4C39"/>
    <w:rsid w:val="00BC56EB"/>
    <w:rsid w:val="00BC5D77"/>
    <w:rsid w:val="00BC7DB1"/>
    <w:rsid w:val="00BE055B"/>
    <w:rsid w:val="00BE0E7A"/>
    <w:rsid w:val="00BE0E8B"/>
    <w:rsid w:val="00BE18D8"/>
    <w:rsid w:val="00BE23D2"/>
    <w:rsid w:val="00BF4440"/>
    <w:rsid w:val="00BF487A"/>
    <w:rsid w:val="00BF7BF0"/>
    <w:rsid w:val="00C00B3B"/>
    <w:rsid w:val="00C0379A"/>
    <w:rsid w:val="00C03C35"/>
    <w:rsid w:val="00C047A7"/>
    <w:rsid w:val="00C30EF3"/>
    <w:rsid w:val="00C33E0C"/>
    <w:rsid w:val="00C45C1D"/>
    <w:rsid w:val="00C46BD9"/>
    <w:rsid w:val="00C46C72"/>
    <w:rsid w:val="00C52EE0"/>
    <w:rsid w:val="00C54D10"/>
    <w:rsid w:val="00C55258"/>
    <w:rsid w:val="00C609F2"/>
    <w:rsid w:val="00C613BB"/>
    <w:rsid w:val="00C70DC4"/>
    <w:rsid w:val="00C71CAA"/>
    <w:rsid w:val="00C73560"/>
    <w:rsid w:val="00C8275E"/>
    <w:rsid w:val="00C83465"/>
    <w:rsid w:val="00C84BEA"/>
    <w:rsid w:val="00C874EE"/>
    <w:rsid w:val="00C907BC"/>
    <w:rsid w:val="00C937B1"/>
    <w:rsid w:val="00CA547E"/>
    <w:rsid w:val="00CB0F14"/>
    <w:rsid w:val="00CB2E91"/>
    <w:rsid w:val="00CB7627"/>
    <w:rsid w:val="00CC01AE"/>
    <w:rsid w:val="00CC1851"/>
    <w:rsid w:val="00CD51FA"/>
    <w:rsid w:val="00CD659B"/>
    <w:rsid w:val="00CE0A43"/>
    <w:rsid w:val="00CE1AE2"/>
    <w:rsid w:val="00CF20BF"/>
    <w:rsid w:val="00CF4063"/>
    <w:rsid w:val="00CF4DA8"/>
    <w:rsid w:val="00CF525E"/>
    <w:rsid w:val="00D11E23"/>
    <w:rsid w:val="00D147A8"/>
    <w:rsid w:val="00D1549B"/>
    <w:rsid w:val="00D1588E"/>
    <w:rsid w:val="00D20DEF"/>
    <w:rsid w:val="00D218DA"/>
    <w:rsid w:val="00D279BE"/>
    <w:rsid w:val="00D37EBF"/>
    <w:rsid w:val="00D51F33"/>
    <w:rsid w:val="00D52052"/>
    <w:rsid w:val="00D5538D"/>
    <w:rsid w:val="00D55A26"/>
    <w:rsid w:val="00D55A4F"/>
    <w:rsid w:val="00D563FC"/>
    <w:rsid w:val="00D56805"/>
    <w:rsid w:val="00D62776"/>
    <w:rsid w:val="00D71A0B"/>
    <w:rsid w:val="00D81D53"/>
    <w:rsid w:val="00D83556"/>
    <w:rsid w:val="00D8453D"/>
    <w:rsid w:val="00D93F79"/>
    <w:rsid w:val="00DA43F8"/>
    <w:rsid w:val="00DA5E62"/>
    <w:rsid w:val="00DA76A6"/>
    <w:rsid w:val="00DB1B00"/>
    <w:rsid w:val="00DB25A8"/>
    <w:rsid w:val="00DB63E5"/>
    <w:rsid w:val="00DB795C"/>
    <w:rsid w:val="00DC053A"/>
    <w:rsid w:val="00DC61A4"/>
    <w:rsid w:val="00DE0E7C"/>
    <w:rsid w:val="00DE2F90"/>
    <w:rsid w:val="00DF0975"/>
    <w:rsid w:val="00DF1FF6"/>
    <w:rsid w:val="00DF2BF2"/>
    <w:rsid w:val="00DF34C4"/>
    <w:rsid w:val="00DF4176"/>
    <w:rsid w:val="00E051D3"/>
    <w:rsid w:val="00E147EB"/>
    <w:rsid w:val="00E153B8"/>
    <w:rsid w:val="00E16C97"/>
    <w:rsid w:val="00E17240"/>
    <w:rsid w:val="00E2758B"/>
    <w:rsid w:val="00E30E1C"/>
    <w:rsid w:val="00E34577"/>
    <w:rsid w:val="00E37748"/>
    <w:rsid w:val="00E42566"/>
    <w:rsid w:val="00E426B5"/>
    <w:rsid w:val="00E47533"/>
    <w:rsid w:val="00E476C6"/>
    <w:rsid w:val="00E57E4E"/>
    <w:rsid w:val="00E60065"/>
    <w:rsid w:val="00E74595"/>
    <w:rsid w:val="00E76570"/>
    <w:rsid w:val="00E853BF"/>
    <w:rsid w:val="00E8546F"/>
    <w:rsid w:val="00E90093"/>
    <w:rsid w:val="00E935AC"/>
    <w:rsid w:val="00EA2CB3"/>
    <w:rsid w:val="00EB5233"/>
    <w:rsid w:val="00EB6715"/>
    <w:rsid w:val="00EB7C57"/>
    <w:rsid w:val="00EC63D1"/>
    <w:rsid w:val="00EC7B11"/>
    <w:rsid w:val="00ED2695"/>
    <w:rsid w:val="00ED348F"/>
    <w:rsid w:val="00EE7908"/>
    <w:rsid w:val="00EF4BC6"/>
    <w:rsid w:val="00EF655D"/>
    <w:rsid w:val="00F04ADC"/>
    <w:rsid w:val="00F05DD0"/>
    <w:rsid w:val="00F06F6F"/>
    <w:rsid w:val="00F12109"/>
    <w:rsid w:val="00F21E6C"/>
    <w:rsid w:val="00F30C9B"/>
    <w:rsid w:val="00F354B1"/>
    <w:rsid w:val="00F462EE"/>
    <w:rsid w:val="00F555BA"/>
    <w:rsid w:val="00F578BD"/>
    <w:rsid w:val="00F642AB"/>
    <w:rsid w:val="00F65312"/>
    <w:rsid w:val="00F91988"/>
    <w:rsid w:val="00F96FD0"/>
    <w:rsid w:val="00FA3A7B"/>
    <w:rsid w:val="00FA6C05"/>
    <w:rsid w:val="00FB0E4E"/>
    <w:rsid w:val="00FB0ED5"/>
    <w:rsid w:val="00FB5064"/>
    <w:rsid w:val="00FC0630"/>
    <w:rsid w:val="00FC2DA1"/>
    <w:rsid w:val="00FC42AF"/>
    <w:rsid w:val="00FC5E7F"/>
    <w:rsid w:val="00FD3FA0"/>
    <w:rsid w:val="00FD62ED"/>
    <w:rsid w:val="00FE52EA"/>
    <w:rsid w:val="00FE79FE"/>
    <w:rsid w:val="00FF0A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colormru v:ext="edit" colors="#d62a47"/>
    </o:shapedefaults>
    <o:shapelayout v:ext="edit">
      <o:idmap v:ext="edit" data="2"/>
    </o:shapelayout>
  </w:shapeDefaults>
  <w:decimalSymbol w:val="."/>
  <w:listSeparator w:val=","/>
  <w14:docId w14:val="583775D9"/>
  <w15:docId w15:val="{3257143D-7B92-46DA-8492-78DA3330C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6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8"/>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8"/>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8"/>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20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S Heading 1"/>
    <w:basedOn w:val="Normal"/>
    <w:next w:val="Normal"/>
    <w:link w:val="Heading1Char"/>
    <w:uiPriority w:val="9"/>
    <w:qFormat/>
    <w:rsid w:val="00BE23D2"/>
    <w:pPr>
      <w:keepNext/>
      <w:keepLines/>
      <w:spacing w:before="480"/>
      <w:ind w:left="794" w:hanging="794"/>
      <w:outlineLvl w:val="0"/>
    </w:pPr>
    <w:rPr>
      <w:b/>
    </w:rPr>
  </w:style>
  <w:style w:type="paragraph" w:styleId="Heading2">
    <w:name w:val="heading 2"/>
    <w:aliases w:val="S Heading 2"/>
    <w:basedOn w:val="Heading1"/>
    <w:next w:val="Normal"/>
    <w:link w:val="Heading2Char"/>
    <w:uiPriority w:val="9"/>
    <w:qFormat/>
    <w:rsid w:val="00BE23D2"/>
    <w:pPr>
      <w:spacing w:before="320"/>
      <w:outlineLvl w:val="1"/>
    </w:pPr>
  </w:style>
  <w:style w:type="paragraph" w:styleId="Heading3">
    <w:name w:val="heading 3"/>
    <w:aliases w:val="S Heading 3"/>
    <w:basedOn w:val="Heading1"/>
    <w:next w:val="Normal"/>
    <w:link w:val="Heading3Char"/>
    <w:uiPriority w:val="9"/>
    <w:qFormat/>
    <w:rsid w:val="00BE23D2"/>
    <w:pPr>
      <w:spacing w:before="200"/>
      <w:outlineLvl w:val="2"/>
    </w:pPr>
  </w:style>
  <w:style w:type="paragraph" w:styleId="Heading4">
    <w:name w:val="heading 4"/>
    <w:aliases w:val="S Heading 4"/>
    <w:basedOn w:val="Heading3"/>
    <w:next w:val="Normal"/>
    <w:link w:val="Heading4Char"/>
    <w:uiPriority w:val="9"/>
    <w:qFormat/>
    <w:rsid w:val="00BE23D2"/>
    <w:pPr>
      <w:tabs>
        <w:tab w:val="clear" w:pos="794"/>
        <w:tab w:val="left" w:pos="992"/>
      </w:tabs>
      <w:ind w:left="992" w:hanging="992"/>
      <w:outlineLvl w:val="3"/>
    </w:pPr>
  </w:style>
  <w:style w:type="paragraph" w:styleId="Heading5">
    <w:name w:val="heading 5"/>
    <w:aliases w:val="S Heading 5"/>
    <w:basedOn w:val="Heading4"/>
    <w:next w:val="Normal"/>
    <w:link w:val="Heading5Char"/>
    <w:uiPriority w:val="9"/>
    <w:qFormat/>
    <w:rsid w:val="00BE23D2"/>
    <w:pPr>
      <w:outlineLvl w:val="4"/>
    </w:pPr>
  </w:style>
  <w:style w:type="paragraph" w:styleId="Heading6">
    <w:name w:val="heading 6"/>
    <w:aliases w:val="S Heading 6"/>
    <w:basedOn w:val="Heading4"/>
    <w:next w:val="Normal"/>
    <w:link w:val="Heading6Char"/>
    <w:uiPriority w:val="9"/>
    <w:qFormat/>
    <w:rsid w:val="00BE23D2"/>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BE23D2"/>
    <w:pPr>
      <w:outlineLvl w:val="6"/>
    </w:pPr>
  </w:style>
  <w:style w:type="paragraph" w:styleId="Heading8">
    <w:name w:val="heading 8"/>
    <w:basedOn w:val="Heading6"/>
    <w:next w:val="Normal"/>
    <w:link w:val="Heading8Char"/>
    <w:uiPriority w:val="9"/>
    <w:qFormat/>
    <w:rsid w:val="00BE23D2"/>
    <w:pPr>
      <w:outlineLvl w:val="7"/>
    </w:pPr>
  </w:style>
  <w:style w:type="paragraph" w:styleId="Heading9">
    <w:name w:val="heading 9"/>
    <w:basedOn w:val="Heading6"/>
    <w:next w:val="Normal"/>
    <w:link w:val="Heading9Char"/>
    <w:uiPriority w:val="9"/>
    <w:qFormat/>
    <w:rsid w:val="00BE23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header"/>
    <w:basedOn w:val="Normal"/>
    <w:link w:val="HeaderChar"/>
    <w:uiPriority w:val="99"/>
    <w:qFormat/>
    <w:rsid w:val="00BE23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BE23D2"/>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BE23D2"/>
  </w:style>
  <w:style w:type="paragraph" w:customStyle="1" w:styleId="Headingb">
    <w:name w:val="Heading_b"/>
    <w:basedOn w:val="Heading3"/>
    <w:next w:val="Normal"/>
    <w:link w:val="HeadingbChar"/>
    <w:uiPriority w:val="99"/>
    <w:qFormat/>
    <w:rsid w:val="00BE23D2"/>
    <w:pPr>
      <w:spacing w:before="160"/>
      <w:ind w:left="0" w:firstLine="0"/>
      <w:outlineLvl w:val="9"/>
    </w:pPr>
  </w:style>
  <w:style w:type="paragraph" w:customStyle="1" w:styleId="Headingi">
    <w:name w:val="Heading_i"/>
    <w:basedOn w:val="Heading3"/>
    <w:next w:val="Normal"/>
    <w:qFormat/>
    <w:rsid w:val="00BE23D2"/>
    <w:pPr>
      <w:spacing w:before="160"/>
      <w:ind w:left="0" w:firstLine="0"/>
    </w:pPr>
    <w:rPr>
      <w:b w:val="0"/>
      <w:i/>
    </w:rPr>
  </w:style>
  <w:style w:type="character" w:customStyle="1" w:styleId="href">
    <w:name w:val="href"/>
    <w:basedOn w:val="DefaultParagraphFont"/>
    <w:rsid w:val="00BE23D2"/>
  </w:style>
  <w:style w:type="paragraph" w:customStyle="1" w:styleId="AnnexNoTitle">
    <w:name w:val="Annex_NoTitle"/>
    <w:basedOn w:val="Normal"/>
    <w:next w:val="Normalaftertitle"/>
    <w:rsid w:val="00192065"/>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qFormat/>
    <w:rsid w:val="00BE23D2"/>
    <w:pPr>
      <w:spacing w:before="320"/>
    </w:pPr>
  </w:style>
  <w:style w:type="paragraph" w:customStyle="1" w:styleId="enumlev2">
    <w:name w:val="enumlev2"/>
    <w:basedOn w:val="enumlev1"/>
    <w:rsid w:val="00BE23D2"/>
    <w:pPr>
      <w:ind w:left="1191" w:hanging="397"/>
    </w:pPr>
  </w:style>
  <w:style w:type="paragraph" w:customStyle="1" w:styleId="enumlev1">
    <w:name w:val="enumlev1"/>
    <w:basedOn w:val="Normal"/>
    <w:link w:val="enumlev1Char"/>
    <w:qFormat/>
    <w:rsid w:val="00BE23D2"/>
    <w:pPr>
      <w:spacing w:before="80"/>
      <w:ind w:left="794" w:hanging="794"/>
    </w:pPr>
  </w:style>
  <w:style w:type="paragraph" w:customStyle="1" w:styleId="enumlev3">
    <w:name w:val="enumlev3"/>
    <w:basedOn w:val="enumlev2"/>
    <w:qFormat/>
    <w:rsid w:val="00BE23D2"/>
    <w:pPr>
      <w:ind w:left="1588"/>
    </w:pPr>
  </w:style>
  <w:style w:type="paragraph" w:customStyle="1" w:styleId="Note">
    <w:name w:val="Note"/>
    <w:basedOn w:val="Normal"/>
    <w:rsid w:val="00BE23D2"/>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BE23D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E23D2"/>
    <w:pPr>
      <w:keepNext/>
      <w:keepLines/>
      <w:spacing w:before="240"/>
      <w:jc w:val="center"/>
    </w:pPr>
    <w:rPr>
      <w:b/>
      <w:sz w:val="28"/>
    </w:rPr>
  </w:style>
  <w:style w:type="paragraph" w:customStyle="1" w:styleId="Recref">
    <w:name w:val="Rec_ref"/>
    <w:basedOn w:val="Normal"/>
    <w:next w:val="Recdate"/>
    <w:qFormat/>
    <w:rsid w:val="00BE23D2"/>
    <w:pPr>
      <w:jc w:val="center"/>
    </w:pPr>
  </w:style>
  <w:style w:type="paragraph" w:customStyle="1" w:styleId="Recdate">
    <w:name w:val="Rec_date"/>
    <w:basedOn w:val="Recref"/>
    <w:next w:val="Normalaftertitle"/>
    <w:qFormat/>
    <w:rsid w:val="00BE23D2"/>
    <w:pPr>
      <w:jc w:val="right"/>
    </w:pPr>
  </w:style>
  <w:style w:type="paragraph" w:customStyle="1" w:styleId="HeadingSum">
    <w:name w:val="Heading_Sum"/>
    <w:basedOn w:val="Headingb"/>
    <w:next w:val="Normal"/>
    <w:autoRedefine/>
    <w:rsid w:val="00DC61A4"/>
    <w:pPr>
      <w:spacing w:before="240"/>
    </w:pPr>
    <w:rPr>
      <w:sz w:val="22"/>
      <w:szCs w:val="22"/>
      <w:lang w:val="en-US"/>
    </w:rPr>
  </w:style>
  <w:style w:type="paragraph" w:customStyle="1" w:styleId="AppendixNoTitle">
    <w:name w:val="Appendix_NoTitle"/>
    <w:basedOn w:val="AnnexNoTitle"/>
    <w:next w:val="Normal"/>
    <w:rsid w:val="00BE23D2"/>
  </w:style>
  <w:style w:type="paragraph" w:customStyle="1" w:styleId="Tablefin">
    <w:name w:val="Table_fin"/>
    <w:basedOn w:val="Normal"/>
    <w:next w:val="Normal"/>
    <w:qFormat/>
    <w:rsid w:val="00BE23D2"/>
    <w:pPr>
      <w:spacing w:before="0"/>
    </w:pPr>
    <w:rPr>
      <w:sz w:val="20"/>
      <w:lang w:val="en-GB"/>
    </w:rPr>
  </w:style>
  <w:style w:type="paragraph" w:customStyle="1" w:styleId="Tablehead">
    <w:name w:val="Table_head"/>
    <w:basedOn w:val="Normal"/>
    <w:next w:val="Normal"/>
    <w:link w:val="TableheadChar"/>
    <w:rsid w:val="00BE23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E23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BE23D2"/>
    <w:pPr>
      <w:keepNext/>
      <w:spacing w:before="360" w:after="120"/>
      <w:jc w:val="center"/>
    </w:pPr>
  </w:style>
  <w:style w:type="paragraph" w:customStyle="1" w:styleId="Tabletext">
    <w:name w:val="Table_text"/>
    <w:basedOn w:val="Normal"/>
    <w:link w:val="TabletextChar"/>
    <w:rsid w:val="001920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qFormat/>
    <w:rsid w:val="00BE23D2"/>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BE23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BE23D2"/>
    <w:pPr>
      <w:ind w:left="794"/>
    </w:pPr>
  </w:style>
  <w:style w:type="paragraph" w:customStyle="1" w:styleId="Figurelegend">
    <w:name w:val="Figure_legend"/>
    <w:basedOn w:val="Normal"/>
    <w:qFormat/>
    <w:rsid w:val="00BE23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BE23D2"/>
    <w:pPr>
      <w:keepNext/>
      <w:keepLines/>
      <w:spacing w:before="480" w:after="80"/>
      <w:jc w:val="center"/>
    </w:pPr>
    <w:rPr>
      <w:caps/>
      <w:sz w:val="18"/>
    </w:rPr>
  </w:style>
  <w:style w:type="paragraph" w:customStyle="1" w:styleId="Figuretitle">
    <w:name w:val="Figure_title"/>
    <w:basedOn w:val="Normal"/>
    <w:next w:val="Figure"/>
    <w:link w:val="FiguretitleChar"/>
    <w:qFormat/>
    <w:rsid w:val="00BE23D2"/>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BE23D2"/>
    <w:pPr>
      <w:keepNext w:val="0"/>
      <w:spacing w:before="0" w:after="240"/>
    </w:pPr>
  </w:style>
  <w:style w:type="paragraph" w:customStyle="1" w:styleId="tocpart">
    <w:name w:val="tocpart"/>
    <w:basedOn w:val="Normal"/>
    <w:rsid w:val="00BE23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BE23D2"/>
    <w:pPr>
      <w:keepNext/>
      <w:keepLines/>
      <w:spacing w:before="480"/>
      <w:jc w:val="center"/>
    </w:pPr>
    <w:rPr>
      <w:sz w:val="28"/>
    </w:rPr>
  </w:style>
  <w:style w:type="paragraph" w:customStyle="1" w:styleId="Arttitle">
    <w:name w:val="Art_title"/>
    <w:basedOn w:val="Normal"/>
    <w:next w:val="Normalaftertitle"/>
    <w:qFormat/>
    <w:rsid w:val="00BE23D2"/>
    <w:pPr>
      <w:keepNext/>
      <w:keepLines/>
      <w:spacing w:before="240"/>
      <w:jc w:val="center"/>
    </w:pPr>
    <w:rPr>
      <w:b/>
      <w:sz w:val="28"/>
    </w:rPr>
  </w:style>
  <w:style w:type="paragraph" w:customStyle="1" w:styleId="Blanc">
    <w:name w:val="Blanc"/>
    <w:basedOn w:val="Normal"/>
    <w:next w:val="Tabletext"/>
    <w:rsid w:val="00BE23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E23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BE23D2"/>
    <w:pPr>
      <w:keepNext/>
      <w:keepLines/>
      <w:spacing w:before="160"/>
      <w:ind w:left="794"/>
    </w:pPr>
    <w:rPr>
      <w:i/>
    </w:rPr>
  </w:style>
  <w:style w:type="paragraph" w:customStyle="1" w:styleId="ChapNo">
    <w:name w:val="Chap_No"/>
    <w:basedOn w:val="ArtNo"/>
    <w:next w:val="Chaptitle"/>
    <w:qFormat/>
    <w:rsid w:val="00BE23D2"/>
    <w:rPr>
      <w:b/>
    </w:rPr>
  </w:style>
  <w:style w:type="paragraph" w:customStyle="1" w:styleId="Chaptitle">
    <w:name w:val="Chap_title"/>
    <w:basedOn w:val="Arttitle"/>
    <w:next w:val="Normalaftertitle"/>
    <w:qFormat/>
    <w:rsid w:val="00BE23D2"/>
  </w:style>
  <w:style w:type="character" w:styleId="FootnoteReference">
    <w:name w:val="footnote reference"/>
    <w:basedOn w:val="DefaultParagraphFont"/>
    <w:qFormat/>
    <w:rsid w:val="00BE23D2"/>
    <w:rPr>
      <w:position w:val="6"/>
      <w:sz w:val="18"/>
    </w:rPr>
  </w:style>
  <w:style w:type="paragraph" w:styleId="FootnoteText">
    <w:name w:val="footnote text"/>
    <w:basedOn w:val="Normal"/>
    <w:link w:val="FootnoteTextChar"/>
    <w:qFormat/>
    <w:rsid w:val="00BE23D2"/>
    <w:pPr>
      <w:keepLines/>
      <w:tabs>
        <w:tab w:val="left" w:pos="255"/>
      </w:tabs>
      <w:ind w:left="255" w:hanging="255"/>
    </w:pPr>
    <w:rPr>
      <w:sz w:val="22"/>
    </w:rPr>
  </w:style>
  <w:style w:type="paragraph" w:styleId="Index1">
    <w:name w:val="index 1"/>
    <w:basedOn w:val="Normal"/>
    <w:next w:val="Normal"/>
    <w:semiHidden/>
    <w:rsid w:val="00BE23D2"/>
  </w:style>
  <w:style w:type="paragraph" w:styleId="Index2">
    <w:name w:val="index 2"/>
    <w:basedOn w:val="Normal"/>
    <w:next w:val="Normal"/>
    <w:semiHidden/>
    <w:rsid w:val="00BE23D2"/>
    <w:pPr>
      <w:ind w:left="283"/>
    </w:pPr>
  </w:style>
  <w:style w:type="paragraph" w:styleId="Index3">
    <w:name w:val="index 3"/>
    <w:basedOn w:val="Normal"/>
    <w:next w:val="Normal"/>
    <w:semiHidden/>
    <w:qFormat/>
    <w:rsid w:val="00BE23D2"/>
    <w:pPr>
      <w:ind w:left="566"/>
    </w:pPr>
  </w:style>
  <w:style w:type="paragraph" w:styleId="IndexHeading">
    <w:name w:val="index heading"/>
    <w:basedOn w:val="Normal"/>
    <w:next w:val="Index1"/>
    <w:rsid w:val="00BE23D2"/>
  </w:style>
  <w:style w:type="paragraph" w:customStyle="1" w:styleId="Line">
    <w:name w:val="Line"/>
    <w:basedOn w:val="Normal"/>
    <w:next w:val="Normal"/>
    <w:rsid w:val="00BE23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E23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BE23D2"/>
  </w:style>
  <w:style w:type="paragraph" w:customStyle="1" w:styleId="Partref">
    <w:name w:val="Part_ref"/>
    <w:basedOn w:val="Normal"/>
    <w:next w:val="Normal"/>
    <w:qFormat/>
    <w:rsid w:val="00BE23D2"/>
    <w:pPr>
      <w:keepNext/>
      <w:keepLines/>
      <w:spacing w:after="280"/>
      <w:jc w:val="center"/>
    </w:pPr>
  </w:style>
  <w:style w:type="paragraph" w:customStyle="1" w:styleId="Parttitle">
    <w:name w:val="Part_title"/>
    <w:basedOn w:val="Normal"/>
    <w:next w:val="Normalaftertitle"/>
    <w:rsid w:val="00BE23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E23D2"/>
  </w:style>
  <w:style w:type="paragraph" w:customStyle="1" w:styleId="QuestionNo">
    <w:name w:val="Question_No"/>
    <w:basedOn w:val="RecNo"/>
    <w:next w:val="Normal"/>
    <w:rsid w:val="00BE23D2"/>
  </w:style>
  <w:style w:type="paragraph" w:customStyle="1" w:styleId="Questionref">
    <w:name w:val="Question_ref"/>
    <w:basedOn w:val="Recref"/>
    <w:next w:val="Questiondate"/>
    <w:rsid w:val="00BE23D2"/>
  </w:style>
  <w:style w:type="paragraph" w:customStyle="1" w:styleId="Questiontitle">
    <w:name w:val="Question_title"/>
    <w:basedOn w:val="Normal"/>
    <w:next w:val="Questionref"/>
    <w:qFormat/>
    <w:rsid w:val="00BE23D2"/>
  </w:style>
  <w:style w:type="paragraph" w:customStyle="1" w:styleId="Reftext">
    <w:name w:val="Ref_text"/>
    <w:basedOn w:val="Normal"/>
    <w:rsid w:val="00BE23D2"/>
    <w:pPr>
      <w:ind w:left="794" w:hanging="794"/>
    </w:pPr>
    <w:rPr>
      <w:sz w:val="22"/>
    </w:rPr>
  </w:style>
  <w:style w:type="paragraph" w:customStyle="1" w:styleId="Reftitle">
    <w:name w:val="Ref_title"/>
    <w:basedOn w:val="Normal"/>
    <w:next w:val="Reftext"/>
    <w:qFormat/>
    <w:rsid w:val="00BE23D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E23D2"/>
  </w:style>
  <w:style w:type="paragraph" w:customStyle="1" w:styleId="RepNo">
    <w:name w:val="Rep_No"/>
    <w:basedOn w:val="RecNo"/>
    <w:next w:val="Reptitle"/>
    <w:qFormat/>
    <w:rsid w:val="00BE23D2"/>
  </w:style>
  <w:style w:type="paragraph" w:customStyle="1" w:styleId="Reptitle">
    <w:name w:val="Rep_title"/>
    <w:basedOn w:val="Rectitle"/>
    <w:next w:val="Repref"/>
    <w:rsid w:val="00BE23D2"/>
  </w:style>
  <w:style w:type="paragraph" w:customStyle="1" w:styleId="Repref">
    <w:name w:val="Rep_ref"/>
    <w:basedOn w:val="Recref"/>
    <w:next w:val="Repdate"/>
    <w:qFormat/>
    <w:rsid w:val="00BE23D2"/>
  </w:style>
  <w:style w:type="paragraph" w:customStyle="1" w:styleId="Resdate">
    <w:name w:val="Res_date"/>
    <w:basedOn w:val="Recdate"/>
    <w:next w:val="Normalaftertitle"/>
    <w:qFormat/>
    <w:rsid w:val="00BE23D2"/>
  </w:style>
  <w:style w:type="paragraph" w:customStyle="1" w:styleId="ResNo">
    <w:name w:val="Res_No"/>
    <w:basedOn w:val="RecNo"/>
    <w:next w:val="Restitle"/>
    <w:rsid w:val="00BE23D2"/>
  </w:style>
  <w:style w:type="paragraph" w:customStyle="1" w:styleId="Restitle">
    <w:name w:val="Res_title"/>
    <w:basedOn w:val="Normal"/>
    <w:next w:val="Resref"/>
    <w:qFormat/>
    <w:rsid w:val="00BE23D2"/>
    <w:pPr>
      <w:spacing w:before="240"/>
      <w:jc w:val="center"/>
    </w:pPr>
    <w:rPr>
      <w:b/>
      <w:sz w:val="28"/>
    </w:rPr>
  </w:style>
  <w:style w:type="paragraph" w:customStyle="1" w:styleId="Resref">
    <w:name w:val="Res_ref"/>
    <w:basedOn w:val="Recref"/>
    <w:next w:val="Resdate"/>
    <w:rsid w:val="00BE23D2"/>
  </w:style>
  <w:style w:type="paragraph" w:customStyle="1" w:styleId="SectionNo">
    <w:name w:val="Section_No"/>
    <w:basedOn w:val="Normal"/>
    <w:next w:val="Normal"/>
    <w:qFormat/>
    <w:rsid w:val="00BE23D2"/>
  </w:style>
  <w:style w:type="paragraph" w:customStyle="1" w:styleId="Sectiontitle">
    <w:name w:val="Section_title"/>
    <w:basedOn w:val="Normal"/>
    <w:next w:val="Normalaftertitle"/>
    <w:qFormat/>
    <w:rsid w:val="00BE23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E23D2"/>
    <w:pPr>
      <w:tabs>
        <w:tab w:val="clear" w:pos="794"/>
        <w:tab w:val="clear" w:pos="1191"/>
        <w:tab w:val="clear" w:pos="1588"/>
        <w:tab w:val="clear" w:pos="1985"/>
        <w:tab w:val="right" w:pos="9611"/>
      </w:tabs>
    </w:pPr>
    <w:rPr>
      <w:i/>
    </w:rPr>
  </w:style>
  <w:style w:type="paragraph" w:styleId="TOC1">
    <w:name w:val="toc 1"/>
    <w:basedOn w:val="Normal"/>
    <w:uiPriority w:val="39"/>
    <w:qFormat/>
    <w:rsid w:val="00BE23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BE23D2"/>
    <w:pPr>
      <w:tabs>
        <w:tab w:val="clear" w:pos="567"/>
        <w:tab w:val="left" w:pos="1276"/>
      </w:tabs>
      <w:spacing w:before="160"/>
      <w:ind w:left="1276" w:hanging="709"/>
    </w:pPr>
  </w:style>
  <w:style w:type="paragraph" w:styleId="TOC3">
    <w:name w:val="toc 3"/>
    <w:basedOn w:val="TOC2"/>
    <w:uiPriority w:val="39"/>
    <w:qFormat/>
    <w:rsid w:val="00BE23D2"/>
    <w:pPr>
      <w:tabs>
        <w:tab w:val="clear" w:pos="1276"/>
        <w:tab w:val="left" w:pos="2155"/>
      </w:tabs>
      <w:ind w:left="2155" w:hanging="879"/>
    </w:pPr>
  </w:style>
  <w:style w:type="paragraph" w:styleId="TOC4">
    <w:name w:val="toc 4"/>
    <w:basedOn w:val="TOC3"/>
    <w:uiPriority w:val="39"/>
    <w:qFormat/>
    <w:rsid w:val="00BE23D2"/>
    <w:pPr>
      <w:tabs>
        <w:tab w:val="left" w:pos="3261"/>
      </w:tabs>
      <w:spacing w:before="80"/>
      <w:ind w:left="3261" w:hanging="993"/>
    </w:pPr>
  </w:style>
  <w:style w:type="paragraph" w:styleId="TOC5">
    <w:name w:val="toc 5"/>
    <w:basedOn w:val="TOC4"/>
    <w:uiPriority w:val="39"/>
    <w:qFormat/>
    <w:rsid w:val="00BE23D2"/>
  </w:style>
  <w:style w:type="paragraph" w:styleId="TOC6">
    <w:name w:val="toc 6"/>
    <w:basedOn w:val="TOC4"/>
    <w:uiPriority w:val="39"/>
    <w:qFormat/>
    <w:rsid w:val="00BE23D2"/>
  </w:style>
  <w:style w:type="paragraph" w:styleId="TOC7">
    <w:name w:val="toc 7"/>
    <w:basedOn w:val="TOC4"/>
    <w:uiPriority w:val="39"/>
    <w:rsid w:val="00BE23D2"/>
  </w:style>
  <w:style w:type="paragraph" w:styleId="TOC8">
    <w:name w:val="toc 8"/>
    <w:basedOn w:val="TOC4"/>
    <w:uiPriority w:val="39"/>
    <w:qFormat/>
    <w:rsid w:val="00BE23D2"/>
  </w:style>
  <w:style w:type="paragraph" w:customStyle="1" w:styleId="Annexref">
    <w:name w:val="Annex_ref"/>
    <w:basedOn w:val="Normal"/>
    <w:next w:val="Normalaftertitle"/>
    <w:qFormat/>
    <w:rsid w:val="00BE23D2"/>
    <w:pPr>
      <w:keepNext/>
      <w:keepLines/>
      <w:spacing w:after="280"/>
      <w:jc w:val="center"/>
    </w:pPr>
  </w:style>
  <w:style w:type="paragraph" w:customStyle="1" w:styleId="Appendixref">
    <w:name w:val="Appendix_ref"/>
    <w:basedOn w:val="Annexref"/>
    <w:next w:val="Normalaftertitle"/>
    <w:qFormat/>
    <w:rsid w:val="00BE23D2"/>
  </w:style>
  <w:style w:type="paragraph" w:customStyle="1" w:styleId="Tabletitle">
    <w:name w:val="Table_title"/>
    <w:basedOn w:val="Normal"/>
    <w:next w:val="Tablehead"/>
    <w:link w:val="TabletitleChar"/>
    <w:rsid w:val="00BE23D2"/>
    <w:pPr>
      <w:keepNext/>
      <w:spacing w:before="0" w:after="120"/>
      <w:jc w:val="center"/>
    </w:pPr>
    <w:rPr>
      <w:b/>
    </w:rPr>
  </w:style>
  <w:style w:type="paragraph" w:customStyle="1" w:styleId="Summary">
    <w:name w:val="Summary"/>
    <w:basedOn w:val="Normal"/>
    <w:next w:val="Normalaftertitle"/>
    <w:autoRedefine/>
    <w:rsid w:val="00DC61A4"/>
    <w:pPr>
      <w:spacing w:after="480"/>
    </w:pPr>
    <w:rPr>
      <w:sz w:val="22"/>
      <w:szCs w:val="22"/>
      <w:lang w:val="en-US" w:eastAsia="es-ES"/>
    </w:rPr>
  </w:style>
  <w:style w:type="character" w:styleId="Hyperlink">
    <w:name w:val="Hyperlink"/>
    <w:aliases w:val="S Hyperlink"/>
    <w:basedOn w:val="DefaultParagraphFont"/>
    <w:uiPriority w:val="99"/>
    <w:qFormat/>
    <w:rsid w:val="00934ED7"/>
    <w:rPr>
      <w:color w:val="0000FF"/>
      <w:u w:val="single"/>
    </w:rPr>
  </w:style>
  <w:style w:type="paragraph" w:customStyle="1" w:styleId="TableLegendNote">
    <w:name w:val="Table_Legend_Note"/>
    <w:basedOn w:val="Tablelegend"/>
    <w:next w:val="Tablelegend"/>
    <w:rsid w:val="00BE23D2"/>
    <w:pPr>
      <w:ind w:left="-85" w:firstLine="0"/>
    </w:pPr>
    <w:rPr>
      <w:lang w:val="en-US"/>
    </w:rPr>
  </w:style>
  <w:style w:type="character" w:customStyle="1" w:styleId="enumlev1Char">
    <w:name w:val="enumlev1 Char"/>
    <w:basedOn w:val="DefaultParagraphFont"/>
    <w:link w:val="enumlev1"/>
    <w:locked/>
    <w:rsid w:val="00164DBD"/>
    <w:rPr>
      <w:sz w:val="24"/>
      <w:lang w:val="fr-FR" w:eastAsia="en-US"/>
    </w:rPr>
  </w:style>
  <w:style w:type="character" w:customStyle="1" w:styleId="TableNoChar">
    <w:name w:val="Table_No Char"/>
    <w:basedOn w:val="DefaultParagraphFont"/>
    <w:link w:val="TableNo"/>
    <w:rsid w:val="0097605A"/>
    <w:rPr>
      <w:sz w:val="24"/>
      <w:lang w:val="fr-FR" w:eastAsia="en-US"/>
    </w:rPr>
  </w:style>
  <w:style w:type="character" w:customStyle="1" w:styleId="TabletextChar">
    <w:name w:val="Table_text Char"/>
    <w:basedOn w:val="DefaultParagraphFont"/>
    <w:link w:val="Tabletext"/>
    <w:qFormat/>
    <w:rsid w:val="00192065"/>
    <w:rPr>
      <w:sz w:val="22"/>
      <w:lang w:val="fr-FR" w:eastAsia="en-US"/>
    </w:rPr>
  </w:style>
  <w:style w:type="character" w:customStyle="1" w:styleId="TabletitleChar">
    <w:name w:val="Table_title Char"/>
    <w:basedOn w:val="DefaultParagraphFont"/>
    <w:link w:val="Tabletitle"/>
    <w:rsid w:val="0097605A"/>
    <w:rPr>
      <w:b/>
      <w:sz w:val="24"/>
      <w:lang w:val="fr-FR" w:eastAsia="en-US"/>
    </w:rPr>
  </w:style>
  <w:style w:type="character" w:customStyle="1" w:styleId="Heading1Char">
    <w:name w:val="Heading 1 Char"/>
    <w:aliases w:val="S Heading 1 Char"/>
    <w:basedOn w:val="DefaultParagraphFont"/>
    <w:link w:val="Heading1"/>
    <w:uiPriority w:val="9"/>
    <w:qFormat/>
    <w:rsid w:val="0097605A"/>
    <w:rPr>
      <w:b/>
      <w:sz w:val="24"/>
      <w:lang w:val="fr-FR" w:eastAsia="en-US"/>
    </w:rPr>
  </w:style>
  <w:style w:type="character" w:customStyle="1" w:styleId="Heading2Char">
    <w:name w:val="Heading 2 Char"/>
    <w:aliases w:val="S Heading 2 Char"/>
    <w:basedOn w:val="DefaultParagraphFont"/>
    <w:link w:val="Heading2"/>
    <w:uiPriority w:val="9"/>
    <w:qFormat/>
    <w:rsid w:val="0097605A"/>
    <w:rPr>
      <w:b/>
      <w:sz w:val="24"/>
      <w:lang w:val="fr-FR" w:eastAsia="en-US"/>
    </w:rPr>
  </w:style>
  <w:style w:type="character" w:customStyle="1" w:styleId="Heading3Char">
    <w:name w:val="Heading 3 Char"/>
    <w:aliases w:val="S Heading 3 Char"/>
    <w:basedOn w:val="DefaultParagraphFont"/>
    <w:link w:val="Heading3"/>
    <w:uiPriority w:val="9"/>
    <w:qFormat/>
    <w:rsid w:val="0097605A"/>
    <w:rPr>
      <w:b/>
      <w:sz w:val="24"/>
      <w:lang w:val="fr-FR" w:eastAsia="en-US"/>
    </w:rPr>
  </w:style>
  <w:style w:type="character" w:customStyle="1" w:styleId="Heading4Char">
    <w:name w:val="Heading 4 Char"/>
    <w:aliases w:val="S Heading 4 Char"/>
    <w:basedOn w:val="DefaultParagraphFont"/>
    <w:link w:val="Heading4"/>
    <w:uiPriority w:val="9"/>
    <w:qFormat/>
    <w:rsid w:val="0097605A"/>
    <w:rPr>
      <w:b/>
      <w:sz w:val="24"/>
      <w:lang w:val="fr-FR" w:eastAsia="en-US"/>
    </w:rPr>
  </w:style>
  <w:style w:type="character" w:customStyle="1" w:styleId="Heading5Char">
    <w:name w:val="Heading 5 Char"/>
    <w:aliases w:val="S Heading 5 Char"/>
    <w:basedOn w:val="DefaultParagraphFont"/>
    <w:link w:val="Heading5"/>
    <w:uiPriority w:val="9"/>
    <w:qFormat/>
    <w:rsid w:val="0097605A"/>
    <w:rPr>
      <w:b/>
      <w:sz w:val="24"/>
      <w:lang w:val="fr-FR" w:eastAsia="en-US"/>
    </w:rPr>
  </w:style>
  <w:style w:type="character" w:customStyle="1" w:styleId="Heading6Char">
    <w:name w:val="Heading 6 Char"/>
    <w:aliases w:val="S Heading 6 Char"/>
    <w:basedOn w:val="DefaultParagraphFont"/>
    <w:link w:val="Heading6"/>
    <w:uiPriority w:val="9"/>
    <w:qFormat/>
    <w:rsid w:val="0097605A"/>
    <w:rPr>
      <w:b/>
      <w:sz w:val="24"/>
      <w:lang w:val="fr-FR" w:eastAsia="en-US"/>
    </w:rPr>
  </w:style>
  <w:style w:type="character" w:customStyle="1" w:styleId="Heading7Char">
    <w:name w:val="Heading 7 Char"/>
    <w:basedOn w:val="DefaultParagraphFont"/>
    <w:link w:val="Heading7"/>
    <w:uiPriority w:val="9"/>
    <w:rsid w:val="0097605A"/>
    <w:rPr>
      <w:b/>
      <w:sz w:val="24"/>
      <w:lang w:val="fr-FR" w:eastAsia="en-US"/>
    </w:rPr>
  </w:style>
  <w:style w:type="character" w:customStyle="1" w:styleId="Heading8Char">
    <w:name w:val="Heading 8 Char"/>
    <w:basedOn w:val="DefaultParagraphFont"/>
    <w:link w:val="Heading8"/>
    <w:uiPriority w:val="9"/>
    <w:rsid w:val="0097605A"/>
    <w:rPr>
      <w:b/>
      <w:sz w:val="24"/>
      <w:lang w:val="fr-FR" w:eastAsia="en-US"/>
    </w:rPr>
  </w:style>
  <w:style w:type="character" w:customStyle="1" w:styleId="Heading9Char">
    <w:name w:val="Heading 9 Char"/>
    <w:basedOn w:val="DefaultParagraphFont"/>
    <w:link w:val="Heading9"/>
    <w:uiPriority w:val="9"/>
    <w:rsid w:val="0097605A"/>
    <w:rPr>
      <w:b/>
      <w:sz w:val="24"/>
      <w:lang w:val="fr-FR"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qFormat/>
    <w:rsid w:val="0097605A"/>
    <w:rPr>
      <w:sz w:val="24"/>
      <w:lang w:val="fr-FR" w:eastAsia="en-US"/>
    </w:rPr>
  </w:style>
  <w:style w:type="character" w:customStyle="1" w:styleId="FooterChar">
    <w:name w:val="Footer Char"/>
    <w:basedOn w:val="DefaultParagraphFont"/>
    <w:link w:val="Footer"/>
    <w:uiPriority w:val="99"/>
    <w:qFormat/>
    <w:rsid w:val="0097605A"/>
    <w:rPr>
      <w:noProof/>
      <w:sz w:val="18"/>
      <w:lang w:val="fr-FR" w:eastAsia="en-US"/>
    </w:rPr>
  </w:style>
  <w:style w:type="character" w:customStyle="1" w:styleId="HeadingbChar">
    <w:name w:val="Heading_b Char"/>
    <w:basedOn w:val="DefaultParagraphFont"/>
    <w:link w:val="Headingb"/>
    <w:uiPriority w:val="99"/>
    <w:locked/>
    <w:rsid w:val="0097605A"/>
    <w:rPr>
      <w:b/>
      <w:sz w:val="24"/>
      <w:lang w:val="fr-FR" w:eastAsia="en-US"/>
    </w:rPr>
  </w:style>
  <w:style w:type="character" w:customStyle="1" w:styleId="FiguretitleChar">
    <w:name w:val="Figure_title Char"/>
    <w:basedOn w:val="DefaultParagraphFont"/>
    <w:link w:val="Figuretitle"/>
    <w:locked/>
    <w:rsid w:val="0097605A"/>
    <w:rPr>
      <w:rFonts w:ascii="Times New Roman Bold" w:hAnsi="Times New Roman Bold"/>
      <w:b/>
      <w:sz w:val="18"/>
      <w:lang w:val="fr-FR" w:eastAsia="en-US"/>
    </w:rPr>
  </w:style>
  <w:style w:type="character" w:customStyle="1" w:styleId="FigureNoChar">
    <w:name w:val="Figure_No Char"/>
    <w:basedOn w:val="DefaultParagraphFont"/>
    <w:link w:val="FigureNo"/>
    <w:rsid w:val="0097605A"/>
    <w:rPr>
      <w:caps/>
      <w:sz w:val="18"/>
      <w:lang w:val="fr-FR" w:eastAsia="en-US"/>
    </w:rPr>
  </w:style>
  <w:style w:type="character" w:customStyle="1" w:styleId="FootnoteTextChar">
    <w:name w:val="Footnote Text Char"/>
    <w:basedOn w:val="DefaultParagraphFont"/>
    <w:link w:val="FootnoteText"/>
    <w:qFormat/>
    <w:rsid w:val="0097605A"/>
    <w:rPr>
      <w:sz w:val="22"/>
      <w:lang w:val="fr-FR" w:eastAsia="en-US"/>
    </w:rPr>
  </w:style>
  <w:style w:type="paragraph" w:customStyle="1" w:styleId="Normalaftertitle0">
    <w:name w:val="Normal after title"/>
    <w:basedOn w:val="Normal"/>
    <w:next w:val="Normal"/>
    <w:qFormat/>
    <w:rsid w:val="0097605A"/>
    <w:pPr>
      <w:tabs>
        <w:tab w:val="clear" w:pos="794"/>
        <w:tab w:val="clear" w:pos="1191"/>
        <w:tab w:val="clear" w:pos="1588"/>
        <w:tab w:val="clear" w:pos="1985"/>
        <w:tab w:val="left" w:pos="1134"/>
        <w:tab w:val="left" w:pos="1871"/>
        <w:tab w:val="left" w:pos="2268"/>
      </w:tabs>
      <w:spacing w:before="280"/>
      <w:jc w:val="left"/>
    </w:pPr>
    <w:rPr>
      <w:lang w:val="en-GB"/>
    </w:rPr>
  </w:style>
  <w:style w:type="table" w:styleId="TableGrid">
    <w:name w:val="Table Grid"/>
    <w:aliases w:val="DSW Content Table"/>
    <w:basedOn w:val="TableNormal"/>
    <w:qFormat/>
    <w:rsid w:val="00976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qFormat/>
    <w:rsid w:val="00293D3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qFormat/>
    <w:rsid w:val="00293D3E"/>
    <w:rPr>
      <w:vertAlign w:val="superscript"/>
    </w:rPr>
  </w:style>
  <w:style w:type="paragraph" w:customStyle="1" w:styleId="Figurewithouttitle">
    <w:name w:val="Figure_without_title"/>
    <w:basedOn w:val="FigureNo"/>
    <w:next w:val="Normal"/>
    <w:rsid w:val="00293D3E"/>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293D3E"/>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qFormat/>
    <w:rsid w:val="00293D3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rsid w:val="00293D3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qFormat/>
    <w:rsid w:val="00293D3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qFormat/>
    <w:rsid w:val="00293D3E"/>
    <w:pPr>
      <w:tabs>
        <w:tab w:val="left" w:pos="567"/>
        <w:tab w:val="left" w:pos="1701"/>
        <w:tab w:val="left" w:pos="2835"/>
      </w:tabs>
      <w:spacing w:before="240"/>
    </w:pPr>
    <w:rPr>
      <w:b w:val="0"/>
      <w:caps/>
    </w:rPr>
  </w:style>
  <w:style w:type="paragraph" w:customStyle="1" w:styleId="Title2">
    <w:name w:val="Title 2"/>
    <w:basedOn w:val="Source"/>
    <w:next w:val="Normal"/>
    <w:qFormat/>
    <w:rsid w:val="00293D3E"/>
    <w:pPr>
      <w:overflowPunct/>
      <w:autoSpaceDE/>
      <w:autoSpaceDN/>
      <w:adjustRightInd/>
      <w:spacing w:before="480"/>
      <w:textAlignment w:val="auto"/>
    </w:pPr>
    <w:rPr>
      <w:b w:val="0"/>
      <w:caps/>
    </w:rPr>
  </w:style>
  <w:style w:type="paragraph" w:customStyle="1" w:styleId="Title3">
    <w:name w:val="Title 3"/>
    <w:basedOn w:val="Title2"/>
    <w:next w:val="Normal"/>
    <w:rsid w:val="00293D3E"/>
    <w:pPr>
      <w:spacing w:before="240"/>
    </w:pPr>
    <w:rPr>
      <w:caps w:val="0"/>
    </w:rPr>
  </w:style>
  <w:style w:type="paragraph" w:customStyle="1" w:styleId="Title4">
    <w:name w:val="Title 4"/>
    <w:basedOn w:val="Title3"/>
    <w:next w:val="Heading1"/>
    <w:rsid w:val="00293D3E"/>
    <w:rPr>
      <w:b/>
    </w:rPr>
  </w:style>
  <w:style w:type="character" w:customStyle="1" w:styleId="Appdef">
    <w:name w:val="App_def"/>
    <w:basedOn w:val="DefaultParagraphFont"/>
    <w:qFormat/>
    <w:rsid w:val="00293D3E"/>
    <w:rPr>
      <w:rFonts w:ascii="Times New Roman" w:hAnsi="Times New Roman"/>
      <w:b/>
    </w:rPr>
  </w:style>
  <w:style w:type="character" w:customStyle="1" w:styleId="Appref">
    <w:name w:val="App_ref"/>
    <w:basedOn w:val="DefaultParagraphFont"/>
    <w:qFormat/>
    <w:rsid w:val="00293D3E"/>
  </w:style>
  <w:style w:type="character" w:customStyle="1" w:styleId="Artdef">
    <w:name w:val="Art_def"/>
    <w:basedOn w:val="DefaultParagraphFont"/>
    <w:qFormat/>
    <w:rsid w:val="00293D3E"/>
    <w:rPr>
      <w:rFonts w:ascii="Times New Roman" w:hAnsi="Times New Roman"/>
      <w:b/>
    </w:rPr>
  </w:style>
  <w:style w:type="character" w:customStyle="1" w:styleId="Artref">
    <w:name w:val="Art_ref"/>
    <w:basedOn w:val="DefaultParagraphFont"/>
    <w:qFormat/>
    <w:rsid w:val="00293D3E"/>
  </w:style>
  <w:style w:type="character" w:customStyle="1" w:styleId="Recdef">
    <w:name w:val="Rec_def"/>
    <w:basedOn w:val="DefaultParagraphFont"/>
    <w:qFormat/>
    <w:rsid w:val="00293D3E"/>
    <w:rPr>
      <w:b/>
    </w:rPr>
  </w:style>
  <w:style w:type="character" w:customStyle="1" w:styleId="Resdef">
    <w:name w:val="Res_def"/>
    <w:basedOn w:val="DefaultParagraphFont"/>
    <w:rsid w:val="00293D3E"/>
    <w:rPr>
      <w:rFonts w:ascii="Times New Roman" w:hAnsi="Times New Roman"/>
      <w:b/>
    </w:rPr>
  </w:style>
  <w:style w:type="character" w:customStyle="1" w:styleId="Tablefreq">
    <w:name w:val="Table_freq"/>
    <w:basedOn w:val="DefaultParagraphFont"/>
    <w:qFormat/>
    <w:rsid w:val="00293D3E"/>
    <w:rPr>
      <w:b/>
      <w:color w:val="auto"/>
      <w:sz w:val="20"/>
    </w:rPr>
  </w:style>
  <w:style w:type="paragraph" w:customStyle="1" w:styleId="Formal">
    <w:name w:val="Formal"/>
    <w:basedOn w:val="ASN1"/>
    <w:rsid w:val="00293D3E"/>
    <w:pPr>
      <w:tabs>
        <w:tab w:val="left" w:pos="1871"/>
      </w:tabs>
      <w:jc w:val="left"/>
    </w:pPr>
    <w:rPr>
      <w:rFonts w:ascii="Times New Roman Bold" w:hAnsi="Times New Roman Bold"/>
      <w:b w:val="0"/>
      <w:lang w:val="en-GB"/>
    </w:rPr>
  </w:style>
  <w:style w:type="paragraph" w:customStyle="1" w:styleId="Section1">
    <w:name w:val="Section_1"/>
    <w:basedOn w:val="Normal"/>
    <w:qFormat/>
    <w:rsid w:val="00293D3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qFormat/>
    <w:rsid w:val="00293D3E"/>
    <w:rPr>
      <w:b w:val="0"/>
      <w:i/>
    </w:rPr>
  </w:style>
  <w:style w:type="paragraph" w:customStyle="1" w:styleId="AnnexNo">
    <w:name w:val="Annex_No"/>
    <w:basedOn w:val="Normal"/>
    <w:next w:val="Normal"/>
    <w:link w:val="AnnexNoChar"/>
    <w:qFormat/>
    <w:rsid w:val="00293D3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qFormat/>
    <w:rsid w:val="00293D3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qFormat/>
    <w:rsid w:val="00293D3E"/>
  </w:style>
  <w:style w:type="paragraph" w:customStyle="1" w:styleId="Appendixtitle">
    <w:name w:val="Appendix_title"/>
    <w:basedOn w:val="Annextitle"/>
    <w:next w:val="Normal"/>
    <w:rsid w:val="00293D3E"/>
  </w:style>
  <w:style w:type="paragraph" w:customStyle="1" w:styleId="Border">
    <w:name w:val="Border"/>
    <w:basedOn w:val="Normal"/>
    <w:qFormat/>
    <w:rsid w:val="00293D3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qFormat/>
    <w:rsid w:val="00293D3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qFormat/>
    <w:rsid w:val="00293D3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qFormat/>
    <w:rsid w:val="00293D3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qFormat/>
    <w:rsid w:val="00293D3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293D3E"/>
  </w:style>
  <w:style w:type="paragraph" w:customStyle="1" w:styleId="Proposal">
    <w:name w:val="Proposal"/>
    <w:basedOn w:val="Normal"/>
    <w:next w:val="Normal"/>
    <w:qFormat/>
    <w:rsid w:val="00293D3E"/>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293D3E"/>
    <w:pPr>
      <w:tabs>
        <w:tab w:val="clear" w:pos="794"/>
        <w:tab w:val="clear" w:pos="1191"/>
        <w:tab w:val="left" w:pos="1134"/>
      </w:tabs>
      <w:jc w:val="left"/>
    </w:pPr>
    <w:rPr>
      <w:lang w:val="en-GB"/>
    </w:rPr>
  </w:style>
  <w:style w:type="paragraph" w:customStyle="1" w:styleId="Section3">
    <w:name w:val="Section_3"/>
    <w:basedOn w:val="Section1"/>
    <w:qFormat/>
    <w:rsid w:val="00293D3E"/>
    <w:rPr>
      <w:b w:val="0"/>
    </w:rPr>
  </w:style>
  <w:style w:type="paragraph" w:customStyle="1" w:styleId="TableTextS5">
    <w:name w:val="Table_TextS5"/>
    <w:basedOn w:val="Normal"/>
    <w:qFormat/>
    <w:rsid w:val="00293D3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93D3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93D3E"/>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93D3E"/>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93D3E"/>
  </w:style>
  <w:style w:type="paragraph" w:customStyle="1" w:styleId="Committee">
    <w:name w:val="Committee"/>
    <w:basedOn w:val="Normal"/>
    <w:qFormat/>
    <w:rsid w:val="00293D3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293D3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93D3E"/>
  </w:style>
  <w:style w:type="paragraph" w:customStyle="1" w:styleId="Subsection1">
    <w:name w:val="Subsection_1"/>
    <w:basedOn w:val="Section1"/>
    <w:next w:val="Normalaftertitle0"/>
    <w:qFormat/>
    <w:rsid w:val="00293D3E"/>
  </w:style>
  <w:style w:type="paragraph" w:customStyle="1" w:styleId="Volumetitle">
    <w:name w:val="Volume_title"/>
    <w:basedOn w:val="Normal"/>
    <w:qFormat/>
    <w:rsid w:val="00293D3E"/>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nhideWhenUsed/>
    <w:qFormat/>
    <w:rsid w:val="00293D3E"/>
    <w:pPr>
      <w:spacing w:before="0"/>
    </w:pPr>
    <w:rPr>
      <w:rFonts w:ascii="Segoe UI" w:hAnsi="Segoe UI" w:cs="Segoe UI"/>
      <w:sz w:val="18"/>
      <w:szCs w:val="18"/>
    </w:rPr>
  </w:style>
  <w:style w:type="character" w:customStyle="1" w:styleId="BalloonTextChar">
    <w:name w:val="Balloon Text Char"/>
    <w:basedOn w:val="DefaultParagraphFont"/>
    <w:link w:val="BalloonText"/>
    <w:rsid w:val="00293D3E"/>
    <w:rPr>
      <w:rFonts w:ascii="Segoe UI" w:hAnsi="Segoe UI" w:cs="Segoe UI"/>
      <w:sz w:val="18"/>
      <w:szCs w:val="18"/>
      <w:lang w:val="fr-FR" w:eastAsia="en-US"/>
    </w:rPr>
  </w:style>
  <w:style w:type="character" w:customStyle="1" w:styleId="TableTextChar0">
    <w:name w:val="Table Text Char"/>
    <w:link w:val="TableText0"/>
    <w:locked/>
    <w:rsid w:val="00293D3E"/>
    <w:rPr>
      <w:rFonts w:ascii="Arial" w:hAnsi="Arial" w:cs="Arial"/>
      <w:szCs w:val="24"/>
    </w:rPr>
  </w:style>
  <w:style w:type="paragraph" w:customStyle="1" w:styleId="TableText0">
    <w:name w:val="Table Text"/>
    <w:basedOn w:val="Normal"/>
    <w:link w:val="TableTextChar0"/>
    <w:rsid w:val="00293D3E"/>
    <w:pPr>
      <w:tabs>
        <w:tab w:val="clear" w:pos="794"/>
        <w:tab w:val="clear" w:pos="1191"/>
        <w:tab w:val="clear" w:pos="1588"/>
        <w:tab w:val="clear" w:pos="1985"/>
      </w:tabs>
      <w:overflowPunct/>
      <w:autoSpaceDE/>
      <w:autoSpaceDN/>
      <w:adjustRightInd/>
      <w:spacing w:before="20" w:after="20"/>
      <w:jc w:val="left"/>
      <w:textAlignment w:val="auto"/>
    </w:pPr>
    <w:rPr>
      <w:rFonts w:ascii="Arial" w:hAnsi="Arial" w:cs="Arial"/>
      <w:sz w:val="20"/>
      <w:szCs w:val="24"/>
      <w:lang w:val="en-US" w:eastAsia="zh-CN"/>
    </w:rPr>
  </w:style>
  <w:style w:type="paragraph" w:customStyle="1" w:styleId="TableHeader">
    <w:name w:val="Table Header"/>
    <w:basedOn w:val="Normal"/>
    <w:rsid w:val="00293D3E"/>
    <w:pPr>
      <w:tabs>
        <w:tab w:val="clear" w:pos="794"/>
        <w:tab w:val="clear" w:pos="1191"/>
        <w:tab w:val="clear" w:pos="1588"/>
        <w:tab w:val="clear" w:pos="1985"/>
      </w:tabs>
      <w:overflowPunct/>
      <w:autoSpaceDE/>
      <w:autoSpaceDN/>
      <w:adjustRightInd/>
      <w:spacing w:before="30" w:after="20"/>
      <w:jc w:val="left"/>
      <w:textAlignment w:val="auto"/>
    </w:pPr>
    <w:rPr>
      <w:rFonts w:ascii="Arial" w:hAnsi="Arial"/>
      <w:b/>
      <w:sz w:val="18"/>
      <w:szCs w:val="24"/>
      <w:lang w:val="en-US"/>
    </w:rPr>
  </w:style>
  <w:style w:type="paragraph" w:styleId="BodyText2">
    <w:name w:val="Body Text 2"/>
    <w:aliases w:val="Основной текст 2 Знак,Знак Знак"/>
    <w:basedOn w:val="Normal"/>
    <w:link w:val="BodyText2Char"/>
    <w:rsid w:val="00293D3E"/>
    <w:pPr>
      <w:tabs>
        <w:tab w:val="clear" w:pos="794"/>
        <w:tab w:val="clear" w:pos="1191"/>
        <w:tab w:val="clear" w:pos="1588"/>
        <w:tab w:val="clear" w:pos="1985"/>
      </w:tabs>
      <w:overflowPunct/>
      <w:spacing w:after="120"/>
      <w:textAlignment w:val="auto"/>
    </w:pPr>
    <w:rPr>
      <w:rFonts w:ascii="Arial" w:hAnsi="Arial"/>
      <w:i/>
      <w:sz w:val="20"/>
      <w:lang w:val="en-US" w:eastAsia="ja-JP"/>
    </w:rPr>
  </w:style>
  <w:style w:type="character" w:customStyle="1" w:styleId="BodyText2Char">
    <w:name w:val="Body Text 2 Char"/>
    <w:aliases w:val="Основной текст 2 Знак Char,Знак Знак Char"/>
    <w:basedOn w:val="DefaultParagraphFont"/>
    <w:link w:val="BodyText2"/>
    <w:rsid w:val="00293D3E"/>
    <w:rPr>
      <w:rFonts w:ascii="Arial" w:eastAsia="MS Mincho" w:hAnsi="Arial"/>
      <w:i/>
      <w:lang w:eastAsia="ja-JP"/>
    </w:rPr>
  </w:style>
  <w:style w:type="paragraph" w:styleId="Revision">
    <w:name w:val="Revision"/>
    <w:hidden/>
    <w:uiPriority w:val="99"/>
    <w:semiHidden/>
    <w:rsid w:val="00293D3E"/>
    <w:rPr>
      <w:sz w:val="24"/>
      <w:lang w:val="fr-FR" w:eastAsia="en-US"/>
    </w:rPr>
  </w:style>
  <w:style w:type="character" w:customStyle="1" w:styleId="SourceChar">
    <w:name w:val="Source Char"/>
    <w:link w:val="Source"/>
    <w:rsid w:val="001F717C"/>
    <w:rPr>
      <w:b/>
      <w:sz w:val="28"/>
      <w:lang w:val="en-GB" w:eastAsia="en-US"/>
    </w:rPr>
  </w:style>
  <w:style w:type="paragraph" w:customStyle="1" w:styleId="Headingsplit">
    <w:name w:val="Heading_split"/>
    <w:basedOn w:val="Headingi"/>
    <w:qFormat/>
    <w:rsid w:val="001F717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1F717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1F717C"/>
    <w:rPr>
      <w:rFonts w:ascii="Times New Roman" w:hAnsi="Times New Roman"/>
      <w:b w:val="0"/>
    </w:rPr>
  </w:style>
  <w:style w:type="paragraph" w:customStyle="1" w:styleId="Tablesplit">
    <w:name w:val="Table_split"/>
    <w:basedOn w:val="Tabletext"/>
    <w:qFormat/>
    <w:rsid w:val="001F717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styleId="CommentText">
    <w:name w:val="annotation text"/>
    <w:basedOn w:val="Normal"/>
    <w:link w:val="CommentTextChar"/>
    <w:unhideWhenUsed/>
    <w:rsid w:val="001F717C"/>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1F717C"/>
    <w:rPr>
      <w:lang w:val="en-GB" w:eastAsia="en-US"/>
    </w:rPr>
  </w:style>
  <w:style w:type="paragraph" w:styleId="CommentSubject">
    <w:name w:val="annotation subject"/>
    <w:basedOn w:val="CommentText"/>
    <w:next w:val="CommentText"/>
    <w:link w:val="CommentSubjectChar"/>
    <w:unhideWhenUsed/>
    <w:rsid w:val="001F717C"/>
    <w:pPr>
      <w:tabs>
        <w:tab w:val="clear" w:pos="1134"/>
        <w:tab w:val="clear" w:pos="1871"/>
        <w:tab w:val="clear" w:pos="2268"/>
        <w:tab w:val="left" w:pos="794"/>
        <w:tab w:val="left" w:pos="1191"/>
        <w:tab w:val="left" w:pos="1588"/>
        <w:tab w:val="left" w:pos="1985"/>
      </w:tabs>
    </w:pPr>
    <w:rPr>
      <w:rFonts w:eastAsiaTheme="minorEastAsia"/>
      <w:b/>
      <w:bCs/>
      <w:sz w:val="24"/>
      <w:lang w:val="fr-FR"/>
    </w:rPr>
  </w:style>
  <w:style w:type="character" w:customStyle="1" w:styleId="CommentSubjectChar">
    <w:name w:val="Comment Subject Char"/>
    <w:basedOn w:val="CommentTextChar"/>
    <w:link w:val="CommentSubject"/>
    <w:rsid w:val="001F717C"/>
    <w:rPr>
      <w:rFonts w:eastAsiaTheme="minorEastAsia"/>
      <w:b/>
      <w:bCs/>
      <w:sz w:val="24"/>
      <w:lang w:val="fr-FR" w:eastAsia="en-US"/>
    </w:rPr>
  </w:style>
  <w:style w:type="paragraph" w:styleId="TableofFigures">
    <w:name w:val="table of figures"/>
    <w:basedOn w:val="Normal"/>
    <w:next w:val="Normal"/>
    <w:rsid w:val="001F717C"/>
    <w:pPr>
      <w:widowControl w:val="0"/>
      <w:tabs>
        <w:tab w:val="clear" w:pos="794"/>
        <w:tab w:val="clear" w:pos="1191"/>
        <w:tab w:val="clear" w:pos="1588"/>
        <w:tab w:val="clear" w:pos="1985"/>
      </w:tabs>
      <w:overflowPunct/>
      <w:autoSpaceDE/>
      <w:autoSpaceDN/>
      <w:adjustRightInd/>
      <w:spacing w:before="0"/>
      <w:ind w:leftChars="200" w:left="200" w:hangingChars="200" w:hanging="200"/>
      <w:textAlignment w:val="auto"/>
    </w:pPr>
    <w:rPr>
      <w:rFonts w:eastAsia="SimSun"/>
      <w:kern w:val="2"/>
      <w:sz w:val="21"/>
      <w:szCs w:val="24"/>
      <w:lang w:val="en-US" w:eastAsia="zh-CN"/>
    </w:rPr>
  </w:style>
  <w:style w:type="character" w:styleId="FollowedHyperlink">
    <w:name w:val="FollowedHyperlink"/>
    <w:basedOn w:val="DefaultParagraphFont"/>
    <w:uiPriority w:val="99"/>
    <w:unhideWhenUsed/>
    <w:rsid w:val="001F717C"/>
    <w:rPr>
      <w:color w:val="800080" w:themeColor="followedHyperlink"/>
      <w:u w:val="single"/>
    </w:rPr>
  </w:style>
  <w:style w:type="character" w:styleId="CommentReference">
    <w:name w:val="annotation reference"/>
    <w:basedOn w:val="DefaultParagraphFont"/>
    <w:unhideWhenUsed/>
    <w:rsid w:val="001F717C"/>
    <w:rPr>
      <w:sz w:val="21"/>
      <w:szCs w:val="21"/>
    </w:rPr>
  </w:style>
  <w:style w:type="paragraph" w:customStyle="1" w:styleId="1">
    <w:name w:val="列出段落1"/>
    <w:basedOn w:val="Normal"/>
    <w:uiPriority w:val="34"/>
    <w:qFormat/>
    <w:rsid w:val="001F717C"/>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character" w:customStyle="1" w:styleId="ordinary-span-edit2">
    <w:name w:val="ordinary-span-edit2"/>
    <w:basedOn w:val="DefaultParagraphFont"/>
    <w:rsid w:val="001F717C"/>
  </w:style>
  <w:style w:type="paragraph" w:customStyle="1" w:styleId="Default">
    <w:name w:val="Default"/>
    <w:rsid w:val="001F717C"/>
    <w:pPr>
      <w:widowControl w:val="0"/>
      <w:autoSpaceDE w:val="0"/>
      <w:autoSpaceDN w:val="0"/>
      <w:adjustRightInd w:val="0"/>
    </w:pPr>
    <w:rPr>
      <w:rFonts w:ascii="SimSun" w:eastAsia="SimSun" w:cs="SimSun"/>
      <w:color w:val="000000"/>
      <w:sz w:val="24"/>
      <w:szCs w:val="24"/>
    </w:rPr>
  </w:style>
  <w:style w:type="paragraph" w:customStyle="1" w:styleId="a">
    <w:name w:val="注：（正文）"/>
    <w:basedOn w:val="Normal"/>
    <w:next w:val="Normal"/>
    <w:rsid w:val="001F717C"/>
    <w:pPr>
      <w:widowControl w:val="0"/>
      <w:numPr>
        <w:numId w:val="12"/>
      </w:numPr>
      <w:tabs>
        <w:tab w:val="clear" w:pos="794"/>
        <w:tab w:val="clear" w:pos="1191"/>
        <w:tab w:val="clear" w:pos="1588"/>
        <w:tab w:val="clear" w:pos="1985"/>
      </w:tabs>
      <w:overflowPunct/>
      <w:adjustRightInd/>
      <w:spacing w:before="0"/>
      <w:textAlignment w:val="auto"/>
    </w:pPr>
    <w:rPr>
      <w:rFonts w:ascii="SimSun" w:eastAsia="SimSun"/>
      <w:sz w:val="18"/>
      <w:szCs w:val="18"/>
      <w:lang w:val="en-US" w:eastAsia="zh-CN"/>
    </w:rPr>
  </w:style>
  <w:style w:type="character" w:customStyle="1" w:styleId="opdict3font24">
    <w:name w:val="op_dict3_font24"/>
    <w:basedOn w:val="DefaultParagraphFont"/>
    <w:rsid w:val="001F717C"/>
  </w:style>
  <w:style w:type="paragraph" w:customStyle="1" w:styleId="Methodheading1">
    <w:name w:val="Method_heading1"/>
    <w:basedOn w:val="Heading1"/>
    <w:next w:val="Normal"/>
    <w:qFormat/>
    <w:rsid w:val="00842604"/>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842604"/>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842604"/>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842604"/>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842604"/>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842604"/>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842604"/>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842604"/>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842604"/>
    <w:rPr>
      <w:sz w:val="24"/>
      <w:lang w:val="en-GB" w:eastAsia="en-US"/>
    </w:rPr>
  </w:style>
  <w:style w:type="paragraph" w:customStyle="1" w:styleId="AnnexNotitle0">
    <w:name w:val="Annex_No &amp; title"/>
    <w:basedOn w:val="Normal"/>
    <w:next w:val="Normalaftertitle"/>
    <w:rsid w:val="00842604"/>
    <w:pPr>
      <w:keepNext/>
      <w:keepLines/>
      <w:spacing w:before="480"/>
      <w:jc w:val="center"/>
    </w:pPr>
    <w:rPr>
      <w:b/>
      <w:sz w:val="28"/>
      <w:lang w:val="en-GB"/>
    </w:rPr>
  </w:style>
  <w:style w:type="paragraph" w:styleId="ListParagraph">
    <w:name w:val="List Paragraph"/>
    <w:basedOn w:val="Normal"/>
    <w:uiPriority w:val="34"/>
    <w:qFormat/>
    <w:rsid w:val="00842604"/>
    <w:pPr>
      <w:ind w:left="720"/>
      <w:contextualSpacing/>
      <w:textAlignment w:val="auto"/>
    </w:pPr>
    <w:rPr>
      <w:rFonts w:eastAsia="Batang"/>
      <w:lang w:val="en-GB"/>
    </w:rPr>
  </w:style>
  <w:style w:type="paragraph" w:customStyle="1" w:styleId="TableText1">
    <w:name w:val="Table_Text"/>
    <w:basedOn w:val="Normal"/>
    <w:rsid w:val="00842604"/>
    <w:pPr>
      <w:keepNext/>
      <w:overflowPunct/>
      <w:autoSpaceDE/>
      <w:autoSpaceDN/>
      <w:adjustRightInd/>
      <w:spacing w:before="142" w:after="142" w:line="199" w:lineRule="exact"/>
      <w:textAlignment w:val="auto"/>
    </w:pPr>
    <w:rPr>
      <w:rFonts w:ascii="Helv" w:hAnsi="Helv" w:cs="Helv"/>
      <w:sz w:val="18"/>
      <w:lang w:val="en-GB" w:eastAsia="ru-RU"/>
    </w:rPr>
  </w:style>
  <w:style w:type="character" w:customStyle="1" w:styleId="NormalaftertitleChar">
    <w:name w:val="Normal_after_title Char"/>
    <w:basedOn w:val="DefaultParagraphFont"/>
    <w:link w:val="Normalaftertitle"/>
    <w:locked/>
    <w:rsid w:val="00842604"/>
    <w:rPr>
      <w:sz w:val="24"/>
      <w:lang w:val="fr-FR" w:eastAsia="en-US"/>
    </w:rPr>
  </w:style>
  <w:style w:type="paragraph" w:customStyle="1" w:styleId="SFirstPageWarningHeading">
    <w:name w:val="S First Page Warning Heading"/>
    <w:basedOn w:val="BodyText"/>
    <w:rsid w:val="00842604"/>
    <w:pPr>
      <w:spacing w:after="0"/>
      <w:jc w:val="center"/>
    </w:pPr>
    <w:rPr>
      <w:i/>
    </w:rPr>
  </w:style>
  <w:style w:type="table" w:styleId="TableClassic2">
    <w:name w:val="Table Classic 2"/>
    <w:basedOn w:val="TableNormal"/>
    <w:rsid w:val="00842604"/>
    <w:pPr>
      <w:spacing w:after="200" w:line="320" w:lineRule="exact"/>
    </w:pPr>
    <w:rPr>
      <w:rFonts w:ascii="Arial" w:eastAsiaTheme="minorEastAsia" w:hAnsi="Arial" w:cs="Courier New"/>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List3">
    <w:name w:val="Table List 3"/>
    <w:basedOn w:val="TableNormal"/>
    <w:rsid w:val="00842604"/>
    <w:pPr>
      <w:spacing w:after="200" w:line="320" w:lineRule="exact"/>
    </w:pPr>
    <w:rPr>
      <w:rFonts w:ascii="Arial" w:eastAsiaTheme="minorEastAsia" w:hAnsi="Arial" w:cs="Courier New"/>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SFirstPageWarningBody">
    <w:name w:val="S First Page Warning Body"/>
    <w:basedOn w:val="BodyText"/>
    <w:rsid w:val="00842604"/>
    <w:pPr>
      <w:spacing w:before="0"/>
    </w:pPr>
    <w:rPr>
      <w:i/>
    </w:rPr>
  </w:style>
  <w:style w:type="paragraph" w:customStyle="1" w:styleId="SFirstPagePage">
    <w:name w:val="S First Page Page"/>
    <w:basedOn w:val="Normal"/>
    <w:rsid w:val="00842604"/>
    <w:pPr>
      <w:pBdr>
        <w:top w:val="single" w:sz="18" w:space="6" w:color="auto"/>
      </w:pBdr>
      <w:tabs>
        <w:tab w:val="clear" w:pos="794"/>
        <w:tab w:val="clear" w:pos="1191"/>
        <w:tab w:val="clear" w:pos="1588"/>
        <w:tab w:val="clear" w:pos="1985"/>
      </w:tabs>
      <w:overflowPunct/>
      <w:autoSpaceDE/>
      <w:autoSpaceDN/>
      <w:adjustRightInd/>
      <w:spacing w:before="240" w:after="120" w:line="240" w:lineRule="exact"/>
      <w:jc w:val="right"/>
      <w:textAlignment w:val="auto"/>
    </w:pPr>
    <w:rPr>
      <w:rFonts w:ascii="Arial" w:eastAsiaTheme="minorEastAsia" w:hAnsi="Arial" w:cs="Courier New"/>
      <w:b/>
      <w:sz w:val="16"/>
      <w:szCs w:val="16"/>
      <w:lang w:val="en-US"/>
    </w:rPr>
  </w:style>
  <w:style w:type="paragraph" w:customStyle="1" w:styleId="STableHeading">
    <w:name w:val="S Table Heading"/>
    <w:basedOn w:val="STableCell"/>
    <w:rsid w:val="00842604"/>
    <w:rPr>
      <w:b/>
      <w:bCs/>
    </w:rPr>
  </w:style>
  <w:style w:type="paragraph" w:customStyle="1" w:styleId="SFirstPageCopyright">
    <w:name w:val="S First Page Copyright"/>
    <w:basedOn w:val="Normal"/>
    <w:rsid w:val="00842604"/>
    <w:pPr>
      <w:tabs>
        <w:tab w:val="clear" w:pos="794"/>
        <w:tab w:val="clear" w:pos="1191"/>
        <w:tab w:val="clear" w:pos="1588"/>
        <w:tab w:val="clear" w:pos="1985"/>
      </w:tabs>
      <w:overflowPunct/>
      <w:autoSpaceDE/>
      <w:autoSpaceDN/>
      <w:adjustRightInd/>
      <w:spacing w:before="0"/>
      <w:jc w:val="left"/>
      <w:textAlignment w:val="auto"/>
    </w:pPr>
    <w:rPr>
      <w:rFonts w:ascii="Arial" w:eastAsiaTheme="minorEastAsia" w:hAnsi="Arial" w:cs="Courier New"/>
      <w:sz w:val="12"/>
      <w:szCs w:val="12"/>
      <w:lang w:val="en-US"/>
    </w:rPr>
  </w:style>
  <w:style w:type="paragraph" w:customStyle="1" w:styleId="SNote">
    <w:name w:val="S Note"/>
    <w:basedOn w:val="BodyText"/>
    <w:qFormat/>
    <w:rsid w:val="00842604"/>
    <w:pPr>
      <w:tabs>
        <w:tab w:val="left" w:pos="1080"/>
      </w:tabs>
    </w:pPr>
    <w:rPr>
      <w:sz w:val="18"/>
      <w:szCs w:val="18"/>
    </w:rPr>
  </w:style>
  <w:style w:type="paragraph" w:styleId="TOC9">
    <w:name w:val="toc 9"/>
    <w:basedOn w:val="Normal"/>
    <w:next w:val="Normal"/>
    <w:autoRedefine/>
    <w:uiPriority w:val="39"/>
    <w:rsid w:val="00842604"/>
    <w:pPr>
      <w:tabs>
        <w:tab w:val="clear" w:pos="794"/>
        <w:tab w:val="clear" w:pos="1191"/>
        <w:tab w:val="clear" w:pos="1588"/>
        <w:tab w:val="clear" w:pos="1985"/>
      </w:tabs>
      <w:overflowPunct/>
      <w:autoSpaceDE/>
      <w:autoSpaceDN/>
      <w:adjustRightInd/>
      <w:spacing w:before="240" w:line="240" w:lineRule="exact"/>
      <w:ind w:left="1760"/>
      <w:jc w:val="left"/>
      <w:textAlignment w:val="auto"/>
    </w:pPr>
    <w:rPr>
      <w:rFonts w:ascii="Calibri" w:eastAsiaTheme="minorEastAsia" w:hAnsi="Calibri" w:cs="Calibri"/>
      <w:sz w:val="20"/>
      <w:lang w:val="en-US"/>
    </w:rPr>
  </w:style>
  <w:style w:type="paragraph" w:customStyle="1" w:styleId="SCodeSchemaExample">
    <w:name w:val="S Code Schema Example"/>
    <w:basedOn w:val="SCodeSchema"/>
    <w:qFormat/>
    <w:rsid w:val="00842604"/>
    <w:pPr>
      <w:spacing w:line="240" w:lineRule="exact"/>
      <w:ind w:left="2348" w:right="187" w:hanging="2074"/>
    </w:pPr>
  </w:style>
  <w:style w:type="paragraph" w:customStyle="1" w:styleId="SExample">
    <w:name w:val="S Example"/>
    <w:basedOn w:val="SNote"/>
    <w:qFormat/>
    <w:rsid w:val="00842604"/>
  </w:style>
  <w:style w:type="character" w:customStyle="1" w:styleId="SKeyword">
    <w:name w:val="S Keyword"/>
    <w:basedOn w:val="DefaultParagraphFont"/>
    <w:qFormat/>
    <w:rsid w:val="00842604"/>
    <w:rPr>
      <w:rFonts w:ascii="Courier New" w:hAnsi="Courier New"/>
      <w:sz w:val="18"/>
    </w:rPr>
  </w:style>
  <w:style w:type="paragraph" w:customStyle="1" w:styleId="ColorfulShading-Accent12">
    <w:name w:val="Colorful Shading - Accent 12"/>
    <w:hidden/>
    <w:uiPriority w:val="99"/>
    <w:semiHidden/>
    <w:rsid w:val="00842604"/>
    <w:rPr>
      <w:rFonts w:ascii="Arial" w:eastAsiaTheme="minorEastAsia" w:hAnsi="Arial" w:cs="Courier New"/>
      <w:lang w:eastAsia="en-US"/>
    </w:rPr>
  </w:style>
  <w:style w:type="paragraph" w:styleId="BodyText">
    <w:name w:val="Body Text"/>
    <w:aliases w:val="S Body Text"/>
    <w:basedOn w:val="Normal"/>
    <w:link w:val="BodyTextChar"/>
    <w:qFormat/>
    <w:rsid w:val="00842604"/>
    <w:pPr>
      <w:tabs>
        <w:tab w:val="clear" w:pos="794"/>
        <w:tab w:val="clear" w:pos="1191"/>
        <w:tab w:val="clear" w:pos="1588"/>
        <w:tab w:val="clear" w:pos="1985"/>
      </w:tabs>
      <w:overflowPunct/>
      <w:autoSpaceDE/>
      <w:autoSpaceDN/>
      <w:adjustRightInd/>
      <w:spacing w:before="280" w:after="120"/>
      <w:jc w:val="left"/>
      <w:textAlignment w:val="auto"/>
    </w:pPr>
    <w:rPr>
      <w:rFonts w:ascii="Arial" w:eastAsiaTheme="minorEastAsia" w:hAnsi="Arial" w:cs="Courier New"/>
      <w:sz w:val="20"/>
      <w:lang w:val="en-US"/>
    </w:rPr>
  </w:style>
  <w:style w:type="character" w:customStyle="1" w:styleId="BodyTextChar">
    <w:name w:val="Body Text Char"/>
    <w:aliases w:val="S Body Text Char"/>
    <w:basedOn w:val="DefaultParagraphFont"/>
    <w:link w:val="BodyText"/>
    <w:rsid w:val="00842604"/>
    <w:rPr>
      <w:rFonts w:ascii="Arial" w:eastAsiaTheme="minorEastAsia" w:hAnsi="Arial" w:cs="Courier New"/>
      <w:lang w:eastAsia="en-US"/>
    </w:rPr>
  </w:style>
  <w:style w:type="paragraph" w:styleId="Caption">
    <w:name w:val="caption"/>
    <w:aliases w:val="S Caption"/>
    <w:basedOn w:val="Normal"/>
    <w:next w:val="Normal"/>
    <w:link w:val="CaptionChar"/>
    <w:uiPriority w:val="35"/>
    <w:qFormat/>
    <w:rsid w:val="00842604"/>
    <w:pPr>
      <w:keepNext/>
      <w:tabs>
        <w:tab w:val="clear" w:pos="794"/>
        <w:tab w:val="clear" w:pos="1191"/>
        <w:tab w:val="clear" w:pos="1588"/>
        <w:tab w:val="clear" w:pos="1985"/>
      </w:tabs>
      <w:overflowPunct/>
      <w:autoSpaceDE/>
      <w:autoSpaceDN/>
      <w:adjustRightInd/>
      <w:spacing w:before="240" w:after="120"/>
      <w:ind w:left="720" w:right="720"/>
      <w:jc w:val="center"/>
      <w:textAlignment w:val="auto"/>
    </w:pPr>
    <w:rPr>
      <w:rFonts w:ascii="Arial" w:eastAsiaTheme="minorEastAsia" w:hAnsi="Arial"/>
      <w:b/>
      <w:bCs/>
      <w:sz w:val="18"/>
      <w:szCs w:val="18"/>
      <w:lang w:val="en-US"/>
    </w:rPr>
  </w:style>
  <w:style w:type="character" w:customStyle="1" w:styleId="CaptionChar">
    <w:name w:val="Caption Char"/>
    <w:aliases w:val="S Caption Char"/>
    <w:link w:val="Caption"/>
    <w:uiPriority w:val="35"/>
    <w:locked/>
    <w:rsid w:val="00842604"/>
    <w:rPr>
      <w:rFonts w:ascii="Arial" w:eastAsiaTheme="minorEastAsia" w:hAnsi="Arial"/>
      <w:b/>
      <w:bCs/>
      <w:sz w:val="18"/>
      <w:szCs w:val="18"/>
      <w:lang w:eastAsia="en-US"/>
    </w:rPr>
  </w:style>
  <w:style w:type="character" w:customStyle="1" w:styleId="SBodyEquationItalicSubscript">
    <w:name w:val="S Body Equation Italic Subscript"/>
    <w:rsid w:val="00842604"/>
    <w:rPr>
      <w:i/>
      <w:vertAlign w:val="subscript"/>
    </w:rPr>
  </w:style>
  <w:style w:type="table" w:styleId="TableSimple1">
    <w:name w:val="Table Simple 1"/>
    <w:basedOn w:val="TableNormal"/>
    <w:rsid w:val="00842604"/>
    <w:rPr>
      <w:rFonts w:ascii="Arial" w:eastAsiaTheme="minorEastAsia" w:hAnsi="Arial" w:cs="Courier New"/>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SBodyEquationSuperscript">
    <w:name w:val="S Body Equation Superscript"/>
    <w:rsid w:val="00842604"/>
    <w:rPr>
      <w:vertAlign w:val="superscript"/>
    </w:rPr>
  </w:style>
  <w:style w:type="paragraph" w:styleId="Title">
    <w:name w:val="Title"/>
    <w:aliases w:val="S First Page Title"/>
    <w:basedOn w:val="Normal"/>
    <w:next w:val="Normal"/>
    <w:link w:val="TitleChar"/>
    <w:rsid w:val="00842604"/>
    <w:pPr>
      <w:tabs>
        <w:tab w:val="clear" w:pos="794"/>
        <w:tab w:val="clear" w:pos="1191"/>
        <w:tab w:val="clear" w:pos="1588"/>
        <w:tab w:val="clear" w:pos="1985"/>
      </w:tabs>
      <w:overflowPunct/>
      <w:autoSpaceDE/>
      <w:autoSpaceDN/>
      <w:adjustRightInd/>
      <w:spacing w:before="240" w:after="300"/>
      <w:ind w:right="3150"/>
      <w:contextualSpacing/>
      <w:jc w:val="left"/>
      <w:textAlignment w:val="auto"/>
    </w:pPr>
    <w:rPr>
      <w:rFonts w:ascii="Arial" w:eastAsiaTheme="minorEastAsia" w:hAnsi="Arial"/>
      <w:spacing w:val="5"/>
      <w:kern w:val="28"/>
      <w:sz w:val="40"/>
      <w:szCs w:val="40"/>
      <w:lang w:val="en-US"/>
    </w:rPr>
  </w:style>
  <w:style w:type="character" w:customStyle="1" w:styleId="TitleChar">
    <w:name w:val="Title Char"/>
    <w:aliases w:val="S First Page Title Char"/>
    <w:basedOn w:val="DefaultParagraphFont"/>
    <w:link w:val="Title"/>
    <w:rsid w:val="00842604"/>
    <w:rPr>
      <w:rFonts w:ascii="Arial" w:eastAsiaTheme="minorEastAsia" w:hAnsi="Arial"/>
      <w:spacing w:val="5"/>
      <w:kern w:val="28"/>
      <w:sz w:val="40"/>
      <w:szCs w:val="40"/>
      <w:lang w:eastAsia="en-US"/>
    </w:rPr>
  </w:style>
  <w:style w:type="paragraph" w:customStyle="1" w:styleId="SFirstPageDocumentNumber">
    <w:name w:val="S First Page Document Number"/>
    <w:basedOn w:val="Normal"/>
    <w:rsid w:val="00842604"/>
    <w:pPr>
      <w:widowControl w:val="0"/>
      <w:pBdr>
        <w:top w:val="single" w:sz="4" w:space="16" w:color="auto"/>
      </w:pBdr>
      <w:tabs>
        <w:tab w:val="clear" w:pos="794"/>
        <w:tab w:val="clear" w:pos="1191"/>
        <w:tab w:val="clear" w:pos="1588"/>
        <w:tab w:val="clear" w:pos="1985"/>
      </w:tabs>
      <w:overflowPunct/>
      <w:autoSpaceDE/>
      <w:autoSpaceDN/>
      <w:adjustRightInd/>
      <w:spacing w:before="0" w:line="320" w:lineRule="exact"/>
      <w:jc w:val="right"/>
      <w:textAlignment w:val="auto"/>
    </w:pPr>
    <w:rPr>
      <w:rFonts w:ascii="Arial" w:eastAsiaTheme="minorEastAsia" w:hAnsi="Arial" w:cs="Courier New"/>
      <w:b/>
      <w:sz w:val="28"/>
      <w:szCs w:val="28"/>
      <w:lang w:val="en-US"/>
    </w:rPr>
  </w:style>
  <w:style w:type="paragraph" w:customStyle="1" w:styleId="SFirstPageDocumentKind">
    <w:name w:val="S First Page Document Kind"/>
    <w:basedOn w:val="Normal"/>
    <w:rsid w:val="00842604"/>
    <w:pPr>
      <w:tabs>
        <w:tab w:val="clear" w:pos="794"/>
        <w:tab w:val="clear" w:pos="1191"/>
        <w:tab w:val="clear" w:pos="1588"/>
        <w:tab w:val="clear" w:pos="1985"/>
      </w:tabs>
      <w:overflowPunct/>
      <w:autoSpaceDE/>
      <w:autoSpaceDN/>
      <w:adjustRightInd/>
      <w:spacing w:before="240" w:after="400"/>
      <w:jc w:val="left"/>
      <w:textAlignment w:val="auto"/>
    </w:pPr>
    <w:rPr>
      <w:rFonts w:ascii="Arial" w:eastAsiaTheme="minorEastAsia" w:hAnsi="Arial" w:cs="Arial"/>
      <w:b/>
      <w:bCs/>
      <w:noProof/>
      <w:sz w:val="40"/>
      <w:szCs w:val="40"/>
      <w:lang w:val="en-US"/>
    </w:rPr>
  </w:style>
  <w:style w:type="paragraph" w:customStyle="1" w:styleId="SFirstPageVersion">
    <w:name w:val="S First Page Version"/>
    <w:basedOn w:val="Normal"/>
    <w:rsid w:val="00842604"/>
    <w:pPr>
      <w:tabs>
        <w:tab w:val="clear" w:pos="794"/>
        <w:tab w:val="clear" w:pos="1191"/>
        <w:tab w:val="clear" w:pos="1588"/>
        <w:tab w:val="clear" w:pos="1985"/>
      </w:tabs>
      <w:overflowPunct/>
      <w:autoSpaceDE/>
      <w:autoSpaceDN/>
      <w:adjustRightInd/>
      <w:spacing w:before="240" w:after="120" w:line="240" w:lineRule="exact"/>
      <w:jc w:val="left"/>
      <w:textAlignment w:val="auto"/>
    </w:pPr>
    <w:rPr>
      <w:rFonts w:ascii="Arial" w:eastAsiaTheme="minorEastAsia" w:hAnsi="Arial" w:cs="Arial"/>
      <w:sz w:val="28"/>
      <w:szCs w:val="28"/>
      <w:lang w:val="en-US"/>
    </w:rPr>
  </w:style>
  <w:style w:type="paragraph" w:customStyle="1" w:styleId="SHeadingPlain">
    <w:name w:val="S Heading Plain"/>
    <w:basedOn w:val="Heading1"/>
    <w:qFormat/>
    <w:rsid w:val="00842604"/>
    <w:pPr>
      <w:tabs>
        <w:tab w:val="clear" w:pos="794"/>
        <w:tab w:val="clear" w:pos="1191"/>
        <w:tab w:val="clear" w:pos="1588"/>
        <w:tab w:val="clear" w:pos="1985"/>
        <w:tab w:val="left" w:pos="450"/>
      </w:tabs>
      <w:overflowPunct/>
      <w:autoSpaceDE/>
      <w:autoSpaceDN/>
      <w:adjustRightInd/>
      <w:spacing w:after="240" w:line="240" w:lineRule="exact"/>
      <w:ind w:left="0" w:firstLine="0"/>
      <w:jc w:val="left"/>
      <w:textAlignment w:val="auto"/>
      <w:outlineLvl w:val="9"/>
    </w:pPr>
    <w:rPr>
      <w:rFonts w:ascii="Arial" w:eastAsiaTheme="minorEastAsia" w:hAnsi="Arial"/>
      <w:bCs/>
      <w:szCs w:val="24"/>
      <w:lang w:val="en-US"/>
    </w:rPr>
  </w:style>
  <w:style w:type="paragraph" w:customStyle="1" w:styleId="SAnnexHeading2">
    <w:name w:val="S Annex Heading 2"/>
    <w:basedOn w:val="Normal"/>
    <w:next w:val="BodyText"/>
    <w:rsid w:val="00842604"/>
    <w:pPr>
      <w:keepNext/>
      <w:keepLines/>
      <w:numPr>
        <w:ilvl w:val="1"/>
        <w:numId w:val="32"/>
      </w:numPr>
      <w:tabs>
        <w:tab w:val="clear" w:pos="794"/>
        <w:tab w:val="clear" w:pos="1191"/>
        <w:tab w:val="clear" w:pos="1588"/>
        <w:tab w:val="clear" w:pos="1985"/>
      </w:tabs>
      <w:overflowPunct/>
      <w:autoSpaceDE/>
      <w:autoSpaceDN/>
      <w:adjustRightInd/>
      <w:spacing w:before="200" w:after="240" w:line="240" w:lineRule="exact"/>
      <w:ind w:left="720" w:hanging="720"/>
      <w:jc w:val="left"/>
      <w:textAlignment w:val="auto"/>
      <w:outlineLvl w:val="1"/>
    </w:pPr>
    <w:rPr>
      <w:rFonts w:ascii="Arial" w:eastAsiaTheme="minorEastAsia" w:hAnsi="Arial"/>
      <w:b/>
      <w:bCs/>
      <w:sz w:val="20"/>
      <w:lang w:val="en-US"/>
    </w:rPr>
  </w:style>
  <w:style w:type="paragraph" w:customStyle="1" w:styleId="SAnnexHeading3">
    <w:name w:val="S Annex Heading 3"/>
    <w:basedOn w:val="Heading3"/>
    <w:next w:val="BodyText"/>
    <w:rsid w:val="00842604"/>
    <w:pPr>
      <w:keepLines w:val="0"/>
      <w:numPr>
        <w:ilvl w:val="2"/>
        <w:numId w:val="32"/>
      </w:numPr>
      <w:tabs>
        <w:tab w:val="clear" w:pos="794"/>
        <w:tab w:val="clear" w:pos="1191"/>
        <w:tab w:val="clear" w:pos="1588"/>
        <w:tab w:val="clear" w:pos="1985"/>
        <w:tab w:val="left" w:pos="640"/>
        <w:tab w:val="left" w:pos="880"/>
      </w:tabs>
      <w:suppressAutoHyphens/>
      <w:overflowPunct/>
      <w:autoSpaceDE/>
      <w:autoSpaceDN/>
      <w:adjustRightInd/>
      <w:spacing w:before="120" w:after="240" w:line="250" w:lineRule="exact"/>
      <w:jc w:val="left"/>
      <w:textAlignment w:val="auto"/>
    </w:pPr>
    <w:rPr>
      <w:rFonts w:ascii="Arial" w:eastAsia="Arial Unicode MS" w:hAnsi="Arial"/>
      <w:sz w:val="22"/>
      <w:lang w:val="en-US" w:eastAsia="ja-JP"/>
    </w:rPr>
  </w:style>
  <w:style w:type="paragraph" w:customStyle="1" w:styleId="SAnnexHeading4">
    <w:name w:val="S Annex Heading 4"/>
    <w:basedOn w:val="Heading4"/>
    <w:next w:val="BodyText"/>
    <w:rsid w:val="00842604"/>
    <w:pPr>
      <w:keepLines w:val="0"/>
      <w:numPr>
        <w:ilvl w:val="3"/>
        <w:numId w:val="32"/>
      </w:numPr>
      <w:tabs>
        <w:tab w:val="clear" w:pos="992"/>
        <w:tab w:val="clear" w:pos="1191"/>
        <w:tab w:val="clear" w:pos="1588"/>
        <w:tab w:val="clear" w:pos="1985"/>
        <w:tab w:val="left" w:pos="880"/>
      </w:tabs>
      <w:suppressAutoHyphens/>
      <w:overflowPunct/>
      <w:autoSpaceDE/>
      <w:autoSpaceDN/>
      <w:adjustRightInd/>
      <w:spacing w:before="120" w:after="240"/>
      <w:jc w:val="left"/>
      <w:textAlignment w:val="auto"/>
    </w:pPr>
    <w:rPr>
      <w:rFonts w:ascii="Arial" w:eastAsia="Arial Unicode MS" w:hAnsi="Arial"/>
      <w:sz w:val="20"/>
      <w:lang w:val="en-US" w:eastAsia="ja-JP"/>
    </w:rPr>
  </w:style>
  <w:style w:type="paragraph" w:customStyle="1" w:styleId="SAnnexHeading5">
    <w:name w:val="S Annex Heading 5"/>
    <w:basedOn w:val="Heading5"/>
    <w:next w:val="BodyText"/>
    <w:rsid w:val="00842604"/>
    <w:pPr>
      <w:keepLines w:val="0"/>
      <w:numPr>
        <w:ilvl w:val="4"/>
        <w:numId w:val="32"/>
      </w:numPr>
      <w:tabs>
        <w:tab w:val="clear" w:pos="992"/>
        <w:tab w:val="clear" w:pos="1191"/>
        <w:tab w:val="clear" w:pos="1588"/>
        <w:tab w:val="clear" w:pos="1985"/>
        <w:tab w:val="left" w:pos="1140"/>
        <w:tab w:val="left" w:pos="1360"/>
      </w:tabs>
      <w:suppressAutoHyphens/>
      <w:overflowPunct/>
      <w:autoSpaceDE/>
      <w:autoSpaceDN/>
      <w:adjustRightInd/>
      <w:spacing w:before="60" w:after="240" w:line="230" w:lineRule="exact"/>
      <w:jc w:val="left"/>
      <w:textAlignment w:val="auto"/>
    </w:pPr>
    <w:rPr>
      <w:rFonts w:ascii="Arial" w:eastAsia="Arial Unicode MS" w:hAnsi="Arial"/>
      <w:sz w:val="20"/>
      <w:lang w:val="en-US" w:eastAsia="ja-JP"/>
    </w:rPr>
  </w:style>
  <w:style w:type="paragraph" w:customStyle="1" w:styleId="SAnnexHeading6">
    <w:name w:val="S Annex Heading 6"/>
    <w:basedOn w:val="Heading6"/>
    <w:next w:val="BodyText"/>
    <w:rsid w:val="00842604"/>
    <w:pPr>
      <w:keepLines w:val="0"/>
      <w:numPr>
        <w:ilvl w:val="5"/>
        <w:numId w:val="32"/>
      </w:numPr>
      <w:tabs>
        <w:tab w:val="clear" w:pos="1588"/>
        <w:tab w:val="clear" w:pos="1985"/>
        <w:tab w:val="left" w:pos="1140"/>
        <w:tab w:val="left" w:pos="1360"/>
      </w:tabs>
      <w:suppressAutoHyphens/>
      <w:overflowPunct/>
      <w:autoSpaceDE/>
      <w:autoSpaceDN/>
      <w:adjustRightInd/>
      <w:spacing w:before="120" w:after="240"/>
      <w:jc w:val="left"/>
      <w:textAlignment w:val="auto"/>
    </w:pPr>
    <w:rPr>
      <w:rFonts w:ascii="Arial" w:eastAsia="Arial Unicode MS" w:hAnsi="Arial"/>
      <w:sz w:val="20"/>
      <w:lang w:val="en-US" w:eastAsia="ja-JP"/>
    </w:rPr>
  </w:style>
  <w:style w:type="character" w:customStyle="1" w:styleId="SBodyEquationChar">
    <w:name w:val="S Body Equation Char"/>
    <w:basedOn w:val="BodyTextChar"/>
    <w:link w:val="SBodyEquation"/>
    <w:rsid w:val="00842604"/>
    <w:rPr>
      <w:rFonts w:ascii="Arial" w:eastAsiaTheme="minorEastAsia" w:hAnsi="Arial" w:cs="Courier New"/>
      <w:lang w:eastAsia="en-US"/>
    </w:rPr>
  </w:style>
  <w:style w:type="table" w:styleId="Table3Deffects3">
    <w:name w:val="Table 3D effects 3"/>
    <w:basedOn w:val="TableNormal"/>
    <w:rsid w:val="00842604"/>
    <w:pPr>
      <w:spacing w:before="240" w:after="120" w:line="240" w:lineRule="exact"/>
    </w:pPr>
    <w:rPr>
      <w:rFonts w:ascii="Arial" w:eastAsiaTheme="minorEastAsia" w:hAnsi="Arial" w:cs="Courier New"/>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ditorsNote">
    <w:name w:val="S Editors Note"/>
    <w:basedOn w:val="Normal"/>
    <w:qFormat/>
    <w:rsid w:val="00842604"/>
    <w:pPr>
      <w:pBdr>
        <w:top w:val="single" w:sz="4" w:space="1" w:color="auto"/>
        <w:left w:val="single" w:sz="4" w:space="4" w:color="auto"/>
        <w:bottom w:val="single" w:sz="4" w:space="1" w:color="auto"/>
        <w:right w:val="single" w:sz="4" w:space="4" w:color="auto"/>
      </w:pBdr>
      <w:shd w:val="clear" w:color="auto" w:fill="404040"/>
      <w:tabs>
        <w:tab w:val="clear" w:pos="794"/>
        <w:tab w:val="clear" w:pos="1191"/>
        <w:tab w:val="clear" w:pos="1588"/>
        <w:tab w:val="clear" w:pos="1985"/>
      </w:tabs>
      <w:overflowPunct/>
      <w:autoSpaceDE/>
      <w:autoSpaceDN/>
      <w:adjustRightInd/>
      <w:spacing w:before="240" w:after="120" w:line="240" w:lineRule="exact"/>
      <w:jc w:val="left"/>
      <w:textAlignment w:val="auto"/>
    </w:pPr>
    <w:rPr>
      <w:rFonts w:ascii="Arial" w:eastAsiaTheme="minorEastAsia" w:hAnsi="Arial" w:cs="Arial"/>
      <w:color w:val="FFFFFF"/>
      <w:sz w:val="20"/>
      <w:lang w:val="en-US"/>
    </w:rPr>
  </w:style>
  <w:style w:type="paragraph" w:customStyle="1" w:styleId="SBodyTextBullet">
    <w:name w:val="S Body Text Bullet"/>
    <w:basedOn w:val="Normal"/>
    <w:qFormat/>
    <w:rsid w:val="00842604"/>
    <w:pPr>
      <w:numPr>
        <w:numId w:val="21"/>
      </w:numPr>
      <w:tabs>
        <w:tab w:val="clear" w:pos="794"/>
        <w:tab w:val="clear" w:pos="1191"/>
        <w:tab w:val="clear" w:pos="1588"/>
        <w:tab w:val="clear" w:pos="1985"/>
      </w:tabs>
      <w:overflowPunct/>
      <w:autoSpaceDE/>
      <w:autoSpaceDN/>
      <w:adjustRightInd/>
      <w:spacing w:after="60" w:line="240" w:lineRule="exact"/>
      <w:jc w:val="left"/>
      <w:textAlignment w:val="auto"/>
    </w:pPr>
    <w:rPr>
      <w:rFonts w:ascii="Arial" w:eastAsiaTheme="minorEastAsia" w:hAnsi="Arial" w:cs="Courier New"/>
      <w:sz w:val="20"/>
      <w:lang w:val="en-US"/>
    </w:rPr>
  </w:style>
  <w:style w:type="numbering" w:customStyle="1" w:styleId="List31">
    <w:name w:val="List 31"/>
    <w:rsid w:val="00842604"/>
  </w:style>
  <w:style w:type="paragraph" w:customStyle="1" w:styleId="SFigure">
    <w:name w:val="S Figure"/>
    <w:basedOn w:val="Caption"/>
    <w:semiHidden/>
    <w:qFormat/>
    <w:rsid w:val="00842604"/>
    <w:pPr>
      <w:autoSpaceDE w:val="0"/>
      <w:autoSpaceDN w:val="0"/>
      <w:adjustRightInd w:val="0"/>
      <w:ind w:left="0" w:right="0"/>
    </w:pPr>
    <w:rPr>
      <w:bCs w:val="0"/>
      <w:sz w:val="22"/>
      <w:szCs w:val="24"/>
    </w:rPr>
  </w:style>
  <w:style w:type="character" w:customStyle="1" w:styleId="SBodyEquationItalic">
    <w:name w:val="S Body Equation Italic"/>
    <w:rsid w:val="00842604"/>
    <w:rPr>
      <w:i/>
    </w:rPr>
  </w:style>
  <w:style w:type="table" w:styleId="TableGrid5">
    <w:name w:val="Table Grid 5"/>
    <w:basedOn w:val="TableNormal"/>
    <w:rsid w:val="00842604"/>
    <w:pPr>
      <w:spacing w:before="240" w:after="120" w:line="240" w:lineRule="exact"/>
    </w:pPr>
    <w:rPr>
      <w:rFonts w:ascii="Arial" w:eastAsiaTheme="minorEastAsia" w:hAnsi="Arial" w:cs="Courier New"/>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TMLBody">
    <w:name w:val="HTML Body"/>
    <w:semiHidden/>
    <w:rsid w:val="00842604"/>
    <w:pPr>
      <w:autoSpaceDE w:val="0"/>
      <w:autoSpaceDN w:val="0"/>
      <w:adjustRightInd w:val="0"/>
      <w:spacing w:after="200" w:line="276" w:lineRule="auto"/>
    </w:pPr>
    <w:rPr>
      <w:rFonts w:ascii="Arial" w:eastAsiaTheme="minorEastAsia" w:hAnsi="Arial" w:cs="Courier New"/>
      <w:sz w:val="24"/>
      <w:szCs w:val="24"/>
      <w:lang w:eastAsia="en-US"/>
    </w:rPr>
  </w:style>
  <w:style w:type="paragraph" w:customStyle="1" w:styleId="SFigureCaption">
    <w:name w:val="S Figure Caption"/>
    <w:basedOn w:val="Caption"/>
    <w:next w:val="Normal"/>
    <w:semiHidden/>
    <w:rsid w:val="00842604"/>
  </w:style>
  <w:style w:type="paragraph" w:customStyle="1" w:styleId="SBodyEquation">
    <w:name w:val="S Body Equation"/>
    <w:basedOn w:val="BodyText"/>
    <w:link w:val="SBodyEquationChar"/>
    <w:rsid w:val="00842604"/>
    <w:pPr>
      <w:tabs>
        <w:tab w:val="left" w:pos="1260"/>
        <w:tab w:val="left" w:pos="2520"/>
        <w:tab w:val="right" w:pos="9720"/>
      </w:tabs>
    </w:pPr>
  </w:style>
  <w:style w:type="paragraph" w:customStyle="1" w:styleId="TableCell">
    <w:name w:val="Table Cell"/>
    <w:semiHidden/>
    <w:rsid w:val="00842604"/>
    <w:pPr>
      <w:spacing w:before="40" w:after="40" w:line="276" w:lineRule="auto"/>
    </w:pPr>
    <w:rPr>
      <w:rFonts w:ascii="Arial" w:eastAsiaTheme="minorEastAsia" w:hAnsi="Arial" w:cs="Courier New"/>
      <w:lang w:eastAsia="en-US"/>
    </w:rPr>
  </w:style>
  <w:style w:type="paragraph" w:customStyle="1" w:styleId="STableCaption">
    <w:name w:val="S Table Caption"/>
    <w:basedOn w:val="Caption"/>
    <w:rsid w:val="00842604"/>
  </w:style>
  <w:style w:type="paragraph" w:customStyle="1" w:styleId="STableCell">
    <w:name w:val="S Table Cell"/>
    <w:basedOn w:val="BodyText"/>
    <w:rsid w:val="00842604"/>
    <w:pPr>
      <w:spacing w:before="0" w:after="0"/>
    </w:pPr>
  </w:style>
  <w:style w:type="paragraph" w:customStyle="1" w:styleId="SCodeSchema">
    <w:name w:val="S Code Schema"/>
    <w:basedOn w:val="Normal"/>
    <w:rsid w:val="00842604"/>
    <w:pPr>
      <w:pBdr>
        <w:top w:val="single" w:sz="4" w:space="1" w:color="auto"/>
        <w:bottom w:val="single" w:sz="4" w:space="1" w:color="auto"/>
      </w:pBdr>
      <w:shd w:val="clear" w:color="auto" w:fill="D9D9D9"/>
      <w:tabs>
        <w:tab w:val="clear" w:pos="794"/>
        <w:tab w:val="clear" w:pos="1191"/>
        <w:tab w:val="clear" w:pos="1588"/>
        <w:tab w:val="clear" w:pos="1985"/>
        <w:tab w:val="left" w:pos="480"/>
        <w:tab w:val="left" w:pos="720"/>
        <w:tab w:val="left" w:pos="960"/>
        <w:tab w:val="left" w:pos="1200"/>
        <w:tab w:val="left" w:pos="1440"/>
        <w:tab w:val="left" w:pos="1680"/>
        <w:tab w:val="left" w:pos="1920"/>
        <w:tab w:val="left" w:pos="2160"/>
      </w:tabs>
      <w:overflowPunct/>
      <w:autoSpaceDE/>
      <w:autoSpaceDN/>
      <w:adjustRightInd/>
      <w:spacing w:before="0"/>
      <w:ind w:left="2340" w:right="180" w:hanging="2069"/>
      <w:jc w:val="left"/>
      <w:textAlignment w:val="auto"/>
    </w:pPr>
    <w:rPr>
      <w:rFonts w:ascii="Courier New" w:eastAsiaTheme="minorEastAsia" w:hAnsi="Courier New" w:cs="Courier New"/>
      <w:noProof/>
      <w:sz w:val="18"/>
      <w:szCs w:val="18"/>
      <w:lang w:val="en-US"/>
    </w:rPr>
  </w:style>
  <w:style w:type="character" w:styleId="HTMLCite">
    <w:name w:val="HTML Cite"/>
    <w:semiHidden/>
    <w:rsid w:val="00842604"/>
    <w:rPr>
      <w:rFonts w:cs="Times New Roman"/>
      <w:i/>
    </w:rPr>
  </w:style>
  <w:style w:type="table" w:styleId="TableGrid1">
    <w:name w:val="Table Grid 1"/>
    <w:basedOn w:val="TableNormal"/>
    <w:rsid w:val="00842604"/>
    <w:rPr>
      <w:rFonts w:ascii="Arial" w:eastAsiaTheme="minorEastAsia" w:hAnsi="Arial" w:cs="Courier New"/>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ColorfulShading-Accent11">
    <w:name w:val="Colorful Shading - Accent 11"/>
    <w:hidden/>
    <w:uiPriority w:val="71"/>
    <w:rsid w:val="00842604"/>
    <w:pPr>
      <w:spacing w:after="200" w:line="276" w:lineRule="auto"/>
    </w:pPr>
    <w:rPr>
      <w:rFonts w:ascii="Arial" w:eastAsiaTheme="minorEastAsia" w:hAnsi="Arial" w:cs="Courier New"/>
      <w:sz w:val="24"/>
      <w:szCs w:val="24"/>
      <w:lang w:eastAsia="en-US"/>
    </w:rPr>
  </w:style>
  <w:style w:type="table" w:styleId="DarkList-Accent2">
    <w:name w:val="Dark List Accent 2"/>
    <w:basedOn w:val="TableNormal"/>
    <w:uiPriority w:val="61"/>
    <w:rsid w:val="00842604"/>
    <w:rPr>
      <w:rFonts w:ascii="Arial" w:eastAsiaTheme="minorEastAsia" w:hAnsi="Arial" w:cs="Courier New"/>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SAnnexHeading1">
    <w:name w:val="S Annex Heading 1"/>
    <w:basedOn w:val="Heading1"/>
    <w:next w:val="BodyText"/>
    <w:qFormat/>
    <w:rsid w:val="00842604"/>
    <w:pPr>
      <w:pageBreakBefore/>
      <w:numPr>
        <w:numId w:val="32"/>
      </w:numPr>
      <w:tabs>
        <w:tab w:val="clear" w:pos="794"/>
        <w:tab w:val="clear" w:pos="1191"/>
        <w:tab w:val="clear" w:pos="1588"/>
        <w:tab w:val="clear" w:pos="1985"/>
      </w:tabs>
      <w:overflowPunct/>
      <w:autoSpaceDE/>
      <w:autoSpaceDN/>
      <w:adjustRightInd/>
      <w:spacing w:after="240" w:line="240" w:lineRule="exact"/>
      <w:jc w:val="left"/>
      <w:textAlignment w:val="auto"/>
    </w:pPr>
    <w:rPr>
      <w:rFonts w:ascii="Arial" w:eastAsiaTheme="minorEastAsia" w:hAnsi="Arial"/>
      <w:bCs/>
      <w:szCs w:val="24"/>
      <w:lang w:val="en-US"/>
    </w:rPr>
  </w:style>
  <w:style w:type="numbering" w:customStyle="1" w:styleId="Annex">
    <w:name w:val="Annex"/>
    <w:uiPriority w:val="99"/>
    <w:rsid w:val="00842604"/>
    <w:pPr>
      <w:numPr>
        <w:numId w:val="23"/>
      </w:numPr>
    </w:pPr>
  </w:style>
  <w:style w:type="numbering" w:customStyle="1" w:styleId="AnnexPrime">
    <w:name w:val="Annex Prime"/>
    <w:uiPriority w:val="99"/>
    <w:rsid w:val="00842604"/>
    <w:pPr>
      <w:numPr>
        <w:numId w:val="24"/>
      </w:numPr>
    </w:pPr>
  </w:style>
  <w:style w:type="table" w:styleId="MediumGrid3-Accent2">
    <w:name w:val="Medium Grid 3 Accent 2"/>
    <w:basedOn w:val="TableNormal"/>
    <w:uiPriority w:val="60"/>
    <w:rsid w:val="00842604"/>
    <w:rPr>
      <w:rFonts w:ascii="Arial" w:eastAsiaTheme="minorEastAsia" w:hAnsi="Arial" w:cs="Courier New"/>
      <w:color w:val="943634"/>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1-Accent3">
    <w:name w:val="Medium Shading 1 Accent 3"/>
    <w:basedOn w:val="TableNormal"/>
    <w:uiPriority w:val="68"/>
    <w:rsid w:val="00842604"/>
    <w:rPr>
      <w:rFonts w:ascii="Cambria" w:eastAsiaTheme="minorEastAsia" w:hAnsi="Cambria"/>
      <w:color w:val="000000"/>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8"/>
    <w:rsid w:val="00842604"/>
    <w:rPr>
      <w:rFonts w:ascii="Cambria" w:eastAsiaTheme="minorEastAsia" w:hAnsi="Cambria"/>
      <w:color w:val="000000"/>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6">
    <w:name w:val="Medium Shading 1 Accent 6"/>
    <w:basedOn w:val="TableNormal"/>
    <w:uiPriority w:val="68"/>
    <w:rsid w:val="00842604"/>
    <w:rPr>
      <w:rFonts w:ascii="Cambria" w:eastAsiaTheme="minorEastAsia" w:hAnsi="Cambria"/>
      <w:color w:val="000000"/>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TableClassic1">
    <w:name w:val="Table Classic 1"/>
    <w:basedOn w:val="TableNormal"/>
    <w:rsid w:val="00842604"/>
    <w:rPr>
      <w:rFonts w:ascii="Arial" w:eastAsiaTheme="minorEastAsia" w:hAnsi="Arial" w:cs="Courier New"/>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Acronym">
    <w:name w:val="S Acronym"/>
    <w:basedOn w:val="BodyText"/>
    <w:rsid w:val="00842604"/>
    <w:pPr>
      <w:spacing w:before="0"/>
      <w:ind w:left="720"/>
    </w:pPr>
    <w:rPr>
      <w:b/>
    </w:rPr>
  </w:style>
  <w:style w:type="paragraph" w:customStyle="1" w:styleId="SHeadingPlainNumbered">
    <w:name w:val="S Heading Plain Numbered"/>
    <w:basedOn w:val="SHeadingPlain"/>
    <w:rsid w:val="00842604"/>
  </w:style>
  <w:style w:type="table" w:customStyle="1" w:styleId="10">
    <w:name w:val="表 (格子) 淡色1"/>
    <w:basedOn w:val="TableNormal"/>
    <w:uiPriority w:val="40"/>
    <w:rsid w:val="00842604"/>
    <w:rPr>
      <w:rFonts w:ascii="Arial" w:eastAsiaTheme="minorEastAsia" w:hAnsi="Arial" w:cs="Courier New"/>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842604"/>
    <w:rPr>
      <w:color w:val="808080"/>
    </w:rPr>
  </w:style>
  <w:style w:type="table" w:customStyle="1" w:styleId="11">
    <w:name w:val="表 (格子)1"/>
    <w:basedOn w:val="TableNormal"/>
    <w:next w:val="TableGrid"/>
    <w:uiPriority w:val="59"/>
    <w:rsid w:val="00842604"/>
    <w:rPr>
      <w:rFonts w:ascii="Century" w:eastAsiaTheme="minorEastAsia"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TableNormal"/>
    <w:next w:val="TableGrid"/>
    <w:uiPriority w:val="59"/>
    <w:rsid w:val="00842604"/>
    <w:rPr>
      <w:rFonts w:ascii="Century" w:eastAsiaTheme="minorEastAsia"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解決のメンション1"/>
    <w:basedOn w:val="DefaultParagraphFont"/>
    <w:uiPriority w:val="99"/>
    <w:semiHidden/>
    <w:unhideWhenUsed/>
    <w:rsid w:val="00842604"/>
    <w:rPr>
      <w:color w:val="808080"/>
      <w:shd w:val="clear" w:color="auto" w:fill="E6E6E6"/>
    </w:rPr>
  </w:style>
  <w:style w:type="table" w:customStyle="1" w:styleId="TableGridLight1">
    <w:name w:val="Table Grid Light1"/>
    <w:basedOn w:val="TableNormal"/>
    <w:uiPriority w:val="40"/>
    <w:rsid w:val="00842604"/>
    <w:rPr>
      <w:rFonts w:ascii="Arial" w:eastAsiaTheme="minorEastAsia" w:hAnsi="Arial" w:cs="Courier New"/>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842604"/>
    <w:rPr>
      <w:rFonts w:ascii="Arial" w:eastAsiaTheme="minorEastAsia" w:hAnsi="Arial" w:cs="Courier New"/>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0">
    <w:name w:val="未解決のメンション2"/>
    <w:basedOn w:val="DefaultParagraphFont"/>
    <w:uiPriority w:val="99"/>
    <w:semiHidden/>
    <w:unhideWhenUsed/>
    <w:rsid w:val="00842604"/>
    <w:rPr>
      <w:color w:val="808080"/>
      <w:shd w:val="clear" w:color="auto" w:fill="E6E6E6"/>
    </w:rPr>
  </w:style>
  <w:style w:type="paragraph" w:customStyle="1" w:styleId="TableFIN0">
    <w:name w:val="Table FIN"/>
    <w:basedOn w:val="Normal"/>
    <w:rsid w:val="00842604"/>
    <w:pPr>
      <w:tabs>
        <w:tab w:val="clear" w:pos="794"/>
        <w:tab w:val="clear" w:pos="1191"/>
        <w:tab w:val="clear" w:pos="1588"/>
        <w:tab w:val="clear" w:pos="1985"/>
        <w:tab w:val="left" w:pos="1134"/>
        <w:tab w:val="left" w:pos="1871"/>
        <w:tab w:val="left" w:pos="2268"/>
      </w:tabs>
      <w:jc w:val="left"/>
    </w:pPr>
    <w:rPr>
      <w:rFonts w:eastAsiaTheme="minorEastAsia"/>
      <w:sz w:val="18"/>
      <w:lang w:val="en-GB" w:eastAsia="zh-CN"/>
    </w:rPr>
  </w:style>
  <w:style w:type="character" w:customStyle="1" w:styleId="UnresolvedMention1">
    <w:name w:val="Unresolved Mention1"/>
    <w:basedOn w:val="DefaultParagraphFont"/>
    <w:uiPriority w:val="99"/>
    <w:semiHidden/>
    <w:unhideWhenUsed/>
    <w:rsid w:val="00842604"/>
    <w:rPr>
      <w:color w:val="605E5C"/>
      <w:shd w:val="clear" w:color="auto" w:fill="E1DFDD"/>
    </w:rPr>
  </w:style>
  <w:style w:type="character" w:customStyle="1" w:styleId="UnresolvedMention2">
    <w:name w:val="Unresolved Mention2"/>
    <w:basedOn w:val="DefaultParagraphFont"/>
    <w:uiPriority w:val="99"/>
    <w:semiHidden/>
    <w:unhideWhenUsed/>
    <w:rsid w:val="00842604"/>
    <w:rPr>
      <w:color w:val="605E5C"/>
      <w:shd w:val="clear" w:color="auto" w:fill="E1DFDD"/>
    </w:rPr>
  </w:style>
  <w:style w:type="character" w:customStyle="1" w:styleId="UnresolvedMention3">
    <w:name w:val="Unresolved Mention3"/>
    <w:basedOn w:val="DefaultParagraphFont"/>
    <w:uiPriority w:val="99"/>
    <w:semiHidden/>
    <w:unhideWhenUsed/>
    <w:rsid w:val="00842604"/>
    <w:rPr>
      <w:color w:val="605E5C"/>
      <w:shd w:val="clear" w:color="auto" w:fill="E1DFDD"/>
    </w:rPr>
  </w:style>
  <w:style w:type="character" w:customStyle="1" w:styleId="CallChar">
    <w:name w:val="Call Char"/>
    <w:basedOn w:val="DefaultParagraphFont"/>
    <w:link w:val="Call"/>
    <w:rsid w:val="00EB5233"/>
    <w:rPr>
      <w:i/>
      <w:sz w:val="24"/>
      <w:lang w:val="fr-FR" w:eastAsia="en-US"/>
    </w:rPr>
  </w:style>
  <w:style w:type="character" w:customStyle="1" w:styleId="AnnexNoChar">
    <w:name w:val="Annex_No Char"/>
    <w:link w:val="AnnexNo"/>
    <w:locked/>
    <w:rsid w:val="00EB5233"/>
    <w:rPr>
      <w:caps/>
      <w:sz w:val="28"/>
      <w:lang w:val="en-GB" w:eastAsia="en-US"/>
    </w:rPr>
  </w:style>
  <w:style w:type="character" w:customStyle="1" w:styleId="TableheadChar">
    <w:name w:val="Table_head Char"/>
    <w:link w:val="Tablehead"/>
    <w:locked/>
    <w:rsid w:val="00EB5233"/>
    <w:rPr>
      <w:b/>
      <w:sz w:val="22"/>
      <w:lang w:val="fr-FR" w:eastAsia="en-US"/>
    </w:rPr>
  </w:style>
  <w:style w:type="character" w:customStyle="1" w:styleId="Tabletitle0">
    <w:name w:val="Table_title Знак"/>
    <w:basedOn w:val="DefaultParagraphFont"/>
    <w:locked/>
    <w:rsid w:val="00EB5233"/>
    <w:rPr>
      <w:rFonts w:ascii="Times New Roman Bold" w:hAnsi="Times New Roman Bold"/>
      <w:b/>
      <w:lang w:val="en-GB" w:eastAsia="en-US"/>
    </w:rPr>
  </w:style>
  <w:style w:type="character" w:customStyle="1" w:styleId="TableNo0">
    <w:name w:val="Table_No Знак"/>
    <w:basedOn w:val="DefaultParagraphFont"/>
    <w:locked/>
    <w:rsid w:val="00EB5233"/>
    <w:rPr>
      <w:rFonts w:ascii="Times New Roman" w:hAnsi="Times New Roman"/>
      <w:caps/>
      <w:lang w:val="en-GB" w:eastAsia="en-US"/>
    </w:rPr>
  </w:style>
  <w:style w:type="character" w:styleId="UnresolvedMention">
    <w:name w:val="Unresolved Mention"/>
    <w:basedOn w:val="DefaultParagraphFont"/>
    <w:uiPriority w:val="99"/>
    <w:semiHidden/>
    <w:unhideWhenUsed/>
    <w:rsid w:val="000A57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hyperlink" Target="https://www.itu.int/rec/R-REC-BT/recommendation.asp?lang=en&amp;parent=R-REC-BT.1877"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itu.int/pub/R-RES-R.70" TargetMode="External"/><Relationship Id="rId34"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www.itu.int/pub/R-REP-BT/publications.aspx?lang=en&amp;parent=R-REP-BT.2485"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yperlink" Target="http://www.itu.int/publ/R-REC/en" TargetMode="External"/><Relationship Id="rId23" Type="http://schemas.openxmlformats.org/officeDocument/2006/relationships/hyperlink" Target="https://www.itu.int/rec/R-REC-BT/recommendation.asp?lang=en&amp;parent=R-REC-BT.1877"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tu.int/pub/R-REP-BT/publications.aspx?lang=en&amp;parent=R-REP-BT.2400" TargetMode="Externa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ITU-R/go/patents/en" TargetMode="External"/><Relationship Id="rId22" Type="http://schemas.openxmlformats.org/officeDocument/2006/relationships/hyperlink" Target="https://www.itu.int/pub/R-RES-R.71"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1CBE2-118E-4ABF-BAD6-2BFAADE43269}">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1D53684A-F2D4-4AB7-8C04-B8C72AEC39C6}">
  <ds:schemaRefs>
    <ds:schemaRef ds:uri="http://schemas.microsoft.com/sharepoint/v3/contenttype/forms"/>
  </ds:schemaRefs>
</ds:datastoreItem>
</file>

<file path=customXml/itemProps3.xml><?xml version="1.0" encoding="utf-8"?>
<ds:datastoreItem xmlns:ds="http://schemas.openxmlformats.org/officeDocument/2006/customXml" ds:itemID="{0966C71B-12E9-46E8-8ACA-8F8CB581D2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9E6F1E-5863-4A99-9439-BCBD0504D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TotalTime>
  <Pages>17</Pages>
  <Words>4623</Words>
  <Characters>27882</Characters>
  <Application>Microsoft Office Word</Application>
  <DocSecurity>0</DocSecurity>
  <Lines>733</Lines>
  <Paragraphs>76</Paragraphs>
  <ScaleCrop>false</ScaleCrop>
  <HeadingPairs>
    <vt:vector size="2" baseType="variant">
      <vt:variant>
        <vt:lpstr>Title</vt:lpstr>
      </vt:variant>
      <vt:variant>
        <vt:i4>1</vt:i4>
      </vt:variant>
    </vt:vector>
  </HeadingPairs>
  <TitlesOfParts>
    <vt:vector size="1" baseType="lpstr">
      <vt:lpstr>RECOMMENDATION  ITU-R  BS.2144-0 - Guidance for the introduction of new DTTB systems,  technologies and applications in the broadcasting service</vt:lpstr>
    </vt:vector>
  </TitlesOfParts>
  <Manager/>
  <Company>ITU</Company>
  <LinksUpToDate>false</LinksUpToDate>
  <CharactersWithSpaces>32429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BS.2144-0 - Guidance for the introduction of new DTTB systems, technologies and applications in the broadcasting service</dc:title>
  <dc:subject>BS Series = Broadcasting service (sound)</dc:subject>
  <dc:creator>ITU Radiocommunication Bureau (BR)</dc:creator>
  <cp:keywords>BS,2144-0</cp:keywords>
  <dc:description>Gachetc, 12/04/2022, ITU51013811</dc:description>
  <cp:lastModifiedBy>Gachet, Christelle</cp:lastModifiedBy>
  <cp:revision>7</cp:revision>
  <cp:lastPrinted>2022-06-07T08:14:00Z</cp:lastPrinted>
  <dcterms:created xsi:type="dcterms:W3CDTF">2022-05-26T08:40:00Z</dcterms:created>
  <dcterms:modified xsi:type="dcterms:W3CDTF">2022-06-07T08:19:00Z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February 2022</vt:lpwstr>
  </property>
  <property fmtid="{D5CDD505-2E9C-101B-9397-08002B2CF9AE}" pid="12" name="ContentTypeId">
    <vt:lpwstr>0x01010082379ADE57F02A4ABD3D2EDC722C3499</vt:lpwstr>
  </property>
</Properties>
</file>