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02495F">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02495F">
              <w:rPr>
                <w:rFonts w:ascii="Tahoma" w:hAnsi="Tahoma" w:cs="Tahoma"/>
                <w:b/>
                <w:bCs/>
                <w:iCs/>
                <w:color w:val="243285"/>
                <w:sz w:val="36"/>
                <w:szCs w:val="36"/>
              </w:rPr>
              <w:t>808</w:t>
            </w:r>
          </w:p>
          <w:p w:rsidR="00FE79FE" w:rsidRPr="006B55A9" w:rsidRDefault="007D3B79" w:rsidP="0002495F">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02495F">
              <w:rPr>
                <w:rFonts w:ascii="Tahoma" w:hAnsi="Tahoma" w:cs="Tahoma"/>
                <w:b/>
                <w:bCs/>
                <w:iCs/>
                <w:color w:val="243285"/>
                <w:szCs w:val="24"/>
              </w:rPr>
              <w:t>03</w:t>
            </w:r>
            <w:r w:rsidR="00FE79FE" w:rsidRPr="006B55A9">
              <w:rPr>
                <w:rFonts w:ascii="Tahoma" w:hAnsi="Tahoma" w:cs="Tahoma"/>
                <w:b/>
                <w:bCs/>
                <w:iCs/>
                <w:color w:val="243285"/>
                <w:szCs w:val="24"/>
              </w:rPr>
              <w:t>/</w:t>
            </w:r>
            <w:r w:rsidR="0002495F">
              <w:rPr>
                <w:rFonts w:ascii="Tahoma" w:hAnsi="Tahoma" w:cs="Tahoma"/>
                <w:b/>
                <w:bCs/>
                <w:iCs/>
                <w:color w:val="243285"/>
                <w:szCs w:val="24"/>
              </w:rPr>
              <w:t>1992</w:t>
            </w:r>
            <w:r w:rsidR="00FE79FE" w:rsidRPr="006B55A9">
              <w:rPr>
                <w:rFonts w:ascii="Tahoma" w:hAnsi="Tahoma" w:cs="Tahoma"/>
                <w:b/>
                <w:bCs/>
                <w:iCs/>
                <w:color w:val="243285"/>
                <w:szCs w:val="24"/>
              </w:rPr>
              <w:t>)</w:t>
            </w:r>
          </w:p>
        </w:tc>
      </w:tr>
      <w:tr w:rsidR="00FE79FE" w:rsidRPr="006B55A9" w:rsidTr="006B55A9">
        <w:tc>
          <w:tcPr>
            <w:tcW w:w="10089" w:type="dxa"/>
          </w:tcPr>
          <w:p w:rsidR="00013002" w:rsidRPr="006B55A9" w:rsidRDefault="00013002" w:rsidP="006B55A9">
            <w:pPr>
              <w:spacing w:before="80" w:line="500" w:lineRule="exact"/>
              <w:jc w:val="right"/>
              <w:rPr>
                <w:rFonts w:ascii="Tahoma" w:hAnsi="Tahoma" w:cs="Tahoma"/>
                <w:b/>
                <w:bCs/>
                <w:iCs/>
                <w:color w:val="243285"/>
                <w:sz w:val="44"/>
                <w:szCs w:val="44"/>
              </w:rPr>
            </w:pPr>
          </w:p>
          <w:p w:rsidR="0077270F" w:rsidRPr="006B55A9" w:rsidRDefault="0002495F"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The broadcasting of time and date information in coded form</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6B55A9" w:rsidTr="006B55A9">
        <w:tc>
          <w:tcPr>
            <w:tcW w:w="10089" w:type="dxa"/>
          </w:tcPr>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line="280" w:lineRule="exact"/>
              <w:ind w:right="640"/>
              <w:rPr>
                <w:rFonts w:ascii="Tahoma" w:hAnsi="Tahoma" w:cs="Tahoma"/>
                <w:b/>
                <w:bCs/>
                <w:iCs/>
                <w:color w:val="243285"/>
                <w:sz w:val="32"/>
                <w:szCs w:val="32"/>
                <w:lang w:val="es-ES_tradnl"/>
              </w:rPr>
            </w:pPr>
          </w:p>
          <w:p w:rsidR="005A1836" w:rsidRPr="006B55A9" w:rsidRDefault="005A1836" w:rsidP="006B55A9">
            <w:pPr>
              <w:spacing w:before="80" w:after="180" w:line="360" w:lineRule="exact"/>
              <w:ind w:right="720"/>
              <w:rPr>
                <w:rFonts w:ascii="Tahoma" w:hAnsi="Tahoma" w:cs="Tahoma"/>
                <w:b/>
                <w:bCs/>
                <w:iCs/>
                <w:color w:val="243285"/>
                <w:sz w:val="36"/>
                <w:szCs w:val="36"/>
                <w:lang w:val="es-ES_tradnl"/>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D3B79"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D3B79" w:rsidRPr="006B55A9"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Pr="004B0062" w:rsidRDefault="0002495F" w:rsidP="004B006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808</w:t>
      </w:r>
      <w:r w:rsidR="004B0062" w:rsidRPr="001056F0">
        <w:rPr>
          <w:rStyle w:val="FootnoteReference"/>
          <w:lang w:val="en-US"/>
        </w:rPr>
        <w:footnoteReference w:customMarkFollows="1" w:id="1"/>
        <w:t>*</w:t>
      </w:r>
      <w:r w:rsidR="004B0062" w:rsidRPr="001056F0">
        <w:rPr>
          <w:position w:val="10"/>
          <w:sz w:val="24"/>
          <w:lang w:val="en-US"/>
        </w:rPr>
        <w:t>,</w:t>
      </w:r>
      <w:r w:rsidR="004B0062">
        <w:rPr>
          <w:position w:val="10"/>
          <w:sz w:val="24"/>
          <w:lang w:val="en-US"/>
        </w:rPr>
        <w:t xml:space="preserve"> </w:t>
      </w:r>
      <w:r w:rsidR="004B0062" w:rsidRPr="001056F0">
        <w:rPr>
          <w:rStyle w:val="FootnoteReference"/>
          <w:lang w:val="en-US"/>
        </w:rPr>
        <w:footnoteReference w:customMarkFollows="1" w:id="2"/>
        <w:t>**</w:t>
      </w:r>
      <w:r w:rsidR="004B0062" w:rsidRPr="001056F0">
        <w:rPr>
          <w:position w:val="10"/>
          <w:sz w:val="24"/>
          <w:lang w:val="en-US"/>
        </w:rPr>
        <w:t>,</w:t>
      </w:r>
      <w:r w:rsidR="004B0062">
        <w:rPr>
          <w:position w:val="10"/>
          <w:sz w:val="24"/>
          <w:lang w:val="en-US"/>
        </w:rPr>
        <w:t xml:space="preserve"> </w:t>
      </w:r>
      <w:r w:rsidR="004B0062">
        <w:rPr>
          <w:rStyle w:val="FootnoteReference"/>
          <w:lang w:val="en-US"/>
        </w:rPr>
        <w:footnoteReference w:customMarkFollows="1" w:id="3"/>
        <w:t>***</w:t>
      </w:r>
    </w:p>
    <w:p w:rsidR="0002495F" w:rsidRDefault="0002495F" w:rsidP="0002495F">
      <w:pPr>
        <w:pStyle w:val="Rectitle"/>
        <w:rPr>
          <w:lang w:val="en-US"/>
        </w:rPr>
      </w:pPr>
      <w:bookmarkStart w:id="3" w:name="Pre_title"/>
      <w:r>
        <w:rPr>
          <w:lang w:val="en-US"/>
        </w:rPr>
        <w:t>The broadcasting of time and date information</w:t>
      </w:r>
      <w:r>
        <w:rPr>
          <w:lang w:val="en-US"/>
        </w:rPr>
        <w:br/>
        <w:t>in coded form</w:t>
      </w:r>
      <w:bookmarkEnd w:id="3"/>
    </w:p>
    <w:p w:rsidR="009468F5" w:rsidRDefault="009468F5" w:rsidP="0002495F">
      <w:pPr>
        <w:pStyle w:val="Recdate"/>
      </w:pPr>
      <w:bookmarkStart w:id="4" w:name="Revision_history"/>
    </w:p>
    <w:p w:rsidR="0002495F" w:rsidRDefault="0002495F" w:rsidP="0002495F">
      <w:pPr>
        <w:pStyle w:val="Recdate"/>
      </w:pPr>
      <w:r>
        <w:t>(1992)</w:t>
      </w:r>
      <w:bookmarkEnd w:id="4"/>
    </w:p>
    <w:p w:rsidR="0002495F" w:rsidRDefault="0002495F" w:rsidP="009468F5">
      <w:pPr>
        <w:rPr>
          <w:lang w:val="en-US"/>
        </w:rPr>
      </w:pPr>
    </w:p>
    <w:p w:rsidR="0002495F" w:rsidRDefault="0002495F" w:rsidP="0002495F">
      <w:pPr>
        <w:pStyle w:val="Normalaftertitle"/>
      </w:pPr>
      <w:r>
        <w:t>The ITU Radiocommunication Assembly,</w:t>
      </w:r>
    </w:p>
    <w:p w:rsidR="0002495F" w:rsidRDefault="0002495F" w:rsidP="0002495F">
      <w:pPr>
        <w:pStyle w:val="Call"/>
      </w:pPr>
      <w:r>
        <w:t>considering</w:t>
      </w:r>
    </w:p>
    <w:p w:rsidR="0002495F" w:rsidRDefault="0002495F" w:rsidP="0002495F">
      <w:pPr>
        <w:rPr>
          <w:lang w:val="en-US"/>
        </w:rPr>
      </w:pPr>
      <w:r>
        <w:rPr>
          <w:lang w:val="en-US"/>
        </w:rPr>
        <w:t>a)</w:t>
      </w:r>
      <w:r>
        <w:rPr>
          <w:lang w:val="en-US"/>
        </w:rPr>
        <w:tab/>
        <w:t>that there are cases, notably in HF and satellite broadcasting, where a transmission is received over a large geographical area containing many time zones;</w:t>
      </w:r>
    </w:p>
    <w:p w:rsidR="0002495F" w:rsidRDefault="0002495F" w:rsidP="0002495F">
      <w:pPr>
        <w:rPr>
          <w:lang w:val="en-US"/>
        </w:rPr>
      </w:pPr>
      <w:r>
        <w:rPr>
          <w:lang w:val="en-US"/>
        </w:rPr>
        <w:t>b)</w:t>
      </w:r>
      <w:r>
        <w:rPr>
          <w:lang w:val="en-US"/>
        </w:rPr>
        <w:tab/>
        <w:t>that there should occur further time differences during the year due to the practice of implementing “daylight-saving” time in some countries;</w:t>
      </w:r>
    </w:p>
    <w:p w:rsidR="0002495F" w:rsidRDefault="0002495F" w:rsidP="0002495F">
      <w:pPr>
        <w:rPr>
          <w:lang w:val="en-US"/>
        </w:rPr>
      </w:pPr>
      <w:r>
        <w:rPr>
          <w:lang w:val="en-US"/>
        </w:rPr>
        <w:t>c)</w:t>
      </w:r>
      <w:r>
        <w:rPr>
          <w:lang w:val="en-US"/>
        </w:rPr>
        <w:tab/>
        <w:t>that there would be advantages in adopting a standard time reference independent of time zones and daylight-saving discontinuities;</w:t>
      </w:r>
    </w:p>
    <w:p w:rsidR="0002495F" w:rsidRDefault="0002495F" w:rsidP="0002495F">
      <w:pPr>
        <w:rPr>
          <w:lang w:val="en-US"/>
        </w:rPr>
      </w:pPr>
      <w:r>
        <w:rPr>
          <w:lang w:val="en-US"/>
        </w:rPr>
        <w:t>d)</w:t>
      </w:r>
      <w:r>
        <w:rPr>
          <w:lang w:val="en-US"/>
        </w:rPr>
        <w:tab/>
        <w:t>that the transmission of the local time offset at the source from a standardized time reference might be desirable in some cases;</w:t>
      </w:r>
    </w:p>
    <w:p w:rsidR="0002495F" w:rsidRDefault="0002495F" w:rsidP="0002495F">
      <w:pPr>
        <w:rPr>
          <w:lang w:val="en-US"/>
        </w:rPr>
      </w:pPr>
      <w:r>
        <w:rPr>
          <w:lang w:val="en-US"/>
        </w:rPr>
        <w:t>e)</w:t>
      </w:r>
      <w:r>
        <w:rPr>
          <w:lang w:val="en-US"/>
        </w:rPr>
        <w:tab/>
        <w:t>that there is an increasing interest to convey time and date information in a coded form particularly suitable for controlling the operation of equipment;</w:t>
      </w:r>
    </w:p>
    <w:p w:rsidR="0002495F" w:rsidRDefault="0002495F" w:rsidP="0002495F">
      <w:pPr>
        <w:rPr>
          <w:lang w:val="en-US"/>
        </w:rPr>
      </w:pPr>
      <w:r>
        <w:rPr>
          <w:lang w:val="en-US"/>
        </w:rPr>
        <w:t>f)</w:t>
      </w:r>
      <w:r>
        <w:rPr>
          <w:lang w:val="en-US"/>
        </w:rPr>
        <w:tab/>
        <w:t>that standardized encoding methods for broadcasting time and date would also permit operating economy and simplify the calculation of relative timings;</w:t>
      </w:r>
    </w:p>
    <w:p w:rsidR="0002495F" w:rsidRDefault="0002495F" w:rsidP="0002495F">
      <w:pPr>
        <w:rPr>
          <w:lang w:val="en-US"/>
        </w:rPr>
      </w:pPr>
      <w:r>
        <w:rPr>
          <w:lang w:val="en-US"/>
        </w:rPr>
        <w:t>g)</w:t>
      </w:r>
      <w:r>
        <w:rPr>
          <w:lang w:val="en-US"/>
        </w:rPr>
        <w:tab/>
        <w:t>that common worldwide time and date conventions have already been defined in Recommendations ITU-R TF.457 and ITU-R TF.460,</w:t>
      </w:r>
    </w:p>
    <w:p w:rsidR="0002495F" w:rsidRDefault="0002495F" w:rsidP="0002495F">
      <w:pPr>
        <w:pStyle w:val="Call"/>
      </w:pPr>
      <w:r>
        <w:t>recommends</w:t>
      </w:r>
    </w:p>
    <w:p w:rsidR="0002495F" w:rsidRDefault="0002495F" w:rsidP="0002495F">
      <w:pPr>
        <w:rPr>
          <w:lang w:val="en-US"/>
        </w:rPr>
      </w:pPr>
      <w:r>
        <w:rPr>
          <w:b/>
          <w:lang w:val="en-US"/>
        </w:rPr>
        <w:t>1</w:t>
      </w:r>
      <w:r>
        <w:rPr>
          <w:lang w:val="en-US"/>
        </w:rPr>
        <w:tab/>
        <w:t>that all coded broadcast time and date signals should be expressed only in Coordinated Universal Time (UTC) and Modified Julian Date (MJD) in accordance with Recommendations ITU-R TF.457 and ITU-R TF.460;</w:t>
      </w:r>
    </w:p>
    <w:p w:rsidR="0002495F" w:rsidRDefault="0002495F" w:rsidP="0002495F">
      <w:pPr>
        <w:rPr>
          <w:lang w:val="en-US"/>
        </w:rPr>
      </w:pPr>
      <w:r>
        <w:rPr>
          <w:b/>
          <w:lang w:val="en-US"/>
        </w:rPr>
        <w:t>2</w:t>
      </w:r>
      <w:r>
        <w:rPr>
          <w:lang w:val="en-US"/>
        </w:rPr>
        <w:tab/>
        <w:t xml:space="preserve">that a coded local time offset, expressed in multiples of half an hour with range –12 h to </w:t>
      </w:r>
      <w:r>
        <w:rPr>
          <w:rFonts w:ascii="Symbol" w:hAnsi="Symbol"/>
        </w:rPr>
        <w:t></w:t>
      </w:r>
      <w:r>
        <w:rPr>
          <w:lang w:val="en-US"/>
        </w:rPr>
        <w:t>15 h should be appended when required to indicate the difference between UTC and the time currently applicable locally within a particular time zone.</w:t>
      </w:r>
    </w:p>
    <w:p w:rsidR="0002495F" w:rsidRDefault="0002495F" w:rsidP="0002495F">
      <w:pPr>
        <w:rPr>
          <w:lang w:val="en-US"/>
        </w:rPr>
      </w:pPr>
      <w:r>
        <w:rPr>
          <w:iCs/>
          <w:lang w:val="en-US"/>
        </w:rPr>
        <w:t>NOTE 1 –</w:t>
      </w:r>
      <w:r>
        <w:rPr>
          <w:lang w:val="en-US"/>
        </w:rPr>
        <w:t> Additional information on the conventions for the expression of standard time and date, and a method for conversion between date conventions are given in Annex 1.</w:t>
      </w:r>
    </w:p>
    <w:p w:rsidR="0002495F" w:rsidRDefault="0002495F" w:rsidP="004B0062">
      <w:pPr>
        <w:pStyle w:val="AnnexNoTitle"/>
      </w:pPr>
      <w:r>
        <w:lastRenderedPageBreak/>
        <w:t>A</w:t>
      </w:r>
      <w:r w:rsidR="004B0062">
        <w:t>nnex</w:t>
      </w:r>
      <w:r>
        <w:t xml:space="preserve"> 1</w:t>
      </w:r>
      <w:r w:rsidR="004B0062">
        <w:br/>
      </w:r>
      <w:r w:rsidR="004B0062">
        <w:br/>
      </w:r>
      <w:r>
        <w:t>A note on standard time and date conventions</w:t>
      </w:r>
    </w:p>
    <w:p w:rsidR="0002495F" w:rsidRDefault="0002495F" w:rsidP="0002495F">
      <w:pPr>
        <w:pStyle w:val="Heading1"/>
        <w:rPr>
          <w:lang w:val="en-US"/>
        </w:rPr>
      </w:pPr>
      <w:r>
        <w:rPr>
          <w:lang w:val="en-US"/>
        </w:rPr>
        <w:t>1</w:t>
      </w:r>
      <w:r>
        <w:rPr>
          <w:lang w:val="en-US"/>
        </w:rPr>
        <w:tab/>
        <w:t>Introduction</w:t>
      </w:r>
    </w:p>
    <w:p w:rsidR="0002495F" w:rsidRDefault="0002495F" w:rsidP="0002495F">
      <w:pPr>
        <w:rPr>
          <w:lang w:val="en-US"/>
        </w:rPr>
      </w:pPr>
      <w:r>
        <w:rPr>
          <w:lang w:val="en-US"/>
        </w:rPr>
        <w:t>There are already international standards concerning the distribution of time and date information. This Annex indicates how these standards relate to each other, and to the needs of broadcasting.</w:t>
      </w:r>
    </w:p>
    <w:p w:rsidR="0002495F" w:rsidRDefault="0002495F" w:rsidP="0002495F">
      <w:pPr>
        <w:rPr>
          <w:lang w:val="en-US"/>
        </w:rPr>
      </w:pPr>
      <w:r>
        <w:rPr>
          <w:lang w:val="en-US"/>
        </w:rPr>
        <w:t>Time and date information is used to label the actual or nominal point of origin of material (a document, a television or radio programme) or the actual or anticipated point of receipt. The difference represents the propagation delay. There is also a requirement for indicating local clock-time and date in their own right, or for use together with such labels for assisting decisions or controlling processes associated with broadcasting.</w:t>
      </w:r>
    </w:p>
    <w:p w:rsidR="0002495F" w:rsidRDefault="0002495F" w:rsidP="0002495F">
      <w:pPr>
        <w:rPr>
          <w:lang w:val="en-US"/>
        </w:rPr>
      </w:pPr>
      <w:r>
        <w:rPr>
          <w:lang w:val="en-US"/>
        </w:rPr>
        <w:t>The broadcasting and telecommunications environment provides the possibility of sending signals worldwide within 1 s of time. It is therefore necessary to accommodate the variations in local time (and date) in any method of coding intended to be consistent worldwide. There are also known discontinuities in local time (the duplicated hour at the end of “summer time”, and the “leap second”) to be taken into account.</w:t>
      </w:r>
    </w:p>
    <w:p w:rsidR="0002495F" w:rsidRDefault="0002495F" w:rsidP="0002495F">
      <w:pPr>
        <w:pStyle w:val="Heading1"/>
        <w:rPr>
          <w:lang w:val="en-US"/>
        </w:rPr>
      </w:pPr>
      <w:r>
        <w:rPr>
          <w:lang w:val="en-US"/>
        </w:rPr>
        <w:t>2</w:t>
      </w:r>
      <w:r>
        <w:rPr>
          <w:lang w:val="en-US"/>
        </w:rPr>
        <w:tab/>
        <w:t>Standard time</w:t>
      </w:r>
    </w:p>
    <w:p w:rsidR="0002495F" w:rsidRDefault="0002495F" w:rsidP="0002495F">
      <w:pPr>
        <w:rPr>
          <w:lang w:val="en-US"/>
        </w:rPr>
      </w:pPr>
      <w:r>
        <w:rPr>
          <w:lang w:val="en-US"/>
        </w:rPr>
        <w:t>The standard unit of time is the second, obtained by defining the frequency of the caesium atomic transition as 9 192 631 770 Hz. For the purpose of creating a regular time scale these seconds are counted to give days, hours and minutes since 1 January 1958. This is known as International Atomic Time (TAI). This time scale, based on a physical property, drifts out of step with a time scale, such as Universal Time (UT) or Greenwich mean time (GMT), obtained from astronomical observation. Since the origin of TAI was set in agreement with UT at the beginning of 1958, TAI has advanced by about 21 s with respect to UT. In order to provide a time scale with seconds coincident to those of TAI, but within a close tolerance (</w:t>
      </w:r>
      <w:r>
        <w:rPr>
          <w:rFonts w:ascii="Symbol" w:hAnsi="Symbol"/>
        </w:rPr>
        <w:t></w:t>
      </w:r>
      <w:r>
        <w:rPr>
          <w:sz w:val="12"/>
          <w:lang w:val="en-US"/>
        </w:rPr>
        <w:t> </w:t>
      </w:r>
      <w:r>
        <w:rPr>
          <w:lang w:val="en-US"/>
        </w:rPr>
        <w:t>0.8 s) of UT, a version of TAI offset by a whole number of seconds is maintained by the Bureau international des poids et mesures (BIPM). This is known as Coordinated Universal Time (UTC). The tolerance is maintained by occasionally adding (or, in principle, deleting) a single second to make a 61 s (or 59 s) minute. The preferred occasions are at the end or middle of the year, with at least eight weeks’ notice. For example, one of these “leap seconds” occurred at 0000 h UTC on 1 July 1982 when the UTC seconds marker sequence was:</w:t>
      </w:r>
    </w:p>
    <w:p w:rsidR="0002495F" w:rsidRDefault="0002495F" w:rsidP="0002495F">
      <w:pPr>
        <w:tabs>
          <w:tab w:val="clear" w:pos="1191"/>
          <w:tab w:val="clear" w:pos="1588"/>
          <w:tab w:val="clear" w:pos="1985"/>
          <w:tab w:val="left" w:pos="2835"/>
        </w:tabs>
        <w:rPr>
          <w:lang w:val="en-US"/>
        </w:rPr>
      </w:pPr>
      <w:r>
        <w:rPr>
          <w:lang w:val="en-US"/>
        </w:rPr>
        <w:tab/>
        <w:t>30 June 1982</w:t>
      </w:r>
      <w:r>
        <w:rPr>
          <w:lang w:val="en-US"/>
        </w:rPr>
        <w:tab/>
        <w:t>23 h 59 min 59 s</w:t>
      </w:r>
    </w:p>
    <w:p w:rsidR="0002495F" w:rsidRDefault="0002495F" w:rsidP="0002495F">
      <w:pPr>
        <w:tabs>
          <w:tab w:val="clear" w:pos="1191"/>
          <w:tab w:val="clear" w:pos="1588"/>
          <w:tab w:val="clear" w:pos="1985"/>
          <w:tab w:val="left" w:pos="2835"/>
        </w:tabs>
        <w:rPr>
          <w:lang w:val="en-US"/>
        </w:rPr>
      </w:pPr>
      <w:r>
        <w:rPr>
          <w:lang w:val="en-US"/>
        </w:rPr>
        <w:tab/>
      </w:r>
      <w:r>
        <w:rPr>
          <w:lang w:val="en-US"/>
        </w:rPr>
        <w:tab/>
        <w:t>23 h 59 min 60 s</w:t>
      </w:r>
    </w:p>
    <w:p w:rsidR="0002495F" w:rsidRDefault="0002495F" w:rsidP="0002495F">
      <w:pPr>
        <w:tabs>
          <w:tab w:val="clear" w:pos="1191"/>
          <w:tab w:val="clear" w:pos="1588"/>
          <w:tab w:val="clear" w:pos="1985"/>
          <w:tab w:val="left" w:pos="2835"/>
        </w:tabs>
        <w:rPr>
          <w:lang w:val="en-US"/>
        </w:rPr>
      </w:pPr>
      <w:r>
        <w:rPr>
          <w:lang w:val="en-US"/>
        </w:rPr>
        <w:tab/>
        <w:t xml:space="preserve">  1 July 1982</w:t>
      </w:r>
      <w:r>
        <w:rPr>
          <w:lang w:val="en-US"/>
        </w:rPr>
        <w:tab/>
        <w:t>00 h 00 min 00 s</w:t>
      </w:r>
    </w:p>
    <w:p w:rsidR="0002495F" w:rsidRDefault="0002495F" w:rsidP="0002495F">
      <w:pPr>
        <w:rPr>
          <w:lang w:val="en-US"/>
        </w:rPr>
      </w:pPr>
      <w:r>
        <w:rPr>
          <w:lang w:val="en-US"/>
        </w:rPr>
        <w:t xml:space="preserve">All of the standard time signals used by broadcasters worldwide are derived from the UTC time scale, and the times are often, wrongly, referred to in terms of Greenwich mean time (GMT) and an offset. For reasons given above, the UTC time signal known in the </w:t>
      </w:r>
      <w:smartTag w:uri="urn:schemas-microsoft-com:office:smarttags" w:element="country-region">
        <w:smartTag w:uri="urn:schemas-microsoft-com:office:smarttags" w:element="place">
          <w:r>
            <w:rPr>
              <w:lang w:val="en-US"/>
            </w:rPr>
            <w:t>UK</w:t>
          </w:r>
        </w:smartTag>
      </w:smartTag>
      <w:r>
        <w:rPr>
          <w:lang w:val="en-US"/>
        </w:rPr>
        <w:t xml:space="preserve"> as “the Greenwich time signal”, will sometimes differ from true GMT by more than half a second. This confusion of name is of little practical consequence in everyday life, but it is significant to astronomers, navigators and lawyers.</w:t>
      </w:r>
    </w:p>
    <w:p w:rsidR="0002495F" w:rsidRDefault="0002495F" w:rsidP="0002495F">
      <w:pPr>
        <w:rPr>
          <w:lang w:val="en-US"/>
        </w:rPr>
      </w:pPr>
      <w:r>
        <w:rPr>
          <w:lang w:val="en-US"/>
        </w:rPr>
        <w:t>Recommendation ITU-R TF.460 recommends “that all . . . time signal emissions conform as closely as possible to Coordinated Universal Time (UTC)”.</w:t>
      </w:r>
    </w:p>
    <w:p w:rsidR="0002495F" w:rsidRDefault="0002495F" w:rsidP="0002495F">
      <w:pPr>
        <w:pStyle w:val="Heading2"/>
        <w:rPr>
          <w:lang w:val="en-US"/>
        </w:rPr>
      </w:pPr>
      <w:r>
        <w:rPr>
          <w:lang w:val="en-US"/>
        </w:rPr>
        <w:lastRenderedPageBreak/>
        <w:t>2.1</w:t>
      </w:r>
      <w:r>
        <w:rPr>
          <w:lang w:val="en-US"/>
        </w:rPr>
        <w:tab/>
        <w:t>Time offsets</w:t>
      </w:r>
    </w:p>
    <w:p w:rsidR="0002495F" w:rsidRDefault="0002495F" w:rsidP="0002495F">
      <w:pPr>
        <w:rPr>
          <w:lang w:val="en-US"/>
        </w:rPr>
      </w:pPr>
      <w:r>
        <w:rPr>
          <w:lang w:val="en-US"/>
        </w:rPr>
        <w:t xml:space="preserve">In practice all countries refer their national time or times to UTC with an offset. There are 38 different offsets currently in use. Except for </w:t>
      </w:r>
      <w:smartTag w:uri="urn:schemas-microsoft-com:office:smarttags" w:element="country-region">
        <w:r>
          <w:rPr>
            <w:lang w:val="en-US"/>
          </w:rPr>
          <w:t>Nepal</w:t>
        </w:r>
      </w:smartTag>
      <w:r>
        <w:rPr>
          <w:lang w:val="en-US"/>
        </w:rPr>
        <w:t xml:space="preserve"> (</w:t>
      </w:r>
      <w:r>
        <w:rPr>
          <w:rFonts w:ascii="Symbol" w:hAnsi="Symbol"/>
        </w:rPr>
        <w:t></w:t>
      </w:r>
      <w:r>
        <w:rPr>
          <w:lang w:val="en-US"/>
        </w:rPr>
        <w:t xml:space="preserve">5 h 40 min) all the offsets are multiples of half an hour and range from –11 h (Samoa) to </w:t>
      </w:r>
      <w:r>
        <w:rPr>
          <w:rFonts w:ascii="Symbol" w:hAnsi="Symbol"/>
        </w:rPr>
        <w:t></w:t>
      </w:r>
      <w:r>
        <w:rPr>
          <w:lang w:val="en-US"/>
        </w:rPr>
        <w:t>14 h (</w:t>
      </w:r>
      <w:smartTag w:uri="urn:schemas-microsoft-com:office:smarttags" w:element="place">
        <w:smartTag w:uri="urn:schemas-microsoft-com:office:smarttags" w:element="City">
          <w:r>
            <w:rPr>
              <w:lang w:val="en-US"/>
            </w:rPr>
            <w:t>Anadyr</w:t>
          </w:r>
        </w:smartTag>
        <w:r>
          <w:rPr>
            <w:lang w:val="en-US"/>
          </w:rPr>
          <w:t xml:space="preserve">, </w:t>
        </w:r>
        <w:smartTag w:uri="urn:schemas-microsoft-com:office:smarttags" w:element="country-region">
          <w:r>
            <w:rPr>
              <w:lang w:val="en-US"/>
            </w:rPr>
            <w:t>Russian Federation</w:t>
          </w:r>
        </w:smartTag>
      </w:smartTag>
      <w:r>
        <w:rPr>
          <w:lang w:val="en-US"/>
        </w:rPr>
        <w:t xml:space="preserve">, in summer time). Many countries advance their time by one hour during local summer (dependent on hemisphere); exceptionally </w:t>
      </w:r>
      <w:smartTag w:uri="urn:schemas-microsoft-com:office:smarttags" w:element="place">
        <w:r>
          <w:rPr>
            <w:lang w:val="en-US"/>
          </w:rPr>
          <w:t>Cook Islands</w:t>
        </w:r>
      </w:smartTag>
      <w:r>
        <w:rPr>
          <w:lang w:val="en-US"/>
        </w:rPr>
        <w:t xml:space="preserve"> advance by half an hour. There are various dates and times for summer time changes. Within some countries (</w:t>
      </w:r>
      <w:smartTag w:uri="urn:schemas-microsoft-com:office:smarttags" w:element="country-region">
        <w:r>
          <w:rPr>
            <w:lang w:val="en-US"/>
          </w:rPr>
          <w:t>Australia</w:t>
        </w:r>
      </w:smartTag>
      <w:r>
        <w:rPr>
          <w:lang w:val="en-US"/>
        </w:rPr>
        <w:t xml:space="preserve">, </w:t>
      </w:r>
      <w:smartTag w:uri="urn:schemas-microsoft-com:office:smarttags" w:element="country-region">
        <w:smartTag w:uri="urn:schemas-microsoft-com:office:smarttags" w:element="place">
          <w:r>
            <w:rPr>
              <w:lang w:val="en-US"/>
            </w:rPr>
            <w:t>Canada</w:t>
          </w:r>
        </w:smartTag>
      </w:smartTag>
      <w:r>
        <w:rPr>
          <w:lang w:val="en-US"/>
        </w:rPr>
        <w:t>) there are some time zones differing by half an hour. There are some states (</w:t>
      </w:r>
      <w:smartTag w:uri="urn:schemas-microsoft-com:office:smarttags" w:element="State">
        <w:r>
          <w:rPr>
            <w:lang w:val="en-US"/>
          </w:rPr>
          <w:t>Queensland</w:t>
        </w:r>
      </w:smartTag>
      <w:r>
        <w:rPr>
          <w:lang w:val="en-US"/>
        </w:rPr>
        <w:t xml:space="preserve">, </w:t>
      </w:r>
      <w:smartTag w:uri="urn:schemas-microsoft-com:office:smarttags" w:element="country-region">
        <w:r>
          <w:rPr>
            <w:lang w:val="en-US"/>
          </w:rPr>
          <w:t>Australia</w:t>
        </w:r>
      </w:smartTag>
      <w:r>
        <w:rPr>
          <w:lang w:val="en-US"/>
        </w:rPr>
        <w:t xml:space="preserve">; </w:t>
      </w:r>
      <w:smartTag w:uri="urn:schemas-microsoft-com:office:smarttags" w:element="State">
        <w:r>
          <w:rPr>
            <w:lang w:val="en-US"/>
          </w:rPr>
          <w:t>Arizona</w:t>
        </w:r>
      </w:smartTag>
      <w:r>
        <w:rPr>
          <w:lang w:val="en-US"/>
        </w:rPr>
        <w:t xml:space="preserve"> and </w:t>
      </w:r>
      <w:smartTag w:uri="urn:schemas-microsoft-com:office:smarttags" w:element="State">
        <w:r>
          <w:rPr>
            <w:lang w:val="en-US"/>
          </w:rPr>
          <w:t>Indiana</w:t>
        </w:r>
      </w:smartTag>
      <w:r>
        <w:rPr>
          <w:lang w:val="en-US"/>
        </w:rPr>
        <w:t xml:space="preserve">, </w:t>
      </w:r>
      <w:smartTag w:uri="urn:schemas-microsoft-com:office:smarttags" w:element="country-region">
        <w:smartTag w:uri="urn:schemas-microsoft-com:office:smarttags" w:element="place">
          <w:r>
            <w:rPr>
              <w:lang w:val="en-US"/>
            </w:rPr>
            <w:t>USA</w:t>
          </w:r>
        </w:smartTag>
      </w:smartTag>
      <w:r>
        <w:rPr>
          <w:lang w:val="en-US"/>
        </w:rPr>
        <w:t>) which, unlike their neighbours, do not adopt summer time.</w:t>
      </w:r>
    </w:p>
    <w:p w:rsidR="0002495F" w:rsidRDefault="0002495F" w:rsidP="0002495F">
      <w:pPr>
        <w:rPr>
          <w:lang w:val="en-US"/>
        </w:rPr>
      </w:pPr>
      <w:r>
        <w:rPr>
          <w:lang w:val="en-US"/>
        </w:rPr>
        <w:t xml:space="preserve">It would probably be sufficient to provide a method of signalling a local time offset with a six-bit code giving half an hour steps in a range –12 to </w:t>
      </w:r>
      <w:r>
        <w:rPr>
          <w:rFonts w:ascii="Symbol" w:hAnsi="Symbol"/>
        </w:rPr>
        <w:t></w:t>
      </w:r>
      <w:r>
        <w:rPr>
          <w:lang w:val="en-US"/>
        </w:rPr>
        <w:t>15 h. In some applications, the local offset of the programme source or of the transmitter would be signalled; in other cases, the local offset applicable to the receiver site would be required.</w:t>
      </w:r>
    </w:p>
    <w:p w:rsidR="0002495F" w:rsidRDefault="0002495F" w:rsidP="0002495F">
      <w:pPr>
        <w:pStyle w:val="Heading1"/>
        <w:rPr>
          <w:lang w:val="en-US"/>
        </w:rPr>
      </w:pPr>
      <w:r>
        <w:rPr>
          <w:lang w:val="en-US"/>
        </w:rPr>
        <w:t>3</w:t>
      </w:r>
      <w:r>
        <w:rPr>
          <w:lang w:val="en-US"/>
        </w:rPr>
        <w:tab/>
        <w:t>Date</w:t>
      </w:r>
    </w:p>
    <w:p w:rsidR="0002495F" w:rsidRDefault="0002495F" w:rsidP="0002495F">
      <w:pPr>
        <w:rPr>
          <w:lang w:val="en-US"/>
        </w:rPr>
      </w:pPr>
      <w:r>
        <w:rPr>
          <w:lang w:val="en-US"/>
        </w:rPr>
        <w:t>The change of date varies, of course, with local time, so a common broadcast standard for date would be referred to UTC and it would be corrected, if necessary, by the operation of the local offset.</w:t>
      </w:r>
    </w:p>
    <w:p w:rsidR="0002495F" w:rsidRDefault="0002495F" w:rsidP="0002495F">
      <w:pPr>
        <w:rPr>
          <w:lang w:val="en-US"/>
        </w:rPr>
      </w:pPr>
      <w:r>
        <w:rPr>
          <w:lang w:val="en-US"/>
        </w:rPr>
        <w:t>There are several calendars in use world-wide but a simple common reference, the Modified Julian Date (MJD), has been defined for this purpose. This is a five-digit decimal number increasing by one at midnight UTC. The origin of the count is 17 November 1858, because at midday on that date the Julian Day (used by astronomers to give continuity from 4713 BC) reached the figure 2</w:t>
      </w:r>
      <w:r>
        <w:rPr>
          <w:rFonts w:ascii="Tms Rmn" w:hAnsi="Tms Rmn"/>
          <w:sz w:val="12"/>
          <w:lang w:val="en-US"/>
        </w:rPr>
        <w:t> </w:t>
      </w:r>
      <w:r>
        <w:rPr>
          <w:lang w:val="en-US"/>
        </w:rPr>
        <w:t>400</w:t>
      </w:r>
      <w:r>
        <w:rPr>
          <w:rFonts w:ascii="Tms Rmn" w:hAnsi="Tms Rmn"/>
          <w:sz w:val="12"/>
          <w:lang w:val="en-US"/>
        </w:rPr>
        <w:t> </w:t>
      </w:r>
      <w:r>
        <w:rPr>
          <w:lang w:val="en-US"/>
        </w:rPr>
        <w:t>000. A more convenient reference is 31 January 1982, when the MJD was 45 000. It is a simple matter to calculate time intervals, even over many days, by use of MJD and UTC (provided the occasional leap second is known or can be neglected).</w:t>
      </w:r>
    </w:p>
    <w:p w:rsidR="0002495F" w:rsidRDefault="0002495F" w:rsidP="0002495F">
      <w:pPr>
        <w:rPr>
          <w:lang w:val="en-US"/>
        </w:rPr>
      </w:pPr>
      <w:r>
        <w:rPr>
          <w:lang w:val="en-US"/>
        </w:rPr>
        <w:t>Recommendation ITU-R TF.457 recommends that for modern timekeeping and dating requirements, a decimal day count should be used wherever necessary; the calendar day should be counted from 0000 h TAI, UTC or UT, and be specified by a number with five significant figures.</w:t>
      </w:r>
    </w:p>
    <w:p w:rsidR="0002495F" w:rsidRDefault="0002495F" w:rsidP="0002495F">
      <w:pPr>
        <w:rPr>
          <w:lang w:val="en-US"/>
        </w:rPr>
      </w:pPr>
      <w:r>
        <w:rPr>
          <w:lang w:val="en-US"/>
        </w:rPr>
        <w:t>Although not defined in any standards, it is convenient to use the idea of a local day number which is advanced or delayed by the local time offset and which changes at local midnight.</w:t>
      </w:r>
    </w:p>
    <w:p w:rsidR="0002495F" w:rsidRDefault="0002495F" w:rsidP="0002495F">
      <w:pPr>
        <w:pStyle w:val="Heading2"/>
        <w:rPr>
          <w:lang w:val="en-US"/>
        </w:rPr>
      </w:pPr>
      <w:r>
        <w:rPr>
          <w:lang w:val="en-US"/>
        </w:rPr>
        <w:t>3.1</w:t>
      </w:r>
      <w:r>
        <w:rPr>
          <w:lang w:val="en-US"/>
        </w:rPr>
        <w:tab/>
        <w:t>Week number</w:t>
      </w:r>
    </w:p>
    <w:p w:rsidR="0002495F" w:rsidRDefault="0002495F" w:rsidP="0002495F">
      <w:pPr>
        <w:rPr>
          <w:lang w:val="en-US"/>
        </w:rPr>
      </w:pPr>
      <w:r>
        <w:rPr>
          <w:lang w:val="en-US"/>
        </w:rPr>
        <w:t>For many commercial purposes, and for planning broadcast programme schedules, it is convenient to work in terms of day of the week, week number and year.</w:t>
      </w:r>
    </w:p>
    <w:p w:rsidR="0002495F" w:rsidRDefault="0002495F" w:rsidP="0002495F">
      <w:pPr>
        <w:rPr>
          <w:lang w:val="en-US"/>
        </w:rPr>
      </w:pPr>
      <w:r>
        <w:rPr>
          <w:lang w:val="en-US"/>
        </w:rPr>
        <w:t>There is an intern</w:t>
      </w:r>
      <w:r w:rsidR="005B0C55">
        <w:rPr>
          <w:lang w:val="en-US"/>
        </w:rPr>
        <w:t>ational standard (ISO 8601:2004</w:t>
      </w:r>
      <w:r>
        <w:rPr>
          <w:lang w:val="en-US"/>
        </w:rPr>
        <w:t xml:space="preserve">) for the numbering of weeks. This can be summarized by saying that weeks begin on Mondays, and that week 1 of a year contains the first Thursday of January. The week number can be associated with a day of the week (conventionally, Monday </w:t>
      </w:r>
      <w:r>
        <w:rPr>
          <w:rFonts w:ascii="Symbol" w:hAnsi="Symbol"/>
        </w:rPr>
        <w:t></w:t>
      </w:r>
      <w:r>
        <w:rPr>
          <w:lang w:val="en-US"/>
        </w:rPr>
        <w:t xml:space="preserve"> 1 to Sunday </w:t>
      </w:r>
      <w:r>
        <w:rPr>
          <w:rFonts w:ascii="Symbol" w:hAnsi="Symbol"/>
        </w:rPr>
        <w:t></w:t>
      </w:r>
      <w:r>
        <w:rPr>
          <w:lang w:val="en-US"/>
        </w:rPr>
        <w:t xml:space="preserve"> 7) and a year to specify a particular date. Note that occasional years (about 5 in 28) have 53 weeks, and that the “week-year” of a date in the inclusive range 29 December to 3 January may differ from the “calendar” year. The relation between week number and MJD is given in § 4.</w:t>
      </w:r>
    </w:p>
    <w:p w:rsidR="0002495F" w:rsidRDefault="0002495F" w:rsidP="0002495F">
      <w:pPr>
        <w:rPr>
          <w:lang w:val="en-US"/>
        </w:rPr>
      </w:pPr>
      <w:r>
        <w:rPr>
          <w:lang w:val="en-US"/>
        </w:rPr>
        <w:t>Although the ISO week numbering system is in general use worldwide, other week number systems remain within certain organizations. In some cases, the week number of Monday accords with ISO but the week is taken to run from Saturday to Friday for example. In other cases, even the years containing 53 weeks are different.</w:t>
      </w:r>
    </w:p>
    <w:p w:rsidR="0002495F" w:rsidRDefault="0002495F" w:rsidP="0002495F">
      <w:pPr>
        <w:pStyle w:val="Heading2"/>
        <w:rPr>
          <w:lang w:val="en-US"/>
        </w:rPr>
      </w:pPr>
      <w:r>
        <w:rPr>
          <w:lang w:val="en-US"/>
        </w:rPr>
        <w:lastRenderedPageBreak/>
        <w:t>3.2</w:t>
      </w:r>
      <w:r>
        <w:rPr>
          <w:lang w:val="en-US"/>
        </w:rPr>
        <w:tab/>
        <w:t>Calendar date</w:t>
      </w:r>
    </w:p>
    <w:p w:rsidR="0002495F" w:rsidRDefault="0002495F" w:rsidP="0002495F">
      <w:pPr>
        <w:rPr>
          <w:lang w:val="en-US"/>
        </w:rPr>
      </w:pPr>
      <w:r>
        <w:rPr>
          <w:lang w:val="en-US"/>
        </w:rPr>
        <w:t>The various calendar systems in use are well known and, in most cases, well defined. In these cases, it is possible to generate a formula for conversion between calendar systems, the convenient intermediate standard being the MJD. The information for conversion between MJD and the Gregorian calendar is given in § 4.</w:t>
      </w:r>
    </w:p>
    <w:p w:rsidR="0002495F" w:rsidRDefault="0002495F" w:rsidP="0002495F">
      <w:pPr>
        <w:rPr>
          <w:lang w:val="en-US"/>
        </w:rPr>
      </w:pPr>
      <w:r>
        <w:rPr>
          <w:lang w:val="en-US"/>
        </w:rPr>
        <w:t xml:space="preserve">Certain calendar systems depend on a suitably qualified person witnessing an event (e.g. the first sighting of a crescent moon, or the sighting of a particular type of fish off a </w:t>
      </w:r>
      <w:smartTag w:uri="urn:schemas-microsoft-com:office:smarttags" w:element="place">
        <w:smartTag w:uri="urn:schemas-microsoft-com:office:smarttags" w:element="PlaceName">
          <w:r>
            <w:rPr>
              <w:lang w:val="en-US"/>
            </w:rPr>
            <w:t>Pacific</w:t>
          </w:r>
        </w:smartTag>
        <w:r>
          <w:rPr>
            <w:lang w:val="en-US"/>
          </w:rPr>
          <w:t xml:space="preserve"> </w:t>
        </w:r>
        <w:smartTag w:uri="urn:schemas-microsoft-com:office:smarttags" w:element="PlaceType">
          <w:r>
            <w:rPr>
              <w:lang w:val="en-US"/>
            </w:rPr>
            <w:t>Island</w:t>
          </w:r>
        </w:smartTag>
      </w:smartTag>
      <w:r>
        <w:rPr>
          <w:lang w:val="en-US"/>
        </w:rPr>
        <w:t>) and these can only be related to the MJD after the event.</w:t>
      </w:r>
    </w:p>
    <w:p w:rsidR="0002495F" w:rsidRDefault="0002495F" w:rsidP="0002495F">
      <w:pPr>
        <w:pStyle w:val="Heading1"/>
        <w:rPr>
          <w:lang w:val="en-US"/>
        </w:rPr>
      </w:pPr>
      <w:r>
        <w:rPr>
          <w:lang w:val="en-US"/>
        </w:rPr>
        <w:t>4</w:t>
      </w:r>
      <w:r>
        <w:rPr>
          <w:lang w:val="en-US"/>
        </w:rPr>
        <w:tab/>
        <w:t>Conversion between time and date conventions</w:t>
      </w:r>
    </w:p>
    <w:p w:rsidR="0002495F" w:rsidRDefault="0002495F" w:rsidP="0002495F">
      <w:pPr>
        <w:rPr>
          <w:lang w:val="en-US"/>
        </w:rPr>
      </w:pPr>
      <w:r>
        <w:rPr>
          <w:lang w:val="en-US"/>
        </w:rPr>
        <w:t>The types of conversion which may be required are summarized in the following diagram.</w:t>
      </w:r>
    </w:p>
    <w:p w:rsidR="0002495F" w:rsidRDefault="0002495F" w:rsidP="0002495F">
      <w:pPr>
        <w:rPr>
          <w:lang w:val="en-US"/>
        </w:rPr>
      </w:pPr>
      <w:r>
        <w:rPr>
          <w:lang w:val="en-US"/>
        </w:rPr>
        <w:t xml:space="preserve">The conversion between MJD </w:t>
      </w:r>
      <w:r>
        <w:rPr>
          <w:rFonts w:ascii="Symbol" w:hAnsi="Symbol"/>
        </w:rPr>
        <w:t></w:t>
      </w:r>
      <w:r>
        <w:rPr>
          <w:lang w:val="en-US"/>
        </w:rPr>
        <w:t xml:space="preserve"> UTC and the local day number </w:t>
      </w:r>
      <w:r>
        <w:rPr>
          <w:rFonts w:ascii="Symbol" w:hAnsi="Symbol"/>
        </w:rPr>
        <w:t></w:t>
      </w:r>
      <w:r>
        <w:rPr>
          <w:lang w:val="en-US"/>
        </w:rPr>
        <w:t xml:space="preserve"> local time is simply a matter of adding or subtracting the local offset. This process may of course involve a “carry” or “borrow” from the UTC affecting the MJD. The other five conversion routes shown in the diagram are as follows:</w:t>
      </w:r>
    </w:p>
    <w:p w:rsidR="0002495F" w:rsidRDefault="0002495F" w:rsidP="0002495F">
      <w:pPr>
        <w:pStyle w:val="Note"/>
        <w:rPr>
          <w:lang w:val="en-US"/>
        </w:rPr>
      </w:pPr>
      <w:r>
        <w:rPr>
          <w:iCs/>
          <w:lang w:val="en-US"/>
        </w:rPr>
        <w:t>NOTE 1 – </w:t>
      </w:r>
      <w:r>
        <w:rPr>
          <w:lang w:val="en-US"/>
        </w:rPr>
        <w:t>These formulae are applicable from 1 March 1900 to 28 February 2100 inclusive.</w:t>
      </w:r>
    </w:p>
    <w:p w:rsidR="009468F5" w:rsidRDefault="009468F5" w:rsidP="0002495F">
      <w:pPr>
        <w:pStyle w:val="Note"/>
        <w:rPr>
          <w:lang w:val="en-US"/>
        </w:rPr>
      </w:pPr>
    </w:p>
    <w:p w:rsidR="0002495F" w:rsidRDefault="0002495F" w:rsidP="0002495F">
      <w:pPr>
        <w:pStyle w:val="FigureNo"/>
      </w:pPr>
      <w:r>
        <w:rPr>
          <w:noProof/>
          <w:lang w:val="en-US" w:eastAsia="zh-CN"/>
        </w:rPr>
        <w:drawing>
          <wp:inline distT="0" distB="0" distL="0" distR="0">
            <wp:extent cx="4503420" cy="25374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03420" cy="2537460"/>
                    </a:xfrm>
                    <a:prstGeom prst="rect">
                      <a:avLst/>
                    </a:prstGeom>
                    <a:noFill/>
                    <a:ln w="9525">
                      <a:noFill/>
                      <a:miter lim="800000"/>
                      <a:headEnd/>
                      <a:tailEnd/>
                    </a:ln>
                  </pic:spPr>
                </pic:pic>
              </a:graphicData>
            </a:graphic>
          </wp:inline>
        </w:drawing>
      </w:r>
    </w:p>
    <w:p w:rsidR="0002495F" w:rsidRDefault="0002495F" w:rsidP="0002495F">
      <w:pPr>
        <w:rPr>
          <w:lang w:val="en-US"/>
        </w:rPr>
      </w:pPr>
    </w:p>
    <w:p w:rsidR="009468F5" w:rsidRDefault="009468F5" w:rsidP="0002495F">
      <w:pPr>
        <w:rPr>
          <w:lang w:val="en-US"/>
        </w:rPr>
      </w:pPr>
    </w:p>
    <w:p w:rsidR="0002495F" w:rsidRDefault="0002495F" w:rsidP="0002495F">
      <w:pPr>
        <w:tabs>
          <w:tab w:val="clear" w:pos="794"/>
          <w:tab w:val="clear" w:pos="1191"/>
          <w:tab w:val="clear" w:pos="1588"/>
          <w:tab w:val="clear" w:pos="1985"/>
          <w:tab w:val="left" w:pos="1560"/>
          <w:tab w:val="left" w:pos="3402"/>
        </w:tabs>
        <w:rPr>
          <w:lang w:val="en-US"/>
        </w:rPr>
      </w:pPr>
      <w:r>
        <w:rPr>
          <w:i/>
          <w:lang w:val="en-US"/>
        </w:rPr>
        <w:t>Symbols used:</w:t>
      </w:r>
      <w:r>
        <w:rPr>
          <w:lang w:val="en-US"/>
        </w:rPr>
        <w:tab/>
        <w:t>MJD :</w:t>
      </w:r>
      <w:r>
        <w:rPr>
          <w:lang w:val="en-US"/>
        </w:rPr>
        <w:tab/>
        <w:t>Modified Julian Date</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tab/>
        <w:t>Y :</w:t>
      </w:r>
      <w:r>
        <w:rPr>
          <w:lang w:val="en-US"/>
        </w:rPr>
        <w:tab/>
        <w:t xml:space="preserve">year from 1900 (e.g. for 2003, Y </w:t>
      </w:r>
      <w:r>
        <w:rPr>
          <w:rFonts w:ascii="Symbol" w:hAnsi="Symbol"/>
        </w:rPr>
        <w:t></w:t>
      </w:r>
      <w:r>
        <w:rPr>
          <w:lang w:val="en-US"/>
        </w:rPr>
        <w:t xml:space="preserve"> 103)</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tab/>
        <w:t>M :</w:t>
      </w:r>
      <w:r>
        <w:rPr>
          <w:lang w:val="en-US"/>
        </w:rPr>
        <w:tab/>
        <w:t xml:space="preserve">month from January </w:t>
      </w:r>
      <w:r>
        <w:rPr>
          <w:rFonts w:ascii="Symbol" w:hAnsi="Symbol"/>
        </w:rPr>
        <w:t></w:t>
      </w:r>
      <w:r>
        <w:rPr>
          <w:lang w:val="en-US"/>
        </w:rPr>
        <w:t xml:space="preserve"> 1 to December </w:t>
      </w:r>
      <w:r>
        <w:rPr>
          <w:rFonts w:ascii="Symbol" w:hAnsi="Symbol"/>
        </w:rPr>
        <w:t></w:t>
      </w:r>
      <w:r>
        <w:rPr>
          <w:lang w:val="en-US"/>
        </w:rPr>
        <w:t xml:space="preserve"> 12</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tab/>
        <w:t>D :</w:t>
      </w:r>
      <w:r>
        <w:rPr>
          <w:lang w:val="en-US"/>
        </w:rPr>
        <w:tab/>
        <w:t>day of month from 1 to 31</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tab/>
        <w:t>WY :</w:t>
      </w:r>
      <w:r>
        <w:rPr>
          <w:lang w:val="en-US"/>
        </w:rPr>
        <w:tab/>
        <w:t>“week number” year from 1900</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tab/>
        <w:t>WN :</w:t>
      </w:r>
      <w:r>
        <w:rPr>
          <w:lang w:val="en-US"/>
        </w:rPr>
        <w:tab/>
        <w:t xml:space="preserve">week number according to ISO 8601:2004 </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tab/>
        <w:t>WD :</w:t>
      </w:r>
      <w:r>
        <w:rPr>
          <w:lang w:val="en-US"/>
        </w:rPr>
        <w:tab/>
        <w:t xml:space="preserve">day of the week from Monday </w:t>
      </w:r>
      <w:r>
        <w:rPr>
          <w:rFonts w:ascii="Symbol" w:hAnsi="Symbol"/>
        </w:rPr>
        <w:t></w:t>
      </w:r>
      <w:r>
        <w:rPr>
          <w:lang w:val="en-US"/>
        </w:rPr>
        <w:t xml:space="preserve"> 1 to Sunday </w:t>
      </w:r>
      <w:r>
        <w:rPr>
          <w:rFonts w:ascii="Symbol" w:hAnsi="Symbol"/>
        </w:rPr>
        <w:t></w:t>
      </w:r>
      <w:r>
        <w:rPr>
          <w:lang w:val="en-US"/>
        </w:rPr>
        <w:t xml:space="preserve"> 7</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tab/>
        <w:t>K, L, M</w:t>
      </w:r>
      <w:r>
        <w:rPr>
          <w:rFonts w:ascii="Symbol" w:hAnsi="Symbol"/>
        </w:rPr>
        <w:t></w:t>
      </w:r>
      <w:r>
        <w:rPr>
          <w:lang w:val="en-US"/>
        </w:rPr>
        <w:t>, W, Y</w:t>
      </w:r>
      <w:r>
        <w:rPr>
          <w:rFonts w:ascii="Symbol" w:hAnsi="Symbol"/>
        </w:rPr>
        <w:t></w:t>
      </w:r>
      <w:r>
        <w:rPr>
          <w:lang w:val="en-US"/>
        </w:rPr>
        <w:t xml:space="preserve"> :</w:t>
      </w:r>
      <w:r>
        <w:rPr>
          <w:lang w:val="en-US"/>
        </w:rPr>
        <w:tab/>
        <w:t>intermediate variables</w:t>
      </w:r>
    </w:p>
    <w:p w:rsidR="0002495F" w:rsidRDefault="0002495F" w:rsidP="0002495F">
      <w:pPr>
        <w:tabs>
          <w:tab w:val="clear" w:pos="794"/>
          <w:tab w:val="clear" w:pos="1191"/>
          <w:tab w:val="clear" w:pos="1588"/>
          <w:tab w:val="clear" w:pos="1985"/>
          <w:tab w:val="left" w:pos="1560"/>
          <w:tab w:val="left" w:pos="3402"/>
        </w:tabs>
        <w:rPr>
          <w:lang w:val="en-US"/>
        </w:rPr>
      </w:pPr>
      <w:r>
        <w:rPr>
          <w:lang w:val="en-US"/>
        </w:rPr>
        <w:lastRenderedPageBreak/>
        <w:tab/>
        <w:t>INT :</w:t>
      </w:r>
      <w:r>
        <w:rPr>
          <w:lang w:val="en-US"/>
        </w:rPr>
        <w:tab/>
        <w:t>integer part, ignoring remainder</w:t>
      </w:r>
    </w:p>
    <w:p w:rsidR="0002495F" w:rsidRDefault="0002495F" w:rsidP="0002495F">
      <w:pPr>
        <w:pStyle w:val="Index1"/>
        <w:tabs>
          <w:tab w:val="clear" w:pos="794"/>
          <w:tab w:val="clear" w:pos="1191"/>
          <w:tab w:val="clear" w:pos="1588"/>
          <w:tab w:val="clear" w:pos="1985"/>
          <w:tab w:val="left" w:pos="1560"/>
          <w:tab w:val="left" w:pos="3402"/>
        </w:tabs>
        <w:rPr>
          <w:lang w:val="en-US"/>
        </w:rPr>
      </w:pPr>
      <w:r>
        <w:rPr>
          <w:lang w:val="en-US"/>
        </w:rPr>
        <w:tab/>
        <w:t>MOD 7 :</w:t>
      </w:r>
      <w:r>
        <w:rPr>
          <w:lang w:val="en-US"/>
        </w:rPr>
        <w:tab/>
        <w:t>remainder (0-6) after dividing integer by 7</w:t>
      </w:r>
    </w:p>
    <w:p w:rsidR="0002495F" w:rsidRDefault="0002495F" w:rsidP="0002495F">
      <w:pPr>
        <w:pStyle w:val="Index1"/>
        <w:tabs>
          <w:tab w:val="clear" w:pos="794"/>
          <w:tab w:val="clear" w:pos="1191"/>
          <w:tab w:val="clear" w:pos="1588"/>
          <w:tab w:val="clear" w:pos="1985"/>
          <w:tab w:val="left" w:pos="1560"/>
          <w:tab w:val="left" w:pos="3402"/>
        </w:tabs>
        <w:rPr>
          <w:lang w:val="en-US"/>
        </w:rPr>
      </w:pPr>
      <w:r>
        <w:rPr>
          <w:lang w:val="en-US"/>
        </w:rPr>
        <w:tab/>
        <w:t>* :</w:t>
      </w:r>
      <w:r>
        <w:rPr>
          <w:lang w:val="en-US"/>
        </w:rPr>
        <w:tab/>
        <w:t>multiplication</w:t>
      </w:r>
    </w:p>
    <w:p w:rsidR="0002495F" w:rsidRDefault="0002495F" w:rsidP="0002495F">
      <w:pPr>
        <w:rPr>
          <w:lang w:val="en-US"/>
        </w:rPr>
      </w:pPr>
      <w:r>
        <w:rPr>
          <w:lang w:val="en-US"/>
        </w:rPr>
        <w:t>A:</w:t>
      </w:r>
      <w:r>
        <w:rPr>
          <w:lang w:val="en-US"/>
        </w:rPr>
        <w:tab/>
        <w:t>To find Y, M, D from MJD:</w:t>
      </w:r>
    </w:p>
    <w:p w:rsidR="0002495F" w:rsidRDefault="0002495F" w:rsidP="0002495F">
      <w:pPr>
        <w:rPr>
          <w:lang w:val="en-US"/>
        </w:rPr>
      </w:pPr>
      <w:r>
        <w:rPr>
          <w:lang w:val="en-US"/>
        </w:rPr>
        <w:tab/>
        <w:t>Y</w:t>
      </w:r>
      <w:r>
        <w:rPr>
          <w:rFonts w:ascii="Symbol" w:hAnsi="Symbol"/>
        </w:rPr>
        <w:t></w:t>
      </w:r>
      <w:r>
        <w:rPr>
          <w:lang w:val="en-US"/>
        </w:rPr>
        <w:tab/>
        <w:t>=  INT((MJD  –  15 078.2)/365.25)</w:t>
      </w:r>
    </w:p>
    <w:p w:rsidR="0002495F" w:rsidRDefault="0002495F" w:rsidP="0002495F">
      <w:pPr>
        <w:rPr>
          <w:lang w:val="en-US"/>
        </w:rPr>
      </w:pPr>
      <w:r>
        <w:rPr>
          <w:lang w:val="en-US"/>
        </w:rPr>
        <w:tab/>
        <w:t>M</w:t>
      </w:r>
      <w:r>
        <w:rPr>
          <w:rFonts w:ascii="Symbol" w:hAnsi="Symbol"/>
        </w:rPr>
        <w:t></w:t>
      </w:r>
      <w:r>
        <w:rPr>
          <w:lang w:val="en-US"/>
        </w:rPr>
        <w:tab/>
        <w:t>=  INT((MJD  –  14 956.1  –  INT(Y</w:t>
      </w:r>
      <w:r>
        <w:rPr>
          <w:rFonts w:ascii="Symbol" w:hAnsi="Symbol"/>
        </w:rPr>
        <w:t></w:t>
      </w:r>
      <w:r>
        <w:rPr>
          <w:lang w:val="en-US"/>
        </w:rPr>
        <w:t>*365.25))/30.6001)</w:t>
      </w:r>
    </w:p>
    <w:p w:rsidR="0002495F" w:rsidRDefault="0002495F" w:rsidP="0002495F">
      <w:pPr>
        <w:rPr>
          <w:lang w:val="en-US"/>
        </w:rPr>
      </w:pPr>
      <w:r>
        <w:rPr>
          <w:lang w:val="en-US"/>
        </w:rPr>
        <w:tab/>
        <w:t>D</w:t>
      </w:r>
      <w:r>
        <w:rPr>
          <w:lang w:val="en-US"/>
        </w:rPr>
        <w:tab/>
        <w:t>=  MJD  –  14 956  –  INT(Y</w:t>
      </w:r>
      <w:r>
        <w:rPr>
          <w:rFonts w:ascii="Symbol" w:hAnsi="Symbol"/>
        </w:rPr>
        <w:t></w:t>
      </w:r>
      <w:r>
        <w:rPr>
          <w:lang w:val="en-US"/>
        </w:rPr>
        <w:t>*365.25)  –  INT(M</w:t>
      </w:r>
      <w:r>
        <w:rPr>
          <w:rFonts w:ascii="Symbol" w:hAnsi="Symbol"/>
        </w:rPr>
        <w:t></w:t>
      </w:r>
      <w:r>
        <w:rPr>
          <w:lang w:val="en-US"/>
        </w:rPr>
        <w:t>*30.6001)</w:t>
      </w:r>
    </w:p>
    <w:p w:rsidR="0002495F" w:rsidRDefault="0002495F" w:rsidP="0002495F">
      <w:pPr>
        <w:rPr>
          <w:lang w:val="en-US"/>
        </w:rPr>
      </w:pPr>
      <w:r>
        <w:rPr>
          <w:lang w:val="en-US"/>
        </w:rPr>
        <w:tab/>
        <w:t>If M</w:t>
      </w:r>
      <w:r>
        <w:rPr>
          <w:rFonts w:ascii="Symbol" w:hAnsi="Symbol"/>
        </w:rPr>
        <w:t></w:t>
      </w:r>
      <w:r>
        <w:rPr>
          <w:lang w:val="en-US"/>
        </w:rPr>
        <w:t xml:space="preserve">   </w:t>
      </w:r>
      <w:r>
        <w:rPr>
          <w:rFonts w:ascii="Symbol" w:hAnsi="Symbol"/>
        </w:rPr>
        <w:t></w:t>
      </w:r>
      <w:r>
        <w:rPr>
          <w:lang w:val="en-US"/>
        </w:rPr>
        <w:t xml:space="preserve">  14 or M</w:t>
      </w:r>
      <w:r>
        <w:rPr>
          <w:rFonts w:ascii="Symbol" w:hAnsi="Symbol"/>
        </w:rPr>
        <w:t></w:t>
      </w:r>
      <w:r>
        <w:rPr>
          <w:lang w:val="en-US"/>
        </w:rPr>
        <w:t xml:space="preserve">  </w:t>
      </w:r>
      <w:r>
        <w:rPr>
          <w:rFonts w:ascii="Symbol" w:hAnsi="Symbol"/>
        </w:rPr>
        <w:t></w:t>
      </w:r>
      <w:r>
        <w:rPr>
          <w:lang w:val="en-US"/>
        </w:rPr>
        <w:t xml:space="preserve">  15 then K  </w:t>
      </w:r>
      <w:r>
        <w:rPr>
          <w:rFonts w:ascii="Symbol" w:hAnsi="Symbol"/>
        </w:rPr>
        <w:t></w:t>
      </w:r>
      <w:r>
        <w:rPr>
          <w:lang w:val="en-US"/>
        </w:rPr>
        <w:t xml:space="preserve">  1 else K  </w:t>
      </w:r>
      <w:r>
        <w:rPr>
          <w:rFonts w:ascii="Symbol" w:hAnsi="Symbol"/>
        </w:rPr>
        <w:t></w:t>
      </w:r>
      <w:r>
        <w:rPr>
          <w:lang w:val="en-US"/>
        </w:rPr>
        <w:t xml:space="preserve">  0</w:t>
      </w:r>
    </w:p>
    <w:p w:rsidR="0002495F" w:rsidRDefault="0002495F" w:rsidP="0002495F">
      <w:pPr>
        <w:rPr>
          <w:lang w:val="es-ES"/>
        </w:rPr>
      </w:pPr>
      <w:r>
        <w:rPr>
          <w:lang w:val="en-US"/>
        </w:rPr>
        <w:tab/>
      </w:r>
      <w:r>
        <w:rPr>
          <w:lang w:val="es-ES"/>
        </w:rPr>
        <w:t>Y</w:t>
      </w:r>
      <w:r>
        <w:rPr>
          <w:lang w:val="es-ES"/>
        </w:rPr>
        <w:tab/>
        <w:t>= Y</w:t>
      </w:r>
      <w:r>
        <w:rPr>
          <w:rFonts w:ascii="Symbol" w:hAnsi="Symbol"/>
        </w:rPr>
        <w:t></w:t>
      </w:r>
      <w:r>
        <w:rPr>
          <w:lang w:val="es-ES"/>
        </w:rPr>
        <w:t xml:space="preserve">  </w:t>
      </w:r>
      <w:r>
        <w:rPr>
          <w:rFonts w:ascii="Symbol" w:hAnsi="Symbol"/>
        </w:rPr>
        <w:t></w:t>
      </w:r>
      <w:r>
        <w:rPr>
          <w:lang w:val="es-ES"/>
        </w:rPr>
        <w:t xml:space="preserve">  K</w:t>
      </w:r>
    </w:p>
    <w:p w:rsidR="0002495F" w:rsidRDefault="0002495F" w:rsidP="0002495F">
      <w:pPr>
        <w:rPr>
          <w:lang w:val="es-ES"/>
        </w:rPr>
      </w:pPr>
      <w:r>
        <w:rPr>
          <w:lang w:val="es-ES"/>
        </w:rPr>
        <w:tab/>
        <w:t>M</w:t>
      </w:r>
      <w:r>
        <w:rPr>
          <w:lang w:val="es-ES"/>
        </w:rPr>
        <w:tab/>
        <w:t>= M</w:t>
      </w:r>
      <w:r>
        <w:rPr>
          <w:rFonts w:ascii="Symbol" w:hAnsi="Symbol"/>
        </w:rPr>
        <w:t></w:t>
      </w:r>
      <w:r>
        <w:rPr>
          <w:lang w:val="es-ES"/>
        </w:rPr>
        <w:t xml:space="preserve">  –  1  –  K*12</w:t>
      </w:r>
    </w:p>
    <w:p w:rsidR="0002495F" w:rsidRDefault="0002495F" w:rsidP="0002495F">
      <w:pPr>
        <w:rPr>
          <w:lang w:val="en-US"/>
        </w:rPr>
      </w:pPr>
      <w:r>
        <w:rPr>
          <w:lang w:val="en-US"/>
        </w:rPr>
        <w:t>B:</w:t>
      </w:r>
      <w:r>
        <w:rPr>
          <w:lang w:val="en-US"/>
        </w:rPr>
        <w:tab/>
        <w:t>To find MJD from Y, M, D:</w:t>
      </w:r>
    </w:p>
    <w:p w:rsidR="0002495F" w:rsidRDefault="0002495F" w:rsidP="0002495F">
      <w:pPr>
        <w:rPr>
          <w:lang w:val="en-US"/>
        </w:rPr>
      </w:pPr>
      <w:r>
        <w:rPr>
          <w:lang w:val="en-US"/>
        </w:rPr>
        <w:tab/>
        <w:t xml:space="preserve">If M  </w:t>
      </w:r>
      <w:r>
        <w:rPr>
          <w:rFonts w:ascii="Symbol" w:hAnsi="Symbol"/>
        </w:rPr>
        <w:t></w:t>
      </w:r>
      <w:r>
        <w:rPr>
          <w:lang w:val="en-US"/>
        </w:rPr>
        <w:t xml:space="preserve">  1 or M  </w:t>
      </w:r>
      <w:r>
        <w:rPr>
          <w:rFonts w:ascii="Symbol" w:hAnsi="Symbol"/>
        </w:rPr>
        <w:t></w:t>
      </w:r>
      <w:r>
        <w:rPr>
          <w:lang w:val="en-US"/>
        </w:rPr>
        <w:t xml:space="preserve">  2 then L  </w:t>
      </w:r>
      <w:r>
        <w:rPr>
          <w:rFonts w:ascii="Symbol" w:hAnsi="Symbol"/>
        </w:rPr>
        <w:t></w:t>
      </w:r>
      <w:r>
        <w:rPr>
          <w:lang w:val="en-US"/>
        </w:rPr>
        <w:t xml:space="preserve">  1 else L  </w:t>
      </w:r>
      <w:r>
        <w:rPr>
          <w:rFonts w:ascii="Symbol" w:hAnsi="Symbol"/>
        </w:rPr>
        <w:t></w:t>
      </w:r>
      <w:r>
        <w:rPr>
          <w:lang w:val="en-US"/>
        </w:rPr>
        <w:t xml:space="preserve">  0</w:t>
      </w:r>
    </w:p>
    <w:p w:rsidR="0002495F" w:rsidRDefault="0002495F" w:rsidP="0002495F">
      <w:pPr>
        <w:rPr>
          <w:lang w:val="en-US"/>
        </w:rPr>
      </w:pPr>
      <w:r>
        <w:rPr>
          <w:lang w:val="en-US"/>
        </w:rPr>
        <w:tab/>
        <w:t xml:space="preserve">MJD  </w:t>
      </w:r>
      <w:r>
        <w:rPr>
          <w:rFonts w:ascii="Symbol" w:hAnsi="Symbol"/>
        </w:rPr>
        <w:t></w:t>
      </w:r>
      <w:r>
        <w:rPr>
          <w:lang w:val="en-US"/>
        </w:rPr>
        <w:t xml:space="preserve">  14 956  </w:t>
      </w:r>
      <w:r>
        <w:rPr>
          <w:rFonts w:ascii="Symbol" w:hAnsi="Symbol"/>
        </w:rPr>
        <w:t></w:t>
      </w:r>
      <w:r>
        <w:rPr>
          <w:lang w:val="en-US"/>
        </w:rPr>
        <w:t xml:space="preserve">  D  </w:t>
      </w:r>
      <w:r>
        <w:rPr>
          <w:rFonts w:ascii="Symbol" w:hAnsi="Symbol"/>
        </w:rPr>
        <w:t></w:t>
      </w:r>
      <w:r>
        <w:rPr>
          <w:lang w:val="en-US"/>
        </w:rPr>
        <w:t xml:space="preserve">  INT((Y  –  L)*365.25)  </w:t>
      </w:r>
      <w:r>
        <w:rPr>
          <w:rFonts w:ascii="Symbol" w:hAnsi="Symbol"/>
        </w:rPr>
        <w:t></w:t>
      </w:r>
      <w:r>
        <w:rPr>
          <w:lang w:val="en-US"/>
        </w:rPr>
        <w:t xml:space="preserve">  INT((M  </w:t>
      </w:r>
      <w:r>
        <w:rPr>
          <w:rFonts w:ascii="Symbol" w:hAnsi="Symbol"/>
        </w:rPr>
        <w:t></w:t>
      </w:r>
      <w:r>
        <w:rPr>
          <w:lang w:val="en-US"/>
        </w:rPr>
        <w:t xml:space="preserve">  1  </w:t>
      </w:r>
      <w:r>
        <w:rPr>
          <w:rFonts w:ascii="Symbol" w:hAnsi="Symbol"/>
        </w:rPr>
        <w:t></w:t>
      </w:r>
      <w:r>
        <w:rPr>
          <w:lang w:val="en-US"/>
        </w:rPr>
        <w:t xml:space="preserve">  L*12)*30.6001)</w:t>
      </w:r>
    </w:p>
    <w:p w:rsidR="0002495F" w:rsidRDefault="0002495F" w:rsidP="0002495F">
      <w:pPr>
        <w:rPr>
          <w:lang w:val="en-US"/>
        </w:rPr>
      </w:pPr>
      <w:r>
        <w:rPr>
          <w:lang w:val="en-US"/>
        </w:rPr>
        <w:t>C:</w:t>
      </w:r>
      <w:r>
        <w:rPr>
          <w:lang w:val="en-US"/>
        </w:rPr>
        <w:tab/>
        <w:t>To find WD from MJD:</w:t>
      </w:r>
    </w:p>
    <w:p w:rsidR="0002495F" w:rsidRDefault="0002495F" w:rsidP="0002495F">
      <w:r>
        <w:rPr>
          <w:lang w:val="en-US"/>
        </w:rPr>
        <w:tab/>
      </w:r>
      <w:r>
        <w:t xml:space="preserve">WD  </w:t>
      </w:r>
      <w:r>
        <w:rPr>
          <w:rFonts w:ascii="Symbol" w:hAnsi="Symbol"/>
        </w:rPr>
        <w:t></w:t>
      </w:r>
      <w:r>
        <w:t xml:space="preserve">  ((MJD  </w:t>
      </w:r>
      <w:r>
        <w:rPr>
          <w:rFonts w:ascii="Symbol" w:hAnsi="Symbol"/>
        </w:rPr>
        <w:t></w:t>
      </w:r>
      <w:r>
        <w:t xml:space="preserve">  2) MOD 7)  </w:t>
      </w:r>
      <w:r>
        <w:rPr>
          <w:rFonts w:ascii="Symbol" w:hAnsi="Symbol"/>
        </w:rPr>
        <w:t></w:t>
      </w:r>
      <w:r>
        <w:t xml:space="preserve">  1</w:t>
      </w:r>
    </w:p>
    <w:p w:rsidR="0002495F" w:rsidRDefault="0002495F" w:rsidP="0002495F">
      <w:pPr>
        <w:rPr>
          <w:lang w:val="en-US"/>
        </w:rPr>
      </w:pPr>
      <w:r>
        <w:rPr>
          <w:lang w:val="en-US"/>
        </w:rPr>
        <w:t>D:</w:t>
      </w:r>
      <w:r>
        <w:rPr>
          <w:lang w:val="en-US"/>
        </w:rPr>
        <w:tab/>
        <w:t>To find MJD from WY, WN, WD:</w:t>
      </w:r>
    </w:p>
    <w:p w:rsidR="0002495F" w:rsidRDefault="0002495F" w:rsidP="0002495F">
      <w:pPr>
        <w:rPr>
          <w:lang w:val="en-US"/>
        </w:rPr>
      </w:pPr>
      <w:r>
        <w:rPr>
          <w:lang w:val="en-US"/>
        </w:rPr>
        <w:tab/>
        <w:t xml:space="preserve">MJD  </w:t>
      </w:r>
      <w:r>
        <w:rPr>
          <w:rFonts w:ascii="Symbol" w:hAnsi="Symbol"/>
        </w:rPr>
        <w:t></w:t>
      </w:r>
      <w:r>
        <w:rPr>
          <w:lang w:val="en-US"/>
        </w:rPr>
        <w:t xml:space="preserve">  15 012  </w:t>
      </w:r>
      <w:r>
        <w:rPr>
          <w:rFonts w:ascii="Symbol" w:hAnsi="Symbol"/>
        </w:rPr>
        <w:t></w:t>
      </w:r>
      <w:r>
        <w:rPr>
          <w:lang w:val="en-US"/>
        </w:rPr>
        <w:t xml:space="preserve">  WD  </w:t>
      </w:r>
      <w:r>
        <w:rPr>
          <w:rFonts w:ascii="Symbol" w:hAnsi="Symbol"/>
        </w:rPr>
        <w:t></w:t>
      </w:r>
      <w:r>
        <w:rPr>
          <w:lang w:val="en-US"/>
        </w:rPr>
        <w:t xml:space="preserve">  7*(WN  </w:t>
      </w:r>
      <w:r>
        <w:rPr>
          <w:rFonts w:ascii="Symbol" w:hAnsi="Symbol"/>
        </w:rPr>
        <w:t></w:t>
      </w:r>
      <w:r>
        <w:rPr>
          <w:lang w:val="en-US"/>
        </w:rPr>
        <w:t xml:space="preserve">  INT((WY*1 461/28)  </w:t>
      </w:r>
      <w:r>
        <w:rPr>
          <w:rFonts w:ascii="Symbol" w:hAnsi="Symbol"/>
        </w:rPr>
        <w:t></w:t>
      </w:r>
      <w:r>
        <w:rPr>
          <w:lang w:val="en-US"/>
        </w:rPr>
        <w:t xml:space="preserve">  0.41))</w:t>
      </w:r>
    </w:p>
    <w:p w:rsidR="0002495F" w:rsidRDefault="0002495F" w:rsidP="0002495F">
      <w:pPr>
        <w:rPr>
          <w:lang w:val="en-US"/>
        </w:rPr>
      </w:pPr>
      <w:r>
        <w:rPr>
          <w:lang w:val="en-US"/>
        </w:rPr>
        <w:t>E:</w:t>
      </w:r>
      <w:r>
        <w:rPr>
          <w:lang w:val="en-US"/>
        </w:rPr>
        <w:tab/>
        <w:t>To find WY, WN from MJD:</w:t>
      </w:r>
    </w:p>
    <w:p w:rsidR="0002495F" w:rsidRDefault="0002495F" w:rsidP="0002495F">
      <w:pPr>
        <w:rPr>
          <w:lang w:val="en-US"/>
        </w:rPr>
      </w:pPr>
      <w:r>
        <w:rPr>
          <w:lang w:val="en-US"/>
        </w:rPr>
        <w:tab/>
        <w:t xml:space="preserve">W  </w:t>
      </w:r>
      <w:r>
        <w:rPr>
          <w:rFonts w:ascii="Symbol" w:hAnsi="Symbol"/>
        </w:rPr>
        <w:t></w:t>
      </w:r>
      <w:r>
        <w:rPr>
          <w:lang w:val="en-US"/>
        </w:rPr>
        <w:t xml:space="preserve">  INT ((MJD/7)  –  2 144.64)</w:t>
      </w:r>
    </w:p>
    <w:p w:rsidR="0002495F" w:rsidRDefault="0002495F" w:rsidP="0002495F">
      <w:pPr>
        <w:rPr>
          <w:lang w:val="en-US"/>
        </w:rPr>
      </w:pPr>
      <w:r>
        <w:rPr>
          <w:lang w:val="en-US"/>
        </w:rPr>
        <w:tab/>
        <w:t xml:space="preserve">WY  </w:t>
      </w:r>
      <w:r>
        <w:rPr>
          <w:rFonts w:ascii="Symbol" w:hAnsi="Symbol"/>
        </w:rPr>
        <w:t></w:t>
      </w:r>
      <w:r>
        <w:rPr>
          <w:lang w:val="en-US"/>
        </w:rPr>
        <w:t xml:space="preserve">  INT ((W*28/1 461)  –  0.0079)</w:t>
      </w:r>
    </w:p>
    <w:p w:rsidR="0002495F" w:rsidRDefault="0002495F" w:rsidP="0002495F">
      <w:pPr>
        <w:rPr>
          <w:lang w:val="en-US"/>
        </w:rPr>
      </w:pPr>
      <w:r>
        <w:rPr>
          <w:lang w:val="en-US"/>
        </w:rPr>
        <w:tab/>
        <w:t xml:space="preserve">WN  </w:t>
      </w:r>
      <w:r>
        <w:rPr>
          <w:rFonts w:ascii="Symbol" w:hAnsi="Symbol"/>
        </w:rPr>
        <w:t></w:t>
      </w:r>
      <w:r>
        <w:rPr>
          <w:lang w:val="en-US"/>
        </w:rPr>
        <w:t xml:space="preserve">  W  –  INT((WY*1 461/28)  </w:t>
      </w:r>
      <w:r>
        <w:rPr>
          <w:rFonts w:ascii="Symbol" w:hAnsi="Symbol"/>
        </w:rPr>
        <w:t></w:t>
      </w:r>
      <w:r>
        <w:rPr>
          <w:lang w:val="en-US"/>
        </w:rPr>
        <w:t xml:space="preserve">  0.41)</w:t>
      </w:r>
    </w:p>
    <w:p w:rsidR="0002495F" w:rsidRDefault="0002495F" w:rsidP="0002495F">
      <w:pPr>
        <w:rPr>
          <w:lang w:val="en-US"/>
        </w:rPr>
      </w:pPr>
      <w:r>
        <w:rPr>
          <w:i/>
          <w:lang w:val="en-US"/>
        </w:rPr>
        <w:t>Example:</w:t>
      </w:r>
    </w:p>
    <w:p w:rsidR="0002495F" w:rsidRDefault="0002495F" w:rsidP="0002495F">
      <w:pPr>
        <w:tabs>
          <w:tab w:val="clear" w:pos="1191"/>
          <w:tab w:val="clear" w:pos="1588"/>
          <w:tab w:val="clear" w:pos="1985"/>
          <w:tab w:val="left" w:pos="1304"/>
          <w:tab w:val="left" w:pos="1418"/>
          <w:tab w:val="left" w:pos="3402"/>
          <w:tab w:val="left" w:pos="3969"/>
        </w:tabs>
        <w:rPr>
          <w:lang w:val="en-US"/>
        </w:rPr>
      </w:pPr>
      <w:r>
        <w:rPr>
          <w:lang w:val="en-US"/>
        </w:rPr>
        <w:tab/>
        <w:t>MJD</w:t>
      </w:r>
      <w:r>
        <w:rPr>
          <w:lang w:val="en-US"/>
        </w:rPr>
        <w:tab/>
        <w:t>=  45 218</w:t>
      </w:r>
      <w:r>
        <w:rPr>
          <w:lang w:val="en-US"/>
        </w:rPr>
        <w:tab/>
        <w:t>W</w:t>
      </w:r>
      <w:r>
        <w:rPr>
          <w:lang w:val="en-US"/>
        </w:rPr>
        <w:tab/>
        <w:t>=  4 315</w:t>
      </w:r>
    </w:p>
    <w:p w:rsidR="0002495F" w:rsidRDefault="0002495F" w:rsidP="0002495F">
      <w:pPr>
        <w:tabs>
          <w:tab w:val="clear" w:pos="1191"/>
          <w:tab w:val="clear" w:pos="1588"/>
          <w:tab w:val="clear" w:pos="1985"/>
          <w:tab w:val="left" w:pos="1304"/>
          <w:tab w:val="left" w:pos="1418"/>
          <w:tab w:val="left" w:pos="3402"/>
          <w:tab w:val="left" w:pos="3969"/>
        </w:tabs>
        <w:rPr>
          <w:lang w:val="en-US"/>
        </w:rPr>
      </w:pPr>
      <w:r>
        <w:rPr>
          <w:lang w:val="en-US"/>
        </w:rPr>
        <w:tab/>
        <w:t>Y</w:t>
      </w:r>
      <w:r>
        <w:rPr>
          <w:lang w:val="en-US"/>
        </w:rPr>
        <w:tab/>
        <w:t>=  (19)82</w:t>
      </w:r>
      <w:r>
        <w:rPr>
          <w:lang w:val="en-US"/>
        </w:rPr>
        <w:tab/>
        <w:t>WY</w:t>
      </w:r>
      <w:r>
        <w:rPr>
          <w:lang w:val="en-US"/>
        </w:rPr>
        <w:tab/>
        <w:t>=  (19)82</w:t>
      </w:r>
    </w:p>
    <w:p w:rsidR="0002495F" w:rsidRDefault="0002495F" w:rsidP="0002495F">
      <w:pPr>
        <w:tabs>
          <w:tab w:val="clear" w:pos="1191"/>
          <w:tab w:val="clear" w:pos="1588"/>
          <w:tab w:val="clear" w:pos="1985"/>
          <w:tab w:val="left" w:pos="1304"/>
          <w:tab w:val="left" w:pos="1418"/>
          <w:tab w:val="left" w:pos="3402"/>
          <w:tab w:val="left" w:pos="3969"/>
        </w:tabs>
        <w:rPr>
          <w:lang w:val="en-US"/>
        </w:rPr>
      </w:pPr>
      <w:r>
        <w:rPr>
          <w:lang w:val="en-US"/>
        </w:rPr>
        <w:tab/>
        <w:t>M</w:t>
      </w:r>
      <w:r>
        <w:rPr>
          <w:lang w:val="en-US"/>
        </w:rPr>
        <w:tab/>
        <w:t>=  9 (September)</w:t>
      </w:r>
      <w:r>
        <w:rPr>
          <w:lang w:val="en-US"/>
        </w:rPr>
        <w:tab/>
        <w:t>WN</w:t>
      </w:r>
      <w:r>
        <w:rPr>
          <w:lang w:val="en-US"/>
        </w:rPr>
        <w:tab/>
        <w:t>=  36</w:t>
      </w:r>
    </w:p>
    <w:p w:rsidR="004B0062" w:rsidRDefault="004B0062" w:rsidP="0002495F">
      <w:pPr>
        <w:tabs>
          <w:tab w:val="clear" w:pos="1191"/>
          <w:tab w:val="clear" w:pos="1588"/>
          <w:tab w:val="clear" w:pos="1985"/>
          <w:tab w:val="left" w:pos="1304"/>
          <w:tab w:val="left" w:pos="1418"/>
          <w:tab w:val="left" w:pos="3402"/>
          <w:tab w:val="left" w:pos="3969"/>
        </w:tabs>
        <w:rPr>
          <w:lang w:val="en-US"/>
        </w:rPr>
      </w:pPr>
      <w:r>
        <w:rPr>
          <w:lang w:val="en-US"/>
        </w:rPr>
        <w:tab/>
        <w:t>D</w:t>
      </w:r>
      <w:r>
        <w:rPr>
          <w:lang w:val="en-US"/>
        </w:rPr>
        <w:tab/>
        <w:t>=  6</w:t>
      </w:r>
      <w:r>
        <w:rPr>
          <w:lang w:val="en-US"/>
        </w:rPr>
        <w:tab/>
        <w:t>WD</w:t>
      </w:r>
      <w:r>
        <w:rPr>
          <w:lang w:val="en-US"/>
        </w:rPr>
        <w:tab/>
        <w:t>=  1 (Monday)</w:t>
      </w:r>
    </w:p>
    <w:p w:rsidR="0002495F" w:rsidRDefault="0002495F" w:rsidP="0002495F">
      <w:pPr>
        <w:rPr>
          <w:lang w:val="en-US"/>
        </w:rPr>
      </w:pPr>
    </w:p>
    <w:p w:rsidR="0002495F" w:rsidRDefault="0002495F" w:rsidP="0002495F">
      <w:pPr>
        <w:rPr>
          <w:lang w:val="en-US"/>
        </w:rPr>
      </w:pPr>
    </w:p>
    <w:p w:rsidR="0002495F" w:rsidRPr="0002495F" w:rsidRDefault="0002495F" w:rsidP="0002495F">
      <w:pPr>
        <w:pStyle w:val="Line"/>
      </w:pPr>
    </w:p>
    <w:sectPr w:rsidR="0002495F" w:rsidRPr="0002495F"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5A9" w:rsidRDefault="006B55A9">
      <w:r>
        <w:separator/>
      </w:r>
    </w:p>
  </w:endnote>
  <w:endnote w:type="continuationSeparator" w:id="0">
    <w:p w:rsidR="006B55A9" w:rsidRDefault="006B55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5A9" w:rsidRDefault="006B55A9">
      <w:r>
        <w:separator/>
      </w:r>
    </w:p>
  </w:footnote>
  <w:footnote w:type="continuationSeparator" w:id="0">
    <w:p w:rsidR="006B55A9" w:rsidRDefault="006B55A9">
      <w:r>
        <w:continuationSeparator/>
      </w:r>
    </w:p>
  </w:footnote>
  <w:footnote w:id="1">
    <w:p w:rsidR="004B0062" w:rsidRDefault="004B0062" w:rsidP="004B0062">
      <w:pPr>
        <w:pStyle w:val="FootnoteText"/>
        <w:tabs>
          <w:tab w:val="clear" w:pos="255"/>
          <w:tab w:val="clear" w:pos="794"/>
          <w:tab w:val="clear" w:pos="1191"/>
          <w:tab w:val="clear" w:pos="1588"/>
          <w:tab w:val="clear" w:pos="1985"/>
          <w:tab w:val="left" w:pos="510"/>
        </w:tabs>
        <w:ind w:left="510" w:hanging="510"/>
        <w:rPr>
          <w:lang w:val="en-US"/>
        </w:rPr>
      </w:pPr>
      <w:r>
        <w:rPr>
          <w:rStyle w:val="FootnoteReference"/>
          <w:lang w:val="en-US"/>
        </w:rPr>
        <w:t>*</w:t>
      </w:r>
      <w:r>
        <w:rPr>
          <w:lang w:val="en-US"/>
        </w:rPr>
        <w:tab/>
        <w:t>This Recommendation should be brought to the attention of Radiocommunication Study Group 7.</w:t>
      </w:r>
    </w:p>
  </w:footnote>
  <w:footnote w:id="2">
    <w:p w:rsidR="004B0062" w:rsidRDefault="004B0062" w:rsidP="004B0062">
      <w:pPr>
        <w:pStyle w:val="FootnoteText"/>
        <w:tabs>
          <w:tab w:val="clear" w:pos="255"/>
          <w:tab w:val="clear" w:pos="794"/>
          <w:tab w:val="clear" w:pos="1191"/>
          <w:tab w:val="clear" w:pos="1588"/>
          <w:tab w:val="clear" w:pos="1985"/>
          <w:tab w:val="left" w:pos="510"/>
        </w:tabs>
        <w:ind w:left="510" w:hanging="510"/>
        <w:rPr>
          <w:lang w:val="en-US"/>
        </w:rPr>
      </w:pPr>
      <w:r>
        <w:rPr>
          <w:rStyle w:val="FootnoteReference"/>
          <w:lang w:val="en-US"/>
        </w:rPr>
        <w:t>**</w:t>
      </w:r>
      <w:r>
        <w:rPr>
          <w:lang w:val="en-US"/>
        </w:rPr>
        <w:tab/>
        <w:t>Radiocommunication Study Group 6 made editorial amendments to this Recommendation in 2002 in accordance with Resolution ITU-R 44.</w:t>
      </w:r>
    </w:p>
  </w:footnote>
  <w:footnote w:id="3">
    <w:p w:rsidR="004B0062" w:rsidRPr="004B0062" w:rsidRDefault="004B0062" w:rsidP="004B0062">
      <w:pPr>
        <w:pStyle w:val="FootnoteText"/>
        <w:tabs>
          <w:tab w:val="clear" w:pos="255"/>
          <w:tab w:val="left" w:pos="510"/>
          <w:tab w:val="left" w:pos="567"/>
        </w:tabs>
        <w:ind w:left="510" w:hanging="510"/>
        <w:rPr>
          <w:lang w:val="en-US"/>
        </w:rPr>
      </w:pPr>
      <w:r>
        <w:rPr>
          <w:rStyle w:val="FootnoteReference"/>
        </w:rPr>
        <w:t>***</w:t>
      </w:r>
      <w:r>
        <w:tab/>
      </w:r>
      <w:r w:rsidRPr="00242D67">
        <w:rPr>
          <w:lang w:val="en-US"/>
        </w:rPr>
        <w:t>Radiocommunication Study Group 6 made editorial amendments to this Recommendation in October</w:t>
      </w:r>
      <w:r>
        <w:rPr>
          <w:lang w:val="en-US"/>
        </w:rPr>
        <w:t> </w:t>
      </w:r>
      <w:r w:rsidRPr="00242D67">
        <w:rPr>
          <w:lang w:val="en-US"/>
        </w:rPr>
        <w:t>2010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4957EE"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Pr="000F6905" w:rsidRDefault="000E4113">
    <w:pPr>
      <w:pStyle w:val="Header"/>
      <w:jc w:val="left"/>
    </w:pPr>
    <w:r>
      <w:rPr>
        <w:rStyle w:val="PageNumber"/>
        <w:b/>
        <w:bCs/>
      </w:rPr>
      <w:fldChar w:fldCharType="begin"/>
    </w:r>
    <w:r w:rsidR="000F6905" w:rsidRPr="000F6905">
      <w:rPr>
        <w:rStyle w:val="PageNumber"/>
        <w:b/>
        <w:bCs/>
      </w:rPr>
      <w:instrText xml:space="preserve"> PAGE </w:instrText>
    </w:r>
    <w:r>
      <w:rPr>
        <w:rStyle w:val="PageNumber"/>
        <w:b/>
        <w:bCs/>
      </w:rPr>
      <w:fldChar w:fldCharType="separate"/>
    </w:r>
    <w:r w:rsidR="00D13D5B">
      <w:rPr>
        <w:rStyle w:val="PageNumber"/>
        <w:b/>
        <w:bCs/>
        <w:noProof/>
      </w:rPr>
      <w:t>4</w:t>
    </w:r>
    <w:r>
      <w:rPr>
        <w:rStyle w:val="PageNumber"/>
        <w:b/>
        <w:bCs/>
      </w:rPr>
      <w:fldChar w:fldCharType="end"/>
    </w:r>
    <w:r w:rsidR="000F6905" w:rsidRPr="000F6905">
      <w:tab/>
    </w:r>
    <w:fldSimple w:instr=" DOCPROPERTY &quot;Header&quot; \* MERGEFORMAT ">
      <w:r w:rsidR="00D13D5B" w:rsidRPr="00D13D5B">
        <w:rPr>
          <w:b/>
          <w:bCs/>
        </w:rPr>
        <w:t xml:space="preserve">Rec. </w:t>
      </w:r>
    </w:fldSimple>
    <w:r w:rsidR="000F6905">
      <w:rPr>
        <w:b/>
        <w:bCs/>
      </w:rPr>
      <w:t xml:space="preserve"> </w:t>
    </w:r>
    <w:r>
      <w:rPr>
        <w:b/>
        <w:bCs/>
      </w:rPr>
      <w:fldChar w:fldCharType="begin"/>
    </w:r>
    <w:r w:rsidR="000F6905" w:rsidRPr="000F6905">
      <w:rPr>
        <w:b/>
        <w:bCs/>
      </w:rPr>
      <w:instrText>styleref href</w:instrText>
    </w:r>
    <w:r>
      <w:rPr>
        <w:b/>
        <w:bCs/>
      </w:rPr>
      <w:fldChar w:fldCharType="separate"/>
    </w:r>
    <w:r w:rsidR="00D13D5B">
      <w:rPr>
        <w:b/>
        <w:bCs/>
        <w:noProof/>
      </w:rPr>
      <w:t>ITU-R  BT.808</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05" w:rsidRDefault="000F6905">
    <w:pPr>
      <w:pStyle w:val="Header"/>
    </w:pPr>
    <w:r>
      <w:tab/>
    </w:r>
    <w:fldSimple w:instr=" DOCPROPERTY &quot;Header&quot; \* MERGEFORMAT ">
      <w:r w:rsidR="00D13D5B" w:rsidRPr="00D13D5B">
        <w:rPr>
          <w:b/>
          <w:bCs/>
        </w:rPr>
        <w:t xml:space="preserve">Rec. </w:t>
      </w:r>
    </w:fldSimple>
    <w:r>
      <w:rPr>
        <w:b/>
        <w:bCs/>
      </w:rPr>
      <w:t xml:space="preserve"> </w:t>
    </w:r>
    <w:r w:rsidR="000E4113">
      <w:rPr>
        <w:b/>
        <w:bCs/>
      </w:rPr>
      <w:fldChar w:fldCharType="begin"/>
    </w:r>
    <w:r>
      <w:rPr>
        <w:b/>
        <w:bCs/>
      </w:rPr>
      <w:instrText>styleref href</w:instrText>
    </w:r>
    <w:r w:rsidR="000E4113">
      <w:rPr>
        <w:b/>
        <w:bCs/>
      </w:rPr>
      <w:fldChar w:fldCharType="separate"/>
    </w:r>
    <w:r w:rsidR="00D13D5B">
      <w:rPr>
        <w:b/>
        <w:bCs/>
        <w:noProof/>
      </w:rPr>
      <w:t>ITU-R  BT.808</w:t>
    </w:r>
    <w:r w:rsidR="000E4113">
      <w:rPr>
        <w:b/>
        <w:bCs/>
      </w:rPr>
      <w:fldChar w:fldCharType="end"/>
    </w:r>
    <w:r>
      <w:tab/>
    </w:r>
    <w:r w:rsidR="000E4113">
      <w:rPr>
        <w:rStyle w:val="PageNumber"/>
        <w:b/>
        <w:bCs/>
      </w:rPr>
      <w:fldChar w:fldCharType="begin"/>
    </w:r>
    <w:r>
      <w:rPr>
        <w:rStyle w:val="PageNumber"/>
        <w:b/>
        <w:bCs/>
      </w:rPr>
      <w:instrText xml:space="preserve"> PAGE </w:instrText>
    </w:r>
    <w:r w:rsidR="000E4113">
      <w:rPr>
        <w:rStyle w:val="PageNumber"/>
        <w:b/>
        <w:bCs/>
      </w:rPr>
      <w:fldChar w:fldCharType="separate"/>
    </w:r>
    <w:r w:rsidR="00D13D5B">
      <w:rPr>
        <w:rStyle w:val="PageNumber"/>
        <w:b/>
        <w:bCs/>
        <w:noProof/>
      </w:rPr>
      <w:t>5</w:t>
    </w:r>
    <w:r w:rsidR="000E411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rsids>
    <w:rsidRoot w:val="00934ED7"/>
    <w:rsid w:val="00013002"/>
    <w:rsid w:val="0002495F"/>
    <w:rsid w:val="00072484"/>
    <w:rsid w:val="00096612"/>
    <w:rsid w:val="000B7683"/>
    <w:rsid w:val="000C0F2B"/>
    <w:rsid w:val="000E4113"/>
    <w:rsid w:val="000F6905"/>
    <w:rsid w:val="00102934"/>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4B0062"/>
    <w:rsid w:val="00556548"/>
    <w:rsid w:val="00586EF8"/>
    <w:rsid w:val="005A1836"/>
    <w:rsid w:val="005B0C55"/>
    <w:rsid w:val="005B49AB"/>
    <w:rsid w:val="005B50E7"/>
    <w:rsid w:val="005E7B4F"/>
    <w:rsid w:val="00607D68"/>
    <w:rsid w:val="006149B1"/>
    <w:rsid w:val="00674EEA"/>
    <w:rsid w:val="00680D2B"/>
    <w:rsid w:val="00681B32"/>
    <w:rsid w:val="00697E2A"/>
    <w:rsid w:val="006B55A9"/>
    <w:rsid w:val="006D690E"/>
    <w:rsid w:val="006E2037"/>
    <w:rsid w:val="006E3C03"/>
    <w:rsid w:val="00712870"/>
    <w:rsid w:val="00743D85"/>
    <w:rsid w:val="00753CF4"/>
    <w:rsid w:val="007565CC"/>
    <w:rsid w:val="00763B9A"/>
    <w:rsid w:val="0077270F"/>
    <w:rsid w:val="007A6AA8"/>
    <w:rsid w:val="007B31CB"/>
    <w:rsid w:val="007D3B79"/>
    <w:rsid w:val="008310C9"/>
    <w:rsid w:val="008C253A"/>
    <w:rsid w:val="008C7848"/>
    <w:rsid w:val="00917AF2"/>
    <w:rsid w:val="0092418A"/>
    <w:rsid w:val="00934ED7"/>
    <w:rsid w:val="009468F5"/>
    <w:rsid w:val="009543C3"/>
    <w:rsid w:val="00966E1B"/>
    <w:rsid w:val="009A43DD"/>
    <w:rsid w:val="009E0BFE"/>
    <w:rsid w:val="009F2D2C"/>
    <w:rsid w:val="00A00133"/>
    <w:rsid w:val="00A6617B"/>
    <w:rsid w:val="00A71FE5"/>
    <w:rsid w:val="00A766F4"/>
    <w:rsid w:val="00AA3AD8"/>
    <w:rsid w:val="00AB0DC8"/>
    <w:rsid w:val="00B033C8"/>
    <w:rsid w:val="00B33425"/>
    <w:rsid w:val="00B44E24"/>
    <w:rsid w:val="00B54ECC"/>
    <w:rsid w:val="00B714F3"/>
    <w:rsid w:val="00BC5D77"/>
    <w:rsid w:val="00BF487A"/>
    <w:rsid w:val="00C27AD2"/>
    <w:rsid w:val="00C46BD9"/>
    <w:rsid w:val="00C55258"/>
    <w:rsid w:val="00C73560"/>
    <w:rsid w:val="00C7439E"/>
    <w:rsid w:val="00CB0F14"/>
    <w:rsid w:val="00CD659B"/>
    <w:rsid w:val="00D13D5B"/>
    <w:rsid w:val="00DF4176"/>
    <w:rsid w:val="00E17240"/>
    <w:rsid w:val="00F30C9B"/>
    <w:rsid w:val="00F354B1"/>
    <w:rsid w:val="00FA5DAA"/>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57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4957EE"/>
    <w:pPr>
      <w:keepNext/>
      <w:keepLines/>
      <w:spacing w:before="480"/>
      <w:ind w:left="794" w:hanging="794"/>
      <w:outlineLvl w:val="0"/>
    </w:pPr>
    <w:rPr>
      <w:b/>
    </w:rPr>
  </w:style>
  <w:style w:type="paragraph" w:styleId="Heading2">
    <w:name w:val="heading 2"/>
    <w:basedOn w:val="Heading1"/>
    <w:next w:val="Normal"/>
    <w:qFormat/>
    <w:rsid w:val="004957EE"/>
    <w:pPr>
      <w:spacing w:before="320"/>
      <w:outlineLvl w:val="1"/>
    </w:pPr>
  </w:style>
  <w:style w:type="paragraph" w:styleId="Heading3">
    <w:name w:val="heading 3"/>
    <w:basedOn w:val="Heading1"/>
    <w:next w:val="Normal"/>
    <w:qFormat/>
    <w:rsid w:val="004957EE"/>
    <w:pPr>
      <w:spacing w:before="200"/>
      <w:outlineLvl w:val="2"/>
    </w:pPr>
  </w:style>
  <w:style w:type="paragraph" w:styleId="Heading4">
    <w:name w:val="heading 4"/>
    <w:basedOn w:val="Heading3"/>
    <w:next w:val="Normal"/>
    <w:qFormat/>
    <w:rsid w:val="004957EE"/>
    <w:pPr>
      <w:tabs>
        <w:tab w:val="clear" w:pos="794"/>
        <w:tab w:val="left" w:pos="992"/>
      </w:tabs>
      <w:ind w:left="992" w:hanging="992"/>
      <w:outlineLvl w:val="3"/>
    </w:pPr>
  </w:style>
  <w:style w:type="paragraph" w:styleId="Heading5">
    <w:name w:val="heading 5"/>
    <w:basedOn w:val="Heading4"/>
    <w:next w:val="Normal"/>
    <w:qFormat/>
    <w:rsid w:val="004957EE"/>
    <w:pPr>
      <w:outlineLvl w:val="4"/>
    </w:pPr>
  </w:style>
  <w:style w:type="paragraph" w:styleId="Heading6">
    <w:name w:val="heading 6"/>
    <w:basedOn w:val="Heading4"/>
    <w:next w:val="Normal"/>
    <w:qFormat/>
    <w:rsid w:val="004957EE"/>
    <w:pPr>
      <w:tabs>
        <w:tab w:val="clear" w:pos="992"/>
        <w:tab w:val="clear" w:pos="1191"/>
      </w:tabs>
      <w:ind w:left="1588" w:hanging="1588"/>
      <w:outlineLvl w:val="5"/>
    </w:pPr>
  </w:style>
  <w:style w:type="paragraph" w:styleId="Heading7">
    <w:name w:val="heading 7"/>
    <w:basedOn w:val="Heading6"/>
    <w:next w:val="Normal"/>
    <w:qFormat/>
    <w:rsid w:val="004957EE"/>
    <w:pPr>
      <w:outlineLvl w:val="6"/>
    </w:pPr>
  </w:style>
  <w:style w:type="paragraph" w:styleId="Heading8">
    <w:name w:val="heading 8"/>
    <w:basedOn w:val="Heading6"/>
    <w:next w:val="Normal"/>
    <w:qFormat/>
    <w:rsid w:val="004957EE"/>
    <w:pPr>
      <w:outlineLvl w:val="7"/>
    </w:pPr>
  </w:style>
  <w:style w:type="paragraph" w:styleId="Heading9">
    <w:name w:val="heading 9"/>
    <w:basedOn w:val="Heading6"/>
    <w:next w:val="Normal"/>
    <w:qFormat/>
    <w:rsid w:val="004957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57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4957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957EE"/>
  </w:style>
  <w:style w:type="paragraph" w:customStyle="1" w:styleId="Headingb">
    <w:name w:val="Heading_b"/>
    <w:basedOn w:val="Heading3"/>
    <w:next w:val="Normal"/>
    <w:rsid w:val="004957EE"/>
    <w:pPr>
      <w:spacing w:before="160"/>
      <w:ind w:left="0" w:firstLine="0"/>
      <w:outlineLvl w:val="9"/>
    </w:pPr>
  </w:style>
  <w:style w:type="paragraph" w:customStyle="1" w:styleId="Headingi">
    <w:name w:val="Heading_i"/>
    <w:basedOn w:val="Heading3"/>
    <w:next w:val="Normal"/>
    <w:rsid w:val="004957EE"/>
    <w:pPr>
      <w:spacing w:before="160"/>
      <w:ind w:left="0" w:firstLine="0"/>
    </w:pPr>
    <w:rPr>
      <w:b w:val="0"/>
      <w:i/>
    </w:rPr>
  </w:style>
  <w:style w:type="character" w:customStyle="1" w:styleId="href">
    <w:name w:val="href"/>
    <w:basedOn w:val="DefaultParagraphFont"/>
    <w:rsid w:val="004957EE"/>
  </w:style>
  <w:style w:type="paragraph" w:customStyle="1" w:styleId="AnnexNoTitle">
    <w:name w:val="Annex_NoTitle"/>
    <w:basedOn w:val="Normal"/>
    <w:next w:val="Normalaftertitle"/>
    <w:rsid w:val="004957EE"/>
    <w:pPr>
      <w:keepNext/>
      <w:keepLines/>
      <w:spacing w:before="480" w:after="80"/>
      <w:jc w:val="center"/>
    </w:pPr>
    <w:rPr>
      <w:b/>
      <w:sz w:val="28"/>
    </w:rPr>
  </w:style>
  <w:style w:type="paragraph" w:customStyle="1" w:styleId="Normalaftertitle">
    <w:name w:val="Normal_after_title"/>
    <w:basedOn w:val="Normal"/>
    <w:next w:val="Normal"/>
    <w:rsid w:val="004957EE"/>
    <w:pPr>
      <w:spacing w:before="320"/>
    </w:pPr>
  </w:style>
  <w:style w:type="paragraph" w:customStyle="1" w:styleId="enumlev2">
    <w:name w:val="enumlev2"/>
    <w:basedOn w:val="enumlev1"/>
    <w:rsid w:val="004957EE"/>
    <w:pPr>
      <w:ind w:left="1191" w:hanging="397"/>
    </w:pPr>
  </w:style>
  <w:style w:type="paragraph" w:customStyle="1" w:styleId="enumlev1">
    <w:name w:val="enumlev1"/>
    <w:basedOn w:val="Normal"/>
    <w:rsid w:val="004957EE"/>
    <w:pPr>
      <w:spacing w:before="80"/>
      <w:ind w:left="794" w:hanging="794"/>
    </w:pPr>
  </w:style>
  <w:style w:type="paragraph" w:customStyle="1" w:styleId="enumlev3">
    <w:name w:val="enumlev3"/>
    <w:basedOn w:val="enumlev2"/>
    <w:rsid w:val="004957EE"/>
    <w:pPr>
      <w:ind w:left="1588"/>
    </w:pPr>
  </w:style>
  <w:style w:type="paragraph" w:customStyle="1" w:styleId="Note">
    <w:name w:val="Note"/>
    <w:basedOn w:val="Normal"/>
    <w:rsid w:val="004957E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957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957EE"/>
    <w:pPr>
      <w:keepNext/>
      <w:keepLines/>
      <w:spacing w:before="240"/>
      <w:jc w:val="center"/>
    </w:pPr>
    <w:rPr>
      <w:b/>
      <w:sz w:val="28"/>
    </w:rPr>
  </w:style>
  <w:style w:type="paragraph" w:customStyle="1" w:styleId="Recref">
    <w:name w:val="Rec_ref"/>
    <w:basedOn w:val="Normal"/>
    <w:next w:val="Recdate"/>
    <w:rsid w:val="004957EE"/>
    <w:pPr>
      <w:jc w:val="center"/>
    </w:pPr>
  </w:style>
  <w:style w:type="paragraph" w:customStyle="1" w:styleId="Recdate">
    <w:name w:val="Rec_date"/>
    <w:basedOn w:val="Recref"/>
    <w:next w:val="Normalaftertitle"/>
    <w:rsid w:val="004957EE"/>
    <w:pPr>
      <w:jc w:val="right"/>
    </w:pPr>
  </w:style>
  <w:style w:type="paragraph" w:customStyle="1" w:styleId="HeadingSum">
    <w:name w:val="Heading_Sum"/>
    <w:basedOn w:val="Headingb"/>
    <w:next w:val="Normal"/>
    <w:rsid w:val="004957EE"/>
    <w:pPr>
      <w:spacing w:before="240"/>
    </w:pPr>
    <w:rPr>
      <w:sz w:val="22"/>
      <w:lang w:val="es-ES_tradnl"/>
    </w:rPr>
  </w:style>
  <w:style w:type="paragraph" w:customStyle="1" w:styleId="AppendixNoTitle">
    <w:name w:val="Appendix_NoTitle"/>
    <w:basedOn w:val="AnnexNoTitle"/>
    <w:next w:val="Normal"/>
    <w:rsid w:val="004957EE"/>
  </w:style>
  <w:style w:type="paragraph" w:customStyle="1" w:styleId="Tablefin">
    <w:name w:val="Table_fin"/>
    <w:basedOn w:val="Normal"/>
    <w:next w:val="Normal"/>
    <w:rsid w:val="004957EE"/>
    <w:pPr>
      <w:spacing w:before="0"/>
    </w:pPr>
    <w:rPr>
      <w:sz w:val="20"/>
      <w:lang w:val="en-GB"/>
    </w:rPr>
  </w:style>
  <w:style w:type="paragraph" w:customStyle="1" w:styleId="Tablehead">
    <w:name w:val="Table_head"/>
    <w:basedOn w:val="Normal"/>
    <w:next w:val="Normal"/>
    <w:rsid w:val="004957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957EE"/>
    <w:pPr>
      <w:keepNext/>
      <w:spacing w:before="360" w:after="120"/>
      <w:jc w:val="center"/>
    </w:pPr>
  </w:style>
  <w:style w:type="paragraph" w:customStyle="1" w:styleId="Tabletext">
    <w:name w:val="Table_text"/>
    <w:basedOn w:val="Normal"/>
    <w:rsid w:val="004957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957EE"/>
    <w:pPr>
      <w:tabs>
        <w:tab w:val="clear" w:pos="1191"/>
        <w:tab w:val="clear" w:pos="1588"/>
        <w:tab w:val="clear" w:pos="1985"/>
        <w:tab w:val="center" w:pos="4820"/>
        <w:tab w:val="right" w:pos="9639"/>
      </w:tabs>
    </w:pPr>
  </w:style>
  <w:style w:type="paragraph" w:customStyle="1" w:styleId="Equationlegend">
    <w:name w:val="Equation_legend"/>
    <w:basedOn w:val="NormalIndent"/>
    <w:rsid w:val="004957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957EE"/>
    <w:pPr>
      <w:ind w:left="794"/>
    </w:pPr>
  </w:style>
  <w:style w:type="paragraph" w:customStyle="1" w:styleId="Figurelegend">
    <w:name w:val="Figure_legend"/>
    <w:basedOn w:val="Normal"/>
    <w:rsid w:val="004957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4957EE"/>
    <w:pPr>
      <w:keepNext/>
      <w:keepLines/>
      <w:spacing w:before="480" w:after="80"/>
      <w:jc w:val="center"/>
    </w:pPr>
    <w:rPr>
      <w:caps/>
      <w:sz w:val="18"/>
    </w:rPr>
  </w:style>
  <w:style w:type="paragraph" w:customStyle="1" w:styleId="Figuretitle">
    <w:name w:val="Figure_title"/>
    <w:basedOn w:val="Normal"/>
    <w:next w:val="Figure"/>
    <w:rsid w:val="004957EE"/>
    <w:pPr>
      <w:keepNext/>
      <w:spacing w:before="0" w:after="120"/>
      <w:jc w:val="center"/>
    </w:pPr>
    <w:rPr>
      <w:rFonts w:ascii="Times New Roman Bold" w:hAnsi="Times New Roman Bold"/>
      <w:b/>
      <w:sz w:val="18"/>
    </w:rPr>
  </w:style>
  <w:style w:type="paragraph" w:customStyle="1" w:styleId="Figure">
    <w:name w:val="Figure"/>
    <w:basedOn w:val="FigureNo"/>
    <w:next w:val="Normal"/>
    <w:rsid w:val="004957EE"/>
    <w:pPr>
      <w:keepNext w:val="0"/>
      <w:spacing w:before="0" w:after="240"/>
    </w:pPr>
  </w:style>
  <w:style w:type="paragraph" w:customStyle="1" w:styleId="tocpart">
    <w:name w:val="tocpart"/>
    <w:basedOn w:val="Normal"/>
    <w:rsid w:val="004957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957EE"/>
    <w:pPr>
      <w:keepNext/>
      <w:keepLines/>
      <w:spacing w:before="480"/>
      <w:jc w:val="center"/>
    </w:pPr>
    <w:rPr>
      <w:sz w:val="28"/>
    </w:rPr>
  </w:style>
  <w:style w:type="paragraph" w:customStyle="1" w:styleId="Arttitle">
    <w:name w:val="Art_title"/>
    <w:basedOn w:val="Normal"/>
    <w:next w:val="Normalaftertitle"/>
    <w:rsid w:val="004957EE"/>
    <w:pPr>
      <w:keepNext/>
      <w:keepLines/>
      <w:spacing w:before="240"/>
      <w:jc w:val="center"/>
    </w:pPr>
    <w:rPr>
      <w:b/>
      <w:sz w:val="28"/>
    </w:rPr>
  </w:style>
  <w:style w:type="paragraph" w:customStyle="1" w:styleId="Blanc">
    <w:name w:val="Blanc"/>
    <w:basedOn w:val="Normal"/>
    <w:next w:val="Tabletext"/>
    <w:rsid w:val="004957E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957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957EE"/>
    <w:pPr>
      <w:keepNext/>
      <w:keepLines/>
      <w:spacing w:before="160"/>
      <w:ind w:left="794"/>
    </w:pPr>
    <w:rPr>
      <w:i/>
    </w:rPr>
  </w:style>
  <w:style w:type="paragraph" w:customStyle="1" w:styleId="ChapNo">
    <w:name w:val="Chap_No"/>
    <w:basedOn w:val="ArtNo"/>
    <w:next w:val="Chaptitle"/>
    <w:rsid w:val="004957EE"/>
    <w:rPr>
      <w:b/>
    </w:rPr>
  </w:style>
  <w:style w:type="paragraph" w:customStyle="1" w:styleId="Chaptitle">
    <w:name w:val="Chap_title"/>
    <w:basedOn w:val="Arttitle"/>
    <w:next w:val="Normalaftertitle"/>
    <w:rsid w:val="004957EE"/>
  </w:style>
  <w:style w:type="character" w:styleId="FootnoteReference">
    <w:name w:val="footnote reference"/>
    <w:basedOn w:val="DefaultParagraphFont"/>
    <w:semiHidden/>
    <w:rsid w:val="004957EE"/>
    <w:rPr>
      <w:position w:val="6"/>
      <w:sz w:val="18"/>
    </w:rPr>
  </w:style>
  <w:style w:type="paragraph" w:styleId="FootnoteText">
    <w:name w:val="footnote text"/>
    <w:basedOn w:val="Normal"/>
    <w:semiHidden/>
    <w:rsid w:val="004957EE"/>
    <w:pPr>
      <w:keepLines/>
      <w:tabs>
        <w:tab w:val="left" w:pos="255"/>
      </w:tabs>
      <w:ind w:left="255" w:hanging="255"/>
    </w:pPr>
    <w:rPr>
      <w:sz w:val="22"/>
    </w:rPr>
  </w:style>
  <w:style w:type="paragraph" w:styleId="Index1">
    <w:name w:val="index 1"/>
    <w:basedOn w:val="Normal"/>
    <w:next w:val="Normal"/>
    <w:semiHidden/>
    <w:rsid w:val="004957EE"/>
  </w:style>
  <w:style w:type="paragraph" w:styleId="Index2">
    <w:name w:val="index 2"/>
    <w:basedOn w:val="Normal"/>
    <w:next w:val="Normal"/>
    <w:semiHidden/>
    <w:rsid w:val="004957EE"/>
    <w:pPr>
      <w:ind w:left="283"/>
    </w:pPr>
  </w:style>
  <w:style w:type="paragraph" w:styleId="Index3">
    <w:name w:val="index 3"/>
    <w:basedOn w:val="Normal"/>
    <w:next w:val="Normal"/>
    <w:semiHidden/>
    <w:rsid w:val="004957EE"/>
    <w:pPr>
      <w:ind w:left="566"/>
    </w:pPr>
  </w:style>
  <w:style w:type="paragraph" w:styleId="IndexHeading">
    <w:name w:val="index heading"/>
    <w:basedOn w:val="Normal"/>
    <w:next w:val="Index1"/>
    <w:semiHidden/>
    <w:rsid w:val="004957EE"/>
  </w:style>
  <w:style w:type="paragraph" w:customStyle="1" w:styleId="Line">
    <w:name w:val="Line"/>
    <w:basedOn w:val="Normal"/>
    <w:next w:val="Normal"/>
    <w:rsid w:val="004957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957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957EE"/>
  </w:style>
  <w:style w:type="paragraph" w:customStyle="1" w:styleId="Partref">
    <w:name w:val="Part_ref"/>
    <w:basedOn w:val="Normal"/>
    <w:next w:val="Normal"/>
    <w:rsid w:val="004957EE"/>
    <w:pPr>
      <w:keepNext/>
      <w:keepLines/>
      <w:spacing w:after="280"/>
      <w:jc w:val="center"/>
    </w:pPr>
  </w:style>
  <w:style w:type="paragraph" w:customStyle="1" w:styleId="Parttitle">
    <w:name w:val="Part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957EE"/>
  </w:style>
  <w:style w:type="paragraph" w:customStyle="1" w:styleId="QuestionNo">
    <w:name w:val="Question_No"/>
    <w:basedOn w:val="RecNo"/>
    <w:next w:val="Normal"/>
    <w:rsid w:val="004957EE"/>
  </w:style>
  <w:style w:type="paragraph" w:customStyle="1" w:styleId="Questionref">
    <w:name w:val="Question_ref"/>
    <w:basedOn w:val="Recref"/>
    <w:next w:val="Questiondate"/>
    <w:rsid w:val="004957EE"/>
  </w:style>
  <w:style w:type="paragraph" w:customStyle="1" w:styleId="Questiontitle">
    <w:name w:val="Question_title"/>
    <w:basedOn w:val="Normal"/>
    <w:next w:val="Questionref"/>
    <w:rsid w:val="004957EE"/>
  </w:style>
  <w:style w:type="paragraph" w:customStyle="1" w:styleId="Reftext">
    <w:name w:val="Ref_text"/>
    <w:basedOn w:val="Normal"/>
    <w:rsid w:val="004957EE"/>
    <w:pPr>
      <w:ind w:left="794" w:hanging="794"/>
    </w:pPr>
    <w:rPr>
      <w:sz w:val="22"/>
    </w:rPr>
  </w:style>
  <w:style w:type="paragraph" w:customStyle="1" w:styleId="Reftitle">
    <w:name w:val="Ref_title"/>
    <w:basedOn w:val="Normal"/>
    <w:next w:val="Reftext"/>
    <w:rsid w:val="004957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957EE"/>
  </w:style>
  <w:style w:type="paragraph" w:customStyle="1" w:styleId="RepNo">
    <w:name w:val="Rep_No"/>
    <w:basedOn w:val="RecNo"/>
    <w:next w:val="Reptitle"/>
    <w:rsid w:val="004957EE"/>
  </w:style>
  <w:style w:type="paragraph" w:customStyle="1" w:styleId="Reptitle">
    <w:name w:val="Rep_title"/>
    <w:basedOn w:val="Rectitle"/>
    <w:next w:val="Repref"/>
    <w:rsid w:val="004957EE"/>
  </w:style>
  <w:style w:type="paragraph" w:customStyle="1" w:styleId="Repref">
    <w:name w:val="Rep_ref"/>
    <w:basedOn w:val="Recref"/>
    <w:next w:val="Repdate"/>
    <w:rsid w:val="004957EE"/>
  </w:style>
  <w:style w:type="paragraph" w:customStyle="1" w:styleId="Resdate">
    <w:name w:val="Res_date"/>
    <w:basedOn w:val="Recdate"/>
    <w:next w:val="Normalaftertitle"/>
    <w:rsid w:val="004957EE"/>
  </w:style>
  <w:style w:type="paragraph" w:customStyle="1" w:styleId="ResNo">
    <w:name w:val="Res_No"/>
    <w:basedOn w:val="RecNo"/>
    <w:next w:val="Restitle"/>
    <w:rsid w:val="004957EE"/>
  </w:style>
  <w:style w:type="paragraph" w:customStyle="1" w:styleId="Restitle">
    <w:name w:val="Res_title"/>
    <w:basedOn w:val="Normal"/>
    <w:next w:val="Resref"/>
    <w:rsid w:val="004957EE"/>
    <w:pPr>
      <w:spacing w:before="240"/>
      <w:jc w:val="center"/>
    </w:pPr>
    <w:rPr>
      <w:b/>
      <w:sz w:val="28"/>
    </w:rPr>
  </w:style>
  <w:style w:type="paragraph" w:customStyle="1" w:styleId="Resref">
    <w:name w:val="Res_ref"/>
    <w:basedOn w:val="Recref"/>
    <w:next w:val="Resdate"/>
    <w:rsid w:val="004957EE"/>
  </w:style>
  <w:style w:type="paragraph" w:customStyle="1" w:styleId="SectionNo">
    <w:name w:val="Section_No"/>
    <w:basedOn w:val="Normal"/>
    <w:next w:val="Normal"/>
    <w:rsid w:val="004957EE"/>
  </w:style>
  <w:style w:type="paragraph" w:customStyle="1" w:styleId="Sectiontitle">
    <w:name w:val="Section_title"/>
    <w:basedOn w:val="Normal"/>
    <w:next w:val="Normalaftertitle"/>
    <w:rsid w:val="004957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957EE"/>
    <w:pPr>
      <w:tabs>
        <w:tab w:val="clear" w:pos="794"/>
        <w:tab w:val="clear" w:pos="1191"/>
        <w:tab w:val="clear" w:pos="1588"/>
        <w:tab w:val="clear" w:pos="1985"/>
        <w:tab w:val="right" w:pos="9611"/>
      </w:tabs>
    </w:pPr>
    <w:rPr>
      <w:i/>
    </w:rPr>
  </w:style>
  <w:style w:type="paragraph" w:styleId="TOC1">
    <w:name w:val="toc 1"/>
    <w:basedOn w:val="Normal"/>
    <w:semiHidden/>
    <w:rsid w:val="004957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957EE"/>
    <w:pPr>
      <w:tabs>
        <w:tab w:val="clear" w:pos="567"/>
        <w:tab w:val="left" w:pos="1276"/>
      </w:tabs>
      <w:spacing w:before="160"/>
      <w:ind w:left="1276" w:hanging="709"/>
    </w:pPr>
  </w:style>
  <w:style w:type="paragraph" w:styleId="TOC3">
    <w:name w:val="toc 3"/>
    <w:basedOn w:val="TOC2"/>
    <w:semiHidden/>
    <w:rsid w:val="004957EE"/>
    <w:pPr>
      <w:tabs>
        <w:tab w:val="clear" w:pos="1276"/>
        <w:tab w:val="left" w:pos="2155"/>
      </w:tabs>
      <w:ind w:left="2155" w:hanging="879"/>
    </w:pPr>
  </w:style>
  <w:style w:type="paragraph" w:styleId="TOC4">
    <w:name w:val="toc 4"/>
    <w:basedOn w:val="TOC3"/>
    <w:semiHidden/>
    <w:rsid w:val="004957EE"/>
    <w:pPr>
      <w:tabs>
        <w:tab w:val="left" w:pos="3261"/>
      </w:tabs>
      <w:spacing w:before="80"/>
      <w:ind w:left="3261" w:hanging="993"/>
    </w:pPr>
  </w:style>
  <w:style w:type="paragraph" w:styleId="TOC5">
    <w:name w:val="toc 5"/>
    <w:basedOn w:val="TOC4"/>
    <w:semiHidden/>
    <w:rsid w:val="004957EE"/>
  </w:style>
  <w:style w:type="paragraph" w:styleId="TOC6">
    <w:name w:val="toc 6"/>
    <w:basedOn w:val="TOC4"/>
    <w:semiHidden/>
    <w:rsid w:val="004957EE"/>
  </w:style>
  <w:style w:type="paragraph" w:styleId="TOC7">
    <w:name w:val="toc 7"/>
    <w:basedOn w:val="TOC4"/>
    <w:semiHidden/>
    <w:rsid w:val="004957EE"/>
  </w:style>
  <w:style w:type="paragraph" w:styleId="TOC8">
    <w:name w:val="toc 8"/>
    <w:basedOn w:val="TOC4"/>
    <w:semiHidden/>
    <w:rsid w:val="004957EE"/>
  </w:style>
  <w:style w:type="paragraph" w:customStyle="1" w:styleId="Annexref">
    <w:name w:val="Annex_ref"/>
    <w:basedOn w:val="Normal"/>
    <w:next w:val="Normalaftertitle"/>
    <w:rsid w:val="004957EE"/>
    <w:pPr>
      <w:keepNext/>
      <w:keepLines/>
      <w:spacing w:after="280"/>
      <w:jc w:val="center"/>
    </w:pPr>
  </w:style>
  <w:style w:type="paragraph" w:customStyle="1" w:styleId="Appendixref">
    <w:name w:val="Appendix_ref"/>
    <w:basedOn w:val="Annexref"/>
    <w:next w:val="Normalaftertitle"/>
    <w:rsid w:val="004957EE"/>
  </w:style>
  <w:style w:type="paragraph" w:customStyle="1" w:styleId="Tabletitle">
    <w:name w:val="Table_title"/>
    <w:basedOn w:val="Normal"/>
    <w:next w:val="Tablehead"/>
    <w:rsid w:val="004957EE"/>
    <w:pPr>
      <w:keepNext/>
      <w:spacing w:before="0" w:after="120"/>
      <w:jc w:val="center"/>
    </w:pPr>
    <w:rPr>
      <w:b/>
    </w:rPr>
  </w:style>
  <w:style w:type="paragraph" w:customStyle="1" w:styleId="Summary">
    <w:name w:val="Summary"/>
    <w:basedOn w:val="Normal"/>
    <w:next w:val="Normalaftertitle"/>
    <w:rsid w:val="004957E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957EE"/>
    <w:pPr>
      <w:ind w:left="-85" w:firstLine="0"/>
    </w:pPr>
    <w:rPr>
      <w:lang w:val="en-US"/>
    </w:rPr>
  </w:style>
</w:styles>
</file>

<file path=word/webSettings.xml><?xml version="1.0" encoding="utf-8"?>
<w:webSettings xmlns:r="http://schemas.openxmlformats.org/officeDocument/2006/relationships" xmlns:w="http://schemas.openxmlformats.org/wordprocessingml/2006/main">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F0ACB-1F7E-4548-B9E5-D7400E710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TotalTime>
  <Pages>7</Pages>
  <Words>2180</Words>
  <Characters>10915</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13069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borel</cp:lastModifiedBy>
  <cp:revision>6</cp:revision>
  <cp:lastPrinted>2011-01-24T08:57:00Z</cp:lastPrinted>
  <dcterms:created xsi:type="dcterms:W3CDTF">2011-01-19T13:20:00Z</dcterms:created>
  <dcterms:modified xsi:type="dcterms:W3CDTF">2011-01-24T08:57:00Z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