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33592C">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E406BD">
              <w:rPr>
                <w:rFonts w:ascii="Tahoma" w:hAnsi="Tahoma" w:cs="Tahoma"/>
                <w:b/>
                <w:bCs/>
                <w:iCs/>
                <w:color w:val="243285"/>
                <w:sz w:val="36"/>
                <w:szCs w:val="36"/>
              </w:rPr>
              <w:t>F</w:t>
            </w:r>
            <w:r w:rsidRPr="004F65E4">
              <w:rPr>
                <w:rFonts w:ascii="Tahoma" w:hAnsi="Tahoma" w:cs="Tahoma"/>
                <w:b/>
                <w:bCs/>
                <w:iCs/>
                <w:color w:val="243285"/>
                <w:sz w:val="36"/>
                <w:szCs w:val="36"/>
              </w:rPr>
              <w:t>.</w:t>
            </w:r>
            <w:r w:rsidR="0033592C">
              <w:rPr>
                <w:rFonts w:ascii="Tahoma" w:hAnsi="Tahoma" w:cs="Tahoma"/>
                <w:b/>
                <w:bCs/>
                <w:iCs/>
                <w:color w:val="243285"/>
                <w:sz w:val="36"/>
                <w:szCs w:val="36"/>
              </w:rPr>
              <w:t>106-2</w:t>
            </w:r>
          </w:p>
          <w:p w:rsidR="00FE79FE" w:rsidRPr="004F65E4" w:rsidRDefault="00FE79FE" w:rsidP="0033592C">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33592C">
              <w:rPr>
                <w:rFonts w:ascii="Tahoma" w:hAnsi="Tahoma" w:cs="Tahoma"/>
                <w:b/>
                <w:bCs/>
                <w:iCs/>
                <w:color w:val="243285"/>
                <w:szCs w:val="24"/>
              </w:rPr>
              <w:t>05</w:t>
            </w:r>
            <w:r w:rsidRPr="004F65E4">
              <w:rPr>
                <w:rFonts w:ascii="Tahoma" w:hAnsi="Tahoma" w:cs="Tahoma"/>
                <w:b/>
                <w:bCs/>
                <w:iCs/>
                <w:color w:val="243285"/>
                <w:szCs w:val="24"/>
              </w:rPr>
              <w:t>/</w:t>
            </w:r>
            <w:r w:rsidR="0033592C">
              <w:rPr>
                <w:rFonts w:ascii="Tahoma" w:hAnsi="Tahoma" w:cs="Tahoma"/>
                <w:b/>
                <w:bCs/>
                <w:iCs/>
                <w:color w:val="243285"/>
                <w:szCs w:val="24"/>
              </w:rPr>
              <w:t>1999</w:t>
            </w:r>
            <w:r w:rsidRPr="004F65E4">
              <w:rPr>
                <w:rFonts w:ascii="Tahoma" w:hAnsi="Tahoma" w:cs="Tahoma"/>
                <w:b/>
                <w:bCs/>
                <w:iCs/>
                <w:color w:val="243285"/>
                <w:szCs w:val="24"/>
              </w:rPr>
              <w:t>)</w:t>
            </w:r>
          </w:p>
        </w:tc>
      </w:tr>
      <w:tr w:rsidR="00FE79FE" w:rsidRPr="001511A6">
        <w:tc>
          <w:tcPr>
            <w:tcW w:w="10089" w:type="dxa"/>
          </w:tcPr>
          <w:p w:rsidR="00013002" w:rsidRPr="004F65E4" w:rsidRDefault="00013002" w:rsidP="00FE79FE">
            <w:pPr>
              <w:spacing w:before="80" w:line="500" w:lineRule="exact"/>
              <w:jc w:val="right"/>
              <w:rPr>
                <w:rFonts w:ascii="Tahoma" w:hAnsi="Tahoma" w:cs="Tahoma"/>
                <w:b/>
                <w:bCs/>
                <w:iCs/>
                <w:color w:val="243285"/>
                <w:sz w:val="44"/>
                <w:szCs w:val="44"/>
              </w:rPr>
            </w:pPr>
          </w:p>
          <w:p w:rsidR="00FE79FE" w:rsidRPr="001511A6" w:rsidRDefault="00A62A14" w:rsidP="0033592C">
            <w:pPr>
              <w:spacing w:before="80" w:line="500" w:lineRule="exact"/>
              <w:jc w:val="right"/>
              <w:rPr>
                <w:rFonts w:ascii="Tahoma" w:hAnsi="Tahoma" w:cs="Tahoma"/>
                <w:b/>
                <w:bCs/>
                <w:iCs/>
                <w:color w:val="243285"/>
                <w:sz w:val="44"/>
                <w:szCs w:val="44"/>
                <w:lang w:val="en-US"/>
              </w:rPr>
            </w:pPr>
            <w:r w:rsidRPr="001511A6">
              <w:rPr>
                <w:rFonts w:ascii="Tahoma" w:hAnsi="Tahoma" w:cs="Tahoma"/>
                <w:b/>
                <w:bCs/>
                <w:iCs/>
                <w:color w:val="243285"/>
                <w:sz w:val="44"/>
                <w:szCs w:val="44"/>
                <w:lang w:val="en-US"/>
              </w:rPr>
              <w:t>T</w:t>
            </w:r>
            <w:r w:rsidR="0033592C">
              <w:rPr>
                <w:rFonts w:ascii="Tahoma" w:hAnsi="Tahoma" w:cs="Tahoma"/>
                <w:b/>
                <w:bCs/>
                <w:iCs/>
                <w:color w:val="243285"/>
                <w:sz w:val="44"/>
                <w:szCs w:val="44"/>
                <w:lang w:val="en-US"/>
              </w:rPr>
              <w:t>he use of diversity for voice-frequency telegraphy on HF radio circuits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677965" w:rsidRDefault="00677965" w:rsidP="00677965">
            <w:pPr>
              <w:spacing w:before="80" w:line="280" w:lineRule="exact"/>
              <w:ind w:right="640"/>
              <w:rPr>
                <w:rFonts w:ascii="Tahoma" w:hAnsi="Tahoma" w:cs="Tahoma"/>
                <w:b/>
                <w:bCs/>
                <w:iCs/>
                <w:color w:val="243285"/>
                <w:sz w:val="32"/>
                <w:szCs w:val="32"/>
                <w:lang w:val="es-ES_tradnl"/>
              </w:rPr>
            </w:pPr>
          </w:p>
          <w:p w:rsidR="00677965" w:rsidRDefault="00677965" w:rsidP="00677965">
            <w:pPr>
              <w:spacing w:before="80" w:line="280" w:lineRule="exact"/>
              <w:ind w:right="640"/>
              <w:rPr>
                <w:rFonts w:ascii="Tahoma" w:hAnsi="Tahoma" w:cs="Tahoma"/>
                <w:b/>
                <w:bCs/>
                <w:iCs/>
                <w:color w:val="243285"/>
                <w:sz w:val="32"/>
                <w:szCs w:val="32"/>
                <w:lang w:val="es-ES_tradnl"/>
              </w:rPr>
            </w:pPr>
          </w:p>
          <w:p w:rsidR="00677965" w:rsidRDefault="00677965" w:rsidP="00677965">
            <w:pPr>
              <w:spacing w:before="80" w:after="180" w:line="360" w:lineRule="exact"/>
              <w:ind w:right="720"/>
              <w:rPr>
                <w:rFonts w:ascii="Tahoma" w:hAnsi="Tahoma" w:cs="Tahoma"/>
                <w:b/>
                <w:bCs/>
                <w:iCs/>
                <w:color w:val="243285"/>
                <w:sz w:val="36"/>
                <w:szCs w:val="36"/>
                <w:lang w:val="es-ES_tradnl"/>
              </w:rPr>
            </w:pPr>
          </w:p>
          <w:p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FE79FE" w:rsidRPr="00E406BD" w:rsidRDefault="00E406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8C1BA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8C1BAC">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A51727">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36EE3"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7D224F">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7D224F">
        <w:tc>
          <w:tcPr>
            <w:tcW w:w="1140" w:type="dxa"/>
            <w:tcBorders>
              <w:top w:val="nil"/>
              <w:bottom w:val="nil"/>
            </w:tcBorders>
            <w:shd w:val="clear" w:color="auto" w:fill="F3F3F3"/>
          </w:tcPr>
          <w:p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31928" w:rsidRPr="00036EE3" w:rsidTr="007D224F">
        <w:tc>
          <w:tcPr>
            <w:tcW w:w="1140" w:type="dxa"/>
            <w:tcBorders>
              <w:top w:val="nil"/>
            </w:tcBorders>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36EE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6A75CC">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10</w:t>
      </w:r>
    </w:p>
    <w:p w:rsidR="00470E28" w:rsidRDefault="00470E28" w:rsidP="00906589">
      <w:pPr>
        <w:jc w:val="center"/>
        <w:rPr>
          <w:sz w:val="22"/>
          <w:lang w:val="en-US"/>
        </w:rPr>
      </w:pPr>
    </w:p>
    <w:p w:rsidR="00586EF8" w:rsidRPr="00470E28" w:rsidRDefault="00586EF8" w:rsidP="006A75C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6A75CC">
        <w:rPr>
          <w:sz w:val="20"/>
          <w:lang w:val="en-US"/>
        </w:rPr>
        <w:t>10</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33592C" w:rsidRDefault="0033592C" w:rsidP="0000009F">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106-2</w:t>
      </w:r>
      <w:r>
        <w:rPr>
          <w:rStyle w:val="FootnoteReference"/>
          <w:lang w:val="en-US"/>
        </w:rPr>
        <w:footnoteReference w:customMarkFollows="1" w:id="1"/>
        <w:t>*</w:t>
      </w:r>
    </w:p>
    <w:p w:rsidR="0033592C" w:rsidRDefault="0033592C" w:rsidP="0033592C">
      <w:pPr>
        <w:pStyle w:val="Rectitle"/>
        <w:rPr>
          <w:lang w:val="en-US"/>
        </w:rPr>
      </w:pPr>
      <w:bookmarkStart w:id="3" w:name="Pre_title"/>
      <w:r>
        <w:rPr>
          <w:lang w:val="en-US"/>
        </w:rPr>
        <w:t xml:space="preserve">The use of diversity for voice-frequency </w:t>
      </w:r>
      <w:r>
        <w:rPr>
          <w:lang w:val="en-US"/>
        </w:rPr>
        <w:br/>
        <w:t>telegraphy on HF radio circuits</w:t>
      </w:r>
      <w:bookmarkEnd w:id="3"/>
    </w:p>
    <w:p w:rsidR="000730A4" w:rsidRDefault="000730A4" w:rsidP="0033592C">
      <w:pPr>
        <w:pStyle w:val="Recdate"/>
      </w:pPr>
      <w:bookmarkStart w:id="4" w:name="Related_Questions"/>
      <w:bookmarkStart w:id="5" w:name="Revision_history"/>
      <w:bookmarkEnd w:id="4"/>
    </w:p>
    <w:p w:rsidR="0033592C" w:rsidRDefault="0033592C" w:rsidP="0033592C">
      <w:pPr>
        <w:pStyle w:val="Recdate"/>
        <w:rPr>
          <w:lang w:val="en-US"/>
        </w:rPr>
      </w:pPr>
      <w:r>
        <w:t>(1953-1970-1999)</w:t>
      </w:r>
      <w:bookmarkEnd w:id="5"/>
    </w:p>
    <w:p w:rsidR="000730A4" w:rsidRDefault="000730A4" w:rsidP="000730A4"/>
    <w:p w:rsidR="0033592C" w:rsidRDefault="000730A4" w:rsidP="000730A4">
      <w:pPr>
        <w:pStyle w:val="HeadingSum"/>
      </w:pPr>
      <w:r>
        <w:t>Scope</w:t>
      </w:r>
    </w:p>
    <w:p w:rsidR="000730A4" w:rsidRPr="000730A4" w:rsidRDefault="000730A4" w:rsidP="000730A4">
      <w:pPr>
        <w:pStyle w:val="Summary"/>
      </w:pPr>
      <w:r w:rsidRPr="000730A4">
        <w:rPr>
          <w:lang w:val="en-GB"/>
        </w:rPr>
        <w:t xml:space="preserve">This Recommendation deals with the use of diversity reception for telegraphy systems at frequencies below 30 MHz. The </w:t>
      </w:r>
      <w:r>
        <w:rPr>
          <w:lang w:val="en-GB"/>
        </w:rPr>
        <w:t>a</w:t>
      </w:r>
      <w:r w:rsidRPr="000730A4">
        <w:rPr>
          <w:lang w:val="en-GB"/>
        </w:rPr>
        <w:t>nnex addresses the use of coding diversity.</w:t>
      </w:r>
    </w:p>
    <w:p w:rsidR="0000009F" w:rsidRDefault="0000009F" w:rsidP="0000009F"/>
    <w:p w:rsidR="0033592C" w:rsidRDefault="0033592C" w:rsidP="0033592C">
      <w:pPr>
        <w:pStyle w:val="Normalaftertitle"/>
      </w:pPr>
      <w:r>
        <w:t>The ITU Radiocommunication Assembly,</w:t>
      </w:r>
    </w:p>
    <w:p w:rsidR="0033592C" w:rsidRDefault="0033592C" w:rsidP="0033592C">
      <w:pPr>
        <w:pStyle w:val="Call"/>
      </w:pPr>
      <w:r>
        <w:t>considering</w:t>
      </w:r>
    </w:p>
    <w:p w:rsidR="0033592C" w:rsidRDefault="0033592C" w:rsidP="0033592C">
      <w:pPr>
        <w:rPr>
          <w:lang w:val="en-US"/>
        </w:rPr>
      </w:pPr>
      <w:r>
        <w:rPr>
          <w:lang w:val="en-US"/>
        </w:rPr>
        <w:t>a)</w:t>
      </w:r>
      <w:r>
        <w:rPr>
          <w:lang w:val="en-US"/>
        </w:rPr>
        <w:tab/>
        <w:t>that, when voice-frequency equipment is used on radio circuits at frequencies lower than about 30 MHz, the quality of these circuits will, in general, be insufficient if no means of diversity reception is provided;</w:t>
      </w:r>
    </w:p>
    <w:p w:rsidR="0033592C" w:rsidRDefault="0033592C" w:rsidP="0033592C">
      <w:pPr>
        <w:rPr>
          <w:lang w:val="en-US"/>
        </w:rPr>
      </w:pPr>
      <w:r>
        <w:rPr>
          <w:lang w:val="en-US"/>
        </w:rPr>
        <w:t>b)</w:t>
      </w:r>
      <w:r>
        <w:rPr>
          <w:lang w:val="en-US"/>
        </w:rPr>
        <w:tab/>
        <w:t>that, in the presence of fading, space, polarization or frequency diversity gives comparable improvements in the quality of reception of telegraph signals transmitted over radio channels;</w:t>
      </w:r>
    </w:p>
    <w:p w:rsidR="0033592C" w:rsidRDefault="0033592C" w:rsidP="0033592C">
      <w:pPr>
        <w:rPr>
          <w:lang w:val="en-US"/>
        </w:rPr>
      </w:pPr>
      <w:r>
        <w:rPr>
          <w:lang w:val="en-US"/>
        </w:rPr>
        <w:t>c)</w:t>
      </w:r>
      <w:r>
        <w:rPr>
          <w:lang w:val="en-US"/>
        </w:rPr>
        <w:tab/>
        <w:t>that, for adequate frequency diversity, it appears necessary that the frequencies which are used in combination to obtain this diversity should differ by at least 400 Hz;</w:t>
      </w:r>
    </w:p>
    <w:p w:rsidR="0033592C" w:rsidRDefault="0033592C" w:rsidP="0033592C">
      <w:pPr>
        <w:rPr>
          <w:lang w:val="en-US"/>
        </w:rPr>
      </w:pPr>
      <w:r>
        <w:rPr>
          <w:lang w:val="en-US"/>
        </w:rPr>
        <w:t>d)</w:t>
      </w:r>
      <w:r>
        <w:rPr>
          <w:lang w:val="en-US"/>
        </w:rPr>
        <w:tab/>
        <w:t>that space or polarization diversity needs only half the bandwidth and less power for each telegraph channel, as compared with frequency diversity, but usually requires more equipment,</w:t>
      </w:r>
    </w:p>
    <w:p w:rsidR="0033592C" w:rsidRDefault="0033592C" w:rsidP="0033592C">
      <w:pPr>
        <w:pStyle w:val="Call"/>
      </w:pPr>
      <w:r>
        <w:t>recommends</w:t>
      </w:r>
    </w:p>
    <w:p w:rsidR="0033592C" w:rsidRDefault="0033592C" w:rsidP="0033592C">
      <w:pPr>
        <w:rPr>
          <w:lang w:val="en-US"/>
        </w:rPr>
      </w:pPr>
      <w:r>
        <w:rPr>
          <w:b/>
          <w:lang w:val="en-US"/>
        </w:rPr>
        <w:t>1</w:t>
      </w:r>
      <w:r>
        <w:rPr>
          <w:lang w:val="en-US"/>
        </w:rPr>
        <w:tab/>
        <w:t>that, when voice-frequency telegraph systems are used on radio circuits at frequencies lower than about 30 MHz, diversity reception should be used on the individual voice-frequency channels;</w:t>
      </w:r>
    </w:p>
    <w:p w:rsidR="0033592C" w:rsidRDefault="0033592C" w:rsidP="0033592C">
      <w:pPr>
        <w:rPr>
          <w:lang w:val="en-US"/>
        </w:rPr>
      </w:pPr>
      <w:r>
        <w:rPr>
          <w:b/>
          <w:lang w:val="en-US"/>
        </w:rPr>
        <w:t>2</w:t>
      </w:r>
      <w:r>
        <w:rPr>
          <w:lang w:val="en-US"/>
        </w:rPr>
        <w:tab/>
        <w:t>that, whenever practicable, space or, possibly, polarization diversity should be used in preference to frequency diversity;</w:t>
      </w:r>
    </w:p>
    <w:p w:rsidR="0033592C" w:rsidRDefault="0033592C" w:rsidP="0033592C">
      <w:pPr>
        <w:rPr>
          <w:lang w:val="en-US"/>
        </w:rPr>
      </w:pPr>
      <w:r>
        <w:rPr>
          <w:b/>
          <w:lang w:val="en-US"/>
        </w:rPr>
        <w:t>3</w:t>
      </w:r>
      <w:r>
        <w:rPr>
          <w:lang w:val="en-US"/>
        </w:rPr>
        <w:tab/>
        <w:t>that, for frequency diversity, the channel frequencies used in combination should have a separation of at least 400 Hz so that adequate diversity effects may be obtained;</w:t>
      </w:r>
    </w:p>
    <w:p w:rsidR="0033592C" w:rsidRDefault="0033592C" w:rsidP="0033592C">
      <w:pPr>
        <w:rPr>
          <w:lang w:val="en-US"/>
        </w:rPr>
      </w:pPr>
      <w:r>
        <w:rPr>
          <w:b/>
          <w:lang w:val="en-US"/>
        </w:rPr>
        <w:t>4</w:t>
      </w:r>
      <w:r>
        <w:rPr>
          <w:lang w:val="en-US"/>
        </w:rPr>
        <w:tab/>
        <w:t>that reference should be made to Annex 1 for additional information concerning diversity techniques.</w:t>
      </w:r>
    </w:p>
    <w:p w:rsidR="0033592C" w:rsidRDefault="0033592C" w:rsidP="000730A4">
      <w:pPr>
        <w:pStyle w:val="AnnexNoTitle"/>
      </w:pPr>
      <w:r>
        <w:lastRenderedPageBreak/>
        <w:t>A</w:t>
      </w:r>
      <w:r w:rsidR="000730A4">
        <w:t>nnex</w:t>
      </w:r>
      <w:r>
        <w:t xml:space="preserve">  1</w:t>
      </w:r>
      <w:r w:rsidR="000730A4">
        <w:br/>
      </w:r>
      <w:r w:rsidR="000730A4">
        <w:br/>
      </w:r>
      <w:r>
        <w:t>Use of coding diversity</w:t>
      </w:r>
    </w:p>
    <w:p w:rsidR="0033592C" w:rsidRDefault="0033592C" w:rsidP="0033592C">
      <w:pPr>
        <w:pStyle w:val="Heading1"/>
        <w:rPr>
          <w:lang w:val="en-US"/>
        </w:rPr>
      </w:pPr>
      <w:r>
        <w:rPr>
          <w:lang w:val="en-US"/>
        </w:rPr>
        <w:t>1</w:t>
      </w:r>
      <w:r>
        <w:rPr>
          <w:lang w:val="en-US"/>
        </w:rPr>
        <w:tab/>
        <w:t>Introduction</w:t>
      </w:r>
    </w:p>
    <w:p w:rsidR="0033592C" w:rsidRDefault="0033592C" w:rsidP="000730A4">
      <w:pPr>
        <w:rPr>
          <w:lang w:val="en-US"/>
        </w:rPr>
      </w:pPr>
      <w:r>
        <w:rPr>
          <w:lang w:val="en-US"/>
        </w:rPr>
        <w:t>There is a need for HF data transmission systems to provide reliable service in an efficient manner with multi-tone frequency shift keying (FSK) modems, as described in this Recommendation, or multi-tone phase shift keying (PSK) modems, as described in Recommendation ITU-R F.763. To compensate for the unfavourable nature of the selective fading phenomenon of the transmission medium, in-band or other frequency diversity techniques are widely utilized.</w:t>
      </w:r>
    </w:p>
    <w:p w:rsidR="0033592C" w:rsidRDefault="0033592C" w:rsidP="0033592C">
      <w:pPr>
        <w:rPr>
          <w:lang w:val="en-US"/>
        </w:rPr>
      </w:pPr>
      <w:r>
        <w:rPr>
          <w:lang w:val="en-US"/>
        </w:rPr>
        <w:t>This Annex describes a coding technique that improves the in-band frequency diversity system.</w:t>
      </w:r>
    </w:p>
    <w:p w:rsidR="0033592C" w:rsidRDefault="0033592C" w:rsidP="0033592C">
      <w:pPr>
        <w:pStyle w:val="Heading1"/>
        <w:rPr>
          <w:lang w:val="en-US"/>
        </w:rPr>
      </w:pPr>
      <w:r>
        <w:rPr>
          <w:lang w:val="en-US"/>
        </w:rPr>
        <w:t>2</w:t>
      </w:r>
      <w:r>
        <w:rPr>
          <w:lang w:val="en-US"/>
        </w:rPr>
        <w:tab/>
        <w:t>System description</w:t>
      </w:r>
    </w:p>
    <w:p w:rsidR="0033592C" w:rsidRDefault="0033592C" w:rsidP="0033592C">
      <w:pPr>
        <w:rPr>
          <w:lang w:val="en-US"/>
        </w:rPr>
      </w:pPr>
      <w:r>
        <w:rPr>
          <w:lang w:val="en-US"/>
        </w:rPr>
        <w:t xml:space="preserve">The transmission scheme is shown in Fig. 1. The output </w:t>
      </w:r>
      <w:r>
        <w:rPr>
          <w:i/>
          <w:lang w:val="en-US"/>
        </w:rPr>
        <w:t>m</w:t>
      </w:r>
      <w:r>
        <w:rPr>
          <w:lang w:val="en-US"/>
        </w:rPr>
        <w:t>(</w:t>
      </w:r>
      <w:r>
        <w:rPr>
          <w:i/>
          <w:lang w:val="en-US"/>
        </w:rPr>
        <w:t>t</w:t>
      </w:r>
      <w:r>
        <w:rPr>
          <w:lang w:val="en-US"/>
        </w:rPr>
        <w:t xml:space="preserve">) from a binary information source is fed into an encoder shift register of length </w:t>
      </w:r>
      <w:r>
        <w:rPr>
          <w:i/>
          <w:lang w:val="en-US"/>
        </w:rPr>
        <w:t>K</w:t>
      </w:r>
      <w:r>
        <w:rPr>
          <w:lang w:val="en-US"/>
        </w:rPr>
        <w:t xml:space="preserve">. After each shift of the register at the source data rate, the encoder generates two code bits, </w:t>
      </w:r>
      <w:r>
        <w:rPr>
          <w:i/>
          <w:lang w:val="en-US"/>
        </w:rPr>
        <w:t>c</w:t>
      </w:r>
      <w:r>
        <w:rPr>
          <w:iCs/>
          <w:position w:val="-4"/>
          <w:sz w:val="20"/>
          <w:lang w:val="en-US"/>
        </w:rPr>
        <w:t>1</w:t>
      </w:r>
      <w:r>
        <w:rPr>
          <w:lang w:val="en-US"/>
        </w:rPr>
        <w:t>(</w:t>
      </w:r>
      <w:r>
        <w:rPr>
          <w:i/>
          <w:lang w:val="en-US"/>
        </w:rPr>
        <w:t>t</w:t>
      </w:r>
      <w:r>
        <w:rPr>
          <w:lang w:val="en-US"/>
        </w:rPr>
        <w:t xml:space="preserve">) and </w:t>
      </w:r>
      <w:r>
        <w:rPr>
          <w:i/>
          <w:lang w:val="en-US"/>
        </w:rPr>
        <w:t>c</w:t>
      </w:r>
      <w:r>
        <w:rPr>
          <w:iCs/>
          <w:position w:val="-4"/>
          <w:sz w:val="20"/>
          <w:lang w:val="en-US"/>
        </w:rPr>
        <w:t>2</w:t>
      </w:r>
      <w:r>
        <w:rPr>
          <w:lang w:val="en-US"/>
        </w:rPr>
        <w:t>(</w:t>
      </w:r>
      <w:r>
        <w:rPr>
          <w:i/>
          <w:lang w:val="en-US"/>
        </w:rPr>
        <w:t>t</w:t>
      </w:r>
      <w:r>
        <w:rPr>
          <w:lang w:val="en-US"/>
        </w:rPr>
        <w:t>), which in turn drive corresponding data modulators. In practice, the centre frequency separation of these data modulators is usually about 1 kHz. The combined output of the modulators is then fed into an HF single-sideband (SSB) transmission system.</w:t>
      </w:r>
    </w:p>
    <w:p w:rsidR="0033592C" w:rsidRDefault="0033592C" w:rsidP="0033592C">
      <w:pPr>
        <w:spacing w:line="270" w:lineRule="exact"/>
        <w:rPr>
          <w:lang w:val="en-US"/>
        </w:rPr>
      </w:pPr>
      <w:r>
        <w:rPr>
          <w:lang w:val="en-US"/>
        </w:rPr>
        <w:t xml:space="preserve">In frequency diversity operation, the system of Fig. 1 assumes its simplest form. The code bits are simply replicas of the information bit, i.e. </w:t>
      </w:r>
      <w:r>
        <w:rPr>
          <w:i/>
          <w:lang w:val="en-US"/>
        </w:rPr>
        <w:t>c</w:t>
      </w:r>
      <w:r>
        <w:rPr>
          <w:iCs/>
          <w:position w:val="-4"/>
          <w:sz w:val="20"/>
          <w:lang w:val="en-US"/>
        </w:rPr>
        <w:t>1</w:t>
      </w:r>
      <w:r>
        <w:rPr>
          <w:lang w:val="en-US"/>
        </w:rPr>
        <w:t>(</w:t>
      </w:r>
      <w:r>
        <w:rPr>
          <w:i/>
          <w:lang w:val="en-US"/>
        </w:rPr>
        <w:t>t</w:t>
      </w:r>
      <w:r>
        <w:rPr>
          <w:lang w:val="en-US"/>
        </w:rPr>
        <w:t>) </w:t>
      </w:r>
      <w:r>
        <w:rPr>
          <w:rFonts w:ascii="Symbol" w:hAnsi="Symbol"/>
        </w:rPr>
        <w:t></w:t>
      </w:r>
      <w:r>
        <w:rPr>
          <w:lang w:val="en-US"/>
        </w:rPr>
        <w:t> </w:t>
      </w:r>
      <w:r>
        <w:rPr>
          <w:i/>
          <w:lang w:val="en-US"/>
        </w:rPr>
        <w:t>c</w:t>
      </w:r>
      <w:r>
        <w:rPr>
          <w:iCs/>
          <w:position w:val="-4"/>
          <w:sz w:val="20"/>
          <w:lang w:val="en-US"/>
        </w:rPr>
        <w:t>2</w:t>
      </w:r>
      <w:r>
        <w:rPr>
          <w:lang w:val="en-US"/>
        </w:rPr>
        <w:t>(</w:t>
      </w:r>
      <w:r>
        <w:rPr>
          <w:i/>
          <w:lang w:val="en-US"/>
        </w:rPr>
        <w:t>t</w:t>
      </w:r>
      <w:r>
        <w:rPr>
          <w:lang w:val="en-US"/>
        </w:rPr>
        <w:t>) </w:t>
      </w:r>
      <w:r>
        <w:rPr>
          <w:rFonts w:ascii="Symbol" w:hAnsi="Symbol"/>
        </w:rPr>
        <w:t></w:t>
      </w:r>
      <w:r>
        <w:rPr>
          <w:lang w:val="en-US"/>
        </w:rPr>
        <w:t> </w:t>
      </w:r>
      <w:r>
        <w:rPr>
          <w:i/>
          <w:lang w:val="en-US"/>
        </w:rPr>
        <w:t>m</w:t>
      </w:r>
      <w:r>
        <w:rPr>
          <w:lang w:val="en-US"/>
        </w:rPr>
        <w:t>(</w:t>
      </w:r>
      <w:r>
        <w:rPr>
          <w:i/>
          <w:lang w:val="en-US"/>
        </w:rPr>
        <w:t>t</w:t>
      </w:r>
      <w:r>
        <w:rPr>
          <w:lang w:val="en-US"/>
        </w:rPr>
        <w:t>). The decision on the value of a given information bit is based on the combined value of the outputs of the two demodulators. From an information theory context, frequency diversity can be described as a rate-half repetition coding technique that uses soft decisions.</w:t>
      </w:r>
    </w:p>
    <w:p w:rsidR="0033592C" w:rsidRDefault="0033592C" w:rsidP="0033592C">
      <w:pPr>
        <w:rPr>
          <w:lang w:val="en-US"/>
        </w:rPr>
      </w:pPr>
      <w:r>
        <w:rPr>
          <w:lang w:val="en-US"/>
        </w:rPr>
        <w:t>In frequency diversity transmission, only two code bits contain information about any given information bit. With non-zero probability, both of these bits can be corrupted simultaneously by fading, interference or noise so that an incorrect decision is made on the information bit. When this occurs, there is no possibility of correcting the error by using the values of the other code bits. It therefore appears desirable to encode the information sequence such that more than a single pair of code bits is related to any given information bit. The system of Fig. 1 does this by mapping the information sequence prior to transmission.</w:t>
      </w:r>
    </w:p>
    <w:p w:rsidR="0033592C" w:rsidRDefault="0033592C" w:rsidP="0033592C">
      <w:pPr>
        <w:pStyle w:val="FigureNo"/>
      </w:pPr>
      <w:r>
        <w:object w:dxaOrig="7215" w:dyaOrig="3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6pt;height:184.2pt" o:ole="">
            <v:imagedata r:id="rId14" o:title=""/>
          </v:shape>
          <o:OLEObject Type="Embed" ProgID="Word.Document.8" ShapeID="_x0000_i1025" DrawAspect="Content" ObjectID="_1333276197" r:id="rId15"/>
        </w:object>
      </w:r>
    </w:p>
    <w:p w:rsidR="0033592C" w:rsidRDefault="0033592C" w:rsidP="0033592C"/>
    <w:p w:rsidR="0033592C" w:rsidRDefault="0033592C" w:rsidP="000730A4">
      <w:pPr>
        <w:rPr>
          <w:lang w:val="en-US"/>
        </w:rPr>
      </w:pPr>
      <w:r>
        <w:rPr>
          <w:lang w:val="en-US"/>
        </w:rPr>
        <w:lastRenderedPageBreak/>
        <w:t xml:space="preserve">Any type of rate-half error correcting code could be used in coded frequency diversity transmission, but convolutional codes are particularly suitable because their encoder structure fits the structure of frequency diversity transmission systems, and the Viterbi algorithm can be used efficiently to carry out soft-decision decoding. The outputs of the demodulators are fed to </w:t>
      </w:r>
      <w:r>
        <w:rPr>
          <w:i/>
          <w:lang w:val="en-US"/>
        </w:rPr>
        <w:t>A</w:t>
      </w:r>
      <w:r>
        <w:rPr>
          <w:lang w:val="en-US"/>
        </w:rPr>
        <w:t>/</w:t>
      </w:r>
      <w:r>
        <w:rPr>
          <w:i/>
          <w:lang w:val="en-US"/>
        </w:rPr>
        <w:t>D</w:t>
      </w:r>
      <w:r>
        <w:rPr>
          <w:lang w:val="en-US"/>
        </w:rPr>
        <w:t xml:space="preserve"> converters in a Viterbi decoder which replaces the combining operation of the frequency diversity system.</w:t>
      </w:r>
    </w:p>
    <w:p w:rsidR="0033592C" w:rsidRDefault="0033592C" w:rsidP="0033592C">
      <w:pPr>
        <w:pStyle w:val="Heading1"/>
        <w:rPr>
          <w:lang w:val="en-US"/>
        </w:rPr>
      </w:pPr>
      <w:r>
        <w:rPr>
          <w:lang w:val="en-US"/>
        </w:rPr>
        <w:t>3</w:t>
      </w:r>
      <w:r>
        <w:rPr>
          <w:lang w:val="en-US"/>
        </w:rPr>
        <w:tab/>
        <w:t>Experimental results</w:t>
      </w:r>
    </w:p>
    <w:p w:rsidR="0033592C" w:rsidRDefault="0033592C" w:rsidP="0033592C">
      <w:pPr>
        <w:rPr>
          <w:lang w:val="en-US"/>
        </w:rPr>
      </w:pPr>
      <w:r>
        <w:rPr>
          <w:lang w:val="en-US"/>
        </w:rPr>
        <w:t xml:space="preserve">An on-air performance comparison of frequency diversity and coding diversity has been made. Convolutional codes of constraint length </w:t>
      </w:r>
      <w:r>
        <w:rPr>
          <w:i/>
          <w:lang w:val="en-US"/>
        </w:rPr>
        <w:t>K</w:t>
      </w:r>
      <w:r>
        <w:rPr>
          <w:lang w:val="en-US"/>
        </w:rPr>
        <w:t xml:space="preserve"> </w:t>
      </w:r>
      <w:r>
        <w:rPr>
          <w:rFonts w:ascii="Symbol" w:hAnsi="Symbol"/>
        </w:rPr>
        <w:t></w:t>
      </w:r>
      <w:r>
        <w:rPr>
          <w:lang w:val="en-US"/>
        </w:rPr>
        <w:t xml:space="preserve"> 5 and 7 were chosen, and the output of the encoder was fed into a multi-tone FSK modulator using centre frequencies 1</w:t>
      </w:r>
      <w:r>
        <w:rPr>
          <w:sz w:val="12"/>
          <w:lang w:val="en-US"/>
        </w:rPr>
        <w:t> </w:t>
      </w:r>
      <w:r>
        <w:rPr>
          <w:lang w:val="en-US"/>
        </w:rPr>
        <w:t>105 and 2</w:t>
      </w:r>
      <w:r>
        <w:rPr>
          <w:sz w:val="12"/>
          <w:lang w:val="en-US"/>
        </w:rPr>
        <w:t> </w:t>
      </w:r>
      <w:r>
        <w:rPr>
          <w:lang w:val="en-US"/>
        </w:rPr>
        <w:t xml:space="preserve">125 Hz with </w:t>
      </w:r>
      <w:r>
        <w:rPr>
          <w:rFonts w:ascii="Symbol" w:hAnsi="Symbol"/>
        </w:rPr>
        <w:t></w:t>
      </w:r>
      <w:r>
        <w:rPr>
          <w:sz w:val="4"/>
          <w:lang w:val="en-US"/>
        </w:rPr>
        <w:t> </w:t>
      </w:r>
      <w:r>
        <w:rPr>
          <w:lang w:val="en-US"/>
        </w:rPr>
        <w:t>42.5 Hz shift. The data rate of each synchronous channel was 75 bit/s. The eye signal from each demodulator was digitized by a sample taken from the centre of the eye period. The HF radio equipment used included a 100 W transmitter, broadband antennas, and a synthesized communications receiver. Maximal ratio combining was used for the diversity reception experiments. A real-time Viterbi decoder, implemented in software with an 8-bit general purpose microprocessor, was used for the coding experiments.</w:t>
      </w:r>
    </w:p>
    <w:p w:rsidR="0033592C" w:rsidRDefault="0033592C" w:rsidP="0033592C">
      <w:pPr>
        <w:rPr>
          <w:lang w:val="en-US"/>
        </w:rPr>
      </w:pPr>
      <w:r>
        <w:rPr>
          <w:lang w:val="en-US"/>
        </w:rPr>
        <w:t>Three series of on-air tests were conducted from Ottawa: a short-range test over a distance of 60 km, which had a weak groundwave component, a medium-range distance of 400 km to Toronto, and a third test from a ship operating off the east coast of Canada. The ship travelled from Quebec City to the High Arctic, allowing tests to be carried out over distances ranging from about 400 to 2</w:t>
      </w:r>
      <w:r>
        <w:rPr>
          <w:sz w:val="12"/>
          <w:lang w:val="en-US"/>
        </w:rPr>
        <w:t> </w:t>
      </w:r>
      <w:r>
        <w:rPr>
          <w:lang w:val="en-US"/>
        </w:rPr>
        <w:t>500 km. During the latter part of this test period, the HF link traversed the auroral belt and rapid fading was often present. The short and medium distance experiments were conducted using various frequencies in the 3-9 MHz range and the ship experiments were conducted in the 5-15 MHz frequency bands.</w:t>
      </w:r>
    </w:p>
    <w:p w:rsidR="0033592C" w:rsidRDefault="0033592C" w:rsidP="0033592C">
      <w:pPr>
        <w:rPr>
          <w:lang w:val="en-US"/>
        </w:rPr>
      </w:pPr>
      <w:r>
        <w:rPr>
          <w:lang w:val="en-US"/>
        </w:rPr>
        <w:t>The error patterns with frequency diversity and coding diversity were analysed. It was observed that both sets of data exhibited the burstiness characteristic of the HF channel, however in the case of diversity, transition between bursts and periods of lower error ratios were gradual. The errors were random much of the time, with frequent isolated single errors. The data from the coding diversity system had dense bursts with relatively abrupt beginning and end, longer error-free gaps, and an absence of single and double errors. The bursts tended to be longer than those in the diversity system. After a long burst the decoder requires some time to recover, thus the bit error ratio (BER) in the decoded sequence actually may be higher than that in the in-band frequency diversity system. This is not the case for the block error ratio (BLER) performance.</w:t>
      </w:r>
    </w:p>
    <w:p w:rsidR="0033592C" w:rsidRDefault="0033592C" w:rsidP="0033592C">
      <w:pPr>
        <w:rPr>
          <w:lang w:val="en-US"/>
        </w:rPr>
      </w:pPr>
      <w:r>
        <w:rPr>
          <w:lang w:val="en-US"/>
        </w:rPr>
        <w:t>This system is intended to be used in an automatic repeat request (ARQ) protocol environment which precludes the use of interleaving or time diversity. These schemes have been shown to result in improvements in the BER, but they require delays corresponding to the transmission of the order of several hundred bits. In block transmissions, blocks are rejected due to single or multiple errors which is the case for frequency diversity combining, but in coding diversity the block rejection is reduced by the reduction of isolated errors. The tests were done for block sizes of 128 and 512 bits, which are typical for a system that is going to utilize coding diversity.</w:t>
      </w:r>
    </w:p>
    <w:p w:rsidR="0033592C" w:rsidRDefault="0033592C" w:rsidP="000730A4">
      <w:pPr>
        <w:rPr>
          <w:lang w:val="en-US"/>
        </w:rPr>
      </w:pPr>
      <w:r>
        <w:rPr>
          <w:lang w:val="en-US"/>
        </w:rPr>
        <w:t>The BLERs of the two techniques were compared and are shown in Table 1. The table includes the percentage increase in probability of receiving an error-free block for the coding technique versus frequency diversity. The improvement obtained varied from good to insignificant, and a larger improvement for the 512-bit block size is observed. In some instances the in-band frequency diversity transmission was virtually error-free itself, and thus there was little room for improvement; in other cases, the channel was so poor that neither system provided a usable error ratio. It was observed that in no instance was the performance of the convolutional coding significantly worse than that of the in-band frequency diversity system.</w:t>
      </w:r>
    </w:p>
    <w:p w:rsidR="0033592C" w:rsidRDefault="0033592C" w:rsidP="0033592C">
      <w:pPr>
        <w:pStyle w:val="TableNo"/>
      </w:pPr>
      <w:r>
        <w:lastRenderedPageBreak/>
        <w:t>TABLE  1</w:t>
      </w:r>
    </w:p>
    <w:p w:rsidR="0033592C" w:rsidRDefault="0033592C" w:rsidP="0033592C">
      <w:pPr>
        <w:pStyle w:val="Tabletitle"/>
      </w:pPr>
      <w:r>
        <w:t>Experimental BLER results</w:t>
      </w:r>
    </w:p>
    <w:tbl>
      <w:tblPr>
        <w:tblW w:w="0" w:type="auto"/>
        <w:jc w:val="center"/>
        <w:tblLayout w:type="fixed"/>
        <w:tblCellMar>
          <w:left w:w="0" w:type="dxa"/>
          <w:right w:w="0" w:type="dxa"/>
        </w:tblCellMar>
        <w:tblLook w:val="0000"/>
      </w:tblPr>
      <w:tblGrid>
        <w:gridCol w:w="1622"/>
        <w:gridCol w:w="1622"/>
        <w:gridCol w:w="1622"/>
        <w:gridCol w:w="1622"/>
        <w:gridCol w:w="1622"/>
        <w:gridCol w:w="1622"/>
      </w:tblGrid>
      <w:tr w:rsidR="0033592C" w:rsidTr="00636600">
        <w:trPr>
          <w:cantSplit/>
          <w:jc w:val="center"/>
        </w:trPr>
        <w:tc>
          <w:tcPr>
            <w:tcW w:w="9732" w:type="dxa"/>
            <w:gridSpan w:val="6"/>
            <w:tcBorders>
              <w:bottom w:val="single" w:sz="6" w:space="0" w:color="auto"/>
            </w:tcBorders>
          </w:tcPr>
          <w:p w:rsidR="0033592C" w:rsidRDefault="0033592C" w:rsidP="00636600">
            <w:pPr>
              <w:pStyle w:val="TableText0"/>
              <w:framePr w:hSpace="181" w:wrap="notBeside" w:vAnchor="text" w:hAnchor="text" w:xAlign="center" w:y="1"/>
              <w:jc w:val="center"/>
            </w:pPr>
            <w:r>
              <w:rPr>
                <w:i/>
              </w:rPr>
              <w:t>a)</w:t>
            </w:r>
            <w:r>
              <w:t xml:space="preserve"> Block size </w:t>
            </w:r>
            <w:r>
              <w:rPr>
                <w:rFonts w:ascii="Symbol" w:hAnsi="Symbol"/>
              </w:rPr>
              <w:t></w:t>
            </w:r>
            <w:r>
              <w:t xml:space="preserve"> 128 (bits)</w:t>
            </w:r>
          </w:p>
        </w:tc>
      </w:tr>
      <w:tr w:rsidR="0033592C" w:rsidTr="00636600">
        <w:trPr>
          <w:cantSplit/>
          <w:jc w:val="center"/>
        </w:trPr>
        <w:tc>
          <w:tcPr>
            <w:tcW w:w="1622" w:type="dxa"/>
            <w:tcBorders>
              <w:top w:val="single" w:sz="6" w:space="0" w:color="auto"/>
              <w:left w:val="single" w:sz="6" w:space="0" w:color="auto"/>
              <w:bottom w:val="single" w:sz="6" w:space="0" w:color="auto"/>
              <w:right w:val="single" w:sz="6" w:space="0" w:color="auto"/>
            </w:tcBorders>
          </w:tcPr>
          <w:p w:rsidR="0033592C" w:rsidRDefault="0033592C" w:rsidP="00636600">
            <w:pPr>
              <w:pStyle w:val="TableText0"/>
              <w:framePr w:hSpace="181" w:wrap="notBeside" w:vAnchor="text" w:hAnchor="text" w:xAlign="center" w:y="1"/>
              <w:spacing w:before="300"/>
              <w:jc w:val="center"/>
            </w:pPr>
            <w:r>
              <w:t>Test number</w:t>
            </w:r>
          </w:p>
        </w:tc>
        <w:tc>
          <w:tcPr>
            <w:tcW w:w="1622" w:type="dxa"/>
            <w:tcBorders>
              <w:top w:val="single" w:sz="6" w:space="0" w:color="auto"/>
              <w:left w:val="single" w:sz="6" w:space="0" w:color="auto"/>
              <w:bottom w:val="single" w:sz="6" w:space="0" w:color="auto"/>
              <w:right w:val="single" w:sz="6" w:space="0" w:color="auto"/>
            </w:tcBorders>
          </w:tcPr>
          <w:p w:rsidR="0033592C" w:rsidRDefault="0033592C" w:rsidP="00636600">
            <w:pPr>
              <w:pStyle w:val="TableText0"/>
              <w:framePr w:hSpace="181" w:wrap="notBeside" w:vAnchor="text" w:hAnchor="text" w:xAlign="center" w:y="1"/>
              <w:spacing w:before="300"/>
              <w:jc w:val="center"/>
            </w:pPr>
            <w:r>
              <w:t>Constraint length</w:t>
            </w:r>
          </w:p>
        </w:tc>
        <w:tc>
          <w:tcPr>
            <w:tcW w:w="1622" w:type="dxa"/>
            <w:tcBorders>
              <w:top w:val="single" w:sz="6" w:space="0" w:color="auto"/>
              <w:left w:val="single" w:sz="6" w:space="0" w:color="auto"/>
              <w:bottom w:val="single" w:sz="6" w:space="0" w:color="auto"/>
              <w:right w:val="single" w:sz="6" w:space="0" w:color="auto"/>
            </w:tcBorders>
          </w:tcPr>
          <w:p w:rsidR="0033592C" w:rsidRDefault="0033592C" w:rsidP="00636600">
            <w:pPr>
              <w:pStyle w:val="TableText0"/>
              <w:framePr w:hSpace="181" w:wrap="notBeside" w:vAnchor="text" w:hAnchor="text" w:xAlign="center" w:y="1"/>
              <w:spacing w:before="300"/>
              <w:jc w:val="center"/>
            </w:pPr>
            <w:r>
              <w:t>Diversity BLER</w:t>
            </w:r>
          </w:p>
        </w:tc>
        <w:tc>
          <w:tcPr>
            <w:tcW w:w="1622" w:type="dxa"/>
            <w:tcBorders>
              <w:top w:val="single" w:sz="6" w:space="0" w:color="auto"/>
              <w:left w:val="single" w:sz="6" w:space="0" w:color="auto"/>
              <w:bottom w:val="single" w:sz="6" w:space="0" w:color="auto"/>
              <w:right w:val="single" w:sz="6" w:space="0" w:color="auto"/>
            </w:tcBorders>
          </w:tcPr>
          <w:p w:rsidR="0033592C" w:rsidRDefault="0033592C" w:rsidP="00636600">
            <w:pPr>
              <w:pStyle w:val="TableText0"/>
              <w:framePr w:hSpace="181" w:wrap="notBeside" w:vAnchor="text" w:hAnchor="text" w:xAlign="center" w:y="1"/>
              <w:spacing w:before="300"/>
              <w:jc w:val="center"/>
            </w:pPr>
            <w:r>
              <w:t>Coding BLER</w:t>
            </w:r>
          </w:p>
        </w:tc>
        <w:tc>
          <w:tcPr>
            <w:tcW w:w="1622" w:type="dxa"/>
            <w:tcBorders>
              <w:top w:val="single" w:sz="6" w:space="0" w:color="auto"/>
              <w:left w:val="single" w:sz="6" w:space="0" w:color="auto"/>
              <w:bottom w:val="single" w:sz="6" w:space="0" w:color="auto"/>
              <w:right w:val="single" w:sz="6" w:space="0" w:color="auto"/>
            </w:tcBorders>
          </w:tcPr>
          <w:p w:rsidR="0033592C" w:rsidRDefault="0033592C" w:rsidP="00636600">
            <w:pPr>
              <w:pStyle w:val="TableText0"/>
              <w:framePr w:hSpace="181" w:wrap="notBeside" w:vAnchor="text" w:hAnchor="text" w:xAlign="center" w:y="1"/>
              <w:spacing w:before="300"/>
              <w:jc w:val="center"/>
            </w:pPr>
            <w:r>
              <w:t>Total bits</w:t>
            </w:r>
          </w:p>
        </w:tc>
        <w:tc>
          <w:tcPr>
            <w:tcW w:w="1622" w:type="dxa"/>
            <w:tcBorders>
              <w:top w:val="single" w:sz="6" w:space="0" w:color="auto"/>
              <w:left w:val="single" w:sz="6" w:space="0" w:color="auto"/>
              <w:bottom w:val="single" w:sz="6" w:space="0" w:color="auto"/>
              <w:right w:val="single" w:sz="6" w:space="0" w:color="auto"/>
            </w:tcBorders>
          </w:tcPr>
          <w:p w:rsidR="0033592C" w:rsidRDefault="0033592C" w:rsidP="00636600">
            <w:pPr>
              <w:pStyle w:val="TableText0"/>
              <w:framePr w:hSpace="181" w:wrap="notBeside" w:vAnchor="text" w:hAnchor="text" w:xAlign="center" w:y="1"/>
              <w:jc w:val="center"/>
            </w:pPr>
            <w:r>
              <w:t xml:space="preserve">Throughput improvement </w:t>
            </w:r>
            <w:r>
              <w:br/>
              <w:t>(%)</w:t>
            </w:r>
          </w:p>
        </w:tc>
      </w:tr>
      <w:tr w:rsidR="0033592C" w:rsidTr="00636600">
        <w:trPr>
          <w:cantSplit/>
          <w:jc w:val="center"/>
        </w:trPr>
        <w:tc>
          <w:tcPr>
            <w:tcW w:w="1622" w:type="dxa"/>
            <w:tcBorders>
              <w:top w:val="single" w:sz="6" w:space="0" w:color="auto"/>
              <w:left w:val="single" w:sz="6" w:space="0" w:color="auto"/>
              <w:bottom w:val="single" w:sz="6" w:space="0" w:color="auto"/>
              <w:right w:val="single" w:sz="6" w:space="0" w:color="auto"/>
            </w:tcBorders>
          </w:tcPr>
          <w:p w:rsidR="0033592C" w:rsidRDefault="0033592C" w:rsidP="00636600">
            <w:pPr>
              <w:pStyle w:val="TableText0"/>
              <w:framePr w:hSpace="181" w:wrap="notBeside" w:vAnchor="text" w:hAnchor="text" w:xAlign="center" w:y="1"/>
              <w:spacing w:line="199" w:lineRule="exact"/>
              <w:jc w:val="center"/>
            </w:pPr>
            <w:r>
              <w:t>1</w:t>
            </w:r>
            <w:r>
              <w:br/>
              <w:t>2</w:t>
            </w:r>
            <w:r>
              <w:br/>
              <w:t>3</w:t>
            </w:r>
            <w:r>
              <w:br/>
              <w:t>4</w:t>
            </w:r>
            <w:r>
              <w:br/>
              <w:t>5</w:t>
            </w:r>
          </w:p>
        </w:tc>
        <w:tc>
          <w:tcPr>
            <w:tcW w:w="1622" w:type="dxa"/>
            <w:tcBorders>
              <w:top w:val="single" w:sz="6" w:space="0" w:color="auto"/>
              <w:left w:val="single" w:sz="6" w:space="0" w:color="auto"/>
              <w:bottom w:val="single" w:sz="6" w:space="0" w:color="auto"/>
              <w:right w:val="single" w:sz="6" w:space="0" w:color="auto"/>
            </w:tcBorders>
          </w:tcPr>
          <w:p w:rsidR="0033592C" w:rsidRDefault="0033592C" w:rsidP="00636600">
            <w:pPr>
              <w:pStyle w:val="TableText0"/>
              <w:framePr w:hSpace="181" w:wrap="notBeside" w:vAnchor="text" w:hAnchor="text" w:xAlign="center" w:y="1"/>
              <w:spacing w:line="199" w:lineRule="exact"/>
              <w:jc w:val="center"/>
            </w:pPr>
            <w:r>
              <w:rPr>
                <w:i/>
              </w:rPr>
              <w:t>K</w:t>
            </w:r>
            <w:r>
              <w:t xml:space="preserve"> </w:t>
            </w:r>
            <w:r>
              <w:rPr>
                <w:rFonts w:ascii="Symbol" w:hAnsi="Symbol"/>
              </w:rPr>
              <w:t></w:t>
            </w:r>
            <w:r>
              <w:t xml:space="preserve"> 7</w:t>
            </w:r>
            <w:r>
              <w:br/>
            </w:r>
            <w:r>
              <w:rPr>
                <w:i/>
              </w:rPr>
              <w:t>K</w:t>
            </w:r>
            <w:r>
              <w:t xml:space="preserve"> </w:t>
            </w:r>
            <w:r>
              <w:rPr>
                <w:rFonts w:ascii="Symbol" w:hAnsi="Symbol"/>
              </w:rPr>
              <w:t></w:t>
            </w:r>
            <w:r>
              <w:t xml:space="preserve"> 7</w:t>
            </w:r>
            <w:r>
              <w:br/>
            </w:r>
            <w:r>
              <w:rPr>
                <w:i/>
              </w:rPr>
              <w:t>K</w:t>
            </w:r>
            <w:r>
              <w:t xml:space="preserve"> </w:t>
            </w:r>
            <w:r>
              <w:rPr>
                <w:rFonts w:ascii="Symbol" w:hAnsi="Symbol"/>
              </w:rPr>
              <w:t></w:t>
            </w:r>
            <w:r>
              <w:t xml:space="preserve"> 5</w:t>
            </w:r>
            <w:r>
              <w:br/>
            </w:r>
            <w:r>
              <w:rPr>
                <w:i/>
              </w:rPr>
              <w:t>K</w:t>
            </w:r>
            <w:r>
              <w:t xml:space="preserve"> </w:t>
            </w:r>
            <w:r>
              <w:rPr>
                <w:rFonts w:ascii="Symbol" w:hAnsi="Symbol"/>
              </w:rPr>
              <w:t></w:t>
            </w:r>
            <w:r>
              <w:t xml:space="preserve"> 7</w:t>
            </w:r>
            <w:r>
              <w:br/>
            </w:r>
            <w:r>
              <w:rPr>
                <w:i/>
              </w:rPr>
              <w:t>K</w:t>
            </w:r>
            <w:r>
              <w:t xml:space="preserve"> </w:t>
            </w:r>
            <w:r>
              <w:rPr>
                <w:rFonts w:ascii="Symbol" w:hAnsi="Symbol"/>
              </w:rPr>
              <w:t></w:t>
            </w:r>
            <w:r>
              <w:t xml:space="preserve"> 7</w:t>
            </w:r>
          </w:p>
        </w:tc>
        <w:tc>
          <w:tcPr>
            <w:tcW w:w="1622" w:type="dxa"/>
            <w:tcBorders>
              <w:top w:val="single" w:sz="6" w:space="0" w:color="auto"/>
              <w:left w:val="single" w:sz="6" w:space="0" w:color="auto"/>
              <w:bottom w:val="single" w:sz="6" w:space="0" w:color="auto"/>
              <w:right w:val="single" w:sz="6" w:space="0" w:color="auto"/>
            </w:tcBorders>
          </w:tcPr>
          <w:p w:rsidR="0033592C" w:rsidRDefault="0033592C" w:rsidP="00636600">
            <w:pPr>
              <w:pStyle w:val="TableText0"/>
              <w:framePr w:hSpace="181" w:wrap="notBeside" w:vAnchor="text" w:hAnchor="text" w:xAlign="center" w:y="1"/>
              <w:spacing w:line="199" w:lineRule="exact"/>
              <w:jc w:val="center"/>
            </w:pPr>
            <w:r>
              <w:t>0.293</w:t>
            </w:r>
            <w:r>
              <w:br/>
              <w:t>0.217</w:t>
            </w:r>
            <w:r>
              <w:br/>
              <w:t>0.321</w:t>
            </w:r>
            <w:r>
              <w:br/>
              <w:t>0.084</w:t>
            </w:r>
            <w:r>
              <w:br/>
              <w:t>0.083</w:t>
            </w:r>
          </w:p>
        </w:tc>
        <w:tc>
          <w:tcPr>
            <w:tcW w:w="1622" w:type="dxa"/>
            <w:tcBorders>
              <w:top w:val="single" w:sz="6" w:space="0" w:color="auto"/>
              <w:left w:val="single" w:sz="6" w:space="0" w:color="auto"/>
              <w:bottom w:val="single" w:sz="6" w:space="0" w:color="auto"/>
              <w:right w:val="single" w:sz="6" w:space="0" w:color="auto"/>
            </w:tcBorders>
          </w:tcPr>
          <w:p w:rsidR="0033592C" w:rsidRDefault="0033592C" w:rsidP="00636600">
            <w:pPr>
              <w:pStyle w:val="TableText0"/>
              <w:framePr w:hSpace="181" w:wrap="notBeside" w:vAnchor="text" w:hAnchor="text" w:xAlign="center" w:y="1"/>
              <w:spacing w:line="199" w:lineRule="exact"/>
              <w:jc w:val="center"/>
            </w:pPr>
            <w:r>
              <w:t>0.201</w:t>
            </w:r>
            <w:r>
              <w:br/>
              <w:t>0.127</w:t>
            </w:r>
            <w:r>
              <w:br/>
              <w:t>0.227</w:t>
            </w:r>
            <w:r>
              <w:br/>
              <w:t>0.015</w:t>
            </w:r>
            <w:r>
              <w:br/>
              <w:t>0.019</w:t>
            </w:r>
          </w:p>
        </w:tc>
        <w:tc>
          <w:tcPr>
            <w:tcW w:w="1622" w:type="dxa"/>
            <w:tcBorders>
              <w:top w:val="single" w:sz="6" w:space="0" w:color="auto"/>
              <w:left w:val="single" w:sz="6" w:space="0" w:color="auto"/>
              <w:bottom w:val="single" w:sz="6" w:space="0" w:color="auto"/>
              <w:right w:val="single" w:sz="6" w:space="0" w:color="auto"/>
            </w:tcBorders>
          </w:tcPr>
          <w:p w:rsidR="0033592C" w:rsidRDefault="0033592C" w:rsidP="00636600">
            <w:pPr>
              <w:pStyle w:val="TableText0"/>
              <w:framePr w:hSpace="181" w:wrap="notBeside" w:vAnchor="text" w:hAnchor="page" w:xAlign="center" w:y="1"/>
              <w:tabs>
                <w:tab w:val="clear" w:pos="794"/>
                <w:tab w:val="clear" w:pos="1191"/>
                <w:tab w:val="right" w:pos="1134"/>
              </w:tabs>
              <w:spacing w:line="199" w:lineRule="exact"/>
              <w:jc w:val="left"/>
            </w:pPr>
            <w:r>
              <w:tab/>
              <w:t>1 430 000</w:t>
            </w:r>
            <w:r>
              <w:br/>
            </w:r>
            <w:r>
              <w:tab/>
              <w:t>506 000</w:t>
            </w:r>
            <w:r>
              <w:br/>
            </w:r>
            <w:r>
              <w:tab/>
              <w:t>352 000</w:t>
            </w:r>
            <w:r>
              <w:br/>
            </w:r>
            <w:r>
              <w:tab/>
              <w:t>217 000</w:t>
            </w:r>
            <w:r>
              <w:br/>
            </w:r>
            <w:r>
              <w:tab/>
              <w:t>217 000</w:t>
            </w:r>
          </w:p>
        </w:tc>
        <w:tc>
          <w:tcPr>
            <w:tcW w:w="1622" w:type="dxa"/>
            <w:tcBorders>
              <w:top w:val="single" w:sz="6" w:space="0" w:color="auto"/>
              <w:left w:val="single" w:sz="6" w:space="0" w:color="auto"/>
              <w:bottom w:val="single" w:sz="6" w:space="0" w:color="auto"/>
              <w:right w:val="single" w:sz="6" w:space="0" w:color="auto"/>
            </w:tcBorders>
          </w:tcPr>
          <w:p w:rsidR="0033592C" w:rsidRDefault="0033592C" w:rsidP="00636600">
            <w:pPr>
              <w:pStyle w:val="TableText0"/>
              <w:framePr w:hSpace="181" w:wrap="notBeside" w:vAnchor="text" w:hAnchor="page" w:xAlign="center" w:y="1"/>
              <w:tabs>
                <w:tab w:val="clear" w:pos="794"/>
                <w:tab w:val="clear" w:pos="1191"/>
                <w:tab w:val="right" w:pos="993"/>
              </w:tabs>
              <w:spacing w:line="199" w:lineRule="exact"/>
              <w:jc w:val="left"/>
            </w:pPr>
            <w:r>
              <w:tab/>
              <w:t>13.0</w:t>
            </w:r>
            <w:r>
              <w:br/>
            </w:r>
            <w:r>
              <w:tab/>
              <w:t>11.5</w:t>
            </w:r>
            <w:r>
              <w:br/>
            </w:r>
            <w:r>
              <w:tab/>
              <w:t>13.8</w:t>
            </w:r>
            <w:r>
              <w:br/>
            </w:r>
            <w:r>
              <w:tab/>
              <w:t>7.5</w:t>
            </w:r>
            <w:r>
              <w:br/>
            </w:r>
            <w:r>
              <w:tab/>
              <w:t>6.5</w:t>
            </w:r>
          </w:p>
        </w:tc>
      </w:tr>
      <w:tr w:rsidR="0033592C" w:rsidTr="00636600">
        <w:trPr>
          <w:cantSplit/>
          <w:jc w:val="center"/>
        </w:trPr>
        <w:tc>
          <w:tcPr>
            <w:tcW w:w="9732" w:type="dxa"/>
            <w:gridSpan w:val="6"/>
            <w:tcBorders>
              <w:bottom w:val="single" w:sz="6" w:space="0" w:color="auto"/>
            </w:tcBorders>
          </w:tcPr>
          <w:p w:rsidR="0033592C" w:rsidRDefault="0033592C" w:rsidP="00636600">
            <w:pPr>
              <w:pStyle w:val="TableText0"/>
              <w:framePr w:hSpace="181" w:wrap="notBeside" w:vAnchor="text" w:hAnchor="text" w:xAlign="center" w:y="1"/>
              <w:jc w:val="center"/>
            </w:pPr>
            <w:r>
              <w:rPr>
                <w:i/>
              </w:rPr>
              <w:t>b)</w:t>
            </w:r>
            <w:r>
              <w:t xml:space="preserve"> Block size </w:t>
            </w:r>
            <w:r>
              <w:rPr>
                <w:rFonts w:ascii="Symbol" w:hAnsi="Symbol"/>
              </w:rPr>
              <w:t></w:t>
            </w:r>
            <w:r>
              <w:t xml:space="preserve"> 512 (bits)</w:t>
            </w:r>
          </w:p>
        </w:tc>
      </w:tr>
      <w:tr w:rsidR="0033592C" w:rsidTr="00636600">
        <w:trPr>
          <w:cantSplit/>
          <w:jc w:val="center"/>
        </w:trPr>
        <w:tc>
          <w:tcPr>
            <w:tcW w:w="1622" w:type="dxa"/>
            <w:tcBorders>
              <w:top w:val="single" w:sz="6" w:space="0" w:color="auto"/>
              <w:left w:val="single" w:sz="6" w:space="0" w:color="auto"/>
              <w:bottom w:val="single" w:sz="6" w:space="0" w:color="auto"/>
              <w:right w:val="single" w:sz="6" w:space="0" w:color="auto"/>
            </w:tcBorders>
          </w:tcPr>
          <w:p w:rsidR="0033592C" w:rsidRDefault="0033592C" w:rsidP="00636600">
            <w:pPr>
              <w:pStyle w:val="TableText0"/>
              <w:framePr w:hSpace="181" w:wrap="notBeside" w:vAnchor="text" w:hAnchor="text" w:xAlign="center" w:y="1"/>
              <w:spacing w:before="300"/>
              <w:jc w:val="center"/>
            </w:pPr>
            <w:r>
              <w:t>Test number</w:t>
            </w:r>
          </w:p>
        </w:tc>
        <w:tc>
          <w:tcPr>
            <w:tcW w:w="1622" w:type="dxa"/>
            <w:tcBorders>
              <w:top w:val="single" w:sz="6" w:space="0" w:color="auto"/>
              <w:left w:val="single" w:sz="6" w:space="0" w:color="auto"/>
              <w:bottom w:val="single" w:sz="6" w:space="0" w:color="auto"/>
              <w:right w:val="single" w:sz="6" w:space="0" w:color="auto"/>
            </w:tcBorders>
          </w:tcPr>
          <w:p w:rsidR="0033592C" w:rsidRDefault="0033592C" w:rsidP="00636600">
            <w:pPr>
              <w:pStyle w:val="TableText0"/>
              <w:framePr w:hSpace="181" w:wrap="notBeside" w:vAnchor="text" w:hAnchor="text" w:xAlign="center" w:y="1"/>
              <w:spacing w:before="300"/>
              <w:jc w:val="center"/>
            </w:pPr>
            <w:r>
              <w:t>Constraint length</w:t>
            </w:r>
          </w:p>
        </w:tc>
        <w:tc>
          <w:tcPr>
            <w:tcW w:w="1622" w:type="dxa"/>
            <w:tcBorders>
              <w:top w:val="single" w:sz="6" w:space="0" w:color="auto"/>
              <w:left w:val="single" w:sz="6" w:space="0" w:color="auto"/>
              <w:bottom w:val="single" w:sz="6" w:space="0" w:color="auto"/>
              <w:right w:val="single" w:sz="6" w:space="0" w:color="auto"/>
            </w:tcBorders>
          </w:tcPr>
          <w:p w:rsidR="0033592C" w:rsidRDefault="0033592C" w:rsidP="00636600">
            <w:pPr>
              <w:pStyle w:val="TableText0"/>
              <w:framePr w:hSpace="181" w:wrap="notBeside" w:vAnchor="text" w:hAnchor="text" w:xAlign="center" w:y="1"/>
              <w:spacing w:before="300"/>
              <w:jc w:val="center"/>
            </w:pPr>
            <w:r>
              <w:t>Diversity BLER</w:t>
            </w:r>
          </w:p>
        </w:tc>
        <w:tc>
          <w:tcPr>
            <w:tcW w:w="1622" w:type="dxa"/>
            <w:tcBorders>
              <w:top w:val="single" w:sz="6" w:space="0" w:color="auto"/>
              <w:left w:val="single" w:sz="6" w:space="0" w:color="auto"/>
              <w:bottom w:val="single" w:sz="6" w:space="0" w:color="auto"/>
              <w:right w:val="single" w:sz="6" w:space="0" w:color="auto"/>
            </w:tcBorders>
          </w:tcPr>
          <w:p w:rsidR="0033592C" w:rsidRDefault="0033592C" w:rsidP="00636600">
            <w:pPr>
              <w:pStyle w:val="TableText0"/>
              <w:framePr w:hSpace="181" w:wrap="notBeside" w:vAnchor="text" w:hAnchor="text" w:xAlign="center" w:y="1"/>
              <w:spacing w:before="300"/>
              <w:jc w:val="center"/>
            </w:pPr>
            <w:r>
              <w:t>Coding BLER</w:t>
            </w:r>
          </w:p>
        </w:tc>
        <w:tc>
          <w:tcPr>
            <w:tcW w:w="1622" w:type="dxa"/>
            <w:tcBorders>
              <w:top w:val="single" w:sz="6" w:space="0" w:color="auto"/>
              <w:left w:val="single" w:sz="6" w:space="0" w:color="auto"/>
              <w:bottom w:val="single" w:sz="6" w:space="0" w:color="auto"/>
              <w:right w:val="single" w:sz="6" w:space="0" w:color="auto"/>
            </w:tcBorders>
          </w:tcPr>
          <w:p w:rsidR="0033592C" w:rsidRDefault="0033592C" w:rsidP="00636600">
            <w:pPr>
              <w:pStyle w:val="TableText0"/>
              <w:framePr w:hSpace="181" w:wrap="notBeside" w:vAnchor="text" w:hAnchor="text" w:xAlign="center" w:y="1"/>
              <w:spacing w:before="300"/>
              <w:jc w:val="center"/>
            </w:pPr>
            <w:r>
              <w:t>Total bits</w:t>
            </w:r>
          </w:p>
        </w:tc>
        <w:tc>
          <w:tcPr>
            <w:tcW w:w="1622" w:type="dxa"/>
            <w:tcBorders>
              <w:top w:val="single" w:sz="6" w:space="0" w:color="auto"/>
              <w:left w:val="single" w:sz="6" w:space="0" w:color="auto"/>
              <w:bottom w:val="single" w:sz="6" w:space="0" w:color="auto"/>
              <w:right w:val="single" w:sz="6" w:space="0" w:color="auto"/>
            </w:tcBorders>
          </w:tcPr>
          <w:p w:rsidR="0033592C" w:rsidRDefault="0033592C" w:rsidP="00636600">
            <w:pPr>
              <w:pStyle w:val="TableText0"/>
              <w:framePr w:hSpace="181" w:wrap="notBeside" w:vAnchor="text" w:hAnchor="text" w:xAlign="center" w:y="1"/>
              <w:jc w:val="center"/>
            </w:pPr>
            <w:r>
              <w:t xml:space="preserve">Throughput improvement </w:t>
            </w:r>
            <w:r>
              <w:br/>
              <w:t>(%)</w:t>
            </w:r>
          </w:p>
        </w:tc>
      </w:tr>
      <w:tr w:rsidR="0033592C" w:rsidTr="00636600">
        <w:trPr>
          <w:cantSplit/>
          <w:jc w:val="center"/>
        </w:trPr>
        <w:tc>
          <w:tcPr>
            <w:tcW w:w="1622" w:type="dxa"/>
            <w:tcBorders>
              <w:top w:val="single" w:sz="6" w:space="0" w:color="auto"/>
              <w:left w:val="single" w:sz="6" w:space="0" w:color="auto"/>
              <w:bottom w:val="single" w:sz="6" w:space="0" w:color="auto"/>
              <w:right w:val="single" w:sz="6" w:space="0" w:color="auto"/>
            </w:tcBorders>
          </w:tcPr>
          <w:p w:rsidR="0033592C" w:rsidRDefault="0033592C" w:rsidP="00636600">
            <w:pPr>
              <w:pStyle w:val="TableText0"/>
              <w:framePr w:hSpace="181" w:wrap="notBeside" w:vAnchor="text" w:hAnchor="text" w:xAlign="center" w:y="1"/>
              <w:spacing w:line="199" w:lineRule="exact"/>
              <w:jc w:val="center"/>
            </w:pPr>
            <w:r>
              <w:t>6</w:t>
            </w:r>
            <w:r>
              <w:br/>
              <w:t>7</w:t>
            </w:r>
            <w:r>
              <w:br/>
              <w:t>8</w:t>
            </w:r>
          </w:p>
        </w:tc>
        <w:tc>
          <w:tcPr>
            <w:tcW w:w="1622" w:type="dxa"/>
            <w:tcBorders>
              <w:top w:val="single" w:sz="6" w:space="0" w:color="auto"/>
              <w:left w:val="single" w:sz="6" w:space="0" w:color="auto"/>
              <w:bottom w:val="single" w:sz="6" w:space="0" w:color="auto"/>
              <w:right w:val="single" w:sz="6" w:space="0" w:color="auto"/>
            </w:tcBorders>
          </w:tcPr>
          <w:p w:rsidR="0033592C" w:rsidRDefault="0033592C" w:rsidP="00636600">
            <w:pPr>
              <w:pStyle w:val="TableText0"/>
              <w:framePr w:hSpace="181" w:wrap="notBeside" w:vAnchor="text" w:hAnchor="text" w:xAlign="center" w:y="1"/>
              <w:spacing w:line="199" w:lineRule="exact"/>
              <w:jc w:val="center"/>
            </w:pPr>
            <w:r>
              <w:rPr>
                <w:i/>
              </w:rPr>
              <w:t>K</w:t>
            </w:r>
            <w:r>
              <w:t xml:space="preserve"> </w:t>
            </w:r>
            <w:r>
              <w:rPr>
                <w:rFonts w:ascii="Symbol" w:hAnsi="Symbol"/>
              </w:rPr>
              <w:t></w:t>
            </w:r>
            <w:r>
              <w:t xml:space="preserve"> 7</w:t>
            </w:r>
            <w:r>
              <w:br/>
            </w:r>
            <w:r>
              <w:rPr>
                <w:i/>
              </w:rPr>
              <w:t>K</w:t>
            </w:r>
            <w:r>
              <w:t xml:space="preserve"> </w:t>
            </w:r>
            <w:r>
              <w:rPr>
                <w:rFonts w:ascii="Symbol" w:hAnsi="Symbol"/>
              </w:rPr>
              <w:t></w:t>
            </w:r>
            <w:r>
              <w:t xml:space="preserve"> 7</w:t>
            </w:r>
            <w:r>
              <w:br/>
            </w:r>
            <w:r>
              <w:rPr>
                <w:i/>
              </w:rPr>
              <w:t>K</w:t>
            </w:r>
            <w:r>
              <w:t xml:space="preserve"> </w:t>
            </w:r>
            <w:r>
              <w:rPr>
                <w:rFonts w:ascii="Symbol" w:hAnsi="Symbol"/>
              </w:rPr>
              <w:t></w:t>
            </w:r>
            <w:r>
              <w:t xml:space="preserve"> 5</w:t>
            </w:r>
          </w:p>
        </w:tc>
        <w:tc>
          <w:tcPr>
            <w:tcW w:w="1622" w:type="dxa"/>
            <w:tcBorders>
              <w:top w:val="single" w:sz="6" w:space="0" w:color="auto"/>
              <w:left w:val="single" w:sz="6" w:space="0" w:color="auto"/>
              <w:bottom w:val="single" w:sz="6" w:space="0" w:color="auto"/>
              <w:right w:val="single" w:sz="6" w:space="0" w:color="auto"/>
            </w:tcBorders>
          </w:tcPr>
          <w:p w:rsidR="0033592C" w:rsidRDefault="0033592C" w:rsidP="00636600">
            <w:pPr>
              <w:pStyle w:val="TableText0"/>
              <w:framePr w:hSpace="181" w:wrap="notBeside" w:vAnchor="text" w:hAnchor="text" w:xAlign="center" w:y="1"/>
              <w:spacing w:line="199" w:lineRule="exact"/>
              <w:jc w:val="center"/>
            </w:pPr>
            <w:r>
              <w:t>0.548</w:t>
            </w:r>
            <w:r>
              <w:br/>
              <w:t>0.378</w:t>
            </w:r>
            <w:r>
              <w:br/>
              <w:t>0.570</w:t>
            </w:r>
          </w:p>
        </w:tc>
        <w:tc>
          <w:tcPr>
            <w:tcW w:w="1622" w:type="dxa"/>
            <w:tcBorders>
              <w:top w:val="single" w:sz="6" w:space="0" w:color="auto"/>
              <w:left w:val="single" w:sz="6" w:space="0" w:color="auto"/>
              <w:bottom w:val="single" w:sz="6" w:space="0" w:color="auto"/>
              <w:right w:val="single" w:sz="6" w:space="0" w:color="auto"/>
            </w:tcBorders>
          </w:tcPr>
          <w:p w:rsidR="0033592C" w:rsidRDefault="0033592C" w:rsidP="00636600">
            <w:pPr>
              <w:pStyle w:val="TableText0"/>
              <w:framePr w:hSpace="181" w:wrap="notBeside" w:vAnchor="text" w:hAnchor="text" w:xAlign="center" w:y="1"/>
              <w:spacing w:line="199" w:lineRule="exact"/>
              <w:jc w:val="center"/>
            </w:pPr>
            <w:r>
              <w:t>0.406</w:t>
            </w:r>
            <w:r>
              <w:br/>
              <w:t>0.223</w:t>
            </w:r>
            <w:r>
              <w:br/>
              <w:t>0.420</w:t>
            </w:r>
          </w:p>
        </w:tc>
        <w:tc>
          <w:tcPr>
            <w:tcW w:w="1622" w:type="dxa"/>
            <w:tcBorders>
              <w:top w:val="single" w:sz="6" w:space="0" w:color="auto"/>
              <w:left w:val="single" w:sz="6" w:space="0" w:color="auto"/>
              <w:bottom w:val="single" w:sz="6" w:space="0" w:color="auto"/>
              <w:right w:val="single" w:sz="6" w:space="0" w:color="auto"/>
            </w:tcBorders>
          </w:tcPr>
          <w:p w:rsidR="0033592C" w:rsidRDefault="0033592C" w:rsidP="00636600">
            <w:pPr>
              <w:pStyle w:val="TableText0"/>
              <w:framePr w:hSpace="181" w:wrap="notBeside" w:vAnchor="text" w:hAnchor="page" w:xAlign="center" w:y="1"/>
              <w:tabs>
                <w:tab w:val="clear" w:pos="794"/>
                <w:tab w:val="clear" w:pos="1191"/>
                <w:tab w:val="right" w:pos="1134"/>
              </w:tabs>
              <w:spacing w:line="199" w:lineRule="exact"/>
              <w:jc w:val="left"/>
            </w:pPr>
            <w:r>
              <w:tab/>
              <w:t>1 430 000</w:t>
            </w:r>
            <w:r>
              <w:br/>
            </w:r>
            <w:r>
              <w:tab/>
              <w:t>506 000</w:t>
            </w:r>
            <w:r>
              <w:br/>
            </w:r>
            <w:r>
              <w:tab/>
              <w:t>352 000</w:t>
            </w:r>
          </w:p>
        </w:tc>
        <w:tc>
          <w:tcPr>
            <w:tcW w:w="1622" w:type="dxa"/>
            <w:tcBorders>
              <w:top w:val="single" w:sz="6" w:space="0" w:color="auto"/>
              <w:left w:val="single" w:sz="6" w:space="0" w:color="auto"/>
              <w:bottom w:val="single" w:sz="6" w:space="0" w:color="auto"/>
              <w:right w:val="single" w:sz="6" w:space="0" w:color="auto"/>
            </w:tcBorders>
          </w:tcPr>
          <w:p w:rsidR="0033592C" w:rsidRDefault="0033592C" w:rsidP="00636600">
            <w:pPr>
              <w:pStyle w:val="TableText0"/>
              <w:framePr w:hSpace="181" w:wrap="notBeside" w:vAnchor="text" w:hAnchor="text" w:xAlign="center" w:y="1"/>
              <w:tabs>
                <w:tab w:val="right" w:pos="851"/>
              </w:tabs>
              <w:spacing w:line="199" w:lineRule="exact"/>
              <w:jc w:val="center"/>
            </w:pPr>
            <w:r>
              <w:t>31.4</w:t>
            </w:r>
            <w:r>
              <w:br/>
              <w:t>24.9</w:t>
            </w:r>
            <w:r>
              <w:br/>
              <w:t>34.9</w:t>
            </w:r>
          </w:p>
        </w:tc>
      </w:tr>
    </w:tbl>
    <w:p w:rsidR="0033592C" w:rsidRDefault="0033592C" w:rsidP="0033592C">
      <w:pPr>
        <w:pStyle w:val="TableFin0"/>
        <w:spacing w:before="0"/>
      </w:pPr>
    </w:p>
    <w:p w:rsidR="0033592C" w:rsidRDefault="0033592C" w:rsidP="0033592C">
      <w:pPr>
        <w:pStyle w:val="Heading1"/>
        <w:rPr>
          <w:lang w:val="en-US"/>
        </w:rPr>
      </w:pPr>
      <w:r>
        <w:rPr>
          <w:lang w:val="en-US"/>
        </w:rPr>
        <w:t>4</w:t>
      </w:r>
      <w:r>
        <w:rPr>
          <w:lang w:val="en-US"/>
        </w:rPr>
        <w:tab/>
        <w:t>Implementation considerations</w:t>
      </w:r>
    </w:p>
    <w:p w:rsidR="0033592C" w:rsidRDefault="0033592C" w:rsidP="0033592C">
      <w:pPr>
        <w:rPr>
          <w:lang w:val="en-US"/>
        </w:rPr>
      </w:pPr>
      <w:r>
        <w:rPr>
          <w:lang w:val="en-US"/>
        </w:rPr>
        <w:t>The coding technique described in this Annex has a number of practical limitations and it will not replace a general purpose frequency diversity combiner in all applications. For example, it is incompatible with asynchronous data transmissions systems.</w:t>
      </w:r>
    </w:p>
    <w:p w:rsidR="0033592C" w:rsidRDefault="0033592C" w:rsidP="0033592C">
      <w:pPr>
        <w:rPr>
          <w:lang w:val="en-US"/>
        </w:rPr>
      </w:pPr>
      <w:r>
        <w:rPr>
          <w:lang w:val="en-US"/>
        </w:rPr>
        <w:t xml:space="preserve">However, it is potentially useful with ARQ systems using synchronous transmissions provided that the transmissions are not so short that the improvement in throughput is nullified by the increase in overhead bits required for proper operation of the Viterbi decoder. The overhead is four times </w:t>
      </w:r>
      <w:r>
        <w:rPr>
          <w:i/>
          <w:lang w:val="en-US"/>
        </w:rPr>
        <w:t>K</w:t>
      </w:r>
      <w:r>
        <w:rPr>
          <w:lang w:val="en-US"/>
        </w:rPr>
        <w:t xml:space="preserve"> bits (where </w:t>
      </w:r>
      <w:r>
        <w:rPr>
          <w:i/>
          <w:lang w:val="en-US"/>
        </w:rPr>
        <w:t>K</w:t>
      </w:r>
      <w:r>
        <w:rPr>
          <w:lang w:val="en-US"/>
        </w:rPr>
        <w:t xml:space="preserve"> is the constraint length) needed at the beginning of the transmission, plus there is a postamble of (</w:t>
      </w:r>
      <w:r>
        <w:rPr>
          <w:i/>
          <w:lang w:val="en-US"/>
        </w:rPr>
        <w:t>K</w:t>
      </w:r>
      <w:r>
        <w:rPr>
          <w:lang w:val="en-US"/>
        </w:rPr>
        <w:t> – 1) bits at the end of the transmission.</w:t>
      </w:r>
    </w:p>
    <w:p w:rsidR="0033592C" w:rsidRDefault="0033592C" w:rsidP="0033592C">
      <w:pPr>
        <w:pStyle w:val="Heading1"/>
      </w:pPr>
      <w:r>
        <w:t>5</w:t>
      </w:r>
      <w:r>
        <w:tab/>
        <w:t>Conclusions</w:t>
      </w:r>
    </w:p>
    <w:p w:rsidR="0033592C" w:rsidRDefault="0033592C" w:rsidP="0033592C">
      <w:pPr>
        <w:rPr>
          <w:lang w:val="en-US"/>
        </w:rPr>
      </w:pPr>
      <w:r>
        <w:rPr>
          <w:lang w:val="en-US"/>
        </w:rPr>
        <w:t>An error control scheme based on convolutionally coded frequency diversity has been tested and compared to in-band frequency diversity data transmission. Experimental results show that this system has better BLER performance than in-band frequency diversity systems. The coding technique is suitable for systems that presently use frequency diversity in combination with a synchronous ARQ protocol.</w:t>
      </w:r>
    </w:p>
    <w:p w:rsidR="000730A4" w:rsidRDefault="000730A4" w:rsidP="0033592C">
      <w:pPr>
        <w:rPr>
          <w:lang w:val="en-US"/>
        </w:rPr>
      </w:pPr>
    </w:p>
    <w:p w:rsidR="000730A4" w:rsidRDefault="000730A4" w:rsidP="0033592C">
      <w:pPr>
        <w:rPr>
          <w:lang w:val="en-US"/>
        </w:rPr>
      </w:pPr>
    </w:p>
    <w:p w:rsidR="0033592C" w:rsidRDefault="0033592C" w:rsidP="0033592C">
      <w:pPr>
        <w:pStyle w:val="Line"/>
      </w:pPr>
    </w:p>
    <w:sectPr w:rsidR="0033592C"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BF4" w:rsidRDefault="00057BF4">
      <w:r>
        <w:separator/>
      </w:r>
    </w:p>
  </w:endnote>
  <w:endnote w:type="continuationSeparator" w:id="0">
    <w:p w:rsidR="00057BF4" w:rsidRDefault="00057B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宋体">
    <w:altName w:val="SimSun"/>
    <w:charset w:val="00"/>
    <w:family w:val="auto"/>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BF4" w:rsidRDefault="00057BF4">
      <w:r>
        <w:separator/>
      </w:r>
    </w:p>
  </w:footnote>
  <w:footnote w:type="continuationSeparator" w:id="0">
    <w:p w:rsidR="00057BF4" w:rsidRDefault="00057BF4">
      <w:r>
        <w:continuationSeparator/>
      </w:r>
    </w:p>
  </w:footnote>
  <w:footnote w:id="1">
    <w:p w:rsidR="0033592C" w:rsidRPr="0033592C" w:rsidRDefault="0033592C" w:rsidP="000730A4">
      <w:pPr>
        <w:pStyle w:val="FootnoteText"/>
        <w:rPr>
          <w:lang w:val="en-US"/>
        </w:rPr>
      </w:pPr>
      <w:r>
        <w:rPr>
          <w:rStyle w:val="FootnoteReference"/>
        </w:rPr>
        <w:t>*</w:t>
      </w:r>
      <w:r>
        <w:tab/>
      </w:r>
      <w:r>
        <w:rPr>
          <w:lang w:val="en-US"/>
        </w:rPr>
        <w:t xml:space="preserve">Radiocommunication Study Group </w:t>
      </w:r>
      <w:r w:rsidR="000730A4">
        <w:rPr>
          <w:lang w:val="en-US"/>
        </w:rPr>
        <w:t>5</w:t>
      </w:r>
      <w:r>
        <w:rPr>
          <w:lang w:val="en-US"/>
        </w:rPr>
        <w:t xml:space="preserve"> made editorial amendments to this Recommendation in </w:t>
      </w:r>
      <w:r w:rsidR="0000009F">
        <w:rPr>
          <w:lang w:val="en-US"/>
        </w:rPr>
        <w:t>December </w:t>
      </w:r>
      <w:r>
        <w:rPr>
          <w:lang w:val="en-US"/>
        </w:rPr>
        <w:t>200</w:t>
      </w:r>
      <w:r w:rsidR="000730A4">
        <w:rPr>
          <w:lang w:val="en-US"/>
        </w:rPr>
        <w:t>9</w:t>
      </w:r>
      <w:r>
        <w:rPr>
          <w:lang w:val="en-US"/>
        </w:rPr>
        <w:t xml:space="preserve"> in accordance with Resolution ITU-R </w:t>
      </w:r>
      <w:r w:rsidR="000730A4">
        <w:rPr>
          <w:lang w:val="en-US"/>
        </w:rPr>
        <w:t>1</w:t>
      </w:r>
      <w:r>
        <w:rPr>
          <w:lang w:val="en-U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7D224F">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33592C"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Pr="00FC42AF" w:rsidRDefault="004C512A">
    <w:pPr>
      <w:pStyle w:val="Header"/>
      <w:jc w:val="left"/>
    </w:pPr>
    <w:r>
      <w:rPr>
        <w:rStyle w:val="PageNumber"/>
        <w:b/>
        <w:bCs/>
      </w:rPr>
      <w:fldChar w:fldCharType="begin"/>
    </w:r>
    <w:r w:rsidR="007D224F" w:rsidRPr="00FC42AF">
      <w:rPr>
        <w:rStyle w:val="PageNumber"/>
        <w:b/>
        <w:bCs/>
      </w:rPr>
      <w:instrText xml:space="preserve"> PAGE </w:instrText>
    </w:r>
    <w:r>
      <w:rPr>
        <w:rStyle w:val="PageNumber"/>
        <w:b/>
        <w:bCs/>
      </w:rPr>
      <w:fldChar w:fldCharType="separate"/>
    </w:r>
    <w:r w:rsidR="0000009F">
      <w:rPr>
        <w:rStyle w:val="PageNumber"/>
        <w:b/>
        <w:bCs/>
        <w:noProof/>
      </w:rPr>
      <w:t>2</w:t>
    </w:r>
    <w:r>
      <w:rPr>
        <w:rStyle w:val="PageNumber"/>
        <w:b/>
        <w:bCs/>
      </w:rPr>
      <w:fldChar w:fldCharType="end"/>
    </w:r>
    <w:r w:rsidR="007D224F" w:rsidRPr="00FC42AF">
      <w:tab/>
    </w:r>
    <w:fldSimple w:instr=" DOCPROPERTY &quot;Header&quot; \* MERGEFORMAT ">
      <w:r w:rsidR="0000009F" w:rsidRPr="0000009F">
        <w:rPr>
          <w:b/>
          <w:bCs/>
        </w:rPr>
        <w:t xml:space="preserve">Rec. </w:t>
      </w:r>
    </w:fldSimple>
    <w:r w:rsidR="007D224F">
      <w:rPr>
        <w:b/>
        <w:bCs/>
      </w:rPr>
      <w:t xml:space="preserve"> </w:t>
    </w:r>
    <w:r>
      <w:rPr>
        <w:b/>
        <w:bCs/>
      </w:rPr>
      <w:fldChar w:fldCharType="begin"/>
    </w:r>
    <w:r w:rsidR="007D224F" w:rsidRPr="00FC42AF">
      <w:rPr>
        <w:b/>
        <w:bCs/>
      </w:rPr>
      <w:instrText>styleref href</w:instrText>
    </w:r>
    <w:r>
      <w:rPr>
        <w:b/>
        <w:bCs/>
      </w:rPr>
      <w:fldChar w:fldCharType="separate"/>
    </w:r>
    <w:r w:rsidR="0000009F">
      <w:rPr>
        <w:b/>
        <w:bCs/>
        <w:noProof/>
      </w:rPr>
      <w:t>ITU-R  F.106-2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7D224F">
    <w:pPr>
      <w:pStyle w:val="Header"/>
    </w:pPr>
    <w:r>
      <w:tab/>
    </w:r>
    <w:fldSimple w:instr=" DOCPROPERTY &quot;Header&quot; \* MERGEFORMAT ">
      <w:r w:rsidR="0000009F" w:rsidRPr="0000009F">
        <w:rPr>
          <w:b/>
          <w:bCs/>
        </w:rPr>
        <w:t xml:space="preserve">Rec. </w:t>
      </w:r>
    </w:fldSimple>
    <w:r>
      <w:rPr>
        <w:b/>
        <w:bCs/>
      </w:rPr>
      <w:t xml:space="preserve"> </w:t>
    </w:r>
    <w:r w:rsidR="004C512A">
      <w:rPr>
        <w:b/>
        <w:bCs/>
      </w:rPr>
      <w:fldChar w:fldCharType="begin"/>
    </w:r>
    <w:r>
      <w:rPr>
        <w:b/>
        <w:bCs/>
      </w:rPr>
      <w:instrText>styleref href</w:instrText>
    </w:r>
    <w:r w:rsidR="004C512A">
      <w:rPr>
        <w:b/>
        <w:bCs/>
      </w:rPr>
      <w:fldChar w:fldCharType="separate"/>
    </w:r>
    <w:r w:rsidR="0000009F">
      <w:rPr>
        <w:b/>
        <w:bCs/>
        <w:noProof/>
      </w:rPr>
      <w:t>ITU-R  F.106-2</w:t>
    </w:r>
    <w:r w:rsidR="004C512A">
      <w:rPr>
        <w:b/>
        <w:bCs/>
      </w:rPr>
      <w:fldChar w:fldCharType="end"/>
    </w:r>
    <w:r>
      <w:tab/>
    </w:r>
    <w:r w:rsidR="004C512A">
      <w:rPr>
        <w:rStyle w:val="PageNumber"/>
        <w:b/>
        <w:bCs/>
      </w:rPr>
      <w:fldChar w:fldCharType="begin"/>
    </w:r>
    <w:r>
      <w:rPr>
        <w:rStyle w:val="PageNumber"/>
        <w:b/>
        <w:bCs/>
      </w:rPr>
      <w:instrText xml:space="preserve"> PAGE </w:instrText>
    </w:r>
    <w:r w:rsidR="004C512A">
      <w:rPr>
        <w:rStyle w:val="PageNumber"/>
        <w:b/>
        <w:bCs/>
      </w:rPr>
      <w:fldChar w:fldCharType="separate"/>
    </w:r>
    <w:r w:rsidR="0000009F">
      <w:rPr>
        <w:rStyle w:val="PageNumber"/>
        <w:b/>
        <w:bCs/>
        <w:noProof/>
      </w:rPr>
      <w:t>1</w:t>
    </w:r>
    <w:r w:rsidR="004C512A">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5121">
      <o:colormru v:ext="edit" colors="#d62a47"/>
      <o:colormenu v:ext="edit" strokecolor="#d62a47"/>
    </o:shapedefaults>
  </w:hdrShapeDefaults>
  <w:footnotePr>
    <w:footnote w:id="-1"/>
    <w:footnote w:id="0"/>
  </w:footnotePr>
  <w:endnotePr>
    <w:endnote w:id="-1"/>
    <w:endnote w:id="0"/>
  </w:endnotePr>
  <w:compat/>
  <w:rsids>
    <w:rsidRoot w:val="00934ED7"/>
    <w:rsid w:val="0000009F"/>
    <w:rsid w:val="00013002"/>
    <w:rsid w:val="00036EE3"/>
    <w:rsid w:val="00057BF4"/>
    <w:rsid w:val="00072484"/>
    <w:rsid w:val="000730A4"/>
    <w:rsid w:val="00096612"/>
    <w:rsid w:val="000A4386"/>
    <w:rsid w:val="000B7683"/>
    <w:rsid w:val="000D0677"/>
    <w:rsid w:val="000E6A6E"/>
    <w:rsid w:val="00102934"/>
    <w:rsid w:val="00123703"/>
    <w:rsid w:val="00147110"/>
    <w:rsid w:val="001511A6"/>
    <w:rsid w:val="002058CE"/>
    <w:rsid w:val="002165F1"/>
    <w:rsid w:val="00276D21"/>
    <w:rsid w:val="00296D7F"/>
    <w:rsid w:val="002B3CF6"/>
    <w:rsid w:val="002C768A"/>
    <w:rsid w:val="002D76C4"/>
    <w:rsid w:val="002F5199"/>
    <w:rsid w:val="0033592C"/>
    <w:rsid w:val="00356B5D"/>
    <w:rsid w:val="00420DFD"/>
    <w:rsid w:val="00437A76"/>
    <w:rsid w:val="00470E28"/>
    <w:rsid w:val="004934C5"/>
    <w:rsid w:val="004C512A"/>
    <w:rsid w:val="004F65E4"/>
    <w:rsid w:val="00556548"/>
    <w:rsid w:val="00586EF8"/>
    <w:rsid w:val="005B49AB"/>
    <w:rsid w:val="005B50E7"/>
    <w:rsid w:val="005E7B4F"/>
    <w:rsid w:val="00601882"/>
    <w:rsid w:val="00607D68"/>
    <w:rsid w:val="00613212"/>
    <w:rsid w:val="006149B1"/>
    <w:rsid w:val="00677965"/>
    <w:rsid w:val="00680D2B"/>
    <w:rsid w:val="00681B32"/>
    <w:rsid w:val="006A75CC"/>
    <w:rsid w:val="006B1D2B"/>
    <w:rsid w:val="006E1131"/>
    <w:rsid w:val="006E2037"/>
    <w:rsid w:val="006E6199"/>
    <w:rsid w:val="00712870"/>
    <w:rsid w:val="00743D85"/>
    <w:rsid w:val="00753CF4"/>
    <w:rsid w:val="007565CC"/>
    <w:rsid w:val="00763B9A"/>
    <w:rsid w:val="00794726"/>
    <w:rsid w:val="007A6AA8"/>
    <w:rsid w:val="007D224F"/>
    <w:rsid w:val="00807436"/>
    <w:rsid w:val="008310C9"/>
    <w:rsid w:val="00853CC5"/>
    <w:rsid w:val="008C1BAC"/>
    <w:rsid w:val="008C7848"/>
    <w:rsid w:val="00906589"/>
    <w:rsid w:val="00906AD6"/>
    <w:rsid w:val="00917AF2"/>
    <w:rsid w:val="0092418A"/>
    <w:rsid w:val="00934ED7"/>
    <w:rsid w:val="009543C3"/>
    <w:rsid w:val="00966E1B"/>
    <w:rsid w:val="009947C0"/>
    <w:rsid w:val="009F2D2C"/>
    <w:rsid w:val="00A31928"/>
    <w:rsid w:val="00A51727"/>
    <w:rsid w:val="00A62A14"/>
    <w:rsid w:val="00A6617B"/>
    <w:rsid w:val="00A71FE5"/>
    <w:rsid w:val="00A971A1"/>
    <w:rsid w:val="00AA3AD8"/>
    <w:rsid w:val="00AB0DC8"/>
    <w:rsid w:val="00AC5993"/>
    <w:rsid w:val="00B033C8"/>
    <w:rsid w:val="00B33425"/>
    <w:rsid w:val="00B44E24"/>
    <w:rsid w:val="00B54ECC"/>
    <w:rsid w:val="00B714F3"/>
    <w:rsid w:val="00B87B6B"/>
    <w:rsid w:val="00BC5D77"/>
    <w:rsid w:val="00BF487A"/>
    <w:rsid w:val="00C46BD9"/>
    <w:rsid w:val="00C55258"/>
    <w:rsid w:val="00C73560"/>
    <w:rsid w:val="00CB0F14"/>
    <w:rsid w:val="00CD659B"/>
    <w:rsid w:val="00CE0A43"/>
    <w:rsid w:val="00CE7A98"/>
    <w:rsid w:val="00D83556"/>
    <w:rsid w:val="00DF4176"/>
    <w:rsid w:val="00E17240"/>
    <w:rsid w:val="00E406BD"/>
    <w:rsid w:val="00E74595"/>
    <w:rsid w:val="00EB7C57"/>
    <w:rsid w:val="00ED2695"/>
    <w:rsid w:val="00F30C9B"/>
    <w:rsid w:val="00F354B1"/>
    <w:rsid w:val="00FB0E4E"/>
    <w:rsid w:val="00FC42AF"/>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5121">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370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23703"/>
    <w:pPr>
      <w:keepNext/>
      <w:keepLines/>
      <w:spacing w:before="480"/>
      <w:ind w:left="794" w:hanging="794"/>
      <w:outlineLvl w:val="0"/>
    </w:pPr>
    <w:rPr>
      <w:b/>
    </w:rPr>
  </w:style>
  <w:style w:type="paragraph" w:styleId="Heading2">
    <w:name w:val="heading 2"/>
    <w:basedOn w:val="Heading1"/>
    <w:next w:val="Normal"/>
    <w:qFormat/>
    <w:rsid w:val="00123703"/>
    <w:pPr>
      <w:spacing w:before="320"/>
      <w:outlineLvl w:val="1"/>
    </w:pPr>
  </w:style>
  <w:style w:type="paragraph" w:styleId="Heading3">
    <w:name w:val="heading 3"/>
    <w:basedOn w:val="Heading1"/>
    <w:next w:val="Normal"/>
    <w:qFormat/>
    <w:rsid w:val="00123703"/>
    <w:pPr>
      <w:spacing w:before="200"/>
      <w:outlineLvl w:val="2"/>
    </w:pPr>
  </w:style>
  <w:style w:type="paragraph" w:styleId="Heading4">
    <w:name w:val="heading 4"/>
    <w:basedOn w:val="Heading3"/>
    <w:next w:val="Normal"/>
    <w:qFormat/>
    <w:rsid w:val="00123703"/>
    <w:pPr>
      <w:tabs>
        <w:tab w:val="clear" w:pos="794"/>
        <w:tab w:val="left" w:pos="992"/>
      </w:tabs>
      <w:ind w:left="992" w:hanging="992"/>
      <w:outlineLvl w:val="3"/>
    </w:pPr>
  </w:style>
  <w:style w:type="paragraph" w:styleId="Heading5">
    <w:name w:val="heading 5"/>
    <w:basedOn w:val="Heading4"/>
    <w:next w:val="Normal"/>
    <w:qFormat/>
    <w:rsid w:val="00123703"/>
    <w:pPr>
      <w:outlineLvl w:val="4"/>
    </w:pPr>
  </w:style>
  <w:style w:type="paragraph" w:styleId="Heading6">
    <w:name w:val="heading 6"/>
    <w:basedOn w:val="Heading4"/>
    <w:next w:val="Normal"/>
    <w:qFormat/>
    <w:rsid w:val="00123703"/>
    <w:pPr>
      <w:tabs>
        <w:tab w:val="clear" w:pos="992"/>
        <w:tab w:val="clear" w:pos="1191"/>
      </w:tabs>
      <w:ind w:left="1588" w:hanging="1588"/>
      <w:outlineLvl w:val="5"/>
    </w:pPr>
  </w:style>
  <w:style w:type="paragraph" w:styleId="Heading7">
    <w:name w:val="heading 7"/>
    <w:basedOn w:val="Heading6"/>
    <w:next w:val="Normal"/>
    <w:qFormat/>
    <w:rsid w:val="00123703"/>
    <w:pPr>
      <w:outlineLvl w:val="6"/>
    </w:pPr>
  </w:style>
  <w:style w:type="paragraph" w:styleId="Heading8">
    <w:name w:val="heading 8"/>
    <w:basedOn w:val="Heading6"/>
    <w:next w:val="Normal"/>
    <w:qFormat/>
    <w:rsid w:val="00123703"/>
    <w:pPr>
      <w:outlineLvl w:val="7"/>
    </w:pPr>
  </w:style>
  <w:style w:type="paragraph" w:styleId="Heading9">
    <w:name w:val="heading 9"/>
    <w:basedOn w:val="Heading6"/>
    <w:next w:val="Normal"/>
    <w:qFormat/>
    <w:rsid w:val="0012370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2370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2370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23703"/>
  </w:style>
  <w:style w:type="paragraph" w:customStyle="1" w:styleId="Headingb">
    <w:name w:val="Heading_b"/>
    <w:basedOn w:val="Heading3"/>
    <w:next w:val="Normal"/>
    <w:rsid w:val="00123703"/>
    <w:pPr>
      <w:spacing w:before="160"/>
      <w:ind w:left="0" w:firstLine="0"/>
      <w:outlineLvl w:val="9"/>
    </w:pPr>
  </w:style>
  <w:style w:type="paragraph" w:customStyle="1" w:styleId="Headingi">
    <w:name w:val="Heading_i"/>
    <w:basedOn w:val="Heading3"/>
    <w:next w:val="Normal"/>
    <w:rsid w:val="00123703"/>
    <w:pPr>
      <w:spacing w:before="160"/>
      <w:ind w:left="0" w:firstLine="0"/>
    </w:pPr>
    <w:rPr>
      <w:b w:val="0"/>
      <w:i/>
    </w:rPr>
  </w:style>
  <w:style w:type="character" w:customStyle="1" w:styleId="href">
    <w:name w:val="href"/>
    <w:basedOn w:val="DefaultParagraphFont"/>
    <w:rsid w:val="00123703"/>
  </w:style>
  <w:style w:type="paragraph" w:customStyle="1" w:styleId="AnnexNoTitle">
    <w:name w:val="Annex_NoTitle"/>
    <w:basedOn w:val="Normal"/>
    <w:next w:val="Normalaftertitle"/>
    <w:rsid w:val="00123703"/>
    <w:pPr>
      <w:keepNext/>
      <w:keepLines/>
      <w:spacing w:before="480" w:after="80"/>
      <w:jc w:val="center"/>
    </w:pPr>
    <w:rPr>
      <w:b/>
      <w:sz w:val="28"/>
    </w:rPr>
  </w:style>
  <w:style w:type="paragraph" w:customStyle="1" w:styleId="Normalaftertitle">
    <w:name w:val="Normal_after_title"/>
    <w:basedOn w:val="Normal"/>
    <w:next w:val="Normal"/>
    <w:rsid w:val="00123703"/>
    <w:pPr>
      <w:spacing w:before="320"/>
    </w:pPr>
  </w:style>
  <w:style w:type="paragraph" w:customStyle="1" w:styleId="enumlev2">
    <w:name w:val="enumlev2"/>
    <w:basedOn w:val="enumlev1"/>
    <w:rsid w:val="00123703"/>
    <w:pPr>
      <w:ind w:left="1191" w:hanging="397"/>
    </w:pPr>
  </w:style>
  <w:style w:type="paragraph" w:customStyle="1" w:styleId="enumlev1">
    <w:name w:val="enumlev1"/>
    <w:basedOn w:val="Normal"/>
    <w:rsid w:val="00123703"/>
    <w:pPr>
      <w:spacing w:before="80"/>
      <w:ind w:left="794" w:hanging="794"/>
    </w:pPr>
  </w:style>
  <w:style w:type="paragraph" w:customStyle="1" w:styleId="enumlev3">
    <w:name w:val="enumlev3"/>
    <w:basedOn w:val="enumlev2"/>
    <w:rsid w:val="00123703"/>
    <w:pPr>
      <w:ind w:left="1588"/>
    </w:pPr>
  </w:style>
  <w:style w:type="paragraph" w:customStyle="1" w:styleId="Note">
    <w:name w:val="Note"/>
    <w:basedOn w:val="Normal"/>
    <w:rsid w:val="0012370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2370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23703"/>
    <w:pPr>
      <w:keepNext/>
      <w:keepLines/>
      <w:spacing w:before="240"/>
      <w:jc w:val="center"/>
    </w:pPr>
    <w:rPr>
      <w:b/>
      <w:sz w:val="28"/>
    </w:rPr>
  </w:style>
  <w:style w:type="paragraph" w:customStyle="1" w:styleId="Recref">
    <w:name w:val="Rec_ref"/>
    <w:basedOn w:val="Normal"/>
    <w:next w:val="Recdate"/>
    <w:rsid w:val="00123703"/>
    <w:pPr>
      <w:jc w:val="center"/>
    </w:pPr>
  </w:style>
  <w:style w:type="paragraph" w:customStyle="1" w:styleId="Recdate">
    <w:name w:val="Rec_date"/>
    <w:basedOn w:val="Recref"/>
    <w:next w:val="Normalaftertitle"/>
    <w:rsid w:val="00123703"/>
    <w:pPr>
      <w:jc w:val="right"/>
    </w:pPr>
  </w:style>
  <w:style w:type="paragraph" w:customStyle="1" w:styleId="HeadingSum">
    <w:name w:val="Heading_Sum"/>
    <w:basedOn w:val="Headingb"/>
    <w:next w:val="Normal"/>
    <w:rsid w:val="00123703"/>
    <w:pPr>
      <w:spacing w:before="240"/>
    </w:pPr>
    <w:rPr>
      <w:sz w:val="22"/>
      <w:lang w:val="es-ES_tradnl"/>
    </w:rPr>
  </w:style>
  <w:style w:type="paragraph" w:customStyle="1" w:styleId="AppendixNoTitle">
    <w:name w:val="Appendix_NoTitle"/>
    <w:basedOn w:val="AnnexNoTitle"/>
    <w:next w:val="Normal"/>
    <w:rsid w:val="00123703"/>
  </w:style>
  <w:style w:type="paragraph" w:customStyle="1" w:styleId="Tablefin">
    <w:name w:val="Table_fin"/>
    <w:basedOn w:val="Normal"/>
    <w:next w:val="Normal"/>
    <w:rsid w:val="00123703"/>
    <w:pPr>
      <w:spacing w:before="0"/>
    </w:pPr>
    <w:rPr>
      <w:sz w:val="20"/>
      <w:lang w:val="en-GB"/>
    </w:rPr>
  </w:style>
  <w:style w:type="paragraph" w:customStyle="1" w:styleId="Tablehead">
    <w:name w:val="Table_head"/>
    <w:basedOn w:val="Normal"/>
    <w:next w:val="Normal"/>
    <w:rsid w:val="0012370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237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23703"/>
    <w:pPr>
      <w:keepNext/>
      <w:spacing w:before="360" w:after="120"/>
      <w:jc w:val="center"/>
    </w:pPr>
  </w:style>
  <w:style w:type="paragraph" w:customStyle="1" w:styleId="Tabletext">
    <w:name w:val="Table_text"/>
    <w:basedOn w:val="Normal"/>
    <w:rsid w:val="001237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23703"/>
    <w:pPr>
      <w:tabs>
        <w:tab w:val="clear" w:pos="1191"/>
        <w:tab w:val="clear" w:pos="1588"/>
        <w:tab w:val="clear" w:pos="1985"/>
        <w:tab w:val="center" w:pos="4820"/>
        <w:tab w:val="right" w:pos="9639"/>
      </w:tabs>
    </w:pPr>
  </w:style>
  <w:style w:type="paragraph" w:customStyle="1" w:styleId="Equationlegend">
    <w:name w:val="Equation_legend"/>
    <w:basedOn w:val="NormalIndent"/>
    <w:rsid w:val="0012370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23703"/>
    <w:pPr>
      <w:ind w:left="794"/>
    </w:pPr>
  </w:style>
  <w:style w:type="paragraph" w:customStyle="1" w:styleId="Figurelegend">
    <w:name w:val="Figure_legend"/>
    <w:basedOn w:val="Normal"/>
    <w:rsid w:val="0012370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23703"/>
    <w:pPr>
      <w:keepNext/>
      <w:keepLines/>
      <w:spacing w:before="480" w:after="80"/>
      <w:jc w:val="center"/>
    </w:pPr>
    <w:rPr>
      <w:caps/>
      <w:sz w:val="18"/>
    </w:rPr>
  </w:style>
  <w:style w:type="paragraph" w:customStyle="1" w:styleId="Figuretitle">
    <w:name w:val="Figure_title"/>
    <w:basedOn w:val="Normal"/>
    <w:next w:val="Figure"/>
    <w:rsid w:val="00123703"/>
    <w:pPr>
      <w:keepNext/>
      <w:spacing w:before="0" w:after="120"/>
      <w:jc w:val="center"/>
    </w:pPr>
    <w:rPr>
      <w:rFonts w:ascii="Times New Roman Bold" w:hAnsi="Times New Roman Bold"/>
      <w:b/>
      <w:sz w:val="18"/>
    </w:rPr>
  </w:style>
  <w:style w:type="paragraph" w:customStyle="1" w:styleId="Figure">
    <w:name w:val="Figure"/>
    <w:basedOn w:val="FigureNo"/>
    <w:next w:val="Normal"/>
    <w:rsid w:val="00123703"/>
    <w:pPr>
      <w:keepNext w:val="0"/>
      <w:spacing w:before="0" w:after="240"/>
    </w:pPr>
  </w:style>
  <w:style w:type="paragraph" w:customStyle="1" w:styleId="tocpart">
    <w:name w:val="tocpart"/>
    <w:basedOn w:val="Normal"/>
    <w:rsid w:val="0012370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23703"/>
    <w:pPr>
      <w:keepNext/>
      <w:keepLines/>
      <w:spacing w:before="480"/>
      <w:jc w:val="center"/>
    </w:pPr>
    <w:rPr>
      <w:sz w:val="28"/>
    </w:rPr>
  </w:style>
  <w:style w:type="paragraph" w:customStyle="1" w:styleId="Arttitle">
    <w:name w:val="Art_title"/>
    <w:basedOn w:val="Normal"/>
    <w:next w:val="Normalaftertitle"/>
    <w:rsid w:val="00123703"/>
    <w:pPr>
      <w:keepNext/>
      <w:keepLines/>
      <w:spacing w:before="240"/>
      <w:jc w:val="center"/>
    </w:pPr>
    <w:rPr>
      <w:b/>
      <w:sz w:val="28"/>
    </w:rPr>
  </w:style>
  <w:style w:type="paragraph" w:customStyle="1" w:styleId="Blanc">
    <w:name w:val="Blanc"/>
    <w:basedOn w:val="Normal"/>
    <w:next w:val="Tabletext"/>
    <w:rsid w:val="0012370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2370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23703"/>
    <w:pPr>
      <w:keepNext/>
      <w:keepLines/>
      <w:spacing w:before="160"/>
      <w:ind w:left="794"/>
    </w:pPr>
    <w:rPr>
      <w:i/>
    </w:rPr>
  </w:style>
  <w:style w:type="paragraph" w:customStyle="1" w:styleId="ChapNo">
    <w:name w:val="Chap_No"/>
    <w:basedOn w:val="ArtNo"/>
    <w:next w:val="Chaptitle"/>
    <w:rsid w:val="00123703"/>
    <w:rPr>
      <w:b/>
    </w:rPr>
  </w:style>
  <w:style w:type="paragraph" w:customStyle="1" w:styleId="Chaptitle">
    <w:name w:val="Chap_title"/>
    <w:basedOn w:val="Arttitle"/>
    <w:next w:val="Normalaftertitle"/>
    <w:rsid w:val="00123703"/>
  </w:style>
  <w:style w:type="character" w:styleId="FootnoteReference">
    <w:name w:val="footnote reference"/>
    <w:basedOn w:val="DefaultParagraphFont"/>
    <w:semiHidden/>
    <w:rsid w:val="00123703"/>
    <w:rPr>
      <w:position w:val="6"/>
      <w:sz w:val="18"/>
    </w:rPr>
  </w:style>
  <w:style w:type="paragraph" w:styleId="FootnoteText">
    <w:name w:val="footnote text"/>
    <w:basedOn w:val="Normal"/>
    <w:semiHidden/>
    <w:rsid w:val="00123703"/>
    <w:pPr>
      <w:keepLines/>
      <w:tabs>
        <w:tab w:val="left" w:pos="255"/>
      </w:tabs>
      <w:ind w:left="255" w:hanging="255"/>
    </w:pPr>
    <w:rPr>
      <w:sz w:val="22"/>
    </w:rPr>
  </w:style>
  <w:style w:type="paragraph" w:styleId="Index1">
    <w:name w:val="index 1"/>
    <w:basedOn w:val="Normal"/>
    <w:next w:val="Normal"/>
    <w:semiHidden/>
    <w:rsid w:val="00123703"/>
  </w:style>
  <w:style w:type="paragraph" w:styleId="Index2">
    <w:name w:val="index 2"/>
    <w:basedOn w:val="Normal"/>
    <w:next w:val="Normal"/>
    <w:semiHidden/>
    <w:rsid w:val="00123703"/>
    <w:pPr>
      <w:ind w:left="283"/>
    </w:pPr>
  </w:style>
  <w:style w:type="paragraph" w:styleId="Index3">
    <w:name w:val="index 3"/>
    <w:basedOn w:val="Normal"/>
    <w:next w:val="Normal"/>
    <w:semiHidden/>
    <w:rsid w:val="00123703"/>
    <w:pPr>
      <w:ind w:left="566"/>
    </w:pPr>
  </w:style>
  <w:style w:type="paragraph" w:styleId="IndexHeading">
    <w:name w:val="index heading"/>
    <w:basedOn w:val="Normal"/>
    <w:next w:val="Index1"/>
    <w:semiHidden/>
    <w:rsid w:val="00123703"/>
  </w:style>
  <w:style w:type="paragraph" w:customStyle="1" w:styleId="Line">
    <w:name w:val="Line"/>
    <w:basedOn w:val="Normal"/>
    <w:next w:val="Normal"/>
    <w:rsid w:val="0012370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2370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23703"/>
  </w:style>
  <w:style w:type="paragraph" w:customStyle="1" w:styleId="Partref">
    <w:name w:val="Part_ref"/>
    <w:basedOn w:val="Normal"/>
    <w:next w:val="Normal"/>
    <w:rsid w:val="00123703"/>
    <w:pPr>
      <w:keepNext/>
      <w:keepLines/>
      <w:spacing w:after="280"/>
      <w:jc w:val="center"/>
    </w:pPr>
  </w:style>
  <w:style w:type="paragraph" w:customStyle="1" w:styleId="Parttitle">
    <w:name w:val="Part_title"/>
    <w:basedOn w:val="Normal"/>
    <w:next w:val="Normalaftertitle"/>
    <w:rsid w:val="0012370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23703"/>
  </w:style>
  <w:style w:type="paragraph" w:customStyle="1" w:styleId="QuestionNo">
    <w:name w:val="Question_No"/>
    <w:basedOn w:val="RecNo"/>
    <w:next w:val="Normal"/>
    <w:rsid w:val="00123703"/>
  </w:style>
  <w:style w:type="paragraph" w:customStyle="1" w:styleId="Questionref">
    <w:name w:val="Question_ref"/>
    <w:basedOn w:val="Recref"/>
    <w:next w:val="Questiondate"/>
    <w:rsid w:val="00123703"/>
  </w:style>
  <w:style w:type="paragraph" w:customStyle="1" w:styleId="Questiontitle">
    <w:name w:val="Question_title"/>
    <w:basedOn w:val="Normal"/>
    <w:next w:val="Questionref"/>
    <w:rsid w:val="00123703"/>
  </w:style>
  <w:style w:type="paragraph" w:customStyle="1" w:styleId="Reftext">
    <w:name w:val="Ref_text"/>
    <w:basedOn w:val="Normal"/>
    <w:rsid w:val="00123703"/>
    <w:pPr>
      <w:ind w:left="794" w:hanging="794"/>
    </w:pPr>
    <w:rPr>
      <w:sz w:val="22"/>
    </w:rPr>
  </w:style>
  <w:style w:type="paragraph" w:customStyle="1" w:styleId="Reftitle">
    <w:name w:val="Ref_title"/>
    <w:basedOn w:val="Normal"/>
    <w:next w:val="Reftext"/>
    <w:rsid w:val="0012370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23703"/>
  </w:style>
  <w:style w:type="paragraph" w:customStyle="1" w:styleId="RepNo">
    <w:name w:val="Rep_No"/>
    <w:basedOn w:val="RecNo"/>
    <w:next w:val="Reptitle"/>
    <w:rsid w:val="00123703"/>
  </w:style>
  <w:style w:type="paragraph" w:customStyle="1" w:styleId="Reptitle">
    <w:name w:val="Rep_title"/>
    <w:basedOn w:val="Rectitle"/>
    <w:next w:val="Repref"/>
    <w:rsid w:val="00123703"/>
  </w:style>
  <w:style w:type="paragraph" w:customStyle="1" w:styleId="Repref">
    <w:name w:val="Rep_ref"/>
    <w:basedOn w:val="Recref"/>
    <w:next w:val="Repdate"/>
    <w:rsid w:val="00123703"/>
  </w:style>
  <w:style w:type="paragraph" w:customStyle="1" w:styleId="Resdate">
    <w:name w:val="Res_date"/>
    <w:basedOn w:val="Recdate"/>
    <w:next w:val="Normalaftertitle"/>
    <w:rsid w:val="00123703"/>
  </w:style>
  <w:style w:type="paragraph" w:customStyle="1" w:styleId="ResNo">
    <w:name w:val="Res_No"/>
    <w:basedOn w:val="RecNo"/>
    <w:next w:val="Restitle"/>
    <w:rsid w:val="00123703"/>
  </w:style>
  <w:style w:type="paragraph" w:customStyle="1" w:styleId="Restitle">
    <w:name w:val="Res_title"/>
    <w:basedOn w:val="Normal"/>
    <w:next w:val="Resref"/>
    <w:rsid w:val="00123703"/>
    <w:pPr>
      <w:spacing w:before="240"/>
      <w:jc w:val="center"/>
    </w:pPr>
    <w:rPr>
      <w:b/>
      <w:sz w:val="28"/>
    </w:rPr>
  </w:style>
  <w:style w:type="paragraph" w:customStyle="1" w:styleId="Resref">
    <w:name w:val="Res_ref"/>
    <w:basedOn w:val="Recref"/>
    <w:next w:val="Resdate"/>
    <w:rsid w:val="00123703"/>
  </w:style>
  <w:style w:type="paragraph" w:customStyle="1" w:styleId="SectionNo">
    <w:name w:val="Section_No"/>
    <w:basedOn w:val="Normal"/>
    <w:next w:val="Normal"/>
    <w:rsid w:val="00123703"/>
  </w:style>
  <w:style w:type="paragraph" w:customStyle="1" w:styleId="Sectiontitle">
    <w:name w:val="Section_title"/>
    <w:basedOn w:val="Normal"/>
    <w:next w:val="Normalaftertitle"/>
    <w:rsid w:val="0012370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23703"/>
    <w:pPr>
      <w:tabs>
        <w:tab w:val="clear" w:pos="794"/>
        <w:tab w:val="clear" w:pos="1191"/>
        <w:tab w:val="clear" w:pos="1588"/>
        <w:tab w:val="clear" w:pos="1985"/>
        <w:tab w:val="right" w:pos="9611"/>
      </w:tabs>
    </w:pPr>
    <w:rPr>
      <w:i/>
    </w:rPr>
  </w:style>
  <w:style w:type="paragraph" w:styleId="TOC1">
    <w:name w:val="toc 1"/>
    <w:basedOn w:val="Normal"/>
    <w:semiHidden/>
    <w:rsid w:val="0012370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23703"/>
    <w:pPr>
      <w:tabs>
        <w:tab w:val="clear" w:pos="567"/>
        <w:tab w:val="left" w:pos="1276"/>
      </w:tabs>
      <w:spacing w:before="160"/>
      <w:ind w:left="1276" w:hanging="709"/>
    </w:pPr>
  </w:style>
  <w:style w:type="paragraph" w:styleId="TOC3">
    <w:name w:val="toc 3"/>
    <w:basedOn w:val="TOC2"/>
    <w:semiHidden/>
    <w:rsid w:val="00123703"/>
    <w:pPr>
      <w:tabs>
        <w:tab w:val="clear" w:pos="1276"/>
        <w:tab w:val="left" w:pos="2155"/>
      </w:tabs>
      <w:ind w:left="2155" w:hanging="879"/>
    </w:pPr>
  </w:style>
  <w:style w:type="paragraph" w:styleId="TOC4">
    <w:name w:val="toc 4"/>
    <w:basedOn w:val="TOC3"/>
    <w:semiHidden/>
    <w:rsid w:val="00123703"/>
    <w:pPr>
      <w:tabs>
        <w:tab w:val="left" w:pos="3261"/>
      </w:tabs>
      <w:spacing w:before="80"/>
      <w:ind w:left="3261" w:hanging="993"/>
    </w:pPr>
  </w:style>
  <w:style w:type="paragraph" w:styleId="TOC5">
    <w:name w:val="toc 5"/>
    <w:basedOn w:val="TOC4"/>
    <w:semiHidden/>
    <w:rsid w:val="00123703"/>
  </w:style>
  <w:style w:type="paragraph" w:styleId="TOC6">
    <w:name w:val="toc 6"/>
    <w:basedOn w:val="TOC4"/>
    <w:semiHidden/>
    <w:rsid w:val="00123703"/>
  </w:style>
  <w:style w:type="paragraph" w:styleId="TOC7">
    <w:name w:val="toc 7"/>
    <w:basedOn w:val="TOC4"/>
    <w:semiHidden/>
    <w:rsid w:val="00123703"/>
  </w:style>
  <w:style w:type="paragraph" w:styleId="TOC8">
    <w:name w:val="toc 8"/>
    <w:basedOn w:val="TOC4"/>
    <w:semiHidden/>
    <w:rsid w:val="00123703"/>
  </w:style>
  <w:style w:type="paragraph" w:customStyle="1" w:styleId="Annexref">
    <w:name w:val="Annex_ref"/>
    <w:basedOn w:val="Normal"/>
    <w:next w:val="Normalaftertitle"/>
    <w:rsid w:val="00123703"/>
    <w:pPr>
      <w:keepNext/>
      <w:keepLines/>
      <w:spacing w:after="280"/>
      <w:jc w:val="center"/>
    </w:pPr>
  </w:style>
  <w:style w:type="paragraph" w:customStyle="1" w:styleId="Appendixref">
    <w:name w:val="Appendix_ref"/>
    <w:basedOn w:val="Annexref"/>
    <w:next w:val="Normalaftertitle"/>
    <w:rsid w:val="00123703"/>
  </w:style>
  <w:style w:type="paragraph" w:customStyle="1" w:styleId="Tabletitle">
    <w:name w:val="Table_title"/>
    <w:basedOn w:val="Normal"/>
    <w:next w:val="Tablehead"/>
    <w:rsid w:val="00123703"/>
    <w:pPr>
      <w:keepNext/>
      <w:spacing w:before="0" w:after="120"/>
      <w:jc w:val="center"/>
    </w:pPr>
    <w:rPr>
      <w:b/>
    </w:rPr>
  </w:style>
  <w:style w:type="paragraph" w:customStyle="1" w:styleId="Summary">
    <w:name w:val="Summary"/>
    <w:basedOn w:val="Normal"/>
    <w:next w:val="Normalaftertitle"/>
    <w:rsid w:val="00123703"/>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AnnexNo">
    <w:name w:val="Annex_No"/>
    <w:basedOn w:val="Normal"/>
    <w:next w:val="Annextitle"/>
    <w:rsid w:val="0033592C"/>
    <w:pPr>
      <w:keepNext/>
      <w:keepLines/>
      <w:spacing w:before="480" w:after="80"/>
      <w:jc w:val="center"/>
    </w:pPr>
    <w:rPr>
      <w:sz w:val="28"/>
    </w:rPr>
  </w:style>
  <w:style w:type="paragraph" w:customStyle="1" w:styleId="Annextitle">
    <w:name w:val="Annex_title"/>
    <w:basedOn w:val="Normal"/>
    <w:next w:val="Normalaftertitle"/>
    <w:rsid w:val="0033592C"/>
    <w:pPr>
      <w:keepNext/>
      <w:keepLines/>
      <w:tabs>
        <w:tab w:val="clear" w:pos="794"/>
        <w:tab w:val="clear" w:pos="1191"/>
        <w:tab w:val="clear" w:pos="1588"/>
        <w:tab w:val="clear" w:pos="1985"/>
      </w:tabs>
      <w:spacing w:before="280" w:after="40"/>
      <w:jc w:val="center"/>
    </w:pPr>
    <w:rPr>
      <w:b/>
      <w:sz w:val="28"/>
    </w:rPr>
  </w:style>
  <w:style w:type="paragraph" w:customStyle="1" w:styleId="TableText0">
    <w:name w:val="Table_Text"/>
    <w:basedOn w:val="Normal"/>
    <w:rsid w:val="0033592C"/>
    <w:pPr>
      <w:keepNext/>
      <w:spacing w:before="100" w:after="100" w:line="190" w:lineRule="exact"/>
    </w:pPr>
    <w:rPr>
      <w:sz w:val="18"/>
      <w:lang w:val="en-GB"/>
    </w:rPr>
  </w:style>
  <w:style w:type="paragraph" w:customStyle="1" w:styleId="TableFin0">
    <w:name w:val="Table_Fin"/>
    <w:basedOn w:val="Normal"/>
    <w:next w:val="Normal"/>
    <w:rsid w:val="0033592C"/>
    <w:pPr>
      <w:tabs>
        <w:tab w:val="clear" w:pos="794"/>
        <w:tab w:val="clear" w:pos="1191"/>
        <w:tab w:val="clear" w:pos="1588"/>
        <w:tab w:val="clear" w:pos="1985"/>
      </w:tabs>
      <w:spacing w:before="284"/>
    </w:pPr>
    <w:rPr>
      <w:sz w:val="20"/>
      <w:lang w:val="en-US"/>
    </w:rPr>
  </w:style>
</w:styles>
</file>

<file path=word/webSettings.xml><?xml version="1.0" encoding="utf-8"?>
<w:webSettings xmlns:r="http://schemas.openxmlformats.org/officeDocument/2006/relationships" xmlns:w="http://schemas.openxmlformats.org/wordprocessingml/2006/main">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8C3F3-F99B-419A-9163-EA11BA836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TotalTime>
  <Pages>6</Pages>
  <Words>1868</Words>
  <Characters>10343</Characters>
  <Application>Microsoft Office Word</Application>
  <DocSecurity>0</DocSecurity>
  <Lines>397</Lines>
  <Paragraphs>297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11914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santosbo</cp:lastModifiedBy>
  <cp:revision>4</cp:revision>
  <cp:lastPrinted>2009-06-26T14:19:00Z</cp:lastPrinted>
  <dcterms:created xsi:type="dcterms:W3CDTF">2010-03-05T09:23:00Z</dcterms:created>
  <dcterms:modified xsi:type="dcterms:W3CDTF">2010-04-20T11:37:00Z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