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F21B4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F21B4C">
              <w:rPr>
                <w:rFonts w:ascii="Tahoma" w:hAnsi="Tahoma" w:cs="Tahoma"/>
                <w:b/>
                <w:bCs/>
                <w:iCs/>
                <w:color w:val="243285"/>
                <w:sz w:val="36"/>
                <w:szCs w:val="36"/>
                <w:lang w:val="es-ES_tradnl"/>
              </w:rPr>
              <w:t>106-2</w:t>
            </w:r>
          </w:p>
          <w:p w:rsidR="00B1717A" w:rsidRPr="0010336F" w:rsidRDefault="00B1717A" w:rsidP="00F21B4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21B4C">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F21B4C">
              <w:rPr>
                <w:rFonts w:ascii="Tahoma" w:hAnsi="Tahoma" w:cs="Tahoma"/>
                <w:b/>
                <w:bCs/>
                <w:iCs/>
                <w:color w:val="243285"/>
                <w:szCs w:val="24"/>
                <w:lang w:val="es-ES_tradnl"/>
              </w:rPr>
              <w:t>1999</w:t>
            </w:r>
            <w:r w:rsidRPr="0010336F">
              <w:rPr>
                <w:rFonts w:ascii="Tahoma" w:hAnsi="Tahoma" w:cs="Tahoma"/>
                <w:b/>
                <w:bCs/>
                <w:iCs/>
                <w:color w:val="243285"/>
                <w:szCs w:val="24"/>
                <w:lang w:val="es-ES_tradnl"/>
              </w:rPr>
              <w:t>)</w:t>
            </w:r>
          </w:p>
        </w:tc>
      </w:tr>
      <w:tr w:rsidR="00B1717A" w:rsidRPr="005B4020"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F21B4C" w:rsidP="00C27537">
            <w:pPr>
              <w:spacing w:before="80" w:line="500" w:lineRule="exact"/>
              <w:jc w:val="right"/>
              <w:rPr>
                <w:rFonts w:ascii="Tahoma" w:hAnsi="Tahoma" w:cs="Tahoma"/>
                <w:b/>
                <w:bCs/>
                <w:color w:val="243285"/>
                <w:sz w:val="44"/>
                <w:szCs w:val="44"/>
                <w:lang w:val="es-ES_tradnl"/>
              </w:rPr>
            </w:pPr>
            <w:r w:rsidRPr="003B1B8F">
              <w:rPr>
                <w:rFonts w:ascii="Tahoma" w:hAnsi="Tahoma" w:cs="Tahoma"/>
                <w:b/>
                <w:bCs/>
                <w:iCs/>
                <w:color w:val="243285"/>
                <w:sz w:val="44"/>
                <w:szCs w:val="44"/>
                <w:lang w:val="es-ES_tradnl"/>
              </w:rPr>
              <w:t>Uso de diversidad para telegrafía</w:t>
            </w:r>
            <w:r w:rsidR="00C27537">
              <w:rPr>
                <w:rFonts w:ascii="Tahoma" w:hAnsi="Tahoma" w:cs="Tahoma"/>
                <w:b/>
                <w:bCs/>
                <w:iCs/>
                <w:color w:val="243285"/>
                <w:sz w:val="44"/>
                <w:szCs w:val="44"/>
                <w:lang w:val="es-ES_tradnl"/>
              </w:rPr>
              <w:t xml:space="preserve"> </w:t>
            </w:r>
            <w:r w:rsidRPr="003B1B8F">
              <w:rPr>
                <w:rFonts w:ascii="Tahoma" w:hAnsi="Tahoma" w:cs="Tahoma"/>
                <w:b/>
                <w:bCs/>
                <w:iCs/>
                <w:color w:val="243285"/>
                <w:sz w:val="44"/>
                <w:szCs w:val="44"/>
                <w:lang w:val="es-ES_tradnl"/>
              </w:rPr>
              <w:t>armónica</w:t>
            </w:r>
            <w:r w:rsidR="00C27537">
              <w:rPr>
                <w:rFonts w:ascii="Tahoma" w:hAnsi="Tahoma" w:cs="Tahoma"/>
                <w:b/>
                <w:bCs/>
                <w:iCs/>
                <w:color w:val="243285"/>
                <w:sz w:val="44"/>
                <w:szCs w:val="44"/>
                <w:lang w:val="es-ES_tradnl"/>
              </w:rPr>
              <w:br/>
            </w:r>
            <w:r w:rsidRPr="003B1B8F">
              <w:rPr>
                <w:rFonts w:ascii="Tahoma" w:hAnsi="Tahoma" w:cs="Tahoma"/>
                <w:b/>
                <w:bCs/>
                <w:iCs/>
                <w:color w:val="243285"/>
                <w:sz w:val="44"/>
                <w:szCs w:val="44"/>
                <w:lang w:val="es-ES_tradnl"/>
              </w:rPr>
              <w:t>en circuitos radioeléctricos</w:t>
            </w:r>
            <w:r w:rsidR="00C27537">
              <w:rPr>
                <w:rFonts w:ascii="Tahoma" w:hAnsi="Tahoma" w:cs="Tahoma"/>
                <w:b/>
                <w:bCs/>
                <w:iCs/>
                <w:color w:val="243285"/>
                <w:sz w:val="44"/>
                <w:szCs w:val="44"/>
                <w:lang w:val="es-ES_tradnl"/>
              </w:rPr>
              <w:br/>
            </w:r>
            <w:r w:rsidRPr="003B1B8F">
              <w:rPr>
                <w:rFonts w:ascii="Tahoma" w:hAnsi="Tahoma" w:cs="Tahoma"/>
                <w:b/>
                <w:bCs/>
                <w:iCs/>
                <w:color w:val="243285"/>
                <w:sz w:val="44"/>
                <w:szCs w:val="44"/>
                <w:lang w:val="es-ES_tradnl"/>
              </w:rPr>
              <w:t>de ondas decamétricas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5B4020"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5B4020"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5B4020"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5B4020"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5B402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5B402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5B402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5B4020"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34A65">
      <w:pPr>
        <w:spacing w:before="0" w:after="40"/>
        <w:jc w:val="right"/>
        <w:rPr>
          <w:sz w:val="20"/>
          <w:lang w:val="es-ES_tradnl"/>
        </w:rPr>
      </w:pPr>
      <w:r w:rsidRPr="00763D08">
        <w:rPr>
          <w:sz w:val="20"/>
          <w:lang w:val="es-ES_tradnl"/>
        </w:rPr>
        <w:t>Ginebra, 20</w:t>
      </w:r>
      <w:r w:rsidR="005B4020">
        <w:rPr>
          <w:sz w:val="20"/>
          <w:lang w:val="es-ES_tradnl"/>
        </w:rPr>
        <w:t>11</w:t>
      </w:r>
    </w:p>
    <w:p w:rsidR="00B1717A" w:rsidRPr="00763D08" w:rsidRDefault="00B1717A" w:rsidP="00B1717A">
      <w:pPr>
        <w:spacing w:before="0"/>
        <w:jc w:val="center"/>
        <w:rPr>
          <w:sz w:val="22"/>
          <w:lang w:val="es-ES_tradnl"/>
        </w:rPr>
      </w:pPr>
    </w:p>
    <w:p w:rsidR="00B1717A" w:rsidRPr="00763D08" w:rsidRDefault="00B1717A" w:rsidP="005B402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w:t>
      </w:r>
      <w:r w:rsidR="005B4020">
        <w:rPr>
          <w:sz w:val="20"/>
          <w:lang w:val="es-ES_tradnl"/>
        </w:rPr>
        <w:t>1</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Default="00F21B4C" w:rsidP="00F21B4C">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Pr>
          <w:rStyle w:val="href"/>
          <w:lang w:val="es-ES_tradnl"/>
        </w:rPr>
        <w:t>06-2</w:t>
      </w:r>
      <w:r w:rsidR="001A24D9" w:rsidRPr="00D329E9">
        <w:rPr>
          <w:rStyle w:val="FootnoteReference"/>
          <w:lang w:val="es-ES_tradnl"/>
        </w:rPr>
        <w:footnoteReference w:customMarkFollows="1" w:id="1"/>
        <w:t>*</w:t>
      </w:r>
    </w:p>
    <w:p w:rsidR="001A24D9" w:rsidRPr="00D329E9" w:rsidRDefault="001A24D9" w:rsidP="001A24D9">
      <w:pPr>
        <w:pStyle w:val="Rectitle"/>
        <w:rPr>
          <w:lang w:val="es-ES_tradnl"/>
        </w:rPr>
      </w:pPr>
      <w:bookmarkStart w:id="4" w:name="Pre_title"/>
      <w:r w:rsidRPr="00D329E9">
        <w:rPr>
          <w:lang w:val="es-ES_tradnl"/>
        </w:rPr>
        <w:t xml:space="preserve">Uso de diversidad para telegrafía armónica en circuitos </w:t>
      </w:r>
      <w:r w:rsidRPr="00D329E9">
        <w:rPr>
          <w:lang w:val="es-ES_tradnl"/>
        </w:rPr>
        <w:br/>
        <w:t>radioeléctricos de ondas decamétricas</w:t>
      </w:r>
      <w:bookmarkEnd w:id="4"/>
    </w:p>
    <w:p w:rsidR="001A24D9" w:rsidRDefault="001A24D9" w:rsidP="001A24D9">
      <w:pPr>
        <w:pStyle w:val="Recdate"/>
        <w:rPr>
          <w:lang w:val="es-ES_tradnl"/>
        </w:rPr>
      </w:pPr>
      <w:bookmarkStart w:id="5" w:name="Related_Questions"/>
      <w:bookmarkStart w:id="6" w:name="Revision_history"/>
      <w:bookmarkEnd w:id="5"/>
    </w:p>
    <w:p w:rsidR="001A24D9" w:rsidRDefault="001A24D9" w:rsidP="001A24D9">
      <w:pPr>
        <w:pStyle w:val="Recdate"/>
        <w:rPr>
          <w:lang w:val="es-ES_tradnl"/>
        </w:rPr>
      </w:pPr>
      <w:r w:rsidRPr="00D329E9">
        <w:rPr>
          <w:lang w:val="es-ES_tradnl"/>
        </w:rPr>
        <w:t>(1953-1970-1999)</w:t>
      </w:r>
      <w:bookmarkEnd w:id="6"/>
    </w:p>
    <w:p w:rsidR="001A24D9" w:rsidRPr="00C27537" w:rsidRDefault="001A24D9" w:rsidP="001A24D9">
      <w:pPr>
        <w:rPr>
          <w:lang w:val="es-ES_tradnl"/>
        </w:rPr>
      </w:pPr>
    </w:p>
    <w:p w:rsidR="001A24D9" w:rsidRPr="00FB7D5B" w:rsidRDefault="001A24D9" w:rsidP="001A24D9">
      <w:pPr>
        <w:pStyle w:val="HeadingSum"/>
      </w:pPr>
      <w:r w:rsidRPr="00FB7D5B">
        <w:t xml:space="preserve">Cometido </w:t>
      </w:r>
    </w:p>
    <w:p w:rsidR="001A24D9" w:rsidRPr="00FB7D5B" w:rsidRDefault="001A24D9" w:rsidP="001A24D9">
      <w:pPr>
        <w:pStyle w:val="Summary"/>
      </w:pPr>
      <w:r w:rsidRPr="00FB7D5B">
        <w:t>En la presente Recomendación se describe el uso de la recepción con diversidad para sistemas de telegrafía a frecuencias inferiores a 30 MHz. El Anexo versa sobre la diversidad de codificación.</w:t>
      </w:r>
    </w:p>
    <w:p w:rsidR="001A24D9" w:rsidRPr="00C27537" w:rsidRDefault="001A24D9" w:rsidP="001A24D9">
      <w:pPr>
        <w:pStyle w:val="Normalaftertitle"/>
        <w:rPr>
          <w:lang w:val="es-ES_tradnl"/>
        </w:rPr>
      </w:pPr>
      <w:r w:rsidRPr="00C27537">
        <w:rPr>
          <w:lang w:val="es-ES_tradnl"/>
        </w:rPr>
        <w:t>La Asamblea de Radiocomunicaciones de la UIT,</w:t>
      </w:r>
    </w:p>
    <w:p w:rsidR="001A24D9" w:rsidRPr="00D329E9" w:rsidRDefault="001A24D9" w:rsidP="001A24D9">
      <w:pPr>
        <w:pStyle w:val="Call"/>
        <w:rPr>
          <w:lang w:val="es-ES_tradnl"/>
        </w:rPr>
      </w:pPr>
      <w:r w:rsidRPr="00D329E9">
        <w:rPr>
          <w:lang w:val="es-ES_tradnl"/>
        </w:rPr>
        <w:t>considerando</w:t>
      </w:r>
    </w:p>
    <w:p w:rsidR="001A24D9" w:rsidRPr="00D329E9" w:rsidRDefault="001A24D9" w:rsidP="001A24D9">
      <w:pPr>
        <w:rPr>
          <w:lang w:val="es-ES_tradnl"/>
        </w:rPr>
      </w:pPr>
      <w:r w:rsidRPr="00D329E9">
        <w:rPr>
          <w:rFonts w:ascii="Tms Rmn" w:hAnsi="Tms Rmn"/>
          <w:lang w:val="es-ES_tradnl"/>
        </w:rPr>
        <w:t>a)</w:t>
      </w:r>
      <w:r w:rsidRPr="00D329E9">
        <w:rPr>
          <w:lang w:val="es-ES_tradnl"/>
        </w:rPr>
        <w:tab/>
        <w:t>que, de utilizarse dispositivos de telegrafía armónica en circuitos radioeléctricos que funcionen en frecuencias inferiores a unos 30 MHz, la calidad de servicio obtenida sin diversidad es, por lo general, insuficiente;</w:t>
      </w:r>
    </w:p>
    <w:p w:rsidR="001A24D9" w:rsidRPr="00D329E9" w:rsidRDefault="001A24D9" w:rsidP="001A24D9">
      <w:pPr>
        <w:rPr>
          <w:lang w:val="es-ES_tradnl"/>
        </w:rPr>
      </w:pPr>
      <w:r w:rsidRPr="00D329E9">
        <w:rPr>
          <w:lang w:val="es-ES_tradnl"/>
        </w:rPr>
        <w:t>b)</w:t>
      </w:r>
      <w:r w:rsidRPr="00D329E9">
        <w:rPr>
          <w:lang w:val="es-ES_tradnl"/>
        </w:rPr>
        <w:tab/>
        <w:t>que, en presencia de desvanecimiento, la recepción por diversidad en el espacio o de polarización y la recepción por diversidad de frecuencia mejoran en el mismo grado la calidad de recepción de las señales telegráficas transmitidas por un circuito radioeléctrico;</w:t>
      </w:r>
    </w:p>
    <w:p w:rsidR="001A24D9" w:rsidRPr="00D329E9" w:rsidRDefault="001A24D9" w:rsidP="001A24D9">
      <w:pPr>
        <w:rPr>
          <w:lang w:val="es-ES_tradnl"/>
        </w:rPr>
      </w:pPr>
      <w:r w:rsidRPr="00D329E9">
        <w:rPr>
          <w:lang w:val="es-ES_tradnl"/>
        </w:rPr>
        <w:t>c)</w:t>
      </w:r>
      <w:r w:rsidRPr="00D329E9">
        <w:rPr>
          <w:lang w:val="es-ES_tradnl"/>
        </w:rPr>
        <w:tab/>
        <w:t>que la diversidad de frecuencia es generalmente eficaz, a condición de que la diferencia entre las frecuencias de los dos canales conectados en diversidad sea superior a 400 Hz;</w:t>
      </w:r>
    </w:p>
    <w:p w:rsidR="001A24D9" w:rsidRPr="00D329E9" w:rsidRDefault="001A24D9" w:rsidP="001A24D9">
      <w:pPr>
        <w:rPr>
          <w:lang w:val="es-ES_tradnl"/>
        </w:rPr>
      </w:pPr>
      <w:r w:rsidRPr="00D329E9">
        <w:rPr>
          <w:lang w:val="es-ES_tradnl"/>
        </w:rPr>
        <w:t>d)</w:t>
      </w:r>
      <w:r w:rsidRPr="00D329E9">
        <w:rPr>
          <w:lang w:val="es-ES_tradnl"/>
        </w:rPr>
        <w:tab/>
        <w:t>que la recepción por diversidad en el espacio o de polarización requiere para cada canal telegráfico una anchura de banda dos veces menor y menos potencia de emisión que la recepción por diversidad de frecuencia, pero exige, en general, más equipo,</w:t>
      </w:r>
    </w:p>
    <w:p w:rsidR="001A24D9" w:rsidRPr="00D329E9" w:rsidRDefault="001A24D9" w:rsidP="001A24D9">
      <w:pPr>
        <w:pStyle w:val="Call"/>
        <w:rPr>
          <w:lang w:val="es-ES_tradnl"/>
        </w:rPr>
      </w:pPr>
      <w:r w:rsidRPr="00D329E9">
        <w:rPr>
          <w:lang w:val="es-ES_tradnl"/>
        </w:rPr>
        <w:t>recomienda</w:t>
      </w:r>
    </w:p>
    <w:p w:rsidR="001A24D9" w:rsidRPr="00D329E9" w:rsidRDefault="001A24D9" w:rsidP="001A24D9">
      <w:pPr>
        <w:rPr>
          <w:lang w:val="es-ES_tradnl"/>
        </w:rPr>
      </w:pPr>
      <w:r w:rsidRPr="00D329E9">
        <w:rPr>
          <w:b/>
          <w:lang w:val="es-ES_tradnl"/>
        </w:rPr>
        <w:t>1</w:t>
      </w:r>
      <w:r w:rsidRPr="00D329E9">
        <w:rPr>
          <w:lang w:val="es-ES_tradnl"/>
        </w:rPr>
        <w:tab/>
        <w:t>que en los sistemas de telegrafía armónica en circuitos radioeléctricos que utilicen frecuencias inferiores a 30 MHz, aproximadamente, se emplee la recepción por diversidad en cada canal telegráfico;</w:t>
      </w:r>
    </w:p>
    <w:p w:rsidR="001A24D9" w:rsidRPr="00D329E9" w:rsidRDefault="001A24D9" w:rsidP="001A24D9">
      <w:pPr>
        <w:rPr>
          <w:lang w:val="es-ES_tradnl"/>
        </w:rPr>
      </w:pPr>
      <w:r w:rsidRPr="00D329E9">
        <w:rPr>
          <w:b/>
          <w:lang w:val="es-ES_tradnl"/>
        </w:rPr>
        <w:t>2</w:t>
      </w:r>
      <w:r w:rsidRPr="00D329E9">
        <w:rPr>
          <w:lang w:val="es-ES_tradnl"/>
        </w:rPr>
        <w:tab/>
        <w:t>que, siempre que sea posible, se utilice la recepción por diversidad en el espacio o, eventualmente, diversidad de polarización con preferencia a la recepción por diversidad de frecuencia;</w:t>
      </w:r>
    </w:p>
    <w:p w:rsidR="001A24D9" w:rsidRPr="00D329E9" w:rsidRDefault="001A24D9" w:rsidP="001A24D9">
      <w:pPr>
        <w:rPr>
          <w:lang w:val="es-ES_tradnl"/>
        </w:rPr>
      </w:pPr>
      <w:r w:rsidRPr="00D329E9">
        <w:rPr>
          <w:b/>
          <w:lang w:val="es-ES_tradnl"/>
        </w:rPr>
        <w:t>3</w:t>
      </w:r>
      <w:r w:rsidRPr="00D329E9">
        <w:rPr>
          <w:lang w:val="es-ES_tradnl"/>
        </w:rPr>
        <w:tab/>
        <w:t>que, para obtener un efecto de diversidad suficiente, en el caso de la diversidad de frecuencia, la separación entre las frecuencias de los canales combinados sea, por lo menos, de 400 Hz;</w:t>
      </w:r>
    </w:p>
    <w:p w:rsidR="001A24D9" w:rsidRPr="00D329E9" w:rsidRDefault="001A24D9" w:rsidP="001A24D9">
      <w:pPr>
        <w:rPr>
          <w:lang w:val="es-ES_tradnl"/>
        </w:rPr>
      </w:pPr>
      <w:r w:rsidRPr="00D329E9">
        <w:rPr>
          <w:b/>
          <w:lang w:val="es-ES_tradnl"/>
        </w:rPr>
        <w:t>4</w:t>
      </w:r>
      <w:r w:rsidRPr="00D329E9">
        <w:rPr>
          <w:lang w:val="es-ES_tradnl"/>
        </w:rPr>
        <w:tab/>
        <w:t>que para obtener más información sobre las técnicas de diversidad se consulte el Anexo 1.</w:t>
      </w:r>
    </w:p>
    <w:p w:rsidR="001A24D9" w:rsidRPr="00D329E9" w:rsidRDefault="00F97762" w:rsidP="001A24D9">
      <w:pPr>
        <w:pStyle w:val="AnnexNoTitle"/>
        <w:rPr>
          <w:lang w:val="es-ES_tradnl"/>
        </w:rPr>
      </w:pPr>
      <w:r w:rsidRPr="00D329E9">
        <w:rPr>
          <w:lang w:val="es-ES_tradnl"/>
        </w:rPr>
        <w:lastRenderedPageBreak/>
        <w:t xml:space="preserve">Anexo </w:t>
      </w:r>
      <w:r w:rsidR="001A24D9" w:rsidRPr="00D329E9">
        <w:rPr>
          <w:lang w:val="es-ES_tradnl"/>
        </w:rPr>
        <w:t>1</w:t>
      </w:r>
      <w:r w:rsidR="001A24D9">
        <w:rPr>
          <w:lang w:val="es-ES_tradnl"/>
        </w:rPr>
        <w:br/>
      </w:r>
      <w:r w:rsidR="001A24D9">
        <w:rPr>
          <w:lang w:val="es-ES_tradnl"/>
        </w:rPr>
        <w:br/>
      </w:r>
      <w:r w:rsidR="001A24D9" w:rsidRPr="00D329E9">
        <w:rPr>
          <w:lang w:val="es-ES_tradnl"/>
        </w:rPr>
        <w:t>Utilización de diversidad de codificación</w:t>
      </w:r>
    </w:p>
    <w:p w:rsidR="001A24D9" w:rsidRPr="00D329E9" w:rsidRDefault="001A24D9" w:rsidP="001A24D9">
      <w:pPr>
        <w:pStyle w:val="Heading1"/>
        <w:rPr>
          <w:lang w:val="es-ES_tradnl"/>
        </w:rPr>
      </w:pPr>
      <w:r w:rsidRPr="00D329E9">
        <w:rPr>
          <w:lang w:val="es-ES_tradnl"/>
        </w:rPr>
        <w:t>1</w:t>
      </w:r>
      <w:r w:rsidRPr="00D329E9">
        <w:rPr>
          <w:lang w:val="es-ES_tradnl"/>
        </w:rPr>
        <w:tab/>
        <w:t>Introducción</w:t>
      </w:r>
    </w:p>
    <w:p w:rsidR="001A24D9" w:rsidRPr="00D329E9" w:rsidRDefault="001A24D9" w:rsidP="001A24D9">
      <w:pPr>
        <w:rPr>
          <w:lang w:val="es-ES_tradnl"/>
        </w:rPr>
      </w:pPr>
      <w:r w:rsidRPr="00D329E9">
        <w:rPr>
          <w:lang w:val="es-ES_tradnl"/>
        </w:rPr>
        <w:t>Es preciso establecer sistemas de transmisión de datos por ondas decamétricas para proporcionar un servicio fiable y eficiente con módems multicanales de multiplaje por división de frecuencia (MDF), como los descritos en esta Recomendación, o con módems multicanal de modulación por desplazamiento de fase (MDP) como los que se describen en la Recomendación UIT-R F.763. Para compensar el efecto desfavorable del fenómeno de desvanecimiento selectivo del medio de transmisión, se utilizan ampliamente técnicas con diversidad de frecuencias, en banda y de otro tipo.</w:t>
      </w:r>
    </w:p>
    <w:p w:rsidR="001A24D9" w:rsidRPr="00D329E9" w:rsidRDefault="001A24D9" w:rsidP="001A24D9">
      <w:pPr>
        <w:rPr>
          <w:lang w:val="es-ES_tradnl"/>
        </w:rPr>
      </w:pPr>
      <w:r w:rsidRPr="00D329E9">
        <w:rPr>
          <w:lang w:val="es-ES_tradnl"/>
        </w:rPr>
        <w:t>En este Anexo se describe una técnica de codificación merced a la cual se mejora el sistema con diversidad de frecuencias en banda.</w:t>
      </w:r>
    </w:p>
    <w:p w:rsidR="001A24D9" w:rsidRPr="00D329E9" w:rsidRDefault="001A24D9" w:rsidP="001A24D9">
      <w:pPr>
        <w:pStyle w:val="Heading1"/>
        <w:rPr>
          <w:lang w:val="es-ES_tradnl"/>
        </w:rPr>
      </w:pPr>
      <w:r w:rsidRPr="00D329E9">
        <w:rPr>
          <w:lang w:val="es-ES_tradnl"/>
        </w:rPr>
        <w:t>2</w:t>
      </w:r>
      <w:r w:rsidRPr="00D329E9">
        <w:rPr>
          <w:lang w:val="es-ES_tradnl"/>
        </w:rPr>
        <w:tab/>
        <w:t>Descripción del sistema</w:t>
      </w:r>
    </w:p>
    <w:p w:rsidR="001A24D9" w:rsidRPr="00D329E9" w:rsidRDefault="001A24D9" w:rsidP="001A24D9">
      <w:pPr>
        <w:rPr>
          <w:lang w:val="es-ES_tradnl"/>
        </w:rPr>
      </w:pPr>
      <w:r w:rsidRPr="00D329E9">
        <w:rPr>
          <w:lang w:val="es-ES_tradnl"/>
        </w:rPr>
        <w:t xml:space="preserve">En la Fig. 1 se muestra el esquema de transmisión. La señal </w:t>
      </w:r>
      <w:r w:rsidRPr="00D329E9">
        <w:rPr>
          <w:i/>
          <w:lang w:val="es-ES_tradnl"/>
        </w:rPr>
        <w:t>m</w:t>
      </w:r>
      <w:r w:rsidRPr="00D329E9">
        <w:rPr>
          <w:lang w:val="es-ES_tradnl"/>
        </w:rPr>
        <w:t>(</w:t>
      </w:r>
      <w:r w:rsidRPr="00D329E9">
        <w:rPr>
          <w:i/>
          <w:lang w:val="es-ES_tradnl"/>
        </w:rPr>
        <w:t>t</w:t>
      </w:r>
      <w:r w:rsidRPr="00D329E9">
        <w:rPr>
          <w:lang w:val="es-ES_tradnl"/>
        </w:rPr>
        <w:t xml:space="preserve">) que sale de una fuente de información binaria se aplica al registro de desplazamiento de un codificador de longitud </w:t>
      </w:r>
      <w:r w:rsidRPr="00D329E9">
        <w:rPr>
          <w:i/>
          <w:lang w:val="es-ES_tradnl"/>
        </w:rPr>
        <w:t>K</w:t>
      </w:r>
      <w:r w:rsidRPr="00D329E9">
        <w:rPr>
          <w:lang w:val="es-ES_tradnl"/>
        </w:rPr>
        <w:t xml:space="preserve">. Después de cada desplazamiento del registro a la velocidad de datos de la fuente, el codificador genera dos bits de código, </w:t>
      </w:r>
      <w:r w:rsidRPr="00D329E9">
        <w:rPr>
          <w:i/>
          <w:lang w:val="es-ES_tradnl"/>
        </w:rPr>
        <w:t>c</w:t>
      </w:r>
      <w:r w:rsidRPr="00884F2D">
        <w:rPr>
          <w:vertAlign w:val="subscript"/>
          <w:lang w:val="es-ES_tradnl"/>
        </w:rPr>
        <w:t>1</w:t>
      </w:r>
      <w:r w:rsidRPr="00D329E9">
        <w:rPr>
          <w:lang w:val="es-ES_tradnl"/>
        </w:rPr>
        <w:t>(</w:t>
      </w:r>
      <w:r w:rsidRPr="00D329E9">
        <w:rPr>
          <w:i/>
          <w:lang w:val="es-ES_tradnl"/>
        </w:rPr>
        <w:t>t</w:t>
      </w:r>
      <w:r w:rsidRPr="00D329E9">
        <w:rPr>
          <w:lang w:val="es-ES_tradnl"/>
        </w:rPr>
        <w:t xml:space="preserve">) y </w:t>
      </w:r>
      <w:r w:rsidRPr="00D329E9">
        <w:rPr>
          <w:i/>
          <w:lang w:val="es-ES_tradnl"/>
        </w:rPr>
        <w:t>c</w:t>
      </w:r>
      <w:r w:rsidRPr="00884F2D">
        <w:rPr>
          <w:vertAlign w:val="subscript"/>
          <w:lang w:val="es-ES_tradnl"/>
        </w:rPr>
        <w:t>2</w:t>
      </w:r>
      <w:r w:rsidRPr="00D329E9">
        <w:rPr>
          <w:lang w:val="es-ES_tradnl"/>
        </w:rPr>
        <w:t>(</w:t>
      </w:r>
      <w:r w:rsidRPr="00D329E9">
        <w:rPr>
          <w:i/>
          <w:lang w:val="es-ES_tradnl"/>
        </w:rPr>
        <w:t>t</w:t>
      </w:r>
      <w:r w:rsidRPr="00D329E9">
        <w:rPr>
          <w:lang w:val="es-ES_tradnl"/>
        </w:rPr>
        <w:t>), que a su vez activan los moduladores de datos correspondientes. En la práctica, la separación entre las frecuencias centrales de esos moduladores de datos suele ser aproximadamente de 1 kHz. La salida combinada de los moduladores se aplica luego a un sistema de transmisión de banda lateral única (BLU) en ondas decamétricas.</w:t>
      </w:r>
    </w:p>
    <w:p w:rsidR="001A24D9" w:rsidRPr="00D329E9" w:rsidRDefault="001A24D9" w:rsidP="00A33815">
      <w:pPr>
        <w:rPr>
          <w:lang w:val="es-ES_tradnl"/>
        </w:rPr>
      </w:pPr>
      <w:r w:rsidRPr="00D329E9">
        <w:rPr>
          <w:lang w:val="es-ES_tradnl"/>
        </w:rPr>
        <w:t xml:space="preserve">En condiciones de funcionamiento con diversidad de frecuencias, el sistema de la Fig. 1 adopta su forma más sencilla. Los bits de código son simples réplicas del bit de información, esto es, </w:t>
      </w:r>
      <w:r w:rsidRPr="00D329E9">
        <w:rPr>
          <w:i/>
          <w:lang w:val="es-ES_tradnl"/>
        </w:rPr>
        <w:t>c</w:t>
      </w:r>
      <w:r w:rsidRPr="00884F2D">
        <w:rPr>
          <w:vertAlign w:val="subscript"/>
          <w:lang w:val="es-ES_tradnl"/>
        </w:rPr>
        <w:t>1</w:t>
      </w:r>
      <w:r w:rsidRPr="00D329E9">
        <w:rPr>
          <w:lang w:val="es-ES_tradnl"/>
        </w:rPr>
        <w:t>(</w:t>
      </w:r>
      <w:r w:rsidRPr="00D329E9">
        <w:rPr>
          <w:i/>
          <w:lang w:val="es-ES_tradnl"/>
        </w:rPr>
        <w:t>t</w:t>
      </w:r>
      <w:r w:rsidRPr="00D329E9">
        <w:rPr>
          <w:lang w:val="es-ES_tradnl"/>
        </w:rPr>
        <w:t>) </w:t>
      </w:r>
      <w:r w:rsidR="00A33815">
        <w:rPr>
          <w:lang w:val="es-ES_tradnl"/>
        </w:rPr>
        <w:sym w:font="Symbol" w:char="F03D"/>
      </w:r>
      <w:r w:rsidRPr="00D329E9">
        <w:rPr>
          <w:lang w:val="es-ES_tradnl"/>
        </w:rPr>
        <w:t> </w:t>
      </w:r>
      <w:r w:rsidRPr="00D329E9">
        <w:rPr>
          <w:i/>
          <w:lang w:val="es-ES_tradnl"/>
        </w:rPr>
        <w:t>c</w:t>
      </w:r>
      <w:r w:rsidRPr="00884F2D">
        <w:rPr>
          <w:vertAlign w:val="subscript"/>
          <w:lang w:val="es-ES_tradnl"/>
        </w:rPr>
        <w:t>2</w:t>
      </w:r>
      <w:r w:rsidRPr="00D329E9">
        <w:rPr>
          <w:lang w:val="es-ES_tradnl"/>
        </w:rPr>
        <w:t>(</w:t>
      </w:r>
      <w:r w:rsidRPr="00D329E9">
        <w:rPr>
          <w:i/>
          <w:lang w:val="es-ES_tradnl"/>
        </w:rPr>
        <w:t>t</w:t>
      </w:r>
      <w:r w:rsidRPr="00D329E9">
        <w:rPr>
          <w:lang w:val="es-ES_tradnl"/>
        </w:rPr>
        <w:t>) </w:t>
      </w:r>
      <w:r w:rsidR="00A33815">
        <w:rPr>
          <w:lang w:val="es-ES_tradnl"/>
        </w:rPr>
        <w:sym w:font="Symbol" w:char="F03D"/>
      </w:r>
      <w:r w:rsidRPr="00D329E9">
        <w:rPr>
          <w:lang w:val="es-ES_tradnl"/>
        </w:rPr>
        <w:t> </w:t>
      </w:r>
      <w:r w:rsidRPr="00D329E9">
        <w:rPr>
          <w:i/>
          <w:lang w:val="es-ES_tradnl"/>
        </w:rPr>
        <w:t>m</w:t>
      </w:r>
      <w:r w:rsidRPr="00D329E9">
        <w:rPr>
          <w:lang w:val="es-ES_tradnl"/>
        </w:rPr>
        <w:t>(</w:t>
      </w:r>
      <w:r w:rsidRPr="00D329E9">
        <w:rPr>
          <w:i/>
          <w:lang w:val="es-ES_tradnl"/>
        </w:rPr>
        <w:t>t</w:t>
      </w:r>
      <w:r w:rsidRPr="00D329E9">
        <w:rPr>
          <w:lang w:val="es-ES_tradnl"/>
        </w:rPr>
        <w:t>). La decisión sobre el valor de un bit de información determinado se basa en el valor combinado de las salidas de los dos demoduladores. En el contexto de una teoría de la información, la diversidad de frecuencias puede definirse como una técnica de codificación con una relación de 1/2 que utiliza decisiones programadas.</w:t>
      </w:r>
    </w:p>
    <w:p w:rsidR="001A24D9" w:rsidRPr="00D329E9" w:rsidRDefault="001A24D9" w:rsidP="001A24D9">
      <w:pPr>
        <w:rPr>
          <w:lang w:val="es-ES_tradnl"/>
        </w:rPr>
      </w:pPr>
      <w:r w:rsidRPr="00D329E9">
        <w:rPr>
          <w:lang w:val="es-ES_tradnl"/>
        </w:rPr>
        <w:t>En las transmisiones con diversidad de frecuencias, sólo dos bits de código contienen información sobre cualquier bit de información dado. Con una probabilidad no nula, esos dos bits se pueden alterar simultáneamente a causa del desvanecimiento, la interferencia o el ruido, provocando una decisión incorrecta en el bit de información. Cuando esto sucede, no es posible corregir el error utilizando los valores de los otros bits de código. Así pues, resulta conveniente codificar la secuencia de información, de modo que más de un solo par de bits de codificación se relacione con cualquier bit de información determinado. El sistema de la Fig. 1 lo consigue estableciendo la correspondencia en la secuencia de información con anterioridad a la transmisión.</w:t>
      </w:r>
    </w:p>
    <w:p w:rsidR="001A24D9" w:rsidRPr="00D329E9" w:rsidRDefault="001A24D9" w:rsidP="00A33815">
      <w:pPr>
        <w:pStyle w:val="FigureNo"/>
        <w:keepNext w:val="0"/>
        <w:rPr>
          <w:lang w:val="es-ES_tradnl"/>
        </w:rPr>
      </w:pPr>
      <w:r w:rsidRPr="00D329E9">
        <w:rPr>
          <w:lang w:val="es-ES_tradnl"/>
        </w:rPr>
        <w:object w:dxaOrig="7210" w:dyaOrig="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3.6pt" o:ole="">
            <v:imagedata r:id="rId13" o:title=""/>
          </v:shape>
          <o:OLEObject Type="Embed" ProgID="Word.Document.8" ShapeID="_x0000_i1025" DrawAspect="Content" ObjectID="_1356527160" r:id="rId14"/>
        </w:object>
      </w:r>
    </w:p>
    <w:p w:rsidR="00432D58" w:rsidRDefault="00432D58" w:rsidP="001A24D9">
      <w:pPr>
        <w:rPr>
          <w:lang w:val="es-ES_tradnl"/>
        </w:rPr>
      </w:pPr>
    </w:p>
    <w:p w:rsidR="001A24D9" w:rsidRPr="00D329E9" w:rsidRDefault="001A24D9" w:rsidP="001A24D9">
      <w:pPr>
        <w:rPr>
          <w:lang w:val="es-ES_tradnl"/>
        </w:rPr>
      </w:pPr>
      <w:r w:rsidRPr="00D329E9">
        <w:rPr>
          <w:lang w:val="es-ES_tradnl"/>
        </w:rPr>
        <w:t xml:space="preserve">En la transmisión con diversidad de frecuencias codificadas podría utilizarse cualquier tipo de código de corrección de errores con relación de 1/2, pero los códigos convolucionales son particularmente adecuados porque la estructura de sus codificadores se adapta a la estructura de los sistemas de transmisión con diversidad de frecuencias, y puede utilizarse el algoritmo de Viterbi para llevar a cabo eficazmente la decodificación de decisiones programadas. Las salidas de los demoduladores se aplican a convertidores </w:t>
      </w:r>
      <w:r w:rsidRPr="00D329E9">
        <w:rPr>
          <w:i/>
          <w:lang w:val="es-ES_tradnl"/>
        </w:rPr>
        <w:t>A</w:t>
      </w:r>
      <w:r w:rsidRPr="00D329E9">
        <w:rPr>
          <w:lang w:val="es-ES_tradnl"/>
        </w:rPr>
        <w:t>/</w:t>
      </w:r>
      <w:r w:rsidRPr="00D329E9">
        <w:rPr>
          <w:i/>
          <w:lang w:val="es-ES_tradnl"/>
        </w:rPr>
        <w:t>D</w:t>
      </w:r>
      <w:r w:rsidRPr="00D329E9">
        <w:rPr>
          <w:lang w:val="es-ES_tradnl"/>
        </w:rPr>
        <w:t xml:space="preserve"> en un decodificador de Viterbi, que sustituye la operación de combinación del sistema con diversidad de frecuencias.</w:t>
      </w:r>
    </w:p>
    <w:p w:rsidR="001A24D9" w:rsidRPr="00D329E9" w:rsidRDefault="001A24D9" w:rsidP="001A24D9">
      <w:pPr>
        <w:pStyle w:val="Heading1"/>
        <w:rPr>
          <w:lang w:val="es-ES_tradnl"/>
        </w:rPr>
      </w:pPr>
      <w:r w:rsidRPr="00D329E9">
        <w:rPr>
          <w:lang w:val="es-ES_tradnl"/>
        </w:rPr>
        <w:t>3</w:t>
      </w:r>
      <w:r w:rsidRPr="00D329E9">
        <w:rPr>
          <w:lang w:val="es-ES_tradnl"/>
        </w:rPr>
        <w:tab/>
        <w:t>Resultados experimentales</w:t>
      </w:r>
    </w:p>
    <w:p w:rsidR="001A24D9" w:rsidRPr="00D329E9" w:rsidRDefault="001A24D9" w:rsidP="00A33815">
      <w:pPr>
        <w:rPr>
          <w:lang w:val="es-ES_tradnl"/>
        </w:rPr>
      </w:pPr>
      <w:r w:rsidRPr="00D329E9">
        <w:rPr>
          <w:lang w:val="es-ES_tradnl"/>
        </w:rPr>
        <w:t xml:space="preserve">Se realizó una comparación del comportamiento de las transmisiones radioeléctricas con diversidad de frecuencias y con diversidad de codificación. Se eligieron códigos convolucionales de longitud impuesta </w:t>
      </w:r>
      <w:r w:rsidRPr="00D329E9">
        <w:rPr>
          <w:i/>
          <w:lang w:val="es-ES_tradnl"/>
        </w:rPr>
        <w:t>K</w:t>
      </w:r>
      <w:r w:rsidRPr="00D329E9">
        <w:rPr>
          <w:lang w:val="es-ES_tradnl"/>
        </w:rPr>
        <w:t> </w:t>
      </w:r>
      <w:r w:rsidR="00A33815">
        <w:rPr>
          <w:lang w:val="es-ES_tradnl"/>
        </w:rPr>
        <w:sym w:font="Symbol" w:char="F03D"/>
      </w:r>
      <w:r w:rsidRPr="00D329E9">
        <w:rPr>
          <w:lang w:val="es-ES_tradnl"/>
        </w:rPr>
        <w:t xml:space="preserve"> 5 y </w:t>
      </w:r>
      <w:r w:rsidRPr="00D329E9">
        <w:rPr>
          <w:i/>
          <w:lang w:val="es-ES_tradnl"/>
        </w:rPr>
        <w:t>K</w:t>
      </w:r>
      <w:r w:rsidRPr="00D329E9">
        <w:rPr>
          <w:lang w:val="es-ES_tradnl"/>
        </w:rPr>
        <w:t> </w:t>
      </w:r>
      <w:r w:rsidR="00A33815">
        <w:rPr>
          <w:lang w:val="es-ES_tradnl"/>
        </w:rPr>
        <w:sym w:font="Symbol" w:char="F03D"/>
      </w:r>
      <w:r w:rsidRPr="00D329E9">
        <w:rPr>
          <w:lang w:val="es-ES_tradnl"/>
        </w:rPr>
        <w:t> 7, y el resultado del codificador se aplicó a un modulador multicanal MDF utilizando frecuencias centrales de 1</w:t>
      </w:r>
      <w:r w:rsidRPr="00D329E9">
        <w:rPr>
          <w:rFonts w:ascii="Tms Rmn" w:hAnsi="Tms Rmn"/>
          <w:sz w:val="12"/>
          <w:lang w:val="es-ES_tradnl"/>
        </w:rPr>
        <w:t> </w:t>
      </w:r>
      <w:r w:rsidRPr="00D329E9">
        <w:rPr>
          <w:lang w:val="es-ES_tradnl"/>
        </w:rPr>
        <w:t>105 y 2</w:t>
      </w:r>
      <w:r w:rsidRPr="00D329E9">
        <w:rPr>
          <w:rFonts w:ascii="Tms Rmn" w:hAnsi="Tms Rmn"/>
          <w:sz w:val="12"/>
          <w:lang w:val="es-ES_tradnl"/>
        </w:rPr>
        <w:t> </w:t>
      </w:r>
      <w:r w:rsidRPr="00D329E9">
        <w:rPr>
          <w:lang w:val="es-ES_tradnl"/>
        </w:rPr>
        <w:t xml:space="preserve">125 Hz y un desplazamiento de </w:t>
      </w:r>
      <w:r w:rsidR="00A33815">
        <w:rPr>
          <w:lang w:val="es-ES_tradnl"/>
        </w:rPr>
        <w:sym w:font="Symbol" w:char="F0B1"/>
      </w:r>
      <w:r w:rsidRPr="00D329E9">
        <w:rPr>
          <w:rFonts w:ascii="Tms Rmn" w:hAnsi="Tms Rmn"/>
          <w:sz w:val="4"/>
          <w:lang w:val="es-ES_tradnl"/>
        </w:rPr>
        <w:t> </w:t>
      </w:r>
      <w:r w:rsidRPr="00D329E9">
        <w:rPr>
          <w:lang w:val="es-ES_tradnl"/>
        </w:rPr>
        <w:t>42,5 Hz. La velocidad de datos de cada canal síncrono era de 75 bit/s. La señal, en forma de ojo, de cada demodulador se digitalizó por medio de una muestra extraída del centro del periodo del ojo. El equipo radioeléctrico de ondas decamétricas utilizado incluía un transmisor de 100 W, antenas de banda ancha y un receptor de comunicaciones sintetizado. Para los experimentos de recepción con diversidad se utilizó una combinación con relación máxima. Para los experimentos de codificación se utilizó un decodificador de Viterbi en tiempo real, aplicado en soporte lógico con un microprocesador polivalente de 8 bits.</w:t>
      </w:r>
    </w:p>
    <w:p w:rsidR="001A24D9" w:rsidRPr="00D329E9" w:rsidRDefault="001A24D9" w:rsidP="0092075A">
      <w:pPr>
        <w:rPr>
          <w:lang w:val="es-ES_tradnl"/>
        </w:rPr>
      </w:pPr>
      <w:r w:rsidRPr="00D329E9">
        <w:rPr>
          <w:lang w:val="es-ES_tradnl"/>
        </w:rPr>
        <w:t>En Ottawa se realizaron tres series de transmisión radioeléctrica: una prueba de corto alcance a lo largo de una distancia de 60 km, con una componente de onda de superficie débil; una prueba de alcance medio a lo largo de los 400 km que separan Ottawa de Toronto; y una tercera prueba a bordo de un barco que transmitía desde la costa Este del Canadá. El barco navegaba desde la ciudad de Quebec hacia el Ártico, lo que permitió realizar pruebas a lo largo de distancias que iban de 400</w:t>
      </w:r>
      <w:r w:rsidR="0092075A">
        <w:rPr>
          <w:lang w:val="es-ES_tradnl"/>
        </w:rPr>
        <w:t xml:space="preserve"> </w:t>
      </w:r>
      <w:r w:rsidRPr="00D329E9">
        <w:rPr>
          <w:lang w:val="es-ES_tradnl"/>
        </w:rPr>
        <w:t>a 2</w:t>
      </w:r>
      <w:r w:rsidRPr="00D329E9">
        <w:rPr>
          <w:rFonts w:ascii="Tms Rmn" w:hAnsi="Tms Rmn"/>
          <w:sz w:val="12"/>
          <w:lang w:val="es-ES_tradnl"/>
        </w:rPr>
        <w:t> </w:t>
      </w:r>
      <w:r w:rsidRPr="00D329E9">
        <w:rPr>
          <w:lang w:val="es-ES_tradnl"/>
        </w:rPr>
        <w:t>500 km. Durante la última parte de esta prueba el enlace de ondas decamétricas atravesó el cinturón auroral y se registró frecuentemente un rápido desvanecimiento. En los experimentos a distancia corta y media se utilizaron varias frecuencias en el entorno de 3 a 9</w:t>
      </w:r>
      <w:r w:rsidR="0092075A">
        <w:rPr>
          <w:lang w:val="es-ES_tradnl"/>
        </w:rPr>
        <w:t> </w:t>
      </w:r>
      <w:r w:rsidRPr="00D329E9">
        <w:rPr>
          <w:lang w:val="es-ES_tradnl"/>
        </w:rPr>
        <w:t>MHz y en el experimento a bordo del barco se utilizaron bandas de frecuencias entre 5 y 15 MHz.</w:t>
      </w:r>
    </w:p>
    <w:p w:rsidR="001A24D9" w:rsidRPr="00D329E9" w:rsidRDefault="001A24D9" w:rsidP="001A24D9">
      <w:pPr>
        <w:rPr>
          <w:lang w:val="es-ES_tradnl"/>
        </w:rPr>
      </w:pPr>
      <w:r w:rsidRPr="00D329E9">
        <w:rPr>
          <w:lang w:val="es-ES_tradnl"/>
        </w:rPr>
        <w:t xml:space="preserve">Se analizó la configuración de errores con diversidad de frecuencias y diversidad de codificación. Se observó que ambas series de datos presentaban las ráfagas características del canal de ondas decamétricas; no obstante, en el caso de la diversidad, la transición entre las ráfagas y los periodos de menor proporción de errores era gradual. La mayor parte del tiempo los errores eran aleatorios, con frecuentes errores aislados. Los datos procedentes del sistema con diversidad de codificación </w:t>
      </w:r>
      <w:r w:rsidRPr="00D329E9">
        <w:rPr>
          <w:lang w:val="es-ES_tradnl"/>
        </w:rPr>
        <w:lastRenderedPageBreak/>
        <w:t>presentaban ráfagas densas que empezaban y terminaban con relativa brusquedad, periodos exentos de errores más prolongados y ausencia de errores aislados y dobles. Las ráfagas de errores tendían a ser más prolongadas que las del sistema con diversidad de frecuencias. Después de una ráfaga prolongada el decodificador necesita cierto tiempo para recuperarse. De este modo, la BER en la secuencia decodificada podía en realidad ser mayor que la del sistema con diversidad de frecuencias en banda. No sucede lo mismo con la tasa de errores en los bloques (BLER).</w:t>
      </w:r>
    </w:p>
    <w:p w:rsidR="001A24D9" w:rsidRPr="00D329E9" w:rsidRDefault="001A24D9" w:rsidP="001A24D9">
      <w:pPr>
        <w:rPr>
          <w:lang w:val="es-ES_tradnl"/>
        </w:rPr>
      </w:pPr>
      <w:r w:rsidRPr="00D329E9">
        <w:rPr>
          <w:lang w:val="es-ES_tradnl"/>
        </w:rPr>
        <w:t>Está previsto aplicar este sistema en un entorno con protocolo de petición automática de repetición (ARQ) que impide la utilización de entrelazado o diversidad en el tiempo. Se ha demostrado que estos esquemas tienen como resultado una disminución de la BER, pero exigen retardos durante la transmisión del orden de varias centenas de bits. En las transmisiones por bloques, éstos se rechazan debido a errores aislados o múltiples, como sucede con la combinación de la diversidad de frecuencias, pero en el caso de la diversidad de codificación el rechazo de bloques disminuye al reducirse los errores aislados. Las pruebas se realizaron para bloques de 128 y 512 bits, que son los bloques característicos de un sistema que va a utilizar diversidad de codificación.</w:t>
      </w:r>
    </w:p>
    <w:p w:rsidR="001A24D9" w:rsidRDefault="001A24D9" w:rsidP="001A24D9">
      <w:pPr>
        <w:rPr>
          <w:lang w:val="es-ES_tradnl"/>
        </w:rPr>
      </w:pPr>
      <w:r w:rsidRPr="00D329E9">
        <w:rPr>
          <w:lang w:val="es-ES_tradnl"/>
        </w:rPr>
        <w:t>Se compararon las BLER de esas dos técnicas, tal como se indica en el Cuadro 1. En el Cuadro figura el aumento porcentual de la probabilidad de recibir un bloque libre de errores con la técnica con diversidad de codificación, en comparación con la técnica con diversidad de frecuencias. La mejora obtenida varió de buena a insignificante, y en el caso del bloque de 512 bits se observó una mejora más pronunciada. En algunos casos la propia transmisión con diversidad de frecuencias en banda estaba prácticamente libre de errores, por lo que no daba lugar a mejoras; en otros, el canal era de tan baja calidad que ninguno de los dos sistemas consiguió una proporción de errores de viabilidad práctica. Se observó que la calidad de funcionamiento de la codificación convolucional no fue en ningún momento apreciablemente inferior a la del sistema con diversidad de frecuencias en banda.</w:t>
      </w:r>
    </w:p>
    <w:p w:rsidR="00432D58" w:rsidRPr="00D329E9" w:rsidRDefault="00432D58" w:rsidP="001A24D9">
      <w:pPr>
        <w:rPr>
          <w:lang w:val="es-ES_tradnl"/>
        </w:rPr>
      </w:pPr>
    </w:p>
    <w:p w:rsidR="001A24D9" w:rsidRPr="00D329E9" w:rsidRDefault="001A24D9" w:rsidP="001A24D9">
      <w:pPr>
        <w:pStyle w:val="TableNo"/>
        <w:rPr>
          <w:lang w:val="es-ES_tradnl"/>
        </w:rPr>
      </w:pPr>
      <w:r w:rsidRPr="00D329E9">
        <w:rPr>
          <w:lang w:val="es-ES_tradnl"/>
        </w:rPr>
        <w:t>CUADRO  1</w:t>
      </w:r>
    </w:p>
    <w:p w:rsidR="001A24D9" w:rsidRPr="00D329E9" w:rsidRDefault="001A24D9" w:rsidP="001A24D9">
      <w:pPr>
        <w:pStyle w:val="Tabletitle"/>
        <w:rPr>
          <w:lang w:val="es-ES_tradnl"/>
        </w:rPr>
      </w:pPr>
      <w:r w:rsidRPr="00D329E9">
        <w:rPr>
          <w:lang w:val="es-ES_tradnl"/>
        </w:rPr>
        <w:t>Resultados de las pruebas realizadas sobre BLER</w:t>
      </w:r>
    </w:p>
    <w:tbl>
      <w:tblPr>
        <w:tblW w:w="9639" w:type="dxa"/>
        <w:jc w:val="center"/>
        <w:tblInd w:w="8" w:type="dxa"/>
        <w:tblLayout w:type="fixed"/>
        <w:tblLook w:val="0000"/>
      </w:tblPr>
      <w:tblGrid>
        <w:gridCol w:w="1587"/>
        <w:gridCol w:w="1559"/>
        <w:gridCol w:w="1559"/>
        <w:gridCol w:w="1559"/>
        <w:gridCol w:w="1559"/>
        <w:gridCol w:w="1816"/>
      </w:tblGrid>
      <w:tr w:rsidR="001A24D9" w:rsidRPr="005B4020" w:rsidTr="0092075A">
        <w:trPr>
          <w:cantSplit/>
          <w:jc w:val="center"/>
        </w:trPr>
        <w:tc>
          <w:tcPr>
            <w:tcW w:w="9639" w:type="dxa"/>
            <w:gridSpan w:val="6"/>
            <w:tcBorders>
              <w:bottom w:val="single" w:sz="6" w:space="0" w:color="auto"/>
            </w:tcBorders>
          </w:tcPr>
          <w:p w:rsidR="001A24D9" w:rsidRPr="0092075A" w:rsidRDefault="001A24D9" w:rsidP="00A33815">
            <w:pPr>
              <w:pStyle w:val="TableText0"/>
              <w:jc w:val="center"/>
              <w:rPr>
                <w:sz w:val="22"/>
                <w:lang w:val="es-ES_tradnl"/>
              </w:rPr>
            </w:pPr>
            <w:r w:rsidRPr="0092075A">
              <w:rPr>
                <w:i/>
                <w:sz w:val="22"/>
                <w:lang w:val="es-ES_tradnl"/>
              </w:rPr>
              <w:t>a)</w:t>
            </w:r>
            <w:r w:rsidRPr="0092075A">
              <w:rPr>
                <w:sz w:val="22"/>
                <w:lang w:val="es-ES_tradnl"/>
              </w:rPr>
              <w:t xml:space="preserve">  Tamaño del bloque </w:t>
            </w:r>
            <w:r w:rsidR="00A33815" w:rsidRPr="0092075A">
              <w:rPr>
                <w:sz w:val="22"/>
                <w:lang w:val="es-ES_tradnl"/>
              </w:rPr>
              <w:sym w:font="Symbol" w:char="F03D"/>
            </w:r>
            <w:r w:rsidRPr="0092075A">
              <w:rPr>
                <w:sz w:val="22"/>
                <w:lang w:val="es-ES_tradnl"/>
              </w:rPr>
              <w:t xml:space="preserve"> 128 bits</w:t>
            </w:r>
          </w:p>
        </w:tc>
      </w:tr>
      <w:tr w:rsidR="001A24D9" w:rsidRPr="0092075A" w:rsidTr="0092075A">
        <w:trPr>
          <w:cantSplit/>
          <w:jc w:val="center"/>
        </w:trPr>
        <w:tc>
          <w:tcPr>
            <w:tcW w:w="1587"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jc w:val="center"/>
              <w:rPr>
                <w:sz w:val="22"/>
                <w:lang w:val="es-ES_tradnl"/>
              </w:rPr>
            </w:pPr>
            <w:r w:rsidRPr="0092075A">
              <w:rPr>
                <w:sz w:val="22"/>
                <w:lang w:val="es-ES_tradnl"/>
              </w:rPr>
              <w:t>N.</w:t>
            </w:r>
            <w:r w:rsidR="0092075A">
              <w:rPr>
                <w:sz w:val="22"/>
                <w:lang w:val="es-ES_tradnl"/>
              </w:rPr>
              <w:t>°</w:t>
            </w:r>
            <w:r w:rsidRPr="0092075A">
              <w:rPr>
                <w:sz w:val="22"/>
                <w:lang w:val="es-ES_tradnl"/>
              </w:rPr>
              <w:t xml:space="preserve"> de prueba</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jc w:val="center"/>
              <w:rPr>
                <w:sz w:val="22"/>
                <w:lang w:val="es-ES_tradnl"/>
              </w:rPr>
            </w:pPr>
            <w:r w:rsidRPr="0092075A">
              <w:rPr>
                <w:sz w:val="22"/>
                <w:lang w:val="es-ES_tradnl"/>
              </w:rPr>
              <w:t xml:space="preserve">Longitud </w:t>
            </w:r>
            <w:r w:rsidRPr="0092075A">
              <w:rPr>
                <w:sz w:val="22"/>
                <w:lang w:val="es-ES_tradnl"/>
              </w:rPr>
              <w:br/>
              <w:t>impuesta</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jc w:val="center"/>
              <w:rPr>
                <w:sz w:val="22"/>
                <w:lang w:val="es-ES_tradnl"/>
              </w:rPr>
            </w:pPr>
            <w:r w:rsidRPr="0092075A">
              <w:rPr>
                <w:sz w:val="22"/>
                <w:lang w:val="es-ES_tradnl"/>
              </w:rPr>
              <w:t xml:space="preserve">Diversidad </w:t>
            </w:r>
            <w:r w:rsidRPr="0092075A">
              <w:rPr>
                <w:sz w:val="22"/>
                <w:lang w:val="es-ES_tradnl"/>
              </w:rPr>
              <w:br/>
              <w:t>BLER</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jc w:val="center"/>
              <w:rPr>
                <w:sz w:val="22"/>
                <w:lang w:val="es-ES_tradnl"/>
              </w:rPr>
            </w:pPr>
            <w:r w:rsidRPr="0092075A">
              <w:rPr>
                <w:sz w:val="22"/>
                <w:lang w:val="es-ES_tradnl"/>
              </w:rPr>
              <w:t xml:space="preserve">Codificación </w:t>
            </w:r>
            <w:r w:rsidRPr="0092075A">
              <w:rPr>
                <w:sz w:val="22"/>
                <w:lang w:val="es-ES_tradnl"/>
              </w:rPr>
              <w:br/>
              <w:t>BLER</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jc w:val="center"/>
              <w:rPr>
                <w:sz w:val="22"/>
                <w:lang w:val="es-ES_tradnl"/>
              </w:rPr>
            </w:pPr>
            <w:r w:rsidRPr="0092075A">
              <w:rPr>
                <w:sz w:val="22"/>
                <w:lang w:val="es-ES_tradnl"/>
              </w:rPr>
              <w:t>Total de bits</w:t>
            </w:r>
          </w:p>
        </w:tc>
        <w:tc>
          <w:tcPr>
            <w:tcW w:w="1816"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jc w:val="center"/>
              <w:rPr>
                <w:sz w:val="22"/>
                <w:lang w:val="es-ES_tradnl"/>
              </w:rPr>
            </w:pPr>
            <w:r w:rsidRPr="0092075A">
              <w:rPr>
                <w:sz w:val="22"/>
                <w:lang w:val="es-ES_tradnl"/>
              </w:rPr>
              <w:t xml:space="preserve">Mejora del caudal </w:t>
            </w:r>
            <w:r w:rsidRPr="0092075A">
              <w:rPr>
                <w:sz w:val="22"/>
                <w:lang w:val="es-ES_tradnl"/>
              </w:rPr>
              <w:br/>
              <w:t>(%)</w:t>
            </w:r>
          </w:p>
        </w:tc>
      </w:tr>
      <w:tr w:rsidR="001A24D9" w:rsidRPr="0092075A" w:rsidTr="0092075A">
        <w:trPr>
          <w:cantSplit/>
          <w:jc w:val="center"/>
        </w:trPr>
        <w:tc>
          <w:tcPr>
            <w:tcW w:w="1587"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spacing w:line="197" w:lineRule="exact"/>
              <w:jc w:val="center"/>
              <w:rPr>
                <w:sz w:val="22"/>
                <w:lang w:val="es-ES_tradnl"/>
              </w:rPr>
            </w:pPr>
            <w:r w:rsidRPr="0092075A">
              <w:rPr>
                <w:sz w:val="22"/>
                <w:lang w:val="es-ES_tradnl"/>
              </w:rPr>
              <w:t>1</w:t>
            </w:r>
            <w:r w:rsidRPr="0092075A">
              <w:rPr>
                <w:sz w:val="22"/>
                <w:lang w:val="es-ES_tradnl"/>
              </w:rPr>
              <w:br/>
              <w:t>2</w:t>
            </w:r>
            <w:r w:rsidRPr="0092075A">
              <w:rPr>
                <w:sz w:val="22"/>
                <w:lang w:val="es-ES_tradnl"/>
              </w:rPr>
              <w:br/>
              <w:t>3</w:t>
            </w:r>
            <w:r w:rsidRPr="0092075A">
              <w:rPr>
                <w:sz w:val="22"/>
                <w:lang w:val="es-ES_tradnl"/>
              </w:rPr>
              <w:br/>
              <w:t>4</w:t>
            </w:r>
            <w:r w:rsidRPr="0092075A">
              <w:rPr>
                <w:sz w:val="22"/>
                <w:lang w:val="es-ES_tradnl"/>
              </w:rPr>
              <w:br/>
              <w:t>5</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spacing w:line="197" w:lineRule="exact"/>
              <w:jc w:val="center"/>
              <w:rPr>
                <w:sz w:val="22"/>
                <w:lang w:val="es-ES_tradnl"/>
              </w:rPr>
            </w:pPr>
            <w:r w:rsidRPr="0092075A">
              <w:rPr>
                <w:i/>
                <w:sz w:val="22"/>
                <w:lang w:val="es-ES_tradnl"/>
              </w:rPr>
              <w:t>K</w:t>
            </w:r>
            <w:r w:rsidRPr="0092075A">
              <w:rPr>
                <w:sz w:val="22"/>
                <w:lang w:val="es-ES_tradnl"/>
              </w:rPr>
              <w:t xml:space="preserve"> </w:t>
            </w:r>
            <w:r w:rsidR="00A33815" w:rsidRPr="0092075A">
              <w:rPr>
                <w:sz w:val="22"/>
                <w:lang w:val="es-ES_tradnl"/>
              </w:rPr>
              <w:sym w:font="Symbol" w:char="F03D"/>
            </w:r>
            <w:r w:rsidRPr="0092075A">
              <w:rPr>
                <w:sz w:val="22"/>
                <w:lang w:val="es-ES_tradnl"/>
              </w:rPr>
              <w:t xml:space="preserve"> 7</w:t>
            </w:r>
            <w:r w:rsidRPr="0092075A">
              <w:rPr>
                <w:sz w:val="22"/>
                <w:lang w:val="es-ES_tradnl"/>
              </w:rPr>
              <w:br/>
            </w:r>
            <w:r w:rsidRPr="0092075A">
              <w:rPr>
                <w:i/>
                <w:sz w:val="22"/>
                <w:lang w:val="es-ES_tradnl"/>
              </w:rPr>
              <w:t>K</w:t>
            </w:r>
            <w:r w:rsidRPr="0092075A">
              <w:rPr>
                <w:sz w:val="22"/>
                <w:lang w:val="es-ES_tradnl"/>
              </w:rPr>
              <w:t xml:space="preserve"> </w:t>
            </w:r>
            <w:r w:rsidR="00A33815" w:rsidRPr="0092075A">
              <w:rPr>
                <w:sz w:val="22"/>
                <w:lang w:val="es-ES_tradnl"/>
              </w:rPr>
              <w:sym w:font="Symbol" w:char="F03D"/>
            </w:r>
            <w:r w:rsidRPr="0092075A">
              <w:rPr>
                <w:sz w:val="22"/>
                <w:lang w:val="es-ES_tradnl"/>
              </w:rPr>
              <w:t xml:space="preserve"> 7</w:t>
            </w:r>
            <w:r w:rsidRPr="0092075A">
              <w:rPr>
                <w:sz w:val="22"/>
                <w:lang w:val="es-ES_tradnl"/>
              </w:rPr>
              <w:br/>
            </w:r>
            <w:r w:rsidRPr="0092075A">
              <w:rPr>
                <w:i/>
                <w:sz w:val="22"/>
                <w:lang w:val="es-ES_tradnl"/>
              </w:rPr>
              <w:t>K</w:t>
            </w:r>
            <w:r w:rsidRPr="0092075A">
              <w:rPr>
                <w:sz w:val="22"/>
                <w:lang w:val="es-ES_tradnl"/>
              </w:rPr>
              <w:t xml:space="preserve"> </w:t>
            </w:r>
            <w:r w:rsidR="00A33815" w:rsidRPr="0092075A">
              <w:rPr>
                <w:sz w:val="22"/>
                <w:lang w:val="es-ES_tradnl"/>
              </w:rPr>
              <w:sym w:font="Symbol" w:char="F03D"/>
            </w:r>
            <w:r w:rsidRPr="0092075A">
              <w:rPr>
                <w:sz w:val="22"/>
                <w:lang w:val="es-ES_tradnl"/>
              </w:rPr>
              <w:t xml:space="preserve"> 5</w:t>
            </w:r>
            <w:r w:rsidRPr="0092075A">
              <w:rPr>
                <w:sz w:val="22"/>
                <w:lang w:val="es-ES_tradnl"/>
              </w:rPr>
              <w:br/>
            </w:r>
            <w:r w:rsidRPr="0092075A">
              <w:rPr>
                <w:i/>
                <w:sz w:val="22"/>
                <w:lang w:val="es-ES_tradnl"/>
              </w:rPr>
              <w:t>K</w:t>
            </w:r>
            <w:r w:rsidRPr="0092075A">
              <w:rPr>
                <w:sz w:val="22"/>
                <w:lang w:val="es-ES_tradnl"/>
              </w:rPr>
              <w:t xml:space="preserve"> </w:t>
            </w:r>
            <w:r w:rsidR="00A33815" w:rsidRPr="0092075A">
              <w:rPr>
                <w:sz w:val="22"/>
                <w:lang w:val="es-ES_tradnl"/>
              </w:rPr>
              <w:sym w:font="Symbol" w:char="F03D"/>
            </w:r>
            <w:r w:rsidRPr="0092075A">
              <w:rPr>
                <w:sz w:val="22"/>
                <w:lang w:val="es-ES_tradnl"/>
              </w:rPr>
              <w:t xml:space="preserve"> 7</w:t>
            </w:r>
            <w:r w:rsidRPr="0092075A">
              <w:rPr>
                <w:sz w:val="22"/>
                <w:lang w:val="es-ES_tradnl"/>
              </w:rPr>
              <w:br/>
            </w:r>
            <w:r w:rsidRPr="0092075A">
              <w:rPr>
                <w:i/>
                <w:sz w:val="22"/>
                <w:lang w:val="es-ES_tradnl"/>
              </w:rPr>
              <w:t>K</w:t>
            </w:r>
            <w:r w:rsidRPr="0092075A">
              <w:rPr>
                <w:sz w:val="22"/>
                <w:lang w:val="es-ES_tradnl"/>
              </w:rPr>
              <w:t xml:space="preserve"> </w:t>
            </w:r>
            <w:r w:rsidR="00A33815" w:rsidRPr="0092075A">
              <w:rPr>
                <w:sz w:val="22"/>
                <w:lang w:val="es-ES_tradnl"/>
              </w:rPr>
              <w:sym w:font="Symbol" w:char="F03D"/>
            </w:r>
            <w:r w:rsidRPr="0092075A">
              <w:rPr>
                <w:sz w:val="22"/>
                <w:lang w:val="es-ES_tradnl"/>
              </w:rPr>
              <w:t xml:space="preserve"> 7</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spacing w:line="197" w:lineRule="exact"/>
              <w:jc w:val="center"/>
              <w:rPr>
                <w:sz w:val="22"/>
                <w:lang w:val="es-ES_tradnl"/>
              </w:rPr>
            </w:pPr>
            <w:r w:rsidRPr="0092075A">
              <w:rPr>
                <w:sz w:val="22"/>
                <w:lang w:val="es-ES_tradnl"/>
              </w:rPr>
              <w:t>0,293</w:t>
            </w:r>
            <w:r w:rsidRPr="0092075A">
              <w:rPr>
                <w:sz w:val="22"/>
                <w:lang w:val="es-ES_tradnl"/>
              </w:rPr>
              <w:br/>
              <w:t>0,217</w:t>
            </w:r>
            <w:r w:rsidRPr="0092075A">
              <w:rPr>
                <w:sz w:val="22"/>
                <w:lang w:val="es-ES_tradnl"/>
              </w:rPr>
              <w:br/>
              <w:t>0,321</w:t>
            </w:r>
            <w:r w:rsidRPr="0092075A">
              <w:rPr>
                <w:sz w:val="22"/>
                <w:lang w:val="es-ES_tradnl"/>
              </w:rPr>
              <w:br/>
              <w:t>0,084</w:t>
            </w:r>
            <w:r w:rsidRPr="0092075A">
              <w:rPr>
                <w:sz w:val="22"/>
                <w:lang w:val="es-ES_tradnl"/>
              </w:rPr>
              <w:br/>
              <w:t>0,083</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spacing w:line="197" w:lineRule="exact"/>
              <w:jc w:val="center"/>
              <w:rPr>
                <w:sz w:val="22"/>
                <w:lang w:val="es-ES_tradnl"/>
              </w:rPr>
            </w:pPr>
            <w:r w:rsidRPr="0092075A">
              <w:rPr>
                <w:sz w:val="22"/>
                <w:lang w:val="es-ES_tradnl"/>
              </w:rPr>
              <w:t>0,201</w:t>
            </w:r>
            <w:r w:rsidRPr="0092075A">
              <w:rPr>
                <w:sz w:val="22"/>
                <w:lang w:val="es-ES_tradnl"/>
              </w:rPr>
              <w:br/>
              <w:t>0,127</w:t>
            </w:r>
            <w:r w:rsidRPr="0092075A">
              <w:rPr>
                <w:sz w:val="22"/>
                <w:lang w:val="es-ES_tradnl"/>
              </w:rPr>
              <w:br/>
              <w:t>0,227</w:t>
            </w:r>
            <w:r w:rsidRPr="0092075A">
              <w:rPr>
                <w:sz w:val="22"/>
                <w:lang w:val="es-ES_tradnl"/>
              </w:rPr>
              <w:br/>
              <w:t>0,015</w:t>
            </w:r>
            <w:r w:rsidRPr="0092075A">
              <w:rPr>
                <w:sz w:val="22"/>
                <w:lang w:val="es-ES_tradnl"/>
              </w:rPr>
              <w:br/>
              <w:t>0,019</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tabs>
                <w:tab w:val="clear" w:pos="794"/>
                <w:tab w:val="clear" w:pos="1191"/>
                <w:tab w:val="right" w:pos="1134"/>
              </w:tabs>
              <w:spacing w:line="197" w:lineRule="exact"/>
              <w:jc w:val="left"/>
              <w:rPr>
                <w:sz w:val="22"/>
                <w:lang w:val="es-ES_tradnl"/>
              </w:rPr>
            </w:pPr>
            <w:r w:rsidRPr="0092075A">
              <w:rPr>
                <w:sz w:val="22"/>
                <w:lang w:val="es-ES_tradnl"/>
              </w:rPr>
              <w:tab/>
              <w:t>1 430 000</w:t>
            </w:r>
            <w:r w:rsidRPr="0092075A">
              <w:rPr>
                <w:sz w:val="22"/>
                <w:lang w:val="es-ES_tradnl"/>
              </w:rPr>
              <w:br/>
            </w:r>
            <w:r w:rsidRPr="0092075A">
              <w:rPr>
                <w:sz w:val="22"/>
                <w:lang w:val="es-ES_tradnl"/>
              </w:rPr>
              <w:tab/>
              <w:t>506 000</w:t>
            </w:r>
            <w:r w:rsidRPr="0092075A">
              <w:rPr>
                <w:sz w:val="22"/>
                <w:lang w:val="es-ES_tradnl"/>
              </w:rPr>
              <w:br/>
            </w:r>
            <w:r w:rsidRPr="0092075A">
              <w:rPr>
                <w:sz w:val="22"/>
                <w:lang w:val="es-ES_tradnl"/>
              </w:rPr>
              <w:tab/>
              <w:t>352 000</w:t>
            </w:r>
            <w:r w:rsidRPr="0092075A">
              <w:rPr>
                <w:sz w:val="22"/>
                <w:lang w:val="es-ES_tradnl"/>
              </w:rPr>
              <w:br/>
            </w:r>
            <w:r w:rsidRPr="0092075A">
              <w:rPr>
                <w:sz w:val="22"/>
                <w:lang w:val="es-ES_tradnl"/>
              </w:rPr>
              <w:tab/>
              <w:t>217 000</w:t>
            </w:r>
            <w:r w:rsidRPr="0092075A">
              <w:rPr>
                <w:sz w:val="22"/>
                <w:lang w:val="es-ES_tradnl"/>
              </w:rPr>
              <w:br/>
            </w:r>
            <w:r w:rsidRPr="0092075A">
              <w:rPr>
                <w:sz w:val="22"/>
                <w:lang w:val="es-ES_tradnl"/>
              </w:rPr>
              <w:tab/>
              <w:t>217 000</w:t>
            </w:r>
          </w:p>
        </w:tc>
        <w:tc>
          <w:tcPr>
            <w:tcW w:w="1816"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tabs>
                <w:tab w:val="clear" w:pos="794"/>
                <w:tab w:val="clear" w:pos="1191"/>
                <w:tab w:val="right" w:pos="993"/>
              </w:tabs>
              <w:spacing w:line="197" w:lineRule="exact"/>
              <w:jc w:val="left"/>
              <w:rPr>
                <w:sz w:val="22"/>
                <w:lang w:val="es-ES_tradnl"/>
              </w:rPr>
            </w:pPr>
            <w:r w:rsidRPr="0092075A">
              <w:rPr>
                <w:sz w:val="22"/>
                <w:lang w:val="es-ES_tradnl"/>
              </w:rPr>
              <w:tab/>
              <w:t>13,0</w:t>
            </w:r>
            <w:r w:rsidRPr="0092075A">
              <w:rPr>
                <w:sz w:val="22"/>
                <w:lang w:val="es-ES_tradnl"/>
              </w:rPr>
              <w:br/>
            </w:r>
            <w:r w:rsidRPr="0092075A">
              <w:rPr>
                <w:sz w:val="22"/>
                <w:lang w:val="es-ES_tradnl"/>
              </w:rPr>
              <w:tab/>
              <w:t>11,5</w:t>
            </w:r>
            <w:r w:rsidRPr="0092075A">
              <w:rPr>
                <w:sz w:val="22"/>
                <w:lang w:val="es-ES_tradnl"/>
              </w:rPr>
              <w:br/>
            </w:r>
            <w:r w:rsidRPr="0092075A">
              <w:rPr>
                <w:sz w:val="22"/>
                <w:lang w:val="es-ES_tradnl"/>
              </w:rPr>
              <w:tab/>
              <w:t>13,8</w:t>
            </w:r>
            <w:r w:rsidRPr="0092075A">
              <w:rPr>
                <w:sz w:val="22"/>
                <w:lang w:val="es-ES_tradnl"/>
              </w:rPr>
              <w:br/>
            </w:r>
            <w:r w:rsidRPr="0092075A">
              <w:rPr>
                <w:sz w:val="22"/>
                <w:lang w:val="es-ES_tradnl"/>
              </w:rPr>
              <w:tab/>
              <w:t>7,5</w:t>
            </w:r>
            <w:r w:rsidRPr="0092075A">
              <w:rPr>
                <w:sz w:val="22"/>
                <w:lang w:val="es-ES_tradnl"/>
              </w:rPr>
              <w:br/>
            </w:r>
            <w:r w:rsidRPr="0092075A">
              <w:rPr>
                <w:sz w:val="22"/>
                <w:lang w:val="es-ES_tradnl"/>
              </w:rPr>
              <w:tab/>
              <w:t>6,5</w:t>
            </w:r>
          </w:p>
        </w:tc>
      </w:tr>
      <w:tr w:rsidR="001A24D9" w:rsidRPr="005B4020" w:rsidTr="0092075A">
        <w:trPr>
          <w:cantSplit/>
          <w:jc w:val="center"/>
        </w:trPr>
        <w:tc>
          <w:tcPr>
            <w:tcW w:w="9639" w:type="dxa"/>
            <w:gridSpan w:val="6"/>
            <w:tcBorders>
              <w:bottom w:val="single" w:sz="6" w:space="0" w:color="auto"/>
            </w:tcBorders>
          </w:tcPr>
          <w:p w:rsidR="001A24D9" w:rsidRPr="0092075A" w:rsidRDefault="001A24D9" w:rsidP="00A33815">
            <w:pPr>
              <w:pStyle w:val="TableText0"/>
              <w:jc w:val="center"/>
              <w:rPr>
                <w:sz w:val="22"/>
                <w:lang w:val="es-ES_tradnl"/>
              </w:rPr>
            </w:pPr>
            <w:r w:rsidRPr="0092075A">
              <w:rPr>
                <w:i/>
                <w:sz w:val="22"/>
                <w:lang w:val="es-ES_tradnl"/>
              </w:rPr>
              <w:t>b)</w:t>
            </w:r>
            <w:r w:rsidRPr="0092075A">
              <w:rPr>
                <w:sz w:val="22"/>
                <w:lang w:val="es-ES_tradnl"/>
              </w:rPr>
              <w:t xml:space="preserve">  Tamaño del bloque </w:t>
            </w:r>
            <w:r w:rsidR="00A33815" w:rsidRPr="0092075A">
              <w:rPr>
                <w:sz w:val="22"/>
                <w:lang w:val="es-ES_tradnl"/>
              </w:rPr>
              <w:sym w:font="Symbol" w:char="F03D"/>
            </w:r>
            <w:r w:rsidRPr="0092075A">
              <w:rPr>
                <w:sz w:val="22"/>
                <w:lang w:val="es-ES_tradnl"/>
              </w:rPr>
              <w:t xml:space="preserve"> 512 bits</w:t>
            </w:r>
          </w:p>
        </w:tc>
      </w:tr>
      <w:tr w:rsidR="001A24D9" w:rsidRPr="0092075A" w:rsidTr="0092075A">
        <w:trPr>
          <w:cantSplit/>
          <w:jc w:val="center"/>
        </w:trPr>
        <w:tc>
          <w:tcPr>
            <w:tcW w:w="1587" w:type="dxa"/>
            <w:tcBorders>
              <w:top w:val="single" w:sz="6" w:space="0" w:color="auto"/>
              <w:left w:val="single" w:sz="6" w:space="0" w:color="auto"/>
              <w:bottom w:val="single" w:sz="6" w:space="0" w:color="auto"/>
              <w:right w:val="single" w:sz="6" w:space="0" w:color="auto"/>
            </w:tcBorders>
          </w:tcPr>
          <w:p w:rsidR="001A24D9" w:rsidRPr="0092075A" w:rsidRDefault="001A24D9" w:rsidP="0092075A">
            <w:pPr>
              <w:pStyle w:val="TableText0"/>
              <w:jc w:val="center"/>
              <w:rPr>
                <w:sz w:val="22"/>
                <w:lang w:val="es-ES_tradnl"/>
              </w:rPr>
            </w:pPr>
            <w:r w:rsidRPr="0092075A">
              <w:rPr>
                <w:sz w:val="22"/>
                <w:lang w:val="es-ES_tradnl"/>
              </w:rPr>
              <w:t>N.</w:t>
            </w:r>
            <w:r w:rsidR="0092075A">
              <w:rPr>
                <w:sz w:val="22"/>
                <w:lang w:val="es-ES_tradnl"/>
              </w:rPr>
              <w:t>°</w:t>
            </w:r>
            <w:r w:rsidRPr="0092075A">
              <w:rPr>
                <w:sz w:val="22"/>
                <w:lang w:val="es-ES_tradnl"/>
              </w:rPr>
              <w:t xml:space="preserve"> de prueba</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jc w:val="center"/>
              <w:rPr>
                <w:sz w:val="22"/>
                <w:lang w:val="es-ES_tradnl"/>
              </w:rPr>
            </w:pPr>
            <w:r w:rsidRPr="0092075A">
              <w:rPr>
                <w:sz w:val="22"/>
                <w:lang w:val="es-ES_tradnl"/>
              </w:rPr>
              <w:t xml:space="preserve">Longitud </w:t>
            </w:r>
            <w:r w:rsidRPr="0092075A">
              <w:rPr>
                <w:sz w:val="22"/>
                <w:lang w:val="es-ES_tradnl"/>
              </w:rPr>
              <w:br/>
              <w:t>impuesta</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jc w:val="center"/>
              <w:rPr>
                <w:sz w:val="22"/>
                <w:lang w:val="es-ES_tradnl"/>
              </w:rPr>
            </w:pPr>
            <w:r w:rsidRPr="0092075A">
              <w:rPr>
                <w:sz w:val="22"/>
                <w:lang w:val="es-ES_tradnl"/>
              </w:rPr>
              <w:t xml:space="preserve">Diversidad </w:t>
            </w:r>
            <w:r w:rsidRPr="0092075A">
              <w:rPr>
                <w:sz w:val="22"/>
                <w:lang w:val="es-ES_tradnl"/>
              </w:rPr>
              <w:br/>
              <w:t>BLER</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jc w:val="center"/>
              <w:rPr>
                <w:sz w:val="22"/>
                <w:lang w:val="es-ES_tradnl"/>
              </w:rPr>
            </w:pPr>
            <w:r w:rsidRPr="0092075A">
              <w:rPr>
                <w:sz w:val="22"/>
                <w:lang w:val="es-ES_tradnl"/>
              </w:rPr>
              <w:t xml:space="preserve">Codificación </w:t>
            </w:r>
            <w:r w:rsidRPr="0092075A">
              <w:rPr>
                <w:sz w:val="22"/>
                <w:lang w:val="es-ES_tradnl"/>
              </w:rPr>
              <w:br/>
              <w:t>BLER</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jc w:val="center"/>
              <w:rPr>
                <w:sz w:val="22"/>
                <w:lang w:val="es-ES_tradnl"/>
              </w:rPr>
            </w:pPr>
            <w:r w:rsidRPr="0092075A">
              <w:rPr>
                <w:sz w:val="22"/>
                <w:lang w:val="es-ES_tradnl"/>
              </w:rPr>
              <w:t>Total de bits</w:t>
            </w:r>
          </w:p>
        </w:tc>
        <w:tc>
          <w:tcPr>
            <w:tcW w:w="1816"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jc w:val="center"/>
              <w:rPr>
                <w:sz w:val="22"/>
                <w:lang w:val="es-ES_tradnl"/>
              </w:rPr>
            </w:pPr>
            <w:r w:rsidRPr="0092075A">
              <w:rPr>
                <w:sz w:val="22"/>
                <w:lang w:val="es-ES_tradnl"/>
              </w:rPr>
              <w:t xml:space="preserve">Mejora del caudal </w:t>
            </w:r>
            <w:r w:rsidRPr="0092075A">
              <w:rPr>
                <w:sz w:val="22"/>
                <w:lang w:val="es-ES_tradnl"/>
              </w:rPr>
              <w:br/>
              <w:t>(%)</w:t>
            </w:r>
          </w:p>
        </w:tc>
      </w:tr>
      <w:tr w:rsidR="001A24D9" w:rsidRPr="0092075A" w:rsidTr="0092075A">
        <w:trPr>
          <w:cantSplit/>
          <w:jc w:val="center"/>
        </w:trPr>
        <w:tc>
          <w:tcPr>
            <w:tcW w:w="1587"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spacing w:line="197" w:lineRule="exact"/>
              <w:jc w:val="center"/>
              <w:rPr>
                <w:sz w:val="22"/>
                <w:lang w:val="es-ES_tradnl"/>
              </w:rPr>
            </w:pPr>
            <w:r w:rsidRPr="0092075A">
              <w:rPr>
                <w:sz w:val="22"/>
                <w:lang w:val="es-ES_tradnl"/>
              </w:rPr>
              <w:t>6</w:t>
            </w:r>
            <w:r w:rsidRPr="0092075A">
              <w:rPr>
                <w:sz w:val="22"/>
                <w:lang w:val="es-ES_tradnl"/>
              </w:rPr>
              <w:br/>
              <w:t>7</w:t>
            </w:r>
            <w:r w:rsidRPr="0092075A">
              <w:rPr>
                <w:sz w:val="22"/>
                <w:lang w:val="es-ES_tradnl"/>
              </w:rPr>
              <w:br/>
              <w:t>8</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spacing w:line="197" w:lineRule="exact"/>
              <w:jc w:val="center"/>
              <w:rPr>
                <w:sz w:val="22"/>
                <w:lang w:val="es-ES_tradnl"/>
              </w:rPr>
            </w:pPr>
            <w:r w:rsidRPr="0092075A">
              <w:rPr>
                <w:i/>
                <w:sz w:val="22"/>
                <w:lang w:val="es-ES_tradnl"/>
              </w:rPr>
              <w:t>K</w:t>
            </w:r>
            <w:r w:rsidRPr="0092075A">
              <w:rPr>
                <w:sz w:val="22"/>
                <w:lang w:val="es-ES_tradnl"/>
              </w:rPr>
              <w:t xml:space="preserve"> </w:t>
            </w:r>
            <w:r w:rsidR="00A33815" w:rsidRPr="0092075A">
              <w:rPr>
                <w:sz w:val="22"/>
                <w:lang w:val="es-ES_tradnl"/>
              </w:rPr>
              <w:sym w:font="Symbol" w:char="F03D"/>
            </w:r>
            <w:r w:rsidRPr="0092075A">
              <w:rPr>
                <w:sz w:val="22"/>
                <w:lang w:val="es-ES_tradnl"/>
              </w:rPr>
              <w:t xml:space="preserve"> 7</w:t>
            </w:r>
            <w:r w:rsidRPr="0092075A">
              <w:rPr>
                <w:sz w:val="22"/>
                <w:lang w:val="es-ES_tradnl"/>
              </w:rPr>
              <w:br/>
            </w:r>
            <w:r w:rsidRPr="0092075A">
              <w:rPr>
                <w:i/>
                <w:sz w:val="22"/>
                <w:lang w:val="es-ES_tradnl"/>
              </w:rPr>
              <w:t>K</w:t>
            </w:r>
            <w:r w:rsidRPr="0092075A">
              <w:rPr>
                <w:sz w:val="22"/>
                <w:lang w:val="es-ES_tradnl"/>
              </w:rPr>
              <w:t xml:space="preserve"> </w:t>
            </w:r>
            <w:r w:rsidR="00A33815" w:rsidRPr="0092075A">
              <w:rPr>
                <w:sz w:val="22"/>
                <w:lang w:val="es-ES_tradnl"/>
              </w:rPr>
              <w:sym w:font="Symbol" w:char="F03D"/>
            </w:r>
            <w:r w:rsidRPr="0092075A">
              <w:rPr>
                <w:sz w:val="22"/>
                <w:lang w:val="es-ES_tradnl"/>
              </w:rPr>
              <w:t xml:space="preserve"> 7</w:t>
            </w:r>
            <w:r w:rsidRPr="0092075A">
              <w:rPr>
                <w:sz w:val="22"/>
                <w:lang w:val="es-ES_tradnl"/>
              </w:rPr>
              <w:br/>
            </w:r>
            <w:r w:rsidRPr="0092075A">
              <w:rPr>
                <w:i/>
                <w:sz w:val="22"/>
                <w:lang w:val="es-ES_tradnl"/>
              </w:rPr>
              <w:t>K</w:t>
            </w:r>
            <w:r w:rsidRPr="0092075A">
              <w:rPr>
                <w:sz w:val="22"/>
                <w:lang w:val="es-ES_tradnl"/>
              </w:rPr>
              <w:t xml:space="preserve"> </w:t>
            </w:r>
            <w:r w:rsidR="00A33815" w:rsidRPr="0092075A">
              <w:rPr>
                <w:sz w:val="22"/>
                <w:lang w:val="es-ES_tradnl"/>
              </w:rPr>
              <w:sym w:font="Symbol" w:char="F03D"/>
            </w:r>
            <w:r w:rsidRPr="0092075A">
              <w:rPr>
                <w:sz w:val="22"/>
                <w:lang w:val="es-ES_tradnl"/>
              </w:rPr>
              <w:t xml:space="preserve"> 5</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spacing w:line="197" w:lineRule="exact"/>
              <w:jc w:val="center"/>
              <w:rPr>
                <w:sz w:val="22"/>
                <w:lang w:val="es-ES_tradnl"/>
              </w:rPr>
            </w:pPr>
            <w:r w:rsidRPr="0092075A">
              <w:rPr>
                <w:sz w:val="22"/>
                <w:lang w:val="es-ES_tradnl"/>
              </w:rPr>
              <w:t>0,548</w:t>
            </w:r>
            <w:r w:rsidRPr="0092075A">
              <w:rPr>
                <w:sz w:val="22"/>
                <w:lang w:val="es-ES_tradnl"/>
              </w:rPr>
              <w:br/>
              <w:t>0,378</w:t>
            </w:r>
            <w:r w:rsidRPr="0092075A">
              <w:rPr>
                <w:sz w:val="22"/>
                <w:lang w:val="es-ES_tradnl"/>
              </w:rPr>
              <w:br/>
              <w:t>0,570</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spacing w:line="197" w:lineRule="exact"/>
              <w:jc w:val="center"/>
              <w:rPr>
                <w:sz w:val="22"/>
                <w:lang w:val="es-ES_tradnl"/>
              </w:rPr>
            </w:pPr>
            <w:r w:rsidRPr="0092075A">
              <w:rPr>
                <w:sz w:val="22"/>
                <w:lang w:val="es-ES_tradnl"/>
              </w:rPr>
              <w:t>0,406</w:t>
            </w:r>
            <w:r w:rsidRPr="0092075A">
              <w:rPr>
                <w:sz w:val="22"/>
                <w:lang w:val="es-ES_tradnl"/>
              </w:rPr>
              <w:br/>
              <w:t>0,223</w:t>
            </w:r>
            <w:r w:rsidRPr="0092075A">
              <w:rPr>
                <w:sz w:val="22"/>
                <w:lang w:val="es-ES_tradnl"/>
              </w:rPr>
              <w:br/>
              <w:t>0,420</w:t>
            </w:r>
          </w:p>
        </w:tc>
        <w:tc>
          <w:tcPr>
            <w:tcW w:w="1559"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tabs>
                <w:tab w:val="clear" w:pos="794"/>
                <w:tab w:val="clear" w:pos="1191"/>
                <w:tab w:val="right" w:pos="1134"/>
              </w:tabs>
              <w:spacing w:line="197" w:lineRule="exact"/>
              <w:jc w:val="left"/>
              <w:rPr>
                <w:sz w:val="22"/>
                <w:lang w:val="es-ES_tradnl"/>
              </w:rPr>
            </w:pPr>
            <w:r w:rsidRPr="0092075A">
              <w:rPr>
                <w:sz w:val="22"/>
                <w:lang w:val="es-ES_tradnl"/>
              </w:rPr>
              <w:tab/>
              <w:t>1 430 000</w:t>
            </w:r>
            <w:r w:rsidRPr="0092075A">
              <w:rPr>
                <w:sz w:val="22"/>
                <w:lang w:val="es-ES_tradnl"/>
              </w:rPr>
              <w:br/>
            </w:r>
            <w:r w:rsidRPr="0092075A">
              <w:rPr>
                <w:sz w:val="22"/>
                <w:lang w:val="es-ES_tradnl"/>
              </w:rPr>
              <w:tab/>
              <w:t>506 000</w:t>
            </w:r>
            <w:r w:rsidRPr="0092075A">
              <w:rPr>
                <w:sz w:val="22"/>
                <w:lang w:val="es-ES_tradnl"/>
              </w:rPr>
              <w:br/>
            </w:r>
            <w:r w:rsidRPr="0092075A">
              <w:rPr>
                <w:sz w:val="22"/>
                <w:lang w:val="es-ES_tradnl"/>
              </w:rPr>
              <w:tab/>
              <w:t>352 000</w:t>
            </w:r>
          </w:p>
        </w:tc>
        <w:tc>
          <w:tcPr>
            <w:tcW w:w="1816" w:type="dxa"/>
            <w:tcBorders>
              <w:top w:val="single" w:sz="6" w:space="0" w:color="auto"/>
              <w:left w:val="single" w:sz="6" w:space="0" w:color="auto"/>
              <w:bottom w:val="single" w:sz="6" w:space="0" w:color="auto"/>
              <w:right w:val="single" w:sz="6" w:space="0" w:color="auto"/>
            </w:tcBorders>
          </w:tcPr>
          <w:p w:rsidR="001A24D9" w:rsidRPr="0092075A" w:rsidRDefault="001A24D9" w:rsidP="00A33815">
            <w:pPr>
              <w:pStyle w:val="TableText0"/>
              <w:tabs>
                <w:tab w:val="clear" w:pos="794"/>
                <w:tab w:val="clear" w:pos="1191"/>
                <w:tab w:val="right" w:pos="993"/>
              </w:tabs>
              <w:spacing w:line="197" w:lineRule="exact"/>
              <w:jc w:val="left"/>
              <w:rPr>
                <w:sz w:val="22"/>
                <w:lang w:val="es-ES_tradnl"/>
              </w:rPr>
            </w:pPr>
            <w:r w:rsidRPr="0092075A">
              <w:rPr>
                <w:sz w:val="22"/>
                <w:lang w:val="es-ES_tradnl"/>
              </w:rPr>
              <w:tab/>
              <w:t>31,4</w:t>
            </w:r>
            <w:r w:rsidRPr="0092075A">
              <w:rPr>
                <w:sz w:val="22"/>
                <w:lang w:val="es-ES_tradnl"/>
              </w:rPr>
              <w:br/>
            </w:r>
            <w:r w:rsidRPr="0092075A">
              <w:rPr>
                <w:sz w:val="22"/>
                <w:lang w:val="es-ES_tradnl"/>
              </w:rPr>
              <w:tab/>
              <w:t>24,9</w:t>
            </w:r>
            <w:r w:rsidRPr="0092075A">
              <w:rPr>
                <w:sz w:val="22"/>
                <w:lang w:val="es-ES_tradnl"/>
              </w:rPr>
              <w:br/>
            </w:r>
            <w:r w:rsidRPr="0092075A">
              <w:rPr>
                <w:sz w:val="22"/>
                <w:lang w:val="es-ES_tradnl"/>
              </w:rPr>
              <w:tab/>
              <w:t>34,9</w:t>
            </w:r>
          </w:p>
        </w:tc>
      </w:tr>
    </w:tbl>
    <w:p w:rsidR="001A24D9" w:rsidRPr="00D329E9" w:rsidRDefault="001A24D9" w:rsidP="001A24D9">
      <w:pPr>
        <w:pStyle w:val="Tablefin"/>
      </w:pPr>
    </w:p>
    <w:p w:rsidR="001A24D9" w:rsidRPr="00D329E9" w:rsidRDefault="001A24D9" w:rsidP="001A24D9">
      <w:pPr>
        <w:pStyle w:val="Heading1"/>
        <w:rPr>
          <w:lang w:val="es-ES_tradnl"/>
        </w:rPr>
      </w:pPr>
      <w:r w:rsidRPr="00D329E9">
        <w:rPr>
          <w:lang w:val="es-ES_tradnl"/>
        </w:rPr>
        <w:lastRenderedPageBreak/>
        <w:t>4</w:t>
      </w:r>
      <w:r w:rsidRPr="00D329E9">
        <w:rPr>
          <w:lang w:val="es-ES_tradnl"/>
        </w:rPr>
        <w:tab/>
        <w:t>Consideraciones relativas a la realización</w:t>
      </w:r>
    </w:p>
    <w:p w:rsidR="001A24D9" w:rsidRPr="00D329E9" w:rsidRDefault="001A24D9" w:rsidP="001A24D9">
      <w:pPr>
        <w:rPr>
          <w:lang w:val="es-ES_tradnl"/>
        </w:rPr>
      </w:pPr>
      <w:r w:rsidRPr="00D329E9">
        <w:rPr>
          <w:lang w:val="es-ES_tradnl"/>
        </w:rPr>
        <w:t>La técnica de codificación descrita en el presente Anexo tiene un número de limitaciones prácticas y no sustituirá en todas sus aplicaciones a un combinador polivalente con diversidad de frecuencias. Por ejemplo, es incompatible con los sistemas de transmisión de datos asíncronos.</w:t>
      </w:r>
    </w:p>
    <w:p w:rsidR="001A24D9" w:rsidRPr="00D329E9" w:rsidRDefault="001A24D9" w:rsidP="001A24D9">
      <w:pPr>
        <w:rPr>
          <w:lang w:val="es-ES_tradnl"/>
        </w:rPr>
      </w:pPr>
      <w:r w:rsidRPr="00D329E9">
        <w:rPr>
          <w:lang w:val="es-ES_tradnl"/>
        </w:rPr>
        <w:t xml:space="preserve">No obstante, puede ser útil con los sistemas ARQ que utilizan transmisiones síncronas, a condición de que las transmisiones no sean de duración tan corta, que anule la mejora en el caudal mediante un aumento de los bits de cabecera que se requieren para el funcionamiento adecuado del decodificador de Viterbi. La cabecera es de cuatro veces los </w:t>
      </w:r>
      <w:r w:rsidRPr="00D329E9">
        <w:rPr>
          <w:i/>
          <w:lang w:val="es-ES_tradnl"/>
        </w:rPr>
        <w:t>K</w:t>
      </w:r>
      <w:r w:rsidRPr="00D329E9">
        <w:rPr>
          <w:lang w:val="es-ES_tradnl"/>
        </w:rPr>
        <w:t xml:space="preserve"> bits (donde </w:t>
      </w:r>
      <w:r w:rsidRPr="00D329E9">
        <w:rPr>
          <w:i/>
          <w:lang w:val="es-ES_tradnl"/>
        </w:rPr>
        <w:t>K</w:t>
      </w:r>
      <w:r w:rsidRPr="00D329E9">
        <w:rPr>
          <w:lang w:val="es-ES_tradnl"/>
        </w:rPr>
        <w:t xml:space="preserve"> es la longitud impuesta) necesaria al comienzo de la transmisión, y por último hay una secuencia final de transmisión de (</w:t>
      </w:r>
      <w:r w:rsidRPr="00D329E9">
        <w:rPr>
          <w:i/>
          <w:lang w:val="es-ES_tradnl"/>
        </w:rPr>
        <w:t>K</w:t>
      </w:r>
      <w:r w:rsidRPr="00D329E9">
        <w:rPr>
          <w:lang w:val="es-ES_tradnl"/>
        </w:rPr>
        <w:t> – 1) bits.</w:t>
      </w:r>
    </w:p>
    <w:p w:rsidR="001A24D9" w:rsidRPr="00D329E9" w:rsidRDefault="001A24D9" w:rsidP="001A24D9">
      <w:pPr>
        <w:pStyle w:val="Heading1"/>
        <w:rPr>
          <w:lang w:val="es-ES_tradnl"/>
        </w:rPr>
      </w:pPr>
      <w:r w:rsidRPr="00D329E9">
        <w:rPr>
          <w:lang w:val="es-ES_tradnl"/>
        </w:rPr>
        <w:t>5</w:t>
      </w:r>
      <w:r w:rsidRPr="00D329E9">
        <w:rPr>
          <w:lang w:val="es-ES_tradnl"/>
        </w:rPr>
        <w:tab/>
        <w:t>Conclusiones</w:t>
      </w:r>
    </w:p>
    <w:p w:rsidR="00F21B4C" w:rsidRDefault="001A24D9" w:rsidP="001A24D9">
      <w:pPr>
        <w:rPr>
          <w:lang w:val="es-ES_tradnl"/>
        </w:rPr>
      </w:pPr>
      <w:r w:rsidRPr="00D329E9">
        <w:rPr>
          <w:lang w:val="es-ES_tradnl"/>
        </w:rPr>
        <w:t>Se ha ensayado un método de control de errores basado en la diversidad de frecuencias con codificación convolucional y se ha comparado con una transmisión de datos con diversidad de frecuencias en banda. Los resultados experimentales demuestran que este sistema tiene una BLER mejor que la de los sistemas con diversidad de frecuencias en banda. La técnica de codificación es adecuada para sistemas que actualmente utilizan diversidad de frecuencias en combinación con un protocolo ARQ síncrono.</w:t>
      </w:r>
    </w:p>
    <w:p w:rsidR="00F21B4C" w:rsidRDefault="00F21B4C" w:rsidP="00F21B4C">
      <w:pPr>
        <w:rPr>
          <w:lang w:val="es-ES_tradnl"/>
        </w:rPr>
      </w:pPr>
    </w:p>
    <w:p w:rsidR="00F21B4C" w:rsidRDefault="00F21B4C" w:rsidP="00F21B4C">
      <w:pPr>
        <w:rPr>
          <w:lang w:val="es-ES_tradnl"/>
        </w:rPr>
      </w:pPr>
    </w:p>
    <w:p w:rsidR="00F21B4C" w:rsidRPr="00C27537" w:rsidRDefault="00F21B4C" w:rsidP="00F21B4C">
      <w:pPr>
        <w:pStyle w:val="Line"/>
        <w:rPr>
          <w:lang w:val="es-ES_tradnl"/>
        </w:rPr>
      </w:pPr>
    </w:p>
    <w:sectPr w:rsidR="00F21B4C" w:rsidRPr="00C27537" w:rsidSect="00B1717A">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0D5" w:rsidRDefault="00B900D5">
      <w:r>
        <w:separator/>
      </w:r>
    </w:p>
  </w:endnote>
  <w:endnote w:type="continuationSeparator" w:id="0">
    <w:p w:rsidR="00B900D5" w:rsidRDefault="00B900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0D5" w:rsidRDefault="00B900D5">
      <w:r>
        <w:separator/>
      </w:r>
    </w:p>
  </w:footnote>
  <w:footnote w:type="continuationSeparator" w:id="0">
    <w:p w:rsidR="00B900D5" w:rsidRDefault="00B900D5">
      <w:r>
        <w:continuationSeparator/>
      </w:r>
    </w:p>
  </w:footnote>
  <w:footnote w:id="1">
    <w:p w:rsidR="001A24D9" w:rsidRPr="007C246E" w:rsidRDefault="001A24D9" w:rsidP="00C27537">
      <w:pPr>
        <w:pStyle w:val="FootnoteText"/>
        <w:rPr>
          <w:lang w:val="es-ES_tradnl"/>
        </w:rPr>
      </w:pPr>
      <w:r w:rsidRPr="005069ED">
        <w:rPr>
          <w:rStyle w:val="FootnoteReference"/>
          <w:lang w:val="es-ES_tradnl"/>
        </w:rPr>
        <w:t>*</w:t>
      </w:r>
      <w:r>
        <w:rPr>
          <w:lang w:val="es-ES_tradnl"/>
        </w:rPr>
        <w:tab/>
        <w:t>La Comisión de Estudio 5 de Radiocomunicaciones introdujo cambios de edición en la presente Recomendación en diciembre de 2009, con arreglo a lo dispuesto en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72152F"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D8787F" w:rsidP="00B1717A">
    <w:pPr>
      <w:pStyle w:val="Header"/>
      <w:jc w:val="left"/>
    </w:pPr>
    <w:r>
      <w:rPr>
        <w:rStyle w:val="PageNumber"/>
        <w:b/>
        <w:bCs/>
      </w:rPr>
      <w:fldChar w:fldCharType="begin"/>
    </w:r>
    <w:r w:rsidR="00847DD5">
      <w:rPr>
        <w:rStyle w:val="PageNumber"/>
        <w:b/>
        <w:bCs/>
      </w:rPr>
      <w:instrText xml:space="preserve"> PAGE </w:instrText>
    </w:r>
    <w:r>
      <w:rPr>
        <w:rStyle w:val="PageNumber"/>
        <w:b/>
        <w:bCs/>
      </w:rPr>
      <w:fldChar w:fldCharType="separate"/>
    </w:r>
    <w:r w:rsidR="005B4020">
      <w:rPr>
        <w:rStyle w:val="PageNumber"/>
        <w:b/>
        <w:bCs/>
        <w:noProof/>
      </w:rPr>
      <w:t>ii</w:t>
    </w:r>
    <w:r>
      <w:rPr>
        <w:rStyle w:val="PageNumber"/>
        <w:b/>
        <w:bCs/>
      </w:rPr>
      <w:fldChar w:fldCharType="end"/>
    </w:r>
    <w:r w:rsidR="00847DD5">
      <w:tab/>
    </w:r>
    <w:fldSimple w:instr=" DOCPROPERTY &quot;Header&quot; \* MERGEFORMAT ">
      <w:r w:rsidR="005B4020" w:rsidRPr="005B4020">
        <w:rPr>
          <w:b/>
          <w:bCs/>
          <w:lang w:val="en-US"/>
        </w:rPr>
        <w:t xml:space="preserve">Rec. </w:t>
      </w:r>
    </w:fldSimple>
    <w:r w:rsidR="00847DD5">
      <w:rPr>
        <w:b/>
        <w:bCs/>
      </w:rPr>
      <w:t xml:space="preserve"> </w:t>
    </w:r>
    <w:r>
      <w:rPr>
        <w:b/>
        <w:bCs/>
      </w:rPr>
      <w:fldChar w:fldCharType="begin"/>
    </w:r>
    <w:r w:rsidR="00847DD5">
      <w:rPr>
        <w:b/>
        <w:bCs/>
      </w:rPr>
      <w:instrText>styleref href</w:instrText>
    </w:r>
    <w:r>
      <w:rPr>
        <w:b/>
        <w:bCs/>
      </w:rPr>
      <w:fldChar w:fldCharType="separate"/>
    </w:r>
    <w:r w:rsidR="005B4020">
      <w:rPr>
        <w:b/>
        <w:bCs/>
        <w:noProof/>
      </w:rPr>
      <w:t>UIT-R  F.106-2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pPr>
    <w:r>
      <w:tab/>
    </w:r>
    <w:fldSimple w:instr=" DOCPROPERTY &quot;Header&quot; \* MERGEFORMAT ">
      <w:r w:rsidR="005B4020" w:rsidRPr="005B4020">
        <w:rPr>
          <w:lang w:val="en-US"/>
        </w:rPr>
        <w:t xml:space="preserve">Rec. </w:t>
      </w:r>
    </w:fldSimple>
    <w:r>
      <w:rPr>
        <w:b/>
        <w:bCs/>
      </w:rPr>
      <w:t xml:space="preserve">  </w:t>
    </w:r>
    <w:r w:rsidR="00D8787F">
      <w:rPr>
        <w:b/>
        <w:bCs/>
      </w:rPr>
      <w:fldChar w:fldCharType="begin"/>
    </w:r>
    <w:r>
      <w:rPr>
        <w:b/>
        <w:bCs/>
      </w:rPr>
      <w:instrText>styleref href</w:instrText>
    </w:r>
    <w:r w:rsidR="00D8787F">
      <w:rPr>
        <w:b/>
        <w:bCs/>
      </w:rPr>
      <w:fldChar w:fldCharType="separate"/>
    </w:r>
    <w:r w:rsidR="005B4020">
      <w:rPr>
        <w:b/>
        <w:bCs/>
        <w:noProof/>
      </w:rPr>
      <w:t>UIT-R  F.106-2</w:t>
    </w:r>
    <w:r w:rsidR="00D8787F">
      <w:rPr>
        <w:b/>
        <w:bCs/>
      </w:rPr>
      <w:fldChar w:fldCharType="end"/>
    </w:r>
    <w:r>
      <w:tab/>
    </w:r>
    <w:r w:rsidR="00D8787F">
      <w:rPr>
        <w:rStyle w:val="PageNumber"/>
        <w:b/>
        <w:bCs/>
      </w:rPr>
      <w:fldChar w:fldCharType="begin"/>
    </w:r>
    <w:r>
      <w:rPr>
        <w:rStyle w:val="PageNumber"/>
        <w:b/>
        <w:bCs/>
      </w:rPr>
      <w:instrText xml:space="preserve"> PAGE </w:instrText>
    </w:r>
    <w:r w:rsidR="00D8787F">
      <w:rPr>
        <w:rStyle w:val="PageNumber"/>
        <w:b/>
        <w:bCs/>
      </w:rPr>
      <w:fldChar w:fldCharType="separate"/>
    </w:r>
    <w:r>
      <w:rPr>
        <w:rStyle w:val="PageNumber"/>
        <w:b/>
        <w:bCs/>
        <w:noProof/>
      </w:rPr>
      <w:t>1</w:t>
    </w:r>
    <w:r w:rsidR="00D8787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D8787F">
    <w:pPr>
      <w:pStyle w:val="Header"/>
      <w:jc w:val="left"/>
      <w:rPr>
        <w:lang w:val="en-US"/>
      </w:rPr>
    </w:pPr>
    <w:r>
      <w:rPr>
        <w:rStyle w:val="PageNumber"/>
        <w:b/>
        <w:bCs/>
      </w:rPr>
      <w:fldChar w:fldCharType="begin"/>
    </w:r>
    <w:r w:rsidR="00847DD5">
      <w:rPr>
        <w:rStyle w:val="PageNumber"/>
        <w:b/>
        <w:bCs/>
        <w:lang w:val="en-US"/>
      </w:rPr>
      <w:instrText xml:space="preserve"> PAGE </w:instrText>
    </w:r>
    <w:r>
      <w:rPr>
        <w:rStyle w:val="PageNumber"/>
        <w:b/>
        <w:bCs/>
      </w:rPr>
      <w:fldChar w:fldCharType="separate"/>
    </w:r>
    <w:r w:rsidR="005B4020">
      <w:rPr>
        <w:rStyle w:val="PageNumber"/>
        <w:b/>
        <w:bCs/>
        <w:noProof/>
        <w:lang w:val="en-US"/>
      </w:rPr>
      <w:t>4</w:t>
    </w:r>
    <w:r>
      <w:rPr>
        <w:rStyle w:val="PageNumber"/>
        <w:b/>
        <w:bCs/>
      </w:rPr>
      <w:fldChar w:fldCharType="end"/>
    </w:r>
    <w:r w:rsidR="00847DD5">
      <w:rPr>
        <w:lang w:val="en-US"/>
      </w:rPr>
      <w:tab/>
    </w:r>
    <w:fldSimple w:instr=" DOCPROPERTY &quot;Header&quot; \* MERGEFORMAT ">
      <w:r w:rsidR="005B4020" w:rsidRPr="005B4020">
        <w:rPr>
          <w:b/>
          <w:bCs/>
          <w:lang w:val="en-US"/>
        </w:rPr>
        <w:t xml:space="preserve">Rec. </w:t>
      </w:r>
    </w:fldSimple>
    <w:r w:rsidR="00847DD5">
      <w:rPr>
        <w:b/>
        <w:bCs/>
      </w:rPr>
      <w:t xml:space="preserve"> </w:t>
    </w:r>
    <w:r>
      <w:rPr>
        <w:b/>
        <w:bCs/>
      </w:rPr>
      <w:fldChar w:fldCharType="begin"/>
    </w:r>
    <w:r w:rsidR="00847DD5">
      <w:rPr>
        <w:b/>
        <w:bCs/>
        <w:lang w:val="en-US"/>
      </w:rPr>
      <w:instrText>styleref href</w:instrText>
    </w:r>
    <w:r>
      <w:rPr>
        <w:b/>
        <w:bCs/>
      </w:rPr>
      <w:fldChar w:fldCharType="separate"/>
    </w:r>
    <w:r w:rsidR="005B4020">
      <w:rPr>
        <w:b/>
        <w:bCs/>
        <w:noProof/>
      </w:rPr>
      <w:t>UIT-R  F.106-2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D5" w:rsidRDefault="00847DD5">
    <w:pPr>
      <w:pStyle w:val="Header"/>
    </w:pPr>
    <w:r>
      <w:tab/>
    </w:r>
    <w:fldSimple w:instr=" DOCPROPERTY &quot;Header&quot; \* MERGEFORMAT ">
      <w:r w:rsidR="005B4020" w:rsidRPr="005B4020">
        <w:rPr>
          <w:b/>
          <w:bCs/>
        </w:rPr>
        <w:t xml:space="preserve">Rec. </w:t>
      </w:r>
    </w:fldSimple>
    <w:r>
      <w:rPr>
        <w:b/>
        <w:bCs/>
      </w:rPr>
      <w:t xml:space="preserve"> </w:t>
    </w:r>
    <w:r w:rsidR="00D8787F">
      <w:rPr>
        <w:b/>
        <w:bCs/>
      </w:rPr>
      <w:fldChar w:fldCharType="begin"/>
    </w:r>
    <w:r>
      <w:rPr>
        <w:b/>
        <w:bCs/>
      </w:rPr>
      <w:instrText>styleref href</w:instrText>
    </w:r>
    <w:r w:rsidR="00D8787F">
      <w:rPr>
        <w:b/>
        <w:bCs/>
      </w:rPr>
      <w:fldChar w:fldCharType="separate"/>
    </w:r>
    <w:r w:rsidR="005B4020">
      <w:rPr>
        <w:b/>
        <w:bCs/>
        <w:noProof/>
      </w:rPr>
      <w:t>UIT-R  F.106-2</w:t>
    </w:r>
    <w:r w:rsidR="00D8787F">
      <w:rPr>
        <w:b/>
        <w:bCs/>
      </w:rPr>
      <w:fldChar w:fldCharType="end"/>
    </w:r>
    <w:r>
      <w:tab/>
    </w:r>
    <w:r w:rsidR="00D8787F">
      <w:rPr>
        <w:rStyle w:val="PageNumber"/>
        <w:b/>
        <w:bCs/>
      </w:rPr>
      <w:fldChar w:fldCharType="begin"/>
    </w:r>
    <w:r>
      <w:rPr>
        <w:rStyle w:val="PageNumber"/>
        <w:b/>
        <w:bCs/>
      </w:rPr>
      <w:instrText xml:space="preserve"> PAGE </w:instrText>
    </w:r>
    <w:r w:rsidR="00D8787F">
      <w:rPr>
        <w:rStyle w:val="PageNumber"/>
        <w:b/>
        <w:bCs/>
      </w:rPr>
      <w:fldChar w:fldCharType="separate"/>
    </w:r>
    <w:r w:rsidR="005B4020">
      <w:rPr>
        <w:rStyle w:val="PageNumber"/>
        <w:b/>
        <w:bCs/>
        <w:noProof/>
      </w:rPr>
      <w:t>1</w:t>
    </w:r>
    <w:r w:rsidR="00D8787F">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51"/>
  </w:hdrShapeDefaults>
  <w:footnotePr>
    <w:footnote w:id="-1"/>
    <w:footnote w:id="0"/>
  </w:footnotePr>
  <w:endnotePr>
    <w:endnote w:id="-1"/>
    <w:endnote w:id="0"/>
  </w:endnotePr>
  <w:compat/>
  <w:rsids>
    <w:rsidRoot w:val="00B1717A"/>
    <w:rsid w:val="000D4ECB"/>
    <w:rsid w:val="001A24D9"/>
    <w:rsid w:val="002D76C4"/>
    <w:rsid w:val="00363835"/>
    <w:rsid w:val="00432D58"/>
    <w:rsid w:val="004532F7"/>
    <w:rsid w:val="00593832"/>
    <w:rsid w:val="005A6102"/>
    <w:rsid w:val="005B4020"/>
    <w:rsid w:val="00607D68"/>
    <w:rsid w:val="00643006"/>
    <w:rsid w:val="006B22C3"/>
    <w:rsid w:val="0072152F"/>
    <w:rsid w:val="00834A65"/>
    <w:rsid w:val="00847DD5"/>
    <w:rsid w:val="00884F2D"/>
    <w:rsid w:val="008B517D"/>
    <w:rsid w:val="0092075A"/>
    <w:rsid w:val="00A33815"/>
    <w:rsid w:val="00A6617B"/>
    <w:rsid w:val="00AB0DC8"/>
    <w:rsid w:val="00AF3FFF"/>
    <w:rsid w:val="00B1717A"/>
    <w:rsid w:val="00B44E24"/>
    <w:rsid w:val="00B900D5"/>
    <w:rsid w:val="00BF7841"/>
    <w:rsid w:val="00C27537"/>
    <w:rsid w:val="00C641F7"/>
    <w:rsid w:val="00CA7C2E"/>
    <w:rsid w:val="00D50E83"/>
    <w:rsid w:val="00D62884"/>
    <w:rsid w:val="00D8787F"/>
    <w:rsid w:val="00DF4176"/>
    <w:rsid w:val="00F21B4C"/>
    <w:rsid w:val="00F97762"/>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24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A24D9"/>
    <w:pPr>
      <w:keepNext/>
      <w:keepLines/>
      <w:spacing w:before="480"/>
      <w:ind w:left="794" w:hanging="794"/>
      <w:outlineLvl w:val="0"/>
    </w:pPr>
    <w:rPr>
      <w:b/>
    </w:rPr>
  </w:style>
  <w:style w:type="paragraph" w:styleId="Heading2">
    <w:name w:val="heading 2"/>
    <w:basedOn w:val="Heading1"/>
    <w:next w:val="Normal"/>
    <w:qFormat/>
    <w:rsid w:val="001A24D9"/>
    <w:pPr>
      <w:spacing w:before="320"/>
      <w:outlineLvl w:val="1"/>
    </w:pPr>
  </w:style>
  <w:style w:type="paragraph" w:styleId="Heading3">
    <w:name w:val="heading 3"/>
    <w:basedOn w:val="Heading1"/>
    <w:next w:val="Normal"/>
    <w:qFormat/>
    <w:rsid w:val="001A24D9"/>
    <w:pPr>
      <w:spacing w:before="200"/>
      <w:outlineLvl w:val="2"/>
    </w:pPr>
  </w:style>
  <w:style w:type="paragraph" w:styleId="Heading4">
    <w:name w:val="heading 4"/>
    <w:basedOn w:val="Heading3"/>
    <w:next w:val="Normal"/>
    <w:qFormat/>
    <w:rsid w:val="001A24D9"/>
    <w:pPr>
      <w:tabs>
        <w:tab w:val="clear" w:pos="794"/>
        <w:tab w:val="left" w:pos="992"/>
      </w:tabs>
      <w:ind w:left="992" w:hanging="992"/>
      <w:outlineLvl w:val="3"/>
    </w:pPr>
  </w:style>
  <w:style w:type="paragraph" w:styleId="Heading5">
    <w:name w:val="heading 5"/>
    <w:basedOn w:val="Heading4"/>
    <w:next w:val="Normal"/>
    <w:qFormat/>
    <w:rsid w:val="001A24D9"/>
    <w:pPr>
      <w:outlineLvl w:val="4"/>
    </w:pPr>
  </w:style>
  <w:style w:type="paragraph" w:styleId="Heading6">
    <w:name w:val="heading 6"/>
    <w:basedOn w:val="Heading4"/>
    <w:next w:val="Normal"/>
    <w:qFormat/>
    <w:rsid w:val="001A24D9"/>
    <w:pPr>
      <w:tabs>
        <w:tab w:val="clear" w:pos="992"/>
        <w:tab w:val="clear" w:pos="1191"/>
      </w:tabs>
      <w:ind w:left="1588" w:hanging="1588"/>
      <w:outlineLvl w:val="5"/>
    </w:pPr>
  </w:style>
  <w:style w:type="paragraph" w:styleId="Heading7">
    <w:name w:val="heading 7"/>
    <w:basedOn w:val="Heading6"/>
    <w:next w:val="Normal"/>
    <w:qFormat/>
    <w:rsid w:val="001A24D9"/>
    <w:pPr>
      <w:outlineLvl w:val="6"/>
    </w:pPr>
  </w:style>
  <w:style w:type="paragraph" w:styleId="Heading8">
    <w:name w:val="heading 8"/>
    <w:basedOn w:val="Heading6"/>
    <w:next w:val="Normal"/>
    <w:qFormat/>
    <w:rsid w:val="001A24D9"/>
    <w:pPr>
      <w:outlineLvl w:val="7"/>
    </w:pPr>
  </w:style>
  <w:style w:type="paragraph" w:styleId="Heading9">
    <w:name w:val="heading 9"/>
    <w:basedOn w:val="Heading6"/>
    <w:next w:val="Normal"/>
    <w:qFormat/>
    <w:rsid w:val="001A24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A24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24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24D9"/>
  </w:style>
  <w:style w:type="paragraph" w:customStyle="1" w:styleId="Headingb">
    <w:name w:val="Heading_b"/>
    <w:basedOn w:val="Heading3"/>
    <w:next w:val="Normal"/>
    <w:rsid w:val="001A24D9"/>
    <w:pPr>
      <w:spacing w:before="160"/>
      <w:ind w:left="0" w:firstLine="0"/>
      <w:outlineLvl w:val="9"/>
    </w:pPr>
  </w:style>
  <w:style w:type="paragraph" w:customStyle="1" w:styleId="Headingi">
    <w:name w:val="Heading_i"/>
    <w:basedOn w:val="Heading3"/>
    <w:next w:val="Normal"/>
    <w:rsid w:val="001A24D9"/>
    <w:pPr>
      <w:spacing w:before="160"/>
      <w:ind w:left="0" w:firstLine="0"/>
    </w:pPr>
    <w:rPr>
      <w:b w:val="0"/>
      <w:i/>
    </w:rPr>
  </w:style>
  <w:style w:type="character" w:customStyle="1" w:styleId="href">
    <w:name w:val="href"/>
    <w:basedOn w:val="DefaultParagraphFont"/>
    <w:rsid w:val="001A24D9"/>
  </w:style>
  <w:style w:type="paragraph" w:customStyle="1" w:styleId="enumlev1">
    <w:name w:val="enumlev1"/>
    <w:basedOn w:val="Normal"/>
    <w:rsid w:val="001A24D9"/>
    <w:pPr>
      <w:spacing w:before="80"/>
      <w:ind w:left="794" w:hanging="794"/>
    </w:pPr>
  </w:style>
  <w:style w:type="paragraph" w:customStyle="1" w:styleId="enumlev2">
    <w:name w:val="enumlev2"/>
    <w:basedOn w:val="enumlev1"/>
    <w:rsid w:val="001A24D9"/>
    <w:pPr>
      <w:ind w:left="1191" w:hanging="397"/>
    </w:pPr>
  </w:style>
  <w:style w:type="paragraph" w:customStyle="1" w:styleId="enumlev3">
    <w:name w:val="enumlev3"/>
    <w:basedOn w:val="enumlev2"/>
    <w:rsid w:val="001A24D9"/>
    <w:pPr>
      <w:ind w:left="1588"/>
    </w:pPr>
  </w:style>
  <w:style w:type="paragraph" w:customStyle="1" w:styleId="Normalaftertitle">
    <w:name w:val="Normal_after_title"/>
    <w:basedOn w:val="Normal"/>
    <w:next w:val="Normal"/>
    <w:rsid w:val="001A24D9"/>
    <w:pPr>
      <w:spacing w:before="320"/>
    </w:pPr>
  </w:style>
  <w:style w:type="paragraph" w:customStyle="1" w:styleId="Note">
    <w:name w:val="Note"/>
    <w:basedOn w:val="Normal"/>
    <w:rsid w:val="001A24D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A24D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A24D9"/>
    <w:pPr>
      <w:spacing w:before="240"/>
    </w:pPr>
    <w:rPr>
      <w:sz w:val="22"/>
      <w:lang w:val="es-ES_tradnl"/>
    </w:rPr>
  </w:style>
  <w:style w:type="paragraph" w:customStyle="1" w:styleId="Recref">
    <w:name w:val="Rec_ref"/>
    <w:basedOn w:val="Normal"/>
    <w:next w:val="Recdate"/>
    <w:rsid w:val="001A24D9"/>
    <w:pPr>
      <w:jc w:val="center"/>
    </w:pPr>
  </w:style>
  <w:style w:type="paragraph" w:customStyle="1" w:styleId="Recdate">
    <w:name w:val="Rec_date"/>
    <w:basedOn w:val="Recref"/>
    <w:next w:val="Normalaftertitle"/>
    <w:rsid w:val="001A24D9"/>
    <w:pPr>
      <w:jc w:val="right"/>
    </w:pPr>
  </w:style>
  <w:style w:type="paragraph" w:customStyle="1" w:styleId="AnnexNoTitle">
    <w:name w:val="Annex_NoTitle"/>
    <w:basedOn w:val="Normal"/>
    <w:next w:val="Normalaftertitle"/>
    <w:rsid w:val="001A24D9"/>
    <w:pPr>
      <w:keepNext/>
      <w:keepLines/>
      <w:spacing w:before="480" w:after="80"/>
      <w:jc w:val="center"/>
    </w:pPr>
    <w:rPr>
      <w:b/>
      <w:sz w:val="28"/>
    </w:rPr>
  </w:style>
  <w:style w:type="paragraph" w:customStyle="1" w:styleId="AppendixNoTitle">
    <w:name w:val="Appendix_NoTitle"/>
    <w:basedOn w:val="AnnexNoTitle"/>
    <w:next w:val="Normal"/>
    <w:rsid w:val="001A24D9"/>
  </w:style>
  <w:style w:type="paragraph" w:customStyle="1" w:styleId="Tablefin">
    <w:name w:val="Table_fin"/>
    <w:basedOn w:val="Normal"/>
    <w:next w:val="Normal"/>
    <w:rsid w:val="001A24D9"/>
    <w:pPr>
      <w:spacing w:before="0"/>
    </w:pPr>
    <w:rPr>
      <w:sz w:val="20"/>
      <w:lang w:val="en-GB"/>
    </w:rPr>
  </w:style>
  <w:style w:type="paragraph" w:customStyle="1" w:styleId="Tablehead">
    <w:name w:val="Table_head"/>
    <w:basedOn w:val="Normal"/>
    <w:next w:val="Normal"/>
    <w:rsid w:val="001A24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A24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A24D9"/>
    <w:pPr>
      <w:keepNext/>
      <w:spacing w:before="360" w:after="120"/>
      <w:jc w:val="center"/>
    </w:pPr>
  </w:style>
  <w:style w:type="paragraph" w:customStyle="1" w:styleId="Tabletext">
    <w:name w:val="Table_text"/>
    <w:basedOn w:val="Normal"/>
    <w:rsid w:val="001A24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A24D9"/>
    <w:pPr>
      <w:tabs>
        <w:tab w:val="clear" w:pos="1191"/>
        <w:tab w:val="clear" w:pos="1588"/>
        <w:tab w:val="clear" w:pos="1985"/>
        <w:tab w:val="center" w:pos="4820"/>
        <w:tab w:val="right" w:pos="9639"/>
      </w:tabs>
    </w:pPr>
  </w:style>
  <w:style w:type="paragraph" w:customStyle="1" w:styleId="Equationlegend">
    <w:name w:val="Equation_legend"/>
    <w:basedOn w:val="NormalIndent"/>
    <w:rsid w:val="001A24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24D9"/>
    <w:pPr>
      <w:ind w:left="794"/>
    </w:pPr>
  </w:style>
  <w:style w:type="paragraph" w:customStyle="1" w:styleId="Figurelegend">
    <w:name w:val="Figure_legend"/>
    <w:basedOn w:val="Normal"/>
    <w:rsid w:val="001A24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24D9"/>
    <w:pPr>
      <w:keepNext/>
      <w:keepLines/>
      <w:spacing w:before="480" w:after="80"/>
      <w:jc w:val="center"/>
    </w:pPr>
    <w:rPr>
      <w:caps/>
      <w:sz w:val="18"/>
    </w:rPr>
  </w:style>
  <w:style w:type="paragraph" w:customStyle="1" w:styleId="tocpart">
    <w:name w:val="tocpart"/>
    <w:basedOn w:val="Normal"/>
    <w:rsid w:val="001A24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24D9"/>
    <w:pPr>
      <w:keepNext/>
      <w:keepLines/>
      <w:spacing w:before="480"/>
      <w:jc w:val="center"/>
    </w:pPr>
    <w:rPr>
      <w:sz w:val="28"/>
    </w:rPr>
  </w:style>
  <w:style w:type="paragraph" w:customStyle="1" w:styleId="Arttitle">
    <w:name w:val="Art_title"/>
    <w:basedOn w:val="Normal"/>
    <w:next w:val="Normalaftertitle"/>
    <w:rsid w:val="001A24D9"/>
    <w:pPr>
      <w:keepNext/>
      <w:keepLines/>
      <w:spacing w:before="240"/>
      <w:jc w:val="center"/>
    </w:pPr>
    <w:rPr>
      <w:b/>
      <w:sz w:val="28"/>
    </w:rPr>
  </w:style>
  <w:style w:type="paragraph" w:customStyle="1" w:styleId="Blanc">
    <w:name w:val="Blanc"/>
    <w:basedOn w:val="Normal"/>
    <w:next w:val="Tabletext"/>
    <w:rsid w:val="001A24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24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24D9"/>
    <w:pPr>
      <w:keepNext/>
      <w:keepLines/>
      <w:spacing w:before="160"/>
      <w:ind w:left="794"/>
    </w:pPr>
    <w:rPr>
      <w:i/>
    </w:rPr>
  </w:style>
  <w:style w:type="paragraph" w:customStyle="1" w:styleId="ChapNo">
    <w:name w:val="Chap_No"/>
    <w:basedOn w:val="ArtNo"/>
    <w:next w:val="Chaptitle"/>
    <w:rsid w:val="001A24D9"/>
    <w:rPr>
      <w:b/>
    </w:rPr>
  </w:style>
  <w:style w:type="paragraph" w:customStyle="1" w:styleId="Chaptitle">
    <w:name w:val="Chap_title"/>
    <w:basedOn w:val="Arttitle"/>
    <w:next w:val="Normalaftertitle"/>
    <w:rsid w:val="001A24D9"/>
  </w:style>
  <w:style w:type="character" w:styleId="FootnoteReference">
    <w:name w:val="footnote reference"/>
    <w:basedOn w:val="DefaultParagraphFont"/>
    <w:rsid w:val="001A24D9"/>
    <w:rPr>
      <w:position w:val="6"/>
      <w:sz w:val="18"/>
    </w:rPr>
  </w:style>
  <w:style w:type="paragraph" w:styleId="FootnoteText">
    <w:name w:val="footnote text"/>
    <w:basedOn w:val="Normal"/>
    <w:link w:val="FootnoteTextChar"/>
    <w:rsid w:val="001A24D9"/>
    <w:pPr>
      <w:keepLines/>
      <w:tabs>
        <w:tab w:val="left" w:pos="255"/>
      </w:tabs>
      <w:ind w:left="255" w:hanging="255"/>
    </w:pPr>
    <w:rPr>
      <w:sz w:val="22"/>
    </w:rPr>
  </w:style>
  <w:style w:type="paragraph" w:styleId="Index1">
    <w:name w:val="index 1"/>
    <w:basedOn w:val="Normal"/>
    <w:next w:val="Normal"/>
    <w:semiHidden/>
    <w:rsid w:val="001A24D9"/>
  </w:style>
  <w:style w:type="paragraph" w:styleId="Index2">
    <w:name w:val="index 2"/>
    <w:basedOn w:val="Normal"/>
    <w:next w:val="Normal"/>
    <w:semiHidden/>
    <w:rsid w:val="001A24D9"/>
    <w:pPr>
      <w:ind w:left="283"/>
    </w:pPr>
  </w:style>
  <w:style w:type="paragraph" w:styleId="Index3">
    <w:name w:val="index 3"/>
    <w:basedOn w:val="Normal"/>
    <w:next w:val="Normal"/>
    <w:semiHidden/>
    <w:rsid w:val="001A24D9"/>
    <w:pPr>
      <w:ind w:left="566"/>
    </w:pPr>
  </w:style>
  <w:style w:type="paragraph" w:styleId="IndexHeading">
    <w:name w:val="index heading"/>
    <w:basedOn w:val="Normal"/>
    <w:next w:val="Index1"/>
    <w:semiHidden/>
    <w:rsid w:val="001A24D9"/>
  </w:style>
  <w:style w:type="paragraph" w:customStyle="1" w:styleId="Line">
    <w:name w:val="Line"/>
    <w:basedOn w:val="Normal"/>
    <w:next w:val="Normal"/>
    <w:rsid w:val="001A24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24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24D9"/>
  </w:style>
  <w:style w:type="paragraph" w:customStyle="1" w:styleId="Partref">
    <w:name w:val="Part_ref"/>
    <w:basedOn w:val="Normal"/>
    <w:next w:val="Normal"/>
    <w:rsid w:val="001A24D9"/>
    <w:pPr>
      <w:keepNext/>
      <w:keepLines/>
      <w:spacing w:after="280"/>
      <w:jc w:val="center"/>
    </w:pPr>
  </w:style>
  <w:style w:type="paragraph" w:customStyle="1" w:styleId="Parttitle">
    <w:name w:val="Part_title"/>
    <w:basedOn w:val="Normal"/>
    <w:next w:val="Normalaftertitle"/>
    <w:rsid w:val="001A24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A24D9"/>
  </w:style>
  <w:style w:type="paragraph" w:customStyle="1" w:styleId="QuestionNo">
    <w:name w:val="Question_No"/>
    <w:basedOn w:val="RecNo"/>
    <w:next w:val="Normal"/>
    <w:rsid w:val="001A24D9"/>
  </w:style>
  <w:style w:type="paragraph" w:customStyle="1" w:styleId="Questionref">
    <w:name w:val="Question_ref"/>
    <w:basedOn w:val="Recref"/>
    <w:next w:val="Questiondate"/>
    <w:rsid w:val="001A24D9"/>
  </w:style>
  <w:style w:type="paragraph" w:customStyle="1" w:styleId="Questiontitle">
    <w:name w:val="Question_title"/>
    <w:basedOn w:val="Normal"/>
    <w:next w:val="Questionref"/>
    <w:rsid w:val="001A24D9"/>
  </w:style>
  <w:style w:type="paragraph" w:customStyle="1" w:styleId="Reftext">
    <w:name w:val="Ref_text"/>
    <w:basedOn w:val="Normal"/>
    <w:rsid w:val="001A24D9"/>
    <w:pPr>
      <w:ind w:left="794" w:hanging="794"/>
    </w:pPr>
    <w:rPr>
      <w:sz w:val="22"/>
    </w:rPr>
  </w:style>
  <w:style w:type="paragraph" w:customStyle="1" w:styleId="Reftitle">
    <w:name w:val="Ref_title"/>
    <w:basedOn w:val="Normal"/>
    <w:next w:val="Reftext"/>
    <w:rsid w:val="001A24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A24D9"/>
  </w:style>
  <w:style w:type="paragraph" w:customStyle="1" w:styleId="RepNo">
    <w:name w:val="Rep_No"/>
    <w:basedOn w:val="RecNo"/>
    <w:next w:val="Reptitle"/>
    <w:rsid w:val="001A24D9"/>
  </w:style>
  <w:style w:type="paragraph" w:customStyle="1" w:styleId="Repref">
    <w:name w:val="Rep_ref"/>
    <w:basedOn w:val="Recref"/>
    <w:next w:val="Repdate"/>
    <w:rsid w:val="001A24D9"/>
  </w:style>
  <w:style w:type="paragraph" w:customStyle="1" w:styleId="Reptitle">
    <w:name w:val="Rep_title"/>
    <w:basedOn w:val="Rectitle"/>
    <w:next w:val="Repref"/>
    <w:rsid w:val="001A24D9"/>
  </w:style>
  <w:style w:type="paragraph" w:customStyle="1" w:styleId="Resdate">
    <w:name w:val="Res_date"/>
    <w:basedOn w:val="Recdate"/>
    <w:next w:val="Normalaftertitle"/>
    <w:rsid w:val="001A24D9"/>
  </w:style>
  <w:style w:type="paragraph" w:customStyle="1" w:styleId="ResNo">
    <w:name w:val="Res_No"/>
    <w:basedOn w:val="RecNo"/>
    <w:next w:val="Restitle"/>
    <w:rsid w:val="001A24D9"/>
  </w:style>
  <w:style w:type="paragraph" w:customStyle="1" w:styleId="Resref">
    <w:name w:val="Res_ref"/>
    <w:basedOn w:val="Recref"/>
    <w:next w:val="Resdate"/>
    <w:rsid w:val="001A24D9"/>
  </w:style>
  <w:style w:type="paragraph" w:customStyle="1" w:styleId="Restitle">
    <w:name w:val="Res_title"/>
    <w:basedOn w:val="Normal"/>
    <w:next w:val="Resref"/>
    <w:rsid w:val="001A24D9"/>
    <w:pPr>
      <w:spacing w:before="240"/>
      <w:jc w:val="center"/>
    </w:pPr>
    <w:rPr>
      <w:b/>
      <w:sz w:val="28"/>
    </w:rPr>
  </w:style>
  <w:style w:type="paragraph" w:customStyle="1" w:styleId="SectionNo">
    <w:name w:val="Section_No"/>
    <w:basedOn w:val="Normal"/>
    <w:next w:val="Normal"/>
    <w:rsid w:val="001A24D9"/>
  </w:style>
  <w:style w:type="paragraph" w:customStyle="1" w:styleId="Sectiontitle">
    <w:name w:val="Section_title"/>
    <w:basedOn w:val="Normal"/>
    <w:next w:val="Normalaftertitle"/>
    <w:rsid w:val="001A24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A24D9"/>
    <w:pPr>
      <w:tabs>
        <w:tab w:val="clear" w:pos="794"/>
        <w:tab w:val="clear" w:pos="1191"/>
        <w:tab w:val="clear" w:pos="1588"/>
        <w:tab w:val="clear" w:pos="1985"/>
        <w:tab w:val="right" w:pos="9611"/>
      </w:tabs>
    </w:pPr>
    <w:rPr>
      <w:i/>
    </w:rPr>
  </w:style>
  <w:style w:type="paragraph" w:styleId="TOC1">
    <w:name w:val="toc 1"/>
    <w:basedOn w:val="Normal"/>
    <w:semiHidden/>
    <w:rsid w:val="001A24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24D9"/>
    <w:pPr>
      <w:tabs>
        <w:tab w:val="clear" w:pos="567"/>
        <w:tab w:val="left" w:pos="1276"/>
      </w:tabs>
      <w:spacing w:before="160"/>
      <w:ind w:left="1276" w:hanging="709"/>
    </w:pPr>
  </w:style>
  <w:style w:type="paragraph" w:styleId="TOC3">
    <w:name w:val="toc 3"/>
    <w:basedOn w:val="TOC2"/>
    <w:semiHidden/>
    <w:rsid w:val="001A24D9"/>
    <w:pPr>
      <w:tabs>
        <w:tab w:val="clear" w:pos="1276"/>
        <w:tab w:val="left" w:pos="2155"/>
      </w:tabs>
      <w:ind w:left="2155" w:hanging="879"/>
    </w:pPr>
  </w:style>
  <w:style w:type="paragraph" w:styleId="TOC4">
    <w:name w:val="toc 4"/>
    <w:basedOn w:val="TOC3"/>
    <w:semiHidden/>
    <w:rsid w:val="001A24D9"/>
    <w:pPr>
      <w:tabs>
        <w:tab w:val="left" w:pos="3261"/>
      </w:tabs>
      <w:spacing w:before="80"/>
      <w:ind w:left="3261" w:hanging="993"/>
    </w:pPr>
  </w:style>
  <w:style w:type="paragraph" w:styleId="TOC5">
    <w:name w:val="toc 5"/>
    <w:basedOn w:val="TOC4"/>
    <w:semiHidden/>
    <w:rsid w:val="001A24D9"/>
  </w:style>
  <w:style w:type="paragraph" w:styleId="TOC6">
    <w:name w:val="toc 6"/>
    <w:basedOn w:val="TOC4"/>
    <w:semiHidden/>
    <w:rsid w:val="001A24D9"/>
  </w:style>
  <w:style w:type="paragraph" w:styleId="TOC7">
    <w:name w:val="toc 7"/>
    <w:basedOn w:val="TOC4"/>
    <w:semiHidden/>
    <w:rsid w:val="001A24D9"/>
  </w:style>
  <w:style w:type="paragraph" w:styleId="TOC8">
    <w:name w:val="toc 8"/>
    <w:basedOn w:val="TOC4"/>
    <w:semiHidden/>
    <w:rsid w:val="001A24D9"/>
  </w:style>
  <w:style w:type="paragraph" w:customStyle="1" w:styleId="Rectitle">
    <w:name w:val="Rec_title"/>
    <w:basedOn w:val="Normal"/>
    <w:next w:val="Recref"/>
    <w:rsid w:val="001A24D9"/>
    <w:pPr>
      <w:keepNext/>
      <w:keepLines/>
      <w:spacing w:before="240"/>
      <w:jc w:val="center"/>
    </w:pPr>
    <w:rPr>
      <w:b/>
      <w:sz w:val="28"/>
    </w:rPr>
  </w:style>
  <w:style w:type="paragraph" w:customStyle="1" w:styleId="Annexref">
    <w:name w:val="Annex_ref"/>
    <w:basedOn w:val="Normal"/>
    <w:next w:val="Normalaftertitle"/>
    <w:rsid w:val="001A24D9"/>
    <w:pPr>
      <w:keepNext/>
      <w:keepLines/>
      <w:spacing w:after="280"/>
      <w:jc w:val="center"/>
    </w:pPr>
  </w:style>
  <w:style w:type="paragraph" w:customStyle="1" w:styleId="Appendixref">
    <w:name w:val="Appendix_ref"/>
    <w:basedOn w:val="Annexref"/>
    <w:next w:val="Normalaftertitle"/>
    <w:rsid w:val="001A24D9"/>
  </w:style>
  <w:style w:type="paragraph" w:customStyle="1" w:styleId="Figuretitle">
    <w:name w:val="Figure_title"/>
    <w:basedOn w:val="Normal"/>
    <w:next w:val="Figure"/>
    <w:rsid w:val="001A24D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A24D9"/>
    <w:pPr>
      <w:keepNext/>
      <w:spacing w:before="0" w:after="120"/>
      <w:jc w:val="center"/>
    </w:pPr>
    <w:rPr>
      <w:b/>
    </w:rPr>
  </w:style>
  <w:style w:type="paragraph" w:customStyle="1" w:styleId="Summary">
    <w:name w:val="Summary"/>
    <w:basedOn w:val="Normal"/>
    <w:next w:val="Normalaftertitle"/>
    <w:rsid w:val="001A24D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1A24D9"/>
    <w:pPr>
      <w:keepNext w:val="0"/>
      <w:spacing w:before="0" w:after="240"/>
    </w:pPr>
  </w:style>
  <w:style w:type="character" w:customStyle="1" w:styleId="FootnoteTextChar">
    <w:name w:val="Footnote Text Char"/>
    <w:basedOn w:val="DefaultParagraphFont"/>
    <w:link w:val="FootnoteText"/>
    <w:rsid w:val="001A24D9"/>
    <w:rPr>
      <w:sz w:val="22"/>
      <w:lang w:val="fr-FR" w:eastAsia="en-US"/>
    </w:rPr>
  </w:style>
  <w:style w:type="paragraph" w:customStyle="1" w:styleId="TableLegendNote">
    <w:name w:val="Table_Legend_Note"/>
    <w:basedOn w:val="Tablelegend"/>
    <w:next w:val="Tablelegend"/>
    <w:rsid w:val="001A24D9"/>
    <w:pPr>
      <w:ind w:left="-85" w:firstLine="0"/>
    </w:pPr>
    <w:rPr>
      <w:lang w:val="en-US"/>
    </w:rPr>
  </w:style>
  <w:style w:type="character" w:customStyle="1" w:styleId="Heading1Char">
    <w:name w:val="Heading 1 Char"/>
    <w:basedOn w:val="DefaultParagraphFont"/>
    <w:link w:val="Heading1"/>
    <w:rsid w:val="001A24D9"/>
    <w:rPr>
      <w:b/>
      <w:sz w:val="24"/>
      <w:lang w:val="fr-FR" w:eastAsia="en-US"/>
    </w:rPr>
  </w:style>
  <w:style w:type="paragraph" w:customStyle="1" w:styleId="TableText0">
    <w:name w:val="Table_Text"/>
    <w:basedOn w:val="Normal"/>
    <w:rsid w:val="001A24D9"/>
    <w:pPr>
      <w:keepNext/>
      <w:spacing w:before="100" w:after="100" w:line="190" w:lineRule="exact"/>
    </w:pPr>
    <w:rPr>
      <w:sz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898AD-5D98-4111-92E3-10E84043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7</Pages>
  <Words>2292</Words>
  <Characters>12441</Characters>
  <Application>Microsoft Office Word</Application>
  <DocSecurity>0</DocSecurity>
  <Lines>654</Lines>
  <Paragraphs>140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14593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11</cp:revision>
  <cp:lastPrinted>2005-02-10T14:54:00Z</cp:lastPrinted>
  <dcterms:created xsi:type="dcterms:W3CDTF">2010-12-17T09:26:00Z</dcterms:created>
  <dcterms:modified xsi:type="dcterms:W3CDTF">2011-01-14T15:16:00Z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