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p w:rsidR="00E15C2B" w:rsidRPr="00A228C8" w:rsidRDefault="00E15C2B">
      <w:pPr>
        <w:rPr>
          <w:lang w:val="fr-CH"/>
        </w:rPr>
      </w:pPr>
    </w:p>
    <w:tbl>
      <w:tblPr>
        <w:tblW w:w="10089" w:type="dxa"/>
        <w:tblLook w:val="01E0" w:firstRow="1" w:lastRow="1" w:firstColumn="1" w:lastColumn="1" w:noHBand="0" w:noVBand="0"/>
      </w:tblPr>
      <w:tblGrid>
        <w:gridCol w:w="10089"/>
      </w:tblGrid>
      <w:tr w:rsidR="00E15C2B" w:rsidRPr="00A228C8">
        <w:tc>
          <w:tcPr>
            <w:tcW w:w="10089" w:type="dxa"/>
          </w:tcPr>
          <w:p w:rsidR="00E15C2B" w:rsidRPr="00A228C8" w:rsidRDefault="00E15C2B" w:rsidP="00A228C8">
            <w:pPr>
              <w:spacing w:before="380" w:line="280" w:lineRule="exact"/>
              <w:jc w:val="right"/>
              <w:rPr>
                <w:rFonts w:ascii="Tahoma" w:hAnsi="Tahoma" w:cs="Tahoma"/>
                <w:b/>
                <w:bCs/>
                <w:iCs/>
                <w:color w:val="243285"/>
                <w:sz w:val="32"/>
                <w:szCs w:val="32"/>
                <w:lang w:val="fr-CH"/>
              </w:rPr>
            </w:pPr>
          </w:p>
          <w:p w:rsidR="00E15C2B" w:rsidRPr="00A228C8" w:rsidRDefault="00E15C2B" w:rsidP="007F1C84">
            <w:pPr>
              <w:spacing w:before="380" w:line="280" w:lineRule="exact"/>
              <w:jc w:val="right"/>
              <w:rPr>
                <w:rFonts w:ascii="Tahoma" w:hAnsi="Tahoma" w:cs="Tahoma"/>
                <w:b/>
                <w:bCs/>
                <w:iCs/>
                <w:color w:val="243285"/>
                <w:sz w:val="36"/>
                <w:szCs w:val="36"/>
                <w:lang w:val="fr-CH"/>
              </w:rPr>
            </w:pPr>
            <w:r w:rsidRPr="00A228C8">
              <w:rPr>
                <w:rFonts w:ascii="Tahoma" w:hAnsi="Tahoma" w:cs="Tahoma"/>
                <w:b/>
                <w:bCs/>
                <w:iCs/>
                <w:color w:val="243285"/>
                <w:sz w:val="36"/>
                <w:szCs w:val="36"/>
                <w:lang w:val="fr-CH"/>
              </w:rPr>
              <w:t>Recommandation  UIT-R  F.</w:t>
            </w:r>
            <w:r w:rsidR="007F1C84" w:rsidRPr="00A228C8">
              <w:rPr>
                <w:rFonts w:ascii="Tahoma" w:hAnsi="Tahoma" w:cs="Tahoma"/>
                <w:b/>
                <w:bCs/>
                <w:iCs/>
                <w:color w:val="243285"/>
                <w:sz w:val="36"/>
                <w:szCs w:val="36"/>
                <w:lang w:val="fr-CH"/>
              </w:rPr>
              <w:t>1191-3</w:t>
            </w:r>
          </w:p>
          <w:p w:rsidR="00E15C2B" w:rsidRPr="00A228C8" w:rsidRDefault="00E15C2B" w:rsidP="007F1C84">
            <w:pPr>
              <w:spacing w:before="80" w:line="280" w:lineRule="exact"/>
              <w:jc w:val="right"/>
              <w:rPr>
                <w:rFonts w:ascii="Tahoma" w:hAnsi="Tahoma" w:cs="Tahoma"/>
                <w:b/>
                <w:bCs/>
                <w:iCs/>
                <w:color w:val="243285"/>
                <w:szCs w:val="24"/>
                <w:lang w:val="fr-CH"/>
              </w:rPr>
            </w:pPr>
            <w:r w:rsidRPr="00A228C8">
              <w:rPr>
                <w:rFonts w:ascii="Tahoma" w:hAnsi="Tahoma" w:cs="Tahoma"/>
                <w:b/>
                <w:bCs/>
                <w:iCs/>
                <w:color w:val="243285"/>
                <w:szCs w:val="24"/>
                <w:lang w:val="fr-CH"/>
              </w:rPr>
              <w:t>(0</w:t>
            </w:r>
            <w:r w:rsidR="007F1C84" w:rsidRPr="00A228C8">
              <w:rPr>
                <w:rFonts w:ascii="Tahoma" w:hAnsi="Tahoma" w:cs="Tahoma"/>
                <w:b/>
                <w:bCs/>
                <w:iCs/>
                <w:color w:val="243285"/>
                <w:szCs w:val="24"/>
                <w:lang w:val="fr-CH"/>
              </w:rPr>
              <w:t>5</w:t>
            </w:r>
            <w:r w:rsidRPr="00A228C8">
              <w:rPr>
                <w:rFonts w:ascii="Tahoma" w:hAnsi="Tahoma" w:cs="Tahoma"/>
                <w:b/>
                <w:bCs/>
                <w:iCs/>
                <w:color w:val="243285"/>
                <w:szCs w:val="24"/>
                <w:lang w:val="fr-CH"/>
              </w:rPr>
              <w:t>/</w:t>
            </w:r>
            <w:r w:rsidR="007F1C84" w:rsidRPr="00A228C8">
              <w:rPr>
                <w:rFonts w:ascii="Tahoma" w:hAnsi="Tahoma" w:cs="Tahoma"/>
                <w:b/>
                <w:bCs/>
                <w:iCs/>
                <w:color w:val="243285"/>
                <w:szCs w:val="24"/>
                <w:lang w:val="fr-CH"/>
              </w:rPr>
              <w:t>2011</w:t>
            </w:r>
            <w:r w:rsidRPr="00A228C8">
              <w:rPr>
                <w:rFonts w:ascii="Tahoma" w:hAnsi="Tahoma" w:cs="Tahoma"/>
                <w:b/>
                <w:bCs/>
                <w:iCs/>
                <w:color w:val="243285"/>
                <w:szCs w:val="24"/>
                <w:lang w:val="fr-CH"/>
              </w:rPr>
              <w:t>)</w:t>
            </w:r>
          </w:p>
        </w:tc>
      </w:tr>
      <w:tr w:rsidR="00E15C2B" w:rsidRPr="00A228C8">
        <w:tc>
          <w:tcPr>
            <w:tcW w:w="10089" w:type="dxa"/>
          </w:tcPr>
          <w:p w:rsidR="00E15C2B" w:rsidRPr="00A228C8" w:rsidRDefault="00E15C2B" w:rsidP="00A228C8">
            <w:pPr>
              <w:spacing w:before="80" w:line="500" w:lineRule="exact"/>
              <w:jc w:val="right"/>
              <w:rPr>
                <w:rFonts w:ascii="Tahoma" w:hAnsi="Tahoma" w:cs="Tahoma"/>
                <w:b/>
                <w:bCs/>
                <w:iCs/>
                <w:color w:val="243285"/>
                <w:sz w:val="44"/>
                <w:szCs w:val="44"/>
                <w:lang w:val="fr-CH"/>
              </w:rPr>
            </w:pPr>
          </w:p>
          <w:p w:rsidR="00E15C2B" w:rsidRPr="00A228C8" w:rsidRDefault="007F1C84" w:rsidP="007F1C84">
            <w:pPr>
              <w:spacing w:before="80" w:line="500" w:lineRule="exact"/>
              <w:jc w:val="right"/>
              <w:rPr>
                <w:rFonts w:ascii="Tahoma" w:hAnsi="Tahoma" w:cs="Tahoma"/>
                <w:b/>
                <w:bCs/>
                <w:iCs/>
                <w:color w:val="243285"/>
                <w:sz w:val="44"/>
                <w:szCs w:val="44"/>
                <w:lang w:val="fr-CH"/>
              </w:rPr>
            </w:pPr>
            <w:r w:rsidRPr="00A228C8">
              <w:rPr>
                <w:rFonts w:ascii="Tahoma" w:hAnsi="Tahoma" w:cs="Tahoma"/>
                <w:b/>
                <w:bCs/>
                <w:color w:val="243285"/>
                <w:sz w:val="44"/>
                <w:szCs w:val="44"/>
                <w:lang w:val="fr-CH"/>
              </w:rPr>
              <w:t>Largeur de bande nécessaire et largeur de bande occupée et rayonnements non désirés des systèmes numériques du service fixe</w:t>
            </w:r>
          </w:p>
          <w:p w:rsidR="00E15C2B" w:rsidRPr="00A228C8" w:rsidRDefault="00E15C2B" w:rsidP="00A228C8">
            <w:pPr>
              <w:spacing w:before="80" w:line="500" w:lineRule="exact"/>
              <w:jc w:val="right"/>
              <w:rPr>
                <w:rFonts w:ascii="Tahoma" w:hAnsi="Tahoma" w:cs="Tahoma"/>
                <w:b/>
                <w:bCs/>
                <w:iCs/>
                <w:color w:val="243285"/>
                <w:sz w:val="44"/>
                <w:szCs w:val="44"/>
                <w:lang w:val="fr-CH"/>
              </w:rPr>
            </w:pPr>
          </w:p>
        </w:tc>
      </w:tr>
      <w:tr w:rsidR="00E15C2B" w:rsidRPr="00A228C8">
        <w:tc>
          <w:tcPr>
            <w:tcW w:w="10089" w:type="dxa"/>
          </w:tcPr>
          <w:p w:rsidR="00E15C2B" w:rsidRPr="00A228C8" w:rsidRDefault="00E15C2B" w:rsidP="00A228C8">
            <w:pPr>
              <w:spacing w:before="80" w:line="280" w:lineRule="exact"/>
              <w:ind w:right="640"/>
              <w:rPr>
                <w:rFonts w:ascii="Tahoma" w:hAnsi="Tahoma" w:cs="Tahoma"/>
                <w:b/>
                <w:bCs/>
                <w:iCs/>
                <w:color w:val="243285"/>
                <w:sz w:val="32"/>
                <w:szCs w:val="32"/>
                <w:lang w:val="fr-CH"/>
              </w:rPr>
            </w:pPr>
          </w:p>
          <w:p w:rsidR="00E15C2B" w:rsidRPr="00A228C8" w:rsidRDefault="00E15C2B" w:rsidP="00A228C8">
            <w:pPr>
              <w:spacing w:before="80" w:line="280" w:lineRule="exact"/>
              <w:ind w:right="640"/>
              <w:rPr>
                <w:rFonts w:ascii="Tahoma" w:hAnsi="Tahoma" w:cs="Tahoma"/>
                <w:b/>
                <w:bCs/>
                <w:iCs/>
                <w:color w:val="243285"/>
                <w:sz w:val="32"/>
                <w:szCs w:val="32"/>
                <w:lang w:val="fr-CH"/>
              </w:rPr>
            </w:pPr>
          </w:p>
          <w:p w:rsidR="00E15C2B" w:rsidRPr="00A228C8" w:rsidRDefault="00E15C2B" w:rsidP="00A228C8">
            <w:pPr>
              <w:spacing w:before="80" w:after="180" w:line="360" w:lineRule="exact"/>
              <w:ind w:right="720"/>
              <w:rPr>
                <w:rFonts w:ascii="Tahoma" w:hAnsi="Tahoma" w:cs="Tahoma"/>
                <w:b/>
                <w:bCs/>
                <w:iCs/>
                <w:color w:val="243285"/>
                <w:sz w:val="36"/>
                <w:szCs w:val="36"/>
                <w:lang w:val="fr-CH"/>
              </w:rPr>
            </w:pPr>
          </w:p>
          <w:p w:rsidR="00E15C2B" w:rsidRPr="00A228C8" w:rsidRDefault="00E15C2B" w:rsidP="00A228C8">
            <w:pPr>
              <w:spacing w:before="80" w:after="180" w:line="360" w:lineRule="exact"/>
              <w:jc w:val="right"/>
              <w:rPr>
                <w:rFonts w:ascii="Tahoma" w:hAnsi="Tahoma" w:cs="Tahoma"/>
                <w:b/>
                <w:bCs/>
                <w:iCs/>
                <w:color w:val="243285"/>
                <w:sz w:val="36"/>
                <w:szCs w:val="36"/>
                <w:lang w:val="fr-CH"/>
              </w:rPr>
            </w:pPr>
            <w:r w:rsidRPr="00A228C8">
              <w:rPr>
                <w:rFonts w:ascii="Tahoma" w:hAnsi="Tahoma" w:cs="Tahoma"/>
                <w:b/>
                <w:bCs/>
                <w:iCs/>
                <w:color w:val="243285"/>
                <w:sz w:val="36"/>
                <w:szCs w:val="36"/>
                <w:lang w:val="fr-CH"/>
              </w:rPr>
              <w:t>Série F</w:t>
            </w:r>
          </w:p>
          <w:p w:rsidR="00E15C2B" w:rsidRPr="00A228C8" w:rsidRDefault="00E15C2B" w:rsidP="00A228C8">
            <w:pPr>
              <w:spacing w:before="80" w:line="420" w:lineRule="exact"/>
              <w:jc w:val="right"/>
              <w:rPr>
                <w:rFonts w:ascii="Tahoma" w:hAnsi="Tahoma" w:cs="Tahoma"/>
                <w:b/>
                <w:bCs/>
                <w:iCs/>
                <w:color w:val="243285"/>
                <w:sz w:val="36"/>
                <w:szCs w:val="36"/>
                <w:lang w:val="fr-CH"/>
              </w:rPr>
            </w:pPr>
            <w:r w:rsidRPr="00A228C8">
              <w:rPr>
                <w:rFonts w:ascii="Tahoma" w:hAnsi="Tahoma" w:cs="Tahoma"/>
                <w:b/>
                <w:bCs/>
                <w:iCs/>
                <w:color w:val="243285"/>
                <w:sz w:val="36"/>
                <w:szCs w:val="36"/>
                <w:lang w:val="fr-CH"/>
              </w:rPr>
              <w:t>Service fixe</w:t>
            </w:r>
          </w:p>
        </w:tc>
      </w:tr>
    </w:tbl>
    <w:p w:rsidR="00E15C2B" w:rsidRPr="00A228C8" w:rsidRDefault="00E15C2B" w:rsidP="00A228C8">
      <w:pPr>
        <w:spacing w:before="80"/>
        <w:rPr>
          <w:i/>
          <w:sz w:val="22"/>
          <w:lang w:val="fr-CH"/>
        </w:rPr>
      </w:pPr>
    </w:p>
    <w:p w:rsidR="00E15C2B" w:rsidRPr="00A228C8" w:rsidRDefault="00E15C2B" w:rsidP="00A228C8">
      <w:pPr>
        <w:spacing w:before="80"/>
        <w:rPr>
          <w:i/>
          <w:sz w:val="22"/>
          <w:lang w:val="fr-CH"/>
        </w:rPr>
      </w:pPr>
    </w:p>
    <w:p w:rsidR="00E15C2B" w:rsidRPr="00A228C8" w:rsidRDefault="00E15C2B" w:rsidP="00A228C8">
      <w:pPr>
        <w:spacing w:before="80"/>
        <w:rPr>
          <w:i/>
          <w:sz w:val="22"/>
          <w:lang w:val="fr-CH"/>
        </w:rPr>
      </w:pPr>
    </w:p>
    <w:p w:rsidR="00E15C2B" w:rsidRPr="00A228C8" w:rsidRDefault="00E15C2B" w:rsidP="00A228C8">
      <w:pPr>
        <w:spacing w:before="80"/>
        <w:rPr>
          <w:i/>
          <w:sz w:val="22"/>
          <w:lang w:val="fr-CH"/>
        </w:rPr>
      </w:pPr>
    </w:p>
    <w:p w:rsidR="00E15C2B" w:rsidRPr="00A228C8" w:rsidRDefault="00E15C2B" w:rsidP="00A228C8">
      <w:pPr>
        <w:spacing w:before="80"/>
        <w:rPr>
          <w:i/>
          <w:sz w:val="22"/>
          <w:lang w:val="fr-CH"/>
        </w:rPr>
      </w:pPr>
    </w:p>
    <w:p w:rsidR="00E15C2B" w:rsidRPr="00A228C8" w:rsidRDefault="00E15C2B" w:rsidP="00A228C8">
      <w:pPr>
        <w:spacing w:before="80"/>
        <w:rPr>
          <w:i/>
          <w:sz w:val="22"/>
          <w:lang w:val="fr-CH"/>
        </w:rPr>
      </w:pPr>
    </w:p>
    <w:p w:rsidR="00E15C2B" w:rsidRPr="00A228C8" w:rsidRDefault="00E15C2B" w:rsidP="00A228C8">
      <w:pPr>
        <w:pStyle w:val="Equation"/>
        <w:tabs>
          <w:tab w:val="clear" w:pos="4820"/>
          <w:tab w:val="clear" w:pos="9639"/>
          <w:tab w:val="left" w:pos="1191"/>
          <w:tab w:val="left" w:pos="1588"/>
          <w:tab w:val="left" w:pos="1985"/>
        </w:tabs>
        <w:rPr>
          <w:rFonts w:ascii="Palatino Linotype" w:hAnsi="Palatino Linotype"/>
          <w:lang w:val="fr-CH"/>
        </w:rPr>
        <w:sectPr w:rsidR="00E15C2B" w:rsidRPr="00A228C8" w:rsidSect="00A228C8">
          <w:headerReference w:type="even" r:id="rId8"/>
          <w:headerReference w:type="default" r:id="rId9"/>
          <w:pgSz w:w="11907" w:h="16834" w:code="9"/>
          <w:pgMar w:top="1418" w:right="1134" w:bottom="1134" w:left="1134" w:header="720" w:footer="482" w:gutter="0"/>
          <w:paperSrc w:first="15" w:other="15"/>
          <w:cols w:space="720"/>
        </w:sectPr>
      </w:pPr>
    </w:p>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A228C8">
        <w:rPr>
          <w:bCs/>
          <w:sz w:val="24"/>
          <w:szCs w:val="24"/>
          <w:lang w:val="fr-CH"/>
        </w:rPr>
        <w:lastRenderedPageBreak/>
        <w:t>Avant-propos</w:t>
      </w:r>
    </w:p>
    <w:p w:rsidR="00E15C2B" w:rsidRPr="00A228C8" w:rsidRDefault="00E15C2B" w:rsidP="00A228C8">
      <w:pPr>
        <w:spacing w:before="240"/>
        <w:rPr>
          <w:sz w:val="20"/>
          <w:lang w:val="fr-CH"/>
        </w:rPr>
      </w:pPr>
      <w:r w:rsidRPr="00A228C8">
        <w:rPr>
          <w:sz w:val="20"/>
          <w:lang w:val="fr-CH"/>
        </w:rPr>
        <w:t>Le rôle du Secteur des radiocommunications est d</w:t>
      </w:r>
      <w:r w:rsidR="00775A00" w:rsidRPr="00A228C8">
        <w:rPr>
          <w:sz w:val="20"/>
          <w:lang w:val="fr-CH"/>
        </w:rPr>
        <w:t>'</w:t>
      </w:r>
      <w:r w:rsidRPr="00A228C8">
        <w:rPr>
          <w:sz w:val="20"/>
          <w:lang w:val="fr-CH"/>
        </w:rPr>
        <w:t>assurer l</w:t>
      </w:r>
      <w:r w:rsidR="00775A00" w:rsidRPr="00A228C8">
        <w:rPr>
          <w:sz w:val="20"/>
          <w:lang w:val="fr-CH"/>
        </w:rPr>
        <w:t>'</w:t>
      </w:r>
      <w:r w:rsidRPr="00A228C8">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15C2B" w:rsidRPr="00A228C8" w:rsidRDefault="00E15C2B" w:rsidP="00A228C8">
      <w:pPr>
        <w:rPr>
          <w:sz w:val="20"/>
          <w:lang w:val="fr-CH"/>
        </w:rPr>
      </w:pPr>
      <w:r w:rsidRPr="00A228C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775A00" w:rsidRPr="00A228C8">
        <w:rPr>
          <w:sz w:val="20"/>
          <w:lang w:val="fr-CH"/>
        </w:rPr>
        <w:t>'</w:t>
      </w:r>
      <w:r w:rsidRPr="00A228C8">
        <w:rPr>
          <w:sz w:val="20"/>
          <w:lang w:val="fr-CH"/>
        </w:rPr>
        <w:t>études.</w:t>
      </w:r>
    </w:p>
    <w:p w:rsidR="00E15C2B" w:rsidRPr="00A228C8" w:rsidRDefault="00E15C2B" w:rsidP="00A228C8">
      <w:pPr>
        <w:pStyle w:val="Heading1"/>
        <w:spacing w:before="360"/>
        <w:jc w:val="center"/>
        <w:rPr>
          <w:szCs w:val="24"/>
          <w:lang w:val="fr-CH"/>
        </w:rPr>
      </w:pPr>
      <w:r w:rsidRPr="00A228C8">
        <w:rPr>
          <w:szCs w:val="24"/>
          <w:lang w:val="fr-CH"/>
        </w:rPr>
        <w:t>Politique en matière de droits de propriété intellectuelle (IPR)</w:t>
      </w:r>
    </w:p>
    <w:p w:rsidR="00E15C2B" w:rsidRPr="00A228C8" w:rsidRDefault="00E15C2B" w:rsidP="00775A00">
      <w:pPr>
        <w:spacing w:before="240"/>
        <w:rPr>
          <w:sz w:val="20"/>
          <w:lang w:val="fr-CH"/>
        </w:rPr>
      </w:pPr>
      <w:r w:rsidRPr="00A228C8">
        <w:rPr>
          <w:sz w:val="20"/>
          <w:lang w:val="fr-CH"/>
        </w:rPr>
        <w:t>La politique de l</w:t>
      </w:r>
      <w:r w:rsidR="00775A00" w:rsidRPr="00A228C8">
        <w:rPr>
          <w:sz w:val="20"/>
          <w:lang w:val="fr-CH"/>
        </w:rPr>
        <w:t>'</w:t>
      </w:r>
      <w:r w:rsidRPr="00A228C8">
        <w:rPr>
          <w:sz w:val="20"/>
          <w:lang w:val="fr-CH"/>
        </w:rPr>
        <w:t>UIT</w:t>
      </w:r>
      <w:r w:rsidRPr="00A228C8">
        <w:rPr>
          <w:sz w:val="20"/>
          <w:lang w:val="fr-CH"/>
        </w:rPr>
        <w:noBreakHyphen/>
        <w:t>R en matière de droits de propriété intellectuelle est décrite dans la «Politique commune de l</w:t>
      </w:r>
      <w:r w:rsidR="00775A00" w:rsidRPr="00A228C8">
        <w:rPr>
          <w:sz w:val="20"/>
          <w:lang w:val="fr-CH"/>
        </w:rPr>
        <w:t>'</w:t>
      </w:r>
      <w:r w:rsidRPr="00A228C8">
        <w:rPr>
          <w:sz w:val="20"/>
          <w:lang w:val="fr-CH"/>
        </w:rPr>
        <w:t>UIT</w:t>
      </w:r>
      <w:r w:rsidRPr="00A228C8">
        <w:rPr>
          <w:sz w:val="20"/>
          <w:lang w:val="fr-CH"/>
        </w:rPr>
        <w:noBreakHyphen/>
        <w:t>T, l</w:t>
      </w:r>
      <w:r w:rsidR="00775A00" w:rsidRPr="00A228C8">
        <w:rPr>
          <w:sz w:val="20"/>
          <w:lang w:val="fr-CH"/>
        </w:rPr>
        <w:t>'</w:t>
      </w:r>
      <w:r w:rsidRPr="00A228C8">
        <w:rPr>
          <w:sz w:val="20"/>
          <w:lang w:val="fr-CH"/>
        </w:rPr>
        <w:t>UIT</w:t>
      </w:r>
      <w:r w:rsidRPr="00A228C8">
        <w:rPr>
          <w:sz w:val="20"/>
          <w:lang w:val="fr-CH"/>
        </w:rPr>
        <w:noBreakHyphen/>
        <w:t>R, l</w:t>
      </w:r>
      <w:r w:rsidR="00775A00" w:rsidRPr="00A228C8">
        <w:rPr>
          <w:sz w:val="20"/>
          <w:lang w:val="fr-CH"/>
        </w:rPr>
        <w:t>'</w:t>
      </w:r>
      <w:r w:rsidRPr="00A228C8">
        <w:rPr>
          <w:sz w:val="20"/>
          <w:lang w:val="fr-CH"/>
        </w:rPr>
        <w:t>ISO et la CEI en matière de brevets», dont il est question dans l</w:t>
      </w:r>
      <w:r w:rsidR="00775A00" w:rsidRPr="00A228C8">
        <w:rPr>
          <w:sz w:val="20"/>
          <w:lang w:val="fr-CH"/>
        </w:rPr>
        <w:t>'</w:t>
      </w:r>
      <w:r w:rsidRPr="00A228C8">
        <w:rPr>
          <w:sz w:val="20"/>
          <w:lang w:val="fr-CH"/>
        </w:rPr>
        <w:t>Annexe 1 de la Résolution UIT-R 1. Les formulaires que les titulaires de brevets doivent utiliser pour soumettre les déclarations de brevet et d</w:t>
      </w:r>
      <w:r w:rsidR="00775A00" w:rsidRPr="00A228C8">
        <w:rPr>
          <w:sz w:val="20"/>
          <w:lang w:val="fr-CH"/>
        </w:rPr>
        <w:t>'</w:t>
      </w:r>
      <w:r w:rsidRPr="00A228C8">
        <w:rPr>
          <w:sz w:val="20"/>
          <w:lang w:val="fr-CH"/>
        </w:rPr>
        <w:t>octroi de licence sont accessibles à l</w:t>
      </w:r>
      <w:r w:rsidR="00775A00" w:rsidRPr="00A228C8">
        <w:rPr>
          <w:sz w:val="20"/>
          <w:lang w:val="fr-CH"/>
        </w:rPr>
        <w:t>'</w:t>
      </w:r>
      <w:r w:rsidRPr="00A228C8">
        <w:rPr>
          <w:sz w:val="20"/>
          <w:lang w:val="fr-CH"/>
        </w:rPr>
        <w:t xml:space="preserve">adresse </w:t>
      </w:r>
      <w:hyperlink r:id="rId10" w:history="1">
        <w:r w:rsidRPr="00A228C8">
          <w:rPr>
            <w:rStyle w:val="Hyperlink"/>
            <w:sz w:val="20"/>
            <w:lang w:val="fr-CH"/>
          </w:rPr>
          <w:t>http://www.itu.int/ITU-R/go/patents/fr</w:t>
        </w:r>
      </w:hyperlink>
      <w:r w:rsidRPr="00A228C8">
        <w:rPr>
          <w:sz w:val="20"/>
          <w:lang w:val="fr-CH"/>
        </w:rPr>
        <w:t>, où l</w:t>
      </w:r>
      <w:r w:rsidR="00775A00" w:rsidRPr="00A228C8">
        <w:rPr>
          <w:sz w:val="20"/>
          <w:lang w:val="fr-CH"/>
        </w:rPr>
        <w:t>'</w:t>
      </w:r>
      <w:r w:rsidRPr="00A228C8">
        <w:rPr>
          <w:sz w:val="20"/>
          <w:lang w:val="fr-CH"/>
        </w:rPr>
        <w:t xml:space="preserve">on trouvera également les Lignes directrices pour la mise en </w:t>
      </w:r>
      <w:r w:rsidR="00775A00" w:rsidRPr="00A228C8">
        <w:rPr>
          <w:sz w:val="20"/>
          <w:lang w:val="fr-CH"/>
        </w:rPr>
        <w:t>œ</w:t>
      </w:r>
      <w:r w:rsidRPr="00A228C8">
        <w:rPr>
          <w:sz w:val="20"/>
          <w:lang w:val="fr-CH"/>
        </w:rPr>
        <w:t>uvre de la politique commune en matière de brevets de l</w:t>
      </w:r>
      <w:r w:rsidR="00775A00" w:rsidRPr="00A228C8">
        <w:rPr>
          <w:sz w:val="20"/>
          <w:lang w:val="fr-CH"/>
        </w:rPr>
        <w:t>'</w:t>
      </w:r>
      <w:r w:rsidRPr="00A228C8">
        <w:rPr>
          <w:sz w:val="20"/>
          <w:lang w:val="fr-CH"/>
        </w:rPr>
        <w:t>UIT</w:t>
      </w:r>
      <w:r w:rsidRPr="00A228C8">
        <w:rPr>
          <w:sz w:val="20"/>
          <w:lang w:val="fr-CH"/>
        </w:rPr>
        <w:noBreakHyphen/>
        <w:t>T, l</w:t>
      </w:r>
      <w:r w:rsidR="00775A00" w:rsidRPr="00A228C8">
        <w:rPr>
          <w:sz w:val="20"/>
          <w:lang w:val="fr-CH"/>
        </w:rPr>
        <w:t>'</w:t>
      </w:r>
      <w:r w:rsidRPr="00A228C8">
        <w:rPr>
          <w:sz w:val="20"/>
          <w:lang w:val="fr-CH"/>
        </w:rPr>
        <w:t>UIT</w:t>
      </w:r>
      <w:r w:rsidRPr="00A228C8">
        <w:rPr>
          <w:sz w:val="20"/>
          <w:lang w:val="fr-CH"/>
        </w:rPr>
        <w:noBreakHyphen/>
        <w:t>R, l</w:t>
      </w:r>
      <w:r w:rsidR="00775A00" w:rsidRPr="00A228C8">
        <w:rPr>
          <w:sz w:val="20"/>
          <w:lang w:val="fr-CH"/>
        </w:rPr>
        <w:t>'</w:t>
      </w:r>
      <w:r w:rsidRPr="00A228C8">
        <w:rPr>
          <w:sz w:val="20"/>
          <w:lang w:val="fr-CH"/>
        </w:rPr>
        <w:t>ISO et la CEI</w:t>
      </w:r>
      <w:r w:rsidRPr="00A228C8" w:rsidDel="0061025C">
        <w:rPr>
          <w:sz w:val="20"/>
          <w:lang w:val="fr-CH"/>
        </w:rPr>
        <w:t xml:space="preserve"> </w:t>
      </w:r>
      <w:r w:rsidRPr="00A228C8">
        <w:rPr>
          <w:sz w:val="20"/>
          <w:lang w:val="fr-CH"/>
        </w:rPr>
        <w:t>et la base de données en matière de brevets de l</w:t>
      </w:r>
      <w:r w:rsidR="00775A00" w:rsidRPr="00A228C8">
        <w:rPr>
          <w:sz w:val="20"/>
          <w:lang w:val="fr-CH"/>
        </w:rPr>
        <w:t>'</w:t>
      </w:r>
      <w:r w:rsidRPr="00A228C8">
        <w:rPr>
          <w:sz w:val="20"/>
          <w:lang w:val="fr-CH"/>
        </w:rPr>
        <w:t>UIT-R.</w:t>
      </w:r>
    </w:p>
    <w:p w:rsidR="00E15C2B" w:rsidRPr="00A228C8" w:rsidRDefault="00E15C2B" w:rsidP="00A228C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15C2B" w:rsidRPr="00A228C8">
        <w:tc>
          <w:tcPr>
            <w:tcW w:w="9360" w:type="dxa"/>
            <w:gridSpan w:val="2"/>
          </w:tcPr>
          <w:p w:rsidR="00E15C2B" w:rsidRPr="00A228C8" w:rsidRDefault="00E15C2B" w:rsidP="00A228C8">
            <w:pPr>
              <w:pStyle w:val="Chaptitle"/>
              <w:keepLines w:val="0"/>
              <w:tabs>
                <w:tab w:val="clear" w:pos="794"/>
                <w:tab w:val="clear" w:pos="1191"/>
                <w:tab w:val="clear" w:pos="1588"/>
                <w:tab w:val="clear" w:pos="1985"/>
              </w:tabs>
              <w:overflowPunct/>
              <w:spacing w:before="140"/>
              <w:textAlignment w:val="auto"/>
              <w:rPr>
                <w:sz w:val="22"/>
                <w:szCs w:val="22"/>
                <w:lang w:val="fr-CH"/>
              </w:rPr>
            </w:pPr>
            <w:r w:rsidRPr="00A228C8">
              <w:rPr>
                <w:sz w:val="22"/>
                <w:szCs w:val="22"/>
                <w:lang w:val="fr-CH"/>
              </w:rPr>
              <w:t xml:space="preserve">Séries des Recommandations UIT-R </w:t>
            </w:r>
          </w:p>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228C8">
              <w:rPr>
                <w:b w:val="0"/>
                <w:sz w:val="18"/>
                <w:szCs w:val="18"/>
                <w:lang w:val="fr-CH"/>
              </w:rPr>
              <w:t xml:space="preserve">(Egalement disponible en ligne: </w:t>
            </w:r>
            <w:hyperlink r:id="rId11" w:history="1">
              <w:r w:rsidRPr="00A228C8">
                <w:rPr>
                  <w:rStyle w:val="Hyperlink"/>
                  <w:b w:val="0"/>
                  <w:bCs/>
                  <w:sz w:val="18"/>
                  <w:szCs w:val="18"/>
                  <w:lang w:val="fr-CH"/>
                </w:rPr>
                <w:t>http://www.itu.int/publ/R-REC/fr</w:t>
              </w:r>
            </w:hyperlink>
            <w:r w:rsidRPr="00A228C8">
              <w:rPr>
                <w:b w:val="0"/>
                <w:bCs/>
                <w:sz w:val="18"/>
                <w:szCs w:val="18"/>
                <w:lang w:val="fr-CH"/>
              </w:rPr>
              <w:t>)</w:t>
            </w:r>
          </w:p>
        </w:tc>
      </w:tr>
      <w:tr w:rsidR="00E15C2B" w:rsidRPr="00A228C8" w:rsidTr="00A228C8">
        <w:tc>
          <w:tcPr>
            <w:tcW w:w="1140" w:type="dxa"/>
            <w:tcBorders>
              <w:bottom w:val="nil"/>
            </w:tcBorders>
          </w:tcPr>
          <w:p w:rsidR="00E15C2B" w:rsidRPr="00A228C8" w:rsidRDefault="00E15C2B" w:rsidP="00A228C8">
            <w:pPr>
              <w:spacing w:before="90" w:after="100"/>
              <w:ind w:left="57"/>
              <w:rPr>
                <w:b/>
                <w:bCs/>
                <w:sz w:val="20"/>
                <w:lang w:val="fr-CH"/>
              </w:rPr>
            </w:pPr>
            <w:r w:rsidRPr="00A228C8">
              <w:rPr>
                <w:b/>
                <w:bCs/>
                <w:sz w:val="20"/>
                <w:lang w:val="fr-CH"/>
              </w:rPr>
              <w:t>Séries</w:t>
            </w:r>
          </w:p>
        </w:tc>
        <w:tc>
          <w:tcPr>
            <w:tcW w:w="8220" w:type="dxa"/>
            <w:tcBorders>
              <w:bottom w:val="nil"/>
            </w:tcBorders>
          </w:tcPr>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228C8">
              <w:rPr>
                <w:bCs/>
                <w:sz w:val="20"/>
                <w:lang w:val="fr-CH"/>
              </w:rPr>
              <w:t>Titre</w:t>
            </w:r>
          </w:p>
        </w:tc>
      </w:tr>
      <w:tr w:rsidR="00E15C2B" w:rsidRPr="00A228C8" w:rsidTr="00A228C8">
        <w:tc>
          <w:tcPr>
            <w:tcW w:w="1140" w:type="dxa"/>
            <w:tcBorders>
              <w:top w:val="nil"/>
              <w:bottom w:val="nil"/>
            </w:tcBorders>
            <w:shd w:val="clear" w:color="auto" w:fill="auto"/>
          </w:tcPr>
          <w:p w:rsidR="00E15C2B" w:rsidRPr="00A228C8" w:rsidRDefault="00E15C2B" w:rsidP="00A228C8">
            <w:pPr>
              <w:spacing w:before="30" w:after="30"/>
              <w:ind w:left="57"/>
              <w:jc w:val="left"/>
              <w:rPr>
                <w:b/>
                <w:bCs/>
                <w:sz w:val="20"/>
                <w:lang w:val="fr-CH"/>
              </w:rPr>
            </w:pPr>
            <w:r w:rsidRPr="00A228C8">
              <w:rPr>
                <w:b/>
                <w:bCs/>
                <w:sz w:val="20"/>
                <w:lang w:val="fr-CH"/>
              </w:rPr>
              <w:t>BO</w:t>
            </w:r>
          </w:p>
        </w:tc>
        <w:tc>
          <w:tcPr>
            <w:tcW w:w="8220" w:type="dxa"/>
            <w:tcBorders>
              <w:top w:val="nil"/>
              <w:bottom w:val="nil"/>
            </w:tcBorders>
            <w:shd w:val="clear" w:color="auto" w:fill="auto"/>
          </w:tcPr>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228C8">
              <w:rPr>
                <w:b w:val="0"/>
                <w:sz w:val="20"/>
                <w:lang w:val="fr-CH"/>
              </w:rPr>
              <w:t>Diffusion par satellite</w:t>
            </w:r>
          </w:p>
        </w:tc>
      </w:tr>
      <w:tr w:rsidR="00E15C2B" w:rsidRPr="00A228C8" w:rsidTr="00A228C8">
        <w:tc>
          <w:tcPr>
            <w:tcW w:w="1140" w:type="dxa"/>
            <w:tcBorders>
              <w:top w:val="nil"/>
              <w:bottom w:val="nil"/>
            </w:tcBorders>
          </w:tcPr>
          <w:p w:rsidR="00E15C2B" w:rsidRPr="00A228C8" w:rsidRDefault="00E15C2B" w:rsidP="00A228C8">
            <w:pPr>
              <w:spacing w:before="30" w:after="30"/>
              <w:ind w:left="57"/>
              <w:jc w:val="left"/>
              <w:rPr>
                <w:b/>
                <w:bCs/>
                <w:sz w:val="20"/>
                <w:lang w:val="fr-CH"/>
              </w:rPr>
            </w:pPr>
            <w:r w:rsidRPr="00A228C8">
              <w:rPr>
                <w:b/>
                <w:bCs/>
                <w:sz w:val="20"/>
                <w:lang w:val="fr-CH"/>
              </w:rPr>
              <w:t>BR</w:t>
            </w:r>
          </w:p>
        </w:tc>
        <w:tc>
          <w:tcPr>
            <w:tcW w:w="8220" w:type="dxa"/>
            <w:tcBorders>
              <w:top w:val="nil"/>
              <w:bottom w:val="nil"/>
            </w:tcBorders>
          </w:tcPr>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228C8">
              <w:rPr>
                <w:b w:val="0"/>
                <w:bCs/>
                <w:sz w:val="20"/>
                <w:lang w:val="fr-CH"/>
              </w:rPr>
              <w:t>Enregistrement pour la production, l</w:t>
            </w:r>
            <w:r w:rsidR="00775A00" w:rsidRPr="00A228C8">
              <w:rPr>
                <w:b w:val="0"/>
                <w:bCs/>
                <w:sz w:val="20"/>
                <w:lang w:val="fr-CH"/>
              </w:rPr>
              <w:t>'</w:t>
            </w:r>
            <w:r w:rsidRPr="00A228C8">
              <w:rPr>
                <w:b w:val="0"/>
                <w:bCs/>
                <w:sz w:val="20"/>
                <w:lang w:val="fr-CH"/>
              </w:rPr>
              <w:t>archivage et la diffusion; films pour la télévision</w:t>
            </w:r>
          </w:p>
        </w:tc>
      </w:tr>
      <w:tr w:rsidR="00E15C2B" w:rsidRPr="00A228C8" w:rsidTr="00A228C8">
        <w:tc>
          <w:tcPr>
            <w:tcW w:w="1140" w:type="dxa"/>
            <w:tcBorders>
              <w:top w:val="nil"/>
              <w:bottom w:val="nil"/>
            </w:tcBorders>
            <w:shd w:val="clear" w:color="auto" w:fill="auto"/>
          </w:tcPr>
          <w:p w:rsidR="00E15C2B" w:rsidRPr="00A228C8" w:rsidRDefault="00E15C2B" w:rsidP="00A228C8">
            <w:pPr>
              <w:spacing w:before="30" w:after="30"/>
              <w:ind w:left="57"/>
              <w:jc w:val="left"/>
              <w:rPr>
                <w:b/>
                <w:bCs/>
                <w:sz w:val="20"/>
                <w:lang w:val="fr-CH"/>
              </w:rPr>
            </w:pPr>
            <w:r w:rsidRPr="00A228C8">
              <w:rPr>
                <w:b/>
                <w:bCs/>
                <w:sz w:val="20"/>
                <w:lang w:val="fr-CH"/>
              </w:rPr>
              <w:t>BS</w:t>
            </w:r>
          </w:p>
        </w:tc>
        <w:tc>
          <w:tcPr>
            <w:tcW w:w="8220" w:type="dxa"/>
            <w:tcBorders>
              <w:top w:val="nil"/>
              <w:bottom w:val="nil"/>
            </w:tcBorders>
            <w:shd w:val="clear" w:color="auto" w:fill="auto"/>
          </w:tcPr>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228C8">
              <w:rPr>
                <w:b w:val="0"/>
                <w:sz w:val="20"/>
                <w:lang w:val="fr-CH"/>
              </w:rPr>
              <w:t>Service de radiodiffusion sonore</w:t>
            </w:r>
          </w:p>
        </w:tc>
      </w:tr>
      <w:tr w:rsidR="00E15C2B" w:rsidRPr="00A228C8" w:rsidTr="00A228C8">
        <w:tc>
          <w:tcPr>
            <w:tcW w:w="1140" w:type="dxa"/>
            <w:tcBorders>
              <w:top w:val="nil"/>
              <w:bottom w:val="nil"/>
            </w:tcBorders>
            <w:shd w:val="clear" w:color="auto" w:fill="auto"/>
          </w:tcPr>
          <w:p w:rsidR="00E15C2B" w:rsidRPr="00A228C8" w:rsidRDefault="00E15C2B" w:rsidP="00A228C8">
            <w:pPr>
              <w:spacing w:before="30" w:after="30"/>
              <w:ind w:left="57"/>
              <w:jc w:val="left"/>
              <w:rPr>
                <w:b/>
                <w:bCs/>
                <w:sz w:val="20"/>
                <w:lang w:val="fr-CH"/>
              </w:rPr>
            </w:pPr>
            <w:r w:rsidRPr="00A228C8">
              <w:rPr>
                <w:b/>
                <w:bCs/>
                <w:sz w:val="20"/>
                <w:lang w:val="fr-CH"/>
              </w:rPr>
              <w:t>BT</w:t>
            </w:r>
          </w:p>
        </w:tc>
        <w:tc>
          <w:tcPr>
            <w:tcW w:w="8220" w:type="dxa"/>
            <w:tcBorders>
              <w:top w:val="nil"/>
              <w:bottom w:val="nil"/>
            </w:tcBorders>
            <w:shd w:val="clear" w:color="auto" w:fill="auto"/>
          </w:tcPr>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228C8">
              <w:rPr>
                <w:b w:val="0"/>
                <w:bCs/>
                <w:sz w:val="20"/>
                <w:lang w:val="fr-CH"/>
              </w:rPr>
              <w:t>Service de radiodiffusion télévisuelle</w:t>
            </w:r>
          </w:p>
        </w:tc>
      </w:tr>
      <w:tr w:rsidR="00E15C2B" w:rsidRPr="00A228C8" w:rsidTr="00A228C8">
        <w:tc>
          <w:tcPr>
            <w:tcW w:w="1140" w:type="dxa"/>
            <w:tcBorders>
              <w:top w:val="nil"/>
              <w:bottom w:val="nil"/>
            </w:tcBorders>
            <w:shd w:val="clear" w:color="auto" w:fill="F3F3F3"/>
          </w:tcPr>
          <w:p w:rsidR="00E15C2B" w:rsidRPr="00A228C8" w:rsidRDefault="00E15C2B" w:rsidP="00A228C8">
            <w:pPr>
              <w:spacing w:before="30" w:after="30"/>
              <w:ind w:left="57"/>
              <w:jc w:val="left"/>
              <w:rPr>
                <w:b/>
                <w:bCs/>
                <w:color w:val="000080"/>
                <w:sz w:val="20"/>
                <w:lang w:val="fr-CH"/>
              </w:rPr>
            </w:pPr>
            <w:r w:rsidRPr="00A228C8">
              <w:rPr>
                <w:b/>
                <w:bCs/>
                <w:color w:val="000080"/>
                <w:sz w:val="20"/>
                <w:lang w:val="fr-CH"/>
              </w:rPr>
              <w:t>F</w:t>
            </w:r>
          </w:p>
        </w:tc>
        <w:tc>
          <w:tcPr>
            <w:tcW w:w="8220" w:type="dxa"/>
            <w:tcBorders>
              <w:top w:val="nil"/>
              <w:bottom w:val="nil"/>
            </w:tcBorders>
            <w:shd w:val="clear" w:color="auto" w:fill="F3F3F3"/>
          </w:tcPr>
          <w:p w:rsidR="00E15C2B" w:rsidRPr="00A228C8" w:rsidRDefault="00E15C2B" w:rsidP="00A228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A228C8">
              <w:rPr>
                <w:b/>
                <w:bCs/>
                <w:color w:val="000080"/>
                <w:sz w:val="20"/>
                <w:lang w:val="fr-CH"/>
              </w:rPr>
              <w:t>Service fixe</w:t>
            </w:r>
          </w:p>
        </w:tc>
      </w:tr>
      <w:tr w:rsidR="00E15C2B" w:rsidRPr="00A228C8" w:rsidTr="00A228C8">
        <w:tc>
          <w:tcPr>
            <w:tcW w:w="1140" w:type="dxa"/>
            <w:tcBorders>
              <w:top w:val="nil"/>
              <w:bottom w:val="nil"/>
            </w:tcBorders>
            <w:shd w:val="clear" w:color="auto" w:fill="auto"/>
          </w:tcPr>
          <w:p w:rsidR="00E15C2B" w:rsidRPr="00A228C8" w:rsidRDefault="00E15C2B" w:rsidP="00A228C8">
            <w:pPr>
              <w:spacing w:before="30" w:after="30"/>
              <w:ind w:left="57"/>
              <w:jc w:val="left"/>
              <w:rPr>
                <w:b/>
                <w:bCs/>
                <w:sz w:val="20"/>
                <w:lang w:val="fr-CH"/>
              </w:rPr>
            </w:pPr>
            <w:r w:rsidRPr="00A228C8">
              <w:rPr>
                <w:b/>
                <w:bCs/>
                <w:sz w:val="20"/>
                <w:lang w:val="fr-CH"/>
              </w:rPr>
              <w:t>M</w:t>
            </w:r>
          </w:p>
        </w:tc>
        <w:tc>
          <w:tcPr>
            <w:tcW w:w="8220" w:type="dxa"/>
            <w:tcBorders>
              <w:top w:val="nil"/>
              <w:bottom w:val="nil"/>
            </w:tcBorders>
            <w:shd w:val="clear" w:color="auto" w:fill="auto"/>
          </w:tcPr>
          <w:p w:rsidR="00E15C2B" w:rsidRPr="00A228C8" w:rsidRDefault="00E15C2B" w:rsidP="00A22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228C8">
              <w:rPr>
                <w:b w:val="0"/>
                <w:sz w:val="20"/>
                <w:lang w:val="fr-CH"/>
              </w:rPr>
              <w:t>Services mobile, de radiorepérage et d</w:t>
            </w:r>
            <w:r w:rsidR="00775A00" w:rsidRPr="00A228C8">
              <w:rPr>
                <w:b w:val="0"/>
                <w:sz w:val="20"/>
                <w:lang w:val="fr-CH"/>
              </w:rPr>
              <w:t>'</w:t>
            </w:r>
            <w:r w:rsidRPr="00A228C8">
              <w:rPr>
                <w:b w:val="0"/>
                <w:sz w:val="20"/>
                <w:lang w:val="fr-CH"/>
              </w:rPr>
              <w:t>amateur y compris les services par satellite associés</w:t>
            </w:r>
          </w:p>
        </w:tc>
      </w:tr>
      <w:tr w:rsidR="00E15C2B" w:rsidRPr="00A228C8" w:rsidTr="00A228C8">
        <w:tc>
          <w:tcPr>
            <w:tcW w:w="1140" w:type="dxa"/>
            <w:tcBorders>
              <w:top w:val="nil"/>
            </w:tcBorders>
          </w:tcPr>
          <w:p w:rsidR="00E15C2B" w:rsidRPr="00A228C8" w:rsidRDefault="00E15C2B" w:rsidP="00A228C8">
            <w:pPr>
              <w:spacing w:before="30" w:after="30"/>
              <w:ind w:left="57"/>
              <w:jc w:val="left"/>
              <w:rPr>
                <w:b/>
                <w:bCs/>
                <w:sz w:val="20"/>
                <w:lang w:val="fr-CH"/>
              </w:rPr>
            </w:pPr>
            <w:r w:rsidRPr="00A228C8">
              <w:rPr>
                <w:b/>
                <w:bCs/>
                <w:sz w:val="20"/>
                <w:lang w:val="fr-CH"/>
              </w:rPr>
              <w:t>P</w:t>
            </w:r>
          </w:p>
        </w:tc>
        <w:tc>
          <w:tcPr>
            <w:tcW w:w="8220" w:type="dxa"/>
            <w:tcBorders>
              <w:top w:val="nil"/>
            </w:tcBorders>
          </w:tcPr>
          <w:p w:rsidR="00E15C2B" w:rsidRPr="00A228C8" w:rsidRDefault="00E15C2B" w:rsidP="00A228C8">
            <w:pPr>
              <w:spacing w:before="30" w:after="30"/>
              <w:jc w:val="left"/>
              <w:rPr>
                <w:sz w:val="20"/>
                <w:lang w:val="fr-CH"/>
              </w:rPr>
            </w:pPr>
            <w:r w:rsidRPr="00A228C8">
              <w:rPr>
                <w:sz w:val="20"/>
                <w:lang w:val="fr-CH"/>
              </w:rPr>
              <w:t>Propagation des ondes radioélectriques</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RA</w:t>
            </w:r>
          </w:p>
        </w:tc>
        <w:tc>
          <w:tcPr>
            <w:tcW w:w="8220" w:type="dxa"/>
          </w:tcPr>
          <w:p w:rsidR="00E15C2B" w:rsidRPr="00A228C8" w:rsidRDefault="00E15C2B" w:rsidP="00A228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228C8">
              <w:rPr>
                <w:sz w:val="20"/>
                <w:lang w:val="fr-CH"/>
              </w:rPr>
              <w:t>Radio astronomie</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RS</w:t>
            </w:r>
          </w:p>
        </w:tc>
        <w:tc>
          <w:tcPr>
            <w:tcW w:w="8220" w:type="dxa"/>
          </w:tcPr>
          <w:p w:rsidR="00E15C2B" w:rsidRPr="00A228C8" w:rsidRDefault="00E15C2B" w:rsidP="00A228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228C8">
              <w:rPr>
                <w:sz w:val="20"/>
                <w:lang w:val="fr-CH"/>
              </w:rPr>
              <w:t>Systèmes de télédétection</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S</w:t>
            </w:r>
          </w:p>
        </w:tc>
        <w:tc>
          <w:tcPr>
            <w:tcW w:w="8220" w:type="dxa"/>
          </w:tcPr>
          <w:p w:rsidR="00E15C2B" w:rsidRPr="00A228C8" w:rsidRDefault="00E15C2B" w:rsidP="00A228C8">
            <w:pPr>
              <w:spacing w:before="30" w:after="30"/>
              <w:jc w:val="left"/>
              <w:rPr>
                <w:sz w:val="20"/>
                <w:lang w:val="fr-CH"/>
              </w:rPr>
            </w:pPr>
            <w:r w:rsidRPr="00A228C8">
              <w:rPr>
                <w:sz w:val="20"/>
                <w:lang w:val="fr-CH"/>
              </w:rPr>
              <w:t>Service fixe par satellite</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SA</w:t>
            </w:r>
          </w:p>
        </w:tc>
        <w:tc>
          <w:tcPr>
            <w:tcW w:w="8220" w:type="dxa"/>
          </w:tcPr>
          <w:p w:rsidR="00E15C2B" w:rsidRPr="00A228C8" w:rsidRDefault="00E15C2B" w:rsidP="00A228C8">
            <w:pPr>
              <w:spacing w:before="30" w:after="30"/>
              <w:jc w:val="left"/>
              <w:rPr>
                <w:sz w:val="20"/>
                <w:lang w:val="fr-CH"/>
              </w:rPr>
            </w:pPr>
            <w:r w:rsidRPr="00A228C8">
              <w:rPr>
                <w:sz w:val="20"/>
                <w:lang w:val="fr-CH"/>
              </w:rPr>
              <w:t>Applications spatiales et météorologie</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SF</w:t>
            </w:r>
          </w:p>
        </w:tc>
        <w:tc>
          <w:tcPr>
            <w:tcW w:w="8220" w:type="dxa"/>
          </w:tcPr>
          <w:p w:rsidR="00E15C2B" w:rsidRPr="00A228C8" w:rsidRDefault="00E15C2B" w:rsidP="00A228C8">
            <w:pPr>
              <w:spacing w:before="30" w:after="30"/>
              <w:jc w:val="left"/>
              <w:rPr>
                <w:sz w:val="20"/>
                <w:lang w:val="fr-CH"/>
              </w:rPr>
            </w:pPr>
            <w:r w:rsidRPr="00A228C8">
              <w:rPr>
                <w:sz w:val="20"/>
                <w:lang w:val="fr-CH"/>
              </w:rPr>
              <w:t>Partage des fréquences et coordination entre les systèmes du service fixe par satellite et du service fixe</w:t>
            </w:r>
          </w:p>
        </w:tc>
      </w:tr>
      <w:tr w:rsidR="00E15C2B" w:rsidRPr="00A228C8">
        <w:tc>
          <w:tcPr>
            <w:tcW w:w="1140" w:type="dxa"/>
            <w:shd w:val="clear" w:color="auto" w:fill="auto"/>
          </w:tcPr>
          <w:p w:rsidR="00E15C2B" w:rsidRPr="00A228C8" w:rsidRDefault="00E15C2B" w:rsidP="00A228C8">
            <w:pPr>
              <w:spacing w:before="30" w:after="30"/>
              <w:ind w:left="57"/>
              <w:jc w:val="left"/>
              <w:rPr>
                <w:b/>
                <w:bCs/>
                <w:sz w:val="20"/>
                <w:lang w:val="fr-CH"/>
              </w:rPr>
            </w:pPr>
            <w:r w:rsidRPr="00A228C8">
              <w:rPr>
                <w:b/>
                <w:bCs/>
                <w:sz w:val="20"/>
                <w:lang w:val="fr-CH"/>
              </w:rPr>
              <w:t>SM</w:t>
            </w:r>
          </w:p>
        </w:tc>
        <w:tc>
          <w:tcPr>
            <w:tcW w:w="8220" w:type="dxa"/>
            <w:shd w:val="clear" w:color="auto" w:fill="auto"/>
          </w:tcPr>
          <w:p w:rsidR="00E15C2B" w:rsidRPr="00A228C8" w:rsidRDefault="00E15C2B" w:rsidP="00A228C8">
            <w:pPr>
              <w:spacing w:before="30" w:after="30"/>
              <w:jc w:val="left"/>
              <w:rPr>
                <w:sz w:val="20"/>
                <w:lang w:val="fr-CH"/>
              </w:rPr>
            </w:pPr>
            <w:r w:rsidRPr="00A228C8">
              <w:rPr>
                <w:sz w:val="20"/>
                <w:lang w:val="fr-CH"/>
              </w:rPr>
              <w:t>Gestion du spectre</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SNG</w:t>
            </w:r>
          </w:p>
        </w:tc>
        <w:tc>
          <w:tcPr>
            <w:tcW w:w="8220" w:type="dxa"/>
          </w:tcPr>
          <w:p w:rsidR="00E15C2B" w:rsidRPr="00A228C8" w:rsidRDefault="00E15C2B" w:rsidP="00A228C8">
            <w:pPr>
              <w:spacing w:before="30" w:after="30"/>
              <w:jc w:val="left"/>
              <w:rPr>
                <w:sz w:val="20"/>
                <w:lang w:val="fr-CH"/>
              </w:rPr>
            </w:pPr>
            <w:r w:rsidRPr="00A228C8">
              <w:rPr>
                <w:sz w:val="20"/>
                <w:lang w:val="fr-CH"/>
              </w:rPr>
              <w:t>Reportage d</w:t>
            </w:r>
            <w:r w:rsidR="00775A00" w:rsidRPr="00A228C8">
              <w:rPr>
                <w:sz w:val="20"/>
                <w:lang w:val="fr-CH"/>
              </w:rPr>
              <w:t>'</w:t>
            </w:r>
            <w:r w:rsidRPr="00A228C8">
              <w:rPr>
                <w:sz w:val="20"/>
                <w:lang w:val="fr-CH"/>
              </w:rPr>
              <w:t>actualités par satellite</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TF</w:t>
            </w:r>
          </w:p>
        </w:tc>
        <w:tc>
          <w:tcPr>
            <w:tcW w:w="8220" w:type="dxa"/>
          </w:tcPr>
          <w:p w:rsidR="00E15C2B" w:rsidRPr="00A228C8" w:rsidRDefault="00E15C2B" w:rsidP="00A228C8">
            <w:pPr>
              <w:spacing w:before="30" w:after="30"/>
              <w:jc w:val="left"/>
              <w:rPr>
                <w:sz w:val="20"/>
                <w:lang w:val="fr-CH"/>
              </w:rPr>
            </w:pPr>
            <w:r w:rsidRPr="00A228C8">
              <w:rPr>
                <w:sz w:val="20"/>
                <w:lang w:val="fr-CH"/>
              </w:rPr>
              <w:t>Emissions de fréquences étalon et de signaux horaires</w:t>
            </w:r>
          </w:p>
        </w:tc>
      </w:tr>
      <w:tr w:rsidR="00E15C2B" w:rsidRPr="00A228C8">
        <w:tc>
          <w:tcPr>
            <w:tcW w:w="1140" w:type="dxa"/>
          </w:tcPr>
          <w:p w:rsidR="00E15C2B" w:rsidRPr="00A228C8" w:rsidRDefault="00E15C2B" w:rsidP="00A228C8">
            <w:pPr>
              <w:spacing w:before="30" w:after="30"/>
              <w:ind w:left="57"/>
              <w:jc w:val="left"/>
              <w:rPr>
                <w:b/>
                <w:bCs/>
                <w:sz w:val="20"/>
                <w:lang w:val="fr-CH"/>
              </w:rPr>
            </w:pPr>
            <w:r w:rsidRPr="00A228C8">
              <w:rPr>
                <w:b/>
                <w:bCs/>
                <w:sz w:val="20"/>
                <w:lang w:val="fr-CH"/>
              </w:rPr>
              <w:t>V</w:t>
            </w:r>
          </w:p>
        </w:tc>
        <w:tc>
          <w:tcPr>
            <w:tcW w:w="8220" w:type="dxa"/>
          </w:tcPr>
          <w:p w:rsidR="00E15C2B" w:rsidRPr="00A228C8" w:rsidRDefault="00E15C2B" w:rsidP="00A228C8">
            <w:pPr>
              <w:spacing w:before="30" w:after="140"/>
              <w:jc w:val="left"/>
              <w:rPr>
                <w:sz w:val="20"/>
                <w:lang w:val="fr-CH"/>
              </w:rPr>
            </w:pPr>
            <w:r w:rsidRPr="00A228C8">
              <w:rPr>
                <w:sz w:val="20"/>
                <w:lang w:val="fr-CH"/>
              </w:rPr>
              <w:t>Vocabulaire et sujets associés</w:t>
            </w:r>
          </w:p>
        </w:tc>
      </w:tr>
    </w:tbl>
    <w:p w:rsidR="00E15C2B" w:rsidRPr="00A228C8" w:rsidRDefault="00E15C2B" w:rsidP="00A228C8">
      <w:pPr>
        <w:spacing w:before="0"/>
        <w:jc w:val="center"/>
        <w:rPr>
          <w:sz w:val="20"/>
          <w:lang w:val="fr-CH"/>
        </w:rPr>
      </w:pPr>
    </w:p>
    <w:p w:rsidR="00E15C2B" w:rsidRPr="00A228C8" w:rsidRDefault="00E15C2B" w:rsidP="00A228C8">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15C2B" w:rsidRPr="00A228C8">
        <w:tc>
          <w:tcPr>
            <w:tcW w:w="9360" w:type="dxa"/>
          </w:tcPr>
          <w:p w:rsidR="00E15C2B" w:rsidRPr="00A228C8" w:rsidRDefault="00E15C2B" w:rsidP="00A228C8">
            <w:pPr>
              <w:spacing w:before="80" w:after="80"/>
              <w:jc w:val="left"/>
              <w:rPr>
                <w:i/>
                <w:iCs/>
                <w:sz w:val="20"/>
                <w:lang w:val="fr-CH"/>
              </w:rPr>
            </w:pPr>
            <w:r w:rsidRPr="00A228C8">
              <w:rPr>
                <w:b/>
                <w:bCs/>
                <w:i/>
                <w:iCs/>
                <w:sz w:val="20"/>
                <w:lang w:val="fr-CH"/>
              </w:rPr>
              <w:t xml:space="preserve">    Note</w:t>
            </w:r>
            <w:r w:rsidRPr="00A228C8">
              <w:rPr>
                <w:i/>
                <w:iCs/>
                <w:sz w:val="20"/>
                <w:lang w:val="fr-CH"/>
              </w:rPr>
              <w:t>: Cette Recommandation UIT-R a été approuvée en anglais aux termes de la procédure détaillée dans la</w:t>
            </w:r>
            <w:r w:rsidRPr="00A228C8">
              <w:rPr>
                <w:i/>
                <w:iCs/>
                <w:sz w:val="20"/>
                <w:lang w:val="fr-CH"/>
              </w:rPr>
              <w:br/>
              <w:t xml:space="preserve">   Résolution UIT-R 1. </w:t>
            </w:r>
          </w:p>
        </w:tc>
      </w:tr>
    </w:tbl>
    <w:p w:rsidR="00E15C2B" w:rsidRPr="00A228C8" w:rsidRDefault="00E15C2B" w:rsidP="00A228C8">
      <w:pPr>
        <w:spacing w:before="0"/>
        <w:jc w:val="center"/>
        <w:rPr>
          <w:sz w:val="22"/>
          <w:lang w:val="fr-CH"/>
        </w:rPr>
      </w:pPr>
    </w:p>
    <w:p w:rsidR="00E15C2B" w:rsidRPr="00A228C8" w:rsidRDefault="00E15C2B" w:rsidP="00A228C8">
      <w:pPr>
        <w:spacing w:before="100"/>
        <w:jc w:val="right"/>
        <w:rPr>
          <w:i/>
          <w:iCs/>
          <w:sz w:val="20"/>
          <w:lang w:val="fr-CH"/>
        </w:rPr>
      </w:pPr>
      <w:r w:rsidRPr="00A228C8">
        <w:rPr>
          <w:i/>
          <w:iCs/>
          <w:sz w:val="20"/>
          <w:lang w:val="fr-CH"/>
        </w:rPr>
        <w:t>Publication électronique</w:t>
      </w:r>
    </w:p>
    <w:p w:rsidR="00E15C2B" w:rsidRPr="00A228C8" w:rsidRDefault="00E15C2B" w:rsidP="00E15C2B">
      <w:pPr>
        <w:spacing w:before="0"/>
        <w:jc w:val="right"/>
        <w:rPr>
          <w:sz w:val="20"/>
          <w:lang w:val="fr-CH"/>
        </w:rPr>
      </w:pPr>
      <w:r w:rsidRPr="00A228C8">
        <w:rPr>
          <w:sz w:val="20"/>
          <w:lang w:val="fr-CH"/>
        </w:rPr>
        <w:t>Genève, 2011</w:t>
      </w:r>
    </w:p>
    <w:p w:rsidR="00E15C2B" w:rsidRPr="00A228C8" w:rsidRDefault="00E15C2B" w:rsidP="00A228C8">
      <w:pPr>
        <w:spacing w:before="200"/>
        <w:jc w:val="center"/>
        <w:rPr>
          <w:sz w:val="20"/>
          <w:lang w:val="fr-CH"/>
        </w:rPr>
      </w:pPr>
      <w:r w:rsidRPr="00A228C8">
        <w:rPr>
          <w:sz w:val="20"/>
          <w:lang w:val="fr-CH"/>
        </w:rPr>
        <w:sym w:font="Symbol" w:char="F0E3"/>
      </w:r>
      <w:r w:rsidRPr="00A228C8">
        <w:rPr>
          <w:sz w:val="20"/>
          <w:lang w:val="fr-CH"/>
        </w:rPr>
        <w:t xml:space="preserve"> UIT </w:t>
      </w:r>
      <w:bookmarkStart w:id="1" w:name="iiannee"/>
      <w:bookmarkEnd w:id="1"/>
      <w:r w:rsidRPr="00A228C8">
        <w:rPr>
          <w:sz w:val="20"/>
          <w:lang w:val="fr-CH"/>
        </w:rPr>
        <w:t>2011</w:t>
      </w:r>
    </w:p>
    <w:p w:rsidR="00E15C2B" w:rsidRPr="00A228C8" w:rsidRDefault="00E15C2B" w:rsidP="00A228C8">
      <w:pPr>
        <w:rPr>
          <w:sz w:val="18"/>
          <w:szCs w:val="18"/>
          <w:lang w:val="fr-CH"/>
        </w:rPr>
      </w:pPr>
      <w:r w:rsidRPr="00A228C8">
        <w:rPr>
          <w:sz w:val="18"/>
          <w:szCs w:val="18"/>
          <w:lang w:val="fr-CH"/>
        </w:rPr>
        <w:t>Tous droits réservés. Aucune partie de cette publication ne peut être reproduite, par quelque procédé que ce soit, sans l</w:t>
      </w:r>
      <w:r w:rsidR="00775A00" w:rsidRPr="00A228C8">
        <w:rPr>
          <w:sz w:val="18"/>
          <w:szCs w:val="18"/>
          <w:lang w:val="fr-CH"/>
        </w:rPr>
        <w:t>'</w:t>
      </w:r>
      <w:r w:rsidRPr="00A228C8">
        <w:rPr>
          <w:sz w:val="18"/>
          <w:szCs w:val="18"/>
          <w:lang w:val="fr-CH"/>
        </w:rPr>
        <w:t>accord écrit préalable de l</w:t>
      </w:r>
      <w:r w:rsidR="00775A00" w:rsidRPr="00A228C8">
        <w:rPr>
          <w:sz w:val="18"/>
          <w:szCs w:val="18"/>
          <w:lang w:val="fr-CH"/>
        </w:rPr>
        <w:t>'</w:t>
      </w:r>
      <w:r w:rsidRPr="00A228C8">
        <w:rPr>
          <w:sz w:val="18"/>
          <w:szCs w:val="18"/>
          <w:lang w:val="fr-CH"/>
        </w:rPr>
        <w:t>UIT.</w:t>
      </w:r>
    </w:p>
    <w:p w:rsidR="00E15C2B" w:rsidRPr="00A228C8" w:rsidRDefault="00E15C2B" w:rsidP="00A228C8">
      <w:pPr>
        <w:spacing w:before="160"/>
        <w:rPr>
          <w:i/>
          <w:sz w:val="20"/>
          <w:highlight w:val="yellow"/>
          <w:lang w:val="fr-CH"/>
        </w:rPr>
        <w:sectPr w:rsidR="00E15C2B" w:rsidRPr="00A228C8" w:rsidSect="00A228C8">
          <w:headerReference w:type="even" r:id="rId12"/>
          <w:headerReference w:type="default" r:id="rId13"/>
          <w:pgSz w:w="11907" w:h="16834" w:code="9"/>
          <w:pgMar w:top="1418" w:right="1134" w:bottom="1134" w:left="1134" w:header="720" w:footer="482" w:gutter="0"/>
          <w:pgNumType w:fmt="lowerRoman" w:start="2"/>
          <w:cols w:space="720"/>
        </w:sectPr>
      </w:pPr>
    </w:p>
    <w:p w:rsidR="00E15C2B" w:rsidRPr="00A228C8" w:rsidRDefault="00E15C2B" w:rsidP="00E15C2B">
      <w:pPr>
        <w:pStyle w:val="RecNo"/>
        <w:spacing w:before="0"/>
        <w:rPr>
          <w:lang w:val="fr-CH"/>
        </w:rPr>
      </w:pPr>
      <w:bookmarkStart w:id="2" w:name="irecnoe"/>
      <w:bookmarkEnd w:id="2"/>
      <w:r w:rsidRPr="00A228C8">
        <w:rPr>
          <w:lang w:val="fr-CH"/>
        </w:rPr>
        <w:lastRenderedPageBreak/>
        <w:t xml:space="preserve">RECOMMANDATION  </w:t>
      </w:r>
      <w:r w:rsidRPr="00A228C8">
        <w:rPr>
          <w:rStyle w:val="href"/>
          <w:lang w:val="fr-CH"/>
        </w:rPr>
        <w:t>UIT-R  F.1191-3</w:t>
      </w:r>
      <w:r w:rsidR="00F34DFE" w:rsidRPr="00A228C8">
        <w:rPr>
          <w:rStyle w:val="FootnoteReference"/>
          <w:lang w:val="fr-CH"/>
        </w:rPr>
        <w:footnoteReference w:customMarkFollows="1" w:id="1"/>
        <w:t>*</w:t>
      </w:r>
    </w:p>
    <w:p w:rsidR="00E15C2B" w:rsidRDefault="00E15C2B" w:rsidP="00E15C2B">
      <w:pPr>
        <w:pStyle w:val="Rectitle"/>
        <w:rPr>
          <w:lang w:val="fr-CH"/>
        </w:rPr>
      </w:pPr>
      <w:bookmarkStart w:id="3" w:name="Pre_title"/>
      <w:r w:rsidRPr="00A228C8">
        <w:rPr>
          <w:lang w:val="fr-CH"/>
        </w:rPr>
        <w:t xml:space="preserve">Largeur de bande nécessaire et largeur de bande occupée et rayonnements </w:t>
      </w:r>
      <w:r w:rsidRPr="00A228C8">
        <w:rPr>
          <w:lang w:val="fr-CH"/>
        </w:rPr>
        <w:br/>
        <w:t>non désirés des systèmes numériques du service fixe</w:t>
      </w:r>
      <w:bookmarkEnd w:id="3"/>
    </w:p>
    <w:p w:rsidR="00A228C8" w:rsidRPr="00A228C8" w:rsidRDefault="00A228C8" w:rsidP="00A228C8">
      <w:pPr>
        <w:pStyle w:val="Recref"/>
        <w:rPr>
          <w:lang w:val="fr-CH"/>
        </w:rPr>
      </w:pPr>
    </w:p>
    <w:p w:rsidR="00E15C2B" w:rsidRPr="00A228C8" w:rsidRDefault="00E15C2B" w:rsidP="00E15C2B">
      <w:pPr>
        <w:pStyle w:val="Recdate"/>
        <w:rPr>
          <w:lang w:val="fr-CH"/>
        </w:rPr>
      </w:pPr>
      <w:bookmarkStart w:id="4" w:name="Revision_history"/>
      <w:r w:rsidRPr="00A228C8">
        <w:rPr>
          <w:lang w:val="fr-CH"/>
        </w:rPr>
        <w:t>(1995-1997-2001-2011)</w:t>
      </w:r>
      <w:bookmarkEnd w:id="4"/>
    </w:p>
    <w:p w:rsidR="00E15C2B" w:rsidRPr="00A228C8" w:rsidRDefault="00E15C2B" w:rsidP="00B76116">
      <w:pPr>
        <w:pStyle w:val="HeadingSum"/>
        <w:rPr>
          <w:rFonts w:ascii="Times New Roman Bold" w:hAnsi="Times New Roman Bold" w:cs="Times New Roman Bold"/>
          <w:lang w:val="fr-CH"/>
        </w:rPr>
      </w:pPr>
      <w:r w:rsidRPr="00B76116">
        <w:rPr>
          <w:lang w:val="fr-CH"/>
        </w:rPr>
        <w:t>Champ</w:t>
      </w:r>
      <w:r w:rsidRPr="00A228C8">
        <w:rPr>
          <w:lang w:val="fr-CH"/>
        </w:rPr>
        <w:t xml:space="preserve"> d</w:t>
      </w:r>
      <w:r w:rsidR="00775A00" w:rsidRPr="00A228C8">
        <w:rPr>
          <w:lang w:val="fr-CH"/>
        </w:rPr>
        <w:t>'</w:t>
      </w:r>
      <w:r w:rsidRPr="00A228C8">
        <w:rPr>
          <w:lang w:val="fr-CH"/>
        </w:rPr>
        <w:t>application</w:t>
      </w:r>
    </w:p>
    <w:p w:rsidR="00E15C2B" w:rsidRPr="00A228C8" w:rsidRDefault="00E15C2B" w:rsidP="00B76116">
      <w:pPr>
        <w:pStyle w:val="Summary"/>
        <w:spacing w:after="0"/>
        <w:rPr>
          <w:lang w:val="fr-CH"/>
        </w:rPr>
      </w:pPr>
      <w:r w:rsidRPr="00A228C8">
        <w:rPr>
          <w:lang w:val="fr-CH"/>
        </w:rPr>
        <w:t>La présente Recommandation fournit une explication des principaux termes relatifs aux rayonnements non désirés et aux largeurs de bande des systèmes numériques du service fixe, afin de clarifier l</w:t>
      </w:r>
      <w:r w:rsidR="00775A00" w:rsidRPr="00A228C8">
        <w:rPr>
          <w:lang w:val="fr-CH"/>
        </w:rPr>
        <w:t>'</w:t>
      </w:r>
      <w:r w:rsidRPr="00A228C8">
        <w:rPr>
          <w:lang w:val="fr-CH"/>
        </w:rPr>
        <w:t>application des définitions figurant dans le Règlement des radiocommunications et dans les Recommandations UIT</w:t>
      </w:r>
      <w:r w:rsidR="00B76116">
        <w:rPr>
          <w:lang w:val="fr-CH"/>
        </w:rPr>
        <w:noBreakHyphen/>
      </w:r>
      <w:r w:rsidRPr="00A228C8">
        <w:rPr>
          <w:lang w:val="fr-CH"/>
        </w:rPr>
        <w:t>R</w:t>
      </w:r>
      <w:r w:rsidR="00B76116">
        <w:rPr>
          <w:lang w:val="fr-CH"/>
        </w:rPr>
        <w:t> </w:t>
      </w:r>
      <w:r w:rsidRPr="00A228C8">
        <w:rPr>
          <w:lang w:val="fr-CH"/>
        </w:rPr>
        <w:t>SM.328 et UIT-R SM.329, ainsi que des lignes directrices destinées aux concepteurs de systèmes ou d</w:t>
      </w:r>
      <w:r w:rsidR="00775A00" w:rsidRPr="00A228C8">
        <w:rPr>
          <w:lang w:val="fr-CH"/>
        </w:rPr>
        <w:t>'</w:t>
      </w:r>
      <w:r w:rsidRPr="00A228C8">
        <w:rPr>
          <w:lang w:val="fr-CH"/>
        </w:rPr>
        <w:t>équipements du service fixe.</w:t>
      </w:r>
    </w:p>
    <w:p w:rsidR="00E15C2B" w:rsidRPr="00A228C8" w:rsidRDefault="00E15C2B" w:rsidP="00B76116">
      <w:pPr>
        <w:pStyle w:val="Summary"/>
        <w:rPr>
          <w:lang w:val="fr-CH"/>
        </w:rPr>
      </w:pPr>
      <w:r w:rsidRPr="00A228C8">
        <w:rPr>
          <w:lang w:val="fr-CH"/>
        </w:rPr>
        <w:t xml:space="preserve">Il y est également question de la </w:t>
      </w:r>
      <w:r w:rsidRPr="00B76116">
        <w:t>largeur</w:t>
      </w:r>
      <w:r w:rsidRPr="00A228C8">
        <w:rPr>
          <w:lang w:val="fr-CH"/>
        </w:rPr>
        <w:t xml:space="preserve"> de bande occupée des systèmes à porteuses multiples et des prescriptions applicables aux émissions hors bande pour les systèmes utilisant des assignations par blocs. </w:t>
      </w:r>
    </w:p>
    <w:p w:rsidR="00E15C2B" w:rsidRPr="00A228C8" w:rsidRDefault="00E15C2B" w:rsidP="00E15C2B">
      <w:pPr>
        <w:pStyle w:val="Normalaftertitle"/>
        <w:rPr>
          <w:lang w:val="fr-CH"/>
        </w:rPr>
      </w:pPr>
      <w:r w:rsidRPr="00A228C8">
        <w:rPr>
          <w:lang w:val="fr-CH"/>
        </w:rPr>
        <w:t>L</w:t>
      </w:r>
      <w:r w:rsidR="00775A00" w:rsidRPr="00A228C8">
        <w:rPr>
          <w:lang w:val="fr-CH"/>
        </w:rPr>
        <w:t>'</w:t>
      </w:r>
      <w:r w:rsidRPr="00A228C8">
        <w:rPr>
          <w:lang w:val="fr-CH"/>
        </w:rPr>
        <w:t>Assemblée des radiocommunications de l</w:t>
      </w:r>
      <w:r w:rsidR="00775A00" w:rsidRPr="00A228C8">
        <w:rPr>
          <w:lang w:val="fr-CH"/>
        </w:rPr>
        <w:t>'</w:t>
      </w:r>
      <w:r w:rsidRPr="00A228C8">
        <w:rPr>
          <w:lang w:val="fr-CH"/>
        </w:rPr>
        <w:t>UIT,</w:t>
      </w:r>
    </w:p>
    <w:p w:rsidR="00E15C2B" w:rsidRPr="00A228C8" w:rsidRDefault="00E15C2B" w:rsidP="00E15C2B">
      <w:pPr>
        <w:pStyle w:val="Call"/>
        <w:rPr>
          <w:lang w:val="fr-CH"/>
        </w:rPr>
      </w:pPr>
      <w:r w:rsidRPr="00A228C8">
        <w:rPr>
          <w:lang w:val="fr-CH"/>
        </w:rPr>
        <w:t>considérant</w:t>
      </w:r>
    </w:p>
    <w:p w:rsidR="00E15C2B" w:rsidRPr="00A228C8" w:rsidRDefault="00E15C2B" w:rsidP="00E15C2B">
      <w:pPr>
        <w:rPr>
          <w:lang w:val="fr-CH"/>
        </w:rPr>
      </w:pPr>
      <w:r w:rsidRPr="00A228C8">
        <w:rPr>
          <w:lang w:val="fr-CH"/>
        </w:rPr>
        <w:t>a)</w:t>
      </w:r>
      <w:r w:rsidRPr="00A228C8">
        <w:rPr>
          <w:lang w:val="fr-CH"/>
        </w:rPr>
        <w:tab/>
        <w:t>qu</w:t>
      </w:r>
      <w:r w:rsidR="00775A00" w:rsidRPr="00A228C8">
        <w:rPr>
          <w:lang w:val="fr-CH"/>
        </w:rPr>
        <w:t>'</w:t>
      </w:r>
      <w:r w:rsidRPr="00A228C8">
        <w:rPr>
          <w:lang w:val="fr-CH"/>
        </w:rPr>
        <w:t>il est nécessaire pour les concepteurs de systèmes numériques du service fixe (DFSS) de fournir des indications concernant l</w:t>
      </w:r>
      <w:r w:rsidR="00775A00" w:rsidRPr="00A228C8">
        <w:rPr>
          <w:lang w:val="fr-CH"/>
        </w:rPr>
        <w:t>'</w:t>
      </w:r>
      <w:r w:rsidRPr="00A228C8">
        <w:rPr>
          <w:lang w:val="fr-CH"/>
        </w:rPr>
        <w:t>application des termes relatifs aux largeurs de bande et aux rayonnements non désirés;</w:t>
      </w:r>
    </w:p>
    <w:p w:rsidR="00E15C2B" w:rsidRPr="00A228C8" w:rsidRDefault="00E15C2B" w:rsidP="00E15C2B">
      <w:pPr>
        <w:rPr>
          <w:lang w:val="fr-CH"/>
        </w:rPr>
      </w:pPr>
      <w:r w:rsidRPr="00A228C8">
        <w:rPr>
          <w:lang w:val="fr-CH"/>
        </w:rPr>
        <w:t>b)</w:t>
      </w:r>
      <w:r w:rsidRPr="00A228C8">
        <w:rPr>
          <w:lang w:val="fr-CH"/>
        </w:rPr>
        <w:tab/>
        <w:t>qu</w:t>
      </w:r>
      <w:r w:rsidR="00775A00" w:rsidRPr="00A228C8">
        <w:rPr>
          <w:lang w:val="fr-CH"/>
        </w:rPr>
        <w:t>'</w:t>
      </w:r>
      <w:r w:rsidRPr="00A228C8">
        <w:rPr>
          <w:lang w:val="fr-CH"/>
        </w:rPr>
        <w:t>il est relativement improbable que les émissions hors bande (OoB) des DFSS provoquent un brouillage notable des systèmes qui utilisent les bandes voisines, pour les raisons suivantes:</w:t>
      </w:r>
    </w:p>
    <w:p w:rsidR="00E15C2B" w:rsidRPr="00A228C8" w:rsidRDefault="00E15C2B" w:rsidP="00E15C2B">
      <w:pPr>
        <w:pStyle w:val="enumlev1"/>
        <w:rPr>
          <w:lang w:val="fr-CH"/>
        </w:rPr>
      </w:pPr>
      <w:r w:rsidRPr="00A228C8">
        <w:rPr>
          <w:lang w:val="fr-CH"/>
        </w:rPr>
        <w:t>–</w:t>
      </w:r>
      <w:r w:rsidRPr="00A228C8">
        <w:rPr>
          <w:lang w:val="fr-CH"/>
        </w:rPr>
        <w:tab/>
        <w:t>la densité de puissance d</w:t>
      </w:r>
      <w:r w:rsidR="00775A00" w:rsidRPr="00A228C8">
        <w:rPr>
          <w:lang w:val="fr-CH"/>
        </w:rPr>
        <w:t>'</w:t>
      </w:r>
      <w:r w:rsidRPr="00A228C8">
        <w:rPr>
          <w:lang w:val="fr-CH"/>
        </w:rPr>
        <w:t>un DFSS diminue rapidement en dehors de la largeur de bande occupée;</w:t>
      </w:r>
    </w:p>
    <w:p w:rsidR="00E15C2B" w:rsidRPr="00A228C8" w:rsidRDefault="00E15C2B" w:rsidP="00E15C2B">
      <w:pPr>
        <w:pStyle w:val="enumlev1"/>
        <w:rPr>
          <w:lang w:val="fr-CH"/>
        </w:rPr>
      </w:pPr>
      <w:r w:rsidRPr="00A228C8">
        <w:rPr>
          <w:lang w:val="fr-CH"/>
        </w:rPr>
        <w:t>–</w:t>
      </w:r>
      <w:r w:rsidRPr="00A228C8">
        <w:rPr>
          <w:lang w:val="fr-CH"/>
        </w:rPr>
        <w:tab/>
        <w:t>la p.i.r.e. d</w:t>
      </w:r>
      <w:r w:rsidR="00775A00" w:rsidRPr="00A228C8">
        <w:rPr>
          <w:lang w:val="fr-CH"/>
        </w:rPr>
        <w:t>'</w:t>
      </w:r>
      <w:r w:rsidRPr="00A228C8">
        <w:rPr>
          <w:lang w:val="fr-CH"/>
        </w:rPr>
        <w:t>un DFSS en visibilité directe est faible ou moyenne;</w:t>
      </w:r>
    </w:p>
    <w:p w:rsidR="00E15C2B" w:rsidRPr="00A228C8" w:rsidRDefault="00E15C2B" w:rsidP="00E15C2B">
      <w:pPr>
        <w:pStyle w:val="enumlev1"/>
        <w:rPr>
          <w:lang w:val="fr-CH"/>
        </w:rPr>
      </w:pPr>
      <w:r w:rsidRPr="00A228C8">
        <w:rPr>
          <w:lang w:val="fr-CH"/>
        </w:rPr>
        <w:t>–</w:t>
      </w:r>
      <w:r w:rsidRPr="00A228C8">
        <w:rPr>
          <w:lang w:val="fr-CH"/>
        </w:rPr>
        <w:tab/>
        <w:t>les DFSS transhorizon à forte p.i.r.e. ne sont pas couramment utilisés;</w:t>
      </w:r>
    </w:p>
    <w:p w:rsidR="00E15C2B" w:rsidRPr="00A228C8" w:rsidRDefault="00E15C2B" w:rsidP="00E15C2B">
      <w:pPr>
        <w:rPr>
          <w:lang w:val="fr-CH"/>
        </w:rPr>
      </w:pPr>
      <w:r w:rsidRPr="00A228C8">
        <w:rPr>
          <w:lang w:val="fr-CH"/>
        </w:rPr>
        <w:t>c)</w:t>
      </w:r>
      <w:r w:rsidRPr="00A228C8">
        <w:rPr>
          <w:lang w:val="fr-CH"/>
        </w:rPr>
        <w:tab/>
        <w:t>que du point de vue du brouillage des autres systèmes partageant la même bande de fréquences, les émissions hors bande produiront, en règle générale, un brouillage moins important, par comparaison à celui dû aux émissions à l</w:t>
      </w:r>
      <w:r w:rsidR="00775A00" w:rsidRPr="00A228C8">
        <w:rPr>
          <w:lang w:val="fr-CH"/>
        </w:rPr>
        <w:t>'</w:t>
      </w:r>
      <w:r w:rsidRPr="00A228C8">
        <w:rPr>
          <w:lang w:val="fr-CH"/>
        </w:rPr>
        <w:t>intérieur de la largeur de bande nécessaire;</w:t>
      </w:r>
    </w:p>
    <w:p w:rsidR="00E15C2B" w:rsidRPr="00A228C8" w:rsidRDefault="00E15C2B" w:rsidP="00E15C2B">
      <w:pPr>
        <w:rPr>
          <w:lang w:val="fr-CH"/>
        </w:rPr>
      </w:pPr>
      <w:r w:rsidRPr="00A228C8">
        <w:rPr>
          <w:lang w:val="fr-CH"/>
        </w:rPr>
        <w:t>d)</w:t>
      </w:r>
      <w:r w:rsidRPr="00A228C8">
        <w:rPr>
          <w:lang w:val="fr-CH"/>
        </w:rPr>
        <w:tab/>
        <w:t>que les concepteurs de DFSS tiennent compte normalement des problèmes liés aux brouillages à l</w:t>
      </w:r>
      <w:r w:rsidR="00775A00" w:rsidRPr="00A228C8">
        <w:rPr>
          <w:lang w:val="fr-CH"/>
        </w:rPr>
        <w:t>'</w:t>
      </w:r>
      <w:r w:rsidRPr="00A228C8">
        <w:rPr>
          <w:lang w:val="fr-CH"/>
        </w:rPr>
        <w:t>intérieur du système, provoqués par les rayonnements non désirés;</w:t>
      </w:r>
    </w:p>
    <w:p w:rsidR="00E15C2B" w:rsidRPr="00A228C8" w:rsidRDefault="00E15C2B" w:rsidP="00E15C2B">
      <w:pPr>
        <w:rPr>
          <w:lang w:val="fr-CH"/>
        </w:rPr>
      </w:pPr>
      <w:r w:rsidRPr="00A228C8">
        <w:rPr>
          <w:lang w:val="fr-CH"/>
        </w:rPr>
        <w:t>e)</w:t>
      </w:r>
      <w:r w:rsidRPr="00A228C8">
        <w:rPr>
          <w:lang w:val="fr-CH"/>
        </w:rPr>
        <w:tab/>
        <w:t>qu</w:t>
      </w:r>
      <w:r w:rsidR="00775A00" w:rsidRPr="00A228C8">
        <w:rPr>
          <w:lang w:val="fr-CH"/>
        </w:rPr>
        <w:t>'</w:t>
      </w:r>
      <w:r w:rsidRPr="00A228C8">
        <w:rPr>
          <w:lang w:val="fr-CH"/>
        </w:rPr>
        <w:t xml:space="preserve">à la limite de la bande RF, la bande de garde </w:t>
      </w:r>
      <w:r w:rsidRPr="00A228C8">
        <w:rPr>
          <w:i/>
          <w:iCs/>
          <w:lang w:val="fr-CH"/>
        </w:rPr>
        <w:t>ZS</w:t>
      </w:r>
      <w:r w:rsidRPr="00A228C8">
        <w:rPr>
          <w:lang w:val="fr-CH"/>
        </w:rPr>
        <w:t>, suivant la définition de la Recommandation UIT-R F.746, est définie par les Recommandations UIT-R appropriées, afin d</w:t>
      </w:r>
      <w:r w:rsidR="00775A00" w:rsidRPr="00A228C8">
        <w:rPr>
          <w:lang w:val="fr-CH"/>
        </w:rPr>
        <w:t>'</w:t>
      </w:r>
      <w:r w:rsidRPr="00A228C8">
        <w:rPr>
          <w:lang w:val="fr-CH"/>
        </w:rPr>
        <w:t>éviter les émissions non désirées dans les bandes attribuées voisines;</w:t>
      </w:r>
    </w:p>
    <w:p w:rsidR="00E15C2B" w:rsidRPr="00A228C8" w:rsidRDefault="00E15C2B" w:rsidP="00775A00">
      <w:pPr>
        <w:rPr>
          <w:lang w:val="fr-CH"/>
        </w:rPr>
      </w:pPr>
      <w:r w:rsidRPr="00A228C8">
        <w:rPr>
          <w:lang w:val="fr-CH"/>
        </w:rPr>
        <w:t>f)</w:t>
      </w:r>
      <w:r w:rsidRPr="00A228C8">
        <w:rPr>
          <w:lang w:val="fr-CH"/>
        </w:rPr>
        <w:tab/>
        <w:t>qu</w:t>
      </w:r>
      <w:r w:rsidR="00775A00" w:rsidRPr="00A228C8">
        <w:rPr>
          <w:lang w:val="fr-CH"/>
        </w:rPr>
        <w:t>'</w:t>
      </w:r>
      <w:r w:rsidRPr="00A228C8">
        <w:rPr>
          <w:lang w:val="fr-CH"/>
        </w:rPr>
        <w:t>il n</w:t>
      </w:r>
      <w:r w:rsidR="00775A00" w:rsidRPr="00A228C8">
        <w:rPr>
          <w:lang w:val="fr-CH"/>
        </w:rPr>
        <w:t>'</w:t>
      </w:r>
      <w:r w:rsidRPr="00A228C8">
        <w:rPr>
          <w:lang w:val="fr-CH"/>
        </w:rPr>
        <w:t>est pas toujours possible, ni indiqué, de rétrécir la bande de fréquences occupée par le DFSS, au point que sa largeur soit inférieure ou égale à celle du canal radioélectrique fixée par la disposition des canaux radioélectriques définie pour la bande attribuée par le Secteur des radiocommunications de l</w:t>
      </w:r>
      <w:r w:rsidR="00775A00" w:rsidRPr="00A228C8">
        <w:rPr>
          <w:lang w:val="fr-CH"/>
        </w:rPr>
        <w:t>'</w:t>
      </w:r>
      <w:r w:rsidRPr="00A228C8">
        <w:rPr>
          <w:lang w:val="fr-CH"/>
        </w:rPr>
        <w:t>UIT ou par un organisme national de réglementation;</w:t>
      </w:r>
    </w:p>
    <w:p w:rsidR="00E15C2B" w:rsidRPr="00A228C8" w:rsidRDefault="00E15C2B" w:rsidP="00E15C2B">
      <w:pPr>
        <w:rPr>
          <w:lang w:val="fr-CH"/>
        </w:rPr>
      </w:pPr>
      <w:r w:rsidRPr="00A228C8">
        <w:rPr>
          <w:lang w:val="fr-CH"/>
        </w:rPr>
        <w:lastRenderedPageBreak/>
        <w:t>g)</w:t>
      </w:r>
      <w:r w:rsidRPr="00A228C8">
        <w:rPr>
          <w:lang w:val="fr-CH"/>
        </w:rPr>
        <w:tab/>
        <w:t>que dans la plupart des bandes attribuées à titre primaire aux services fixes, une Recommandation UIT-R appropriée ou un organisme national compétent de réglementation a généralement défini une disposition des canaux radioélectriques;</w:t>
      </w:r>
    </w:p>
    <w:p w:rsidR="00E15C2B" w:rsidRPr="00A228C8" w:rsidRDefault="00E15C2B" w:rsidP="00E15C2B">
      <w:pPr>
        <w:rPr>
          <w:lang w:val="fr-CH"/>
        </w:rPr>
      </w:pPr>
      <w:r w:rsidRPr="00A228C8">
        <w:rPr>
          <w:lang w:val="fr-CH"/>
        </w:rPr>
        <w:t>h)</w:t>
      </w:r>
      <w:r w:rsidRPr="00A228C8">
        <w:rPr>
          <w:lang w:val="fr-CH"/>
        </w:rPr>
        <w:tab/>
        <w:t>que, à l</w:t>
      </w:r>
      <w:r w:rsidR="00775A00" w:rsidRPr="00A228C8">
        <w:rPr>
          <w:lang w:val="fr-CH"/>
        </w:rPr>
        <w:t>'</w:t>
      </w:r>
      <w:r w:rsidRPr="00A228C8">
        <w:rPr>
          <w:lang w:val="fr-CH"/>
        </w:rPr>
        <w:t>intérieur de la bande attribuée, la coordination des différents systèmes du service fixes fondée sur l</w:t>
      </w:r>
      <w:r w:rsidR="00775A00" w:rsidRPr="00A228C8">
        <w:rPr>
          <w:lang w:val="fr-CH"/>
        </w:rPr>
        <w:t>'</w:t>
      </w:r>
      <w:r w:rsidRPr="00A228C8">
        <w:rPr>
          <w:lang w:val="fr-CH"/>
        </w:rPr>
        <w:t>utilisation d</w:t>
      </w:r>
      <w:r w:rsidR="00775A00" w:rsidRPr="00A228C8">
        <w:rPr>
          <w:lang w:val="fr-CH"/>
        </w:rPr>
        <w:t>'</w:t>
      </w:r>
      <w:r w:rsidRPr="00A228C8">
        <w:rPr>
          <w:lang w:val="fr-CH"/>
        </w:rPr>
        <w:t>une disposition donnée des canaux radioélectriques, est régie en fonction d</w:t>
      </w:r>
      <w:r w:rsidR="00775A00" w:rsidRPr="00A228C8">
        <w:rPr>
          <w:lang w:val="fr-CH"/>
        </w:rPr>
        <w:t>'</w:t>
      </w:r>
      <w:r w:rsidRPr="00A228C8">
        <w:rPr>
          <w:lang w:val="fr-CH"/>
        </w:rPr>
        <w:t>un principe rationnel du point de vue du spectre énoncé par la Recommandation UIT</w:t>
      </w:r>
      <w:r w:rsidRPr="00A228C8">
        <w:rPr>
          <w:lang w:val="fr-CH"/>
        </w:rPr>
        <w:noBreakHyphen/>
        <w:t>R F.746 et des caractéristiques statistiques de propagation indiquées dans les Recommandations UIT</w:t>
      </w:r>
      <w:r w:rsidRPr="00A228C8">
        <w:rPr>
          <w:lang w:val="fr-CH"/>
        </w:rPr>
        <w:noBreakHyphen/>
        <w:t>R P.530 et UIT-R F.1093;</w:t>
      </w:r>
    </w:p>
    <w:p w:rsidR="00E15C2B" w:rsidRPr="00A228C8" w:rsidRDefault="00E15C2B" w:rsidP="00E15C2B">
      <w:pPr>
        <w:rPr>
          <w:lang w:val="fr-CH"/>
        </w:rPr>
      </w:pPr>
      <w:r w:rsidRPr="00A228C8">
        <w:rPr>
          <w:lang w:val="fr-CH"/>
        </w:rPr>
        <w:t>j)</w:t>
      </w:r>
      <w:r w:rsidRPr="00A228C8">
        <w:rPr>
          <w:lang w:val="fr-CH"/>
        </w:rPr>
        <w:tab/>
        <w:t>que les DFSS, avec un dispositif d</w:t>
      </w:r>
      <w:r w:rsidR="00775A00" w:rsidRPr="00A228C8">
        <w:rPr>
          <w:lang w:val="fr-CH"/>
        </w:rPr>
        <w:t>'</w:t>
      </w:r>
      <w:r w:rsidRPr="00A228C8">
        <w:rPr>
          <w:lang w:val="fr-CH"/>
        </w:rPr>
        <w:t>embrouillage approprié, ont en règle générale une densité spectrale de puissance d</w:t>
      </w:r>
      <w:r w:rsidR="00775A00" w:rsidRPr="00A228C8">
        <w:rPr>
          <w:lang w:val="fr-CH"/>
        </w:rPr>
        <w:t>'</w:t>
      </w:r>
      <w:r w:rsidRPr="00A228C8">
        <w:rPr>
          <w:lang w:val="fr-CH"/>
        </w:rPr>
        <w:t>émission et des facteurs de crête des rayonnements non désirés qui sont normalement assimilables à du bruit;</w:t>
      </w:r>
    </w:p>
    <w:p w:rsidR="00E15C2B" w:rsidRPr="00A228C8" w:rsidRDefault="00E15C2B" w:rsidP="00E15C2B">
      <w:pPr>
        <w:rPr>
          <w:lang w:val="fr-CH"/>
        </w:rPr>
      </w:pPr>
      <w:r w:rsidRPr="00A228C8">
        <w:rPr>
          <w:lang w:val="fr-CH"/>
        </w:rPr>
        <w:t>k)</w:t>
      </w:r>
      <w:r w:rsidRPr="00A228C8">
        <w:rPr>
          <w:lang w:val="fr-CH"/>
        </w:rPr>
        <w:tab/>
        <w:t>que les DFSS produisent des rayonnements non désirés formés aussi bien de composantes assimilables à du bruit que de composantes discrètes, tant dans le domaine des émissions hors bande que dans celui des rayonnements non essentiels;</w:t>
      </w:r>
    </w:p>
    <w:p w:rsidR="00E15C2B" w:rsidRPr="00A228C8" w:rsidRDefault="00E15C2B" w:rsidP="00E15C2B">
      <w:pPr>
        <w:rPr>
          <w:lang w:val="fr-CH"/>
        </w:rPr>
      </w:pPr>
      <w:r w:rsidRPr="00A228C8">
        <w:rPr>
          <w:lang w:val="fr-CH"/>
        </w:rPr>
        <w:t>l)</w:t>
      </w:r>
      <w:r w:rsidRPr="00A228C8">
        <w:rPr>
          <w:lang w:val="fr-CH"/>
        </w:rPr>
        <w:tab/>
        <w:t>que les systèmes monoporteuse ou multiporteuses sont largement utilisés dans le cadre des DFSS,</w:t>
      </w:r>
    </w:p>
    <w:p w:rsidR="00E15C2B" w:rsidRPr="00A228C8" w:rsidRDefault="00E15C2B" w:rsidP="00E15C2B">
      <w:pPr>
        <w:pStyle w:val="Call"/>
        <w:rPr>
          <w:lang w:val="fr-CH"/>
        </w:rPr>
      </w:pPr>
      <w:r w:rsidRPr="00A228C8">
        <w:rPr>
          <w:lang w:val="fr-CH"/>
        </w:rPr>
        <w:t>notant</w:t>
      </w:r>
    </w:p>
    <w:p w:rsidR="00E15C2B" w:rsidRPr="00A228C8" w:rsidRDefault="00E15C2B" w:rsidP="00775A00">
      <w:pPr>
        <w:rPr>
          <w:lang w:val="fr-CH"/>
        </w:rPr>
      </w:pPr>
      <w:r w:rsidRPr="00A228C8">
        <w:rPr>
          <w:lang w:val="fr-CH"/>
        </w:rPr>
        <w:t>a)</w:t>
      </w:r>
      <w:r w:rsidRPr="00A228C8">
        <w:rPr>
          <w:lang w:val="fr-CH"/>
        </w:rPr>
        <w:tab/>
        <w:t>que la Recommandation UIT-R SM.328 donne des indications sur l</w:t>
      </w:r>
      <w:r w:rsidR="00775A00" w:rsidRPr="00A228C8">
        <w:rPr>
          <w:lang w:val="fr-CH"/>
        </w:rPr>
        <w:t>'</w:t>
      </w:r>
      <w:r w:rsidRPr="00A228C8">
        <w:rPr>
          <w:lang w:val="fr-CH"/>
        </w:rPr>
        <w:t>évaluation des émissions spectrales hors bande pour divers formats de modulation;</w:t>
      </w:r>
    </w:p>
    <w:p w:rsidR="00E15C2B" w:rsidRPr="00A228C8" w:rsidRDefault="00E15C2B" w:rsidP="00E15C2B">
      <w:pPr>
        <w:rPr>
          <w:lang w:val="fr-CH" w:eastAsia="ja-JP"/>
        </w:rPr>
      </w:pPr>
      <w:r w:rsidRPr="00A228C8">
        <w:rPr>
          <w:lang w:val="fr-CH" w:eastAsia="ja-JP"/>
        </w:rPr>
        <w:t>b)</w:t>
      </w:r>
      <w:r w:rsidRPr="00A228C8">
        <w:rPr>
          <w:lang w:val="fr-CH" w:eastAsia="ja-JP"/>
        </w:rPr>
        <w:tab/>
        <w:t xml:space="preserve">que la </w:t>
      </w:r>
      <w:r w:rsidRPr="00A228C8">
        <w:rPr>
          <w:lang w:val="fr-CH"/>
        </w:rPr>
        <w:t>Recommandation UIT-R SM.329 donne les limites et la largeur de bande de référence des rayonnements non désirés dans le domaine des rayonnements non essentiels pour tous les services, y compris pour le service fixe;</w:t>
      </w:r>
    </w:p>
    <w:p w:rsidR="00E15C2B" w:rsidRPr="00A228C8" w:rsidRDefault="00E15C2B" w:rsidP="00A228C8">
      <w:pPr>
        <w:rPr>
          <w:lang w:val="fr-CH"/>
        </w:rPr>
      </w:pPr>
      <w:r w:rsidRPr="00A228C8">
        <w:rPr>
          <w:lang w:val="fr-CH" w:eastAsia="ja-JP"/>
        </w:rPr>
        <w:t>c)</w:t>
      </w:r>
      <w:r w:rsidRPr="00A228C8">
        <w:rPr>
          <w:lang w:val="fr-CH" w:eastAsia="ja-JP"/>
        </w:rPr>
        <w:tab/>
      </w:r>
      <w:r w:rsidRPr="00A228C8">
        <w:rPr>
          <w:lang w:val="fr-CH"/>
        </w:rPr>
        <w:t>que la Recommandation UIT-R SM.1541 donne des</w:t>
      </w:r>
      <w:r w:rsidRPr="00A228C8">
        <w:rPr>
          <w:lang w:val="fr-CH" w:eastAsia="ja-JP"/>
        </w:rPr>
        <w:t xml:space="preserve"> </w:t>
      </w:r>
      <w:r w:rsidRPr="00A228C8">
        <w:rPr>
          <w:lang w:val="fr-CH"/>
        </w:rPr>
        <w:t>limites génériques applicables aux rayonnements non désirés dans le domaine des émissions hors bande pour la plupart des services, y compris pour le service fixe (voir la</w:t>
      </w:r>
      <w:r w:rsidR="00A228C8">
        <w:rPr>
          <w:lang w:val="fr-CH"/>
        </w:rPr>
        <w:t xml:space="preserve"> </w:t>
      </w:r>
      <w:r w:rsidRPr="00A228C8">
        <w:rPr>
          <w:lang w:val="fr-CH"/>
        </w:rPr>
        <w:t>Note 1);</w:t>
      </w:r>
    </w:p>
    <w:p w:rsidR="00E15C2B" w:rsidRPr="00A228C8" w:rsidRDefault="00E15C2B" w:rsidP="00E15C2B">
      <w:pPr>
        <w:rPr>
          <w:lang w:val="fr-CH"/>
        </w:rPr>
      </w:pPr>
      <w:r w:rsidRPr="00A228C8">
        <w:rPr>
          <w:lang w:val="fr-CH"/>
        </w:rPr>
        <w:t>d)</w:t>
      </w:r>
      <w:r w:rsidRPr="00A228C8">
        <w:rPr>
          <w:lang w:val="fr-CH"/>
        </w:rPr>
        <w:tab/>
        <w:t>que la Recommandation UIT-R SM.1539 donne des indications sur la variation de la frontière entre le domaine des émissions hors bande et le domaine des rayonnements non essentiels pour les émissions à bande très étroite et à très large bande,</w:t>
      </w:r>
    </w:p>
    <w:p w:rsidR="00E15C2B" w:rsidRPr="00A228C8" w:rsidRDefault="00E15C2B" w:rsidP="00E15C2B">
      <w:pPr>
        <w:pStyle w:val="Call"/>
        <w:rPr>
          <w:lang w:val="fr-CH"/>
        </w:rPr>
      </w:pPr>
      <w:r w:rsidRPr="00A228C8">
        <w:rPr>
          <w:lang w:val="fr-CH"/>
        </w:rPr>
        <w:t>recommande</w:t>
      </w:r>
    </w:p>
    <w:p w:rsidR="00E15C2B" w:rsidRPr="00A228C8" w:rsidRDefault="00E15C2B" w:rsidP="00775A00">
      <w:pPr>
        <w:rPr>
          <w:lang w:val="fr-CH"/>
        </w:rPr>
      </w:pPr>
      <w:r w:rsidRPr="00A228C8">
        <w:rPr>
          <w:b/>
          <w:bCs/>
          <w:lang w:val="fr-CH"/>
        </w:rPr>
        <w:t>1</w:t>
      </w:r>
      <w:r w:rsidRPr="00A228C8">
        <w:rPr>
          <w:lang w:val="fr-CH"/>
        </w:rPr>
        <w:tab/>
        <w:t>que les définitions générales suivantes s</w:t>
      </w:r>
      <w:r w:rsidR="00775A00" w:rsidRPr="00A228C8">
        <w:rPr>
          <w:lang w:val="fr-CH"/>
        </w:rPr>
        <w:t>'</w:t>
      </w:r>
      <w:r w:rsidRPr="00A228C8">
        <w:rPr>
          <w:lang w:val="fr-CH"/>
        </w:rPr>
        <w:t>appliquent aux DFSS:</w:t>
      </w:r>
    </w:p>
    <w:p w:rsidR="00E15C2B" w:rsidRPr="00A228C8" w:rsidRDefault="00E15C2B" w:rsidP="00E15C2B">
      <w:pPr>
        <w:pStyle w:val="Heading2"/>
        <w:rPr>
          <w:lang w:val="fr-CH"/>
        </w:rPr>
      </w:pPr>
      <w:r w:rsidRPr="00A228C8">
        <w:rPr>
          <w:lang w:val="fr-CH"/>
        </w:rPr>
        <w:t>1.1</w:t>
      </w:r>
      <w:r w:rsidRPr="00A228C8">
        <w:rPr>
          <w:lang w:val="fr-CH"/>
        </w:rPr>
        <w:tab/>
        <w:t>Bande de fréque</w:t>
      </w:r>
      <w:bookmarkStart w:id="5" w:name="_GoBack"/>
      <w:bookmarkEnd w:id="5"/>
      <w:r w:rsidRPr="00A228C8">
        <w:rPr>
          <w:lang w:val="fr-CH"/>
        </w:rPr>
        <w:t>nces attribuée</w:t>
      </w:r>
    </w:p>
    <w:p w:rsidR="00E15C2B" w:rsidRPr="00A228C8" w:rsidRDefault="00E15C2B" w:rsidP="00775A00">
      <w:pPr>
        <w:rPr>
          <w:lang w:val="fr-CH"/>
        </w:rPr>
      </w:pPr>
      <w:r w:rsidRPr="00A228C8">
        <w:rPr>
          <w:lang w:val="fr-CH"/>
        </w:rPr>
        <w:t>Dans le cas des DFSS, la bande de fréquences attribuée peut être considérée comme la bande de fréquences totale attribuée au service fixe à titre primaire ou coprimaire.</w:t>
      </w:r>
    </w:p>
    <w:p w:rsidR="00E15C2B" w:rsidRPr="00A228C8" w:rsidRDefault="00E15C2B" w:rsidP="00E15C2B">
      <w:pPr>
        <w:pStyle w:val="Heading2"/>
        <w:rPr>
          <w:lang w:val="fr-CH"/>
        </w:rPr>
      </w:pPr>
      <w:r w:rsidRPr="00A228C8">
        <w:rPr>
          <w:lang w:val="fr-CH"/>
        </w:rPr>
        <w:t>1.2</w:t>
      </w:r>
      <w:r w:rsidRPr="00A228C8">
        <w:rPr>
          <w:lang w:val="fr-CH"/>
        </w:rPr>
        <w:tab/>
        <w:t>Bande de fréquences assignée</w:t>
      </w:r>
    </w:p>
    <w:p w:rsidR="00E15C2B" w:rsidRPr="00A228C8" w:rsidRDefault="00E15C2B" w:rsidP="00775A00">
      <w:pPr>
        <w:rPr>
          <w:lang w:val="fr-CH"/>
        </w:rPr>
      </w:pPr>
      <w:r w:rsidRPr="00A228C8">
        <w:rPr>
          <w:lang w:val="fr-CH"/>
        </w:rPr>
        <w:t>Pour les besoins de la présente Recommandation, on peut considérer que ce terme s</w:t>
      </w:r>
      <w:r w:rsidR="00775A00" w:rsidRPr="00A228C8">
        <w:rPr>
          <w:lang w:val="fr-CH"/>
        </w:rPr>
        <w:t>'</w:t>
      </w:r>
      <w:r w:rsidRPr="00A228C8">
        <w:rPr>
          <w:lang w:val="fr-CH"/>
        </w:rPr>
        <w:t>applique aussi à un bloc de spectre assigné à une ou plusieurs stations exploitées par un opérateur disposant d</w:t>
      </w:r>
      <w:r w:rsidR="00775A00" w:rsidRPr="00A228C8">
        <w:rPr>
          <w:lang w:val="fr-CH"/>
        </w:rPr>
        <w:t>'</w:t>
      </w:r>
      <w:r w:rsidRPr="00A228C8">
        <w:rPr>
          <w:lang w:val="fr-CH"/>
        </w:rPr>
        <w:t>une licence exclusive unique (assignation de blocs, voir exemples dans les Recommandations UIT</w:t>
      </w:r>
      <w:r w:rsidRPr="00A228C8">
        <w:rPr>
          <w:lang w:val="fr-CH"/>
        </w:rPr>
        <w:noBreakHyphen/>
        <w:t>R F.1488, UIT-R F.748 et UIT-R F.749).</w:t>
      </w:r>
    </w:p>
    <w:p w:rsidR="00E15C2B" w:rsidRPr="00A228C8" w:rsidRDefault="00E15C2B" w:rsidP="00775A00">
      <w:pPr>
        <w:rPr>
          <w:lang w:val="fr-CH"/>
        </w:rPr>
      </w:pPr>
      <w:r w:rsidRPr="00A228C8">
        <w:rPr>
          <w:lang w:val="fr-CH"/>
        </w:rPr>
        <w:t>A l</w:t>
      </w:r>
      <w:r w:rsidR="00775A00" w:rsidRPr="00A228C8">
        <w:rPr>
          <w:lang w:val="fr-CH"/>
        </w:rPr>
        <w:t>'</w:t>
      </w:r>
      <w:r w:rsidRPr="00A228C8">
        <w:rPr>
          <w:lang w:val="fr-CH"/>
        </w:rPr>
        <w:t>intérieur de chaque assignation de bloc, le concepteur du système peut en général subdiviser de façon appropriée le bloc en des sous-blocs plus petits, afin de déployer un réseau radioélectrique dans la zone géographique dans laquelle l</w:t>
      </w:r>
      <w:r w:rsidR="00775A00" w:rsidRPr="00A228C8">
        <w:rPr>
          <w:lang w:val="fr-CH"/>
        </w:rPr>
        <w:t>'</w:t>
      </w:r>
      <w:r w:rsidRPr="00A228C8">
        <w:rPr>
          <w:lang w:val="fr-CH"/>
        </w:rPr>
        <w:t>assignation a été effectuée, suivant les conditions spécifiées ci</w:t>
      </w:r>
      <w:r w:rsidRPr="00A228C8">
        <w:rPr>
          <w:lang w:val="fr-CH"/>
        </w:rPr>
        <w:noBreakHyphen/>
        <w:t>dessus (voir la Recommandation UIT-R F.1399).</w:t>
      </w:r>
    </w:p>
    <w:p w:rsidR="00E15C2B" w:rsidRPr="00A228C8" w:rsidRDefault="00E15C2B" w:rsidP="00775A00">
      <w:pPr>
        <w:pStyle w:val="Heading2"/>
        <w:rPr>
          <w:lang w:val="fr-CH"/>
        </w:rPr>
      </w:pPr>
      <w:r w:rsidRPr="00A228C8">
        <w:rPr>
          <w:lang w:val="fr-CH"/>
        </w:rPr>
        <w:lastRenderedPageBreak/>
        <w:t>1.3</w:t>
      </w:r>
      <w:r w:rsidRPr="00A228C8">
        <w:rPr>
          <w:lang w:val="fr-CH"/>
        </w:rPr>
        <w:tab/>
        <w:t>Espacement des canaux radioélectriques</w:t>
      </w:r>
    </w:p>
    <w:p w:rsidR="00E15C2B" w:rsidRPr="00A228C8" w:rsidRDefault="00E15C2B" w:rsidP="00775A00">
      <w:pPr>
        <w:rPr>
          <w:lang w:val="fr-CH"/>
        </w:rPr>
      </w:pPr>
      <w:r w:rsidRPr="00A228C8">
        <w:rPr>
          <w:lang w:val="fr-CH"/>
        </w:rPr>
        <w:t>Largeur de bande égale à l</w:t>
      </w:r>
      <w:r w:rsidR="00775A00" w:rsidRPr="00A228C8">
        <w:rPr>
          <w:lang w:val="fr-CH"/>
        </w:rPr>
        <w:t>'</w:t>
      </w:r>
      <w:r w:rsidRPr="00A228C8">
        <w:rPr>
          <w:lang w:val="fr-CH"/>
        </w:rPr>
        <w:t>espacement entre les fréquences, suivant la définition de la Recommandation UIT-R F.746, des canaux adjacents de la disposition de canaux radioélectriques définie à l</w:t>
      </w:r>
      <w:r w:rsidR="00775A00" w:rsidRPr="00A228C8">
        <w:rPr>
          <w:lang w:val="fr-CH"/>
        </w:rPr>
        <w:t>'</w:t>
      </w:r>
      <w:r w:rsidRPr="00A228C8">
        <w:rPr>
          <w:lang w:val="fr-CH"/>
        </w:rPr>
        <w:t>intérieur de la bande de fréquences attribuée.</w:t>
      </w:r>
    </w:p>
    <w:p w:rsidR="00E15C2B" w:rsidRPr="00A228C8" w:rsidRDefault="00E15C2B" w:rsidP="00775A00">
      <w:pPr>
        <w:pStyle w:val="Heading2"/>
        <w:rPr>
          <w:lang w:val="fr-CH"/>
        </w:rPr>
      </w:pPr>
      <w:r w:rsidRPr="00A228C8">
        <w:rPr>
          <w:lang w:val="fr-CH"/>
        </w:rPr>
        <w:t>1.4</w:t>
      </w:r>
      <w:r w:rsidRPr="00A228C8">
        <w:rPr>
          <w:lang w:val="fr-CH"/>
        </w:rPr>
        <w:tab/>
        <w:t>Bande de garde</w:t>
      </w:r>
    </w:p>
    <w:p w:rsidR="00E15C2B" w:rsidRPr="00A228C8" w:rsidRDefault="00E15C2B" w:rsidP="00775A00">
      <w:pPr>
        <w:rPr>
          <w:lang w:val="fr-CH"/>
        </w:rPr>
      </w:pPr>
      <w:r w:rsidRPr="00A228C8">
        <w:rPr>
          <w:lang w:val="fr-CH"/>
        </w:rPr>
        <w:t xml:space="preserve">Largeur de bande </w:t>
      </w:r>
      <w:r w:rsidRPr="00A228C8">
        <w:rPr>
          <w:i/>
          <w:iCs/>
          <w:lang w:val="fr-CH"/>
        </w:rPr>
        <w:t>ZS</w:t>
      </w:r>
      <w:r w:rsidRPr="00A228C8">
        <w:rPr>
          <w:lang w:val="fr-CH"/>
        </w:rPr>
        <w:t xml:space="preserve"> définie dans la Recommandation UIT-R F.746 comme étant l</w:t>
      </w:r>
      <w:r w:rsidR="00775A00" w:rsidRPr="00A228C8">
        <w:rPr>
          <w:lang w:val="fr-CH"/>
        </w:rPr>
        <w:t>'</w:t>
      </w:r>
      <w:r w:rsidRPr="00A228C8">
        <w:rPr>
          <w:lang w:val="fr-CH"/>
        </w:rPr>
        <w:t>espacement entre la fréquence centrale du canal radioélectrique extrême d</w:t>
      </w:r>
      <w:r w:rsidR="00775A00" w:rsidRPr="00A228C8">
        <w:rPr>
          <w:lang w:val="fr-CH"/>
        </w:rPr>
        <w:t>'</w:t>
      </w:r>
      <w:r w:rsidRPr="00A228C8">
        <w:rPr>
          <w:lang w:val="fr-CH"/>
        </w:rPr>
        <w:t>une disposition donnée de canaux radioélectriques et le bord de la bande attribuée.</w:t>
      </w:r>
    </w:p>
    <w:p w:rsidR="00E15C2B" w:rsidRPr="00A228C8" w:rsidRDefault="00E15C2B" w:rsidP="00E15C2B">
      <w:pPr>
        <w:pStyle w:val="Heading2"/>
        <w:rPr>
          <w:lang w:val="fr-CH"/>
        </w:rPr>
      </w:pPr>
      <w:r w:rsidRPr="00A228C8">
        <w:rPr>
          <w:lang w:val="fr-CH"/>
        </w:rPr>
        <w:t>1.5</w:t>
      </w:r>
      <w:r w:rsidRPr="00A228C8">
        <w:rPr>
          <w:lang w:val="fr-CH"/>
        </w:rPr>
        <w:tab/>
        <w:t>Système multiporteuses</w:t>
      </w:r>
    </w:p>
    <w:p w:rsidR="00E15C2B" w:rsidRPr="00A228C8" w:rsidRDefault="00E15C2B" w:rsidP="00775A00">
      <w:pPr>
        <w:rPr>
          <w:lang w:val="fr-CH"/>
        </w:rPr>
      </w:pPr>
      <w:r w:rsidRPr="00A228C8">
        <w:rPr>
          <w:lang w:val="fr-CH"/>
        </w:rPr>
        <w:t>Systèmes pour lesquels plusieurs sous-porteuses peuvent être transmises de façon simultanée à partir d</w:t>
      </w:r>
      <w:r w:rsidR="00775A00" w:rsidRPr="00A228C8">
        <w:rPr>
          <w:lang w:val="fr-CH"/>
        </w:rPr>
        <w:t>'</w:t>
      </w:r>
      <w:r w:rsidRPr="00A228C8">
        <w:rPr>
          <w:lang w:val="fr-CH"/>
        </w:rPr>
        <w:t>un amplificateur de sortie final ou d</w:t>
      </w:r>
      <w:r w:rsidR="00775A00" w:rsidRPr="00A228C8">
        <w:rPr>
          <w:lang w:val="fr-CH"/>
        </w:rPr>
        <w:t>'</w:t>
      </w:r>
      <w:r w:rsidRPr="00A228C8">
        <w:rPr>
          <w:lang w:val="fr-CH"/>
        </w:rPr>
        <w:t>une antenne active à l</w:t>
      </w:r>
      <w:r w:rsidR="00775A00" w:rsidRPr="00A228C8">
        <w:rPr>
          <w:lang w:val="fr-CH"/>
        </w:rPr>
        <w:t>'</w:t>
      </w:r>
      <w:r w:rsidRPr="00A228C8">
        <w:rPr>
          <w:lang w:val="fr-CH"/>
        </w:rPr>
        <w:t>intérieur d</w:t>
      </w:r>
      <w:r w:rsidR="00775A00" w:rsidRPr="00A228C8">
        <w:rPr>
          <w:lang w:val="fr-CH"/>
        </w:rPr>
        <w:t>'</w:t>
      </w:r>
      <w:r w:rsidRPr="00A228C8">
        <w:rPr>
          <w:lang w:val="fr-CH"/>
        </w:rPr>
        <w:t>un canal assigné de la disposition de fréquence concernée ou d</w:t>
      </w:r>
      <w:r w:rsidR="00775A00" w:rsidRPr="00A228C8">
        <w:rPr>
          <w:lang w:val="fr-CH"/>
        </w:rPr>
        <w:t>'</w:t>
      </w:r>
      <w:r w:rsidRPr="00A228C8">
        <w:rPr>
          <w:lang w:val="fr-CH"/>
        </w:rPr>
        <w:t>un intervalle de fréquence spécialement réservé;</w:t>
      </w:r>
    </w:p>
    <w:p w:rsidR="00E15C2B" w:rsidRPr="00A228C8" w:rsidRDefault="00E15C2B" w:rsidP="00775A00">
      <w:pPr>
        <w:rPr>
          <w:lang w:val="fr-CH"/>
        </w:rPr>
      </w:pPr>
      <w:r w:rsidRPr="00A228C8">
        <w:rPr>
          <w:b/>
          <w:bCs/>
          <w:lang w:val="fr-CH"/>
        </w:rPr>
        <w:t>2</w:t>
      </w:r>
      <w:r w:rsidRPr="00A228C8">
        <w:rPr>
          <w:lang w:val="fr-CH"/>
        </w:rPr>
        <w:tab/>
        <w:t>que les objectifs spécifiques de conception présentés ci-dessous et les définitions suivantes soient utilisés dans le cas des DFSS; la Fig. 1 donne une illustration de ces objectifs et de ces définitions;</w:t>
      </w:r>
    </w:p>
    <w:p w:rsidR="00E15C2B" w:rsidRPr="00A228C8" w:rsidRDefault="00E15C2B" w:rsidP="00A228C8">
      <w:pPr>
        <w:rPr>
          <w:lang w:val="fr-CH"/>
        </w:rPr>
      </w:pPr>
      <w:r w:rsidRPr="00A228C8">
        <w:rPr>
          <w:b/>
          <w:bCs/>
          <w:lang w:val="fr-CH"/>
        </w:rPr>
        <w:t>2.1</w:t>
      </w:r>
      <w:r w:rsidRPr="00A228C8">
        <w:rPr>
          <w:lang w:val="fr-CH"/>
        </w:rPr>
        <w:tab/>
        <w:t xml:space="preserve">que pour les DFSS la valeur du pourcentage </w:t>
      </w:r>
      <w:r w:rsidR="00A228C8" w:rsidRPr="00A228C8">
        <w:sym w:font="Symbol" w:char="F062"/>
      </w:r>
      <w:r w:rsidRPr="00A228C8">
        <w:rPr>
          <w:lang w:val="fr-CH"/>
        </w:rPr>
        <w:t>/2 soit fixée à 0,5%; ce pourcentage correspond au cas des émetteurs de monoporteuses; lorsqu</w:t>
      </w:r>
      <w:r w:rsidR="00775A00" w:rsidRPr="00A228C8">
        <w:rPr>
          <w:lang w:val="fr-CH"/>
        </w:rPr>
        <w:t>'</w:t>
      </w:r>
      <w:r w:rsidRPr="00A228C8">
        <w:rPr>
          <w:lang w:val="fr-CH"/>
        </w:rPr>
        <w:t>il s</w:t>
      </w:r>
      <w:r w:rsidR="00775A00" w:rsidRPr="00A228C8">
        <w:rPr>
          <w:lang w:val="fr-CH"/>
        </w:rPr>
        <w:t>'</w:t>
      </w:r>
      <w:r w:rsidRPr="00A228C8">
        <w:rPr>
          <w:lang w:val="fr-CH"/>
        </w:rPr>
        <w:t>agit de systèmes multiporteuses, ce pourcentage, relatif à la puissance totale de l</w:t>
      </w:r>
      <w:r w:rsidR="00775A00" w:rsidRPr="00A228C8">
        <w:rPr>
          <w:lang w:val="fr-CH"/>
        </w:rPr>
        <w:t>'</w:t>
      </w:r>
      <w:r w:rsidRPr="00A228C8">
        <w:rPr>
          <w:lang w:val="fr-CH"/>
        </w:rPr>
        <w:t>ensemble des sous-porteuses, diminue en fonction du nombre de sous-porteuses et de la largeur de bande (voir le § 3 de l</w:t>
      </w:r>
      <w:r w:rsidR="00775A00" w:rsidRPr="00A228C8">
        <w:rPr>
          <w:lang w:val="fr-CH"/>
        </w:rPr>
        <w:t>'</w:t>
      </w:r>
      <w:r w:rsidRPr="00A228C8">
        <w:rPr>
          <w:lang w:val="fr-CH"/>
        </w:rPr>
        <w:t>Annexe 1 pour de plus amples détails);</w:t>
      </w:r>
    </w:p>
    <w:p w:rsidR="00E15C2B" w:rsidRPr="00A228C8" w:rsidRDefault="00E15C2B" w:rsidP="00E15C2B">
      <w:pPr>
        <w:numPr>
          <w:ilvl w:val="12"/>
          <w:numId w:val="0"/>
        </w:numPr>
        <w:spacing w:line="240" w:lineRule="atLeast"/>
        <w:rPr>
          <w:lang w:val="fr-CH"/>
        </w:rPr>
      </w:pPr>
      <w:r w:rsidRPr="00A228C8">
        <w:rPr>
          <w:b/>
          <w:bCs/>
          <w:lang w:val="fr-CH"/>
        </w:rPr>
        <w:t>2.2</w:t>
      </w:r>
      <w:r w:rsidRPr="00A228C8">
        <w:rPr>
          <w:lang w:val="fr-CH"/>
        </w:rPr>
        <w:tab/>
        <w:t>que, pour les DFSS, la largeur de bande nécessaire soit considérée comme identique à la largeur de bande occupée;</w:t>
      </w:r>
    </w:p>
    <w:p w:rsidR="00E15C2B" w:rsidRPr="00A228C8" w:rsidRDefault="00E15C2B" w:rsidP="00775A00">
      <w:pPr>
        <w:rPr>
          <w:lang w:val="fr-CH"/>
        </w:rPr>
      </w:pPr>
      <w:r w:rsidRPr="00A228C8">
        <w:rPr>
          <w:b/>
          <w:bCs/>
          <w:lang w:val="fr-CH"/>
        </w:rPr>
        <w:t>2.3</w:t>
      </w:r>
      <w:r w:rsidRPr="00A228C8">
        <w:rPr>
          <w:lang w:val="fr-CH"/>
        </w:rPr>
        <w:tab/>
        <w:t>que, suivant le type de la disposition des canaux radioélectriques utilisée (voir la Note 2), la capacité et le format de modulation du signal émis, des DFSS similaires puissent avoir une largeur de bande nécessaire au plus égale à 20% de l</w:t>
      </w:r>
      <w:r w:rsidR="00775A00" w:rsidRPr="00A228C8">
        <w:rPr>
          <w:lang w:val="fr-CH"/>
        </w:rPr>
        <w:t>'</w:t>
      </w:r>
      <w:r w:rsidRPr="00A228C8">
        <w:rPr>
          <w:lang w:val="fr-CH"/>
        </w:rPr>
        <w:t>espacement des canaux radioélectriques (voir la Note 2); cependant, comme des faisceaux hertziens dissemblables fonctionnant dans la même bande peuvent donner lieu à des incompatibilités, il convient de poursuivre l</w:t>
      </w:r>
      <w:r w:rsidR="00775A00" w:rsidRPr="00A228C8">
        <w:rPr>
          <w:lang w:val="fr-CH"/>
        </w:rPr>
        <w:t>'</w:t>
      </w:r>
      <w:r w:rsidRPr="00A228C8">
        <w:rPr>
          <w:lang w:val="fr-CH"/>
        </w:rPr>
        <w:t>étude des relations existant entre l</w:t>
      </w:r>
      <w:r w:rsidR="00775A00" w:rsidRPr="00A228C8">
        <w:rPr>
          <w:lang w:val="fr-CH"/>
        </w:rPr>
        <w:t>'</w:t>
      </w:r>
      <w:r w:rsidRPr="00A228C8">
        <w:rPr>
          <w:lang w:val="fr-CH"/>
        </w:rPr>
        <w:t>espacement des canaux radioélectriques et la largeur de bande nécessaire;</w:t>
      </w:r>
    </w:p>
    <w:p w:rsidR="00E15C2B" w:rsidRPr="00A228C8" w:rsidRDefault="00E15C2B" w:rsidP="00775A00">
      <w:pPr>
        <w:rPr>
          <w:lang w:val="fr-CH"/>
        </w:rPr>
      </w:pPr>
      <w:r w:rsidRPr="00A228C8">
        <w:rPr>
          <w:b/>
          <w:bCs/>
          <w:lang w:val="fr-CH"/>
        </w:rPr>
        <w:t>2.4</w:t>
      </w:r>
      <w:r w:rsidRPr="00A228C8">
        <w:rPr>
          <w:lang w:val="fr-CH"/>
        </w:rPr>
        <w:tab/>
        <w:t>que la largeur de bande occupée soit déterminée par la méthode utilisant un analyseur de spectre tel qu</w:t>
      </w:r>
      <w:r w:rsidR="00775A00" w:rsidRPr="00A228C8">
        <w:rPr>
          <w:lang w:val="fr-CH"/>
        </w:rPr>
        <w:t>'</w:t>
      </w:r>
      <w:r w:rsidRPr="00A228C8">
        <w:rPr>
          <w:lang w:val="fr-CH"/>
        </w:rPr>
        <w:t>indiqué dans la Recommandation UIT-R SM.328 ou, le cas échéant, par évaluation ou intégration numérique du rayonnement effectivement émis, suivant la méthode signalée à l</w:t>
      </w:r>
      <w:r w:rsidR="00775A00" w:rsidRPr="00A228C8">
        <w:rPr>
          <w:lang w:val="fr-CH"/>
        </w:rPr>
        <w:t>'</w:t>
      </w:r>
      <w:r w:rsidRPr="00A228C8">
        <w:rPr>
          <w:lang w:val="fr-CH"/>
        </w:rPr>
        <w:t>Annexe 1;</w:t>
      </w:r>
    </w:p>
    <w:p w:rsidR="00E15C2B" w:rsidRPr="00A228C8" w:rsidRDefault="00E15C2B" w:rsidP="00775A00">
      <w:pPr>
        <w:rPr>
          <w:lang w:val="fr-CH"/>
        </w:rPr>
      </w:pPr>
      <w:r w:rsidRPr="00A228C8">
        <w:rPr>
          <w:b/>
          <w:bCs/>
          <w:lang w:val="fr-CH"/>
        </w:rPr>
        <w:t>2.5</w:t>
      </w:r>
      <w:r w:rsidRPr="00A228C8">
        <w:rPr>
          <w:lang w:val="fr-CH"/>
        </w:rPr>
        <w:tab/>
        <w:t>qu</w:t>
      </w:r>
      <w:r w:rsidR="00775A00" w:rsidRPr="00A228C8">
        <w:rPr>
          <w:lang w:val="fr-CH"/>
        </w:rPr>
        <w:t>'</w:t>
      </w:r>
      <w:r w:rsidRPr="00A228C8">
        <w:rPr>
          <w:lang w:val="fr-CH"/>
        </w:rPr>
        <w:t>en cas d</w:t>
      </w:r>
      <w:r w:rsidR="00775A00" w:rsidRPr="00A228C8">
        <w:rPr>
          <w:lang w:val="fr-CH"/>
        </w:rPr>
        <w:t>'</w:t>
      </w:r>
      <w:r w:rsidRPr="00A228C8">
        <w:rPr>
          <w:lang w:val="fr-CH"/>
        </w:rPr>
        <w:t>utilisation du procédé de transmission par paquets (par exemple, pour les DFSS avec accès multiple par répartition dans le temps (AMRT)), l</w:t>
      </w:r>
      <w:r w:rsidR="00775A00" w:rsidRPr="00A228C8">
        <w:rPr>
          <w:lang w:val="fr-CH"/>
        </w:rPr>
        <w:t>'</w:t>
      </w:r>
      <w:r w:rsidRPr="00A228C8">
        <w:rPr>
          <w:lang w:val="fr-CH"/>
        </w:rPr>
        <w:t>évaluation des largeurs de bande et des rayonnements se fasse par calcul de la puissance moyenne sur la durée des paquets;</w:t>
      </w:r>
    </w:p>
    <w:p w:rsidR="00E15C2B" w:rsidRPr="00A228C8" w:rsidRDefault="00E15C2B" w:rsidP="00775A00">
      <w:pPr>
        <w:rPr>
          <w:lang w:val="fr-CH"/>
        </w:rPr>
      </w:pPr>
      <w:r w:rsidRPr="00A228C8">
        <w:rPr>
          <w:b/>
          <w:bCs/>
          <w:lang w:val="fr-CH"/>
        </w:rPr>
        <w:t>2.6</w:t>
      </w:r>
      <w:r w:rsidRPr="00A228C8">
        <w:rPr>
          <w:lang w:val="fr-CH"/>
        </w:rPr>
        <w:tab/>
        <w:t>que les DFSS utilisent des circuits d</w:t>
      </w:r>
      <w:r w:rsidR="00775A00" w:rsidRPr="00A228C8">
        <w:rPr>
          <w:lang w:val="fr-CH"/>
        </w:rPr>
        <w:t>'</w:t>
      </w:r>
      <w:r w:rsidRPr="00A228C8">
        <w:rPr>
          <w:lang w:val="fr-CH"/>
        </w:rPr>
        <w:t>embrouillage appropriés, de façon que toutes les émissions spectrales (désirées et non désirées) restent indépendantes du flux de données d</w:t>
      </w:r>
      <w:r w:rsidR="00775A00" w:rsidRPr="00A228C8">
        <w:rPr>
          <w:lang w:val="fr-CH"/>
        </w:rPr>
        <w:t>'</w:t>
      </w:r>
      <w:r w:rsidRPr="00A228C8">
        <w:rPr>
          <w:lang w:val="fr-CH"/>
        </w:rPr>
        <w:t>entrée;</w:t>
      </w:r>
    </w:p>
    <w:p w:rsidR="00E15C2B" w:rsidRPr="00A228C8" w:rsidRDefault="00E15C2B" w:rsidP="00775A00">
      <w:pPr>
        <w:rPr>
          <w:lang w:val="fr-CH"/>
        </w:rPr>
      </w:pPr>
      <w:r w:rsidRPr="00A228C8">
        <w:rPr>
          <w:b/>
          <w:bCs/>
          <w:lang w:val="fr-CH"/>
        </w:rPr>
        <w:t>2.7</w:t>
      </w:r>
      <w:r w:rsidRPr="00A228C8">
        <w:rPr>
          <w:b/>
          <w:bCs/>
          <w:lang w:val="fr-CH"/>
        </w:rPr>
        <w:tab/>
      </w:r>
      <w:r w:rsidRPr="00A228C8">
        <w:rPr>
          <w:lang w:val="fr-CH"/>
        </w:rPr>
        <w:t>que tout rayonnement non désiré tombant sur des fréquences qui présentent, par rapport à la fréquence centrale du canal radioélectrique, un espacement inférieur à 250% de l</w:t>
      </w:r>
      <w:r w:rsidR="00775A00" w:rsidRPr="00A228C8">
        <w:rPr>
          <w:lang w:val="fr-CH"/>
        </w:rPr>
        <w:t>'</w:t>
      </w:r>
      <w:r w:rsidRPr="00A228C8">
        <w:rPr>
          <w:lang w:val="fr-CH"/>
        </w:rPr>
        <w:t>espacement des canaux avec lequel le système est censé fonctionner soit considéré généralement comme un rayonnement non désiré dans le domaine des émissions hors bande (voir la Note 4); lorsque le DFSS est destiné à être utilisé dans une bande de fréquences pour laquelle aucune disposition de canaux RF n</w:t>
      </w:r>
      <w:r w:rsidR="00775A00" w:rsidRPr="00A228C8">
        <w:rPr>
          <w:lang w:val="fr-CH"/>
        </w:rPr>
        <w:t>'</w:t>
      </w:r>
      <w:r w:rsidRPr="00A228C8">
        <w:rPr>
          <w:lang w:val="fr-CH"/>
        </w:rPr>
        <w:t>a été établie, la largeur de bande nécessaire devrait être utilisée au lieu de l</w:t>
      </w:r>
      <w:r w:rsidR="00775A00" w:rsidRPr="00A228C8">
        <w:rPr>
          <w:lang w:val="fr-CH"/>
        </w:rPr>
        <w:t>'</w:t>
      </w:r>
      <w:r w:rsidRPr="00A228C8">
        <w:rPr>
          <w:lang w:val="fr-CH"/>
        </w:rPr>
        <w:t>espacement de fréquences, pour évaluer la limite de 250%;</w:t>
      </w:r>
    </w:p>
    <w:p w:rsidR="00E15C2B" w:rsidRPr="00A228C8" w:rsidRDefault="00E15C2B" w:rsidP="00775A00">
      <w:pPr>
        <w:rPr>
          <w:lang w:val="fr-CH"/>
        </w:rPr>
      </w:pPr>
      <w:r w:rsidRPr="00A228C8">
        <w:rPr>
          <w:b/>
          <w:bCs/>
          <w:lang w:val="fr-CH"/>
        </w:rPr>
        <w:lastRenderedPageBreak/>
        <w:t>2.8</w:t>
      </w:r>
      <w:r w:rsidRPr="00A228C8">
        <w:rPr>
          <w:b/>
          <w:bCs/>
          <w:lang w:val="fr-CH"/>
        </w:rPr>
        <w:tab/>
      </w:r>
      <w:r w:rsidRPr="00A228C8">
        <w:rPr>
          <w:lang w:val="fr-CH"/>
        </w:rPr>
        <w:t>que tout rayonnement non désiré tombant sur des fréquences qui présentent, par rapport à la fréquence centrale du canal radioélectrique, un espacement égal ou supérieur à 250% de l</w:t>
      </w:r>
      <w:r w:rsidR="00775A00" w:rsidRPr="00A228C8">
        <w:rPr>
          <w:lang w:val="fr-CH"/>
        </w:rPr>
        <w:t>'</w:t>
      </w:r>
      <w:r w:rsidRPr="00A228C8">
        <w:rPr>
          <w:lang w:val="fr-CH"/>
        </w:rPr>
        <w:t>espacement des canaux avec lequel le système est censé fonctionner soit considéré généralement comme un rayonnement non essentiel (voir les Notes 4 et 5);</w:t>
      </w:r>
    </w:p>
    <w:p w:rsidR="00E15C2B" w:rsidRPr="00A228C8" w:rsidRDefault="00E15C2B" w:rsidP="00775A00">
      <w:pPr>
        <w:rPr>
          <w:lang w:val="fr-CH"/>
        </w:rPr>
      </w:pPr>
      <w:r w:rsidRPr="00A228C8">
        <w:rPr>
          <w:b/>
          <w:bCs/>
          <w:lang w:val="fr-CH"/>
        </w:rPr>
        <w:t>2.9</w:t>
      </w:r>
      <w:r w:rsidRPr="00A228C8">
        <w:rPr>
          <w:lang w:val="fr-CH"/>
        </w:rPr>
        <w:tab/>
        <w:t>que, au-dessus et au-dessous des limites de la bande de fréquences nécessaire, la puissance moyenne admissible des rayonnements non désirés soit inférieure ou égale à 0,5% de la puissance émise totale à la sortie de l</w:t>
      </w:r>
      <w:r w:rsidR="00775A00" w:rsidRPr="00A228C8">
        <w:rPr>
          <w:lang w:val="fr-CH"/>
        </w:rPr>
        <w:t>'</w:t>
      </w:r>
      <w:r w:rsidRPr="00A228C8">
        <w:rPr>
          <w:lang w:val="fr-CH"/>
        </w:rPr>
        <w:t>antenne (voir la Note 3); dans le cas de systèmes multiporteuses, il est prévu que cette règle s</w:t>
      </w:r>
      <w:r w:rsidR="00775A00" w:rsidRPr="00A228C8">
        <w:rPr>
          <w:lang w:val="fr-CH"/>
        </w:rPr>
        <w:t>'</w:t>
      </w:r>
      <w:r w:rsidRPr="00A228C8">
        <w:rPr>
          <w:lang w:val="fr-CH"/>
        </w:rPr>
        <w:t>applique aux sous-porteuses extrêmes;</w:t>
      </w:r>
    </w:p>
    <w:p w:rsidR="00E15C2B" w:rsidRPr="00A228C8" w:rsidRDefault="00E15C2B" w:rsidP="00A228C8">
      <w:pPr>
        <w:rPr>
          <w:lang w:val="fr-CH"/>
        </w:rPr>
      </w:pPr>
      <w:r w:rsidRPr="00A228C8">
        <w:rPr>
          <w:b/>
          <w:bCs/>
          <w:lang w:val="fr-CH"/>
        </w:rPr>
        <w:t>2.10</w:t>
      </w:r>
      <w:r w:rsidRPr="00A228C8">
        <w:rPr>
          <w:lang w:val="fr-CH"/>
        </w:rPr>
        <w:tab/>
        <w:t>que, du point de vue des réglementations internationales, il n</w:t>
      </w:r>
      <w:r w:rsidR="00775A00" w:rsidRPr="00A228C8">
        <w:rPr>
          <w:lang w:val="fr-CH"/>
        </w:rPr>
        <w:t>'</w:t>
      </w:r>
      <w:r w:rsidRPr="00A228C8">
        <w:rPr>
          <w:lang w:val="fr-CH"/>
        </w:rPr>
        <w:t>est peut-être pas nécessaire de fixer une limite supplémentaire de la forme spectrale des rayonnements non désirés des</w:t>
      </w:r>
      <w:r w:rsidR="00A228C8">
        <w:rPr>
          <w:lang w:val="fr-CH"/>
        </w:rPr>
        <w:t xml:space="preserve"> </w:t>
      </w:r>
      <w:r w:rsidRPr="00A228C8">
        <w:rPr>
          <w:lang w:val="fr-CH"/>
        </w:rPr>
        <w:t>DFSS;</w:t>
      </w:r>
    </w:p>
    <w:p w:rsidR="00E15C2B" w:rsidRPr="00A228C8" w:rsidRDefault="00E15C2B" w:rsidP="00775A00">
      <w:pPr>
        <w:rPr>
          <w:lang w:val="fr-CH"/>
        </w:rPr>
      </w:pPr>
      <w:r w:rsidRPr="00A228C8">
        <w:rPr>
          <w:b/>
          <w:bCs/>
          <w:lang w:val="fr-CH"/>
        </w:rPr>
        <w:t>2.11</w:t>
      </w:r>
      <w:r w:rsidRPr="00A228C8">
        <w:rPr>
          <w:lang w:val="fr-CH"/>
        </w:rPr>
        <w:tab/>
        <w:t>que les niveaux des rayonnements non essentiels, la gamme de fréquences pour leur mesure et la largeur de bande de référence dans laquelle les niveaux sont spécifiés soient ceux définis par la Recommandation UIT-R SM.329 (voir la Note 4). Lorsque des assignations exclusives de blocs sont effectuées, des émetteurs exploités sur des sous-canaux déterminés par l</w:t>
      </w:r>
      <w:r w:rsidR="00775A00" w:rsidRPr="00A228C8">
        <w:rPr>
          <w:lang w:val="fr-CH"/>
        </w:rPr>
        <w:t>'</w:t>
      </w:r>
      <w:r w:rsidRPr="00A228C8">
        <w:rPr>
          <w:lang w:val="fr-CH"/>
        </w:rPr>
        <w:t>opérateur titulaire de la licence peuvent, en principe, ne pas faire l</w:t>
      </w:r>
      <w:r w:rsidR="00775A00" w:rsidRPr="00A228C8">
        <w:rPr>
          <w:lang w:val="fr-CH"/>
        </w:rPr>
        <w:t>'</w:t>
      </w:r>
      <w:r w:rsidRPr="00A228C8">
        <w:rPr>
          <w:lang w:val="fr-CH"/>
        </w:rPr>
        <w:t>objet, au sein du bloc, des limites de rayonnements non désirés applicables en dehors du bloc; cependant, pour les zones frontières, il convient d</w:t>
      </w:r>
      <w:r w:rsidR="00775A00" w:rsidRPr="00A228C8">
        <w:rPr>
          <w:lang w:val="fr-CH"/>
        </w:rPr>
        <w:t>'</w:t>
      </w:r>
      <w:r w:rsidRPr="00A228C8">
        <w:rPr>
          <w:lang w:val="fr-CH"/>
        </w:rPr>
        <w:t>établir un accord entre les administrations concernées, celles-ci ayant pu octroyer la même bande de manière différente;</w:t>
      </w:r>
    </w:p>
    <w:p w:rsidR="00E15C2B" w:rsidRPr="00A228C8" w:rsidRDefault="00E15C2B" w:rsidP="00775A00">
      <w:pPr>
        <w:rPr>
          <w:lang w:val="fr-CH"/>
        </w:rPr>
      </w:pPr>
      <w:r w:rsidRPr="00A228C8">
        <w:rPr>
          <w:b/>
          <w:bCs/>
          <w:lang w:val="fr-CH"/>
        </w:rPr>
        <w:t>2.12</w:t>
      </w:r>
      <w:r w:rsidRPr="00A228C8">
        <w:rPr>
          <w:lang w:val="fr-CH"/>
        </w:rPr>
        <w:tab/>
        <w:t>que les limites applicables aux rayonnements non désirés dans le domaine des émissions hors bande constituant un filet de sécurité et élaborées par l</w:t>
      </w:r>
      <w:r w:rsidR="00775A00" w:rsidRPr="00A228C8">
        <w:rPr>
          <w:lang w:val="fr-CH"/>
        </w:rPr>
        <w:t>'</w:t>
      </w:r>
      <w:r w:rsidRPr="00A228C8">
        <w:rPr>
          <w:lang w:val="fr-CH"/>
        </w:rPr>
        <w:t>UIT-R soient considérées comme la limite absolue du cas le plus défavorable, à laquelle toute nouvelle conception de système DFSS devra se conformer;</w:t>
      </w:r>
    </w:p>
    <w:p w:rsidR="00E15C2B" w:rsidRPr="00A228C8" w:rsidRDefault="00E15C2B" w:rsidP="00775A00">
      <w:pPr>
        <w:rPr>
          <w:lang w:val="fr-CH"/>
        </w:rPr>
      </w:pPr>
      <w:r w:rsidRPr="00A228C8">
        <w:rPr>
          <w:b/>
          <w:bCs/>
          <w:lang w:val="fr-CH"/>
        </w:rPr>
        <w:t>2.13</w:t>
      </w:r>
      <w:r w:rsidRPr="00A228C8">
        <w:rPr>
          <w:lang w:val="fr-CH"/>
        </w:rPr>
        <w:tab/>
        <w:t>que, en l</w:t>
      </w:r>
      <w:r w:rsidR="00775A00" w:rsidRPr="00A228C8">
        <w:rPr>
          <w:lang w:val="fr-CH"/>
        </w:rPr>
        <w:t>'</w:t>
      </w:r>
      <w:r w:rsidRPr="00A228C8">
        <w:rPr>
          <w:lang w:val="fr-CH"/>
        </w:rPr>
        <w:t>absence d</w:t>
      </w:r>
      <w:r w:rsidR="00775A00" w:rsidRPr="00A228C8">
        <w:rPr>
          <w:lang w:val="fr-CH"/>
        </w:rPr>
        <w:t>'</w:t>
      </w:r>
      <w:r w:rsidRPr="00A228C8">
        <w:rPr>
          <w:lang w:val="fr-CH"/>
        </w:rPr>
        <w:t>autre accord spécifique entre les administrations qui partagent la même limite de bande, les émetteurs radioélectriques fixes numériques, utilisant les fréquences des canaux radioélectriques extrêmes d</w:t>
      </w:r>
      <w:r w:rsidR="00775A00" w:rsidRPr="00A228C8">
        <w:rPr>
          <w:lang w:val="fr-CH"/>
        </w:rPr>
        <w:t>'</w:t>
      </w:r>
      <w:r w:rsidRPr="00A228C8">
        <w:rPr>
          <w:lang w:val="fr-CH"/>
        </w:rPr>
        <w:t>une disposition de canaux radioélectriques, occupent une largeur de bande telle que l</w:t>
      </w:r>
      <w:r w:rsidR="00775A00" w:rsidRPr="00A228C8">
        <w:rPr>
          <w:lang w:val="fr-CH"/>
        </w:rPr>
        <w:t>'</w:t>
      </w:r>
      <w:r w:rsidRPr="00A228C8">
        <w:rPr>
          <w:lang w:val="fr-CH"/>
        </w:rPr>
        <w:t>extrémité de cette bande (par rapport à la fréquence centrale du canal), majorée de la valeur absolue de la tolérance de fréquence (voir la Note 5), corresponde à une largeur de bande inférieure ou égale à la valeur </w:t>
      </w:r>
      <w:r w:rsidRPr="00A228C8">
        <w:rPr>
          <w:i/>
          <w:iCs/>
          <w:lang w:val="fr-CH"/>
        </w:rPr>
        <w:t>ZS</w:t>
      </w:r>
      <w:r w:rsidRPr="00A228C8">
        <w:rPr>
          <w:lang w:val="fr-CH"/>
        </w:rPr>
        <w:t xml:space="preserve"> définie au § 1.4.</w:t>
      </w:r>
    </w:p>
    <w:p w:rsidR="00E15C2B" w:rsidRPr="00A228C8" w:rsidRDefault="00E15C2B" w:rsidP="00250394">
      <w:pPr>
        <w:rPr>
          <w:lang w:val="fr-CH"/>
        </w:rPr>
      </w:pPr>
      <w:r w:rsidRPr="00A228C8">
        <w:rPr>
          <w:lang w:val="fr-CH"/>
        </w:rPr>
        <w:t>NOTE 1 – D</w:t>
      </w:r>
      <w:r w:rsidR="00775A00" w:rsidRPr="00A228C8">
        <w:rPr>
          <w:lang w:val="fr-CH"/>
        </w:rPr>
        <w:t>'</w:t>
      </w:r>
      <w:r w:rsidRPr="00A228C8">
        <w:rPr>
          <w:lang w:val="fr-CH"/>
        </w:rPr>
        <w:t>une manière générale, la limite générique est considérée comme l</w:t>
      </w:r>
      <w:r w:rsidR="00775A00" w:rsidRPr="00A228C8">
        <w:rPr>
          <w:lang w:val="fr-CH"/>
        </w:rPr>
        <w:t>'</w:t>
      </w:r>
      <w:r w:rsidRPr="00A228C8">
        <w:rPr>
          <w:lang w:val="fr-CH"/>
        </w:rPr>
        <w:t>enveloppe générale du cas le plus défavorable, fondée sur les limites d</w:t>
      </w:r>
      <w:r w:rsidR="00775A00" w:rsidRPr="00A228C8">
        <w:rPr>
          <w:lang w:val="fr-CH"/>
        </w:rPr>
        <w:t>'</w:t>
      </w:r>
      <w:r w:rsidRPr="00A228C8">
        <w:rPr>
          <w:lang w:val="fr-CH"/>
        </w:rPr>
        <w:t>émission hors bande les moins restrictives utilisées avec succès comme règlements nationaux ou régionaux dans des zones ayant une forte densité d</w:t>
      </w:r>
      <w:r w:rsidR="00775A00" w:rsidRPr="00A228C8">
        <w:rPr>
          <w:lang w:val="fr-CH"/>
        </w:rPr>
        <w:t>'</w:t>
      </w:r>
      <w:r w:rsidRPr="00A228C8">
        <w:rPr>
          <w:lang w:val="fr-CH"/>
        </w:rPr>
        <w:t>équipements de radiocommunication et possédant pratiquement toute la gamme des équipements de radiocommunication. L</w:t>
      </w:r>
      <w:r w:rsidR="00775A00" w:rsidRPr="00A228C8">
        <w:rPr>
          <w:lang w:val="fr-CH"/>
        </w:rPr>
        <w:t>'</w:t>
      </w:r>
      <w:r w:rsidRPr="00A228C8">
        <w:rPr>
          <w:lang w:val="fr-CH"/>
        </w:rPr>
        <w:t>épithète «générale» est utilisé pour prendre en compte des cas exceptionnels où un gabarit particulièrement non restrictif peut avoir été utilisé, par exemple pour encourager le développement d</w:t>
      </w:r>
      <w:r w:rsidR="00775A00" w:rsidRPr="00A228C8">
        <w:rPr>
          <w:lang w:val="fr-CH"/>
        </w:rPr>
        <w:t>'</w:t>
      </w:r>
      <w:r w:rsidRPr="00A228C8">
        <w:rPr>
          <w:lang w:val="fr-CH"/>
        </w:rPr>
        <w:t xml:space="preserve">équipements dans une bande non attractive (voir le point c) du </w:t>
      </w:r>
      <w:r w:rsidRPr="00A228C8">
        <w:rPr>
          <w:i/>
          <w:iCs/>
          <w:lang w:val="fr-CH"/>
        </w:rPr>
        <w:t>notant</w:t>
      </w:r>
      <w:r w:rsidRPr="00A228C8">
        <w:rPr>
          <w:lang w:val="fr-CH"/>
        </w:rPr>
        <w:t>);</w:t>
      </w:r>
    </w:p>
    <w:p w:rsidR="00E15C2B" w:rsidRPr="00A228C8" w:rsidRDefault="00E15C2B" w:rsidP="00E15C2B">
      <w:pPr>
        <w:pStyle w:val="Note"/>
        <w:rPr>
          <w:lang w:val="fr-CH"/>
        </w:rPr>
      </w:pPr>
      <w:r w:rsidRPr="00A228C8">
        <w:rPr>
          <w:b/>
          <w:bCs/>
          <w:lang w:val="fr-CH"/>
        </w:rPr>
        <w:t>2.14</w:t>
      </w:r>
      <w:r w:rsidRPr="00A228C8">
        <w:rPr>
          <w:lang w:val="fr-CH"/>
        </w:rPr>
        <w:tab/>
        <w:t>que les Notes 2 à 5 soient considérées comme faisant partie de la présente Recommandation.</w:t>
      </w:r>
    </w:p>
    <w:p w:rsidR="00E15C2B" w:rsidRPr="00A228C8" w:rsidRDefault="00E15C2B" w:rsidP="00250394">
      <w:pPr>
        <w:rPr>
          <w:lang w:val="fr-CH"/>
        </w:rPr>
      </w:pPr>
      <w:r w:rsidRPr="00A228C8">
        <w:rPr>
          <w:lang w:val="fr-CH"/>
        </w:rPr>
        <w:t>NOTE 2 – Voir la Recommandation UIT-R F.746 pour les définitions des dispositions dites alternées de canaux radioélectriques par réutilisation des fréquences avec fonctionnement dans le même canal (cocanal) ou avec canaux intercalés. L</w:t>
      </w:r>
      <w:r w:rsidR="00775A00" w:rsidRPr="00A228C8">
        <w:rPr>
          <w:lang w:val="fr-CH"/>
        </w:rPr>
        <w:t>'</w:t>
      </w:r>
      <w:r w:rsidRPr="00A228C8">
        <w:rPr>
          <w:lang w:val="fr-CH"/>
        </w:rPr>
        <w:t xml:space="preserve">espacement des canaux radioélectriques se définit par </w:t>
      </w:r>
      <w:r w:rsidRPr="00A228C8">
        <w:rPr>
          <w:i/>
          <w:iCs/>
          <w:lang w:val="fr-CH"/>
        </w:rPr>
        <w:t>XS</w:t>
      </w:r>
      <w:r w:rsidRPr="00A228C8">
        <w:rPr>
          <w:lang w:val="fr-CH"/>
        </w:rPr>
        <w:t xml:space="preserve">/2 pour les dispositions de canaux alternés et par </w:t>
      </w:r>
      <w:r w:rsidRPr="00A228C8">
        <w:rPr>
          <w:i/>
          <w:iCs/>
          <w:lang w:val="fr-CH"/>
        </w:rPr>
        <w:t>XS</w:t>
      </w:r>
      <w:r w:rsidRPr="00A228C8">
        <w:rPr>
          <w:lang w:val="fr-CH"/>
        </w:rPr>
        <w:t xml:space="preserve"> pour les dispositions du type cocanal ou avec canaux intercalés.</w:t>
      </w:r>
    </w:p>
    <w:p w:rsidR="00E15C2B" w:rsidRPr="00A228C8" w:rsidRDefault="00E15C2B" w:rsidP="00250394">
      <w:pPr>
        <w:rPr>
          <w:lang w:val="fr-CH"/>
        </w:rPr>
      </w:pPr>
      <w:r w:rsidRPr="00A228C8">
        <w:rPr>
          <w:lang w:val="fr-CH"/>
        </w:rPr>
        <w:t>NOTE 3 – En raison des problèmes de compatibilité qui pourraient se poser, il faut procéder avec prudence lorsqu</w:t>
      </w:r>
      <w:r w:rsidR="00775A00" w:rsidRPr="00A228C8">
        <w:rPr>
          <w:lang w:val="fr-CH"/>
        </w:rPr>
        <w:t>'</w:t>
      </w:r>
      <w:r w:rsidRPr="00A228C8">
        <w:rPr>
          <w:lang w:val="fr-CH"/>
        </w:rPr>
        <w:t>on applique la présente Recommandation aux faisceaux hertziens à grande capacité, aux bandes où des faisceaux hertziens dissemblables fonctionnent dans des canaux adjacents et aux bandes utilisées en partage avec d</w:t>
      </w:r>
      <w:r w:rsidR="00775A00" w:rsidRPr="00A228C8">
        <w:rPr>
          <w:lang w:val="fr-CH"/>
        </w:rPr>
        <w:t>'</w:t>
      </w:r>
      <w:r w:rsidRPr="00A228C8">
        <w:rPr>
          <w:lang w:val="fr-CH"/>
        </w:rPr>
        <w:t>autres services.</w:t>
      </w:r>
    </w:p>
    <w:p w:rsidR="00E15C2B" w:rsidRPr="00A228C8" w:rsidRDefault="00E15C2B" w:rsidP="00250394">
      <w:pPr>
        <w:rPr>
          <w:lang w:val="fr-CH"/>
        </w:rPr>
      </w:pPr>
      <w:r w:rsidRPr="00A228C8">
        <w:rPr>
          <w:lang w:val="fr-CH"/>
        </w:rPr>
        <w:lastRenderedPageBreak/>
        <w:t xml:space="preserve">NOTE 4 – La Recommandation UIT-R SM.1539 donne également des indications sur la variation de la frontière en ce qui concerne les émissions à bande très étroite et les émissions à très large bande. En outre, étant donné que la Recommandation UIT-R SM.329 autorise des limites différentes de </w:t>
      </w:r>
      <w:r w:rsidR="00A228C8" w:rsidRPr="00A228C8">
        <w:sym w:font="Symbol" w:char="F0B1"/>
      </w:r>
      <w:r w:rsidR="00250394" w:rsidRPr="00250394">
        <w:rPr>
          <w:sz w:val="6"/>
          <w:szCs w:val="6"/>
        </w:rPr>
        <w:t> </w:t>
      </w:r>
      <w:r w:rsidRPr="00A228C8">
        <w:rPr>
          <w:lang w:val="fr-CH"/>
        </w:rPr>
        <w:t>250%, les dispositions suivantes sont recommandées, à titre provisoire, pour les DFSS fonctionnant au-dessus de 1 GHz avec un espacement des canaux inférieur à 2 MHz:</w:t>
      </w:r>
    </w:p>
    <w:p w:rsidR="00E15C2B" w:rsidRPr="00A228C8" w:rsidRDefault="00E15C2B" w:rsidP="00250394">
      <w:pPr>
        <w:pStyle w:val="enumlev1"/>
        <w:rPr>
          <w:lang w:val="fr-CH"/>
        </w:rPr>
      </w:pPr>
      <w:r w:rsidRPr="00A228C8">
        <w:rPr>
          <w:lang w:val="fr-CH"/>
        </w:rPr>
        <w:t>–</w:t>
      </w:r>
      <w:r w:rsidRPr="00A228C8">
        <w:rPr>
          <w:lang w:val="fr-CH"/>
        </w:rPr>
        <w:tab/>
        <w:t xml:space="preserve">la limite entre les rayonnements non essentiels et les émissions hors bande est fixée à </w:t>
      </w:r>
      <w:r w:rsidR="00A228C8" w:rsidRPr="00A228C8">
        <w:sym w:font="Symbol" w:char="F0B1"/>
      </w:r>
      <w:r w:rsidRPr="00A228C8">
        <w:rPr>
          <w:lang w:val="fr-CH"/>
        </w:rPr>
        <w:t>500% de l</w:t>
      </w:r>
      <w:r w:rsidR="00775A00" w:rsidRPr="00A228C8">
        <w:rPr>
          <w:lang w:val="fr-CH"/>
        </w:rPr>
        <w:t>'</w:t>
      </w:r>
      <w:r w:rsidRPr="00A228C8">
        <w:rPr>
          <w:lang w:val="fr-CH"/>
        </w:rPr>
        <w:t>espacement des canaux;</w:t>
      </w:r>
    </w:p>
    <w:p w:rsidR="00E15C2B" w:rsidRPr="00A228C8" w:rsidRDefault="00E15C2B" w:rsidP="00250394">
      <w:pPr>
        <w:pStyle w:val="enumlev1"/>
        <w:rPr>
          <w:lang w:val="fr-CH"/>
        </w:rPr>
      </w:pPr>
      <w:r w:rsidRPr="00A228C8">
        <w:rPr>
          <w:lang w:val="fr-CH"/>
        </w:rPr>
        <w:t>–</w:t>
      </w:r>
      <w:r w:rsidRPr="00A228C8">
        <w:rPr>
          <w:lang w:val="fr-CH"/>
        </w:rPr>
        <w:tab/>
        <w:t xml:space="preserve">la largeur de bande de référence est de 100 kHz dans la gamme de fréquences comprise entre cette limite et </w:t>
      </w:r>
      <w:r w:rsidR="00A228C8" w:rsidRPr="00A228C8">
        <w:sym w:font="Symbol" w:char="F0B1"/>
      </w:r>
      <w:r w:rsidR="00250394" w:rsidRPr="00250394">
        <w:rPr>
          <w:sz w:val="6"/>
          <w:szCs w:val="6"/>
        </w:rPr>
        <w:t> </w:t>
      </w:r>
      <w:r w:rsidRPr="00A228C8">
        <w:rPr>
          <w:lang w:val="fr-CH"/>
        </w:rPr>
        <w:t>20 MHz par rapport à la fréquence centrale nominale;</w:t>
      </w:r>
    </w:p>
    <w:p w:rsidR="00E15C2B" w:rsidRPr="00A228C8" w:rsidRDefault="00E15C2B" w:rsidP="00250394">
      <w:pPr>
        <w:rPr>
          <w:lang w:val="fr-CH"/>
        </w:rPr>
      </w:pPr>
      <w:r w:rsidRPr="00A228C8">
        <w:rPr>
          <w:lang w:val="fr-CH"/>
        </w:rPr>
        <w:t>et les dispositions suivantes sont recommandées, à titre provisoire, pour les DFSS fonctionnant au</w:t>
      </w:r>
      <w:r w:rsidRPr="00A228C8">
        <w:rPr>
          <w:lang w:val="fr-CH"/>
        </w:rPr>
        <w:noBreakHyphen/>
        <w:t>dessus de 1 GHz avec une puissance d</w:t>
      </w:r>
      <w:r w:rsidR="00775A00" w:rsidRPr="00A228C8">
        <w:rPr>
          <w:lang w:val="fr-CH"/>
        </w:rPr>
        <w:t>'</w:t>
      </w:r>
      <w:r w:rsidRPr="00A228C8">
        <w:rPr>
          <w:lang w:val="fr-CH"/>
        </w:rPr>
        <w:t>émission d</w:t>
      </w:r>
      <w:r w:rsidR="00775A00" w:rsidRPr="00A228C8">
        <w:rPr>
          <w:lang w:val="fr-CH"/>
        </w:rPr>
        <w:t>'</w:t>
      </w:r>
      <w:r w:rsidRPr="00A228C8">
        <w:rPr>
          <w:lang w:val="fr-CH"/>
        </w:rPr>
        <w:t>au moins 20 W et un espacement des canaux compris entre 2 et 14 MHz:</w:t>
      </w:r>
    </w:p>
    <w:p w:rsidR="00E15C2B" w:rsidRPr="00A228C8" w:rsidRDefault="00E15C2B" w:rsidP="00250394">
      <w:pPr>
        <w:pStyle w:val="enumlev1"/>
        <w:rPr>
          <w:lang w:val="fr-CH"/>
        </w:rPr>
      </w:pPr>
      <w:r w:rsidRPr="00A228C8">
        <w:rPr>
          <w:lang w:val="fr-CH"/>
        </w:rPr>
        <w:t>–</w:t>
      </w:r>
      <w:r w:rsidRPr="00A228C8">
        <w:rPr>
          <w:lang w:val="fr-CH"/>
        </w:rPr>
        <w:tab/>
        <w:t xml:space="preserve">la limite entre les rayonnements non essentiels et les émissions hors bande est fixée à </w:t>
      </w:r>
      <w:r w:rsidR="00A228C8" w:rsidRPr="00A228C8">
        <w:sym w:font="Symbol" w:char="F0B1"/>
      </w:r>
      <w:r w:rsidRPr="00A228C8">
        <w:rPr>
          <w:lang w:val="fr-CH"/>
        </w:rPr>
        <w:t>250% de l</w:t>
      </w:r>
      <w:r w:rsidR="00775A00" w:rsidRPr="00A228C8">
        <w:rPr>
          <w:lang w:val="fr-CH"/>
        </w:rPr>
        <w:t>'</w:t>
      </w:r>
      <w:r w:rsidRPr="00A228C8">
        <w:rPr>
          <w:lang w:val="fr-CH"/>
        </w:rPr>
        <w:t>espacement des canaux;</w:t>
      </w:r>
    </w:p>
    <w:p w:rsidR="00E15C2B" w:rsidRPr="00A228C8" w:rsidRDefault="00E15C2B" w:rsidP="00250394">
      <w:pPr>
        <w:pStyle w:val="enumlev1"/>
        <w:rPr>
          <w:lang w:val="fr-CH"/>
        </w:rPr>
      </w:pPr>
      <w:r w:rsidRPr="00A228C8">
        <w:rPr>
          <w:lang w:val="fr-CH"/>
        </w:rPr>
        <w:t>–</w:t>
      </w:r>
      <w:r w:rsidRPr="00A228C8">
        <w:rPr>
          <w:lang w:val="fr-CH"/>
        </w:rPr>
        <w:tab/>
        <w:t xml:space="preserve">la largeur de bande de référence est de 100 kHz dans la gamme de fréquences comprise entre cette limite et </w:t>
      </w:r>
      <w:r w:rsidR="00A228C8" w:rsidRPr="00A228C8">
        <w:sym w:font="Symbol" w:char="F0B1"/>
      </w:r>
      <w:r w:rsidRPr="00A228C8">
        <w:rPr>
          <w:lang w:val="fr-CH"/>
        </w:rPr>
        <w:t>70 MHz par rapport à la fréquence centrale nominale.</w:t>
      </w:r>
    </w:p>
    <w:p w:rsidR="00E15C2B" w:rsidRPr="00A228C8" w:rsidRDefault="00E15C2B" w:rsidP="00250394">
      <w:pPr>
        <w:rPr>
          <w:lang w:val="fr-CH"/>
        </w:rPr>
      </w:pPr>
      <w:r w:rsidRPr="00A228C8">
        <w:rPr>
          <w:lang w:val="fr-CH"/>
        </w:rPr>
        <w:t>NOTE 5 – Le soin de préciser la tolérance de fréquence est laissé aux organismes nationaux de réglementation.</w:t>
      </w:r>
    </w:p>
    <w:p w:rsidR="00E15C2B" w:rsidRPr="00A228C8" w:rsidRDefault="00E15C2B" w:rsidP="00E15C2B">
      <w:pPr>
        <w:pStyle w:val="FigureNo"/>
        <w:rPr>
          <w:lang w:val="fr-CH"/>
        </w:rPr>
        <w:sectPr w:rsidR="00E15C2B" w:rsidRPr="00A228C8" w:rsidSect="007F1C84">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docGrid w:linePitch="326"/>
        </w:sectPr>
      </w:pPr>
    </w:p>
    <w:p w:rsidR="00E15C2B" w:rsidRPr="00A228C8" w:rsidRDefault="00E15C2B" w:rsidP="00775A00">
      <w:pPr>
        <w:pStyle w:val="FigureNo"/>
        <w:rPr>
          <w:lang w:val="fr-CH"/>
        </w:rPr>
      </w:pPr>
      <w:r w:rsidRPr="00A228C8">
        <w:rPr>
          <w:lang w:val="fr-CH"/>
        </w:rPr>
        <w:lastRenderedPageBreak/>
        <w:t>Figure 1</w:t>
      </w:r>
    </w:p>
    <w:p w:rsidR="00E15C2B" w:rsidRPr="00A228C8" w:rsidRDefault="00E15C2B" w:rsidP="00775A00">
      <w:pPr>
        <w:pStyle w:val="Figuretitle"/>
        <w:rPr>
          <w:lang w:val="fr-CH"/>
        </w:rPr>
      </w:pPr>
      <w:r w:rsidRPr="00A228C8">
        <w:rPr>
          <w:lang w:val="fr-CH"/>
        </w:rPr>
        <w:t>Objectifs d</w:t>
      </w:r>
      <w:r w:rsidR="00775A00" w:rsidRPr="00A228C8">
        <w:rPr>
          <w:lang w:val="fr-CH"/>
        </w:rPr>
        <w:t>'</w:t>
      </w:r>
      <w:r w:rsidRPr="00A228C8">
        <w:rPr>
          <w:lang w:val="fr-CH"/>
        </w:rPr>
        <w:t>atténuation des rayonnements non désirés et définitions des largeurs de bande des DFSS</w:t>
      </w:r>
    </w:p>
    <w:p w:rsidR="00E15C2B" w:rsidRPr="00A228C8" w:rsidRDefault="00E15C2B" w:rsidP="00E15C2B">
      <w:pPr>
        <w:pStyle w:val="Figure"/>
        <w:rPr>
          <w:lang w:val="fr-CH"/>
        </w:rPr>
      </w:pPr>
      <w:r w:rsidRPr="00A228C8">
        <w:rPr>
          <w:lang w:val="fr-CH"/>
        </w:rPr>
        <w:object w:dxaOrig="14066" w:dyaOrig="6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4pt;height:308.75pt" o:ole="" o:allowoverlap="f">
            <v:imagedata r:id="rId19" o:title=""/>
          </v:shape>
          <o:OLEObject Type="Embed" ProgID="CorelDRAW.Graphic.14" ShapeID="_x0000_i1025" DrawAspect="Content" ObjectID="_1375183877" r:id="rId20"/>
        </w:object>
      </w:r>
    </w:p>
    <w:p w:rsidR="00E15C2B" w:rsidRPr="00A228C8" w:rsidRDefault="00E15C2B" w:rsidP="00E15C2B">
      <w:pPr>
        <w:rPr>
          <w:lang w:val="fr-CH"/>
        </w:rPr>
        <w:sectPr w:rsidR="00E15C2B" w:rsidRPr="00A228C8" w:rsidSect="007F1C84">
          <w:headerReference w:type="first" r:id="rId21"/>
          <w:pgSz w:w="16834" w:h="11907" w:orient="landscape" w:code="9"/>
          <w:pgMar w:top="1134" w:right="1418" w:bottom="1134" w:left="1134" w:header="720" w:footer="482" w:gutter="0"/>
          <w:paperSrc w:first="15" w:other="15"/>
          <w:cols w:space="720"/>
          <w:titlePg/>
          <w:docGrid w:linePitch="326"/>
        </w:sectPr>
      </w:pPr>
    </w:p>
    <w:p w:rsidR="00E15C2B" w:rsidRPr="00A228C8" w:rsidRDefault="004F5602" w:rsidP="008C0850">
      <w:pPr>
        <w:pStyle w:val="AnnexNoTitle"/>
        <w:spacing w:before="0"/>
        <w:rPr>
          <w:lang w:val="fr-CH"/>
        </w:rPr>
      </w:pPr>
      <w:r>
        <w:rPr>
          <w:lang w:val="fr-CH"/>
        </w:rPr>
        <w:lastRenderedPageBreak/>
        <w:t xml:space="preserve">Annexe </w:t>
      </w:r>
      <w:r w:rsidR="00E15C2B" w:rsidRPr="00A228C8">
        <w:rPr>
          <w:lang w:val="fr-CH"/>
        </w:rPr>
        <w:t>1</w:t>
      </w:r>
    </w:p>
    <w:p w:rsidR="00E15C2B" w:rsidRPr="00A228C8" w:rsidRDefault="00E15C2B" w:rsidP="00E15C2B">
      <w:pPr>
        <w:pStyle w:val="Heading1"/>
        <w:rPr>
          <w:lang w:val="fr-CH"/>
        </w:rPr>
      </w:pPr>
      <w:r w:rsidRPr="00A228C8">
        <w:rPr>
          <w:lang w:val="fr-CH"/>
        </w:rPr>
        <w:t>1</w:t>
      </w:r>
      <w:r w:rsidRPr="00A228C8">
        <w:rPr>
          <w:lang w:val="fr-CH"/>
        </w:rPr>
        <w:tab/>
        <w:t>Scénario type d</w:t>
      </w:r>
      <w:r w:rsidR="00775A00" w:rsidRPr="00A228C8">
        <w:rPr>
          <w:lang w:val="fr-CH"/>
        </w:rPr>
        <w:t>'</w:t>
      </w:r>
      <w:r w:rsidRPr="00A228C8">
        <w:rPr>
          <w:lang w:val="fr-CH"/>
        </w:rPr>
        <w:t>émission d</w:t>
      </w:r>
      <w:r w:rsidR="00775A00" w:rsidRPr="00A228C8">
        <w:rPr>
          <w:lang w:val="fr-CH"/>
        </w:rPr>
        <w:t>'</w:t>
      </w:r>
      <w:r w:rsidRPr="00A228C8">
        <w:rPr>
          <w:lang w:val="fr-CH"/>
        </w:rPr>
        <w:t>un DFSS</w:t>
      </w:r>
    </w:p>
    <w:p w:rsidR="00E15C2B" w:rsidRPr="00A228C8" w:rsidRDefault="00E15C2B" w:rsidP="00E15C2B">
      <w:pPr>
        <w:rPr>
          <w:lang w:val="fr-CH"/>
        </w:rPr>
      </w:pPr>
      <w:r w:rsidRPr="00A228C8">
        <w:rPr>
          <w:lang w:val="fr-CH"/>
        </w:rPr>
        <w:t>La Fig. 2 représente le scénario type, correspondant aux principales émissions d</w:t>
      </w:r>
      <w:r w:rsidR="00775A00" w:rsidRPr="00A228C8">
        <w:rPr>
          <w:lang w:val="fr-CH"/>
        </w:rPr>
        <w:t>'</w:t>
      </w:r>
      <w:r w:rsidRPr="00A228C8">
        <w:rPr>
          <w:lang w:val="fr-CH"/>
        </w:rPr>
        <w:t>un émetteur hétérodyne numérique. Les autres types d</w:t>
      </w:r>
      <w:r w:rsidR="00775A00" w:rsidRPr="00A228C8">
        <w:rPr>
          <w:lang w:val="fr-CH"/>
        </w:rPr>
        <w:t>'</w:t>
      </w:r>
      <w:r w:rsidRPr="00A228C8">
        <w:rPr>
          <w:lang w:val="fr-CH"/>
        </w:rPr>
        <w:t>émission (par exemple, autres produits de conversion et composantes résiduelles de génération de la porteuse) ne sont pas représentés. Dans le cas des émetteurs hertziens à modulation directe, certains rayonnements non désirés ne sont pas applicables (par exemple, produits de conversion et résidus d</w:t>
      </w:r>
      <w:r w:rsidR="00775A00" w:rsidRPr="00A228C8">
        <w:rPr>
          <w:lang w:val="fr-CH"/>
        </w:rPr>
        <w:t>'</w:t>
      </w:r>
      <w:r w:rsidRPr="00A228C8">
        <w:rPr>
          <w:lang w:val="fr-CH"/>
        </w:rPr>
        <w:t>oscillateur local).</w:t>
      </w:r>
    </w:p>
    <w:p w:rsidR="00E15C2B" w:rsidRPr="00A228C8" w:rsidRDefault="00E15C2B" w:rsidP="00775A00">
      <w:pPr>
        <w:pStyle w:val="FigureNo"/>
        <w:rPr>
          <w:lang w:val="fr-CH"/>
        </w:rPr>
      </w:pPr>
      <w:r w:rsidRPr="00A228C8">
        <w:rPr>
          <w:lang w:val="fr-CH"/>
        </w:rPr>
        <w:t>figure 2</w:t>
      </w:r>
    </w:p>
    <w:p w:rsidR="00E15C2B" w:rsidRPr="00A228C8" w:rsidRDefault="00E15C2B" w:rsidP="00775A00">
      <w:pPr>
        <w:pStyle w:val="Figuretitle"/>
        <w:rPr>
          <w:lang w:val="fr-CH"/>
        </w:rPr>
      </w:pPr>
      <w:r w:rsidRPr="00A228C8">
        <w:rPr>
          <w:lang w:val="fr-CH"/>
        </w:rPr>
        <w:t>Bandes de fréquences et rayonnements non désirés d</w:t>
      </w:r>
      <w:r w:rsidR="00775A00" w:rsidRPr="00A228C8">
        <w:rPr>
          <w:lang w:val="fr-CH"/>
        </w:rPr>
        <w:t>'</w:t>
      </w:r>
      <w:r w:rsidRPr="00A228C8">
        <w:rPr>
          <w:lang w:val="fr-CH"/>
        </w:rPr>
        <w:t>un DFSS (scénario type)</w:t>
      </w:r>
    </w:p>
    <w:p w:rsidR="00E15C2B" w:rsidRPr="00A228C8" w:rsidRDefault="00775A00" w:rsidP="00775A00">
      <w:pPr>
        <w:pStyle w:val="Figure"/>
        <w:rPr>
          <w:lang w:val="fr-CH"/>
        </w:rPr>
      </w:pPr>
      <w:r w:rsidRPr="00A228C8">
        <w:rPr>
          <w:lang w:val="fr-CH"/>
        </w:rPr>
        <w:object w:dxaOrig="10090" w:dyaOrig="7450">
          <v:shape id="_x0000_i1026" type="#_x0000_t75" style="width:481.85pt;height:356.3pt" o:ole="" o:allowoverlap="f">
            <v:imagedata r:id="rId22" o:title=""/>
          </v:shape>
          <o:OLEObject Type="Embed" ProgID="CorelDRAW.Graphic.14" ShapeID="_x0000_i1026" DrawAspect="Content" ObjectID="_1375183878" r:id="rId23"/>
        </w:object>
      </w:r>
    </w:p>
    <w:p w:rsidR="00E15C2B" w:rsidRPr="00A228C8" w:rsidRDefault="00E15C2B" w:rsidP="00775A00">
      <w:pPr>
        <w:pStyle w:val="Heading1"/>
        <w:rPr>
          <w:lang w:val="fr-CH"/>
        </w:rPr>
      </w:pPr>
      <w:r w:rsidRPr="00A228C8">
        <w:rPr>
          <w:lang w:val="fr-CH"/>
        </w:rPr>
        <w:t>2</w:t>
      </w:r>
      <w:r w:rsidRPr="00A228C8">
        <w:rPr>
          <w:lang w:val="fr-CH"/>
        </w:rPr>
        <w:tab/>
        <w:t>Calcul de la largeur de bande occupée</w:t>
      </w:r>
    </w:p>
    <w:p w:rsidR="00E15C2B" w:rsidRPr="00A228C8" w:rsidRDefault="00E15C2B" w:rsidP="00775A00">
      <w:pPr>
        <w:rPr>
          <w:lang w:val="fr-CH"/>
        </w:rPr>
      </w:pPr>
      <w:r w:rsidRPr="00A228C8">
        <w:rPr>
          <w:lang w:val="fr-CH"/>
        </w:rPr>
        <w:t>On peut généralement exprimer comme suit la valeur d</w:t>
      </w:r>
      <w:r w:rsidR="00775A00" w:rsidRPr="00A228C8">
        <w:rPr>
          <w:lang w:val="fr-CH"/>
        </w:rPr>
        <w:t>'</w:t>
      </w:r>
      <w:r w:rsidRPr="00A228C8">
        <w:rPr>
          <w:lang w:val="fr-CH"/>
        </w:rPr>
        <w:t xml:space="preserve">un spectre à puissance normalisée </w:t>
      </w:r>
      <w:r w:rsidRPr="00A228C8">
        <w:rPr>
          <w:i/>
          <w:iCs/>
          <w:lang w:val="fr-CH"/>
        </w:rPr>
        <w:t>W</w:t>
      </w:r>
      <w:r w:rsidRPr="00A228C8">
        <w:rPr>
          <w:i/>
          <w:iCs/>
          <w:sz w:val="4"/>
          <w:szCs w:val="4"/>
          <w:lang w:val="fr-CH"/>
        </w:rPr>
        <w:t> </w:t>
      </w:r>
      <w:r w:rsidRPr="00A228C8">
        <w:rPr>
          <w:lang w:val="fr-CH"/>
        </w:rPr>
        <w:t>( </w:t>
      </w:r>
      <w:r w:rsidRPr="00A228C8">
        <w:rPr>
          <w:i/>
          <w:iCs/>
          <w:lang w:val="fr-CH"/>
        </w:rPr>
        <w:t>f</w:t>
      </w:r>
      <w:r w:rsidRPr="00A228C8">
        <w:rPr>
          <w:lang w:val="fr-CH"/>
        </w:rPr>
        <w:t> ) d</w:t>
      </w:r>
      <w:r w:rsidR="00775A00" w:rsidRPr="00A228C8">
        <w:rPr>
          <w:lang w:val="fr-CH"/>
        </w:rPr>
        <w:t>'</w:t>
      </w:r>
      <w:r w:rsidRPr="00A228C8">
        <w:rPr>
          <w:lang w:val="fr-CH"/>
        </w:rPr>
        <w:t>une porteuse modulée d</w:t>
      </w:r>
      <w:r w:rsidR="00775A00" w:rsidRPr="00A228C8">
        <w:rPr>
          <w:lang w:val="fr-CH"/>
        </w:rPr>
        <w:t>'</w:t>
      </w:r>
      <w:r w:rsidRPr="00A228C8">
        <w:rPr>
          <w:lang w:val="fr-CH"/>
        </w:rPr>
        <w:t>un DFSS:</w:t>
      </w:r>
    </w:p>
    <w:p w:rsidR="00E15C2B" w:rsidRPr="00A228C8" w:rsidRDefault="00E15C2B" w:rsidP="00775A00">
      <w:pPr>
        <w:pStyle w:val="Equation"/>
        <w:rPr>
          <w:lang w:val="fr-CH"/>
        </w:rPr>
      </w:pPr>
      <w:r w:rsidRPr="00A228C8">
        <w:rPr>
          <w:lang w:val="fr-CH"/>
        </w:rPr>
        <w:tab/>
      </w:r>
      <w:r w:rsidRPr="00A228C8">
        <w:rPr>
          <w:lang w:val="fr-CH"/>
        </w:rPr>
        <w:tab/>
      </w:r>
      <w:r w:rsidR="00775A00" w:rsidRPr="00A228C8">
        <w:rPr>
          <w:position w:val="-32"/>
          <w:lang w:val="fr-CH"/>
        </w:rPr>
        <w:object w:dxaOrig="2740" w:dyaOrig="820">
          <v:shape id="_x0000_i1027" type="#_x0000_t75" style="width:137.1pt;height:41.1pt" o:ole="">
            <v:imagedata r:id="rId24" o:title=""/>
          </v:shape>
          <o:OLEObject Type="Embed" ProgID="Equation.3" ShapeID="_x0000_i1027" DrawAspect="Content" ObjectID="_1375183879" r:id="rId25"/>
        </w:object>
      </w:r>
      <w:r w:rsidRPr="00A228C8">
        <w:rPr>
          <w:position w:val="-10"/>
          <w:lang w:val="fr-CH"/>
        </w:rPr>
        <w:object w:dxaOrig="180" w:dyaOrig="340">
          <v:shape id="_x0000_i1028" type="#_x0000_t75" style="width:9.25pt;height:16.6pt" o:ole="">
            <v:imagedata r:id="rId26" o:title=""/>
          </v:shape>
          <o:OLEObject Type="Embed" ProgID="Equation.3" ShapeID="_x0000_i1028" DrawAspect="Content" ObjectID="_1375183880" r:id="rId27"/>
        </w:object>
      </w:r>
      <w:r w:rsidRPr="00A228C8">
        <w:rPr>
          <w:lang w:val="fr-CH"/>
        </w:rPr>
        <w:tab/>
        <w:t>(1)</w:t>
      </w:r>
    </w:p>
    <w:p w:rsidR="00E15C2B" w:rsidRPr="00A228C8" w:rsidRDefault="00E15C2B" w:rsidP="008C0850">
      <w:pPr>
        <w:keepNext/>
        <w:keepLines/>
        <w:rPr>
          <w:lang w:val="fr-CH"/>
        </w:rPr>
      </w:pPr>
      <w:r w:rsidRPr="00A228C8">
        <w:rPr>
          <w:lang w:val="fr-CH"/>
        </w:rPr>
        <w:lastRenderedPageBreak/>
        <w:t>où:</w:t>
      </w:r>
    </w:p>
    <w:p w:rsidR="00E15C2B" w:rsidRPr="00A228C8" w:rsidRDefault="00E15C2B" w:rsidP="008C0850">
      <w:pPr>
        <w:pStyle w:val="Equationlegend"/>
        <w:keepNext/>
        <w:keepLines/>
        <w:rPr>
          <w:lang w:val="fr-CH"/>
        </w:rPr>
      </w:pPr>
      <w:r w:rsidRPr="00A228C8">
        <w:rPr>
          <w:lang w:val="fr-CH"/>
        </w:rPr>
        <w:tab/>
      </w:r>
      <w:r w:rsidRPr="00A228C8">
        <w:rPr>
          <w:i/>
          <w:iCs/>
          <w:lang w:val="fr-CH"/>
        </w:rPr>
        <w:t>S</w:t>
      </w:r>
      <w:r w:rsidRPr="00A228C8">
        <w:rPr>
          <w:lang w:val="fr-CH"/>
        </w:rPr>
        <w:t xml:space="preserve">( </w:t>
      </w:r>
      <w:r w:rsidRPr="00A228C8">
        <w:rPr>
          <w:i/>
          <w:iCs/>
          <w:lang w:val="fr-CH"/>
        </w:rPr>
        <w:t>f</w:t>
      </w:r>
      <w:r w:rsidRPr="00A228C8">
        <w:rPr>
          <w:lang w:val="fr-CH"/>
        </w:rPr>
        <w:t xml:space="preserve"> )</w:t>
      </w:r>
      <w:r w:rsidRPr="00A228C8">
        <w:rPr>
          <w:rFonts w:ascii="Tms Rmn" w:hAnsi="Tms Rmn"/>
          <w:sz w:val="12"/>
          <w:szCs w:val="8"/>
          <w:lang w:val="fr-CH"/>
        </w:rPr>
        <w:t> </w:t>
      </w:r>
      <w:r w:rsidRPr="00A228C8">
        <w:rPr>
          <w:lang w:val="fr-CH"/>
        </w:rPr>
        <w:t>:</w:t>
      </w:r>
      <w:r w:rsidRPr="00A228C8">
        <w:rPr>
          <w:lang w:val="fr-CH"/>
        </w:rPr>
        <w:tab/>
        <w:t>réponse en fréquence du filtre de mise en forme situé dans l</w:t>
      </w:r>
      <w:r w:rsidR="00775A00" w:rsidRPr="00A228C8">
        <w:rPr>
          <w:lang w:val="fr-CH"/>
        </w:rPr>
        <w:t>'</w:t>
      </w:r>
      <w:r w:rsidRPr="00A228C8">
        <w:rPr>
          <w:lang w:val="fr-CH"/>
        </w:rPr>
        <w:t>émetteur</w:t>
      </w:r>
    </w:p>
    <w:p w:rsidR="00E15C2B" w:rsidRPr="00A228C8" w:rsidRDefault="00E15C2B" w:rsidP="008C0850">
      <w:pPr>
        <w:pStyle w:val="Equationlegend"/>
        <w:keepNext/>
        <w:keepLines/>
        <w:rPr>
          <w:lang w:val="fr-CH"/>
        </w:rPr>
      </w:pPr>
      <w:r w:rsidRPr="00A228C8">
        <w:rPr>
          <w:lang w:val="fr-CH"/>
        </w:rPr>
        <w:tab/>
      </w:r>
      <w:r w:rsidRPr="00A228C8">
        <w:rPr>
          <w:i/>
          <w:iCs/>
          <w:lang w:val="fr-CH"/>
        </w:rPr>
        <w:t>f</w:t>
      </w:r>
      <w:r w:rsidRPr="00A228C8">
        <w:rPr>
          <w:rFonts w:ascii="Tms Rmn" w:hAnsi="Tms Rmn"/>
          <w:sz w:val="12"/>
          <w:szCs w:val="8"/>
          <w:lang w:val="fr-CH"/>
        </w:rPr>
        <w:t> </w:t>
      </w:r>
      <w:r w:rsidRPr="00A228C8">
        <w:rPr>
          <w:lang w:val="fr-CH"/>
        </w:rPr>
        <w:t>:</w:t>
      </w:r>
      <w:r w:rsidRPr="00A228C8">
        <w:rPr>
          <w:lang w:val="fr-CH"/>
        </w:rPr>
        <w:tab/>
        <w:t>écart de fréquence par rapport à la porteuse</w:t>
      </w:r>
    </w:p>
    <w:p w:rsidR="00E15C2B" w:rsidRPr="00A228C8" w:rsidRDefault="00E15C2B" w:rsidP="00E15C2B">
      <w:pPr>
        <w:pStyle w:val="Equationlegend"/>
        <w:rPr>
          <w:lang w:val="fr-CH"/>
        </w:rPr>
      </w:pPr>
      <w:r w:rsidRPr="00A228C8">
        <w:rPr>
          <w:lang w:val="fr-CH"/>
        </w:rPr>
        <w:tab/>
      </w:r>
      <w:r w:rsidRPr="00A228C8">
        <w:rPr>
          <w:i/>
          <w:iCs/>
          <w:lang w:val="fr-CH"/>
        </w:rPr>
        <w:t>T</w:t>
      </w:r>
      <w:r w:rsidRPr="00A228C8">
        <w:rPr>
          <w:rFonts w:ascii="Tms Rmn" w:hAnsi="Tms Rmn"/>
          <w:sz w:val="12"/>
          <w:szCs w:val="8"/>
          <w:lang w:val="fr-CH"/>
        </w:rPr>
        <w:t> </w:t>
      </w:r>
      <w:r w:rsidRPr="00A228C8">
        <w:rPr>
          <w:lang w:val="fr-CH"/>
        </w:rPr>
        <w:t>:</w:t>
      </w:r>
      <w:r w:rsidRPr="00A228C8">
        <w:rPr>
          <w:lang w:val="fr-CH"/>
        </w:rPr>
        <w:tab/>
        <w:t>largeur d</w:t>
      </w:r>
      <w:r w:rsidR="00775A00" w:rsidRPr="00A228C8">
        <w:rPr>
          <w:lang w:val="fr-CH"/>
        </w:rPr>
        <w:t>'</w:t>
      </w:r>
      <w:r w:rsidRPr="00A228C8">
        <w:rPr>
          <w:lang w:val="fr-CH"/>
        </w:rPr>
        <w:t>impulsion</w:t>
      </w:r>
      <w:r w:rsidR="004F5602">
        <w:rPr>
          <w:lang w:val="fr-CH"/>
        </w:rPr>
        <w:t>.</w:t>
      </w:r>
    </w:p>
    <w:p w:rsidR="00E15C2B" w:rsidRPr="00A228C8" w:rsidRDefault="00E15C2B" w:rsidP="00E15C2B">
      <w:pPr>
        <w:rPr>
          <w:lang w:val="fr-CH"/>
        </w:rPr>
      </w:pPr>
      <w:r w:rsidRPr="00A228C8">
        <w:rPr>
          <w:lang w:val="fr-CH"/>
        </w:rPr>
        <w:t xml:space="preserve">On peut donc calculer de la manière suivante la largeur de bande occupée </w:t>
      </w:r>
      <w:r w:rsidRPr="00A228C8">
        <w:rPr>
          <w:i/>
          <w:iCs/>
          <w:lang w:val="fr-CH"/>
        </w:rPr>
        <w:t>B</w:t>
      </w:r>
      <w:r w:rsidRPr="00A228C8">
        <w:rPr>
          <w:position w:val="-4"/>
          <w:sz w:val="18"/>
          <w:szCs w:val="16"/>
          <w:lang w:val="fr-CH"/>
        </w:rPr>
        <w:t>0</w:t>
      </w:r>
      <w:r w:rsidRPr="00A228C8">
        <w:rPr>
          <w:lang w:val="fr-CH"/>
        </w:rPr>
        <w:t>:</w:t>
      </w:r>
    </w:p>
    <w:p w:rsidR="00775A00" w:rsidRPr="00A228C8" w:rsidRDefault="00775A00" w:rsidP="00775A00">
      <w:pPr>
        <w:pStyle w:val="Blanc"/>
        <w:rPr>
          <w:lang w:val="fr-CH"/>
        </w:rPr>
      </w:pPr>
    </w:p>
    <w:p w:rsidR="00E15C2B" w:rsidRPr="00A228C8" w:rsidRDefault="00E15C2B" w:rsidP="00E15C2B">
      <w:pPr>
        <w:pStyle w:val="Equation"/>
        <w:rPr>
          <w:lang w:val="fr-CH"/>
        </w:rPr>
      </w:pPr>
      <w:r w:rsidRPr="00A228C8">
        <w:rPr>
          <w:lang w:val="fr-CH"/>
        </w:rPr>
        <w:tab/>
      </w:r>
      <w:r w:rsidRPr="00A228C8">
        <w:rPr>
          <w:lang w:val="fr-CH"/>
        </w:rPr>
        <w:tab/>
      </w:r>
      <w:r w:rsidR="00775A00" w:rsidRPr="00A228C8">
        <w:rPr>
          <w:position w:val="-54"/>
          <w:lang w:val="fr-CH"/>
        </w:rPr>
        <w:object w:dxaOrig="3780" w:dyaOrig="1160">
          <v:shape id="_x0000_i1029" type="#_x0000_t75" style="width:188.75pt;height:58.6pt" o:ole="">
            <v:imagedata r:id="rId28" o:title=""/>
          </v:shape>
          <o:OLEObject Type="Embed" ProgID="Equation.3" ShapeID="_x0000_i1029" DrawAspect="Content" ObjectID="_1375183881" r:id="rId29"/>
        </w:object>
      </w:r>
      <w:r w:rsidRPr="00A228C8">
        <w:rPr>
          <w:lang w:val="fr-CH"/>
        </w:rPr>
        <w:tab/>
        <w:t>(2)</w:t>
      </w:r>
    </w:p>
    <w:p w:rsidR="00775A00" w:rsidRPr="00A228C8" w:rsidRDefault="00775A00" w:rsidP="00775A00">
      <w:pPr>
        <w:pStyle w:val="Blanc"/>
        <w:rPr>
          <w:lang w:val="fr-CH"/>
        </w:rPr>
      </w:pPr>
    </w:p>
    <w:p w:rsidR="00E15C2B" w:rsidRPr="00A228C8" w:rsidRDefault="00E15C2B" w:rsidP="00E15C2B">
      <w:pPr>
        <w:pStyle w:val="Heading2"/>
        <w:rPr>
          <w:lang w:val="fr-CH"/>
        </w:rPr>
      </w:pPr>
      <w:r w:rsidRPr="00A228C8">
        <w:rPr>
          <w:lang w:val="fr-CH"/>
        </w:rPr>
        <w:t>2.1</w:t>
      </w:r>
      <w:r w:rsidRPr="00A228C8">
        <w:rPr>
          <w:lang w:val="fr-CH"/>
        </w:rPr>
        <w:tab/>
        <w:t>Signaux à modulation de phase et d</w:t>
      </w:r>
      <w:r w:rsidR="00775A00" w:rsidRPr="00A228C8">
        <w:rPr>
          <w:lang w:val="fr-CH"/>
        </w:rPr>
        <w:t>'</w:t>
      </w:r>
      <w:r w:rsidRPr="00A228C8">
        <w:rPr>
          <w:lang w:val="fr-CH"/>
        </w:rPr>
        <w:t>amplitude, avec mise en forme suivant une loi parfaite de décroissance progressive en racine carrée de cosinus</w:t>
      </w:r>
    </w:p>
    <w:p w:rsidR="00E15C2B" w:rsidRPr="00A228C8" w:rsidRDefault="00E15C2B" w:rsidP="00E15C2B">
      <w:pPr>
        <w:rPr>
          <w:lang w:val="fr-CH"/>
        </w:rPr>
      </w:pPr>
      <w:r w:rsidRPr="00A228C8">
        <w:rPr>
          <w:lang w:val="fr-CH"/>
        </w:rPr>
        <w:t>Dans nombre de cas, on utilise côté émetteur des filtres de mise en forme à décroissance progressive en racine carrée de cosinus; la réponse idéale en fréquence est donnée alors par:</w:t>
      </w:r>
    </w:p>
    <w:p w:rsidR="00E15C2B" w:rsidRPr="00A228C8" w:rsidRDefault="00E15C2B" w:rsidP="00775A00">
      <w:pPr>
        <w:pStyle w:val="Blanc"/>
        <w:rPr>
          <w:lang w:val="fr-CH"/>
        </w:rPr>
      </w:pPr>
    </w:p>
    <w:p w:rsidR="00E15C2B" w:rsidRPr="00A228C8" w:rsidRDefault="00E15C2B" w:rsidP="00E15C2B">
      <w:pPr>
        <w:pStyle w:val="Equation"/>
        <w:rPr>
          <w:lang w:val="fr-CH"/>
        </w:rPr>
      </w:pPr>
      <w:r w:rsidRPr="00A228C8">
        <w:rPr>
          <w:position w:val="-10"/>
          <w:lang w:val="fr-CH"/>
        </w:rPr>
        <w:object w:dxaOrig="180" w:dyaOrig="340">
          <v:shape id="_x0000_i1030" type="#_x0000_t75" style="width:9.25pt;height:16.6pt" o:ole="">
            <v:imagedata r:id="rId30" o:title=""/>
          </v:shape>
          <o:OLEObject Type="Embed" ProgID="Equation.3" ShapeID="_x0000_i1030" DrawAspect="Content" ObjectID="_1375183882" r:id="rId31"/>
        </w:object>
      </w:r>
      <w:r w:rsidR="00257365" w:rsidRPr="00257365">
        <w:rPr>
          <w:position w:val="-130"/>
          <w:lang w:val="fr-CH"/>
        </w:rPr>
        <w:object w:dxaOrig="8640" w:dyaOrig="2720">
          <v:shape id="_x0000_i1031" type="#_x0000_t75" style="width:431.55pt;height:136.15pt" o:ole="">
            <v:imagedata r:id="rId32" o:title=""/>
          </v:shape>
          <o:OLEObject Type="Embed" ProgID="Equation.3" ShapeID="_x0000_i1031" DrawAspect="Content" ObjectID="_1375183883" r:id="rId33"/>
        </w:object>
      </w:r>
      <w:r w:rsidRPr="00A228C8">
        <w:rPr>
          <w:lang w:val="fr-CH"/>
        </w:rPr>
        <w:tab/>
        <w:t>(3)</w:t>
      </w:r>
    </w:p>
    <w:p w:rsidR="00775A00" w:rsidRPr="00A228C8" w:rsidRDefault="00775A00" w:rsidP="00775A00">
      <w:pPr>
        <w:pStyle w:val="Blanc"/>
        <w:rPr>
          <w:lang w:val="fr-CH"/>
        </w:rPr>
      </w:pPr>
    </w:p>
    <w:p w:rsidR="00E15C2B" w:rsidRPr="00A228C8" w:rsidRDefault="00E15C2B" w:rsidP="00A228C8">
      <w:pPr>
        <w:rPr>
          <w:lang w:val="fr-CH"/>
        </w:rPr>
      </w:pPr>
      <w:r w:rsidRPr="00A228C8">
        <w:rPr>
          <w:lang w:val="fr-CH"/>
        </w:rPr>
        <w:t xml:space="preserve">où </w:t>
      </w:r>
      <w:r w:rsidR="00A228C8" w:rsidRPr="00A228C8">
        <w:sym w:font="Symbol" w:char="F061"/>
      </w:r>
      <w:r w:rsidRPr="00A228C8">
        <w:rPr>
          <w:lang w:val="fr-CH"/>
        </w:rPr>
        <w:t>, le facteur de décroissance, est compris entre 0 et 1.</w:t>
      </w:r>
    </w:p>
    <w:p w:rsidR="00E15C2B" w:rsidRPr="00A228C8" w:rsidRDefault="00E15C2B" w:rsidP="00E15C2B">
      <w:pPr>
        <w:rPr>
          <w:lang w:val="fr-CH"/>
        </w:rPr>
      </w:pPr>
      <w:r w:rsidRPr="00A228C8">
        <w:rPr>
          <w:lang w:val="fr-CH"/>
        </w:rPr>
        <w:t>On obtient comme suit la valeur de la largeur de bande occupée idéale en portant l</w:t>
      </w:r>
      <w:r w:rsidR="00775A00" w:rsidRPr="00A228C8">
        <w:rPr>
          <w:lang w:val="fr-CH"/>
        </w:rPr>
        <w:t>'</w:t>
      </w:r>
      <w:r w:rsidRPr="00A228C8">
        <w:rPr>
          <w:lang w:val="fr-CH"/>
        </w:rPr>
        <w:t>expression (3) dans les équations (1) et (2):</w:t>
      </w:r>
    </w:p>
    <w:p w:rsidR="00775A00" w:rsidRPr="00A228C8" w:rsidRDefault="00775A00" w:rsidP="00775A00">
      <w:pPr>
        <w:pStyle w:val="Blanc"/>
        <w:rPr>
          <w:lang w:val="fr-CH"/>
        </w:rPr>
      </w:pPr>
    </w:p>
    <w:p w:rsidR="00E15C2B" w:rsidRPr="00A228C8" w:rsidRDefault="00E15C2B" w:rsidP="00E15C2B">
      <w:pPr>
        <w:pStyle w:val="Equation"/>
        <w:rPr>
          <w:lang w:val="fr-CH"/>
        </w:rPr>
      </w:pPr>
      <w:r w:rsidRPr="00A228C8">
        <w:rPr>
          <w:lang w:val="fr-CH"/>
        </w:rPr>
        <w:tab/>
      </w:r>
      <w:r w:rsidRPr="00A228C8">
        <w:rPr>
          <w:lang w:val="fr-CH"/>
        </w:rPr>
        <w:tab/>
      </w:r>
      <w:r w:rsidR="008C0850" w:rsidRPr="00A228C8">
        <w:rPr>
          <w:position w:val="-12"/>
          <w:lang w:val="fr-CH"/>
        </w:rPr>
        <w:object w:dxaOrig="1719" w:dyaOrig="360">
          <v:shape id="_x0000_i1032" type="#_x0000_t75" style="width:86.3pt;height:18.45pt" o:ole="">
            <v:imagedata r:id="rId34" o:title=""/>
          </v:shape>
          <o:OLEObject Type="Embed" ProgID="Equation.3" ShapeID="_x0000_i1032" DrawAspect="Content" ObjectID="_1375183884" r:id="rId35"/>
        </w:object>
      </w:r>
      <w:r w:rsidRPr="00A228C8">
        <w:rPr>
          <w:i/>
          <w:iCs/>
          <w:lang w:val="fr-CH"/>
        </w:rPr>
        <w:tab/>
      </w:r>
      <w:r w:rsidRPr="00A228C8">
        <w:rPr>
          <w:lang w:val="fr-CH"/>
        </w:rPr>
        <w:t>(4)</w:t>
      </w:r>
    </w:p>
    <w:p w:rsidR="00775A00" w:rsidRPr="00A228C8" w:rsidRDefault="00775A00" w:rsidP="00775A00">
      <w:pPr>
        <w:pStyle w:val="Blanc"/>
        <w:rPr>
          <w:lang w:val="fr-CH"/>
        </w:rPr>
      </w:pPr>
    </w:p>
    <w:p w:rsidR="00E15C2B" w:rsidRPr="00A228C8" w:rsidRDefault="00E15C2B" w:rsidP="00A228C8">
      <w:pPr>
        <w:rPr>
          <w:lang w:val="fr-CH"/>
        </w:rPr>
      </w:pPr>
      <w:r w:rsidRPr="00A228C8">
        <w:rPr>
          <w:lang w:val="fr-CH"/>
        </w:rPr>
        <w:t xml:space="preserve">où </w:t>
      </w:r>
      <w:r w:rsidRPr="00A228C8">
        <w:rPr>
          <w:i/>
          <w:iCs/>
          <w:lang w:val="fr-CH"/>
        </w:rPr>
        <w:t>K</w:t>
      </w:r>
      <w:r w:rsidRPr="00A228C8">
        <w:rPr>
          <w:lang w:val="fr-CH"/>
        </w:rPr>
        <w:t>(</w:t>
      </w:r>
      <w:r w:rsidR="00A228C8" w:rsidRPr="00A228C8">
        <w:sym w:font="Symbol" w:char="F061"/>
      </w:r>
      <w:r w:rsidRPr="00A228C8">
        <w:rPr>
          <w:lang w:val="fr-CH"/>
        </w:rPr>
        <w:t xml:space="preserve">), fonction de </w:t>
      </w:r>
      <w:r w:rsidR="00A228C8" w:rsidRPr="00A228C8">
        <w:sym w:font="Symbol" w:char="F061"/>
      </w:r>
      <w:r w:rsidRPr="00A228C8">
        <w:rPr>
          <w:lang w:val="fr-CH"/>
        </w:rPr>
        <w:t>, est calculé tel qu</w:t>
      </w:r>
      <w:r w:rsidR="00775A00" w:rsidRPr="00A228C8">
        <w:rPr>
          <w:lang w:val="fr-CH"/>
        </w:rPr>
        <w:t>'</w:t>
      </w:r>
      <w:r w:rsidRPr="00A228C8">
        <w:rPr>
          <w:lang w:val="fr-CH"/>
        </w:rPr>
        <w:t>indiqué au Tableau 1.</w:t>
      </w:r>
    </w:p>
    <w:p w:rsidR="00E15C2B" w:rsidRDefault="00E15C2B" w:rsidP="00E15C2B">
      <w:pPr>
        <w:rPr>
          <w:lang w:val="fr-CH"/>
        </w:rPr>
      </w:pPr>
      <w:r w:rsidRPr="00A228C8">
        <w:rPr>
          <w:lang w:val="fr-CH"/>
        </w:rPr>
        <w:t>La relation (4) et le Tableau 1 permettent donc de calculer la largeur de bande occupée.</w:t>
      </w:r>
    </w:p>
    <w:p w:rsidR="00257365" w:rsidRPr="00A228C8" w:rsidRDefault="00257365" w:rsidP="00E15C2B">
      <w:pPr>
        <w:rPr>
          <w:lang w:val="fr-CH"/>
        </w:rPr>
      </w:pPr>
    </w:p>
    <w:p w:rsidR="00E15C2B" w:rsidRPr="00A228C8" w:rsidRDefault="00E15C2B" w:rsidP="00775A00">
      <w:pPr>
        <w:pStyle w:val="TableNo"/>
        <w:keepLines/>
        <w:rPr>
          <w:lang w:val="fr-CH"/>
        </w:rPr>
      </w:pPr>
      <w:r w:rsidRPr="00A228C8">
        <w:rPr>
          <w:lang w:val="fr-CH"/>
        </w:rPr>
        <w:lastRenderedPageBreak/>
        <w:t>TABLEAU  1</w:t>
      </w:r>
    </w:p>
    <w:p w:rsidR="00E15C2B" w:rsidRPr="00A228C8" w:rsidRDefault="00E15C2B" w:rsidP="00A228C8">
      <w:pPr>
        <w:pStyle w:val="Tabletitle"/>
        <w:keepLines/>
        <w:rPr>
          <w:lang w:val="fr-CH"/>
        </w:rPr>
      </w:pPr>
      <w:r w:rsidRPr="00A228C8">
        <w:rPr>
          <w:lang w:val="fr-CH"/>
        </w:rPr>
        <w:t xml:space="preserve">Valeurs de </w:t>
      </w:r>
      <w:r w:rsidRPr="00A228C8">
        <w:rPr>
          <w:i/>
          <w:iCs/>
          <w:lang w:val="fr-CH"/>
        </w:rPr>
        <w:t>K</w:t>
      </w:r>
      <w:r w:rsidRPr="00A228C8">
        <w:rPr>
          <w:lang w:val="fr-CH"/>
        </w:rPr>
        <w:t>(</w:t>
      </w:r>
      <w:r w:rsidR="00A228C8" w:rsidRPr="00A228C8">
        <w:sym w:font="Symbol" w:char="F061"/>
      </w:r>
      <w:r w:rsidRPr="00A228C8">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E15C2B" w:rsidRPr="00A228C8" w:rsidTr="008C0850">
        <w:trPr>
          <w:cantSplit/>
          <w:jc w:val="center"/>
        </w:trPr>
        <w:tc>
          <w:tcPr>
            <w:tcW w:w="2268" w:type="dxa"/>
          </w:tcPr>
          <w:p w:rsidR="00E15C2B" w:rsidRPr="00A228C8" w:rsidRDefault="00775A00" w:rsidP="00775A00">
            <w:pPr>
              <w:pStyle w:val="Tablehead"/>
              <w:keepLines/>
              <w:rPr>
                <w:lang w:val="fr-CH"/>
              </w:rPr>
            </w:pPr>
            <w:r w:rsidRPr="00A228C8">
              <w:rPr>
                <w:lang w:val="fr-CH"/>
              </w:rPr>
              <w:sym w:font="Symbol" w:char="F061"/>
            </w:r>
          </w:p>
        </w:tc>
        <w:tc>
          <w:tcPr>
            <w:tcW w:w="2268" w:type="dxa"/>
          </w:tcPr>
          <w:p w:rsidR="00E15C2B" w:rsidRPr="00A228C8" w:rsidRDefault="00E15C2B" w:rsidP="00775A00">
            <w:pPr>
              <w:pStyle w:val="Tablehead"/>
              <w:keepLines/>
              <w:rPr>
                <w:lang w:val="fr-CH"/>
              </w:rPr>
            </w:pPr>
            <w:r w:rsidRPr="00A228C8">
              <w:rPr>
                <w:lang w:val="fr-CH"/>
              </w:rPr>
              <w:t>K(</w:t>
            </w:r>
            <w:r w:rsidR="00775A00" w:rsidRPr="00A228C8">
              <w:rPr>
                <w:lang w:val="fr-CH"/>
              </w:rPr>
              <w:sym w:font="Symbol" w:char="F061"/>
            </w:r>
            <w:r w:rsidRPr="00A228C8">
              <w:rPr>
                <w:lang w:val="fr-CH"/>
              </w:rPr>
              <w:t>)</w:t>
            </w:r>
          </w:p>
        </w:tc>
      </w:tr>
      <w:tr w:rsidR="00E15C2B" w:rsidRPr="00A228C8" w:rsidTr="008C0850">
        <w:trPr>
          <w:cantSplit/>
          <w:jc w:val="center"/>
        </w:trPr>
        <w:tc>
          <w:tcPr>
            <w:tcW w:w="2268" w:type="dxa"/>
          </w:tcPr>
          <w:p w:rsidR="00E15C2B" w:rsidRPr="00A228C8" w:rsidRDefault="00E15C2B" w:rsidP="00775A00">
            <w:pPr>
              <w:pStyle w:val="Tabletext"/>
              <w:keepNext/>
              <w:keepLines/>
              <w:jc w:val="center"/>
              <w:rPr>
                <w:lang w:val="fr-CH"/>
              </w:rPr>
            </w:pPr>
            <w:r w:rsidRPr="00A228C8">
              <w:rPr>
                <w:lang w:val="fr-CH"/>
              </w:rPr>
              <w:t>0,1</w:t>
            </w:r>
          </w:p>
        </w:tc>
        <w:tc>
          <w:tcPr>
            <w:tcW w:w="2268" w:type="dxa"/>
          </w:tcPr>
          <w:p w:rsidR="00E15C2B" w:rsidRPr="00A228C8" w:rsidRDefault="00E15C2B" w:rsidP="00775A00">
            <w:pPr>
              <w:pStyle w:val="Tabletext"/>
              <w:keepNext/>
              <w:keepLines/>
              <w:jc w:val="center"/>
              <w:rPr>
                <w:lang w:val="fr-CH"/>
              </w:rPr>
            </w:pPr>
            <w:r w:rsidRPr="00A228C8">
              <w:rPr>
                <w:lang w:val="fr-CH"/>
              </w:rPr>
              <w:t>0,510</w:t>
            </w:r>
          </w:p>
        </w:tc>
      </w:tr>
      <w:tr w:rsidR="00E15C2B" w:rsidRPr="00A228C8" w:rsidTr="008C0850">
        <w:trPr>
          <w:cantSplit/>
          <w:jc w:val="center"/>
        </w:trPr>
        <w:tc>
          <w:tcPr>
            <w:tcW w:w="2268" w:type="dxa"/>
          </w:tcPr>
          <w:p w:rsidR="00E15C2B" w:rsidRPr="00A228C8" w:rsidRDefault="00E15C2B" w:rsidP="00775A00">
            <w:pPr>
              <w:pStyle w:val="Tabletext"/>
              <w:keepNext/>
              <w:keepLines/>
              <w:jc w:val="center"/>
              <w:rPr>
                <w:lang w:val="fr-CH"/>
              </w:rPr>
            </w:pPr>
            <w:r w:rsidRPr="00A228C8">
              <w:rPr>
                <w:lang w:val="fr-CH"/>
              </w:rPr>
              <w:t>0,2</w:t>
            </w:r>
          </w:p>
        </w:tc>
        <w:tc>
          <w:tcPr>
            <w:tcW w:w="2268" w:type="dxa"/>
          </w:tcPr>
          <w:p w:rsidR="00E15C2B" w:rsidRPr="00A228C8" w:rsidRDefault="00E15C2B" w:rsidP="00775A00">
            <w:pPr>
              <w:pStyle w:val="Tabletext"/>
              <w:keepNext/>
              <w:keepLines/>
              <w:jc w:val="center"/>
              <w:rPr>
                <w:lang w:val="fr-CH"/>
              </w:rPr>
            </w:pPr>
            <w:r w:rsidRPr="00A228C8">
              <w:rPr>
                <w:lang w:val="fr-CH"/>
              </w:rPr>
              <w:t>0,537</w:t>
            </w:r>
          </w:p>
        </w:tc>
      </w:tr>
      <w:tr w:rsidR="00E15C2B" w:rsidRPr="00A228C8" w:rsidTr="008C0850">
        <w:trPr>
          <w:cantSplit/>
          <w:jc w:val="center"/>
        </w:trPr>
        <w:tc>
          <w:tcPr>
            <w:tcW w:w="2268" w:type="dxa"/>
          </w:tcPr>
          <w:p w:rsidR="00E15C2B" w:rsidRPr="00A228C8" w:rsidRDefault="00E15C2B" w:rsidP="00775A00">
            <w:pPr>
              <w:pStyle w:val="Tabletext"/>
              <w:keepNext/>
              <w:keepLines/>
              <w:jc w:val="center"/>
              <w:rPr>
                <w:lang w:val="fr-CH"/>
              </w:rPr>
            </w:pPr>
            <w:r w:rsidRPr="00A228C8">
              <w:rPr>
                <w:lang w:val="fr-CH"/>
              </w:rPr>
              <w:t>0,3</w:t>
            </w:r>
          </w:p>
        </w:tc>
        <w:tc>
          <w:tcPr>
            <w:tcW w:w="2268" w:type="dxa"/>
          </w:tcPr>
          <w:p w:rsidR="00E15C2B" w:rsidRPr="00A228C8" w:rsidRDefault="00E15C2B" w:rsidP="00775A00">
            <w:pPr>
              <w:pStyle w:val="Tabletext"/>
              <w:keepNext/>
              <w:keepLines/>
              <w:jc w:val="center"/>
              <w:rPr>
                <w:lang w:val="fr-CH"/>
              </w:rPr>
            </w:pPr>
            <w:r w:rsidRPr="00A228C8">
              <w:rPr>
                <w:lang w:val="fr-CH"/>
              </w:rPr>
              <w:t>0,567</w:t>
            </w:r>
          </w:p>
        </w:tc>
      </w:tr>
      <w:tr w:rsidR="00E15C2B" w:rsidRPr="00A228C8" w:rsidTr="008C0850">
        <w:trPr>
          <w:cantSplit/>
          <w:jc w:val="center"/>
        </w:trPr>
        <w:tc>
          <w:tcPr>
            <w:tcW w:w="2268" w:type="dxa"/>
          </w:tcPr>
          <w:p w:rsidR="00E15C2B" w:rsidRPr="00A228C8" w:rsidRDefault="00E15C2B" w:rsidP="00775A00">
            <w:pPr>
              <w:pStyle w:val="Tabletext"/>
              <w:keepNext/>
              <w:keepLines/>
              <w:jc w:val="center"/>
              <w:rPr>
                <w:lang w:val="fr-CH"/>
              </w:rPr>
            </w:pPr>
            <w:r w:rsidRPr="00A228C8">
              <w:rPr>
                <w:lang w:val="fr-CH"/>
              </w:rPr>
              <w:t>0,4</w:t>
            </w:r>
          </w:p>
        </w:tc>
        <w:tc>
          <w:tcPr>
            <w:tcW w:w="2268" w:type="dxa"/>
          </w:tcPr>
          <w:p w:rsidR="00E15C2B" w:rsidRPr="00A228C8" w:rsidRDefault="00E15C2B" w:rsidP="00775A00">
            <w:pPr>
              <w:pStyle w:val="Tabletext"/>
              <w:keepNext/>
              <w:keepLines/>
              <w:jc w:val="center"/>
              <w:rPr>
                <w:lang w:val="fr-CH"/>
              </w:rPr>
            </w:pPr>
            <w:r w:rsidRPr="00A228C8">
              <w:rPr>
                <w:lang w:val="fr-CH"/>
              </w:rPr>
              <w:t>0,600</w:t>
            </w:r>
          </w:p>
        </w:tc>
      </w:tr>
      <w:tr w:rsidR="00E15C2B" w:rsidRPr="00A228C8" w:rsidTr="008C0850">
        <w:trPr>
          <w:cantSplit/>
          <w:jc w:val="center"/>
        </w:trPr>
        <w:tc>
          <w:tcPr>
            <w:tcW w:w="2268" w:type="dxa"/>
          </w:tcPr>
          <w:p w:rsidR="00E15C2B" w:rsidRPr="00A228C8" w:rsidRDefault="00E15C2B" w:rsidP="00775A00">
            <w:pPr>
              <w:pStyle w:val="Tabletext"/>
              <w:jc w:val="center"/>
              <w:rPr>
                <w:lang w:val="fr-CH"/>
              </w:rPr>
            </w:pPr>
            <w:r w:rsidRPr="00A228C8">
              <w:rPr>
                <w:lang w:val="fr-CH"/>
              </w:rPr>
              <w:t>0,5</w:t>
            </w:r>
          </w:p>
        </w:tc>
        <w:tc>
          <w:tcPr>
            <w:tcW w:w="2268" w:type="dxa"/>
          </w:tcPr>
          <w:p w:rsidR="00E15C2B" w:rsidRPr="00A228C8" w:rsidRDefault="00E15C2B" w:rsidP="00775A00">
            <w:pPr>
              <w:pStyle w:val="Tabletext"/>
              <w:jc w:val="center"/>
              <w:rPr>
                <w:lang w:val="fr-CH"/>
              </w:rPr>
            </w:pPr>
            <w:r w:rsidRPr="00A228C8">
              <w:rPr>
                <w:lang w:val="fr-CH"/>
              </w:rPr>
              <w:t>0,634</w:t>
            </w:r>
          </w:p>
        </w:tc>
      </w:tr>
      <w:tr w:rsidR="00E15C2B" w:rsidRPr="00A228C8" w:rsidTr="008C0850">
        <w:trPr>
          <w:cantSplit/>
          <w:jc w:val="center"/>
        </w:trPr>
        <w:tc>
          <w:tcPr>
            <w:tcW w:w="2268" w:type="dxa"/>
          </w:tcPr>
          <w:p w:rsidR="00E15C2B" w:rsidRPr="00A228C8" w:rsidRDefault="00E15C2B" w:rsidP="00775A00">
            <w:pPr>
              <w:pStyle w:val="Tabletext"/>
              <w:jc w:val="center"/>
              <w:rPr>
                <w:lang w:val="fr-CH"/>
              </w:rPr>
            </w:pPr>
            <w:r w:rsidRPr="00A228C8">
              <w:rPr>
                <w:lang w:val="fr-CH"/>
              </w:rPr>
              <w:t>0,6</w:t>
            </w:r>
          </w:p>
        </w:tc>
        <w:tc>
          <w:tcPr>
            <w:tcW w:w="2268" w:type="dxa"/>
          </w:tcPr>
          <w:p w:rsidR="00E15C2B" w:rsidRPr="00A228C8" w:rsidRDefault="00E15C2B" w:rsidP="00775A00">
            <w:pPr>
              <w:pStyle w:val="Tabletext"/>
              <w:jc w:val="center"/>
              <w:rPr>
                <w:lang w:val="fr-CH"/>
              </w:rPr>
            </w:pPr>
            <w:r w:rsidRPr="00A228C8">
              <w:rPr>
                <w:lang w:val="fr-CH"/>
              </w:rPr>
              <w:t>0,669</w:t>
            </w:r>
          </w:p>
        </w:tc>
      </w:tr>
      <w:tr w:rsidR="00E15C2B" w:rsidRPr="00A228C8" w:rsidTr="008C0850">
        <w:trPr>
          <w:cantSplit/>
          <w:jc w:val="center"/>
        </w:trPr>
        <w:tc>
          <w:tcPr>
            <w:tcW w:w="2268" w:type="dxa"/>
          </w:tcPr>
          <w:p w:rsidR="00E15C2B" w:rsidRPr="00A228C8" w:rsidRDefault="00E15C2B" w:rsidP="00775A00">
            <w:pPr>
              <w:pStyle w:val="Tabletext"/>
              <w:jc w:val="center"/>
              <w:rPr>
                <w:lang w:val="fr-CH"/>
              </w:rPr>
            </w:pPr>
            <w:r w:rsidRPr="00A228C8">
              <w:rPr>
                <w:lang w:val="fr-CH"/>
              </w:rPr>
              <w:t>0,7</w:t>
            </w:r>
          </w:p>
        </w:tc>
        <w:tc>
          <w:tcPr>
            <w:tcW w:w="2268" w:type="dxa"/>
          </w:tcPr>
          <w:p w:rsidR="00E15C2B" w:rsidRPr="00A228C8" w:rsidRDefault="00E15C2B" w:rsidP="00775A00">
            <w:pPr>
              <w:pStyle w:val="Tabletext"/>
              <w:jc w:val="center"/>
              <w:rPr>
                <w:lang w:val="fr-CH"/>
              </w:rPr>
            </w:pPr>
            <w:r w:rsidRPr="00A228C8">
              <w:rPr>
                <w:lang w:val="fr-CH"/>
              </w:rPr>
              <w:t>0,705</w:t>
            </w:r>
          </w:p>
        </w:tc>
      </w:tr>
      <w:tr w:rsidR="00E15C2B" w:rsidRPr="00A228C8" w:rsidTr="008C0850">
        <w:trPr>
          <w:cantSplit/>
          <w:jc w:val="center"/>
        </w:trPr>
        <w:tc>
          <w:tcPr>
            <w:tcW w:w="2268" w:type="dxa"/>
          </w:tcPr>
          <w:p w:rsidR="00E15C2B" w:rsidRPr="00A228C8" w:rsidRDefault="00E15C2B" w:rsidP="00775A00">
            <w:pPr>
              <w:pStyle w:val="Tabletext"/>
              <w:jc w:val="center"/>
              <w:rPr>
                <w:lang w:val="fr-CH"/>
              </w:rPr>
            </w:pPr>
            <w:r w:rsidRPr="00A228C8">
              <w:rPr>
                <w:lang w:val="fr-CH"/>
              </w:rPr>
              <w:t>0,8</w:t>
            </w:r>
          </w:p>
        </w:tc>
        <w:tc>
          <w:tcPr>
            <w:tcW w:w="2268" w:type="dxa"/>
          </w:tcPr>
          <w:p w:rsidR="00E15C2B" w:rsidRPr="00A228C8" w:rsidRDefault="00E15C2B" w:rsidP="00775A00">
            <w:pPr>
              <w:pStyle w:val="Tabletext"/>
              <w:jc w:val="center"/>
              <w:rPr>
                <w:lang w:val="fr-CH"/>
              </w:rPr>
            </w:pPr>
            <w:r w:rsidRPr="00A228C8">
              <w:rPr>
                <w:lang w:val="fr-CH"/>
              </w:rPr>
              <w:t>0,742</w:t>
            </w:r>
          </w:p>
        </w:tc>
      </w:tr>
      <w:tr w:rsidR="00E15C2B" w:rsidRPr="00A228C8" w:rsidTr="008C0850">
        <w:trPr>
          <w:cantSplit/>
          <w:jc w:val="center"/>
        </w:trPr>
        <w:tc>
          <w:tcPr>
            <w:tcW w:w="2268" w:type="dxa"/>
          </w:tcPr>
          <w:p w:rsidR="00E15C2B" w:rsidRPr="00A228C8" w:rsidRDefault="00E15C2B" w:rsidP="00775A00">
            <w:pPr>
              <w:pStyle w:val="Tabletext"/>
              <w:jc w:val="center"/>
              <w:rPr>
                <w:lang w:val="fr-CH"/>
              </w:rPr>
            </w:pPr>
            <w:r w:rsidRPr="00A228C8">
              <w:rPr>
                <w:lang w:val="fr-CH"/>
              </w:rPr>
              <w:t>0,9</w:t>
            </w:r>
          </w:p>
        </w:tc>
        <w:tc>
          <w:tcPr>
            <w:tcW w:w="2268" w:type="dxa"/>
          </w:tcPr>
          <w:p w:rsidR="00E15C2B" w:rsidRPr="00A228C8" w:rsidRDefault="00E15C2B" w:rsidP="00775A00">
            <w:pPr>
              <w:pStyle w:val="Tabletext"/>
              <w:jc w:val="center"/>
              <w:rPr>
                <w:lang w:val="fr-CH"/>
              </w:rPr>
            </w:pPr>
            <w:r w:rsidRPr="00A228C8">
              <w:rPr>
                <w:lang w:val="fr-CH"/>
              </w:rPr>
              <w:t>0,779</w:t>
            </w:r>
          </w:p>
        </w:tc>
      </w:tr>
      <w:tr w:rsidR="00E15C2B" w:rsidRPr="00A228C8" w:rsidTr="008C0850">
        <w:trPr>
          <w:cantSplit/>
          <w:jc w:val="center"/>
        </w:trPr>
        <w:tc>
          <w:tcPr>
            <w:tcW w:w="2268" w:type="dxa"/>
          </w:tcPr>
          <w:p w:rsidR="00E15C2B" w:rsidRPr="00A228C8" w:rsidRDefault="00E15C2B" w:rsidP="00775A00">
            <w:pPr>
              <w:pStyle w:val="Tabletext"/>
              <w:jc w:val="center"/>
              <w:rPr>
                <w:lang w:val="fr-CH"/>
              </w:rPr>
            </w:pPr>
            <w:r w:rsidRPr="00A228C8">
              <w:rPr>
                <w:lang w:val="fr-CH"/>
              </w:rPr>
              <w:t>1,0</w:t>
            </w:r>
          </w:p>
        </w:tc>
        <w:tc>
          <w:tcPr>
            <w:tcW w:w="2268" w:type="dxa"/>
          </w:tcPr>
          <w:p w:rsidR="00E15C2B" w:rsidRPr="00A228C8" w:rsidRDefault="00E15C2B" w:rsidP="00775A00">
            <w:pPr>
              <w:pStyle w:val="Tabletext"/>
              <w:jc w:val="center"/>
              <w:rPr>
                <w:lang w:val="fr-CH"/>
              </w:rPr>
            </w:pPr>
            <w:r w:rsidRPr="00A228C8">
              <w:rPr>
                <w:lang w:val="fr-CH"/>
              </w:rPr>
              <w:t>0,816</w:t>
            </w:r>
          </w:p>
        </w:tc>
      </w:tr>
    </w:tbl>
    <w:p w:rsidR="00E15C2B" w:rsidRPr="00A228C8" w:rsidRDefault="00E15C2B" w:rsidP="00E15C2B">
      <w:pPr>
        <w:pStyle w:val="Tablefin"/>
        <w:rPr>
          <w:lang w:val="fr-CH"/>
        </w:rPr>
      </w:pPr>
    </w:p>
    <w:p w:rsidR="00E15C2B" w:rsidRPr="00A228C8" w:rsidRDefault="00E15C2B" w:rsidP="00E15C2B">
      <w:pPr>
        <w:pStyle w:val="Heading2"/>
        <w:rPr>
          <w:lang w:val="fr-CH"/>
        </w:rPr>
      </w:pPr>
      <w:r w:rsidRPr="00A228C8">
        <w:rPr>
          <w:lang w:val="fr-CH"/>
        </w:rPr>
        <w:t>2.2</w:t>
      </w:r>
      <w:r w:rsidRPr="00A228C8">
        <w:rPr>
          <w:lang w:val="fr-CH"/>
        </w:rPr>
        <w:tab/>
        <w:t>Signaux à modulation de phase et d</w:t>
      </w:r>
      <w:r w:rsidR="00775A00" w:rsidRPr="00A228C8">
        <w:rPr>
          <w:lang w:val="fr-CH"/>
        </w:rPr>
        <w:t>'</w:t>
      </w:r>
      <w:r w:rsidRPr="00A228C8">
        <w:rPr>
          <w:lang w:val="fr-CH"/>
        </w:rPr>
        <w:t>amplitude associés à d</w:t>
      </w:r>
      <w:r w:rsidR="00775A00" w:rsidRPr="00A228C8">
        <w:rPr>
          <w:lang w:val="fr-CH"/>
        </w:rPr>
        <w:t>'</w:t>
      </w:r>
      <w:r w:rsidRPr="00A228C8">
        <w:rPr>
          <w:lang w:val="fr-CH"/>
        </w:rPr>
        <w:t>autres filtres de mise en forme</w:t>
      </w:r>
    </w:p>
    <w:p w:rsidR="00E15C2B" w:rsidRPr="00A228C8" w:rsidRDefault="00E15C2B" w:rsidP="00E15C2B">
      <w:pPr>
        <w:rPr>
          <w:lang w:val="fr-CH"/>
        </w:rPr>
      </w:pPr>
      <w:r w:rsidRPr="00A228C8">
        <w:rPr>
          <w:lang w:val="fr-CH"/>
        </w:rPr>
        <w:t>Les dispositifs concrets sont parfois différents et l</w:t>
      </w:r>
      <w:r w:rsidR="00775A00" w:rsidRPr="00A228C8">
        <w:rPr>
          <w:lang w:val="fr-CH"/>
        </w:rPr>
        <w:t>'</w:t>
      </w:r>
      <w:r w:rsidRPr="00A228C8">
        <w:rPr>
          <w:lang w:val="fr-CH"/>
        </w:rPr>
        <w:t>on peut utiliser d</w:t>
      </w:r>
      <w:r w:rsidR="00775A00" w:rsidRPr="00A228C8">
        <w:rPr>
          <w:lang w:val="fr-CH"/>
        </w:rPr>
        <w:t>'</w:t>
      </w:r>
      <w:r w:rsidRPr="00A228C8">
        <w:rPr>
          <w:lang w:val="fr-CH"/>
        </w:rPr>
        <w:t>autres types de filtres de mise en forme; ainsi certains cas doivent donner lieu à des évaluations numériques plus complexes de l</w:t>
      </w:r>
      <w:r w:rsidR="00775A00" w:rsidRPr="00A228C8">
        <w:rPr>
          <w:lang w:val="fr-CH"/>
        </w:rPr>
        <w:t>'</w:t>
      </w:r>
      <w:r w:rsidRPr="00A228C8">
        <w:rPr>
          <w:lang w:val="fr-CH"/>
        </w:rPr>
        <w:t>expression (2) et sont actuellement à l</w:t>
      </w:r>
      <w:r w:rsidR="00775A00" w:rsidRPr="00A228C8">
        <w:rPr>
          <w:lang w:val="fr-CH"/>
        </w:rPr>
        <w:t>'</w:t>
      </w:r>
      <w:r w:rsidRPr="00A228C8">
        <w:rPr>
          <w:lang w:val="fr-CH"/>
        </w:rPr>
        <w:t>étude.</w:t>
      </w:r>
    </w:p>
    <w:p w:rsidR="00E15C2B" w:rsidRPr="00A228C8" w:rsidRDefault="00E15C2B" w:rsidP="00E15C2B">
      <w:pPr>
        <w:pStyle w:val="Heading2"/>
        <w:rPr>
          <w:lang w:val="fr-CH"/>
        </w:rPr>
      </w:pPr>
      <w:r w:rsidRPr="00A228C8">
        <w:rPr>
          <w:lang w:val="fr-CH"/>
        </w:rPr>
        <w:t>2.3</w:t>
      </w:r>
      <w:r w:rsidRPr="00A228C8">
        <w:rPr>
          <w:lang w:val="fr-CH"/>
        </w:rPr>
        <w:tab/>
        <w:t>Signaux modulés en fréquence et en phase</w:t>
      </w:r>
    </w:p>
    <w:p w:rsidR="00E15C2B" w:rsidRPr="00A228C8" w:rsidRDefault="00E15C2B" w:rsidP="00E15C2B">
      <w:pPr>
        <w:rPr>
          <w:lang w:val="fr-CH"/>
        </w:rPr>
      </w:pPr>
      <w:r w:rsidRPr="00A228C8">
        <w:rPr>
          <w:lang w:val="fr-CH"/>
        </w:rPr>
        <w:t>Les cas de ce type sont en cours d</w:t>
      </w:r>
      <w:r w:rsidR="00775A00" w:rsidRPr="00A228C8">
        <w:rPr>
          <w:lang w:val="fr-CH"/>
        </w:rPr>
        <w:t>'</w:t>
      </w:r>
      <w:r w:rsidRPr="00A228C8">
        <w:rPr>
          <w:lang w:val="fr-CH"/>
        </w:rPr>
        <w:t>étude.</w:t>
      </w:r>
    </w:p>
    <w:p w:rsidR="00E15C2B" w:rsidRPr="00A228C8" w:rsidRDefault="00E15C2B" w:rsidP="00E15C2B">
      <w:pPr>
        <w:pStyle w:val="Heading1"/>
        <w:rPr>
          <w:lang w:val="fr-CH"/>
        </w:rPr>
      </w:pPr>
      <w:r w:rsidRPr="00A228C8">
        <w:rPr>
          <w:lang w:val="fr-CH"/>
        </w:rPr>
        <w:t>3</w:t>
      </w:r>
      <w:r w:rsidRPr="00A228C8">
        <w:rPr>
          <w:lang w:val="fr-CH"/>
        </w:rPr>
        <w:tab/>
        <w:t>Largeur de bande occupée en cas de fonctionnement à plusieurs sous</w:t>
      </w:r>
      <w:r w:rsidRPr="00A228C8">
        <w:rPr>
          <w:lang w:val="fr-CH"/>
        </w:rPr>
        <w:noBreakHyphen/>
        <w:t>porteuses</w:t>
      </w:r>
    </w:p>
    <w:p w:rsidR="00E15C2B" w:rsidRPr="00A228C8" w:rsidRDefault="00E15C2B" w:rsidP="00E15C2B">
      <w:pPr>
        <w:pStyle w:val="Heading2"/>
        <w:rPr>
          <w:lang w:val="fr-CH"/>
        </w:rPr>
      </w:pPr>
      <w:r w:rsidRPr="00A228C8">
        <w:rPr>
          <w:lang w:val="fr-CH"/>
        </w:rPr>
        <w:t>3.1</w:t>
      </w:r>
      <w:r w:rsidRPr="00A228C8">
        <w:rPr>
          <w:lang w:val="fr-CH"/>
        </w:rPr>
        <w:tab/>
        <w:t>Cas de sous-porteuses homogènes et régulièrement espacées</w:t>
      </w:r>
    </w:p>
    <w:p w:rsidR="00E15C2B" w:rsidRPr="00A228C8" w:rsidRDefault="00E15C2B" w:rsidP="00E15C2B">
      <w:pPr>
        <w:rPr>
          <w:lang w:val="fr-CH"/>
        </w:rPr>
      </w:pPr>
      <w:r w:rsidRPr="00A228C8">
        <w:rPr>
          <w:lang w:val="fr-CH"/>
        </w:rPr>
        <w:t>Dans certains cas, un émetteur DFSS peut utiliser plusieurs sous</w:t>
      </w:r>
      <w:r w:rsidRPr="00A228C8">
        <w:rPr>
          <w:lang w:val="fr-CH"/>
        </w:rPr>
        <w:noBreakHyphen/>
        <w:t>porteuses modulées de façon indépendante et amplifiées par un amplificateur commun ou une antenne active. On les désigne généralement sous le terme de systèmes multiporteuses (voir la Note 1).</w:t>
      </w:r>
    </w:p>
    <w:p w:rsidR="00E15C2B" w:rsidRPr="00A228C8" w:rsidRDefault="00E15C2B" w:rsidP="00E15C2B">
      <w:pPr>
        <w:rPr>
          <w:lang w:val="fr-CH"/>
        </w:rPr>
      </w:pPr>
      <w:r w:rsidRPr="00A228C8">
        <w:rPr>
          <w:lang w:val="fr-CH"/>
        </w:rPr>
        <w:t xml:space="preserve">La largeur de bande occupée, </w:t>
      </w:r>
      <w:r w:rsidRPr="00A228C8">
        <w:rPr>
          <w:i/>
          <w:iCs/>
          <w:lang w:val="fr-CH"/>
        </w:rPr>
        <w:t>B</w:t>
      </w:r>
      <w:r w:rsidRPr="00A228C8">
        <w:rPr>
          <w:position w:val="-4"/>
          <w:sz w:val="20"/>
          <w:lang w:val="fr-CH"/>
        </w:rPr>
        <w:t>0</w:t>
      </w:r>
      <w:r w:rsidRPr="00A228C8">
        <w:rPr>
          <w:lang w:val="fr-CH"/>
        </w:rPr>
        <w:t>, pour un fonctionnement de ce type, doit être calculée comme suit:</w:t>
      </w:r>
    </w:p>
    <w:p w:rsidR="00E15C2B" w:rsidRPr="00A228C8" w:rsidRDefault="00E15C2B" w:rsidP="00A228C8">
      <w:pPr>
        <w:pStyle w:val="Equation"/>
        <w:rPr>
          <w:lang w:val="fr-CH"/>
        </w:rPr>
      </w:pPr>
      <w:r w:rsidRPr="00A228C8">
        <w:rPr>
          <w:lang w:val="fr-CH"/>
        </w:rPr>
        <w:tab/>
      </w:r>
      <w:r w:rsidRPr="00A228C8">
        <w:rPr>
          <w:lang w:val="fr-CH"/>
        </w:rPr>
        <w:tab/>
      </w:r>
      <w:r w:rsidRPr="00A228C8">
        <w:rPr>
          <w:i/>
          <w:iCs/>
          <w:lang w:val="fr-CH"/>
        </w:rPr>
        <w:t>B</w:t>
      </w:r>
      <w:r w:rsidRPr="00A228C8">
        <w:rPr>
          <w:position w:val="-4"/>
          <w:sz w:val="20"/>
          <w:szCs w:val="18"/>
          <w:lang w:val="fr-CH"/>
        </w:rPr>
        <w:t>0</w:t>
      </w:r>
      <w:r w:rsidRPr="00A228C8">
        <w:rPr>
          <w:lang w:val="fr-CH"/>
        </w:rPr>
        <w:t xml:space="preserve">  </w:t>
      </w:r>
      <w:r w:rsidR="00A228C8" w:rsidRPr="00A228C8">
        <w:t>=</w:t>
      </w:r>
      <w:r w:rsidRPr="00A228C8">
        <w:rPr>
          <w:lang w:val="fr-CH"/>
        </w:rPr>
        <w:t xml:space="preserve">  </w:t>
      </w:r>
      <w:r w:rsidRPr="00A228C8">
        <w:rPr>
          <w:i/>
          <w:iCs/>
          <w:lang w:val="fr-CH"/>
        </w:rPr>
        <w:t>b</w:t>
      </w:r>
      <w:r w:rsidRPr="00A228C8">
        <w:rPr>
          <w:position w:val="-4"/>
          <w:sz w:val="20"/>
          <w:szCs w:val="18"/>
          <w:lang w:val="fr-CH"/>
        </w:rPr>
        <w:t>0</w:t>
      </w:r>
      <w:r w:rsidRPr="00A228C8">
        <w:rPr>
          <w:lang w:val="fr-CH"/>
        </w:rPr>
        <w:t xml:space="preserve">  </w:t>
      </w:r>
      <w:r w:rsidR="00A228C8" w:rsidRPr="00A228C8">
        <w:t>+</w:t>
      </w:r>
      <w:r w:rsidRPr="00A228C8">
        <w:rPr>
          <w:lang w:val="fr-CH"/>
        </w:rPr>
        <w:t xml:space="preserve">  (</w:t>
      </w:r>
      <w:r w:rsidRPr="00A228C8">
        <w:rPr>
          <w:i/>
          <w:iCs/>
          <w:lang w:val="fr-CH"/>
        </w:rPr>
        <w:t>m</w:t>
      </w:r>
      <w:r w:rsidRPr="00A228C8">
        <w:rPr>
          <w:lang w:val="fr-CH"/>
        </w:rPr>
        <w:t xml:space="preserve">  –  1) </w:t>
      </w:r>
      <w:r w:rsidR="00A228C8" w:rsidRPr="00A228C8">
        <w:sym w:font="Symbol" w:char="F044"/>
      </w:r>
      <w:r w:rsidRPr="00A228C8">
        <w:rPr>
          <w:i/>
          <w:iCs/>
          <w:lang w:val="fr-CH"/>
        </w:rPr>
        <w:t>F</w:t>
      </w:r>
      <w:r w:rsidRPr="00A228C8">
        <w:rPr>
          <w:i/>
          <w:iCs/>
          <w:lang w:val="fr-CH"/>
        </w:rPr>
        <w:tab/>
      </w:r>
      <w:r w:rsidRPr="00A228C8">
        <w:rPr>
          <w:lang w:val="fr-CH"/>
        </w:rPr>
        <w:t>(5)</w:t>
      </w:r>
    </w:p>
    <w:p w:rsidR="00E15C2B" w:rsidRPr="00A228C8" w:rsidRDefault="00E15C2B" w:rsidP="00775A00">
      <w:pPr>
        <w:rPr>
          <w:lang w:val="fr-CH"/>
        </w:rPr>
      </w:pPr>
      <w:r w:rsidRPr="00A228C8">
        <w:rPr>
          <w:lang w:val="fr-CH"/>
        </w:rPr>
        <w:t>où:</w:t>
      </w:r>
    </w:p>
    <w:p w:rsidR="00E15C2B" w:rsidRPr="00A228C8" w:rsidRDefault="00E15C2B" w:rsidP="00775A00">
      <w:pPr>
        <w:pStyle w:val="Equationlegend"/>
        <w:rPr>
          <w:lang w:val="fr-CH"/>
        </w:rPr>
      </w:pPr>
      <w:r w:rsidRPr="00A228C8">
        <w:rPr>
          <w:i/>
          <w:iCs/>
          <w:lang w:val="fr-CH"/>
        </w:rPr>
        <w:tab/>
        <w:t>b</w:t>
      </w:r>
      <w:r w:rsidRPr="00A228C8">
        <w:rPr>
          <w:position w:val="-4"/>
          <w:sz w:val="20"/>
          <w:lang w:val="fr-CH"/>
        </w:rPr>
        <w:t>0</w:t>
      </w:r>
      <w:r w:rsidRPr="00A228C8">
        <w:rPr>
          <w:rFonts w:ascii="Tms Rmn" w:hAnsi="Tms Rmn"/>
          <w:sz w:val="12"/>
          <w:lang w:val="fr-CH"/>
        </w:rPr>
        <w:t> </w:t>
      </w:r>
      <w:r w:rsidRPr="00A228C8">
        <w:rPr>
          <w:lang w:val="fr-CH"/>
        </w:rPr>
        <w:t>:</w:t>
      </w:r>
      <w:r w:rsidRPr="00A228C8">
        <w:rPr>
          <w:lang w:val="fr-CH"/>
        </w:rPr>
        <w:tab/>
        <w:t>largeur de bande occupée d</w:t>
      </w:r>
      <w:r w:rsidR="00775A00" w:rsidRPr="00A228C8">
        <w:rPr>
          <w:lang w:val="fr-CH"/>
        </w:rPr>
        <w:t>'</w:t>
      </w:r>
      <w:r w:rsidRPr="00A228C8">
        <w:rPr>
          <w:lang w:val="fr-CH"/>
        </w:rPr>
        <w:t>une sous-porteuse</w:t>
      </w:r>
    </w:p>
    <w:p w:rsidR="00E15C2B" w:rsidRPr="00A228C8" w:rsidRDefault="00E15C2B" w:rsidP="00E15C2B">
      <w:pPr>
        <w:pStyle w:val="Equationlegend"/>
        <w:rPr>
          <w:lang w:val="fr-CH"/>
        </w:rPr>
      </w:pPr>
      <w:r w:rsidRPr="00A228C8">
        <w:rPr>
          <w:lang w:val="fr-CH"/>
        </w:rPr>
        <w:tab/>
      </w:r>
      <w:r w:rsidRPr="00A228C8">
        <w:rPr>
          <w:i/>
          <w:iCs/>
          <w:lang w:val="fr-CH"/>
        </w:rPr>
        <w:t>m</w:t>
      </w:r>
      <w:r w:rsidRPr="00A228C8">
        <w:rPr>
          <w:rFonts w:ascii="Tms Rmn" w:hAnsi="Tms Rmn"/>
          <w:sz w:val="12"/>
          <w:lang w:val="fr-CH"/>
        </w:rPr>
        <w:t> </w:t>
      </w:r>
      <w:r w:rsidRPr="00A228C8">
        <w:rPr>
          <w:lang w:val="fr-CH"/>
        </w:rPr>
        <w:t>:</w:t>
      </w:r>
      <w:r w:rsidRPr="00A228C8">
        <w:rPr>
          <w:lang w:val="fr-CH"/>
        </w:rPr>
        <w:tab/>
        <w:t>nombre de sous-porteuses</w:t>
      </w:r>
    </w:p>
    <w:p w:rsidR="00E15C2B" w:rsidRPr="00A228C8" w:rsidRDefault="00E15C2B" w:rsidP="00A228C8">
      <w:pPr>
        <w:pStyle w:val="Equationlegend"/>
        <w:rPr>
          <w:lang w:val="fr-CH"/>
        </w:rPr>
      </w:pPr>
      <w:r w:rsidRPr="00A228C8">
        <w:rPr>
          <w:lang w:val="fr-CH"/>
        </w:rPr>
        <w:tab/>
      </w:r>
      <w:r w:rsidR="00A228C8" w:rsidRPr="00A228C8">
        <w:sym w:font="Symbol" w:char="F044"/>
      </w:r>
      <w:r w:rsidRPr="00A228C8">
        <w:rPr>
          <w:i/>
          <w:iCs/>
          <w:lang w:val="fr-CH"/>
        </w:rPr>
        <w:t>F</w:t>
      </w:r>
      <w:r w:rsidRPr="00A228C8">
        <w:rPr>
          <w:rFonts w:ascii="Tms Rmn" w:hAnsi="Tms Rmn"/>
          <w:sz w:val="12"/>
          <w:lang w:val="fr-CH"/>
        </w:rPr>
        <w:t> </w:t>
      </w:r>
      <w:r w:rsidRPr="00A228C8">
        <w:rPr>
          <w:lang w:val="fr-CH"/>
        </w:rPr>
        <w:t>:</w:t>
      </w:r>
      <w:r w:rsidRPr="00A228C8">
        <w:rPr>
          <w:lang w:val="fr-CH"/>
        </w:rPr>
        <w:tab/>
        <w:t>espacement de fréquence entre les fréquences centrales des sous-porteuses adjacentes.</w:t>
      </w:r>
    </w:p>
    <w:p w:rsidR="00E15C2B" w:rsidRPr="00A228C8" w:rsidRDefault="00E15C2B" w:rsidP="00A228C8">
      <w:pPr>
        <w:rPr>
          <w:lang w:val="fr-CH"/>
        </w:rPr>
      </w:pPr>
      <w:r w:rsidRPr="00A228C8">
        <w:rPr>
          <w:lang w:val="fr-CH"/>
        </w:rPr>
        <w:t>L</w:t>
      </w:r>
      <w:r w:rsidR="00775A00" w:rsidRPr="00A228C8">
        <w:rPr>
          <w:lang w:val="fr-CH"/>
        </w:rPr>
        <w:t>'</w:t>
      </w:r>
      <w:r w:rsidRPr="00A228C8">
        <w:rPr>
          <w:lang w:val="fr-CH"/>
        </w:rPr>
        <w:t>utilisation de la formule (5) suppose l</w:t>
      </w:r>
      <w:r w:rsidR="00775A00" w:rsidRPr="00A228C8">
        <w:rPr>
          <w:lang w:val="fr-CH"/>
        </w:rPr>
        <w:t>'</w:t>
      </w:r>
      <w:r w:rsidRPr="00A228C8">
        <w:rPr>
          <w:lang w:val="fr-CH"/>
        </w:rPr>
        <w:t>homogénéité et l</w:t>
      </w:r>
      <w:r w:rsidR="00775A00" w:rsidRPr="00A228C8">
        <w:rPr>
          <w:lang w:val="fr-CH"/>
        </w:rPr>
        <w:t>'</w:t>
      </w:r>
      <w:r w:rsidRPr="00A228C8">
        <w:rPr>
          <w:lang w:val="fr-CH"/>
        </w:rPr>
        <w:t>espacement régulier des sous-porteuses; elle suppose également que le bruit de l</w:t>
      </w:r>
      <w:r w:rsidR="00775A00" w:rsidRPr="00A228C8">
        <w:rPr>
          <w:lang w:val="fr-CH"/>
        </w:rPr>
        <w:t>'</w:t>
      </w:r>
      <w:r w:rsidRPr="00A228C8">
        <w:rPr>
          <w:lang w:val="fr-CH"/>
        </w:rPr>
        <w:t>émetteur est négligeable par rapport à la puissance hors bande des sous-porteuses extrêmes. Il convient cependant de noter que, dans ce cas, le pourcentage </w:t>
      </w:r>
      <w:r w:rsidR="00A228C8" w:rsidRPr="00A228C8">
        <w:sym w:font="Symbol" w:char="F062"/>
      </w:r>
      <w:r w:rsidRPr="00A228C8">
        <w:rPr>
          <w:lang w:val="fr-CH"/>
        </w:rPr>
        <w:t>/2 évalué pour la puissance totale de toutes les sous-porteuses est égal à 0,5/</w:t>
      </w:r>
      <w:r w:rsidRPr="00A228C8">
        <w:rPr>
          <w:i/>
          <w:lang w:val="fr-CH"/>
        </w:rPr>
        <w:t>m</w:t>
      </w:r>
      <w:r w:rsidRPr="00A228C8">
        <w:rPr>
          <w:iCs/>
          <w:lang w:val="fr-CH"/>
        </w:rPr>
        <w:t> </w:t>
      </w:r>
      <w:r w:rsidRPr="00A228C8">
        <w:rPr>
          <w:lang w:val="fr-CH"/>
        </w:rPr>
        <w:t>%.</w:t>
      </w:r>
    </w:p>
    <w:p w:rsidR="00E15C2B" w:rsidRPr="00A228C8" w:rsidRDefault="00E15C2B" w:rsidP="00E15C2B">
      <w:pPr>
        <w:pStyle w:val="Note"/>
        <w:rPr>
          <w:lang w:val="fr-CH"/>
        </w:rPr>
      </w:pPr>
      <w:r w:rsidRPr="00A228C8">
        <w:rPr>
          <w:lang w:val="fr-CH"/>
        </w:rPr>
        <w:lastRenderedPageBreak/>
        <w:t>NOTE 1 – Pour les besoins de la présente Recommandation, les systèmes utilisant la modulation orthogonale par division de fréquences ne sont pas considérés comme des systèmes multiporteuses; dans ces systèmes, les nombreuses sous-porteuses ne sont pas modulées de façon indépendante.</w:t>
      </w:r>
    </w:p>
    <w:p w:rsidR="00E15C2B" w:rsidRPr="00A228C8" w:rsidRDefault="00E15C2B" w:rsidP="00E15C2B">
      <w:pPr>
        <w:pStyle w:val="Heading2"/>
        <w:rPr>
          <w:lang w:val="fr-CH"/>
        </w:rPr>
      </w:pPr>
      <w:r w:rsidRPr="00A228C8">
        <w:rPr>
          <w:lang w:val="fr-CH"/>
        </w:rPr>
        <w:t>3.2</w:t>
      </w:r>
      <w:r w:rsidRPr="00A228C8">
        <w:rPr>
          <w:lang w:val="fr-CH"/>
        </w:rPr>
        <w:tab/>
        <w:t>Cas d</w:t>
      </w:r>
      <w:r w:rsidR="00775A00" w:rsidRPr="00A228C8">
        <w:rPr>
          <w:lang w:val="fr-CH"/>
        </w:rPr>
        <w:t>'</w:t>
      </w:r>
      <w:r w:rsidRPr="00A228C8">
        <w:rPr>
          <w:lang w:val="fr-CH"/>
        </w:rPr>
        <w:t>un nombre arbitraire de sous-porteuses espacées arbitrairement en fréquence</w:t>
      </w:r>
      <w:r w:rsidR="001325DA">
        <w:rPr>
          <w:lang w:val="fr-CH"/>
        </w:rPr>
        <w:t xml:space="preserve"> avec des puissance différentes</w:t>
      </w:r>
    </w:p>
    <w:p w:rsidR="00E15C2B" w:rsidRPr="00A228C8" w:rsidRDefault="00E15C2B" w:rsidP="00775A00">
      <w:pPr>
        <w:rPr>
          <w:lang w:val="fr-CH"/>
        </w:rPr>
      </w:pPr>
      <w:r w:rsidRPr="00A228C8">
        <w:rPr>
          <w:lang w:val="fr-CH"/>
        </w:rPr>
        <w:t>Un exemple générique de ce cas est indiqué sur la Fig. 3.</w:t>
      </w:r>
    </w:p>
    <w:p w:rsidR="00E15C2B" w:rsidRPr="00A228C8" w:rsidRDefault="00E15C2B" w:rsidP="00775A00">
      <w:pPr>
        <w:pStyle w:val="FigureNo"/>
        <w:rPr>
          <w:lang w:val="fr-CH"/>
        </w:rPr>
      </w:pPr>
      <w:r w:rsidRPr="00A228C8">
        <w:rPr>
          <w:lang w:val="fr-CH"/>
        </w:rPr>
        <w:t>figure 3</w:t>
      </w:r>
    </w:p>
    <w:p w:rsidR="00E15C2B" w:rsidRPr="00A228C8" w:rsidRDefault="00E15C2B" w:rsidP="00775A00">
      <w:pPr>
        <w:pStyle w:val="Figuretitle"/>
        <w:rPr>
          <w:lang w:val="fr-CH"/>
        </w:rPr>
      </w:pPr>
      <w:r w:rsidRPr="00A228C8">
        <w:rPr>
          <w:lang w:val="fr-CH"/>
        </w:rPr>
        <w:t>Exemple générique d</w:t>
      </w:r>
      <w:r w:rsidR="00775A00" w:rsidRPr="00A228C8">
        <w:rPr>
          <w:lang w:val="fr-CH"/>
        </w:rPr>
        <w:t>'</w:t>
      </w:r>
      <w:r w:rsidRPr="00A228C8">
        <w:rPr>
          <w:lang w:val="fr-CH"/>
        </w:rPr>
        <w:t xml:space="preserve">un système à trois sous-porteuses avec des fréquences </w:t>
      </w:r>
      <w:r w:rsidRPr="00A228C8">
        <w:rPr>
          <w:lang w:val="fr-CH"/>
        </w:rPr>
        <w:br/>
        <w:t>de symboles et de puissance différents</w:t>
      </w:r>
    </w:p>
    <w:p w:rsidR="00E15C2B" w:rsidRPr="00A228C8" w:rsidRDefault="00E15C2B" w:rsidP="00E15C2B">
      <w:pPr>
        <w:pStyle w:val="Figure"/>
        <w:rPr>
          <w:lang w:val="fr-CH"/>
        </w:rPr>
      </w:pPr>
      <w:r w:rsidRPr="00A228C8">
        <w:rPr>
          <w:lang w:val="fr-CH"/>
        </w:rPr>
        <w:object w:dxaOrig="5961" w:dyaOrig="6198">
          <v:shape id="_x0000_i1033" type="#_x0000_t75" style="width:298.15pt;height:309.7pt" o:ole="" o:allowoverlap="f">
            <v:imagedata r:id="rId36" o:title=""/>
          </v:shape>
          <o:OLEObject Type="Embed" ProgID="CorelDRAW.Graphic.14" ShapeID="_x0000_i1033" DrawAspect="Content" ObjectID="_1375183885" r:id="rId37"/>
        </w:object>
      </w:r>
    </w:p>
    <w:p w:rsidR="00E15C2B" w:rsidRPr="00A228C8" w:rsidRDefault="00E15C2B" w:rsidP="00E15C2B">
      <w:pPr>
        <w:rPr>
          <w:lang w:val="fr-CH"/>
        </w:rPr>
      </w:pPr>
      <w:r w:rsidRPr="00A228C8">
        <w:rPr>
          <w:lang w:val="fr-CH"/>
        </w:rPr>
        <w:t>La Fig. 3 indique les concepts génériques de fréquences centrales et de largeur de bande occupée pour des systèmes à multiporteuses avec des sous-porteuses arbitraires.</w:t>
      </w:r>
    </w:p>
    <w:p w:rsidR="00E15C2B" w:rsidRPr="00A228C8" w:rsidRDefault="00E15C2B" w:rsidP="00E15C2B">
      <w:pPr>
        <w:rPr>
          <w:lang w:val="fr-CH"/>
        </w:rPr>
      </w:pPr>
      <w:r w:rsidRPr="00A228C8">
        <w:rPr>
          <w:lang w:val="fr-CH"/>
        </w:rPr>
        <w:t>Les pourcentages de puissance dépassant ce qu</w:t>
      </w:r>
      <w:r w:rsidR="00775A00" w:rsidRPr="00A228C8">
        <w:rPr>
          <w:lang w:val="fr-CH"/>
        </w:rPr>
        <w:t>'</w:t>
      </w:r>
      <w:r w:rsidRPr="00A228C8">
        <w:rPr>
          <w:lang w:val="fr-CH"/>
        </w:rPr>
        <w:t>on désigne par largeur de bande occupée, par rapport à la puissance totale du système, sont évalués de la façon suivante:</w:t>
      </w:r>
    </w:p>
    <w:p w:rsidR="00E15C2B" w:rsidRPr="00A228C8" w:rsidRDefault="00E15C2B" w:rsidP="00E15C2B">
      <w:pPr>
        <w:pStyle w:val="Equation"/>
        <w:rPr>
          <w:noProof/>
          <w:lang w:val="fr-CH"/>
        </w:rPr>
      </w:pPr>
      <w:r w:rsidRPr="00A228C8">
        <w:rPr>
          <w:lang w:val="fr-CH"/>
        </w:rPr>
        <w:tab/>
      </w:r>
      <w:r w:rsidRPr="00A228C8">
        <w:rPr>
          <w:lang w:val="fr-CH"/>
        </w:rPr>
        <w:tab/>
      </w:r>
      <w:r w:rsidR="00775A00" w:rsidRPr="00A228C8">
        <w:rPr>
          <w:noProof/>
          <w:position w:val="-30"/>
          <w:lang w:val="fr-CH"/>
        </w:rPr>
        <w:object w:dxaOrig="4160" w:dyaOrig="680">
          <v:shape id="_x0000_i1034" type="#_x0000_t75" style="width:208.15pt;height:34.6pt" o:ole="" fillcolor="window">
            <v:imagedata r:id="rId38" o:title=""/>
          </v:shape>
          <o:OLEObject Type="Embed" ProgID="Equation.3" ShapeID="_x0000_i1034" DrawAspect="Content" ObjectID="_1375183886" r:id="rId39"/>
        </w:object>
      </w:r>
      <w:r w:rsidRPr="00A228C8">
        <w:rPr>
          <w:lang w:val="fr-CH"/>
        </w:rPr>
        <w:t>         %</w:t>
      </w:r>
    </w:p>
    <w:p w:rsidR="00E15C2B" w:rsidRPr="00A228C8" w:rsidRDefault="00E15C2B" w:rsidP="00E15C2B">
      <w:pPr>
        <w:pStyle w:val="Equation"/>
        <w:rPr>
          <w:lang w:val="fr-CH"/>
        </w:rPr>
      </w:pPr>
      <w:r w:rsidRPr="00A228C8">
        <w:rPr>
          <w:lang w:val="fr-CH"/>
        </w:rPr>
        <w:tab/>
      </w:r>
      <w:r w:rsidRPr="00A228C8">
        <w:rPr>
          <w:lang w:val="fr-CH"/>
        </w:rPr>
        <w:tab/>
      </w:r>
      <w:r w:rsidR="00775A00" w:rsidRPr="00A228C8">
        <w:rPr>
          <w:noProof/>
          <w:position w:val="-30"/>
          <w:lang w:val="fr-CH"/>
        </w:rPr>
        <w:object w:dxaOrig="4260" w:dyaOrig="680">
          <v:shape id="_x0000_i1035" type="#_x0000_t75" style="width:212.75pt;height:34.6pt" o:ole="" fillcolor="window">
            <v:imagedata r:id="rId40" o:title=""/>
          </v:shape>
          <o:OLEObject Type="Embed" ProgID="Equation.3" ShapeID="_x0000_i1035" DrawAspect="Content" ObjectID="_1375183887" r:id="rId41"/>
        </w:object>
      </w:r>
      <w:r w:rsidRPr="00A228C8">
        <w:rPr>
          <w:lang w:val="fr-CH"/>
        </w:rPr>
        <w:t>         %</w:t>
      </w:r>
    </w:p>
    <w:p w:rsidR="00E15C2B" w:rsidRPr="00A228C8" w:rsidRDefault="00E15C2B" w:rsidP="00E15C2B">
      <w:pPr>
        <w:rPr>
          <w:lang w:val="fr-CH"/>
        </w:rPr>
      </w:pPr>
      <w:r w:rsidRPr="00A228C8">
        <w:rPr>
          <w:lang w:val="fr-CH"/>
        </w:rPr>
        <w:t>Le centre de la largeur de bande occupée définie peut être décalé par rapport à la fréquence centrale du canal, afin d</w:t>
      </w:r>
      <w:r w:rsidR="00775A00" w:rsidRPr="00A228C8">
        <w:rPr>
          <w:lang w:val="fr-CH"/>
        </w:rPr>
        <w:t>'</w:t>
      </w:r>
      <w:r w:rsidRPr="00A228C8">
        <w:rPr>
          <w:lang w:val="fr-CH"/>
        </w:rPr>
        <w:t>égaliser la puissance rejetée des deux côtés du canal.</w:t>
      </w:r>
    </w:p>
    <w:p w:rsidR="00775A00" w:rsidRPr="00A228C8" w:rsidRDefault="00775A00" w:rsidP="00E15C2B">
      <w:pPr>
        <w:rPr>
          <w:lang w:val="fr-CH"/>
        </w:rPr>
      </w:pPr>
    </w:p>
    <w:p w:rsidR="00E15C2B" w:rsidRPr="00A228C8" w:rsidRDefault="00E15C2B" w:rsidP="007F1C84">
      <w:pPr>
        <w:pStyle w:val="Line"/>
        <w:rPr>
          <w:lang w:val="fr-CH"/>
        </w:rPr>
      </w:pPr>
    </w:p>
    <w:sectPr w:rsidR="00E15C2B" w:rsidRPr="00A228C8" w:rsidSect="007F1C84">
      <w:headerReference w:type="even" r:id="rId42"/>
      <w:headerReference w:type="default" r:id="rId4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8C8" w:rsidRDefault="00A228C8">
      <w:r>
        <w:separator/>
      </w:r>
    </w:p>
  </w:endnote>
  <w:endnote w:type="continuationSeparator" w:id="0">
    <w:p w:rsidR="00A228C8" w:rsidRDefault="00A22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Pr="007F1C84" w:rsidRDefault="00A228C8" w:rsidP="007F1C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Pr="007F1C84" w:rsidRDefault="00A228C8" w:rsidP="007F1C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Pr="007F1C84" w:rsidRDefault="00A228C8" w:rsidP="007F1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8C8" w:rsidRDefault="00A228C8">
      <w:r>
        <w:separator/>
      </w:r>
    </w:p>
  </w:footnote>
  <w:footnote w:type="continuationSeparator" w:id="0">
    <w:p w:rsidR="00A228C8" w:rsidRDefault="00A228C8">
      <w:r>
        <w:continuationSeparator/>
      </w:r>
    </w:p>
  </w:footnote>
  <w:footnote w:id="1">
    <w:p w:rsidR="00A228C8" w:rsidRPr="00F34DFE" w:rsidRDefault="00A228C8">
      <w:pPr>
        <w:pStyle w:val="FootnoteText"/>
        <w:rPr>
          <w:lang w:val="fr-CH"/>
        </w:rPr>
      </w:pPr>
      <w:r>
        <w:rPr>
          <w:rStyle w:val="FootnoteReference"/>
        </w:rPr>
        <w:t>*</w:t>
      </w:r>
      <w:r>
        <w:t xml:space="preserve"> </w:t>
      </w:r>
      <w:r>
        <w:rPr>
          <w:lang w:val="fr-CH"/>
        </w:rPr>
        <w:tab/>
        <w:t>Cette Recommandation doit être portée à l'attention de la Commission d'études 1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Default="00A228C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Default="00A228C8" w:rsidP="00A228C8">
    <w:pPr>
      <w:pStyle w:val="Header"/>
      <w:ind w:right="360" w:firstLine="360"/>
    </w:pPr>
    <w:r>
      <w:rPr>
        <w:noProof/>
        <w:lang w:val="en-US" w:eastAsia="zh-CN"/>
      </w:rPr>
      <w:drawing>
        <wp:anchor distT="0" distB="0" distL="114300" distR="114300" simplePos="0" relativeHeight="251659264" behindDoc="1" locked="0" layoutInCell="1" allowOverlap="1" wp14:anchorId="608681E9" wp14:editId="2332C48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Pr="00837CB5" w:rsidRDefault="00A228C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325DA">
      <w:rPr>
        <w:rStyle w:val="PageNumber"/>
        <w:b/>
        <w:bCs/>
        <w:noProof/>
      </w:rPr>
      <w:t>2</w:t>
    </w:r>
    <w:r>
      <w:rPr>
        <w:rStyle w:val="PageNumber"/>
        <w:b/>
        <w:bCs/>
      </w:rPr>
      <w:fldChar w:fldCharType="end"/>
    </w:r>
    <w:r w:rsidRPr="00837CB5">
      <w:tab/>
    </w:r>
    <w:fldSimple w:instr=" DOCPROPERTY &quot;Header&quot; \* MERGEFORMAT ">
      <w:r w:rsidR="00257365" w:rsidRPr="0025736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325DA">
      <w:rPr>
        <w:b/>
        <w:bCs/>
        <w:noProof/>
      </w:rPr>
      <w:t>UIT-R  F.1191-3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Default="00A228C8">
    <w:pPr>
      <w:pStyle w:val="Header"/>
    </w:pPr>
    <w:r>
      <w:tab/>
    </w:r>
    <w:fldSimple w:instr=" DOCPROPERTY &quot;Header&quot; \* MERGEFORMAT ">
      <w:r w:rsidR="00257365" w:rsidRPr="002573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57365">
      <w:rPr>
        <w:b/>
        <w:bCs/>
        <w:noProof/>
      </w:rPr>
      <w:t>UIT-R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Pr="00837CB5" w:rsidRDefault="00A228C8" w:rsidP="007F1C84">
    <w:pPr>
      <w:pStyle w:val="Header"/>
      <w:jc w:val="left"/>
    </w:pPr>
    <w:r w:rsidRPr="00837CB5">
      <w:tab/>
    </w:r>
    <w:fldSimple w:instr=" DOCPROPERTY &quot;Header&quot; \* MERGEFORMAT ">
      <w:r w:rsidR="00257365" w:rsidRPr="0025736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325DA">
      <w:rPr>
        <w:b/>
        <w:bCs/>
        <w:noProof/>
      </w:rPr>
      <w:t>UIT-R  F.1191-3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1325DA">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Pr="00837CB5" w:rsidRDefault="00A228C8" w:rsidP="007F1C84">
    <w:pPr>
      <w:pStyle w:val="Header"/>
      <w:jc w:val="left"/>
    </w:pPr>
    <w:r w:rsidRPr="00837CB5">
      <w:tab/>
    </w:r>
    <w:fldSimple w:instr=" DOCPROPERTY &quot;Header&quot; \* MERGEFORMAT ">
      <w:r w:rsidR="00257365" w:rsidRPr="0025736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325DA">
      <w:rPr>
        <w:b/>
        <w:bCs/>
        <w:noProof/>
      </w:rPr>
      <w:t>UIT-R  F.1191-3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1325DA">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Pr="00837CB5" w:rsidRDefault="00A228C8" w:rsidP="007F1C84">
    <w:pPr>
      <w:pStyle w:val="Header"/>
      <w:tabs>
        <w:tab w:val="clear" w:pos="4848"/>
        <w:tab w:val="clear" w:pos="9696"/>
        <w:tab w:val="center" w:pos="7258"/>
        <w:tab w:val="center" w:pos="14515"/>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325DA">
      <w:rPr>
        <w:rStyle w:val="PageNumber"/>
        <w:b/>
        <w:bCs/>
        <w:noProof/>
      </w:rPr>
      <w:t>6</w:t>
    </w:r>
    <w:r>
      <w:rPr>
        <w:rStyle w:val="PageNumber"/>
        <w:b/>
        <w:bCs/>
      </w:rPr>
      <w:fldChar w:fldCharType="end"/>
    </w:r>
    <w:r w:rsidRPr="00837CB5">
      <w:tab/>
    </w:r>
    <w:fldSimple w:instr=" DOCPROPERTY &quot;Header&quot; \* MERGEFORMAT ">
      <w:r w:rsidR="00257365" w:rsidRPr="0025736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325DA">
      <w:rPr>
        <w:b/>
        <w:bCs/>
        <w:noProof/>
      </w:rPr>
      <w:t>UIT-R  F.1191-3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Default="00A22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25DA">
      <w:rPr>
        <w:rStyle w:val="PageNumber"/>
        <w:b/>
        <w:bCs/>
        <w:noProof/>
        <w:lang w:val="en-US"/>
      </w:rPr>
      <w:t>8</w:t>
    </w:r>
    <w:r>
      <w:rPr>
        <w:rStyle w:val="PageNumber"/>
        <w:b/>
        <w:bCs/>
      </w:rPr>
      <w:fldChar w:fldCharType="end"/>
    </w:r>
    <w:r>
      <w:rPr>
        <w:lang w:val="en-US"/>
      </w:rPr>
      <w:tab/>
    </w:r>
    <w:fldSimple w:instr=" DOCPROPERTY &quot;Header&quot; \* MERGEFORMAT ">
      <w:r w:rsidR="00257365" w:rsidRPr="0025736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325DA">
      <w:rPr>
        <w:b/>
        <w:bCs/>
        <w:noProof/>
      </w:rPr>
      <w:t>UIT-R  F.1191-3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8C8" w:rsidRDefault="00A228C8">
    <w:pPr>
      <w:pStyle w:val="Header"/>
    </w:pPr>
    <w:r>
      <w:tab/>
    </w:r>
    <w:fldSimple w:instr=" DOCPROPERTY &quot;Header&quot; \* MERGEFORMAT ">
      <w:r w:rsidR="00257365" w:rsidRPr="002573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25DA">
      <w:rPr>
        <w:b/>
        <w:bCs/>
        <w:noProof/>
      </w:rPr>
      <w:t>UIT-R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25DA">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C2B"/>
    <w:rsid w:val="001325DA"/>
    <w:rsid w:val="00217EBF"/>
    <w:rsid w:val="00250394"/>
    <w:rsid w:val="00257365"/>
    <w:rsid w:val="002D76C4"/>
    <w:rsid w:val="004F5602"/>
    <w:rsid w:val="00607D68"/>
    <w:rsid w:val="007468DA"/>
    <w:rsid w:val="00775A00"/>
    <w:rsid w:val="007F1C84"/>
    <w:rsid w:val="008C0850"/>
    <w:rsid w:val="00A228C8"/>
    <w:rsid w:val="00A6617B"/>
    <w:rsid w:val="00AB0DC8"/>
    <w:rsid w:val="00B44E24"/>
    <w:rsid w:val="00B76116"/>
    <w:rsid w:val="00DF4176"/>
    <w:rsid w:val="00E15C2B"/>
    <w:rsid w:val="00F34D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15C2B"/>
    <w:rPr>
      <w:color w:val="0000FF"/>
      <w:u w:val="single"/>
    </w:rPr>
  </w:style>
  <w:style w:type="character" w:customStyle="1" w:styleId="HeaderChar">
    <w:name w:val="Header Char"/>
    <w:basedOn w:val="DefaultParagraphFont"/>
    <w:link w:val="Header"/>
    <w:rsid w:val="00E15C2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15C2B"/>
    <w:rPr>
      <w:color w:val="0000FF"/>
      <w:u w:val="single"/>
    </w:rPr>
  </w:style>
  <w:style w:type="character" w:customStyle="1" w:styleId="HeaderChar">
    <w:name w:val="Header Char"/>
    <w:basedOn w:val="DefaultParagraphFont"/>
    <w:link w:val="Header"/>
    <w:rsid w:val="00E15C2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5.wmf"/><Relationship Id="rId39"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9.wmf"/><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9.bin"/><Relationship Id="rId40" Type="http://schemas.openxmlformats.org/officeDocument/2006/relationships/image" Target="media/image12.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0.emf"/><Relationship Id="rId10" Type="http://schemas.openxmlformats.org/officeDocument/2006/relationships/hyperlink" Target="http://www.itu.int/ITU-R/go/patents/fr" TargetMode="External"/><Relationship Id="rId19" Type="http://schemas.openxmlformats.org/officeDocument/2006/relationships/image" Target="media/image2.emf"/><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oleObject" Target="embeddings/oleObject8.bin"/><Relationship Id="rId43"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FDBD1-DF7C-4771-B3A5-8158C3EFE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12</Pages>
  <Words>3332</Words>
  <Characters>18926</Characters>
  <Application>Microsoft Office Word</Application>
  <DocSecurity>0</DocSecurity>
  <Lines>540</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10</cp:revision>
  <cp:lastPrinted>2005-02-10T15:54:00Z</cp:lastPrinted>
  <dcterms:created xsi:type="dcterms:W3CDTF">2011-08-04T07:57:00Z</dcterms:created>
  <dcterms:modified xsi:type="dcterms:W3CDTF">2011-08-18T12:42:00Z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