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49CB" w:rsidRPr="00575CB8" w:rsidRDefault="00F549CB" w:rsidP="00F549CB">
      <w:pPr>
        <w:rPr>
          <w:lang w:val="en-US"/>
        </w:rPr>
      </w:pPr>
      <w:bookmarkStart w:id="0" w:name="dbreak"/>
      <w:bookmarkEnd w:id="0"/>
    </w:p>
    <w:p w:rsidR="00F549CB" w:rsidRDefault="00F549CB" w:rsidP="00F549CB"/>
    <w:p w:rsidR="00F549CB" w:rsidRDefault="00F549CB" w:rsidP="00F549CB"/>
    <w:p w:rsidR="00F549CB" w:rsidRDefault="00F549CB" w:rsidP="00F549CB"/>
    <w:p w:rsidR="00F549CB" w:rsidRDefault="00F549CB" w:rsidP="00F549CB"/>
    <w:p w:rsidR="00F549CB" w:rsidRDefault="00F549CB" w:rsidP="00F549CB"/>
    <w:p w:rsidR="00F549CB" w:rsidRDefault="00F549CB" w:rsidP="00F549CB"/>
    <w:p w:rsidR="00F549CB" w:rsidRDefault="00F549CB" w:rsidP="00F549CB"/>
    <w:p w:rsidR="00F549CB" w:rsidRDefault="00F549CB" w:rsidP="00F549CB"/>
    <w:p w:rsidR="00F549CB" w:rsidRDefault="00F549CB" w:rsidP="00F549CB"/>
    <w:p w:rsidR="00F549CB" w:rsidRDefault="00F549CB" w:rsidP="00F549CB"/>
    <w:p w:rsidR="00F549CB" w:rsidRDefault="00F549CB" w:rsidP="00F549CB"/>
    <w:tbl>
      <w:tblPr>
        <w:tblW w:w="10089" w:type="dxa"/>
        <w:tblLook w:val="01E0"/>
      </w:tblPr>
      <w:tblGrid>
        <w:gridCol w:w="10089"/>
      </w:tblGrid>
      <w:tr w:rsidR="00F549CB" w:rsidRPr="0010336F" w:rsidTr="00F549CB">
        <w:tc>
          <w:tcPr>
            <w:tcW w:w="10089" w:type="dxa"/>
          </w:tcPr>
          <w:p w:rsidR="00F549CB" w:rsidRPr="00F549CB" w:rsidRDefault="00F549CB" w:rsidP="00F549CB">
            <w:pPr>
              <w:spacing w:before="380" w:line="280" w:lineRule="exact"/>
              <w:jc w:val="right"/>
              <w:rPr>
                <w:rFonts w:ascii="Tahoma" w:hAnsi="Tahoma" w:cs="Tahoma"/>
                <w:b/>
                <w:bCs/>
                <w:iCs/>
                <w:color w:val="243285"/>
                <w:sz w:val="32"/>
                <w:szCs w:val="32"/>
                <w:lang w:val="en-US"/>
              </w:rPr>
            </w:pPr>
          </w:p>
          <w:p w:rsidR="00F549CB" w:rsidRPr="00F549CB" w:rsidRDefault="00F549CB" w:rsidP="00F549CB">
            <w:pPr>
              <w:spacing w:before="380" w:line="280" w:lineRule="exact"/>
              <w:jc w:val="right"/>
              <w:rPr>
                <w:rFonts w:ascii="Tahoma" w:hAnsi="Tahoma" w:cs="Tahoma"/>
                <w:b/>
                <w:bCs/>
                <w:iCs/>
                <w:color w:val="243285"/>
                <w:sz w:val="36"/>
                <w:szCs w:val="36"/>
                <w:lang w:val="es-ES_tradnl"/>
              </w:rPr>
            </w:pPr>
            <w:r w:rsidRPr="00F549CB">
              <w:rPr>
                <w:rFonts w:ascii="Tahoma" w:hAnsi="Tahoma" w:cs="Tahoma"/>
                <w:b/>
                <w:bCs/>
                <w:iCs/>
                <w:color w:val="243285"/>
                <w:sz w:val="36"/>
                <w:szCs w:val="36"/>
                <w:lang w:val="es-ES_tradnl"/>
              </w:rPr>
              <w:t>Recomendación  UIT-R  F.1487</w:t>
            </w:r>
          </w:p>
          <w:p w:rsidR="00F549CB" w:rsidRPr="00F549CB" w:rsidRDefault="00F549CB" w:rsidP="00F549CB">
            <w:pPr>
              <w:spacing w:before="80" w:line="280" w:lineRule="exact"/>
              <w:jc w:val="right"/>
              <w:rPr>
                <w:rFonts w:ascii="Tahoma" w:hAnsi="Tahoma" w:cs="Tahoma"/>
                <w:b/>
                <w:bCs/>
                <w:iCs/>
                <w:color w:val="243285"/>
                <w:szCs w:val="24"/>
                <w:lang w:val="es-ES_tradnl"/>
              </w:rPr>
            </w:pPr>
            <w:r w:rsidRPr="00F549CB">
              <w:rPr>
                <w:rFonts w:ascii="Tahoma" w:hAnsi="Tahoma" w:cs="Tahoma"/>
                <w:b/>
                <w:bCs/>
                <w:iCs/>
                <w:color w:val="243285"/>
                <w:szCs w:val="24"/>
                <w:lang w:val="es-ES_tradnl"/>
              </w:rPr>
              <w:t>(05/2000)</w:t>
            </w:r>
          </w:p>
        </w:tc>
      </w:tr>
      <w:tr w:rsidR="00F549CB" w:rsidRPr="0010336F" w:rsidTr="00F549CB">
        <w:tc>
          <w:tcPr>
            <w:tcW w:w="10089" w:type="dxa"/>
          </w:tcPr>
          <w:p w:rsidR="00F549CB" w:rsidRPr="00F549CB" w:rsidRDefault="00F549CB" w:rsidP="00F549CB">
            <w:pPr>
              <w:spacing w:before="80" w:line="500" w:lineRule="exact"/>
              <w:jc w:val="right"/>
              <w:rPr>
                <w:rFonts w:ascii="Tahoma" w:hAnsi="Tahoma" w:cs="Tahoma"/>
                <w:b/>
                <w:bCs/>
                <w:iCs/>
                <w:color w:val="243285"/>
                <w:sz w:val="44"/>
                <w:szCs w:val="44"/>
                <w:lang w:val="es-ES_tradnl"/>
              </w:rPr>
            </w:pPr>
          </w:p>
          <w:p w:rsidR="00F549CB" w:rsidRPr="00F549CB" w:rsidRDefault="00F549CB" w:rsidP="00F549CB">
            <w:pPr>
              <w:spacing w:before="80" w:line="500" w:lineRule="exact"/>
              <w:jc w:val="right"/>
              <w:rPr>
                <w:rFonts w:ascii="Tahoma" w:hAnsi="Tahoma" w:cs="Tahoma"/>
                <w:b/>
                <w:bCs/>
                <w:color w:val="243285"/>
                <w:sz w:val="44"/>
                <w:szCs w:val="44"/>
                <w:lang w:val="es-ES_tradnl"/>
              </w:rPr>
            </w:pPr>
            <w:r w:rsidRPr="00F549CB">
              <w:rPr>
                <w:rFonts w:ascii="Tahoma" w:hAnsi="Tahoma" w:cs="Tahoma"/>
                <w:b/>
                <w:bCs/>
                <w:color w:val="243285"/>
                <w:sz w:val="44"/>
                <w:szCs w:val="44"/>
                <w:lang w:val="es-ES_tradnl"/>
              </w:rPr>
              <w:t>Pruebas para módems en ondas decamétricas con anchuras de banda</w:t>
            </w:r>
            <w:r w:rsidRPr="00F549CB">
              <w:rPr>
                <w:rFonts w:ascii="Tahoma" w:hAnsi="Tahoma" w:cs="Tahoma"/>
                <w:b/>
                <w:bCs/>
                <w:color w:val="243285"/>
                <w:sz w:val="44"/>
                <w:szCs w:val="44"/>
                <w:lang w:val="es-ES_tradnl"/>
              </w:rPr>
              <w:br/>
              <w:t>de hasta unos 12 kHz utilizando</w:t>
            </w:r>
            <w:r w:rsidRPr="00F549CB">
              <w:rPr>
                <w:rFonts w:ascii="Tahoma" w:hAnsi="Tahoma" w:cs="Tahoma"/>
                <w:b/>
                <w:bCs/>
                <w:color w:val="243285"/>
                <w:sz w:val="44"/>
                <w:szCs w:val="44"/>
                <w:lang w:val="es-ES_tradnl"/>
              </w:rPr>
              <w:br/>
              <w:t>simuladores de canales ionosféricos</w:t>
            </w:r>
          </w:p>
          <w:p w:rsidR="00F549CB" w:rsidRPr="00F549CB" w:rsidRDefault="00F549CB" w:rsidP="00F549CB">
            <w:pPr>
              <w:spacing w:before="80" w:line="500" w:lineRule="exact"/>
              <w:jc w:val="right"/>
              <w:rPr>
                <w:rFonts w:ascii="Tahoma" w:hAnsi="Tahoma" w:cs="Tahoma"/>
                <w:b/>
                <w:bCs/>
                <w:iCs/>
                <w:color w:val="243285"/>
                <w:sz w:val="44"/>
                <w:szCs w:val="44"/>
                <w:lang w:val="es-ES_tradnl"/>
              </w:rPr>
            </w:pPr>
          </w:p>
        </w:tc>
      </w:tr>
      <w:tr w:rsidR="00F549CB" w:rsidRPr="0026666F" w:rsidTr="00F549CB">
        <w:tc>
          <w:tcPr>
            <w:tcW w:w="10089" w:type="dxa"/>
          </w:tcPr>
          <w:p w:rsidR="00F549CB" w:rsidRPr="00F549CB" w:rsidRDefault="00F549CB" w:rsidP="00F549CB">
            <w:pPr>
              <w:spacing w:before="80" w:line="280" w:lineRule="exact"/>
              <w:ind w:right="640"/>
              <w:rPr>
                <w:rFonts w:ascii="Tahoma" w:hAnsi="Tahoma" w:cs="Tahoma"/>
                <w:b/>
                <w:bCs/>
                <w:iCs/>
                <w:color w:val="243285"/>
                <w:sz w:val="32"/>
                <w:szCs w:val="32"/>
                <w:lang w:val="es-ES_tradnl"/>
              </w:rPr>
            </w:pPr>
          </w:p>
          <w:p w:rsidR="00F549CB" w:rsidRPr="00F549CB" w:rsidRDefault="00F549CB" w:rsidP="00F549CB">
            <w:pPr>
              <w:spacing w:before="80" w:line="280" w:lineRule="exact"/>
              <w:ind w:right="640"/>
              <w:rPr>
                <w:rFonts w:ascii="Tahoma" w:hAnsi="Tahoma" w:cs="Tahoma"/>
                <w:b/>
                <w:bCs/>
                <w:iCs/>
                <w:color w:val="243285"/>
                <w:sz w:val="32"/>
                <w:szCs w:val="32"/>
                <w:lang w:val="es-ES_tradnl"/>
              </w:rPr>
            </w:pPr>
          </w:p>
          <w:p w:rsidR="00F549CB" w:rsidRPr="00F549CB" w:rsidRDefault="00F549CB" w:rsidP="00F549CB">
            <w:pPr>
              <w:spacing w:before="80" w:after="180" w:line="360" w:lineRule="exact"/>
              <w:ind w:right="720"/>
              <w:rPr>
                <w:rFonts w:ascii="Tahoma" w:hAnsi="Tahoma" w:cs="Tahoma"/>
                <w:b/>
                <w:bCs/>
                <w:iCs/>
                <w:color w:val="243285"/>
                <w:sz w:val="36"/>
                <w:szCs w:val="36"/>
                <w:lang w:val="es-ES_tradnl"/>
              </w:rPr>
            </w:pPr>
          </w:p>
          <w:p w:rsidR="00F549CB" w:rsidRPr="00F549CB" w:rsidRDefault="00F549CB" w:rsidP="00F549CB">
            <w:pPr>
              <w:spacing w:before="80" w:after="180" w:line="360" w:lineRule="exact"/>
              <w:jc w:val="right"/>
              <w:rPr>
                <w:rFonts w:ascii="Tahoma" w:hAnsi="Tahoma" w:cs="Tahoma"/>
                <w:b/>
                <w:bCs/>
                <w:iCs/>
                <w:color w:val="243285"/>
                <w:sz w:val="36"/>
                <w:szCs w:val="36"/>
                <w:lang w:val="es-ES_tradnl"/>
              </w:rPr>
            </w:pPr>
            <w:r w:rsidRPr="00F549CB">
              <w:rPr>
                <w:rFonts w:ascii="Tahoma" w:hAnsi="Tahoma" w:cs="Tahoma"/>
                <w:b/>
                <w:bCs/>
                <w:iCs/>
                <w:color w:val="243285"/>
                <w:sz w:val="36"/>
                <w:szCs w:val="36"/>
                <w:lang w:val="es-ES_tradnl"/>
              </w:rPr>
              <w:t>Serie F</w:t>
            </w:r>
          </w:p>
          <w:p w:rsidR="00F549CB" w:rsidRPr="00F549CB" w:rsidRDefault="00F549CB" w:rsidP="00F549CB">
            <w:pPr>
              <w:spacing w:before="80" w:line="420" w:lineRule="exact"/>
              <w:jc w:val="right"/>
              <w:rPr>
                <w:rFonts w:ascii="Tahoma" w:hAnsi="Tahoma" w:cs="Tahoma"/>
                <w:b/>
                <w:bCs/>
                <w:iCs/>
                <w:color w:val="243285"/>
                <w:sz w:val="36"/>
                <w:szCs w:val="36"/>
                <w:lang w:val="es-ES_tradnl"/>
              </w:rPr>
            </w:pPr>
            <w:r w:rsidRPr="00F549CB">
              <w:rPr>
                <w:rFonts w:ascii="Tahoma" w:hAnsi="Tahoma" w:cs="Tahoma"/>
                <w:b/>
                <w:bCs/>
                <w:iCs/>
                <w:color w:val="243285"/>
                <w:sz w:val="36"/>
                <w:szCs w:val="36"/>
                <w:lang w:val="es-ES_tradnl"/>
              </w:rPr>
              <w:t>Servicio fijo</w:t>
            </w:r>
          </w:p>
        </w:tc>
      </w:tr>
    </w:tbl>
    <w:p w:rsidR="00F549CB" w:rsidRPr="0026666F" w:rsidRDefault="00F549CB" w:rsidP="00F549CB">
      <w:pPr>
        <w:spacing w:before="80"/>
        <w:rPr>
          <w:i/>
          <w:sz w:val="22"/>
          <w:lang w:val="es-ES_tradnl"/>
        </w:rPr>
      </w:pPr>
    </w:p>
    <w:p w:rsidR="00F549CB" w:rsidRPr="0026666F" w:rsidRDefault="00F549CB" w:rsidP="00F549CB">
      <w:pPr>
        <w:spacing w:before="80"/>
        <w:rPr>
          <w:i/>
          <w:sz w:val="22"/>
          <w:lang w:val="es-ES_tradnl"/>
        </w:rPr>
      </w:pPr>
    </w:p>
    <w:p w:rsidR="00F549CB" w:rsidRPr="0026666F" w:rsidRDefault="00F549CB" w:rsidP="00F549CB">
      <w:pPr>
        <w:spacing w:before="80"/>
        <w:rPr>
          <w:i/>
          <w:sz w:val="22"/>
          <w:lang w:val="es-ES_tradnl"/>
        </w:rPr>
      </w:pPr>
    </w:p>
    <w:p w:rsidR="00F549CB" w:rsidRPr="0026666F" w:rsidRDefault="00F549CB" w:rsidP="00F549CB">
      <w:pPr>
        <w:spacing w:before="80"/>
        <w:rPr>
          <w:i/>
          <w:sz w:val="22"/>
          <w:lang w:val="es-ES_tradnl"/>
        </w:rPr>
      </w:pPr>
    </w:p>
    <w:p w:rsidR="00F549CB" w:rsidRPr="0026666F" w:rsidRDefault="00F549CB" w:rsidP="00F549CB">
      <w:pPr>
        <w:spacing w:before="80"/>
        <w:rPr>
          <w:i/>
          <w:sz w:val="22"/>
          <w:lang w:val="es-ES_tradnl"/>
        </w:rPr>
      </w:pPr>
    </w:p>
    <w:p w:rsidR="00F549CB" w:rsidRPr="0026666F" w:rsidRDefault="00F549CB" w:rsidP="00F549CB">
      <w:pPr>
        <w:spacing w:before="80"/>
        <w:rPr>
          <w:i/>
          <w:sz w:val="22"/>
          <w:lang w:val="es-ES_tradnl"/>
        </w:rPr>
      </w:pPr>
    </w:p>
    <w:p w:rsidR="00F549CB" w:rsidRPr="0026666F" w:rsidRDefault="00F549CB" w:rsidP="00F549CB">
      <w:pPr>
        <w:pStyle w:val="Equation"/>
        <w:tabs>
          <w:tab w:val="left" w:pos="1191"/>
          <w:tab w:val="left" w:pos="1588"/>
          <w:tab w:val="left" w:pos="1985"/>
        </w:tabs>
        <w:rPr>
          <w:rFonts w:ascii="Palatino Linotype" w:hAnsi="Palatino Linotype"/>
          <w:lang w:val="es-ES_tradnl"/>
        </w:rPr>
        <w:sectPr w:rsidR="00F549CB" w:rsidRPr="0026666F" w:rsidSect="00F549CB">
          <w:headerReference w:type="even" r:id="rId8"/>
          <w:headerReference w:type="default" r:id="rId9"/>
          <w:type w:val="oddPage"/>
          <w:pgSz w:w="11907" w:h="16840" w:code="9"/>
          <w:pgMar w:top="1089" w:right="1089" w:bottom="284" w:left="1089" w:header="567" w:footer="284" w:gutter="0"/>
          <w:pgNumType w:start="1"/>
          <w:cols w:space="720"/>
        </w:sectPr>
      </w:pPr>
    </w:p>
    <w:p w:rsidR="00F549CB" w:rsidRPr="006C718C" w:rsidRDefault="00F549CB" w:rsidP="00F549CB">
      <w:pPr>
        <w:pStyle w:val="Tablehead"/>
        <w:tabs>
          <w:tab w:val="clear" w:pos="567"/>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rsidR="00F549CB" w:rsidRPr="006C718C" w:rsidRDefault="00F549CB" w:rsidP="00F549CB">
      <w:pPr>
        <w:spacing w:before="180"/>
        <w:rPr>
          <w:lang w:val="es-ES_tradnl"/>
        </w:rPr>
      </w:pPr>
      <w:r w:rsidRPr="006C718C">
        <w:rPr>
          <w:lang w:val="es-ES_tradnl"/>
        </w:rPr>
        <w:t>El Sector de Radiocomunicaciones tiene como cometido garantizar la utilizaci</w:t>
      </w:r>
      <w:r>
        <w:rPr>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F549CB" w:rsidRPr="006C718C" w:rsidRDefault="00F549CB" w:rsidP="00F549CB">
      <w:pPr>
        <w:rPr>
          <w:lang w:val="es-ES_tradnl"/>
        </w:rPr>
      </w:pPr>
      <w:r w:rsidRPr="006C718C">
        <w:rPr>
          <w:lang w:val="es-ES_tradnl"/>
        </w:rPr>
        <w:t>Las Conferencias Mundiales y Regionales de Radiocomunicaciones y las Asambleas de Radiocomunicaciones, c</w:t>
      </w:r>
      <w:r>
        <w:rPr>
          <w:lang w:val="es-ES_tradnl"/>
        </w:rPr>
        <w:t>on la colaboración de las Comisiones de Estudio, cumplen las funciones reglamentarias y políticas del Sector de Radiocomunicaciones.</w:t>
      </w:r>
    </w:p>
    <w:p w:rsidR="00F549CB" w:rsidRPr="00021E8A" w:rsidRDefault="00F549CB" w:rsidP="00F549CB">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F549CB" w:rsidRPr="00021E8A" w:rsidRDefault="00F549CB" w:rsidP="00F549CB">
      <w:pPr>
        <w:spacing w:before="180"/>
        <w:rPr>
          <w:lang w:val="es-ES_tradnl"/>
        </w:rPr>
      </w:pPr>
      <w:r w:rsidRPr="00021E8A">
        <w:rPr>
          <w:lang w:val="es-ES_tradnl"/>
        </w:rPr>
        <w:t>La política del UIT</w:t>
      </w:r>
      <w:r w:rsidRPr="00021E8A">
        <w:rPr>
          <w:lang w:val="es-ES_tradnl"/>
        </w:rPr>
        <w:noBreakHyphen/>
        <w:t>R sobre Derechos de Propiedad Intelectual se describe en la Política Común de Patentes UIT</w:t>
      </w:r>
      <w:r w:rsidRPr="00021E8A">
        <w:rPr>
          <w:lang w:val="es-ES_tradnl"/>
        </w:rPr>
        <w:noBreakHyphen/>
        <w:t>T/UIT</w:t>
      </w:r>
      <w:r w:rsidRPr="00021E8A">
        <w:rPr>
          <w:lang w:val="es-ES_tradnl"/>
        </w:rPr>
        <w:noBreakHyphen/>
        <w:t>R/ISO/CEI a la que se hace referencia en el Anexo 1 a la Resolución UIT</w:t>
      </w:r>
      <w:r w:rsidRPr="00021E8A">
        <w:rPr>
          <w:lang w:val="es-ES_tradnl"/>
        </w:rPr>
        <w:noBreakHyphen/>
        <w:t xml:space="preserve">R 1. Los formularios que deben utilizarse en la declaración sobre patentes y utilización de patentes por los titulares de las mismas figuran en la dirección web </w:t>
      </w:r>
      <w:hyperlink r:id="rId10" w:history="1">
        <w:r w:rsidRPr="00021E8A">
          <w:rPr>
            <w:rStyle w:val="Hyperlink"/>
            <w:lang w:val="es-ES_tradnl"/>
          </w:rPr>
          <w:t>http://www.itu.int/ITU-R/go/patents/es</w:t>
        </w:r>
      </w:hyperlink>
      <w:r w:rsidRPr="00021E8A">
        <w:rPr>
          <w:lang w:val="es-ES_tradnl"/>
        </w:rPr>
        <w:t>, donde también aparecen las Directrices para la implementación de la Política Común de Patentes UIT</w:t>
      </w:r>
      <w:r w:rsidRPr="00021E8A">
        <w:rPr>
          <w:lang w:val="es-ES_tradnl"/>
        </w:rPr>
        <w:noBreakHyphen/>
        <w:t>T/UIT</w:t>
      </w:r>
      <w:r w:rsidRPr="00021E8A">
        <w:rPr>
          <w:lang w:val="es-ES_tradnl"/>
        </w:rPr>
        <w:noBreakHyphen/>
        <w:t>R/ISO/CEI y la base de datos sobre información de patentes del UIT</w:t>
      </w:r>
      <w:r w:rsidRPr="00021E8A">
        <w:rPr>
          <w:lang w:val="es-ES_tradnl"/>
        </w:rPr>
        <w:noBreakHyphen/>
        <w:t>R sobre este asunto.</w:t>
      </w:r>
    </w:p>
    <w:p w:rsidR="00F549CB" w:rsidRPr="007C36CA" w:rsidRDefault="00F549CB" w:rsidP="00F549CB">
      <w:pPr>
        <w:spacing w:before="0"/>
        <w:jc w:val="center"/>
        <w:rPr>
          <w:sz w:val="22"/>
          <w:lang w:val="es-ES_tradnl"/>
        </w:rPr>
      </w:pPr>
    </w:p>
    <w:p w:rsidR="00F549CB" w:rsidRPr="007C36CA" w:rsidRDefault="00F549CB" w:rsidP="00F549CB">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F549CB" w:rsidRPr="00763D08" w:rsidTr="00403A62">
        <w:tc>
          <w:tcPr>
            <w:tcW w:w="9360" w:type="dxa"/>
            <w:gridSpan w:val="2"/>
          </w:tcPr>
          <w:p w:rsidR="00F549CB" w:rsidRPr="00021E8A" w:rsidRDefault="00F549CB" w:rsidP="00403A62">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F549CB" w:rsidRPr="00763D08" w:rsidRDefault="00F549CB" w:rsidP="00403A62">
            <w:pPr>
              <w:pStyle w:val="Tablehead"/>
              <w:tabs>
                <w:tab w:val="clear" w:pos="567"/>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1"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F549CB" w:rsidRPr="00036EE3" w:rsidTr="00403A62">
        <w:tc>
          <w:tcPr>
            <w:tcW w:w="1140" w:type="dxa"/>
            <w:tcBorders>
              <w:bottom w:val="nil"/>
            </w:tcBorders>
          </w:tcPr>
          <w:p w:rsidR="00F549CB" w:rsidRPr="00036EE3" w:rsidRDefault="00F549CB" w:rsidP="00403A62">
            <w:pPr>
              <w:spacing w:before="180" w:after="100"/>
              <w:ind w:left="57"/>
              <w:rPr>
                <w:b/>
                <w:bCs/>
                <w:lang w:val="en-US"/>
              </w:rPr>
            </w:pPr>
            <w:r w:rsidRPr="00036EE3">
              <w:rPr>
                <w:b/>
                <w:bCs/>
                <w:lang w:val="en-US"/>
              </w:rPr>
              <w:t>Series</w:t>
            </w:r>
          </w:p>
        </w:tc>
        <w:tc>
          <w:tcPr>
            <w:tcW w:w="8220" w:type="dxa"/>
            <w:tcBorders>
              <w:bottom w:val="nil"/>
            </w:tcBorders>
          </w:tcPr>
          <w:p w:rsidR="00F549CB" w:rsidRPr="00036EE3" w:rsidRDefault="00F549CB" w:rsidP="00403A62">
            <w:pPr>
              <w:pStyle w:val="Tablehead"/>
              <w:tabs>
                <w:tab w:val="clear" w:pos="567"/>
                <w:tab w:val="left" w:pos="794"/>
                <w:tab w:val="left" w:pos="1191"/>
                <w:tab w:val="left" w:pos="1588"/>
              </w:tabs>
              <w:spacing w:before="120" w:after="100"/>
              <w:rPr>
                <w:bCs/>
                <w:lang w:val="en-US"/>
              </w:rPr>
            </w:pPr>
            <w:r>
              <w:rPr>
                <w:bCs/>
                <w:lang w:val="en-US"/>
              </w:rPr>
              <w:t>Título</w:t>
            </w:r>
          </w:p>
        </w:tc>
      </w:tr>
      <w:tr w:rsidR="00F549CB" w:rsidRPr="004532F7" w:rsidTr="00403A62">
        <w:tc>
          <w:tcPr>
            <w:tcW w:w="1140" w:type="dxa"/>
            <w:tcBorders>
              <w:top w:val="nil"/>
              <w:bottom w:val="nil"/>
            </w:tcBorders>
            <w:shd w:val="clear" w:color="auto" w:fill="auto"/>
          </w:tcPr>
          <w:p w:rsidR="00F549CB" w:rsidRPr="004532F7" w:rsidRDefault="00F549CB" w:rsidP="00403A62">
            <w:pPr>
              <w:spacing w:before="30" w:after="30"/>
              <w:ind w:left="57"/>
              <w:jc w:val="left"/>
              <w:rPr>
                <w:b/>
                <w:bCs/>
                <w:lang w:val="en-US"/>
              </w:rPr>
            </w:pPr>
            <w:r w:rsidRPr="004532F7">
              <w:rPr>
                <w:b/>
                <w:bCs/>
                <w:lang w:val="en-US"/>
              </w:rPr>
              <w:t>BO</w:t>
            </w:r>
          </w:p>
        </w:tc>
        <w:tc>
          <w:tcPr>
            <w:tcW w:w="8220" w:type="dxa"/>
            <w:tcBorders>
              <w:top w:val="nil"/>
              <w:bottom w:val="nil"/>
            </w:tcBorders>
            <w:shd w:val="clear" w:color="auto" w:fill="auto"/>
          </w:tcPr>
          <w:p w:rsidR="00F549CB" w:rsidRPr="004532F7" w:rsidRDefault="00F549CB" w:rsidP="00403A62">
            <w:pPr>
              <w:pStyle w:val="Tablehead"/>
              <w:tabs>
                <w:tab w:val="clear" w:pos="567"/>
                <w:tab w:val="left" w:pos="794"/>
                <w:tab w:val="left" w:pos="1191"/>
                <w:tab w:val="left" w:pos="1588"/>
              </w:tabs>
              <w:spacing w:before="30" w:after="30"/>
              <w:jc w:val="left"/>
              <w:rPr>
                <w:b w:val="0"/>
                <w:lang w:val="en-US"/>
              </w:rPr>
            </w:pPr>
            <w:r w:rsidRPr="004532F7">
              <w:rPr>
                <w:b w:val="0"/>
              </w:rPr>
              <w:t>Distribución por satélite</w:t>
            </w:r>
          </w:p>
        </w:tc>
      </w:tr>
      <w:tr w:rsidR="00F549CB" w:rsidRPr="006B22C3" w:rsidTr="00403A62">
        <w:tc>
          <w:tcPr>
            <w:tcW w:w="1140" w:type="dxa"/>
            <w:tcBorders>
              <w:top w:val="nil"/>
              <w:bottom w:val="nil"/>
            </w:tcBorders>
            <w:shd w:val="clear" w:color="auto" w:fill="auto"/>
          </w:tcPr>
          <w:p w:rsidR="00F549CB" w:rsidRPr="006B22C3" w:rsidRDefault="00F549CB" w:rsidP="00403A62">
            <w:pPr>
              <w:spacing w:before="30" w:after="30"/>
              <w:ind w:left="57"/>
              <w:jc w:val="left"/>
              <w:rPr>
                <w:b/>
                <w:bCs/>
                <w:lang w:val="en-US"/>
              </w:rPr>
            </w:pPr>
            <w:r w:rsidRPr="006B22C3">
              <w:rPr>
                <w:b/>
                <w:bCs/>
                <w:lang w:val="en-US"/>
              </w:rPr>
              <w:t>BR</w:t>
            </w:r>
          </w:p>
        </w:tc>
        <w:tc>
          <w:tcPr>
            <w:tcW w:w="8220" w:type="dxa"/>
            <w:tcBorders>
              <w:top w:val="nil"/>
              <w:bottom w:val="nil"/>
            </w:tcBorders>
            <w:shd w:val="clear" w:color="auto" w:fill="auto"/>
          </w:tcPr>
          <w:p w:rsidR="00F549CB" w:rsidRPr="006B22C3" w:rsidRDefault="00F549CB" w:rsidP="00403A62">
            <w:pPr>
              <w:pStyle w:val="Tablehead"/>
              <w:tabs>
                <w:tab w:val="clear" w:pos="567"/>
                <w:tab w:val="left" w:pos="794"/>
                <w:tab w:val="left" w:pos="1191"/>
                <w:tab w:val="left" w:pos="1588"/>
              </w:tabs>
              <w:spacing w:before="30" w:after="30"/>
              <w:jc w:val="left"/>
              <w:rPr>
                <w:b w:val="0"/>
                <w:lang w:val="es-ES_tradnl"/>
              </w:rPr>
            </w:pPr>
            <w:r w:rsidRPr="006B22C3">
              <w:rPr>
                <w:b w:val="0"/>
                <w:lang w:val="es-ES_tradnl"/>
              </w:rPr>
              <w:t>Registro para producción, archivo y reproducción; películas en televisión</w:t>
            </w:r>
          </w:p>
        </w:tc>
      </w:tr>
      <w:tr w:rsidR="00F549CB" w:rsidRPr="00847DD5" w:rsidTr="00403A62">
        <w:tc>
          <w:tcPr>
            <w:tcW w:w="1140" w:type="dxa"/>
            <w:tcBorders>
              <w:top w:val="nil"/>
              <w:bottom w:val="nil"/>
            </w:tcBorders>
            <w:shd w:val="clear" w:color="auto" w:fill="auto"/>
          </w:tcPr>
          <w:p w:rsidR="00F549CB" w:rsidRPr="00847DD5" w:rsidRDefault="00F549CB" w:rsidP="00403A62">
            <w:pPr>
              <w:spacing w:before="30" w:after="30"/>
              <w:ind w:left="57"/>
              <w:jc w:val="left"/>
              <w:rPr>
                <w:b/>
                <w:bCs/>
                <w:lang w:val="en-US"/>
              </w:rPr>
            </w:pPr>
            <w:r w:rsidRPr="00847DD5">
              <w:rPr>
                <w:b/>
                <w:bCs/>
                <w:lang w:val="en-US"/>
              </w:rPr>
              <w:t>BS</w:t>
            </w:r>
          </w:p>
        </w:tc>
        <w:tc>
          <w:tcPr>
            <w:tcW w:w="8220" w:type="dxa"/>
            <w:tcBorders>
              <w:top w:val="nil"/>
              <w:bottom w:val="nil"/>
            </w:tcBorders>
            <w:shd w:val="clear" w:color="auto" w:fill="auto"/>
          </w:tcPr>
          <w:p w:rsidR="00F549CB" w:rsidRPr="00847DD5" w:rsidRDefault="00F549CB" w:rsidP="00403A62">
            <w:pPr>
              <w:pStyle w:val="Tablehead"/>
              <w:tabs>
                <w:tab w:val="clear" w:pos="567"/>
                <w:tab w:val="left" w:pos="794"/>
                <w:tab w:val="left" w:pos="1191"/>
                <w:tab w:val="left" w:pos="1588"/>
              </w:tabs>
              <w:spacing w:before="30" w:after="30"/>
              <w:jc w:val="left"/>
              <w:rPr>
                <w:b w:val="0"/>
                <w:lang w:val="en-US"/>
              </w:rPr>
            </w:pPr>
            <w:r w:rsidRPr="00847DD5">
              <w:rPr>
                <w:b w:val="0"/>
              </w:rPr>
              <w:t>Servicio de radiodifusión sonora</w:t>
            </w:r>
          </w:p>
        </w:tc>
      </w:tr>
      <w:tr w:rsidR="00F549CB" w:rsidRPr="00ED2695" w:rsidTr="00403A62">
        <w:tc>
          <w:tcPr>
            <w:tcW w:w="1140" w:type="dxa"/>
            <w:tcBorders>
              <w:top w:val="nil"/>
              <w:bottom w:val="nil"/>
            </w:tcBorders>
            <w:shd w:val="clear" w:color="auto" w:fill="auto"/>
          </w:tcPr>
          <w:p w:rsidR="00F549CB" w:rsidRPr="00ED2695" w:rsidRDefault="00F549CB" w:rsidP="00403A62">
            <w:pPr>
              <w:spacing w:before="30" w:after="30"/>
              <w:ind w:left="57"/>
              <w:jc w:val="left"/>
              <w:rPr>
                <w:b/>
                <w:bCs/>
                <w:lang w:val="en-US"/>
              </w:rPr>
            </w:pPr>
            <w:r w:rsidRPr="00ED2695">
              <w:rPr>
                <w:b/>
                <w:bCs/>
                <w:lang w:val="en-US"/>
              </w:rPr>
              <w:t>BT</w:t>
            </w:r>
          </w:p>
        </w:tc>
        <w:tc>
          <w:tcPr>
            <w:tcW w:w="8220" w:type="dxa"/>
            <w:tcBorders>
              <w:top w:val="nil"/>
              <w:bottom w:val="nil"/>
            </w:tcBorders>
            <w:shd w:val="clear" w:color="auto" w:fill="auto"/>
          </w:tcPr>
          <w:p w:rsidR="00F549CB" w:rsidRPr="00021E8A" w:rsidRDefault="00F549CB" w:rsidP="00403A62">
            <w:pPr>
              <w:pStyle w:val="Tablehead"/>
              <w:tabs>
                <w:tab w:val="clear" w:pos="567"/>
                <w:tab w:val="left" w:pos="794"/>
                <w:tab w:val="left" w:pos="1191"/>
                <w:tab w:val="left" w:pos="1588"/>
              </w:tabs>
              <w:spacing w:before="30" w:after="30"/>
              <w:jc w:val="left"/>
              <w:rPr>
                <w:b w:val="0"/>
                <w:bCs/>
                <w:lang w:val="en-US"/>
              </w:rPr>
            </w:pPr>
            <w:r w:rsidRPr="00021E8A">
              <w:rPr>
                <w:b w:val="0"/>
                <w:bCs/>
              </w:rPr>
              <w:t>Servicio de radiodifusión (televisión)</w:t>
            </w:r>
          </w:p>
        </w:tc>
      </w:tr>
      <w:tr w:rsidR="00F549CB" w:rsidRPr="00847DD5" w:rsidTr="00403A62">
        <w:tc>
          <w:tcPr>
            <w:tcW w:w="1140" w:type="dxa"/>
            <w:tcBorders>
              <w:top w:val="nil"/>
              <w:bottom w:val="nil"/>
            </w:tcBorders>
            <w:shd w:val="clear" w:color="auto" w:fill="F3F3F3"/>
          </w:tcPr>
          <w:p w:rsidR="00F549CB" w:rsidRPr="00847DD5" w:rsidRDefault="00F549CB" w:rsidP="00403A62">
            <w:pPr>
              <w:spacing w:before="30" w:after="30"/>
              <w:ind w:left="57"/>
              <w:jc w:val="left"/>
              <w:rPr>
                <w:b/>
                <w:bCs/>
                <w:color w:val="000080"/>
                <w:lang w:val="fr-CH"/>
              </w:rPr>
            </w:pPr>
            <w:r w:rsidRPr="00847DD5">
              <w:rPr>
                <w:b/>
                <w:bCs/>
                <w:color w:val="000080"/>
                <w:lang w:val="fr-CH"/>
              </w:rPr>
              <w:t>F</w:t>
            </w:r>
          </w:p>
        </w:tc>
        <w:tc>
          <w:tcPr>
            <w:tcW w:w="8220" w:type="dxa"/>
            <w:tcBorders>
              <w:top w:val="nil"/>
              <w:bottom w:val="nil"/>
            </w:tcBorders>
            <w:shd w:val="clear" w:color="auto" w:fill="F3F3F3"/>
          </w:tcPr>
          <w:p w:rsidR="00F549CB" w:rsidRPr="00847DD5" w:rsidRDefault="00F549CB" w:rsidP="00403A62">
            <w:pPr>
              <w:pStyle w:val="Tabletext0"/>
              <w:tabs>
                <w:tab w:val="clear" w:pos="567"/>
                <w:tab w:val="left" w:pos="794"/>
                <w:tab w:val="left" w:pos="1191"/>
                <w:tab w:val="left" w:pos="1588"/>
              </w:tabs>
              <w:spacing w:before="30" w:after="30"/>
              <w:rPr>
                <w:b/>
                <w:bCs/>
                <w:color w:val="000080"/>
                <w:lang w:val="fr-CH"/>
              </w:rPr>
            </w:pPr>
            <w:r w:rsidRPr="00847DD5">
              <w:rPr>
                <w:b/>
                <w:bCs/>
                <w:color w:val="000080"/>
              </w:rPr>
              <w:t>Servicio fijo</w:t>
            </w:r>
          </w:p>
        </w:tc>
      </w:tr>
      <w:tr w:rsidR="00F549CB" w:rsidRPr="00447DAB" w:rsidTr="00403A62">
        <w:tc>
          <w:tcPr>
            <w:tcW w:w="1140" w:type="dxa"/>
            <w:tcBorders>
              <w:top w:val="nil"/>
              <w:bottom w:val="nil"/>
            </w:tcBorders>
            <w:shd w:val="clear" w:color="auto" w:fill="auto"/>
          </w:tcPr>
          <w:p w:rsidR="00F549CB" w:rsidRPr="0010336F" w:rsidRDefault="00F549CB" w:rsidP="00403A62">
            <w:pPr>
              <w:spacing w:before="30" w:after="30"/>
              <w:ind w:left="57"/>
              <w:jc w:val="left"/>
              <w:rPr>
                <w:rFonts w:hAnsi="Times New Roman Bold"/>
                <w:b/>
                <w:bCs/>
                <w:lang w:val="en-US"/>
              </w:rPr>
            </w:pPr>
            <w:r w:rsidRPr="0010336F">
              <w:rPr>
                <w:rFonts w:hAnsi="Times New Roman Bold"/>
                <w:b/>
                <w:bCs/>
                <w:lang w:val="en-US"/>
              </w:rPr>
              <w:t>M</w:t>
            </w:r>
          </w:p>
        </w:tc>
        <w:tc>
          <w:tcPr>
            <w:tcW w:w="8220" w:type="dxa"/>
            <w:tcBorders>
              <w:top w:val="nil"/>
              <w:bottom w:val="nil"/>
            </w:tcBorders>
            <w:shd w:val="clear" w:color="auto" w:fill="auto"/>
          </w:tcPr>
          <w:p w:rsidR="00F549CB" w:rsidRPr="0010336F" w:rsidRDefault="00F549CB" w:rsidP="00403A62">
            <w:pPr>
              <w:pStyle w:val="Tablehead"/>
              <w:tabs>
                <w:tab w:val="clear" w:pos="567"/>
                <w:tab w:val="left" w:pos="794"/>
                <w:tab w:val="left" w:pos="1191"/>
                <w:tab w:val="left" w:pos="1588"/>
              </w:tabs>
              <w:spacing w:before="30" w:after="30"/>
              <w:jc w:val="left"/>
              <w:rPr>
                <w:rFonts w:hAnsi="Times New Roman Bold"/>
                <w:b w:val="0"/>
                <w:lang w:val="es-ES_tradnl"/>
              </w:rPr>
            </w:pPr>
            <w:r w:rsidRPr="0010336F">
              <w:rPr>
                <w:rFonts w:hAnsi="Times New Roman Bold"/>
                <w:b w:val="0"/>
                <w:lang w:val="es-ES_tradnl"/>
              </w:rPr>
              <w:t>Servicios m</w:t>
            </w:r>
            <w:r w:rsidRPr="0010336F">
              <w:rPr>
                <w:rFonts w:hAnsi="Times New Roman Bold"/>
                <w:b w:val="0"/>
                <w:lang w:val="es-ES_tradnl"/>
              </w:rPr>
              <w:t>ó</w:t>
            </w:r>
            <w:r w:rsidRPr="0010336F">
              <w:rPr>
                <w:rFonts w:hAnsi="Times New Roman Bold"/>
                <w:b w:val="0"/>
                <w:lang w:val="es-ES_tradnl"/>
              </w:rPr>
              <w:t>viles, de radiodeterminaci</w:t>
            </w:r>
            <w:r w:rsidRPr="0010336F">
              <w:rPr>
                <w:rFonts w:hAnsi="Times New Roman Bold"/>
                <w:b w:val="0"/>
                <w:lang w:val="es-ES_tradnl"/>
              </w:rPr>
              <w:t>ó</w:t>
            </w:r>
            <w:r w:rsidRPr="0010336F">
              <w:rPr>
                <w:rFonts w:hAnsi="Times New Roman Bold"/>
                <w:b w:val="0"/>
                <w:lang w:val="es-ES_tradnl"/>
              </w:rPr>
              <w:t>n, de aficionados y otros servicios por sat</w:t>
            </w:r>
            <w:r w:rsidRPr="0010336F">
              <w:rPr>
                <w:rFonts w:hAnsi="Times New Roman Bold"/>
                <w:b w:val="0"/>
                <w:lang w:val="es-ES_tradnl"/>
              </w:rPr>
              <w:t>é</w:t>
            </w:r>
            <w:r w:rsidRPr="0010336F">
              <w:rPr>
                <w:rFonts w:hAnsi="Times New Roman Bold"/>
                <w:b w:val="0"/>
                <w:lang w:val="es-ES_tradnl"/>
              </w:rPr>
              <w:t>lite conexos</w:t>
            </w:r>
          </w:p>
        </w:tc>
      </w:tr>
      <w:tr w:rsidR="00F549CB" w:rsidRPr="006C718C" w:rsidTr="00403A62">
        <w:tc>
          <w:tcPr>
            <w:tcW w:w="1140" w:type="dxa"/>
            <w:tcBorders>
              <w:top w:val="nil"/>
            </w:tcBorders>
          </w:tcPr>
          <w:p w:rsidR="00F549CB" w:rsidRPr="00036EE3" w:rsidRDefault="00F549CB" w:rsidP="00403A62">
            <w:pPr>
              <w:spacing w:before="30" w:after="30"/>
              <w:ind w:left="57"/>
              <w:jc w:val="left"/>
              <w:rPr>
                <w:b/>
                <w:bCs/>
                <w:lang w:val="fr-CH"/>
              </w:rPr>
            </w:pPr>
            <w:r w:rsidRPr="00036EE3">
              <w:rPr>
                <w:b/>
                <w:bCs/>
                <w:lang w:val="fr-CH"/>
              </w:rPr>
              <w:t>P</w:t>
            </w:r>
          </w:p>
        </w:tc>
        <w:tc>
          <w:tcPr>
            <w:tcW w:w="8220" w:type="dxa"/>
            <w:tcBorders>
              <w:top w:val="nil"/>
            </w:tcBorders>
          </w:tcPr>
          <w:p w:rsidR="00F549CB" w:rsidRPr="00021E8A" w:rsidRDefault="00F549CB" w:rsidP="00403A62">
            <w:pPr>
              <w:spacing w:before="30" w:after="30"/>
              <w:jc w:val="left"/>
              <w:rPr>
                <w:bCs/>
                <w:lang w:val="es-ES_tradnl"/>
              </w:rPr>
            </w:pPr>
            <w:r w:rsidRPr="00021E8A">
              <w:rPr>
                <w:bCs/>
                <w:lang w:val="es-ES_tradnl"/>
              </w:rPr>
              <w:t>Propagación de las ondas radioeléctricas</w:t>
            </w:r>
          </w:p>
        </w:tc>
      </w:tr>
      <w:tr w:rsidR="00F549CB" w:rsidRPr="00036EE3" w:rsidTr="00403A62">
        <w:tc>
          <w:tcPr>
            <w:tcW w:w="1140" w:type="dxa"/>
          </w:tcPr>
          <w:p w:rsidR="00F549CB" w:rsidRPr="00036EE3" w:rsidRDefault="00F549CB" w:rsidP="00403A62">
            <w:pPr>
              <w:spacing w:before="30" w:after="30"/>
              <w:ind w:left="57"/>
              <w:jc w:val="left"/>
              <w:rPr>
                <w:b/>
                <w:bCs/>
                <w:lang w:val="en-US"/>
              </w:rPr>
            </w:pPr>
            <w:r w:rsidRPr="00036EE3">
              <w:rPr>
                <w:b/>
                <w:bCs/>
                <w:lang w:val="en-US"/>
              </w:rPr>
              <w:t>RA</w:t>
            </w:r>
          </w:p>
        </w:tc>
        <w:tc>
          <w:tcPr>
            <w:tcW w:w="8220" w:type="dxa"/>
          </w:tcPr>
          <w:p w:rsidR="00F549CB" w:rsidRPr="00021E8A" w:rsidRDefault="00F549CB" w:rsidP="00403A62">
            <w:pPr>
              <w:pStyle w:val="Tabletext0"/>
              <w:tabs>
                <w:tab w:val="clear" w:pos="567"/>
                <w:tab w:val="left" w:pos="794"/>
                <w:tab w:val="left" w:pos="1191"/>
                <w:tab w:val="left" w:pos="1588"/>
              </w:tabs>
              <w:spacing w:before="30" w:after="30"/>
              <w:rPr>
                <w:bCs/>
                <w:lang w:val="en-US"/>
              </w:rPr>
            </w:pPr>
            <w:r w:rsidRPr="00021E8A">
              <w:rPr>
                <w:bCs/>
              </w:rPr>
              <w:t>Radio astronomía</w:t>
            </w:r>
          </w:p>
        </w:tc>
      </w:tr>
      <w:tr w:rsidR="00F549CB" w:rsidRPr="00021E8A" w:rsidTr="00403A62">
        <w:tc>
          <w:tcPr>
            <w:tcW w:w="1140" w:type="dxa"/>
          </w:tcPr>
          <w:p w:rsidR="00F549CB" w:rsidRPr="00036EE3" w:rsidRDefault="00F549CB" w:rsidP="00403A62">
            <w:pPr>
              <w:spacing w:before="30" w:after="30"/>
              <w:ind w:left="57"/>
              <w:jc w:val="left"/>
              <w:rPr>
                <w:b/>
                <w:bCs/>
                <w:lang w:val="en-US"/>
              </w:rPr>
            </w:pPr>
            <w:r w:rsidRPr="00036EE3">
              <w:rPr>
                <w:b/>
                <w:bCs/>
                <w:lang w:val="en-US"/>
              </w:rPr>
              <w:t>RS</w:t>
            </w:r>
          </w:p>
        </w:tc>
        <w:tc>
          <w:tcPr>
            <w:tcW w:w="8220" w:type="dxa"/>
          </w:tcPr>
          <w:p w:rsidR="00F549CB" w:rsidRPr="00021E8A" w:rsidRDefault="00F549CB" w:rsidP="00403A62">
            <w:pPr>
              <w:pStyle w:val="Tabletext0"/>
              <w:tabs>
                <w:tab w:val="clear" w:pos="567"/>
                <w:tab w:val="left" w:pos="794"/>
                <w:tab w:val="left" w:pos="1191"/>
                <w:tab w:val="left" w:pos="1588"/>
              </w:tabs>
              <w:spacing w:before="30" w:after="30"/>
              <w:rPr>
                <w:bCs/>
                <w:lang w:val="es-ES_tradnl"/>
              </w:rPr>
            </w:pPr>
            <w:r w:rsidRPr="00021E8A">
              <w:rPr>
                <w:bCs/>
                <w:lang w:val="es-ES_tradnl"/>
              </w:rPr>
              <w:t>Sistemas de detección a distancia</w:t>
            </w:r>
          </w:p>
        </w:tc>
      </w:tr>
      <w:tr w:rsidR="00F549CB" w:rsidRPr="00036EE3" w:rsidTr="00403A62">
        <w:tc>
          <w:tcPr>
            <w:tcW w:w="1140" w:type="dxa"/>
          </w:tcPr>
          <w:p w:rsidR="00F549CB" w:rsidRPr="00036EE3" w:rsidRDefault="00F549CB" w:rsidP="00403A62">
            <w:pPr>
              <w:spacing w:before="30" w:after="30"/>
              <w:ind w:left="57"/>
              <w:jc w:val="left"/>
              <w:rPr>
                <w:b/>
                <w:bCs/>
                <w:lang w:val="en-US"/>
              </w:rPr>
            </w:pPr>
            <w:r w:rsidRPr="00036EE3">
              <w:rPr>
                <w:b/>
                <w:bCs/>
                <w:lang w:val="en-US"/>
              </w:rPr>
              <w:t>S</w:t>
            </w:r>
          </w:p>
        </w:tc>
        <w:tc>
          <w:tcPr>
            <w:tcW w:w="8220" w:type="dxa"/>
          </w:tcPr>
          <w:p w:rsidR="00F549CB" w:rsidRPr="00021E8A" w:rsidRDefault="00F549CB" w:rsidP="00403A62">
            <w:pPr>
              <w:spacing w:before="30" w:after="30"/>
              <w:jc w:val="left"/>
              <w:rPr>
                <w:bCs/>
                <w:lang w:val="en-US"/>
              </w:rPr>
            </w:pPr>
            <w:r w:rsidRPr="00021E8A">
              <w:rPr>
                <w:bCs/>
              </w:rPr>
              <w:t>Servicio fijo por satélite</w:t>
            </w:r>
          </w:p>
        </w:tc>
      </w:tr>
      <w:tr w:rsidR="00F549CB" w:rsidRPr="00036EE3" w:rsidTr="00403A62">
        <w:tc>
          <w:tcPr>
            <w:tcW w:w="1140" w:type="dxa"/>
          </w:tcPr>
          <w:p w:rsidR="00F549CB" w:rsidRPr="00036EE3" w:rsidRDefault="00F549CB" w:rsidP="00403A62">
            <w:pPr>
              <w:spacing w:before="30" w:after="30"/>
              <w:ind w:left="57"/>
              <w:jc w:val="left"/>
              <w:rPr>
                <w:b/>
                <w:bCs/>
                <w:lang w:val="en-US"/>
              </w:rPr>
            </w:pPr>
            <w:r w:rsidRPr="00036EE3">
              <w:rPr>
                <w:b/>
                <w:bCs/>
                <w:lang w:val="en-US"/>
              </w:rPr>
              <w:t>SA</w:t>
            </w:r>
          </w:p>
        </w:tc>
        <w:tc>
          <w:tcPr>
            <w:tcW w:w="8220" w:type="dxa"/>
          </w:tcPr>
          <w:p w:rsidR="00F549CB" w:rsidRPr="00021E8A" w:rsidRDefault="00F549CB" w:rsidP="00403A62">
            <w:pPr>
              <w:spacing w:before="30" w:after="30"/>
              <w:jc w:val="left"/>
              <w:rPr>
                <w:bCs/>
                <w:lang w:val="en-US"/>
              </w:rPr>
            </w:pPr>
            <w:r w:rsidRPr="00021E8A">
              <w:rPr>
                <w:bCs/>
              </w:rPr>
              <w:t>Aplicaciones espaciales y meteorología</w:t>
            </w:r>
          </w:p>
        </w:tc>
      </w:tr>
      <w:tr w:rsidR="00F549CB" w:rsidRPr="00021E8A" w:rsidTr="00403A62">
        <w:tc>
          <w:tcPr>
            <w:tcW w:w="1140" w:type="dxa"/>
          </w:tcPr>
          <w:p w:rsidR="00F549CB" w:rsidRPr="00036EE3" w:rsidRDefault="00F549CB" w:rsidP="00403A62">
            <w:pPr>
              <w:spacing w:before="30" w:after="30"/>
              <w:ind w:left="57"/>
              <w:jc w:val="left"/>
              <w:rPr>
                <w:b/>
                <w:bCs/>
                <w:lang w:val="en-US"/>
              </w:rPr>
            </w:pPr>
            <w:r w:rsidRPr="00036EE3">
              <w:rPr>
                <w:b/>
                <w:bCs/>
                <w:lang w:val="en-US"/>
              </w:rPr>
              <w:t>SF</w:t>
            </w:r>
          </w:p>
        </w:tc>
        <w:tc>
          <w:tcPr>
            <w:tcW w:w="8220" w:type="dxa"/>
          </w:tcPr>
          <w:p w:rsidR="00F549CB" w:rsidRPr="00021E8A" w:rsidRDefault="00F549CB" w:rsidP="00403A62">
            <w:pPr>
              <w:spacing w:before="30" w:after="30"/>
              <w:jc w:val="left"/>
              <w:rPr>
                <w:bCs/>
                <w:lang w:val="es-ES_tradnl"/>
              </w:rPr>
            </w:pPr>
            <w:r w:rsidRPr="00021E8A">
              <w:rPr>
                <w:bCs/>
                <w:lang w:val="es-ES_tradnl"/>
              </w:rPr>
              <w:t>Compartición de frecuencias y coordinación entre los sistemas del servicio fijo por satélite y del servicio fijo</w:t>
            </w:r>
          </w:p>
        </w:tc>
      </w:tr>
      <w:tr w:rsidR="00F549CB" w:rsidRPr="00036EE3" w:rsidTr="00403A62">
        <w:tc>
          <w:tcPr>
            <w:tcW w:w="1140" w:type="dxa"/>
            <w:shd w:val="clear" w:color="auto" w:fill="auto"/>
          </w:tcPr>
          <w:p w:rsidR="00F549CB" w:rsidRPr="001240BC" w:rsidRDefault="00F549CB" w:rsidP="00403A62">
            <w:pPr>
              <w:spacing w:before="30" w:after="30"/>
              <w:ind w:left="57"/>
              <w:jc w:val="left"/>
              <w:rPr>
                <w:b/>
                <w:bCs/>
                <w:lang w:val="en-US"/>
              </w:rPr>
            </w:pPr>
            <w:r w:rsidRPr="001240BC">
              <w:rPr>
                <w:b/>
                <w:bCs/>
                <w:lang w:val="en-US"/>
              </w:rPr>
              <w:t>SM</w:t>
            </w:r>
          </w:p>
        </w:tc>
        <w:tc>
          <w:tcPr>
            <w:tcW w:w="8220" w:type="dxa"/>
            <w:shd w:val="clear" w:color="auto" w:fill="auto"/>
          </w:tcPr>
          <w:p w:rsidR="00F549CB" w:rsidRPr="001240BC" w:rsidRDefault="00F549CB" w:rsidP="00403A62">
            <w:pPr>
              <w:spacing w:before="30" w:after="30"/>
              <w:jc w:val="left"/>
              <w:rPr>
                <w:lang w:val="en-US"/>
              </w:rPr>
            </w:pPr>
            <w:r w:rsidRPr="001240BC">
              <w:t>Gestión del espectro</w:t>
            </w:r>
          </w:p>
        </w:tc>
      </w:tr>
      <w:tr w:rsidR="00F549CB" w:rsidRPr="00036EE3" w:rsidTr="00403A62">
        <w:tc>
          <w:tcPr>
            <w:tcW w:w="1140" w:type="dxa"/>
          </w:tcPr>
          <w:p w:rsidR="00F549CB" w:rsidRPr="00036EE3" w:rsidRDefault="00F549CB" w:rsidP="00403A62">
            <w:pPr>
              <w:spacing w:before="30" w:after="30"/>
              <w:ind w:left="57"/>
              <w:jc w:val="left"/>
              <w:rPr>
                <w:b/>
                <w:bCs/>
                <w:lang w:val="en-US"/>
              </w:rPr>
            </w:pPr>
            <w:r w:rsidRPr="00036EE3">
              <w:rPr>
                <w:b/>
                <w:bCs/>
                <w:lang w:val="en-US"/>
              </w:rPr>
              <w:t>SNG</w:t>
            </w:r>
          </w:p>
        </w:tc>
        <w:tc>
          <w:tcPr>
            <w:tcW w:w="8220" w:type="dxa"/>
          </w:tcPr>
          <w:p w:rsidR="00F549CB" w:rsidRPr="00021E8A" w:rsidRDefault="00F549CB" w:rsidP="00403A62">
            <w:pPr>
              <w:spacing w:before="30" w:after="30"/>
              <w:jc w:val="left"/>
              <w:rPr>
                <w:bCs/>
                <w:lang w:val="en-US"/>
              </w:rPr>
            </w:pPr>
            <w:r w:rsidRPr="00021E8A">
              <w:rPr>
                <w:bCs/>
              </w:rPr>
              <w:t>Periodismo electrónico por satélite</w:t>
            </w:r>
          </w:p>
        </w:tc>
      </w:tr>
      <w:tr w:rsidR="00F549CB" w:rsidRPr="00021E8A" w:rsidTr="00403A62">
        <w:tc>
          <w:tcPr>
            <w:tcW w:w="1140" w:type="dxa"/>
          </w:tcPr>
          <w:p w:rsidR="00F549CB" w:rsidRPr="00036EE3" w:rsidRDefault="00F549CB" w:rsidP="00403A62">
            <w:pPr>
              <w:spacing w:before="30" w:after="30"/>
              <w:ind w:left="57"/>
              <w:jc w:val="left"/>
              <w:rPr>
                <w:b/>
                <w:bCs/>
                <w:lang w:val="en-US"/>
              </w:rPr>
            </w:pPr>
            <w:r w:rsidRPr="00036EE3">
              <w:rPr>
                <w:b/>
                <w:bCs/>
                <w:lang w:val="en-US"/>
              </w:rPr>
              <w:t>TF</w:t>
            </w:r>
          </w:p>
        </w:tc>
        <w:tc>
          <w:tcPr>
            <w:tcW w:w="8220" w:type="dxa"/>
          </w:tcPr>
          <w:p w:rsidR="00F549CB" w:rsidRPr="00021E8A" w:rsidRDefault="00F549CB" w:rsidP="00403A62">
            <w:pPr>
              <w:spacing w:before="30" w:after="30"/>
              <w:jc w:val="left"/>
              <w:rPr>
                <w:bCs/>
                <w:lang w:val="es-ES_tradnl"/>
              </w:rPr>
            </w:pPr>
            <w:r w:rsidRPr="00021E8A">
              <w:rPr>
                <w:bCs/>
                <w:lang w:val="es-ES_tradnl"/>
              </w:rPr>
              <w:t>Emisiones de frecuencias patrón y señales horarias</w:t>
            </w:r>
          </w:p>
        </w:tc>
      </w:tr>
      <w:tr w:rsidR="00F549CB" w:rsidRPr="00036EE3" w:rsidTr="00403A62">
        <w:tc>
          <w:tcPr>
            <w:tcW w:w="1140" w:type="dxa"/>
          </w:tcPr>
          <w:p w:rsidR="00F549CB" w:rsidRPr="00036EE3" w:rsidRDefault="00F549CB" w:rsidP="00403A62">
            <w:pPr>
              <w:spacing w:before="30" w:after="30"/>
              <w:ind w:left="57"/>
              <w:jc w:val="left"/>
              <w:rPr>
                <w:b/>
                <w:bCs/>
                <w:lang w:val="en-US"/>
              </w:rPr>
            </w:pPr>
            <w:r w:rsidRPr="00036EE3">
              <w:rPr>
                <w:b/>
                <w:bCs/>
                <w:lang w:val="en-US"/>
              </w:rPr>
              <w:t>V</w:t>
            </w:r>
          </w:p>
        </w:tc>
        <w:tc>
          <w:tcPr>
            <w:tcW w:w="8220" w:type="dxa"/>
          </w:tcPr>
          <w:p w:rsidR="00F549CB" w:rsidRPr="00021E8A" w:rsidRDefault="00F549CB" w:rsidP="00403A62">
            <w:pPr>
              <w:spacing w:before="30" w:after="140"/>
              <w:jc w:val="left"/>
              <w:rPr>
                <w:bCs/>
                <w:lang w:val="en-US"/>
              </w:rPr>
            </w:pPr>
            <w:r w:rsidRPr="00021E8A">
              <w:rPr>
                <w:bCs/>
              </w:rPr>
              <w:t>Vocabulario y cuestiones afines</w:t>
            </w:r>
          </w:p>
        </w:tc>
      </w:tr>
    </w:tbl>
    <w:p w:rsidR="00F549CB" w:rsidRPr="00036EE3" w:rsidRDefault="00F549CB" w:rsidP="00F549CB">
      <w:pPr>
        <w:spacing w:before="0" w:after="140"/>
        <w:jc w:val="center"/>
        <w:rPr>
          <w:lang w:val="en-US"/>
        </w:rPr>
      </w:pPr>
    </w:p>
    <w:tbl>
      <w:tblPr>
        <w:tblpPr w:leftFromText="180" w:rightFromText="180" w:vertAnchor="text" w:tblpX="-5771" w:tblpY="-4031"/>
        <w:tblW w:w="0" w:type="auto"/>
        <w:tblLook w:val="0000"/>
      </w:tblPr>
      <w:tblGrid>
        <w:gridCol w:w="720"/>
      </w:tblGrid>
      <w:tr w:rsidR="00F549CB" w:rsidTr="00403A62">
        <w:tc>
          <w:tcPr>
            <w:tcW w:w="720" w:type="dxa"/>
          </w:tcPr>
          <w:p w:rsidR="00F549CB" w:rsidRDefault="00F549CB" w:rsidP="00403A62">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tblPr>
      <w:tblGrid>
        <w:gridCol w:w="9360"/>
      </w:tblGrid>
      <w:tr w:rsidR="00F549CB" w:rsidRPr="00763D08" w:rsidTr="00F549CB">
        <w:tc>
          <w:tcPr>
            <w:tcW w:w="9360" w:type="dxa"/>
          </w:tcPr>
          <w:p w:rsidR="00F549CB" w:rsidRPr="00F549CB" w:rsidRDefault="00F549CB" w:rsidP="00F549CB">
            <w:pPr>
              <w:spacing w:before="92" w:after="92"/>
              <w:jc w:val="left"/>
              <w:rPr>
                <w:i/>
                <w:iCs/>
                <w:lang w:val="es-ES_tradnl"/>
              </w:rPr>
            </w:pPr>
            <w:r w:rsidRPr="00F549CB">
              <w:rPr>
                <w:b/>
                <w:bCs/>
                <w:i/>
                <w:iCs/>
                <w:lang w:val="es-ES_tradnl"/>
              </w:rPr>
              <w:t xml:space="preserve">         Nota</w:t>
            </w:r>
            <w:r w:rsidRPr="00F549CB">
              <w:rPr>
                <w:i/>
                <w:iCs/>
                <w:lang w:val="es-ES_tradnl"/>
              </w:rPr>
              <w:t xml:space="preserve">: Esta Recomendación UIT-R fue aprobada en inglés conforme al procedimiento detallado en la </w:t>
            </w:r>
            <w:r w:rsidRPr="00F549CB">
              <w:rPr>
                <w:i/>
                <w:iCs/>
                <w:lang w:val="es-ES_tradnl"/>
              </w:rPr>
              <w:br/>
              <w:t xml:space="preserve">        Resolución UIT-R 1.</w:t>
            </w:r>
          </w:p>
        </w:tc>
      </w:tr>
    </w:tbl>
    <w:p w:rsidR="00F549CB" w:rsidRPr="00763D08" w:rsidRDefault="00F549CB" w:rsidP="00F549CB">
      <w:pPr>
        <w:spacing w:before="0"/>
        <w:jc w:val="center"/>
        <w:rPr>
          <w:sz w:val="22"/>
          <w:lang w:val="es-ES_tradnl"/>
        </w:rPr>
      </w:pPr>
    </w:p>
    <w:p w:rsidR="00F549CB" w:rsidRPr="00763D08" w:rsidRDefault="00F549CB" w:rsidP="00F549CB">
      <w:pPr>
        <w:spacing w:before="60"/>
        <w:jc w:val="right"/>
        <w:rPr>
          <w:i/>
          <w:iCs/>
          <w:lang w:val="es-ES_tradnl"/>
        </w:rPr>
      </w:pPr>
      <w:r w:rsidRPr="00763D08">
        <w:rPr>
          <w:i/>
          <w:iCs/>
          <w:lang w:val="es-ES_tradnl"/>
        </w:rPr>
        <w:t>Publicación electrónica</w:t>
      </w:r>
    </w:p>
    <w:p w:rsidR="00F549CB" w:rsidRPr="00763D08" w:rsidRDefault="00F549CB" w:rsidP="00F549CB">
      <w:pPr>
        <w:spacing w:before="0" w:after="40"/>
        <w:jc w:val="right"/>
        <w:rPr>
          <w:lang w:val="es-ES_tradnl"/>
        </w:rPr>
      </w:pPr>
      <w:r w:rsidRPr="00763D08">
        <w:rPr>
          <w:lang w:val="es-ES_tradnl"/>
        </w:rPr>
        <w:t>Ginebra, 20</w:t>
      </w:r>
      <w:r>
        <w:rPr>
          <w:lang w:val="es-ES_tradnl"/>
        </w:rPr>
        <w:t>10</w:t>
      </w:r>
    </w:p>
    <w:p w:rsidR="00F549CB" w:rsidRPr="00763D08" w:rsidRDefault="00F549CB" w:rsidP="00F549CB">
      <w:pPr>
        <w:spacing w:before="0"/>
        <w:jc w:val="center"/>
        <w:rPr>
          <w:lang w:val="es-ES_tradnl"/>
        </w:rPr>
      </w:pPr>
      <w:r w:rsidRPr="00470E28">
        <w:rPr>
          <w:lang w:val="en-US"/>
        </w:rPr>
        <w:sym w:font="Symbol" w:char="F0E3"/>
      </w:r>
      <w:r w:rsidRPr="00763D08">
        <w:rPr>
          <w:lang w:val="es-ES_tradnl"/>
        </w:rPr>
        <w:t xml:space="preserve"> UIT </w:t>
      </w:r>
      <w:bookmarkStart w:id="2" w:name="iiannee"/>
      <w:bookmarkEnd w:id="2"/>
      <w:r w:rsidRPr="00763D08">
        <w:rPr>
          <w:lang w:val="es-ES_tradnl"/>
        </w:rPr>
        <w:t>20</w:t>
      </w:r>
      <w:r>
        <w:rPr>
          <w:lang w:val="es-ES_tradnl"/>
        </w:rPr>
        <w:t>10</w:t>
      </w:r>
    </w:p>
    <w:p w:rsidR="00F549CB" w:rsidRPr="006C718C" w:rsidRDefault="00F549CB" w:rsidP="00F549CB">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F549CB" w:rsidRPr="006C718C" w:rsidRDefault="00F549CB" w:rsidP="00F549CB">
      <w:pPr>
        <w:spacing w:before="160"/>
        <w:rPr>
          <w:i/>
          <w:highlight w:val="yellow"/>
          <w:lang w:val="es-ES_tradnl"/>
        </w:rPr>
        <w:sectPr w:rsidR="00F549CB" w:rsidRPr="006C718C" w:rsidSect="00403A62">
          <w:headerReference w:type="even" r:id="rId12"/>
          <w:headerReference w:type="default" r:id="rId13"/>
          <w:pgSz w:w="11907" w:h="16834" w:code="9"/>
          <w:pgMar w:top="1418" w:right="1134" w:bottom="1134" w:left="1134" w:header="720" w:footer="482" w:gutter="0"/>
          <w:pgNumType w:fmt="lowerRoman" w:start="2"/>
          <w:cols w:space="720"/>
        </w:sectPr>
      </w:pPr>
    </w:p>
    <w:p w:rsidR="00403A62" w:rsidRDefault="00403A62">
      <w:pPr>
        <w:pStyle w:val="Rec"/>
        <w:spacing w:before="0"/>
        <w:rPr>
          <w:lang w:val="es-ES_tradnl"/>
        </w:rPr>
      </w:pPr>
      <w:r>
        <w:rPr>
          <w:lang w:val="es-ES_tradnl"/>
        </w:rPr>
        <w:lastRenderedPageBreak/>
        <w:t>RECOMENDACIÓN  UIT-R  F.1487</w:t>
      </w:r>
      <w:r>
        <w:rPr>
          <w:rStyle w:val="FootnoteReference"/>
          <w:lang w:val="es-ES_tradnl"/>
        </w:rPr>
        <w:footnoteReference w:customMarkFollows="1" w:id="1"/>
        <w:t>*</w:t>
      </w:r>
      <w:r w:rsidR="007A5A49">
        <w:rPr>
          <w:lang w:val="es-ES_tradnl"/>
        </w:rPr>
        <w:t xml:space="preserve">, </w:t>
      </w:r>
      <w:r w:rsidR="007A5A49">
        <w:rPr>
          <w:rStyle w:val="FootnoteReference"/>
          <w:lang w:val="es-ES_tradnl"/>
        </w:rPr>
        <w:footnoteReference w:customMarkFollows="1" w:id="2"/>
        <w:t>**</w:t>
      </w:r>
    </w:p>
    <w:p w:rsidR="00403A62" w:rsidRDefault="00403A62">
      <w:pPr>
        <w:pStyle w:val="RecTitle"/>
        <w:rPr>
          <w:lang w:val="es-ES_tradnl"/>
        </w:rPr>
      </w:pPr>
      <w:r>
        <w:rPr>
          <w:lang w:val="es-ES_tradnl"/>
        </w:rPr>
        <w:t>PRUEBAS  PARA  MÓDEMS  EN  ONDAS  DECAMÉTRICAS  CON  ANCHURAS  DE  BANDA</w:t>
      </w:r>
      <w:r>
        <w:rPr>
          <w:lang w:val="es-ES_tradnl"/>
        </w:rPr>
        <w:br/>
        <w:t>DE  HASTA  UNOS  12  k</w:t>
      </w:r>
      <w:r>
        <w:rPr>
          <w:caps/>
          <w:lang w:val="es-ES_tradnl"/>
        </w:rPr>
        <w:t>H</w:t>
      </w:r>
      <w:r>
        <w:rPr>
          <w:lang w:val="es-ES_tradnl"/>
        </w:rPr>
        <w:t>z  UTILIZANDO  SIMULADORES</w:t>
      </w:r>
      <w:r>
        <w:rPr>
          <w:lang w:val="es-ES_tradnl"/>
        </w:rPr>
        <w:br/>
        <w:t>DE  CANALES  IONOSFÉRICOS</w:t>
      </w:r>
    </w:p>
    <w:p w:rsidR="00403A62" w:rsidRDefault="00403A62" w:rsidP="008A345F">
      <w:pPr>
        <w:pStyle w:val="RecTitleDate"/>
        <w:spacing w:before="0"/>
        <w:rPr>
          <w:lang w:val="es-ES_tradnl"/>
        </w:rPr>
      </w:pPr>
      <w:r>
        <w:rPr>
          <w:lang w:val="es-ES_tradnl"/>
        </w:rPr>
        <w:t>(2000)</w:t>
      </w:r>
    </w:p>
    <w:p w:rsidR="00403A62" w:rsidRDefault="00403A62">
      <w:pPr>
        <w:pStyle w:val="headfoot"/>
        <w:rPr>
          <w:lang w:val="es-ES_tradnl"/>
        </w:rPr>
      </w:pPr>
      <w:r>
        <w:rPr>
          <w:lang w:val="es-ES_tradnl"/>
        </w:rPr>
        <w:t>Rec. UIT-R F.1487</w:t>
      </w:r>
    </w:p>
    <w:p w:rsidR="007A5A49" w:rsidRPr="007A5A49" w:rsidRDefault="007A5A49" w:rsidP="008A345F">
      <w:pPr>
        <w:spacing w:before="0"/>
        <w:rPr>
          <w:b/>
          <w:bCs/>
          <w:sz w:val="18"/>
          <w:lang w:val="en-US"/>
        </w:rPr>
      </w:pPr>
      <w:r>
        <w:rPr>
          <w:b/>
          <w:bCs/>
          <w:sz w:val="18"/>
          <w:lang w:val="en-US"/>
        </w:rPr>
        <w:t>Cometido</w:t>
      </w:r>
    </w:p>
    <w:p w:rsidR="007A5A49" w:rsidRPr="008A345F" w:rsidRDefault="008A345F" w:rsidP="008A345F">
      <w:pPr>
        <w:rPr>
          <w:sz w:val="18"/>
          <w:lang w:val="en-US"/>
        </w:rPr>
      </w:pPr>
      <w:r>
        <w:rPr>
          <w:sz w:val="18"/>
          <w:lang w:val="en-US"/>
        </w:rPr>
        <w:t>La presente Recomendación describe un método de pruebas para módems de transmisión ionosférica en ondas decamétricas en sistemas con anchuras de banda de hasta unos 12 kHz, y, además, un método para efectuar pruebas comparativas y cuantitativas de módems en ondas decamétricas</w:t>
      </w:r>
      <w:r w:rsidR="007A5A49" w:rsidRPr="008A345F">
        <w:rPr>
          <w:sz w:val="18"/>
          <w:lang w:val="en-US"/>
        </w:rPr>
        <w:t>.</w:t>
      </w:r>
    </w:p>
    <w:p w:rsidR="00403A62" w:rsidRDefault="00403A62">
      <w:pPr>
        <w:pStyle w:val="Normalaftertitle"/>
        <w:rPr>
          <w:lang w:val="es-ES_tradnl"/>
        </w:rPr>
      </w:pPr>
      <w:r>
        <w:rPr>
          <w:lang w:val="es-ES_tradnl"/>
        </w:rPr>
        <w:t>La Asamblea de Radiocomunicaciones de la UIT,</w:t>
      </w:r>
    </w:p>
    <w:p w:rsidR="00403A62" w:rsidRDefault="00403A62">
      <w:pPr>
        <w:pStyle w:val="call"/>
        <w:rPr>
          <w:lang w:val="es-ES_tradnl"/>
        </w:rPr>
      </w:pPr>
      <w:r>
        <w:rPr>
          <w:lang w:val="es-ES_tradnl"/>
        </w:rPr>
        <w:t>considerando</w:t>
      </w:r>
    </w:p>
    <w:p w:rsidR="00403A62" w:rsidRDefault="00403A62">
      <w:pPr>
        <w:rPr>
          <w:lang w:val="es-ES_tradnl"/>
        </w:rPr>
      </w:pPr>
      <w:r>
        <w:rPr>
          <w:lang w:val="es-ES_tradnl"/>
        </w:rPr>
        <w:t>a)</w:t>
      </w:r>
      <w:r>
        <w:rPr>
          <w:lang w:val="es-ES_tradnl"/>
        </w:rPr>
        <w:tab/>
        <w:t>que las radiocomunicaciones ionosféricas en la banda de ondas decamétricas es un medio de transmisión eficaz desde el punto de vista económico para muchos servicios que requieren funcionamiento más allá de la línea de visibilidad directa;</w:t>
      </w:r>
    </w:p>
    <w:p w:rsidR="00403A62" w:rsidRDefault="00403A62">
      <w:pPr>
        <w:rPr>
          <w:lang w:val="es-ES_tradnl"/>
        </w:rPr>
      </w:pPr>
      <w:r>
        <w:rPr>
          <w:lang w:val="es-ES_tradnl"/>
        </w:rPr>
        <w:t>b)</w:t>
      </w:r>
      <w:r>
        <w:rPr>
          <w:lang w:val="es-ES_tradnl"/>
        </w:rPr>
        <w:tab/>
        <w:t>que la simulación de canales de propagación ionosféricos podría reducir el tiempo y los gastos empleados en el estudio y comprobación del comportamiento de tales sistemas de servicios;</w:t>
      </w:r>
    </w:p>
    <w:p w:rsidR="00403A62" w:rsidRDefault="00403A62">
      <w:pPr>
        <w:rPr>
          <w:lang w:val="es-ES_tradnl"/>
        </w:rPr>
      </w:pPr>
      <w:r>
        <w:rPr>
          <w:lang w:val="es-ES_tradnl"/>
        </w:rPr>
        <w:t>c)</w:t>
      </w:r>
      <w:r>
        <w:rPr>
          <w:lang w:val="es-ES_tradnl"/>
        </w:rPr>
        <w:tab/>
        <w:t>que algunas administraciones han comunicado que existe una buena correlación entre los resultados de las pruebas realizadas en laboratorio con simuladores y los correspondientes resultados de las pruebas efectuadas durante el funcionamiento de los módems de datos,</w:t>
      </w:r>
    </w:p>
    <w:p w:rsidR="00403A62" w:rsidRDefault="00403A62">
      <w:pPr>
        <w:pStyle w:val="call"/>
        <w:rPr>
          <w:lang w:val="es-ES_tradnl"/>
        </w:rPr>
      </w:pPr>
      <w:r>
        <w:rPr>
          <w:lang w:val="es-ES_tradnl"/>
        </w:rPr>
        <w:t>recomienda</w:t>
      </w:r>
    </w:p>
    <w:p w:rsidR="00403A62" w:rsidRDefault="00403A62">
      <w:pPr>
        <w:rPr>
          <w:lang w:val="es-ES_tradnl"/>
        </w:rPr>
      </w:pPr>
      <w:r>
        <w:rPr>
          <w:b/>
          <w:bCs/>
          <w:lang w:val="es-ES_tradnl"/>
        </w:rPr>
        <w:t>1</w:t>
      </w:r>
      <w:r>
        <w:rPr>
          <w:lang w:val="es-ES_tradnl"/>
        </w:rPr>
        <w:tab/>
        <w:t>que para simular las transmisiones ionosféricas en ondas decamétricas en sistemas de hasta unos 12 kHz, se utilicen preferentemente los métodos descritos en el Anexo 1;</w:t>
      </w:r>
    </w:p>
    <w:p w:rsidR="00403A62" w:rsidRDefault="00403A62">
      <w:pPr>
        <w:rPr>
          <w:lang w:val="es-ES_tradnl"/>
        </w:rPr>
      </w:pPr>
      <w:r>
        <w:rPr>
          <w:b/>
          <w:bCs/>
          <w:lang w:val="es-ES_tradnl"/>
        </w:rPr>
        <w:t>2</w:t>
      </w:r>
      <w:r>
        <w:rPr>
          <w:lang w:val="es-ES_tradnl"/>
        </w:rPr>
        <w:tab/>
        <w:t>que se utilice el método descrito en el Anexo 2 para efectuar pruebas comparativas de los módems en ondas decamétricas;</w:t>
      </w:r>
    </w:p>
    <w:p w:rsidR="00403A62" w:rsidRDefault="00403A62">
      <w:pPr>
        <w:rPr>
          <w:lang w:val="es-ES_tradnl"/>
        </w:rPr>
      </w:pPr>
      <w:r>
        <w:rPr>
          <w:b/>
          <w:bCs/>
          <w:lang w:val="es-ES_tradnl"/>
        </w:rPr>
        <w:t>3</w:t>
      </w:r>
      <w:r>
        <w:rPr>
          <w:lang w:val="es-ES_tradnl"/>
        </w:rPr>
        <w:tab/>
        <w:t>que cuando se utilicen simuladores para predecir, en términos cuantitativos, el comportamiento que puede esperarse de un determinado módem en circuitos por ondas decamétricas, se consideren de forma provisional los parámetros de canal representativos indicados en el Anexo 3.</w:t>
      </w:r>
    </w:p>
    <w:p w:rsidR="00403A62" w:rsidRDefault="00403A62">
      <w:pPr>
        <w:pStyle w:val="Annex"/>
        <w:rPr>
          <w:lang w:val="es-ES_tradnl"/>
        </w:rPr>
      </w:pPr>
      <w:r>
        <w:rPr>
          <w:lang w:val="es-ES_tradnl"/>
        </w:rPr>
        <w:t>ANEXO  1</w:t>
      </w:r>
    </w:p>
    <w:p w:rsidR="00403A62" w:rsidRDefault="00403A62">
      <w:pPr>
        <w:pStyle w:val="AnnexTitle"/>
        <w:rPr>
          <w:lang w:val="es-ES_tradnl"/>
        </w:rPr>
      </w:pPr>
      <w:r>
        <w:rPr>
          <w:lang w:val="es-ES_tradnl"/>
        </w:rPr>
        <w:t>Simuladores de canales ionosféricos en ondas decamétricas</w:t>
      </w:r>
    </w:p>
    <w:p w:rsidR="00403A62" w:rsidRDefault="00403A62">
      <w:pPr>
        <w:pStyle w:val="Heading1"/>
        <w:rPr>
          <w:lang w:val="es-ES_tradnl"/>
        </w:rPr>
      </w:pPr>
      <w:r>
        <w:rPr>
          <w:lang w:val="es-ES_tradnl"/>
        </w:rPr>
        <w:t>1</w:t>
      </w:r>
      <w:r>
        <w:rPr>
          <w:lang w:val="es-ES_tradnl"/>
        </w:rPr>
        <w:tab/>
        <w:t>Introducción</w:t>
      </w:r>
    </w:p>
    <w:p w:rsidR="00403A62" w:rsidRDefault="00403A62">
      <w:pPr>
        <w:rPr>
          <w:lang w:val="es-ES_tradnl"/>
        </w:rPr>
      </w:pPr>
      <w:r>
        <w:rPr>
          <w:lang w:val="es-ES_tradnl"/>
        </w:rPr>
        <w:t>La propagación por trayectos múltiples y el desvanecimiento son características típicas de las radiocomunicaciones ionosféricas en ondas decamétricas. De ordinario, la señal transmitida se propaga hacia el receptor por diversos modos o trayectos, mediante una o varias reflexiones en las capas E y F de la ionosfera. Como los tiempos de propagación difieren según los trayectos, la señal en la antena receptora puede consistir en varias componentes de trayectos múltiples dispersas en el tiempo a lo largo de un intervalo de hasta varios milisegundos. La altura media de las capas ionosférica suele aumentar o disminuir según la hora, con lo que se producen distintos desplazamientos de frecuencia (efecto Doppler) en cada una de las componentes de los trayectos múltiples. La ionosfera también presenta turbulencias, lo que causa dispersión por efecto Doppler (desvanecimiento) en cada componente, y un desvanecimiento resultante de la señal compuesta recibida. Todos estos efectos producen una distorsión multiplicativa de la señal y degradan la calidad de funcionamiento de los sistemas de telecomunicaciones.</w:t>
      </w:r>
    </w:p>
    <w:p w:rsidR="00403A62" w:rsidRDefault="00403A62">
      <w:pPr>
        <w:rPr>
          <w:lang w:val="es-ES_tradnl"/>
        </w:rPr>
      </w:pPr>
      <w:r>
        <w:rPr>
          <w:lang w:val="es-ES_tradnl"/>
        </w:rPr>
        <w:br w:type="page"/>
      </w:r>
      <w:r>
        <w:rPr>
          <w:lang w:val="es-ES_tradnl"/>
        </w:rPr>
        <w:lastRenderedPageBreak/>
        <w:t>Si se transmite una señal de onda continua por un enlace en ondas decamétricas, los espectros de las componentes multitrayecto recibidas pueden tomar la forma que muestra la Fig. 1. Se observan cuatro trayectos: modo E de un salto (1E), modo F de un salto (1F), modo F de dos saltos (2F) y un modo mixto (por ejemplo, 1E </w:t>
      </w:r>
      <w:r>
        <w:rPr>
          <w:rFonts w:ascii="Symbol" w:hAnsi="Symbol"/>
          <w:lang w:val="es-ES_tradnl"/>
        </w:rPr>
        <w:t></w:t>
      </w:r>
      <w:r>
        <w:rPr>
          <w:lang w:val="es-ES_tradnl"/>
        </w:rPr>
        <w:t> 1F). Aunque las dos componentes magnetoiónicas (a y b) en el modo 1E tienen aproximadamente la misma dispersión de frecuencia (tasas de desvanecimiento), sus desplazamientos de frecuencia son muy distintos, lo que permite la resolución en frecuencia. En cada uno de los tres modos restantes, las componentes magnetoiónicas tienen prácticamente las mismas dispersiones y desplazamientos y se presentan como una sola. Las características de distorsión multiplicativa de corta duración en el canal de ondas decamétricas pueden describirse en función de los parámetros que especifican las características de pérdidas de señal, dispersión en el tiempo y dispersión de frecuencia; es decir, los diferentes tiempos de propagación en los distintos trayectos y las intensidades de señal, desplazamientos de frecuencia y dispersiones de frecuencia en cada uno de ellos. Estos parámetros están sometidos a cambios según la hora del día y la estación del año y, en general, son diferentes según el circuito geográfico.</w:t>
      </w:r>
    </w:p>
    <w:p w:rsidR="00403A62" w:rsidRDefault="00403A62">
      <w:pPr>
        <w:rPr>
          <w:lang w:val="es-ES_tradnl"/>
        </w:rPr>
      </w:pPr>
    </w:p>
    <w:p w:rsidR="00403A62" w:rsidRDefault="00403A62">
      <w:pPr>
        <w:pStyle w:val="Fig"/>
        <w:rPr>
          <w:lang w:val="es-ES_tradnl"/>
        </w:rPr>
      </w:pPr>
      <w:r>
        <w:rPr>
          <w:lang w:val="es-ES_trad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3pt;height:396pt">
            <v:imagedata r:id="rId14" o:title=""/>
          </v:shape>
        </w:pict>
      </w:r>
    </w:p>
    <w:p w:rsidR="00403A62" w:rsidRDefault="00403A62">
      <w:pPr>
        <w:pStyle w:val="Fig0"/>
        <w:rPr>
          <w:lang w:val="es-ES_tradnl"/>
        </w:rPr>
      </w:pPr>
      <w:r>
        <w:rPr>
          <w:lang w:val="es-ES_tradnl"/>
        </w:rPr>
        <w:t>FIGURE 1 / F.1487-01 = 13 CM</w:t>
      </w:r>
    </w:p>
    <w:p w:rsidR="00403A62" w:rsidRDefault="00403A62">
      <w:pPr>
        <w:rPr>
          <w:lang w:val="es-ES_tradnl"/>
        </w:rPr>
      </w:pPr>
      <w:r>
        <w:rPr>
          <w:lang w:val="es-ES_tradnl"/>
        </w:rPr>
        <w:t>Para comparar la calidad de funcionamiento de dos o más sistemas en enlaces de ondas decamétricas reales, debe comprobarse su funcionamiento simultáneamente puesto que las condiciones de propagación o del canal están sujetas a variaciones incontrolables y no se pueden reproducir a otras horas o en otros enlaces. La utilización de un simulador de canal ofrece precisión, regularidad de funcionamiento, repetibilidad, disponibilidad, amplia gama de condiciones de canal y un coste más bajo. Sin embargo, estas ventajas quedan limitadas si no es válido el modelo de canal en que se basa el diseño del simulador. La presente Recomendación describe un modelo estacionario de canal en ondas decamétricas con dispersión gaussiana. Es válido para su utilización en canales de 3 kHz y puede aplicarse a anchuras de banda de hasta 12 kHz de amplitud. Una realización práctica de este modelo puede funcionar en frecuencias de banda base (audio) y, por consiguiente, actuar directamente a la salida de un módem transmisor en ondas decamétricas y proporcionar señales directamente al módem receptor en ondas decamétricas. No obstante, cuando se considera el comportamiento de los sistemas en ondas decamétricas debe tenerse siempre en cuenta el efecto de otros componentes del sistema (por ejemplo, filtros de transmisión y recepción y nivel o control de ganancia).</w:t>
      </w:r>
    </w:p>
    <w:p w:rsidR="00403A62" w:rsidRDefault="00403A62">
      <w:pPr>
        <w:pStyle w:val="Heading2"/>
        <w:rPr>
          <w:lang w:val="es-ES_tradnl"/>
        </w:rPr>
      </w:pPr>
      <w:r>
        <w:rPr>
          <w:lang w:val="es-ES_tradnl"/>
        </w:rPr>
        <w:br w:type="page"/>
      </w:r>
      <w:r>
        <w:rPr>
          <w:lang w:val="es-ES_tradnl"/>
        </w:rPr>
        <w:lastRenderedPageBreak/>
        <w:t>2</w:t>
      </w:r>
      <w:r>
        <w:rPr>
          <w:lang w:val="es-ES_tradnl"/>
        </w:rPr>
        <w:tab/>
        <w:t xml:space="preserve">Modelo de dispersión gaussiana </w:t>
      </w:r>
    </w:p>
    <w:p w:rsidR="00403A62" w:rsidRDefault="00403A62">
      <w:pPr>
        <w:rPr>
          <w:lang w:val="es-ES_tradnl"/>
        </w:rPr>
      </w:pPr>
      <w:r>
        <w:rPr>
          <w:lang w:val="es-ES_tradnl"/>
        </w:rPr>
        <w:t xml:space="preserve">En la Fig. 2 aparece un diagrama de bloques del modelo estacionario de canal ionosférico en ondas decamétricas con dispersión gaussiana. Se conoce normalmente como modelo de Watterson. La señal de entrada (transmitida) se aplica a una línea de retardo ideal y pasa a varias derivaciones ajustables, numeradas 1, 2, ..., </w:t>
      </w:r>
      <w:r>
        <w:rPr>
          <w:i/>
          <w:iCs/>
          <w:lang w:val="es-ES_tradnl"/>
        </w:rPr>
        <w:t>i</w:t>
      </w:r>
      <w:r>
        <w:rPr>
          <w:lang w:val="es-ES_tradnl"/>
        </w:rPr>
        <w:t xml:space="preserve">, ..., </w:t>
      </w:r>
      <w:r>
        <w:rPr>
          <w:i/>
          <w:iCs/>
          <w:lang w:val="es-ES_tradnl"/>
        </w:rPr>
        <w:t>n</w:t>
      </w:r>
      <w:r>
        <w:rPr>
          <w:lang w:val="es-ES_tradnl"/>
        </w:rPr>
        <w:t xml:space="preserve">, cada una de las cuales corresponde a un modo o trayecto de propagación ionosférica. En cada derivación, la señal retardada se modula en amplitud y fase mediante la adecuada función de ganancia-derivación  compleja aleatoria, </w:t>
      </w:r>
      <w:r>
        <w:rPr>
          <w:i/>
          <w:iCs/>
          <w:lang w:val="es-ES_tradnl"/>
        </w:rPr>
        <w:t>G</w:t>
      </w:r>
      <w:r>
        <w:rPr>
          <w:i/>
          <w:iCs/>
          <w:position w:val="-4"/>
          <w:sz w:val="16"/>
          <w:lang w:val="es-ES_tradnl"/>
        </w:rPr>
        <w:t>i</w:t>
      </w:r>
      <w:r>
        <w:t>(</w:t>
      </w:r>
      <w:r>
        <w:rPr>
          <w:i/>
          <w:iCs/>
          <w:lang w:val="es-ES_tradnl"/>
        </w:rPr>
        <w:t>t</w:t>
      </w:r>
      <w:r>
        <w:t>)</w:t>
      </w:r>
      <w:r>
        <w:rPr>
          <w:lang w:val="es-ES_tradnl"/>
        </w:rPr>
        <w:t>. Las señales retardadas y moduladas se suman con ruido aditivo (gaussiano, atmosférico y/o artificial) y/o con la interferencia (señales no deseadas), para formar la señal de salida (recibida). En el modelo de canal de dispersión gaussiana, cada función de ganancia-derivación se define mediante la siguiente expresión:</w:t>
      </w:r>
    </w:p>
    <w:p w:rsidR="00403A62" w:rsidRDefault="00403A62">
      <w:pPr>
        <w:pStyle w:val="Equation"/>
        <w:rPr>
          <w:lang w:val="fr-CH"/>
        </w:rPr>
      </w:pPr>
      <w:r>
        <w:tab/>
      </w:r>
      <w:r>
        <w:tab/>
      </w:r>
      <w:r>
        <w:rPr>
          <w:position w:val="-10"/>
          <w:sz w:val="20"/>
        </w:rPr>
        <w:object w:dxaOrig="4680" w:dyaOrig="499">
          <v:shape id="_x0000_i1026" type="#_x0000_t75" style="width:234pt;height:25.2pt" o:ole="">
            <v:imagedata r:id="rId15" o:title=""/>
          </v:shape>
          <o:OLEObject Type="Embed" ProgID="Equation.3" ShapeID="_x0000_i1026" DrawAspect="Content" ObjectID="_1352550686" r:id="rId16"/>
        </w:object>
      </w:r>
      <w:r>
        <w:rPr>
          <w:lang w:val="fr-CH"/>
        </w:rPr>
        <w:tab/>
        <w:t>(1)</w:t>
      </w:r>
    </w:p>
    <w:p w:rsidR="00403A62" w:rsidRDefault="00403A62">
      <w:pPr>
        <w:spacing w:line="240" w:lineRule="exact"/>
        <w:rPr>
          <w:lang w:val="es-ES_tradnl"/>
        </w:rPr>
      </w:pPr>
      <w:r>
        <w:rPr>
          <w:lang w:val="es-ES_tradnl"/>
        </w:rPr>
        <w:t xml:space="preserve">donde los subíndices </w:t>
      </w:r>
      <w:r>
        <w:rPr>
          <w:i/>
          <w:iCs/>
          <w:lang w:val="es-ES_tradnl"/>
        </w:rPr>
        <w:t>a</w:t>
      </w:r>
      <w:r>
        <w:rPr>
          <w:lang w:val="es-ES_tradnl"/>
        </w:rPr>
        <w:t xml:space="preserve"> y </w:t>
      </w:r>
      <w:r>
        <w:rPr>
          <w:i/>
          <w:iCs/>
          <w:lang w:val="es-ES_tradnl"/>
        </w:rPr>
        <w:t>b</w:t>
      </w:r>
      <w:r>
        <w:rPr>
          <w:lang w:val="es-ES_tradnl"/>
        </w:rPr>
        <w:t xml:space="preserve"> indican las dos componentes magnetoiónicas que suelen encontrarse en cada modo o trayecto. Las tildes indican que</w:t>
      </w:r>
      <w:r>
        <w:rPr>
          <w:lang w:val="fr-CH"/>
        </w:rPr>
        <w:t xml:space="preserve"> </w:t>
      </w:r>
      <w:r>
        <w:rPr>
          <w:position w:val="-10"/>
        </w:rPr>
        <w:object w:dxaOrig="560" w:dyaOrig="340">
          <v:shape id="_x0000_i1027" type="#_x0000_t75" style="width:28.2pt;height:16.8pt" o:ole="">
            <v:imagedata r:id="rId17" o:title=""/>
          </v:shape>
          <o:OLEObject Type="Embed" ProgID="Equation.3" ShapeID="_x0000_i1027" DrawAspect="Content" ObjectID="_1352550687" r:id="rId18"/>
        </w:object>
      </w:r>
      <w:r>
        <w:rPr>
          <w:lang w:val="fr-CH"/>
        </w:rPr>
        <w:t xml:space="preserve"> y </w:t>
      </w:r>
      <w:r>
        <w:rPr>
          <w:position w:val="-10"/>
        </w:rPr>
        <w:object w:dxaOrig="560" w:dyaOrig="340">
          <v:shape id="_x0000_i1028" type="#_x0000_t75" style="width:28.2pt;height:16.8pt" o:ole="">
            <v:imagedata r:id="rId19" o:title=""/>
          </v:shape>
          <o:OLEObject Type="Embed" ProgID="Equation.3" ShapeID="_x0000_i1028" DrawAspect="Content" ObjectID="_1352550688" r:id="rId20"/>
        </w:object>
      </w:r>
      <w:r>
        <w:rPr>
          <w:lang w:val="fr-CH"/>
        </w:rPr>
        <w:t xml:space="preserve"> </w:t>
      </w:r>
      <w:r>
        <w:rPr>
          <w:lang w:val="es-ES_tradnl"/>
        </w:rPr>
        <w:t>son funciones muestra de dos complejos (bivariantes) e independientes procesos aleatorios gaussianos, ergódicos, cada uno de los cuales presenta un valor medio igual a cero y componentes reales e imaginarias independientes de igual valor eficaz que producen el desvanecimiento de Rayleigh (es decir, que son funciones de dispersión gaussiana). Se incluyen los factores exponenciales de la ecuación (1) para obtener los desplaza</w:t>
      </w:r>
      <w:r>
        <w:rPr>
          <w:lang w:val="es-ES_tradnl"/>
        </w:rPr>
        <w:softHyphen/>
        <w:t xml:space="preserve">mientos de frecuencia (Doppler) deseados, </w:t>
      </w:r>
      <w:r>
        <w:rPr>
          <w:rFonts w:ascii="Symbol" w:hAnsi="Symbol"/>
          <w:lang w:val="es-ES_tradnl"/>
        </w:rPr>
        <w:t></w:t>
      </w:r>
      <w:r>
        <w:rPr>
          <w:i/>
          <w:iCs/>
          <w:position w:val="-4"/>
          <w:sz w:val="16"/>
          <w:lang w:val="es-ES_tradnl"/>
        </w:rPr>
        <w:t>ia</w:t>
      </w:r>
      <w:r>
        <w:rPr>
          <w:lang w:val="es-ES_tradnl"/>
        </w:rPr>
        <w:t xml:space="preserve"> y </w:t>
      </w:r>
      <w:r>
        <w:rPr>
          <w:rFonts w:ascii="Symbol" w:hAnsi="Symbol"/>
          <w:lang w:val="es-ES_tradnl"/>
        </w:rPr>
        <w:t></w:t>
      </w:r>
      <w:r>
        <w:rPr>
          <w:i/>
          <w:iCs/>
          <w:position w:val="-4"/>
          <w:sz w:val="16"/>
          <w:lang w:val="es-ES_tradnl"/>
        </w:rPr>
        <w:t>ib</w:t>
      </w:r>
      <w:r>
        <w:rPr>
          <w:lang w:val="es-ES_tradnl"/>
        </w:rPr>
        <w:t>, para las componentes magnetoiónicas en el espectro de ganancia-derivación.</w:t>
      </w:r>
    </w:p>
    <w:p w:rsidR="00403A62" w:rsidRDefault="00403A62">
      <w:pPr>
        <w:spacing w:line="260" w:lineRule="exact"/>
        <w:rPr>
          <w:lang w:val="es-ES_tradnl"/>
        </w:rPr>
      </w:pPr>
    </w:p>
    <w:p w:rsidR="00403A62" w:rsidRDefault="00403A62">
      <w:pPr>
        <w:pStyle w:val="Fig"/>
        <w:rPr>
          <w:lang w:val="es-ES_tradnl"/>
        </w:rPr>
      </w:pPr>
      <w:r>
        <w:rPr>
          <w:lang w:val="es-ES_tradnl"/>
        </w:rPr>
        <w:pict>
          <v:shape id="_x0000_i1029" type="#_x0000_t75" style="width:420.6pt;height:239.4pt">
            <v:imagedata r:id="rId21" o:title=""/>
          </v:shape>
        </w:pict>
      </w:r>
    </w:p>
    <w:p w:rsidR="00403A62" w:rsidRDefault="00403A62">
      <w:pPr>
        <w:pStyle w:val="Fig0"/>
        <w:rPr>
          <w:lang w:val="es-ES_tradnl"/>
        </w:rPr>
      </w:pPr>
      <w:r>
        <w:rPr>
          <w:lang w:val="es-ES_tradnl"/>
        </w:rPr>
        <w:t>FIGURE 2 / F.1487-02 = 8 CM</w:t>
      </w:r>
    </w:p>
    <w:p w:rsidR="00403A62" w:rsidRDefault="00403A62">
      <w:pPr>
        <w:rPr>
          <w:lang w:val="es-ES_tradnl"/>
        </w:rPr>
      </w:pPr>
      <w:r>
        <w:rPr>
          <w:lang w:val="es-ES_tradnl"/>
        </w:rPr>
        <w:t>Cada función de ganancia</w:t>
      </w:r>
      <w:r>
        <w:rPr>
          <w:lang w:val="es-ES_tradnl"/>
        </w:rPr>
        <w:noBreakHyphen/>
        <w:t xml:space="preserve">derivación tiene un espectro de potencia, </w:t>
      </w:r>
      <w:r>
        <w:rPr>
          <w:i/>
          <w:iCs/>
          <w:lang w:val="es-ES_tradnl"/>
        </w:rPr>
        <w:t>f</w:t>
      </w:r>
      <w:r>
        <w:rPr>
          <w:i/>
          <w:iCs/>
          <w:position w:val="-4"/>
          <w:sz w:val="16"/>
          <w:lang w:val="es-ES_tradnl"/>
        </w:rPr>
        <w:t>i</w:t>
      </w:r>
      <w:r>
        <w:rPr>
          <w:rFonts w:ascii="Tms Rmn" w:hAnsi="Tms Rmn"/>
          <w:i/>
          <w:iCs/>
          <w:sz w:val="12"/>
          <w:lang w:val="es-ES_tradnl"/>
        </w:rPr>
        <w:t> </w:t>
      </w:r>
      <w:r>
        <w:rPr>
          <w:lang w:val="es-ES_tradnl"/>
        </w:rPr>
        <w:t>(</w:t>
      </w:r>
      <w:r>
        <w:rPr>
          <w:rFonts w:ascii="Symbol" w:hAnsi="Symbol"/>
          <w:lang w:val="es-ES_tradnl"/>
        </w:rPr>
        <w:t></w:t>
      </w:r>
      <w:r>
        <w:rPr>
          <w:lang w:val="es-ES_tradnl"/>
        </w:rPr>
        <w:t xml:space="preserve">), que generalmente consiste en la suma de las dos componentes magnetoiónicas, cada una de las cuales es una función gaussiana de la frecuencia, </w:t>
      </w:r>
      <w:r>
        <w:rPr>
          <w:rFonts w:ascii="Symbol" w:hAnsi="Symbol"/>
          <w:lang w:val="es-ES_tradnl"/>
        </w:rPr>
        <w:t></w:t>
      </w:r>
      <w:r>
        <w:rPr>
          <w:lang w:val="es-ES_tradnl"/>
        </w:rPr>
        <w:t>, especificada de la forma siguiente:</w:t>
      </w:r>
    </w:p>
    <w:p w:rsidR="00403A62" w:rsidRDefault="00403A62">
      <w:pPr>
        <w:pStyle w:val="Equation"/>
        <w:rPr>
          <w:lang w:val="fr-CH"/>
        </w:rPr>
      </w:pPr>
      <w:r>
        <w:tab/>
      </w:r>
      <w:r>
        <w:tab/>
      </w:r>
      <w:r>
        <w:rPr>
          <w:position w:val="-44"/>
          <w:sz w:val="20"/>
        </w:rPr>
        <w:object w:dxaOrig="6720" w:dyaOrig="880">
          <v:shape id="_x0000_i1030" type="#_x0000_t75" style="width:336pt;height:43.8pt" o:ole="">
            <v:imagedata r:id="rId22" o:title=""/>
          </v:shape>
          <o:OLEObject Type="Embed" ProgID="Equation.3" ShapeID="_x0000_i1030" DrawAspect="Content" ObjectID="_1352550689" r:id="rId23"/>
        </w:object>
      </w:r>
      <w:r>
        <w:rPr>
          <w:lang w:val="fr-CH"/>
        </w:rPr>
        <w:tab/>
        <w:t>(2)</w:t>
      </w:r>
    </w:p>
    <w:p w:rsidR="00403A62" w:rsidRDefault="00403A62">
      <w:pPr>
        <w:spacing w:line="240" w:lineRule="exact"/>
        <w:rPr>
          <w:lang w:val="es-ES_tradnl"/>
        </w:rPr>
      </w:pPr>
      <w:r>
        <w:rPr>
          <w:lang w:val="es-ES_tradnl"/>
        </w:rPr>
        <w:t xml:space="preserve">donde </w:t>
      </w:r>
      <w:r>
        <w:rPr>
          <w:position w:val="-10"/>
          <w:lang w:val="es-ES_tradnl"/>
        </w:rPr>
        <w:object w:dxaOrig="340" w:dyaOrig="340">
          <v:shape id="_x0000_i1031" type="#_x0000_t75" style="width:16.8pt;height:16.8pt" o:ole="">
            <v:imagedata r:id="rId24" o:title=""/>
          </v:shape>
          <o:OLEObject Type="Embed" ProgID="Equation.3" ShapeID="_x0000_i1031" DrawAspect="Content" ObjectID="_1352550690" r:id="rId25"/>
        </w:object>
      </w:r>
      <w:r>
        <w:rPr>
          <w:lang w:val="es-ES_tradnl"/>
        </w:rPr>
        <w:t xml:space="preserve"> y </w:t>
      </w:r>
      <w:r>
        <w:rPr>
          <w:position w:val="-10"/>
          <w:lang w:val="es-ES_tradnl"/>
        </w:rPr>
        <w:object w:dxaOrig="320" w:dyaOrig="340">
          <v:shape id="_x0000_i1032" type="#_x0000_t75" style="width:16.2pt;height:16.8pt" o:ole="">
            <v:imagedata r:id="rId26" o:title=""/>
          </v:shape>
          <o:OLEObject Type="Embed" ProgID="Equation.3" ShapeID="_x0000_i1032" DrawAspect="Content" ObjectID="_1352550691" r:id="rId27"/>
        </w:object>
      </w:r>
      <w:r>
        <w:rPr>
          <w:lang w:val="es-ES_tradnl"/>
        </w:rPr>
        <w:t xml:space="preserve"> son las atenuaciones de las componentes, y la dispersión de frecuencia de cada componente está determinada por 2</w:t>
      </w:r>
      <w:r>
        <w:rPr>
          <w:rFonts w:ascii="Symbol" w:hAnsi="Symbol"/>
          <w:lang w:val="es-ES_tradnl"/>
        </w:rPr>
        <w:t></w:t>
      </w:r>
      <w:r>
        <w:rPr>
          <w:i/>
          <w:iCs/>
          <w:position w:val="-4"/>
          <w:sz w:val="16"/>
          <w:lang w:val="es-ES_tradnl"/>
        </w:rPr>
        <w:t>ia</w:t>
      </w:r>
      <w:r>
        <w:rPr>
          <w:lang w:val="es-ES_tradnl"/>
        </w:rPr>
        <w:t xml:space="preserve"> y 2</w:t>
      </w:r>
      <w:r>
        <w:rPr>
          <w:rFonts w:ascii="Symbol" w:hAnsi="Symbol"/>
          <w:lang w:val="es-ES_tradnl"/>
        </w:rPr>
        <w:t></w:t>
      </w:r>
      <w:r>
        <w:rPr>
          <w:i/>
          <w:iCs/>
          <w:position w:val="-4"/>
          <w:sz w:val="16"/>
          <w:lang w:val="es-ES_tradnl"/>
        </w:rPr>
        <w:t>ib</w:t>
      </w:r>
      <w:r>
        <w:rPr>
          <w:lang w:val="es-ES_tradnl"/>
        </w:rPr>
        <w:t xml:space="preserve">. La ecuación (2) se ilustra en la Fig. 3a). Son seis los parámetros independientes que determinan una función de ganancia-derivación y su espectro: las dos atenuaciones, </w:t>
      </w:r>
      <w:r>
        <w:rPr>
          <w:position w:val="-10"/>
          <w:lang w:val="es-ES_tradnl"/>
        </w:rPr>
        <w:object w:dxaOrig="340" w:dyaOrig="340">
          <v:shape id="_x0000_i1033" type="#_x0000_t75" style="width:16.8pt;height:16.8pt" o:ole="">
            <v:imagedata r:id="rId24" o:title=""/>
          </v:shape>
          <o:OLEObject Type="Embed" ProgID="Equation.3" ShapeID="_x0000_i1033" DrawAspect="Content" ObjectID="_1352550692" r:id="rId28"/>
        </w:object>
      </w:r>
      <w:r>
        <w:rPr>
          <w:lang w:val="es-ES_tradnl"/>
        </w:rPr>
        <w:t xml:space="preserve"> y </w:t>
      </w:r>
      <w:r>
        <w:rPr>
          <w:position w:val="-10"/>
          <w:lang w:val="es-ES_tradnl"/>
        </w:rPr>
        <w:object w:dxaOrig="380" w:dyaOrig="340">
          <v:shape id="_x0000_i1034" type="#_x0000_t75" style="width:19.2pt;height:16.8pt" o:ole="">
            <v:imagedata r:id="rId29" o:title=""/>
          </v:shape>
          <o:OLEObject Type="Embed" ProgID="Equation.3" ShapeID="_x0000_i1034" DrawAspect="Content" ObjectID="_1352550693" r:id="rId30"/>
        </w:object>
      </w:r>
      <w:r>
        <w:rPr>
          <w:lang w:val="es-ES_tradnl"/>
        </w:rPr>
        <w:t xml:space="preserve"> los dos desplazamientos de frecuencia </w:t>
      </w:r>
      <w:r>
        <w:rPr>
          <w:rFonts w:ascii="Symbol" w:hAnsi="Symbol"/>
          <w:lang w:val="es-ES_tradnl"/>
        </w:rPr>
        <w:t></w:t>
      </w:r>
      <w:r>
        <w:rPr>
          <w:i/>
          <w:iCs/>
          <w:position w:val="-4"/>
          <w:sz w:val="16"/>
          <w:lang w:val="es-ES_tradnl"/>
        </w:rPr>
        <w:t>ia</w:t>
      </w:r>
      <w:r>
        <w:rPr>
          <w:lang w:val="es-ES_tradnl"/>
        </w:rPr>
        <w:t xml:space="preserve"> y </w:t>
      </w:r>
      <w:r>
        <w:rPr>
          <w:rFonts w:ascii="Symbol" w:hAnsi="Symbol"/>
          <w:lang w:val="es-ES_tradnl"/>
        </w:rPr>
        <w:t></w:t>
      </w:r>
      <w:r>
        <w:rPr>
          <w:i/>
          <w:iCs/>
          <w:position w:val="-4"/>
          <w:sz w:val="16"/>
          <w:lang w:val="es-ES_tradnl"/>
        </w:rPr>
        <w:t>ib</w:t>
      </w:r>
      <w:r>
        <w:rPr>
          <w:lang w:val="es-ES_tradnl"/>
        </w:rPr>
        <w:t>, y las dos dispersiones de frecuencia 2</w:t>
      </w:r>
      <w:r>
        <w:rPr>
          <w:rFonts w:ascii="Symbol" w:hAnsi="Symbol"/>
          <w:lang w:val="es-ES_tradnl"/>
        </w:rPr>
        <w:t></w:t>
      </w:r>
      <w:r>
        <w:rPr>
          <w:i/>
          <w:iCs/>
          <w:position w:val="-4"/>
          <w:sz w:val="16"/>
          <w:lang w:val="es-ES_tradnl"/>
        </w:rPr>
        <w:t>ia</w:t>
      </w:r>
      <w:r>
        <w:rPr>
          <w:lang w:val="es-ES_tradnl"/>
        </w:rPr>
        <w:t xml:space="preserve"> y 2</w:t>
      </w:r>
      <w:r>
        <w:rPr>
          <w:rFonts w:ascii="Symbol" w:hAnsi="Symbol"/>
          <w:lang w:val="es-ES_tradnl"/>
        </w:rPr>
        <w:t></w:t>
      </w:r>
      <w:r>
        <w:rPr>
          <w:i/>
          <w:iCs/>
          <w:position w:val="-4"/>
          <w:sz w:val="16"/>
          <w:lang w:val="es-ES_tradnl"/>
        </w:rPr>
        <w:t>ib</w:t>
      </w:r>
      <w:r>
        <w:rPr>
          <w:lang w:val="es-ES_tradnl"/>
        </w:rPr>
        <w:t>.</w:t>
      </w:r>
    </w:p>
    <w:p w:rsidR="00403A62" w:rsidRDefault="00403A62">
      <w:pPr>
        <w:rPr>
          <w:lang w:val="es-ES_tradnl"/>
        </w:rPr>
      </w:pPr>
      <w:r>
        <w:rPr>
          <w:lang w:val="es-ES_tradnl"/>
        </w:rPr>
        <w:br w:type="page"/>
      </w:r>
      <w:r>
        <w:rPr>
          <w:lang w:val="es-ES_tradnl"/>
        </w:rPr>
        <w:lastRenderedPageBreak/>
        <w:t>La función de ganancia</w:t>
      </w:r>
      <w:r>
        <w:rPr>
          <w:lang w:val="es-ES_tradnl"/>
        </w:rPr>
        <w:noBreakHyphen/>
        <w:t>derivación que describen las ecuaciones (1) y (2) es general, en el sentido de que se aplica cuando los espectros de las dos componentes magnetoiónicas son muy distintos y cuando la diferencia de sus tiempos de propagación es despreciable. Sólo se requiere uno de los dos términos de las ecuaciones (1) y (2), en los dos casos siguientes:</w:t>
      </w:r>
    </w:p>
    <w:p w:rsidR="00403A62" w:rsidRDefault="00403A62">
      <w:pPr>
        <w:pStyle w:val="enumlev1"/>
        <w:rPr>
          <w:lang w:val="es-ES_tradnl"/>
        </w:rPr>
      </w:pPr>
      <w:r>
        <w:rPr>
          <w:lang w:val="es-ES_tradnl"/>
        </w:rPr>
        <w:t>–</w:t>
      </w:r>
      <w:r>
        <w:rPr>
          <w:lang w:val="es-ES_tradnl"/>
        </w:rPr>
        <w:tab/>
        <w:t>cuando los desplazamientos y dispersiones de frecuencia así como los espectros de las dos componentes magne</w:t>
      </w:r>
      <w:r>
        <w:rPr>
          <w:lang w:val="es-ES_tradnl"/>
        </w:rPr>
        <w:softHyphen/>
        <w:t>toiónicas son casi iguales, y puede emplearse un término único con el espectro de ganancia</w:t>
      </w:r>
      <w:r>
        <w:rPr>
          <w:lang w:val="es-ES_tradnl"/>
        </w:rPr>
        <w:noBreakHyphen/>
        <w:t>derivación de la Fig. 3b);</w:t>
      </w:r>
    </w:p>
    <w:p w:rsidR="00403A62" w:rsidRDefault="00403A62">
      <w:pPr>
        <w:pStyle w:val="enumlev1"/>
        <w:rPr>
          <w:lang w:val="es-ES_tradnl"/>
        </w:rPr>
      </w:pPr>
      <w:r>
        <w:rPr>
          <w:lang w:val="es-ES_tradnl"/>
        </w:rPr>
        <w:t>–</w:t>
      </w:r>
      <w:r>
        <w:rPr>
          <w:lang w:val="es-ES_tradnl"/>
        </w:rPr>
        <w:tab/>
        <w:t>cuando las dos componentes magnetoiónicas muestran una gran diferencia en los tiempos de propagación. En este caso, deben emplearse derivaciones debidamente espaciadas de la línea de retardo, y cada una de las dos funciones de ganancia-derivación y los espectros correspondientes tendrán también un solo término, como se ilustra en la Fig. 3b).</w:t>
      </w:r>
    </w:p>
    <w:p w:rsidR="00403A62" w:rsidRDefault="00403A62">
      <w:pPr>
        <w:rPr>
          <w:lang w:val="es-ES_tradnl"/>
        </w:rPr>
      </w:pPr>
    </w:p>
    <w:p w:rsidR="00403A62" w:rsidRDefault="00403A62">
      <w:pPr>
        <w:rPr>
          <w:lang w:val="es-ES_tradnl"/>
        </w:rPr>
      </w:pPr>
    </w:p>
    <w:p w:rsidR="00403A62" w:rsidRDefault="00403A62">
      <w:pPr>
        <w:pStyle w:val="Fig"/>
        <w:rPr>
          <w:lang w:val="es-ES_tradnl"/>
        </w:rPr>
      </w:pPr>
      <w:r>
        <w:rPr>
          <w:lang w:val="es-ES_tradnl"/>
        </w:rPr>
        <w:pict>
          <v:shape id="_x0000_i1035" type="#_x0000_t75" style="width:276.6pt;height:514.2pt">
            <v:imagedata r:id="rId31" o:title=""/>
          </v:shape>
        </w:pict>
      </w:r>
    </w:p>
    <w:p w:rsidR="00403A62" w:rsidRDefault="00403A62">
      <w:pPr>
        <w:pStyle w:val="Fig0"/>
        <w:rPr>
          <w:lang w:val="es-ES_tradnl"/>
        </w:rPr>
      </w:pPr>
      <w:r>
        <w:rPr>
          <w:lang w:val="es-ES_tradnl"/>
        </w:rPr>
        <w:t>FIGURE 3 / F.1487-03 = 12 CM</w:t>
      </w:r>
    </w:p>
    <w:p w:rsidR="00403A62" w:rsidRDefault="00403A62">
      <w:pPr>
        <w:rPr>
          <w:lang w:val="es-ES_tradnl"/>
        </w:rPr>
      </w:pPr>
    </w:p>
    <w:p w:rsidR="00403A62" w:rsidRDefault="00403A62">
      <w:pPr>
        <w:pStyle w:val="Heading1"/>
        <w:rPr>
          <w:lang w:val="es-ES_tradnl"/>
        </w:rPr>
      </w:pPr>
      <w:r>
        <w:rPr>
          <w:lang w:val="es-ES_tradnl"/>
        </w:rPr>
        <w:br w:type="page"/>
      </w:r>
      <w:r>
        <w:rPr>
          <w:lang w:val="es-ES_tradnl"/>
        </w:rPr>
        <w:lastRenderedPageBreak/>
        <w:t>3</w:t>
      </w:r>
      <w:r>
        <w:rPr>
          <w:lang w:val="es-ES_tradnl"/>
        </w:rPr>
        <w:tab/>
        <w:t>Modos especulares</w:t>
      </w:r>
    </w:p>
    <w:p w:rsidR="00403A62" w:rsidRDefault="00403A62">
      <w:pPr>
        <w:rPr>
          <w:lang w:val="es-ES_tradnl"/>
        </w:rPr>
      </w:pPr>
      <w:r>
        <w:rPr>
          <w:lang w:val="es-ES_tradnl"/>
        </w:rPr>
        <w:t xml:space="preserve">El modelo de dispersión gaussiana puede representar con precisión la mayoría de los típicos enlaces ionosféricos en ondas decamétricas. Una componente especular en modo de onda ionosférica puede simularse fácilmente añadiendo una derivación de retardo sin desvanecimiento con el mismo desplazamiento de frecuencia que el espectro del modo correspondiente. Por consiguiente, en la Fig. 3 las componentes especulares aparecerían como funciones de delta de Dirac en </w:t>
      </w:r>
      <w:r>
        <w:rPr>
          <w:rFonts w:ascii="Symbol" w:hAnsi="Symbol"/>
          <w:lang w:val="es-ES_tradnl"/>
        </w:rPr>
        <w:t></w:t>
      </w:r>
      <w:r>
        <w:rPr>
          <w:i/>
          <w:iCs/>
          <w:position w:val="-4"/>
          <w:sz w:val="16"/>
          <w:lang w:val="es-ES_tradnl"/>
        </w:rPr>
        <w:t>ia</w:t>
      </w:r>
      <w:r>
        <w:rPr>
          <w:lang w:val="es-ES_tradnl"/>
        </w:rPr>
        <w:t xml:space="preserve">, </w:t>
      </w:r>
      <w:r>
        <w:rPr>
          <w:rFonts w:ascii="Symbol" w:hAnsi="Symbol"/>
          <w:lang w:val="es-ES_tradnl"/>
        </w:rPr>
        <w:t></w:t>
      </w:r>
      <w:r>
        <w:rPr>
          <w:i/>
          <w:iCs/>
          <w:position w:val="-4"/>
          <w:sz w:val="16"/>
          <w:lang w:val="es-ES_tradnl"/>
        </w:rPr>
        <w:t>ib</w:t>
      </w:r>
      <w:r>
        <w:rPr>
          <w:lang w:val="es-ES_tradnl"/>
        </w:rPr>
        <w:t xml:space="preserve"> y </w:t>
      </w:r>
      <w:r>
        <w:rPr>
          <w:rFonts w:ascii="Symbol" w:hAnsi="Symbol"/>
          <w:lang w:val="es-ES_tradnl"/>
        </w:rPr>
        <w:t></w:t>
      </w:r>
      <w:r>
        <w:rPr>
          <w:i/>
          <w:iCs/>
          <w:position w:val="-4"/>
          <w:sz w:val="16"/>
          <w:lang w:val="es-ES_tradnl"/>
        </w:rPr>
        <w:t>i</w:t>
      </w:r>
      <w:r>
        <w:rPr>
          <w:lang w:val="es-ES_tradnl"/>
        </w:rPr>
        <w:t>, conforme proceda.</w:t>
      </w:r>
    </w:p>
    <w:p w:rsidR="00403A62" w:rsidRDefault="00403A62">
      <w:pPr>
        <w:rPr>
          <w:lang w:val="es-ES_tradnl"/>
        </w:rPr>
      </w:pPr>
      <w:r>
        <w:rPr>
          <w:lang w:val="es-ES_tradnl"/>
        </w:rPr>
        <w:t>La onda de superficie presente en un enlace corto es esencialmente sin desvanecimiento y también puede representarse mediante una derivación sin desvanecimiento en el retardo de tiempo de grupo apropiado.</w:t>
      </w:r>
    </w:p>
    <w:p w:rsidR="00403A62" w:rsidRDefault="00403A62">
      <w:pPr>
        <w:pStyle w:val="Heading1"/>
        <w:rPr>
          <w:lang w:val="es-ES_tradnl"/>
        </w:rPr>
      </w:pPr>
      <w:r>
        <w:rPr>
          <w:lang w:val="es-ES_tradnl"/>
        </w:rPr>
        <w:t>4</w:t>
      </w:r>
      <w:r>
        <w:rPr>
          <w:lang w:val="es-ES_tradnl"/>
        </w:rPr>
        <w:tab/>
        <w:t>Modelos para canales en ondas decamétricas con más de 12 kHz de anchura de banda</w:t>
      </w:r>
    </w:p>
    <w:p w:rsidR="00403A62" w:rsidRDefault="00403A62">
      <w:pPr>
        <w:rPr>
          <w:lang w:val="es-ES_tradnl"/>
        </w:rPr>
      </w:pPr>
      <w:r>
        <w:rPr>
          <w:lang w:val="es-ES_tradnl"/>
        </w:rPr>
        <w:t>Si bien el modelo de dispersión gaussiana antes indicado ha sido validado para su utilización con canales en ondas decamétricas de 3 kHz, y puede ser adecuado también para canales de hasta 12 kHz de amplitud, en el caso de anchuras de banda mayores (es decir, anchuras de banda ampliadas entre 12 kHz y, aproximadamente, 1 MHz) su empleo ya no es tan adecuado, al menos por dos razones. En primer lugar, la especificación de un modelo para caracterizar tales canales de anchura de banda ampliada ha demostrado ser difícil debido a la falta de información de canal en ese régimen. En segundo lugar, hay escasez de módems de anchura de banda ampliada adecuados para la validación del modelo.</w:t>
      </w:r>
    </w:p>
    <w:p w:rsidR="00403A62" w:rsidRDefault="00403A62">
      <w:pPr>
        <w:rPr>
          <w:lang w:val="es-ES_tradnl"/>
        </w:rPr>
      </w:pPr>
      <w:r>
        <w:rPr>
          <w:lang w:val="es-ES_tradnl"/>
        </w:rPr>
        <w:t>A pesar de las dificultades en la generalización, se contempla una extensión del modelo de canal de 3 kHz, basándose en la creencia de que tal modelo puede ser necesario en un próximo futuro. En consecuencia, se han emprendido estudios para tener en cuenta anchuras de banda de canal superiores a unos 12 kHz utilizando ampliaciones lógicas del actual modelo gaussiano. Aunque la lógica es generalmente defendible, se necesitan más desarrollos y pruebas de validación antes de recomendar un modelo general de canal de anchura de banda ampliada. Para simulaciones de anchura de banda muy amplias este método de ampliación puede que no sea adecuado debido a que las condiciones de canal pueden variar dentro de la anchura de banda de transmisión.</w:t>
      </w:r>
    </w:p>
    <w:p w:rsidR="00403A62" w:rsidRDefault="00403A62">
      <w:pPr>
        <w:rPr>
          <w:lang w:val="es-ES_tradnl"/>
        </w:rPr>
      </w:pPr>
    </w:p>
    <w:p w:rsidR="00403A62" w:rsidRDefault="00403A62">
      <w:pPr>
        <w:rPr>
          <w:lang w:val="es-ES_tradnl"/>
        </w:rPr>
      </w:pPr>
    </w:p>
    <w:p w:rsidR="00403A62" w:rsidRDefault="00403A62">
      <w:pPr>
        <w:rPr>
          <w:lang w:val="es-ES_tradnl"/>
        </w:rPr>
      </w:pPr>
    </w:p>
    <w:p w:rsidR="00403A62" w:rsidRDefault="00403A62">
      <w:pPr>
        <w:rPr>
          <w:lang w:val="es-ES_tradnl"/>
        </w:rPr>
      </w:pPr>
    </w:p>
    <w:p w:rsidR="00403A62" w:rsidRDefault="00403A62">
      <w:pPr>
        <w:pStyle w:val="Annex"/>
        <w:rPr>
          <w:lang w:val="es-ES_tradnl"/>
        </w:rPr>
      </w:pPr>
      <w:r>
        <w:rPr>
          <w:lang w:val="es-ES_tradnl"/>
        </w:rPr>
        <w:t>ANEXO  2</w:t>
      </w:r>
    </w:p>
    <w:p w:rsidR="00403A62" w:rsidRDefault="00403A62">
      <w:pPr>
        <w:pStyle w:val="AnnexTitle"/>
        <w:rPr>
          <w:lang w:val="es-ES_tradnl"/>
        </w:rPr>
      </w:pPr>
      <w:r>
        <w:rPr>
          <w:lang w:val="es-ES_tradnl"/>
        </w:rPr>
        <w:t>Prueba comparativa de módems en ondas decamétricas</w:t>
      </w:r>
    </w:p>
    <w:p w:rsidR="00403A62" w:rsidRDefault="00403A62">
      <w:pPr>
        <w:pStyle w:val="Heading1"/>
        <w:rPr>
          <w:lang w:val="es-ES_tradnl"/>
        </w:rPr>
      </w:pPr>
      <w:r>
        <w:rPr>
          <w:lang w:val="es-ES_tradnl"/>
        </w:rPr>
        <w:t>1</w:t>
      </w:r>
      <w:r>
        <w:rPr>
          <w:lang w:val="es-ES_tradnl"/>
        </w:rPr>
        <w:tab/>
        <w:t>Introducción</w:t>
      </w:r>
    </w:p>
    <w:p w:rsidR="00403A62" w:rsidRDefault="00403A62">
      <w:pPr>
        <w:rPr>
          <w:lang w:val="es-ES_tradnl"/>
        </w:rPr>
      </w:pPr>
      <w:r>
        <w:rPr>
          <w:lang w:val="es-ES_tradnl"/>
        </w:rPr>
        <w:t>La generalidad de la arquitectura del simulador descrita en el Anexo 1 permite simular una amplia gama de condiciones de canal ionosférico en ondas decamétricas. Ello puede ser problemático cuando se necesita realizar una comparación general entre los distintos módems en ondas decamétricas. Este Anexo describe una técnica que utiliza una simulación simplificada de canal en ondas decamétricas para proporcionar de forma gráfica una caracterización completa de la calidad de funcionamiento de los módems en ondas decamétricas.</w:t>
      </w:r>
    </w:p>
    <w:p w:rsidR="00403A62" w:rsidRDefault="00403A62">
      <w:pPr>
        <w:pStyle w:val="Heading1"/>
        <w:rPr>
          <w:lang w:val="es-ES_tradnl"/>
        </w:rPr>
      </w:pPr>
      <w:r>
        <w:rPr>
          <w:lang w:val="es-ES_tradnl"/>
        </w:rPr>
        <w:t>2</w:t>
      </w:r>
      <w:r>
        <w:rPr>
          <w:lang w:val="es-ES_tradnl"/>
        </w:rPr>
        <w:tab/>
        <w:t>Técnica de caracterización del módem</w:t>
      </w:r>
    </w:p>
    <w:p w:rsidR="00403A62" w:rsidRDefault="00403A62">
      <w:pPr>
        <w:rPr>
          <w:lang w:val="es-ES_tradnl"/>
        </w:rPr>
      </w:pPr>
      <w:r>
        <w:rPr>
          <w:lang w:val="es-ES_tradnl"/>
        </w:rPr>
        <w:t>La técnica de caracterización utiliza una simulación de dos modos de onda ionosférica en ondas decamétricas con desva</w:t>
      </w:r>
      <w:r>
        <w:rPr>
          <w:lang w:val="es-ES_tradnl"/>
        </w:rPr>
        <w:softHyphen/>
        <w:t xml:space="preserve">necimiento independiente. Se desprecia la división magnetoiónica; es decir, únicamente se utiliza un término de las ecuaciones (1) y (2) del Anexo 1. Ambos modos presentan una atenuación media igual, las mismas dispersiones y desplazamientos por efecto Doppler y están separados por un retardo multitrayecto. La relación </w:t>
      </w:r>
      <w:r>
        <w:rPr>
          <w:i/>
          <w:iCs/>
          <w:lang w:val="es-ES_tradnl"/>
        </w:rPr>
        <w:t>S</w:t>
      </w:r>
      <w:r>
        <w:rPr>
          <w:lang w:val="es-ES_tradnl"/>
        </w:rPr>
        <w:t>/</w:t>
      </w:r>
      <w:r>
        <w:rPr>
          <w:i/>
          <w:iCs/>
          <w:lang w:val="es-ES_tradnl"/>
        </w:rPr>
        <w:t>N</w:t>
      </w:r>
      <w:r>
        <w:rPr>
          <w:lang w:val="es-ES_tradnl"/>
        </w:rPr>
        <w:t xml:space="preserve"> se ajusta añadiendo ruido gaussiano limitado en banda.</w:t>
      </w:r>
    </w:p>
    <w:p w:rsidR="00403A62" w:rsidRDefault="00403A62">
      <w:pPr>
        <w:rPr>
          <w:lang w:val="es-ES_tradnl"/>
        </w:rPr>
      </w:pPr>
      <w:r>
        <w:rPr>
          <w:lang w:val="es-ES_tradnl"/>
        </w:rPr>
        <w:br w:type="page"/>
      </w:r>
      <w:r>
        <w:rPr>
          <w:lang w:val="es-ES_tradnl"/>
        </w:rPr>
        <w:lastRenderedPageBreak/>
        <w:t xml:space="preserve">Si bien la desviación por efecto Doppler se mantiene fija (normalmente a un valor cero), la calidad de funcionamiento de un módem se mide de acuerdo con un conjunto común de criterios de prueba, tales como los que se especifican en el Cuadro 1. Para medir dicha calidad de funcionamiento del módem se utiliza como parámetro la BER. En cada combinación de dispersión por efecto Doppler/retardo multitrayecto se determina el valor de la </w:t>
      </w:r>
      <w:r>
        <w:rPr>
          <w:i/>
          <w:iCs/>
          <w:lang w:val="es-ES_tradnl"/>
        </w:rPr>
        <w:t>S</w:t>
      </w:r>
      <w:r>
        <w:rPr>
          <w:lang w:val="es-ES_tradnl"/>
        </w:rPr>
        <w:t>/</w:t>
      </w:r>
      <w:r>
        <w:rPr>
          <w:i/>
          <w:iCs/>
          <w:lang w:val="es-ES_tradnl"/>
        </w:rPr>
        <w:t>N</w:t>
      </w:r>
      <w:r>
        <w:rPr>
          <w:lang w:val="es-ES_tradnl"/>
        </w:rPr>
        <w:t xml:space="preserve"> que produce una BER dentro de la gama aceptable (la duración de cada prueba debe determinarse mediante el algoritmo indicado en el § 6 del Anexo 3; tales duraciones de la prueba han demostrado ser satisfactorias en la práctica). Los datos resultantes pueden presentarse en un gráfico tridimensional en el que los ejes ortogonales representan el valor de la </w:t>
      </w:r>
      <w:r>
        <w:rPr>
          <w:i/>
          <w:iCs/>
          <w:lang w:val="es-ES_tradnl"/>
        </w:rPr>
        <w:t>S</w:t>
      </w:r>
      <w:r>
        <w:rPr>
          <w:lang w:val="es-ES_tradnl"/>
        </w:rPr>
        <w:t>/</w:t>
      </w:r>
      <w:r>
        <w:rPr>
          <w:i/>
          <w:iCs/>
          <w:lang w:val="es-ES_tradnl"/>
        </w:rPr>
        <w:t>N</w:t>
      </w:r>
      <w:r>
        <w:rPr>
          <w:lang w:val="es-ES_tradnl"/>
        </w:rPr>
        <w:t xml:space="preserve"> (hasta un máximo valor admitido), la dispersión por efecto Doppler y el retardo multitrayecto. Dentro del espacio tridimensional, el lugar geométrico de los puntos de una BER constante constituye una superficie que indica el comportamiento del módem en la gama de condiciones de canal probadas.</w:t>
      </w:r>
    </w:p>
    <w:p w:rsidR="00403A62" w:rsidRDefault="00403A62">
      <w:pPr>
        <w:rPr>
          <w:lang w:val="es-ES_tradnl"/>
        </w:rPr>
      </w:pPr>
    </w:p>
    <w:p w:rsidR="00403A62" w:rsidRDefault="00403A62">
      <w:pPr>
        <w:pStyle w:val="Table"/>
        <w:rPr>
          <w:lang w:val="es-ES_tradnl"/>
        </w:rPr>
      </w:pPr>
      <w:r>
        <w:rPr>
          <w:lang w:val="es-ES_tradnl"/>
        </w:rPr>
        <w:t>CUADRO  1</w:t>
      </w:r>
    </w:p>
    <w:p w:rsidR="00403A62" w:rsidRDefault="00403A62">
      <w:pPr>
        <w:pStyle w:val="TableTitle"/>
        <w:rPr>
          <w:lang w:val="es-ES_tradnl"/>
        </w:rPr>
      </w:pPr>
      <w:r>
        <w:rPr>
          <w:lang w:val="es-ES_tradnl"/>
        </w:rPr>
        <w:t>Criterios sugeridos para las pruebas comparativas del módem</w:t>
      </w:r>
    </w:p>
    <w:p w:rsidR="00403A62" w:rsidRDefault="00403A62">
      <w:pPr>
        <w:pStyle w:val="Blanc"/>
        <w:rPr>
          <w:lang w:val="es-ES_tradnl"/>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4536"/>
        <w:gridCol w:w="2268"/>
        <w:gridCol w:w="1701"/>
      </w:tblGrid>
      <w:tr w:rsidR="00403A62">
        <w:tblPrEx>
          <w:tblCellMar>
            <w:top w:w="0" w:type="dxa"/>
            <w:bottom w:w="0" w:type="dxa"/>
          </w:tblCellMar>
        </w:tblPrEx>
        <w:trPr>
          <w:cantSplit/>
        </w:trPr>
        <w:tc>
          <w:tcPr>
            <w:tcW w:w="4536" w:type="dxa"/>
          </w:tcPr>
          <w:p w:rsidR="00403A62" w:rsidRDefault="00403A62">
            <w:pPr>
              <w:pStyle w:val="TableText"/>
              <w:framePr w:hSpace="181" w:wrap="notBeside" w:vAnchor="text" w:hAnchor="text" w:xAlign="center" w:y="1"/>
              <w:jc w:val="center"/>
              <w:rPr>
                <w:lang w:val="es-ES_tradnl"/>
              </w:rPr>
            </w:pPr>
            <w:r>
              <w:rPr>
                <w:lang w:val="es-ES_tradnl"/>
              </w:rPr>
              <w:t>Parámetro de entrada</w:t>
            </w:r>
          </w:p>
        </w:tc>
        <w:tc>
          <w:tcPr>
            <w:tcW w:w="2268" w:type="dxa"/>
          </w:tcPr>
          <w:p w:rsidR="00403A62" w:rsidRDefault="00403A62">
            <w:pPr>
              <w:pStyle w:val="TableText"/>
              <w:framePr w:hSpace="181" w:wrap="notBeside" w:vAnchor="text" w:hAnchor="text" w:xAlign="center" w:y="1"/>
              <w:jc w:val="center"/>
              <w:rPr>
                <w:lang w:val="es-ES_tradnl"/>
              </w:rPr>
            </w:pPr>
            <w:r>
              <w:rPr>
                <w:lang w:val="es-ES_tradnl"/>
              </w:rPr>
              <w:t>Gama</w:t>
            </w:r>
          </w:p>
        </w:tc>
        <w:tc>
          <w:tcPr>
            <w:tcW w:w="1701" w:type="dxa"/>
          </w:tcPr>
          <w:p w:rsidR="00403A62" w:rsidRDefault="00403A62">
            <w:pPr>
              <w:pStyle w:val="TableText"/>
              <w:framePr w:hSpace="181" w:wrap="notBeside" w:vAnchor="text" w:hAnchor="text" w:xAlign="center" w:y="1"/>
              <w:jc w:val="center"/>
              <w:rPr>
                <w:lang w:val="es-ES_tradnl"/>
              </w:rPr>
            </w:pPr>
            <w:r>
              <w:rPr>
                <w:lang w:val="es-ES_tradnl"/>
              </w:rPr>
              <w:t>Incremento</w:t>
            </w:r>
          </w:p>
        </w:tc>
      </w:tr>
      <w:tr w:rsidR="00403A62">
        <w:tblPrEx>
          <w:tblCellMar>
            <w:top w:w="0" w:type="dxa"/>
            <w:bottom w:w="0" w:type="dxa"/>
          </w:tblCellMar>
        </w:tblPrEx>
        <w:trPr>
          <w:cantSplit/>
        </w:trPr>
        <w:tc>
          <w:tcPr>
            <w:tcW w:w="4536" w:type="dxa"/>
            <w:tcBorders>
              <w:bottom w:val="nil"/>
            </w:tcBorders>
          </w:tcPr>
          <w:p w:rsidR="00403A62" w:rsidRDefault="00403A62">
            <w:pPr>
              <w:pStyle w:val="TableText"/>
              <w:framePr w:hSpace="181" w:wrap="notBeside" w:vAnchor="text" w:hAnchor="text" w:xAlign="center" w:y="1"/>
              <w:jc w:val="left"/>
              <w:rPr>
                <w:lang w:val="es-ES_tradnl"/>
              </w:rPr>
            </w:pPr>
            <w:r>
              <w:rPr>
                <w:lang w:val="es-ES_tradnl"/>
              </w:rPr>
              <w:t>Diferencia de tiempos de propagación debida al efecto multitrayecto (ms)</w:t>
            </w:r>
          </w:p>
        </w:tc>
        <w:tc>
          <w:tcPr>
            <w:tcW w:w="2268" w:type="dxa"/>
            <w:tcBorders>
              <w:left w:val="nil"/>
              <w:bottom w:val="nil"/>
            </w:tcBorders>
          </w:tcPr>
          <w:p w:rsidR="00403A62" w:rsidRDefault="00403A62">
            <w:pPr>
              <w:pStyle w:val="TableText"/>
              <w:framePr w:hSpace="181" w:wrap="notBeside" w:vAnchor="text" w:hAnchor="text" w:xAlign="center" w:y="1"/>
              <w:jc w:val="center"/>
              <w:rPr>
                <w:lang w:val="es-ES_tradnl"/>
              </w:rPr>
            </w:pPr>
            <w:r>
              <w:rPr>
                <w:lang w:val="es-ES_tradnl"/>
              </w:rPr>
              <w:t>0-4</w:t>
            </w:r>
          </w:p>
          <w:p w:rsidR="00403A62" w:rsidRDefault="00403A62">
            <w:pPr>
              <w:pStyle w:val="TableText"/>
              <w:framePr w:hSpace="181" w:wrap="notBeside" w:vAnchor="text" w:hAnchor="text" w:xAlign="center" w:y="1"/>
              <w:spacing w:before="0"/>
              <w:jc w:val="center"/>
              <w:rPr>
                <w:lang w:val="es-ES_tradnl"/>
              </w:rPr>
            </w:pPr>
            <w:r>
              <w:rPr>
                <w:lang w:val="es-ES_tradnl"/>
              </w:rPr>
              <w:t>4-12</w:t>
            </w:r>
          </w:p>
          <w:p w:rsidR="00403A62" w:rsidRDefault="00403A62">
            <w:pPr>
              <w:pStyle w:val="TableText"/>
              <w:framePr w:hSpace="181" w:wrap="notBeside" w:vAnchor="text" w:hAnchor="text" w:xAlign="center" w:y="1"/>
              <w:spacing w:before="0"/>
              <w:jc w:val="center"/>
              <w:rPr>
                <w:lang w:val="es-ES_tradnl"/>
              </w:rPr>
            </w:pPr>
            <w:r>
              <w:rPr>
                <w:lang w:val="es-ES_tradnl"/>
              </w:rPr>
              <w:t>12-20</w:t>
            </w:r>
          </w:p>
        </w:tc>
        <w:tc>
          <w:tcPr>
            <w:tcW w:w="1701" w:type="dxa"/>
            <w:tcBorders>
              <w:left w:val="nil"/>
              <w:bottom w:val="nil"/>
            </w:tcBorders>
          </w:tcPr>
          <w:p w:rsidR="00403A62" w:rsidRDefault="00403A62">
            <w:pPr>
              <w:pStyle w:val="TableText"/>
              <w:framePr w:hSpace="181" w:wrap="notBeside" w:vAnchor="text" w:hAnchor="text" w:xAlign="center" w:y="1"/>
              <w:jc w:val="center"/>
              <w:rPr>
                <w:lang w:val="es-ES_tradnl"/>
              </w:rPr>
            </w:pPr>
            <w:r>
              <w:rPr>
                <w:lang w:val="es-ES_tradnl"/>
              </w:rPr>
              <w:t>0,5</w:t>
            </w:r>
          </w:p>
          <w:p w:rsidR="00403A62" w:rsidRDefault="00403A62">
            <w:pPr>
              <w:pStyle w:val="TableText"/>
              <w:framePr w:hSpace="181" w:wrap="notBeside" w:vAnchor="text" w:hAnchor="text" w:xAlign="center" w:y="1"/>
              <w:spacing w:before="0"/>
              <w:jc w:val="center"/>
              <w:rPr>
                <w:lang w:val="es-ES_tradnl"/>
              </w:rPr>
            </w:pPr>
            <w:r>
              <w:rPr>
                <w:lang w:val="es-ES_tradnl"/>
              </w:rPr>
              <w:t>1,0</w:t>
            </w:r>
          </w:p>
          <w:p w:rsidR="00403A62" w:rsidRDefault="00403A62">
            <w:pPr>
              <w:pStyle w:val="TableText"/>
              <w:framePr w:hSpace="181" w:wrap="notBeside" w:vAnchor="text" w:hAnchor="text" w:xAlign="center" w:y="1"/>
              <w:spacing w:before="0"/>
              <w:jc w:val="center"/>
              <w:rPr>
                <w:lang w:val="es-ES_tradnl"/>
              </w:rPr>
            </w:pPr>
            <w:r>
              <w:rPr>
                <w:lang w:val="es-ES_tradnl"/>
              </w:rPr>
              <w:t>2,0</w:t>
            </w:r>
          </w:p>
        </w:tc>
      </w:tr>
      <w:tr w:rsidR="00403A62">
        <w:tblPrEx>
          <w:tblCellMar>
            <w:top w:w="0" w:type="dxa"/>
            <w:bottom w:w="0" w:type="dxa"/>
          </w:tblCellMar>
        </w:tblPrEx>
        <w:trPr>
          <w:cantSplit/>
        </w:trPr>
        <w:tc>
          <w:tcPr>
            <w:tcW w:w="4536" w:type="dxa"/>
            <w:tcBorders>
              <w:bottom w:val="single" w:sz="6" w:space="0" w:color="auto"/>
            </w:tcBorders>
          </w:tcPr>
          <w:p w:rsidR="00403A62" w:rsidRDefault="00403A62">
            <w:pPr>
              <w:pStyle w:val="TableText"/>
              <w:framePr w:hSpace="181" w:wrap="notBeside" w:vAnchor="text" w:hAnchor="text" w:xAlign="center" w:y="1"/>
              <w:jc w:val="left"/>
              <w:rPr>
                <w:lang w:val="es-ES_tradnl"/>
              </w:rPr>
            </w:pPr>
            <w:r>
              <w:rPr>
                <w:lang w:val="es-ES_tradnl"/>
              </w:rPr>
              <w:t>Dispersión por efecto Doppler (Hz)</w:t>
            </w:r>
          </w:p>
        </w:tc>
        <w:tc>
          <w:tcPr>
            <w:tcW w:w="2268" w:type="dxa"/>
            <w:tcBorders>
              <w:left w:val="nil"/>
              <w:bottom w:val="single" w:sz="6" w:space="0" w:color="auto"/>
            </w:tcBorders>
          </w:tcPr>
          <w:p w:rsidR="00403A62" w:rsidRDefault="00403A62">
            <w:pPr>
              <w:pStyle w:val="TableText"/>
              <w:framePr w:hSpace="181" w:wrap="notBeside" w:vAnchor="text" w:hAnchor="text" w:xAlign="center" w:y="1"/>
              <w:jc w:val="center"/>
              <w:rPr>
                <w:lang w:val="es-ES_tradnl"/>
              </w:rPr>
            </w:pPr>
            <w:r>
              <w:rPr>
                <w:lang w:val="es-ES_tradnl"/>
              </w:rPr>
              <w:t>0,1</w:t>
            </w:r>
          </w:p>
          <w:p w:rsidR="00403A62" w:rsidRDefault="00403A62">
            <w:pPr>
              <w:pStyle w:val="TableText"/>
              <w:framePr w:hSpace="181" w:wrap="notBeside" w:vAnchor="text" w:hAnchor="text" w:xAlign="center" w:y="1"/>
              <w:spacing w:before="0"/>
              <w:jc w:val="center"/>
              <w:rPr>
                <w:lang w:val="es-ES_tradnl"/>
              </w:rPr>
            </w:pPr>
            <w:r>
              <w:rPr>
                <w:lang w:val="es-ES_tradnl"/>
              </w:rPr>
              <w:t>0,5-4,0</w:t>
            </w:r>
          </w:p>
          <w:p w:rsidR="00403A62" w:rsidRDefault="00403A62">
            <w:pPr>
              <w:pStyle w:val="TableText"/>
              <w:framePr w:hSpace="181" w:wrap="notBeside" w:vAnchor="text" w:hAnchor="text" w:xAlign="center" w:y="1"/>
              <w:spacing w:before="0"/>
              <w:jc w:val="center"/>
              <w:rPr>
                <w:lang w:val="es-ES_tradnl"/>
              </w:rPr>
            </w:pPr>
            <w:r>
              <w:rPr>
                <w:lang w:val="es-ES_tradnl"/>
              </w:rPr>
              <w:t>4-20</w:t>
            </w:r>
          </w:p>
          <w:p w:rsidR="00403A62" w:rsidRDefault="00403A62">
            <w:pPr>
              <w:pStyle w:val="TableText"/>
              <w:framePr w:hSpace="181" w:wrap="notBeside" w:vAnchor="text" w:hAnchor="text" w:xAlign="center" w:y="1"/>
              <w:spacing w:before="0"/>
              <w:jc w:val="center"/>
              <w:rPr>
                <w:lang w:val="es-ES_tradnl"/>
              </w:rPr>
            </w:pPr>
            <w:r>
              <w:rPr>
                <w:lang w:val="es-ES_tradnl"/>
              </w:rPr>
              <w:t>20-40</w:t>
            </w:r>
          </w:p>
        </w:tc>
        <w:tc>
          <w:tcPr>
            <w:tcW w:w="1701" w:type="dxa"/>
            <w:tcBorders>
              <w:left w:val="nil"/>
              <w:bottom w:val="single" w:sz="6" w:space="0" w:color="auto"/>
            </w:tcBorders>
          </w:tcPr>
          <w:p w:rsidR="00403A62" w:rsidRDefault="00403A62">
            <w:pPr>
              <w:pStyle w:val="TableText"/>
              <w:framePr w:hSpace="181" w:wrap="notBeside" w:vAnchor="text" w:hAnchor="text" w:xAlign="center" w:y="1"/>
              <w:jc w:val="center"/>
              <w:rPr>
                <w:lang w:val="es-ES_tradnl"/>
              </w:rPr>
            </w:pPr>
            <w:r>
              <w:rPr>
                <w:lang w:val="es-ES_tradnl"/>
              </w:rPr>
              <w:t>No aplicable</w:t>
            </w:r>
          </w:p>
          <w:p w:rsidR="00403A62" w:rsidRDefault="00403A62">
            <w:pPr>
              <w:pStyle w:val="TableText"/>
              <w:framePr w:hSpace="181" w:wrap="notBeside" w:vAnchor="text" w:hAnchor="text" w:xAlign="center" w:y="1"/>
              <w:spacing w:before="0"/>
              <w:jc w:val="center"/>
              <w:rPr>
                <w:lang w:val="es-ES_tradnl"/>
              </w:rPr>
            </w:pPr>
            <w:r>
              <w:rPr>
                <w:lang w:val="es-ES_tradnl"/>
              </w:rPr>
              <w:t>0,5</w:t>
            </w:r>
          </w:p>
          <w:p w:rsidR="00403A62" w:rsidRDefault="00403A62">
            <w:pPr>
              <w:pStyle w:val="TableText"/>
              <w:framePr w:hSpace="181" w:wrap="notBeside" w:vAnchor="text" w:hAnchor="text" w:xAlign="center" w:y="1"/>
              <w:spacing w:before="0"/>
              <w:jc w:val="center"/>
              <w:rPr>
                <w:lang w:val="es-ES_tradnl"/>
              </w:rPr>
            </w:pPr>
            <w:r>
              <w:rPr>
                <w:lang w:val="es-ES_tradnl"/>
              </w:rPr>
              <w:t>2</w:t>
            </w:r>
          </w:p>
          <w:p w:rsidR="00403A62" w:rsidRDefault="00403A62">
            <w:pPr>
              <w:pStyle w:val="TableText"/>
              <w:framePr w:hSpace="181" w:wrap="notBeside" w:vAnchor="text" w:hAnchor="text" w:xAlign="center" w:y="1"/>
              <w:spacing w:before="0"/>
              <w:jc w:val="center"/>
              <w:rPr>
                <w:lang w:val="es-ES_tradnl"/>
              </w:rPr>
            </w:pPr>
            <w:r>
              <w:rPr>
                <w:lang w:val="es-ES_tradnl"/>
              </w:rPr>
              <w:t>4</w:t>
            </w:r>
          </w:p>
        </w:tc>
      </w:tr>
      <w:tr w:rsidR="00403A62">
        <w:tblPrEx>
          <w:tblCellMar>
            <w:top w:w="0" w:type="dxa"/>
            <w:bottom w:w="0" w:type="dxa"/>
          </w:tblCellMar>
        </w:tblPrEx>
        <w:trPr>
          <w:cantSplit/>
        </w:trPr>
        <w:tc>
          <w:tcPr>
            <w:tcW w:w="4536" w:type="dxa"/>
            <w:tcBorders>
              <w:top w:val="single" w:sz="6" w:space="0" w:color="auto"/>
            </w:tcBorders>
          </w:tcPr>
          <w:p w:rsidR="00403A62" w:rsidRDefault="00403A62">
            <w:pPr>
              <w:pStyle w:val="TableText"/>
              <w:framePr w:hSpace="181" w:wrap="notBeside" w:vAnchor="text" w:hAnchor="text" w:xAlign="center" w:y="1"/>
              <w:rPr>
                <w:lang w:val="es-ES_tradnl"/>
              </w:rPr>
            </w:pPr>
            <w:r>
              <w:rPr>
                <w:lang w:val="es-ES_tradnl"/>
              </w:rPr>
              <w:t xml:space="preserve">Relación </w:t>
            </w:r>
            <w:r>
              <w:rPr>
                <w:i/>
                <w:iCs/>
                <w:lang w:val="es-ES_tradnl"/>
              </w:rPr>
              <w:t>S</w:t>
            </w:r>
            <w:r>
              <w:rPr>
                <w:lang w:val="es-ES_tradnl"/>
              </w:rPr>
              <w:t>/</w:t>
            </w:r>
            <w:r>
              <w:rPr>
                <w:i/>
                <w:iCs/>
                <w:lang w:val="es-ES_tradnl"/>
              </w:rPr>
              <w:t>N</w:t>
            </w:r>
            <w:r>
              <w:rPr>
                <w:lang w:val="es-ES_tradnl"/>
              </w:rPr>
              <w:t xml:space="preserve"> (dB)</w:t>
            </w:r>
          </w:p>
        </w:tc>
        <w:tc>
          <w:tcPr>
            <w:tcW w:w="2268" w:type="dxa"/>
            <w:tcBorders>
              <w:top w:val="single" w:sz="6" w:space="0" w:color="auto"/>
            </w:tcBorders>
          </w:tcPr>
          <w:p w:rsidR="00403A62" w:rsidRDefault="00403A62">
            <w:pPr>
              <w:pStyle w:val="TableText"/>
              <w:framePr w:hSpace="181" w:wrap="notBeside" w:vAnchor="text" w:hAnchor="text" w:xAlign="center" w:y="1"/>
              <w:jc w:val="center"/>
              <w:rPr>
                <w:lang w:val="es-ES_tradnl"/>
              </w:rPr>
            </w:pPr>
            <w:r>
              <w:rPr>
                <w:lang w:val="es-ES_tradnl"/>
              </w:rPr>
              <w:t>–10 a 50</w:t>
            </w:r>
          </w:p>
        </w:tc>
        <w:tc>
          <w:tcPr>
            <w:tcW w:w="1701" w:type="dxa"/>
            <w:tcBorders>
              <w:top w:val="single" w:sz="6" w:space="0" w:color="auto"/>
            </w:tcBorders>
          </w:tcPr>
          <w:p w:rsidR="00403A62" w:rsidRDefault="00403A62">
            <w:pPr>
              <w:pStyle w:val="TableText"/>
              <w:framePr w:hSpace="181" w:wrap="notBeside" w:vAnchor="text" w:hAnchor="text" w:xAlign="center" w:y="1"/>
              <w:jc w:val="center"/>
              <w:rPr>
                <w:lang w:val="es-ES_tradnl"/>
              </w:rPr>
            </w:pPr>
            <w:r>
              <w:rPr>
                <w:lang w:val="es-ES_tradnl"/>
              </w:rPr>
              <w:t>1</w:t>
            </w:r>
          </w:p>
        </w:tc>
      </w:tr>
      <w:tr w:rsidR="00403A62">
        <w:tblPrEx>
          <w:tblCellMar>
            <w:top w:w="0" w:type="dxa"/>
            <w:bottom w:w="0" w:type="dxa"/>
          </w:tblCellMar>
        </w:tblPrEx>
        <w:trPr>
          <w:cantSplit/>
        </w:trPr>
        <w:tc>
          <w:tcPr>
            <w:tcW w:w="4536" w:type="dxa"/>
          </w:tcPr>
          <w:p w:rsidR="00403A62" w:rsidRDefault="00403A62">
            <w:pPr>
              <w:pStyle w:val="TableText"/>
              <w:framePr w:hSpace="181" w:wrap="notBeside" w:vAnchor="text" w:hAnchor="text" w:xAlign="center" w:y="1"/>
              <w:rPr>
                <w:lang w:val="es-ES_tradnl"/>
              </w:rPr>
            </w:pPr>
            <w:r>
              <w:rPr>
                <w:lang w:val="es-ES_tradnl"/>
              </w:rPr>
              <w:t>Gama de BER aceptable</w:t>
            </w:r>
            <w:r>
              <w:rPr>
                <w:position w:val="6"/>
                <w:sz w:val="14"/>
                <w:lang w:val="es-ES_tradnl"/>
              </w:rPr>
              <w:t>(1)</w:t>
            </w:r>
          </w:p>
        </w:tc>
        <w:tc>
          <w:tcPr>
            <w:tcW w:w="2268" w:type="dxa"/>
          </w:tcPr>
          <w:p w:rsidR="00403A62" w:rsidRDefault="00403A62">
            <w:pPr>
              <w:pStyle w:val="TableText"/>
              <w:framePr w:hSpace="181" w:wrap="notBeside" w:vAnchor="text" w:hAnchor="text" w:xAlign="center" w:y="1"/>
              <w:jc w:val="center"/>
              <w:rPr>
                <w:lang w:val="es-ES_tradnl"/>
              </w:rPr>
            </w:pPr>
            <w:r>
              <w:rPr>
                <w:lang w:val="es-ES_tradnl"/>
              </w:rPr>
              <w:t>2 </w:t>
            </w:r>
            <w:r>
              <w:rPr>
                <w:rFonts w:ascii="Symbol" w:hAnsi="Symbol"/>
                <w:lang w:val="es-ES_tradnl"/>
              </w:rPr>
              <w:t></w:t>
            </w:r>
            <w:r>
              <w:rPr>
                <w:lang w:val="es-ES_tradnl"/>
              </w:rPr>
              <w:t> 10</w:t>
            </w:r>
            <w:r>
              <w:rPr>
                <w:position w:val="6"/>
                <w:sz w:val="14"/>
                <w:lang w:val="es-ES_tradnl"/>
              </w:rPr>
              <w:t>–3</w:t>
            </w:r>
            <w:r>
              <w:rPr>
                <w:lang w:val="es-ES_tradnl"/>
              </w:rPr>
              <w:t xml:space="preserve"> a 0,5 </w:t>
            </w:r>
            <w:r>
              <w:rPr>
                <w:rFonts w:ascii="Symbol" w:hAnsi="Symbol"/>
                <w:lang w:val="es-ES_tradnl"/>
              </w:rPr>
              <w:t></w:t>
            </w:r>
            <w:r>
              <w:rPr>
                <w:lang w:val="es-ES_tradnl"/>
              </w:rPr>
              <w:t> 10</w:t>
            </w:r>
            <w:r>
              <w:rPr>
                <w:position w:val="6"/>
                <w:sz w:val="14"/>
                <w:lang w:val="es-ES_tradnl"/>
              </w:rPr>
              <w:t>–3</w:t>
            </w:r>
          </w:p>
        </w:tc>
        <w:tc>
          <w:tcPr>
            <w:tcW w:w="1701" w:type="dxa"/>
          </w:tcPr>
          <w:p w:rsidR="00403A62" w:rsidRDefault="00403A62">
            <w:pPr>
              <w:pStyle w:val="TableText"/>
              <w:framePr w:hSpace="181" w:wrap="notBeside" w:vAnchor="text" w:hAnchor="text" w:xAlign="center" w:y="1"/>
              <w:jc w:val="center"/>
              <w:rPr>
                <w:lang w:val="es-ES_tradnl"/>
              </w:rPr>
            </w:pPr>
          </w:p>
        </w:tc>
      </w:tr>
      <w:tr w:rsidR="00403A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cantSplit/>
        </w:trPr>
        <w:tc>
          <w:tcPr>
            <w:tcW w:w="8505" w:type="dxa"/>
            <w:gridSpan w:val="3"/>
          </w:tcPr>
          <w:p w:rsidR="00403A62" w:rsidRDefault="00403A62">
            <w:pPr>
              <w:pStyle w:val="TableLegend"/>
              <w:framePr w:hSpace="181" w:wrap="notBeside" w:vAnchor="text" w:hAnchor="text" w:xAlign="center" w:y="1"/>
              <w:tabs>
                <w:tab w:val="clear" w:pos="794"/>
                <w:tab w:val="clear" w:pos="1191"/>
                <w:tab w:val="clear" w:pos="1588"/>
                <w:tab w:val="clear" w:pos="1985"/>
                <w:tab w:val="left" w:pos="284"/>
              </w:tabs>
              <w:rPr>
                <w:lang w:val="es-ES_tradnl"/>
              </w:rPr>
            </w:pPr>
            <w:r>
              <w:rPr>
                <w:position w:val="6"/>
                <w:sz w:val="14"/>
                <w:lang w:val="es-ES_tradnl"/>
              </w:rPr>
              <w:t>(1)</w:t>
            </w:r>
            <w:r>
              <w:rPr>
                <w:lang w:val="es-ES_tradnl"/>
              </w:rPr>
              <w:tab/>
              <w:t>La gama de BER puede variar para adaptarse a los requisitos de las aplicaciones de usuario.</w:t>
            </w:r>
          </w:p>
          <w:p w:rsidR="00403A62" w:rsidRDefault="00403A62">
            <w:pPr>
              <w:pStyle w:val="TableLegend"/>
              <w:framePr w:hSpace="181" w:wrap="notBeside" w:vAnchor="text" w:hAnchor="text" w:xAlign="center" w:y="1"/>
              <w:tabs>
                <w:tab w:val="clear" w:pos="794"/>
                <w:tab w:val="clear" w:pos="1191"/>
                <w:tab w:val="clear" w:pos="1588"/>
                <w:tab w:val="clear" w:pos="1985"/>
                <w:tab w:val="left" w:pos="284"/>
              </w:tabs>
              <w:rPr>
                <w:lang w:val="es-ES_tradnl"/>
              </w:rPr>
            </w:pPr>
            <w:r>
              <w:rPr>
                <w:lang w:val="es-ES_tradnl"/>
              </w:rPr>
              <w:t>NOTA 1 – La duración de las distintas pruebas debe ajustarse de acuerdo con lo indicado en el § 6 del Anexo 3.</w:t>
            </w:r>
          </w:p>
        </w:tc>
      </w:tr>
    </w:tbl>
    <w:p w:rsidR="00403A62" w:rsidRDefault="00403A62">
      <w:pPr>
        <w:pStyle w:val="Tablefin"/>
        <w:rPr>
          <w:lang w:val="es-ES_tradnl"/>
        </w:rPr>
      </w:pPr>
    </w:p>
    <w:p w:rsidR="00403A62" w:rsidRDefault="00403A62">
      <w:pPr>
        <w:rPr>
          <w:lang w:val="es-ES_tradnl"/>
        </w:rPr>
      </w:pPr>
    </w:p>
    <w:p w:rsidR="00403A62" w:rsidRDefault="00403A62">
      <w:pPr>
        <w:rPr>
          <w:lang w:val="es-ES_tradnl"/>
        </w:rPr>
      </w:pPr>
      <w:r>
        <w:rPr>
          <w:lang w:val="es-ES_tradnl"/>
        </w:rPr>
        <w:t xml:space="preserve">En general, las superficies que describen el comportamiento del módem obtenidas mediante esta técnica presentan una región de funcionamiento de nivel bajo y relativamente uniforme en la cual el módem logra el valor de BER requerido. Esta región valle está rodeada por abruptas pendientes que llegan rápidamente al máximo valor de </w:t>
      </w:r>
      <w:r>
        <w:rPr>
          <w:i/>
          <w:iCs/>
          <w:lang w:val="es-ES_tradnl"/>
        </w:rPr>
        <w:t>S</w:t>
      </w:r>
      <w:r>
        <w:rPr>
          <w:lang w:val="es-ES_tradnl"/>
        </w:rPr>
        <w:t>/</w:t>
      </w:r>
      <w:r>
        <w:rPr>
          <w:i/>
          <w:iCs/>
          <w:lang w:val="es-ES_tradnl"/>
        </w:rPr>
        <w:t>N</w:t>
      </w:r>
      <w:r>
        <w:rPr>
          <w:lang w:val="es-ES_tradnl"/>
        </w:rPr>
        <w:t xml:space="preserve"> utilizado en las simulaciones, produciendo una región meseta en la que el módem no puede alcanzar el criterio de calidad de funcionamiento deseado. Evidentemente, esta última región suele indicar que las dispersiones por efecto Doppler y multitrayecto son tan intensas que un aumento del valor de la </w:t>
      </w:r>
      <w:r>
        <w:rPr>
          <w:i/>
          <w:iCs/>
          <w:lang w:val="es-ES_tradnl"/>
        </w:rPr>
        <w:t>S</w:t>
      </w:r>
      <w:r>
        <w:rPr>
          <w:lang w:val="es-ES_tradnl"/>
        </w:rPr>
        <w:t>/</w:t>
      </w:r>
      <w:r>
        <w:rPr>
          <w:i/>
          <w:iCs/>
          <w:lang w:val="es-ES_tradnl"/>
        </w:rPr>
        <w:t>N</w:t>
      </w:r>
      <w:r>
        <w:rPr>
          <w:lang w:val="es-ES_tradnl"/>
        </w:rPr>
        <w:t xml:space="preserve"> no mejorará el comportamiento.</w:t>
      </w:r>
    </w:p>
    <w:p w:rsidR="00403A62" w:rsidRDefault="00403A62">
      <w:pPr>
        <w:rPr>
          <w:lang w:val="es-ES_tradnl"/>
        </w:rPr>
      </w:pPr>
      <w:r>
        <w:rPr>
          <w:lang w:val="es-ES_tradnl"/>
        </w:rPr>
        <w:t>Las Figs. 4 a 6 muestran una serie de ejemplos de superficies de comportamiento para un módem de tono serie MDP</w:t>
      </w:r>
      <w:r>
        <w:rPr>
          <w:lang w:val="es-ES_tradnl"/>
        </w:rPr>
        <w:noBreakHyphen/>
        <w:t>8 que funciona con velocidades de transmisión de datos de usuario de 2</w:t>
      </w:r>
      <w:r>
        <w:rPr>
          <w:rFonts w:ascii="Tms Rmn" w:hAnsi="Tms Rmn"/>
          <w:sz w:val="12"/>
          <w:lang w:val="es-ES_tradnl"/>
        </w:rPr>
        <w:t> </w:t>
      </w:r>
      <w:r>
        <w:rPr>
          <w:lang w:val="es-ES_tradnl"/>
        </w:rPr>
        <w:t>400, 1</w:t>
      </w:r>
      <w:r>
        <w:rPr>
          <w:rFonts w:ascii="Tms Rmn" w:hAnsi="Tms Rmn"/>
          <w:sz w:val="12"/>
          <w:lang w:val="es-ES_tradnl"/>
        </w:rPr>
        <w:t> </w:t>
      </w:r>
      <w:r>
        <w:rPr>
          <w:lang w:val="es-ES_tradnl"/>
        </w:rPr>
        <w:t>200 y 300 bit/s. Los gráficos muestran que el módem puede proporcionar un comportamiento estable a lo largo de una gama de condiciones Doppler y multitrayecto, pero una vez alcanzados ciertos límites (por ejemplo, unos 4 Hz y a unos 10 ms para una velocidad de transmisión de datos de 2</w:t>
      </w:r>
      <w:r>
        <w:rPr>
          <w:rFonts w:ascii="Tms Rmn" w:hAnsi="Tms Rmn"/>
          <w:sz w:val="12"/>
          <w:lang w:val="es-ES_tradnl"/>
        </w:rPr>
        <w:t> </w:t>
      </w:r>
      <w:r>
        <w:rPr>
          <w:lang w:val="es-ES_tradnl"/>
        </w:rPr>
        <w:t>400 bit/s) el comportamiento del módem se degrada rápidamente. La ampliación de la superficie del valle a medida que disminuye la velocidad de transmisión de datos es un claro ejemplo de cómo puede compararse el comportamiento de los módems en ondas decamétricas utilizando esta técnica. Al informar sobre los resultados de las pruebas del módem es importante señalar todos los ajustes del módem necesarios, pues tanto la velocidad de transmisión de datos como la FEC y el entrelazado pueden tener un efecto muy significativo sobre la BER.</w:t>
      </w:r>
    </w:p>
    <w:p w:rsidR="00403A62" w:rsidRDefault="00403A62">
      <w:pPr>
        <w:rPr>
          <w:lang w:val="es-ES_tradnl"/>
        </w:rPr>
      </w:pPr>
    </w:p>
    <w:p w:rsidR="00403A62" w:rsidRDefault="00403A62">
      <w:pPr>
        <w:rPr>
          <w:lang w:val="es-ES_tradnl"/>
        </w:rPr>
      </w:pPr>
    </w:p>
    <w:p w:rsidR="00403A62" w:rsidRDefault="00403A62">
      <w:pPr>
        <w:rPr>
          <w:lang w:val="es-ES_tradnl"/>
        </w:rPr>
      </w:pPr>
      <w:r>
        <w:rPr>
          <w:lang w:val="es-ES_tradnl"/>
        </w:rPr>
        <w:br w:type="page"/>
      </w:r>
    </w:p>
    <w:p w:rsidR="00403A62" w:rsidRDefault="00403A62">
      <w:pPr>
        <w:rPr>
          <w:lang w:val="es-ES_tradnl"/>
        </w:rPr>
      </w:pPr>
    </w:p>
    <w:p w:rsidR="00403A62" w:rsidRDefault="00403A62">
      <w:pPr>
        <w:pStyle w:val="Fig"/>
        <w:rPr>
          <w:lang w:val="es-ES_tradnl"/>
        </w:rPr>
      </w:pPr>
      <w:r>
        <w:rPr>
          <w:lang w:val="es-ES_tradnl"/>
        </w:rPr>
        <w:pict>
          <v:shape id="_x0000_i1036" type="#_x0000_t75" style="width:341.4pt;height:430.8pt">
            <v:imagedata r:id="rId32" o:title=""/>
          </v:shape>
        </w:pict>
      </w:r>
    </w:p>
    <w:p w:rsidR="00403A62" w:rsidRDefault="00403A62">
      <w:pPr>
        <w:pStyle w:val="Fig0"/>
        <w:rPr>
          <w:lang w:val="es-ES_tradnl"/>
        </w:rPr>
      </w:pPr>
      <w:r>
        <w:rPr>
          <w:lang w:val="es-ES_tradnl"/>
        </w:rPr>
        <w:t>FIGURE 4 / F.1487-04 = 12 CM</w:t>
      </w:r>
    </w:p>
    <w:p w:rsidR="00403A62" w:rsidRDefault="00403A62">
      <w:pPr>
        <w:rPr>
          <w:lang w:val="es-ES_tradnl"/>
        </w:rPr>
      </w:pPr>
      <w:r>
        <w:rPr>
          <w:lang w:val="es-ES_tradnl"/>
        </w:rPr>
        <w:br w:type="page"/>
      </w:r>
    </w:p>
    <w:p w:rsidR="00403A62" w:rsidRDefault="00403A62">
      <w:pPr>
        <w:rPr>
          <w:lang w:val="es-ES_tradnl"/>
        </w:rPr>
      </w:pPr>
    </w:p>
    <w:p w:rsidR="00403A62" w:rsidRDefault="00403A62">
      <w:pPr>
        <w:pStyle w:val="Fig"/>
        <w:rPr>
          <w:lang w:val="es-ES_tradnl"/>
        </w:rPr>
      </w:pPr>
      <w:r>
        <w:rPr>
          <w:lang w:val="es-ES_tradnl"/>
        </w:rPr>
        <w:pict>
          <v:shape id="_x0000_i1037" type="#_x0000_t75" style="width:340.8pt;height:452.4pt">
            <v:imagedata r:id="rId33" o:title=""/>
          </v:shape>
        </w:pict>
      </w:r>
    </w:p>
    <w:p w:rsidR="00403A62" w:rsidRDefault="00403A62">
      <w:pPr>
        <w:pStyle w:val="Fig0"/>
        <w:rPr>
          <w:lang w:val="es-ES_tradnl"/>
        </w:rPr>
      </w:pPr>
      <w:r>
        <w:rPr>
          <w:lang w:val="es-ES_tradnl"/>
        </w:rPr>
        <w:t>FIGURE 5 / F.1487-05 = 12 CM</w:t>
      </w:r>
    </w:p>
    <w:p w:rsidR="00403A62" w:rsidRDefault="00403A62">
      <w:pPr>
        <w:pStyle w:val="Fig"/>
        <w:rPr>
          <w:lang w:val="es-ES_tradnl"/>
        </w:rPr>
      </w:pPr>
      <w:r>
        <w:rPr>
          <w:lang w:val="es-ES_tradnl"/>
        </w:rPr>
        <w:br w:type="page"/>
      </w:r>
      <w:r>
        <w:rPr>
          <w:lang w:val="es-ES_tradnl"/>
        </w:rPr>
        <w:lastRenderedPageBreak/>
        <w:pict>
          <v:shape id="_x0000_i1038" type="#_x0000_t75" style="width:339.6pt;height:452.4pt">
            <v:imagedata r:id="rId34" o:title=""/>
          </v:shape>
        </w:pict>
      </w:r>
    </w:p>
    <w:p w:rsidR="00403A62" w:rsidRDefault="00403A62">
      <w:pPr>
        <w:pStyle w:val="Fig0"/>
        <w:rPr>
          <w:lang w:val="es-ES_tradnl"/>
        </w:rPr>
      </w:pPr>
      <w:r>
        <w:rPr>
          <w:lang w:val="es-ES_tradnl"/>
        </w:rPr>
        <w:t>FIGURE 6 / F.1487-06] = 12 CM</w:t>
      </w:r>
    </w:p>
    <w:p w:rsidR="00403A62" w:rsidRDefault="00403A62">
      <w:pPr>
        <w:rPr>
          <w:lang w:val="es-ES_tradnl"/>
        </w:rPr>
      </w:pPr>
    </w:p>
    <w:p w:rsidR="00403A62" w:rsidRDefault="00403A62">
      <w:pPr>
        <w:pStyle w:val="Annex"/>
        <w:rPr>
          <w:lang w:val="es-ES_tradnl"/>
        </w:rPr>
      </w:pPr>
      <w:r>
        <w:rPr>
          <w:lang w:val="es-ES_tradnl"/>
        </w:rPr>
        <w:t>ANEXO  3</w:t>
      </w:r>
    </w:p>
    <w:p w:rsidR="00403A62" w:rsidRDefault="00403A62">
      <w:pPr>
        <w:pStyle w:val="AnnexTitle"/>
        <w:rPr>
          <w:lang w:val="es-ES_tradnl"/>
        </w:rPr>
      </w:pPr>
      <w:r>
        <w:rPr>
          <w:lang w:val="es-ES_tradnl"/>
        </w:rPr>
        <w:t>Pruebas cuantitativas de módems en ondas decamétricas</w:t>
      </w:r>
    </w:p>
    <w:p w:rsidR="00403A62" w:rsidRDefault="00403A62">
      <w:pPr>
        <w:pStyle w:val="Heading1"/>
        <w:rPr>
          <w:lang w:val="es-ES_tradnl"/>
        </w:rPr>
      </w:pPr>
      <w:r>
        <w:rPr>
          <w:lang w:val="es-ES_tradnl"/>
        </w:rPr>
        <w:t>1</w:t>
      </w:r>
      <w:r>
        <w:rPr>
          <w:lang w:val="es-ES_tradnl"/>
        </w:rPr>
        <w:tab/>
        <w:t>Combinaciones de parámetros de canal representativos</w:t>
      </w:r>
    </w:p>
    <w:p w:rsidR="00403A62" w:rsidRDefault="00403A62">
      <w:pPr>
        <w:rPr>
          <w:lang w:val="es-ES_tradnl"/>
        </w:rPr>
      </w:pPr>
      <w:r>
        <w:rPr>
          <w:lang w:val="es-ES_tradnl"/>
        </w:rPr>
        <w:t xml:space="preserve">El comportamiento del módem puede especificarse como la BER en función de la relación </w:t>
      </w:r>
      <w:r>
        <w:rPr>
          <w:i/>
          <w:iCs/>
          <w:lang w:val="es-ES_tradnl"/>
        </w:rPr>
        <w:t>S</w:t>
      </w:r>
      <w:r>
        <w:rPr>
          <w:lang w:val="es-ES_tradnl"/>
        </w:rPr>
        <w:t>/</w:t>
      </w:r>
      <w:r>
        <w:rPr>
          <w:i/>
          <w:iCs/>
          <w:lang w:val="es-ES_tradnl"/>
        </w:rPr>
        <w:t>N</w:t>
      </w:r>
      <w:r>
        <w:rPr>
          <w:lang w:val="es-ES_tradnl"/>
        </w:rPr>
        <w:t xml:space="preserve"> para los trayectos con desvanecimiento independiente, con el mismo valor de atenuación media, con las mismas dispersiones de frecuencia y sin desplazamientos de frecuencia. La diferencia de tiempos de propagación en los puntos siguientes se define como el retardo multitrayecto entre los dos modos, mientras que la dispersión de frecuencia es el valor 2</w:t>
      </w:r>
      <w:r>
        <w:rPr>
          <w:rFonts w:ascii="Symbol" w:hAnsi="Symbol"/>
          <w:lang w:val="es-ES_tradnl"/>
        </w:rPr>
        <w:t></w:t>
      </w:r>
      <w:r>
        <w:rPr>
          <w:lang w:val="es-ES_tradnl"/>
        </w:rPr>
        <w:t xml:space="preserve"> utilizado en la ecuación (2) del Anexo 1.</w:t>
      </w:r>
    </w:p>
    <w:p w:rsidR="00403A62" w:rsidRDefault="00403A62">
      <w:pPr>
        <w:rPr>
          <w:lang w:val="es-ES_tradnl"/>
        </w:rPr>
      </w:pPr>
      <w:r>
        <w:rPr>
          <w:lang w:val="es-ES_tradnl"/>
        </w:rPr>
        <w:t>Cuando se utilizan estos valores de parámetros representativos para realizar pruebas compartidas se recomienda indicar los valores de los parámetros utilizados. Para mayor información sobre las regiones de latitud, véase el Manual del UIT</w:t>
      </w:r>
      <w:r>
        <w:rPr>
          <w:lang w:val="es-ES_tradnl"/>
        </w:rPr>
        <w:noBreakHyphen/>
        <w:t>R sobre La ionosfera y sus efectos en la propagación de las ondas radioeléctricas (1998).</w:t>
      </w:r>
    </w:p>
    <w:p w:rsidR="00403A62" w:rsidRDefault="00403A62">
      <w:pPr>
        <w:pStyle w:val="Heading1"/>
        <w:rPr>
          <w:lang w:val="es-ES_tradnl"/>
        </w:rPr>
      </w:pPr>
      <w:r>
        <w:rPr>
          <w:lang w:val="es-ES_tradnl"/>
        </w:rPr>
        <w:br w:type="page"/>
      </w:r>
      <w:r>
        <w:rPr>
          <w:lang w:val="es-ES_tradnl"/>
        </w:rPr>
        <w:lastRenderedPageBreak/>
        <w:t>2</w:t>
      </w:r>
      <w:r>
        <w:rPr>
          <w:lang w:val="es-ES_tradnl"/>
        </w:rPr>
        <w:tab/>
        <w:t>Latitudes bajas</w:t>
      </w:r>
    </w:p>
    <w:p w:rsidR="00403A62" w:rsidRDefault="00403A62">
      <w:pPr>
        <w:pStyle w:val="Heading2"/>
        <w:rPr>
          <w:lang w:val="es-ES_tradnl"/>
        </w:rPr>
      </w:pPr>
      <w:r>
        <w:rPr>
          <w:lang w:val="es-ES_tradnl"/>
        </w:rPr>
        <w:t>2.1</w:t>
      </w:r>
      <w:r>
        <w:rPr>
          <w:lang w:val="es-ES_tradnl"/>
        </w:rPr>
        <w:tab/>
        <w:t>Buenas condiciones</w:t>
      </w:r>
    </w:p>
    <w:p w:rsidR="00403A62" w:rsidRDefault="00403A62">
      <w:pPr>
        <w:tabs>
          <w:tab w:val="clear" w:pos="794"/>
          <w:tab w:val="clear" w:pos="1191"/>
          <w:tab w:val="clear" w:pos="1588"/>
          <w:tab w:val="clear" w:pos="1985"/>
          <w:tab w:val="left" w:pos="3402"/>
        </w:tabs>
        <w:rPr>
          <w:lang w:val="es-ES_tradnl"/>
        </w:rPr>
      </w:pPr>
      <w:r>
        <w:rPr>
          <w:lang w:val="es-ES_tradnl"/>
        </w:rPr>
        <w:t>Diferencia de tiempos de propagación:</w:t>
      </w:r>
      <w:r>
        <w:rPr>
          <w:lang w:val="es-ES_tradnl"/>
        </w:rPr>
        <w:tab/>
        <w:t>0,5 ms</w:t>
      </w:r>
    </w:p>
    <w:p w:rsidR="00403A62" w:rsidRDefault="00403A62">
      <w:pPr>
        <w:tabs>
          <w:tab w:val="clear" w:pos="794"/>
          <w:tab w:val="clear" w:pos="1191"/>
          <w:tab w:val="clear" w:pos="1588"/>
          <w:tab w:val="clear" w:pos="1985"/>
          <w:tab w:val="left" w:pos="3402"/>
        </w:tabs>
        <w:rPr>
          <w:lang w:val="es-ES_tradnl"/>
        </w:rPr>
      </w:pPr>
      <w:r>
        <w:rPr>
          <w:lang w:val="es-ES_tradnl"/>
        </w:rPr>
        <w:t>Dispersión de frecuencia:</w:t>
      </w:r>
      <w:r>
        <w:rPr>
          <w:lang w:val="es-ES_tradnl"/>
        </w:rPr>
        <w:tab/>
        <w:t>0,5 Hz</w:t>
      </w:r>
    </w:p>
    <w:p w:rsidR="00403A62" w:rsidRDefault="00403A62">
      <w:pPr>
        <w:pStyle w:val="Heading2"/>
        <w:rPr>
          <w:lang w:val="es-ES_tradnl"/>
        </w:rPr>
      </w:pPr>
      <w:r>
        <w:rPr>
          <w:lang w:val="es-ES_tradnl"/>
        </w:rPr>
        <w:t>2.2</w:t>
      </w:r>
      <w:r>
        <w:rPr>
          <w:lang w:val="es-ES_tradnl"/>
        </w:rPr>
        <w:tab/>
        <w:t xml:space="preserve">Condiciones medias </w:t>
      </w:r>
      <w:r>
        <w:rPr>
          <w:b w:val="0"/>
          <w:bCs/>
          <w:lang w:val="es-ES_tradnl"/>
        </w:rPr>
        <w:t>(véase la Nota 1)</w:t>
      </w:r>
    </w:p>
    <w:p w:rsidR="00403A62" w:rsidRDefault="00403A62">
      <w:pPr>
        <w:tabs>
          <w:tab w:val="clear" w:pos="794"/>
          <w:tab w:val="clear" w:pos="1191"/>
          <w:tab w:val="clear" w:pos="1588"/>
          <w:tab w:val="clear" w:pos="1985"/>
          <w:tab w:val="left" w:pos="3402"/>
        </w:tabs>
        <w:rPr>
          <w:lang w:val="es-ES_tradnl"/>
        </w:rPr>
      </w:pPr>
      <w:r>
        <w:rPr>
          <w:lang w:val="es-ES_tradnl"/>
        </w:rPr>
        <w:t>Diferencia de tiempos de propagación:</w:t>
      </w:r>
      <w:r>
        <w:rPr>
          <w:lang w:val="es-ES_tradnl"/>
        </w:rPr>
        <w:tab/>
        <w:t>2 ms</w:t>
      </w:r>
    </w:p>
    <w:p w:rsidR="00403A62" w:rsidRDefault="00403A62">
      <w:pPr>
        <w:tabs>
          <w:tab w:val="clear" w:pos="794"/>
          <w:tab w:val="clear" w:pos="1191"/>
          <w:tab w:val="clear" w:pos="1588"/>
          <w:tab w:val="clear" w:pos="1985"/>
          <w:tab w:val="left" w:pos="3402"/>
        </w:tabs>
        <w:rPr>
          <w:lang w:val="es-ES_tradnl"/>
        </w:rPr>
      </w:pPr>
      <w:r>
        <w:rPr>
          <w:lang w:val="es-ES_tradnl"/>
        </w:rPr>
        <w:t>Dispersión de frecuencia:</w:t>
      </w:r>
      <w:r>
        <w:rPr>
          <w:lang w:val="es-ES_tradnl"/>
        </w:rPr>
        <w:tab/>
        <w:t>1,5 Hz</w:t>
      </w:r>
    </w:p>
    <w:p w:rsidR="00403A62" w:rsidRDefault="00403A62">
      <w:pPr>
        <w:pStyle w:val="Note"/>
        <w:rPr>
          <w:lang w:val="es-ES_tradnl"/>
        </w:rPr>
      </w:pPr>
      <w:r>
        <w:rPr>
          <w:lang w:val="es-ES_tradnl"/>
        </w:rPr>
        <w:t>NOTA 1 – Estos valores corresponden a los de un canal en malas condiciones definido en la antigua Recomen</w:t>
      </w:r>
      <w:r>
        <w:rPr>
          <w:lang w:val="es-ES_tradnl"/>
        </w:rPr>
        <w:softHyphen/>
        <w:t>dación UIT</w:t>
      </w:r>
      <w:r>
        <w:rPr>
          <w:lang w:val="es-ES_tradnl"/>
        </w:rPr>
        <w:noBreakHyphen/>
        <w:t>R F.520.</w:t>
      </w:r>
    </w:p>
    <w:p w:rsidR="00403A62" w:rsidRDefault="00403A62">
      <w:pPr>
        <w:pStyle w:val="Heading2"/>
        <w:rPr>
          <w:lang w:val="es-ES_tradnl"/>
        </w:rPr>
      </w:pPr>
      <w:r>
        <w:rPr>
          <w:lang w:val="es-ES_tradnl"/>
        </w:rPr>
        <w:t>2.3</w:t>
      </w:r>
      <w:r>
        <w:rPr>
          <w:lang w:val="es-ES_tradnl"/>
        </w:rPr>
        <w:tab/>
        <w:t>Malas condiciones</w:t>
      </w:r>
    </w:p>
    <w:p w:rsidR="00403A62" w:rsidRDefault="00403A62">
      <w:pPr>
        <w:tabs>
          <w:tab w:val="clear" w:pos="794"/>
          <w:tab w:val="clear" w:pos="1191"/>
          <w:tab w:val="clear" w:pos="1588"/>
          <w:tab w:val="clear" w:pos="1985"/>
          <w:tab w:val="left" w:pos="3402"/>
        </w:tabs>
        <w:rPr>
          <w:lang w:val="es-ES_tradnl"/>
        </w:rPr>
      </w:pPr>
      <w:r>
        <w:rPr>
          <w:lang w:val="es-ES_tradnl"/>
        </w:rPr>
        <w:t>Diferencia de tiempos de propagación:</w:t>
      </w:r>
      <w:r>
        <w:rPr>
          <w:lang w:val="es-ES_tradnl"/>
        </w:rPr>
        <w:tab/>
        <w:t>6 ms</w:t>
      </w:r>
    </w:p>
    <w:p w:rsidR="00403A62" w:rsidRDefault="00403A62">
      <w:pPr>
        <w:tabs>
          <w:tab w:val="clear" w:pos="794"/>
          <w:tab w:val="clear" w:pos="1191"/>
          <w:tab w:val="clear" w:pos="1588"/>
          <w:tab w:val="clear" w:pos="1985"/>
          <w:tab w:val="left" w:pos="3402"/>
        </w:tabs>
        <w:rPr>
          <w:lang w:val="es-ES_tradnl"/>
        </w:rPr>
      </w:pPr>
      <w:r>
        <w:rPr>
          <w:lang w:val="es-ES_tradnl"/>
        </w:rPr>
        <w:t>Dispersión de frecuencia:</w:t>
      </w:r>
      <w:r>
        <w:rPr>
          <w:lang w:val="es-ES_tradnl"/>
        </w:rPr>
        <w:tab/>
        <w:t>10 Hz</w:t>
      </w:r>
    </w:p>
    <w:p w:rsidR="00403A62" w:rsidRDefault="00403A62">
      <w:pPr>
        <w:pStyle w:val="Heading1"/>
        <w:rPr>
          <w:lang w:val="es-ES_tradnl"/>
        </w:rPr>
      </w:pPr>
      <w:r>
        <w:rPr>
          <w:lang w:val="es-ES_tradnl"/>
        </w:rPr>
        <w:t>3</w:t>
      </w:r>
      <w:r>
        <w:rPr>
          <w:lang w:val="es-ES_tradnl"/>
        </w:rPr>
        <w:tab/>
        <w:t>Latitudes medias</w:t>
      </w:r>
    </w:p>
    <w:p w:rsidR="00403A62" w:rsidRDefault="00403A62">
      <w:pPr>
        <w:pStyle w:val="Heading2"/>
        <w:rPr>
          <w:lang w:val="es-ES_tradnl"/>
        </w:rPr>
      </w:pPr>
      <w:r>
        <w:rPr>
          <w:lang w:val="es-ES_tradnl"/>
        </w:rPr>
        <w:t>3.1</w:t>
      </w:r>
      <w:r>
        <w:rPr>
          <w:lang w:val="es-ES_tradnl"/>
        </w:rPr>
        <w:tab/>
        <w:t xml:space="preserve">Buenas condiciones </w:t>
      </w:r>
      <w:r>
        <w:rPr>
          <w:b w:val="0"/>
          <w:bCs/>
          <w:lang w:val="es-ES_tradnl"/>
        </w:rPr>
        <w:t>(véase la Nota 1)</w:t>
      </w:r>
    </w:p>
    <w:p w:rsidR="00403A62" w:rsidRDefault="00403A62">
      <w:pPr>
        <w:tabs>
          <w:tab w:val="clear" w:pos="794"/>
          <w:tab w:val="clear" w:pos="1191"/>
          <w:tab w:val="clear" w:pos="1588"/>
          <w:tab w:val="clear" w:pos="1985"/>
          <w:tab w:val="left" w:pos="3402"/>
        </w:tabs>
        <w:rPr>
          <w:lang w:val="es-ES_tradnl"/>
        </w:rPr>
      </w:pPr>
      <w:r>
        <w:rPr>
          <w:lang w:val="es-ES_tradnl"/>
        </w:rPr>
        <w:t>Diferencia de tiempos de propagación:</w:t>
      </w:r>
      <w:r>
        <w:rPr>
          <w:lang w:val="es-ES_tradnl"/>
        </w:rPr>
        <w:tab/>
        <w:t>0,5 ms</w:t>
      </w:r>
    </w:p>
    <w:p w:rsidR="00403A62" w:rsidRDefault="00403A62">
      <w:pPr>
        <w:tabs>
          <w:tab w:val="clear" w:pos="794"/>
          <w:tab w:val="clear" w:pos="1191"/>
          <w:tab w:val="clear" w:pos="1588"/>
          <w:tab w:val="clear" w:pos="1985"/>
          <w:tab w:val="left" w:pos="3402"/>
        </w:tabs>
        <w:rPr>
          <w:lang w:val="es-ES_tradnl"/>
        </w:rPr>
      </w:pPr>
      <w:r>
        <w:rPr>
          <w:lang w:val="es-ES_tradnl"/>
        </w:rPr>
        <w:t>Dispersión de frecuencia:</w:t>
      </w:r>
      <w:r>
        <w:rPr>
          <w:lang w:val="es-ES_tradnl"/>
        </w:rPr>
        <w:tab/>
        <w:t>0,1 Hz</w:t>
      </w:r>
    </w:p>
    <w:p w:rsidR="00403A62" w:rsidRDefault="00403A62">
      <w:pPr>
        <w:pStyle w:val="Note"/>
        <w:rPr>
          <w:lang w:val="es-ES_tradnl"/>
        </w:rPr>
      </w:pPr>
      <w:r>
        <w:rPr>
          <w:lang w:val="es-ES_tradnl"/>
        </w:rPr>
        <w:t>NOTA 1 – Estos valores corresponden a los de un canal en buenas condiciones definido en la antigua Recomen</w:t>
      </w:r>
      <w:r>
        <w:rPr>
          <w:lang w:val="es-ES_tradnl"/>
        </w:rPr>
        <w:softHyphen/>
        <w:t>dación UIT</w:t>
      </w:r>
      <w:r>
        <w:rPr>
          <w:lang w:val="es-ES_tradnl"/>
        </w:rPr>
        <w:noBreakHyphen/>
        <w:t>R F.520.</w:t>
      </w:r>
    </w:p>
    <w:p w:rsidR="00403A62" w:rsidRDefault="00403A62">
      <w:pPr>
        <w:pStyle w:val="Heading2"/>
        <w:rPr>
          <w:lang w:val="es-ES_tradnl"/>
        </w:rPr>
      </w:pPr>
      <w:r>
        <w:rPr>
          <w:lang w:val="es-ES_tradnl"/>
        </w:rPr>
        <w:t>3.2</w:t>
      </w:r>
      <w:r>
        <w:rPr>
          <w:lang w:val="es-ES_tradnl"/>
        </w:rPr>
        <w:tab/>
        <w:t>Condiciones medias</w:t>
      </w:r>
      <w:r>
        <w:rPr>
          <w:b w:val="0"/>
          <w:bCs/>
          <w:lang w:val="es-ES_tradnl"/>
        </w:rPr>
        <w:t xml:space="preserve"> (véase la Nota 1)</w:t>
      </w:r>
    </w:p>
    <w:p w:rsidR="00403A62" w:rsidRDefault="00403A62">
      <w:pPr>
        <w:tabs>
          <w:tab w:val="clear" w:pos="794"/>
          <w:tab w:val="clear" w:pos="1191"/>
          <w:tab w:val="clear" w:pos="1588"/>
          <w:tab w:val="clear" w:pos="1985"/>
          <w:tab w:val="left" w:pos="3402"/>
        </w:tabs>
        <w:rPr>
          <w:lang w:val="es-ES_tradnl"/>
        </w:rPr>
      </w:pPr>
      <w:r>
        <w:rPr>
          <w:lang w:val="es-ES_tradnl"/>
        </w:rPr>
        <w:t>Diferencia de tiempos de propagación:</w:t>
      </w:r>
      <w:r>
        <w:rPr>
          <w:lang w:val="es-ES_tradnl"/>
        </w:rPr>
        <w:tab/>
        <w:t>1 ms</w:t>
      </w:r>
    </w:p>
    <w:p w:rsidR="00403A62" w:rsidRDefault="00403A62">
      <w:pPr>
        <w:tabs>
          <w:tab w:val="clear" w:pos="794"/>
          <w:tab w:val="clear" w:pos="1191"/>
          <w:tab w:val="clear" w:pos="1588"/>
          <w:tab w:val="clear" w:pos="1985"/>
          <w:tab w:val="left" w:pos="3402"/>
        </w:tabs>
        <w:rPr>
          <w:lang w:val="es-ES_tradnl"/>
        </w:rPr>
      </w:pPr>
      <w:r>
        <w:rPr>
          <w:lang w:val="es-ES_tradnl"/>
        </w:rPr>
        <w:t>Dispersión de frecuencia:</w:t>
      </w:r>
      <w:r>
        <w:rPr>
          <w:lang w:val="es-ES_tradnl"/>
        </w:rPr>
        <w:tab/>
        <w:t>0,5 Hz</w:t>
      </w:r>
    </w:p>
    <w:p w:rsidR="00403A62" w:rsidRDefault="00403A62">
      <w:pPr>
        <w:pStyle w:val="Note"/>
        <w:rPr>
          <w:lang w:val="es-ES_tradnl"/>
        </w:rPr>
      </w:pPr>
      <w:r>
        <w:rPr>
          <w:lang w:val="es-ES_tradnl"/>
        </w:rPr>
        <w:t>NOTA 1 – Estos valores corresponden a los de un canal en condiciones medias definido en la antigua Recomen</w:t>
      </w:r>
      <w:r>
        <w:rPr>
          <w:lang w:val="es-ES_tradnl"/>
        </w:rPr>
        <w:softHyphen/>
        <w:t>dación UIT-R F.520.</w:t>
      </w:r>
    </w:p>
    <w:p w:rsidR="00403A62" w:rsidRDefault="00403A62">
      <w:pPr>
        <w:pStyle w:val="Heading2"/>
        <w:rPr>
          <w:lang w:val="es-ES_tradnl"/>
        </w:rPr>
      </w:pPr>
      <w:r>
        <w:rPr>
          <w:lang w:val="es-ES_tradnl"/>
        </w:rPr>
        <w:t>3.3</w:t>
      </w:r>
      <w:r>
        <w:rPr>
          <w:lang w:val="es-ES_tradnl"/>
        </w:rPr>
        <w:tab/>
        <w:t>Malas condiciones</w:t>
      </w:r>
      <w:r>
        <w:rPr>
          <w:b w:val="0"/>
          <w:bCs/>
          <w:lang w:val="es-ES_tradnl"/>
        </w:rPr>
        <w:t xml:space="preserve"> (véase la Nota 1 del § 2.2)</w:t>
      </w:r>
    </w:p>
    <w:p w:rsidR="00403A62" w:rsidRDefault="00403A62">
      <w:pPr>
        <w:pStyle w:val="Index1"/>
        <w:tabs>
          <w:tab w:val="clear" w:pos="794"/>
          <w:tab w:val="clear" w:pos="1191"/>
          <w:tab w:val="clear" w:pos="1588"/>
          <w:tab w:val="clear" w:pos="1985"/>
          <w:tab w:val="left" w:pos="3402"/>
        </w:tabs>
        <w:rPr>
          <w:lang w:val="es-ES_tradnl"/>
        </w:rPr>
      </w:pPr>
      <w:r>
        <w:rPr>
          <w:lang w:val="es-ES_tradnl"/>
        </w:rPr>
        <w:t>Diferencia de tiempos de propagación:</w:t>
      </w:r>
      <w:r>
        <w:rPr>
          <w:lang w:val="es-ES_tradnl"/>
        </w:rPr>
        <w:tab/>
        <w:t>2 ms</w:t>
      </w:r>
    </w:p>
    <w:p w:rsidR="00403A62" w:rsidRDefault="00403A62">
      <w:pPr>
        <w:tabs>
          <w:tab w:val="clear" w:pos="794"/>
          <w:tab w:val="clear" w:pos="1191"/>
          <w:tab w:val="clear" w:pos="1588"/>
          <w:tab w:val="clear" w:pos="1985"/>
          <w:tab w:val="left" w:pos="3402"/>
        </w:tabs>
        <w:rPr>
          <w:lang w:val="es-ES_tradnl"/>
        </w:rPr>
      </w:pPr>
      <w:r>
        <w:rPr>
          <w:lang w:val="es-ES_tradnl"/>
        </w:rPr>
        <w:t>Dispersión de frecuencia:</w:t>
      </w:r>
      <w:r>
        <w:rPr>
          <w:lang w:val="es-ES_tradnl"/>
        </w:rPr>
        <w:tab/>
        <w:t>1 Hz</w:t>
      </w:r>
    </w:p>
    <w:p w:rsidR="00403A62" w:rsidRDefault="00403A62">
      <w:pPr>
        <w:pStyle w:val="Heading2"/>
        <w:rPr>
          <w:lang w:val="es-ES_tradnl"/>
        </w:rPr>
      </w:pPr>
      <w:r>
        <w:rPr>
          <w:lang w:val="es-ES_tradnl"/>
        </w:rPr>
        <w:t>3.4</w:t>
      </w:r>
      <w:r>
        <w:rPr>
          <w:lang w:val="es-ES_tradnl"/>
        </w:rPr>
        <w:tab/>
        <w:t>Incidencia casi vertical perturbada (si es necesario debe añadirse la componente de onda de superficie)</w:t>
      </w:r>
    </w:p>
    <w:p w:rsidR="00403A62" w:rsidRDefault="00403A62">
      <w:pPr>
        <w:tabs>
          <w:tab w:val="clear" w:pos="794"/>
          <w:tab w:val="clear" w:pos="1191"/>
          <w:tab w:val="clear" w:pos="1588"/>
          <w:tab w:val="clear" w:pos="1985"/>
          <w:tab w:val="left" w:pos="3402"/>
        </w:tabs>
        <w:rPr>
          <w:lang w:val="es-ES_tradnl"/>
        </w:rPr>
      </w:pPr>
      <w:r>
        <w:rPr>
          <w:lang w:val="es-ES_tradnl"/>
        </w:rPr>
        <w:t>Diferencia de tiempos de propagación:</w:t>
      </w:r>
      <w:r>
        <w:rPr>
          <w:lang w:val="es-ES_tradnl"/>
        </w:rPr>
        <w:tab/>
        <w:t>7 ms</w:t>
      </w:r>
    </w:p>
    <w:p w:rsidR="00403A62" w:rsidRDefault="00403A62">
      <w:pPr>
        <w:tabs>
          <w:tab w:val="clear" w:pos="794"/>
          <w:tab w:val="clear" w:pos="1191"/>
          <w:tab w:val="clear" w:pos="1588"/>
          <w:tab w:val="clear" w:pos="1985"/>
          <w:tab w:val="left" w:pos="3402"/>
        </w:tabs>
        <w:rPr>
          <w:lang w:val="es-ES_tradnl"/>
        </w:rPr>
      </w:pPr>
      <w:r>
        <w:rPr>
          <w:lang w:val="es-ES_tradnl"/>
        </w:rPr>
        <w:t>Dispersión de frecuencia:</w:t>
      </w:r>
      <w:r>
        <w:rPr>
          <w:lang w:val="es-ES_tradnl"/>
        </w:rPr>
        <w:tab/>
        <w:t>1 Hz</w:t>
      </w:r>
    </w:p>
    <w:p w:rsidR="00403A62" w:rsidRDefault="00403A62">
      <w:pPr>
        <w:pStyle w:val="Heading1"/>
        <w:rPr>
          <w:lang w:val="es-ES_tradnl"/>
        </w:rPr>
      </w:pPr>
      <w:r>
        <w:rPr>
          <w:lang w:val="es-ES_tradnl"/>
        </w:rPr>
        <w:t>4</w:t>
      </w:r>
      <w:r>
        <w:rPr>
          <w:lang w:val="es-ES_tradnl"/>
        </w:rPr>
        <w:tab/>
        <w:t>Latitudes altas</w:t>
      </w:r>
    </w:p>
    <w:p w:rsidR="00403A62" w:rsidRDefault="00403A62">
      <w:pPr>
        <w:pStyle w:val="Heading2"/>
        <w:rPr>
          <w:b w:val="0"/>
          <w:bCs/>
          <w:lang w:val="es-ES_tradnl"/>
        </w:rPr>
      </w:pPr>
      <w:r>
        <w:rPr>
          <w:lang w:val="es-ES_tradnl"/>
        </w:rPr>
        <w:t>4.1</w:t>
      </w:r>
      <w:r>
        <w:rPr>
          <w:lang w:val="es-ES_tradnl"/>
        </w:rPr>
        <w:tab/>
        <w:t>Buenas condiciones</w:t>
      </w:r>
      <w:r>
        <w:rPr>
          <w:b w:val="0"/>
          <w:bCs/>
          <w:lang w:val="es-ES_tradnl"/>
        </w:rPr>
        <w:t xml:space="preserve"> (véase la Nota 1 del § 3.2)</w:t>
      </w:r>
    </w:p>
    <w:p w:rsidR="00403A62" w:rsidRDefault="00403A62">
      <w:pPr>
        <w:tabs>
          <w:tab w:val="clear" w:pos="794"/>
          <w:tab w:val="clear" w:pos="1191"/>
          <w:tab w:val="clear" w:pos="1588"/>
          <w:tab w:val="clear" w:pos="1985"/>
          <w:tab w:val="left" w:pos="3402"/>
        </w:tabs>
        <w:rPr>
          <w:lang w:val="es-ES_tradnl"/>
        </w:rPr>
      </w:pPr>
      <w:r>
        <w:rPr>
          <w:lang w:val="es-ES_tradnl"/>
        </w:rPr>
        <w:t>Diferencia de tiempos de propagación:</w:t>
      </w:r>
      <w:r>
        <w:rPr>
          <w:lang w:val="es-ES_tradnl"/>
        </w:rPr>
        <w:tab/>
        <w:t>1 ms</w:t>
      </w:r>
    </w:p>
    <w:p w:rsidR="00403A62" w:rsidRDefault="00403A62">
      <w:pPr>
        <w:tabs>
          <w:tab w:val="clear" w:pos="794"/>
          <w:tab w:val="clear" w:pos="1191"/>
          <w:tab w:val="clear" w:pos="1588"/>
          <w:tab w:val="clear" w:pos="1985"/>
          <w:tab w:val="left" w:pos="3402"/>
        </w:tabs>
        <w:rPr>
          <w:lang w:val="es-ES_tradnl"/>
        </w:rPr>
      </w:pPr>
      <w:r>
        <w:rPr>
          <w:lang w:val="es-ES_tradnl"/>
        </w:rPr>
        <w:t>Dispersión de frecuencia:</w:t>
      </w:r>
      <w:r>
        <w:rPr>
          <w:lang w:val="es-ES_tradnl"/>
        </w:rPr>
        <w:tab/>
        <w:t>0,5 Hz</w:t>
      </w:r>
    </w:p>
    <w:p w:rsidR="00403A62" w:rsidRDefault="00403A62">
      <w:pPr>
        <w:pStyle w:val="Heading2"/>
        <w:rPr>
          <w:lang w:val="es-ES_tradnl"/>
        </w:rPr>
      </w:pPr>
      <w:r>
        <w:rPr>
          <w:lang w:val="es-ES_tradnl"/>
        </w:rPr>
        <w:br w:type="page"/>
      </w:r>
      <w:r>
        <w:rPr>
          <w:lang w:val="es-ES_tradnl"/>
        </w:rPr>
        <w:lastRenderedPageBreak/>
        <w:t>4.2</w:t>
      </w:r>
      <w:r>
        <w:rPr>
          <w:lang w:val="es-ES_tradnl"/>
        </w:rPr>
        <w:tab/>
        <w:t>Condiciones medias</w:t>
      </w:r>
    </w:p>
    <w:p w:rsidR="00403A62" w:rsidRDefault="00403A62">
      <w:pPr>
        <w:tabs>
          <w:tab w:val="clear" w:pos="794"/>
          <w:tab w:val="clear" w:pos="1191"/>
          <w:tab w:val="clear" w:pos="1588"/>
          <w:tab w:val="clear" w:pos="1985"/>
          <w:tab w:val="left" w:pos="3402"/>
        </w:tabs>
        <w:rPr>
          <w:lang w:val="es-ES_tradnl"/>
        </w:rPr>
      </w:pPr>
      <w:r>
        <w:rPr>
          <w:lang w:val="es-ES_tradnl"/>
        </w:rPr>
        <w:t>Diferencia de tiempos de propagación:</w:t>
      </w:r>
      <w:r>
        <w:rPr>
          <w:lang w:val="es-ES_tradnl"/>
        </w:rPr>
        <w:tab/>
        <w:t>3 ms</w:t>
      </w:r>
    </w:p>
    <w:p w:rsidR="00403A62" w:rsidRDefault="00403A62">
      <w:pPr>
        <w:tabs>
          <w:tab w:val="clear" w:pos="794"/>
          <w:tab w:val="clear" w:pos="1191"/>
          <w:tab w:val="clear" w:pos="1588"/>
          <w:tab w:val="clear" w:pos="1985"/>
          <w:tab w:val="left" w:pos="3402"/>
        </w:tabs>
        <w:rPr>
          <w:lang w:val="es-ES_tradnl"/>
        </w:rPr>
      </w:pPr>
      <w:r>
        <w:rPr>
          <w:lang w:val="es-ES_tradnl"/>
        </w:rPr>
        <w:t>Dispersión de frecuencia:</w:t>
      </w:r>
      <w:r>
        <w:rPr>
          <w:lang w:val="es-ES_tradnl"/>
        </w:rPr>
        <w:tab/>
        <w:t>10 Hz</w:t>
      </w:r>
    </w:p>
    <w:p w:rsidR="00403A62" w:rsidRDefault="00403A62">
      <w:pPr>
        <w:pStyle w:val="Heading2"/>
        <w:rPr>
          <w:lang w:val="es-ES_tradnl"/>
        </w:rPr>
      </w:pPr>
      <w:r>
        <w:rPr>
          <w:lang w:val="es-ES_tradnl"/>
        </w:rPr>
        <w:t>4.3</w:t>
      </w:r>
      <w:r>
        <w:rPr>
          <w:lang w:val="es-ES_tradnl"/>
        </w:rPr>
        <w:tab/>
        <w:t>Malas condiciones</w:t>
      </w:r>
    </w:p>
    <w:p w:rsidR="00403A62" w:rsidRDefault="00403A62">
      <w:pPr>
        <w:tabs>
          <w:tab w:val="clear" w:pos="794"/>
          <w:tab w:val="clear" w:pos="1191"/>
          <w:tab w:val="clear" w:pos="1588"/>
          <w:tab w:val="clear" w:pos="1985"/>
          <w:tab w:val="left" w:pos="3402"/>
        </w:tabs>
        <w:rPr>
          <w:lang w:val="es-ES_tradnl"/>
        </w:rPr>
      </w:pPr>
      <w:r>
        <w:rPr>
          <w:lang w:val="es-ES_tradnl"/>
        </w:rPr>
        <w:t>Diferencia de tiempos de propagación:</w:t>
      </w:r>
      <w:r>
        <w:rPr>
          <w:lang w:val="es-ES_tradnl"/>
        </w:rPr>
        <w:tab/>
        <w:t>7 ms</w:t>
      </w:r>
    </w:p>
    <w:p w:rsidR="00403A62" w:rsidRDefault="00403A62">
      <w:pPr>
        <w:tabs>
          <w:tab w:val="clear" w:pos="794"/>
          <w:tab w:val="clear" w:pos="1191"/>
          <w:tab w:val="clear" w:pos="1588"/>
          <w:tab w:val="clear" w:pos="1985"/>
          <w:tab w:val="left" w:pos="3402"/>
        </w:tabs>
        <w:rPr>
          <w:lang w:val="es-ES_tradnl"/>
        </w:rPr>
      </w:pPr>
      <w:r>
        <w:rPr>
          <w:lang w:val="es-ES_tradnl"/>
        </w:rPr>
        <w:t>Dispersión de frecuencia:</w:t>
      </w:r>
      <w:r>
        <w:rPr>
          <w:lang w:val="es-ES_tradnl"/>
        </w:rPr>
        <w:tab/>
        <w:t>30 Hz</w:t>
      </w:r>
    </w:p>
    <w:p w:rsidR="00403A62" w:rsidRDefault="00403A62">
      <w:pPr>
        <w:pStyle w:val="Heading1"/>
        <w:rPr>
          <w:lang w:val="es-ES_tradnl"/>
        </w:rPr>
      </w:pPr>
      <w:r>
        <w:rPr>
          <w:lang w:val="es-ES_tradnl"/>
        </w:rPr>
        <w:t>5</w:t>
      </w:r>
      <w:r>
        <w:rPr>
          <w:lang w:val="es-ES_tradnl"/>
        </w:rPr>
        <w:tab/>
        <w:t>Estadísticas sobre la aparición de las condiciones</w:t>
      </w:r>
    </w:p>
    <w:p w:rsidR="00403A62" w:rsidRDefault="00403A62">
      <w:pPr>
        <w:rPr>
          <w:lang w:val="es-ES_tradnl"/>
        </w:rPr>
      </w:pPr>
      <w:r>
        <w:rPr>
          <w:lang w:val="es-ES_tradnl"/>
        </w:rPr>
        <w:t>Como indicación de la probabilidad de aparición de malas condiciones, puede tomarse nota de las estadísticas indicadas a continuación.</w:t>
      </w:r>
    </w:p>
    <w:p w:rsidR="00403A62" w:rsidRDefault="00403A62">
      <w:pPr>
        <w:pStyle w:val="Heading2"/>
        <w:rPr>
          <w:lang w:val="es-ES_tradnl"/>
        </w:rPr>
      </w:pPr>
      <w:r>
        <w:rPr>
          <w:lang w:val="es-ES_tradnl"/>
        </w:rPr>
        <w:t>5.1</w:t>
      </w:r>
      <w:r>
        <w:rPr>
          <w:lang w:val="es-ES_tradnl"/>
        </w:rPr>
        <w:tab/>
        <w:t>Latitudes bajas</w:t>
      </w:r>
    </w:p>
    <w:p w:rsidR="00403A62" w:rsidRDefault="00403A62">
      <w:pPr>
        <w:rPr>
          <w:lang w:val="es-ES_tradnl"/>
        </w:rPr>
      </w:pPr>
      <w:r>
        <w:rPr>
          <w:lang w:val="es-ES_tradnl"/>
        </w:rPr>
        <w:t>Las diferencias de tiempos de propagación de 4 ms se rebasarán aproximadamente durante el 5% del tiempo.</w:t>
      </w:r>
    </w:p>
    <w:p w:rsidR="00403A62" w:rsidRDefault="00403A62">
      <w:pPr>
        <w:rPr>
          <w:lang w:val="es-ES_tradnl"/>
        </w:rPr>
      </w:pPr>
      <w:r>
        <w:rPr>
          <w:lang w:val="es-ES_tradnl"/>
        </w:rPr>
        <w:t>Las dispersiones por efecto Doppler de 3 Hz se rebasarán aproximadamente durante el 5% del tiempo.</w:t>
      </w:r>
    </w:p>
    <w:p w:rsidR="00403A62" w:rsidRDefault="00403A62">
      <w:pPr>
        <w:pStyle w:val="Heading2"/>
        <w:rPr>
          <w:lang w:val="es-ES_tradnl"/>
        </w:rPr>
      </w:pPr>
      <w:r>
        <w:rPr>
          <w:lang w:val="es-ES_tradnl"/>
        </w:rPr>
        <w:t>5.2</w:t>
      </w:r>
      <w:r>
        <w:rPr>
          <w:lang w:val="es-ES_tradnl"/>
        </w:rPr>
        <w:tab/>
        <w:t>Latitudes altas</w:t>
      </w:r>
    </w:p>
    <w:p w:rsidR="00403A62" w:rsidRDefault="00403A62">
      <w:pPr>
        <w:rPr>
          <w:lang w:val="es-ES_tradnl"/>
        </w:rPr>
      </w:pPr>
      <w:r>
        <w:rPr>
          <w:lang w:val="es-ES_tradnl"/>
        </w:rPr>
        <w:t>Las diferencias de tiempos de propagación de 5 ms se rebasarán aproximadamente durante el 5% del tiempo.</w:t>
      </w:r>
    </w:p>
    <w:p w:rsidR="00403A62" w:rsidRDefault="00403A62">
      <w:pPr>
        <w:rPr>
          <w:lang w:val="es-ES_tradnl"/>
        </w:rPr>
      </w:pPr>
      <w:r>
        <w:rPr>
          <w:lang w:val="es-ES_tradnl"/>
        </w:rPr>
        <w:t>Las dispersiones por efecto Doppler de 25 Hz se rebasarán aproximadamente durante el 5% del tiempo.</w:t>
      </w:r>
    </w:p>
    <w:p w:rsidR="00403A62" w:rsidRDefault="00403A62">
      <w:pPr>
        <w:pStyle w:val="Heading1"/>
        <w:rPr>
          <w:lang w:val="es-ES_tradnl"/>
        </w:rPr>
      </w:pPr>
      <w:r>
        <w:rPr>
          <w:lang w:val="es-ES_tradnl"/>
        </w:rPr>
        <w:t>6</w:t>
      </w:r>
      <w:r>
        <w:rPr>
          <w:lang w:val="es-ES_tradnl"/>
        </w:rPr>
        <w:tab/>
        <w:t>Duración de la prueba</w:t>
      </w:r>
    </w:p>
    <w:p w:rsidR="00403A62" w:rsidRDefault="00403A62">
      <w:pPr>
        <w:rPr>
          <w:lang w:val="es-ES_tradnl"/>
        </w:rPr>
      </w:pPr>
      <w:r>
        <w:rPr>
          <w:lang w:val="es-ES_tradnl"/>
        </w:rPr>
        <w:t>La duración de la prueba necesaria depende de la dispersión por efecto Doppler, de la velocidad de transmisión de datos de usuario y del nivel de la BER que va a medirse. Se recomienda que las pruebas duren 3</w:t>
      </w:r>
      <w:r>
        <w:rPr>
          <w:rFonts w:ascii="Tms Rmn" w:hAnsi="Tms Rmn"/>
          <w:sz w:val="12"/>
          <w:lang w:val="es-ES_tradnl"/>
        </w:rPr>
        <w:t> </w:t>
      </w:r>
      <w:r>
        <w:rPr>
          <w:lang w:val="es-ES_tradnl"/>
        </w:rPr>
        <w:t>000 veces el valor inverso de la dispersión por efecto Doppler o 100 veces el valor inverso del producto de la BER por la velocidad de transmisión de datos, tomándose entre ambos tiempos el mayor. En el Cuadro 2 aparecen algunos ejemplos al respecto.</w:t>
      </w:r>
    </w:p>
    <w:p w:rsidR="00403A62" w:rsidRDefault="00403A62">
      <w:pPr>
        <w:pStyle w:val="Table"/>
        <w:rPr>
          <w:lang w:val="es-ES_tradnl"/>
        </w:rPr>
      </w:pPr>
      <w:r>
        <w:rPr>
          <w:lang w:val="es-ES_tradnl"/>
        </w:rPr>
        <w:t>CUADRO  2</w:t>
      </w:r>
    </w:p>
    <w:p w:rsidR="00403A62" w:rsidRDefault="00403A62">
      <w:pPr>
        <w:pStyle w:val="TableTitle"/>
        <w:rPr>
          <w:lang w:val="es-ES_tradnl"/>
        </w:rPr>
      </w:pPr>
      <w:r>
        <w:rPr>
          <w:lang w:val="es-ES_tradnl"/>
        </w:rPr>
        <w:t>Ejemplos de duración de la prueba</w:t>
      </w:r>
    </w:p>
    <w:p w:rsidR="00403A62" w:rsidRDefault="00403A62">
      <w:pPr>
        <w:pStyle w:val="Blanc"/>
        <w:rPr>
          <w:lang w:val="es-ES_tradnl"/>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418"/>
        <w:gridCol w:w="1701"/>
        <w:gridCol w:w="1134"/>
        <w:gridCol w:w="1134"/>
        <w:gridCol w:w="1985"/>
        <w:gridCol w:w="1701"/>
      </w:tblGrid>
      <w:tr w:rsidR="00403A62">
        <w:tblPrEx>
          <w:tblCellMar>
            <w:top w:w="0" w:type="dxa"/>
            <w:bottom w:w="0" w:type="dxa"/>
          </w:tblCellMar>
        </w:tblPrEx>
        <w:trPr>
          <w:cantSplit/>
        </w:trPr>
        <w:tc>
          <w:tcPr>
            <w:tcW w:w="1418" w:type="dxa"/>
            <w:vAlign w:val="center"/>
          </w:tcPr>
          <w:p w:rsidR="00403A62" w:rsidRDefault="00403A62">
            <w:pPr>
              <w:pStyle w:val="TableText"/>
              <w:framePr w:hSpace="181" w:wrap="notBeside" w:vAnchor="text" w:hAnchor="text" w:xAlign="center" w:y="1"/>
              <w:jc w:val="center"/>
              <w:rPr>
                <w:lang w:val="es-ES_tradnl"/>
              </w:rPr>
            </w:pPr>
            <w:r>
              <w:rPr>
                <w:lang w:val="es-ES_tradnl"/>
              </w:rPr>
              <w:t>Dispersión por efecto Doppler</w:t>
            </w:r>
            <w:r>
              <w:rPr>
                <w:lang w:val="es-ES_tradnl"/>
              </w:rPr>
              <w:br/>
              <w:t>(Hz)</w:t>
            </w:r>
          </w:p>
        </w:tc>
        <w:tc>
          <w:tcPr>
            <w:tcW w:w="1701" w:type="dxa"/>
            <w:vAlign w:val="center"/>
          </w:tcPr>
          <w:p w:rsidR="00403A62" w:rsidRDefault="00403A62">
            <w:pPr>
              <w:pStyle w:val="TableText"/>
              <w:framePr w:hSpace="181" w:wrap="notBeside" w:vAnchor="text" w:hAnchor="text" w:xAlign="center" w:y="1"/>
              <w:jc w:val="center"/>
              <w:rPr>
                <w:lang w:val="es-ES_tradnl"/>
              </w:rPr>
            </w:pPr>
            <w:r>
              <w:rPr>
                <w:lang w:val="es-ES_tradnl"/>
              </w:rPr>
              <w:t>3000/dispersión por efecto Doppler</w:t>
            </w:r>
            <w:r>
              <w:rPr>
                <w:lang w:val="es-ES_tradnl"/>
              </w:rPr>
              <w:br/>
              <w:t>(s)</w:t>
            </w:r>
          </w:p>
        </w:tc>
        <w:tc>
          <w:tcPr>
            <w:tcW w:w="1134" w:type="dxa"/>
            <w:vAlign w:val="center"/>
          </w:tcPr>
          <w:p w:rsidR="00403A62" w:rsidRDefault="00403A62">
            <w:pPr>
              <w:pStyle w:val="TableText"/>
              <w:framePr w:hSpace="181" w:wrap="notBeside" w:vAnchor="text" w:hAnchor="text" w:xAlign="center" w:y="1"/>
              <w:jc w:val="center"/>
              <w:rPr>
                <w:lang w:val="es-ES_tradnl"/>
              </w:rPr>
            </w:pPr>
            <w:r>
              <w:rPr>
                <w:lang w:val="es-ES_tradnl"/>
              </w:rPr>
              <w:t>BER</w:t>
            </w:r>
          </w:p>
        </w:tc>
        <w:tc>
          <w:tcPr>
            <w:tcW w:w="1134" w:type="dxa"/>
            <w:vAlign w:val="center"/>
          </w:tcPr>
          <w:p w:rsidR="00403A62" w:rsidRDefault="00403A62">
            <w:pPr>
              <w:pStyle w:val="TableText"/>
              <w:framePr w:hSpace="181" w:wrap="notBeside" w:vAnchor="text" w:hAnchor="text" w:xAlign="center" w:y="1"/>
              <w:ind w:left="-57" w:right="-57"/>
              <w:jc w:val="center"/>
              <w:rPr>
                <w:lang w:val="es-ES_tradnl"/>
              </w:rPr>
            </w:pPr>
            <w:r>
              <w:rPr>
                <w:lang w:val="es-ES_tradnl"/>
              </w:rPr>
              <w:t>Velocidad de transmisión de datos</w:t>
            </w:r>
            <w:r>
              <w:rPr>
                <w:lang w:val="es-ES_tradnl"/>
              </w:rPr>
              <w:br/>
              <w:t>(bit/s)</w:t>
            </w:r>
          </w:p>
        </w:tc>
        <w:tc>
          <w:tcPr>
            <w:tcW w:w="1985" w:type="dxa"/>
            <w:vAlign w:val="center"/>
          </w:tcPr>
          <w:p w:rsidR="00403A62" w:rsidRDefault="00403A62">
            <w:pPr>
              <w:pStyle w:val="TableText"/>
              <w:framePr w:hSpace="181" w:wrap="notBeside" w:vAnchor="text" w:hAnchor="text" w:xAlign="center" w:y="1"/>
              <w:ind w:left="-57" w:right="-57"/>
              <w:jc w:val="center"/>
              <w:rPr>
                <w:lang w:val="es-ES_tradnl"/>
              </w:rPr>
            </w:pPr>
            <w:r>
              <w:rPr>
                <w:lang w:val="es-ES_tradnl"/>
              </w:rPr>
              <w:t xml:space="preserve">100/(BER </w:t>
            </w:r>
            <w:r>
              <w:rPr>
                <w:rFonts w:ascii="Symbol" w:hAnsi="Symbol"/>
                <w:lang w:val="es-ES_tradnl"/>
              </w:rPr>
              <w:t></w:t>
            </w:r>
            <w:r>
              <w:rPr>
                <w:lang w:val="es-ES_tradnl"/>
              </w:rPr>
              <w:t xml:space="preserve"> velocidad de</w:t>
            </w:r>
            <w:r>
              <w:rPr>
                <w:lang w:val="es-ES_tradnl"/>
              </w:rPr>
              <w:br/>
              <w:t>transmisión de datos)</w:t>
            </w:r>
            <w:r>
              <w:rPr>
                <w:lang w:val="es-ES_tradnl"/>
              </w:rPr>
              <w:br/>
              <w:t>(s)</w:t>
            </w:r>
          </w:p>
        </w:tc>
        <w:tc>
          <w:tcPr>
            <w:tcW w:w="1701" w:type="dxa"/>
            <w:vAlign w:val="center"/>
          </w:tcPr>
          <w:p w:rsidR="00403A62" w:rsidRDefault="00403A62">
            <w:pPr>
              <w:pStyle w:val="TableText"/>
              <w:framePr w:hSpace="181" w:wrap="notBeside" w:vAnchor="text" w:hAnchor="text" w:xAlign="center" w:y="1"/>
              <w:jc w:val="center"/>
              <w:rPr>
                <w:lang w:val="es-ES_tradnl"/>
              </w:rPr>
            </w:pPr>
            <w:r>
              <w:rPr>
                <w:lang w:val="es-ES_tradnl"/>
              </w:rPr>
              <w:t>Duración de la prueba seleccionada</w:t>
            </w:r>
            <w:r>
              <w:rPr>
                <w:lang w:val="es-ES_tradnl"/>
              </w:rPr>
              <w:br/>
              <w:t>(s)</w:t>
            </w:r>
          </w:p>
        </w:tc>
      </w:tr>
      <w:tr w:rsidR="00403A62">
        <w:tblPrEx>
          <w:tblCellMar>
            <w:top w:w="0" w:type="dxa"/>
            <w:bottom w:w="0" w:type="dxa"/>
          </w:tblCellMar>
        </w:tblPrEx>
        <w:trPr>
          <w:cantSplit/>
        </w:trPr>
        <w:tc>
          <w:tcPr>
            <w:tcW w:w="1418" w:type="dxa"/>
          </w:tcPr>
          <w:p w:rsidR="00403A62" w:rsidRDefault="00403A62">
            <w:pPr>
              <w:pStyle w:val="TableText"/>
              <w:framePr w:hSpace="181" w:wrap="notBeside" w:vAnchor="text" w:hAnchor="text" w:xAlign="center" w:y="1"/>
              <w:tabs>
                <w:tab w:val="clear" w:pos="794"/>
                <w:tab w:val="clear" w:pos="1191"/>
                <w:tab w:val="clear" w:pos="1588"/>
                <w:tab w:val="clear" w:pos="1985"/>
                <w:tab w:val="decimal" w:pos="567"/>
              </w:tabs>
              <w:jc w:val="left"/>
              <w:rPr>
                <w:lang w:val="es-ES_tradnl"/>
              </w:rPr>
            </w:pPr>
            <w:r>
              <w:rPr>
                <w:lang w:val="es-ES_tradnl"/>
              </w:rPr>
              <w:t>0,5</w:t>
            </w:r>
          </w:p>
        </w:tc>
        <w:tc>
          <w:tcPr>
            <w:tcW w:w="1701" w:type="dxa"/>
          </w:tcPr>
          <w:p w:rsidR="00403A62" w:rsidRDefault="00403A62">
            <w:pPr>
              <w:pStyle w:val="TableText"/>
              <w:framePr w:hSpace="181" w:wrap="notBeside" w:vAnchor="text" w:hAnchor="text" w:xAlign="center" w:y="1"/>
              <w:jc w:val="center"/>
              <w:rPr>
                <w:lang w:val="es-ES_tradnl"/>
              </w:rPr>
            </w:pPr>
            <w:r>
              <w:rPr>
                <w:lang w:val="es-ES_tradnl"/>
              </w:rPr>
              <w:t>6</w:t>
            </w:r>
            <w:r>
              <w:rPr>
                <w:rFonts w:ascii="Tms Rmn" w:hAnsi="Tms Rmn"/>
                <w:sz w:val="12"/>
                <w:lang w:val="es-ES_tradnl"/>
              </w:rPr>
              <w:t> </w:t>
            </w:r>
            <w:r>
              <w:rPr>
                <w:lang w:val="es-ES_tradnl"/>
              </w:rPr>
              <w:t>000</w:t>
            </w:r>
          </w:p>
        </w:tc>
        <w:tc>
          <w:tcPr>
            <w:tcW w:w="1134" w:type="dxa"/>
          </w:tcPr>
          <w:p w:rsidR="00403A62" w:rsidRDefault="00403A62">
            <w:pPr>
              <w:pStyle w:val="TableText"/>
              <w:framePr w:hSpace="181" w:wrap="notBeside" w:vAnchor="text" w:hAnchor="text" w:xAlign="center" w:y="1"/>
              <w:jc w:val="center"/>
              <w:rPr>
                <w:lang w:val="es-ES_tradnl"/>
              </w:rPr>
            </w:pPr>
            <w:r>
              <w:rPr>
                <w:lang w:val="es-ES_tradnl"/>
              </w:rPr>
              <w:t>1 </w:t>
            </w:r>
            <w:r>
              <w:rPr>
                <w:rFonts w:ascii="Symbol" w:hAnsi="Symbol"/>
                <w:lang w:val="es-ES_tradnl"/>
              </w:rPr>
              <w:t></w:t>
            </w:r>
            <w:r>
              <w:rPr>
                <w:lang w:val="es-ES_tradnl"/>
              </w:rPr>
              <w:t> 10</w:t>
            </w:r>
            <w:r>
              <w:rPr>
                <w:position w:val="6"/>
                <w:sz w:val="14"/>
                <w:lang w:val="es-ES_tradnl"/>
              </w:rPr>
              <w:t>–3</w:t>
            </w:r>
          </w:p>
        </w:tc>
        <w:tc>
          <w:tcPr>
            <w:tcW w:w="1134" w:type="dxa"/>
          </w:tcPr>
          <w:p w:rsidR="00403A62" w:rsidRDefault="00403A62">
            <w:pPr>
              <w:pStyle w:val="TableText"/>
              <w:framePr w:hSpace="181" w:wrap="notBeside" w:vAnchor="text" w:hAnchor="text" w:xAlign="center" w:y="1"/>
              <w:jc w:val="center"/>
              <w:rPr>
                <w:lang w:val="es-ES_tradnl"/>
              </w:rPr>
            </w:pPr>
            <w:r>
              <w:rPr>
                <w:lang w:val="es-ES_tradnl"/>
              </w:rPr>
              <w:t>600</w:t>
            </w:r>
          </w:p>
        </w:tc>
        <w:tc>
          <w:tcPr>
            <w:tcW w:w="1985" w:type="dxa"/>
          </w:tcPr>
          <w:p w:rsidR="00403A62" w:rsidRDefault="00403A62">
            <w:pPr>
              <w:pStyle w:val="TableText"/>
              <w:framePr w:hSpace="181" w:wrap="notBeside" w:vAnchor="text" w:hAnchor="text" w:xAlign="center" w:y="1"/>
              <w:jc w:val="center"/>
              <w:rPr>
                <w:lang w:val="es-ES_tradnl"/>
              </w:rPr>
            </w:pPr>
            <w:r>
              <w:rPr>
                <w:lang w:val="es-ES_tradnl"/>
              </w:rPr>
              <w:t>167</w:t>
            </w:r>
          </w:p>
        </w:tc>
        <w:tc>
          <w:tcPr>
            <w:tcW w:w="1701" w:type="dxa"/>
          </w:tcPr>
          <w:p w:rsidR="00403A62" w:rsidRDefault="00403A62">
            <w:pPr>
              <w:pStyle w:val="TableText"/>
              <w:framePr w:hSpace="181" w:wrap="notBeside" w:vAnchor="text" w:hAnchor="text" w:xAlign="center" w:y="1"/>
              <w:tabs>
                <w:tab w:val="clear" w:pos="794"/>
                <w:tab w:val="clear" w:pos="1191"/>
                <w:tab w:val="clear" w:pos="1588"/>
                <w:tab w:val="clear" w:pos="1985"/>
              </w:tabs>
              <w:jc w:val="center"/>
              <w:rPr>
                <w:lang w:val="es-ES_tradnl"/>
              </w:rPr>
            </w:pPr>
            <w:r>
              <w:rPr>
                <w:lang w:val="es-ES_tradnl"/>
              </w:rPr>
              <w:t>6</w:t>
            </w:r>
            <w:r>
              <w:rPr>
                <w:rFonts w:ascii="Tms Rmn" w:hAnsi="Tms Rmn"/>
                <w:sz w:val="12"/>
                <w:lang w:val="es-ES_tradnl"/>
              </w:rPr>
              <w:t> </w:t>
            </w:r>
            <w:r>
              <w:rPr>
                <w:lang w:val="es-ES_tradnl"/>
              </w:rPr>
              <w:t>000</w:t>
            </w:r>
          </w:p>
        </w:tc>
      </w:tr>
      <w:tr w:rsidR="00403A62">
        <w:tblPrEx>
          <w:tblCellMar>
            <w:top w:w="0" w:type="dxa"/>
            <w:bottom w:w="0" w:type="dxa"/>
          </w:tblCellMar>
        </w:tblPrEx>
        <w:trPr>
          <w:cantSplit/>
        </w:trPr>
        <w:tc>
          <w:tcPr>
            <w:tcW w:w="1418" w:type="dxa"/>
          </w:tcPr>
          <w:p w:rsidR="00403A62" w:rsidRDefault="00403A62">
            <w:pPr>
              <w:pStyle w:val="TableText"/>
              <w:framePr w:hSpace="181" w:wrap="notBeside" w:vAnchor="text" w:hAnchor="text" w:xAlign="center" w:y="1"/>
              <w:tabs>
                <w:tab w:val="clear" w:pos="794"/>
                <w:tab w:val="clear" w:pos="1191"/>
                <w:tab w:val="clear" w:pos="1588"/>
                <w:tab w:val="clear" w:pos="1985"/>
                <w:tab w:val="decimal" w:pos="567"/>
              </w:tabs>
              <w:jc w:val="left"/>
              <w:rPr>
                <w:lang w:val="es-ES_tradnl"/>
              </w:rPr>
            </w:pPr>
            <w:r>
              <w:rPr>
                <w:lang w:val="es-ES_tradnl"/>
              </w:rPr>
              <w:t>2</w:t>
            </w:r>
          </w:p>
        </w:tc>
        <w:tc>
          <w:tcPr>
            <w:tcW w:w="1701" w:type="dxa"/>
          </w:tcPr>
          <w:p w:rsidR="00403A62" w:rsidRDefault="00403A62">
            <w:pPr>
              <w:pStyle w:val="TableText"/>
              <w:framePr w:hSpace="181" w:wrap="notBeside" w:vAnchor="text" w:hAnchor="text" w:xAlign="center" w:y="1"/>
              <w:jc w:val="center"/>
              <w:rPr>
                <w:lang w:val="es-ES_tradnl"/>
              </w:rPr>
            </w:pPr>
            <w:r>
              <w:rPr>
                <w:lang w:val="es-ES_tradnl"/>
              </w:rPr>
              <w:t>1</w:t>
            </w:r>
            <w:r>
              <w:rPr>
                <w:rFonts w:ascii="Tms Rmn" w:hAnsi="Tms Rmn"/>
                <w:sz w:val="12"/>
                <w:lang w:val="es-ES_tradnl"/>
              </w:rPr>
              <w:t> </w:t>
            </w:r>
            <w:r>
              <w:rPr>
                <w:lang w:val="es-ES_tradnl"/>
              </w:rPr>
              <w:t>500</w:t>
            </w:r>
          </w:p>
        </w:tc>
        <w:tc>
          <w:tcPr>
            <w:tcW w:w="1134" w:type="dxa"/>
          </w:tcPr>
          <w:p w:rsidR="00403A62" w:rsidRDefault="00403A62">
            <w:pPr>
              <w:pStyle w:val="TableText"/>
              <w:framePr w:hSpace="181" w:wrap="notBeside" w:vAnchor="text" w:hAnchor="text" w:xAlign="center" w:y="1"/>
              <w:jc w:val="center"/>
              <w:rPr>
                <w:lang w:val="es-ES_tradnl"/>
              </w:rPr>
            </w:pPr>
            <w:r>
              <w:rPr>
                <w:lang w:val="es-ES_tradnl"/>
              </w:rPr>
              <w:t>1 </w:t>
            </w:r>
            <w:r>
              <w:rPr>
                <w:rFonts w:ascii="Symbol" w:hAnsi="Symbol"/>
                <w:lang w:val="es-ES_tradnl"/>
              </w:rPr>
              <w:t></w:t>
            </w:r>
            <w:r>
              <w:rPr>
                <w:lang w:val="es-ES_tradnl"/>
              </w:rPr>
              <w:t> 10</w:t>
            </w:r>
            <w:r>
              <w:rPr>
                <w:position w:val="6"/>
                <w:sz w:val="14"/>
                <w:lang w:val="es-ES_tradnl"/>
              </w:rPr>
              <w:t>–3</w:t>
            </w:r>
          </w:p>
        </w:tc>
        <w:tc>
          <w:tcPr>
            <w:tcW w:w="1134" w:type="dxa"/>
          </w:tcPr>
          <w:p w:rsidR="00403A62" w:rsidRDefault="00403A62">
            <w:pPr>
              <w:pStyle w:val="TableText"/>
              <w:framePr w:hSpace="181" w:wrap="notBeside" w:vAnchor="text" w:hAnchor="text" w:xAlign="center" w:y="1"/>
              <w:jc w:val="center"/>
              <w:rPr>
                <w:lang w:val="es-ES_tradnl"/>
              </w:rPr>
            </w:pPr>
            <w:r>
              <w:rPr>
                <w:lang w:val="es-ES_tradnl"/>
              </w:rPr>
              <w:t>600</w:t>
            </w:r>
          </w:p>
        </w:tc>
        <w:tc>
          <w:tcPr>
            <w:tcW w:w="1985" w:type="dxa"/>
          </w:tcPr>
          <w:p w:rsidR="00403A62" w:rsidRDefault="00403A62">
            <w:pPr>
              <w:pStyle w:val="TableText"/>
              <w:framePr w:hSpace="181" w:wrap="notBeside" w:vAnchor="text" w:hAnchor="text" w:xAlign="center" w:y="1"/>
              <w:jc w:val="center"/>
              <w:rPr>
                <w:lang w:val="es-ES_tradnl"/>
              </w:rPr>
            </w:pPr>
            <w:r>
              <w:rPr>
                <w:lang w:val="es-ES_tradnl"/>
              </w:rPr>
              <w:t>167</w:t>
            </w:r>
          </w:p>
        </w:tc>
        <w:tc>
          <w:tcPr>
            <w:tcW w:w="1701" w:type="dxa"/>
          </w:tcPr>
          <w:p w:rsidR="00403A62" w:rsidRDefault="00403A62">
            <w:pPr>
              <w:pStyle w:val="TableText"/>
              <w:framePr w:hSpace="181" w:wrap="notBeside" w:vAnchor="text" w:hAnchor="text" w:xAlign="center" w:y="1"/>
              <w:tabs>
                <w:tab w:val="clear" w:pos="794"/>
                <w:tab w:val="clear" w:pos="1191"/>
                <w:tab w:val="clear" w:pos="1588"/>
                <w:tab w:val="clear" w:pos="1985"/>
              </w:tabs>
              <w:jc w:val="center"/>
              <w:rPr>
                <w:lang w:val="es-ES_tradnl"/>
              </w:rPr>
            </w:pPr>
            <w:r>
              <w:rPr>
                <w:lang w:val="es-ES_tradnl"/>
              </w:rPr>
              <w:t>1</w:t>
            </w:r>
            <w:r>
              <w:rPr>
                <w:rFonts w:ascii="Tms Rmn" w:hAnsi="Tms Rmn"/>
                <w:sz w:val="12"/>
                <w:lang w:val="es-ES_tradnl"/>
              </w:rPr>
              <w:t> </w:t>
            </w:r>
            <w:r>
              <w:rPr>
                <w:lang w:val="es-ES_tradnl"/>
              </w:rPr>
              <w:t>500</w:t>
            </w:r>
          </w:p>
        </w:tc>
      </w:tr>
      <w:tr w:rsidR="00403A62">
        <w:tblPrEx>
          <w:tblCellMar>
            <w:top w:w="0" w:type="dxa"/>
            <w:bottom w:w="0" w:type="dxa"/>
          </w:tblCellMar>
        </w:tblPrEx>
        <w:trPr>
          <w:cantSplit/>
        </w:trPr>
        <w:tc>
          <w:tcPr>
            <w:tcW w:w="1418" w:type="dxa"/>
          </w:tcPr>
          <w:p w:rsidR="00403A62" w:rsidRDefault="00403A62">
            <w:pPr>
              <w:pStyle w:val="TableText"/>
              <w:framePr w:hSpace="181" w:wrap="notBeside" w:vAnchor="text" w:hAnchor="text" w:xAlign="center" w:y="1"/>
              <w:tabs>
                <w:tab w:val="clear" w:pos="794"/>
                <w:tab w:val="clear" w:pos="1191"/>
                <w:tab w:val="clear" w:pos="1588"/>
                <w:tab w:val="clear" w:pos="1985"/>
                <w:tab w:val="decimal" w:pos="567"/>
              </w:tabs>
              <w:jc w:val="left"/>
              <w:rPr>
                <w:lang w:val="es-ES_tradnl"/>
              </w:rPr>
            </w:pPr>
            <w:r>
              <w:rPr>
                <w:lang w:val="es-ES_tradnl"/>
              </w:rPr>
              <w:t>5</w:t>
            </w:r>
          </w:p>
        </w:tc>
        <w:tc>
          <w:tcPr>
            <w:tcW w:w="1701" w:type="dxa"/>
          </w:tcPr>
          <w:p w:rsidR="00403A62" w:rsidRDefault="00403A62">
            <w:pPr>
              <w:pStyle w:val="TableText"/>
              <w:framePr w:hSpace="181" w:wrap="notBeside" w:vAnchor="text" w:hAnchor="text" w:xAlign="center" w:y="1"/>
              <w:jc w:val="center"/>
              <w:rPr>
                <w:lang w:val="es-ES_tradnl"/>
              </w:rPr>
            </w:pPr>
            <w:r>
              <w:rPr>
                <w:lang w:val="es-ES_tradnl"/>
              </w:rPr>
              <w:t> </w:t>
            </w:r>
            <w:r>
              <w:rPr>
                <w:rFonts w:ascii="Tms Rmn" w:hAnsi="Tms Rmn"/>
                <w:sz w:val="12"/>
                <w:lang w:val="es-ES_tradnl"/>
              </w:rPr>
              <w:t> </w:t>
            </w:r>
            <w:r>
              <w:rPr>
                <w:lang w:val="es-ES_tradnl"/>
              </w:rPr>
              <w:t>600</w:t>
            </w:r>
          </w:p>
        </w:tc>
        <w:tc>
          <w:tcPr>
            <w:tcW w:w="1134" w:type="dxa"/>
          </w:tcPr>
          <w:p w:rsidR="00403A62" w:rsidRDefault="00403A62">
            <w:pPr>
              <w:pStyle w:val="TableText"/>
              <w:framePr w:hSpace="181" w:wrap="notBeside" w:vAnchor="text" w:hAnchor="text" w:xAlign="center" w:y="1"/>
              <w:jc w:val="center"/>
              <w:rPr>
                <w:lang w:val="es-ES_tradnl"/>
              </w:rPr>
            </w:pPr>
            <w:r>
              <w:rPr>
                <w:lang w:val="es-ES_tradnl"/>
              </w:rPr>
              <w:t>1 </w:t>
            </w:r>
            <w:r>
              <w:rPr>
                <w:rFonts w:ascii="Symbol" w:hAnsi="Symbol"/>
                <w:lang w:val="es-ES_tradnl"/>
              </w:rPr>
              <w:t></w:t>
            </w:r>
            <w:r>
              <w:rPr>
                <w:lang w:val="es-ES_tradnl"/>
              </w:rPr>
              <w:t> 10</w:t>
            </w:r>
            <w:r>
              <w:rPr>
                <w:position w:val="6"/>
                <w:sz w:val="14"/>
                <w:lang w:val="es-ES_tradnl"/>
              </w:rPr>
              <w:t>–3</w:t>
            </w:r>
          </w:p>
        </w:tc>
        <w:tc>
          <w:tcPr>
            <w:tcW w:w="1134" w:type="dxa"/>
          </w:tcPr>
          <w:p w:rsidR="00403A62" w:rsidRDefault="00403A62">
            <w:pPr>
              <w:pStyle w:val="TableText"/>
              <w:framePr w:hSpace="181" w:wrap="notBeside" w:vAnchor="text" w:hAnchor="text" w:xAlign="center" w:y="1"/>
              <w:jc w:val="center"/>
              <w:rPr>
                <w:lang w:val="es-ES_tradnl"/>
              </w:rPr>
            </w:pPr>
            <w:r>
              <w:rPr>
                <w:lang w:val="es-ES_tradnl"/>
              </w:rPr>
              <w:t>600</w:t>
            </w:r>
          </w:p>
        </w:tc>
        <w:tc>
          <w:tcPr>
            <w:tcW w:w="1985" w:type="dxa"/>
          </w:tcPr>
          <w:p w:rsidR="00403A62" w:rsidRDefault="00403A62">
            <w:pPr>
              <w:pStyle w:val="TableText"/>
              <w:framePr w:hSpace="181" w:wrap="notBeside" w:vAnchor="text" w:hAnchor="text" w:xAlign="center" w:y="1"/>
              <w:jc w:val="center"/>
              <w:rPr>
                <w:lang w:val="es-ES_tradnl"/>
              </w:rPr>
            </w:pPr>
            <w:r>
              <w:rPr>
                <w:lang w:val="es-ES_tradnl"/>
              </w:rPr>
              <w:t>167</w:t>
            </w:r>
          </w:p>
        </w:tc>
        <w:tc>
          <w:tcPr>
            <w:tcW w:w="1701" w:type="dxa"/>
          </w:tcPr>
          <w:p w:rsidR="00403A62" w:rsidRDefault="00403A62">
            <w:pPr>
              <w:pStyle w:val="TableText"/>
              <w:framePr w:hSpace="181" w:wrap="notBeside" w:vAnchor="text" w:hAnchor="text" w:xAlign="center" w:y="1"/>
              <w:tabs>
                <w:tab w:val="clear" w:pos="794"/>
                <w:tab w:val="clear" w:pos="1191"/>
                <w:tab w:val="clear" w:pos="1588"/>
                <w:tab w:val="clear" w:pos="1985"/>
              </w:tabs>
              <w:jc w:val="center"/>
              <w:rPr>
                <w:lang w:val="es-ES_tradnl"/>
              </w:rPr>
            </w:pPr>
            <w:r>
              <w:rPr>
                <w:lang w:val="es-ES_tradnl"/>
              </w:rPr>
              <w:t> </w:t>
            </w:r>
            <w:r>
              <w:rPr>
                <w:rFonts w:ascii="Tms Rmn" w:hAnsi="Tms Rmn"/>
                <w:sz w:val="12"/>
                <w:lang w:val="es-ES_tradnl"/>
              </w:rPr>
              <w:t> </w:t>
            </w:r>
            <w:r>
              <w:rPr>
                <w:lang w:val="es-ES_tradnl"/>
              </w:rPr>
              <w:t>600</w:t>
            </w:r>
          </w:p>
        </w:tc>
      </w:tr>
      <w:tr w:rsidR="00403A62">
        <w:tblPrEx>
          <w:tblCellMar>
            <w:top w:w="0" w:type="dxa"/>
            <w:bottom w:w="0" w:type="dxa"/>
          </w:tblCellMar>
        </w:tblPrEx>
        <w:trPr>
          <w:cantSplit/>
        </w:trPr>
        <w:tc>
          <w:tcPr>
            <w:tcW w:w="1418" w:type="dxa"/>
          </w:tcPr>
          <w:p w:rsidR="00403A62" w:rsidRDefault="00403A62">
            <w:pPr>
              <w:pStyle w:val="TableText"/>
              <w:framePr w:hSpace="181" w:wrap="notBeside" w:vAnchor="text" w:hAnchor="text" w:xAlign="center" w:y="1"/>
              <w:tabs>
                <w:tab w:val="clear" w:pos="794"/>
                <w:tab w:val="clear" w:pos="1191"/>
                <w:tab w:val="clear" w:pos="1588"/>
                <w:tab w:val="clear" w:pos="1985"/>
                <w:tab w:val="decimal" w:pos="567"/>
              </w:tabs>
              <w:jc w:val="left"/>
              <w:rPr>
                <w:lang w:val="es-ES_tradnl"/>
              </w:rPr>
            </w:pPr>
            <w:r>
              <w:rPr>
                <w:lang w:val="es-ES_tradnl"/>
              </w:rPr>
              <w:t>10</w:t>
            </w:r>
          </w:p>
        </w:tc>
        <w:tc>
          <w:tcPr>
            <w:tcW w:w="1701" w:type="dxa"/>
          </w:tcPr>
          <w:p w:rsidR="00403A62" w:rsidRDefault="00403A62">
            <w:pPr>
              <w:pStyle w:val="TableText"/>
              <w:framePr w:hSpace="181" w:wrap="notBeside" w:vAnchor="text" w:hAnchor="text" w:xAlign="center" w:y="1"/>
              <w:jc w:val="center"/>
              <w:rPr>
                <w:lang w:val="es-ES_tradnl"/>
              </w:rPr>
            </w:pPr>
            <w:r>
              <w:rPr>
                <w:lang w:val="es-ES_tradnl"/>
              </w:rPr>
              <w:t> </w:t>
            </w:r>
            <w:r>
              <w:rPr>
                <w:rFonts w:ascii="Tms Rmn" w:hAnsi="Tms Rmn"/>
                <w:sz w:val="12"/>
                <w:lang w:val="es-ES_tradnl"/>
              </w:rPr>
              <w:t> </w:t>
            </w:r>
            <w:r>
              <w:rPr>
                <w:lang w:val="es-ES_tradnl"/>
              </w:rPr>
              <w:t>300</w:t>
            </w:r>
          </w:p>
        </w:tc>
        <w:tc>
          <w:tcPr>
            <w:tcW w:w="1134" w:type="dxa"/>
          </w:tcPr>
          <w:p w:rsidR="00403A62" w:rsidRDefault="00403A62">
            <w:pPr>
              <w:pStyle w:val="TableText"/>
              <w:framePr w:hSpace="181" w:wrap="notBeside" w:vAnchor="text" w:hAnchor="text" w:xAlign="center" w:y="1"/>
              <w:jc w:val="center"/>
              <w:rPr>
                <w:lang w:val="es-ES_tradnl"/>
              </w:rPr>
            </w:pPr>
            <w:r>
              <w:rPr>
                <w:lang w:val="es-ES_tradnl"/>
              </w:rPr>
              <w:t>1 </w:t>
            </w:r>
            <w:r>
              <w:rPr>
                <w:rFonts w:ascii="Symbol" w:hAnsi="Symbol"/>
                <w:lang w:val="es-ES_tradnl"/>
              </w:rPr>
              <w:t></w:t>
            </w:r>
            <w:r>
              <w:rPr>
                <w:lang w:val="es-ES_tradnl"/>
              </w:rPr>
              <w:t> 10</w:t>
            </w:r>
            <w:r>
              <w:rPr>
                <w:position w:val="6"/>
                <w:sz w:val="14"/>
                <w:lang w:val="es-ES_tradnl"/>
              </w:rPr>
              <w:t>–3</w:t>
            </w:r>
          </w:p>
        </w:tc>
        <w:tc>
          <w:tcPr>
            <w:tcW w:w="1134" w:type="dxa"/>
          </w:tcPr>
          <w:p w:rsidR="00403A62" w:rsidRDefault="00403A62">
            <w:pPr>
              <w:pStyle w:val="TableText"/>
              <w:framePr w:hSpace="181" w:wrap="notBeside" w:vAnchor="text" w:hAnchor="text" w:xAlign="center" w:y="1"/>
              <w:jc w:val="center"/>
              <w:rPr>
                <w:lang w:val="es-ES_tradnl"/>
              </w:rPr>
            </w:pPr>
            <w:r>
              <w:rPr>
                <w:lang w:val="es-ES_tradnl"/>
              </w:rPr>
              <w:t>600</w:t>
            </w:r>
          </w:p>
        </w:tc>
        <w:tc>
          <w:tcPr>
            <w:tcW w:w="1985" w:type="dxa"/>
          </w:tcPr>
          <w:p w:rsidR="00403A62" w:rsidRDefault="00403A62">
            <w:pPr>
              <w:pStyle w:val="TableText"/>
              <w:framePr w:hSpace="181" w:wrap="notBeside" w:vAnchor="text" w:hAnchor="text" w:xAlign="center" w:y="1"/>
              <w:jc w:val="center"/>
              <w:rPr>
                <w:lang w:val="es-ES_tradnl"/>
              </w:rPr>
            </w:pPr>
            <w:r>
              <w:rPr>
                <w:lang w:val="es-ES_tradnl"/>
              </w:rPr>
              <w:t>167</w:t>
            </w:r>
          </w:p>
        </w:tc>
        <w:tc>
          <w:tcPr>
            <w:tcW w:w="1701" w:type="dxa"/>
          </w:tcPr>
          <w:p w:rsidR="00403A62" w:rsidRDefault="00403A62">
            <w:pPr>
              <w:pStyle w:val="TableText"/>
              <w:framePr w:hSpace="181" w:wrap="notBeside" w:vAnchor="text" w:hAnchor="text" w:xAlign="center" w:y="1"/>
              <w:tabs>
                <w:tab w:val="clear" w:pos="794"/>
                <w:tab w:val="clear" w:pos="1191"/>
                <w:tab w:val="clear" w:pos="1588"/>
                <w:tab w:val="clear" w:pos="1985"/>
              </w:tabs>
              <w:jc w:val="center"/>
              <w:rPr>
                <w:lang w:val="es-ES_tradnl"/>
              </w:rPr>
            </w:pPr>
            <w:r>
              <w:rPr>
                <w:lang w:val="es-ES_tradnl"/>
              </w:rPr>
              <w:t> </w:t>
            </w:r>
            <w:r>
              <w:rPr>
                <w:rFonts w:ascii="Tms Rmn" w:hAnsi="Tms Rmn"/>
                <w:sz w:val="12"/>
                <w:lang w:val="es-ES_tradnl"/>
              </w:rPr>
              <w:t> </w:t>
            </w:r>
            <w:r>
              <w:rPr>
                <w:lang w:val="es-ES_tradnl"/>
              </w:rPr>
              <w:t>300</w:t>
            </w:r>
          </w:p>
        </w:tc>
      </w:tr>
      <w:tr w:rsidR="00403A62">
        <w:tblPrEx>
          <w:tblCellMar>
            <w:top w:w="0" w:type="dxa"/>
            <w:bottom w:w="0" w:type="dxa"/>
          </w:tblCellMar>
        </w:tblPrEx>
        <w:trPr>
          <w:cantSplit/>
        </w:trPr>
        <w:tc>
          <w:tcPr>
            <w:tcW w:w="1418" w:type="dxa"/>
          </w:tcPr>
          <w:p w:rsidR="00403A62" w:rsidRDefault="00403A62">
            <w:pPr>
              <w:pStyle w:val="TableText"/>
              <w:framePr w:hSpace="181" w:wrap="notBeside" w:vAnchor="text" w:hAnchor="text" w:xAlign="center" w:y="1"/>
              <w:tabs>
                <w:tab w:val="clear" w:pos="794"/>
                <w:tab w:val="clear" w:pos="1191"/>
                <w:tab w:val="clear" w:pos="1588"/>
                <w:tab w:val="clear" w:pos="1985"/>
                <w:tab w:val="decimal" w:pos="567"/>
              </w:tabs>
              <w:jc w:val="left"/>
              <w:rPr>
                <w:lang w:val="es-ES_tradnl"/>
              </w:rPr>
            </w:pPr>
            <w:r>
              <w:rPr>
                <w:lang w:val="es-ES_tradnl"/>
              </w:rPr>
              <w:t>20</w:t>
            </w:r>
          </w:p>
        </w:tc>
        <w:tc>
          <w:tcPr>
            <w:tcW w:w="1701" w:type="dxa"/>
          </w:tcPr>
          <w:p w:rsidR="00403A62" w:rsidRDefault="00403A62">
            <w:pPr>
              <w:pStyle w:val="TableText"/>
              <w:framePr w:hSpace="181" w:wrap="notBeside" w:vAnchor="text" w:hAnchor="text" w:xAlign="center" w:y="1"/>
              <w:jc w:val="center"/>
              <w:rPr>
                <w:lang w:val="es-ES_tradnl"/>
              </w:rPr>
            </w:pPr>
            <w:r>
              <w:rPr>
                <w:lang w:val="es-ES_tradnl"/>
              </w:rPr>
              <w:t> </w:t>
            </w:r>
            <w:r>
              <w:rPr>
                <w:rFonts w:ascii="Tms Rmn" w:hAnsi="Tms Rmn"/>
                <w:sz w:val="12"/>
                <w:lang w:val="es-ES_tradnl"/>
              </w:rPr>
              <w:t> </w:t>
            </w:r>
            <w:r>
              <w:rPr>
                <w:lang w:val="es-ES_tradnl"/>
              </w:rPr>
              <w:t>150</w:t>
            </w:r>
          </w:p>
        </w:tc>
        <w:tc>
          <w:tcPr>
            <w:tcW w:w="1134" w:type="dxa"/>
          </w:tcPr>
          <w:p w:rsidR="00403A62" w:rsidRDefault="00403A62">
            <w:pPr>
              <w:pStyle w:val="TableText"/>
              <w:framePr w:hSpace="181" w:wrap="notBeside" w:vAnchor="text" w:hAnchor="text" w:xAlign="center" w:y="1"/>
              <w:jc w:val="center"/>
              <w:rPr>
                <w:lang w:val="es-ES_tradnl"/>
              </w:rPr>
            </w:pPr>
            <w:r>
              <w:rPr>
                <w:lang w:val="es-ES_tradnl"/>
              </w:rPr>
              <w:t>1 </w:t>
            </w:r>
            <w:r>
              <w:rPr>
                <w:rFonts w:ascii="Symbol" w:hAnsi="Symbol"/>
                <w:lang w:val="es-ES_tradnl"/>
              </w:rPr>
              <w:t></w:t>
            </w:r>
            <w:r>
              <w:rPr>
                <w:lang w:val="es-ES_tradnl"/>
              </w:rPr>
              <w:t> 10</w:t>
            </w:r>
            <w:r>
              <w:rPr>
                <w:position w:val="6"/>
                <w:sz w:val="14"/>
                <w:lang w:val="es-ES_tradnl"/>
              </w:rPr>
              <w:t>–3</w:t>
            </w:r>
          </w:p>
        </w:tc>
        <w:tc>
          <w:tcPr>
            <w:tcW w:w="1134" w:type="dxa"/>
          </w:tcPr>
          <w:p w:rsidR="00403A62" w:rsidRDefault="00403A62">
            <w:pPr>
              <w:pStyle w:val="TableText"/>
              <w:framePr w:hSpace="181" w:wrap="notBeside" w:vAnchor="text" w:hAnchor="text" w:xAlign="center" w:y="1"/>
              <w:jc w:val="center"/>
              <w:rPr>
                <w:lang w:val="es-ES_tradnl"/>
              </w:rPr>
            </w:pPr>
            <w:r>
              <w:rPr>
                <w:lang w:val="es-ES_tradnl"/>
              </w:rPr>
              <w:t>600</w:t>
            </w:r>
          </w:p>
        </w:tc>
        <w:tc>
          <w:tcPr>
            <w:tcW w:w="1985" w:type="dxa"/>
          </w:tcPr>
          <w:p w:rsidR="00403A62" w:rsidRDefault="00403A62">
            <w:pPr>
              <w:pStyle w:val="TableText"/>
              <w:framePr w:hSpace="181" w:wrap="notBeside" w:vAnchor="text" w:hAnchor="text" w:xAlign="center" w:y="1"/>
              <w:jc w:val="center"/>
              <w:rPr>
                <w:lang w:val="es-ES_tradnl"/>
              </w:rPr>
            </w:pPr>
            <w:r>
              <w:rPr>
                <w:lang w:val="es-ES_tradnl"/>
              </w:rPr>
              <w:t>167</w:t>
            </w:r>
          </w:p>
        </w:tc>
        <w:tc>
          <w:tcPr>
            <w:tcW w:w="1701" w:type="dxa"/>
          </w:tcPr>
          <w:p w:rsidR="00403A62" w:rsidRDefault="00403A62">
            <w:pPr>
              <w:pStyle w:val="TableText"/>
              <w:framePr w:hSpace="181" w:wrap="notBeside" w:vAnchor="text" w:hAnchor="text" w:xAlign="center" w:y="1"/>
              <w:tabs>
                <w:tab w:val="clear" w:pos="794"/>
                <w:tab w:val="clear" w:pos="1191"/>
                <w:tab w:val="clear" w:pos="1588"/>
                <w:tab w:val="clear" w:pos="1985"/>
              </w:tabs>
              <w:jc w:val="center"/>
              <w:rPr>
                <w:lang w:val="es-ES_tradnl"/>
              </w:rPr>
            </w:pPr>
            <w:r>
              <w:rPr>
                <w:lang w:val="es-ES_tradnl"/>
              </w:rPr>
              <w:t> </w:t>
            </w:r>
            <w:r>
              <w:rPr>
                <w:rFonts w:ascii="Tms Rmn" w:hAnsi="Tms Rmn"/>
                <w:sz w:val="12"/>
                <w:lang w:val="es-ES_tradnl"/>
              </w:rPr>
              <w:t> </w:t>
            </w:r>
            <w:r>
              <w:rPr>
                <w:lang w:val="es-ES_tradnl"/>
              </w:rPr>
              <w:t>167</w:t>
            </w:r>
          </w:p>
        </w:tc>
      </w:tr>
    </w:tbl>
    <w:p w:rsidR="00403A62" w:rsidRDefault="00403A62">
      <w:pPr>
        <w:pStyle w:val="Tablefin"/>
        <w:rPr>
          <w:lang w:val="es-ES_tradnl"/>
        </w:rPr>
      </w:pPr>
    </w:p>
    <w:p w:rsidR="00403A62" w:rsidRDefault="00403A62">
      <w:pPr>
        <w:pStyle w:val="Line"/>
        <w:rPr>
          <w:lang w:val="es-ES_tradnl"/>
        </w:rPr>
      </w:pPr>
    </w:p>
    <w:p w:rsidR="00403A62" w:rsidRDefault="00403A62">
      <w:pPr>
        <w:rPr>
          <w:lang w:val="es-ES_tradnl"/>
        </w:rPr>
      </w:pPr>
    </w:p>
    <w:p w:rsidR="00403A62" w:rsidRDefault="00403A62">
      <w:pPr>
        <w:rPr>
          <w:lang w:val="es-ES_tradnl"/>
        </w:rPr>
        <w:sectPr w:rsidR="00403A62" w:rsidSect="006547CC">
          <w:headerReference w:type="even" r:id="rId35"/>
          <w:headerReference w:type="default" r:id="rId36"/>
          <w:headerReference w:type="first" r:id="rId37"/>
          <w:footnotePr>
            <w:pos w:val="beneathText"/>
          </w:footnotePr>
          <w:type w:val="oddPage"/>
          <w:pgSz w:w="11913" w:h="16834" w:code="9"/>
          <w:pgMar w:top="1089" w:right="1089" w:bottom="1089" w:left="1089" w:header="482" w:footer="482" w:gutter="0"/>
          <w:pgNumType w:start="1"/>
          <w:cols w:space="720"/>
          <w:vAlign w:val="both"/>
          <w:titlePg/>
        </w:sectPr>
      </w:pPr>
    </w:p>
    <w:p w:rsidR="00403A62" w:rsidRDefault="00403A62" w:rsidP="006547CC">
      <w:pPr>
        <w:rPr>
          <w:lang w:val="es-ES_tradnl"/>
        </w:rPr>
      </w:pPr>
    </w:p>
    <w:sectPr w:rsidR="00403A62">
      <w:headerReference w:type="first" r:id="rId38"/>
      <w:footnotePr>
        <w:pos w:val="beneathText"/>
      </w:footnotePr>
      <w:type w:val="evenPage"/>
      <w:pgSz w:w="11913" w:h="16834" w:code="9"/>
      <w:pgMar w:top="1089" w:right="1089" w:bottom="1089" w:left="1089" w:header="482" w:footer="482" w:gutter="0"/>
      <w:cols w:space="720"/>
      <w:vAlign w:val="both"/>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03A62" w:rsidRDefault="00403A62" w:rsidP="00403A62">
      <w:pPr>
        <w:spacing w:before="0"/>
      </w:pPr>
      <w:r>
        <w:separator/>
      </w:r>
    </w:p>
  </w:endnote>
  <w:endnote w:type="continuationSeparator" w:id="0">
    <w:p w:rsidR="00403A62" w:rsidRDefault="00403A62" w:rsidP="00403A62">
      <w:pPr>
        <w:spacing w:before="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Times">
    <w:panose1 w:val="020206030504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Times New Roman Bold">
    <w:altName w:val="Times New Roman"/>
    <w:panose1 w:val="02020803070505020304"/>
    <w:charset w:val="00"/>
    <w:family w:val="roman"/>
    <w:pitch w:val="variable"/>
    <w:sig w:usb0="00003A87" w:usb1="00000000" w:usb2="00000000" w:usb3="00000000" w:csb0="000000FF" w:csb1="00000000"/>
  </w:font>
  <w:font w:name="Tms Rmn">
    <w:panose1 w:val="02020603040505020304"/>
    <w:charset w:val="00"/>
    <w:family w:val="roman"/>
    <w:notTrueType/>
    <w:pitch w:val="variable"/>
    <w:sig w:usb0="00000003" w:usb1="00000000" w:usb2="00000000" w:usb3="00000000" w:csb0="00000001"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03A62" w:rsidRDefault="00403A62">
      <w:r>
        <w:rPr>
          <w:b/>
        </w:rPr>
        <w:t>_______________</w:t>
      </w:r>
    </w:p>
  </w:footnote>
  <w:footnote w:type="continuationSeparator" w:id="0">
    <w:p w:rsidR="00403A62" w:rsidRDefault="00403A62" w:rsidP="00403A62">
      <w:pPr>
        <w:spacing w:before="0"/>
      </w:pPr>
      <w:r>
        <w:continuationSeparator/>
      </w:r>
    </w:p>
  </w:footnote>
  <w:footnote w:id="1">
    <w:p w:rsidR="00403A62" w:rsidRDefault="00403A62">
      <w:pPr>
        <w:pStyle w:val="FootnoteText"/>
        <w:ind w:left="313" w:hanging="313"/>
        <w:rPr>
          <w:lang w:val="fr-FR"/>
        </w:rPr>
      </w:pPr>
      <w:r>
        <w:rPr>
          <w:rStyle w:val="FootnoteReference"/>
          <w:lang w:val="fr-FR"/>
        </w:rPr>
        <w:t>*</w:t>
      </w:r>
      <w:r>
        <w:rPr>
          <w:lang w:val="fr-FR"/>
        </w:rPr>
        <w:tab/>
        <w:t>Esta Recomendación debe señalarse a la atención de las Comisiones de Estudio 3 (Grupo de Trabajo (GT) 3L) y 8 (GT 8B) de Radiocomunicaciones.</w:t>
      </w:r>
    </w:p>
  </w:footnote>
  <w:footnote w:id="2">
    <w:p w:rsidR="007A5A49" w:rsidRPr="007A5A49" w:rsidRDefault="007A5A49" w:rsidP="007A5A49">
      <w:pPr>
        <w:pStyle w:val="FootnoteText"/>
        <w:ind w:left="313" w:hanging="313"/>
        <w:rPr>
          <w:lang w:val="en-US"/>
        </w:rPr>
      </w:pPr>
      <w:r>
        <w:rPr>
          <w:rStyle w:val="FootnoteReference"/>
        </w:rPr>
        <w:t>**</w:t>
      </w:r>
      <w:r>
        <w:tab/>
        <w:t>La Comisión de Estudio 5 de Radiocomunicaciones efectuó cambios de redacción en la presente Recomendación en diciembre de 2009, de conformidad con la Resolución UIT-R 1.</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49CB" w:rsidRDefault="00F549CB">
    <w:pPr>
      <w:pStyle w:val="Header"/>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49CB" w:rsidRDefault="00403A62" w:rsidP="00403A62">
    <w:pPr>
      <w:pStyle w:val="Header"/>
      <w:ind w:right="360" w:firstLine="360"/>
    </w:pPr>
    <w:r>
      <w:rPr>
        <w:b w:val="0"/>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2049" type="#_x0000_t75" alt="rec_S_2009" style="position:absolute;left:0;text-align:left;margin-left:0;margin-top:0;width:597.8pt;height:847.25pt;z-index:-251658752;visibility:visible;mso-position-horizontal-relative:page;mso-position-vertical-relative:page">
          <v:imagedata r:id="rId1" o:title="rec_S_2009"/>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49CB" w:rsidRDefault="00F549CB" w:rsidP="006547CC">
    <w:pPr>
      <w:pStyle w:val="Header"/>
      <w:jc w:val="left"/>
    </w:pPr>
    <w:r>
      <w:rPr>
        <w:rStyle w:val="PageNumber"/>
        <w:b w:val="0"/>
        <w:bCs/>
      </w:rPr>
      <w:fldChar w:fldCharType="begin"/>
    </w:r>
    <w:r>
      <w:rPr>
        <w:rStyle w:val="PageNumber"/>
        <w:bCs/>
      </w:rPr>
      <w:instrText xml:space="preserve"> PAGE </w:instrText>
    </w:r>
    <w:r>
      <w:rPr>
        <w:rStyle w:val="PageNumber"/>
        <w:b w:val="0"/>
        <w:bCs/>
      </w:rPr>
      <w:fldChar w:fldCharType="separate"/>
    </w:r>
    <w:r w:rsidR="007A2948">
      <w:rPr>
        <w:rStyle w:val="PageNumber"/>
        <w:bCs/>
        <w:noProof/>
      </w:rPr>
      <w:t>ii</w:t>
    </w:r>
    <w:r>
      <w:rPr>
        <w:rStyle w:val="PageNumber"/>
        <w:b w:val="0"/>
        <w:bCs/>
      </w:rPr>
      <w:fldChar w:fldCharType="end"/>
    </w:r>
    <w:r w:rsidR="006547CC">
      <w:rPr>
        <w:lang w:val="en-US"/>
      </w:rPr>
      <w:tab/>
    </w:r>
    <w:r w:rsidR="006547CC">
      <w:fldChar w:fldCharType="begin"/>
    </w:r>
    <w:r w:rsidR="006547CC">
      <w:rPr>
        <w:lang w:val="fr-CH"/>
      </w:rPr>
      <w:instrText>styleref head_foot</w:instrText>
    </w:r>
    <w:r w:rsidR="006547CC">
      <w:fldChar w:fldCharType="separate"/>
    </w:r>
    <w:r w:rsidR="007A2948">
      <w:rPr>
        <w:noProof/>
      </w:rPr>
      <w:t>Rec. UIT-R F.1487</w:t>
    </w:r>
    <w:r w:rsidR="006547CC">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49CB" w:rsidRDefault="00F549CB">
    <w:pPr>
      <w:pStyle w:val="Header"/>
    </w:pPr>
    <w:r>
      <w:tab/>
    </w:r>
    <w:r>
      <w:fldChar w:fldCharType="begin"/>
    </w:r>
    <w:r>
      <w:instrText xml:space="preserve"> DOCPROPERTY "Header" \* MERGEFORMAT </w:instrText>
    </w:r>
    <w:r>
      <w:fldChar w:fldCharType="separate"/>
    </w:r>
    <w:r w:rsidR="008A345F">
      <w:rPr>
        <w:b w:val="0"/>
        <w:bCs/>
        <w:lang w:val="en-US"/>
      </w:rPr>
      <w:t>Error! Unknown document property name.</w:t>
    </w:r>
    <w:r>
      <w:fldChar w:fldCharType="end"/>
    </w:r>
    <w:r>
      <w:rPr>
        <w:bCs/>
      </w:rPr>
      <w:t xml:space="preserve">  </w:t>
    </w:r>
    <w:r>
      <w:rPr>
        <w:b w:val="0"/>
        <w:bCs/>
      </w:rPr>
      <w:fldChar w:fldCharType="begin"/>
    </w:r>
    <w:r>
      <w:rPr>
        <w:bCs/>
      </w:rPr>
      <w:instrText>styleref href</w:instrText>
    </w:r>
    <w:r>
      <w:rPr>
        <w:b w:val="0"/>
        <w:bCs/>
      </w:rPr>
      <w:fldChar w:fldCharType="separate"/>
    </w:r>
    <w:r w:rsidR="008A345F">
      <w:rPr>
        <w:noProof/>
        <w:lang w:val="en-US"/>
      </w:rPr>
      <w:t>Error! Use the Home tab to apply href to the text that you want to appear here.</w:t>
    </w:r>
    <w:r>
      <w:rPr>
        <w:b w:val="0"/>
        <w:bCs/>
      </w:rPr>
      <w:fldChar w:fldCharType="end"/>
    </w:r>
    <w:r>
      <w:tab/>
    </w:r>
    <w:r>
      <w:rPr>
        <w:rStyle w:val="PageNumber"/>
        <w:b w:val="0"/>
        <w:bCs/>
      </w:rPr>
      <w:fldChar w:fldCharType="begin"/>
    </w:r>
    <w:r>
      <w:rPr>
        <w:rStyle w:val="PageNumber"/>
        <w:bCs/>
      </w:rPr>
      <w:instrText xml:space="preserve"> PAGE </w:instrText>
    </w:r>
    <w:r>
      <w:rPr>
        <w:rStyle w:val="PageNumber"/>
        <w:b w:val="0"/>
        <w:bCs/>
      </w:rPr>
      <w:fldChar w:fldCharType="separate"/>
    </w:r>
    <w:r w:rsidR="006547CC">
      <w:rPr>
        <w:rStyle w:val="PageNumber"/>
        <w:bCs/>
        <w:noProof/>
      </w:rPr>
      <w:t>iii</w:t>
    </w:r>
    <w:r>
      <w:rPr>
        <w:rStyle w:val="PageNumber"/>
        <w:b w:val="0"/>
        <w:bCs/>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A62" w:rsidRDefault="00403A62">
    <w:pPr>
      <w:pStyle w:val="Header"/>
      <w:rPr>
        <w:lang w:val="fr-CH"/>
      </w:rPr>
    </w:pPr>
    <w:r>
      <w:rPr>
        <w:rStyle w:val="PageNumber"/>
      </w:rPr>
      <w:fldChar w:fldCharType="begin"/>
    </w:r>
    <w:r>
      <w:rPr>
        <w:rStyle w:val="PageNumber"/>
        <w:lang w:val="fr-CH"/>
      </w:rPr>
      <w:instrText xml:space="preserve"> PAGE </w:instrText>
    </w:r>
    <w:r>
      <w:rPr>
        <w:rStyle w:val="PageNumber"/>
      </w:rPr>
      <w:fldChar w:fldCharType="separate"/>
    </w:r>
    <w:r w:rsidR="007A2948">
      <w:rPr>
        <w:rStyle w:val="PageNumber"/>
        <w:noProof/>
        <w:lang w:val="fr-CH"/>
      </w:rPr>
      <w:t>10</w:t>
    </w:r>
    <w:r>
      <w:rPr>
        <w:rStyle w:val="PageNumber"/>
      </w:rPr>
      <w:fldChar w:fldCharType="end"/>
    </w:r>
    <w:r>
      <w:rPr>
        <w:rStyle w:val="PageNumber"/>
        <w:lang w:val="fr-CH"/>
      </w:rPr>
      <w:tab/>
    </w:r>
    <w:r>
      <w:fldChar w:fldCharType="begin"/>
    </w:r>
    <w:r>
      <w:rPr>
        <w:lang w:val="fr-CH"/>
      </w:rPr>
      <w:instrText>styleref head_foot</w:instrText>
    </w:r>
    <w:r>
      <w:fldChar w:fldCharType="separate"/>
    </w:r>
    <w:r w:rsidR="007A2948">
      <w:rPr>
        <w:noProof/>
      </w:rPr>
      <w:t>Rec. UIT-R F.1487</w:t>
    </w:r>
    <w:r>
      <w:fldChar w:fldCharType="end"/>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A62" w:rsidRDefault="00403A62">
    <w:pPr>
      <w:pStyle w:val="Header"/>
      <w:rPr>
        <w:lang w:val="fr-CH"/>
      </w:rPr>
    </w:pPr>
    <w:r>
      <w:rPr>
        <w:lang w:val="en-US"/>
      </w:rPr>
      <w:tab/>
    </w:r>
    <w:r>
      <w:fldChar w:fldCharType="begin"/>
    </w:r>
    <w:r>
      <w:rPr>
        <w:lang w:val="fr-CH"/>
      </w:rPr>
      <w:instrText>styleref head_foot</w:instrText>
    </w:r>
    <w:r>
      <w:fldChar w:fldCharType="separate"/>
    </w:r>
    <w:r w:rsidR="007A2948">
      <w:rPr>
        <w:noProof/>
      </w:rPr>
      <w:t>Rec. UIT-R F.1487</w:t>
    </w:r>
    <w:r>
      <w:fldChar w:fldCharType="end"/>
    </w:r>
    <w:r>
      <w:rPr>
        <w:lang w:val="fr-CH"/>
      </w:rPr>
      <w:tab/>
    </w:r>
    <w:r>
      <w:rPr>
        <w:rStyle w:val="PageNumber"/>
      </w:rPr>
      <w:fldChar w:fldCharType="begin"/>
    </w:r>
    <w:r>
      <w:rPr>
        <w:rStyle w:val="PageNumber"/>
        <w:lang w:val="fr-CH"/>
      </w:rPr>
      <w:instrText xml:space="preserve"> PAGE </w:instrText>
    </w:r>
    <w:r>
      <w:rPr>
        <w:rStyle w:val="PageNumber"/>
      </w:rPr>
      <w:fldChar w:fldCharType="separate"/>
    </w:r>
    <w:r w:rsidR="007A2948">
      <w:rPr>
        <w:rStyle w:val="PageNumber"/>
        <w:noProof/>
        <w:lang w:val="fr-CH"/>
      </w:rPr>
      <w:t>11</w:t>
    </w:r>
    <w:r>
      <w:rPr>
        <w:rStyle w:val="PageNumber"/>
      </w:rPr>
      <w:fldChar w:fldCharType="end"/>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A62" w:rsidRDefault="00403A62">
    <w:pPr>
      <w:pStyle w:val="Header"/>
      <w:rPr>
        <w:lang w:val="fr-CH"/>
      </w:rPr>
    </w:pPr>
    <w:r>
      <w:rPr>
        <w:lang w:val="en-US"/>
      </w:rPr>
      <w:tab/>
    </w:r>
    <w:r>
      <w:fldChar w:fldCharType="begin"/>
    </w:r>
    <w:r>
      <w:rPr>
        <w:lang w:val="fr-CH"/>
      </w:rPr>
      <w:instrText>styleref head_foot</w:instrText>
    </w:r>
    <w:r>
      <w:fldChar w:fldCharType="separate"/>
    </w:r>
    <w:r w:rsidR="007A2948">
      <w:rPr>
        <w:noProof/>
      </w:rPr>
      <w:t>Rec. UIT-R F.1487</w:t>
    </w:r>
    <w:r>
      <w:fldChar w:fldCharType="end"/>
    </w:r>
    <w:r>
      <w:rPr>
        <w:lang w:val="fr-CH"/>
      </w:rPr>
      <w:tab/>
    </w:r>
    <w:r>
      <w:rPr>
        <w:rStyle w:val="PageNumber"/>
      </w:rPr>
      <w:fldChar w:fldCharType="begin"/>
    </w:r>
    <w:r>
      <w:rPr>
        <w:rStyle w:val="PageNumber"/>
        <w:lang w:val="fr-CH"/>
      </w:rPr>
      <w:instrText xml:space="preserve"> PAGE </w:instrText>
    </w:r>
    <w:r>
      <w:rPr>
        <w:rStyle w:val="PageNumber"/>
      </w:rPr>
      <w:fldChar w:fldCharType="separate"/>
    </w:r>
    <w:r w:rsidR="007A2948">
      <w:rPr>
        <w:rStyle w:val="PageNumber"/>
        <w:noProof/>
        <w:lang w:val="fr-CH"/>
      </w:rPr>
      <w:t>1</w:t>
    </w:r>
    <w:r>
      <w:rPr>
        <w:rStyle w:val="PageNumber"/>
      </w:rPr>
      <w:fldChar w:fldCharType="end"/>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A62" w:rsidRDefault="00403A62">
    <w:pPr>
      <w:pStyle w:val="Header"/>
      <w:rPr>
        <w:lang w:val="fr-CH"/>
      </w:rPr>
    </w:pPr>
    <w:r>
      <w:rPr>
        <w:lang w:val="en-US"/>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881657E8"/>
    <w:lvl w:ilvl="0">
      <w:start w:val="1"/>
      <w:numFmt w:val="decimal"/>
      <w:lvlText w:val="%1."/>
      <w:lvlJc w:val="left"/>
      <w:pPr>
        <w:tabs>
          <w:tab w:val="num" w:pos="360"/>
        </w:tabs>
        <w:ind w:left="360" w:hanging="360"/>
      </w:pPr>
    </w:lvl>
  </w:abstractNum>
  <w:abstractNum w:abstractNumId="1">
    <w:nsid w:val="FFFFFFFE"/>
    <w:multiLevelType w:val="singleLevel"/>
    <w:tmpl w:val="B39284A0"/>
    <w:lvl w:ilvl="0">
      <w:numFmt w:val="decimal"/>
      <w:lvlText w:val="*"/>
      <w:lvlJc w:val="left"/>
    </w:lvl>
  </w:abstractNum>
  <w:abstractNum w:abstractNumId="2">
    <w:nsid w:val="375C02F0"/>
    <w:multiLevelType w:val="singleLevel"/>
    <w:tmpl w:val="E584B0F4"/>
    <w:lvl w:ilvl="0">
      <w:start w:val="4"/>
      <w:numFmt w:val="decimal"/>
      <w:lvlText w:val="%1."/>
      <w:legacy w:legacy="1" w:legacySpace="0" w:legacyIndent="720"/>
      <w:lvlJc w:val="left"/>
      <w:pPr>
        <w:ind w:left="720" w:hanging="720"/>
      </w:pPr>
    </w:lvl>
  </w:abstractNum>
  <w:num w:numId="1">
    <w:abstractNumId w:val="0"/>
  </w:num>
  <w:num w:numId="2">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intFractionalCharacterWidth/>
  <w:hideSpellingErrors/>
  <w:attachedTemplate r:id="rId1"/>
  <w:doNotTrackMoves/>
  <w:defaultTabStop w:val="720"/>
  <w:doNotHyphenateCaps/>
  <w:evenAndOddHeader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3074"/>
    <o:shapelayout v:ext="edit">
      <o:idmap v:ext="edit" data="2"/>
    </o:shapelayout>
  </w:hdrShapeDefaults>
  <w:footnotePr>
    <w:footnote w:id="-1"/>
    <w:footnote w:id="0"/>
  </w:footnotePr>
  <w:endnotePr>
    <w:endnote w:id="-1"/>
    <w:endnote w:id="0"/>
  </w:endnotePr>
  <w:compat>
    <w:printColBlack/>
    <w:showBreaksInFrames/>
    <w:suppressSpBfAfterPgBrk/>
    <w:swapBordersFacingPages/>
    <w:convMailMergeEsc/>
    <w:doNotSuppressParagraphBorders/>
    <w:footnoteLayoutLikeWW8/>
    <w:shapeLayoutLikeWW8/>
    <w:alignTablesRowByRow/>
    <w:forgetLastTabAlignment/>
    <w:noSpaceRaiseLower/>
    <w:doNotUseHTMLParagraphAutoSpacing/>
    <w:layoutRawTableWidth/>
    <w:layoutTableRowsApar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549CB"/>
    <w:rsid w:val="00403A62"/>
    <w:rsid w:val="006547CC"/>
    <w:rsid w:val="007A2948"/>
    <w:rsid w:val="007A5A49"/>
    <w:rsid w:val="008A345F"/>
    <w:rsid w:val="00F549CB"/>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w:eastAsia="Times New Roman" w:hAnsi="Times"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36"/>
      <w:jc w:val="both"/>
      <w:textAlignment w:val="baseline"/>
    </w:pPr>
    <w:rPr>
      <w:rFonts w:ascii="Times New Roman" w:hAnsi="Times New Roman"/>
      <w:lang w:val="en-GB" w:eastAsia="en-US"/>
    </w:rPr>
  </w:style>
  <w:style w:type="paragraph" w:styleId="Heading1">
    <w:name w:val="heading 1"/>
    <w:basedOn w:val="Normal"/>
    <w:next w:val="Normal"/>
    <w:qFormat/>
    <w:pPr>
      <w:keepNext/>
      <w:keepLines/>
      <w:tabs>
        <w:tab w:val="clear" w:pos="1191"/>
        <w:tab w:val="clear" w:pos="1588"/>
        <w:tab w:val="clear" w:pos="1985"/>
      </w:tabs>
      <w:spacing w:before="480"/>
      <w:ind w:left="794" w:hanging="794"/>
      <w:outlineLvl w:val="0"/>
    </w:pPr>
    <w:rPr>
      <w:b/>
      <w:sz w:val="24"/>
    </w:rPr>
  </w:style>
  <w:style w:type="paragraph" w:styleId="Heading2">
    <w:name w:val="heading 2"/>
    <w:basedOn w:val="Normal"/>
    <w:next w:val="Normal"/>
    <w:qFormat/>
    <w:pPr>
      <w:keepNext/>
      <w:keepLines/>
      <w:tabs>
        <w:tab w:val="clear" w:pos="1191"/>
        <w:tab w:val="clear" w:pos="1588"/>
        <w:tab w:val="clear" w:pos="1985"/>
      </w:tabs>
      <w:spacing w:before="313"/>
      <w:ind w:left="794" w:hanging="794"/>
      <w:outlineLvl w:val="1"/>
    </w:pPr>
    <w:rPr>
      <w:b/>
      <w:sz w:val="22"/>
    </w:rPr>
  </w:style>
  <w:style w:type="paragraph" w:styleId="Heading3">
    <w:name w:val="heading 3"/>
    <w:basedOn w:val="Normal"/>
    <w:next w:val="Normal"/>
    <w:qFormat/>
    <w:pPr>
      <w:keepNext/>
      <w:keepLines/>
      <w:tabs>
        <w:tab w:val="clear" w:pos="1191"/>
        <w:tab w:val="clear" w:pos="1588"/>
        <w:tab w:val="clear" w:pos="1985"/>
      </w:tabs>
      <w:spacing w:before="181"/>
      <w:ind w:left="794" w:hanging="794"/>
      <w:outlineLvl w:val="2"/>
    </w:pPr>
    <w:rPr>
      <w:b/>
    </w:rPr>
  </w:style>
  <w:style w:type="paragraph" w:styleId="Heading4">
    <w:name w:val="heading 4"/>
    <w:basedOn w:val="Heading3"/>
    <w:next w:val="Normal"/>
    <w:qFormat/>
    <w:pPr>
      <w:tabs>
        <w:tab w:val="clear" w:pos="794"/>
        <w:tab w:val="left" w:pos="851"/>
      </w:tabs>
      <w:ind w:left="851" w:hanging="851"/>
      <w:outlineLvl w:val="3"/>
    </w:pPr>
  </w:style>
  <w:style w:type="paragraph" w:styleId="Heading5">
    <w:name w:val="heading 5"/>
    <w:basedOn w:val="Heading3"/>
    <w:next w:val="Normal"/>
    <w:qFormat/>
    <w:pPr>
      <w:tabs>
        <w:tab w:val="clear" w:pos="794"/>
        <w:tab w:val="left" w:pos="1021"/>
      </w:tabs>
      <w:ind w:left="1021" w:hanging="1021"/>
      <w:outlineLvl w:val="4"/>
    </w:pPr>
  </w:style>
  <w:style w:type="paragraph" w:styleId="Heading6">
    <w:name w:val="heading 6"/>
    <w:basedOn w:val="Heading3"/>
    <w:next w:val="Normal"/>
    <w:qFormat/>
    <w:pPr>
      <w:tabs>
        <w:tab w:val="clear" w:pos="794"/>
        <w:tab w:val="left" w:pos="1191"/>
      </w:tabs>
      <w:ind w:left="1191" w:hanging="1191"/>
      <w:outlineLvl w:val="5"/>
    </w:pPr>
  </w:style>
  <w:style w:type="paragraph" w:styleId="Heading7">
    <w:name w:val="heading 7"/>
    <w:basedOn w:val="Heading3"/>
    <w:next w:val="Normal"/>
    <w:qFormat/>
    <w:pPr>
      <w:tabs>
        <w:tab w:val="clear" w:pos="794"/>
        <w:tab w:val="left" w:pos="1361"/>
      </w:tabs>
      <w:spacing w:before="200"/>
      <w:ind w:left="0" w:firstLine="0"/>
      <w:outlineLvl w:val="6"/>
    </w:pPr>
  </w:style>
  <w:style w:type="paragraph" w:styleId="Heading8">
    <w:name w:val="heading 8"/>
    <w:basedOn w:val="Heading3"/>
    <w:next w:val="Normal"/>
    <w:qFormat/>
    <w:pPr>
      <w:tabs>
        <w:tab w:val="clear" w:pos="794"/>
        <w:tab w:val="left" w:pos="1418"/>
      </w:tabs>
      <w:ind w:left="1418" w:hanging="1418"/>
      <w:outlineLvl w:val="7"/>
    </w:pPr>
  </w:style>
  <w:style w:type="paragraph" w:styleId="Heading9">
    <w:name w:val="heading 9"/>
    <w:basedOn w:val="Heading3"/>
    <w:next w:val="Normal"/>
    <w:qFormat/>
    <w:pPr>
      <w:tabs>
        <w:tab w:val="clear" w:pos="794"/>
        <w:tab w:val="left" w:pos="1531"/>
      </w:tabs>
      <w:ind w:left="1531" w:hanging="1531"/>
      <w:outlineLvl w:val="8"/>
    </w:p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Normal"/>
    <w:next w:val="Normal"/>
    <w:semiHidden/>
    <w:pPr>
      <w:tabs>
        <w:tab w:val="left" w:pos="7711"/>
        <w:tab w:val="right" w:leader="dot" w:pos="9725"/>
      </w:tabs>
      <w:ind w:left="6350"/>
    </w:pPr>
  </w:style>
  <w:style w:type="paragraph" w:styleId="TOC7">
    <w:name w:val="toc 7"/>
    <w:basedOn w:val="TOC2"/>
    <w:next w:val="Normal"/>
    <w:semiHidden/>
    <w:pPr>
      <w:spacing w:before="20"/>
      <w:ind w:right="652"/>
    </w:pPr>
  </w:style>
  <w:style w:type="paragraph" w:styleId="TOC2">
    <w:name w:val="toc 2"/>
    <w:basedOn w:val="TOC1"/>
    <w:next w:val="TOC3"/>
    <w:semiHidden/>
    <w:pPr>
      <w:tabs>
        <w:tab w:val="clear" w:pos="567"/>
        <w:tab w:val="left" w:pos="1247"/>
      </w:tabs>
      <w:spacing w:before="40"/>
      <w:ind w:left="1247" w:hanging="680"/>
    </w:pPr>
  </w:style>
  <w:style w:type="paragraph" w:styleId="TOC1">
    <w:name w:val="toc 1"/>
    <w:basedOn w:val="Normal"/>
    <w:next w:val="TOC2"/>
    <w:semiHidden/>
    <w:pPr>
      <w:keepNext/>
      <w:tabs>
        <w:tab w:val="clear" w:pos="794"/>
        <w:tab w:val="clear" w:pos="1191"/>
        <w:tab w:val="clear" w:pos="1588"/>
        <w:tab w:val="clear" w:pos="1985"/>
        <w:tab w:val="left" w:pos="567"/>
        <w:tab w:val="right" w:leader="dot" w:pos="9072"/>
        <w:tab w:val="right" w:pos="9725"/>
      </w:tabs>
      <w:spacing w:before="120"/>
      <w:ind w:left="567" w:right="653" w:hanging="567"/>
    </w:pPr>
  </w:style>
  <w:style w:type="paragraph" w:styleId="TOC3">
    <w:name w:val="toc 3"/>
    <w:basedOn w:val="TOC2"/>
    <w:next w:val="TOC4"/>
    <w:semiHidden/>
    <w:pPr>
      <w:tabs>
        <w:tab w:val="clear" w:pos="1247"/>
        <w:tab w:val="left" w:pos="2041"/>
      </w:tabs>
      <w:spacing w:before="20"/>
      <w:ind w:left="2041" w:hanging="794"/>
    </w:pPr>
  </w:style>
  <w:style w:type="paragraph" w:styleId="TOC4">
    <w:name w:val="toc 4"/>
    <w:basedOn w:val="TOC3"/>
    <w:next w:val="TOC5"/>
    <w:semiHidden/>
    <w:pPr>
      <w:tabs>
        <w:tab w:val="left" w:pos="2948"/>
      </w:tabs>
      <w:ind w:left="2948" w:hanging="907"/>
    </w:pPr>
  </w:style>
  <w:style w:type="paragraph" w:styleId="TOC5">
    <w:name w:val="toc 5"/>
    <w:basedOn w:val="Normal"/>
    <w:next w:val="Normal"/>
    <w:semiHidden/>
    <w:pPr>
      <w:tabs>
        <w:tab w:val="left" w:pos="3969"/>
        <w:tab w:val="right" w:leader="dot" w:pos="9725"/>
      </w:tabs>
      <w:ind w:left="2948"/>
    </w:pPr>
  </w:style>
  <w:style w:type="paragraph" w:styleId="TOC6">
    <w:name w:val="toc 6"/>
    <w:basedOn w:val="Normal"/>
    <w:next w:val="Normal"/>
    <w:semiHidden/>
    <w:pPr>
      <w:tabs>
        <w:tab w:val="left" w:pos="5104"/>
        <w:tab w:val="right" w:leader="dot" w:pos="9725"/>
      </w:tabs>
      <w:ind w:left="3969"/>
    </w:pPr>
  </w:style>
  <w:style w:type="paragraph" w:styleId="Index7">
    <w:name w:val="index 7"/>
    <w:basedOn w:val="Normal"/>
    <w:next w:val="Normal"/>
    <w:semiHidden/>
    <w:pPr>
      <w:ind w:left="1698"/>
    </w:pPr>
  </w:style>
  <w:style w:type="paragraph" w:styleId="Index6">
    <w:name w:val="index 6"/>
    <w:basedOn w:val="Normal"/>
    <w:next w:val="Normal"/>
    <w:semiHidden/>
    <w:pPr>
      <w:ind w:left="1415"/>
    </w:pPr>
  </w:style>
  <w:style w:type="paragraph" w:styleId="Index5">
    <w:name w:val="index 5"/>
    <w:basedOn w:val="Normal"/>
    <w:next w:val="Normal"/>
    <w:semiHidden/>
    <w:pPr>
      <w:ind w:left="1132"/>
    </w:pPr>
  </w:style>
  <w:style w:type="paragraph" w:styleId="Index4">
    <w:name w:val="index 4"/>
    <w:basedOn w:val="Normal"/>
    <w:next w:val="Normal"/>
    <w:semiHidden/>
    <w:pPr>
      <w:ind w:left="849"/>
    </w:pPr>
  </w:style>
  <w:style w:type="paragraph" w:styleId="Index3">
    <w:name w:val="index 3"/>
    <w:basedOn w:val="Normal"/>
    <w:next w:val="Normal"/>
    <w:semiHidden/>
    <w:pPr>
      <w:ind w:left="566"/>
    </w:pPr>
  </w:style>
  <w:style w:type="paragraph" w:styleId="Index2">
    <w:name w:val="index 2"/>
    <w:basedOn w:val="Normal"/>
    <w:next w:val="Normal"/>
    <w:semiHidden/>
    <w:pPr>
      <w:ind w:left="283"/>
    </w:pPr>
  </w:style>
  <w:style w:type="paragraph" w:styleId="Index1">
    <w:name w:val="index 1"/>
    <w:basedOn w:val="Normal"/>
    <w:next w:val="Normal"/>
    <w:semiHidden/>
  </w:style>
  <w:style w:type="character" w:styleId="LineNumber">
    <w:name w:val="line number"/>
    <w:basedOn w:val="DefaultParagraphFont"/>
    <w:semiHidden/>
  </w:style>
  <w:style w:type="paragraph" w:styleId="IndexHeading">
    <w:name w:val="index heading"/>
    <w:basedOn w:val="Normal"/>
    <w:next w:val="Index1"/>
    <w:semiHidden/>
  </w:style>
  <w:style w:type="paragraph" w:styleId="Footer">
    <w:name w:val="footer"/>
    <w:basedOn w:val="Normal"/>
    <w:semiHidden/>
    <w:pPr>
      <w:tabs>
        <w:tab w:val="clear" w:pos="794"/>
        <w:tab w:val="clear" w:pos="1191"/>
        <w:tab w:val="clear" w:pos="1588"/>
        <w:tab w:val="clear" w:pos="1985"/>
        <w:tab w:val="center" w:pos="4849"/>
        <w:tab w:val="right" w:pos="9696"/>
      </w:tabs>
      <w:jc w:val="left"/>
    </w:pPr>
    <w:rPr>
      <w:b/>
    </w:rPr>
  </w:style>
  <w:style w:type="paragraph" w:styleId="Header">
    <w:name w:val="header"/>
    <w:basedOn w:val="Normal"/>
    <w:pPr>
      <w:tabs>
        <w:tab w:val="clear" w:pos="794"/>
        <w:tab w:val="clear" w:pos="1191"/>
        <w:tab w:val="clear" w:pos="1588"/>
        <w:tab w:val="clear" w:pos="1985"/>
        <w:tab w:val="center" w:pos="4849"/>
        <w:tab w:val="right" w:pos="9696"/>
      </w:tabs>
    </w:pPr>
    <w:rPr>
      <w:b/>
    </w:rPr>
  </w:style>
  <w:style w:type="character" w:styleId="FootnoteReference">
    <w:name w:val="footnote reference"/>
    <w:basedOn w:val="DefaultParagraphFont"/>
    <w:semiHidden/>
    <w:rPr>
      <w:position w:val="4"/>
      <w:sz w:val="16"/>
    </w:rPr>
  </w:style>
  <w:style w:type="paragraph" w:styleId="FootnoteText">
    <w:name w:val="footnote text"/>
    <w:basedOn w:val="Normal"/>
    <w:semiHidden/>
    <w:pPr>
      <w:tabs>
        <w:tab w:val="clear" w:pos="794"/>
        <w:tab w:val="clear" w:pos="1191"/>
        <w:tab w:val="clear" w:pos="1588"/>
        <w:tab w:val="clear" w:pos="1985"/>
        <w:tab w:val="left" w:pos="313"/>
      </w:tabs>
    </w:pPr>
    <w:rPr>
      <w:sz w:val="18"/>
    </w:rPr>
  </w:style>
  <w:style w:type="paragraph" w:styleId="NormalIndent">
    <w:name w:val="Normal Indent"/>
    <w:basedOn w:val="Normal"/>
    <w:semiHidden/>
    <w:pPr>
      <w:ind w:left="600"/>
    </w:pPr>
  </w:style>
  <w:style w:type="paragraph" w:customStyle="1" w:styleId="TableLegend">
    <w:name w:val="Table_Legend"/>
    <w:basedOn w:val="Normal"/>
    <w:next w:val="Normal"/>
    <w:pPr>
      <w:keepNext/>
      <w:spacing w:before="86" w:line="199" w:lineRule="exact"/>
      <w:ind w:left="-85" w:right="-85"/>
    </w:pPr>
    <w:rPr>
      <w:sz w:val="18"/>
    </w:rPr>
  </w:style>
  <w:style w:type="paragraph" w:customStyle="1" w:styleId="TableTitle">
    <w:name w:val="Table_Title"/>
    <w:basedOn w:val="Table"/>
    <w:next w:val="Blanc"/>
    <w:pPr>
      <w:spacing w:before="0"/>
    </w:pPr>
    <w:rPr>
      <w:b/>
    </w:rPr>
  </w:style>
  <w:style w:type="paragraph" w:customStyle="1" w:styleId="Table">
    <w:name w:val="Table_#"/>
    <w:basedOn w:val="Normal"/>
    <w:next w:val="TableTitle"/>
    <w:pPr>
      <w:keepNext/>
      <w:tabs>
        <w:tab w:val="clear" w:pos="794"/>
        <w:tab w:val="clear" w:pos="1191"/>
        <w:tab w:val="clear" w:pos="1588"/>
        <w:tab w:val="clear" w:pos="1985"/>
      </w:tabs>
      <w:spacing w:before="567" w:after="113"/>
      <w:jc w:val="center"/>
    </w:pPr>
    <w:rPr>
      <w:sz w:val="1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rPr>
  </w:style>
  <w:style w:type="paragraph" w:customStyle="1" w:styleId="TableText">
    <w:name w:val="Table_Text"/>
    <w:basedOn w:val="TableLegend"/>
    <w:pPr>
      <w:spacing w:before="100" w:after="100" w:line="190" w:lineRule="exact"/>
      <w:ind w:left="0" w:right="0"/>
    </w:pPr>
  </w:style>
  <w:style w:type="paragraph" w:customStyle="1" w:styleId="enumlev1">
    <w:name w:val="enumlev1"/>
    <w:basedOn w:val="Normal"/>
    <w:next w:val="Normal"/>
    <w:pPr>
      <w:tabs>
        <w:tab w:val="clear" w:pos="794"/>
        <w:tab w:val="clear" w:pos="1191"/>
        <w:tab w:val="clear" w:pos="1588"/>
        <w:tab w:val="clear" w:pos="1985"/>
        <w:tab w:val="left" w:pos="397"/>
      </w:tabs>
      <w:spacing w:before="86"/>
      <w:ind w:left="397" w:hanging="397"/>
    </w:pPr>
  </w:style>
  <w:style w:type="paragraph" w:customStyle="1" w:styleId="enumlev2">
    <w:name w:val="enumlev2"/>
    <w:basedOn w:val="enumlev1"/>
    <w:pPr>
      <w:tabs>
        <w:tab w:val="clear" w:pos="397"/>
        <w:tab w:val="left" w:pos="794"/>
      </w:tabs>
      <w:ind w:left="794"/>
    </w:pPr>
  </w:style>
  <w:style w:type="paragraph" w:customStyle="1" w:styleId="enumlev3">
    <w:name w:val="enumlev3"/>
    <w:basedOn w:val="enumlev2"/>
    <w:pPr>
      <w:tabs>
        <w:tab w:val="clear" w:pos="794"/>
        <w:tab w:val="left" w:pos="1191"/>
      </w:tabs>
      <w:ind w:left="1191"/>
    </w:pPr>
  </w:style>
  <w:style w:type="paragraph" w:customStyle="1" w:styleId="Figure">
    <w:name w:val="Figure"/>
    <w:basedOn w:val="Normal"/>
    <w:next w:val="Normal"/>
    <w:pPr>
      <w:keepNext/>
      <w:keepLines/>
      <w:spacing w:before="240"/>
      <w:jc w:val="center"/>
    </w:pPr>
  </w:style>
  <w:style w:type="paragraph" w:customStyle="1" w:styleId="FigureLegend">
    <w:name w:val="Figure_Legend"/>
    <w:basedOn w:val="TableLegend"/>
    <w:next w:val="FigureRemark"/>
    <w:pPr>
      <w:jc w:val="left"/>
    </w:pPr>
  </w:style>
  <w:style w:type="paragraph" w:customStyle="1" w:styleId="FigureRemark">
    <w:name w:val="Figure_Remark"/>
    <w:basedOn w:val="TableLegend"/>
    <w:pPr>
      <w:tabs>
        <w:tab w:val="clear" w:pos="794"/>
        <w:tab w:val="clear" w:pos="1191"/>
        <w:tab w:val="clear" w:pos="1588"/>
        <w:tab w:val="clear" w:pos="1985"/>
        <w:tab w:val="center" w:pos="284"/>
      </w:tabs>
      <w:spacing w:before="142"/>
    </w:pPr>
  </w:style>
  <w:style w:type="paragraph" w:customStyle="1" w:styleId="Figure0">
    <w:name w:val="Figure_#"/>
    <w:basedOn w:val="Table"/>
    <w:next w:val="FigureTitle"/>
  </w:style>
  <w:style w:type="paragraph" w:customStyle="1" w:styleId="FigureTitle">
    <w:name w:val="Figure_Title"/>
    <w:basedOn w:val="TableTitle"/>
    <w:next w:val="FigureLegend"/>
    <w:pPr>
      <w:spacing w:after="240"/>
    </w:pPr>
  </w:style>
  <w:style w:type="paragraph" w:customStyle="1" w:styleId="Annex">
    <w:name w:val="Annex_#"/>
    <w:basedOn w:val="Normal"/>
    <w:next w:val="AnnexRef"/>
    <w:pPr>
      <w:tabs>
        <w:tab w:val="clear" w:pos="794"/>
        <w:tab w:val="clear" w:pos="1191"/>
        <w:tab w:val="clear" w:pos="1588"/>
        <w:tab w:val="clear" w:pos="1985"/>
        <w:tab w:val="center" w:pos="4849"/>
        <w:tab w:val="right" w:pos="9696"/>
      </w:tabs>
      <w:spacing w:before="720" w:after="68"/>
      <w:jc w:val="center"/>
    </w:pPr>
  </w:style>
  <w:style w:type="paragraph" w:customStyle="1" w:styleId="AnnexRef">
    <w:name w:val="Annex_Ref"/>
    <w:basedOn w:val="Normal"/>
    <w:next w:val="AnnexTitle"/>
    <w:pPr>
      <w:tabs>
        <w:tab w:val="clear" w:pos="794"/>
        <w:tab w:val="clear" w:pos="1191"/>
        <w:tab w:val="clear" w:pos="1588"/>
        <w:tab w:val="clear" w:pos="1985"/>
        <w:tab w:val="center" w:pos="4849"/>
        <w:tab w:val="right" w:pos="9696"/>
      </w:tabs>
      <w:spacing w:before="0"/>
      <w:jc w:val="center"/>
    </w:pPr>
  </w:style>
  <w:style w:type="paragraph" w:customStyle="1" w:styleId="AnnexTitle">
    <w:name w:val="Annex_Title"/>
    <w:basedOn w:val="Normal"/>
    <w:next w:val="Normalaftertitle"/>
    <w:pPr>
      <w:tabs>
        <w:tab w:val="clear" w:pos="794"/>
        <w:tab w:val="clear" w:pos="1191"/>
        <w:tab w:val="clear" w:pos="1588"/>
        <w:tab w:val="clear" w:pos="1985"/>
        <w:tab w:val="left" w:pos="4849"/>
        <w:tab w:val="right" w:pos="9696"/>
      </w:tabs>
      <w:spacing w:after="200"/>
      <w:jc w:val="center"/>
    </w:pPr>
    <w:rPr>
      <w:b/>
      <w:sz w:val="24"/>
    </w:rPr>
  </w:style>
  <w:style w:type="paragraph" w:customStyle="1" w:styleId="Normalaftertitle">
    <w:name w:val="Normal after title"/>
    <w:basedOn w:val="Normal"/>
    <w:next w:val="Normal"/>
    <w:pPr>
      <w:spacing w:before="480"/>
    </w:pPr>
  </w:style>
  <w:style w:type="paragraph" w:customStyle="1" w:styleId="Appendix">
    <w:name w:val="Appendix_#"/>
    <w:basedOn w:val="Annex"/>
    <w:next w:val="AppendixRef"/>
  </w:style>
  <w:style w:type="paragraph" w:customStyle="1" w:styleId="AppendixRef">
    <w:name w:val="Appendix_Ref"/>
    <w:basedOn w:val="AnnexRef"/>
    <w:next w:val="AppendixTitle"/>
  </w:style>
  <w:style w:type="paragraph" w:customStyle="1" w:styleId="AppendixTitle">
    <w:name w:val="Appendix_Title"/>
    <w:basedOn w:val="AnnexTitle"/>
    <w:next w:val="Normal"/>
  </w:style>
  <w:style w:type="paragraph" w:customStyle="1" w:styleId="RefTitle">
    <w:name w:val="Ref_Title"/>
    <w:basedOn w:val="Normal"/>
    <w:next w:val="RefText"/>
    <w:pPr>
      <w:keepNext/>
      <w:keepLines/>
      <w:tabs>
        <w:tab w:val="clear" w:pos="794"/>
        <w:tab w:val="clear" w:pos="1191"/>
        <w:tab w:val="clear" w:pos="1588"/>
        <w:tab w:val="clear" w:pos="1985"/>
      </w:tabs>
      <w:spacing w:before="600"/>
      <w:jc w:val="center"/>
    </w:pPr>
    <w:rPr>
      <w:sz w:val="18"/>
    </w:rPr>
  </w:style>
  <w:style w:type="paragraph" w:customStyle="1" w:styleId="RefText">
    <w:name w:val="Ref_Text"/>
    <w:basedOn w:val="Normal"/>
    <w:pPr>
      <w:ind w:left="567" w:hanging="567"/>
    </w:pPr>
    <w:rPr>
      <w:sz w:val="18"/>
    </w:rPr>
  </w:style>
  <w:style w:type="paragraph" w:customStyle="1" w:styleId="listitem">
    <w:name w:val="listitem"/>
    <w:basedOn w:val="Normal"/>
    <w:pPr>
      <w:keepLines/>
      <w:spacing w:before="0"/>
      <w:jc w:val="left"/>
    </w:pPr>
  </w:style>
  <w:style w:type="paragraph" w:customStyle="1" w:styleId="Rec">
    <w:name w:val="Rec_#"/>
    <w:basedOn w:val="Normal"/>
    <w:next w:val="RecTitle"/>
    <w:pPr>
      <w:keepNext/>
      <w:keepLines/>
      <w:tabs>
        <w:tab w:val="clear" w:pos="794"/>
        <w:tab w:val="clear" w:pos="1191"/>
        <w:tab w:val="clear" w:pos="1588"/>
        <w:tab w:val="clear" w:pos="1985"/>
        <w:tab w:val="center" w:pos="4849"/>
        <w:tab w:val="right" w:pos="9696"/>
      </w:tabs>
      <w:spacing w:before="720"/>
      <w:jc w:val="center"/>
    </w:pPr>
  </w:style>
  <w:style w:type="paragraph" w:customStyle="1" w:styleId="RecTitle">
    <w:name w:val="Rec_Title"/>
    <w:basedOn w:val="Rec"/>
    <w:next w:val="RecTitleRef"/>
    <w:pPr>
      <w:spacing w:before="180"/>
    </w:pPr>
    <w:rPr>
      <w:b/>
    </w:rPr>
  </w:style>
  <w:style w:type="paragraph" w:customStyle="1" w:styleId="RecTitleRef">
    <w:name w:val="Rec_Title/Ref"/>
    <w:basedOn w:val="RecTitle"/>
    <w:next w:val="RecTitleDate"/>
    <w:pPr>
      <w:spacing w:before="136"/>
    </w:pPr>
    <w:rPr>
      <w:b w:val="0"/>
    </w:rPr>
  </w:style>
  <w:style w:type="paragraph" w:customStyle="1" w:styleId="RecTitleDate">
    <w:name w:val="Rec_Title/Date"/>
    <w:basedOn w:val="RecTitleRef"/>
    <w:next w:val="headfoot"/>
    <w:pPr>
      <w:tabs>
        <w:tab w:val="clear" w:pos="4849"/>
      </w:tabs>
      <w:jc w:val="right"/>
    </w:pPr>
  </w:style>
  <w:style w:type="paragraph" w:customStyle="1" w:styleId="headfoot">
    <w:name w:val="head_foot"/>
    <w:basedOn w:val="Normal"/>
    <w:next w:val="Normalaftertitle"/>
    <w:pPr>
      <w:tabs>
        <w:tab w:val="clear" w:pos="794"/>
        <w:tab w:val="clear" w:pos="1191"/>
        <w:tab w:val="clear" w:pos="1588"/>
        <w:tab w:val="clear" w:pos="1985"/>
      </w:tabs>
      <w:spacing w:before="0"/>
    </w:pPr>
    <w:rPr>
      <w:b/>
      <w:color w:val="FFFFFF"/>
      <w:sz w:val="8"/>
    </w:rPr>
  </w:style>
  <w:style w:type="paragraph" w:customStyle="1" w:styleId="call">
    <w:name w:val="call"/>
    <w:basedOn w:val="Normal"/>
    <w:next w:val="Normal"/>
    <w:pPr>
      <w:keepNext/>
      <w:keepLines/>
      <w:tabs>
        <w:tab w:val="clear" w:pos="1191"/>
        <w:tab w:val="clear" w:pos="1588"/>
        <w:tab w:val="clear" w:pos="1985"/>
      </w:tabs>
      <w:spacing w:before="227"/>
      <w:ind w:left="794"/>
      <w:jc w:val="left"/>
    </w:pPr>
    <w:rPr>
      <w:i/>
    </w:rPr>
  </w:style>
  <w:style w:type="paragraph" w:customStyle="1" w:styleId="deftitle">
    <w:name w:val="def title"/>
    <w:basedOn w:val="Heading2"/>
    <w:next w:val="deftexte"/>
    <w:pPr>
      <w:outlineLvl w:val="9"/>
    </w:pPr>
  </w:style>
  <w:style w:type="paragraph" w:customStyle="1" w:styleId="deftexte">
    <w:name w:val="def texte"/>
    <w:basedOn w:val="Normal"/>
  </w:style>
  <w:style w:type="paragraph" w:customStyle="1" w:styleId="Equation">
    <w:name w:val="Equation"/>
    <w:basedOn w:val="Normal"/>
    <w:pPr>
      <w:tabs>
        <w:tab w:val="clear" w:pos="1191"/>
        <w:tab w:val="clear" w:pos="1588"/>
        <w:tab w:val="clear" w:pos="1985"/>
        <w:tab w:val="center" w:pos="4849"/>
        <w:tab w:val="right" w:pos="9696"/>
      </w:tabs>
      <w:spacing w:before="140" w:after="40"/>
      <w:jc w:val="left"/>
    </w:pPr>
    <w:rPr>
      <w:sz w:val="22"/>
    </w:rPr>
  </w:style>
  <w:style w:type="paragraph" w:customStyle="1" w:styleId="Section">
    <w:name w:val="Section #"/>
    <w:basedOn w:val="Normal"/>
    <w:next w:val="Sectiontitle"/>
    <w:pPr>
      <w:keepNext/>
      <w:keepLines/>
      <w:pageBreakBefore/>
      <w:tabs>
        <w:tab w:val="clear" w:pos="794"/>
        <w:tab w:val="clear" w:pos="1191"/>
        <w:tab w:val="clear" w:pos="1588"/>
        <w:tab w:val="clear" w:pos="1985"/>
        <w:tab w:val="left" w:pos="1474"/>
      </w:tabs>
      <w:spacing w:before="0"/>
      <w:ind w:left="1474" w:hanging="1474"/>
      <w:jc w:val="left"/>
    </w:pPr>
  </w:style>
  <w:style w:type="paragraph" w:customStyle="1" w:styleId="Sectiontitle">
    <w:name w:val="Section title"/>
    <w:basedOn w:val="Section"/>
    <w:next w:val="Rec"/>
    <w:pPr>
      <w:pageBreakBefore w:val="0"/>
      <w:spacing w:before="240"/>
    </w:pPr>
    <w:rPr>
      <w:i/>
    </w:rPr>
  </w:style>
  <w:style w:type="paragraph" w:customStyle="1" w:styleId="heading">
    <w:name w:val="heading"/>
    <w:basedOn w:val="Heading2"/>
    <w:pPr>
      <w:tabs>
        <w:tab w:val="left" w:pos="1191"/>
        <w:tab w:val="left" w:pos="1588"/>
      </w:tabs>
      <w:outlineLvl w:val="9"/>
    </w:pPr>
  </w:style>
  <w:style w:type="paragraph" w:customStyle="1" w:styleId="Line1">
    <w:name w:val="Line_1"/>
    <w:basedOn w:val="Normal"/>
    <w:next w:val="Normal"/>
    <w:pPr>
      <w:pBdr>
        <w:top w:val="dashed" w:sz="6" w:space="1" w:color="auto"/>
      </w:pBdr>
      <w:tabs>
        <w:tab w:val="clear" w:pos="794"/>
        <w:tab w:val="clear" w:pos="1191"/>
        <w:tab w:val="clear" w:pos="1588"/>
        <w:tab w:val="clear" w:pos="1985"/>
      </w:tabs>
      <w:spacing w:before="240"/>
      <w:ind w:left="3997" w:right="3997"/>
      <w:jc w:val="center"/>
    </w:pPr>
  </w:style>
  <w:style w:type="paragraph" w:customStyle="1" w:styleId="Part">
    <w:name w:val="Part_#"/>
    <w:basedOn w:val="Annex"/>
    <w:next w:val="PartRef"/>
  </w:style>
  <w:style w:type="paragraph" w:customStyle="1" w:styleId="PartRef">
    <w:name w:val="Part_Ref"/>
    <w:basedOn w:val="AnnexRef"/>
  </w:style>
  <w:style w:type="paragraph" w:customStyle="1" w:styleId="PartTitle">
    <w:name w:val="Part_Title"/>
    <w:basedOn w:val="AnnexTitle"/>
    <w:next w:val="Normalaftertitle"/>
  </w:style>
  <w:style w:type="paragraph" w:customStyle="1" w:styleId="Rep">
    <w:name w:val="Rep_#"/>
    <w:basedOn w:val="Rec"/>
    <w:next w:val="RepTitle"/>
  </w:style>
  <w:style w:type="paragraph" w:customStyle="1" w:styleId="RepTitle">
    <w:name w:val="Rep_Title"/>
    <w:basedOn w:val="RecTitle"/>
    <w:next w:val="RepTitleRef"/>
  </w:style>
  <w:style w:type="paragraph" w:customStyle="1" w:styleId="RepTitleRef">
    <w:name w:val="Rep_Title/Ref"/>
    <w:basedOn w:val="RecTitleRef"/>
    <w:next w:val="RepTitleDate"/>
  </w:style>
  <w:style w:type="paragraph" w:customStyle="1" w:styleId="RepTitleDate">
    <w:name w:val="Rep_Title/Date"/>
    <w:basedOn w:val="RecTitleDate"/>
    <w:next w:val="headfoot"/>
  </w:style>
  <w:style w:type="paragraph" w:customStyle="1" w:styleId="RefDoc">
    <w:name w:val="Ref_Doc"/>
    <w:basedOn w:val="RefText"/>
    <w:next w:val="RefText"/>
    <w:pPr>
      <w:spacing w:before="227"/>
    </w:pPr>
    <w:rPr>
      <w:i/>
    </w:rPr>
  </w:style>
  <w:style w:type="paragraph" w:customStyle="1" w:styleId="Question">
    <w:name w:val="Question_#"/>
    <w:basedOn w:val="Rec"/>
    <w:next w:val="QuestionTitle"/>
    <w:pPr>
      <w:spacing w:before="0"/>
    </w:pPr>
  </w:style>
  <w:style w:type="paragraph" w:customStyle="1" w:styleId="QuestionTitle">
    <w:name w:val="Question_Title"/>
    <w:basedOn w:val="RecTitle"/>
    <w:next w:val="QuestionTitleRef"/>
  </w:style>
  <w:style w:type="paragraph" w:customStyle="1" w:styleId="QuestionTitleRef">
    <w:name w:val="Question_Title/Ref"/>
    <w:basedOn w:val="RecTitleRef"/>
    <w:next w:val="QuestionTitleDate"/>
  </w:style>
  <w:style w:type="paragraph" w:customStyle="1" w:styleId="QuestionTitleDate">
    <w:name w:val="Question_Title/Date"/>
    <w:basedOn w:val="RecTitleDate"/>
    <w:next w:val="headfoot"/>
  </w:style>
  <w:style w:type="paragraph" w:customStyle="1" w:styleId="Res">
    <w:name w:val="Res_#"/>
    <w:basedOn w:val="Rec"/>
    <w:next w:val="ResTitle"/>
  </w:style>
  <w:style w:type="paragraph" w:customStyle="1" w:styleId="ResTitle">
    <w:name w:val="Res_Title"/>
    <w:basedOn w:val="RecTitle"/>
    <w:next w:val="ResTitleRef"/>
  </w:style>
  <w:style w:type="paragraph" w:customStyle="1" w:styleId="ResTitleRef">
    <w:name w:val="Res_Title/Ref"/>
    <w:basedOn w:val="RecTitleRef"/>
    <w:next w:val="ResTitleDate"/>
  </w:style>
  <w:style w:type="paragraph" w:customStyle="1" w:styleId="ResTitleDate">
    <w:name w:val="Res_Title/Date"/>
    <w:basedOn w:val="RecTitleDate"/>
    <w:next w:val="headfoot"/>
  </w:style>
  <w:style w:type="paragraph" w:customStyle="1" w:styleId="Tablefin">
    <w:name w:val="Table_fin"/>
    <w:basedOn w:val="Normal"/>
    <w:next w:val="Normal"/>
    <w:pPr>
      <w:spacing w:before="284"/>
    </w:pPr>
  </w:style>
  <w:style w:type="paragraph" w:customStyle="1" w:styleId="Note">
    <w:name w:val="Note"/>
    <w:basedOn w:val="Normal"/>
    <w:next w:val="Normal"/>
    <w:pPr>
      <w:tabs>
        <w:tab w:val="clear" w:pos="794"/>
        <w:tab w:val="clear" w:pos="1191"/>
        <w:tab w:val="clear" w:pos="1588"/>
        <w:tab w:val="clear" w:pos="1985"/>
      </w:tabs>
      <w:spacing w:before="80"/>
    </w:pPr>
  </w:style>
  <w:style w:type="paragraph" w:customStyle="1" w:styleId="Style">
    <w:name w:val="Style"/>
    <w:basedOn w:val="Normal"/>
    <w:pPr>
      <w:tabs>
        <w:tab w:val="center" w:pos="4196"/>
        <w:tab w:val="left" w:pos="9242"/>
        <w:tab w:val="center" w:pos="12587"/>
      </w:tabs>
      <w:spacing w:before="340" w:line="318" w:lineRule="atLeast"/>
      <w:ind w:right="618"/>
    </w:pPr>
    <w:rPr>
      <w:i/>
      <w:sz w:val="28"/>
    </w:rPr>
  </w:style>
  <w:style w:type="paragraph" w:customStyle="1" w:styleId="Sectionsous">
    <w:name w:val="Section_sous"/>
    <w:basedOn w:val="Section"/>
    <w:next w:val="Rec"/>
    <w:pPr>
      <w:pageBreakBefore w:val="0"/>
      <w:spacing w:before="240"/>
    </w:pPr>
  </w:style>
  <w:style w:type="paragraph" w:customStyle="1" w:styleId="CCI">
    <w:name w:val="CCI"/>
    <w:basedOn w:val="Normal"/>
    <w:next w:val="call"/>
    <w:pPr>
      <w:keepNext/>
      <w:keepLines/>
      <w:tabs>
        <w:tab w:val="clear" w:pos="794"/>
        <w:tab w:val="clear" w:pos="1191"/>
        <w:tab w:val="clear" w:pos="1588"/>
        <w:tab w:val="clear" w:pos="1985"/>
      </w:tabs>
      <w:spacing w:before="199"/>
    </w:pPr>
  </w:style>
  <w:style w:type="paragraph" w:customStyle="1" w:styleId="Fig">
    <w:name w:val="Fig"/>
    <w:basedOn w:val="Figure"/>
    <w:next w:val="Fig0"/>
    <w:pPr>
      <w:keepNext w:val="0"/>
      <w:keepLines w:val="0"/>
      <w:tabs>
        <w:tab w:val="left" w:pos="794"/>
        <w:tab w:val="left" w:pos="1191"/>
        <w:tab w:val="left" w:pos="1588"/>
        <w:tab w:val="left" w:pos="1985"/>
      </w:tabs>
      <w:spacing w:before="136"/>
    </w:pPr>
    <w:rPr>
      <w:lang w:val="en-US"/>
    </w:rPr>
  </w:style>
  <w:style w:type="paragraph" w:customStyle="1" w:styleId="Fig0">
    <w:name w:val="Fig_#"/>
    <w:basedOn w:val="Fig"/>
    <w:next w:val="Normal"/>
    <w:pPr>
      <w:jc w:val="left"/>
    </w:pPr>
    <w:rPr>
      <w:color w:val="FFFFFF"/>
    </w:rPr>
  </w:style>
  <w:style w:type="paragraph" w:customStyle="1" w:styleId="ASN1">
    <w:name w:val="ASN.1"/>
    <w:basedOn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20"/>
      <w:jc w:val="left"/>
    </w:pPr>
    <w:rPr>
      <w:noProof/>
    </w:rPr>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style>
  <w:style w:type="paragraph" w:customStyle="1" w:styleId="tocpart">
    <w:name w:val="tocpart"/>
    <w:basedOn w:val="Normal"/>
    <w:pPr>
      <w:tabs>
        <w:tab w:val="clear" w:pos="794"/>
        <w:tab w:val="clear" w:pos="1191"/>
        <w:tab w:val="clear" w:pos="1588"/>
        <w:tab w:val="clear" w:pos="1985"/>
        <w:tab w:val="left" w:pos="2127"/>
        <w:tab w:val="left" w:pos="8789"/>
        <w:tab w:val="right" w:pos="9639"/>
      </w:tabs>
      <w:ind w:left="2127" w:hanging="2127"/>
    </w:pPr>
  </w:style>
  <w:style w:type="paragraph" w:customStyle="1" w:styleId="toctemp">
    <w:name w:val="toctemp"/>
    <w:basedOn w:val="Normal"/>
    <w:next w:val="FootnoteText"/>
    <w:pPr>
      <w:tabs>
        <w:tab w:val="clear" w:pos="794"/>
        <w:tab w:val="clear" w:pos="1191"/>
        <w:tab w:val="clear" w:pos="1588"/>
        <w:tab w:val="clear" w:pos="1985"/>
        <w:tab w:val="left" w:pos="2269"/>
        <w:tab w:val="left" w:leader="dot" w:pos="8789"/>
        <w:tab w:val="right" w:pos="9639"/>
      </w:tabs>
      <w:ind w:left="1418" w:right="964" w:hanging="1418"/>
    </w:pPr>
  </w:style>
  <w:style w:type="paragraph" w:customStyle="1" w:styleId="heading13">
    <w:name w:val="heading 13"/>
    <w:basedOn w:val="Heading3"/>
    <w:pPr>
      <w:tabs>
        <w:tab w:val="clear" w:pos="794"/>
        <w:tab w:val="left" w:pos="1077"/>
        <w:tab w:val="right" w:pos="9696"/>
      </w:tabs>
      <w:spacing w:before="240"/>
      <w:ind w:left="1077" w:hanging="1077"/>
      <w:outlineLvl w:val="9"/>
    </w:pPr>
    <w:rPr>
      <w:b w:val="0"/>
      <w:i/>
    </w:rPr>
  </w:style>
  <w:style w:type="paragraph" w:customStyle="1" w:styleId="Head">
    <w:name w:val="Head"/>
    <w:basedOn w:val="Normal"/>
    <w:pPr>
      <w:tabs>
        <w:tab w:val="clear" w:pos="794"/>
        <w:tab w:val="clear" w:pos="1191"/>
        <w:tab w:val="clear" w:pos="1588"/>
        <w:tab w:val="clear" w:pos="1985"/>
        <w:tab w:val="left" w:pos="6663"/>
      </w:tabs>
      <w:overflowPunct/>
      <w:autoSpaceDE/>
      <w:autoSpaceDN/>
      <w:adjustRightInd/>
      <w:spacing w:before="0"/>
      <w:jc w:val="left"/>
      <w:textAlignment w:val="auto"/>
    </w:pPr>
    <w:rPr>
      <w:b/>
      <w:color w:val="FFFFFF"/>
      <w:sz w:val="8"/>
      <w:lang w:val="fr-FR"/>
    </w:rPr>
  </w:style>
  <w:style w:type="paragraph" w:customStyle="1" w:styleId="foot">
    <w:name w:val="foot"/>
    <w:basedOn w:val="headfoot"/>
    <w:rPr>
      <w:lang w:val="fr-FR"/>
    </w:rPr>
  </w:style>
  <w:style w:type="character" w:styleId="PageNumber">
    <w:name w:val="page number"/>
    <w:basedOn w:val="DefaultParagraphFont"/>
  </w:style>
  <w:style w:type="paragraph" w:customStyle="1" w:styleId="Tablelegend0">
    <w:name w:val="Table_legend"/>
    <w:basedOn w:val="Tabletext0"/>
    <w:next w:val="Normal"/>
    <w:pPr>
      <w:keepNext/>
      <w:tabs>
        <w:tab w:val="left" w:pos="284"/>
        <w:tab w:val="left" w:pos="567"/>
        <w:tab w:val="left" w:pos="851"/>
        <w:tab w:val="left" w:pos="1134"/>
      </w:tabs>
      <w:spacing w:before="120" w:after="0"/>
    </w:pPr>
  </w:style>
  <w:style w:type="paragraph" w:customStyle="1" w:styleId="Tabletext0">
    <w:name w:val="Table_text"/>
    <w:basedOn w:val="Normal"/>
    <w:pPr>
      <w:tabs>
        <w:tab w:val="clear" w:pos="794"/>
        <w:tab w:val="clear" w:pos="1191"/>
        <w:tab w:val="clear" w:pos="1588"/>
        <w:tab w:val="clear" w:pos="1985"/>
        <w:tab w:val="left" w:pos="170"/>
        <w:tab w:val="left" w:pos="567"/>
        <w:tab w:val="left" w:pos="737"/>
        <w:tab w:val="left" w:pos="2977"/>
        <w:tab w:val="left" w:pos="3266"/>
      </w:tabs>
      <w:spacing w:before="40" w:after="40"/>
      <w:jc w:val="left"/>
    </w:pPr>
    <w:rPr>
      <w:lang w:val="fr-FR"/>
    </w:rPr>
  </w:style>
  <w:style w:type="paragraph" w:customStyle="1" w:styleId="Tabletitle0">
    <w:name w:val="Table_title"/>
    <w:basedOn w:val="TableNo"/>
    <w:next w:val="Tabletext0"/>
    <w:pPr>
      <w:spacing w:before="0"/>
    </w:pPr>
    <w:rPr>
      <w:b/>
      <w:caps w:val="0"/>
    </w:rPr>
  </w:style>
  <w:style w:type="paragraph" w:customStyle="1" w:styleId="TableNo">
    <w:name w:val="Table_No"/>
    <w:basedOn w:val="Normal"/>
    <w:next w:val="Tabletitle0"/>
    <w:pPr>
      <w:keepNext/>
      <w:tabs>
        <w:tab w:val="clear" w:pos="794"/>
        <w:tab w:val="clear" w:pos="1191"/>
        <w:tab w:val="clear" w:pos="1588"/>
        <w:tab w:val="clear" w:pos="1985"/>
      </w:tabs>
      <w:spacing w:before="360" w:after="120"/>
      <w:jc w:val="center"/>
    </w:pPr>
    <w:rPr>
      <w:caps/>
      <w:lang w:val="fr-FR"/>
    </w:rPr>
  </w:style>
  <w:style w:type="paragraph" w:customStyle="1" w:styleId="Figuretitle0">
    <w:name w:val="Figure_title"/>
    <w:basedOn w:val="Tabletitle0"/>
    <w:next w:val="Normalaftertitle"/>
    <w:pPr>
      <w:keepNext w:val="0"/>
      <w:spacing w:before="240" w:after="480"/>
    </w:pPr>
    <w:rPr>
      <w:sz w:val="24"/>
    </w:rPr>
  </w:style>
  <w:style w:type="paragraph" w:customStyle="1" w:styleId="Figurelegend0">
    <w:name w:val="Figure_legend"/>
    <w:basedOn w:val="Tablelegend0"/>
    <w:next w:val="FigureNo"/>
    <w:pPr>
      <w:keepLines/>
      <w:spacing w:before="20" w:after="20"/>
    </w:pPr>
    <w:rPr>
      <w:sz w:val="18"/>
    </w:rPr>
  </w:style>
  <w:style w:type="paragraph" w:customStyle="1" w:styleId="FigureNo">
    <w:name w:val="Figure_No"/>
    <w:basedOn w:val="TableNo"/>
    <w:next w:val="Figuretitle0"/>
    <w:rPr>
      <w:sz w:val="24"/>
    </w:rPr>
  </w:style>
  <w:style w:type="paragraph" w:customStyle="1" w:styleId="AnnexNo">
    <w:name w:val="Annex_No"/>
    <w:basedOn w:val="ArtNo"/>
    <w:next w:val="Annexref0"/>
  </w:style>
  <w:style w:type="paragraph" w:customStyle="1" w:styleId="ArtNo">
    <w:name w:val="Art_No"/>
    <w:basedOn w:val="Normal"/>
    <w:next w:val="Arttitle"/>
    <w:pPr>
      <w:keepNext/>
      <w:keepLines/>
      <w:tabs>
        <w:tab w:val="clear" w:pos="794"/>
        <w:tab w:val="clear" w:pos="1191"/>
        <w:tab w:val="clear" w:pos="1588"/>
        <w:tab w:val="clear" w:pos="1985"/>
        <w:tab w:val="left" w:pos="1134"/>
        <w:tab w:val="left" w:pos="1871"/>
        <w:tab w:val="left" w:pos="2268"/>
      </w:tabs>
      <w:spacing w:before="720"/>
      <w:jc w:val="center"/>
    </w:pPr>
    <w:rPr>
      <w:caps/>
      <w:sz w:val="28"/>
      <w:lang w:val="fr-FR"/>
    </w:rPr>
  </w:style>
  <w:style w:type="paragraph" w:customStyle="1" w:styleId="Arttitle">
    <w:name w:val="Art_title"/>
    <w:basedOn w:val="Normal"/>
    <w:next w:val="Normalaftertitle"/>
    <w:pPr>
      <w:keepNext/>
      <w:keepLines/>
      <w:tabs>
        <w:tab w:val="clear" w:pos="794"/>
        <w:tab w:val="clear" w:pos="1191"/>
        <w:tab w:val="clear" w:pos="1588"/>
        <w:tab w:val="clear" w:pos="1985"/>
        <w:tab w:val="left" w:pos="1134"/>
        <w:tab w:val="left" w:pos="1871"/>
        <w:tab w:val="left" w:pos="2268"/>
      </w:tabs>
      <w:spacing w:before="160" w:after="80"/>
      <w:jc w:val="center"/>
    </w:pPr>
    <w:rPr>
      <w:b/>
      <w:sz w:val="28"/>
      <w:lang w:val="fr-FR"/>
    </w:rPr>
  </w:style>
  <w:style w:type="paragraph" w:customStyle="1" w:styleId="Annexref0">
    <w:name w:val="Annex_ref"/>
    <w:basedOn w:val="Normal"/>
    <w:pPr>
      <w:tabs>
        <w:tab w:val="clear" w:pos="794"/>
        <w:tab w:val="clear" w:pos="1191"/>
        <w:tab w:val="clear" w:pos="1588"/>
        <w:tab w:val="clear" w:pos="1985"/>
        <w:tab w:val="left" w:pos="1134"/>
        <w:tab w:val="left" w:pos="1871"/>
        <w:tab w:val="left" w:pos="2268"/>
      </w:tabs>
      <w:spacing w:before="120"/>
      <w:jc w:val="center"/>
    </w:pPr>
    <w:rPr>
      <w:sz w:val="24"/>
      <w:lang w:val="fr-FR"/>
    </w:rPr>
  </w:style>
  <w:style w:type="paragraph" w:customStyle="1" w:styleId="Annextitle0">
    <w:name w:val="Annex_title"/>
    <w:basedOn w:val="Arttitle"/>
    <w:next w:val="Normal"/>
    <w:pPr>
      <w:spacing w:after="0"/>
    </w:pPr>
  </w:style>
  <w:style w:type="paragraph" w:customStyle="1" w:styleId="AppendixNo">
    <w:name w:val="Appendix_No"/>
    <w:basedOn w:val="ArtNo"/>
    <w:next w:val="Appendixtitle0"/>
  </w:style>
  <w:style w:type="paragraph" w:customStyle="1" w:styleId="Appendixtitle0">
    <w:name w:val="Appendix_title"/>
    <w:basedOn w:val="Arttitle"/>
    <w:next w:val="Normal"/>
  </w:style>
  <w:style w:type="paragraph" w:customStyle="1" w:styleId="Appendixref0">
    <w:name w:val="Appendix_ref"/>
    <w:basedOn w:val="Annexref0"/>
    <w:next w:val="Appendixtitle0"/>
  </w:style>
  <w:style w:type="paragraph" w:customStyle="1" w:styleId="Reftext0">
    <w:name w:val="Ref_text"/>
    <w:basedOn w:val="Normal"/>
    <w:pPr>
      <w:tabs>
        <w:tab w:val="clear" w:pos="794"/>
        <w:tab w:val="clear" w:pos="1191"/>
        <w:tab w:val="clear" w:pos="1588"/>
        <w:tab w:val="clear" w:pos="1985"/>
        <w:tab w:val="left" w:pos="1134"/>
        <w:tab w:val="left" w:pos="1871"/>
        <w:tab w:val="left" w:pos="2268"/>
      </w:tabs>
      <w:spacing w:before="120"/>
      <w:jc w:val="left"/>
    </w:pPr>
    <w:rPr>
      <w:sz w:val="24"/>
      <w:lang w:val="fr-FR"/>
    </w:rPr>
  </w:style>
  <w:style w:type="paragraph" w:customStyle="1" w:styleId="Tableref">
    <w:name w:val="Table_ref"/>
    <w:basedOn w:val="Normal"/>
    <w:next w:val="Tabletitle0"/>
    <w:pPr>
      <w:keepNext/>
      <w:tabs>
        <w:tab w:val="clear" w:pos="794"/>
        <w:tab w:val="clear" w:pos="1191"/>
        <w:tab w:val="clear" w:pos="1588"/>
        <w:tab w:val="clear" w:pos="1985"/>
        <w:tab w:val="left" w:pos="1134"/>
        <w:tab w:val="left" w:pos="1871"/>
        <w:tab w:val="left" w:pos="2268"/>
      </w:tabs>
      <w:spacing w:before="567"/>
      <w:jc w:val="center"/>
    </w:pPr>
    <w:rPr>
      <w:sz w:val="18"/>
      <w:lang w:val="fr-FR"/>
    </w:rPr>
  </w:style>
  <w:style w:type="paragraph" w:customStyle="1" w:styleId="ResNo">
    <w:name w:val="Res_No"/>
    <w:basedOn w:val="ArtNo"/>
    <w:next w:val="Restitle0"/>
  </w:style>
  <w:style w:type="paragraph" w:customStyle="1" w:styleId="Restitle0">
    <w:name w:val="Res_title"/>
    <w:basedOn w:val="Arttitle"/>
    <w:next w:val="headfoot"/>
    <w:pPr>
      <w:spacing w:after="120"/>
    </w:pPr>
  </w:style>
  <w:style w:type="paragraph" w:customStyle="1" w:styleId="RecNo">
    <w:name w:val="Rec_No"/>
    <w:basedOn w:val="ResNo"/>
    <w:next w:val="Rectitle0"/>
  </w:style>
  <w:style w:type="paragraph" w:customStyle="1" w:styleId="Rectitle0">
    <w:name w:val="Rec_title"/>
    <w:basedOn w:val="Restitle0"/>
    <w:next w:val="headfoot"/>
  </w:style>
  <w:style w:type="paragraph" w:customStyle="1" w:styleId="MEP">
    <w:name w:val="MEP"/>
    <w:basedOn w:val="Normal"/>
    <w:pPr>
      <w:tabs>
        <w:tab w:val="clear" w:pos="794"/>
        <w:tab w:val="clear" w:pos="1191"/>
        <w:tab w:val="clear" w:pos="1588"/>
        <w:tab w:val="clear" w:pos="1985"/>
        <w:tab w:val="left" w:pos="1134"/>
        <w:tab w:val="left" w:pos="1871"/>
        <w:tab w:val="left" w:pos="2268"/>
      </w:tabs>
      <w:spacing w:before="120"/>
      <w:jc w:val="left"/>
    </w:pPr>
    <w:rPr>
      <w:sz w:val="24"/>
      <w:lang w:val="fr-FR"/>
    </w:rPr>
  </w:style>
  <w:style w:type="paragraph" w:customStyle="1" w:styleId="TableTextS5">
    <w:name w:val="Table_TextS5"/>
    <w:basedOn w:val="Normal"/>
    <w:pPr>
      <w:tabs>
        <w:tab w:val="clear" w:pos="794"/>
        <w:tab w:val="clear" w:pos="1191"/>
        <w:tab w:val="clear" w:pos="1588"/>
        <w:tab w:val="clear" w:pos="1985"/>
        <w:tab w:val="left" w:pos="170"/>
        <w:tab w:val="left" w:pos="567"/>
        <w:tab w:val="left" w:pos="737"/>
        <w:tab w:val="left" w:pos="2977"/>
        <w:tab w:val="left" w:pos="3266"/>
      </w:tabs>
      <w:spacing w:before="40" w:after="40"/>
      <w:jc w:val="left"/>
    </w:pPr>
    <w:rPr>
      <w:lang w:val="fr-FR"/>
    </w:rPr>
  </w:style>
  <w:style w:type="paragraph" w:customStyle="1" w:styleId="Tablehead">
    <w:name w:val="Table_head"/>
    <w:basedOn w:val="Tabletext0"/>
    <w:next w:val="Tabletext0"/>
    <w:pPr>
      <w:spacing w:before="80" w:after="80"/>
      <w:jc w:val="center"/>
    </w:pPr>
    <w:rPr>
      <w:b/>
    </w:rPr>
  </w:style>
  <w:style w:type="character" w:customStyle="1" w:styleId="Appdef">
    <w:name w:val="App_def"/>
    <w:basedOn w:val="DefaultParagraphFont"/>
    <w:rPr>
      <w:rFonts w:ascii="Times New Roman" w:hAnsi="Times New Roman"/>
      <w:b/>
    </w:rPr>
  </w:style>
  <w:style w:type="character" w:customStyle="1" w:styleId="Appref">
    <w:name w:val="App_ref"/>
    <w:basedOn w:val="DefaultParagraphFont"/>
  </w:style>
  <w:style w:type="character" w:customStyle="1" w:styleId="Recdef">
    <w:name w:val="Rec_def"/>
    <w:basedOn w:val="DefaultParagraphFont"/>
  </w:style>
  <w:style w:type="character" w:customStyle="1" w:styleId="Recref">
    <w:name w:val="Rec_ref"/>
    <w:basedOn w:val="DefaultParagraphFont"/>
  </w:style>
  <w:style w:type="paragraph" w:customStyle="1" w:styleId="TableNote">
    <w:name w:val="TableNote"/>
    <w:basedOn w:val="Tabletext0"/>
  </w:style>
  <w:style w:type="paragraph" w:customStyle="1" w:styleId="Reasons">
    <w:name w:val="Reasons"/>
    <w:basedOn w:val="Normal"/>
    <w:pPr>
      <w:tabs>
        <w:tab w:val="clear" w:pos="794"/>
        <w:tab w:val="clear" w:pos="1191"/>
        <w:tab w:val="left" w:pos="1134"/>
      </w:tabs>
      <w:overflowPunct/>
      <w:autoSpaceDE/>
      <w:autoSpaceDN/>
      <w:adjustRightInd/>
      <w:spacing w:before="120"/>
      <w:jc w:val="left"/>
      <w:textAlignment w:val="auto"/>
    </w:pPr>
    <w:rPr>
      <w:sz w:val="24"/>
      <w:lang w:val="fr-FR"/>
    </w:rPr>
  </w:style>
  <w:style w:type="paragraph" w:customStyle="1" w:styleId="Source">
    <w:name w:val="Source"/>
    <w:basedOn w:val="Normal"/>
    <w:next w:val="Normal"/>
    <w:pPr>
      <w:tabs>
        <w:tab w:val="clear" w:pos="794"/>
        <w:tab w:val="clear" w:pos="1191"/>
        <w:tab w:val="clear" w:pos="1588"/>
        <w:tab w:val="clear" w:pos="1985"/>
      </w:tabs>
      <w:spacing w:before="960"/>
      <w:jc w:val="center"/>
    </w:pPr>
    <w:rPr>
      <w:b/>
      <w:sz w:val="28"/>
      <w:lang w:val="fr-FR"/>
    </w:rPr>
  </w:style>
  <w:style w:type="paragraph" w:customStyle="1" w:styleId="Title1">
    <w:name w:val="Title 1"/>
    <w:basedOn w:val="Source"/>
    <w:next w:val="Normal"/>
    <w:pPr>
      <w:tabs>
        <w:tab w:val="left" w:pos="567"/>
        <w:tab w:val="left" w:pos="1134"/>
        <w:tab w:val="left" w:pos="1701"/>
        <w:tab w:val="left" w:pos="2268"/>
        <w:tab w:val="left" w:pos="2835"/>
      </w:tabs>
      <w:spacing w:before="240"/>
    </w:pPr>
    <w:rPr>
      <w:b w:val="0"/>
      <w:caps/>
    </w:rPr>
  </w:style>
  <w:style w:type="paragraph" w:customStyle="1" w:styleId="Title2">
    <w:name w:val="Title 2"/>
    <w:basedOn w:val="Source"/>
    <w:next w:val="Normal"/>
    <w:pPr>
      <w:overflowPunct/>
      <w:autoSpaceDE/>
      <w:autoSpaceDN/>
      <w:adjustRightInd/>
      <w:spacing w:before="480"/>
      <w:textAlignment w:val="auto"/>
    </w:pPr>
    <w:rPr>
      <w:b w:val="0"/>
      <w:caps/>
    </w:rPr>
  </w:style>
  <w:style w:type="paragraph" w:customStyle="1" w:styleId="FirstFooter">
    <w:name w:val="FirstFooter"/>
    <w:basedOn w:val="Footer"/>
    <w:pPr>
      <w:tabs>
        <w:tab w:val="clear" w:pos="4849"/>
        <w:tab w:val="clear" w:pos="9696"/>
        <w:tab w:val="left" w:pos="567"/>
        <w:tab w:val="left" w:pos="1134"/>
        <w:tab w:val="left" w:pos="1701"/>
        <w:tab w:val="left" w:pos="2268"/>
        <w:tab w:val="left" w:pos="2835"/>
        <w:tab w:val="left" w:pos="5954"/>
        <w:tab w:val="right" w:pos="9639"/>
      </w:tabs>
      <w:spacing w:before="0"/>
    </w:pPr>
    <w:rPr>
      <w:b w:val="0"/>
      <w:sz w:val="18"/>
      <w:lang w:val="fr-FR"/>
    </w:rPr>
  </w:style>
  <w:style w:type="character" w:customStyle="1" w:styleId="MODRef">
    <w:name w:val="MODRef"/>
    <w:basedOn w:val="DefaultParagraphFont"/>
    <w:rPr>
      <w:b/>
      <w:sz w:val="24"/>
      <w:lang w:val="fr-FR"/>
    </w:rPr>
  </w:style>
  <w:style w:type="paragraph" w:customStyle="1" w:styleId="headingb">
    <w:name w:val="heading_b"/>
    <w:basedOn w:val="Heading3"/>
    <w:next w:val="Normal"/>
    <w:pPr>
      <w:widowControl w:val="0"/>
      <w:tabs>
        <w:tab w:val="left" w:pos="794"/>
        <w:tab w:val="left" w:pos="2127"/>
        <w:tab w:val="left" w:pos="2410"/>
        <w:tab w:val="left" w:pos="2921"/>
        <w:tab w:val="left" w:pos="3261"/>
      </w:tabs>
      <w:overflowPunct/>
      <w:autoSpaceDE/>
      <w:autoSpaceDN/>
      <w:adjustRightInd/>
      <w:spacing w:before="160"/>
      <w:ind w:left="0" w:firstLine="0"/>
      <w:jc w:val="left"/>
      <w:textAlignment w:val="auto"/>
      <w:outlineLvl w:val="9"/>
    </w:pPr>
    <w:rPr>
      <w:sz w:val="24"/>
      <w:lang w:val="en-US"/>
    </w:rPr>
  </w:style>
  <w:style w:type="paragraph" w:customStyle="1" w:styleId="TableHead0">
    <w:name w:val="Table_Head"/>
    <w:basedOn w:val="TableText"/>
    <w:pPr>
      <w:widowControl w:val="0"/>
      <w:tabs>
        <w:tab w:val="clear" w:pos="794"/>
        <w:tab w:val="clear" w:pos="1191"/>
        <w:tab w:val="clear" w:pos="1588"/>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adjustRightInd/>
      <w:spacing w:before="80" w:after="80" w:line="240" w:lineRule="auto"/>
      <w:jc w:val="center"/>
      <w:textAlignment w:val="auto"/>
    </w:pPr>
    <w:rPr>
      <w:b/>
      <w:sz w:val="22"/>
      <w:lang w:val="en-US"/>
    </w:rPr>
  </w:style>
  <w:style w:type="paragraph" w:customStyle="1" w:styleId="ProtNo">
    <w:name w:val="Prot_No"/>
    <w:basedOn w:val="Normal"/>
    <w:next w:val="Protlang"/>
    <w:pPr>
      <w:keepNext/>
      <w:tabs>
        <w:tab w:val="clear" w:pos="794"/>
        <w:tab w:val="clear" w:pos="1191"/>
        <w:tab w:val="clear" w:pos="1588"/>
        <w:tab w:val="clear" w:pos="1985"/>
        <w:tab w:val="left" w:pos="1134"/>
        <w:tab w:val="left" w:pos="1871"/>
        <w:tab w:val="left" w:pos="2268"/>
      </w:tabs>
      <w:spacing w:before="120"/>
      <w:jc w:val="center"/>
    </w:pPr>
    <w:rPr>
      <w:sz w:val="24"/>
      <w:lang w:val="es-ES"/>
    </w:rPr>
  </w:style>
  <w:style w:type="paragraph" w:customStyle="1" w:styleId="Protlang">
    <w:name w:val="Prot_lang"/>
    <w:basedOn w:val="ProtNo"/>
    <w:next w:val="Protpays"/>
    <w:pPr>
      <w:keepLines/>
      <w:framePr w:hSpace="181" w:vSpace="181" w:wrap="auto" w:hAnchor="text" w:xAlign="right"/>
      <w:spacing w:before="0"/>
      <w:jc w:val="right"/>
    </w:pPr>
    <w:rPr>
      <w:i/>
      <w:sz w:val="18"/>
    </w:rPr>
  </w:style>
  <w:style w:type="paragraph" w:customStyle="1" w:styleId="Protpays">
    <w:name w:val="Prot_pays"/>
    <w:basedOn w:val="Protlang"/>
    <w:next w:val="headfoot"/>
    <w:pPr>
      <w:framePr w:wrap="auto"/>
      <w:spacing w:before="113" w:line="199" w:lineRule="exact"/>
      <w:jc w:val="left"/>
    </w:pPr>
  </w:style>
  <w:style w:type="paragraph" w:customStyle="1" w:styleId="Prottexte">
    <w:name w:val="Prot_texte"/>
    <w:basedOn w:val="Protlang"/>
    <w:pPr>
      <w:keepNext w:val="0"/>
      <w:keepLines w:val="0"/>
      <w:framePr w:wrap="auto"/>
      <w:spacing w:before="113" w:line="199" w:lineRule="exact"/>
      <w:jc w:val="both"/>
    </w:pPr>
    <w:rPr>
      <w:i w:val="0"/>
    </w:rPr>
  </w:style>
  <w:style w:type="character" w:customStyle="1" w:styleId="Artref">
    <w:name w:val="Art_ref"/>
    <w:basedOn w:val="DefaultParagraphFont"/>
  </w:style>
  <w:style w:type="character" w:customStyle="1" w:styleId="Artdef">
    <w:name w:val="Art_def"/>
    <w:basedOn w:val="DefaultParagraphFont"/>
    <w:rPr>
      <w:rFonts w:ascii="Times New Roman" w:hAnsi="Times New Roman"/>
      <w:b/>
    </w:rPr>
  </w:style>
  <w:style w:type="paragraph" w:customStyle="1" w:styleId="Call0">
    <w:name w:val="Call"/>
    <w:basedOn w:val="Normal"/>
    <w:next w:val="Normal"/>
    <w:pPr>
      <w:keepNext/>
      <w:keepLines/>
      <w:tabs>
        <w:tab w:val="clear" w:pos="794"/>
        <w:tab w:val="clear" w:pos="1191"/>
        <w:tab w:val="clear" w:pos="1588"/>
        <w:tab w:val="clear" w:pos="1985"/>
        <w:tab w:val="left" w:pos="1134"/>
      </w:tabs>
      <w:spacing w:before="160"/>
      <w:ind w:left="1134"/>
      <w:jc w:val="left"/>
    </w:pPr>
    <w:rPr>
      <w:i/>
      <w:sz w:val="24"/>
      <w:lang w:val="es-ES"/>
    </w:rPr>
  </w:style>
  <w:style w:type="paragraph" w:customStyle="1" w:styleId="Headingb0">
    <w:name w:val="Heading_b"/>
    <w:basedOn w:val="Heading3"/>
    <w:next w:val="Normal"/>
    <w:pPr>
      <w:tabs>
        <w:tab w:val="clear" w:pos="794"/>
        <w:tab w:val="left" w:pos="1871"/>
      </w:tabs>
      <w:spacing w:before="160"/>
      <w:ind w:left="0" w:firstLine="0"/>
      <w:jc w:val="left"/>
      <w:outlineLvl w:val="9"/>
    </w:pPr>
    <w:rPr>
      <w:sz w:val="24"/>
      <w:lang w:val="es-ES"/>
    </w:rPr>
  </w:style>
  <w:style w:type="paragraph" w:customStyle="1" w:styleId="Chaptitle">
    <w:name w:val="Chap_title"/>
    <w:basedOn w:val="Arttitle"/>
    <w:next w:val="Normal"/>
    <w:rsid w:val="00F549CB"/>
    <w:pPr>
      <w:tabs>
        <w:tab w:val="clear" w:pos="1134"/>
        <w:tab w:val="clear" w:pos="1871"/>
        <w:tab w:val="clear" w:pos="2268"/>
        <w:tab w:val="left" w:pos="794"/>
        <w:tab w:val="left" w:pos="1191"/>
        <w:tab w:val="left" w:pos="1588"/>
        <w:tab w:val="left" w:pos="1985"/>
      </w:tabs>
      <w:spacing w:before="240" w:after="0"/>
    </w:pPr>
  </w:style>
  <w:style w:type="character" w:styleId="Hyperlink">
    <w:name w:val="Hyperlink"/>
    <w:basedOn w:val="DefaultParagraphFont"/>
    <w:rsid w:val="00F549CB"/>
    <w:rPr>
      <w:color w:val="0000FF"/>
      <w:u w:val="single"/>
    </w:rPr>
  </w:style>
  <w:style w:type="table" w:styleId="TableGrid">
    <w:name w:val="Table Grid"/>
    <w:basedOn w:val="TableNormal"/>
    <w:rsid w:val="00F549CB"/>
    <w:pPr>
      <w:tabs>
        <w:tab w:val="left" w:pos="794"/>
        <w:tab w:val="left" w:pos="1191"/>
        <w:tab w:val="left" w:pos="1588"/>
        <w:tab w:val="left" w:pos="1985"/>
      </w:tabs>
      <w:overflowPunct w:val="0"/>
      <w:autoSpaceDE w:val="0"/>
      <w:autoSpaceDN w:val="0"/>
      <w:adjustRightInd w:val="0"/>
      <w:spacing w:before="120"/>
      <w:jc w:val="both"/>
      <w:textAlignment w:val="baseline"/>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oleObject" Target="embeddings/oleObject2.bin"/><Relationship Id="rId26" Type="http://schemas.openxmlformats.org/officeDocument/2006/relationships/image" Target="media/image9.wmf"/><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6.wmf"/><Relationship Id="rId34" Type="http://schemas.openxmlformats.org/officeDocument/2006/relationships/image" Target="media/image14.wmf"/><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wmf"/><Relationship Id="rId25" Type="http://schemas.openxmlformats.org/officeDocument/2006/relationships/oleObject" Target="embeddings/oleObject5.bin"/><Relationship Id="rId33" Type="http://schemas.openxmlformats.org/officeDocument/2006/relationships/image" Target="media/image13.wmf"/><Relationship Id="rId38"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image" Target="media/image10.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s" TargetMode="External"/><Relationship Id="rId24" Type="http://schemas.openxmlformats.org/officeDocument/2006/relationships/image" Target="media/image8.wmf"/><Relationship Id="rId32" Type="http://schemas.openxmlformats.org/officeDocument/2006/relationships/image" Target="media/image12.wmf"/><Relationship Id="rId37" Type="http://schemas.openxmlformats.org/officeDocument/2006/relationships/header" Target="header7.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wmf"/><Relationship Id="rId23" Type="http://schemas.openxmlformats.org/officeDocument/2006/relationships/oleObject" Target="embeddings/oleObject4.bin"/><Relationship Id="rId28" Type="http://schemas.openxmlformats.org/officeDocument/2006/relationships/oleObject" Target="embeddings/oleObject7.bin"/><Relationship Id="rId36" Type="http://schemas.openxmlformats.org/officeDocument/2006/relationships/header" Target="header6.xml"/><Relationship Id="rId10" Type="http://schemas.openxmlformats.org/officeDocument/2006/relationships/hyperlink" Target="http://www.itu.int/ITU-R/go/patents/es" TargetMode="External"/><Relationship Id="rId19" Type="http://schemas.openxmlformats.org/officeDocument/2006/relationships/image" Target="media/image5.wmf"/><Relationship Id="rId31" Type="http://schemas.openxmlformats.org/officeDocument/2006/relationships/image" Target="media/image11.w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wmf"/><Relationship Id="rId22" Type="http://schemas.openxmlformats.org/officeDocument/2006/relationships/image" Target="media/image7.wmf"/><Relationship Id="rId27" Type="http://schemas.openxmlformats.org/officeDocument/2006/relationships/oleObject" Target="embeddings/oleObject6.bin"/><Relationship Id="rId30" Type="http://schemas.openxmlformats.org/officeDocument/2006/relationships/oleObject" Target="embeddings/oleObject8.bin"/><Relationship Id="rId35"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BR_RE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DC17BA-998E-4560-817B-C7F51270ED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BR_REC.DOT</Template>
  <TotalTime>0</TotalTime>
  <Pages>14</Pages>
  <Words>3541</Words>
  <Characters>19432</Characters>
  <Application>Microsoft Office Word</Application>
  <DocSecurity>0</DocSecurity>
  <Lines>1766</Lines>
  <Paragraphs>364</Paragraphs>
  <ScaleCrop>false</ScaleCrop>
  <HeadingPairs>
    <vt:vector size="2" baseType="variant">
      <vt:variant>
        <vt:lpstr>Title</vt:lpstr>
      </vt:variant>
      <vt:variant>
        <vt:i4>1</vt:i4>
      </vt:variant>
    </vt:vector>
  </HeadingPairs>
  <TitlesOfParts>
    <vt:vector size="1" baseType="lpstr">
      <vt:lpstr>F.1487 - Pruebas para módems en ondas decamétricas con anchuras de banda de hasta unos 12 kHz utilizando simuladores de canales ionosféricos</vt:lpstr>
    </vt:vector>
  </TitlesOfParts>
  <Manager>CP..1706/DD</Manager>
  <Company>ITU</Company>
  <LinksUpToDate>false</LinksUpToDate>
  <CharactersWithSpaces>22609</CharactersWithSpaces>
  <SharedDoc>false</SharedDoc>
  <HLinks>
    <vt:vector size="12" baseType="variant">
      <vt:variant>
        <vt:i4>196692</vt:i4>
      </vt:variant>
      <vt:variant>
        <vt:i4>3</vt:i4>
      </vt:variant>
      <vt:variant>
        <vt:i4>0</vt:i4>
      </vt:variant>
      <vt:variant>
        <vt:i4>5</vt:i4>
      </vt:variant>
      <vt:variant>
        <vt:lpwstr>http://www.itu.int/publ/R-REC/es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F.1487 - Pruebas para módems en ondas decamétricas con anchuras de banda de hasta unos 12 kHz utilizando simuladores de canales ionosféricos</dc:title>
  <dc:subject>Serie F = Servicio fijo</dc:subject>
  <dc:creator>Oficina de Radiocomunicaciones del UIT (BR)</dc:creator>
  <cp:keywords>F, 1487</cp:keywords>
  <dc:description>Saisie + MEP + ins.fig.:  18.09.2000/DD  (dict. ok)_x000d_
Corr. BAT:  21.09.2000/DD</dc:description>
  <cp:lastModifiedBy>martiner</cp:lastModifiedBy>
  <cp:revision>2</cp:revision>
  <cp:lastPrinted>2000-09-21T11:20:00Z</cp:lastPrinted>
  <dcterms:created xsi:type="dcterms:W3CDTF">2010-11-29T14:43:00Z</dcterms:created>
  <dcterms:modified xsi:type="dcterms:W3CDTF">2010-11-29T14:43:00Z</dcterms:modified>
  <cp:category>WW9 / Folios: 1 - 11</cp:category>
</cp:coreProperties>
</file>