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p w:rsidR="00713E37" w:rsidRPr="007D148D" w:rsidRDefault="00713E37">
      <w:pPr>
        <w:rPr>
          <w:lang w:val="fr-CH"/>
        </w:rPr>
      </w:pPr>
    </w:p>
    <w:tbl>
      <w:tblPr>
        <w:tblW w:w="10089" w:type="dxa"/>
        <w:tblLook w:val="01E0"/>
      </w:tblPr>
      <w:tblGrid>
        <w:gridCol w:w="10089"/>
      </w:tblGrid>
      <w:tr w:rsidR="00713E37" w:rsidRPr="007D148D">
        <w:tc>
          <w:tcPr>
            <w:tcW w:w="10089" w:type="dxa"/>
          </w:tcPr>
          <w:p w:rsidR="00713E37" w:rsidRPr="007D148D" w:rsidRDefault="00713E37" w:rsidP="00013002">
            <w:pPr>
              <w:spacing w:before="380" w:line="280" w:lineRule="exact"/>
              <w:jc w:val="right"/>
              <w:rPr>
                <w:rFonts w:ascii="Tahoma" w:hAnsi="Tahoma" w:cs="Tahoma"/>
                <w:b/>
                <w:bCs/>
                <w:iCs/>
                <w:color w:val="243285"/>
                <w:sz w:val="32"/>
                <w:szCs w:val="32"/>
                <w:lang w:val="fr-CH"/>
              </w:rPr>
            </w:pPr>
          </w:p>
          <w:p w:rsidR="00713E37" w:rsidRPr="007D148D" w:rsidRDefault="00713E37" w:rsidP="00F32A31">
            <w:pPr>
              <w:spacing w:before="380" w:line="280" w:lineRule="exact"/>
              <w:jc w:val="right"/>
              <w:rPr>
                <w:rFonts w:ascii="Tahoma" w:hAnsi="Tahoma" w:cs="Tahoma"/>
                <w:b/>
                <w:bCs/>
                <w:iCs/>
                <w:color w:val="243285"/>
                <w:sz w:val="36"/>
                <w:szCs w:val="36"/>
                <w:lang w:val="fr-CH"/>
              </w:rPr>
            </w:pPr>
            <w:r w:rsidRPr="007D148D">
              <w:rPr>
                <w:rFonts w:ascii="Tahoma" w:hAnsi="Tahoma" w:cs="Tahoma"/>
                <w:b/>
                <w:bCs/>
                <w:iCs/>
                <w:color w:val="243285"/>
                <w:sz w:val="36"/>
                <w:szCs w:val="36"/>
                <w:lang w:val="fr-CH"/>
              </w:rPr>
              <w:t>Recommandation  UIT-R  F.</w:t>
            </w:r>
            <w:r w:rsidR="00F32A31" w:rsidRPr="007D148D">
              <w:rPr>
                <w:rFonts w:ascii="Tahoma" w:hAnsi="Tahoma" w:cs="Tahoma"/>
                <w:b/>
                <w:bCs/>
                <w:iCs/>
                <w:color w:val="243285"/>
                <w:sz w:val="36"/>
                <w:szCs w:val="36"/>
                <w:lang w:val="fr-CH"/>
              </w:rPr>
              <w:t>1489</w:t>
            </w:r>
          </w:p>
          <w:p w:rsidR="00713E37" w:rsidRPr="007D148D" w:rsidRDefault="00713E37" w:rsidP="00F32A31">
            <w:pPr>
              <w:spacing w:before="80" w:line="280" w:lineRule="exact"/>
              <w:jc w:val="right"/>
              <w:rPr>
                <w:rFonts w:ascii="Tahoma" w:hAnsi="Tahoma" w:cs="Tahoma"/>
                <w:b/>
                <w:bCs/>
                <w:iCs/>
                <w:color w:val="243285"/>
                <w:szCs w:val="24"/>
                <w:lang w:val="fr-CH"/>
              </w:rPr>
            </w:pPr>
            <w:r w:rsidRPr="007D148D">
              <w:rPr>
                <w:rFonts w:ascii="Tahoma" w:hAnsi="Tahoma" w:cs="Tahoma"/>
                <w:b/>
                <w:bCs/>
                <w:iCs/>
                <w:color w:val="243285"/>
                <w:szCs w:val="24"/>
                <w:lang w:val="fr-CH"/>
              </w:rPr>
              <w:t>(0</w:t>
            </w:r>
            <w:r w:rsidR="00F32A31" w:rsidRPr="007D148D">
              <w:rPr>
                <w:rFonts w:ascii="Tahoma" w:hAnsi="Tahoma" w:cs="Tahoma"/>
                <w:b/>
                <w:bCs/>
                <w:iCs/>
                <w:color w:val="243285"/>
                <w:szCs w:val="24"/>
                <w:lang w:val="fr-CH"/>
              </w:rPr>
              <w:t>5</w:t>
            </w:r>
            <w:r w:rsidRPr="007D148D">
              <w:rPr>
                <w:rFonts w:ascii="Tahoma" w:hAnsi="Tahoma" w:cs="Tahoma"/>
                <w:b/>
                <w:bCs/>
                <w:iCs/>
                <w:color w:val="243285"/>
                <w:szCs w:val="24"/>
                <w:lang w:val="fr-CH"/>
              </w:rPr>
              <w:t>/</w:t>
            </w:r>
            <w:r w:rsidR="00F32A31" w:rsidRPr="007D148D">
              <w:rPr>
                <w:rFonts w:ascii="Tahoma" w:hAnsi="Tahoma" w:cs="Tahoma"/>
                <w:b/>
                <w:bCs/>
                <w:iCs/>
                <w:color w:val="243285"/>
                <w:szCs w:val="24"/>
                <w:lang w:val="fr-CH"/>
              </w:rPr>
              <w:t>2000</w:t>
            </w:r>
            <w:r w:rsidRPr="007D148D">
              <w:rPr>
                <w:rFonts w:ascii="Tahoma" w:hAnsi="Tahoma" w:cs="Tahoma"/>
                <w:b/>
                <w:bCs/>
                <w:iCs/>
                <w:color w:val="243285"/>
                <w:szCs w:val="24"/>
                <w:lang w:val="fr-CH"/>
              </w:rPr>
              <w:t>)</w:t>
            </w:r>
          </w:p>
        </w:tc>
      </w:tr>
      <w:tr w:rsidR="00713E37" w:rsidRPr="007D148D">
        <w:tc>
          <w:tcPr>
            <w:tcW w:w="10089" w:type="dxa"/>
          </w:tcPr>
          <w:p w:rsidR="00713E37" w:rsidRPr="007D148D" w:rsidRDefault="00713E37" w:rsidP="00123FD5">
            <w:pPr>
              <w:spacing w:before="80" w:line="500" w:lineRule="exact"/>
              <w:jc w:val="right"/>
              <w:rPr>
                <w:rFonts w:ascii="Tahoma" w:hAnsi="Tahoma" w:cs="Tahoma"/>
                <w:b/>
                <w:bCs/>
                <w:iCs/>
                <w:color w:val="243285"/>
                <w:sz w:val="44"/>
                <w:szCs w:val="44"/>
                <w:lang w:val="fr-CH"/>
              </w:rPr>
            </w:pPr>
          </w:p>
          <w:p w:rsidR="00713E37" w:rsidRPr="007D148D" w:rsidRDefault="00EF558D" w:rsidP="007D148D">
            <w:pPr>
              <w:spacing w:before="80" w:line="500" w:lineRule="exact"/>
              <w:jc w:val="right"/>
              <w:rPr>
                <w:rFonts w:ascii="Tahoma" w:hAnsi="Tahoma" w:cs="Tahoma"/>
                <w:b/>
                <w:bCs/>
                <w:iCs/>
                <w:color w:val="243285"/>
                <w:sz w:val="44"/>
                <w:szCs w:val="44"/>
                <w:lang w:val="fr-CH"/>
              </w:rPr>
            </w:pPr>
            <w:r w:rsidRPr="007D148D">
              <w:rPr>
                <w:rFonts w:ascii="Tahoma" w:hAnsi="Tahoma" w:cs="Tahoma"/>
                <w:b/>
                <w:bCs/>
                <w:color w:val="243285"/>
                <w:sz w:val="44"/>
                <w:szCs w:val="44"/>
                <w:lang w:val="fr-CH"/>
              </w:rPr>
              <w:t>Méthode d'évaluation du niveau de  compatibilité de fonctionnement entre systèmes à accès hertzien fixe et systèmes de radiolocalisation en cas de partage de la bande 3,4-3,7 GHz</w:t>
            </w:r>
          </w:p>
        </w:tc>
      </w:tr>
      <w:tr w:rsidR="00713E37" w:rsidRPr="007D148D">
        <w:tc>
          <w:tcPr>
            <w:tcW w:w="10089" w:type="dxa"/>
          </w:tcPr>
          <w:p w:rsidR="00713E37" w:rsidRPr="007D148D" w:rsidRDefault="00713E37" w:rsidP="00AD267B">
            <w:pPr>
              <w:spacing w:before="80" w:line="280" w:lineRule="exact"/>
              <w:ind w:right="640"/>
              <w:rPr>
                <w:rFonts w:ascii="Tahoma" w:hAnsi="Tahoma" w:cs="Tahoma"/>
                <w:b/>
                <w:bCs/>
                <w:iCs/>
                <w:color w:val="243285"/>
                <w:sz w:val="32"/>
                <w:szCs w:val="32"/>
                <w:lang w:val="fr-CH"/>
              </w:rPr>
            </w:pPr>
          </w:p>
          <w:p w:rsidR="00713E37" w:rsidRPr="007D148D" w:rsidRDefault="00713E37" w:rsidP="00AD267B">
            <w:pPr>
              <w:spacing w:before="80" w:line="280" w:lineRule="exact"/>
              <w:ind w:right="640"/>
              <w:rPr>
                <w:rFonts w:ascii="Tahoma" w:hAnsi="Tahoma" w:cs="Tahoma"/>
                <w:b/>
                <w:bCs/>
                <w:iCs/>
                <w:color w:val="243285"/>
                <w:sz w:val="32"/>
                <w:szCs w:val="32"/>
                <w:lang w:val="fr-CH"/>
              </w:rPr>
            </w:pPr>
          </w:p>
          <w:p w:rsidR="00713E37" w:rsidRPr="007D148D" w:rsidRDefault="00713E37" w:rsidP="004A4D65">
            <w:pPr>
              <w:spacing w:before="80" w:after="180" w:line="360" w:lineRule="exact"/>
              <w:ind w:right="720"/>
              <w:rPr>
                <w:rFonts w:ascii="Tahoma" w:hAnsi="Tahoma" w:cs="Tahoma"/>
                <w:b/>
                <w:bCs/>
                <w:iCs/>
                <w:color w:val="243285"/>
                <w:sz w:val="36"/>
                <w:szCs w:val="36"/>
                <w:lang w:val="fr-CH"/>
              </w:rPr>
            </w:pPr>
          </w:p>
          <w:p w:rsidR="00713E37" w:rsidRPr="007D148D" w:rsidRDefault="00713E37" w:rsidP="00E80F1D">
            <w:pPr>
              <w:spacing w:before="80" w:after="180" w:line="360" w:lineRule="exact"/>
              <w:jc w:val="right"/>
              <w:rPr>
                <w:rFonts w:ascii="Tahoma" w:hAnsi="Tahoma" w:cs="Tahoma"/>
                <w:b/>
                <w:bCs/>
                <w:iCs/>
                <w:color w:val="243285"/>
                <w:sz w:val="36"/>
                <w:szCs w:val="36"/>
                <w:lang w:val="fr-CH"/>
              </w:rPr>
            </w:pPr>
            <w:r w:rsidRPr="007D148D">
              <w:rPr>
                <w:rFonts w:ascii="Tahoma" w:hAnsi="Tahoma" w:cs="Tahoma"/>
                <w:b/>
                <w:bCs/>
                <w:iCs/>
                <w:color w:val="243285"/>
                <w:sz w:val="36"/>
                <w:szCs w:val="36"/>
                <w:lang w:val="fr-CH"/>
              </w:rPr>
              <w:t>Série F</w:t>
            </w:r>
          </w:p>
          <w:p w:rsidR="00713E37" w:rsidRPr="007D148D" w:rsidRDefault="00713E37" w:rsidP="00AD267B">
            <w:pPr>
              <w:spacing w:before="80" w:line="420" w:lineRule="exact"/>
              <w:jc w:val="right"/>
              <w:rPr>
                <w:rFonts w:ascii="Tahoma" w:hAnsi="Tahoma" w:cs="Tahoma"/>
                <w:b/>
                <w:bCs/>
                <w:iCs/>
                <w:color w:val="243285"/>
                <w:sz w:val="36"/>
                <w:szCs w:val="36"/>
                <w:lang w:val="fr-CH"/>
              </w:rPr>
            </w:pPr>
            <w:r w:rsidRPr="007D148D">
              <w:rPr>
                <w:rFonts w:ascii="Tahoma" w:hAnsi="Tahoma" w:cs="Tahoma"/>
                <w:b/>
                <w:bCs/>
                <w:iCs/>
                <w:color w:val="243285"/>
                <w:sz w:val="36"/>
                <w:szCs w:val="36"/>
                <w:lang w:val="fr-CH"/>
              </w:rPr>
              <w:t>Service fixe</w:t>
            </w:r>
          </w:p>
        </w:tc>
      </w:tr>
    </w:tbl>
    <w:p w:rsidR="00713E37" w:rsidRPr="007D148D" w:rsidRDefault="00713E37" w:rsidP="00CD659B">
      <w:pPr>
        <w:spacing w:before="80"/>
        <w:rPr>
          <w:i/>
          <w:sz w:val="22"/>
          <w:lang w:val="fr-CH"/>
        </w:rPr>
      </w:pPr>
    </w:p>
    <w:p w:rsidR="00713E37" w:rsidRPr="007D148D" w:rsidRDefault="00713E37" w:rsidP="00CD659B">
      <w:pPr>
        <w:spacing w:before="80"/>
        <w:rPr>
          <w:i/>
          <w:sz w:val="22"/>
          <w:lang w:val="fr-CH"/>
        </w:rPr>
      </w:pPr>
    </w:p>
    <w:p w:rsidR="00713E37" w:rsidRPr="007D148D" w:rsidRDefault="00713E37" w:rsidP="00CD659B">
      <w:pPr>
        <w:spacing w:before="80"/>
        <w:rPr>
          <w:i/>
          <w:sz w:val="22"/>
          <w:lang w:val="fr-CH"/>
        </w:rPr>
      </w:pPr>
    </w:p>
    <w:p w:rsidR="00713E37" w:rsidRPr="007D148D" w:rsidRDefault="00713E37" w:rsidP="00CD659B">
      <w:pPr>
        <w:spacing w:before="80"/>
        <w:rPr>
          <w:i/>
          <w:sz w:val="22"/>
          <w:lang w:val="fr-CH"/>
        </w:rPr>
      </w:pPr>
    </w:p>
    <w:p w:rsidR="00713E37" w:rsidRPr="007D148D" w:rsidRDefault="00713E37" w:rsidP="00CD659B">
      <w:pPr>
        <w:spacing w:before="80"/>
        <w:rPr>
          <w:i/>
          <w:sz w:val="22"/>
          <w:lang w:val="fr-CH"/>
        </w:rPr>
      </w:pPr>
    </w:p>
    <w:p w:rsidR="00713E37" w:rsidRPr="007D148D" w:rsidRDefault="00713E37" w:rsidP="00CD659B">
      <w:pPr>
        <w:spacing w:before="80"/>
        <w:rPr>
          <w:i/>
          <w:sz w:val="22"/>
          <w:lang w:val="fr-CH"/>
        </w:rPr>
      </w:pPr>
    </w:p>
    <w:p w:rsidR="00713E37" w:rsidRPr="007D148D" w:rsidRDefault="00713E37" w:rsidP="00CD659B">
      <w:pPr>
        <w:pStyle w:val="Equation"/>
        <w:tabs>
          <w:tab w:val="clear" w:pos="4820"/>
          <w:tab w:val="clear" w:pos="9639"/>
          <w:tab w:val="left" w:pos="1191"/>
          <w:tab w:val="left" w:pos="1588"/>
          <w:tab w:val="left" w:pos="1985"/>
        </w:tabs>
        <w:rPr>
          <w:rFonts w:ascii="Palatino Linotype" w:hAnsi="Palatino Linotype"/>
          <w:lang w:val="fr-CH"/>
        </w:rPr>
        <w:sectPr w:rsidR="00713E37" w:rsidRPr="007D148D" w:rsidSect="00025DCA">
          <w:headerReference w:type="even" r:id="rId7"/>
          <w:headerReference w:type="default" r:id="rId8"/>
          <w:pgSz w:w="11907" w:h="16834" w:code="9"/>
          <w:pgMar w:top="1418" w:right="1134" w:bottom="1134" w:left="1134" w:header="720" w:footer="482" w:gutter="0"/>
          <w:paperSrc w:first="15" w:other="15"/>
          <w:cols w:space="720"/>
        </w:sectPr>
      </w:pPr>
    </w:p>
    <w:p w:rsidR="00713E37" w:rsidRPr="007D148D" w:rsidRDefault="00713E37"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7D148D">
        <w:rPr>
          <w:bCs/>
          <w:sz w:val="24"/>
          <w:szCs w:val="24"/>
          <w:lang w:val="fr-CH"/>
        </w:rPr>
        <w:lastRenderedPageBreak/>
        <w:t>Avant-propos</w:t>
      </w:r>
    </w:p>
    <w:p w:rsidR="00713E37" w:rsidRPr="007D148D" w:rsidRDefault="00713E37" w:rsidP="00F54FBD">
      <w:pPr>
        <w:spacing w:before="240"/>
        <w:rPr>
          <w:sz w:val="20"/>
          <w:lang w:val="fr-CH"/>
        </w:rPr>
      </w:pPr>
      <w:r w:rsidRPr="007D148D">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13E37" w:rsidRPr="007D148D" w:rsidRDefault="00713E37" w:rsidP="00F54FBD">
      <w:pPr>
        <w:rPr>
          <w:sz w:val="20"/>
          <w:lang w:val="fr-CH"/>
        </w:rPr>
      </w:pPr>
      <w:r w:rsidRPr="007D148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13E37" w:rsidRPr="007D148D" w:rsidRDefault="00713E37" w:rsidP="00614CC6">
      <w:pPr>
        <w:pStyle w:val="Heading1"/>
        <w:spacing w:before="360"/>
        <w:jc w:val="center"/>
        <w:rPr>
          <w:szCs w:val="24"/>
          <w:lang w:val="fr-CH"/>
        </w:rPr>
      </w:pPr>
      <w:r w:rsidRPr="007D148D">
        <w:rPr>
          <w:szCs w:val="24"/>
          <w:lang w:val="fr-CH"/>
        </w:rPr>
        <w:t>Politique en matière de droits de propriété intellectuelle (IPR)</w:t>
      </w:r>
    </w:p>
    <w:p w:rsidR="00713E37" w:rsidRPr="007D148D" w:rsidRDefault="00713E37" w:rsidP="00251425">
      <w:pPr>
        <w:spacing w:before="240"/>
        <w:rPr>
          <w:sz w:val="20"/>
          <w:lang w:val="fr-CH"/>
        </w:rPr>
      </w:pPr>
      <w:r w:rsidRPr="007D148D">
        <w:rPr>
          <w:sz w:val="20"/>
          <w:lang w:val="fr-CH"/>
        </w:rPr>
        <w:t>La politique de l'UIT</w:t>
      </w:r>
      <w:r w:rsidRPr="007D148D">
        <w:rPr>
          <w:sz w:val="20"/>
          <w:lang w:val="fr-CH"/>
        </w:rPr>
        <w:noBreakHyphen/>
        <w:t>R en matière de droits de propriété intellectuelle est décrite dans la «Politique commune de l'UIT</w:t>
      </w:r>
      <w:r w:rsidRPr="007D148D">
        <w:rPr>
          <w:sz w:val="20"/>
          <w:lang w:val="fr-CH"/>
        </w:rPr>
        <w:noBreakHyphen/>
        <w:t>T, l'UIT</w:t>
      </w:r>
      <w:r w:rsidRPr="007D148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7D148D">
          <w:rPr>
            <w:rStyle w:val="Hyperlink"/>
            <w:sz w:val="20"/>
            <w:lang w:val="fr-CH"/>
          </w:rPr>
          <w:t>http://www.itu.int/ITU-R/go/patents/fr</w:t>
        </w:r>
      </w:hyperlink>
      <w:r w:rsidRPr="007D148D">
        <w:rPr>
          <w:sz w:val="20"/>
          <w:lang w:val="fr-CH"/>
        </w:rPr>
        <w:t xml:space="preserve">, où l'on trouvera également les Lignes directrices pour la mise en </w:t>
      </w:r>
      <w:r w:rsidR="00251425">
        <w:rPr>
          <w:sz w:val="20"/>
          <w:lang w:val="fr-CH"/>
        </w:rPr>
        <w:t>œ</w:t>
      </w:r>
      <w:r w:rsidRPr="007D148D">
        <w:rPr>
          <w:sz w:val="20"/>
          <w:lang w:val="fr-CH"/>
        </w:rPr>
        <w:t>uvre de la politique commune en matière de brevets de l'UIT</w:t>
      </w:r>
      <w:r w:rsidRPr="007D148D">
        <w:rPr>
          <w:sz w:val="20"/>
          <w:lang w:val="fr-CH"/>
        </w:rPr>
        <w:noBreakHyphen/>
        <w:t>T, l'UIT</w:t>
      </w:r>
      <w:r w:rsidRPr="007D148D">
        <w:rPr>
          <w:sz w:val="20"/>
          <w:lang w:val="fr-CH"/>
        </w:rPr>
        <w:noBreakHyphen/>
        <w:t>R, l'ISO et la CEI</w:t>
      </w:r>
      <w:r w:rsidRPr="007D148D" w:rsidDel="0061025C">
        <w:rPr>
          <w:sz w:val="20"/>
          <w:lang w:val="fr-CH"/>
        </w:rPr>
        <w:t xml:space="preserve"> </w:t>
      </w:r>
      <w:r w:rsidRPr="007D148D">
        <w:rPr>
          <w:sz w:val="20"/>
          <w:lang w:val="fr-CH"/>
        </w:rPr>
        <w:t>et la base de données en matière de brevets de l'UIT-R.</w:t>
      </w:r>
    </w:p>
    <w:p w:rsidR="00713E37" w:rsidRPr="007D148D" w:rsidRDefault="00713E37"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13E37" w:rsidRPr="007D148D">
        <w:tc>
          <w:tcPr>
            <w:tcW w:w="9360" w:type="dxa"/>
            <w:gridSpan w:val="2"/>
          </w:tcPr>
          <w:p w:rsidR="00713E37" w:rsidRPr="007D148D" w:rsidRDefault="00713E37"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7D148D">
              <w:rPr>
                <w:sz w:val="22"/>
                <w:szCs w:val="22"/>
                <w:lang w:val="fr-CH"/>
              </w:rPr>
              <w:t xml:space="preserve">Séries des Recommandations UIT-R </w:t>
            </w:r>
          </w:p>
          <w:p w:rsidR="00713E37" w:rsidRPr="007D148D" w:rsidRDefault="00713E3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D148D">
              <w:rPr>
                <w:b w:val="0"/>
                <w:sz w:val="18"/>
                <w:szCs w:val="18"/>
                <w:lang w:val="fr-CH"/>
              </w:rPr>
              <w:t xml:space="preserve">(Egalement disponible en ligne: </w:t>
            </w:r>
            <w:hyperlink r:id="rId10" w:history="1">
              <w:r w:rsidRPr="007D148D">
                <w:rPr>
                  <w:rStyle w:val="Hyperlink"/>
                  <w:b w:val="0"/>
                  <w:bCs/>
                  <w:sz w:val="18"/>
                  <w:szCs w:val="18"/>
                  <w:lang w:val="fr-CH"/>
                </w:rPr>
                <w:t>http://www.itu.int/publ/R-REC/fr</w:t>
              </w:r>
            </w:hyperlink>
            <w:r w:rsidRPr="007D148D">
              <w:rPr>
                <w:b w:val="0"/>
                <w:bCs/>
                <w:sz w:val="18"/>
                <w:szCs w:val="18"/>
                <w:lang w:val="fr-CH"/>
              </w:rPr>
              <w:t>)</w:t>
            </w:r>
          </w:p>
        </w:tc>
      </w:tr>
      <w:tr w:rsidR="00713E37" w:rsidRPr="007D148D" w:rsidTr="005E427C">
        <w:tc>
          <w:tcPr>
            <w:tcW w:w="1140" w:type="dxa"/>
            <w:tcBorders>
              <w:bottom w:val="nil"/>
            </w:tcBorders>
          </w:tcPr>
          <w:p w:rsidR="00713E37" w:rsidRPr="007D148D" w:rsidRDefault="00713E37" w:rsidP="00614CC6">
            <w:pPr>
              <w:spacing w:before="90" w:after="100"/>
              <w:ind w:left="57"/>
              <w:rPr>
                <w:b/>
                <w:bCs/>
                <w:sz w:val="20"/>
                <w:lang w:val="fr-CH"/>
              </w:rPr>
            </w:pPr>
            <w:r w:rsidRPr="007D148D">
              <w:rPr>
                <w:b/>
                <w:bCs/>
                <w:sz w:val="20"/>
                <w:lang w:val="fr-CH"/>
              </w:rPr>
              <w:t>Séries</w:t>
            </w:r>
          </w:p>
        </w:tc>
        <w:tc>
          <w:tcPr>
            <w:tcW w:w="8220" w:type="dxa"/>
            <w:tcBorders>
              <w:bottom w:val="nil"/>
            </w:tcBorders>
          </w:tcPr>
          <w:p w:rsidR="00713E37" w:rsidRPr="007D148D" w:rsidRDefault="00713E37"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D148D">
              <w:rPr>
                <w:bCs/>
                <w:sz w:val="20"/>
                <w:lang w:val="fr-CH"/>
              </w:rPr>
              <w:t>Titre</w:t>
            </w:r>
          </w:p>
        </w:tc>
      </w:tr>
      <w:tr w:rsidR="00713E37" w:rsidRPr="007D148D" w:rsidTr="005E427C">
        <w:tc>
          <w:tcPr>
            <w:tcW w:w="1140" w:type="dxa"/>
            <w:tcBorders>
              <w:top w:val="nil"/>
              <w:bottom w:val="nil"/>
            </w:tcBorders>
            <w:shd w:val="clear" w:color="auto" w:fill="auto"/>
          </w:tcPr>
          <w:p w:rsidR="00713E37" w:rsidRPr="007D148D" w:rsidRDefault="00713E37" w:rsidP="00F336CC">
            <w:pPr>
              <w:spacing w:before="30" w:after="30"/>
              <w:ind w:left="57"/>
              <w:jc w:val="left"/>
              <w:rPr>
                <w:b/>
                <w:bCs/>
                <w:sz w:val="20"/>
                <w:lang w:val="fr-CH"/>
              </w:rPr>
            </w:pPr>
            <w:r w:rsidRPr="007D148D">
              <w:rPr>
                <w:b/>
                <w:bCs/>
                <w:sz w:val="20"/>
                <w:lang w:val="fr-CH"/>
              </w:rPr>
              <w:t>BO</w:t>
            </w:r>
          </w:p>
        </w:tc>
        <w:tc>
          <w:tcPr>
            <w:tcW w:w="8220" w:type="dxa"/>
            <w:tcBorders>
              <w:top w:val="nil"/>
              <w:bottom w:val="nil"/>
            </w:tcBorders>
            <w:shd w:val="clear" w:color="auto" w:fill="auto"/>
          </w:tcPr>
          <w:p w:rsidR="00713E37" w:rsidRPr="007D148D" w:rsidRDefault="00713E3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D148D">
              <w:rPr>
                <w:b w:val="0"/>
                <w:sz w:val="20"/>
                <w:lang w:val="fr-CH"/>
              </w:rPr>
              <w:t>Diffusion par satellite</w:t>
            </w:r>
          </w:p>
        </w:tc>
      </w:tr>
      <w:tr w:rsidR="00713E37" w:rsidRPr="007D148D" w:rsidTr="00E80F1D">
        <w:tc>
          <w:tcPr>
            <w:tcW w:w="1140" w:type="dxa"/>
            <w:tcBorders>
              <w:top w:val="nil"/>
              <w:bottom w:val="nil"/>
            </w:tcBorders>
          </w:tcPr>
          <w:p w:rsidR="00713E37" w:rsidRPr="007D148D" w:rsidRDefault="00713E37" w:rsidP="00F336CC">
            <w:pPr>
              <w:spacing w:before="30" w:after="30"/>
              <w:ind w:left="57"/>
              <w:jc w:val="left"/>
              <w:rPr>
                <w:b/>
                <w:bCs/>
                <w:sz w:val="20"/>
                <w:lang w:val="fr-CH"/>
              </w:rPr>
            </w:pPr>
            <w:r w:rsidRPr="007D148D">
              <w:rPr>
                <w:b/>
                <w:bCs/>
                <w:sz w:val="20"/>
                <w:lang w:val="fr-CH"/>
              </w:rPr>
              <w:t>BR</w:t>
            </w:r>
          </w:p>
        </w:tc>
        <w:tc>
          <w:tcPr>
            <w:tcW w:w="8220" w:type="dxa"/>
            <w:tcBorders>
              <w:top w:val="nil"/>
              <w:bottom w:val="nil"/>
            </w:tcBorders>
          </w:tcPr>
          <w:p w:rsidR="00713E37" w:rsidRPr="007D148D" w:rsidRDefault="00713E3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D148D">
              <w:rPr>
                <w:b w:val="0"/>
                <w:bCs/>
                <w:sz w:val="20"/>
                <w:lang w:val="fr-CH"/>
              </w:rPr>
              <w:t>Enregistrement pour la production, l'archivage et la diffusion; films pour la télévision</w:t>
            </w:r>
          </w:p>
        </w:tc>
      </w:tr>
      <w:tr w:rsidR="00713E37" w:rsidRPr="007D148D" w:rsidTr="00E80F1D">
        <w:tc>
          <w:tcPr>
            <w:tcW w:w="1140" w:type="dxa"/>
            <w:tcBorders>
              <w:top w:val="nil"/>
              <w:bottom w:val="nil"/>
            </w:tcBorders>
            <w:shd w:val="clear" w:color="auto" w:fill="auto"/>
          </w:tcPr>
          <w:p w:rsidR="00713E37" w:rsidRPr="007D148D" w:rsidRDefault="00713E37" w:rsidP="00F336CC">
            <w:pPr>
              <w:spacing w:before="30" w:after="30"/>
              <w:ind w:left="57"/>
              <w:jc w:val="left"/>
              <w:rPr>
                <w:b/>
                <w:bCs/>
                <w:sz w:val="20"/>
                <w:lang w:val="fr-CH"/>
              </w:rPr>
            </w:pPr>
            <w:r w:rsidRPr="007D148D">
              <w:rPr>
                <w:b/>
                <w:bCs/>
                <w:sz w:val="20"/>
                <w:lang w:val="fr-CH"/>
              </w:rPr>
              <w:t>BS</w:t>
            </w:r>
          </w:p>
        </w:tc>
        <w:tc>
          <w:tcPr>
            <w:tcW w:w="8220" w:type="dxa"/>
            <w:tcBorders>
              <w:top w:val="nil"/>
              <w:bottom w:val="nil"/>
            </w:tcBorders>
            <w:shd w:val="clear" w:color="auto" w:fill="auto"/>
          </w:tcPr>
          <w:p w:rsidR="00713E37" w:rsidRPr="007D148D" w:rsidRDefault="00713E3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D148D">
              <w:rPr>
                <w:b w:val="0"/>
                <w:sz w:val="20"/>
                <w:lang w:val="fr-CH"/>
              </w:rPr>
              <w:t>Service de radiodiffusion sonore</w:t>
            </w:r>
          </w:p>
        </w:tc>
      </w:tr>
      <w:tr w:rsidR="00713E37" w:rsidRPr="007D148D" w:rsidTr="00E80F1D">
        <w:tc>
          <w:tcPr>
            <w:tcW w:w="1140" w:type="dxa"/>
            <w:tcBorders>
              <w:top w:val="nil"/>
              <w:bottom w:val="nil"/>
            </w:tcBorders>
            <w:shd w:val="clear" w:color="auto" w:fill="auto"/>
          </w:tcPr>
          <w:p w:rsidR="00713E37" w:rsidRPr="007D148D" w:rsidRDefault="00713E37" w:rsidP="00F336CC">
            <w:pPr>
              <w:spacing w:before="30" w:after="30"/>
              <w:ind w:left="57"/>
              <w:jc w:val="left"/>
              <w:rPr>
                <w:b/>
                <w:bCs/>
                <w:sz w:val="20"/>
                <w:lang w:val="fr-CH"/>
              </w:rPr>
            </w:pPr>
            <w:r w:rsidRPr="007D148D">
              <w:rPr>
                <w:b/>
                <w:bCs/>
                <w:sz w:val="20"/>
                <w:lang w:val="fr-CH"/>
              </w:rPr>
              <w:t>BT</w:t>
            </w:r>
          </w:p>
        </w:tc>
        <w:tc>
          <w:tcPr>
            <w:tcW w:w="8220" w:type="dxa"/>
            <w:tcBorders>
              <w:top w:val="nil"/>
              <w:bottom w:val="nil"/>
            </w:tcBorders>
            <w:shd w:val="clear" w:color="auto" w:fill="auto"/>
          </w:tcPr>
          <w:p w:rsidR="00713E37" w:rsidRPr="007D148D" w:rsidRDefault="00713E3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D148D">
              <w:rPr>
                <w:b w:val="0"/>
                <w:bCs/>
                <w:sz w:val="20"/>
                <w:lang w:val="fr-CH"/>
              </w:rPr>
              <w:t>Service de radiodiffusion télévisuelle</w:t>
            </w:r>
          </w:p>
        </w:tc>
      </w:tr>
      <w:tr w:rsidR="00713E37" w:rsidRPr="007D148D" w:rsidTr="00E80F1D">
        <w:tc>
          <w:tcPr>
            <w:tcW w:w="1140" w:type="dxa"/>
            <w:tcBorders>
              <w:top w:val="nil"/>
              <w:bottom w:val="nil"/>
            </w:tcBorders>
            <w:shd w:val="clear" w:color="auto" w:fill="F3F3F3"/>
          </w:tcPr>
          <w:p w:rsidR="00713E37" w:rsidRPr="007D148D" w:rsidRDefault="00713E37" w:rsidP="00F336CC">
            <w:pPr>
              <w:spacing w:before="30" w:after="30"/>
              <w:ind w:left="57"/>
              <w:jc w:val="left"/>
              <w:rPr>
                <w:b/>
                <w:bCs/>
                <w:color w:val="000080"/>
                <w:sz w:val="20"/>
                <w:lang w:val="fr-CH"/>
              </w:rPr>
            </w:pPr>
            <w:r w:rsidRPr="007D148D">
              <w:rPr>
                <w:b/>
                <w:bCs/>
                <w:color w:val="000080"/>
                <w:sz w:val="20"/>
                <w:lang w:val="fr-CH"/>
              </w:rPr>
              <w:t>F</w:t>
            </w:r>
          </w:p>
        </w:tc>
        <w:tc>
          <w:tcPr>
            <w:tcW w:w="8220" w:type="dxa"/>
            <w:tcBorders>
              <w:top w:val="nil"/>
              <w:bottom w:val="nil"/>
            </w:tcBorders>
            <w:shd w:val="clear" w:color="auto" w:fill="F3F3F3"/>
          </w:tcPr>
          <w:p w:rsidR="00713E37" w:rsidRPr="007D148D" w:rsidRDefault="00713E3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7D148D">
              <w:rPr>
                <w:b/>
                <w:bCs/>
                <w:color w:val="000080"/>
                <w:sz w:val="20"/>
                <w:lang w:val="fr-CH"/>
              </w:rPr>
              <w:t>Service fixe</w:t>
            </w:r>
          </w:p>
        </w:tc>
      </w:tr>
      <w:tr w:rsidR="00713E37" w:rsidRPr="007D148D" w:rsidTr="00B21066">
        <w:tc>
          <w:tcPr>
            <w:tcW w:w="1140" w:type="dxa"/>
            <w:tcBorders>
              <w:top w:val="nil"/>
              <w:bottom w:val="nil"/>
            </w:tcBorders>
            <w:shd w:val="clear" w:color="auto" w:fill="auto"/>
          </w:tcPr>
          <w:p w:rsidR="00713E37" w:rsidRPr="007D148D" w:rsidRDefault="00713E37" w:rsidP="00F336CC">
            <w:pPr>
              <w:spacing w:before="30" w:after="30"/>
              <w:ind w:left="57"/>
              <w:jc w:val="left"/>
              <w:rPr>
                <w:b/>
                <w:bCs/>
                <w:sz w:val="20"/>
                <w:lang w:val="fr-CH"/>
              </w:rPr>
            </w:pPr>
            <w:r w:rsidRPr="007D148D">
              <w:rPr>
                <w:b/>
                <w:bCs/>
                <w:sz w:val="20"/>
                <w:lang w:val="fr-CH"/>
              </w:rPr>
              <w:t>M</w:t>
            </w:r>
          </w:p>
        </w:tc>
        <w:tc>
          <w:tcPr>
            <w:tcW w:w="8220" w:type="dxa"/>
            <w:tcBorders>
              <w:top w:val="nil"/>
              <w:bottom w:val="nil"/>
            </w:tcBorders>
            <w:shd w:val="clear" w:color="auto" w:fill="auto"/>
          </w:tcPr>
          <w:p w:rsidR="00713E37" w:rsidRPr="007D148D" w:rsidRDefault="00713E3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D148D">
              <w:rPr>
                <w:b w:val="0"/>
                <w:sz w:val="20"/>
                <w:lang w:val="fr-CH"/>
              </w:rPr>
              <w:t>Services mobile, de radiorepérage et d'amateur y compris les services par satellite associés</w:t>
            </w:r>
          </w:p>
        </w:tc>
      </w:tr>
      <w:tr w:rsidR="00713E37" w:rsidRPr="007D148D" w:rsidTr="00B21066">
        <w:tc>
          <w:tcPr>
            <w:tcW w:w="1140" w:type="dxa"/>
            <w:tcBorders>
              <w:top w:val="nil"/>
            </w:tcBorders>
          </w:tcPr>
          <w:p w:rsidR="00713E37" w:rsidRPr="007D148D" w:rsidRDefault="00713E37" w:rsidP="00F336CC">
            <w:pPr>
              <w:spacing w:before="30" w:after="30"/>
              <w:ind w:left="57"/>
              <w:jc w:val="left"/>
              <w:rPr>
                <w:b/>
                <w:bCs/>
                <w:sz w:val="20"/>
                <w:lang w:val="fr-CH"/>
              </w:rPr>
            </w:pPr>
            <w:r w:rsidRPr="007D148D">
              <w:rPr>
                <w:b/>
                <w:bCs/>
                <w:sz w:val="20"/>
                <w:lang w:val="fr-CH"/>
              </w:rPr>
              <w:t>P</w:t>
            </w:r>
          </w:p>
        </w:tc>
        <w:tc>
          <w:tcPr>
            <w:tcW w:w="8220" w:type="dxa"/>
            <w:tcBorders>
              <w:top w:val="nil"/>
            </w:tcBorders>
          </w:tcPr>
          <w:p w:rsidR="00713E37" w:rsidRPr="007D148D" w:rsidRDefault="00713E37" w:rsidP="00F336CC">
            <w:pPr>
              <w:spacing w:before="30" w:after="30"/>
              <w:jc w:val="left"/>
              <w:rPr>
                <w:sz w:val="20"/>
                <w:lang w:val="fr-CH"/>
              </w:rPr>
            </w:pPr>
            <w:r w:rsidRPr="007D148D">
              <w:rPr>
                <w:sz w:val="20"/>
                <w:lang w:val="fr-CH"/>
              </w:rPr>
              <w:t>Propagation des ondes radioélectriques</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RA</w:t>
            </w:r>
          </w:p>
        </w:tc>
        <w:tc>
          <w:tcPr>
            <w:tcW w:w="8220" w:type="dxa"/>
          </w:tcPr>
          <w:p w:rsidR="00713E37" w:rsidRPr="007D148D" w:rsidRDefault="00713E3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D148D">
              <w:rPr>
                <w:sz w:val="20"/>
                <w:lang w:val="fr-CH"/>
              </w:rPr>
              <w:t>Radio astronomie</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RS</w:t>
            </w:r>
          </w:p>
        </w:tc>
        <w:tc>
          <w:tcPr>
            <w:tcW w:w="8220" w:type="dxa"/>
          </w:tcPr>
          <w:p w:rsidR="00713E37" w:rsidRPr="007D148D" w:rsidRDefault="00713E3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D148D">
              <w:rPr>
                <w:sz w:val="20"/>
                <w:lang w:val="fr-CH"/>
              </w:rPr>
              <w:t>Systèmes de télédétection</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S</w:t>
            </w:r>
          </w:p>
        </w:tc>
        <w:tc>
          <w:tcPr>
            <w:tcW w:w="8220" w:type="dxa"/>
          </w:tcPr>
          <w:p w:rsidR="00713E37" w:rsidRPr="007D148D" w:rsidRDefault="00713E37" w:rsidP="00F336CC">
            <w:pPr>
              <w:spacing w:before="30" w:after="30"/>
              <w:jc w:val="left"/>
              <w:rPr>
                <w:sz w:val="20"/>
                <w:lang w:val="fr-CH"/>
              </w:rPr>
            </w:pPr>
            <w:r w:rsidRPr="007D148D">
              <w:rPr>
                <w:sz w:val="20"/>
                <w:lang w:val="fr-CH"/>
              </w:rPr>
              <w:t>Service fixe par satellite</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SA</w:t>
            </w:r>
          </w:p>
        </w:tc>
        <w:tc>
          <w:tcPr>
            <w:tcW w:w="8220" w:type="dxa"/>
          </w:tcPr>
          <w:p w:rsidR="00713E37" w:rsidRPr="007D148D" w:rsidRDefault="00713E37" w:rsidP="00F336CC">
            <w:pPr>
              <w:spacing w:before="30" w:after="30"/>
              <w:jc w:val="left"/>
              <w:rPr>
                <w:sz w:val="20"/>
                <w:lang w:val="fr-CH"/>
              </w:rPr>
            </w:pPr>
            <w:r w:rsidRPr="007D148D">
              <w:rPr>
                <w:sz w:val="20"/>
                <w:lang w:val="fr-CH"/>
              </w:rPr>
              <w:t>Applications spatiales et météorologie</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SF</w:t>
            </w:r>
          </w:p>
        </w:tc>
        <w:tc>
          <w:tcPr>
            <w:tcW w:w="8220" w:type="dxa"/>
          </w:tcPr>
          <w:p w:rsidR="00713E37" w:rsidRPr="007D148D" w:rsidRDefault="00713E37" w:rsidP="00F336CC">
            <w:pPr>
              <w:spacing w:before="30" w:after="30"/>
              <w:jc w:val="left"/>
              <w:rPr>
                <w:sz w:val="20"/>
                <w:lang w:val="fr-CH"/>
              </w:rPr>
            </w:pPr>
            <w:r w:rsidRPr="007D148D">
              <w:rPr>
                <w:sz w:val="20"/>
                <w:lang w:val="fr-CH"/>
              </w:rPr>
              <w:t>Partage des fréquences et coordination entre les systèmes du service fixe par satellite et du service fixe</w:t>
            </w:r>
          </w:p>
        </w:tc>
      </w:tr>
      <w:tr w:rsidR="00713E37" w:rsidRPr="007D148D">
        <w:tc>
          <w:tcPr>
            <w:tcW w:w="1140" w:type="dxa"/>
            <w:shd w:val="clear" w:color="auto" w:fill="auto"/>
          </w:tcPr>
          <w:p w:rsidR="00713E37" w:rsidRPr="007D148D" w:rsidRDefault="00713E37" w:rsidP="00F336CC">
            <w:pPr>
              <w:spacing w:before="30" w:after="30"/>
              <w:ind w:left="57"/>
              <w:jc w:val="left"/>
              <w:rPr>
                <w:b/>
                <w:bCs/>
                <w:sz w:val="20"/>
                <w:lang w:val="fr-CH"/>
              </w:rPr>
            </w:pPr>
            <w:r w:rsidRPr="007D148D">
              <w:rPr>
                <w:b/>
                <w:bCs/>
                <w:sz w:val="20"/>
                <w:lang w:val="fr-CH"/>
              </w:rPr>
              <w:t>SM</w:t>
            </w:r>
          </w:p>
        </w:tc>
        <w:tc>
          <w:tcPr>
            <w:tcW w:w="8220" w:type="dxa"/>
            <w:shd w:val="clear" w:color="auto" w:fill="auto"/>
          </w:tcPr>
          <w:p w:rsidR="00713E37" w:rsidRPr="007D148D" w:rsidRDefault="00713E37" w:rsidP="00F336CC">
            <w:pPr>
              <w:spacing w:before="30" w:after="30"/>
              <w:jc w:val="left"/>
              <w:rPr>
                <w:sz w:val="20"/>
                <w:lang w:val="fr-CH"/>
              </w:rPr>
            </w:pPr>
            <w:r w:rsidRPr="007D148D">
              <w:rPr>
                <w:sz w:val="20"/>
                <w:lang w:val="fr-CH"/>
              </w:rPr>
              <w:t>Gestion du spectre</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SNG</w:t>
            </w:r>
          </w:p>
        </w:tc>
        <w:tc>
          <w:tcPr>
            <w:tcW w:w="8220" w:type="dxa"/>
          </w:tcPr>
          <w:p w:rsidR="00713E37" w:rsidRPr="007D148D" w:rsidRDefault="00713E37" w:rsidP="00F336CC">
            <w:pPr>
              <w:spacing w:before="30" w:after="30"/>
              <w:jc w:val="left"/>
              <w:rPr>
                <w:sz w:val="20"/>
                <w:lang w:val="fr-CH"/>
              </w:rPr>
            </w:pPr>
            <w:r w:rsidRPr="007D148D">
              <w:rPr>
                <w:sz w:val="20"/>
                <w:lang w:val="fr-CH"/>
              </w:rPr>
              <w:t>Reportage d'actualités par satellite</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TF</w:t>
            </w:r>
          </w:p>
        </w:tc>
        <w:tc>
          <w:tcPr>
            <w:tcW w:w="8220" w:type="dxa"/>
          </w:tcPr>
          <w:p w:rsidR="00713E37" w:rsidRPr="007D148D" w:rsidRDefault="00713E37" w:rsidP="00F336CC">
            <w:pPr>
              <w:spacing w:before="30" w:after="30"/>
              <w:jc w:val="left"/>
              <w:rPr>
                <w:sz w:val="20"/>
                <w:lang w:val="fr-CH"/>
              </w:rPr>
            </w:pPr>
            <w:r w:rsidRPr="007D148D">
              <w:rPr>
                <w:sz w:val="20"/>
                <w:lang w:val="fr-CH"/>
              </w:rPr>
              <w:t>Emissions de fréquences étalon et de signaux horaires</w:t>
            </w:r>
          </w:p>
        </w:tc>
      </w:tr>
      <w:tr w:rsidR="00713E37" w:rsidRPr="007D148D">
        <w:tc>
          <w:tcPr>
            <w:tcW w:w="1140" w:type="dxa"/>
          </w:tcPr>
          <w:p w:rsidR="00713E37" w:rsidRPr="007D148D" w:rsidRDefault="00713E37" w:rsidP="00F336CC">
            <w:pPr>
              <w:spacing w:before="30" w:after="30"/>
              <w:ind w:left="57"/>
              <w:jc w:val="left"/>
              <w:rPr>
                <w:b/>
                <w:bCs/>
                <w:sz w:val="20"/>
                <w:lang w:val="fr-CH"/>
              </w:rPr>
            </w:pPr>
            <w:r w:rsidRPr="007D148D">
              <w:rPr>
                <w:b/>
                <w:bCs/>
                <w:sz w:val="20"/>
                <w:lang w:val="fr-CH"/>
              </w:rPr>
              <w:t>V</w:t>
            </w:r>
          </w:p>
        </w:tc>
        <w:tc>
          <w:tcPr>
            <w:tcW w:w="8220" w:type="dxa"/>
          </w:tcPr>
          <w:p w:rsidR="00713E37" w:rsidRPr="007D148D" w:rsidRDefault="00713E37" w:rsidP="00614CC6">
            <w:pPr>
              <w:spacing w:before="30" w:after="140"/>
              <w:jc w:val="left"/>
              <w:rPr>
                <w:sz w:val="20"/>
                <w:lang w:val="fr-CH"/>
              </w:rPr>
            </w:pPr>
            <w:r w:rsidRPr="007D148D">
              <w:rPr>
                <w:sz w:val="20"/>
                <w:lang w:val="fr-CH"/>
              </w:rPr>
              <w:t>Vocabulaire et sujets associés</w:t>
            </w:r>
          </w:p>
        </w:tc>
      </w:tr>
    </w:tbl>
    <w:p w:rsidR="00713E37" w:rsidRPr="007D148D" w:rsidRDefault="00713E37" w:rsidP="00614CC6">
      <w:pPr>
        <w:spacing w:before="0"/>
        <w:jc w:val="center"/>
        <w:rPr>
          <w:sz w:val="20"/>
          <w:lang w:val="fr-CH"/>
        </w:rPr>
      </w:pPr>
    </w:p>
    <w:p w:rsidR="00713E37" w:rsidRPr="007D148D" w:rsidRDefault="00713E37"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13E37" w:rsidRPr="007D148D">
        <w:tc>
          <w:tcPr>
            <w:tcW w:w="9360" w:type="dxa"/>
          </w:tcPr>
          <w:p w:rsidR="00713E37" w:rsidRPr="007D148D" w:rsidRDefault="00713E37" w:rsidP="00756B4D">
            <w:pPr>
              <w:spacing w:before="80" w:after="80"/>
              <w:jc w:val="left"/>
              <w:rPr>
                <w:i/>
                <w:iCs/>
                <w:sz w:val="20"/>
                <w:lang w:val="fr-CH"/>
              </w:rPr>
            </w:pPr>
            <w:r w:rsidRPr="007D148D">
              <w:rPr>
                <w:b/>
                <w:bCs/>
                <w:i/>
                <w:iCs/>
                <w:sz w:val="20"/>
                <w:lang w:val="fr-CH"/>
              </w:rPr>
              <w:t xml:space="preserve">    Note</w:t>
            </w:r>
            <w:r w:rsidRPr="007D148D">
              <w:rPr>
                <w:i/>
                <w:iCs/>
                <w:sz w:val="20"/>
                <w:lang w:val="fr-CH"/>
              </w:rPr>
              <w:t>: Cette Recommandation UIT-R a été approuvée en anglais aux termes de la procédure détaillée dans la</w:t>
            </w:r>
            <w:r w:rsidRPr="007D148D">
              <w:rPr>
                <w:i/>
                <w:iCs/>
                <w:sz w:val="20"/>
                <w:lang w:val="fr-CH"/>
              </w:rPr>
              <w:br/>
              <w:t xml:space="preserve">   Résolution UIT-R 1. </w:t>
            </w:r>
          </w:p>
        </w:tc>
      </w:tr>
    </w:tbl>
    <w:p w:rsidR="00713E37" w:rsidRPr="007D148D" w:rsidRDefault="00713E37" w:rsidP="00F54FBD">
      <w:pPr>
        <w:spacing w:before="0"/>
        <w:jc w:val="center"/>
        <w:rPr>
          <w:sz w:val="22"/>
          <w:lang w:val="fr-CH"/>
        </w:rPr>
      </w:pPr>
    </w:p>
    <w:p w:rsidR="00713E37" w:rsidRPr="007D148D" w:rsidRDefault="00713E37" w:rsidP="00756B4D">
      <w:pPr>
        <w:spacing w:before="100"/>
        <w:jc w:val="right"/>
        <w:rPr>
          <w:i/>
          <w:iCs/>
          <w:sz w:val="20"/>
          <w:lang w:val="fr-CH"/>
        </w:rPr>
      </w:pPr>
      <w:r w:rsidRPr="007D148D">
        <w:rPr>
          <w:i/>
          <w:iCs/>
          <w:sz w:val="20"/>
          <w:lang w:val="fr-CH"/>
        </w:rPr>
        <w:t>Publication électronique</w:t>
      </w:r>
    </w:p>
    <w:p w:rsidR="00713E37" w:rsidRPr="007D148D" w:rsidRDefault="00713E37" w:rsidP="00F50711">
      <w:pPr>
        <w:spacing w:before="0"/>
        <w:jc w:val="right"/>
        <w:rPr>
          <w:sz w:val="20"/>
          <w:lang w:val="fr-CH"/>
        </w:rPr>
      </w:pPr>
      <w:r w:rsidRPr="007D148D">
        <w:rPr>
          <w:sz w:val="20"/>
          <w:lang w:val="fr-CH"/>
        </w:rPr>
        <w:t>Genève, 2010</w:t>
      </w:r>
    </w:p>
    <w:p w:rsidR="00713E37" w:rsidRPr="007D148D" w:rsidRDefault="00713E37" w:rsidP="00F50711">
      <w:pPr>
        <w:spacing w:before="200"/>
        <w:jc w:val="center"/>
        <w:rPr>
          <w:sz w:val="20"/>
          <w:lang w:val="fr-CH"/>
        </w:rPr>
      </w:pPr>
      <w:r w:rsidRPr="007D148D">
        <w:rPr>
          <w:sz w:val="20"/>
          <w:lang w:val="fr-CH"/>
        </w:rPr>
        <w:sym w:font="Symbol" w:char="F0E3"/>
      </w:r>
      <w:r w:rsidRPr="007D148D">
        <w:rPr>
          <w:sz w:val="20"/>
          <w:lang w:val="fr-CH"/>
        </w:rPr>
        <w:t xml:space="preserve"> UIT </w:t>
      </w:r>
      <w:bookmarkStart w:id="1" w:name="iiannee"/>
      <w:bookmarkEnd w:id="1"/>
      <w:r w:rsidRPr="007D148D">
        <w:rPr>
          <w:sz w:val="20"/>
          <w:lang w:val="fr-CH"/>
        </w:rPr>
        <w:t>2010</w:t>
      </w:r>
    </w:p>
    <w:p w:rsidR="00713E37" w:rsidRPr="007D148D" w:rsidRDefault="00713E37" w:rsidP="00614CC6">
      <w:pPr>
        <w:rPr>
          <w:sz w:val="18"/>
          <w:szCs w:val="18"/>
          <w:lang w:val="fr-CH"/>
        </w:rPr>
      </w:pPr>
      <w:r w:rsidRPr="007D148D">
        <w:rPr>
          <w:sz w:val="18"/>
          <w:szCs w:val="18"/>
          <w:lang w:val="fr-CH"/>
        </w:rPr>
        <w:t>Tous droits réservés. Aucune partie de cette publication ne peut être reproduite, par quelque procédé que ce soit, sans l’accord écrit préalable de l’UIT.</w:t>
      </w:r>
    </w:p>
    <w:p w:rsidR="00713E37" w:rsidRPr="007D148D" w:rsidRDefault="00713E37" w:rsidP="00CD659B">
      <w:pPr>
        <w:spacing w:before="160"/>
        <w:rPr>
          <w:i/>
          <w:sz w:val="20"/>
          <w:highlight w:val="yellow"/>
          <w:lang w:val="fr-CH"/>
        </w:rPr>
        <w:sectPr w:rsidR="00713E37" w:rsidRPr="007D148D"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13E37" w:rsidRPr="007D148D" w:rsidRDefault="00713E37" w:rsidP="00713E37">
      <w:pPr>
        <w:pStyle w:val="RecNo"/>
        <w:spacing w:before="0"/>
        <w:rPr>
          <w:sz w:val="20"/>
          <w:lang w:val="fr-CH"/>
        </w:rPr>
      </w:pPr>
      <w:bookmarkStart w:id="2" w:name="irecnoe"/>
      <w:bookmarkEnd w:id="2"/>
      <w:r w:rsidRPr="007D148D">
        <w:rPr>
          <w:sz w:val="20"/>
          <w:lang w:val="fr-CH"/>
        </w:rPr>
        <w:lastRenderedPageBreak/>
        <w:t xml:space="preserve">RECOMMANDATION  </w:t>
      </w:r>
      <w:r w:rsidRPr="007D148D">
        <w:rPr>
          <w:rStyle w:val="href"/>
          <w:sz w:val="20"/>
          <w:lang w:val="fr-CH"/>
        </w:rPr>
        <w:t>UIT-R  F.1489</w:t>
      </w:r>
      <w:r w:rsidR="00EF558D" w:rsidRPr="007D148D">
        <w:rPr>
          <w:rStyle w:val="FootnoteReference"/>
          <w:sz w:val="16"/>
          <w:szCs w:val="16"/>
          <w:lang w:val="fr-CH"/>
        </w:rPr>
        <w:footnoteReference w:customMarkFollows="1" w:id="1"/>
        <w:t>*</w:t>
      </w:r>
      <w:r w:rsidR="00EF558D" w:rsidRPr="007D148D">
        <w:rPr>
          <w:sz w:val="16"/>
          <w:szCs w:val="16"/>
          <w:vertAlign w:val="superscript"/>
          <w:lang w:val="fr-CH"/>
        </w:rPr>
        <w:t xml:space="preserve">, </w:t>
      </w:r>
      <w:r w:rsidR="00EF558D" w:rsidRPr="007D148D">
        <w:rPr>
          <w:rStyle w:val="FootnoteReference"/>
          <w:sz w:val="16"/>
          <w:szCs w:val="16"/>
          <w:lang w:val="fr-CH"/>
        </w:rPr>
        <w:footnoteReference w:customMarkFollows="1" w:id="2"/>
        <w:t>**</w:t>
      </w:r>
    </w:p>
    <w:p w:rsidR="00713E37" w:rsidRPr="007D148D" w:rsidRDefault="00713E37" w:rsidP="00EF558D">
      <w:pPr>
        <w:pStyle w:val="RecTitle0"/>
        <w:rPr>
          <w:lang w:val="fr-CH"/>
        </w:rPr>
      </w:pPr>
      <w:r w:rsidRPr="007D148D">
        <w:rPr>
          <w:lang w:val="fr-CH"/>
        </w:rPr>
        <w:t>MÉTHODE  D'ÉVALUATION  DU  NIVEAU  DE  COMPATIBILITÉ  DE  FONCTIONNEMENT  ENTRE</w:t>
      </w:r>
      <w:r w:rsidRPr="007D148D">
        <w:rPr>
          <w:lang w:val="fr-CH"/>
        </w:rPr>
        <w:br/>
        <w:t xml:space="preserve">SYSTÈMES  </w:t>
      </w:r>
      <w:r w:rsidR="00EF558D" w:rsidRPr="007D148D">
        <w:rPr>
          <w:lang w:val="fr-CH"/>
        </w:rPr>
        <w:t>D'</w:t>
      </w:r>
      <w:r w:rsidRPr="007D148D">
        <w:rPr>
          <w:lang w:val="fr-CH"/>
        </w:rPr>
        <w:t>ACCÈS  HERTZIEN  FIXE  ET  SYSTÈMES  DE  RADIOLOCALISATION</w:t>
      </w:r>
      <w:r w:rsidRPr="007D148D">
        <w:rPr>
          <w:lang w:val="fr-CH"/>
        </w:rPr>
        <w:br/>
        <w:t>EN  CAS  DE  PARTAGE  DE  LA  BANDE  3,4-3,7  GHz</w:t>
      </w:r>
    </w:p>
    <w:p w:rsidR="00713E37" w:rsidRPr="007D148D" w:rsidRDefault="00B20D7E" w:rsidP="00B20D7E">
      <w:pPr>
        <w:pStyle w:val="RecTitleRef"/>
        <w:rPr>
          <w:lang w:val="fr-CH"/>
        </w:rPr>
      </w:pPr>
      <w:r>
        <w:rPr>
          <w:lang w:val="fr-CH"/>
        </w:rPr>
        <w:t>(Question</w:t>
      </w:r>
      <w:r w:rsidR="00713E37" w:rsidRPr="007D148D">
        <w:rPr>
          <w:lang w:val="fr-CH"/>
        </w:rPr>
        <w:t xml:space="preserve"> </w:t>
      </w:r>
      <w:r>
        <w:rPr>
          <w:lang w:val="fr-CH"/>
        </w:rPr>
        <w:t>UIT-R 215/5</w:t>
      </w:r>
      <w:r w:rsidR="00713E37" w:rsidRPr="007D148D">
        <w:rPr>
          <w:lang w:val="fr-CH"/>
        </w:rPr>
        <w:t>)</w:t>
      </w:r>
    </w:p>
    <w:p w:rsidR="00713E37" w:rsidRPr="007D148D" w:rsidRDefault="00713E37" w:rsidP="00713E37">
      <w:pPr>
        <w:pStyle w:val="RecTitleDate"/>
        <w:rPr>
          <w:lang w:val="fr-CH"/>
        </w:rPr>
      </w:pPr>
      <w:r w:rsidRPr="007D148D">
        <w:rPr>
          <w:lang w:val="fr-CH"/>
        </w:rPr>
        <w:t>(2000)</w:t>
      </w:r>
    </w:p>
    <w:p w:rsidR="00EF558D" w:rsidRPr="007D148D" w:rsidRDefault="00EF558D" w:rsidP="00EF558D">
      <w:pPr>
        <w:pStyle w:val="HeadingSum"/>
        <w:rPr>
          <w:lang w:val="fr-CH"/>
        </w:rPr>
      </w:pPr>
      <w:r w:rsidRPr="007D148D">
        <w:rPr>
          <w:lang w:val="fr-CH"/>
        </w:rPr>
        <w:t xml:space="preserve">Champ d'application </w:t>
      </w:r>
    </w:p>
    <w:p w:rsidR="00EF558D" w:rsidRPr="007D148D" w:rsidRDefault="00EF558D" w:rsidP="000058B3">
      <w:pPr>
        <w:pStyle w:val="Summary"/>
        <w:rPr>
          <w:sz w:val="20"/>
          <w:lang w:val="fr-CH"/>
        </w:rPr>
      </w:pPr>
      <w:r w:rsidRPr="007D148D">
        <w:rPr>
          <w:sz w:val="20"/>
          <w:lang w:val="fr-CH"/>
        </w:rPr>
        <w:t>La présente Recommandation décrit une méthode d'évaluation du niveau de compatibilité de fonctionnement entre systèmes d'accès hertzien fixe (AHF) et systèmes du service de radiolocalisation lorsqu'ils partagent la bande de fréquences 3</w:t>
      </w:r>
      <w:r w:rsidR="000058B3">
        <w:rPr>
          <w:sz w:val="20"/>
          <w:lang w:val="fr-CH"/>
        </w:rPr>
        <w:t> </w:t>
      </w:r>
      <w:r w:rsidRPr="007D148D">
        <w:rPr>
          <w:sz w:val="20"/>
          <w:lang w:val="fr-CH"/>
        </w:rPr>
        <w:t>400-3</w:t>
      </w:r>
      <w:r w:rsidR="000058B3">
        <w:rPr>
          <w:sz w:val="20"/>
          <w:lang w:val="fr-CH"/>
        </w:rPr>
        <w:t> </w:t>
      </w:r>
      <w:r w:rsidRPr="007D148D">
        <w:rPr>
          <w:sz w:val="20"/>
          <w:lang w:val="fr-CH"/>
        </w:rPr>
        <w:t xml:space="preserve">700 MHz. Cette méthode peut être </w:t>
      </w:r>
      <w:r w:rsidR="007D148D" w:rsidRPr="007D148D">
        <w:rPr>
          <w:sz w:val="20"/>
          <w:lang w:val="fr-CH"/>
        </w:rPr>
        <w:t>appliquée</w:t>
      </w:r>
      <w:r w:rsidRPr="007D148D">
        <w:rPr>
          <w:sz w:val="20"/>
          <w:lang w:val="fr-CH"/>
        </w:rPr>
        <w:t xml:space="preserve"> pour déterminer si les systèmes AHF que l'on a l'intention d'exploiter sont ou non suffisamment éloignés des zones où sont exploités les systèmes de radiolocalisation pour ne pas subir de brouillages inacceptables et/ou pour définir les techniques d'atténuation des brouillages qui pourraient être mises en </w:t>
      </w:r>
      <w:r w:rsidR="00251425">
        <w:rPr>
          <w:sz w:val="20"/>
          <w:lang w:val="fr-CH"/>
        </w:rPr>
        <w:t>œ</w:t>
      </w:r>
      <w:r w:rsidRPr="007D148D">
        <w:rPr>
          <w:sz w:val="20"/>
          <w:lang w:val="fr-CH"/>
        </w:rPr>
        <w:t>uvre.</w:t>
      </w:r>
    </w:p>
    <w:p w:rsidR="00713E37" w:rsidRPr="007D148D" w:rsidRDefault="00713E37" w:rsidP="00570E8B">
      <w:pPr>
        <w:pStyle w:val="Normalaftertitle"/>
        <w:rPr>
          <w:sz w:val="20"/>
          <w:lang w:val="fr-CH"/>
        </w:rPr>
      </w:pPr>
      <w:r w:rsidRPr="007D148D">
        <w:rPr>
          <w:sz w:val="20"/>
          <w:lang w:val="fr-CH"/>
        </w:rPr>
        <w:t>L'Assemblée des radiocommunications de l'UIT,</w:t>
      </w:r>
    </w:p>
    <w:p w:rsidR="00713E37" w:rsidRPr="007D148D" w:rsidRDefault="00713E37" w:rsidP="00713E37">
      <w:pPr>
        <w:pStyle w:val="call0"/>
        <w:rPr>
          <w:lang w:val="fr-CH"/>
        </w:rPr>
      </w:pPr>
      <w:r w:rsidRPr="007D148D">
        <w:rPr>
          <w:lang w:val="fr-CH"/>
        </w:rPr>
        <w:t>considérant</w:t>
      </w:r>
    </w:p>
    <w:p w:rsidR="00713E37" w:rsidRPr="007D148D" w:rsidRDefault="00713E37" w:rsidP="00713E37">
      <w:pPr>
        <w:rPr>
          <w:sz w:val="20"/>
          <w:lang w:val="fr-CH"/>
        </w:rPr>
      </w:pPr>
      <w:r w:rsidRPr="007D148D">
        <w:rPr>
          <w:sz w:val="20"/>
          <w:lang w:val="fr-CH"/>
        </w:rPr>
        <w:t>a)</w:t>
      </w:r>
      <w:r w:rsidRPr="007D148D">
        <w:rPr>
          <w:sz w:val="20"/>
          <w:lang w:val="fr-CH"/>
        </w:rPr>
        <w:tab/>
        <w:t>que la bande de fréquences 3</w:t>
      </w:r>
      <w:r w:rsidRPr="007D148D">
        <w:rPr>
          <w:rFonts w:ascii="Tms Rmn" w:hAnsi="Tms Rmn"/>
          <w:sz w:val="20"/>
          <w:lang w:val="fr-CH"/>
        </w:rPr>
        <w:t> </w:t>
      </w:r>
      <w:r w:rsidRPr="007D148D">
        <w:rPr>
          <w:sz w:val="20"/>
          <w:lang w:val="fr-CH"/>
        </w:rPr>
        <w:t>400-3</w:t>
      </w:r>
      <w:r w:rsidRPr="007D148D">
        <w:rPr>
          <w:rFonts w:ascii="Tms Rmn" w:hAnsi="Tms Rmn"/>
          <w:sz w:val="20"/>
          <w:lang w:val="fr-CH"/>
        </w:rPr>
        <w:t> </w:t>
      </w:r>
      <w:r w:rsidRPr="007D148D">
        <w:rPr>
          <w:sz w:val="20"/>
          <w:lang w:val="fr-CH"/>
        </w:rPr>
        <w:t>700 MHz est attribuée à titre primaire au service fixe et au service fixe par satellite (SFS) notamment;</w:t>
      </w:r>
    </w:p>
    <w:p w:rsidR="00713E37" w:rsidRPr="007D148D" w:rsidRDefault="00713E37" w:rsidP="00713E37">
      <w:pPr>
        <w:rPr>
          <w:sz w:val="20"/>
          <w:lang w:val="fr-CH"/>
        </w:rPr>
      </w:pPr>
      <w:r w:rsidRPr="007D148D">
        <w:rPr>
          <w:sz w:val="20"/>
          <w:lang w:val="fr-CH"/>
        </w:rPr>
        <w:t>b)</w:t>
      </w:r>
      <w:r w:rsidRPr="007D148D">
        <w:rPr>
          <w:sz w:val="20"/>
          <w:lang w:val="fr-CH"/>
        </w:rPr>
        <w:tab/>
        <w:t>que cette bande est notamment utilisée par des systèmes de Terre du service fixe pour fournir un accès hertzien fixe (AHF) à diverses fins et que cette utilisation se développe rapidement dans de nombreux pays, en particulier dans des pays en développement;</w:t>
      </w:r>
    </w:p>
    <w:p w:rsidR="00713E37" w:rsidRPr="007D148D" w:rsidRDefault="00713E37" w:rsidP="00713E37">
      <w:pPr>
        <w:rPr>
          <w:sz w:val="20"/>
          <w:lang w:val="fr-CH"/>
        </w:rPr>
      </w:pPr>
      <w:r w:rsidRPr="007D148D">
        <w:rPr>
          <w:sz w:val="20"/>
          <w:lang w:val="fr-CH"/>
        </w:rPr>
        <w:t>c)</w:t>
      </w:r>
      <w:r w:rsidRPr="007D148D">
        <w:rPr>
          <w:sz w:val="20"/>
          <w:lang w:val="fr-CH"/>
        </w:rPr>
        <w:tab/>
        <w:t xml:space="preserve">que la compatibilité entre systèmes </w:t>
      </w:r>
      <w:r w:rsidR="00511B90" w:rsidRPr="007D148D">
        <w:rPr>
          <w:sz w:val="20"/>
          <w:lang w:val="fr-CH"/>
        </w:rPr>
        <w:t>AHF</w:t>
      </w:r>
      <w:r w:rsidRPr="007D148D">
        <w:rPr>
          <w:sz w:val="20"/>
          <w:lang w:val="fr-CH"/>
        </w:rPr>
        <w:t xml:space="preserve"> et systèmes de radiolocalisation peut être difficile à assurer, du fait des caractéristiques respectives de ces systèmes,</w:t>
      </w:r>
    </w:p>
    <w:p w:rsidR="00713E37" w:rsidRPr="007D148D" w:rsidRDefault="00713E37" w:rsidP="00713E37">
      <w:pPr>
        <w:pStyle w:val="call0"/>
        <w:rPr>
          <w:lang w:val="fr-CH"/>
        </w:rPr>
      </w:pPr>
      <w:r w:rsidRPr="007D148D">
        <w:rPr>
          <w:lang w:val="fr-CH"/>
        </w:rPr>
        <w:t>notant</w:t>
      </w:r>
    </w:p>
    <w:p w:rsidR="00713E37" w:rsidRPr="007D148D" w:rsidRDefault="00713E37" w:rsidP="00713E37">
      <w:pPr>
        <w:rPr>
          <w:sz w:val="20"/>
          <w:lang w:val="fr-CH"/>
        </w:rPr>
      </w:pPr>
      <w:r w:rsidRPr="007D148D">
        <w:rPr>
          <w:sz w:val="20"/>
          <w:lang w:val="fr-CH"/>
        </w:rPr>
        <w:t>a)</w:t>
      </w:r>
      <w:r w:rsidRPr="007D148D">
        <w:rPr>
          <w:sz w:val="20"/>
          <w:lang w:val="fr-CH"/>
        </w:rPr>
        <w:tab/>
        <w:t xml:space="preserve">qu'il est souhaitable d'harmoniser l'utilisation des systèmes </w:t>
      </w:r>
      <w:r w:rsidR="00511B90" w:rsidRPr="007D148D">
        <w:rPr>
          <w:sz w:val="20"/>
          <w:lang w:val="fr-CH"/>
        </w:rPr>
        <w:t>AHF</w:t>
      </w:r>
      <w:r w:rsidRPr="007D148D">
        <w:rPr>
          <w:sz w:val="20"/>
          <w:lang w:val="fr-CH"/>
        </w:rPr>
        <w:t xml:space="preserve"> dans cette bande;</w:t>
      </w:r>
    </w:p>
    <w:p w:rsidR="00713E37" w:rsidRPr="007D148D" w:rsidRDefault="00713E37" w:rsidP="00EF558D">
      <w:pPr>
        <w:rPr>
          <w:sz w:val="20"/>
          <w:lang w:val="fr-CH"/>
        </w:rPr>
      </w:pPr>
      <w:r w:rsidRPr="007D148D">
        <w:rPr>
          <w:sz w:val="20"/>
          <w:lang w:val="fr-CH"/>
        </w:rPr>
        <w:t>b)</w:t>
      </w:r>
      <w:r w:rsidRPr="007D148D">
        <w:rPr>
          <w:sz w:val="20"/>
          <w:lang w:val="fr-CH"/>
        </w:rPr>
        <w:tab/>
        <w:t>que</w:t>
      </w:r>
      <w:r w:rsidR="00EF558D" w:rsidRPr="007D148D">
        <w:rPr>
          <w:sz w:val="20"/>
          <w:lang w:val="fr-CH"/>
        </w:rPr>
        <w:t xml:space="preserve"> </w:t>
      </w:r>
      <w:r w:rsidRPr="007D148D">
        <w:rPr>
          <w:sz w:val="20"/>
          <w:lang w:val="fr-CH"/>
        </w:rPr>
        <w:t>la bande 3</w:t>
      </w:r>
      <w:r w:rsidRPr="007D148D">
        <w:rPr>
          <w:rFonts w:ascii="Tms Rmn" w:hAnsi="Tms Rmn"/>
          <w:sz w:val="20"/>
          <w:lang w:val="fr-CH"/>
        </w:rPr>
        <w:t> </w:t>
      </w:r>
      <w:r w:rsidRPr="007D148D">
        <w:rPr>
          <w:sz w:val="20"/>
          <w:lang w:val="fr-CH"/>
        </w:rPr>
        <w:t>400-3</w:t>
      </w:r>
      <w:r w:rsidRPr="007D148D">
        <w:rPr>
          <w:rFonts w:ascii="Tms Rmn" w:hAnsi="Tms Rmn"/>
          <w:sz w:val="20"/>
          <w:lang w:val="fr-CH"/>
        </w:rPr>
        <w:t> </w:t>
      </w:r>
      <w:r w:rsidRPr="007D148D">
        <w:rPr>
          <w:sz w:val="20"/>
          <w:lang w:val="fr-CH"/>
        </w:rPr>
        <w:t>700 MHz est attribuée au service de radiolocalisation à titre primaire dans les Régions 2 et 3 et à titre secondaire dans la Région 1;</w:t>
      </w:r>
    </w:p>
    <w:p w:rsidR="00713E37" w:rsidRPr="007D148D" w:rsidRDefault="00713E37" w:rsidP="00EF558D">
      <w:pPr>
        <w:rPr>
          <w:sz w:val="20"/>
          <w:lang w:val="fr-CH"/>
        </w:rPr>
      </w:pPr>
      <w:r w:rsidRPr="007D148D">
        <w:rPr>
          <w:sz w:val="20"/>
          <w:lang w:val="fr-CH"/>
        </w:rPr>
        <w:t>c)</w:t>
      </w:r>
      <w:r w:rsidRPr="007D148D">
        <w:rPr>
          <w:sz w:val="20"/>
          <w:lang w:val="fr-CH"/>
        </w:rPr>
        <w:tab/>
        <w:t>que les applications des systèmes AHF utilisent généralement des architectures multipoints qui comprennent une multitude de stations terminales de base et de terminaux d'usager dans une zone donnée;</w:t>
      </w:r>
    </w:p>
    <w:p w:rsidR="00713E37" w:rsidRPr="007D148D" w:rsidRDefault="00713E37" w:rsidP="00713E37">
      <w:pPr>
        <w:rPr>
          <w:sz w:val="20"/>
          <w:lang w:val="fr-CH"/>
        </w:rPr>
      </w:pPr>
      <w:r w:rsidRPr="007D148D">
        <w:rPr>
          <w:sz w:val="20"/>
          <w:lang w:val="fr-CH"/>
        </w:rPr>
        <w:t>d)</w:t>
      </w:r>
      <w:r w:rsidRPr="007D148D">
        <w:rPr>
          <w:sz w:val="20"/>
          <w:lang w:val="fr-CH"/>
        </w:rPr>
        <w:tab/>
        <w:t xml:space="preserve">qu'il est nécessaire de protéger les services ayant des attributions à titre primaire avec égalité des droits et d'analyser plus en détail les conditions de partage entre les systèmes </w:t>
      </w:r>
      <w:r w:rsidR="00511B90" w:rsidRPr="007D148D">
        <w:rPr>
          <w:sz w:val="20"/>
          <w:lang w:val="fr-CH"/>
        </w:rPr>
        <w:t>AHF</w:t>
      </w:r>
      <w:r w:rsidRPr="007D148D">
        <w:rPr>
          <w:sz w:val="20"/>
          <w:lang w:val="fr-CH"/>
        </w:rPr>
        <w:t xml:space="preserve"> et ces services;</w:t>
      </w:r>
    </w:p>
    <w:p w:rsidR="00713E37" w:rsidRPr="007D148D" w:rsidRDefault="00713E37" w:rsidP="00EF558D">
      <w:pPr>
        <w:rPr>
          <w:sz w:val="20"/>
          <w:lang w:val="fr-CH"/>
        </w:rPr>
      </w:pPr>
      <w:r w:rsidRPr="007D148D">
        <w:rPr>
          <w:sz w:val="20"/>
          <w:lang w:val="fr-CH"/>
        </w:rPr>
        <w:t>e)</w:t>
      </w:r>
      <w:r w:rsidRPr="007D148D">
        <w:rPr>
          <w:sz w:val="20"/>
          <w:lang w:val="fr-CH"/>
        </w:rPr>
        <w:tab/>
        <w:t>que la Recommandation UIT-R M.1461 expose des méthodes de calcul pouvant être utilisées pour les études de partage entre systèmes AHF et systèmes de radiolocalisation,</w:t>
      </w:r>
    </w:p>
    <w:p w:rsidR="00713E37" w:rsidRPr="007D148D" w:rsidRDefault="00713E37" w:rsidP="00713E37">
      <w:pPr>
        <w:pStyle w:val="call0"/>
        <w:rPr>
          <w:lang w:val="fr-CH"/>
        </w:rPr>
      </w:pPr>
      <w:r w:rsidRPr="007D148D">
        <w:rPr>
          <w:lang w:val="fr-CH"/>
        </w:rPr>
        <w:t>recommande</w:t>
      </w:r>
    </w:p>
    <w:p w:rsidR="00713E37" w:rsidRPr="007D148D" w:rsidRDefault="00713E37" w:rsidP="00EF558D">
      <w:pPr>
        <w:rPr>
          <w:sz w:val="20"/>
          <w:lang w:val="fr-CH"/>
        </w:rPr>
      </w:pPr>
      <w:r w:rsidRPr="007D148D">
        <w:rPr>
          <w:b/>
          <w:bCs/>
          <w:sz w:val="20"/>
          <w:lang w:val="fr-CH"/>
        </w:rPr>
        <w:t>1</w:t>
      </w:r>
      <w:r w:rsidRPr="007D148D">
        <w:rPr>
          <w:sz w:val="20"/>
          <w:lang w:val="fr-CH"/>
        </w:rPr>
        <w:tab/>
        <w:t>que la méthode décrite en Annexe 1 soit prise en compte dans les études de partage de fréquences entre systèmes AHF et systèmes de radiolocalisation;</w:t>
      </w:r>
    </w:p>
    <w:p w:rsidR="00713E37" w:rsidRPr="007D148D" w:rsidRDefault="00713E37" w:rsidP="00251425">
      <w:pPr>
        <w:rPr>
          <w:sz w:val="20"/>
          <w:lang w:val="fr-CH"/>
        </w:rPr>
      </w:pPr>
      <w:r w:rsidRPr="007D148D">
        <w:rPr>
          <w:b/>
          <w:bCs/>
          <w:sz w:val="20"/>
          <w:lang w:val="fr-CH"/>
        </w:rPr>
        <w:t>2</w:t>
      </w:r>
      <w:r w:rsidRPr="007D148D">
        <w:rPr>
          <w:sz w:val="20"/>
          <w:lang w:val="fr-CH"/>
        </w:rPr>
        <w:tab/>
        <w:t xml:space="preserve">que les renseignements obtenus dans le cadre des études réalisées à l'aide de cette méthode soient utilisés pour déterminer si les systèmes AHF qu'il est prévu de faire fonctionner se trouvent ou non suffisamment loin des zones dans lesquelles des systèmes de radiolocalisation sont normalement ou fréquemment exploités pour ne pas subir de brouillage ou pour déterminer les techniques de réduction des brouillages susceptibles d'être mises en </w:t>
      </w:r>
      <w:r w:rsidR="00251425">
        <w:rPr>
          <w:sz w:val="20"/>
          <w:lang w:val="fr-CH"/>
        </w:rPr>
        <w:t>œ</w:t>
      </w:r>
      <w:r w:rsidRPr="007D148D">
        <w:rPr>
          <w:sz w:val="20"/>
          <w:lang w:val="fr-CH"/>
        </w:rPr>
        <w:t>uvre (voir la Note 1);</w:t>
      </w:r>
    </w:p>
    <w:p w:rsidR="00713E37" w:rsidRPr="007D148D" w:rsidRDefault="00713E37" w:rsidP="00713E37">
      <w:pPr>
        <w:rPr>
          <w:sz w:val="20"/>
          <w:lang w:val="fr-CH"/>
        </w:rPr>
      </w:pPr>
      <w:r w:rsidRPr="007D148D">
        <w:rPr>
          <w:b/>
          <w:bCs/>
          <w:sz w:val="20"/>
          <w:lang w:val="fr-CH"/>
        </w:rPr>
        <w:lastRenderedPageBreak/>
        <w:t>3</w:t>
      </w:r>
      <w:r w:rsidRPr="007D148D">
        <w:rPr>
          <w:sz w:val="20"/>
          <w:lang w:val="fr-CH"/>
        </w:rPr>
        <w:tab/>
        <w:t>que les administrations communiquent dès que possible les études pertinentes, y compris celles fondées sur d'autres méthodes, aux Commissions d'études des radiocommunications compétentes;</w:t>
      </w:r>
    </w:p>
    <w:p w:rsidR="00713E37" w:rsidRPr="007D148D" w:rsidRDefault="00713E37" w:rsidP="00EF558D">
      <w:pPr>
        <w:rPr>
          <w:sz w:val="20"/>
          <w:lang w:val="fr-CH"/>
        </w:rPr>
      </w:pPr>
      <w:r w:rsidRPr="007D148D">
        <w:rPr>
          <w:b/>
          <w:bCs/>
          <w:sz w:val="20"/>
          <w:lang w:val="fr-CH"/>
        </w:rPr>
        <w:t>4</w:t>
      </w:r>
      <w:r w:rsidRPr="007D148D">
        <w:rPr>
          <w:sz w:val="20"/>
          <w:lang w:val="fr-CH"/>
        </w:rPr>
        <w:tab/>
        <w:t>que l'on élabore les critères de partage nécessaires pour assurer la compatibilité de fonctionnement entre systèmes AHF et systèmes de radiolocalisation, compte tenu des techniques de réduction des brouillages disponibles et des résultats de méthodes d'évaluation analogues à celle décrite en Annexe 1.</w:t>
      </w:r>
    </w:p>
    <w:p w:rsidR="00713E37" w:rsidRPr="007D148D" w:rsidRDefault="00713E37" w:rsidP="00713E37">
      <w:pPr>
        <w:pStyle w:val="Note"/>
        <w:rPr>
          <w:sz w:val="20"/>
          <w:lang w:val="fr-CH"/>
        </w:rPr>
      </w:pPr>
      <w:r w:rsidRPr="007D148D">
        <w:rPr>
          <w:sz w:val="20"/>
          <w:lang w:val="fr-CH"/>
        </w:rPr>
        <w:t>NOTE 1 – Des techniques de réduction des brouillages permettant d'assurer la compatibilité entre les faisceaux hertziens numériques et les systèmes radars sont présentées dans la Recommandation UIT-R F.1097.</w:t>
      </w:r>
    </w:p>
    <w:p w:rsidR="00DA3E82" w:rsidRPr="007D148D" w:rsidRDefault="00DA3E82" w:rsidP="00713E37">
      <w:pPr>
        <w:pStyle w:val="Note"/>
        <w:rPr>
          <w:sz w:val="20"/>
          <w:lang w:val="fr-CH"/>
        </w:rPr>
      </w:pPr>
    </w:p>
    <w:p w:rsidR="00DA3E82" w:rsidRPr="007D148D" w:rsidRDefault="00DA3E82" w:rsidP="00713E37">
      <w:pPr>
        <w:pStyle w:val="Note"/>
        <w:rPr>
          <w:sz w:val="20"/>
          <w:lang w:val="fr-CH"/>
        </w:rPr>
      </w:pPr>
    </w:p>
    <w:p w:rsidR="00713E37" w:rsidRPr="007D148D" w:rsidRDefault="00713E37" w:rsidP="00713E37">
      <w:pPr>
        <w:pStyle w:val="Annex"/>
        <w:spacing w:before="240"/>
        <w:rPr>
          <w:lang w:val="fr-CH"/>
        </w:rPr>
      </w:pPr>
      <w:r w:rsidRPr="007D148D">
        <w:rPr>
          <w:lang w:val="fr-CH"/>
        </w:rPr>
        <w:t>ANNEXE  1</w:t>
      </w:r>
    </w:p>
    <w:p w:rsidR="00713E37" w:rsidRPr="007D148D" w:rsidRDefault="00713E37" w:rsidP="00713E37">
      <w:pPr>
        <w:pStyle w:val="AnnexTitle"/>
        <w:rPr>
          <w:lang w:val="fr-CH"/>
        </w:rPr>
      </w:pPr>
      <w:r w:rsidRPr="007D148D">
        <w:rPr>
          <w:lang w:val="fr-CH"/>
        </w:rPr>
        <w:t xml:space="preserve">Méthodes permettant d'évaluer le niveau de compatibilité entre systèmes </w:t>
      </w:r>
      <w:r w:rsidRPr="007D148D">
        <w:rPr>
          <w:lang w:val="fr-CH"/>
        </w:rPr>
        <w:br/>
      </w:r>
      <w:r w:rsidR="00511B90" w:rsidRPr="007D148D">
        <w:rPr>
          <w:lang w:val="fr-CH"/>
        </w:rPr>
        <w:t>AHF</w:t>
      </w:r>
      <w:r w:rsidRPr="007D148D">
        <w:rPr>
          <w:lang w:val="fr-CH"/>
        </w:rPr>
        <w:t xml:space="preserve"> et systèmes de radiolocalisation</w:t>
      </w:r>
    </w:p>
    <w:p w:rsidR="00713E37" w:rsidRPr="007D148D" w:rsidRDefault="00713E37" w:rsidP="00713E37">
      <w:pPr>
        <w:pStyle w:val="Heading1"/>
        <w:rPr>
          <w:lang w:val="fr-CH"/>
        </w:rPr>
      </w:pPr>
      <w:r w:rsidRPr="007D148D">
        <w:rPr>
          <w:lang w:val="fr-CH"/>
        </w:rPr>
        <w:t>1</w:t>
      </w:r>
      <w:r w:rsidRPr="007D148D">
        <w:rPr>
          <w:lang w:val="fr-CH"/>
        </w:rPr>
        <w:tab/>
        <w:t>Introduction</w:t>
      </w:r>
    </w:p>
    <w:p w:rsidR="00713E37" w:rsidRPr="007D148D" w:rsidRDefault="00713E37" w:rsidP="00713E37">
      <w:pPr>
        <w:rPr>
          <w:sz w:val="20"/>
          <w:lang w:val="fr-CH"/>
        </w:rPr>
      </w:pPr>
      <w:r w:rsidRPr="007D148D">
        <w:rPr>
          <w:sz w:val="20"/>
          <w:lang w:val="fr-CH"/>
        </w:rPr>
        <w:t xml:space="preserve">Les systèmes </w:t>
      </w:r>
      <w:r w:rsidR="00511B90" w:rsidRPr="007D148D">
        <w:rPr>
          <w:sz w:val="20"/>
          <w:lang w:val="fr-CH"/>
        </w:rPr>
        <w:t>AHF</w:t>
      </w:r>
      <w:r w:rsidRPr="007D148D">
        <w:rPr>
          <w:sz w:val="20"/>
          <w:lang w:val="fr-CH"/>
        </w:rPr>
        <w:t xml:space="preserve"> sont de plus en plus utilisés pour améliorer la télédensité et pour offrir différents services dans le monde entier et leur intérêt est de plus en plus reconnu dans des situations très diverses, y compris dans les pays en développement. Pour déterminer la compatibilité entre les systèmes AHF et les systèmes de radiolocalisation dans une bande donnée, il convient de faire des études de partage et, dans la mesure où cela est réalisable en pratique, de procéder à des mesures. La présente Annexe décrit brièvement le processus à suivre pour faire ces études de partage. Il convient d'analyser avec soin les résultats de ces études pour déterminer si le scénario de partage envisagé est réaliste pour toute combinaison de systèmes </w:t>
      </w:r>
      <w:r w:rsidR="00511B90" w:rsidRPr="007D148D">
        <w:rPr>
          <w:sz w:val="20"/>
          <w:lang w:val="fr-CH"/>
        </w:rPr>
        <w:t>AHF</w:t>
      </w:r>
      <w:r w:rsidRPr="007D148D">
        <w:rPr>
          <w:sz w:val="20"/>
          <w:lang w:val="fr-CH"/>
        </w:rPr>
        <w:t xml:space="preserve"> et de systèmes de radiolocalisation fonctionnant dans la même bande.</w:t>
      </w:r>
    </w:p>
    <w:p w:rsidR="00713E37" w:rsidRPr="007D148D" w:rsidRDefault="00713E37" w:rsidP="00713E37">
      <w:pPr>
        <w:pStyle w:val="Heading1"/>
        <w:rPr>
          <w:lang w:val="fr-CH"/>
        </w:rPr>
      </w:pPr>
      <w:r w:rsidRPr="007D148D">
        <w:rPr>
          <w:lang w:val="fr-CH"/>
        </w:rPr>
        <w:t>2</w:t>
      </w:r>
      <w:r w:rsidRPr="007D148D">
        <w:rPr>
          <w:lang w:val="fr-CH"/>
        </w:rPr>
        <w:tab/>
        <w:t>Méthode</w:t>
      </w:r>
    </w:p>
    <w:p w:rsidR="00713E37" w:rsidRPr="007D148D" w:rsidRDefault="00713E37" w:rsidP="00713E37">
      <w:pPr>
        <w:rPr>
          <w:sz w:val="20"/>
          <w:lang w:val="fr-CH"/>
        </w:rPr>
      </w:pPr>
      <w:r w:rsidRPr="007D148D">
        <w:rPr>
          <w:sz w:val="20"/>
          <w:lang w:val="fr-CH"/>
        </w:rPr>
        <w:t>Les études devraient être faites selon le processus suivant:</w:t>
      </w:r>
    </w:p>
    <w:p w:rsidR="00713E37" w:rsidRPr="007D148D" w:rsidRDefault="00713E37" w:rsidP="007D148D">
      <w:pPr>
        <w:pStyle w:val="enumlev1"/>
        <w:rPr>
          <w:sz w:val="20"/>
          <w:lang w:val="fr-CH"/>
        </w:rPr>
      </w:pPr>
      <w:r w:rsidRPr="007D148D">
        <w:rPr>
          <w:sz w:val="20"/>
          <w:lang w:val="fr-CH"/>
        </w:rPr>
        <w:t>a)</w:t>
      </w:r>
      <w:r w:rsidRPr="007D148D">
        <w:rPr>
          <w:sz w:val="20"/>
          <w:lang w:val="fr-CH"/>
        </w:rPr>
        <w:tab/>
        <w:t>Définir les paramètres du système AHF jugés essentiels pour garantir la compatibilité et définir la qualité de fonctionnement acceptable du point de vue du seuil de dégradation acceptable du service. Pour ce faire, il convient de définir les caractéristiques du récepteur et les autres caractéristiques du système énumérées ci</w:t>
      </w:r>
      <w:r w:rsidR="007D148D" w:rsidRPr="007D148D">
        <w:rPr>
          <w:sz w:val="20"/>
          <w:lang w:val="fr-CH"/>
        </w:rPr>
        <w:noBreakHyphen/>
      </w:r>
      <w:r w:rsidRPr="007D148D">
        <w:rPr>
          <w:sz w:val="20"/>
          <w:lang w:val="fr-CH"/>
        </w:rPr>
        <w:t>après. A noter que dans tous les cas, il convient de prendre en compte les stations de base et les terminaux d'usagers:</w:t>
      </w:r>
    </w:p>
    <w:p w:rsidR="00713E37" w:rsidRPr="007D148D" w:rsidRDefault="00713E37" w:rsidP="00713E37">
      <w:pPr>
        <w:pStyle w:val="enumlev2"/>
        <w:rPr>
          <w:sz w:val="20"/>
          <w:lang w:val="fr-CH"/>
        </w:rPr>
      </w:pPr>
      <w:r w:rsidRPr="007D148D">
        <w:rPr>
          <w:sz w:val="20"/>
          <w:lang w:val="fr-CH"/>
        </w:rPr>
        <w:t>–</w:t>
      </w:r>
      <w:r w:rsidRPr="007D148D">
        <w:rPr>
          <w:sz w:val="20"/>
          <w:lang w:val="fr-CH"/>
        </w:rPr>
        <w:tab/>
        <w:t>sensibilité;</w:t>
      </w:r>
    </w:p>
    <w:p w:rsidR="00713E37" w:rsidRPr="007D148D" w:rsidRDefault="00713E37" w:rsidP="00713E37">
      <w:pPr>
        <w:pStyle w:val="enumlev2"/>
        <w:rPr>
          <w:sz w:val="20"/>
          <w:lang w:val="fr-CH"/>
        </w:rPr>
      </w:pPr>
      <w:r w:rsidRPr="007D148D">
        <w:rPr>
          <w:sz w:val="20"/>
          <w:lang w:val="fr-CH"/>
        </w:rPr>
        <w:t>–</w:t>
      </w:r>
      <w:r w:rsidRPr="007D148D">
        <w:rPr>
          <w:sz w:val="20"/>
          <w:lang w:val="fr-CH"/>
        </w:rPr>
        <w:tab/>
        <w:t>bruit de fond du récepteur;</w:t>
      </w:r>
    </w:p>
    <w:p w:rsidR="00713E37" w:rsidRPr="007D148D" w:rsidRDefault="00713E37" w:rsidP="00713E37">
      <w:pPr>
        <w:pStyle w:val="enumlev2"/>
        <w:rPr>
          <w:sz w:val="20"/>
          <w:lang w:val="fr-CH"/>
        </w:rPr>
      </w:pPr>
      <w:r w:rsidRPr="007D148D">
        <w:rPr>
          <w:sz w:val="20"/>
          <w:lang w:val="fr-CH"/>
        </w:rPr>
        <w:t>–</w:t>
      </w:r>
      <w:r w:rsidRPr="007D148D">
        <w:rPr>
          <w:sz w:val="20"/>
          <w:lang w:val="fr-CH"/>
        </w:rPr>
        <w:tab/>
        <w:t>sélectivité;</w:t>
      </w:r>
    </w:p>
    <w:p w:rsidR="00713E37" w:rsidRPr="007D148D" w:rsidRDefault="00713E37" w:rsidP="00713E37">
      <w:pPr>
        <w:pStyle w:val="enumlev2"/>
        <w:rPr>
          <w:sz w:val="20"/>
          <w:lang w:val="fr-CH"/>
        </w:rPr>
      </w:pPr>
      <w:r w:rsidRPr="007D148D">
        <w:rPr>
          <w:sz w:val="20"/>
          <w:lang w:val="fr-CH"/>
        </w:rPr>
        <w:t>–</w:t>
      </w:r>
      <w:r w:rsidRPr="007D148D">
        <w:rPr>
          <w:sz w:val="20"/>
          <w:lang w:val="fr-CH"/>
        </w:rPr>
        <w:tab/>
        <w:t>détection des erreurs et correction des bits de données erronés ou manquants (techniques et valeurs de paramètres telles que le TEB);</w:t>
      </w:r>
    </w:p>
    <w:p w:rsidR="00713E37" w:rsidRPr="007D148D" w:rsidRDefault="00713E37" w:rsidP="00713E37">
      <w:pPr>
        <w:pStyle w:val="enumlev2"/>
        <w:rPr>
          <w:sz w:val="20"/>
          <w:lang w:val="fr-CH"/>
        </w:rPr>
      </w:pPr>
      <w:r w:rsidRPr="007D148D">
        <w:rPr>
          <w:sz w:val="20"/>
          <w:lang w:val="fr-CH"/>
        </w:rPr>
        <w:t>–</w:t>
      </w:r>
      <w:r w:rsidRPr="007D148D">
        <w:rPr>
          <w:sz w:val="20"/>
          <w:lang w:val="fr-CH"/>
        </w:rPr>
        <w:tab/>
        <w:t>suppression des brouillages cocanal et dans le canal adjacent;</w:t>
      </w:r>
    </w:p>
    <w:p w:rsidR="00713E37" w:rsidRPr="007D148D" w:rsidRDefault="00713E37" w:rsidP="00713E37">
      <w:pPr>
        <w:pStyle w:val="enumlev2"/>
        <w:rPr>
          <w:sz w:val="20"/>
          <w:lang w:val="fr-CH"/>
        </w:rPr>
      </w:pPr>
      <w:r w:rsidRPr="007D148D">
        <w:rPr>
          <w:sz w:val="20"/>
          <w:lang w:val="fr-CH"/>
        </w:rPr>
        <w:t>–</w:t>
      </w:r>
      <w:r w:rsidRPr="007D148D">
        <w:rPr>
          <w:sz w:val="20"/>
          <w:lang w:val="fr-CH"/>
        </w:rPr>
        <w:tab/>
        <w:t>réponses parasites;</w:t>
      </w:r>
    </w:p>
    <w:p w:rsidR="00713E37" w:rsidRPr="007D148D" w:rsidRDefault="00713E37" w:rsidP="00713E37">
      <w:pPr>
        <w:pStyle w:val="enumlev2"/>
        <w:rPr>
          <w:sz w:val="20"/>
          <w:lang w:val="fr-CH"/>
        </w:rPr>
      </w:pPr>
      <w:r w:rsidRPr="007D148D">
        <w:rPr>
          <w:sz w:val="20"/>
          <w:lang w:val="fr-CH"/>
        </w:rPr>
        <w:t>–</w:t>
      </w:r>
      <w:r w:rsidRPr="007D148D">
        <w:rPr>
          <w:sz w:val="20"/>
          <w:lang w:val="fr-CH"/>
        </w:rPr>
        <w:tab/>
        <w:t>temps de retour;</w:t>
      </w:r>
    </w:p>
    <w:p w:rsidR="00713E37" w:rsidRPr="007D148D" w:rsidRDefault="00713E37" w:rsidP="00713E37">
      <w:pPr>
        <w:pStyle w:val="enumlev2"/>
        <w:rPr>
          <w:sz w:val="20"/>
          <w:lang w:val="fr-CH"/>
        </w:rPr>
      </w:pPr>
      <w:r w:rsidRPr="007D148D">
        <w:rPr>
          <w:sz w:val="20"/>
          <w:lang w:val="fr-CH"/>
        </w:rPr>
        <w:t>–</w:t>
      </w:r>
      <w:r w:rsidRPr="007D148D">
        <w:rPr>
          <w:sz w:val="20"/>
          <w:lang w:val="fr-CH"/>
        </w:rPr>
        <w:tab/>
        <w:t>contrôle automatique de gain (CAG)/temps de réponse du limiteur;</w:t>
      </w:r>
    </w:p>
    <w:p w:rsidR="00713E37" w:rsidRPr="007D148D" w:rsidRDefault="00713E37" w:rsidP="00713E37">
      <w:pPr>
        <w:pStyle w:val="enumlev2"/>
        <w:rPr>
          <w:sz w:val="20"/>
          <w:lang w:val="fr-CH"/>
        </w:rPr>
      </w:pPr>
      <w:r w:rsidRPr="007D148D">
        <w:rPr>
          <w:sz w:val="20"/>
          <w:lang w:val="fr-CH"/>
        </w:rPr>
        <w:t>–</w:t>
      </w:r>
      <w:r w:rsidRPr="007D148D">
        <w:rPr>
          <w:sz w:val="20"/>
          <w:lang w:val="fr-CH"/>
        </w:rPr>
        <w:tab/>
        <w:t>niveau de saturation du récepteur;</w:t>
      </w:r>
    </w:p>
    <w:p w:rsidR="00713E37" w:rsidRPr="007D148D" w:rsidRDefault="00713E37" w:rsidP="00713E37">
      <w:pPr>
        <w:pStyle w:val="enumlev2"/>
        <w:rPr>
          <w:sz w:val="20"/>
          <w:lang w:val="fr-CH"/>
        </w:rPr>
      </w:pPr>
      <w:r w:rsidRPr="007D148D">
        <w:rPr>
          <w:sz w:val="20"/>
          <w:lang w:val="fr-CH"/>
        </w:rPr>
        <w:t>–</w:t>
      </w:r>
      <w:r w:rsidRPr="007D148D">
        <w:rPr>
          <w:sz w:val="20"/>
          <w:lang w:val="fr-CH"/>
        </w:rPr>
        <w:tab/>
        <w:t>dégradation irrémédiable;</w:t>
      </w:r>
    </w:p>
    <w:p w:rsidR="00713E37" w:rsidRPr="007D148D" w:rsidRDefault="00713E37" w:rsidP="00713E37">
      <w:pPr>
        <w:pStyle w:val="enumlev2"/>
        <w:rPr>
          <w:sz w:val="20"/>
          <w:lang w:val="fr-CH"/>
        </w:rPr>
      </w:pPr>
      <w:r w:rsidRPr="007D148D">
        <w:rPr>
          <w:sz w:val="20"/>
          <w:lang w:val="fr-CH"/>
        </w:rPr>
        <w:t>–</w:t>
      </w:r>
      <w:r w:rsidRPr="007D148D">
        <w:rPr>
          <w:sz w:val="20"/>
          <w:lang w:val="fr-CH"/>
        </w:rPr>
        <w:tab/>
        <w:t>intermodulation au niveau du récepteur;</w:t>
      </w:r>
    </w:p>
    <w:p w:rsidR="00713E37" w:rsidRPr="007D148D" w:rsidRDefault="00713E37" w:rsidP="00713E37">
      <w:pPr>
        <w:pStyle w:val="enumlev2"/>
        <w:rPr>
          <w:sz w:val="20"/>
          <w:lang w:val="fr-CH"/>
        </w:rPr>
      </w:pPr>
      <w:r w:rsidRPr="007D148D">
        <w:rPr>
          <w:sz w:val="20"/>
          <w:lang w:val="fr-CH"/>
        </w:rPr>
        <w:t>–</w:t>
      </w:r>
      <w:r w:rsidRPr="007D148D">
        <w:rPr>
          <w:sz w:val="20"/>
          <w:lang w:val="fr-CH"/>
        </w:rPr>
        <w:tab/>
        <w:t>système(s) de modulation, largeurs de bandes, débits de données et prescriptions associées en matière de taux d'erreur sur les bits ou sur les octets;</w:t>
      </w:r>
    </w:p>
    <w:p w:rsidR="00713E37" w:rsidRPr="007D148D" w:rsidRDefault="00713E37" w:rsidP="00713E37">
      <w:pPr>
        <w:pStyle w:val="enumlev2"/>
        <w:rPr>
          <w:sz w:val="20"/>
          <w:lang w:val="fr-CH"/>
        </w:rPr>
      </w:pPr>
      <w:r w:rsidRPr="007D148D">
        <w:rPr>
          <w:sz w:val="20"/>
          <w:lang w:val="fr-CH"/>
        </w:rPr>
        <w:t>–</w:t>
      </w:r>
      <w:r w:rsidRPr="007D148D">
        <w:rPr>
          <w:sz w:val="20"/>
          <w:lang w:val="fr-CH"/>
        </w:rPr>
        <w:tab/>
        <w:t>diagrammes de gain d'antenne ou niveaux dans les lobes latéraux;</w:t>
      </w:r>
    </w:p>
    <w:p w:rsidR="00713E37" w:rsidRPr="007D148D" w:rsidRDefault="00713E37" w:rsidP="00713E37">
      <w:pPr>
        <w:pStyle w:val="enumlev2"/>
        <w:rPr>
          <w:sz w:val="20"/>
          <w:lang w:val="fr-CH"/>
        </w:rPr>
      </w:pPr>
      <w:r w:rsidRPr="007D148D">
        <w:rPr>
          <w:sz w:val="20"/>
          <w:lang w:val="fr-CH"/>
        </w:rPr>
        <w:t>–</w:t>
      </w:r>
      <w:r w:rsidRPr="007D148D">
        <w:rPr>
          <w:sz w:val="20"/>
          <w:lang w:val="fr-CH"/>
        </w:rPr>
        <w:tab/>
        <w:t>hauteurs d'antenne types et emplacements des stations de base (sommet de colline, point à basse altitude, etc.).</w:t>
      </w:r>
    </w:p>
    <w:p w:rsidR="00713E37" w:rsidRPr="007D148D" w:rsidRDefault="00713E37" w:rsidP="007D148D">
      <w:pPr>
        <w:pStyle w:val="enumlev1"/>
        <w:keepNext/>
        <w:keepLines/>
        <w:rPr>
          <w:sz w:val="20"/>
          <w:lang w:val="fr-CH"/>
        </w:rPr>
      </w:pPr>
      <w:r w:rsidRPr="007D148D">
        <w:rPr>
          <w:sz w:val="20"/>
          <w:lang w:val="fr-CH"/>
        </w:rPr>
        <w:lastRenderedPageBreak/>
        <w:t>b)</w:t>
      </w:r>
      <w:r w:rsidRPr="007D148D">
        <w:rPr>
          <w:sz w:val="20"/>
          <w:lang w:val="fr-CH"/>
        </w:rPr>
        <w:tab/>
        <w:t>Etablir les caractéristiques des systèmes de radiolocalisation (puissance d'émission, durée d'une impulsion, facteur d'utilisation, etc., par exemple à l'aide de la Recommandation UIT-R M.1465 – Caractéristiques et critères de protection des radars fonctionnant dans le service de radio/repérage dans la bande de fréquences 3</w:t>
      </w:r>
      <w:r w:rsidRPr="007D148D">
        <w:rPr>
          <w:rFonts w:ascii="Tms Rmn" w:hAnsi="Tms Rmn"/>
          <w:sz w:val="20"/>
          <w:lang w:val="fr-CH"/>
        </w:rPr>
        <w:t> </w:t>
      </w:r>
      <w:r w:rsidRPr="007D148D">
        <w:rPr>
          <w:sz w:val="20"/>
          <w:lang w:val="fr-CH"/>
        </w:rPr>
        <w:t>100</w:t>
      </w:r>
      <w:r w:rsidRPr="007D148D">
        <w:rPr>
          <w:sz w:val="20"/>
          <w:lang w:val="fr-CH"/>
        </w:rPr>
        <w:noBreakHyphen/>
        <w:t>3</w:t>
      </w:r>
      <w:r w:rsidRPr="007D148D">
        <w:rPr>
          <w:rFonts w:ascii="Tms Rmn" w:hAnsi="Tms Rmn"/>
          <w:sz w:val="20"/>
          <w:lang w:val="fr-CH"/>
        </w:rPr>
        <w:t> </w:t>
      </w:r>
      <w:r w:rsidRPr="007D148D">
        <w:rPr>
          <w:sz w:val="20"/>
          <w:lang w:val="fr-CH"/>
        </w:rPr>
        <w:t>700 MHz). Pour les émetteurs radars à semi-conducteurs, on notera que la durée de l'impulsion et le facteur d'utilisation de l'émetteur devraient être respectivement de l'ordre de 1 ms et de 25% dans un avenir proche.</w:t>
      </w:r>
    </w:p>
    <w:p w:rsidR="00713E37" w:rsidRPr="007D148D" w:rsidRDefault="00713E37" w:rsidP="00713E37">
      <w:pPr>
        <w:pStyle w:val="enumlev1"/>
        <w:rPr>
          <w:sz w:val="20"/>
          <w:lang w:val="fr-CH"/>
        </w:rPr>
      </w:pPr>
      <w:r w:rsidRPr="007D148D">
        <w:rPr>
          <w:sz w:val="20"/>
          <w:lang w:val="fr-CH"/>
        </w:rPr>
        <w:t>c)</w:t>
      </w:r>
      <w:r w:rsidRPr="007D148D">
        <w:rPr>
          <w:sz w:val="20"/>
          <w:lang w:val="fr-CH"/>
        </w:rPr>
        <w:tab/>
        <w:t xml:space="preserve">Analyser les effets des systèmes de radiolocalisation sur les installations </w:t>
      </w:r>
      <w:r w:rsidR="00511B90" w:rsidRPr="007D148D">
        <w:rPr>
          <w:sz w:val="20"/>
          <w:lang w:val="fr-CH"/>
        </w:rPr>
        <w:t>AHF</w:t>
      </w:r>
      <w:r w:rsidRPr="007D148D">
        <w:rPr>
          <w:sz w:val="20"/>
          <w:lang w:val="fr-CH"/>
        </w:rPr>
        <w:t xml:space="preserve">. Pour les différents paramètres d'émission envisagés pour les systèmes de radiolocalisation, déterminer les rapports tolérables brouillage/bruit thermique, </w:t>
      </w:r>
      <w:r w:rsidRPr="007D148D">
        <w:rPr>
          <w:i/>
          <w:iCs/>
          <w:sz w:val="20"/>
          <w:lang w:val="fr-CH"/>
        </w:rPr>
        <w:t>I</w:t>
      </w:r>
      <w:r w:rsidRPr="007D148D">
        <w:rPr>
          <w:sz w:val="20"/>
          <w:lang w:val="fr-CH"/>
        </w:rPr>
        <w:t>/</w:t>
      </w:r>
      <w:r w:rsidRPr="007D148D">
        <w:rPr>
          <w:i/>
          <w:iCs/>
          <w:sz w:val="20"/>
          <w:lang w:val="fr-CH"/>
        </w:rPr>
        <w:t>N</w:t>
      </w:r>
      <w:r w:rsidRPr="007D148D">
        <w:rPr>
          <w:sz w:val="20"/>
          <w:lang w:val="fr-CH"/>
        </w:rPr>
        <w:t xml:space="preserve"> et porteuse/brouillage, </w:t>
      </w:r>
      <w:r w:rsidRPr="007D148D">
        <w:rPr>
          <w:i/>
          <w:iCs/>
          <w:sz w:val="20"/>
          <w:lang w:val="fr-CH"/>
        </w:rPr>
        <w:t>C</w:t>
      </w:r>
      <w:r w:rsidRPr="007D148D">
        <w:rPr>
          <w:sz w:val="20"/>
          <w:lang w:val="fr-CH"/>
        </w:rPr>
        <w:t>/</w:t>
      </w:r>
      <w:r w:rsidRPr="007D148D">
        <w:rPr>
          <w:i/>
          <w:iCs/>
          <w:sz w:val="20"/>
          <w:lang w:val="fr-CH"/>
        </w:rPr>
        <w:t>I</w:t>
      </w:r>
      <w:r w:rsidRPr="007D148D">
        <w:rPr>
          <w:sz w:val="20"/>
          <w:lang w:val="fr-CH"/>
        </w:rPr>
        <w:t xml:space="preserve"> en procédant à une analyse (voir Notes 1 et 2). Des techniques de modélisation déterministe ou probabiliste (expressions en forme analytique) peuvent convenir pour certains types de dégradations, mais des techniques de simulation ou de Monte Carlo devraient être utilisées si nécessaire pour d'autres mesures de la dégradation.</w:t>
      </w:r>
    </w:p>
    <w:p w:rsidR="00713E37" w:rsidRPr="007D148D" w:rsidRDefault="00713E37" w:rsidP="00713E37">
      <w:pPr>
        <w:pStyle w:val="enumlev1"/>
        <w:rPr>
          <w:sz w:val="20"/>
          <w:lang w:val="fr-CH"/>
        </w:rPr>
      </w:pPr>
      <w:r w:rsidRPr="007D148D">
        <w:rPr>
          <w:sz w:val="20"/>
          <w:lang w:val="fr-CH"/>
        </w:rPr>
        <w:t>d)</w:t>
      </w:r>
      <w:r w:rsidRPr="007D148D">
        <w:rPr>
          <w:sz w:val="20"/>
          <w:lang w:val="fr-CH"/>
        </w:rPr>
        <w:tab/>
        <w:t xml:space="preserve">A l'aide des valeurs obtenues pour les rapports </w:t>
      </w:r>
      <w:r w:rsidRPr="007D148D">
        <w:rPr>
          <w:i/>
          <w:iCs/>
          <w:sz w:val="20"/>
          <w:lang w:val="fr-CH"/>
        </w:rPr>
        <w:t>I</w:t>
      </w:r>
      <w:r w:rsidRPr="007D148D">
        <w:rPr>
          <w:sz w:val="20"/>
          <w:lang w:val="fr-CH"/>
        </w:rPr>
        <w:t>/</w:t>
      </w:r>
      <w:r w:rsidRPr="007D148D">
        <w:rPr>
          <w:i/>
          <w:iCs/>
          <w:sz w:val="20"/>
          <w:lang w:val="fr-CH"/>
        </w:rPr>
        <w:t>N</w:t>
      </w:r>
      <w:r w:rsidRPr="007D148D">
        <w:rPr>
          <w:sz w:val="20"/>
          <w:lang w:val="fr-CH"/>
        </w:rPr>
        <w:t xml:space="preserve"> ou </w:t>
      </w:r>
      <w:r w:rsidRPr="007D148D">
        <w:rPr>
          <w:i/>
          <w:iCs/>
          <w:sz w:val="20"/>
          <w:lang w:val="fr-CH"/>
        </w:rPr>
        <w:t>C</w:t>
      </w:r>
      <w:r w:rsidRPr="007D148D">
        <w:rPr>
          <w:sz w:val="20"/>
          <w:lang w:val="fr-CH"/>
        </w:rPr>
        <w:t>/</w:t>
      </w:r>
      <w:r w:rsidRPr="007D148D">
        <w:rPr>
          <w:i/>
          <w:iCs/>
          <w:sz w:val="20"/>
          <w:lang w:val="fr-CH"/>
        </w:rPr>
        <w:t>I</w:t>
      </w:r>
      <w:r w:rsidRPr="007D148D">
        <w:rPr>
          <w:sz w:val="20"/>
          <w:lang w:val="fr-CH"/>
        </w:rPr>
        <w:t xml:space="preserve">, analyser l'incidence des émissions de systèmes radars sur le système </w:t>
      </w:r>
      <w:r w:rsidR="00511B90" w:rsidRPr="007D148D">
        <w:rPr>
          <w:sz w:val="20"/>
          <w:lang w:val="fr-CH"/>
        </w:rPr>
        <w:t>AHF</w:t>
      </w:r>
      <w:r w:rsidRPr="007D148D">
        <w:rPr>
          <w:sz w:val="20"/>
          <w:lang w:val="fr-CH"/>
        </w:rPr>
        <w:t xml:space="preserve"> en calculant les niveaux de brouillage et le couplage conformément à la Recommanda</w:t>
      </w:r>
      <w:r w:rsidRPr="007D148D">
        <w:rPr>
          <w:sz w:val="20"/>
          <w:lang w:val="fr-CH"/>
        </w:rPr>
        <w:softHyphen/>
        <w:t>tion UIT</w:t>
      </w:r>
      <w:r w:rsidRPr="007D148D">
        <w:rPr>
          <w:sz w:val="20"/>
          <w:lang w:val="fr-CH"/>
        </w:rPr>
        <w:noBreakHyphen/>
        <w:t>R M.1461 – Procédures d'évaluation des risques de brouillage entre des radars fonctionnant dans le service de radiorepérage et les systèmes d'autres services.</w:t>
      </w:r>
    </w:p>
    <w:p w:rsidR="00713E37" w:rsidRPr="007D148D" w:rsidRDefault="00713E37" w:rsidP="00713E37">
      <w:pPr>
        <w:pStyle w:val="enumlev1"/>
        <w:rPr>
          <w:sz w:val="20"/>
          <w:lang w:val="fr-CH"/>
        </w:rPr>
      </w:pPr>
      <w:r w:rsidRPr="007D148D">
        <w:rPr>
          <w:sz w:val="20"/>
          <w:lang w:val="fr-CH"/>
        </w:rPr>
        <w:t>e)</w:t>
      </w:r>
      <w:r w:rsidRPr="007D148D">
        <w:rPr>
          <w:sz w:val="20"/>
          <w:lang w:val="fr-CH"/>
        </w:rPr>
        <w:tab/>
        <w:t xml:space="preserve">Vérifier que l'équipement </w:t>
      </w:r>
      <w:r w:rsidR="00511B90" w:rsidRPr="007D148D">
        <w:rPr>
          <w:sz w:val="20"/>
          <w:lang w:val="fr-CH"/>
        </w:rPr>
        <w:t>AHF</w:t>
      </w:r>
      <w:r w:rsidRPr="007D148D">
        <w:rPr>
          <w:sz w:val="20"/>
          <w:lang w:val="fr-CH"/>
        </w:rPr>
        <w:t xml:space="preserve"> utilisé pour les essais fonctionne conformément aux prescriptions définies à l'alinéa a), en accordant une attention particulière à la sélectivité, à la réponse en fréquence, au facteur de bruit ou à la température de bruit du récepteur, à la portée dynamique (niveau de saturation), aux réponses parasites, au temps de retour, au TEB en présence de signaux utiles seulement, à la transmodulation et à l'intermodulation.</w:t>
      </w:r>
    </w:p>
    <w:p w:rsidR="00713E37" w:rsidRPr="007D148D" w:rsidRDefault="00713E37" w:rsidP="00713E37">
      <w:pPr>
        <w:pStyle w:val="enumlev1"/>
        <w:rPr>
          <w:sz w:val="20"/>
          <w:lang w:val="fr-CH"/>
        </w:rPr>
      </w:pPr>
      <w:r w:rsidRPr="007D148D">
        <w:rPr>
          <w:sz w:val="20"/>
          <w:lang w:val="fr-CH"/>
        </w:rPr>
        <w:t>f)</w:t>
      </w:r>
      <w:r w:rsidRPr="007D148D">
        <w:rPr>
          <w:sz w:val="20"/>
          <w:lang w:val="fr-CH"/>
        </w:rPr>
        <w:tab/>
        <w:t xml:space="preserve">Définir les dégradations de la qualité de fonctionnement du récepteur </w:t>
      </w:r>
      <w:r w:rsidR="00511B90" w:rsidRPr="007D148D">
        <w:rPr>
          <w:sz w:val="20"/>
          <w:lang w:val="fr-CH"/>
        </w:rPr>
        <w:t>AHF</w:t>
      </w:r>
      <w:r w:rsidRPr="007D148D">
        <w:rPr>
          <w:sz w:val="20"/>
          <w:lang w:val="fr-CH"/>
        </w:rPr>
        <w:t xml:space="preserve"> dues à diverses sources de signaux brouilleurs à l'aide d'essais en laboratoire. Les sources brouilleuses devraient être couplées au(x) signal(ux) utile(s) dans le système </w:t>
      </w:r>
      <w:r w:rsidR="00511B90" w:rsidRPr="007D148D">
        <w:rPr>
          <w:sz w:val="20"/>
          <w:lang w:val="fr-CH"/>
        </w:rPr>
        <w:t>AHF</w:t>
      </w:r>
      <w:r w:rsidRPr="007D148D">
        <w:rPr>
          <w:sz w:val="20"/>
          <w:lang w:val="fr-CH"/>
        </w:rPr>
        <w:t>. Il convient d'utiliser une gamme complète de paramètres de signaux brouilleurs, y compris diverses largeurs d'impulsion et fréquences de répétition des impulsions. On utilisera différents niveaux de signaux utiles et brouilleurs et on mesurera et on enregistrera les caractéristiques de qualité de fonctionnement (définies à l'alinéa a)). Les résultats pourront être présentés sous la forme de rapport signal/brouillage (</w:t>
      </w:r>
      <w:r w:rsidRPr="007D148D">
        <w:rPr>
          <w:i/>
          <w:iCs/>
          <w:sz w:val="20"/>
          <w:lang w:val="fr-CH"/>
        </w:rPr>
        <w:t>S</w:t>
      </w:r>
      <w:r w:rsidRPr="007D148D">
        <w:rPr>
          <w:sz w:val="20"/>
          <w:lang w:val="fr-CH"/>
        </w:rPr>
        <w:t>/</w:t>
      </w:r>
      <w:r w:rsidRPr="007D148D">
        <w:rPr>
          <w:i/>
          <w:iCs/>
          <w:sz w:val="20"/>
          <w:lang w:val="fr-CH"/>
        </w:rPr>
        <w:t>I</w:t>
      </w:r>
      <w:r w:rsidRPr="007D148D">
        <w:rPr>
          <w:sz w:val="20"/>
          <w:lang w:val="fr-CH"/>
        </w:rPr>
        <w:t>) et devront être comparés à ceux obtenus suite à l'analyse décrite à l'alinéa c).</w:t>
      </w:r>
    </w:p>
    <w:p w:rsidR="00713E37" w:rsidRPr="007D148D" w:rsidRDefault="00713E37" w:rsidP="007D148D">
      <w:pPr>
        <w:pStyle w:val="enumlev1"/>
        <w:rPr>
          <w:sz w:val="20"/>
          <w:lang w:val="fr-CH"/>
        </w:rPr>
      </w:pPr>
      <w:r w:rsidRPr="007D148D">
        <w:rPr>
          <w:sz w:val="20"/>
          <w:lang w:val="fr-CH"/>
        </w:rPr>
        <w:t>g)</w:t>
      </w:r>
      <w:r w:rsidRPr="007D148D">
        <w:rPr>
          <w:sz w:val="20"/>
          <w:lang w:val="fr-CH"/>
        </w:rPr>
        <w:tab/>
        <w:t>Définir la réponse en fréquence et le diagramme de rayonnement de l'antenne dans une gamme de fréquences déterminée au besoin à l'aide des analyses ci-dessus, qui doit comprendre au moins la gamme 3</w:t>
      </w:r>
      <w:r w:rsidRPr="007D148D">
        <w:rPr>
          <w:rFonts w:ascii="Tms Rmn" w:hAnsi="Tms Rmn"/>
          <w:sz w:val="20"/>
          <w:lang w:val="fr-CH"/>
        </w:rPr>
        <w:t> </w:t>
      </w:r>
      <w:r w:rsidRPr="007D148D">
        <w:rPr>
          <w:sz w:val="20"/>
          <w:lang w:val="fr-CH"/>
        </w:rPr>
        <w:t>400</w:t>
      </w:r>
      <w:r w:rsidR="007D148D" w:rsidRPr="007D148D">
        <w:rPr>
          <w:sz w:val="20"/>
          <w:lang w:val="fr-CH"/>
        </w:rPr>
        <w:noBreakHyphen/>
      </w:r>
      <w:r w:rsidRPr="007D148D">
        <w:rPr>
          <w:sz w:val="20"/>
          <w:lang w:val="fr-CH"/>
        </w:rPr>
        <w:t>3</w:t>
      </w:r>
      <w:r w:rsidRPr="007D148D">
        <w:rPr>
          <w:rFonts w:ascii="Tms Rmn" w:hAnsi="Tms Rmn"/>
          <w:sz w:val="20"/>
          <w:lang w:val="fr-CH"/>
        </w:rPr>
        <w:t> </w:t>
      </w:r>
      <w:r w:rsidRPr="007D148D">
        <w:rPr>
          <w:sz w:val="20"/>
          <w:lang w:val="fr-CH"/>
        </w:rPr>
        <w:t>700</w:t>
      </w:r>
      <w:r w:rsidR="007D148D" w:rsidRPr="007D148D">
        <w:rPr>
          <w:sz w:val="20"/>
          <w:lang w:val="fr-CH"/>
        </w:rPr>
        <w:t> </w:t>
      </w:r>
      <w:r w:rsidRPr="007D148D">
        <w:rPr>
          <w:sz w:val="20"/>
          <w:lang w:val="fr-CH"/>
        </w:rPr>
        <w:t>MHz.</w:t>
      </w:r>
    </w:p>
    <w:p w:rsidR="00713E37" w:rsidRPr="007D148D" w:rsidRDefault="00713E37" w:rsidP="00713E37">
      <w:pPr>
        <w:pStyle w:val="enumlev1"/>
        <w:rPr>
          <w:sz w:val="20"/>
          <w:lang w:val="fr-CH"/>
        </w:rPr>
      </w:pPr>
      <w:r w:rsidRPr="007D148D">
        <w:rPr>
          <w:sz w:val="20"/>
          <w:lang w:val="fr-CH"/>
        </w:rPr>
        <w:t>h)</w:t>
      </w:r>
      <w:r w:rsidRPr="007D148D">
        <w:rPr>
          <w:sz w:val="20"/>
          <w:lang w:val="fr-CH"/>
        </w:rPr>
        <w:tab/>
        <w:t xml:space="preserve">Calculer les effets des émissions des systèmes de radiolocalisation sur les ensembles de systèmes </w:t>
      </w:r>
      <w:r w:rsidR="00511B90" w:rsidRPr="007D148D">
        <w:rPr>
          <w:sz w:val="20"/>
          <w:lang w:val="fr-CH"/>
        </w:rPr>
        <w:t>AHF</w:t>
      </w:r>
      <w:r w:rsidRPr="007D148D">
        <w:rPr>
          <w:sz w:val="20"/>
          <w:lang w:val="fr-CH"/>
        </w:rPr>
        <w:t>. Présenter les résultats sous la forme de courbes d'espacement en fonction de la fréquence.</w:t>
      </w:r>
    </w:p>
    <w:p w:rsidR="00713E37" w:rsidRPr="007D148D" w:rsidRDefault="00713E37" w:rsidP="00713E37">
      <w:pPr>
        <w:pStyle w:val="enumlev1"/>
        <w:rPr>
          <w:sz w:val="20"/>
          <w:lang w:val="fr-CH"/>
        </w:rPr>
      </w:pPr>
      <w:r w:rsidRPr="007D148D">
        <w:rPr>
          <w:sz w:val="20"/>
          <w:lang w:val="fr-CH"/>
        </w:rPr>
        <w:t>i)</w:t>
      </w:r>
      <w:r w:rsidRPr="007D148D">
        <w:rPr>
          <w:sz w:val="20"/>
          <w:lang w:val="fr-CH"/>
        </w:rPr>
        <w:tab/>
        <w:t xml:space="preserve">Installer, au besoin, un système </w:t>
      </w:r>
      <w:r w:rsidR="00511B90" w:rsidRPr="007D148D">
        <w:rPr>
          <w:sz w:val="20"/>
          <w:lang w:val="fr-CH"/>
        </w:rPr>
        <w:t>AHF</w:t>
      </w:r>
      <w:r w:rsidRPr="007D148D">
        <w:rPr>
          <w:sz w:val="20"/>
          <w:lang w:val="fr-CH"/>
        </w:rPr>
        <w:t xml:space="preserve"> représentatif adjacent aux systèmes de radiolocalisation identifiés et mesurer les effets des brouillages causés par les émetteurs des systèmes de radiolocalisation aux récepteurs </w:t>
      </w:r>
      <w:r w:rsidR="00511B90" w:rsidRPr="007D148D">
        <w:rPr>
          <w:sz w:val="20"/>
          <w:lang w:val="fr-CH"/>
        </w:rPr>
        <w:t>AHF</w:t>
      </w:r>
      <w:r w:rsidRPr="007D148D">
        <w:rPr>
          <w:sz w:val="20"/>
          <w:lang w:val="fr-CH"/>
        </w:rPr>
        <w:t xml:space="preserve"> en procédant à des essais en vraie grandeur. Les données ainsi obtenues devraient servir à valider les résultats de l'analyse des effets du système de radiolocalisation sur le système </w:t>
      </w:r>
      <w:r w:rsidR="00511B90" w:rsidRPr="007D148D">
        <w:rPr>
          <w:sz w:val="20"/>
          <w:lang w:val="fr-CH"/>
        </w:rPr>
        <w:t>AHF</w:t>
      </w:r>
      <w:r w:rsidRPr="007D148D">
        <w:rPr>
          <w:sz w:val="20"/>
          <w:lang w:val="fr-CH"/>
        </w:rPr>
        <w:t>.</w:t>
      </w:r>
    </w:p>
    <w:p w:rsidR="00713E37" w:rsidRPr="007D148D" w:rsidRDefault="00713E37" w:rsidP="00713E37">
      <w:pPr>
        <w:pStyle w:val="enumlev1"/>
        <w:rPr>
          <w:sz w:val="20"/>
          <w:lang w:val="fr-CH"/>
        </w:rPr>
      </w:pPr>
      <w:r w:rsidRPr="007D148D">
        <w:rPr>
          <w:sz w:val="20"/>
          <w:lang w:val="fr-CH"/>
        </w:rPr>
        <w:t>j)</w:t>
      </w:r>
      <w:r w:rsidRPr="007D148D">
        <w:rPr>
          <w:sz w:val="20"/>
          <w:lang w:val="fr-CH"/>
        </w:rPr>
        <w:tab/>
        <w:t xml:space="preserve">Déterminer les paramètres du système </w:t>
      </w:r>
      <w:r w:rsidR="00511B90" w:rsidRPr="007D148D">
        <w:rPr>
          <w:sz w:val="20"/>
          <w:lang w:val="fr-CH"/>
        </w:rPr>
        <w:t>AHF</w:t>
      </w:r>
      <w:r w:rsidRPr="007D148D">
        <w:rPr>
          <w:sz w:val="20"/>
          <w:lang w:val="fr-CH"/>
        </w:rPr>
        <w:t xml:space="preserve"> essentiels pour garantir la compatibilité (puissance d'émission, gains d'antenne, niveaux dans les lobes latéraux, hauteurs d'antennes et choix de l'emplacement).</w:t>
      </w:r>
    </w:p>
    <w:p w:rsidR="00713E37" w:rsidRPr="007D148D" w:rsidRDefault="00713E37" w:rsidP="00713E37">
      <w:pPr>
        <w:pStyle w:val="enumlev1"/>
        <w:rPr>
          <w:sz w:val="20"/>
          <w:lang w:val="fr-CH"/>
        </w:rPr>
      </w:pPr>
      <w:r w:rsidRPr="007D148D">
        <w:rPr>
          <w:sz w:val="20"/>
          <w:lang w:val="fr-CH"/>
        </w:rPr>
        <w:t>k)</w:t>
      </w:r>
      <w:r w:rsidRPr="007D148D">
        <w:rPr>
          <w:sz w:val="20"/>
          <w:lang w:val="fr-CH"/>
        </w:rPr>
        <w:tab/>
        <w:t xml:space="preserve">Calculer l'incidence globale d'ensembles de systèmes </w:t>
      </w:r>
      <w:r w:rsidR="00511B90" w:rsidRPr="007D148D">
        <w:rPr>
          <w:sz w:val="20"/>
          <w:lang w:val="fr-CH"/>
        </w:rPr>
        <w:t>AHF</w:t>
      </w:r>
      <w:r w:rsidRPr="007D148D">
        <w:rPr>
          <w:sz w:val="20"/>
          <w:lang w:val="fr-CH"/>
        </w:rPr>
        <w:t xml:space="preserve"> complets et représentatifs sur les systèmes de radiolocalisation à l'aide du critère (</w:t>
      </w:r>
      <w:r w:rsidRPr="007D148D">
        <w:rPr>
          <w:i/>
          <w:iCs/>
          <w:sz w:val="20"/>
          <w:lang w:val="fr-CH"/>
        </w:rPr>
        <w:t>I</w:t>
      </w:r>
      <w:r w:rsidRPr="007D148D">
        <w:rPr>
          <w:sz w:val="20"/>
          <w:lang w:val="fr-CH"/>
        </w:rPr>
        <w:t> </w:t>
      </w:r>
      <w:r w:rsidRPr="007D148D">
        <w:rPr>
          <w:rFonts w:ascii="Symbol" w:hAnsi="Symbol"/>
          <w:sz w:val="20"/>
          <w:lang w:val="fr-CH"/>
        </w:rPr>
        <w:t></w:t>
      </w:r>
      <w:r w:rsidRPr="007D148D">
        <w:rPr>
          <w:sz w:val="20"/>
          <w:lang w:val="fr-CH"/>
        </w:rPr>
        <w:t> </w:t>
      </w:r>
      <w:r w:rsidRPr="007D148D">
        <w:rPr>
          <w:i/>
          <w:iCs/>
          <w:sz w:val="20"/>
          <w:lang w:val="fr-CH"/>
        </w:rPr>
        <w:t>N</w:t>
      </w:r>
      <w:r w:rsidRPr="007D148D">
        <w:rPr>
          <w:sz w:val="20"/>
          <w:lang w:val="fr-CH"/>
        </w:rPr>
        <w:t>)/</w:t>
      </w:r>
      <w:r w:rsidRPr="007D148D">
        <w:rPr>
          <w:i/>
          <w:iCs/>
          <w:sz w:val="20"/>
          <w:lang w:val="fr-CH"/>
        </w:rPr>
        <w:t>N</w:t>
      </w:r>
      <w:r w:rsidRPr="007D148D">
        <w:rPr>
          <w:sz w:val="20"/>
          <w:lang w:val="fr-CH"/>
        </w:rPr>
        <w:t xml:space="preserve"> applicable à un système radar et des calculs du couplage et du niveau de brouillage décrits dans la Recommandation UIT-R M.1461. Il faudra peut-être tenir compte de la technique d'accès multiple, dans les modèles et/ou les simulations, en choisissant un nombre réaliste d'utilisateurs.</w:t>
      </w:r>
    </w:p>
    <w:p w:rsidR="00713E37" w:rsidRPr="007D148D" w:rsidRDefault="00713E37" w:rsidP="00713E37">
      <w:pPr>
        <w:pStyle w:val="enumlev1"/>
        <w:rPr>
          <w:sz w:val="20"/>
          <w:lang w:val="fr-CH"/>
        </w:rPr>
      </w:pPr>
      <w:r w:rsidRPr="007D148D">
        <w:rPr>
          <w:sz w:val="20"/>
          <w:lang w:val="fr-CH"/>
        </w:rPr>
        <w:t>l)</w:t>
      </w:r>
      <w:r w:rsidRPr="007D148D">
        <w:rPr>
          <w:sz w:val="20"/>
          <w:lang w:val="fr-CH"/>
        </w:rPr>
        <w:tab/>
        <w:t>Evaluer les variations possibles des ensembles de systèmes AHF susceptibles d’être mis en place et leur illumination par les systèmes de radiolocalisation, et vice versa, en vue de procéder éventuellement à des mesures et/ou à des calculs supplémentaires concernant les effets cumulés.</w:t>
      </w:r>
    </w:p>
    <w:p w:rsidR="00713E37" w:rsidRPr="007D148D" w:rsidRDefault="00713E37" w:rsidP="00713E37">
      <w:pPr>
        <w:pStyle w:val="enumlev1"/>
        <w:rPr>
          <w:sz w:val="20"/>
          <w:lang w:val="fr-CH"/>
        </w:rPr>
      </w:pPr>
      <w:r w:rsidRPr="007D148D">
        <w:rPr>
          <w:sz w:val="20"/>
          <w:lang w:val="fr-CH"/>
        </w:rPr>
        <w:t>m)</w:t>
      </w:r>
      <w:r w:rsidRPr="007D148D">
        <w:rPr>
          <w:sz w:val="20"/>
          <w:lang w:val="fr-CH"/>
        </w:rPr>
        <w:tab/>
        <w:t xml:space="preserve">Le cas échéant, présenter brièvement les résultats finals sous la forme de courbes d'espacement en fonction de la fréquence et/ou sous une autre forme appropriée. </w:t>
      </w:r>
    </w:p>
    <w:p w:rsidR="00713E37" w:rsidRPr="007D148D" w:rsidRDefault="00713E37" w:rsidP="00713E37">
      <w:pPr>
        <w:pStyle w:val="Note"/>
        <w:rPr>
          <w:sz w:val="20"/>
          <w:lang w:val="fr-CH"/>
        </w:rPr>
      </w:pPr>
      <w:r w:rsidRPr="007D148D">
        <w:rPr>
          <w:sz w:val="20"/>
          <w:lang w:val="fr-CH"/>
        </w:rPr>
        <w:t xml:space="preserve">NOTE 1 – On trouvera dans la Recommandation UIT-R F.1190 des exemples de rapport </w:t>
      </w:r>
      <w:r w:rsidRPr="007D148D">
        <w:rPr>
          <w:i/>
          <w:iCs/>
          <w:sz w:val="20"/>
          <w:lang w:val="fr-CH"/>
        </w:rPr>
        <w:t>I</w:t>
      </w:r>
      <w:r w:rsidRPr="007D148D">
        <w:rPr>
          <w:sz w:val="20"/>
          <w:lang w:val="fr-CH"/>
        </w:rPr>
        <w:t>/</w:t>
      </w:r>
      <w:r w:rsidRPr="007D148D">
        <w:rPr>
          <w:i/>
          <w:iCs/>
          <w:sz w:val="20"/>
          <w:lang w:val="fr-CH"/>
        </w:rPr>
        <w:t>N</w:t>
      </w:r>
      <w:r w:rsidRPr="007D148D">
        <w:rPr>
          <w:sz w:val="20"/>
          <w:lang w:val="fr-CH"/>
        </w:rPr>
        <w:t xml:space="preserve"> acceptable en cas de rayonnements non désirés produits par des systèmes radars.</w:t>
      </w:r>
    </w:p>
    <w:p w:rsidR="00713E37" w:rsidRPr="007D148D" w:rsidRDefault="00713E37" w:rsidP="00713E37">
      <w:pPr>
        <w:pStyle w:val="Note"/>
        <w:rPr>
          <w:sz w:val="20"/>
          <w:lang w:val="fr-CH"/>
        </w:rPr>
      </w:pPr>
      <w:r w:rsidRPr="007D148D">
        <w:rPr>
          <w:sz w:val="20"/>
          <w:lang w:val="fr-CH"/>
        </w:rPr>
        <w:t>NOTE 2 – On trouvera dans la Recommandation UIT-R F.758 des indications générales sur les critères de partage applicables au service fixe.</w:t>
      </w:r>
    </w:p>
    <w:p w:rsidR="00F32A31" w:rsidRPr="007D148D" w:rsidRDefault="00F32A31" w:rsidP="00713E37">
      <w:pPr>
        <w:pStyle w:val="Note"/>
        <w:rPr>
          <w:lang w:val="fr-CH"/>
        </w:rPr>
      </w:pPr>
    </w:p>
    <w:p w:rsidR="00713E37" w:rsidRPr="00251425" w:rsidRDefault="00713E37" w:rsidP="007D148D">
      <w:pPr>
        <w:pStyle w:val="Line"/>
        <w:rPr>
          <w:lang w:val="fr-CH"/>
        </w:rPr>
      </w:pPr>
    </w:p>
    <w:sectPr w:rsidR="00713E37" w:rsidRPr="00251425" w:rsidSect="00F32A3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E37" w:rsidRDefault="00713E37">
      <w:r>
        <w:separator/>
      </w:r>
    </w:p>
  </w:endnote>
  <w:endnote w:type="continuationSeparator" w:id="0">
    <w:p w:rsidR="00713E37" w:rsidRDefault="00713E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E37" w:rsidRDefault="00713E37">
      <w:r>
        <w:separator/>
      </w:r>
    </w:p>
  </w:footnote>
  <w:footnote w:type="continuationSeparator" w:id="0">
    <w:p w:rsidR="00713E37" w:rsidRDefault="00713E37">
      <w:r>
        <w:continuationSeparator/>
      </w:r>
    </w:p>
  </w:footnote>
  <w:footnote w:id="1">
    <w:p w:rsidR="00EF558D" w:rsidRPr="00814F5B" w:rsidRDefault="00EF558D" w:rsidP="000058B3">
      <w:pPr>
        <w:pStyle w:val="FootnoteText"/>
        <w:rPr>
          <w:sz w:val="20"/>
          <w:lang w:val="fr-CH"/>
        </w:rPr>
      </w:pPr>
      <w:r w:rsidRPr="00814F5B">
        <w:rPr>
          <w:rStyle w:val="FootnoteReference"/>
          <w:sz w:val="16"/>
        </w:rPr>
        <w:t>*</w:t>
      </w:r>
      <w:r w:rsidRPr="00814F5B">
        <w:rPr>
          <w:sz w:val="20"/>
        </w:rPr>
        <w:t xml:space="preserve"> </w:t>
      </w:r>
      <w:r w:rsidRPr="00814F5B">
        <w:rPr>
          <w:sz w:val="20"/>
        </w:rPr>
        <w:tab/>
        <w:t>La présente Recommandation doit être portée à l'attention de</w:t>
      </w:r>
      <w:r w:rsidR="000058B3">
        <w:rPr>
          <w:sz w:val="20"/>
        </w:rPr>
        <w:t xml:space="preserve"> la</w:t>
      </w:r>
      <w:r w:rsidRPr="00814F5B">
        <w:rPr>
          <w:sz w:val="20"/>
        </w:rPr>
        <w:t xml:space="preserve"> Commission d'études 4 des radiocommunications.</w:t>
      </w:r>
    </w:p>
  </w:footnote>
  <w:footnote w:id="2">
    <w:p w:rsidR="00EF558D" w:rsidRPr="00814F5B" w:rsidRDefault="00EF558D" w:rsidP="00EF558D">
      <w:pPr>
        <w:pStyle w:val="FootnoteText"/>
        <w:rPr>
          <w:sz w:val="20"/>
          <w:lang w:val="fr-CH"/>
        </w:rPr>
      </w:pPr>
      <w:r w:rsidRPr="00814F5B">
        <w:rPr>
          <w:rStyle w:val="FootnoteReference"/>
          <w:sz w:val="16"/>
        </w:rPr>
        <w:t>**</w:t>
      </w:r>
      <w:r w:rsidR="00814F5B">
        <w:rPr>
          <w:sz w:val="20"/>
        </w:rPr>
        <w:tab/>
      </w:r>
      <w:r w:rsidRPr="00814F5B">
        <w:rPr>
          <w:sz w:val="20"/>
        </w:rPr>
        <w:t>La Commission d'études 5 des radiocommunications a apporté des modifications rédactionnelles à cette Recommandation en décembre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E37" w:rsidRDefault="00713E3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E37" w:rsidRDefault="00713E37"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E37" w:rsidRPr="00837CB5" w:rsidRDefault="001A7B4B">
    <w:pPr>
      <w:pStyle w:val="Header"/>
      <w:jc w:val="left"/>
    </w:pPr>
    <w:r>
      <w:rPr>
        <w:rStyle w:val="PageNumber"/>
        <w:b/>
        <w:bCs/>
      </w:rPr>
      <w:fldChar w:fldCharType="begin"/>
    </w:r>
    <w:r w:rsidR="00713E37" w:rsidRPr="00837CB5">
      <w:rPr>
        <w:rStyle w:val="PageNumber"/>
        <w:b/>
        <w:bCs/>
      </w:rPr>
      <w:instrText xml:space="preserve"> PAGE </w:instrText>
    </w:r>
    <w:r>
      <w:rPr>
        <w:rStyle w:val="PageNumber"/>
        <w:b/>
        <w:bCs/>
      </w:rPr>
      <w:fldChar w:fldCharType="separate"/>
    </w:r>
    <w:r w:rsidR="00814F5B">
      <w:rPr>
        <w:rStyle w:val="PageNumber"/>
        <w:b/>
        <w:bCs/>
        <w:noProof/>
      </w:rPr>
      <w:t>ii</w:t>
    </w:r>
    <w:r>
      <w:rPr>
        <w:rStyle w:val="PageNumber"/>
        <w:b/>
        <w:bCs/>
      </w:rPr>
      <w:fldChar w:fldCharType="end"/>
    </w:r>
    <w:r w:rsidR="00713E37" w:rsidRPr="00837CB5">
      <w:tab/>
    </w:r>
    <w:fldSimple w:instr=" DOCPROPERTY &quot;Header&quot; \* MERGEFORMAT ">
      <w:r w:rsidR="007D148D" w:rsidRPr="007D148D">
        <w:rPr>
          <w:b/>
          <w:bCs/>
        </w:rPr>
        <w:t xml:space="preserve">Rec. </w:t>
      </w:r>
    </w:fldSimple>
    <w:r w:rsidR="00713E37">
      <w:rPr>
        <w:b/>
        <w:bCs/>
      </w:rPr>
      <w:t xml:space="preserve"> </w:t>
    </w:r>
    <w:r>
      <w:rPr>
        <w:b/>
        <w:bCs/>
      </w:rPr>
      <w:fldChar w:fldCharType="begin"/>
    </w:r>
    <w:r w:rsidR="00713E37" w:rsidRPr="00837CB5">
      <w:rPr>
        <w:b/>
        <w:bCs/>
      </w:rPr>
      <w:instrText>styleref href</w:instrText>
    </w:r>
    <w:r>
      <w:rPr>
        <w:b/>
        <w:bCs/>
      </w:rPr>
      <w:fldChar w:fldCharType="separate"/>
    </w:r>
    <w:r w:rsidR="00814F5B">
      <w:rPr>
        <w:b/>
        <w:bCs/>
        <w:noProof/>
      </w:rPr>
      <w:t>UIT-R  F.1489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E37" w:rsidRDefault="00713E37">
    <w:pPr>
      <w:pStyle w:val="Header"/>
    </w:pPr>
    <w:r>
      <w:tab/>
    </w:r>
    <w:fldSimple w:instr=" DOCPROPERTY &quot;Header&quot; \* MERGEFORMAT ">
      <w:r w:rsidR="007D148D" w:rsidRPr="007D148D">
        <w:rPr>
          <w:b/>
          <w:bCs/>
        </w:rPr>
        <w:t xml:space="preserve">Rec. </w:t>
      </w:r>
    </w:fldSimple>
    <w:r>
      <w:rPr>
        <w:b/>
        <w:bCs/>
      </w:rPr>
      <w:t xml:space="preserve"> </w:t>
    </w:r>
    <w:r w:rsidR="001A7B4B">
      <w:rPr>
        <w:b/>
        <w:bCs/>
      </w:rPr>
      <w:fldChar w:fldCharType="begin"/>
    </w:r>
    <w:r>
      <w:rPr>
        <w:b/>
        <w:bCs/>
      </w:rPr>
      <w:instrText>styleref href</w:instrText>
    </w:r>
    <w:r w:rsidR="001A7B4B">
      <w:rPr>
        <w:b/>
        <w:bCs/>
      </w:rPr>
      <w:fldChar w:fldCharType="separate"/>
    </w:r>
    <w:r w:rsidR="007D148D">
      <w:rPr>
        <w:b/>
        <w:bCs/>
        <w:noProof/>
      </w:rPr>
      <w:t>UIT-R  F.1489</w:t>
    </w:r>
    <w:r w:rsidR="001A7B4B">
      <w:rPr>
        <w:b/>
        <w:bCs/>
      </w:rPr>
      <w:fldChar w:fldCharType="end"/>
    </w:r>
    <w:r>
      <w:tab/>
    </w:r>
    <w:r w:rsidR="001A7B4B">
      <w:rPr>
        <w:rStyle w:val="PageNumber"/>
        <w:b/>
        <w:bCs/>
      </w:rPr>
      <w:fldChar w:fldCharType="begin"/>
    </w:r>
    <w:r>
      <w:rPr>
        <w:rStyle w:val="PageNumber"/>
        <w:b/>
        <w:bCs/>
      </w:rPr>
      <w:instrText xml:space="preserve"> PAGE </w:instrText>
    </w:r>
    <w:r w:rsidR="001A7B4B">
      <w:rPr>
        <w:rStyle w:val="PageNumber"/>
        <w:b/>
        <w:bCs/>
      </w:rPr>
      <w:fldChar w:fldCharType="separate"/>
    </w:r>
    <w:r>
      <w:rPr>
        <w:rStyle w:val="PageNumber"/>
        <w:b/>
        <w:bCs/>
        <w:noProof/>
      </w:rPr>
      <w:t>1</w:t>
    </w:r>
    <w:r w:rsidR="001A7B4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1A7B4B">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814F5B">
      <w:rPr>
        <w:rStyle w:val="PageNumber"/>
        <w:b/>
        <w:bCs/>
        <w:noProof/>
        <w:lang w:val="en-US"/>
      </w:rPr>
      <w:t>2</w:t>
    </w:r>
    <w:r>
      <w:rPr>
        <w:rStyle w:val="PageNumber"/>
        <w:b/>
        <w:bCs/>
      </w:rPr>
      <w:fldChar w:fldCharType="end"/>
    </w:r>
    <w:r w:rsidR="00607D68">
      <w:rPr>
        <w:lang w:val="en-US"/>
      </w:rPr>
      <w:tab/>
    </w:r>
    <w:fldSimple w:instr=" DOCPROPERTY &quot;Header&quot; \* MERGEFORMAT ">
      <w:r w:rsidR="007D148D" w:rsidRPr="007D148D">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814F5B">
      <w:rPr>
        <w:b/>
        <w:bCs/>
        <w:noProof/>
      </w:rPr>
      <w:t>UIT-R  F.1489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7D148D" w:rsidRPr="007D148D">
        <w:rPr>
          <w:b/>
          <w:bCs/>
        </w:rPr>
        <w:t xml:space="preserve">Rec. </w:t>
      </w:r>
    </w:fldSimple>
    <w:r>
      <w:rPr>
        <w:b/>
        <w:bCs/>
      </w:rPr>
      <w:t xml:space="preserve"> </w:t>
    </w:r>
    <w:r w:rsidR="001A7B4B">
      <w:rPr>
        <w:b/>
        <w:bCs/>
      </w:rPr>
      <w:fldChar w:fldCharType="begin"/>
    </w:r>
    <w:r>
      <w:rPr>
        <w:b/>
        <w:bCs/>
      </w:rPr>
      <w:instrText>styleref href</w:instrText>
    </w:r>
    <w:r w:rsidR="001A7B4B">
      <w:rPr>
        <w:b/>
        <w:bCs/>
      </w:rPr>
      <w:fldChar w:fldCharType="separate"/>
    </w:r>
    <w:r w:rsidR="00814F5B">
      <w:rPr>
        <w:b/>
        <w:bCs/>
        <w:noProof/>
      </w:rPr>
      <w:t>UIT-R  F.1489</w:t>
    </w:r>
    <w:r w:rsidR="001A7B4B">
      <w:rPr>
        <w:b/>
        <w:bCs/>
      </w:rPr>
      <w:fldChar w:fldCharType="end"/>
    </w:r>
    <w:r>
      <w:tab/>
    </w:r>
    <w:r w:rsidR="001A7B4B">
      <w:rPr>
        <w:rStyle w:val="PageNumber"/>
        <w:b/>
        <w:bCs/>
      </w:rPr>
      <w:fldChar w:fldCharType="begin"/>
    </w:r>
    <w:r>
      <w:rPr>
        <w:rStyle w:val="PageNumber"/>
        <w:b/>
        <w:bCs/>
      </w:rPr>
      <w:instrText xml:space="preserve"> PAGE </w:instrText>
    </w:r>
    <w:r w:rsidR="001A7B4B">
      <w:rPr>
        <w:rStyle w:val="PageNumber"/>
        <w:b/>
        <w:bCs/>
      </w:rPr>
      <w:fldChar w:fldCharType="separate"/>
    </w:r>
    <w:r w:rsidR="00814F5B">
      <w:rPr>
        <w:rStyle w:val="PageNumber"/>
        <w:b/>
        <w:bCs/>
        <w:noProof/>
      </w:rPr>
      <w:t>3</w:t>
    </w:r>
    <w:r w:rsidR="001A7B4B">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F32A31"/>
    <w:rsid w:val="000058B3"/>
    <w:rsid w:val="001456C3"/>
    <w:rsid w:val="001A7B4B"/>
    <w:rsid w:val="00217EBF"/>
    <w:rsid w:val="00251425"/>
    <w:rsid w:val="002D76C4"/>
    <w:rsid w:val="00511B90"/>
    <w:rsid w:val="00554B96"/>
    <w:rsid w:val="00570E8B"/>
    <w:rsid w:val="00607D68"/>
    <w:rsid w:val="00713E37"/>
    <w:rsid w:val="007468DA"/>
    <w:rsid w:val="007D148D"/>
    <w:rsid w:val="00814F5B"/>
    <w:rsid w:val="00A6617B"/>
    <w:rsid w:val="00AB0DC8"/>
    <w:rsid w:val="00B20D7E"/>
    <w:rsid w:val="00B44E24"/>
    <w:rsid w:val="00CB3CE7"/>
    <w:rsid w:val="00DA3E82"/>
    <w:rsid w:val="00DA5BB9"/>
    <w:rsid w:val="00DF4176"/>
    <w:rsid w:val="00EF558D"/>
    <w:rsid w:val="00F32A31"/>
    <w:rsid w:val="00F4599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6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456C3"/>
    <w:pPr>
      <w:keepNext/>
      <w:keepLines/>
      <w:spacing w:before="480"/>
      <w:ind w:left="794" w:hanging="794"/>
      <w:outlineLvl w:val="0"/>
    </w:pPr>
    <w:rPr>
      <w:b/>
    </w:rPr>
  </w:style>
  <w:style w:type="paragraph" w:styleId="Heading2">
    <w:name w:val="heading 2"/>
    <w:basedOn w:val="Heading1"/>
    <w:next w:val="Normal"/>
    <w:qFormat/>
    <w:rsid w:val="001456C3"/>
    <w:pPr>
      <w:spacing w:before="320"/>
      <w:outlineLvl w:val="1"/>
    </w:pPr>
  </w:style>
  <w:style w:type="paragraph" w:styleId="Heading3">
    <w:name w:val="heading 3"/>
    <w:basedOn w:val="Heading1"/>
    <w:next w:val="Normal"/>
    <w:qFormat/>
    <w:rsid w:val="001456C3"/>
    <w:pPr>
      <w:spacing w:before="200"/>
      <w:outlineLvl w:val="2"/>
    </w:pPr>
  </w:style>
  <w:style w:type="paragraph" w:styleId="Heading4">
    <w:name w:val="heading 4"/>
    <w:basedOn w:val="Heading3"/>
    <w:next w:val="Normal"/>
    <w:qFormat/>
    <w:rsid w:val="001456C3"/>
    <w:pPr>
      <w:tabs>
        <w:tab w:val="clear" w:pos="794"/>
        <w:tab w:val="left" w:pos="992"/>
      </w:tabs>
      <w:ind w:left="992" w:hanging="992"/>
      <w:outlineLvl w:val="3"/>
    </w:pPr>
  </w:style>
  <w:style w:type="paragraph" w:styleId="Heading5">
    <w:name w:val="heading 5"/>
    <w:basedOn w:val="Heading4"/>
    <w:next w:val="Normal"/>
    <w:qFormat/>
    <w:rsid w:val="001456C3"/>
    <w:pPr>
      <w:outlineLvl w:val="4"/>
    </w:pPr>
  </w:style>
  <w:style w:type="paragraph" w:styleId="Heading6">
    <w:name w:val="heading 6"/>
    <w:basedOn w:val="Heading4"/>
    <w:next w:val="Normal"/>
    <w:qFormat/>
    <w:rsid w:val="001456C3"/>
    <w:pPr>
      <w:tabs>
        <w:tab w:val="clear" w:pos="992"/>
        <w:tab w:val="clear" w:pos="1191"/>
      </w:tabs>
      <w:ind w:left="1588" w:hanging="1588"/>
      <w:outlineLvl w:val="5"/>
    </w:pPr>
  </w:style>
  <w:style w:type="paragraph" w:styleId="Heading7">
    <w:name w:val="heading 7"/>
    <w:basedOn w:val="Heading6"/>
    <w:next w:val="Normal"/>
    <w:qFormat/>
    <w:rsid w:val="001456C3"/>
    <w:pPr>
      <w:outlineLvl w:val="6"/>
    </w:pPr>
  </w:style>
  <w:style w:type="paragraph" w:styleId="Heading8">
    <w:name w:val="heading 8"/>
    <w:basedOn w:val="Heading6"/>
    <w:next w:val="Normal"/>
    <w:qFormat/>
    <w:rsid w:val="001456C3"/>
    <w:pPr>
      <w:outlineLvl w:val="7"/>
    </w:pPr>
  </w:style>
  <w:style w:type="paragraph" w:styleId="Heading9">
    <w:name w:val="heading 9"/>
    <w:basedOn w:val="Heading6"/>
    <w:next w:val="Normal"/>
    <w:qFormat/>
    <w:rsid w:val="001456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56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456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56C3"/>
  </w:style>
  <w:style w:type="paragraph" w:customStyle="1" w:styleId="Headingb">
    <w:name w:val="Heading_b"/>
    <w:basedOn w:val="Heading3"/>
    <w:next w:val="Normal"/>
    <w:rsid w:val="001456C3"/>
    <w:pPr>
      <w:spacing w:before="160"/>
      <w:ind w:left="0" w:firstLine="0"/>
      <w:outlineLvl w:val="9"/>
    </w:pPr>
  </w:style>
  <w:style w:type="paragraph" w:customStyle="1" w:styleId="Headingi">
    <w:name w:val="Heading_i"/>
    <w:basedOn w:val="Heading3"/>
    <w:next w:val="Normal"/>
    <w:rsid w:val="001456C3"/>
    <w:pPr>
      <w:spacing w:before="160"/>
      <w:ind w:left="0" w:firstLine="0"/>
    </w:pPr>
    <w:rPr>
      <w:b w:val="0"/>
      <w:i/>
    </w:rPr>
  </w:style>
  <w:style w:type="character" w:customStyle="1" w:styleId="href">
    <w:name w:val="href"/>
    <w:basedOn w:val="DefaultParagraphFont"/>
    <w:rsid w:val="001456C3"/>
  </w:style>
  <w:style w:type="paragraph" w:customStyle="1" w:styleId="enumlev1">
    <w:name w:val="enumlev1"/>
    <w:basedOn w:val="Normal"/>
    <w:rsid w:val="001456C3"/>
    <w:pPr>
      <w:spacing w:before="80"/>
      <w:ind w:left="794" w:hanging="794"/>
    </w:pPr>
  </w:style>
  <w:style w:type="paragraph" w:customStyle="1" w:styleId="enumlev2">
    <w:name w:val="enumlev2"/>
    <w:basedOn w:val="enumlev1"/>
    <w:rsid w:val="001456C3"/>
    <w:pPr>
      <w:ind w:left="1191" w:hanging="397"/>
    </w:pPr>
  </w:style>
  <w:style w:type="paragraph" w:customStyle="1" w:styleId="enumlev3">
    <w:name w:val="enumlev3"/>
    <w:basedOn w:val="enumlev2"/>
    <w:rsid w:val="001456C3"/>
    <w:pPr>
      <w:ind w:left="1588"/>
    </w:pPr>
  </w:style>
  <w:style w:type="paragraph" w:customStyle="1" w:styleId="Normalaftertitle">
    <w:name w:val="Normal_after_title"/>
    <w:basedOn w:val="Normal"/>
    <w:next w:val="Normal"/>
    <w:rsid w:val="001456C3"/>
    <w:pPr>
      <w:spacing w:before="320"/>
    </w:pPr>
  </w:style>
  <w:style w:type="paragraph" w:customStyle="1" w:styleId="Note">
    <w:name w:val="Note"/>
    <w:basedOn w:val="Normal"/>
    <w:rsid w:val="001456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56C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456C3"/>
    <w:pPr>
      <w:spacing w:before="240"/>
    </w:pPr>
    <w:rPr>
      <w:sz w:val="22"/>
      <w:lang w:val="es-ES_tradnl"/>
    </w:rPr>
  </w:style>
  <w:style w:type="paragraph" w:customStyle="1" w:styleId="Recref">
    <w:name w:val="Rec_ref"/>
    <w:basedOn w:val="Normal"/>
    <w:next w:val="Recdate"/>
    <w:rsid w:val="001456C3"/>
    <w:pPr>
      <w:jc w:val="center"/>
    </w:pPr>
  </w:style>
  <w:style w:type="paragraph" w:customStyle="1" w:styleId="Recdate">
    <w:name w:val="Rec_date"/>
    <w:basedOn w:val="Recref"/>
    <w:next w:val="Normalaftertitle"/>
    <w:rsid w:val="001456C3"/>
    <w:pPr>
      <w:jc w:val="right"/>
    </w:pPr>
  </w:style>
  <w:style w:type="paragraph" w:customStyle="1" w:styleId="AnnexNoTitle">
    <w:name w:val="Annex_NoTitle"/>
    <w:basedOn w:val="Normal"/>
    <w:next w:val="Normalaftertitle"/>
    <w:rsid w:val="001456C3"/>
    <w:pPr>
      <w:keepNext/>
      <w:keepLines/>
      <w:spacing w:before="480" w:after="80"/>
      <w:jc w:val="center"/>
    </w:pPr>
    <w:rPr>
      <w:b/>
      <w:sz w:val="28"/>
    </w:rPr>
  </w:style>
  <w:style w:type="paragraph" w:customStyle="1" w:styleId="AppendixNoTitle">
    <w:name w:val="Appendix_NoTitle"/>
    <w:basedOn w:val="AnnexNoTitle"/>
    <w:next w:val="Normal"/>
    <w:rsid w:val="001456C3"/>
  </w:style>
  <w:style w:type="paragraph" w:customStyle="1" w:styleId="Tablefin">
    <w:name w:val="Table_fin"/>
    <w:basedOn w:val="Normal"/>
    <w:next w:val="Normal"/>
    <w:rsid w:val="001456C3"/>
    <w:pPr>
      <w:spacing w:before="0"/>
    </w:pPr>
    <w:rPr>
      <w:sz w:val="20"/>
      <w:lang w:val="en-GB"/>
    </w:rPr>
  </w:style>
  <w:style w:type="paragraph" w:customStyle="1" w:styleId="Tablehead">
    <w:name w:val="Table_head"/>
    <w:basedOn w:val="Normal"/>
    <w:next w:val="Normal"/>
    <w:rsid w:val="001456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56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56C3"/>
    <w:pPr>
      <w:keepNext/>
      <w:spacing w:before="360" w:after="120"/>
      <w:jc w:val="center"/>
    </w:pPr>
  </w:style>
  <w:style w:type="paragraph" w:customStyle="1" w:styleId="Tabletext">
    <w:name w:val="Table_text"/>
    <w:basedOn w:val="Normal"/>
    <w:rsid w:val="001456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56C3"/>
    <w:pPr>
      <w:tabs>
        <w:tab w:val="clear" w:pos="1191"/>
        <w:tab w:val="clear" w:pos="1588"/>
        <w:tab w:val="clear" w:pos="1985"/>
        <w:tab w:val="center" w:pos="4820"/>
        <w:tab w:val="right" w:pos="9639"/>
      </w:tabs>
    </w:pPr>
  </w:style>
  <w:style w:type="paragraph" w:customStyle="1" w:styleId="Equationlegend">
    <w:name w:val="Equation_legend"/>
    <w:basedOn w:val="NormalIndent"/>
    <w:rsid w:val="001456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56C3"/>
    <w:pPr>
      <w:ind w:left="794"/>
    </w:pPr>
  </w:style>
  <w:style w:type="paragraph" w:customStyle="1" w:styleId="Figurelegend">
    <w:name w:val="Figure_legend"/>
    <w:basedOn w:val="Normal"/>
    <w:rsid w:val="001456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456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56C3"/>
    <w:pPr>
      <w:keepNext/>
      <w:keepLines/>
      <w:spacing w:before="480"/>
      <w:jc w:val="center"/>
    </w:pPr>
    <w:rPr>
      <w:sz w:val="28"/>
    </w:rPr>
  </w:style>
  <w:style w:type="paragraph" w:customStyle="1" w:styleId="Arttitle">
    <w:name w:val="Art_title"/>
    <w:basedOn w:val="Normal"/>
    <w:next w:val="Normalaftertitle"/>
    <w:rsid w:val="001456C3"/>
    <w:pPr>
      <w:keepNext/>
      <w:keepLines/>
      <w:spacing w:before="240"/>
      <w:jc w:val="center"/>
    </w:pPr>
    <w:rPr>
      <w:b/>
      <w:sz w:val="28"/>
    </w:rPr>
  </w:style>
  <w:style w:type="paragraph" w:customStyle="1" w:styleId="Blanc">
    <w:name w:val="Blanc"/>
    <w:basedOn w:val="Normal"/>
    <w:next w:val="Tabletext"/>
    <w:rsid w:val="001456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56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56C3"/>
    <w:pPr>
      <w:keepNext/>
      <w:keepLines/>
      <w:spacing w:before="160"/>
      <w:ind w:left="794"/>
    </w:pPr>
    <w:rPr>
      <w:i/>
    </w:rPr>
  </w:style>
  <w:style w:type="paragraph" w:customStyle="1" w:styleId="ChapNo">
    <w:name w:val="Chap_No"/>
    <w:basedOn w:val="ArtNo"/>
    <w:next w:val="Chaptitle"/>
    <w:rsid w:val="001456C3"/>
    <w:rPr>
      <w:b/>
    </w:rPr>
  </w:style>
  <w:style w:type="paragraph" w:customStyle="1" w:styleId="Chaptitle">
    <w:name w:val="Chap_title"/>
    <w:basedOn w:val="Arttitle"/>
    <w:next w:val="Normalaftertitle"/>
    <w:rsid w:val="001456C3"/>
  </w:style>
  <w:style w:type="character" w:styleId="FootnoteReference">
    <w:name w:val="footnote reference"/>
    <w:basedOn w:val="DefaultParagraphFont"/>
    <w:semiHidden/>
    <w:rsid w:val="001456C3"/>
    <w:rPr>
      <w:position w:val="6"/>
      <w:sz w:val="18"/>
    </w:rPr>
  </w:style>
  <w:style w:type="paragraph" w:styleId="FootnoteText">
    <w:name w:val="footnote text"/>
    <w:basedOn w:val="Normal"/>
    <w:semiHidden/>
    <w:rsid w:val="001456C3"/>
    <w:pPr>
      <w:keepLines/>
      <w:tabs>
        <w:tab w:val="left" w:pos="255"/>
      </w:tabs>
      <w:ind w:left="255" w:hanging="255"/>
    </w:pPr>
    <w:rPr>
      <w:sz w:val="22"/>
    </w:rPr>
  </w:style>
  <w:style w:type="paragraph" w:styleId="Index1">
    <w:name w:val="index 1"/>
    <w:basedOn w:val="Normal"/>
    <w:next w:val="Normal"/>
    <w:semiHidden/>
    <w:rsid w:val="001456C3"/>
  </w:style>
  <w:style w:type="paragraph" w:styleId="Index2">
    <w:name w:val="index 2"/>
    <w:basedOn w:val="Normal"/>
    <w:next w:val="Normal"/>
    <w:semiHidden/>
    <w:rsid w:val="001456C3"/>
    <w:pPr>
      <w:ind w:left="283"/>
    </w:pPr>
  </w:style>
  <w:style w:type="paragraph" w:styleId="Index3">
    <w:name w:val="index 3"/>
    <w:basedOn w:val="Normal"/>
    <w:next w:val="Normal"/>
    <w:semiHidden/>
    <w:rsid w:val="001456C3"/>
    <w:pPr>
      <w:ind w:left="566"/>
    </w:pPr>
  </w:style>
  <w:style w:type="paragraph" w:styleId="IndexHeading">
    <w:name w:val="index heading"/>
    <w:basedOn w:val="Normal"/>
    <w:next w:val="Index1"/>
    <w:semiHidden/>
    <w:rsid w:val="001456C3"/>
  </w:style>
  <w:style w:type="paragraph" w:customStyle="1" w:styleId="Line">
    <w:name w:val="Line"/>
    <w:basedOn w:val="Normal"/>
    <w:next w:val="Normal"/>
    <w:rsid w:val="001456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56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56C3"/>
  </w:style>
  <w:style w:type="paragraph" w:customStyle="1" w:styleId="Partref">
    <w:name w:val="Part_ref"/>
    <w:basedOn w:val="Normal"/>
    <w:next w:val="Normal"/>
    <w:rsid w:val="001456C3"/>
    <w:pPr>
      <w:keepNext/>
      <w:keepLines/>
      <w:spacing w:after="280"/>
      <w:jc w:val="center"/>
    </w:pPr>
  </w:style>
  <w:style w:type="paragraph" w:customStyle="1" w:styleId="Parttitle">
    <w:name w:val="Part_title"/>
    <w:basedOn w:val="Normal"/>
    <w:next w:val="Normalaftertitle"/>
    <w:rsid w:val="001456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56C3"/>
  </w:style>
  <w:style w:type="paragraph" w:customStyle="1" w:styleId="QuestionNo">
    <w:name w:val="Question_No"/>
    <w:basedOn w:val="RecNo"/>
    <w:next w:val="Normal"/>
    <w:rsid w:val="001456C3"/>
  </w:style>
  <w:style w:type="paragraph" w:customStyle="1" w:styleId="Questionref">
    <w:name w:val="Question_ref"/>
    <w:basedOn w:val="Recref"/>
    <w:next w:val="Questiondate"/>
    <w:rsid w:val="001456C3"/>
  </w:style>
  <w:style w:type="paragraph" w:customStyle="1" w:styleId="Questiontitle">
    <w:name w:val="Question_title"/>
    <w:basedOn w:val="Normal"/>
    <w:next w:val="Questionref"/>
    <w:rsid w:val="001456C3"/>
  </w:style>
  <w:style w:type="paragraph" w:customStyle="1" w:styleId="Reftext">
    <w:name w:val="Ref_text"/>
    <w:basedOn w:val="Normal"/>
    <w:rsid w:val="001456C3"/>
    <w:pPr>
      <w:ind w:left="794" w:hanging="794"/>
    </w:pPr>
    <w:rPr>
      <w:sz w:val="22"/>
    </w:rPr>
  </w:style>
  <w:style w:type="paragraph" w:customStyle="1" w:styleId="Reftitle">
    <w:name w:val="Ref_title"/>
    <w:basedOn w:val="Normal"/>
    <w:next w:val="Reftext"/>
    <w:rsid w:val="001456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56C3"/>
  </w:style>
  <w:style w:type="paragraph" w:customStyle="1" w:styleId="RepNo">
    <w:name w:val="Rep_No"/>
    <w:basedOn w:val="RecNo"/>
    <w:next w:val="Reptitle"/>
    <w:rsid w:val="001456C3"/>
  </w:style>
  <w:style w:type="paragraph" w:customStyle="1" w:styleId="Repref">
    <w:name w:val="Rep_ref"/>
    <w:basedOn w:val="Recref"/>
    <w:next w:val="Repdate"/>
    <w:rsid w:val="001456C3"/>
  </w:style>
  <w:style w:type="paragraph" w:customStyle="1" w:styleId="Reptitle">
    <w:name w:val="Rep_title"/>
    <w:basedOn w:val="Rectitle"/>
    <w:next w:val="Repref"/>
    <w:rsid w:val="001456C3"/>
  </w:style>
  <w:style w:type="paragraph" w:customStyle="1" w:styleId="Resdate">
    <w:name w:val="Res_date"/>
    <w:basedOn w:val="Recdate"/>
    <w:next w:val="Normalaftertitle"/>
    <w:rsid w:val="001456C3"/>
  </w:style>
  <w:style w:type="paragraph" w:customStyle="1" w:styleId="ResNo">
    <w:name w:val="Res_No"/>
    <w:basedOn w:val="RecNo"/>
    <w:next w:val="Restitle"/>
    <w:rsid w:val="001456C3"/>
  </w:style>
  <w:style w:type="paragraph" w:customStyle="1" w:styleId="Resref">
    <w:name w:val="Res_ref"/>
    <w:basedOn w:val="Recref"/>
    <w:next w:val="Resdate"/>
    <w:rsid w:val="001456C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456C3"/>
  </w:style>
  <w:style w:type="paragraph" w:customStyle="1" w:styleId="Sectiontitle">
    <w:name w:val="Section_title"/>
    <w:basedOn w:val="Normal"/>
    <w:next w:val="Normalaftertitle"/>
    <w:rsid w:val="001456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56C3"/>
    <w:pPr>
      <w:tabs>
        <w:tab w:val="clear" w:pos="794"/>
        <w:tab w:val="clear" w:pos="1191"/>
        <w:tab w:val="clear" w:pos="1588"/>
        <w:tab w:val="clear" w:pos="1985"/>
        <w:tab w:val="right" w:pos="9611"/>
      </w:tabs>
    </w:pPr>
    <w:rPr>
      <w:i/>
    </w:rPr>
  </w:style>
  <w:style w:type="paragraph" w:styleId="TOC1">
    <w:name w:val="toc 1"/>
    <w:basedOn w:val="Normal"/>
    <w:semiHidden/>
    <w:rsid w:val="001456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456C3"/>
    <w:pPr>
      <w:tabs>
        <w:tab w:val="clear" w:pos="567"/>
        <w:tab w:val="left" w:pos="1276"/>
      </w:tabs>
      <w:spacing w:before="160"/>
      <w:ind w:left="1276" w:hanging="709"/>
    </w:pPr>
  </w:style>
  <w:style w:type="paragraph" w:styleId="TOC3">
    <w:name w:val="toc 3"/>
    <w:basedOn w:val="TOC2"/>
    <w:semiHidden/>
    <w:rsid w:val="001456C3"/>
    <w:pPr>
      <w:tabs>
        <w:tab w:val="clear" w:pos="1276"/>
        <w:tab w:val="left" w:pos="2155"/>
      </w:tabs>
      <w:ind w:left="2155" w:hanging="879"/>
    </w:pPr>
  </w:style>
  <w:style w:type="paragraph" w:styleId="TOC4">
    <w:name w:val="toc 4"/>
    <w:basedOn w:val="TOC3"/>
    <w:semiHidden/>
    <w:rsid w:val="001456C3"/>
    <w:pPr>
      <w:tabs>
        <w:tab w:val="left" w:pos="3261"/>
      </w:tabs>
      <w:spacing w:before="80"/>
      <w:ind w:left="3261" w:hanging="993"/>
    </w:pPr>
  </w:style>
  <w:style w:type="paragraph" w:styleId="TOC5">
    <w:name w:val="toc 5"/>
    <w:basedOn w:val="TOC4"/>
    <w:semiHidden/>
    <w:rsid w:val="001456C3"/>
  </w:style>
  <w:style w:type="paragraph" w:styleId="TOC6">
    <w:name w:val="toc 6"/>
    <w:basedOn w:val="TOC4"/>
    <w:semiHidden/>
    <w:rsid w:val="001456C3"/>
  </w:style>
  <w:style w:type="paragraph" w:styleId="TOC7">
    <w:name w:val="toc 7"/>
    <w:basedOn w:val="TOC4"/>
    <w:semiHidden/>
    <w:rsid w:val="001456C3"/>
  </w:style>
  <w:style w:type="paragraph" w:styleId="TOC8">
    <w:name w:val="toc 8"/>
    <w:basedOn w:val="TOC4"/>
    <w:semiHidden/>
    <w:rsid w:val="001456C3"/>
  </w:style>
  <w:style w:type="paragraph" w:customStyle="1" w:styleId="Rectitle">
    <w:name w:val="Rec_title"/>
    <w:basedOn w:val="Normal"/>
    <w:next w:val="Recref"/>
    <w:rsid w:val="001456C3"/>
    <w:pPr>
      <w:keepNext/>
      <w:keepLines/>
      <w:spacing w:before="240"/>
      <w:jc w:val="center"/>
    </w:pPr>
    <w:rPr>
      <w:b/>
      <w:sz w:val="28"/>
    </w:rPr>
  </w:style>
  <w:style w:type="paragraph" w:customStyle="1" w:styleId="Annexref">
    <w:name w:val="Annex_ref"/>
    <w:basedOn w:val="Normal"/>
    <w:next w:val="Normalaftertitle"/>
    <w:rsid w:val="001456C3"/>
    <w:pPr>
      <w:keepNext/>
      <w:keepLines/>
      <w:spacing w:after="280"/>
      <w:jc w:val="center"/>
    </w:pPr>
  </w:style>
  <w:style w:type="paragraph" w:customStyle="1" w:styleId="Appendixref">
    <w:name w:val="Appendix_ref"/>
    <w:basedOn w:val="Annexref"/>
    <w:next w:val="Normalaftertitle"/>
    <w:rsid w:val="001456C3"/>
  </w:style>
  <w:style w:type="paragraph" w:customStyle="1" w:styleId="Figuretitle">
    <w:name w:val="Figure_title"/>
    <w:basedOn w:val="Normal"/>
    <w:next w:val="Figure"/>
    <w:rsid w:val="001456C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456C3"/>
    <w:pPr>
      <w:keepNext/>
      <w:spacing w:before="0" w:after="120"/>
      <w:jc w:val="center"/>
    </w:pPr>
    <w:rPr>
      <w:b/>
    </w:rPr>
  </w:style>
  <w:style w:type="paragraph" w:customStyle="1" w:styleId="Summary">
    <w:name w:val="Summary"/>
    <w:basedOn w:val="Normal"/>
    <w:next w:val="Normalaftertitle"/>
    <w:rsid w:val="001456C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13E37"/>
    <w:rPr>
      <w:color w:val="0000FF"/>
      <w:u w:val="single"/>
    </w:rPr>
  </w:style>
  <w:style w:type="paragraph" w:customStyle="1" w:styleId="Annex">
    <w:name w:val="Annex_#"/>
    <w:basedOn w:val="Normal"/>
    <w:next w:val="Annexref"/>
    <w:rsid w:val="00713E37"/>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713E37"/>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Title0">
    <w:name w:val="Rec_Title"/>
    <w:basedOn w:val="Normal"/>
    <w:next w:val="RecTitleRef"/>
    <w:rsid w:val="00713E37"/>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Ref">
    <w:name w:val="Rec_Title/Ref"/>
    <w:basedOn w:val="RecTitle0"/>
    <w:next w:val="RecTitleDate"/>
    <w:rsid w:val="00713E37"/>
    <w:pPr>
      <w:spacing w:before="136"/>
    </w:pPr>
    <w:rPr>
      <w:b w:val="0"/>
    </w:rPr>
  </w:style>
  <w:style w:type="paragraph" w:customStyle="1" w:styleId="RecTitleDate">
    <w:name w:val="Rec_Title/Date"/>
    <w:basedOn w:val="RecTitleRef"/>
    <w:next w:val="headfoot"/>
    <w:rsid w:val="00713E37"/>
    <w:pPr>
      <w:tabs>
        <w:tab w:val="clear" w:pos="4849"/>
      </w:tabs>
      <w:jc w:val="right"/>
    </w:pPr>
  </w:style>
  <w:style w:type="paragraph" w:customStyle="1" w:styleId="headfoot">
    <w:name w:val="head_foot"/>
    <w:basedOn w:val="Normal"/>
    <w:next w:val="Normal"/>
    <w:rsid w:val="00713E37"/>
    <w:pPr>
      <w:tabs>
        <w:tab w:val="clear" w:pos="794"/>
        <w:tab w:val="clear" w:pos="1191"/>
        <w:tab w:val="clear" w:pos="1588"/>
        <w:tab w:val="clear" w:pos="1985"/>
      </w:tabs>
      <w:spacing w:before="0"/>
    </w:pPr>
    <w:rPr>
      <w:color w:val="FF0000"/>
      <w:sz w:val="8"/>
      <w:lang w:val="en-GB"/>
    </w:rPr>
  </w:style>
  <w:style w:type="paragraph" w:customStyle="1" w:styleId="call0">
    <w:name w:val="call"/>
    <w:basedOn w:val="Normal"/>
    <w:next w:val="Normal"/>
    <w:rsid w:val="00713E37"/>
    <w:pPr>
      <w:keepNext/>
      <w:keepLines/>
      <w:tabs>
        <w:tab w:val="clear" w:pos="1191"/>
        <w:tab w:val="clear" w:pos="1588"/>
        <w:tab w:val="clear" w:pos="1985"/>
      </w:tabs>
      <w:spacing w:before="227"/>
      <w:ind w:left="794"/>
      <w:jc w:val="left"/>
    </w:pPr>
    <w:rPr>
      <w:i/>
      <w:sz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78929-AC9D-49BC-A214-EDDBBD2D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5</Pages>
  <Words>2031</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2010-09-22T09:50:00Z</dcterms:created>
  <dcterms:modified xsi:type="dcterms:W3CDTF">2010-09-29T12:29:00Z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