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73B7" w:rsidRPr="00575CB8" w:rsidRDefault="009C73B7" w:rsidP="0086119A">
      <w:pPr>
        <w:rPr>
          <w:lang w:val="en-US"/>
        </w:rPr>
      </w:pPr>
      <w:bookmarkStart w:id="0" w:name="dbreak"/>
      <w:bookmarkEnd w:id="0"/>
    </w:p>
    <w:p w:rsidR="009C73B7" w:rsidRDefault="009C73B7" w:rsidP="0086119A"/>
    <w:p w:rsidR="009C73B7" w:rsidRDefault="009C73B7" w:rsidP="0086119A"/>
    <w:p w:rsidR="009C73B7" w:rsidRDefault="009C73B7" w:rsidP="0086119A"/>
    <w:p w:rsidR="009C73B7" w:rsidRDefault="009C73B7" w:rsidP="0086119A"/>
    <w:p w:rsidR="009C73B7" w:rsidRDefault="009C73B7" w:rsidP="0086119A"/>
    <w:p w:rsidR="009C73B7" w:rsidRDefault="009C73B7" w:rsidP="0086119A"/>
    <w:p w:rsidR="009C73B7" w:rsidRDefault="009C73B7" w:rsidP="0086119A"/>
    <w:p w:rsidR="009C73B7" w:rsidRDefault="009C73B7" w:rsidP="0086119A"/>
    <w:p w:rsidR="009C73B7" w:rsidRDefault="009C73B7" w:rsidP="0086119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9C73B7" w:rsidRPr="009C73B7" w:rsidTr="0086119A">
        <w:tc>
          <w:tcPr>
            <w:tcW w:w="10089" w:type="dxa"/>
          </w:tcPr>
          <w:p w:rsidR="009C73B7" w:rsidRPr="0010336F" w:rsidRDefault="009C73B7" w:rsidP="0086119A">
            <w:pPr>
              <w:spacing w:before="380" w:line="280" w:lineRule="exact"/>
              <w:jc w:val="right"/>
              <w:rPr>
                <w:rFonts w:ascii="Tahoma" w:hAnsi="Tahoma" w:cs="Tahoma"/>
                <w:b/>
                <w:bCs/>
                <w:iCs/>
                <w:color w:val="243285"/>
                <w:sz w:val="32"/>
                <w:szCs w:val="32"/>
                <w:lang w:val="en-US"/>
              </w:rPr>
            </w:pPr>
          </w:p>
          <w:p w:rsidR="009C73B7" w:rsidRPr="0010336F" w:rsidRDefault="009C73B7" w:rsidP="009C73B7">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1489</w:t>
            </w:r>
          </w:p>
          <w:p w:rsidR="009C73B7" w:rsidRPr="0010336F" w:rsidRDefault="009C73B7" w:rsidP="009C73B7">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05</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2000</w:t>
            </w:r>
            <w:r w:rsidRPr="0010336F">
              <w:rPr>
                <w:rFonts w:ascii="Tahoma" w:hAnsi="Tahoma" w:cs="Tahoma"/>
                <w:b/>
                <w:bCs/>
                <w:iCs/>
                <w:color w:val="243285"/>
                <w:szCs w:val="24"/>
                <w:lang w:val="es-ES_tradnl"/>
              </w:rPr>
              <w:t>)</w:t>
            </w:r>
          </w:p>
        </w:tc>
      </w:tr>
      <w:tr w:rsidR="009C73B7" w:rsidRPr="009C73B7" w:rsidTr="0086119A">
        <w:tc>
          <w:tcPr>
            <w:tcW w:w="10089" w:type="dxa"/>
          </w:tcPr>
          <w:p w:rsidR="009C73B7" w:rsidRPr="0010336F" w:rsidRDefault="009C73B7" w:rsidP="0086119A">
            <w:pPr>
              <w:spacing w:before="80" w:line="500" w:lineRule="exact"/>
              <w:jc w:val="right"/>
              <w:rPr>
                <w:rFonts w:ascii="Tahoma" w:hAnsi="Tahoma" w:cs="Tahoma"/>
                <w:b/>
                <w:bCs/>
                <w:iCs/>
                <w:color w:val="243285"/>
                <w:sz w:val="44"/>
                <w:szCs w:val="44"/>
                <w:lang w:val="es-ES_tradnl"/>
              </w:rPr>
            </w:pPr>
          </w:p>
          <w:p w:rsidR="009C73B7" w:rsidRDefault="009C73B7" w:rsidP="0086119A">
            <w:pPr>
              <w:spacing w:before="80" w:line="500" w:lineRule="exact"/>
              <w:jc w:val="right"/>
              <w:rPr>
                <w:rFonts w:ascii="Tahoma" w:hAnsi="Tahoma" w:cs="Tahoma"/>
                <w:b/>
                <w:bCs/>
                <w:color w:val="243285"/>
                <w:sz w:val="44"/>
                <w:szCs w:val="44"/>
                <w:lang w:val="es-ES_tradnl"/>
              </w:rPr>
            </w:pPr>
            <w:r w:rsidRPr="002A3E9E">
              <w:rPr>
                <w:rFonts w:ascii="Tahoma" w:hAnsi="Tahoma" w:cs="Tahoma"/>
                <w:b/>
                <w:bCs/>
                <w:iCs/>
                <w:color w:val="243285"/>
                <w:sz w:val="44"/>
                <w:szCs w:val="44"/>
                <w:lang w:val="es-ES_tradnl"/>
              </w:rPr>
              <w:t>Metodología para evaluar el nivel</w:t>
            </w:r>
            <w:r>
              <w:rPr>
                <w:rFonts w:ascii="Tahoma" w:hAnsi="Tahoma" w:cs="Tahoma"/>
                <w:b/>
                <w:bCs/>
                <w:iCs/>
                <w:color w:val="243285"/>
                <w:sz w:val="44"/>
                <w:szCs w:val="44"/>
                <w:lang w:val="es-ES_tradnl"/>
              </w:rPr>
              <w:br/>
            </w:r>
            <w:r w:rsidRPr="002A3E9E">
              <w:rPr>
                <w:rFonts w:ascii="Tahoma" w:hAnsi="Tahoma" w:cs="Tahoma"/>
                <w:b/>
                <w:bCs/>
                <w:iCs/>
                <w:color w:val="243285"/>
                <w:sz w:val="44"/>
                <w:szCs w:val="44"/>
                <w:lang w:val="es-ES_tradnl"/>
              </w:rPr>
              <w:t>de compatibilidad operacional</w:t>
            </w:r>
            <w:r w:rsidRPr="002A3E9E">
              <w:rPr>
                <w:rFonts w:ascii="Tahoma" w:hAnsi="Tahoma" w:cs="Tahoma"/>
                <w:b/>
                <w:bCs/>
                <w:iCs/>
                <w:color w:val="243285"/>
                <w:sz w:val="44"/>
                <w:szCs w:val="44"/>
                <w:lang w:val="es-ES_tradnl"/>
              </w:rPr>
              <w:br/>
              <w:t>entre los sistemas de acceso</w:t>
            </w:r>
            <w:r>
              <w:rPr>
                <w:rFonts w:ascii="Tahoma" w:hAnsi="Tahoma" w:cs="Tahoma"/>
                <w:b/>
                <w:bCs/>
                <w:iCs/>
                <w:color w:val="243285"/>
                <w:sz w:val="44"/>
                <w:szCs w:val="44"/>
                <w:lang w:val="es-ES_tradnl"/>
              </w:rPr>
              <w:br/>
            </w:r>
            <w:r w:rsidRPr="002A3E9E">
              <w:rPr>
                <w:rFonts w:ascii="Tahoma" w:hAnsi="Tahoma" w:cs="Tahoma"/>
                <w:b/>
                <w:bCs/>
                <w:iCs/>
                <w:color w:val="243285"/>
                <w:sz w:val="44"/>
                <w:szCs w:val="44"/>
                <w:lang w:val="es-ES_tradnl"/>
              </w:rPr>
              <w:t>inalámbrico fijo y los sistemas</w:t>
            </w:r>
            <w:r w:rsidRPr="002A3E9E">
              <w:rPr>
                <w:rFonts w:ascii="Tahoma" w:hAnsi="Tahoma" w:cs="Tahoma"/>
                <w:b/>
                <w:bCs/>
                <w:iCs/>
                <w:color w:val="243285"/>
                <w:sz w:val="44"/>
                <w:szCs w:val="44"/>
                <w:lang w:val="es-ES_tradnl"/>
              </w:rPr>
              <w:br/>
              <w:t>de radiolocalización</w:t>
            </w:r>
            <w:r>
              <w:rPr>
                <w:rFonts w:ascii="Tahoma" w:hAnsi="Tahoma" w:cs="Tahoma"/>
                <w:b/>
                <w:bCs/>
                <w:iCs/>
                <w:color w:val="243285"/>
                <w:sz w:val="44"/>
                <w:szCs w:val="44"/>
                <w:lang w:val="es-ES_tradnl"/>
              </w:rPr>
              <w:t xml:space="preserve"> </w:t>
            </w:r>
            <w:r w:rsidRPr="002A3E9E">
              <w:rPr>
                <w:rFonts w:ascii="Tahoma" w:hAnsi="Tahoma" w:cs="Tahoma"/>
                <w:b/>
                <w:bCs/>
                <w:iCs/>
                <w:color w:val="243285"/>
                <w:sz w:val="44"/>
                <w:szCs w:val="44"/>
                <w:lang w:val="es-ES_tradnl"/>
              </w:rPr>
              <w:t>cuando</w:t>
            </w:r>
            <w:r>
              <w:rPr>
                <w:rFonts w:ascii="Tahoma" w:hAnsi="Tahoma" w:cs="Tahoma"/>
                <w:b/>
                <w:bCs/>
                <w:iCs/>
                <w:color w:val="243285"/>
                <w:sz w:val="44"/>
                <w:szCs w:val="44"/>
                <w:lang w:val="es-ES_tradnl"/>
              </w:rPr>
              <w:br/>
            </w:r>
            <w:r w:rsidRPr="002A3E9E">
              <w:rPr>
                <w:rFonts w:ascii="Tahoma" w:hAnsi="Tahoma" w:cs="Tahoma"/>
                <w:b/>
                <w:bCs/>
                <w:iCs/>
                <w:color w:val="243285"/>
                <w:sz w:val="44"/>
                <w:szCs w:val="44"/>
                <w:lang w:val="es-ES_tradnl"/>
              </w:rPr>
              <w:t>comparten la banda 3,4-3,7 GHz</w:t>
            </w:r>
          </w:p>
          <w:p w:rsidR="009C73B7" w:rsidRPr="0010336F" w:rsidRDefault="009C73B7" w:rsidP="0086119A">
            <w:pPr>
              <w:spacing w:before="80" w:line="500" w:lineRule="exact"/>
              <w:jc w:val="right"/>
              <w:rPr>
                <w:rFonts w:ascii="Tahoma" w:hAnsi="Tahoma" w:cs="Tahoma"/>
                <w:b/>
                <w:bCs/>
                <w:iCs/>
                <w:color w:val="243285"/>
                <w:sz w:val="44"/>
                <w:szCs w:val="44"/>
                <w:lang w:val="es-ES_tradnl"/>
              </w:rPr>
            </w:pPr>
          </w:p>
        </w:tc>
      </w:tr>
      <w:tr w:rsidR="009C73B7" w:rsidRPr="0026666F" w:rsidTr="0086119A">
        <w:tc>
          <w:tcPr>
            <w:tcW w:w="10089" w:type="dxa"/>
          </w:tcPr>
          <w:p w:rsidR="009C73B7" w:rsidRPr="0010336F" w:rsidRDefault="009C73B7" w:rsidP="0086119A">
            <w:pPr>
              <w:spacing w:before="80" w:line="280" w:lineRule="exact"/>
              <w:ind w:right="640"/>
              <w:rPr>
                <w:rFonts w:ascii="Tahoma" w:hAnsi="Tahoma" w:cs="Tahoma"/>
                <w:b/>
                <w:bCs/>
                <w:iCs/>
                <w:color w:val="243285"/>
                <w:sz w:val="32"/>
                <w:szCs w:val="32"/>
                <w:lang w:val="es-ES_tradnl"/>
              </w:rPr>
            </w:pPr>
          </w:p>
          <w:p w:rsidR="009C73B7" w:rsidRPr="0010336F" w:rsidRDefault="009C73B7" w:rsidP="0086119A">
            <w:pPr>
              <w:spacing w:before="80" w:line="280" w:lineRule="exact"/>
              <w:ind w:right="640"/>
              <w:rPr>
                <w:rFonts w:ascii="Tahoma" w:hAnsi="Tahoma" w:cs="Tahoma"/>
                <w:b/>
                <w:bCs/>
                <w:iCs/>
                <w:color w:val="243285"/>
                <w:sz w:val="32"/>
                <w:szCs w:val="32"/>
                <w:lang w:val="es-ES_tradnl"/>
              </w:rPr>
            </w:pPr>
          </w:p>
          <w:p w:rsidR="009C73B7" w:rsidRPr="0010336F" w:rsidRDefault="009C73B7" w:rsidP="0086119A">
            <w:pPr>
              <w:spacing w:before="80" w:after="180" w:line="360" w:lineRule="exact"/>
              <w:ind w:right="720"/>
              <w:rPr>
                <w:rFonts w:ascii="Tahoma" w:hAnsi="Tahoma" w:cs="Tahoma"/>
                <w:b/>
                <w:bCs/>
                <w:iCs/>
                <w:color w:val="243285"/>
                <w:sz w:val="36"/>
                <w:szCs w:val="36"/>
                <w:lang w:val="es-ES_tradnl"/>
              </w:rPr>
            </w:pPr>
          </w:p>
          <w:p w:rsidR="009C73B7" w:rsidRPr="0010336F" w:rsidRDefault="009C73B7" w:rsidP="0086119A">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F</w:t>
            </w:r>
          </w:p>
          <w:p w:rsidR="009C73B7" w:rsidRPr="0010336F" w:rsidRDefault="009C73B7" w:rsidP="0086119A">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w:t>
            </w:r>
          </w:p>
        </w:tc>
      </w:tr>
    </w:tbl>
    <w:p w:rsidR="009C73B7" w:rsidRPr="0026666F" w:rsidRDefault="009C73B7" w:rsidP="0086119A">
      <w:pPr>
        <w:spacing w:before="80"/>
        <w:rPr>
          <w:i/>
          <w:sz w:val="22"/>
          <w:lang w:val="es-ES_tradnl"/>
        </w:rPr>
      </w:pPr>
    </w:p>
    <w:p w:rsidR="009C73B7" w:rsidRPr="0026666F" w:rsidRDefault="009C73B7" w:rsidP="0086119A">
      <w:pPr>
        <w:spacing w:before="80"/>
        <w:rPr>
          <w:i/>
          <w:sz w:val="22"/>
          <w:lang w:val="es-ES_tradnl"/>
        </w:rPr>
      </w:pPr>
    </w:p>
    <w:p w:rsidR="009C73B7" w:rsidRPr="0026666F" w:rsidRDefault="009C73B7" w:rsidP="0086119A">
      <w:pPr>
        <w:spacing w:before="80"/>
        <w:rPr>
          <w:i/>
          <w:sz w:val="22"/>
          <w:lang w:val="es-ES_tradnl"/>
        </w:rPr>
      </w:pPr>
    </w:p>
    <w:p w:rsidR="009C73B7" w:rsidRPr="0026666F" w:rsidRDefault="009C73B7" w:rsidP="0086119A">
      <w:pPr>
        <w:spacing w:before="80"/>
        <w:rPr>
          <w:i/>
          <w:sz w:val="22"/>
          <w:lang w:val="es-ES_tradnl"/>
        </w:rPr>
      </w:pPr>
    </w:p>
    <w:p w:rsidR="009C73B7" w:rsidRPr="0026666F" w:rsidRDefault="009C73B7" w:rsidP="0086119A">
      <w:pPr>
        <w:spacing w:before="80"/>
        <w:rPr>
          <w:i/>
          <w:sz w:val="22"/>
          <w:lang w:val="es-ES_tradnl"/>
        </w:rPr>
      </w:pPr>
    </w:p>
    <w:p w:rsidR="009C73B7" w:rsidRPr="0026666F" w:rsidRDefault="009C73B7" w:rsidP="0086119A">
      <w:pPr>
        <w:spacing w:before="80"/>
        <w:rPr>
          <w:i/>
          <w:sz w:val="22"/>
          <w:lang w:val="es-ES_tradnl"/>
        </w:rPr>
      </w:pPr>
    </w:p>
    <w:p w:rsidR="009C73B7" w:rsidRPr="0026666F" w:rsidRDefault="009C73B7" w:rsidP="0086119A">
      <w:pPr>
        <w:pStyle w:val="Equation"/>
        <w:tabs>
          <w:tab w:val="clear" w:pos="4820"/>
          <w:tab w:val="clear" w:pos="9639"/>
          <w:tab w:val="left" w:pos="1191"/>
          <w:tab w:val="left" w:pos="1588"/>
          <w:tab w:val="left" w:pos="1985"/>
        </w:tabs>
        <w:rPr>
          <w:rFonts w:ascii="Palatino Linotype" w:hAnsi="Palatino Linotype"/>
          <w:lang w:val="es-ES_tradnl"/>
        </w:rPr>
        <w:sectPr w:rsidR="009C73B7" w:rsidRPr="0026666F" w:rsidSect="0086119A">
          <w:headerReference w:type="even" r:id="rId6"/>
          <w:headerReference w:type="default" r:id="rId7"/>
          <w:pgSz w:w="11907" w:h="16834" w:code="9"/>
          <w:pgMar w:top="1418" w:right="1134" w:bottom="1134" w:left="1134" w:header="720" w:footer="482" w:gutter="0"/>
          <w:paperSrc w:first="15" w:other="15"/>
          <w:cols w:space="720"/>
        </w:sectPr>
      </w:pPr>
    </w:p>
    <w:p w:rsidR="009C73B7" w:rsidRPr="006C718C" w:rsidRDefault="009C73B7" w:rsidP="008611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9C73B7" w:rsidRPr="006C718C" w:rsidRDefault="009C73B7" w:rsidP="0086119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9C73B7" w:rsidRPr="006C718C" w:rsidRDefault="009C73B7" w:rsidP="0086119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9C73B7" w:rsidRPr="00021E8A" w:rsidRDefault="009C73B7" w:rsidP="0086119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9C73B7" w:rsidRPr="00021E8A" w:rsidRDefault="009C73B7" w:rsidP="0086119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9C73B7" w:rsidRPr="007C36CA" w:rsidRDefault="009C73B7" w:rsidP="0086119A">
      <w:pPr>
        <w:spacing w:before="0"/>
        <w:jc w:val="center"/>
        <w:rPr>
          <w:sz w:val="22"/>
          <w:lang w:val="es-ES_tradnl"/>
        </w:rPr>
      </w:pPr>
    </w:p>
    <w:p w:rsidR="009C73B7" w:rsidRPr="007C36CA" w:rsidRDefault="009C73B7" w:rsidP="0086119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9C73B7" w:rsidRPr="009C73B7" w:rsidTr="0086119A">
        <w:tc>
          <w:tcPr>
            <w:tcW w:w="9360" w:type="dxa"/>
            <w:gridSpan w:val="2"/>
          </w:tcPr>
          <w:p w:rsidR="009C73B7" w:rsidRPr="00021E8A" w:rsidRDefault="009C73B7" w:rsidP="0086119A">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9C73B7" w:rsidRPr="00763D08" w:rsidRDefault="009C73B7" w:rsidP="008611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9C73B7" w:rsidRPr="00036EE3" w:rsidTr="0086119A">
        <w:tc>
          <w:tcPr>
            <w:tcW w:w="1140" w:type="dxa"/>
            <w:tcBorders>
              <w:bottom w:val="nil"/>
            </w:tcBorders>
          </w:tcPr>
          <w:p w:rsidR="009C73B7" w:rsidRPr="00036EE3" w:rsidRDefault="009C73B7" w:rsidP="0086119A">
            <w:pPr>
              <w:spacing w:before="180" w:after="100"/>
              <w:ind w:left="57"/>
              <w:rPr>
                <w:b/>
                <w:bCs/>
                <w:sz w:val="20"/>
                <w:lang w:val="en-US"/>
              </w:rPr>
            </w:pPr>
            <w:r w:rsidRPr="00036EE3">
              <w:rPr>
                <w:b/>
                <w:bCs/>
                <w:sz w:val="20"/>
                <w:lang w:val="en-US"/>
              </w:rPr>
              <w:t>Series</w:t>
            </w:r>
          </w:p>
        </w:tc>
        <w:tc>
          <w:tcPr>
            <w:tcW w:w="8220" w:type="dxa"/>
            <w:tcBorders>
              <w:bottom w:val="nil"/>
            </w:tcBorders>
          </w:tcPr>
          <w:p w:rsidR="009C73B7" w:rsidRPr="00036EE3" w:rsidRDefault="009C73B7" w:rsidP="008611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9C73B7" w:rsidRPr="004532F7" w:rsidTr="0086119A">
        <w:tc>
          <w:tcPr>
            <w:tcW w:w="1140" w:type="dxa"/>
            <w:tcBorders>
              <w:top w:val="nil"/>
              <w:bottom w:val="nil"/>
            </w:tcBorders>
            <w:shd w:val="clear" w:color="auto" w:fill="auto"/>
          </w:tcPr>
          <w:p w:rsidR="009C73B7" w:rsidRPr="004532F7" w:rsidRDefault="009C73B7" w:rsidP="0086119A">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9C73B7" w:rsidRPr="004532F7" w:rsidRDefault="009C73B7" w:rsidP="008611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9C73B7" w:rsidRPr="009C73B7" w:rsidTr="0086119A">
        <w:tc>
          <w:tcPr>
            <w:tcW w:w="1140" w:type="dxa"/>
            <w:tcBorders>
              <w:top w:val="nil"/>
              <w:bottom w:val="nil"/>
            </w:tcBorders>
            <w:shd w:val="clear" w:color="auto" w:fill="auto"/>
          </w:tcPr>
          <w:p w:rsidR="009C73B7" w:rsidRPr="006B22C3" w:rsidRDefault="009C73B7" w:rsidP="0086119A">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9C73B7" w:rsidRPr="006B22C3" w:rsidRDefault="009C73B7" w:rsidP="008611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9C73B7" w:rsidRPr="00847DD5" w:rsidTr="0086119A">
        <w:tc>
          <w:tcPr>
            <w:tcW w:w="1140" w:type="dxa"/>
            <w:tcBorders>
              <w:top w:val="nil"/>
              <w:bottom w:val="nil"/>
            </w:tcBorders>
            <w:shd w:val="clear" w:color="auto" w:fill="auto"/>
          </w:tcPr>
          <w:p w:rsidR="009C73B7" w:rsidRPr="00847DD5" w:rsidRDefault="009C73B7" w:rsidP="0086119A">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9C73B7" w:rsidRPr="00847DD5" w:rsidRDefault="009C73B7" w:rsidP="008611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9C73B7" w:rsidRPr="00ED2695" w:rsidTr="0086119A">
        <w:tc>
          <w:tcPr>
            <w:tcW w:w="1140" w:type="dxa"/>
            <w:tcBorders>
              <w:top w:val="nil"/>
              <w:bottom w:val="nil"/>
            </w:tcBorders>
            <w:shd w:val="clear" w:color="auto" w:fill="auto"/>
          </w:tcPr>
          <w:p w:rsidR="009C73B7" w:rsidRPr="00ED2695" w:rsidRDefault="009C73B7" w:rsidP="0086119A">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9C73B7" w:rsidRPr="00021E8A" w:rsidRDefault="009C73B7" w:rsidP="008611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9C73B7" w:rsidRPr="00847DD5" w:rsidTr="0086119A">
        <w:tc>
          <w:tcPr>
            <w:tcW w:w="1140" w:type="dxa"/>
            <w:tcBorders>
              <w:top w:val="nil"/>
              <w:bottom w:val="nil"/>
            </w:tcBorders>
            <w:shd w:val="clear" w:color="auto" w:fill="F3F3F3"/>
          </w:tcPr>
          <w:p w:rsidR="009C73B7" w:rsidRPr="00847DD5" w:rsidRDefault="009C73B7" w:rsidP="0086119A">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9C73B7" w:rsidRPr="00847DD5" w:rsidRDefault="009C73B7" w:rsidP="0086119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9C73B7" w:rsidRPr="009C73B7" w:rsidTr="0086119A">
        <w:tc>
          <w:tcPr>
            <w:tcW w:w="1140" w:type="dxa"/>
            <w:tcBorders>
              <w:top w:val="nil"/>
              <w:bottom w:val="nil"/>
            </w:tcBorders>
            <w:shd w:val="clear" w:color="auto" w:fill="auto"/>
          </w:tcPr>
          <w:p w:rsidR="009C73B7" w:rsidRPr="0010336F" w:rsidRDefault="009C73B7" w:rsidP="0086119A">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9C73B7" w:rsidRPr="0010336F" w:rsidRDefault="009C73B7" w:rsidP="008611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9C73B7" w:rsidRPr="009C73B7" w:rsidTr="0086119A">
        <w:tc>
          <w:tcPr>
            <w:tcW w:w="1140" w:type="dxa"/>
            <w:tcBorders>
              <w:top w:val="nil"/>
            </w:tcBorders>
          </w:tcPr>
          <w:p w:rsidR="009C73B7" w:rsidRPr="00036EE3" w:rsidRDefault="009C73B7" w:rsidP="0086119A">
            <w:pPr>
              <w:spacing w:before="30" w:after="30"/>
              <w:ind w:left="57"/>
              <w:jc w:val="left"/>
              <w:rPr>
                <w:b/>
                <w:bCs/>
                <w:sz w:val="20"/>
                <w:lang w:val="fr-CH"/>
              </w:rPr>
            </w:pPr>
            <w:r w:rsidRPr="00036EE3">
              <w:rPr>
                <w:b/>
                <w:bCs/>
                <w:sz w:val="20"/>
                <w:lang w:val="fr-CH"/>
              </w:rPr>
              <w:t>P</w:t>
            </w:r>
          </w:p>
        </w:tc>
        <w:tc>
          <w:tcPr>
            <w:tcW w:w="8220" w:type="dxa"/>
            <w:tcBorders>
              <w:top w:val="nil"/>
            </w:tcBorders>
          </w:tcPr>
          <w:p w:rsidR="009C73B7" w:rsidRPr="00021E8A" w:rsidRDefault="009C73B7" w:rsidP="0086119A">
            <w:pPr>
              <w:spacing w:before="30" w:after="30"/>
              <w:jc w:val="left"/>
              <w:rPr>
                <w:bCs/>
                <w:sz w:val="20"/>
                <w:lang w:val="es-ES_tradnl"/>
              </w:rPr>
            </w:pPr>
            <w:r w:rsidRPr="00021E8A">
              <w:rPr>
                <w:bCs/>
                <w:sz w:val="20"/>
                <w:lang w:val="es-ES_tradnl"/>
              </w:rPr>
              <w:t>Propagación de las ondas radioeléctricas</w:t>
            </w:r>
          </w:p>
        </w:tc>
      </w:tr>
      <w:tr w:rsidR="009C73B7" w:rsidRPr="00036EE3" w:rsidTr="0086119A">
        <w:tc>
          <w:tcPr>
            <w:tcW w:w="1140" w:type="dxa"/>
          </w:tcPr>
          <w:p w:rsidR="009C73B7" w:rsidRPr="00036EE3" w:rsidRDefault="009C73B7" w:rsidP="0086119A">
            <w:pPr>
              <w:spacing w:before="30" w:after="30"/>
              <w:ind w:left="57"/>
              <w:jc w:val="left"/>
              <w:rPr>
                <w:b/>
                <w:bCs/>
                <w:sz w:val="20"/>
                <w:lang w:val="en-US"/>
              </w:rPr>
            </w:pPr>
            <w:r w:rsidRPr="00036EE3">
              <w:rPr>
                <w:b/>
                <w:bCs/>
                <w:sz w:val="20"/>
                <w:lang w:val="en-US"/>
              </w:rPr>
              <w:t>RA</w:t>
            </w:r>
          </w:p>
        </w:tc>
        <w:tc>
          <w:tcPr>
            <w:tcW w:w="8220" w:type="dxa"/>
          </w:tcPr>
          <w:p w:rsidR="009C73B7" w:rsidRPr="00021E8A" w:rsidRDefault="009C73B7" w:rsidP="0086119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9C73B7" w:rsidRPr="009C73B7" w:rsidTr="0086119A">
        <w:tc>
          <w:tcPr>
            <w:tcW w:w="1140" w:type="dxa"/>
          </w:tcPr>
          <w:p w:rsidR="009C73B7" w:rsidRPr="00036EE3" w:rsidRDefault="009C73B7" w:rsidP="0086119A">
            <w:pPr>
              <w:spacing w:before="30" w:after="30"/>
              <w:ind w:left="57"/>
              <w:jc w:val="left"/>
              <w:rPr>
                <w:b/>
                <w:bCs/>
                <w:sz w:val="20"/>
                <w:lang w:val="en-US"/>
              </w:rPr>
            </w:pPr>
            <w:r w:rsidRPr="00036EE3">
              <w:rPr>
                <w:b/>
                <w:bCs/>
                <w:sz w:val="20"/>
                <w:lang w:val="en-US"/>
              </w:rPr>
              <w:t>RS</w:t>
            </w:r>
          </w:p>
        </w:tc>
        <w:tc>
          <w:tcPr>
            <w:tcW w:w="8220" w:type="dxa"/>
          </w:tcPr>
          <w:p w:rsidR="009C73B7" w:rsidRPr="00021E8A" w:rsidRDefault="009C73B7" w:rsidP="0086119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9C73B7" w:rsidRPr="00036EE3" w:rsidTr="0086119A">
        <w:tc>
          <w:tcPr>
            <w:tcW w:w="1140" w:type="dxa"/>
          </w:tcPr>
          <w:p w:rsidR="009C73B7" w:rsidRPr="00036EE3" w:rsidRDefault="009C73B7" w:rsidP="0086119A">
            <w:pPr>
              <w:spacing w:before="30" w:after="30"/>
              <w:ind w:left="57"/>
              <w:jc w:val="left"/>
              <w:rPr>
                <w:b/>
                <w:bCs/>
                <w:sz w:val="20"/>
                <w:lang w:val="en-US"/>
              </w:rPr>
            </w:pPr>
            <w:r w:rsidRPr="00036EE3">
              <w:rPr>
                <w:b/>
                <w:bCs/>
                <w:sz w:val="20"/>
                <w:lang w:val="en-US"/>
              </w:rPr>
              <w:t>S</w:t>
            </w:r>
          </w:p>
        </w:tc>
        <w:tc>
          <w:tcPr>
            <w:tcW w:w="8220" w:type="dxa"/>
          </w:tcPr>
          <w:p w:rsidR="009C73B7" w:rsidRPr="00021E8A" w:rsidRDefault="009C73B7" w:rsidP="0086119A">
            <w:pPr>
              <w:spacing w:before="30" w:after="30"/>
              <w:jc w:val="left"/>
              <w:rPr>
                <w:bCs/>
                <w:sz w:val="20"/>
                <w:lang w:val="en-US"/>
              </w:rPr>
            </w:pPr>
            <w:r w:rsidRPr="00021E8A">
              <w:rPr>
                <w:bCs/>
                <w:sz w:val="20"/>
              </w:rPr>
              <w:t>Servicio fijo por satélite</w:t>
            </w:r>
          </w:p>
        </w:tc>
      </w:tr>
      <w:tr w:rsidR="009C73B7" w:rsidRPr="00036EE3" w:rsidTr="0086119A">
        <w:tc>
          <w:tcPr>
            <w:tcW w:w="1140" w:type="dxa"/>
          </w:tcPr>
          <w:p w:rsidR="009C73B7" w:rsidRPr="00036EE3" w:rsidRDefault="009C73B7" w:rsidP="0086119A">
            <w:pPr>
              <w:spacing w:before="30" w:after="30"/>
              <w:ind w:left="57"/>
              <w:jc w:val="left"/>
              <w:rPr>
                <w:b/>
                <w:bCs/>
                <w:sz w:val="20"/>
                <w:lang w:val="en-US"/>
              </w:rPr>
            </w:pPr>
            <w:r w:rsidRPr="00036EE3">
              <w:rPr>
                <w:b/>
                <w:bCs/>
                <w:sz w:val="20"/>
                <w:lang w:val="en-US"/>
              </w:rPr>
              <w:t>SA</w:t>
            </w:r>
          </w:p>
        </w:tc>
        <w:tc>
          <w:tcPr>
            <w:tcW w:w="8220" w:type="dxa"/>
          </w:tcPr>
          <w:p w:rsidR="009C73B7" w:rsidRPr="00021E8A" w:rsidRDefault="009C73B7" w:rsidP="0086119A">
            <w:pPr>
              <w:spacing w:before="30" w:after="30"/>
              <w:jc w:val="left"/>
              <w:rPr>
                <w:bCs/>
                <w:sz w:val="20"/>
                <w:lang w:val="en-US"/>
              </w:rPr>
            </w:pPr>
            <w:r w:rsidRPr="00021E8A">
              <w:rPr>
                <w:bCs/>
                <w:sz w:val="20"/>
              </w:rPr>
              <w:t>Aplicaciones espaciales y meteorología</w:t>
            </w:r>
          </w:p>
        </w:tc>
      </w:tr>
      <w:tr w:rsidR="009C73B7" w:rsidRPr="009C73B7" w:rsidTr="0086119A">
        <w:tc>
          <w:tcPr>
            <w:tcW w:w="1140" w:type="dxa"/>
          </w:tcPr>
          <w:p w:rsidR="009C73B7" w:rsidRPr="00036EE3" w:rsidRDefault="009C73B7" w:rsidP="0086119A">
            <w:pPr>
              <w:spacing w:before="30" w:after="30"/>
              <w:ind w:left="57"/>
              <w:jc w:val="left"/>
              <w:rPr>
                <w:b/>
                <w:bCs/>
                <w:sz w:val="20"/>
                <w:lang w:val="en-US"/>
              </w:rPr>
            </w:pPr>
            <w:r w:rsidRPr="00036EE3">
              <w:rPr>
                <w:b/>
                <w:bCs/>
                <w:sz w:val="20"/>
                <w:lang w:val="en-US"/>
              </w:rPr>
              <w:t>SF</w:t>
            </w:r>
          </w:p>
        </w:tc>
        <w:tc>
          <w:tcPr>
            <w:tcW w:w="8220" w:type="dxa"/>
          </w:tcPr>
          <w:p w:rsidR="009C73B7" w:rsidRPr="00021E8A" w:rsidRDefault="009C73B7" w:rsidP="0086119A">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9C73B7" w:rsidRPr="00036EE3" w:rsidTr="0086119A">
        <w:tc>
          <w:tcPr>
            <w:tcW w:w="1140" w:type="dxa"/>
            <w:shd w:val="clear" w:color="auto" w:fill="auto"/>
          </w:tcPr>
          <w:p w:rsidR="009C73B7" w:rsidRPr="001240BC" w:rsidRDefault="009C73B7" w:rsidP="0086119A">
            <w:pPr>
              <w:spacing w:before="30" w:after="30"/>
              <w:ind w:left="57"/>
              <w:jc w:val="left"/>
              <w:rPr>
                <w:b/>
                <w:bCs/>
                <w:sz w:val="20"/>
                <w:lang w:val="en-US"/>
              </w:rPr>
            </w:pPr>
            <w:r w:rsidRPr="001240BC">
              <w:rPr>
                <w:b/>
                <w:bCs/>
                <w:sz w:val="20"/>
                <w:lang w:val="en-US"/>
              </w:rPr>
              <w:t>SM</w:t>
            </w:r>
          </w:p>
        </w:tc>
        <w:tc>
          <w:tcPr>
            <w:tcW w:w="8220" w:type="dxa"/>
            <w:shd w:val="clear" w:color="auto" w:fill="auto"/>
          </w:tcPr>
          <w:p w:rsidR="009C73B7" w:rsidRPr="001240BC" w:rsidRDefault="009C73B7" w:rsidP="0086119A">
            <w:pPr>
              <w:spacing w:before="30" w:after="30"/>
              <w:jc w:val="left"/>
              <w:rPr>
                <w:sz w:val="20"/>
                <w:lang w:val="en-US"/>
              </w:rPr>
            </w:pPr>
            <w:r w:rsidRPr="001240BC">
              <w:rPr>
                <w:sz w:val="20"/>
              </w:rPr>
              <w:t>Gestión del espectro</w:t>
            </w:r>
          </w:p>
        </w:tc>
      </w:tr>
      <w:tr w:rsidR="009C73B7" w:rsidRPr="00036EE3" w:rsidTr="0086119A">
        <w:tc>
          <w:tcPr>
            <w:tcW w:w="1140" w:type="dxa"/>
          </w:tcPr>
          <w:p w:rsidR="009C73B7" w:rsidRPr="00036EE3" w:rsidRDefault="009C73B7" w:rsidP="0086119A">
            <w:pPr>
              <w:spacing w:before="30" w:after="30"/>
              <w:ind w:left="57"/>
              <w:jc w:val="left"/>
              <w:rPr>
                <w:b/>
                <w:bCs/>
                <w:sz w:val="20"/>
                <w:lang w:val="en-US"/>
              </w:rPr>
            </w:pPr>
            <w:r w:rsidRPr="00036EE3">
              <w:rPr>
                <w:b/>
                <w:bCs/>
                <w:sz w:val="20"/>
                <w:lang w:val="en-US"/>
              </w:rPr>
              <w:t>SNG</w:t>
            </w:r>
          </w:p>
        </w:tc>
        <w:tc>
          <w:tcPr>
            <w:tcW w:w="8220" w:type="dxa"/>
          </w:tcPr>
          <w:p w:rsidR="009C73B7" w:rsidRPr="00021E8A" w:rsidRDefault="009C73B7" w:rsidP="0086119A">
            <w:pPr>
              <w:spacing w:before="30" w:after="30"/>
              <w:jc w:val="left"/>
              <w:rPr>
                <w:bCs/>
                <w:sz w:val="20"/>
                <w:lang w:val="en-US"/>
              </w:rPr>
            </w:pPr>
            <w:r w:rsidRPr="00021E8A">
              <w:rPr>
                <w:bCs/>
                <w:sz w:val="20"/>
              </w:rPr>
              <w:t>Periodismo electrónico por satélite</w:t>
            </w:r>
          </w:p>
        </w:tc>
      </w:tr>
      <w:tr w:rsidR="009C73B7" w:rsidRPr="009C73B7" w:rsidTr="0086119A">
        <w:tc>
          <w:tcPr>
            <w:tcW w:w="1140" w:type="dxa"/>
          </w:tcPr>
          <w:p w:rsidR="009C73B7" w:rsidRPr="00036EE3" w:rsidRDefault="009C73B7" w:rsidP="0086119A">
            <w:pPr>
              <w:spacing w:before="30" w:after="30"/>
              <w:ind w:left="57"/>
              <w:jc w:val="left"/>
              <w:rPr>
                <w:b/>
                <w:bCs/>
                <w:sz w:val="20"/>
                <w:lang w:val="en-US"/>
              </w:rPr>
            </w:pPr>
            <w:r w:rsidRPr="00036EE3">
              <w:rPr>
                <w:b/>
                <w:bCs/>
                <w:sz w:val="20"/>
                <w:lang w:val="en-US"/>
              </w:rPr>
              <w:t>TF</w:t>
            </w:r>
          </w:p>
        </w:tc>
        <w:tc>
          <w:tcPr>
            <w:tcW w:w="8220" w:type="dxa"/>
          </w:tcPr>
          <w:p w:rsidR="009C73B7" w:rsidRPr="00021E8A" w:rsidRDefault="009C73B7" w:rsidP="0086119A">
            <w:pPr>
              <w:spacing w:before="30" w:after="30"/>
              <w:jc w:val="left"/>
              <w:rPr>
                <w:bCs/>
                <w:sz w:val="20"/>
                <w:lang w:val="es-ES_tradnl"/>
              </w:rPr>
            </w:pPr>
            <w:r w:rsidRPr="00021E8A">
              <w:rPr>
                <w:bCs/>
                <w:sz w:val="20"/>
                <w:lang w:val="es-ES_tradnl"/>
              </w:rPr>
              <w:t>Emisiones de frecuencias patrón y señales horarias</w:t>
            </w:r>
          </w:p>
        </w:tc>
      </w:tr>
      <w:tr w:rsidR="009C73B7" w:rsidRPr="00036EE3" w:rsidTr="0086119A">
        <w:tc>
          <w:tcPr>
            <w:tcW w:w="1140" w:type="dxa"/>
          </w:tcPr>
          <w:p w:rsidR="009C73B7" w:rsidRPr="00036EE3" w:rsidRDefault="009C73B7" w:rsidP="0086119A">
            <w:pPr>
              <w:spacing w:before="30" w:after="30"/>
              <w:ind w:left="57"/>
              <w:jc w:val="left"/>
              <w:rPr>
                <w:b/>
                <w:bCs/>
                <w:sz w:val="20"/>
                <w:lang w:val="en-US"/>
              </w:rPr>
            </w:pPr>
            <w:r w:rsidRPr="00036EE3">
              <w:rPr>
                <w:b/>
                <w:bCs/>
                <w:sz w:val="20"/>
                <w:lang w:val="en-US"/>
              </w:rPr>
              <w:t>V</w:t>
            </w:r>
          </w:p>
        </w:tc>
        <w:tc>
          <w:tcPr>
            <w:tcW w:w="8220" w:type="dxa"/>
          </w:tcPr>
          <w:p w:rsidR="009C73B7" w:rsidRPr="00021E8A" w:rsidRDefault="009C73B7" w:rsidP="0086119A">
            <w:pPr>
              <w:spacing w:before="30" w:after="140"/>
              <w:jc w:val="left"/>
              <w:rPr>
                <w:bCs/>
                <w:sz w:val="20"/>
                <w:lang w:val="en-US"/>
              </w:rPr>
            </w:pPr>
            <w:r w:rsidRPr="00021E8A">
              <w:rPr>
                <w:bCs/>
                <w:sz w:val="20"/>
              </w:rPr>
              <w:t>Vocabulario y cuestiones afines</w:t>
            </w:r>
          </w:p>
        </w:tc>
      </w:tr>
    </w:tbl>
    <w:p w:rsidR="009C73B7" w:rsidRPr="00036EE3" w:rsidRDefault="009C73B7" w:rsidP="0086119A">
      <w:pPr>
        <w:spacing w:before="0" w:after="140"/>
        <w:jc w:val="center"/>
        <w:rPr>
          <w:sz w:val="20"/>
          <w:lang w:val="en-US"/>
        </w:rPr>
      </w:pPr>
    </w:p>
    <w:tbl>
      <w:tblPr>
        <w:tblpPr w:leftFromText="180" w:rightFromText="180" w:vertAnchor="text" w:tblpX="-5771" w:tblpY="-4031"/>
        <w:tblW w:w="0" w:type="auto"/>
        <w:tblLook w:val="0000"/>
      </w:tblPr>
      <w:tblGrid>
        <w:gridCol w:w="720"/>
      </w:tblGrid>
      <w:tr w:rsidR="009C73B7" w:rsidTr="0086119A">
        <w:tc>
          <w:tcPr>
            <w:tcW w:w="720" w:type="dxa"/>
          </w:tcPr>
          <w:p w:rsidR="009C73B7" w:rsidRDefault="009C73B7" w:rsidP="0086119A">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tblPr>
      <w:tblGrid>
        <w:gridCol w:w="9360"/>
      </w:tblGrid>
      <w:tr w:rsidR="009C73B7" w:rsidRPr="009C73B7" w:rsidTr="0086119A">
        <w:tc>
          <w:tcPr>
            <w:tcW w:w="9360" w:type="dxa"/>
          </w:tcPr>
          <w:p w:rsidR="009C73B7" w:rsidRPr="00763D08" w:rsidRDefault="009C73B7" w:rsidP="0086119A">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9C73B7" w:rsidRPr="00763D08" w:rsidRDefault="009C73B7" w:rsidP="0086119A">
      <w:pPr>
        <w:spacing w:before="0"/>
        <w:jc w:val="center"/>
        <w:rPr>
          <w:sz w:val="22"/>
          <w:lang w:val="es-ES_tradnl"/>
        </w:rPr>
      </w:pPr>
    </w:p>
    <w:p w:rsidR="009C73B7" w:rsidRPr="00763D08" w:rsidRDefault="009C73B7" w:rsidP="0086119A">
      <w:pPr>
        <w:spacing w:before="60"/>
        <w:jc w:val="right"/>
        <w:rPr>
          <w:i/>
          <w:iCs/>
          <w:sz w:val="20"/>
          <w:lang w:val="es-ES_tradnl"/>
        </w:rPr>
      </w:pPr>
      <w:r w:rsidRPr="00763D08">
        <w:rPr>
          <w:i/>
          <w:iCs/>
          <w:sz w:val="20"/>
          <w:lang w:val="es-ES_tradnl"/>
        </w:rPr>
        <w:t>Publicación electrónica</w:t>
      </w:r>
    </w:p>
    <w:p w:rsidR="009C73B7" w:rsidRPr="00763D08" w:rsidRDefault="009C73B7" w:rsidP="0086119A">
      <w:pPr>
        <w:spacing w:before="0" w:after="40"/>
        <w:jc w:val="right"/>
        <w:rPr>
          <w:sz w:val="20"/>
          <w:lang w:val="es-ES_tradnl"/>
        </w:rPr>
      </w:pPr>
      <w:r w:rsidRPr="00763D08">
        <w:rPr>
          <w:sz w:val="20"/>
          <w:lang w:val="es-ES_tradnl"/>
        </w:rPr>
        <w:t>Ginebra, 20</w:t>
      </w:r>
      <w:r>
        <w:rPr>
          <w:sz w:val="20"/>
          <w:lang w:val="es-ES_tradnl"/>
        </w:rPr>
        <w:t>10</w:t>
      </w:r>
    </w:p>
    <w:p w:rsidR="009C73B7" w:rsidRPr="00763D08" w:rsidRDefault="009C73B7" w:rsidP="0086119A">
      <w:pPr>
        <w:spacing w:before="0"/>
        <w:jc w:val="center"/>
        <w:rPr>
          <w:sz w:val="22"/>
          <w:lang w:val="es-ES_tradnl"/>
        </w:rPr>
      </w:pPr>
    </w:p>
    <w:p w:rsidR="009C73B7" w:rsidRPr="00763D08" w:rsidRDefault="009C73B7" w:rsidP="0086119A">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10</w:t>
      </w:r>
    </w:p>
    <w:p w:rsidR="009C73B7" w:rsidRPr="006C718C" w:rsidRDefault="009C73B7" w:rsidP="0086119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9C73B7" w:rsidRPr="006C718C" w:rsidRDefault="009C73B7" w:rsidP="0086119A">
      <w:pPr>
        <w:spacing w:before="160"/>
        <w:rPr>
          <w:i/>
          <w:sz w:val="20"/>
          <w:highlight w:val="yellow"/>
          <w:lang w:val="es-ES_tradnl"/>
        </w:rPr>
        <w:sectPr w:rsidR="009C73B7" w:rsidRPr="006C718C" w:rsidSect="0086119A">
          <w:headerReference w:type="even" r:id="rId10"/>
          <w:headerReference w:type="default" r:id="rId11"/>
          <w:pgSz w:w="11907" w:h="16834" w:code="9"/>
          <w:pgMar w:top="1418" w:right="1134" w:bottom="1134" w:left="1134" w:header="720" w:footer="482" w:gutter="0"/>
          <w:pgNumType w:fmt="lowerRoman" w:start="2"/>
          <w:cols w:space="720"/>
        </w:sectPr>
      </w:pPr>
    </w:p>
    <w:p w:rsidR="009C73B7" w:rsidRPr="00FC7304" w:rsidRDefault="009C73B7" w:rsidP="00B70081">
      <w:pPr>
        <w:pStyle w:val="RecNo"/>
        <w:spacing w:before="0"/>
        <w:rPr>
          <w:sz w:val="20"/>
          <w:lang w:val="es-ES_tradnl"/>
        </w:rPr>
      </w:pPr>
      <w:bookmarkStart w:id="3" w:name="irecnoe"/>
      <w:bookmarkEnd w:id="3"/>
      <w:r w:rsidRPr="00FC7304">
        <w:rPr>
          <w:sz w:val="20"/>
          <w:lang w:val="es-ES_tradnl"/>
        </w:rPr>
        <w:lastRenderedPageBreak/>
        <w:t xml:space="preserve">RECOMENDACIÓN  </w:t>
      </w:r>
      <w:r w:rsidRPr="00FC7304">
        <w:rPr>
          <w:rStyle w:val="href"/>
          <w:sz w:val="20"/>
          <w:lang w:val="es-ES_tradnl"/>
        </w:rPr>
        <w:t>UIT-R  F.1489</w:t>
      </w:r>
      <w:r w:rsidR="00B70081" w:rsidRPr="00AE7054">
        <w:rPr>
          <w:rStyle w:val="FootnoteReference"/>
          <w:sz w:val="16"/>
          <w:szCs w:val="16"/>
          <w:lang w:val="en-US"/>
        </w:rPr>
        <w:footnoteReference w:customMarkFollows="1" w:id="1"/>
        <w:t>*</w:t>
      </w:r>
      <w:r w:rsidR="00B70081" w:rsidRPr="00AE7054">
        <w:rPr>
          <w:position w:val="10"/>
          <w:sz w:val="16"/>
          <w:szCs w:val="16"/>
          <w:lang w:val="en-US"/>
        </w:rPr>
        <w:t xml:space="preserve">, </w:t>
      </w:r>
      <w:r w:rsidR="00B70081" w:rsidRPr="00AE7054">
        <w:rPr>
          <w:rStyle w:val="FootnoteReference"/>
          <w:sz w:val="16"/>
          <w:szCs w:val="16"/>
          <w:lang w:val="en-US"/>
        </w:rPr>
        <w:footnoteReference w:customMarkFollows="1" w:id="2"/>
        <w:t>**</w:t>
      </w:r>
    </w:p>
    <w:p w:rsidR="009C73B7" w:rsidRPr="00FC7304" w:rsidRDefault="00FC7304" w:rsidP="0086119A">
      <w:pPr>
        <w:pStyle w:val="Rectitle"/>
        <w:rPr>
          <w:sz w:val="20"/>
          <w:lang w:val="es-ES"/>
        </w:rPr>
      </w:pPr>
      <w:r w:rsidRPr="00FC7304">
        <w:rPr>
          <w:sz w:val="20"/>
          <w:lang w:val="es-ES"/>
        </w:rPr>
        <w:t xml:space="preserve">METODOLOGÍA </w:t>
      </w:r>
      <w:r w:rsidR="0086119A">
        <w:rPr>
          <w:sz w:val="20"/>
          <w:lang w:val="es-ES"/>
        </w:rPr>
        <w:t xml:space="preserve"> </w:t>
      </w:r>
      <w:r w:rsidRPr="00FC7304">
        <w:rPr>
          <w:sz w:val="20"/>
          <w:lang w:val="es-ES"/>
        </w:rPr>
        <w:t xml:space="preserve">PARA </w:t>
      </w:r>
      <w:r w:rsidR="0086119A">
        <w:rPr>
          <w:sz w:val="20"/>
          <w:lang w:val="es-ES"/>
        </w:rPr>
        <w:t xml:space="preserve"> </w:t>
      </w:r>
      <w:r w:rsidRPr="00FC7304">
        <w:rPr>
          <w:sz w:val="20"/>
          <w:lang w:val="es-ES"/>
        </w:rPr>
        <w:t xml:space="preserve">EVALUAR </w:t>
      </w:r>
      <w:r w:rsidR="0086119A">
        <w:rPr>
          <w:sz w:val="20"/>
          <w:lang w:val="es-ES"/>
        </w:rPr>
        <w:t xml:space="preserve"> </w:t>
      </w:r>
      <w:r w:rsidRPr="00FC7304">
        <w:rPr>
          <w:sz w:val="20"/>
          <w:lang w:val="es-ES"/>
        </w:rPr>
        <w:t>EL</w:t>
      </w:r>
      <w:r w:rsidR="0086119A">
        <w:rPr>
          <w:sz w:val="20"/>
          <w:lang w:val="es-ES"/>
        </w:rPr>
        <w:t xml:space="preserve"> </w:t>
      </w:r>
      <w:r w:rsidRPr="00FC7304">
        <w:rPr>
          <w:sz w:val="20"/>
          <w:lang w:val="es-ES"/>
        </w:rPr>
        <w:t xml:space="preserve"> NIVEL </w:t>
      </w:r>
      <w:r w:rsidR="0086119A">
        <w:rPr>
          <w:sz w:val="20"/>
          <w:lang w:val="es-ES"/>
        </w:rPr>
        <w:t xml:space="preserve"> </w:t>
      </w:r>
      <w:r w:rsidRPr="00FC7304">
        <w:rPr>
          <w:sz w:val="20"/>
          <w:lang w:val="es-ES"/>
        </w:rPr>
        <w:t xml:space="preserve">DE </w:t>
      </w:r>
      <w:r w:rsidR="0086119A">
        <w:rPr>
          <w:sz w:val="20"/>
          <w:lang w:val="es-ES"/>
        </w:rPr>
        <w:t xml:space="preserve"> </w:t>
      </w:r>
      <w:r w:rsidRPr="00FC7304">
        <w:rPr>
          <w:sz w:val="20"/>
          <w:lang w:val="es-ES"/>
        </w:rPr>
        <w:t xml:space="preserve">COMPATIBILIDAD </w:t>
      </w:r>
      <w:r w:rsidR="0086119A">
        <w:rPr>
          <w:sz w:val="20"/>
          <w:lang w:val="es-ES"/>
        </w:rPr>
        <w:t xml:space="preserve"> </w:t>
      </w:r>
      <w:r w:rsidRPr="00FC7304">
        <w:rPr>
          <w:sz w:val="20"/>
          <w:lang w:val="es-ES"/>
        </w:rPr>
        <w:t>OPERACIONAL</w:t>
      </w:r>
      <w:r w:rsidR="0086119A">
        <w:rPr>
          <w:sz w:val="20"/>
          <w:lang w:val="es-ES"/>
        </w:rPr>
        <w:br/>
      </w:r>
      <w:r w:rsidRPr="00FC7304">
        <w:rPr>
          <w:sz w:val="20"/>
          <w:lang w:val="es-ES"/>
        </w:rPr>
        <w:t xml:space="preserve">ENTRE </w:t>
      </w:r>
      <w:r w:rsidR="0086119A">
        <w:rPr>
          <w:sz w:val="20"/>
          <w:lang w:val="es-ES"/>
        </w:rPr>
        <w:t xml:space="preserve"> </w:t>
      </w:r>
      <w:r w:rsidRPr="00FC7304">
        <w:rPr>
          <w:sz w:val="20"/>
          <w:lang w:val="es-ES"/>
        </w:rPr>
        <w:t>LOS</w:t>
      </w:r>
      <w:r w:rsidR="0086119A">
        <w:rPr>
          <w:sz w:val="20"/>
          <w:lang w:val="es-ES"/>
        </w:rPr>
        <w:t xml:space="preserve"> </w:t>
      </w:r>
      <w:r w:rsidRPr="00FC7304">
        <w:rPr>
          <w:sz w:val="20"/>
          <w:lang w:val="es-ES"/>
        </w:rPr>
        <w:t xml:space="preserve"> SISTEMAS </w:t>
      </w:r>
      <w:r w:rsidR="0086119A">
        <w:rPr>
          <w:sz w:val="20"/>
          <w:lang w:val="es-ES"/>
        </w:rPr>
        <w:t xml:space="preserve"> </w:t>
      </w:r>
      <w:r w:rsidRPr="00FC7304">
        <w:rPr>
          <w:sz w:val="20"/>
          <w:lang w:val="es-ES"/>
        </w:rPr>
        <w:t>DE</w:t>
      </w:r>
      <w:r w:rsidR="0086119A">
        <w:rPr>
          <w:sz w:val="20"/>
          <w:lang w:val="es-ES"/>
        </w:rPr>
        <w:t xml:space="preserve"> </w:t>
      </w:r>
      <w:r w:rsidRPr="00FC7304">
        <w:rPr>
          <w:sz w:val="20"/>
          <w:lang w:val="es-ES"/>
        </w:rPr>
        <w:t xml:space="preserve"> ACCESO </w:t>
      </w:r>
      <w:r w:rsidR="0086119A">
        <w:rPr>
          <w:sz w:val="20"/>
          <w:lang w:val="es-ES"/>
        </w:rPr>
        <w:t xml:space="preserve"> </w:t>
      </w:r>
      <w:r w:rsidRPr="00FC7304">
        <w:rPr>
          <w:sz w:val="20"/>
          <w:lang w:val="es-ES"/>
        </w:rPr>
        <w:t>INALÁMBRICO</w:t>
      </w:r>
      <w:r w:rsidR="0086119A">
        <w:rPr>
          <w:sz w:val="20"/>
          <w:lang w:val="es-ES"/>
        </w:rPr>
        <w:t xml:space="preserve"> </w:t>
      </w:r>
      <w:r w:rsidRPr="00FC7304">
        <w:rPr>
          <w:sz w:val="20"/>
          <w:lang w:val="es-ES"/>
        </w:rPr>
        <w:t xml:space="preserve"> FIJO</w:t>
      </w:r>
      <w:r w:rsidR="0086119A">
        <w:rPr>
          <w:sz w:val="20"/>
          <w:lang w:val="es-ES"/>
        </w:rPr>
        <w:t xml:space="preserve"> </w:t>
      </w:r>
      <w:r w:rsidRPr="00FC7304">
        <w:rPr>
          <w:sz w:val="20"/>
          <w:lang w:val="es-ES"/>
        </w:rPr>
        <w:t xml:space="preserve"> Y</w:t>
      </w:r>
      <w:r w:rsidR="0086119A">
        <w:rPr>
          <w:sz w:val="20"/>
          <w:lang w:val="es-ES"/>
        </w:rPr>
        <w:t xml:space="preserve"> </w:t>
      </w:r>
      <w:r w:rsidRPr="00FC7304">
        <w:rPr>
          <w:sz w:val="20"/>
          <w:lang w:val="es-ES"/>
        </w:rPr>
        <w:t xml:space="preserve"> LOS</w:t>
      </w:r>
      <w:r w:rsidR="0086119A">
        <w:rPr>
          <w:sz w:val="20"/>
          <w:lang w:val="es-ES"/>
        </w:rPr>
        <w:t xml:space="preserve"> </w:t>
      </w:r>
      <w:r w:rsidRPr="00FC7304">
        <w:rPr>
          <w:sz w:val="20"/>
          <w:lang w:val="es-ES"/>
        </w:rPr>
        <w:t xml:space="preserve"> SISTEMAS</w:t>
      </w:r>
      <w:r w:rsidR="0086119A">
        <w:rPr>
          <w:sz w:val="20"/>
          <w:lang w:val="es-ES"/>
        </w:rPr>
        <w:br/>
      </w:r>
      <w:r w:rsidRPr="00FC7304">
        <w:rPr>
          <w:sz w:val="20"/>
          <w:lang w:val="es-ES"/>
        </w:rPr>
        <w:t>DE</w:t>
      </w:r>
      <w:r w:rsidR="0086119A">
        <w:rPr>
          <w:sz w:val="20"/>
          <w:lang w:val="es-ES"/>
        </w:rPr>
        <w:t xml:space="preserve">  RADIOLOCALIZACIÓN  </w:t>
      </w:r>
      <w:r w:rsidRPr="00FC7304">
        <w:rPr>
          <w:sz w:val="20"/>
          <w:lang w:val="es-ES"/>
        </w:rPr>
        <w:t xml:space="preserve">CUANDO </w:t>
      </w:r>
      <w:r w:rsidR="0086119A">
        <w:rPr>
          <w:sz w:val="20"/>
          <w:lang w:val="es-ES"/>
        </w:rPr>
        <w:t xml:space="preserve"> </w:t>
      </w:r>
      <w:r w:rsidRPr="00FC7304">
        <w:rPr>
          <w:sz w:val="20"/>
          <w:lang w:val="es-ES"/>
        </w:rPr>
        <w:t xml:space="preserve">COMPARTEN </w:t>
      </w:r>
      <w:r w:rsidR="0086119A">
        <w:rPr>
          <w:sz w:val="20"/>
          <w:lang w:val="es-ES"/>
        </w:rPr>
        <w:t xml:space="preserve"> </w:t>
      </w:r>
      <w:r w:rsidRPr="00FC7304">
        <w:rPr>
          <w:sz w:val="20"/>
          <w:lang w:val="es-ES"/>
        </w:rPr>
        <w:t>LA BANDA</w:t>
      </w:r>
      <w:r w:rsidR="0086119A">
        <w:rPr>
          <w:sz w:val="20"/>
          <w:lang w:val="es-ES"/>
        </w:rPr>
        <w:t xml:space="preserve"> </w:t>
      </w:r>
      <w:r w:rsidRPr="00FC7304">
        <w:rPr>
          <w:sz w:val="20"/>
          <w:lang w:val="es-ES"/>
        </w:rPr>
        <w:t xml:space="preserve"> 3,4-3,7</w:t>
      </w:r>
      <w:r w:rsidR="0086119A">
        <w:rPr>
          <w:sz w:val="20"/>
          <w:lang w:val="es-ES"/>
        </w:rPr>
        <w:t xml:space="preserve"> </w:t>
      </w:r>
      <w:r w:rsidRPr="00FC7304">
        <w:rPr>
          <w:sz w:val="20"/>
          <w:lang w:val="es-ES"/>
        </w:rPr>
        <w:t xml:space="preserve"> GHz</w:t>
      </w:r>
    </w:p>
    <w:p w:rsidR="009C73B7" w:rsidRPr="00FC7304" w:rsidRDefault="009C73B7" w:rsidP="009C73B7">
      <w:pPr>
        <w:pStyle w:val="RecTitleRef"/>
        <w:rPr>
          <w:lang w:val="es-ES"/>
        </w:rPr>
      </w:pPr>
      <w:r w:rsidRPr="00FC7304">
        <w:rPr>
          <w:lang w:val="es-ES"/>
        </w:rPr>
        <w:t>(Cuestión UIT-R 215/5)</w:t>
      </w:r>
    </w:p>
    <w:p w:rsidR="009C73B7" w:rsidRPr="00FC7304" w:rsidRDefault="009C73B7" w:rsidP="009C73B7">
      <w:pPr>
        <w:pStyle w:val="RecTitleDate"/>
        <w:rPr>
          <w:lang w:val="es-ES"/>
        </w:rPr>
      </w:pPr>
      <w:r w:rsidRPr="00FC7304">
        <w:rPr>
          <w:lang w:val="es-ES"/>
        </w:rPr>
        <w:t>(2000)</w:t>
      </w:r>
    </w:p>
    <w:p w:rsidR="009C73B7" w:rsidRPr="009C73B7" w:rsidRDefault="009C73B7" w:rsidP="009C73B7">
      <w:pPr>
        <w:pStyle w:val="headfoot"/>
        <w:rPr>
          <w:color w:val="FFFFFF"/>
          <w:sz w:val="22"/>
          <w:szCs w:val="22"/>
          <w:lang w:val="es-ES"/>
        </w:rPr>
      </w:pPr>
      <w:r w:rsidRPr="009C73B7">
        <w:rPr>
          <w:color w:val="FFFFFF"/>
          <w:sz w:val="22"/>
          <w:szCs w:val="22"/>
          <w:lang w:val="es-ES"/>
        </w:rPr>
        <w:t>Rec. UIT-R F.1489</w:t>
      </w:r>
    </w:p>
    <w:p w:rsidR="009C73B7" w:rsidRPr="00723695" w:rsidRDefault="009C73B7" w:rsidP="0086119A">
      <w:pPr>
        <w:pStyle w:val="HeadingSum"/>
        <w:rPr>
          <w:sz w:val="20"/>
        </w:rPr>
      </w:pPr>
      <w:r w:rsidRPr="00723695">
        <w:rPr>
          <w:sz w:val="20"/>
        </w:rPr>
        <w:t>Cometido</w:t>
      </w:r>
    </w:p>
    <w:p w:rsidR="009C73B7" w:rsidRPr="00723695" w:rsidRDefault="009C73B7" w:rsidP="0023075D">
      <w:pPr>
        <w:pStyle w:val="Summary"/>
        <w:rPr>
          <w:sz w:val="20"/>
        </w:rPr>
      </w:pPr>
      <w:r w:rsidRPr="00723695">
        <w:rPr>
          <w:sz w:val="20"/>
        </w:rPr>
        <w:t>En la presente Recomendación se proporciona una metodología para evaluar el nivel de compatibilidad operativa entre los sistemas de acceso inalámbrico fijo y los sistemas de radiolocalización cuando comparten la banda 3 400</w:t>
      </w:r>
      <w:r w:rsidR="0023075D" w:rsidRPr="00723695">
        <w:rPr>
          <w:sz w:val="20"/>
        </w:rPr>
        <w:noBreakHyphen/>
      </w:r>
      <w:r w:rsidRPr="00723695">
        <w:rPr>
          <w:sz w:val="20"/>
        </w:rPr>
        <w:t>3 700</w:t>
      </w:r>
      <w:r w:rsidR="0023075D" w:rsidRPr="00723695">
        <w:rPr>
          <w:sz w:val="20"/>
        </w:rPr>
        <w:t> </w:t>
      </w:r>
      <w:r w:rsidRPr="00723695">
        <w:rPr>
          <w:sz w:val="20"/>
        </w:rPr>
        <w:t>MHz. Esta metodología puede aplicarse para determinar si las operaciones de los sistemas de acceso inalámbrico fijo están lo suficiente separados de las zonas en que funcionan los sistemas de radiolocalización como para no recibir un nivel de interferencia inaceptable, y/o para determinar las técnicas de mitigación adecuadas que podrían aplicarse.</w:t>
      </w:r>
    </w:p>
    <w:p w:rsidR="009C73B7" w:rsidRPr="00FC7304" w:rsidRDefault="009C73B7" w:rsidP="009C73B7">
      <w:pPr>
        <w:pStyle w:val="Normalaftertitle0"/>
        <w:rPr>
          <w:sz w:val="20"/>
          <w:lang w:val="es-ES"/>
        </w:rPr>
      </w:pPr>
      <w:r w:rsidRPr="00FC7304">
        <w:rPr>
          <w:sz w:val="20"/>
          <w:lang w:val="es-ES"/>
        </w:rPr>
        <w:t>La Asamblea de Radiocomunicaciones de la UIT,</w:t>
      </w:r>
    </w:p>
    <w:p w:rsidR="009C73B7" w:rsidRPr="00FC7304" w:rsidRDefault="009C73B7" w:rsidP="009C73B7">
      <w:pPr>
        <w:pStyle w:val="call0"/>
        <w:rPr>
          <w:lang w:val="es-ES"/>
        </w:rPr>
      </w:pPr>
      <w:r w:rsidRPr="00FC7304">
        <w:rPr>
          <w:lang w:val="es-ES"/>
        </w:rPr>
        <w:t>considerando</w:t>
      </w:r>
    </w:p>
    <w:p w:rsidR="009C73B7" w:rsidRPr="00FC7304" w:rsidRDefault="009C73B7" w:rsidP="009C73B7">
      <w:pPr>
        <w:rPr>
          <w:sz w:val="20"/>
          <w:lang w:val="es-ES"/>
        </w:rPr>
      </w:pPr>
      <w:r w:rsidRPr="00FC7304">
        <w:rPr>
          <w:sz w:val="20"/>
          <w:lang w:val="es-ES"/>
        </w:rPr>
        <w:t>a)</w:t>
      </w:r>
      <w:r w:rsidRPr="00FC7304">
        <w:rPr>
          <w:sz w:val="20"/>
          <w:lang w:val="es-ES"/>
        </w:rPr>
        <w:tab/>
        <w:t>que la banda de frecuencias 3</w:t>
      </w:r>
      <w:r w:rsidRPr="00FC7304">
        <w:rPr>
          <w:rFonts w:ascii="Tms Rmn" w:hAnsi="Tms Rmn"/>
          <w:sz w:val="20"/>
          <w:lang w:val="es-ES"/>
        </w:rPr>
        <w:t> </w:t>
      </w:r>
      <w:r w:rsidRPr="00FC7304">
        <w:rPr>
          <w:sz w:val="20"/>
          <w:lang w:val="es-ES"/>
        </w:rPr>
        <w:t>400-3</w:t>
      </w:r>
      <w:r w:rsidRPr="00FC7304">
        <w:rPr>
          <w:rFonts w:ascii="Tms Rmn" w:hAnsi="Tms Rmn"/>
          <w:sz w:val="20"/>
          <w:lang w:val="es-ES"/>
        </w:rPr>
        <w:t> </w:t>
      </w:r>
      <w:r w:rsidRPr="00FC7304">
        <w:rPr>
          <w:sz w:val="20"/>
          <w:lang w:val="es-ES"/>
        </w:rPr>
        <w:t>700 MHz está atribuida a título primario al servicio fijo y al servicio fijo por satélite (SFS), entre otros servicios;</w:t>
      </w:r>
    </w:p>
    <w:p w:rsidR="009C73B7" w:rsidRPr="00FC7304" w:rsidRDefault="009C73B7" w:rsidP="009C73B7">
      <w:pPr>
        <w:rPr>
          <w:sz w:val="20"/>
          <w:lang w:val="es-ES"/>
        </w:rPr>
      </w:pPr>
      <w:r w:rsidRPr="00FC7304">
        <w:rPr>
          <w:sz w:val="20"/>
          <w:lang w:val="es-ES"/>
        </w:rPr>
        <w:t>b)</w:t>
      </w:r>
      <w:r w:rsidRPr="00FC7304">
        <w:rPr>
          <w:sz w:val="20"/>
          <w:lang w:val="es-ES"/>
        </w:rPr>
        <w:tab/>
        <w:t>que esta banda, entre otras, se utiliza para los sistemas terrenales que funcionan en el servicio fijo para proporcionar acceso inalámbrico fijo (FWA</w:t>
      </w:r>
      <w:r w:rsidRPr="00FC7304">
        <w:rPr>
          <w:i/>
          <w:sz w:val="20"/>
          <w:lang w:val="es-ES"/>
        </w:rPr>
        <w:t>, fixed wireless access</w:t>
      </w:r>
      <w:r w:rsidRPr="00FC7304">
        <w:rPr>
          <w:sz w:val="20"/>
          <w:lang w:val="es-ES"/>
        </w:rPr>
        <w:t>) en una variedad de situaciones, y que esta utilización está creciendo rápidamente en muchos países, en particular en los países en desarrollo;</w:t>
      </w:r>
    </w:p>
    <w:p w:rsidR="009C73B7" w:rsidRPr="00FC7304" w:rsidRDefault="009C73B7" w:rsidP="009C73B7">
      <w:pPr>
        <w:rPr>
          <w:sz w:val="20"/>
          <w:lang w:val="es-ES"/>
        </w:rPr>
      </w:pPr>
      <w:r w:rsidRPr="00FC7304">
        <w:rPr>
          <w:sz w:val="20"/>
          <w:lang w:val="es-ES"/>
        </w:rPr>
        <w:t>c)</w:t>
      </w:r>
      <w:r w:rsidRPr="00FC7304">
        <w:rPr>
          <w:sz w:val="20"/>
          <w:lang w:val="es-ES"/>
        </w:rPr>
        <w:tab/>
        <w:t>que las características de los sistemas FWA y de radiolocalización pueden hacer la compatibilidad difícil de conseguir,</w:t>
      </w:r>
    </w:p>
    <w:p w:rsidR="009C73B7" w:rsidRPr="00FC7304" w:rsidRDefault="009C73B7" w:rsidP="009C73B7">
      <w:pPr>
        <w:pStyle w:val="call0"/>
        <w:rPr>
          <w:lang w:val="es-ES"/>
        </w:rPr>
      </w:pPr>
      <w:r w:rsidRPr="00FC7304">
        <w:rPr>
          <w:lang w:val="es-ES"/>
        </w:rPr>
        <w:t>observando</w:t>
      </w:r>
    </w:p>
    <w:p w:rsidR="009C73B7" w:rsidRPr="00FC7304" w:rsidRDefault="009C73B7" w:rsidP="009C73B7">
      <w:pPr>
        <w:rPr>
          <w:sz w:val="20"/>
          <w:lang w:val="es-ES"/>
        </w:rPr>
      </w:pPr>
      <w:r w:rsidRPr="00FC7304">
        <w:rPr>
          <w:sz w:val="20"/>
          <w:lang w:val="es-ES"/>
        </w:rPr>
        <w:t>a)</w:t>
      </w:r>
      <w:r w:rsidRPr="00FC7304">
        <w:rPr>
          <w:sz w:val="20"/>
          <w:lang w:val="es-ES"/>
        </w:rPr>
        <w:tab/>
        <w:t>que hay interés en armonizar el uso de los sistemas FWA en esta banda;</w:t>
      </w:r>
    </w:p>
    <w:p w:rsidR="009C73B7" w:rsidRPr="00FC7304" w:rsidRDefault="009C73B7" w:rsidP="009C73B7">
      <w:pPr>
        <w:spacing w:line="240" w:lineRule="atLeast"/>
        <w:rPr>
          <w:sz w:val="20"/>
          <w:lang w:val="es-ES"/>
        </w:rPr>
      </w:pPr>
      <w:r w:rsidRPr="00FC7304">
        <w:rPr>
          <w:sz w:val="20"/>
          <w:lang w:val="es-ES"/>
        </w:rPr>
        <w:t>b)</w:t>
      </w:r>
      <w:r w:rsidRPr="00FC7304">
        <w:rPr>
          <w:sz w:val="20"/>
          <w:lang w:val="es-ES"/>
        </w:rPr>
        <w:tab/>
        <w:t>que el servicio de radiolocalización tiene una atribución a título primario en las Regiones 2 y 3 y otra a título secundario en la Región 1 en la banda 3</w:t>
      </w:r>
      <w:r w:rsidRPr="00FC7304">
        <w:rPr>
          <w:rFonts w:ascii="Tms Rmn" w:hAnsi="Tms Rmn"/>
          <w:sz w:val="20"/>
          <w:lang w:val="es-ES"/>
        </w:rPr>
        <w:t> </w:t>
      </w:r>
      <w:r w:rsidRPr="00FC7304">
        <w:rPr>
          <w:sz w:val="20"/>
          <w:lang w:val="es-ES"/>
        </w:rPr>
        <w:t>400</w:t>
      </w:r>
      <w:r w:rsidRPr="00FC7304">
        <w:rPr>
          <w:sz w:val="20"/>
          <w:lang w:val="es-ES"/>
        </w:rPr>
        <w:noBreakHyphen/>
        <w:t>3</w:t>
      </w:r>
      <w:r w:rsidRPr="00FC7304">
        <w:rPr>
          <w:rFonts w:ascii="Tms Rmn" w:hAnsi="Tms Rmn"/>
          <w:sz w:val="20"/>
          <w:lang w:val="es-ES"/>
        </w:rPr>
        <w:t> </w:t>
      </w:r>
      <w:r w:rsidRPr="00FC7304">
        <w:rPr>
          <w:sz w:val="20"/>
          <w:lang w:val="es-ES"/>
        </w:rPr>
        <w:t>700 MHz;</w:t>
      </w:r>
    </w:p>
    <w:p w:rsidR="009C73B7" w:rsidRPr="00FC7304" w:rsidRDefault="009C73B7" w:rsidP="009C73B7">
      <w:pPr>
        <w:spacing w:line="240" w:lineRule="atLeast"/>
        <w:rPr>
          <w:sz w:val="20"/>
          <w:lang w:val="es-ES"/>
        </w:rPr>
      </w:pPr>
      <w:r w:rsidRPr="00FC7304">
        <w:rPr>
          <w:sz w:val="20"/>
          <w:lang w:val="es-ES"/>
        </w:rPr>
        <w:t>c)</w:t>
      </w:r>
      <w:r w:rsidRPr="00FC7304">
        <w:rPr>
          <w:sz w:val="20"/>
          <w:lang w:val="es-ES"/>
        </w:rPr>
        <w:tab/>
        <w:t>que generalmente las aplicaciones FWA utilizan arquitecturas multipunto, con una multiplicidad de terminales de base y de usuario en una zona;</w:t>
      </w:r>
    </w:p>
    <w:p w:rsidR="009C73B7" w:rsidRPr="00FC7304" w:rsidRDefault="009C73B7" w:rsidP="009C73B7">
      <w:pPr>
        <w:spacing w:line="240" w:lineRule="atLeast"/>
        <w:rPr>
          <w:sz w:val="20"/>
          <w:lang w:val="es-ES"/>
        </w:rPr>
      </w:pPr>
      <w:r w:rsidRPr="00FC7304">
        <w:rPr>
          <w:sz w:val="20"/>
          <w:lang w:val="es-ES"/>
        </w:rPr>
        <w:t>d)</w:t>
      </w:r>
      <w:r w:rsidRPr="00FC7304">
        <w:rPr>
          <w:sz w:val="20"/>
          <w:lang w:val="es-ES"/>
        </w:rPr>
        <w:tab/>
        <w:t>que existe necesidad de proteger los servicios a título primario compartido y de seguir evaluando las condiciones de compartición entre los sistemas FWA y estos servicios;</w:t>
      </w:r>
    </w:p>
    <w:p w:rsidR="009C73B7" w:rsidRPr="00FC7304" w:rsidRDefault="009C73B7" w:rsidP="009C73B7">
      <w:pPr>
        <w:spacing w:line="240" w:lineRule="atLeast"/>
        <w:rPr>
          <w:sz w:val="20"/>
          <w:lang w:val="es-ES"/>
        </w:rPr>
      </w:pPr>
      <w:r w:rsidRPr="00FC7304">
        <w:rPr>
          <w:sz w:val="20"/>
          <w:lang w:val="es-ES"/>
        </w:rPr>
        <w:t>e)</w:t>
      </w:r>
      <w:r w:rsidRPr="00FC7304">
        <w:rPr>
          <w:sz w:val="20"/>
          <w:lang w:val="es-ES"/>
        </w:rPr>
        <w:tab/>
        <w:t>que la Recomendación UIT-R M.1461 incluye procedimientos de cálculo que pueden utilizarse cuando se efectúan estudios de compartición entre sistemas FWA y sistemas de radiolocalización,</w:t>
      </w:r>
    </w:p>
    <w:p w:rsidR="009C73B7" w:rsidRPr="00FC7304" w:rsidRDefault="009C73B7" w:rsidP="009C73B7">
      <w:pPr>
        <w:pStyle w:val="call0"/>
        <w:spacing w:line="240" w:lineRule="atLeast"/>
        <w:rPr>
          <w:lang w:val="es-ES"/>
        </w:rPr>
      </w:pPr>
      <w:r w:rsidRPr="00FC7304">
        <w:rPr>
          <w:lang w:val="es-ES"/>
        </w:rPr>
        <w:t>recomienda</w:t>
      </w:r>
    </w:p>
    <w:p w:rsidR="009C73B7" w:rsidRPr="00FC7304" w:rsidRDefault="009C73B7" w:rsidP="009C73B7">
      <w:pPr>
        <w:spacing w:line="240" w:lineRule="atLeast"/>
        <w:rPr>
          <w:sz w:val="20"/>
          <w:lang w:val="es-ES"/>
        </w:rPr>
      </w:pPr>
      <w:r w:rsidRPr="00FC7304">
        <w:rPr>
          <w:b/>
          <w:bCs/>
          <w:sz w:val="20"/>
          <w:lang w:val="es-ES"/>
        </w:rPr>
        <w:t>1</w:t>
      </w:r>
      <w:r w:rsidRPr="00FC7304">
        <w:rPr>
          <w:sz w:val="20"/>
          <w:lang w:val="es-ES"/>
        </w:rPr>
        <w:tab/>
        <w:t>que cuando se efectúen estudios de compartición de frecuencias entre sistemas FWA y de radiolocalización, se considere la metodología contenida en el Anexo 1;</w:t>
      </w:r>
    </w:p>
    <w:p w:rsidR="009C73B7" w:rsidRPr="00FC7304" w:rsidRDefault="009C73B7" w:rsidP="009C73B7">
      <w:pPr>
        <w:spacing w:line="240" w:lineRule="atLeast"/>
        <w:rPr>
          <w:sz w:val="20"/>
          <w:lang w:val="es-ES"/>
        </w:rPr>
      </w:pPr>
      <w:r w:rsidRPr="00FC7304">
        <w:rPr>
          <w:b/>
          <w:bCs/>
          <w:sz w:val="20"/>
          <w:lang w:val="es-ES"/>
        </w:rPr>
        <w:t>2</w:t>
      </w:r>
      <w:r w:rsidRPr="00FC7304">
        <w:rPr>
          <w:sz w:val="20"/>
          <w:lang w:val="es-ES"/>
        </w:rPr>
        <w:tab/>
        <w:t>que la información reunida de los estudios efectuados utilizando esta metodología puede aplicarse a determinar si las operaciones no programadas del FWA están o no suficientemente distantes de las zonas operativas ordinarias o frecuentes de los sistemas de radiolocalización, de manera que no se reciba interferencia, y/o a determinar las técnicas adecuadas de reducción de interferencia que podrían aplicarse (véase la Nota 1);</w:t>
      </w:r>
    </w:p>
    <w:p w:rsidR="009C73B7" w:rsidRPr="00FC7304" w:rsidRDefault="009C73B7" w:rsidP="009C73B7">
      <w:pPr>
        <w:spacing w:line="240" w:lineRule="atLeast"/>
        <w:rPr>
          <w:sz w:val="20"/>
          <w:lang w:val="es-ES"/>
        </w:rPr>
      </w:pPr>
      <w:r w:rsidRPr="00FC7304">
        <w:rPr>
          <w:b/>
          <w:bCs/>
          <w:sz w:val="20"/>
          <w:lang w:val="es-ES"/>
        </w:rPr>
        <w:lastRenderedPageBreak/>
        <w:t>3</w:t>
      </w:r>
      <w:r w:rsidRPr="00FC7304">
        <w:rPr>
          <w:sz w:val="20"/>
          <w:lang w:val="es-ES"/>
        </w:rPr>
        <w:tab/>
        <w:t>que siempre que sea posible, las administraciones deben hacer que los estudios pertinentes, incluidos los que se hicieron mediante otras metodologías, estén disponibles para las Comisiones de Estudio de Radiocomunicaciones apropiadas;</w:t>
      </w:r>
    </w:p>
    <w:p w:rsidR="009C73B7" w:rsidRPr="00FC7304" w:rsidRDefault="009C73B7" w:rsidP="009C73B7">
      <w:pPr>
        <w:spacing w:line="240" w:lineRule="atLeast"/>
        <w:rPr>
          <w:sz w:val="20"/>
          <w:lang w:val="es-ES"/>
        </w:rPr>
      </w:pPr>
      <w:r w:rsidRPr="00FC7304">
        <w:rPr>
          <w:b/>
          <w:bCs/>
          <w:sz w:val="20"/>
          <w:lang w:val="es-ES"/>
        </w:rPr>
        <w:t>4</w:t>
      </w:r>
      <w:r w:rsidRPr="00FC7304">
        <w:rPr>
          <w:sz w:val="20"/>
          <w:lang w:val="es-ES"/>
        </w:rPr>
        <w:tab/>
        <w:t>que deben desarrollarse los principios de compartición necesarios para asegurar el funcionamiento compatible entre los sistemas FWA y de radiolocalización, teniendo en cuenta las técnicas disponibles de reducción de la interferencia y los resultados de las metodologías de evaluación, como las indicadas en el Anexo 1.</w:t>
      </w:r>
    </w:p>
    <w:p w:rsidR="009C73B7" w:rsidRPr="00723695" w:rsidRDefault="009C73B7" w:rsidP="00723695">
      <w:pPr>
        <w:rPr>
          <w:sz w:val="20"/>
          <w:lang w:val="es-ES"/>
        </w:rPr>
      </w:pPr>
      <w:r w:rsidRPr="00723695">
        <w:rPr>
          <w:sz w:val="20"/>
          <w:lang w:val="es-ES"/>
        </w:rPr>
        <w:t>NOTA 1 – En la Recomendación UIT</w:t>
      </w:r>
      <w:r w:rsidRPr="00723695">
        <w:rPr>
          <w:sz w:val="20"/>
          <w:lang w:val="es-ES"/>
        </w:rPr>
        <w:noBreakHyphen/>
        <w:t>R F.1097 se indican opciones de reducción de la interferencia para asegurar la compatibilidad entre los sistemas de radioenlaces digitales y los sistemas de radar.</w:t>
      </w:r>
    </w:p>
    <w:p w:rsidR="009C73B7" w:rsidRPr="00432471" w:rsidRDefault="009C73B7" w:rsidP="009C73B7">
      <w:pPr>
        <w:pStyle w:val="Note"/>
        <w:rPr>
          <w:sz w:val="24"/>
          <w:szCs w:val="24"/>
          <w:lang w:val="es-ES"/>
        </w:rPr>
      </w:pPr>
    </w:p>
    <w:p w:rsidR="009C73B7" w:rsidRPr="00FC7304" w:rsidRDefault="009C73B7" w:rsidP="009C73B7">
      <w:pPr>
        <w:pStyle w:val="Annex"/>
        <w:rPr>
          <w:lang w:val="es-ES"/>
        </w:rPr>
      </w:pPr>
      <w:r w:rsidRPr="00FC7304">
        <w:rPr>
          <w:lang w:val="es-ES"/>
        </w:rPr>
        <w:t>ANEXO  1</w:t>
      </w:r>
    </w:p>
    <w:p w:rsidR="009C73B7" w:rsidRPr="00FC7304" w:rsidRDefault="009C73B7" w:rsidP="009C73B7">
      <w:pPr>
        <w:pStyle w:val="AnnexTitle"/>
        <w:rPr>
          <w:sz w:val="20"/>
          <w:lang w:val="es-ES"/>
        </w:rPr>
      </w:pPr>
      <w:r w:rsidRPr="00FC7304">
        <w:rPr>
          <w:sz w:val="20"/>
          <w:lang w:val="es-ES"/>
        </w:rPr>
        <w:t>Metodologías para evaluar el nivel de compatibilidad entre los</w:t>
      </w:r>
      <w:r w:rsidRPr="00FC7304">
        <w:rPr>
          <w:sz w:val="20"/>
          <w:lang w:val="es-ES"/>
        </w:rPr>
        <w:br/>
        <w:t>sistemas FWA y los sistemas de radiolocalización</w:t>
      </w:r>
    </w:p>
    <w:p w:rsidR="009C73B7" w:rsidRPr="00432471" w:rsidRDefault="009C73B7" w:rsidP="009C73B7">
      <w:pPr>
        <w:pStyle w:val="Heading1"/>
        <w:spacing w:line="240" w:lineRule="atLeast"/>
        <w:rPr>
          <w:szCs w:val="24"/>
          <w:lang w:val="es-ES"/>
        </w:rPr>
      </w:pPr>
      <w:r w:rsidRPr="00432471">
        <w:rPr>
          <w:szCs w:val="24"/>
          <w:lang w:val="es-ES"/>
        </w:rPr>
        <w:t>1</w:t>
      </w:r>
      <w:r w:rsidRPr="00432471">
        <w:rPr>
          <w:szCs w:val="24"/>
          <w:lang w:val="es-ES"/>
        </w:rPr>
        <w:tab/>
        <w:t>Introducción</w:t>
      </w:r>
    </w:p>
    <w:p w:rsidR="009C73B7" w:rsidRPr="00FC7304" w:rsidRDefault="009C73B7" w:rsidP="009C73B7">
      <w:pPr>
        <w:spacing w:line="240" w:lineRule="atLeast"/>
        <w:rPr>
          <w:sz w:val="20"/>
          <w:lang w:val="es-ES"/>
        </w:rPr>
      </w:pPr>
      <w:r w:rsidRPr="00FC7304">
        <w:rPr>
          <w:sz w:val="20"/>
          <w:lang w:val="es-ES"/>
        </w:rPr>
        <w:t>El uso del sistema FWA para mejorar la teledensidad y la variedad de los servicios en todo el mundo ha aumentado y su aceptación continúa aumentando en una variedad de situaciones, entre ellas la de los países en desarrollo. Para determinar la compatibilidad entre los sistemas FWA y de radiolocalización en una banda concreta, deben efectuarse cuando sea posible mediciones reales. En este Anexo se describen los pasos para efectuar estos estudios de compartición. Los resultados de los estudios realizados de esta manera deben analizarse cuidadosamente para determinar si la situación de compartición es realizable con cualquier combinación de sistema FWA y sistemas de radiolocalización apropiados que funcionan en la misma banda.</w:t>
      </w:r>
    </w:p>
    <w:p w:rsidR="009C73B7" w:rsidRPr="00432471" w:rsidRDefault="009C73B7" w:rsidP="009C73B7">
      <w:pPr>
        <w:pStyle w:val="Heading1"/>
        <w:spacing w:line="240" w:lineRule="atLeast"/>
        <w:rPr>
          <w:szCs w:val="24"/>
          <w:lang w:val="es-ES"/>
        </w:rPr>
      </w:pPr>
      <w:r w:rsidRPr="00432471">
        <w:rPr>
          <w:szCs w:val="24"/>
          <w:lang w:val="es-ES"/>
        </w:rPr>
        <w:t>2</w:t>
      </w:r>
      <w:r w:rsidRPr="00432471">
        <w:rPr>
          <w:szCs w:val="24"/>
          <w:lang w:val="es-ES"/>
        </w:rPr>
        <w:tab/>
        <w:t>Metodología</w:t>
      </w:r>
    </w:p>
    <w:p w:rsidR="009C73B7" w:rsidRPr="00FC7304" w:rsidRDefault="009C73B7" w:rsidP="009C73B7">
      <w:pPr>
        <w:spacing w:line="240" w:lineRule="atLeast"/>
        <w:rPr>
          <w:sz w:val="20"/>
          <w:lang w:val="es-ES"/>
        </w:rPr>
      </w:pPr>
      <w:r w:rsidRPr="00FC7304">
        <w:rPr>
          <w:sz w:val="20"/>
          <w:lang w:val="es-ES"/>
        </w:rPr>
        <w:t>El estudio debe efectuarse de acuerdo con lo siguiente:</w:t>
      </w:r>
    </w:p>
    <w:p w:rsidR="009C73B7" w:rsidRPr="00FC7304" w:rsidRDefault="009C73B7" w:rsidP="009C73B7">
      <w:pPr>
        <w:pStyle w:val="enumlev1"/>
        <w:spacing w:line="240" w:lineRule="atLeast"/>
        <w:rPr>
          <w:sz w:val="20"/>
          <w:lang w:val="es-ES"/>
        </w:rPr>
      </w:pPr>
      <w:r w:rsidRPr="00FC7304">
        <w:rPr>
          <w:sz w:val="20"/>
          <w:lang w:val="es-ES"/>
        </w:rPr>
        <w:t>a)</w:t>
      </w:r>
      <w:r w:rsidRPr="00FC7304">
        <w:rPr>
          <w:sz w:val="20"/>
          <w:lang w:val="es-ES"/>
        </w:rPr>
        <w:tab/>
        <w:t>Caracterizar los parámetros de los sistemas FWA que se consideran críticos para asegurar la compatibilidad y definir la calidad de funcionamiento aceptable expresada como umbral de degradación de servicio aceptable, lo cual supone conocer las características del receptor siguiente y de los otros sistemas. Debe señalarse que en todos los casos deben considerarse tanto las estaciones de base como los terminales de usuario:</w:t>
      </w:r>
    </w:p>
    <w:p w:rsidR="009C73B7" w:rsidRPr="00FC7304" w:rsidRDefault="009C73B7" w:rsidP="009C73B7">
      <w:pPr>
        <w:pStyle w:val="enumlev2"/>
        <w:spacing w:line="240" w:lineRule="atLeast"/>
        <w:rPr>
          <w:sz w:val="20"/>
          <w:lang w:val="es-ES"/>
        </w:rPr>
      </w:pPr>
      <w:r w:rsidRPr="00FC7304">
        <w:rPr>
          <w:sz w:val="20"/>
          <w:lang w:val="es-ES"/>
        </w:rPr>
        <w:t>–</w:t>
      </w:r>
      <w:r w:rsidRPr="00FC7304">
        <w:rPr>
          <w:sz w:val="20"/>
          <w:lang w:val="es-ES"/>
        </w:rPr>
        <w:tab/>
        <w:t>sensibilidad;</w:t>
      </w:r>
    </w:p>
    <w:p w:rsidR="009C73B7" w:rsidRPr="00FC7304" w:rsidRDefault="009C73B7" w:rsidP="009C73B7">
      <w:pPr>
        <w:pStyle w:val="enumlev2"/>
        <w:spacing w:line="240" w:lineRule="atLeast"/>
        <w:rPr>
          <w:sz w:val="20"/>
          <w:lang w:val="es-ES"/>
        </w:rPr>
      </w:pPr>
      <w:r w:rsidRPr="00FC7304">
        <w:rPr>
          <w:sz w:val="20"/>
          <w:lang w:val="es-ES"/>
        </w:rPr>
        <w:t>–</w:t>
      </w:r>
      <w:r w:rsidRPr="00FC7304">
        <w:rPr>
          <w:sz w:val="20"/>
          <w:lang w:val="es-ES"/>
        </w:rPr>
        <w:tab/>
        <w:t>umbral mínimo de ruido del receptor;</w:t>
      </w:r>
    </w:p>
    <w:p w:rsidR="009C73B7" w:rsidRPr="00FC7304" w:rsidRDefault="009C73B7" w:rsidP="009C73B7">
      <w:pPr>
        <w:pStyle w:val="enumlev2"/>
        <w:spacing w:line="240" w:lineRule="atLeast"/>
        <w:rPr>
          <w:sz w:val="20"/>
          <w:lang w:val="es-ES"/>
        </w:rPr>
      </w:pPr>
      <w:r w:rsidRPr="00FC7304">
        <w:rPr>
          <w:sz w:val="20"/>
          <w:lang w:val="es-ES"/>
        </w:rPr>
        <w:t>–</w:t>
      </w:r>
      <w:r w:rsidRPr="00FC7304">
        <w:rPr>
          <w:sz w:val="20"/>
          <w:lang w:val="es-ES"/>
        </w:rPr>
        <w:tab/>
        <w:t>selectividad;</w:t>
      </w:r>
    </w:p>
    <w:p w:rsidR="009C73B7" w:rsidRPr="00FC7304" w:rsidRDefault="009C73B7" w:rsidP="009C73B7">
      <w:pPr>
        <w:pStyle w:val="enumlev2"/>
        <w:spacing w:line="240" w:lineRule="atLeast"/>
        <w:rPr>
          <w:sz w:val="20"/>
          <w:lang w:val="es-ES"/>
        </w:rPr>
      </w:pPr>
      <w:r w:rsidRPr="00FC7304">
        <w:rPr>
          <w:sz w:val="20"/>
          <w:lang w:val="es-ES"/>
        </w:rPr>
        <w:t>–</w:t>
      </w:r>
      <w:r w:rsidRPr="00FC7304">
        <w:rPr>
          <w:sz w:val="20"/>
          <w:lang w:val="es-ES"/>
        </w:rPr>
        <w:tab/>
        <w:t>detección de errores y corrección de bits de datos corrompidos/faltantes (técnicas y valores de parámetros tales como BER);</w:t>
      </w:r>
    </w:p>
    <w:p w:rsidR="009C73B7" w:rsidRPr="00FC7304" w:rsidRDefault="009C73B7" w:rsidP="009C73B7">
      <w:pPr>
        <w:pStyle w:val="enumlev2"/>
        <w:spacing w:line="240" w:lineRule="atLeast"/>
        <w:rPr>
          <w:sz w:val="20"/>
          <w:lang w:val="es-ES"/>
        </w:rPr>
      </w:pPr>
      <w:r w:rsidRPr="00FC7304">
        <w:rPr>
          <w:sz w:val="20"/>
          <w:lang w:val="es-ES"/>
        </w:rPr>
        <w:t>–</w:t>
      </w:r>
      <w:r w:rsidRPr="00FC7304">
        <w:rPr>
          <w:sz w:val="20"/>
          <w:lang w:val="es-ES"/>
        </w:rPr>
        <w:tab/>
        <w:t>rechazo de la interferencia cocanal y de canal(es) adyacente(s);</w:t>
      </w:r>
    </w:p>
    <w:p w:rsidR="009C73B7" w:rsidRPr="00FC7304" w:rsidRDefault="009C73B7" w:rsidP="009C73B7">
      <w:pPr>
        <w:pStyle w:val="enumlev2"/>
        <w:spacing w:line="240" w:lineRule="atLeast"/>
        <w:rPr>
          <w:sz w:val="20"/>
          <w:lang w:val="es-ES"/>
        </w:rPr>
      </w:pPr>
      <w:r w:rsidRPr="00FC7304">
        <w:rPr>
          <w:sz w:val="20"/>
          <w:lang w:val="es-ES"/>
        </w:rPr>
        <w:t>–</w:t>
      </w:r>
      <w:r w:rsidRPr="00FC7304">
        <w:rPr>
          <w:sz w:val="20"/>
          <w:lang w:val="es-ES"/>
        </w:rPr>
        <w:tab/>
        <w:t>respuestas no esenciales;</w:t>
      </w:r>
    </w:p>
    <w:p w:rsidR="009C73B7" w:rsidRPr="00FC7304" w:rsidRDefault="009C73B7" w:rsidP="009C73B7">
      <w:pPr>
        <w:pStyle w:val="enumlev2"/>
        <w:spacing w:line="240" w:lineRule="atLeast"/>
        <w:rPr>
          <w:sz w:val="20"/>
          <w:lang w:val="es-ES"/>
        </w:rPr>
      </w:pPr>
      <w:r w:rsidRPr="00FC7304">
        <w:rPr>
          <w:sz w:val="20"/>
          <w:lang w:val="es-ES"/>
        </w:rPr>
        <w:t>–</w:t>
      </w:r>
      <w:r w:rsidRPr="00FC7304">
        <w:rPr>
          <w:sz w:val="20"/>
          <w:lang w:val="es-ES"/>
        </w:rPr>
        <w:tab/>
        <w:t>tiempo de recuperación;</w:t>
      </w:r>
    </w:p>
    <w:p w:rsidR="009C73B7" w:rsidRPr="00FC7304" w:rsidRDefault="009C73B7" w:rsidP="009C73B7">
      <w:pPr>
        <w:pStyle w:val="enumlev2"/>
        <w:spacing w:line="240" w:lineRule="atLeast"/>
        <w:rPr>
          <w:sz w:val="20"/>
          <w:lang w:val="es-ES"/>
        </w:rPr>
      </w:pPr>
      <w:r w:rsidRPr="00FC7304">
        <w:rPr>
          <w:sz w:val="20"/>
          <w:lang w:val="es-ES"/>
        </w:rPr>
        <w:t>–</w:t>
      </w:r>
      <w:r w:rsidRPr="00FC7304">
        <w:rPr>
          <w:sz w:val="20"/>
          <w:lang w:val="es-ES"/>
        </w:rPr>
        <w:tab/>
        <w:t>tiempo de respuesta del control automático de ganancia (CAG) o del limitador;</w:t>
      </w:r>
    </w:p>
    <w:p w:rsidR="009C73B7" w:rsidRPr="00FC7304" w:rsidRDefault="009C73B7" w:rsidP="009C73B7">
      <w:pPr>
        <w:pStyle w:val="enumlev2"/>
        <w:spacing w:line="240" w:lineRule="atLeast"/>
        <w:rPr>
          <w:sz w:val="20"/>
          <w:lang w:val="es-ES"/>
        </w:rPr>
      </w:pPr>
      <w:r w:rsidRPr="00FC7304">
        <w:rPr>
          <w:sz w:val="20"/>
          <w:lang w:val="es-ES"/>
        </w:rPr>
        <w:t>–</w:t>
      </w:r>
      <w:r w:rsidRPr="00FC7304">
        <w:rPr>
          <w:sz w:val="20"/>
          <w:lang w:val="es-ES"/>
        </w:rPr>
        <w:tab/>
        <w:t>nivel de saturación del receptor;</w:t>
      </w:r>
    </w:p>
    <w:p w:rsidR="009C73B7" w:rsidRPr="00FC7304" w:rsidRDefault="009C73B7" w:rsidP="009C73B7">
      <w:pPr>
        <w:pStyle w:val="enumlev2"/>
        <w:spacing w:line="240" w:lineRule="atLeast"/>
        <w:rPr>
          <w:sz w:val="20"/>
          <w:lang w:val="es-ES"/>
        </w:rPr>
      </w:pPr>
      <w:r w:rsidRPr="00FC7304">
        <w:rPr>
          <w:sz w:val="20"/>
          <w:lang w:val="es-ES"/>
        </w:rPr>
        <w:t>–</w:t>
      </w:r>
      <w:r w:rsidRPr="00FC7304">
        <w:rPr>
          <w:sz w:val="20"/>
          <w:lang w:val="es-ES"/>
        </w:rPr>
        <w:tab/>
        <w:t>degradación no recuperable;</w:t>
      </w:r>
    </w:p>
    <w:p w:rsidR="009C73B7" w:rsidRPr="00FC7304" w:rsidRDefault="009C73B7" w:rsidP="009C73B7">
      <w:pPr>
        <w:pStyle w:val="enumlev2"/>
        <w:spacing w:line="240" w:lineRule="atLeast"/>
        <w:rPr>
          <w:sz w:val="20"/>
          <w:lang w:val="es-ES"/>
        </w:rPr>
      </w:pPr>
      <w:r w:rsidRPr="00FC7304">
        <w:rPr>
          <w:sz w:val="20"/>
          <w:lang w:val="es-ES"/>
        </w:rPr>
        <w:t>–</w:t>
      </w:r>
      <w:r w:rsidRPr="00FC7304">
        <w:rPr>
          <w:sz w:val="20"/>
          <w:lang w:val="es-ES"/>
        </w:rPr>
        <w:tab/>
        <w:t>intermodulación del receptor;</w:t>
      </w:r>
    </w:p>
    <w:p w:rsidR="009C73B7" w:rsidRPr="00FC7304" w:rsidRDefault="009C73B7" w:rsidP="009C73B7">
      <w:pPr>
        <w:pStyle w:val="enumlev2"/>
        <w:spacing w:line="240" w:lineRule="atLeast"/>
        <w:rPr>
          <w:sz w:val="20"/>
          <w:lang w:val="es-ES"/>
        </w:rPr>
      </w:pPr>
      <w:r w:rsidRPr="00FC7304">
        <w:rPr>
          <w:sz w:val="20"/>
          <w:lang w:val="es-ES"/>
        </w:rPr>
        <w:t>–</w:t>
      </w:r>
      <w:r w:rsidRPr="00FC7304">
        <w:rPr>
          <w:sz w:val="20"/>
          <w:lang w:val="es-ES"/>
        </w:rPr>
        <w:tab/>
        <w:t>esquema(s) de modulación, anchuras de banda y velocidades de datos con sus correspondientes requisitos de proporción de bits o de bytes erróneos;</w:t>
      </w:r>
    </w:p>
    <w:p w:rsidR="009C73B7" w:rsidRPr="00FC7304" w:rsidRDefault="009C73B7" w:rsidP="009C73B7">
      <w:pPr>
        <w:pStyle w:val="enumlev2"/>
        <w:spacing w:line="240" w:lineRule="atLeast"/>
        <w:rPr>
          <w:sz w:val="20"/>
          <w:lang w:val="es-ES"/>
        </w:rPr>
      </w:pPr>
      <w:r w:rsidRPr="00FC7304">
        <w:rPr>
          <w:sz w:val="20"/>
          <w:lang w:val="es-ES"/>
        </w:rPr>
        <w:t>–</w:t>
      </w:r>
      <w:r w:rsidRPr="00FC7304">
        <w:rPr>
          <w:sz w:val="20"/>
          <w:lang w:val="es-ES"/>
        </w:rPr>
        <w:tab/>
        <w:t>diagramas de ganancia de antena o niveles de lóbulos laterales;</w:t>
      </w:r>
    </w:p>
    <w:p w:rsidR="009C73B7" w:rsidRPr="00FC7304" w:rsidRDefault="009C73B7" w:rsidP="009C73B7">
      <w:pPr>
        <w:pStyle w:val="enumlev2"/>
        <w:spacing w:line="240" w:lineRule="atLeast"/>
        <w:rPr>
          <w:sz w:val="20"/>
          <w:lang w:val="es-ES"/>
        </w:rPr>
      </w:pPr>
      <w:r w:rsidRPr="00FC7304">
        <w:rPr>
          <w:sz w:val="20"/>
          <w:lang w:val="es-ES"/>
        </w:rPr>
        <w:t>–</w:t>
      </w:r>
      <w:r w:rsidRPr="00FC7304">
        <w:rPr>
          <w:sz w:val="20"/>
          <w:lang w:val="es-ES"/>
        </w:rPr>
        <w:tab/>
        <w:t>alturas de antena típicas y emplazamiento de las estaciones de base (sobre una colina, en una depresión del terreno, etc.).</w:t>
      </w:r>
    </w:p>
    <w:p w:rsidR="009C73B7" w:rsidRPr="00FC7304" w:rsidRDefault="009C73B7" w:rsidP="009C73B7">
      <w:pPr>
        <w:pStyle w:val="enumlev1"/>
        <w:spacing w:line="240" w:lineRule="atLeast"/>
        <w:rPr>
          <w:sz w:val="20"/>
          <w:lang w:val="es-ES"/>
        </w:rPr>
      </w:pPr>
      <w:r w:rsidRPr="00FC7304">
        <w:rPr>
          <w:sz w:val="20"/>
          <w:lang w:val="es-ES"/>
        </w:rPr>
        <w:lastRenderedPageBreak/>
        <w:t>b)</w:t>
      </w:r>
      <w:r w:rsidRPr="00FC7304">
        <w:rPr>
          <w:sz w:val="20"/>
          <w:lang w:val="es-ES"/>
        </w:rPr>
        <w:tab/>
        <w:t>Establecer las características del sistema de radiolocalización (potencia de transmisión, duración de los impulsos y ciclo de trabajo, etc., utilizando, por ejemplo, la Recomendación UIT-R M.1465 – Características y criterios de protección de los radares que funcionan en el servicio de radiolodeterminación en la banda de frecuencias 3</w:t>
      </w:r>
      <w:r w:rsidRPr="00FC7304">
        <w:rPr>
          <w:rFonts w:ascii="Tms Rmn" w:hAnsi="Tms Rmn"/>
          <w:sz w:val="20"/>
          <w:lang w:val="es-ES"/>
        </w:rPr>
        <w:t> </w:t>
      </w:r>
      <w:r w:rsidRPr="00FC7304">
        <w:rPr>
          <w:sz w:val="20"/>
          <w:lang w:val="es-ES"/>
        </w:rPr>
        <w:t>100-3</w:t>
      </w:r>
      <w:r w:rsidRPr="00FC7304">
        <w:rPr>
          <w:rFonts w:ascii="Tms Rmn" w:hAnsi="Tms Rmn"/>
          <w:sz w:val="20"/>
          <w:lang w:val="es-ES"/>
        </w:rPr>
        <w:t> </w:t>
      </w:r>
      <w:r w:rsidRPr="00FC7304">
        <w:rPr>
          <w:sz w:val="20"/>
          <w:lang w:val="es-ES"/>
        </w:rPr>
        <w:t>700 MHz). Para los transmisores de radar de estado sólido debe señalarse que las longitudes de los impulsos del transmisor y los ciclos de trabajo se cree que serán del orden de 1 ms y del 25% respectivamente en el futuro previsible.</w:t>
      </w:r>
    </w:p>
    <w:p w:rsidR="009C73B7" w:rsidRPr="00FC7304" w:rsidRDefault="009C73B7" w:rsidP="009C73B7">
      <w:pPr>
        <w:pStyle w:val="enumlev1"/>
        <w:spacing w:line="240" w:lineRule="atLeast"/>
        <w:rPr>
          <w:sz w:val="20"/>
          <w:lang w:val="es-ES"/>
        </w:rPr>
      </w:pPr>
      <w:r w:rsidRPr="00FC7304">
        <w:rPr>
          <w:sz w:val="20"/>
          <w:lang w:val="es-ES"/>
        </w:rPr>
        <w:t>c)</w:t>
      </w:r>
      <w:r w:rsidRPr="00FC7304">
        <w:rPr>
          <w:sz w:val="20"/>
          <w:lang w:val="es-ES"/>
        </w:rPr>
        <w:tab/>
        <w:t xml:space="preserve">Analizar los efectos de los sistemas de radiolocalización en las instalaciones FWA. Para la gama prevista de parámetros de emisión de radiolocalización, determinar por análisis las relaciones </w:t>
      </w:r>
      <w:r w:rsidRPr="00FC7304">
        <w:rPr>
          <w:i/>
          <w:iCs/>
          <w:sz w:val="20"/>
          <w:lang w:val="es-ES"/>
        </w:rPr>
        <w:t>I</w:t>
      </w:r>
      <w:r w:rsidRPr="00FC7304">
        <w:rPr>
          <w:sz w:val="20"/>
          <w:lang w:val="es-ES"/>
        </w:rPr>
        <w:t>/</w:t>
      </w:r>
      <w:r w:rsidRPr="00FC7304">
        <w:rPr>
          <w:i/>
          <w:iCs/>
          <w:sz w:val="20"/>
          <w:lang w:val="es-ES"/>
        </w:rPr>
        <w:t>N</w:t>
      </w:r>
      <w:r w:rsidRPr="00FC7304">
        <w:rPr>
          <w:sz w:val="20"/>
          <w:lang w:val="es-ES"/>
        </w:rPr>
        <w:t xml:space="preserve"> o </w:t>
      </w:r>
      <w:r w:rsidRPr="00FC7304">
        <w:rPr>
          <w:i/>
          <w:iCs/>
          <w:sz w:val="20"/>
          <w:lang w:val="es-ES"/>
        </w:rPr>
        <w:t>C</w:t>
      </w:r>
      <w:r w:rsidRPr="00FC7304">
        <w:rPr>
          <w:sz w:val="20"/>
          <w:lang w:val="es-ES"/>
        </w:rPr>
        <w:t>/</w:t>
      </w:r>
      <w:r w:rsidRPr="00FC7304">
        <w:rPr>
          <w:i/>
          <w:iCs/>
          <w:sz w:val="20"/>
          <w:lang w:val="es-ES"/>
        </w:rPr>
        <w:t>I</w:t>
      </w:r>
      <w:r w:rsidRPr="00FC7304">
        <w:rPr>
          <w:sz w:val="20"/>
          <w:lang w:val="es-ES"/>
        </w:rPr>
        <w:t xml:space="preserve"> tolerables (véanse las Notas 1 y 2). Las técnicas de modelado determinístico o probabilístico (de solución analítica completa) podrían ser adecuadas con algunas formas de degradación, pero deben utilizarse las técnicas de simulación de Monte Carlo cuando sea necesario para otras mediciones de degradación.</w:t>
      </w:r>
    </w:p>
    <w:p w:rsidR="009C73B7" w:rsidRPr="00FC7304" w:rsidRDefault="009C73B7" w:rsidP="0023075D">
      <w:pPr>
        <w:pStyle w:val="enumlev1"/>
        <w:spacing w:line="240" w:lineRule="atLeast"/>
        <w:rPr>
          <w:sz w:val="20"/>
          <w:lang w:val="es-ES"/>
        </w:rPr>
      </w:pPr>
      <w:r w:rsidRPr="00FC7304">
        <w:rPr>
          <w:sz w:val="20"/>
          <w:lang w:val="es-ES"/>
        </w:rPr>
        <w:t>d)</w:t>
      </w:r>
      <w:r w:rsidRPr="00FC7304">
        <w:rPr>
          <w:sz w:val="20"/>
          <w:lang w:val="es-ES"/>
        </w:rPr>
        <w:tab/>
        <w:t xml:space="preserve">Utilizando los criterios de las relaciones </w:t>
      </w:r>
      <w:r w:rsidRPr="00FC7304">
        <w:rPr>
          <w:i/>
          <w:iCs/>
          <w:sz w:val="20"/>
          <w:lang w:val="es-ES"/>
        </w:rPr>
        <w:t>I</w:t>
      </w:r>
      <w:r w:rsidRPr="00FC7304">
        <w:rPr>
          <w:sz w:val="20"/>
          <w:lang w:val="es-ES"/>
        </w:rPr>
        <w:t>/</w:t>
      </w:r>
      <w:r w:rsidRPr="00FC7304">
        <w:rPr>
          <w:i/>
          <w:iCs/>
          <w:sz w:val="20"/>
          <w:lang w:val="es-ES"/>
        </w:rPr>
        <w:t>N</w:t>
      </w:r>
      <w:r w:rsidRPr="00FC7304">
        <w:rPr>
          <w:sz w:val="20"/>
          <w:lang w:val="es-ES"/>
        </w:rPr>
        <w:t xml:space="preserve"> y/o </w:t>
      </w:r>
      <w:r w:rsidRPr="00FC7304">
        <w:rPr>
          <w:i/>
          <w:iCs/>
          <w:sz w:val="20"/>
          <w:lang w:val="es-ES"/>
        </w:rPr>
        <w:t>C</w:t>
      </w:r>
      <w:r w:rsidRPr="00FC7304">
        <w:rPr>
          <w:sz w:val="20"/>
          <w:lang w:val="es-ES"/>
        </w:rPr>
        <w:t>/</w:t>
      </w:r>
      <w:r w:rsidRPr="00FC7304">
        <w:rPr>
          <w:i/>
          <w:iCs/>
          <w:sz w:val="20"/>
          <w:lang w:val="es-ES"/>
        </w:rPr>
        <w:t>I</w:t>
      </w:r>
      <w:r w:rsidRPr="00FC7304">
        <w:rPr>
          <w:sz w:val="20"/>
          <w:lang w:val="es-ES"/>
        </w:rPr>
        <w:t xml:space="preserve"> resultantes, evaluar las consecuencias de las emisiones de radar en los sistemas FWA mediante cálculos de nivel de interferencia/acoplamiento de acuerdo con la Recomendación UIT-R M.1461 – Procedimientos para determinar la posibilidad de interferencia entre radares que funcionan en el servicio de radiodeterminación y sistemas de otros servicios;</w:t>
      </w:r>
    </w:p>
    <w:p w:rsidR="009C73B7" w:rsidRPr="00FC7304" w:rsidRDefault="009C73B7" w:rsidP="009C73B7">
      <w:pPr>
        <w:pStyle w:val="enumlev1"/>
        <w:spacing w:line="240" w:lineRule="atLeast"/>
        <w:rPr>
          <w:sz w:val="20"/>
          <w:lang w:val="es-ES"/>
        </w:rPr>
      </w:pPr>
      <w:r w:rsidRPr="00FC7304">
        <w:rPr>
          <w:sz w:val="20"/>
          <w:lang w:val="es-ES"/>
        </w:rPr>
        <w:t>e)</w:t>
      </w:r>
      <w:r w:rsidRPr="00FC7304">
        <w:rPr>
          <w:sz w:val="20"/>
          <w:lang w:val="es-ES"/>
        </w:rPr>
        <w:tab/>
        <w:t>Verificar que el equipo FWA disponible para pruebas está funcionando dentro de sus especificaciones indicadas en a), haciendo hincapié en los conceptos siguientes: selectividad, respuesta de frecuencia, factor de ruido o temperatura de ruido del receptor, gama dinámica (nivel de saturación), respuestas no esenciales, tiempo de recuperación, BER con sólo señales deseadas presentes, transmodulación e intermodulación.</w:t>
      </w:r>
    </w:p>
    <w:p w:rsidR="009C73B7" w:rsidRPr="00FC7304" w:rsidRDefault="009C73B7" w:rsidP="009C73B7">
      <w:pPr>
        <w:pStyle w:val="enumlev1"/>
        <w:spacing w:line="240" w:lineRule="atLeast"/>
        <w:rPr>
          <w:sz w:val="20"/>
          <w:lang w:val="es-ES"/>
        </w:rPr>
      </w:pPr>
      <w:r w:rsidRPr="00FC7304">
        <w:rPr>
          <w:sz w:val="20"/>
          <w:lang w:val="es-ES"/>
        </w:rPr>
        <w:t>f)</w:t>
      </w:r>
      <w:r w:rsidRPr="00FC7304">
        <w:rPr>
          <w:sz w:val="20"/>
          <w:lang w:val="es-ES"/>
        </w:rPr>
        <w:tab/>
        <w:t xml:space="preserve">Caracterizar las degradaciones de calidad de funcionamiento del sistema de receptores FWA producidas por diversas fuentes de señal no deseada por medio de pruebas en el banco. Las fuentes no deseadas deben acoplarse en el sistema FWA junto con la señal o señales deseadas. Deberá utilizarse una gama completa de señales no deseadas, incluidas diversas anchuras de impulsos y frecuencias de repetición de los impulsos. Se variarán los niveles de las señales deseada y no deseada y se efectuarán y registrarán medidas de la calidad de funcionamiento (indicadas en a)). Los resultados pueden presentarse en forma de relación señal/interferencia, </w:t>
      </w:r>
      <w:r w:rsidRPr="00FC7304">
        <w:rPr>
          <w:i/>
          <w:iCs/>
          <w:sz w:val="20"/>
          <w:lang w:val="es-ES"/>
        </w:rPr>
        <w:t>S</w:t>
      </w:r>
      <w:r w:rsidRPr="00FC7304">
        <w:rPr>
          <w:sz w:val="20"/>
          <w:lang w:val="es-ES"/>
        </w:rPr>
        <w:t>/</w:t>
      </w:r>
      <w:r w:rsidRPr="00FC7304">
        <w:rPr>
          <w:i/>
          <w:iCs/>
          <w:sz w:val="20"/>
          <w:lang w:val="es-ES"/>
        </w:rPr>
        <w:t>I</w:t>
      </w:r>
      <w:r w:rsidRPr="00FC7304">
        <w:rPr>
          <w:sz w:val="20"/>
          <w:lang w:val="es-ES"/>
        </w:rPr>
        <w:t>, y deben compararse con los obtenidos en el análisis especificado en c).</w:t>
      </w:r>
    </w:p>
    <w:p w:rsidR="009C73B7" w:rsidRPr="00FC7304" w:rsidRDefault="009C73B7" w:rsidP="00BC2948">
      <w:pPr>
        <w:pStyle w:val="enumlev1"/>
        <w:spacing w:line="240" w:lineRule="atLeast"/>
        <w:rPr>
          <w:sz w:val="20"/>
          <w:lang w:val="es-ES"/>
        </w:rPr>
      </w:pPr>
      <w:r w:rsidRPr="00FC7304">
        <w:rPr>
          <w:sz w:val="20"/>
          <w:lang w:val="es-ES"/>
        </w:rPr>
        <w:t>g)</w:t>
      </w:r>
      <w:r w:rsidRPr="00FC7304">
        <w:rPr>
          <w:sz w:val="20"/>
          <w:lang w:val="es-ES"/>
        </w:rPr>
        <w:tab/>
        <w:t>Caracterizar la respuesta de frecuencia de antena y el diagrama de radiación en la gama de frecuencias que se considere necesaria según los análisis citados, gama que debe incluir como mínimo la banda 3</w:t>
      </w:r>
      <w:r w:rsidRPr="00FC7304">
        <w:rPr>
          <w:rFonts w:ascii="Tms Rmn" w:hAnsi="Tms Rmn"/>
          <w:sz w:val="20"/>
          <w:lang w:val="es-ES"/>
        </w:rPr>
        <w:t> </w:t>
      </w:r>
      <w:r w:rsidRPr="00FC7304">
        <w:rPr>
          <w:sz w:val="20"/>
          <w:lang w:val="es-ES"/>
        </w:rPr>
        <w:t>400</w:t>
      </w:r>
      <w:r w:rsidR="00BC2948">
        <w:rPr>
          <w:sz w:val="20"/>
          <w:lang w:val="es-ES"/>
        </w:rPr>
        <w:noBreakHyphen/>
      </w:r>
      <w:r w:rsidRPr="00FC7304">
        <w:rPr>
          <w:sz w:val="20"/>
          <w:lang w:val="es-ES"/>
        </w:rPr>
        <w:t>3</w:t>
      </w:r>
      <w:r w:rsidRPr="00FC7304">
        <w:rPr>
          <w:rFonts w:ascii="Tms Rmn" w:hAnsi="Tms Rmn"/>
          <w:sz w:val="20"/>
          <w:lang w:val="es-ES"/>
        </w:rPr>
        <w:t> </w:t>
      </w:r>
      <w:r w:rsidRPr="00FC7304">
        <w:rPr>
          <w:sz w:val="20"/>
          <w:lang w:val="es-ES"/>
        </w:rPr>
        <w:t>700 MHz.</w:t>
      </w:r>
    </w:p>
    <w:p w:rsidR="009C73B7" w:rsidRPr="00FC7304" w:rsidRDefault="009C73B7" w:rsidP="009C73B7">
      <w:pPr>
        <w:pStyle w:val="enumlev1"/>
        <w:spacing w:line="240" w:lineRule="atLeast"/>
        <w:rPr>
          <w:sz w:val="20"/>
          <w:lang w:val="es-ES"/>
        </w:rPr>
      </w:pPr>
      <w:r w:rsidRPr="00FC7304">
        <w:rPr>
          <w:sz w:val="20"/>
          <w:lang w:val="es-ES"/>
        </w:rPr>
        <w:t>h)</w:t>
      </w:r>
      <w:r w:rsidRPr="00FC7304">
        <w:rPr>
          <w:sz w:val="20"/>
          <w:lang w:val="es-ES"/>
        </w:rPr>
        <w:tab/>
        <w:t>Calcular los efectos de las emisiones de radiolocalización en las instalaciones del sistema FWA. Elaborar las conclusiones en forma de curvas de separación frecuencia-distancia.</w:t>
      </w:r>
    </w:p>
    <w:p w:rsidR="009C73B7" w:rsidRPr="00FC7304" w:rsidRDefault="009C73B7" w:rsidP="009C73B7">
      <w:pPr>
        <w:pStyle w:val="enumlev1"/>
        <w:spacing w:line="240" w:lineRule="atLeast"/>
        <w:rPr>
          <w:sz w:val="20"/>
          <w:lang w:val="es-ES"/>
        </w:rPr>
      </w:pPr>
      <w:r w:rsidRPr="00FC7304">
        <w:rPr>
          <w:sz w:val="20"/>
          <w:lang w:val="es-ES"/>
        </w:rPr>
        <w:t>i)</w:t>
      </w:r>
      <w:r w:rsidRPr="00FC7304">
        <w:rPr>
          <w:sz w:val="20"/>
          <w:lang w:val="es-ES"/>
        </w:rPr>
        <w:tab/>
        <w:t>Instalar, cuando sea necesario, un sistema FWA representativo adyacente a los sistemas de radiolocalización identificados y medir los efectos de interferencia de los emisores de radiolocalización en los receptores FWA mediante pruebas de campo. Los datos obtenidos en las mediciones deben utilizarse para validar los resultados del análisis de la influencia del sistema de radiolocalización en el sistema FWA.</w:t>
      </w:r>
    </w:p>
    <w:p w:rsidR="009C73B7" w:rsidRPr="00FC7304" w:rsidRDefault="009C73B7" w:rsidP="009C73B7">
      <w:pPr>
        <w:pStyle w:val="enumlev1"/>
        <w:spacing w:line="240" w:lineRule="atLeast"/>
        <w:rPr>
          <w:sz w:val="20"/>
          <w:lang w:val="es-ES"/>
        </w:rPr>
      </w:pPr>
      <w:r w:rsidRPr="00FC7304">
        <w:rPr>
          <w:sz w:val="20"/>
          <w:lang w:val="es-ES"/>
        </w:rPr>
        <w:t>j)</w:t>
      </w:r>
      <w:r w:rsidRPr="00FC7304">
        <w:rPr>
          <w:sz w:val="20"/>
          <w:lang w:val="es-ES"/>
        </w:rPr>
        <w:tab/>
        <w:t>Determinar los parámetros del sistema FWA, incluida la potencia del transmisor, las ganancias de antena los niveles de lóbulos laterales, las alturas de antena, y las prácticas de emplazamiento, que son críticos para asegurar la compatibilidad.</w:t>
      </w:r>
    </w:p>
    <w:p w:rsidR="009C73B7" w:rsidRPr="00FC7304" w:rsidRDefault="009C73B7" w:rsidP="0023075D">
      <w:pPr>
        <w:pStyle w:val="enumlev1"/>
        <w:spacing w:line="240" w:lineRule="atLeast"/>
        <w:rPr>
          <w:sz w:val="20"/>
          <w:lang w:val="es-ES"/>
        </w:rPr>
      </w:pPr>
      <w:r w:rsidRPr="00FC7304">
        <w:rPr>
          <w:sz w:val="20"/>
          <w:lang w:val="es-ES"/>
        </w:rPr>
        <w:t>k)</w:t>
      </w:r>
      <w:r w:rsidRPr="00FC7304">
        <w:rPr>
          <w:sz w:val="20"/>
          <w:lang w:val="es-ES"/>
        </w:rPr>
        <w:tab/>
        <w:t>Calcular el impacto combinado de instalaciones del sistema FWA completas y representativas en los sistemas de radiolocalización, utilizando el criterio de la relación (</w:t>
      </w:r>
      <w:r w:rsidRPr="00FC7304">
        <w:rPr>
          <w:i/>
          <w:iCs/>
          <w:sz w:val="20"/>
          <w:lang w:val="es-ES"/>
        </w:rPr>
        <w:t>I</w:t>
      </w:r>
      <w:r w:rsidRPr="00FC7304">
        <w:rPr>
          <w:sz w:val="20"/>
          <w:lang w:val="es-ES"/>
        </w:rPr>
        <w:t> </w:t>
      </w:r>
      <w:r w:rsidR="0023075D" w:rsidRPr="0023075D">
        <w:rPr>
          <w:sz w:val="20"/>
        </w:rPr>
        <w:t>+</w:t>
      </w:r>
      <w:r w:rsidRPr="00FC7304">
        <w:rPr>
          <w:sz w:val="20"/>
          <w:lang w:val="es-ES"/>
        </w:rPr>
        <w:t> </w:t>
      </w:r>
      <w:r w:rsidRPr="00FC7304">
        <w:rPr>
          <w:i/>
          <w:iCs/>
          <w:sz w:val="20"/>
          <w:lang w:val="es-ES"/>
        </w:rPr>
        <w:t>N</w:t>
      </w:r>
      <w:r w:rsidRPr="00FC7304">
        <w:rPr>
          <w:sz w:val="20"/>
          <w:lang w:val="es-ES"/>
        </w:rPr>
        <w:t>)/</w:t>
      </w:r>
      <w:r w:rsidRPr="00FC7304">
        <w:rPr>
          <w:i/>
          <w:iCs/>
          <w:sz w:val="20"/>
          <w:lang w:val="es-ES"/>
        </w:rPr>
        <w:t>N</w:t>
      </w:r>
      <w:r w:rsidRPr="00FC7304">
        <w:rPr>
          <w:sz w:val="20"/>
          <w:lang w:val="es-ES"/>
        </w:rPr>
        <w:t xml:space="preserve"> de radar y los cálculos de acoplamiento de niveles de interferencia descritos en la Recomendación UIT-R M.1461. La técnica de acceso múltiple específica, con una multiplicidad realista de usuarios, puede necesitar reflejarse en los modelos y/o simulaciones.</w:t>
      </w:r>
    </w:p>
    <w:p w:rsidR="009C73B7" w:rsidRPr="00FC7304" w:rsidRDefault="009C73B7" w:rsidP="009C73B7">
      <w:pPr>
        <w:pStyle w:val="enumlev1"/>
        <w:spacing w:line="240" w:lineRule="atLeast"/>
        <w:rPr>
          <w:sz w:val="20"/>
          <w:lang w:val="es-ES"/>
        </w:rPr>
      </w:pPr>
      <w:r w:rsidRPr="00FC7304">
        <w:rPr>
          <w:sz w:val="20"/>
          <w:lang w:val="es-ES"/>
        </w:rPr>
        <w:t>l)</w:t>
      </w:r>
      <w:r w:rsidRPr="00FC7304">
        <w:rPr>
          <w:sz w:val="20"/>
          <w:lang w:val="es-ES"/>
        </w:rPr>
        <w:tab/>
        <w:t>Evaluar las posibles variaciones en probables instalaciones del sistema FWA y su iluminación por los sistemas de radiolocalización, y viceversa, con vistas a emprender posibles mediciones y/o cálculos adicionales de los efectos combinados.</w:t>
      </w:r>
    </w:p>
    <w:p w:rsidR="009C73B7" w:rsidRPr="00FC7304" w:rsidRDefault="009C73B7" w:rsidP="009C73B7">
      <w:pPr>
        <w:pStyle w:val="enumlev1"/>
        <w:spacing w:line="240" w:lineRule="atLeast"/>
        <w:rPr>
          <w:sz w:val="20"/>
          <w:lang w:val="es-ES"/>
        </w:rPr>
      </w:pPr>
      <w:r w:rsidRPr="00FC7304">
        <w:rPr>
          <w:sz w:val="20"/>
          <w:lang w:val="es-ES"/>
        </w:rPr>
        <w:t>m)</w:t>
      </w:r>
      <w:r w:rsidRPr="00FC7304">
        <w:rPr>
          <w:sz w:val="20"/>
          <w:lang w:val="es-ES"/>
        </w:rPr>
        <w:tab/>
        <w:t>Si así conviene, resumir los resultados finales en forma de curvas de separación frecuencia-distancia y/o cualesquiera otras formas apropiadas.</w:t>
      </w:r>
    </w:p>
    <w:p w:rsidR="009C73B7" w:rsidRPr="00723695" w:rsidRDefault="009C73B7" w:rsidP="009C73B7">
      <w:pPr>
        <w:pStyle w:val="Note"/>
        <w:rPr>
          <w:sz w:val="20"/>
          <w:lang w:val="es-ES"/>
        </w:rPr>
      </w:pPr>
      <w:r w:rsidRPr="00723695">
        <w:rPr>
          <w:sz w:val="20"/>
          <w:lang w:val="es-ES"/>
        </w:rPr>
        <w:t xml:space="preserve">NOTA 1 – La Recomendación UIT-R F.1190 incluye ejemplos de relaciones </w:t>
      </w:r>
      <w:r w:rsidRPr="00723695">
        <w:rPr>
          <w:i/>
          <w:iCs/>
          <w:sz w:val="20"/>
          <w:lang w:val="es-ES"/>
        </w:rPr>
        <w:t>I</w:t>
      </w:r>
      <w:r w:rsidRPr="00723695">
        <w:rPr>
          <w:sz w:val="20"/>
          <w:lang w:val="es-ES"/>
        </w:rPr>
        <w:t>/</w:t>
      </w:r>
      <w:r w:rsidRPr="00723695">
        <w:rPr>
          <w:i/>
          <w:iCs/>
          <w:sz w:val="20"/>
          <w:lang w:val="es-ES"/>
        </w:rPr>
        <w:t>N</w:t>
      </w:r>
      <w:r w:rsidRPr="00723695">
        <w:rPr>
          <w:sz w:val="20"/>
          <w:lang w:val="es-ES"/>
        </w:rPr>
        <w:t xml:space="preserve"> tolerables para emisiones no deseadas procedentes de sistemas de radar.</w:t>
      </w:r>
    </w:p>
    <w:p w:rsidR="009C73B7" w:rsidRDefault="009C73B7" w:rsidP="00EA35B7">
      <w:pPr>
        <w:pStyle w:val="Note"/>
        <w:rPr>
          <w:sz w:val="20"/>
          <w:lang w:val="es-ES"/>
        </w:rPr>
      </w:pPr>
      <w:r w:rsidRPr="00723695">
        <w:rPr>
          <w:sz w:val="20"/>
          <w:lang w:val="es-ES"/>
        </w:rPr>
        <w:t>NOTA 2 – En la Recomendación UIT-R F.758 se da orientación general sobre los criterios de compartición para el servicio fijo.</w:t>
      </w:r>
    </w:p>
    <w:p w:rsidR="00A6617B" w:rsidRPr="009C73B7" w:rsidRDefault="00A6617B" w:rsidP="00EA35B7">
      <w:pPr>
        <w:pStyle w:val="Line"/>
      </w:pPr>
    </w:p>
    <w:sectPr w:rsidR="00A6617B" w:rsidRPr="009C73B7" w:rsidSect="00EA35B7">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119A" w:rsidRDefault="0086119A">
      <w:r>
        <w:separator/>
      </w:r>
    </w:p>
  </w:endnote>
  <w:endnote w:type="continuationSeparator" w:id="0">
    <w:p w:rsidR="0086119A" w:rsidRDefault="008611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119A" w:rsidRDefault="0086119A">
      <w:r>
        <w:separator/>
      </w:r>
    </w:p>
  </w:footnote>
  <w:footnote w:type="continuationSeparator" w:id="0">
    <w:p w:rsidR="0086119A" w:rsidRDefault="0086119A">
      <w:r>
        <w:continuationSeparator/>
      </w:r>
    </w:p>
  </w:footnote>
  <w:footnote w:id="1">
    <w:p w:rsidR="00B70081" w:rsidRPr="00AE7054" w:rsidRDefault="00B70081" w:rsidP="00B70081">
      <w:pPr>
        <w:pStyle w:val="FootnoteText"/>
        <w:ind w:left="313" w:hanging="313"/>
        <w:rPr>
          <w:sz w:val="18"/>
          <w:szCs w:val="18"/>
          <w:lang w:val="en-US"/>
        </w:rPr>
      </w:pPr>
      <w:r w:rsidRPr="00B70081">
        <w:rPr>
          <w:rStyle w:val="FootnoteReference"/>
          <w:szCs w:val="18"/>
          <w:lang w:val="en-US"/>
        </w:rPr>
        <w:t>*</w:t>
      </w:r>
      <w:r w:rsidRPr="00AE7054">
        <w:rPr>
          <w:sz w:val="18"/>
          <w:szCs w:val="18"/>
          <w:lang w:val="en-US"/>
        </w:rPr>
        <w:tab/>
      </w:r>
      <w:r>
        <w:rPr>
          <w:sz w:val="18"/>
          <w:szCs w:val="18"/>
          <w:lang w:val="en-US"/>
        </w:rPr>
        <w:t>Esta Recomendación debe señalarse a la atención de la Comisión de Estudio 4 de Radiocomunicaciones</w:t>
      </w:r>
      <w:r w:rsidRPr="00AE7054">
        <w:rPr>
          <w:sz w:val="18"/>
          <w:szCs w:val="18"/>
          <w:lang w:val="en-US"/>
        </w:rPr>
        <w:t>.</w:t>
      </w:r>
    </w:p>
  </w:footnote>
  <w:footnote w:id="2">
    <w:p w:rsidR="00B70081" w:rsidRPr="00AE7054" w:rsidRDefault="00B70081" w:rsidP="00B70081">
      <w:pPr>
        <w:pStyle w:val="FootnoteText"/>
        <w:rPr>
          <w:sz w:val="18"/>
          <w:szCs w:val="18"/>
          <w:lang w:val="en-US"/>
        </w:rPr>
      </w:pPr>
      <w:r w:rsidRPr="00B70081">
        <w:rPr>
          <w:rStyle w:val="FootnoteReference"/>
          <w:szCs w:val="18"/>
          <w:lang w:val="en-US"/>
        </w:rPr>
        <w:t>**</w:t>
      </w:r>
      <w:r w:rsidRPr="00AE7054">
        <w:rPr>
          <w:sz w:val="18"/>
          <w:szCs w:val="18"/>
          <w:lang w:val="en-US"/>
        </w:rPr>
        <w:tab/>
      </w:r>
      <w:r>
        <w:rPr>
          <w:sz w:val="18"/>
          <w:szCs w:val="18"/>
          <w:lang w:val="en-US"/>
        </w:rPr>
        <w:t>La Comisión de Estudio 5 introdujo modificaciones de edición en la presente Recomendación el mes de diciembre de 2009</w:t>
      </w:r>
      <w:r w:rsidRPr="00AE7054">
        <w:rPr>
          <w:sz w:val="18"/>
          <w:szCs w:val="18"/>
          <w:lang w:val="en-US"/>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19A" w:rsidRDefault="0086119A">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19A" w:rsidRDefault="0086119A" w:rsidP="0086119A">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19A" w:rsidRDefault="00A92F7C" w:rsidP="0086119A">
    <w:pPr>
      <w:pStyle w:val="Header"/>
      <w:jc w:val="left"/>
    </w:pPr>
    <w:r>
      <w:rPr>
        <w:rStyle w:val="PageNumber"/>
        <w:b/>
        <w:bCs/>
      </w:rPr>
      <w:fldChar w:fldCharType="begin"/>
    </w:r>
    <w:r w:rsidR="0086119A">
      <w:rPr>
        <w:rStyle w:val="PageNumber"/>
        <w:b/>
        <w:bCs/>
      </w:rPr>
      <w:instrText xml:space="preserve"> PAGE </w:instrText>
    </w:r>
    <w:r>
      <w:rPr>
        <w:rStyle w:val="PageNumber"/>
        <w:b/>
        <w:bCs/>
      </w:rPr>
      <w:fldChar w:fldCharType="separate"/>
    </w:r>
    <w:r w:rsidR="00B70081">
      <w:rPr>
        <w:rStyle w:val="PageNumber"/>
        <w:b/>
        <w:bCs/>
        <w:noProof/>
      </w:rPr>
      <w:t>ii</w:t>
    </w:r>
    <w:r>
      <w:rPr>
        <w:rStyle w:val="PageNumber"/>
        <w:b/>
        <w:bCs/>
      </w:rPr>
      <w:fldChar w:fldCharType="end"/>
    </w:r>
    <w:r w:rsidR="0086119A">
      <w:tab/>
    </w:r>
    <w:fldSimple w:instr=" DOCPROPERTY &quot;Header&quot; \* MERGEFORMAT ">
      <w:r w:rsidR="0086119A" w:rsidRPr="00723695">
        <w:rPr>
          <w:b/>
          <w:bCs/>
          <w:lang w:val="en-US"/>
        </w:rPr>
        <w:t xml:space="preserve">Rec. </w:t>
      </w:r>
    </w:fldSimple>
    <w:r w:rsidR="0086119A">
      <w:rPr>
        <w:b/>
        <w:bCs/>
      </w:rPr>
      <w:t xml:space="preserve"> </w:t>
    </w:r>
    <w:r>
      <w:rPr>
        <w:b/>
        <w:bCs/>
      </w:rPr>
      <w:fldChar w:fldCharType="begin"/>
    </w:r>
    <w:r w:rsidR="0086119A">
      <w:rPr>
        <w:b/>
        <w:bCs/>
      </w:rPr>
      <w:instrText>styleref href</w:instrText>
    </w:r>
    <w:r>
      <w:rPr>
        <w:b/>
        <w:bCs/>
      </w:rPr>
      <w:fldChar w:fldCharType="separate"/>
    </w:r>
    <w:r w:rsidR="00B70081">
      <w:rPr>
        <w:b/>
        <w:bCs/>
        <w:noProof/>
      </w:rPr>
      <w:t>UIT-R  F.1489</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19A" w:rsidRDefault="0086119A">
    <w:pPr>
      <w:pStyle w:val="Header"/>
    </w:pPr>
    <w:r>
      <w:tab/>
    </w:r>
    <w:fldSimple w:instr=" DOCPROPERTY &quot;Header&quot; \* MERGEFORMAT ">
      <w:r w:rsidRPr="00723695">
        <w:rPr>
          <w:lang w:val="en-US"/>
        </w:rPr>
        <w:t xml:space="preserve">Rec. </w:t>
      </w:r>
    </w:fldSimple>
    <w:r>
      <w:rPr>
        <w:b/>
        <w:bCs/>
      </w:rPr>
      <w:t xml:space="preserve">  </w:t>
    </w:r>
    <w:r w:rsidR="00A92F7C">
      <w:rPr>
        <w:b/>
        <w:bCs/>
      </w:rPr>
      <w:fldChar w:fldCharType="begin"/>
    </w:r>
    <w:r>
      <w:rPr>
        <w:b/>
        <w:bCs/>
      </w:rPr>
      <w:instrText>styleref href</w:instrText>
    </w:r>
    <w:r w:rsidR="00A92F7C">
      <w:rPr>
        <w:b/>
        <w:bCs/>
      </w:rPr>
      <w:fldChar w:fldCharType="separate"/>
    </w:r>
    <w:r>
      <w:rPr>
        <w:b/>
        <w:bCs/>
        <w:noProof/>
      </w:rPr>
      <w:t>UIT-R  F.1489</w:t>
    </w:r>
    <w:r w:rsidR="00A92F7C">
      <w:rPr>
        <w:b/>
        <w:bCs/>
      </w:rPr>
      <w:fldChar w:fldCharType="end"/>
    </w:r>
    <w:r>
      <w:tab/>
    </w:r>
    <w:r w:rsidR="00A92F7C">
      <w:rPr>
        <w:rStyle w:val="PageNumber"/>
        <w:b/>
        <w:bCs/>
      </w:rPr>
      <w:fldChar w:fldCharType="begin"/>
    </w:r>
    <w:r>
      <w:rPr>
        <w:rStyle w:val="PageNumber"/>
        <w:b/>
        <w:bCs/>
      </w:rPr>
      <w:instrText xml:space="preserve"> PAGE </w:instrText>
    </w:r>
    <w:r w:rsidR="00A92F7C">
      <w:rPr>
        <w:rStyle w:val="PageNumber"/>
        <w:b/>
        <w:bCs/>
      </w:rPr>
      <w:fldChar w:fldCharType="separate"/>
    </w:r>
    <w:r>
      <w:rPr>
        <w:rStyle w:val="PageNumber"/>
        <w:b/>
        <w:bCs/>
        <w:noProof/>
      </w:rPr>
      <w:t>1</w:t>
    </w:r>
    <w:r w:rsidR="00A92F7C">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19A" w:rsidRDefault="00A92F7C">
    <w:pPr>
      <w:pStyle w:val="Header"/>
      <w:jc w:val="left"/>
      <w:rPr>
        <w:lang w:val="en-US"/>
      </w:rPr>
    </w:pPr>
    <w:r>
      <w:rPr>
        <w:rStyle w:val="PageNumber"/>
        <w:b/>
        <w:bCs/>
      </w:rPr>
      <w:fldChar w:fldCharType="begin"/>
    </w:r>
    <w:r w:rsidR="0086119A">
      <w:rPr>
        <w:rStyle w:val="PageNumber"/>
        <w:b/>
        <w:bCs/>
        <w:lang w:val="en-US"/>
      </w:rPr>
      <w:instrText xml:space="preserve"> PAGE </w:instrText>
    </w:r>
    <w:r>
      <w:rPr>
        <w:rStyle w:val="PageNumber"/>
        <w:b/>
        <w:bCs/>
      </w:rPr>
      <w:fldChar w:fldCharType="separate"/>
    </w:r>
    <w:r w:rsidR="00B70081">
      <w:rPr>
        <w:rStyle w:val="PageNumber"/>
        <w:b/>
        <w:bCs/>
        <w:noProof/>
        <w:lang w:val="en-US"/>
      </w:rPr>
      <w:t>2</w:t>
    </w:r>
    <w:r>
      <w:rPr>
        <w:rStyle w:val="PageNumber"/>
        <w:b/>
        <w:bCs/>
      </w:rPr>
      <w:fldChar w:fldCharType="end"/>
    </w:r>
    <w:r w:rsidR="0086119A">
      <w:rPr>
        <w:lang w:val="en-US"/>
      </w:rPr>
      <w:tab/>
    </w:r>
    <w:fldSimple w:instr=" DOCPROPERTY &quot;Header&quot; \* MERGEFORMAT ">
      <w:r w:rsidR="0086119A" w:rsidRPr="00723695">
        <w:rPr>
          <w:b/>
          <w:bCs/>
          <w:lang w:val="en-US"/>
        </w:rPr>
        <w:t xml:space="preserve">Rec. </w:t>
      </w:r>
    </w:fldSimple>
    <w:r w:rsidR="0086119A">
      <w:rPr>
        <w:b/>
        <w:bCs/>
      </w:rPr>
      <w:t xml:space="preserve"> </w:t>
    </w:r>
    <w:r>
      <w:rPr>
        <w:b/>
        <w:bCs/>
      </w:rPr>
      <w:fldChar w:fldCharType="begin"/>
    </w:r>
    <w:r w:rsidR="0086119A">
      <w:rPr>
        <w:b/>
        <w:bCs/>
        <w:lang w:val="en-US"/>
      </w:rPr>
      <w:instrText>styleref href</w:instrText>
    </w:r>
    <w:r>
      <w:rPr>
        <w:b/>
        <w:bCs/>
      </w:rPr>
      <w:fldChar w:fldCharType="separate"/>
    </w:r>
    <w:r w:rsidR="00B70081">
      <w:rPr>
        <w:b/>
        <w:bCs/>
        <w:noProof/>
      </w:rPr>
      <w:t>UIT-R  F.1489</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19A" w:rsidRDefault="0086119A">
    <w:pPr>
      <w:pStyle w:val="Header"/>
    </w:pPr>
    <w:r>
      <w:tab/>
    </w:r>
    <w:fldSimple w:instr=" DOCPROPERTY &quot;Header&quot; \* MERGEFORMAT ">
      <w:r w:rsidRPr="00723695">
        <w:rPr>
          <w:b/>
          <w:bCs/>
        </w:rPr>
        <w:t xml:space="preserve">Rec. </w:t>
      </w:r>
    </w:fldSimple>
    <w:r>
      <w:rPr>
        <w:b/>
        <w:bCs/>
      </w:rPr>
      <w:t xml:space="preserve"> </w:t>
    </w:r>
    <w:r w:rsidR="00A92F7C">
      <w:rPr>
        <w:b/>
        <w:bCs/>
      </w:rPr>
      <w:fldChar w:fldCharType="begin"/>
    </w:r>
    <w:r>
      <w:rPr>
        <w:b/>
        <w:bCs/>
      </w:rPr>
      <w:instrText>styleref href</w:instrText>
    </w:r>
    <w:r w:rsidR="00A92F7C">
      <w:rPr>
        <w:b/>
        <w:bCs/>
      </w:rPr>
      <w:fldChar w:fldCharType="separate"/>
    </w:r>
    <w:r w:rsidR="00B70081">
      <w:rPr>
        <w:b/>
        <w:bCs/>
        <w:noProof/>
      </w:rPr>
      <w:t>UIT-R  F.1489</w:t>
    </w:r>
    <w:r w:rsidR="00A92F7C">
      <w:rPr>
        <w:b/>
        <w:bCs/>
      </w:rPr>
      <w:fldChar w:fldCharType="end"/>
    </w:r>
    <w:r>
      <w:tab/>
    </w:r>
    <w:r w:rsidR="00A92F7C">
      <w:rPr>
        <w:rStyle w:val="PageNumber"/>
        <w:b/>
        <w:bCs/>
      </w:rPr>
      <w:fldChar w:fldCharType="begin"/>
    </w:r>
    <w:r>
      <w:rPr>
        <w:rStyle w:val="PageNumber"/>
        <w:b/>
        <w:bCs/>
      </w:rPr>
      <w:instrText xml:space="preserve"> PAGE </w:instrText>
    </w:r>
    <w:r w:rsidR="00A92F7C">
      <w:rPr>
        <w:rStyle w:val="PageNumber"/>
        <w:b/>
        <w:bCs/>
      </w:rPr>
      <w:fldChar w:fldCharType="separate"/>
    </w:r>
    <w:r w:rsidR="00B70081">
      <w:rPr>
        <w:rStyle w:val="PageNumber"/>
        <w:b/>
        <w:bCs/>
        <w:noProof/>
      </w:rPr>
      <w:t>1</w:t>
    </w:r>
    <w:r w:rsidR="00A92F7C">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EA35B7"/>
    <w:rsid w:val="000F28E8"/>
    <w:rsid w:val="00217EBF"/>
    <w:rsid w:val="0023075D"/>
    <w:rsid w:val="0027692D"/>
    <w:rsid w:val="002D76C4"/>
    <w:rsid w:val="00607D68"/>
    <w:rsid w:val="00723695"/>
    <w:rsid w:val="007468DA"/>
    <w:rsid w:val="00755AED"/>
    <w:rsid w:val="0086119A"/>
    <w:rsid w:val="0092091D"/>
    <w:rsid w:val="009C73B7"/>
    <w:rsid w:val="00A6617B"/>
    <w:rsid w:val="00A92F7C"/>
    <w:rsid w:val="00AB0DC8"/>
    <w:rsid w:val="00B44E24"/>
    <w:rsid w:val="00B70081"/>
    <w:rsid w:val="00BC2948"/>
    <w:rsid w:val="00D91D2C"/>
    <w:rsid w:val="00DF4176"/>
    <w:rsid w:val="00E977C8"/>
    <w:rsid w:val="00EA35B7"/>
    <w:rsid w:val="00FC7304"/>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2091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92091D"/>
    <w:pPr>
      <w:keepNext/>
      <w:keepLines/>
      <w:spacing w:before="480"/>
      <w:ind w:left="794" w:hanging="794"/>
      <w:outlineLvl w:val="0"/>
    </w:pPr>
    <w:rPr>
      <w:b/>
    </w:rPr>
  </w:style>
  <w:style w:type="paragraph" w:styleId="Heading2">
    <w:name w:val="heading 2"/>
    <w:basedOn w:val="Heading1"/>
    <w:next w:val="Normal"/>
    <w:qFormat/>
    <w:rsid w:val="0092091D"/>
    <w:pPr>
      <w:spacing w:before="320"/>
      <w:outlineLvl w:val="1"/>
    </w:pPr>
  </w:style>
  <w:style w:type="paragraph" w:styleId="Heading3">
    <w:name w:val="heading 3"/>
    <w:basedOn w:val="Heading1"/>
    <w:next w:val="Normal"/>
    <w:qFormat/>
    <w:rsid w:val="0092091D"/>
    <w:pPr>
      <w:spacing w:before="200"/>
      <w:outlineLvl w:val="2"/>
    </w:pPr>
  </w:style>
  <w:style w:type="paragraph" w:styleId="Heading4">
    <w:name w:val="heading 4"/>
    <w:basedOn w:val="Heading3"/>
    <w:next w:val="Normal"/>
    <w:qFormat/>
    <w:rsid w:val="0092091D"/>
    <w:pPr>
      <w:tabs>
        <w:tab w:val="clear" w:pos="794"/>
        <w:tab w:val="left" w:pos="992"/>
      </w:tabs>
      <w:ind w:left="992" w:hanging="992"/>
      <w:outlineLvl w:val="3"/>
    </w:pPr>
  </w:style>
  <w:style w:type="paragraph" w:styleId="Heading5">
    <w:name w:val="heading 5"/>
    <w:basedOn w:val="Heading4"/>
    <w:next w:val="Normal"/>
    <w:qFormat/>
    <w:rsid w:val="0092091D"/>
    <w:pPr>
      <w:outlineLvl w:val="4"/>
    </w:pPr>
  </w:style>
  <w:style w:type="paragraph" w:styleId="Heading6">
    <w:name w:val="heading 6"/>
    <w:basedOn w:val="Heading4"/>
    <w:next w:val="Normal"/>
    <w:qFormat/>
    <w:rsid w:val="0092091D"/>
    <w:pPr>
      <w:tabs>
        <w:tab w:val="clear" w:pos="992"/>
        <w:tab w:val="clear" w:pos="1191"/>
      </w:tabs>
      <w:ind w:left="1588" w:hanging="1588"/>
      <w:outlineLvl w:val="5"/>
    </w:pPr>
  </w:style>
  <w:style w:type="paragraph" w:styleId="Heading7">
    <w:name w:val="heading 7"/>
    <w:basedOn w:val="Heading6"/>
    <w:next w:val="Normal"/>
    <w:qFormat/>
    <w:rsid w:val="0092091D"/>
    <w:pPr>
      <w:outlineLvl w:val="6"/>
    </w:pPr>
  </w:style>
  <w:style w:type="paragraph" w:styleId="Heading8">
    <w:name w:val="heading 8"/>
    <w:basedOn w:val="Heading6"/>
    <w:next w:val="Normal"/>
    <w:qFormat/>
    <w:rsid w:val="0092091D"/>
    <w:pPr>
      <w:outlineLvl w:val="7"/>
    </w:pPr>
  </w:style>
  <w:style w:type="paragraph" w:styleId="Heading9">
    <w:name w:val="heading 9"/>
    <w:basedOn w:val="Heading6"/>
    <w:next w:val="Normal"/>
    <w:qFormat/>
    <w:rsid w:val="0092091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2091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2091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2091D"/>
  </w:style>
  <w:style w:type="paragraph" w:customStyle="1" w:styleId="Headingb">
    <w:name w:val="Heading_b"/>
    <w:basedOn w:val="Heading3"/>
    <w:next w:val="Normal"/>
    <w:rsid w:val="0092091D"/>
    <w:pPr>
      <w:spacing w:before="160"/>
      <w:ind w:left="0" w:firstLine="0"/>
      <w:outlineLvl w:val="9"/>
    </w:pPr>
  </w:style>
  <w:style w:type="paragraph" w:customStyle="1" w:styleId="Headingi">
    <w:name w:val="Heading_i"/>
    <w:basedOn w:val="Heading3"/>
    <w:next w:val="Normal"/>
    <w:rsid w:val="0092091D"/>
    <w:pPr>
      <w:spacing w:before="160"/>
      <w:ind w:left="0" w:firstLine="0"/>
    </w:pPr>
    <w:rPr>
      <w:b w:val="0"/>
      <w:i/>
    </w:rPr>
  </w:style>
  <w:style w:type="character" w:customStyle="1" w:styleId="href">
    <w:name w:val="href"/>
    <w:basedOn w:val="DefaultParagraphFont"/>
    <w:rsid w:val="0092091D"/>
  </w:style>
  <w:style w:type="paragraph" w:customStyle="1" w:styleId="enumlev1">
    <w:name w:val="enumlev1"/>
    <w:basedOn w:val="Normal"/>
    <w:rsid w:val="0092091D"/>
    <w:pPr>
      <w:spacing w:before="80"/>
      <w:ind w:left="794" w:hanging="794"/>
    </w:pPr>
  </w:style>
  <w:style w:type="paragraph" w:customStyle="1" w:styleId="enumlev2">
    <w:name w:val="enumlev2"/>
    <w:basedOn w:val="enumlev1"/>
    <w:rsid w:val="0092091D"/>
    <w:pPr>
      <w:ind w:left="1191" w:hanging="397"/>
    </w:pPr>
  </w:style>
  <w:style w:type="paragraph" w:customStyle="1" w:styleId="enumlev3">
    <w:name w:val="enumlev3"/>
    <w:basedOn w:val="enumlev2"/>
    <w:rsid w:val="0092091D"/>
    <w:pPr>
      <w:ind w:left="1588"/>
    </w:pPr>
  </w:style>
  <w:style w:type="paragraph" w:customStyle="1" w:styleId="Normalaftertitle">
    <w:name w:val="Normal_after_title"/>
    <w:basedOn w:val="Normal"/>
    <w:next w:val="Normal"/>
    <w:rsid w:val="0092091D"/>
    <w:pPr>
      <w:spacing w:before="320"/>
    </w:pPr>
  </w:style>
  <w:style w:type="paragraph" w:customStyle="1" w:styleId="Note">
    <w:name w:val="Note"/>
    <w:basedOn w:val="Normal"/>
    <w:rsid w:val="0092091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2091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92091D"/>
    <w:pPr>
      <w:spacing w:before="240"/>
    </w:pPr>
    <w:rPr>
      <w:sz w:val="22"/>
      <w:lang w:val="es-ES_tradnl"/>
    </w:rPr>
  </w:style>
  <w:style w:type="paragraph" w:customStyle="1" w:styleId="Recref">
    <w:name w:val="Rec_ref"/>
    <w:basedOn w:val="Normal"/>
    <w:next w:val="Recdate"/>
    <w:rsid w:val="0092091D"/>
    <w:pPr>
      <w:jc w:val="center"/>
    </w:pPr>
  </w:style>
  <w:style w:type="paragraph" w:customStyle="1" w:styleId="Recdate">
    <w:name w:val="Rec_date"/>
    <w:basedOn w:val="Recref"/>
    <w:next w:val="Normalaftertitle"/>
    <w:rsid w:val="0092091D"/>
    <w:pPr>
      <w:jc w:val="right"/>
    </w:pPr>
  </w:style>
  <w:style w:type="paragraph" w:customStyle="1" w:styleId="AnnexNoTitle">
    <w:name w:val="Annex_NoTitle"/>
    <w:basedOn w:val="Normal"/>
    <w:next w:val="Normalaftertitle"/>
    <w:rsid w:val="0092091D"/>
    <w:pPr>
      <w:keepNext/>
      <w:keepLines/>
      <w:spacing w:before="480" w:after="80"/>
      <w:jc w:val="center"/>
    </w:pPr>
    <w:rPr>
      <w:b/>
      <w:sz w:val="28"/>
    </w:rPr>
  </w:style>
  <w:style w:type="paragraph" w:customStyle="1" w:styleId="AppendixNoTitle">
    <w:name w:val="Appendix_NoTitle"/>
    <w:basedOn w:val="AnnexNoTitle"/>
    <w:next w:val="Normal"/>
    <w:rsid w:val="0092091D"/>
  </w:style>
  <w:style w:type="paragraph" w:customStyle="1" w:styleId="Tablefin">
    <w:name w:val="Table_fin"/>
    <w:basedOn w:val="Normal"/>
    <w:next w:val="Normal"/>
    <w:rsid w:val="0092091D"/>
    <w:pPr>
      <w:spacing w:before="0"/>
    </w:pPr>
    <w:rPr>
      <w:sz w:val="20"/>
      <w:lang w:val="en-GB"/>
    </w:rPr>
  </w:style>
  <w:style w:type="paragraph" w:customStyle="1" w:styleId="Tablehead">
    <w:name w:val="Table_head"/>
    <w:basedOn w:val="Normal"/>
    <w:next w:val="Normal"/>
    <w:rsid w:val="0092091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2091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2091D"/>
    <w:pPr>
      <w:keepNext/>
      <w:spacing w:before="360" w:after="120"/>
      <w:jc w:val="center"/>
    </w:pPr>
  </w:style>
  <w:style w:type="paragraph" w:customStyle="1" w:styleId="Tabletext">
    <w:name w:val="Table_text"/>
    <w:basedOn w:val="Normal"/>
    <w:rsid w:val="0092091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2091D"/>
    <w:pPr>
      <w:tabs>
        <w:tab w:val="clear" w:pos="1191"/>
        <w:tab w:val="clear" w:pos="1588"/>
        <w:tab w:val="clear" w:pos="1985"/>
        <w:tab w:val="center" w:pos="4820"/>
        <w:tab w:val="right" w:pos="9639"/>
      </w:tabs>
    </w:pPr>
  </w:style>
  <w:style w:type="paragraph" w:customStyle="1" w:styleId="Equationlegend">
    <w:name w:val="Equation_legend"/>
    <w:basedOn w:val="NormalIndent"/>
    <w:rsid w:val="0092091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2091D"/>
    <w:pPr>
      <w:ind w:left="794"/>
    </w:pPr>
  </w:style>
  <w:style w:type="paragraph" w:customStyle="1" w:styleId="Figurelegend">
    <w:name w:val="Figure_legend"/>
    <w:basedOn w:val="Normal"/>
    <w:rsid w:val="0092091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92091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2091D"/>
    <w:pPr>
      <w:keepNext/>
      <w:keepLines/>
      <w:spacing w:before="480"/>
      <w:jc w:val="center"/>
    </w:pPr>
    <w:rPr>
      <w:sz w:val="28"/>
    </w:rPr>
  </w:style>
  <w:style w:type="paragraph" w:customStyle="1" w:styleId="Arttitle">
    <w:name w:val="Art_title"/>
    <w:basedOn w:val="Normal"/>
    <w:next w:val="Normalaftertitle"/>
    <w:rsid w:val="0092091D"/>
    <w:pPr>
      <w:keepNext/>
      <w:keepLines/>
      <w:spacing w:before="240"/>
      <w:jc w:val="center"/>
    </w:pPr>
    <w:rPr>
      <w:b/>
      <w:sz w:val="28"/>
    </w:rPr>
  </w:style>
  <w:style w:type="paragraph" w:customStyle="1" w:styleId="Blanc">
    <w:name w:val="Blanc"/>
    <w:basedOn w:val="Normal"/>
    <w:next w:val="Tabletext"/>
    <w:rsid w:val="0092091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2091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2091D"/>
    <w:pPr>
      <w:keepNext/>
      <w:keepLines/>
      <w:spacing w:before="160"/>
      <w:ind w:left="794"/>
    </w:pPr>
    <w:rPr>
      <w:i/>
    </w:rPr>
  </w:style>
  <w:style w:type="paragraph" w:customStyle="1" w:styleId="ChapNo">
    <w:name w:val="Chap_No"/>
    <w:basedOn w:val="ArtNo"/>
    <w:next w:val="Chaptitle"/>
    <w:rsid w:val="0092091D"/>
    <w:rPr>
      <w:b/>
    </w:rPr>
  </w:style>
  <w:style w:type="paragraph" w:customStyle="1" w:styleId="Chaptitle">
    <w:name w:val="Chap_title"/>
    <w:basedOn w:val="Arttitle"/>
    <w:next w:val="Normalaftertitle"/>
    <w:rsid w:val="0092091D"/>
  </w:style>
  <w:style w:type="character" w:styleId="FootnoteReference">
    <w:name w:val="footnote reference"/>
    <w:aliases w:val="Appel note de bas de p,Footnote Reference/"/>
    <w:basedOn w:val="DefaultParagraphFont"/>
    <w:rsid w:val="0092091D"/>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rmal"/>
    <w:link w:val="FootnoteTextChar"/>
    <w:rsid w:val="0092091D"/>
    <w:pPr>
      <w:keepLines/>
      <w:tabs>
        <w:tab w:val="left" w:pos="255"/>
      </w:tabs>
      <w:ind w:left="255" w:hanging="255"/>
    </w:pPr>
    <w:rPr>
      <w:sz w:val="22"/>
    </w:rPr>
  </w:style>
  <w:style w:type="paragraph" w:styleId="Index1">
    <w:name w:val="index 1"/>
    <w:basedOn w:val="Normal"/>
    <w:next w:val="Normal"/>
    <w:semiHidden/>
    <w:rsid w:val="0092091D"/>
  </w:style>
  <w:style w:type="paragraph" w:styleId="Index2">
    <w:name w:val="index 2"/>
    <w:basedOn w:val="Normal"/>
    <w:next w:val="Normal"/>
    <w:semiHidden/>
    <w:rsid w:val="0092091D"/>
    <w:pPr>
      <w:ind w:left="283"/>
    </w:pPr>
  </w:style>
  <w:style w:type="paragraph" w:styleId="Index3">
    <w:name w:val="index 3"/>
    <w:basedOn w:val="Normal"/>
    <w:next w:val="Normal"/>
    <w:semiHidden/>
    <w:rsid w:val="0092091D"/>
    <w:pPr>
      <w:ind w:left="566"/>
    </w:pPr>
  </w:style>
  <w:style w:type="paragraph" w:styleId="IndexHeading">
    <w:name w:val="index heading"/>
    <w:basedOn w:val="Normal"/>
    <w:next w:val="Index1"/>
    <w:semiHidden/>
    <w:rsid w:val="0092091D"/>
  </w:style>
  <w:style w:type="paragraph" w:customStyle="1" w:styleId="Line">
    <w:name w:val="Line"/>
    <w:basedOn w:val="Normal"/>
    <w:next w:val="Normal"/>
    <w:rsid w:val="0092091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2091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2091D"/>
  </w:style>
  <w:style w:type="paragraph" w:customStyle="1" w:styleId="Partref">
    <w:name w:val="Part_ref"/>
    <w:basedOn w:val="Normal"/>
    <w:next w:val="Normal"/>
    <w:rsid w:val="0092091D"/>
    <w:pPr>
      <w:keepNext/>
      <w:keepLines/>
      <w:spacing w:after="280"/>
      <w:jc w:val="center"/>
    </w:pPr>
  </w:style>
  <w:style w:type="paragraph" w:customStyle="1" w:styleId="Parttitle">
    <w:name w:val="Part_title"/>
    <w:basedOn w:val="Normal"/>
    <w:next w:val="Normalaftertitle"/>
    <w:rsid w:val="0092091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2091D"/>
  </w:style>
  <w:style w:type="paragraph" w:customStyle="1" w:styleId="QuestionNo">
    <w:name w:val="Question_No"/>
    <w:basedOn w:val="RecNo"/>
    <w:next w:val="Normal"/>
    <w:rsid w:val="0092091D"/>
  </w:style>
  <w:style w:type="paragraph" w:customStyle="1" w:styleId="Questionref">
    <w:name w:val="Question_ref"/>
    <w:basedOn w:val="Recref"/>
    <w:next w:val="Questiondate"/>
    <w:rsid w:val="0092091D"/>
  </w:style>
  <w:style w:type="paragraph" w:customStyle="1" w:styleId="Questiontitle">
    <w:name w:val="Question_title"/>
    <w:basedOn w:val="Normal"/>
    <w:next w:val="Questionref"/>
    <w:rsid w:val="0092091D"/>
  </w:style>
  <w:style w:type="paragraph" w:customStyle="1" w:styleId="Reftext">
    <w:name w:val="Ref_text"/>
    <w:basedOn w:val="Normal"/>
    <w:rsid w:val="0092091D"/>
    <w:pPr>
      <w:ind w:left="794" w:hanging="794"/>
    </w:pPr>
    <w:rPr>
      <w:sz w:val="22"/>
    </w:rPr>
  </w:style>
  <w:style w:type="paragraph" w:customStyle="1" w:styleId="Reftitle">
    <w:name w:val="Ref_title"/>
    <w:basedOn w:val="Normal"/>
    <w:next w:val="Reftext"/>
    <w:rsid w:val="0092091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2091D"/>
  </w:style>
  <w:style w:type="paragraph" w:customStyle="1" w:styleId="RepNo">
    <w:name w:val="Rep_No"/>
    <w:basedOn w:val="RecNo"/>
    <w:next w:val="Reptitle"/>
    <w:rsid w:val="0092091D"/>
  </w:style>
  <w:style w:type="paragraph" w:customStyle="1" w:styleId="Repref">
    <w:name w:val="Rep_ref"/>
    <w:basedOn w:val="Recref"/>
    <w:next w:val="Repdate"/>
    <w:rsid w:val="0092091D"/>
  </w:style>
  <w:style w:type="paragraph" w:customStyle="1" w:styleId="Reptitle">
    <w:name w:val="Rep_title"/>
    <w:basedOn w:val="Rectitle"/>
    <w:next w:val="Repref"/>
    <w:rsid w:val="0092091D"/>
  </w:style>
  <w:style w:type="paragraph" w:customStyle="1" w:styleId="Resdate">
    <w:name w:val="Res_date"/>
    <w:basedOn w:val="Recdate"/>
    <w:next w:val="Normalaftertitle"/>
    <w:rsid w:val="0092091D"/>
  </w:style>
  <w:style w:type="paragraph" w:customStyle="1" w:styleId="ResNo">
    <w:name w:val="Res_No"/>
    <w:basedOn w:val="RecNo"/>
    <w:next w:val="Restitle"/>
    <w:rsid w:val="0092091D"/>
  </w:style>
  <w:style w:type="paragraph" w:customStyle="1" w:styleId="Resref">
    <w:name w:val="Res_ref"/>
    <w:basedOn w:val="Recref"/>
    <w:next w:val="Resdate"/>
    <w:rsid w:val="0092091D"/>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92091D"/>
  </w:style>
  <w:style w:type="paragraph" w:customStyle="1" w:styleId="Sectiontitle">
    <w:name w:val="Section_title"/>
    <w:basedOn w:val="Normal"/>
    <w:next w:val="Normalaftertitle"/>
    <w:rsid w:val="0092091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2091D"/>
    <w:pPr>
      <w:tabs>
        <w:tab w:val="clear" w:pos="794"/>
        <w:tab w:val="clear" w:pos="1191"/>
        <w:tab w:val="clear" w:pos="1588"/>
        <w:tab w:val="clear" w:pos="1985"/>
        <w:tab w:val="right" w:pos="9611"/>
      </w:tabs>
    </w:pPr>
    <w:rPr>
      <w:i/>
    </w:rPr>
  </w:style>
  <w:style w:type="paragraph" w:styleId="TOC1">
    <w:name w:val="toc 1"/>
    <w:basedOn w:val="Normal"/>
    <w:semiHidden/>
    <w:rsid w:val="0092091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2091D"/>
    <w:pPr>
      <w:tabs>
        <w:tab w:val="clear" w:pos="567"/>
        <w:tab w:val="left" w:pos="1276"/>
      </w:tabs>
      <w:spacing w:before="160"/>
      <w:ind w:left="1276" w:hanging="709"/>
    </w:pPr>
  </w:style>
  <w:style w:type="paragraph" w:styleId="TOC3">
    <w:name w:val="toc 3"/>
    <w:basedOn w:val="TOC2"/>
    <w:semiHidden/>
    <w:rsid w:val="0092091D"/>
    <w:pPr>
      <w:tabs>
        <w:tab w:val="clear" w:pos="1276"/>
        <w:tab w:val="left" w:pos="2155"/>
      </w:tabs>
      <w:ind w:left="2155" w:hanging="879"/>
    </w:pPr>
  </w:style>
  <w:style w:type="paragraph" w:styleId="TOC4">
    <w:name w:val="toc 4"/>
    <w:basedOn w:val="TOC3"/>
    <w:semiHidden/>
    <w:rsid w:val="0092091D"/>
    <w:pPr>
      <w:tabs>
        <w:tab w:val="left" w:pos="3261"/>
      </w:tabs>
      <w:spacing w:before="80"/>
      <w:ind w:left="3261" w:hanging="993"/>
    </w:pPr>
  </w:style>
  <w:style w:type="paragraph" w:styleId="TOC5">
    <w:name w:val="toc 5"/>
    <w:basedOn w:val="TOC4"/>
    <w:semiHidden/>
    <w:rsid w:val="0092091D"/>
  </w:style>
  <w:style w:type="paragraph" w:styleId="TOC6">
    <w:name w:val="toc 6"/>
    <w:basedOn w:val="TOC4"/>
    <w:semiHidden/>
    <w:rsid w:val="0092091D"/>
  </w:style>
  <w:style w:type="paragraph" w:styleId="TOC7">
    <w:name w:val="toc 7"/>
    <w:basedOn w:val="TOC4"/>
    <w:semiHidden/>
    <w:rsid w:val="0092091D"/>
  </w:style>
  <w:style w:type="paragraph" w:styleId="TOC8">
    <w:name w:val="toc 8"/>
    <w:basedOn w:val="TOC4"/>
    <w:semiHidden/>
    <w:rsid w:val="0092091D"/>
  </w:style>
  <w:style w:type="paragraph" w:customStyle="1" w:styleId="Rectitle">
    <w:name w:val="Rec_title"/>
    <w:basedOn w:val="Normal"/>
    <w:next w:val="Recref"/>
    <w:rsid w:val="0092091D"/>
    <w:pPr>
      <w:keepNext/>
      <w:keepLines/>
      <w:spacing w:before="240"/>
      <w:jc w:val="center"/>
    </w:pPr>
    <w:rPr>
      <w:b/>
      <w:sz w:val="28"/>
    </w:rPr>
  </w:style>
  <w:style w:type="paragraph" w:customStyle="1" w:styleId="Annexref">
    <w:name w:val="Annex_ref"/>
    <w:basedOn w:val="Normal"/>
    <w:next w:val="Normalaftertitle"/>
    <w:rsid w:val="0092091D"/>
    <w:pPr>
      <w:keepNext/>
      <w:keepLines/>
      <w:spacing w:after="280"/>
      <w:jc w:val="center"/>
    </w:pPr>
  </w:style>
  <w:style w:type="paragraph" w:customStyle="1" w:styleId="Appendixref">
    <w:name w:val="Appendix_ref"/>
    <w:basedOn w:val="Annexref"/>
    <w:next w:val="Normalaftertitle"/>
    <w:rsid w:val="0092091D"/>
  </w:style>
  <w:style w:type="paragraph" w:customStyle="1" w:styleId="Figuretitle">
    <w:name w:val="Figure_title"/>
    <w:basedOn w:val="Normal"/>
    <w:next w:val="Figure"/>
    <w:rsid w:val="0092091D"/>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92091D"/>
    <w:pPr>
      <w:keepNext/>
      <w:spacing w:before="0" w:after="120"/>
      <w:jc w:val="center"/>
    </w:pPr>
    <w:rPr>
      <w:b/>
    </w:rPr>
  </w:style>
  <w:style w:type="paragraph" w:customStyle="1" w:styleId="Summary">
    <w:name w:val="Summary"/>
    <w:basedOn w:val="Normal"/>
    <w:next w:val="Normalaftertitle"/>
    <w:rsid w:val="0092091D"/>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C73B7"/>
    <w:rPr>
      <w:color w:val="0000FF"/>
      <w:u w:val="single"/>
    </w:rPr>
  </w:style>
  <w:style w:type="table" w:styleId="TableGrid">
    <w:name w:val="Table Grid"/>
    <w:basedOn w:val="TableNormal"/>
    <w:rsid w:val="009C73B7"/>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aftertitle0">
    <w:name w:val="Normal after title"/>
    <w:basedOn w:val="Normal"/>
    <w:next w:val="Normal"/>
    <w:rsid w:val="009C73B7"/>
    <w:pPr>
      <w:spacing w:before="320"/>
      <w:jc w:val="left"/>
    </w:pPr>
    <w:rPr>
      <w:lang w:val="en-GB"/>
    </w:rPr>
  </w:style>
  <w:style w:type="paragraph" w:customStyle="1" w:styleId="Annex">
    <w:name w:val="Annex_#"/>
    <w:basedOn w:val="Normal"/>
    <w:next w:val="Normal"/>
    <w:rsid w:val="009C73B7"/>
    <w:pPr>
      <w:tabs>
        <w:tab w:val="clear" w:pos="794"/>
        <w:tab w:val="clear" w:pos="1191"/>
        <w:tab w:val="clear" w:pos="1588"/>
        <w:tab w:val="clear" w:pos="1985"/>
        <w:tab w:val="center" w:pos="4849"/>
        <w:tab w:val="right" w:pos="9696"/>
      </w:tabs>
      <w:spacing w:before="720" w:after="68"/>
      <w:jc w:val="center"/>
    </w:pPr>
    <w:rPr>
      <w:sz w:val="20"/>
      <w:lang w:val="en-GB"/>
    </w:rPr>
  </w:style>
  <w:style w:type="paragraph" w:customStyle="1" w:styleId="AnnexTitle">
    <w:name w:val="Annex_Title"/>
    <w:basedOn w:val="Normal"/>
    <w:next w:val="Normalaftertitle0"/>
    <w:rsid w:val="009C73B7"/>
    <w:pPr>
      <w:tabs>
        <w:tab w:val="clear" w:pos="794"/>
        <w:tab w:val="clear" w:pos="1191"/>
        <w:tab w:val="clear" w:pos="1588"/>
        <w:tab w:val="clear" w:pos="1985"/>
        <w:tab w:val="left" w:pos="4849"/>
        <w:tab w:val="right" w:pos="9696"/>
      </w:tabs>
      <w:spacing w:before="136" w:after="200"/>
      <w:jc w:val="center"/>
    </w:pPr>
    <w:rPr>
      <w:b/>
      <w:lang w:val="en-GB"/>
    </w:rPr>
  </w:style>
  <w:style w:type="paragraph" w:customStyle="1" w:styleId="RecTitle0">
    <w:name w:val="Rec_Title"/>
    <w:basedOn w:val="Normal"/>
    <w:next w:val="RecTitleRef"/>
    <w:rsid w:val="009C73B7"/>
    <w:pPr>
      <w:keepNext/>
      <w:keepLines/>
      <w:tabs>
        <w:tab w:val="clear" w:pos="794"/>
        <w:tab w:val="clear" w:pos="1191"/>
        <w:tab w:val="clear" w:pos="1588"/>
        <w:tab w:val="clear" w:pos="1985"/>
        <w:tab w:val="center" w:pos="4849"/>
        <w:tab w:val="right" w:pos="9696"/>
      </w:tabs>
      <w:spacing w:before="180"/>
      <w:jc w:val="center"/>
    </w:pPr>
    <w:rPr>
      <w:b/>
      <w:sz w:val="20"/>
      <w:lang w:val="en-GB"/>
    </w:rPr>
  </w:style>
  <w:style w:type="paragraph" w:customStyle="1" w:styleId="RecTitleRef">
    <w:name w:val="Rec_Title/Ref"/>
    <w:basedOn w:val="RecTitle0"/>
    <w:next w:val="RecTitleDate"/>
    <w:rsid w:val="009C73B7"/>
    <w:pPr>
      <w:spacing w:before="136"/>
    </w:pPr>
    <w:rPr>
      <w:b w:val="0"/>
    </w:rPr>
  </w:style>
  <w:style w:type="paragraph" w:customStyle="1" w:styleId="RecTitleDate">
    <w:name w:val="Rec_Title/Date"/>
    <w:basedOn w:val="RecTitleRef"/>
    <w:next w:val="headfoot"/>
    <w:rsid w:val="009C73B7"/>
    <w:pPr>
      <w:tabs>
        <w:tab w:val="clear" w:pos="4849"/>
      </w:tabs>
      <w:jc w:val="right"/>
    </w:pPr>
  </w:style>
  <w:style w:type="paragraph" w:customStyle="1" w:styleId="headfoot">
    <w:name w:val="head_foot"/>
    <w:basedOn w:val="Normal"/>
    <w:next w:val="Normalaftertitle0"/>
    <w:rsid w:val="009C73B7"/>
    <w:pPr>
      <w:tabs>
        <w:tab w:val="clear" w:pos="794"/>
        <w:tab w:val="clear" w:pos="1191"/>
        <w:tab w:val="clear" w:pos="1588"/>
        <w:tab w:val="clear" w:pos="1985"/>
      </w:tabs>
      <w:spacing w:before="0"/>
    </w:pPr>
    <w:rPr>
      <w:color w:val="FF0000"/>
      <w:sz w:val="8"/>
      <w:lang w:val="en-GB"/>
    </w:rPr>
  </w:style>
  <w:style w:type="paragraph" w:customStyle="1" w:styleId="call0">
    <w:name w:val="call"/>
    <w:basedOn w:val="Normal"/>
    <w:next w:val="Normal"/>
    <w:rsid w:val="009C73B7"/>
    <w:pPr>
      <w:keepNext/>
      <w:keepLines/>
      <w:tabs>
        <w:tab w:val="clear" w:pos="1191"/>
        <w:tab w:val="clear" w:pos="1588"/>
        <w:tab w:val="clear" w:pos="1985"/>
      </w:tabs>
      <w:spacing w:before="227"/>
      <w:ind w:left="794"/>
      <w:jc w:val="left"/>
    </w:pPr>
    <w:rPr>
      <w:i/>
      <w:sz w:val="20"/>
      <w:lang w:val="en-GB"/>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rsid w:val="000F28E8"/>
    <w:rPr>
      <w:sz w:val="22"/>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19</TotalTime>
  <Pages>5</Pages>
  <Words>1961</Words>
  <Characters>11571</Characters>
  <Application>Microsoft Office Word</Application>
  <DocSecurity>0</DocSecurity>
  <Lines>241</Lines>
  <Paragraphs>130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F.1489*, ** - METODOLOGÍA  PARA  EVALUAR  EL  NIVEL  DE  COMPATIBILIDAD  OPERACIONAL ENTRE  LOS  SISTEMAS  DE  ACCESO  INALÁMBRICO  FIJO  Y  LOS  SISTEMAS DE  RADIOLOCALIZACIÓN  CUANDO  COMPARTEN  LA BANDA  3,4-3,7  GHz</dc:title>
  <dc:subject>Serie F = Servicio fijo</dc:subject>
  <dc:creator>Oficina de Radiocomunicaciones del UIT (BR)</dc:creator>
  <cp:keywords>F,1489*,</cp:keywords>
  <dc:description>Santosbo, 07/12/2010, MSB106309</dc:description>
  <cp:lastModifiedBy>santosbo</cp:lastModifiedBy>
  <cp:revision>10</cp:revision>
  <cp:lastPrinted>2005-02-10T15:54:00Z</cp:lastPrinted>
  <dcterms:created xsi:type="dcterms:W3CDTF">2010-12-07T12:04:00Z</dcterms:created>
  <dcterms:modified xsi:type="dcterms:W3CDTF">2010-12-07T13:45:00Z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Santosbo</vt:lpwstr>
  </property>
  <property fmtid="{D5CDD505-2E9C-101B-9397-08002B2CF9AE}" pid="11" name="Date completed">
    <vt:lpwstr>07 December 2010</vt:lpwstr>
  </property>
</Properties>
</file>