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/>
      </w:tblPr>
      <w:tblGrid>
        <w:gridCol w:w="10089"/>
      </w:tblGrid>
      <w:tr w:rsidR="00FE79FE" w:rsidRPr="004F65E4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4F65E4" w:rsidRDefault="00FE79FE" w:rsidP="00C2468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E406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C2468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1496-1</w:t>
            </w:r>
          </w:p>
          <w:p w:rsidR="00FE79FE" w:rsidRPr="004F65E4" w:rsidRDefault="00FE79FE" w:rsidP="00C2468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C2468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C2468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2002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2B3308">
        <w:tc>
          <w:tcPr>
            <w:tcW w:w="10089" w:type="dxa"/>
          </w:tcPr>
          <w:p w:rsidR="00013002" w:rsidRPr="002B3308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FE79FE" w:rsidRPr="001511A6" w:rsidRDefault="00C24688" w:rsidP="00AC599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Radio-frequency channel arrangements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for fixed wireless systems operating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  <w:t>in the band 51.4-52.6 GHz</w:t>
            </w:r>
          </w:p>
          <w:p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>
        <w:tc>
          <w:tcPr>
            <w:tcW w:w="10089" w:type="dxa"/>
          </w:tcPr>
          <w:p w:rsidR="00677965" w:rsidRPr="002B3308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77965" w:rsidRPr="002B3308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77965" w:rsidRPr="002B3308" w:rsidRDefault="00677965" w:rsidP="006779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E406BD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FE79FE" w:rsidRPr="00E406BD" w:rsidRDefault="00E406BD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8C1BA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 w:rsidR="008C1BAC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036EE3" w:rsidRPr="002B3308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 w:rsidR="00A51727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2B3308" w:rsidTr="007D224F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7D224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A31928" w:rsidRPr="00036EE3" w:rsidTr="007D224F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2B3308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2B3308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036EE3" w:rsidRPr="002B3308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6A75CC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6A75CC">
        <w:rPr>
          <w:sz w:val="20"/>
          <w:lang w:val="en-US"/>
        </w:rPr>
        <w:t>10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6A75CC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6A75CC">
        <w:rPr>
          <w:sz w:val="20"/>
          <w:lang w:val="en-US"/>
        </w:rPr>
        <w:t>10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24688" w:rsidRDefault="00C24688" w:rsidP="00C24688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1496-1</w:t>
      </w:r>
      <w:r>
        <w:rPr>
          <w:rStyle w:val="FootnoteReference"/>
          <w:lang w:val="en-US"/>
        </w:rPr>
        <w:footnoteReference w:customMarkFollows="1" w:id="1"/>
        <w:t>*</w:t>
      </w:r>
    </w:p>
    <w:p w:rsidR="00C24688" w:rsidRDefault="00C24688" w:rsidP="00C24688">
      <w:pPr>
        <w:pStyle w:val="Rectitle"/>
        <w:rPr>
          <w:lang w:val="en-US"/>
        </w:rPr>
      </w:pPr>
      <w:bookmarkStart w:id="3" w:name="Pre_title"/>
      <w:r>
        <w:rPr>
          <w:lang w:val="en-US"/>
        </w:rPr>
        <w:t xml:space="preserve">Radio-frequency channel arrangements for fixed wireless systems </w:t>
      </w:r>
      <w:r>
        <w:rPr>
          <w:lang w:val="en-US"/>
        </w:rPr>
        <w:br/>
        <w:t>operating in the band 51.4</w:t>
      </w:r>
      <w:r>
        <w:rPr>
          <w:lang w:val="en-US"/>
        </w:rPr>
        <w:noBreakHyphen/>
        <w:t>52.6 GHz</w:t>
      </w:r>
      <w:bookmarkEnd w:id="3"/>
    </w:p>
    <w:p w:rsidR="002B3308" w:rsidRPr="002B3308" w:rsidRDefault="002B3308" w:rsidP="002B3308">
      <w:pPr>
        <w:pStyle w:val="Recdate"/>
        <w:jc w:val="left"/>
        <w:rPr>
          <w:sz w:val="20"/>
          <w:lang w:val="en-US"/>
        </w:rPr>
      </w:pPr>
      <w:bookmarkStart w:id="4" w:name="Revision_history"/>
    </w:p>
    <w:p w:rsidR="00C24688" w:rsidRDefault="00C24688" w:rsidP="00C24688">
      <w:pPr>
        <w:pStyle w:val="Recdate"/>
        <w:rPr>
          <w:lang w:val="en-US"/>
        </w:rPr>
      </w:pPr>
      <w:r>
        <w:rPr>
          <w:lang w:val="en-US"/>
        </w:rPr>
        <w:t>(2000-2002)</w:t>
      </w:r>
      <w:bookmarkEnd w:id="4"/>
    </w:p>
    <w:p w:rsidR="002B3308" w:rsidRPr="002B3308" w:rsidRDefault="002B3308" w:rsidP="00125544">
      <w:pPr>
        <w:pStyle w:val="HeadingSum"/>
        <w:rPr>
          <w:sz w:val="20"/>
          <w:lang w:val="en-US"/>
        </w:rPr>
      </w:pPr>
    </w:p>
    <w:p w:rsidR="00C24688" w:rsidRPr="002B3308" w:rsidRDefault="00125544" w:rsidP="002B3308">
      <w:pPr>
        <w:pStyle w:val="HeadingSum"/>
        <w:spacing w:before="0"/>
        <w:rPr>
          <w:lang w:val="en-US"/>
        </w:rPr>
      </w:pPr>
      <w:r w:rsidRPr="002B3308">
        <w:rPr>
          <w:lang w:val="en-US"/>
        </w:rPr>
        <w:t>Scope</w:t>
      </w:r>
    </w:p>
    <w:p w:rsidR="00125544" w:rsidRPr="002B3308" w:rsidRDefault="00125544" w:rsidP="00125544">
      <w:pPr>
        <w:pStyle w:val="Summary"/>
        <w:rPr>
          <w:lang w:val="en-US"/>
        </w:rPr>
      </w:pPr>
      <w:r w:rsidRPr="00125544">
        <w:rPr>
          <w:lang w:val="en-GB"/>
        </w:rPr>
        <w:t>This Recommendation specifies radio-frequency channel arrangements for fixed wireless systems with channel separations of 3.5, 7, 14, 28 and 56 MHz in the band 51.4-52.6 GHz, which has been identified for use for high density applications in the fixed service (HDFS).</w:t>
      </w:r>
    </w:p>
    <w:p w:rsidR="00C24688" w:rsidRPr="002B3308" w:rsidRDefault="00C24688" w:rsidP="00C24688">
      <w:pPr>
        <w:pStyle w:val="Normalaftertitle"/>
        <w:rPr>
          <w:lang w:val="en-US"/>
        </w:rPr>
      </w:pPr>
      <w:r w:rsidRPr="002B3308">
        <w:rPr>
          <w:lang w:val="en-US"/>
        </w:rPr>
        <w:t>The ITU Radiocommunication Assembly,</w:t>
      </w:r>
    </w:p>
    <w:p w:rsidR="00C24688" w:rsidRDefault="00C24688" w:rsidP="00C24688">
      <w:pPr>
        <w:pStyle w:val="Call"/>
        <w:rPr>
          <w:lang w:val="en-US"/>
        </w:rPr>
      </w:pPr>
      <w:r>
        <w:rPr>
          <w:lang w:val="en-US"/>
        </w:rPr>
        <w:t>considering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a)</w:t>
      </w:r>
      <w:r>
        <w:rPr>
          <w:lang w:val="en-US"/>
        </w:rPr>
        <w:tab/>
        <w:t>that the band 51.4-52.6 GHz is allocated to the fixed and mobile services on a primary basis;</w:t>
      </w:r>
    </w:p>
    <w:p w:rsidR="00C24688" w:rsidRDefault="00C24688" w:rsidP="00AF5FCE">
      <w:pPr>
        <w:rPr>
          <w:lang w:val="en-US"/>
        </w:rPr>
      </w:pPr>
      <w:r>
        <w:rPr>
          <w:lang w:val="en-US"/>
        </w:rPr>
        <w:t>b)</w:t>
      </w:r>
      <w:r>
        <w:rPr>
          <w:lang w:val="en-US"/>
        </w:rPr>
        <w:tab/>
        <w:t>the band</w:t>
      </w:r>
      <w:r w:rsidR="00AF5FCE">
        <w:rPr>
          <w:lang w:val="en-US"/>
        </w:rPr>
        <w:t xml:space="preserve"> 51.4-52.6 GHz</w:t>
      </w:r>
      <w:r>
        <w:rPr>
          <w:lang w:val="en-US"/>
        </w:rPr>
        <w:t xml:space="preserve"> </w:t>
      </w:r>
      <w:r w:rsidR="00125544">
        <w:rPr>
          <w:lang w:val="en-US"/>
        </w:rPr>
        <w:t>is</w:t>
      </w:r>
      <w:r>
        <w:rPr>
          <w:lang w:val="en-US"/>
        </w:rPr>
        <w:t xml:space="preserve"> available for high-density applications in the fixed service (FS);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c)</w:t>
      </w:r>
      <w:r>
        <w:rPr>
          <w:lang w:val="en-US"/>
        </w:rPr>
        <w:tab/>
        <w:t>that ITU-R should develop radio-frequency channel arrangements in order to make the most effective use of the spectrum available;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d)</w:t>
      </w:r>
      <w:r>
        <w:rPr>
          <w:lang w:val="en-US"/>
        </w:rPr>
        <w:tab/>
        <w:t>that the propagation characteristics of the 51.4-52.6 GHz band are ideally suited for use of short-range digital point-to-point radio links in high-density applications in the FS networks;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e)</w:t>
      </w:r>
      <w:r>
        <w:rPr>
          <w:lang w:val="en-US"/>
        </w:rPr>
        <w:tab/>
        <w:t>that in the frequency range a high antenna directivity is achievable even with small size antennas, increasing the density of equipment and further reducing risk of interference with same and other radio services;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f)</w:t>
      </w:r>
      <w:r>
        <w:rPr>
          <w:lang w:val="en-US"/>
        </w:rPr>
        <w:tab/>
        <w:t>that differing applications licensed by various administrations may require different radio</w:t>
      </w:r>
      <w:r>
        <w:rPr>
          <w:lang w:val="en-US"/>
        </w:rPr>
        <w:noBreakHyphen/>
        <w:t>frequency channel arrangements;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g)</w:t>
      </w:r>
      <w:r>
        <w:rPr>
          <w:lang w:val="en-US"/>
        </w:rPr>
        <w:tab/>
        <w:t>that the applications in this frequency band may require differing channel bandwidths;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h)</w:t>
      </w:r>
      <w:r>
        <w:rPr>
          <w:lang w:val="en-US"/>
        </w:rPr>
        <w:tab/>
        <w:t>that several radio services with various transmission signal characteristics and capacities may be in simultaneous use in this frequency band;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j)</w:t>
      </w:r>
      <w:r>
        <w:rPr>
          <w:lang w:val="en-US"/>
        </w:rPr>
        <w:tab/>
        <w:t>that a high degree of compatibility between radio-frequency channels of different arrange</w:t>
      </w:r>
      <w:r>
        <w:rPr>
          <w:lang w:val="en-US"/>
        </w:rPr>
        <w:softHyphen/>
        <w:t>ments can be achieved by selecting channel centre frequencies within a homogeneous basic pattern,</w:t>
      </w:r>
    </w:p>
    <w:p w:rsidR="00C24688" w:rsidRDefault="00C24688" w:rsidP="00C24688">
      <w:pPr>
        <w:pStyle w:val="Call"/>
        <w:rPr>
          <w:lang w:val="en-US"/>
        </w:rPr>
      </w:pPr>
      <w:r>
        <w:rPr>
          <w:lang w:val="en-US"/>
        </w:rPr>
        <w:t>recommends</w:t>
      </w:r>
    </w:p>
    <w:p w:rsidR="00C24688" w:rsidRDefault="00C24688" w:rsidP="00C24688">
      <w:pPr>
        <w:rPr>
          <w:lang w:val="en-US"/>
        </w:rPr>
      </w:pPr>
      <w:r>
        <w:rPr>
          <w:b/>
          <w:lang w:val="en-US"/>
        </w:rPr>
        <w:t>1</w:t>
      </w:r>
      <w:r>
        <w:rPr>
          <w:lang w:val="en-US"/>
        </w:rPr>
        <w:tab/>
        <w:t>that administrations should consider the channel arrangement given in Annex 1 for FS system deployment in the frequency range 51.4-52.6 GHz.</w:t>
      </w:r>
    </w:p>
    <w:p w:rsidR="00C24688" w:rsidRDefault="00C24688" w:rsidP="00AF5FCE">
      <w:pPr>
        <w:pStyle w:val="AnnexNoTitle"/>
        <w:rPr>
          <w:lang w:val="en-US"/>
        </w:rPr>
      </w:pPr>
      <w:r>
        <w:rPr>
          <w:lang w:val="en-US"/>
        </w:rPr>
        <w:lastRenderedPageBreak/>
        <w:t>A</w:t>
      </w:r>
      <w:r w:rsidR="00AF5FCE">
        <w:rPr>
          <w:lang w:val="en-US"/>
        </w:rPr>
        <w:t>nnex</w:t>
      </w:r>
      <w:r>
        <w:rPr>
          <w:lang w:val="en-US"/>
        </w:rPr>
        <w:t xml:space="preserve">  1</w:t>
      </w:r>
      <w:r w:rsidR="00AF5FCE">
        <w:rPr>
          <w:lang w:val="en-US"/>
        </w:rPr>
        <w:br/>
      </w:r>
      <w:r w:rsidR="00AF5FCE">
        <w:rPr>
          <w:lang w:val="en-US"/>
        </w:rPr>
        <w:br/>
      </w:r>
      <w:r>
        <w:rPr>
          <w:lang w:val="en-US"/>
        </w:rPr>
        <w:t>Radio-frequency channel arrangement in the band 51.4-52.6 GHz</w:t>
      </w:r>
    </w:p>
    <w:p w:rsidR="00C24688" w:rsidRDefault="00C24688" w:rsidP="00125544">
      <w:pPr>
        <w:pStyle w:val="Normalaftertitle"/>
        <w:keepNext/>
        <w:rPr>
          <w:lang w:val="en-US"/>
        </w:rPr>
      </w:pPr>
      <w:r>
        <w:rPr>
          <w:lang w:val="en-US"/>
        </w:rPr>
        <w:t>The radio-frequency channel arrangement for channel separations of 56 MHz, 28 MHz, 14 MHz, 7 MHz and 3.5 MHz shall be derived as follows:</w:t>
      </w:r>
    </w:p>
    <w:p w:rsidR="00C24688" w:rsidRDefault="00C24688" w:rsidP="00125544">
      <w:pPr>
        <w:pStyle w:val="enumlev1"/>
        <w:keepNext/>
        <w:rPr>
          <w:lang w:val="en-US"/>
        </w:rPr>
      </w:pPr>
      <w:r>
        <w:rPr>
          <w:lang w:val="en-US"/>
        </w:rPr>
        <w:t>Let</w:t>
      </w:r>
      <w:r>
        <w:rPr>
          <w:lang w:val="en-US"/>
        </w:rPr>
        <w:tab/>
      </w:r>
      <w:r w:rsidRPr="00EF2E16">
        <w:rPr>
          <w:position w:val="-10"/>
        </w:rPr>
        <w:object w:dxaOrig="3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pt;height:17.4pt" o:ole="">
            <v:imagedata r:id="rId14" o:title=""/>
          </v:shape>
          <o:OLEObject Type="Embed" ProgID="Equation.3" ShapeID="_x0000_i1025" DrawAspect="Content" ObjectID="_1333260435" r:id="rId15"/>
        </w:object>
      </w:r>
      <w:r>
        <w:rPr>
          <w:lang w:val="en-US"/>
        </w:rPr>
        <w:tab/>
        <w:t>be the reference frequency of 51 412 MHz,</w:t>
      </w:r>
    </w:p>
    <w:p w:rsidR="00C24688" w:rsidRDefault="00C24688" w:rsidP="00C24688">
      <w:pPr>
        <w:pStyle w:val="enumlev1"/>
        <w:tabs>
          <w:tab w:val="left" w:pos="567"/>
          <w:tab w:val="left" w:pos="993"/>
        </w:tabs>
        <w:spacing w:before="120"/>
        <w:ind w:left="1191" w:hanging="1191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26" type="#_x0000_t75" style="width:15.6pt;height:18.6pt" o:ole="">
            <v:imagedata r:id="rId16" o:title=""/>
          </v:shape>
          <o:OLEObject Type="Embed" ProgID="Equation.3" ShapeID="_x0000_i1026" DrawAspect="Content" ObjectID="_1333260436" r:id="rId17"/>
        </w:object>
      </w:r>
      <w:r>
        <w:rPr>
          <w:lang w:val="en-US"/>
        </w:rPr>
        <w:tab/>
        <w:t>be the centre frequency (MHz) of the radio-frequency channel in the lower half of the band,</w:t>
      </w:r>
    </w:p>
    <w:p w:rsidR="00C24688" w:rsidRDefault="00C24688" w:rsidP="00C24688">
      <w:pPr>
        <w:pStyle w:val="enumlev1"/>
        <w:tabs>
          <w:tab w:val="left" w:pos="567"/>
          <w:tab w:val="left" w:pos="993"/>
        </w:tabs>
        <w:spacing w:before="120"/>
        <w:ind w:left="1191" w:hanging="1191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27" type="#_x0000_t75" style="width:15.6pt;height:18.6pt" o:ole="">
            <v:imagedata r:id="rId18" o:title=""/>
          </v:shape>
          <o:OLEObject Type="Embed" ProgID="Equation.3" ShapeID="_x0000_i1027" DrawAspect="Content" ObjectID="_1333260437" r:id="rId19"/>
        </w:object>
      </w:r>
      <w:r>
        <w:rPr>
          <w:lang w:val="en-US"/>
        </w:rPr>
        <w:tab/>
        <w:t>be the centre frequency (MHz) of the radio-frequency channel in the upper half of the band,</w:t>
      </w:r>
    </w:p>
    <w:p w:rsidR="00C24688" w:rsidRPr="002B3308" w:rsidRDefault="00C24688" w:rsidP="00C24688">
      <w:pPr>
        <w:pStyle w:val="enumlev1"/>
        <w:tabs>
          <w:tab w:val="left" w:pos="567"/>
          <w:tab w:val="left" w:pos="1134"/>
        </w:tabs>
        <w:spacing w:before="120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2B3308">
        <w:rPr>
          <w:lang w:val="en-US"/>
        </w:rPr>
        <w:t>Tx/Rx separation </w:t>
      </w:r>
      <w:r>
        <w:rPr>
          <w:rFonts w:ascii="Symbol" w:hAnsi="Symbol"/>
        </w:rPr>
        <w:t></w:t>
      </w:r>
      <w:r w:rsidRPr="002B3308">
        <w:rPr>
          <w:lang w:val="en-US"/>
        </w:rPr>
        <w:t> 616 MHz,</w:t>
      </w:r>
    </w:p>
    <w:p w:rsidR="00C24688" w:rsidRDefault="00C24688" w:rsidP="00C24688">
      <w:pPr>
        <w:pStyle w:val="enumlev1"/>
        <w:tabs>
          <w:tab w:val="left" w:pos="567"/>
          <w:tab w:val="left" w:pos="1134"/>
        </w:tabs>
        <w:spacing w:before="120"/>
        <w:rPr>
          <w:lang w:val="en-US"/>
        </w:rPr>
      </w:pPr>
      <w:r w:rsidRPr="002B3308">
        <w:rPr>
          <w:lang w:val="en-US"/>
        </w:rPr>
        <w:tab/>
      </w:r>
      <w:r w:rsidRPr="002B3308">
        <w:rPr>
          <w:lang w:val="en-US"/>
        </w:rPr>
        <w:tab/>
      </w:r>
      <w:r>
        <w:rPr>
          <w:lang w:val="en-US"/>
        </w:rPr>
        <w:t>band separation </w:t>
      </w:r>
      <w:r>
        <w:rPr>
          <w:rFonts w:ascii="Symbol" w:hAnsi="Symbol"/>
        </w:rPr>
        <w:t></w:t>
      </w:r>
      <w:r>
        <w:rPr>
          <w:lang w:val="en-US"/>
        </w:rPr>
        <w:t> 112 MHz,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then the frequencies (MHz) of individual channels are expressed by the following relationships:</w:t>
      </w:r>
    </w:p>
    <w:p w:rsidR="00C24688" w:rsidRDefault="00C24688" w:rsidP="00C24688">
      <w:pPr>
        <w:pStyle w:val="enumlev1"/>
        <w:spacing w:before="120"/>
        <w:rPr>
          <w:lang w:val="en-US"/>
        </w:rPr>
      </w:pPr>
      <w:r>
        <w:rPr>
          <w:lang w:val="en-US"/>
        </w:rPr>
        <w:t>a)</w:t>
      </w:r>
      <w:r>
        <w:rPr>
          <w:lang w:val="en-US"/>
        </w:rPr>
        <w:tab/>
        <w:t>for systems with a channel separation of 56 MHz: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lower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28" type="#_x0000_t75" style="width:15.6pt;height:18.6pt" o:ole="">
            <v:imagedata r:id="rId16" o:title=""/>
          </v:shape>
          <o:OLEObject Type="Embed" ProgID="Equation.3" ShapeID="_x0000_i1028" DrawAspect="Content" ObjectID="_1333260438" r:id="rId20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i/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 xml:space="preserve"> 56 </w:t>
      </w:r>
      <w:r>
        <w:rPr>
          <w:i/>
          <w:lang w:val="en-US"/>
        </w:rPr>
        <w:t>n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upper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29" type="#_x0000_t75" style="width:15.6pt;height:18.6pt" o:ole="">
            <v:imagedata r:id="rId18" o:title=""/>
          </v:shape>
          <o:OLEObject Type="Embed" ProgID="Equation.3" ShapeID="_x0000_i1029" DrawAspect="Content" ObjectID="_1333260439" r:id="rId21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616 </w:t>
      </w:r>
      <w:r>
        <w:rPr>
          <w:rFonts w:ascii="Symbol" w:hAnsi="Symbol"/>
        </w:rPr>
        <w:t></w:t>
      </w:r>
      <w:r>
        <w:rPr>
          <w:lang w:val="en-US"/>
        </w:rPr>
        <w:t xml:space="preserve"> 56 </w:t>
      </w:r>
      <w:r>
        <w:rPr>
          <w:i/>
          <w:lang w:val="en-US"/>
        </w:rPr>
        <w:t>n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where:</w:t>
      </w:r>
    </w:p>
    <w:p w:rsidR="00C24688" w:rsidRDefault="00C24688" w:rsidP="00C24688">
      <w:pPr>
        <w:pStyle w:val="enumlev1"/>
        <w:spacing w:before="120"/>
        <w:rPr>
          <w:i/>
          <w:lang w:val="en-US"/>
        </w:rPr>
      </w:pPr>
      <w:r>
        <w:rPr>
          <w:i/>
          <w:lang w:val="en-US"/>
        </w:rPr>
        <w:tab/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1, 2, … 9</w:t>
      </w:r>
    </w:p>
    <w:p w:rsidR="00C24688" w:rsidRDefault="00C24688" w:rsidP="00C24688">
      <w:pPr>
        <w:pStyle w:val="enumlev1"/>
        <w:spacing w:before="120"/>
        <w:rPr>
          <w:lang w:val="en-US"/>
        </w:rPr>
      </w:pPr>
      <w:r>
        <w:rPr>
          <w:lang w:val="en-US"/>
        </w:rPr>
        <w:t>b)</w:t>
      </w:r>
      <w:r>
        <w:rPr>
          <w:lang w:val="en-US"/>
        </w:rPr>
        <w:tab/>
        <w:t>for systems with a channel separation of 28 MHz: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lower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30" type="#_x0000_t75" style="width:15.6pt;height:18.6pt" o:ole="">
            <v:imagedata r:id="rId16" o:title=""/>
          </v:shape>
          <o:OLEObject Type="Embed" ProgID="Equation.3" ShapeID="_x0000_i1030" DrawAspect="Content" ObjectID="_1333260440" r:id="rId22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14 </w:t>
      </w:r>
      <w:r>
        <w:rPr>
          <w:rFonts w:ascii="Symbol" w:hAnsi="Symbol"/>
        </w:rPr>
        <w:t></w:t>
      </w:r>
      <w:r>
        <w:rPr>
          <w:lang w:val="en-US"/>
        </w:rPr>
        <w:t xml:space="preserve"> 28 </w:t>
      </w:r>
      <w:r>
        <w:rPr>
          <w:i/>
          <w:lang w:val="en-US"/>
        </w:rPr>
        <w:t>n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upper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31" type="#_x0000_t75" style="width:15.6pt;height:18.6pt" o:ole="">
            <v:imagedata r:id="rId18" o:title=""/>
          </v:shape>
          <o:OLEObject Type="Embed" ProgID="Equation.3" ShapeID="_x0000_i1031" DrawAspect="Content" ObjectID="_1333260441" r:id="rId23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+ 630 </w:t>
      </w:r>
      <w:r>
        <w:rPr>
          <w:rFonts w:ascii="Symbol" w:hAnsi="Symbol"/>
        </w:rPr>
        <w:t></w:t>
      </w:r>
      <w:r>
        <w:rPr>
          <w:lang w:val="en-US"/>
        </w:rPr>
        <w:t xml:space="preserve"> 28 </w:t>
      </w:r>
      <w:r>
        <w:rPr>
          <w:i/>
          <w:lang w:val="en-US"/>
        </w:rPr>
        <w:t>n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where:</w:t>
      </w:r>
    </w:p>
    <w:p w:rsidR="00C24688" w:rsidRDefault="00C24688" w:rsidP="00C24688">
      <w:pPr>
        <w:pStyle w:val="enumlev1"/>
        <w:spacing w:before="120"/>
        <w:rPr>
          <w:i/>
          <w:lang w:val="en-US"/>
        </w:rPr>
      </w:pPr>
      <w:r>
        <w:rPr>
          <w:i/>
          <w:lang w:val="en-US"/>
        </w:rPr>
        <w:tab/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1, 2, 3, … 18</w:t>
      </w:r>
    </w:p>
    <w:p w:rsidR="00C24688" w:rsidRDefault="00C24688" w:rsidP="00C24688">
      <w:pPr>
        <w:pStyle w:val="enumlev1"/>
        <w:spacing w:before="120"/>
        <w:rPr>
          <w:lang w:val="en-US"/>
        </w:rPr>
      </w:pPr>
      <w:r>
        <w:rPr>
          <w:lang w:val="en-US"/>
        </w:rPr>
        <w:t>c)</w:t>
      </w:r>
      <w:r>
        <w:rPr>
          <w:lang w:val="en-US"/>
        </w:rPr>
        <w:tab/>
        <w:t>for systems with a channel separation of 14 MHz: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lower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32" type="#_x0000_t75" style="width:15.6pt;height:18.6pt" o:ole="">
            <v:imagedata r:id="rId16" o:title=""/>
          </v:shape>
          <o:OLEObject Type="Embed" ProgID="Equation.3" ShapeID="_x0000_i1032" DrawAspect="Content" ObjectID="_1333260442" r:id="rId24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21 </w:t>
      </w:r>
      <w:r>
        <w:rPr>
          <w:rFonts w:ascii="Symbol" w:hAnsi="Symbol"/>
        </w:rPr>
        <w:t></w:t>
      </w:r>
      <w:r>
        <w:rPr>
          <w:lang w:val="en-US"/>
        </w:rPr>
        <w:t xml:space="preserve"> 14 </w:t>
      </w:r>
      <w:r>
        <w:rPr>
          <w:i/>
          <w:lang w:val="en-US"/>
        </w:rPr>
        <w:t>n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upper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33" type="#_x0000_t75" style="width:15.6pt;height:18.6pt" o:ole="">
            <v:imagedata r:id="rId18" o:title=""/>
          </v:shape>
          <o:OLEObject Type="Embed" ProgID="Equation.3" ShapeID="_x0000_i1033" DrawAspect="Content" ObjectID="_1333260443" r:id="rId25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+ 637 </w:t>
      </w:r>
      <w:r>
        <w:rPr>
          <w:rFonts w:ascii="Symbol" w:hAnsi="Symbol"/>
        </w:rPr>
        <w:t></w:t>
      </w:r>
      <w:r>
        <w:rPr>
          <w:lang w:val="en-US"/>
        </w:rPr>
        <w:t xml:space="preserve"> 14 </w:t>
      </w:r>
      <w:r>
        <w:rPr>
          <w:i/>
          <w:lang w:val="en-US"/>
        </w:rPr>
        <w:t>n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where:</w:t>
      </w:r>
    </w:p>
    <w:p w:rsidR="00C24688" w:rsidRDefault="00C24688" w:rsidP="00C24688">
      <w:pPr>
        <w:pStyle w:val="enumlev1"/>
        <w:spacing w:before="120"/>
        <w:rPr>
          <w:lang w:val="en-US"/>
        </w:rPr>
      </w:pPr>
      <w:r>
        <w:rPr>
          <w:i/>
          <w:lang w:val="en-US"/>
        </w:rPr>
        <w:tab/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1, 2, 3, … 36</w:t>
      </w:r>
    </w:p>
    <w:p w:rsidR="00C24688" w:rsidRDefault="00C24688" w:rsidP="00C24688">
      <w:pPr>
        <w:pStyle w:val="enumlev1"/>
        <w:spacing w:before="120"/>
        <w:rPr>
          <w:lang w:val="en-US"/>
        </w:rPr>
      </w:pPr>
      <w:r>
        <w:rPr>
          <w:lang w:val="en-US"/>
        </w:rPr>
        <w:t>d)</w:t>
      </w:r>
      <w:r>
        <w:rPr>
          <w:lang w:val="en-US"/>
        </w:rPr>
        <w:tab/>
        <w:t>for systems with a channel separation of 7</w:t>
      </w:r>
      <w:r>
        <w:rPr>
          <w:rFonts w:ascii="Tms Rmn" w:hAnsi="Tms Rmn"/>
          <w:lang w:val="en-US"/>
        </w:rPr>
        <w:t> </w:t>
      </w:r>
      <w:r>
        <w:rPr>
          <w:lang w:val="en-US"/>
        </w:rPr>
        <w:t>MHz: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lower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34" type="#_x0000_t75" style="width:15.6pt;height:18.6pt" o:ole="">
            <v:imagedata r:id="rId16" o:title=""/>
          </v:shape>
          <o:OLEObject Type="Embed" ProgID="Equation.3" ShapeID="_x0000_i1034" DrawAspect="Content" ObjectID="_1333260444" r:id="rId26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24.5 </w:t>
      </w:r>
      <w:r>
        <w:rPr>
          <w:rFonts w:ascii="Symbol" w:hAnsi="Symbol"/>
        </w:rPr>
        <w:t></w:t>
      </w:r>
      <w:r>
        <w:rPr>
          <w:lang w:val="en-US"/>
        </w:rPr>
        <w:t xml:space="preserve"> 7 </w:t>
      </w:r>
      <w:r>
        <w:rPr>
          <w:i/>
          <w:lang w:val="en-US"/>
        </w:rPr>
        <w:t>n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upper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35" type="#_x0000_t75" style="width:15.6pt;height:18.6pt" o:ole="">
            <v:imagedata r:id="rId18" o:title=""/>
          </v:shape>
          <o:OLEObject Type="Embed" ProgID="Equation.3" ShapeID="_x0000_i1035" DrawAspect="Content" ObjectID="_1333260445" r:id="rId27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640.5 </w:t>
      </w:r>
      <w:r>
        <w:rPr>
          <w:rFonts w:ascii="Symbol" w:hAnsi="Symbol"/>
        </w:rPr>
        <w:t></w:t>
      </w:r>
      <w:r>
        <w:rPr>
          <w:lang w:val="en-US"/>
        </w:rPr>
        <w:t xml:space="preserve"> 7 </w:t>
      </w:r>
      <w:r>
        <w:rPr>
          <w:i/>
          <w:lang w:val="en-US"/>
        </w:rPr>
        <w:t>n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where:</w:t>
      </w:r>
    </w:p>
    <w:p w:rsidR="00C24688" w:rsidRDefault="00C24688" w:rsidP="00C24688">
      <w:pPr>
        <w:pStyle w:val="enumlev1"/>
        <w:spacing w:before="120"/>
        <w:rPr>
          <w:lang w:val="en-US"/>
        </w:rPr>
      </w:pPr>
      <w:r>
        <w:rPr>
          <w:i/>
          <w:lang w:val="en-US"/>
        </w:rPr>
        <w:tab/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1, 2, 3, … 72</w:t>
      </w:r>
    </w:p>
    <w:p w:rsidR="00C24688" w:rsidRDefault="00C24688" w:rsidP="00C24688">
      <w:pPr>
        <w:pStyle w:val="enumlev1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>e)</w:t>
      </w:r>
      <w:r>
        <w:rPr>
          <w:lang w:val="en-US"/>
        </w:rPr>
        <w:tab/>
        <w:t>for systems with a channel separation of 3.5 MHz: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lower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36" type="#_x0000_t75" style="width:15.6pt;height:18.6pt" o:ole="">
            <v:imagedata r:id="rId16" o:title=""/>
          </v:shape>
          <o:OLEObject Type="Embed" ProgID="Equation.3" ShapeID="_x0000_i1036" DrawAspect="Content" ObjectID="_1333260446" r:id="rId28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26.25 </w:t>
      </w:r>
      <w:r>
        <w:rPr>
          <w:rFonts w:ascii="Symbol" w:hAnsi="Symbol"/>
        </w:rPr>
        <w:t></w:t>
      </w:r>
      <w:r>
        <w:rPr>
          <w:lang w:val="en-US"/>
        </w:rPr>
        <w:t xml:space="preserve"> 3.5 </w:t>
      </w:r>
      <w:r>
        <w:rPr>
          <w:i/>
          <w:lang w:val="en-US"/>
        </w:rPr>
        <w:t>n</w:t>
      </w:r>
    </w:p>
    <w:p w:rsidR="00C24688" w:rsidRDefault="00C24688" w:rsidP="00C24688">
      <w:pPr>
        <w:pStyle w:val="enumlev1"/>
        <w:tabs>
          <w:tab w:val="left" w:pos="3119"/>
          <w:tab w:val="left" w:pos="3686"/>
        </w:tabs>
        <w:spacing w:before="120"/>
        <w:rPr>
          <w:lang w:val="en-US"/>
        </w:rPr>
      </w:pPr>
      <w:r>
        <w:rPr>
          <w:lang w:val="en-US"/>
        </w:rPr>
        <w:tab/>
        <w:t>upper half of the band:</w:t>
      </w:r>
      <w:r>
        <w:rPr>
          <w:lang w:val="en-US"/>
        </w:rPr>
        <w:tab/>
      </w:r>
      <w:r>
        <w:rPr>
          <w:lang w:val="en-US"/>
        </w:rPr>
        <w:tab/>
      </w:r>
      <w:r w:rsidRPr="00EF2E16">
        <w:rPr>
          <w:position w:val="-12"/>
        </w:rPr>
        <w:object w:dxaOrig="300" w:dyaOrig="360">
          <v:shape id="_x0000_i1037" type="#_x0000_t75" style="width:15.6pt;height:18.6pt" o:ole="">
            <v:imagedata r:id="rId18" o:title=""/>
          </v:shape>
          <o:OLEObject Type="Embed" ProgID="Equation.3" ShapeID="_x0000_i1037" DrawAspect="Content" ObjectID="_1333260447" r:id="rId29"/>
        </w:object>
      </w:r>
      <w:r>
        <w:rPr>
          <w:i/>
          <w:lang w:val="en-US"/>
        </w:rPr>
        <w:t> </w:t>
      </w:r>
      <w:r>
        <w:rPr>
          <w:rFonts w:ascii="Symbol" w:hAnsi="Symbol"/>
        </w:rPr>
        <w:t></w:t>
      </w:r>
      <w:r>
        <w:rPr>
          <w:i/>
          <w:lang w:val="en-US"/>
        </w:rPr>
        <w:t> f</w:t>
      </w:r>
      <w:r>
        <w:rPr>
          <w:i/>
          <w:position w:val="-4"/>
          <w:sz w:val="20"/>
          <w:lang w:val="en-US"/>
        </w:rPr>
        <w:t>r</w:t>
      </w:r>
      <w:r>
        <w:rPr>
          <w:lang w:val="en-US"/>
        </w:rPr>
        <w:t> </w:t>
      </w:r>
      <w:r>
        <w:rPr>
          <w:rFonts w:ascii="Symbol" w:hAnsi="Symbol"/>
        </w:rPr>
        <w:t></w:t>
      </w:r>
      <w:r>
        <w:rPr>
          <w:lang w:val="en-US"/>
        </w:rPr>
        <w:t> 642.25 </w:t>
      </w:r>
      <w:r>
        <w:rPr>
          <w:rFonts w:ascii="Symbol" w:hAnsi="Symbol"/>
        </w:rPr>
        <w:t></w:t>
      </w:r>
      <w:r>
        <w:rPr>
          <w:lang w:val="en-US"/>
        </w:rPr>
        <w:t xml:space="preserve"> 3.5 </w:t>
      </w:r>
      <w:r>
        <w:rPr>
          <w:i/>
          <w:lang w:val="en-US"/>
        </w:rPr>
        <w:t>n</w:t>
      </w:r>
    </w:p>
    <w:p w:rsidR="00C24688" w:rsidRDefault="00C24688" w:rsidP="00C24688">
      <w:pPr>
        <w:rPr>
          <w:lang w:val="en-US"/>
        </w:rPr>
      </w:pPr>
      <w:r>
        <w:rPr>
          <w:lang w:val="en-US"/>
        </w:rPr>
        <w:t>where:</w:t>
      </w:r>
    </w:p>
    <w:p w:rsidR="00C24688" w:rsidRDefault="00C24688" w:rsidP="00C24688">
      <w:pPr>
        <w:pStyle w:val="enumlev1"/>
        <w:spacing w:before="120"/>
        <w:rPr>
          <w:lang w:val="en-US"/>
        </w:rPr>
      </w:pPr>
      <w:r>
        <w:rPr>
          <w:i/>
          <w:lang w:val="en-US"/>
        </w:rPr>
        <w:tab/>
        <w:t>n</w:t>
      </w:r>
      <w:r>
        <w:rPr>
          <w:lang w:val="en-US"/>
        </w:rPr>
        <w:t> </w:t>
      </w:r>
      <w:r>
        <w:rPr>
          <w:rFonts w:ascii="Symbol" w:hAnsi="Symbol"/>
        </w:rPr>
        <w:t></w:t>
      </w:r>
      <w:r>
        <w:rPr>
          <w:lang w:val="en-US"/>
        </w:rPr>
        <w:t> 1, 2, 3, … 144.</w:t>
      </w:r>
    </w:p>
    <w:p w:rsidR="002B3308" w:rsidRDefault="002B3308" w:rsidP="00C24688">
      <w:pPr>
        <w:pStyle w:val="AnnexNo"/>
        <w:rPr>
          <w:lang w:val="en-US"/>
        </w:rPr>
      </w:pPr>
    </w:p>
    <w:p w:rsidR="00C24688" w:rsidRDefault="00C24688" w:rsidP="00AF5FCE">
      <w:pPr>
        <w:pStyle w:val="AnnexNoTitle"/>
        <w:rPr>
          <w:lang w:val="en-US"/>
        </w:rPr>
      </w:pPr>
      <w:r>
        <w:rPr>
          <w:lang w:val="en-US"/>
        </w:rPr>
        <w:t>A</w:t>
      </w:r>
      <w:r w:rsidR="00AF5FCE">
        <w:rPr>
          <w:lang w:val="en-US"/>
        </w:rPr>
        <w:t>nnex</w:t>
      </w:r>
      <w:r>
        <w:rPr>
          <w:lang w:val="en-US"/>
        </w:rPr>
        <w:t xml:space="preserve">  2</w:t>
      </w:r>
    </w:p>
    <w:p w:rsidR="00C24688" w:rsidRDefault="00C24688" w:rsidP="00C24688">
      <w:pPr>
        <w:pStyle w:val="TableNo"/>
        <w:rPr>
          <w:lang w:val="en-US"/>
        </w:rPr>
      </w:pPr>
      <w:r>
        <w:rPr>
          <w:lang w:val="en-US"/>
        </w:rPr>
        <w:t>TABLE  1</w:t>
      </w:r>
    </w:p>
    <w:p w:rsidR="00C24688" w:rsidRDefault="00C24688" w:rsidP="00C24688">
      <w:pPr>
        <w:pStyle w:val="Tabletitle"/>
        <w:rPr>
          <w:lang w:val="en-US"/>
        </w:rPr>
      </w:pPr>
      <w:r>
        <w:rPr>
          <w:lang w:val="en-US"/>
        </w:rPr>
        <w:t>Calculated parameters according to Recommendation ITU-R F.746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C24688" w:rsidTr="00D9508F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XS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n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f</w:t>
            </w:r>
            <w:r>
              <w:rPr>
                <w:position w:val="-4"/>
                <w:sz w:val="18"/>
                <w:lang w:val="es-ES"/>
              </w:rPr>
              <w:t>1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f</w:t>
            </w:r>
            <w:r>
              <w:rPr>
                <w:i/>
                <w:iCs/>
                <w:position w:val="-4"/>
                <w:sz w:val="18"/>
                <w:lang w:val="es-ES"/>
              </w:rPr>
              <w:t>nmax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spacing w:line="270" w:lineRule="exact"/>
              <w:rPr>
                <w:lang w:val="en-US"/>
              </w:rPr>
            </w:pPr>
            <w:r w:rsidRPr="00EF2E16">
              <w:rPr>
                <w:position w:val="-14"/>
              </w:rPr>
              <w:object w:dxaOrig="320" w:dyaOrig="380">
                <v:shape id="_x0000_i1038" type="#_x0000_t75" style="width:15.6pt;height:18.6pt" o:ole="">
                  <v:imagedata r:id="rId30" o:title=""/>
                </v:shape>
                <o:OLEObject Type="Embed" ProgID="Equation.3" ShapeID="_x0000_i1038" DrawAspect="Content" ObjectID="_1333260448" r:id="rId31"/>
              </w:objec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spacing w:line="270" w:lineRule="exact"/>
              <w:rPr>
                <w:lang w:val="en-US"/>
              </w:rPr>
            </w:pPr>
            <w:r w:rsidRPr="00EF2E16">
              <w:rPr>
                <w:position w:val="-14"/>
              </w:rPr>
              <w:object w:dxaOrig="660" w:dyaOrig="380">
                <v:shape id="_x0000_i1039" type="#_x0000_t75" style="width:33pt;height:18.6pt" o:ole="">
                  <v:imagedata r:id="rId32" o:title=""/>
                </v:shape>
                <o:OLEObject Type="Embed" ProgID="Equation.3" ShapeID="_x0000_i1039" DrawAspect="Content" ObjectID="_1333260449" r:id="rId33"/>
              </w:objec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Z</w:t>
            </w:r>
            <w:r>
              <w:rPr>
                <w:position w:val="-4"/>
                <w:sz w:val="18"/>
                <w:lang w:val="en-US"/>
              </w:rPr>
              <w:t>1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Z</w:t>
            </w:r>
            <w:r>
              <w:rPr>
                <w:position w:val="-4"/>
                <w:sz w:val="18"/>
                <w:lang w:val="en-US"/>
              </w:rPr>
              <w:t>2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YS</w: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C24688" w:rsidRDefault="00C24688" w:rsidP="00D9508F">
            <w:pPr>
              <w:pStyle w:val="Tablehead"/>
              <w:framePr w:hSpace="181" w:wrap="notBeside" w:vAnchor="text" w:hAnchor="text" w:xAlign="center" w:y="1"/>
            </w:pPr>
            <w:r>
              <w:rPr>
                <w:i/>
                <w:iCs/>
              </w:rPr>
              <w:t>DS</w:t>
            </w:r>
            <w:r>
              <w:br/>
              <w:t>(MHz)</w:t>
            </w:r>
          </w:p>
        </w:tc>
      </w:tr>
      <w:tr w:rsidR="00C24688" w:rsidTr="00D9508F">
        <w:trPr>
          <w:cantSplit/>
          <w:trHeight w:val="400"/>
          <w:jc w:val="center"/>
        </w:trPr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56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1, ... 9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468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916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084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532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68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68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168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616</w:t>
            </w:r>
          </w:p>
        </w:tc>
      </w:tr>
      <w:tr w:rsidR="00C24688" w:rsidTr="00D9508F">
        <w:trPr>
          <w:cantSplit/>
          <w:trHeight w:val="400"/>
          <w:jc w:val="center"/>
        </w:trPr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28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1, ... 18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454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930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070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546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54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54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140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616</w:t>
            </w:r>
          </w:p>
        </w:tc>
      </w:tr>
      <w:tr w:rsidR="00C24688" w:rsidTr="00D9508F">
        <w:trPr>
          <w:cantSplit/>
          <w:trHeight w:val="400"/>
          <w:jc w:val="center"/>
        </w:trPr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14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1, ... 36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447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937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063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553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47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47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126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616</w:t>
            </w:r>
          </w:p>
        </w:tc>
      </w:tr>
      <w:tr w:rsidR="00C24688" w:rsidTr="00D9508F">
        <w:trPr>
          <w:cantSplit/>
          <w:trHeight w:val="400"/>
          <w:jc w:val="center"/>
        </w:trPr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7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1, …72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443.5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940.5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059.5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556.5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43.5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43.5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119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616</w:t>
            </w:r>
          </w:p>
        </w:tc>
      </w:tr>
      <w:tr w:rsidR="00C24688" w:rsidTr="00D9508F">
        <w:trPr>
          <w:cantSplit/>
          <w:trHeight w:val="400"/>
          <w:jc w:val="center"/>
        </w:trPr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jc w:val="center"/>
            </w:pPr>
            <w:r>
              <w:t>3.5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1, …144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441.75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51</w:t>
            </w:r>
            <w:r>
              <w:rPr>
                <w:rFonts w:ascii="Tms Rmn" w:hAnsi="Tms Rmn"/>
                <w:sz w:val="12"/>
              </w:rPr>
              <w:t> </w:t>
            </w:r>
            <w:r>
              <w:t>942.25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057.75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52</w:t>
            </w:r>
            <w:r>
              <w:rPr>
                <w:rFonts w:ascii="Tms Rmn" w:hAnsi="Tms Rmn"/>
                <w:sz w:val="12"/>
              </w:rPr>
              <w:t> </w:t>
            </w:r>
            <w:r>
              <w:t>558.25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41.75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41.75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115.5</w:t>
            </w:r>
          </w:p>
        </w:tc>
        <w:tc>
          <w:tcPr>
            <w:tcW w:w="964" w:type="dxa"/>
          </w:tcPr>
          <w:p w:rsidR="00C24688" w:rsidRDefault="00C24688" w:rsidP="00D9508F">
            <w:pPr>
              <w:pStyle w:val="Tabletext"/>
              <w:framePr w:hSpace="181" w:wrap="notBeside" w:vAnchor="text" w:hAnchor="text" w:xAlign="center" w:y="1"/>
              <w:ind w:left="-57" w:right="-57"/>
              <w:jc w:val="center"/>
            </w:pPr>
            <w:r>
              <w:t>616</w:t>
            </w:r>
          </w:p>
        </w:tc>
      </w:tr>
      <w:tr w:rsidR="00C24688" w:rsidTr="00D9508F">
        <w:tblPrEx>
          <w:tblBorders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400"/>
          <w:jc w:val="center"/>
        </w:trPr>
        <w:tc>
          <w:tcPr>
            <w:tcW w:w="9640" w:type="dxa"/>
            <w:gridSpan w:val="10"/>
          </w:tcPr>
          <w:p w:rsidR="00C24688" w:rsidRDefault="00C24688" w:rsidP="00D9508F">
            <w:pPr>
              <w:pStyle w:val="Tablelegend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left" w:pos="490"/>
              </w:tabs>
              <w:spacing w:before="60" w:after="20"/>
              <w:ind w:left="0" w:right="0" w:firstLine="0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XS</w:t>
            </w:r>
            <w:r>
              <w:rPr>
                <w:lang w:val="en-US"/>
              </w:rPr>
              <w:t>:</w:t>
            </w:r>
            <w:r>
              <w:rPr>
                <w:lang w:val="en-US"/>
              </w:rPr>
              <w:tab/>
              <w:t>separation between centre frequencies of adjacent channels</w:t>
            </w:r>
          </w:p>
          <w:p w:rsidR="00C24688" w:rsidRDefault="00C24688" w:rsidP="00D9508F">
            <w:pPr>
              <w:pStyle w:val="Tablelegend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left" w:pos="490"/>
              </w:tabs>
              <w:spacing w:before="20" w:after="20"/>
              <w:ind w:left="0" w:right="0" w:firstLine="0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YS</w:t>
            </w:r>
            <w:r>
              <w:rPr>
                <w:lang w:val="en-US"/>
              </w:rPr>
              <w:t>:</w:t>
            </w:r>
            <w:r>
              <w:rPr>
                <w:lang w:val="en-US"/>
              </w:rPr>
              <w:tab/>
              <w:t>separation between centre frequencies of the closest go and return channels</w:t>
            </w:r>
          </w:p>
          <w:p w:rsidR="00C24688" w:rsidRDefault="00C24688" w:rsidP="00D9508F">
            <w:pPr>
              <w:pStyle w:val="Tablelegend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left" w:pos="490"/>
              </w:tabs>
              <w:spacing w:before="20" w:after="20"/>
              <w:ind w:left="0" w:right="0" w:firstLine="0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Z</w:t>
            </w:r>
            <w:r>
              <w:rPr>
                <w:position w:val="-4"/>
                <w:sz w:val="18"/>
                <w:lang w:val="en-US"/>
              </w:rPr>
              <w:t>1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lang w:val="en-US"/>
              </w:rPr>
              <w:t>:</w:t>
            </w:r>
            <w:r>
              <w:rPr>
                <w:lang w:val="en-US"/>
              </w:rPr>
              <w:tab/>
              <w:t>separation between the lower band edge and the centre frequency of the first channel</w:t>
            </w:r>
          </w:p>
          <w:p w:rsidR="00C24688" w:rsidRDefault="00C24688" w:rsidP="00D9508F">
            <w:pPr>
              <w:pStyle w:val="Tablelegend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left" w:pos="490"/>
              </w:tabs>
              <w:spacing w:before="20" w:after="20"/>
              <w:ind w:left="0" w:right="0" w:firstLine="0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Z</w:t>
            </w:r>
            <w:r>
              <w:rPr>
                <w:position w:val="-4"/>
                <w:sz w:val="18"/>
                <w:lang w:val="en-US"/>
              </w:rPr>
              <w:t>2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lang w:val="en-US"/>
              </w:rPr>
              <w:t>:</w:t>
            </w:r>
            <w:r>
              <w:rPr>
                <w:lang w:val="en-US"/>
              </w:rPr>
              <w:tab/>
              <w:t>separation between centre frequencies of the final channel and the upper band edge</w:t>
            </w:r>
          </w:p>
          <w:p w:rsidR="00C24688" w:rsidRDefault="00C24688" w:rsidP="00D9508F">
            <w:pPr>
              <w:pStyle w:val="Tablelegend"/>
              <w:framePr w:hSpace="181" w:wrap="notBeside" w:vAnchor="text" w:hAnchor="text" w:xAlign="center" w:y="1"/>
              <w:tabs>
                <w:tab w:val="clear" w:pos="284"/>
                <w:tab w:val="clear" w:pos="567"/>
                <w:tab w:val="left" w:pos="490"/>
              </w:tabs>
              <w:spacing w:before="20" w:after="20" w:line="240" w:lineRule="exact"/>
              <w:ind w:left="0" w:right="0" w:firstLine="0"/>
            </w:pPr>
            <w:r>
              <w:rPr>
                <w:i/>
                <w:iCs/>
              </w:rPr>
              <w:t>DS</w:t>
            </w:r>
            <w:r>
              <w:t>:</w:t>
            </w:r>
            <w:r>
              <w:tab/>
              <w:t xml:space="preserve">duplex spacing </w:t>
            </w:r>
            <w:r w:rsidRPr="00EF2E16">
              <w:rPr>
                <w:position w:val="-10"/>
              </w:rPr>
              <w:object w:dxaOrig="940" w:dyaOrig="320">
                <v:shape id="_x0000_i1040" type="#_x0000_t75" style="width:46.8pt;height:15.6pt" o:ole="">
                  <v:imagedata r:id="rId34" o:title=""/>
                </v:shape>
                <o:OLEObject Type="Embed" ProgID="Equation.3" ShapeID="_x0000_i1040" DrawAspect="Content" ObjectID="_1333260450" r:id="rId35"/>
              </w:object>
            </w:r>
          </w:p>
        </w:tc>
      </w:tr>
    </w:tbl>
    <w:p w:rsidR="00C24688" w:rsidRDefault="00C24688" w:rsidP="00C24688">
      <w:pPr>
        <w:pStyle w:val="Tablefin"/>
        <w:rPr>
          <w:lang w:val="fr-FR"/>
        </w:rPr>
      </w:pPr>
    </w:p>
    <w:p w:rsidR="00934ED7" w:rsidRDefault="00934ED7" w:rsidP="00C24688">
      <w:pPr>
        <w:rPr>
          <w:lang w:val="en-US"/>
        </w:rPr>
      </w:pPr>
    </w:p>
    <w:p w:rsidR="00C24688" w:rsidRDefault="00C24688" w:rsidP="00C24688">
      <w:pPr>
        <w:rPr>
          <w:lang w:val="en-US"/>
        </w:rPr>
      </w:pPr>
    </w:p>
    <w:p w:rsidR="00C24688" w:rsidRDefault="00C24688" w:rsidP="00C24688">
      <w:pPr>
        <w:rPr>
          <w:lang w:val="en-US"/>
        </w:rPr>
      </w:pPr>
    </w:p>
    <w:p w:rsidR="00C24688" w:rsidRPr="00BF487A" w:rsidRDefault="00C24688" w:rsidP="00C24688">
      <w:pPr>
        <w:pStyle w:val="Line"/>
      </w:pPr>
    </w:p>
    <w:sectPr w:rsidR="00C24688" w:rsidRPr="00BF487A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BF4" w:rsidRDefault="00057BF4">
      <w:r>
        <w:separator/>
      </w:r>
    </w:p>
  </w:endnote>
  <w:endnote w:type="continuationSeparator" w:id="0">
    <w:p w:rsidR="00057BF4" w:rsidRDefault="00057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BF4" w:rsidRDefault="00057BF4">
      <w:r>
        <w:separator/>
      </w:r>
    </w:p>
  </w:footnote>
  <w:footnote w:type="continuationSeparator" w:id="0">
    <w:p w:rsidR="00057BF4" w:rsidRDefault="00057BF4">
      <w:r>
        <w:continuationSeparator/>
      </w:r>
    </w:p>
  </w:footnote>
  <w:footnote w:id="1">
    <w:p w:rsidR="00C24688" w:rsidRPr="00C24688" w:rsidRDefault="00C24688" w:rsidP="00AF5FCE">
      <w:pPr>
        <w:pStyle w:val="FootnoteText"/>
        <w:rPr>
          <w:lang w:val="en-US"/>
        </w:rPr>
      </w:pPr>
      <w:r w:rsidRPr="002B3308">
        <w:rPr>
          <w:rStyle w:val="FootnoteReference"/>
          <w:lang w:val="en-US"/>
        </w:rPr>
        <w:t>*</w:t>
      </w:r>
      <w:r w:rsidRPr="002B3308">
        <w:rPr>
          <w:lang w:val="en-US"/>
        </w:rPr>
        <w:tab/>
      </w:r>
      <w:r w:rsidR="00AF5FCE">
        <w:rPr>
          <w:lang w:val="en-US"/>
        </w:rPr>
        <w:t xml:space="preserve">Radiocommunication </w:t>
      </w:r>
      <w:r w:rsidRPr="002B3308">
        <w:rPr>
          <w:lang w:val="en-US"/>
        </w:rPr>
        <w:t xml:space="preserve">Study Group 5 made editorial amendments to this Recommendation </w:t>
      </w:r>
      <w:r w:rsidR="00AF5FCE">
        <w:rPr>
          <w:lang w:val="en-US"/>
        </w:rPr>
        <w:t>in</w:t>
      </w:r>
      <w:r w:rsidRPr="002B3308">
        <w:rPr>
          <w:lang w:val="en-US"/>
        </w:rPr>
        <w:t xml:space="preserve"> December</w:t>
      </w:r>
      <w:r w:rsidR="00AF5FCE">
        <w:rPr>
          <w:lang w:val="en-US"/>
        </w:rPr>
        <w:t> </w:t>
      </w:r>
      <w:r w:rsidRPr="002B3308">
        <w:rPr>
          <w:lang w:val="en-US"/>
        </w:rPr>
        <w:t>2009 in accordance with Resolution ITU-R 1.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4F" w:rsidRDefault="007D224F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4F" w:rsidRDefault="00C24688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4F" w:rsidRPr="00FC42AF" w:rsidRDefault="0028428E">
    <w:pPr>
      <w:pStyle w:val="Header"/>
      <w:jc w:val="left"/>
    </w:pPr>
    <w:r>
      <w:rPr>
        <w:rStyle w:val="PageNumber"/>
        <w:b/>
        <w:bCs/>
      </w:rPr>
      <w:fldChar w:fldCharType="begin"/>
    </w:r>
    <w:r w:rsidR="007D224F"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F5FCE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 w:rsidR="007D224F" w:rsidRPr="00FC42AF">
      <w:tab/>
    </w:r>
    <w:fldSimple w:instr=" DOCPROPERTY &quot;Header&quot; \* MERGEFORMAT ">
      <w:r w:rsidR="00AF5FCE" w:rsidRPr="00AF5FCE">
        <w:rPr>
          <w:b/>
          <w:bCs/>
        </w:rPr>
        <w:t xml:space="preserve">Rec. </w:t>
      </w:r>
    </w:fldSimple>
    <w:r w:rsidR="007D224F">
      <w:rPr>
        <w:b/>
        <w:bCs/>
      </w:rPr>
      <w:t xml:space="preserve"> </w:t>
    </w:r>
    <w:r>
      <w:rPr>
        <w:b/>
        <w:bCs/>
      </w:rPr>
      <w:fldChar w:fldCharType="begin"/>
    </w:r>
    <w:r w:rsidR="007D224F"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F5FCE">
      <w:rPr>
        <w:b/>
        <w:bCs/>
        <w:noProof/>
      </w:rPr>
      <w:t>ITU-R  F.1496-1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4F" w:rsidRDefault="007D224F">
    <w:pPr>
      <w:pStyle w:val="Header"/>
    </w:pPr>
    <w:r>
      <w:tab/>
    </w:r>
    <w:fldSimple w:instr=" DOCPROPERTY &quot;Header&quot; \* MERGEFORMAT ">
      <w:r w:rsidR="00AF5FCE" w:rsidRPr="00AF5FC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28428E">
      <w:rPr>
        <w:b/>
        <w:bCs/>
      </w:rPr>
      <w:fldChar w:fldCharType="begin"/>
    </w:r>
    <w:r>
      <w:rPr>
        <w:b/>
        <w:bCs/>
      </w:rPr>
      <w:instrText>styleref href</w:instrText>
    </w:r>
    <w:r w:rsidR="0028428E">
      <w:rPr>
        <w:b/>
        <w:bCs/>
      </w:rPr>
      <w:fldChar w:fldCharType="separate"/>
    </w:r>
    <w:r w:rsidR="00AF5FCE">
      <w:rPr>
        <w:b/>
        <w:bCs/>
        <w:noProof/>
      </w:rPr>
      <w:t>ITU-R  F.1496-1</w:t>
    </w:r>
    <w:r w:rsidR="0028428E">
      <w:rPr>
        <w:b/>
        <w:bCs/>
      </w:rPr>
      <w:fldChar w:fldCharType="end"/>
    </w:r>
    <w:r>
      <w:tab/>
    </w:r>
    <w:r w:rsidR="0028428E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28428E">
      <w:rPr>
        <w:rStyle w:val="PageNumber"/>
        <w:b/>
        <w:bCs/>
      </w:rPr>
      <w:fldChar w:fldCharType="separate"/>
    </w:r>
    <w:r w:rsidR="00AF5FCE">
      <w:rPr>
        <w:rStyle w:val="PageNumber"/>
        <w:b/>
        <w:bCs/>
        <w:noProof/>
      </w:rPr>
      <w:t>3</w:t>
    </w:r>
    <w:r w:rsidR="0028428E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92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/>
  <w:rsids>
    <w:rsidRoot w:val="00934ED7"/>
    <w:rsid w:val="00013002"/>
    <w:rsid w:val="00036EE3"/>
    <w:rsid w:val="00057BF4"/>
    <w:rsid w:val="00072484"/>
    <w:rsid w:val="00096612"/>
    <w:rsid w:val="000A4386"/>
    <w:rsid w:val="000B7683"/>
    <w:rsid w:val="000D0677"/>
    <w:rsid w:val="000E6A6E"/>
    <w:rsid w:val="00102934"/>
    <w:rsid w:val="00123703"/>
    <w:rsid w:val="00125544"/>
    <w:rsid w:val="00147110"/>
    <w:rsid w:val="001511A6"/>
    <w:rsid w:val="002058CE"/>
    <w:rsid w:val="002165F1"/>
    <w:rsid w:val="00276D21"/>
    <w:rsid w:val="0028428E"/>
    <w:rsid w:val="00296D7F"/>
    <w:rsid w:val="002B3308"/>
    <w:rsid w:val="002B3CF6"/>
    <w:rsid w:val="002C768A"/>
    <w:rsid w:val="002D76C4"/>
    <w:rsid w:val="002F5199"/>
    <w:rsid w:val="00356B5D"/>
    <w:rsid w:val="003D3078"/>
    <w:rsid w:val="00420DFD"/>
    <w:rsid w:val="00437A76"/>
    <w:rsid w:val="00470E28"/>
    <w:rsid w:val="004934C5"/>
    <w:rsid w:val="004F65E4"/>
    <w:rsid w:val="00556548"/>
    <w:rsid w:val="00586EF8"/>
    <w:rsid w:val="005B49AB"/>
    <w:rsid w:val="005B50E7"/>
    <w:rsid w:val="005E7B4F"/>
    <w:rsid w:val="00601882"/>
    <w:rsid w:val="00607D68"/>
    <w:rsid w:val="00613212"/>
    <w:rsid w:val="006149B1"/>
    <w:rsid w:val="00677965"/>
    <w:rsid w:val="00680D2B"/>
    <w:rsid w:val="00681B32"/>
    <w:rsid w:val="006A75CC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94726"/>
    <w:rsid w:val="007A6AA8"/>
    <w:rsid w:val="007D224F"/>
    <w:rsid w:val="00807436"/>
    <w:rsid w:val="008310C9"/>
    <w:rsid w:val="00853CC5"/>
    <w:rsid w:val="008C1BAC"/>
    <w:rsid w:val="008C7848"/>
    <w:rsid w:val="00906589"/>
    <w:rsid w:val="00906AD6"/>
    <w:rsid w:val="00917AF2"/>
    <w:rsid w:val="0092418A"/>
    <w:rsid w:val="00934ED7"/>
    <w:rsid w:val="009543C3"/>
    <w:rsid w:val="00966E1B"/>
    <w:rsid w:val="009947C0"/>
    <w:rsid w:val="009F2D2C"/>
    <w:rsid w:val="00A31928"/>
    <w:rsid w:val="00A51727"/>
    <w:rsid w:val="00A62A14"/>
    <w:rsid w:val="00A6617B"/>
    <w:rsid w:val="00A71FE5"/>
    <w:rsid w:val="00A971A1"/>
    <w:rsid w:val="00AA3AD8"/>
    <w:rsid w:val="00AB0DC8"/>
    <w:rsid w:val="00AC5993"/>
    <w:rsid w:val="00AF5FCE"/>
    <w:rsid w:val="00B033C8"/>
    <w:rsid w:val="00B33425"/>
    <w:rsid w:val="00B44E24"/>
    <w:rsid w:val="00B54ECC"/>
    <w:rsid w:val="00B714F3"/>
    <w:rsid w:val="00B87B6B"/>
    <w:rsid w:val="00BC5D77"/>
    <w:rsid w:val="00BF487A"/>
    <w:rsid w:val="00C24688"/>
    <w:rsid w:val="00C46BD9"/>
    <w:rsid w:val="00C55258"/>
    <w:rsid w:val="00C73560"/>
    <w:rsid w:val="00CB0F14"/>
    <w:rsid w:val="00CD659B"/>
    <w:rsid w:val="00CE0A43"/>
    <w:rsid w:val="00CE7A98"/>
    <w:rsid w:val="00D83556"/>
    <w:rsid w:val="00DF4176"/>
    <w:rsid w:val="00E17240"/>
    <w:rsid w:val="00E406BD"/>
    <w:rsid w:val="00E74595"/>
    <w:rsid w:val="00EB7C57"/>
    <w:rsid w:val="00ED2695"/>
    <w:rsid w:val="00F30C9B"/>
    <w:rsid w:val="00F354B1"/>
    <w:rsid w:val="00F71DCE"/>
    <w:rsid w:val="00FB0E4E"/>
    <w:rsid w:val="00FC42AF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92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37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12370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2370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2370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2370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23703"/>
    <w:pPr>
      <w:outlineLvl w:val="4"/>
    </w:pPr>
  </w:style>
  <w:style w:type="paragraph" w:styleId="Heading6">
    <w:name w:val="heading 6"/>
    <w:basedOn w:val="Heading4"/>
    <w:next w:val="Normal"/>
    <w:qFormat/>
    <w:rsid w:val="0012370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23703"/>
    <w:pPr>
      <w:outlineLvl w:val="6"/>
    </w:pPr>
  </w:style>
  <w:style w:type="paragraph" w:styleId="Heading8">
    <w:name w:val="heading 8"/>
    <w:basedOn w:val="Heading6"/>
    <w:next w:val="Normal"/>
    <w:qFormat/>
    <w:rsid w:val="00123703"/>
    <w:pPr>
      <w:outlineLvl w:val="7"/>
    </w:pPr>
  </w:style>
  <w:style w:type="paragraph" w:styleId="Heading9">
    <w:name w:val="heading 9"/>
    <w:basedOn w:val="Heading6"/>
    <w:next w:val="Normal"/>
    <w:qFormat/>
    <w:rsid w:val="0012370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370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2370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23703"/>
  </w:style>
  <w:style w:type="paragraph" w:customStyle="1" w:styleId="Headingb">
    <w:name w:val="Heading_b"/>
    <w:basedOn w:val="Heading3"/>
    <w:next w:val="Normal"/>
    <w:rsid w:val="0012370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2370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23703"/>
  </w:style>
  <w:style w:type="paragraph" w:customStyle="1" w:styleId="AnnexNoTitle">
    <w:name w:val="Annex_NoTitle"/>
    <w:basedOn w:val="Normal"/>
    <w:next w:val="Normalaftertitle"/>
    <w:rsid w:val="0012370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123703"/>
    <w:pPr>
      <w:spacing w:before="320"/>
    </w:pPr>
  </w:style>
  <w:style w:type="paragraph" w:customStyle="1" w:styleId="enumlev2">
    <w:name w:val="enumlev2"/>
    <w:basedOn w:val="enumlev1"/>
    <w:rsid w:val="00123703"/>
    <w:pPr>
      <w:ind w:left="1191" w:hanging="397"/>
    </w:pPr>
  </w:style>
  <w:style w:type="paragraph" w:customStyle="1" w:styleId="enumlev1">
    <w:name w:val="enumlev1"/>
    <w:basedOn w:val="Normal"/>
    <w:rsid w:val="00123703"/>
    <w:pPr>
      <w:spacing w:before="80"/>
      <w:ind w:left="794" w:hanging="794"/>
    </w:pPr>
  </w:style>
  <w:style w:type="paragraph" w:customStyle="1" w:styleId="enumlev3">
    <w:name w:val="enumlev3"/>
    <w:basedOn w:val="enumlev2"/>
    <w:rsid w:val="00123703"/>
    <w:pPr>
      <w:ind w:left="1588"/>
    </w:pPr>
  </w:style>
  <w:style w:type="paragraph" w:customStyle="1" w:styleId="Note">
    <w:name w:val="Note"/>
    <w:basedOn w:val="Normal"/>
    <w:rsid w:val="0012370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237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12370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123703"/>
    <w:pPr>
      <w:jc w:val="center"/>
    </w:pPr>
  </w:style>
  <w:style w:type="paragraph" w:customStyle="1" w:styleId="Recdate">
    <w:name w:val="Rec_date"/>
    <w:basedOn w:val="Recref"/>
    <w:next w:val="Normalaftertitle"/>
    <w:rsid w:val="00123703"/>
    <w:pPr>
      <w:jc w:val="right"/>
    </w:pPr>
  </w:style>
  <w:style w:type="paragraph" w:customStyle="1" w:styleId="HeadingSum">
    <w:name w:val="Heading_Sum"/>
    <w:basedOn w:val="Headingb"/>
    <w:next w:val="Normal"/>
    <w:rsid w:val="00123703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123703"/>
  </w:style>
  <w:style w:type="paragraph" w:customStyle="1" w:styleId="Tablefin">
    <w:name w:val="Table_fin"/>
    <w:basedOn w:val="Normal"/>
    <w:next w:val="Normal"/>
    <w:rsid w:val="0012370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2370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2370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12370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2370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2370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2370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23703"/>
    <w:pPr>
      <w:ind w:left="794"/>
    </w:pPr>
  </w:style>
  <w:style w:type="paragraph" w:customStyle="1" w:styleId="Figurelegend">
    <w:name w:val="Figure_legend"/>
    <w:basedOn w:val="Normal"/>
    <w:rsid w:val="001237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2370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2370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23703"/>
    <w:pPr>
      <w:keepNext w:val="0"/>
      <w:spacing w:before="0" w:after="240"/>
    </w:pPr>
  </w:style>
  <w:style w:type="paragraph" w:customStyle="1" w:styleId="tocpart">
    <w:name w:val="tocpart"/>
    <w:basedOn w:val="Normal"/>
    <w:rsid w:val="0012370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2370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2370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237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2370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2370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23703"/>
    <w:rPr>
      <w:b/>
    </w:rPr>
  </w:style>
  <w:style w:type="paragraph" w:customStyle="1" w:styleId="Chaptitle">
    <w:name w:val="Chap_title"/>
    <w:basedOn w:val="Arttitle"/>
    <w:next w:val="Normalaftertitle"/>
    <w:rsid w:val="00123703"/>
  </w:style>
  <w:style w:type="character" w:styleId="FootnoteReference">
    <w:name w:val="footnote reference"/>
    <w:basedOn w:val="DefaultParagraphFont"/>
    <w:semiHidden/>
    <w:rsid w:val="00123703"/>
    <w:rPr>
      <w:position w:val="6"/>
      <w:sz w:val="18"/>
    </w:rPr>
  </w:style>
  <w:style w:type="paragraph" w:styleId="FootnoteText">
    <w:name w:val="footnote text"/>
    <w:basedOn w:val="Normal"/>
    <w:semiHidden/>
    <w:rsid w:val="0012370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23703"/>
  </w:style>
  <w:style w:type="paragraph" w:styleId="Index2">
    <w:name w:val="index 2"/>
    <w:basedOn w:val="Normal"/>
    <w:next w:val="Normal"/>
    <w:semiHidden/>
    <w:rsid w:val="00123703"/>
    <w:pPr>
      <w:ind w:left="283"/>
    </w:pPr>
  </w:style>
  <w:style w:type="paragraph" w:styleId="Index3">
    <w:name w:val="index 3"/>
    <w:basedOn w:val="Normal"/>
    <w:next w:val="Normal"/>
    <w:semiHidden/>
    <w:rsid w:val="00123703"/>
    <w:pPr>
      <w:ind w:left="566"/>
    </w:pPr>
  </w:style>
  <w:style w:type="paragraph" w:styleId="IndexHeading">
    <w:name w:val="index heading"/>
    <w:basedOn w:val="Normal"/>
    <w:next w:val="Index1"/>
    <w:semiHidden/>
    <w:rsid w:val="00123703"/>
  </w:style>
  <w:style w:type="paragraph" w:customStyle="1" w:styleId="Line">
    <w:name w:val="Line"/>
    <w:basedOn w:val="Normal"/>
    <w:next w:val="Normal"/>
    <w:rsid w:val="0012370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2370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23703"/>
  </w:style>
  <w:style w:type="paragraph" w:customStyle="1" w:styleId="Partref">
    <w:name w:val="Part_ref"/>
    <w:basedOn w:val="Normal"/>
    <w:next w:val="Normal"/>
    <w:rsid w:val="0012370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237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23703"/>
  </w:style>
  <w:style w:type="paragraph" w:customStyle="1" w:styleId="QuestionNo">
    <w:name w:val="Question_No"/>
    <w:basedOn w:val="RecNo"/>
    <w:next w:val="Normal"/>
    <w:rsid w:val="00123703"/>
  </w:style>
  <w:style w:type="paragraph" w:customStyle="1" w:styleId="Questionref">
    <w:name w:val="Question_ref"/>
    <w:basedOn w:val="Recref"/>
    <w:next w:val="Questiondate"/>
    <w:rsid w:val="00123703"/>
  </w:style>
  <w:style w:type="paragraph" w:customStyle="1" w:styleId="Questiontitle">
    <w:name w:val="Question_title"/>
    <w:basedOn w:val="Normal"/>
    <w:next w:val="Questionref"/>
    <w:rsid w:val="00123703"/>
  </w:style>
  <w:style w:type="paragraph" w:customStyle="1" w:styleId="Reftext">
    <w:name w:val="Ref_text"/>
    <w:basedOn w:val="Normal"/>
    <w:rsid w:val="0012370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2370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23703"/>
  </w:style>
  <w:style w:type="paragraph" w:customStyle="1" w:styleId="RepNo">
    <w:name w:val="Rep_No"/>
    <w:basedOn w:val="RecNo"/>
    <w:next w:val="Reptitle"/>
    <w:rsid w:val="00123703"/>
  </w:style>
  <w:style w:type="paragraph" w:customStyle="1" w:styleId="Reptitle">
    <w:name w:val="Rep_title"/>
    <w:basedOn w:val="Rectitle"/>
    <w:next w:val="Repref"/>
    <w:rsid w:val="00123703"/>
  </w:style>
  <w:style w:type="paragraph" w:customStyle="1" w:styleId="Repref">
    <w:name w:val="Rep_ref"/>
    <w:basedOn w:val="Recref"/>
    <w:next w:val="Repdate"/>
    <w:rsid w:val="00123703"/>
  </w:style>
  <w:style w:type="paragraph" w:customStyle="1" w:styleId="Resdate">
    <w:name w:val="Res_date"/>
    <w:basedOn w:val="Recdate"/>
    <w:next w:val="Normalaftertitle"/>
    <w:rsid w:val="00123703"/>
  </w:style>
  <w:style w:type="paragraph" w:customStyle="1" w:styleId="ResNo">
    <w:name w:val="Res_No"/>
    <w:basedOn w:val="RecNo"/>
    <w:next w:val="Restitle"/>
    <w:rsid w:val="00123703"/>
  </w:style>
  <w:style w:type="paragraph" w:customStyle="1" w:styleId="Restitle">
    <w:name w:val="Res_title"/>
    <w:basedOn w:val="Normal"/>
    <w:next w:val="Resref"/>
    <w:rsid w:val="00123703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23703"/>
  </w:style>
  <w:style w:type="paragraph" w:customStyle="1" w:styleId="SectionNo">
    <w:name w:val="Section_No"/>
    <w:basedOn w:val="Normal"/>
    <w:next w:val="Normal"/>
    <w:rsid w:val="00123703"/>
  </w:style>
  <w:style w:type="paragraph" w:customStyle="1" w:styleId="Sectiontitle">
    <w:name w:val="Section_title"/>
    <w:basedOn w:val="Normal"/>
    <w:next w:val="Normalaftertitle"/>
    <w:rsid w:val="001237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2370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2370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2370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2370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2370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23703"/>
  </w:style>
  <w:style w:type="paragraph" w:styleId="TOC6">
    <w:name w:val="toc 6"/>
    <w:basedOn w:val="TOC4"/>
    <w:semiHidden/>
    <w:rsid w:val="00123703"/>
  </w:style>
  <w:style w:type="paragraph" w:styleId="TOC7">
    <w:name w:val="toc 7"/>
    <w:basedOn w:val="TOC4"/>
    <w:semiHidden/>
    <w:rsid w:val="00123703"/>
  </w:style>
  <w:style w:type="paragraph" w:styleId="TOC8">
    <w:name w:val="toc 8"/>
    <w:basedOn w:val="TOC4"/>
    <w:semiHidden/>
    <w:rsid w:val="00123703"/>
  </w:style>
  <w:style w:type="paragraph" w:customStyle="1" w:styleId="Annexref">
    <w:name w:val="Annex_ref"/>
    <w:basedOn w:val="Normal"/>
    <w:next w:val="Normalaftertitle"/>
    <w:rsid w:val="0012370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23703"/>
  </w:style>
  <w:style w:type="paragraph" w:customStyle="1" w:styleId="Tabletitle">
    <w:name w:val="Table_title"/>
    <w:basedOn w:val="Normal"/>
    <w:next w:val="Tablehead"/>
    <w:rsid w:val="0012370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23703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AnnexNo">
    <w:name w:val="Annex_No"/>
    <w:basedOn w:val="Normal"/>
    <w:next w:val="Annextitle"/>
    <w:rsid w:val="00C24688"/>
    <w:pPr>
      <w:keepNext/>
      <w:keepLines/>
      <w:spacing w:before="480" w:after="80"/>
      <w:jc w:val="center"/>
    </w:pPr>
    <w:rPr>
      <w:sz w:val="28"/>
    </w:rPr>
  </w:style>
  <w:style w:type="paragraph" w:customStyle="1" w:styleId="Annextitle">
    <w:name w:val="Annex_title"/>
    <w:basedOn w:val="Normal"/>
    <w:next w:val="Normalaftertitle"/>
    <w:rsid w:val="00C2468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8.bin"/><Relationship Id="rId32" Type="http://schemas.openxmlformats.org/officeDocument/2006/relationships/image" Target="media/image6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36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1.bin"/><Relationship Id="rId30" Type="http://schemas.openxmlformats.org/officeDocument/2006/relationships/image" Target="media/image5.wmf"/><Relationship Id="rId35" Type="http://schemas.openxmlformats.org/officeDocument/2006/relationships/oleObject" Target="embeddings/oleObject16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9A8D3-9F27-4B42-B526-6DC8452E3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118</TotalTime>
  <Pages>5</Pages>
  <Words>1032</Words>
  <Characters>5817</Characters>
  <Application>Microsoft Office Word</Application>
  <DocSecurity>0</DocSecurity>
  <Lines>277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6629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F.1496-1* - Radio-frequency channel arrangements for fixed wireless systems  operating in the band 51.4-52.6 GHz</dc:title>
  <dc:subject>F Series = Fixed service</dc:subject>
  <dc:creator>ITU Radiocommunication Bureau (BR)</dc:creator>
  <cp:keywords>F,1496-1*</cp:keywords>
  <dc:description>Santosbo, 20/04/2010, MSB106309</dc:description>
  <cp:lastModifiedBy>santosbo</cp:lastModifiedBy>
  <cp:revision>5</cp:revision>
  <cp:lastPrinted>2009-06-26T14:19:00Z</cp:lastPrinted>
  <dcterms:created xsi:type="dcterms:W3CDTF">2010-03-08T11:06:00Z</dcterms:created>
  <dcterms:modified xsi:type="dcterms:W3CDTF">2010-04-20T07:18:00Z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20 April 2010</vt:lpwstr>
  </property>
</Properties>
</file>