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5E2" w:rsidRPr="003A2FB9" w:rsidRDefault="003655E2" w:rsidP="003655E2">
      <w:pPr>
        <w:rPr>
          <w:lang w:val="ru-RU"/>
        </w:rPr>
      </w:pPr>
      <w:bookmarkStart w:id="0" w:name="irecnoe"/>
      <w:bookmarkStart w:id="1" w:name="Doc_title"/>
      <w:bookmarkEnd w:id="0"/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  <w:bookmarkStart w:id="2" w:name="_GoBack"/>
      <w:bookmarkEnd w:id="2"/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p w:rsidR="003655E2" w:rsidRPr="003A2FB9" w:rsidRDefault="003655E2" w:rsidP="003655E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655E2" w:rsidRPr="003A2FB9" w:rsidTr="003655E2">
        <w:tc>
          <w:tcPr>
            <w:tcW w:w="10089" w:type="dxa"/>
          </w:tcPr>
          <w:p w:rsidR="003655E2" w:rsidRPr="003A2FB9" w:rsidRDefault="003655E2" w:rsidP="003655E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655E2" w:rsidRPr="003A2FB9" w:rsidRDefault="003655E2" w:rsidP="004C1AB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F.1509-</w:t>
            </w:r>
            <w:r w:rsidR="004C1AB9"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:rsidR="003655E2" w:rsidRPr="003A2FB9" w:rsidRDefault="003655E2" w:rsidP="00185B5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C1AB9"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09</w:t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4C1AB9"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15</w:t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3655E2" w:rsidRPr="001F0117" w:rsidTr="003655E2">
        <w:tc>
          <w:tcPr>
            <w:tcW w:w="10089" w:type="dxa"/>
          </w:tcPr>
          <w:p w:rsidR="003655E2" w:rsidRPr="003A2FB9" w:rsidRDefault="003655E2" w:rsidP="003655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3655E2" w:rsidRPr="003A2FB9" w:rsidRDefault="003655E2" w:rsidP="003655E2">
            <w:pPr>
              <w:spacing w:before="80" w:line="500" w:lineRule="exact"/>
              <w:ind w:left="-113"/>
              <w:jc w:val="right"/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</w:pPr>
            <w:r w:rsidRPr="003A2FB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Технические и эксплуатационные требования, способствующие совместному испол</w:t>
            </w:r>
            <w:r w:rsidR="008D72A1" w:rsidRPr="003A2FB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ьзованию частот системами связи </w:t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пункта со многими пунктами </w:t>
            </w:r>
            <w:r w:rsidR="008D72A1" w:rsidRPr="003A2FB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br/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 xml:space="preserve">в фиксированной службе и межспутниковой службе </w:t>
            </w:r>
            <w:r w:rsidR="008D72A1" w:rsidRPr="003A2FB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br/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4"/>
                <w:szCs w:val="44"/>
                <w:lang w:val="ru-RU"/>
              </w:rPr>
              <w:t>в полосе 25,25–27,5 ГГц</w:t>
            </w:r>
          </w:p>
          <w:p w:rsidR="003655E2" w:rsidRPr="003A2FB9" w:rsidRDefault="003655E2" w:rsidP="003655E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3655E2" w:rsidRPr="003A2FB9" w:rsidTr="003655E2">
        <w:tc>
          <w:tcPr>
            <w:tcW w:w="10089" w:type="dxa"/>
          </w:tcPr>
          <w:p w:rsidR="003655E2" w:rsidRPr="003A2FB9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655E2" w:rsidRPr="003A2FB9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F</w:t>
            </w:r>
          </w:p>
          <w:p w:rsidR="003655E2" w:rsidRPr="003A2FB9" w:rsidRDefault="003655E2" w:rsidP="003655E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Фиксированная служба </w:t>
            </w:r>
            <w:r w:rsidRPr="003A2FB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3655E2" w:rsidRPr="003A2FB9" w:rsidRDefault="003655E2" w:rsidP="003655E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3655E2" w:rsidRPr="003A2FB9" w:rsidRDefault="003655E2" w:rsidP="003655E2">
      <w:pPr>
        <w:spacing w:before="80"/>
        <w:rPr>
          <w:i/>
          <w:lang w:val="ru-RU"/>
        </w:rPr>
      </w:pPr>
    </w:p>
    <w:p w:rsidR="003655E2" w:rsidRPr="003A2FB9" w:rsidRDefault="003655E2" w:rsidP="003655E2">
      <w:pPr>
        <w:spacing w:before="80"/>
        <w:rPr>
          <w:i/>
          <w:lang w:val="ru-RU"/>
        </w:rPr>
      </w:pPr>
    </w:p>
    <w:p w:rsidR="003655E2" w:rsidRPr="003A2FB9" w:rsidRDefault="003655E2" w:rsidP="003655E2">
      <w:pPr>
        <w:spacing w:before="80"/>
        <w:rPr>
          <w:i/>
          <w:lang w:val="ru-RU"/>
        </w:rPr>
      </w:pPr>
    </w:p>
    <w:p w:rsidR="003655E2" w:rsidRPr="003A2FB9" w:rsidRDefault="003655E2" w:rsidP="003655E2">
      <w:pPr>
        <w:rPr>
          <w:rFonts w:ascii="Palatino Linotype" w:hAnsi="Palatino Linotype"/>
          <w:lang w:val="ru-RU"/>
        </w:rPr>
        <w:sectPr w:rsidR="003655E2" w:rsidRPr="003A2FB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F2FD7" w:rsidRPr="003A2FB9" w:rsidRDefault="003F2FD7" w:rsidP="003F2FD7">
      <w:pPr>
        <w:spacing w:before="0"/>
        <w:jc w:val="center"/>
        <w:rPr>
          <w:b/>
          <w:bCs/>
          <w:szCs w:val="22"/>
          <w:lang w:val="ru-RU"/>
        </w:rPr>
      </w:pPr>
      <w:bookmarkStart w:id="3" w:name="c2tope"/>
      <w:bookmarkEnd w:id="3"/>
      <w:r w:rsidRPr="003A2FB9">
        <w:rPr>
          <w:b/>
          <w:bCs/>
          <w:szCs w:val="22"/>
          <w:lang w:val="ru-RU"/>
        </w:rPr>
        <w:lastRenderedPageBreak/>
        <w:t>Предисловие</w:t>
      </w:r>
    </w:p>
    <w:p w:rsidR="003F2FD7" w:rsidRPr="003A2FB9" w:rsidRDefault="003F2FD7" w:rsidP="003F2FD7">
      <w:pPr>
        <w:rPr>
          <w:sz w:val="20"/>
          <w:lang w:val="ru-RU"/>
        </w:rPr>
      </w:pPr>
      <w:r w:rsidRPr="003A2FB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F2FD7" w:rsidRPr="003A2FB9" w:rsidRDefault="003F2FD7" w:rsidP="003F2FD7">
      <w:pPr>
        <w:rPr>
          <w:sz w:val="20"/>
          <w:lang w:val="ru-RU"/>
        </w:rPr>
      </w:pPr>
      <w:r w:rsidRPr="003A2FB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F2FD7" w:rsidRPr="003A2FB9" w:rsidRDefault="003F2FD7" w:rsidP="003F2FD7">
      <w:pPr>
        <w:spacing w:before="360"/>
        <w:jc w:val="center"/>
        <w:rPr>
          <w:b/>
          <w:bCs/>
          <w:szCs w:val="22"/>
          <w:lang w:val="ru-RU"/>
        </w:rPr>
      </w:pPr>
      <w:r w:rsidRPr="003A2FB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F2FD7" w:rsidRPr="003A2FB9" w:rsidRDefault="003F2FD7" w:rsidP="003F2FD7">
      <w:pPr>
        <w:rPr>
          <w:sz w:val="20"/>
          <w:lang w:val="ru-RU"/>
        </w:rPr>
      </w:pPr>
      <w:r w:rsidRPr="003A2FB9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A2FB9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A2FB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F2FD7" w:rsidRPr="003A2FB9" w:rsidRDefault="003F2FD7" w:rsidP="003F2F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F2FD7" w:rsidRPr="001F0117" w:rsidTr="00D60F73">
        <w:trPr>
          <w:jc w:val="center"/>
        </w:trPr>
        <w:tc>
          <w:tcPr>
            <w:tcW w:w="8856" w:type="dxa"/>
            <w:gridSpan w:val="2"/>
          </w:tcPr>
          <w:p w:rsidR="003F2FD7" w:rsidRPr="003A2FB9" w:rsidRDefault="003F2FD7" w:rsidP="00D60F7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A2FB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F2FD7" w:rsidRPr="003A2FB9" w:rsidRDefault="003F2FD7" w:rsidP="00D60F7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A2FB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3A2FB9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A2FB9">
              <w:rPr>
                <w:sz w:val="18"/>
                <w:szCs w:val="18"/>
                <w:lang w:val="ru-RU"/>
              </w:rPr>
              <w:t>.)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F2FD7" w:rsidRPr="001F0117" w:rsidTr="00D60F73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F2FD7" w:rsidRPr="003A2FB9" w:rsidRDefault="003F2FD7" w:rsidP="00D60F7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A2FB9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A2FB9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F2FD7" w:rsidRPr="003A2FB9" w:rsidRDefault="003F2FD7" w:rsidP="00D60F7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A2FB9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3F2FD7" w:rsidRPr="001F0117" w:rsidTr="00D60F73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Радиоастрономия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shd w:val="clear" w:color="auto" w:fill="auto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F2FD7" w:rsidRPr="001F0117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  <w:shd w:val="clear" w:color="auto" w:fill="auto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F2FD7" w:rsidRPr="003A2FB9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F2FD7" w:rsidRPr="001F0117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F2FD7" w:rsidRPr="001F0117" w:rsidTr="00D60F73">
        <w:trPr>
          <w:jc w:val="center"/>
        </w:trPr>
        <w:tc>
          <w:tcPr>
            <w:tcW w:w="1188" w:type="dxa"/>
          </w:tcPr>
          <w:p w:rsidR="003F2FD7" w:rsidRPr="003A2FB9" w:rsidRDefault="003F2FD7" w:rsidP="00D60F7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A2FB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F2FD7" w:rsidRPr="003A2FB9" w:rsidRDefault="003F2FD7" w:rsidP="00D60F7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A2FB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F2FD7" w:rsidRPr="003A2FB9" w:rsidRDefault="003F2FD7" w:rsidP="003F2F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F2FD7" w:rsidRPr="001F0117" w:rsidTr="00D60F73">
        <w:trPr>
          <w:jc w:val="center"/>
        </w:trPr>
        <w:tc>
          <w:tcPr>
            <w:tcW w:w="8856" w:type="dxa"/>
          </w:tcPr>
          <w:p w:rsidR="003F2FD7" w:rsidRPr="003A2FB9" w:rsidRDefault="003F2FD7" w:rsidP="00D60F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A2FB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A2FB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3F2FD7" w:rsidRPr="003A2FB9" w:rsidRDefault="003F2FD7" w:rsidP="003F2FD7">
      <w:pPr>
        <w:spacing w:before="360"/>
        <w:jc w:val="right"/>
        <w:rPr>
          <w:sz w:val="20"/>
          <w:lang w:val="ru-RU"/>
        </w:rPr>
      </w:pPr>
      <w:r w:rsidRPr="003A2FB9">
        <w:rPr>
          <w:i/>
          <w:iCs/>
          <w:sz w:val="20"/>
          <w:lang w:val="ru-RU"/>
        </w:rPr>
        <w:t>Электронная публикация</w:t>
      </w:r>
      <w:r w:rsidRPr="003A2FB9">
        <w:rPr>
          <w:i/>
          <w:iCs/>
          <w:sz w:val="20"/>
          <w:lang w:val="ru-RU"/>
        </w:rPr>
        <w:br/>
      </w:r>
      <w:r w:rsidRPr="003A2FB9">
        <w:rPr>
          <w:sz w:val="20"/>
          <w:lang w:val="ru-RU"/>
        </w:rPr>
        <w:t>Женева, 2016 г.</w:t>
      </w:r>
    </w:p>
    <w:p w:rsidR="003F2FD7" w:rsidRPr="003A2FB9" w:rsidRDefault="003F2FD7" w:rsidP="003F2FD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A2FB9">
        <w:rPr>
          <w:sz w:val="20"/>
          <w:lang w:val="ru-RU"/>
        </w:rPr>
        <w:sym w:font="Symbol" w:char="F0E3"/>
      </w:r>
      <w:r w:rsidRPr="003A2FB9">
        <w:rPr>
          <w:sz w:val="20"/>
          <w:lang w:val="ru-RU"/>
        </w:rPr>
        <w:t xml:space="preserve"> ITU </w:t>
      </w:r>
      <w:bookmarkStart w:id="4" w:name="iiannee"/>
      <w:bookmarkEnd w:id="4"/>
      <w:r w:rsidRPr="003A2FB9">
        <w:rPr>
          <w:sz w:val="20"/>
          <w:lang w:val="ru-RU"/>
        </w:rPr>
        <w:t>2016</w:t>
      </w:r>
    </w:p>
    <w:p w:rsidR="003655E2" w:rsidRPr="003A2FB9" w:rsidRDefault="003F2FD7" w:rsidP="003F2F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3A2FB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3655E2" w:rsidRPr="003A2FB9">
        <w:rPr>
          <w:rFonts w:eastAsia="SimSun"/>
          <w:sz w:val="20"/>
          <w:lang w:val="ru-RU" w:eastAsia="zh-CN"/>
        </w:rPr>
        <w:t xml:space="preserve"> </w:t>
      </w:r>
    </w:p>
    <w:p w:rsidR="003655E2" w:rsidRPr="003A2FB9" w:rsidRDefault="003655E2" w:rsidP="00FC5577">
      <w:pPr>
        <w:rPr>
          <w:lang w:val="ru-RU"/>
        </w:rPr>
        <w:sectPr w:rsidR="003655E2" w:rsidRPr="003A2FB9" w:rsidSect="00FE0B5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A7242" w:rsidRPr="003A2FB9" w:rsidRDefault="00CA7242" w:rsidP="005557DD">
      <w:pPr>
        <w:pStyle w:val="RecNo"/>
        <w:spacing w:before="0"/>
        <w:rPr>
          <w:sz w:val="20"/>
          <w:szCs w:val="16"/>
          <w:lang w:val="ru-RU"/>
        </w:rPr>
      </w:pPr>
      <w:r w:rsidRPr="003A2FB9">
        <w:rPr>
          <w:lang w:val="ru-RU"/>
        </w:rPr>
        <w:lastRenderedPageBreak/>
        <w:t xml:space="preserve">Рекомендация </w:t>
      </w:r>
      <w:r w:rsidR="00FA460C" w:rsidRPr="003A2FB9">
        <w:rPr>
          <w:lang w:val="ru-RU"/>
        </w:rPr>
        <w:t xml:space="preserve"> </w:t>
      </w:r>
      <w:r w:rsidRPr="003A2FB9">
        <w:rPr>
          <w:rStyle w:val="href"/>
          <w:lang w:val="ru-RU"/>
        </w:rPr>
        <w:t xml:space="preserve">МСЭ-R </w:t>
      </w:r>
      <w:r w:rsidR="00FA460C" w:rsidRPr="003A2FB9">
        <w:rPr>
          <w:rStyle w:val="href"/>
          <w:lang w:val="ru-RU"/>
        </w:rPr>
        <w:t xml:space="preserve"> </w:t>
      </w:r>
      <w:r w:rsidRPr="003A2FB9">
        <w:rPr>
          <w:rStyle w:val="href"/>
          <w:lang w:val="ru-RU"/>
        </w:rPr>
        <w:t>F.1509-</w:t>
      </w:r>
      <w:r w:rsidR="004C1AB9" w:rsidRPr="003A2FB9">
        <w:rPr>
          <w:rStyle w:val="href"/>
          <w:lang w:val="ru-RU"/>
        </w:rPr>
        <w:t>3</w:t>
      </w:r>
      <w:r w:rsidRPr="003A2FB9">
        <w:rPr>
          <w:rStyle w:val="FootnoteReference"/>
          <w:lang w:val="ru-RU"/>
        </w:rPr>
        <w:footnoteReference w:customMarkFollows="1" w:id="1"/>
        <w:t>*</w:t>
      </w:r>
      <w:bookmarkEnd w:id="1"/>
    </w:p>
    <w:p w:rsidR="00CA7242" w:rsidRPr="003A2FB9" w:rsidRDefault="00CA7242" w:rsidP="00265DB0">
      <w:pPr>
        <w:pStyle w:val="Rectitle"/>
        <w:rPr>
          <w:lang w:val="ru-RU"/>
        </w:rPr>
      </w:pPr>
      <w:r w:rsidRPr="003A2FB9">
        <w:rPr>
          <w:lang w:val="ru-RU"/>
        </w:rPr>
        <w:t>Технические и эксплуатационные требования, способствующие совместному использованию частот системами свя</w:t>
      </w:r>
      <w:r w:rsidR="005557DD" w:rsidRPr="003A2FB9">
        <w:rPr>
          <w:lang w:val="ru-RU"/>
        </w:rPr>
        <w:t>зи пункта со многими пунктами в </w:t>
      </w:r>
      <w:r w:rsidRPr="003A2FB9">
        <w:rPr>
          <w:lang w:val="ru-RU"/>
        </w:rPr>
        <w:t xml:space="preserve">фиксированной службе и межспутниковой службе </w:t>
      </w:r>
      <w:r w:rsidR="00265DB0" w:rsidRPr="003A2FB9">
        <w:rPr>
          <w:lang w:val="ru-RU"/>
        </w:rPr>
        <w:br/>
      </w:r>
      <w:r w:rsidRPr="003A2FB9">
        <w:rPr>
          <w:lang w:val="ru-RU"/>
        </w:rPr>
        <w:t>в полосе 25,25–27,5 ГГц</w:t>
      </w:r>
    </w:p>
    <w:p w:rsidR="008E0A7F" w:rsidRPr="003A2FB9" w:rsidRDefault="008E0A7F" w:rsidP="004C1AB9">
      <w:pPr>
        <w:pStyle w:val="Recref"/>
        <w:rPr>
          <w:lang w:val="ru-RU"/>
        </w:rPr>
      </w:pPr>
      <w:r w:rsidRPr="003A2FB9">
        <w:rPr>
          <w:lang w:val="ru-RU"/>
        </w:rPr>
        <w:t>(Вопрос МСЭ-R 118/7)</w:t>
      </w:r>
    </w:p>
    <w:p w:rsidR="00CA7242" w:rsidRPr="003A2FB9" w:rsidRDefault="00CA7242" w:rsidP="005557DD">
      <w:pPr>
        <w:pStyle w:val="Recdate"/>
        <w:rPr>
          <w:lang w:val="ru-RU"/>
        </w:rPr>
      </w:pPr>
      <w:r w:rsidRPr="003A2FB9">
        <w:rPr>
          <w:lang w:val="ru-RU"/>
        </w:rPr>
        <w:t>(2001-2009</w:t>
      </w:r>
      <w:r w:rsidR="008E0A7F" w:rsidRPr="003A2FB9">
        <w:rPr>
          <w:lang w:val="ru-RU"/>
        </w:rPr>
        <w:t>-2013</w:t>
      </w:r>
      <w:r w:rsidR="004C1AB9" w:rsidRPr="003A2FB9">
        <w:rPr>
          <w:lang w:val="ru-RU"/>
        </w:rPr>
        <w:t>-2015</w:t>
      </w:r>
      <w:r w:rsidRPr="003A2FB9">
        <w:rPr>
          <w:lang w:val="ru-RU"/>
        </w:rPr>
        <w:t>)</w:t>
      </w:r>
    </w:p>
    <w:p w:rsidR="00CA7242" w:rsidRPr="003A2FB9" w:rsidRDefault="00CA7242" w:rsidP="005557DD">
      <w:pPr>
        <w:pStyle w:val="HeadingSum"/>
        <w:rPr>
          <w:lang w:val="ru-RU"/>
        </w:rPr>
      </w:pPr>
      <w:r w:rsidRPr="003A2FB9">
        <w:rPr>
          <w:lang w:val="ru-RU"/>
        </w:rPr>
        <w:t>Сфера применения</w:t>
      </w:r>
    </w:p>
    <w:p w:rsidR="00CA7242" w:rsidRPr="003A2FB9" w:rsidRDefault="00CA7242" w:rsidP="005557DD">
      <w:pPr>
        <w:pStyle w:val="Summary"/>
        <w:rPr>
          <w:lang w:val="ru-RU" w:eastAsia="ja-JP"/>
        </w:rPr>
      </w:pPr>
      <w:r w:rsidRPr="003A2FB9">
        <w:rPr>
          <w:lang w:val="ru-RU"/>
        </w:rPr>
        <w:t>В настоящей Рекомендации описывается максимальная плотность э.и.и.м. передающей станции-концентратора и абонентской станции системы связи пункта со многими пунктами в фиксированной службе в направлении орбиты геостационарных спутников</w:t>
      </w:r>
      <w:r w:rsidRPr="003A2FB9">
        <w:rPr>
          <w:lang w:val="ru-RU" w:eastAsia="ja-JP"/>
        </w:rPr>
        <w:t xml:space="preserve"> для обеспечения совместного использования частот в полосе </w:t>
      </w:r>
      <w:r w:rsidRPr="003A2FB9">
        <w:rPr>
          <w:lang w:val="ru-RU"/>
        </w:rPr>
        <w:t>25,25–27,5 ГГц</w:t>
      </w:r>
      <w:r w:rsidRPr="003A2FB9">
        <w:rPr>
          <w:lang w:val="ru-RU" w:eastAsia="ja-JP"/>
        </w:rPr>
        <w:t xml:space="preserve"> с межспутниковой службой</w:t>
      </w:r>
      <w:r w:rsidRPr="003A2FB9">
        <w:rPr>
          <w:lang w:val="ru-RU"/>
        </w:rPr>
        <w:t xml:space="preserve">. Эталонная плотность э.и.и.м. в настоящей Рекомендации учитывает необходимость вести передачу на минимальном необходимом уровне, а также учитывает использование автоматической регулировки мощности передатчика (АРМП) на станциях </w:t>
      </w:r>
      <w:r w:rsidRPr="003A2FB9">
        <w:rPr>
          <w:lang w:val="ru-RU" w:eastAsia="ja-JP"/>
        </w:rPr>
        <w:t>фиксированной службы (ФС) в условиях осадков.</w:t>
      </w:r>
    </w:p>
    <w:p w:rsidR="004C1AB9" w:rsidRPr="003A2FB9" w:rsidRDefault="004C1AB9" w:rsidP="003F2FD7">
      <w:pPr>
        <w:pStyle w:val="Headingb"/>
        <w:rPr>
          <w:lang w:val="ru-RU" w:eastAsia="ja-JP"/>
        </w:rPr>
      </w:pPr>
      <w:r w:rsidRPr="003A2FB9">
        <w:rPr>
          <w:lang w:val="ru-RU" w:eastAsia="ja-JP"/>
        </w:rPr>
        <w:t>Ключевые слова</w:t>
      </w:r>
    </w:p>
    <w:p w:rsidR="004C1AB9" w:rsidRPr="003A2FB9" w:rsidRDefault="004C1AB9" w:rsidP="004C1AB9">
      <w:pPr>
        <w:rPr>
          <w:lang w:val="ru-RU" w:eastAsia="ja-JP"/>
        </w:rPr>
      </w:pPr>
      <w:r w:rsidRPr="003A2FB9">
        <w:rPr>
          <w:lang w:val="ru-RU"/>
        </w:rPr>
        <w:t xml:space="preserve">Спутники ретрансляции данных, местоположения на орбите, </w:t>
      </w:r>
      <w:r w:rsidR="00E92209" w:rsidRPr="003A2FB9">
        <w:rPr>
          <w:lang w:val="ru-RU"/>
        </w:rPr>
        <w:t xml:space="preserve">э.и.и.м, спектральная плотность </w:t>
      </w:r>
    </w:p>
    <w:p w:rsidR="00CA7242" w:rsidRPr="003A2FB9" w:rsidRDefault="00CA7242" w:rsidP="005557DD">
      <w:pPr>
        <w:pStyle w:val="Normalaftertitle"/>
        <w:rPr>
          <w:lang w:val="ru-RU"/>
        </w:rPr>
      </w:pPr>
      <w:r w:rsidRPr="003A2FB9">
        <w:rPr>
          <w:rFonts w:eastAsia="Batang"/>
          <w:lang w:val="ru-RU" w:eastAsia="ko-KR"/>
        </w:rPr>
        <w:t>Ассамблея радиосвязи МСЭ</w:t>
      </w:r>
      <w:r w:rsidRPr="003A2FB9">
        <w:rPr>
          <w:lang w:val="ru-RU"/>
        </w:rPr>
        <w:t>,</w:t>
      </w:r>
    </w:p>
    <w:p w:rsidR="00CA7242" w:rsidRPr="003A2FB9" w:rsidRDefault="00CA7242" w:rsidP="005557DD">
      <w:pPr>
        <w:pStyle w:val="Call"/>
      </w:pPr>
      <w:r w:rsidRPr="003A2FB9">
        <w:t>учитывая</w:t>
      </w:r>
      <w:r w:rsidRPr="003A2FB9">
        <w:rPr>
          <w:i w:val="0"/>
        </w:rPr>
        <w:t>,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i/>
          <w:iCs/>
          <w:lang w:val="ru-RU"/>
        </w:rPr>
        <w:t>a)</w:t>
      </w:r>
      <w:r w:rsidRPr="003A2FB9">
        <w:rPr>
          <w:lang w:val="ru-RU"/>
        </w:rPr>
        <w:tab/>
        <w:t>что полоса 25,25–27,5 ГГц распределена фиксированной, подвижной и межспутниковой службам на первичной основе;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i/>
          <w:iCs/>
          <w:lang w:val="ru-RU"/>
        </w:rPr>
        <w:t>b)</w:t>
      </w:r>
      <w:r w:rsidRPr="003A2FB9">
        <w:rPr>
          <w:lang w:val="ru-RU"/>
        </w:rPr>
        <w:tab/>
        <w:t>что в дополнение к системам связи пункта с пунктом фиксированной службы (ФС), планируется, что в полосе 25,25–27,5 ГГц будут работать системы связи пункта со многими пунктами ФС (П-МП);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i/>
          <w:iCs/>
          <w:lang w:val="ru-RU"/>
        </w:rPr>
        <w:t>c)</w:t>
      </w:r>
      <w:r w:rsidRPr="003A2FB9">
        <w:rPr>
          <w:lang w:val="ru-RU"/>
        </w:rPr>
        <w:tab/>
        <w:t>что в полосе 25,25–27,5 ГГц работают линии радиосвязи космос-космос в межспутниковой службе;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i/>
          <w:iCs/>
          <w:lang w:val="ru-RU"/>
        </w:rPr>
        <w:t>d)</w:t>
      </w:r>
      <w:r w:rsidRPr="003A2FB9">
        <w:rPr>
          <w:lang w:val="ru-RU"/>
        </w:rPr>
        <w:tab/>
        <w:t>что линии космос-космос создаются между низкоорбитальными спутниками пользователя и геостационарными спутниками ретрансляции данных (СРД), а также системами связи операций сближения (POCS) между пользователями вблизи низкоорбитальных космических станций;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i/>
          <w:iCs/>
          <w:lang w:val="ru-RU"/>
        </w:rPr>
        <w:t>e)</w:t>
      </w:r>
      <w:r w:rsidRPr="003A2FB9">
        <w:rPr>
          <w:lang w:val="ru-RU"/>
        </w:rPr>
        <w:tab/>
        <w:t xml:space="preserve">что данные линии, в частности линии космос-космос сети СРД, </w:t>
      </w:r>
      <w:r w:rsidRPr="003A2FB9">
        <w:rPr>
          <w:szCs w:val="22"/>
          <w:shd w:val="clear" w:color="auto" w:fill="FFFFFF"/>
          <w:lang w:val="ru-RU"/>
        </w:rPr>
        <w:t>предназначены для работы</w:t>
      </w:r>
      <w:r w:rsidRPr="003A2FB9">
        <w:rPr>
          <w:lang w:val="ru-RU"/>
        </w:rPr>
        <w:t xml:space="preserve"> с запасом порядка от 2 дБ до 4 дБ;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i/>
          <w:iCs/>
          <w:lang w:val="ru-RU"/>
        </w:rPr>
        <w:t>f)</w:t>
      </w:r>
      <w:r w:rsidRPr="003A2FB9">
        <w:rPr>
          <w:lang w:val="ru-RU"/>
        </w:rPr>
        <w:tab/>
        <w:t>что спутниковые линии подвержены воздействию помех от излучений систем фиксированной службы в пределах зоны видимости, которая имеет большую географическую протяженность;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i/>
          <w:iCs/>
          <w:lang w:val="ru-RU"/>
        </w:rPr>
        <w:t>g)</w:t>
      </w:r>
      <w:r w:rsidRPr="003A2FB9">
        <w:rPr>
          <w:lang w:val="ru-RU"/>
        </w:rPr>
        <w:tab/>
        <w:t>что определение конкретных орбитальных позиций, которые следует защищать, а не орбитальной дуги, будет накладывать меньше ограничений на фиксированную службу при совместном использовании полосы частот, в частности для тех станций, которые расположены на высоких широтах,</w:t>
      </w:r>
    </w:p>
    <w:p w:rsidR="00CA7242" w:rsidRPr="003A2FB9" w:rsidRDefault="00CA7242" w:rsidP="001E1CDA">
      <w:pPr>
        <w:pStyle w:val="Call"/>
        <w:rPr>
          <w:lang w:eastAsia="ja-JP"/>
        </w:rPr>
      </w:pPr>
      <w:r w:rsidRPr="003A2FB9">
        <w:lastRenderedPageBreak/>
        <w:t>признавая</w:t>
      </w:r>
      <w:r w:rsidRPr="003A2FB9">
        <w:rPr>
          <w:i w:val="0"/>
          <w:iCs/>
        </w:rPr>
        <w:t>,</w:t>
      </w:r>
    </w:p>
    <w:p w:rsidR="00CA7242" w:rsidRPr="003A2FB9" w:rsidRDefault="00E92209" w:rsidP="00FC5577">
      <w:pPr>
        <w:rPr>
          <w:lang w:val="ru-RU"/>
        </w:rPr>
      </w:pPr>
      <w:r w:rsidRPr="003A2FB9">
        <w:rPr>
          <w:bCs/>
          <w:i/>
          <w:iCs/>
          <w:szCs w:val="22"/>
          <w:lang w:val="ru-RU"/>
        </w:rPr>
        <w:t>a)</w:t>
      </w:r>
      <w:r w:rsidR="00CA7242" w:rsidRPr="003A2FB9">
        <w:rPr>
          <w:szCs w:val="22"/>
          <w:lang w:val="ru-RU"/>
        </w:rPr>
        <w:tab/>
      </w:r>
      <w:r w:rsidR="00CA7242" w:rsidRPr="003A2FB9">
        <w:rPr>
          <w:lang w:val="ru-RU"/>
        </w:rPr>
        <w:t>что защитный критерий для линий POCS содержится в Рекомендации МСЭ</w:t>
      </w:r>
      <w:r w:rsidR="003655E2" w:rsidRPr="003A2FB9">
        <w:rPr>
          <w:lang w:val="ru-RU"/>
        </w:rPr>
        <w:t>-</w:t>
      </w:r>
      <w:r w:rsidR="00CA7242" w:rsidRPr="003A2FB9">
        <w:rPr>
          <w:lang w:val="ru-RU"/>
        </w:rPr>
        <w:t>R</w:t>
      </w:r>
      <w:r w:rsidR="003655E2" w:rsidRPr="003A2FB9">
        <w:rPr>
          <w:lang w:val="ru-RU"/>
        </w:rPr>
        <w:t xml:space="preserve"> </w:t>
      </w:r>
      <w:r w:rsidR="00CA7242" w:rsidRPr="003A2FB9">
        <w:rPr>
          <w:lang w:val="ru-RU"/>
        </w:rPr>
        <w:t>SA.609, и защитный критерий для линий СРД содержится в Рекомендации МСЭ</w:t>
      </w:r>
      <w:r w:rsidR="003655E2" w:rsidRPr="003A2FB9">
        <w:rPr>
          <w:lang w:val="ru-RU"/>
        </w:rPr>
        <w:t>-</w:t>
      </w:r>
      <w:r w:rsidR="00CA7242" w:rsidRPr="003A2FB9">
        <w:rPr>
          <w:lang w:val="ru-RU"/>
        </w:rPr>
        <w:t>R</w:t>
      </w:r>
      <w:r w:rsidR="003655E2" w:rsidRPr="003A2FB9">
        <w:rPr>
          <w:lang w:val="ru-RU"/>
        </w:rPr>
        <w:t xml:space="preserve"> </w:t>
      </w:r>
      <w:r w:rsidR="00CA7242" w:rsidRPr="003A2FB9">
        <w:rPr>
          <w:lang w:val="ru-RU"/>
        </w:rPr>
        <w:t>SA.1155;</w:t>
      </w:r>
    </w:p>
    <w:p w:rsidR="00CA7242" w:rsidRPr="003A2FB9" w:rsidRDefault="00E92209" w:rsidP="005A79E5">
      <w:pPr>
        <w:rPr>
          <w:lang w:val="ru-RU"/>
        </w:rPr>
      </w:pPr>
      <w:r w:rsidRPr="003A2FB9">
        <w:rPr>
          <w:bCs/>
          <w:i/>
          <w:iCs/>
          <w:szCs w:val="22"/>
          <w:lang w:val="ru-RU"/>
        </w:rPr>
        <w:t>b)</w:t>
      </w:r>
      <w:r w:rsidR="00CA7242" w:rsidRPr="003A2FB9">
        <w:rPr>
          <w:szCs w:val="22"/>
          <w:lang w:val="ru-RU"/>
        </w:rPr>
        <w:tab/>
      </w:r>
      <w:r w:rsidR="00CA7242" w:rsidRPr="003A2FB9">
        <w:rPr>
          <w:lang w:val="ru-RU"/>
        </w:rPr>
        <w:t>что число сетей СРД, развернутых или находящихся на этапе реализации на геостационарной орбите ограничено, как описано в Рекомендации МСЭ-R SA.1018, а орбитальные позиции приведены в Рекомендации М</w:t>
      </w:r>
      <w:r w:rsidRPr="003A2FB9">
        <w:rPr>
          <w:lang w:val="ru-RU"/>
        </w:rPr>
        <w:t>СЭ-R SA.1276-4</w:t>
      </w:r>
      <w:r w:rsidR="008E0A7F" w:rsidRPr="003A2FB9">
        <w:rPr>
          <w:lang w:val="ru-RU"/>
        </w:rPr>
        <w:t xml:space="preserve"> (см. Примечание 1);</w:t>
      </w:r>
    </w:p>
    <w:p w:rsidR="008E0A7F" w:rsidRPr="003A2FB9" w:rsidRDefault="00E92209" w:rsidP="00EB1446">
      <w:pPr>
        <w:rPr>
          <w:lang w:val="ru-RU"/>
        </w:rPr>
      </w:pPr>
      <w:r w:rsidRPr="003A2FB9">
        <w:rPr>
          <w:i/>
          <w:iCs/>
          <w:szCs w:val="22"/>
          <w:lang w:val="ru-RU" w:eastAsia="ja-JP"/>
        </w:rPr>
        <w:t>c)</w:t>
      </w:r>
      <w:r w:rsidR="008E0A7F" w:rsidRPr="003A2FB9">
        <w:rPr>
          <w:szCs w:val="22"/>
          <w:lang w:val="ru-RU" w:eastAsia="ja-JP"/>
        </w:rPr>
        <w:tab/>
      </w:r>
      <w:r w:rsidR="008E0A7F" w:rsidRPr="003A2FB9">
        <w:rPr>
          <w:lang w:val="ru-RU"/>
        </w:rPr>
        <w:t xml:space="preserve">что в Рекомендации МСЭ-R F.758 представлено множество различных параметров </w:t>
      </w:r>
      <w:r w:rsidR="00EB1446" w:rsidRPr="003A2FB9">
        <w:rPr>
          <w:lang w:val="ru-RU"/>
        </w:rPr>
        <w:t xml:space="preserve">фиксированных беспроводных систем, обобщенных на основе репрезентативных систем для конкретных диапазонов частот, </w:t>
      </w:r>
    </w:p>
    <w:p w:rsidR="00CA7242" w:rsidRPr="003A2FB9" w:rsidRDefault="00CA7242" w:rsidP="00A12D4D">
      <w:pPr>
        <w:pStyle w:val="Call"/>
      </w:pPr>
      <w:r w:rsidRPr="003A2FB9">
        <w:t>рекомендует</w:t>
      </w:r>
      <w:r w:rsidRPr="003A2FB9">
        <w:rPr>
          <w:i w:val="0"/>
        </w:rPr>
        <w:t>,</w:t>
      </w:r>
    </w:p>
    <w:p w:rsidR="00CA7242" w:rsidRPr="003A2FB9" w:rsidRDefault="00CA7242" w:rsidP="005A79E5">
      <w:pPr>
        <w:rPr>
          <w:lang w:val="ru-RU"/>
        </w:rPr>
      </w:pPr>
      <w:r w:rsidRPr="003A2FB9">
        <w:rPr>
          <w:b/>
          <w:bCs/>
          <w:szCs w:val="22"/>
          <w:lang w:val="ru-RU"/>
        </w:rPr>
        <w:t>1</w:t>
      </w:r>
      <w:r w:rsidRPr="003A2FB9">
        <w:rPr>
          <w:szCs w:val="22"/>
          <w:lang w:val="ru-RU"/>
        </w:rPr>
        <w:tab/>
      </w:r>
      <w:r w:rsidRPr="003A2FB9">
        <w:rPr>
          <w:lang w:val="ru-RU"/>
        </w:rPr>
        <w:t xml:space="preserve">чтобы для каждого передатчика станции-концентратора сети П-МП ФС, работающего в полосе 25,25–27,5 ГГц (сведения о пределах э.и.и.м 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 xml:space="preserve"> см. Приложение 1):</w:t>
      </w:r>
    </w:p>
    <w:p w:rsidR="00CA7242" w:rsidRPr="003A2FB9" w:rsidRDefault="00CA7242" w:rsidP="005A79E5">
      <w:pPr>
        <w:rPr>
          <w:lang w:val="ru-RU"/>
        </w:rPr>
      </w:pPr>
      <w:r w:rsidRPr="003A2FB9">
        <w:rPr>
          <w:b/>
          <w:bCs/>
          <w:szCs w:val="22"/>
          <w:lang w:val="ru-RU"/>
        </w:rPr>
        <w:t>1.1</w:t>
      </w:r>
      <w:r w:rsidRPr="003A2FB9">
        <w:rPr>
          <w:szCs w:val="22"/>
          <w:lang w:val="ru-RU"/>
        </w:rPr>
        <w:tab/>
      </w:r>
      <w:r w:rsidRPr="003A2FB9">
        <w:rPr>
          <w:lang w:val="ru-RU"/>
        </w:rPr>
        <w:t xml:space="preserve">спектральная плотность э.и.и.м. излучения в направлении любой позиции орбиты геостационарного спутника (ГСО), указанная в Рекомендации МСЭ-R SA.1276, не превышала следующих значений в любой полосе шириной 1 МГц для угла места </w:t>
      </w:r>
      <w:r w:rsidRPr="003A2FB9">
        <w:rPr>
          <w:lang w:val="ru-RU"/>
        </w:rPr>
        <w:sym w:font="Symbol" w:char="F071"/>
      </w:r>
      <w:r w:rsidRPr="003A2FB9">
        <w:rPr>
          <w:lang w:val="ru-RU"/>
        </w:rPr>
        <w:t xml:space="preserve"> выше локальной горизонтальной плоскости (см. Примечания 1, 2 и 3):</w:t>
      </w:r>
    </w:p>
    <w:p w:rsidR="00CA7242" w:rsidRPr="003A2FB9" w:rsidRDefault="00CA7242" w:rsidP="005557DD">
      <w:pPr>
        <w:pStyle w:val="Equation"/>
        <w:tabs>
          <w:tab w:val="left" w:pos="3402"/>
          <w:tab w:val="left" w:pos="4536"/>
        </w:tabs>
        <w:rPr>
          <w:szCs w:val="22"/>
          <w:lang w:val="ru-RU"/>
        </w:rPr>
      </w:pPr>
      <w:r w:rsidRPr="003A2FB9">
        <w:rPr>
          <w:szCs w:val="22"/>
          <w:lang w:val="ru-RU"/>
        </w:rPr>
        <w:tab/>
        <w:t>+8</w:t>
      </w:r>
      <w:r w:rsidRPr="003A2FB9">
        <w:rPr>
          <w:szCs w:val="22"/>
          <w:lang w:val="ru-RU"/>
        </w:rPr>
        <w:tab/>
        <w:t>дБВт</w:t>
      </w:r>
      <w:r w:rsidRPr="003A2FB9">
        <w:rPr>
          <w:szCs w:val="22"/>
          <w:lang w:val="ru-RU"/>
        </w:rPr>
        <w:tab/>
        <w:t>для </w:t>
      </w:r>
      <w:r w:rsidR="003807A1" w:rsidRPr="003A2FB9">
        <w:rPr>
          <w:szCs w:val="22"/>
          <w:lang w:val="ru-RU"/>
        </w:rPr>
        <w:t> </w:t>
      </w:r>
      <w:r w:rsidRPr="003A2FB9">
        <w:rPr>
          <w:szCs w:val="22"/>
          <w:lang w:val="ru-RU"/>
        </w:rPr>
        <w:t>0</w:t>
      </w:r>
      <w:r w:rsidRPr="003A2FB9">
        <w:rPr>
          <w:szCs w:val="22"/>
          <w:lang w:val="ru-RU"/>
        </w:rPr>
        <w:sym w:font="Symbol" w:char="F0B0"/>
      </w:r>
      <w:r w:rsidRPr="003A2FB9">
        <w:rPr>
          <w:szCs w:val="22"/>
          <w:lang w:val="ru-RU"/>
        </w:rPr>
        <w:t xml:space="preserve"> </w:t>
      </w:r>
      <w:r w:rsidR="003F2FD7" w:rsidRPr="003A2FB9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A3"/>
      </w:r>
      <w:r w:rsidRPr="003A2FB9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71"/>
      </w:r>
      <w:r w:rsidRPr="003A2FB9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A3"/>
      </w:r>
      <w:r w:rsidRPr="003A2FB9">
        <w:rPr>
          <w:szCs w:val="22"/>
          <w:lang w:val="ru-RU"/>
        </w:rPr>
        <w:t xml:space="preserve"> 20</w:t>
      </w:r>
      <w:r w:rsidRPr="003A2FB9">
        <w:rPr>
          <w:szCs w:val="22"/>
          <w:lang w:val="ru-RU"/>
        </w:rPr>
        <w:sym w:font="Symbol" w:char="F0B0"/>
      </w:r>
    </w:p>
    <w:p w:rsidR="00CA7242" w:rsidRPr="003A2FB9" w:rsidRDefault="00CA7242" w:rsidP="003807A1">
      <w:pPr>
        <w:tabs>
          <w:tab w:val="left" w:pos="3402"/>
          <w:tab w:val="left" w:pos="4536"/>
        </w:tabs>
        <w:rPr>
          <w:szCs w:val="22"/>
          <w:lang w:val="ru-RU"/>
        </w:rPr>
      </w:pPr>
      <w:r w:rsidRPr="003A2FB9">
        <w:rPr>
          <w:szCs w:val="22"/>
          <w:lang w:val="ru-RU"/>
        </w:rPr>
        <w:tab/>
        <w:t>+14 – 10 log(</w:t>
      </w:r>
      <w:r w:rsidRPr="003A2FB9">
        <w:rPr>
          <w:szCs w:val="22"/>
          <w:lang w:val="ru-RU"/>
        </w:rPr>
        <w:sym w:font="Symbol" w:char="F071"/>
      </w:r>
      <w:r w:rsidRPr="003A2FB9">
        <w:rPr>
          <w:szCs w:val="22"/>
          <w:lang w:val="ru-RU"/>
        </w:rPr>
        <w:t>/5)</w:t>
      </w:r>
      <w:r w:rsidRPr="003A2FB9">
        <w:rPr>
          <w:szCs w:val="22"/>
          <w:lang w:val="ru-RU"/>
        </w:rPr>
        <w:tab/>
        <w:t>дБВт</w:t>
      </w:r>
      <w:r w:rsidRPr="003A2FB9">
        <w:rPr>
          <w:szCs w:val="22"/>
          <w:lang w:val="ru-RU"/>
        </w:rPr>
        <w:tab/>
        <w:t>для 20</w:t>
      </w:r>
      <w:r w:rsidRPr="003A2FB9">
        <w:rPr>
          <w:szCs w:val="22"/>
          <w:lang w:val="ru-RU"/>
        </w:rPr>
        <w:sym w:font="Symbol" w:char="F0B0"/>
      </w:r>
      <w:r w:rsidRPr="003A2FB9">
        <w:rPr>
          <w:szCs w:val="22"/>
          <w:lang w:val="ru-RU"/>
        </w:rPr>
        <w:t xml:space="preserve"> &lt; </w:t>
      </w:r>
      <w:r w:rsidRPr="003A2FB9">
        <w:rPr>
          <w:szCs w:val="22"/>
          <w:lang w:val="ru-RU"/>
        </w:rPr>
        <w:sym w:font="Symbol" w:char="F071"/>
      </w:r>
      <w:r w:rsidRPr="003A2FB9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A3"/>
      </w:r>
      <w:r w:rsidRPr="003A2FB9">
        <w:rPr>
          <w:szCs w:val="22"/>
          <w:lang w:val="ru-RU"/>
        </w:rPr>
        <w:t xml:space="preserve"> 90</w:t>
      </w:r>
      <w:r w:rsidRPr="003A2FB9">
        <w:rPr>
          <w:szCs w:val="22"/>
          <w:lang w:val="ru-RU"/>
        </w:rPr>
        <w:sym w:font="Symbol" w:char="F0B0"/>
      </w:r>
    </w:p>
    <w:p w:rsidR="00CA7242" w:rsidRPr="003A2FB9" w:rsidRDefault="00CA7242" w:rsidP="005557DD">
      <w:pPr>
        <w:rPr>
          <w:lang w:val="ru-RU"/>
        </w:rPr>
      </w:pPr>
      <w:r w:rsidRPr="003A2FB9">
        <w:rPr>
          <w:b/>
          <w:bCs/>
          <w:lang w:val="ru-RU"/>
        </w:rPr>
        <w:t>1.2</w:t>
      </w:r>
      <w:r w:rsidRPr="003A2FB9">
        <w:rPr>
          <w:lang w:val="ru-RU"/>
        </w:rPr>
        <w:tab/>
        <w:t xml:space="preserve">спектральная плотность э.и.и.м. излучения не превышала следующих значений в любой полосе шириной 1 МГц для угла места </w:t>
      </w:r>
      <w:r w:rsidRPr="003A2FB9">
        <w:rPr>
          <w:lang w:val="ru-RU"/>
        </w:rPr>
        <w:sym w:font="Symbol" w:char="F071"/>
      </w:r>
      <w:r w:rsidRPr="003A2FB9">
        <w:rPr>
          <w:lang w:val="ru-RU"/>
        </w:rPr>
        <w:t xml:space="preserve"> выше локальной горизонтальной плоскости:</w:t>
      </w:r>
    </w:p>
    <w:p w:rsidR="00CA7242" w:rsidRPr="003A2FB9" w:rsidRDefault="005557DD" w:rsidP="005557DD">
      <w:pPr>
        <w:tabs>
          <w:tab w:val="clear" w:pos="1191"/>
          <w:tab w:val="clear" w:pos="1588"/>
          <w:tab w:val="clear" w:pos="1985"/>
          <w:tab w:val="left" w:pos="3402"/>
          <w:tab w:val="left" w:pos="4536"/>
        </w:tabs>
        <w:rPr>
          <w:szCs w:val="22"/>
          <w:lang w:val="ru-RU"/>
        </w:rPr>
      </w:pPr>
      <w:r w:rsidRPr="003A2FB9">
        <w:rPr>
          <w:szCs w:val="22"/>
          <w:lang w:val="ru-RU"/>
        </w:rPr>
        <w:tab/>
        <w:t>+14</w:t>
      </w:r>
      <w:r w:rsidRPr="003A2FB9">
        <w:rPr>
          <w:szCs w:val="22"/>
          <w:lang w:val="ru-RU"/>
        </w:rPr>
        <w:tab/>
      </w:r>
      <w:r w:rsidR="00CA7242" w:rsidRPr="003A2FB9">
        <w:rPr>
          <w:szCs w:val="22"/>
          <w:lang w:val="ru-RU"/>
        </w:rPr>
        <w:t>дБВт</w:t>
      </w:r>
      <w:r w:rsidR="00CA7242" w:rsidRPr="003A2FB9">
        <w:rPr>
          <w:szCs w:val="22"/>
          <w:lang w:val="ru-RU"/>
        </w:rPr>
        <w:tab/>
        <w:t>для</w:t>
      </w:r>
      <w:r w:rsidR="003807A1" w:rsidRPr="003A2FB9">
        <w:rPr>
          <w:szCs w:val="22"/>
          <w:lang w:val="ru-RU"/>
        </w:rPr>
        <w:t>  </w:t>
      </w:r>
      <w:r w:rsidR="00CA7242" w:rsidRPr="003A2FB9">
        <w:rPr>
          <w:szCs w:val="22"/>
          <w:lang w:val="ru-RU"/>
        </w:rPr>
        <w:t>0</w:t>
      </w:r>
      <w:r w:rsidR="00CA7242" w:rsidRPr="003A2FB9">
        <w:rPr>
          <w:szCs w:val="22"/>
          <w:lang w:val="ru-RU"/>
        </w:rPr>
        <w:sym w:font="Symbol" w:char="F0B0"/>
      </w:r>
      <w:r w:rsidR="00CA7242" w:rsidRPr="003A2FB9">
        <w:rPr>
          <w:szCs w:val="22"/>
          <w:lang w:val="ru-RU"/>
        </w:rPr>
        <w:t xml:space="preserve"> </w:t>
      </w:r>
      <w:r w:rsidR="00CA7242" w:rsidRPr="003A2FB9">
        <w:rPr>
          <w:szCs w:val="22"/>
          <w:lang w:val="ru-RU"/>
        </w:rPr>
        <w:sym w:font="Symbol" w:char="F0A3"/>
      </w:r>
      <w:r w:rsidR="00CA7242" w:rsidRPr="003A2FB9">
        <w:rPr>
          <w:szCs w:val="22"/>
          <w:lang w:val="ru-RU"/>
        </w:rPr>
        <w:t xml:space="preserve"> </w:t>
      </w:r>
      <w:r w:rsidR="00CA7242" w:rsidRPr="003A2FB9">
        <w:rPr>
          <w:szCs w:val="22"/>
          <w:lang w:val="ru-RU"/>
        </w:rPr>
        <w:sym w:font="Symbol" w:char="F071"/>
      </w:r>
      <w:r w:rsidR="00CA7242" w:rsidRPr="003A2FB9">
        <w:rPr>
          <w:szCs w:val="22"/>
          <w:lang w:val="ru-RU"/>
        </w:rPr>
        <w:t xml:space="preserve"> </w:t>
      </w:r>
      <w:r w:rsidR="00CA7242" w:rsidRPr="003A2FB9">
        <w:rPr>
          <w:szCs w:val="22"/>
          <w:lang w:val="ru-RU"/>
        </w:rPr>
        <w:sym w:font="Symbol" w:char="F0A3"/>
      </w:r>
      <w:r w:rsidR="00CA7242" w:rsidRPr="003A2FB9">
        <w:rPr>
          <w:szCs w:val="22"/>
          <w:lang w:val="ru-RU"/>
        </w:rPr>
        <w:t xml:space="preserve"> 5</w:t>
      </w:r>
      <w:r w:rsidR="00CA7242" w:rsidRPr="003A2FB9">
        <w:rPr>
          <w:szCs w:val="22"/>
          <w:lang w:val="ru-RU"/>
        </w:rPr>
        <w:sym w:font="Symbol" w:char="F0B0"/>
      </w:r>
    </w:p>
    <w:p w:rsidR="00CA7242" w:rsidRPr="003A2FB9" w:rsidRDefault="00CA7242" w:rsidP="00530FEE">
      <w:pPr>
        <w:tabs>
          <w:tab w:val="left" w:pos="3402"/>
          <w:tab w:val="left" w:pos="4536"/>
        </w:tabs>
        <w:rPr>
          <w:szCs w:val="22"/>
          <w:lang w:val="ru-RU"/>
        </w:rPr>
      </w:pPr>
      <w:r w:rsidRPr="003A2FB9">
        <w:rPr>
          <w:szCs w:val="22"/>
          <w:lang w:val="ru-RU"/>
        </w:rPr>
        <w:tab/>
        <w:t>+14 – 10 log(</w:t>
      </w:r>
      <w:r w:rsidRPr="003A2FB9">
        <w:rPr>
          <w:szCs w:val="22"/>
          <w:lang w:val="ru-RU"/>
        </w:rPr>
        <w:sym w:font="Symbol" w:char="F071"/>
      </w:r>
      <w:r w:rsidR="003807A1" w:rsidRPr="003A2FB9">
        <w:rPr>
          <w:szCs w:val="22"/>
          <w:lang w:val="ru-RU"/>
        </w:rPr>
        <w:t>/5)</w:t>
      </w:r>
      <w:r w:rsidR="003807A1" w:rsidRPr="003A2FB9">
        <w:rPr>
          <w:szCs w:val="22"/>
          <w:lang w:val="ru-RU"/>
        </w:rPr>
        <w:tab/>
        <w:t>дБВт</w:t>
      </w:r>
      <w:r w:rsidR="003807A1" w:rsidRPr="003A2FB9">
        <w:rPr>
          <w:szCs w:val="22"/>
          <w:lang w:val="ru-RU"/>
        </w:rPr>
        <w:tab/>
        <w:t>для  </w:t>
      </w:r>
      <w:r w:rsidRPr="003A2FB9">
        <w:rPr>
          <w:szCs w:val="22"/>
          <w:lang w:val="ru-RU"/>
        </w:rPr>
        <w:t>5</w:t>
      </w:r>
      <w:r w:rsidRPr="003A2FB9">
        <w:rPr>
          <w:szCs w:val="22"/>
          <w:lang w:val="ru-RU"/>
        </w:rPr>
        <w:sym w:font="Symbol" w:char="F0B0"/>
      </w:r>
      <w:r w:rsidRPr="003A2FB9">
        <w:rPr>
          <w:szCs w:val="22"/>
          <w:lang w:val="ru-RU"/>
        </w:rPr>
        <w:t xml:space="preserve"> &lt; </w:t>
      </w:r>
      <w:r w:rsidRPr="003A2FB9">
        <w:rPr>
          <w:szCs w:val="22"/>
          <w:lang w:val="ru-RU"/>
        </w:rPr>
        <w:sym w:font="Symbol" w:char="F071"/>
      </w:r>
      <w:r w:rsidRPr="003A2FB9">
        <w:rPr>
          <w:szCs w:val="22"/>
          <w:lang w:val="ru-RU"/>
        </w:rPr>
        <w:t xml:space="preserve"> </w:t>
      </w:r>
      <w:r w:rsidRPr="003A2FB9">
        <w:rPr>
          <w:szCs w:val="22"/>
          <w:lang w:val="ru-RU"/>
        </w:rPr>
        <w:sym w:font="Symbol" w:char="F0A3"/>
      </w:r>
      <w:r w:rsidRPr="003A2FB9">
        <w:rPr>
          <w:szCs w:val="22"/>
          <w:lang w:val="ru-RU"/>
        </w:rPr>
        <w:t xml:space="preserve"> 90</w:t>
      </w:r>
      <w:r w:rsidRPr="003A2FB9">
        <w:rPr>
          <w:szCs w:val="22"/>
          <w:lang w:val="ru-RU"/>
        </w:rPr>
        <w:sym w:font="Symbol" w:char="F0B0"/>
      </w:r>
    </w:p>
    <w:p w:rsidR="00CA7242" w:rsidRPr="003A2FB9" w:rsidRDefault="00CA7242" w:rsidP="005A79E5">
      <w:pPr>
        <w:tabs>
          <w:tab w:val="clear" w:pos="794"/>
          <w:tab w:val="clear" w:pos="1191"/>
          <w:tab w:val="clear" w:pos="1588"/>
          <w:tab w:val="clear" w:pos="1985"/>
          <w:tab w:val="left" w:pos="795"/>
          <w:tab w:val="left" w:pos="1350"/>
          <w:tab w:val="left" w:pos="342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lang w:val="ru-RU"/>
        </w:rPr>
      </w:pPr>
      <w:r w:rsidRPr="003A2FB9">
        <w:rPr>
          <w:b/>
          <w:bCs/>
          <w:lang w:val="ru-RU"/>
        </w:rPr>
        <w:t>1.3</w:t>
      </w:r>
      <w:r w:rsidRPr="003A2FB9">
        <w:rPr>
          <w:b/>
          <w:bCs/>
          <w:lang w:val="ru-RU"/>
        </w:rPr>
        <w:tab/>
      </w:r>
      <w:r w:rsidRPr="003A2FB9">
        <w:rPr>
          <w:lang w:val="ru-RU"/>
        </w:rPr>
        <w:t>в условиях, когда между передающей станцией-концентратором ФС и приемной станцией наблюдается ослабление в осадках, на передающей станции-концентраторе может использоваться автоматическое регулирование мощности передатчика (АРМП), для увеличения ее передаваемой мощности на величину, не превышающую ослабление в осадках, так чтобы ее спектральная плотность э.и.и.м. в направлении любой позиции ГСО, указанной в Рекомендации МСЭ-R SA.1276, не превышала +17 дБВт в любой полосе шириной 1 МГц;</w:t>
      </w:r>
    </w:p>
    <w:p w:rsidR="00CA7242" w:rsidRPr="003A2FB9" w:rsidRDefault="00CA7242" w:rsidP="003807A1">
      <w:pPr>
        <w:tabs>
          <w:tab w:val="clear" w:pos="794"/>
          <w:tab w:val="clear" w:pos="1191"/>
          <w:tab w:val="clear" w:pos="1588"/>
          <w:tab w:val="clear" w:pos="1985"/>
          <w:tab w:val="left" w:pos="792"/>
          <w:tab w:val="left" w:pos="1188"/>
          <w:tab w:val="left" w:pos="1584"/>
          <w:tab w:val="left" w:pos="198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lang w:val="ru-RU"/>
        </w:rPr>
      </w:pPr>
      <w:r w:rsidRPr="003A2FB9">
        <w:rPr>
          <w:b/>
          <w:bCs/>
          <w:szCs w:val="22"/>
          <w:lang w:val="ru-RU"/>
        </w:rPr>
        <w:t>2</w:t>
      </w:r>
      <w:r w:rsidRPr="003A2FB9">
        <w:rPr>
          <w:szCs w:val="22"/>
          <w:lang w:val="ru-RU"/>
        </w:rPr>
        <w:tab/>
      </w:r>
      <w:r w:rsidRPr="003A2FB9">
        <w:rPr>
          <w:lang w:val="ru-RU"/>
        </w:rPr>
        <w:t>что</w:t>
      </w:r>
      <w:r w:rsidR="00883837" w:rsidRPr="003A2FB9">
        <w:rPr>
          <w:lang w:val="ru-RU"/>
        </w:rPr>
        <w:t>бы</w:t>
      </w:r>
      <w:r w:rsidRPr="003A2FB9">
        <w:rPr>
          <w:lang w:val="ru-RU"/>
        </w:rPr>
        <w:t xml:space="preserve"> спектральная плотность э.и.и.м. излучения каждой абонентской станции сети П-МП ФС, работающей в полосе 25,25–27,5</w:t>
      </w:r>
      <w:r w:rsidR="00BE263C" w:rsidRPr="003A2FB9">
        <w:rPr>
          <w:lang w:val="ru-RU"/>
        </w:rPr>
        <w:t> </w:t>
      </w:r>
      <w:r w:rsidRPr="003A2FB9">
        <w:rPr>
          <w:lang w:val="ru-RU"/>
        </w:rPr>
        <w:t>ГГц, соответствовала пп.</w:t>
      </w:r>
      <w:r w:rsidR="003807A1" w:rsidRPr="003A2FB9">
        <w:rPr>
          <w:lang w:val="ru-RU"/>
        </w:rPr>
        <w:t> </w:t>
      </w:r>
      <w:r w:rsidR="00F60A6E" w:rsidRPr="003A2FB9">
        <w:rPr>
          <w:lang w:val="ru-RU"/>
        </w:rPr>
        <w:t xml:space="preserve">2 и 3 раздела </w:t>
      </w:r>
      <w:r w:rsidRPr="003A2FB9">
        <w:rPr>
          <w:i/>
          <w:iCs/>
          <w:lang w:val="ru-RU"/>
        </w:rPr>
        <w:t>рекомендует</w:t>
      </w:r>
      <w:r w:rsidRPr="003A2FB9">
        <w:rPr>
          <w:lang w:val="ru-RU"/>
        </w:rPr>
        <w:t xml:space="preserve"> Рекомендации МСЭ-R F.1249;</w:t>
      </w:r>
    </w:p>
    <w:p w:rsidR="00CA7242" w:rsidRPr="003A2FB9" w:rsidRDefault="00CA7242" w:rsidP="000853CE">
      <w:pPr>
        <w:rPr>
          <w:lang w:val="ru-RU"/>
        </w:rPr>
      </w:pPr>
      <w:r w:rsidRPr="003A2FB9">
        <w:rPr>
          <w:b/>
          <w:szCs w:val="22"/>
          <w:lang w:val="ru-RU"/>
        </w:rPr>
        <w:t>3</w:t>
      </w:r>
      <w:r w:rsidRPr="003A2FB9">
        <w:rPr>
          <w:szCs w:val="22"/>
          <w:lang w:val="ru-RU"/>
        </w:rPr>
        <w:tab/>
      </w:r>
      <w:r w:rsidRPr="003A2FB9">
        <w:rPr>
          <w:lang w:val="ru-RU"/>
        </w:rPr>
        <w:t>считать нижеследующие Примечания 1, 2, 3 частью настоящей Рекомендации:</w:t>
      </w:r>
    </w:p>
    <w:p w:rsidR="00CA7242" w:rsidRPr="003A2FB9" w:rsidRDefault="00CA7242" w:rsidP="005557DD">
      <w:pPr>
        <w:pStyle w:val="Note"/>
        <w:rPr>
          <w:lang w:val="ru-RU"/>
        </w:rPr>
      </w:pPr>
      <w:r w:rsidRPr="003A2FB9">
        <w:rPr>
          <w:caps/>
          <w:lang w:val="ru-RU"/>
        </w:rPr>
        <w:t>Примечание</w:t>
      </w:r>
      <w:r w:rsidRPr="003A2FB9">
        <w:rPr>
          <w:lang w:val="ru-RU"/>
        </w:rPr>
        <w:t> 1. – В Рекомендации МСЭ-R SA.1276</w:t>
      </w:r>
      <w:r w:rsidR="00E92209" w:rsidRPr="003A2FB9">
        <w:rPr>
          <w:lang w:val="ru-RU"/>
        </w:rPr>
        <w:t>-4</w:t>
      </w:r>
      <w:r w:rsidRPr="003A2FB9">
        <w:rPr>
          <w:lang w:val="ru-RU"/>
        </w:rPr>
        <w:t xml:space="preserve"> определены следующие положения СРД на геостационарной орбите: </w:t>
      </w:r>
      <w:r w:rsidR="00FA7870" w:rsidRPr="003A2FB9">
        <w:rPr>
          <w:lang w:val="ru-RU"/>
        </w:rPr>
        <w:t xml:space="preserve">10,6° в. д., 16,4° в. д., 16,8° в. д., 21,5° в. д., 47° в. д., 59° в. д., 77° в. д., 80° в. д., 85° в. д., 89° в. д., 90,75° в. д., 95° в. д., 113° в. д., 121° в. д., 133° в. д., 160° в. д., </w:t>
      </w:r>
      <w:r w:rsidR="00E92209" w:rsidRPr="003A2FB9">
        <w:rPr>
          <w:lang w:val="ru-RU"/>
        </w:rPr>
        <w:t>167° в. д.,</w:t>
      </w:r>
      <w:r w:rsidR="00FA7870" w:rsidRPr="003A2FB9">
        <w:rPr>
          <w:lang w:val="ru-RU"/>
        </w:rPr>
        <w:t xml:space="preserve">171° в. д., 176,8° в. д., 177,5° в. д., 12° з. д., 16° з. д., 32° з. д., 41° з. д., 44° з. д., 46° з. д., 49° з. д., 62° з. д., 139° з. д., 160° з. д., </w:t>
      </w:r>
      <w:r w:rsidR="00E92209" w:rsidRPr="003A2FB9">
        <w:rPr>
          <w:lang w:val="ru-RU"/>
        </w:rPr>
        <w:t xml:space="preserve">164,2° з. д., 167,5° з. д., </w:t>
      </w:r>
      <w:r w:rsidR="00FA7870" w:rsidRPr="003A2FB9">
        <w:rPr>
          <w:lang w:val="ru-RU"/>
        </w:rPr>
        <w:t xml:space="preserve">170° з. д., 171° з. д. и 174° з. д. </w:t>
      </w:r>
    </w:p>
    <w:p w:rsidR="00574BD3" w:rsidRPr="003A2FB9" w:rsidRDefault="00574BD3" w:rsidP="00E92209">
      <w:pPr>
        <w:rPr>
          <w:lang w:val="ru-RU"/>
        </w:rPr>
      </w:pPr>
      <w:r w:rsidRPr="003A2FB9">
        <w:rPr>
          <w:lang w:val="ru-RU" w:eastAsia="ja-JP"/>
        </w:rPr>
        <w:t>При пересмотре Рекомендации МСЭ-R SA.1276 в целях добавления новых местоположений СРД на орбите, защита</w:t>
      </w:r>
      <w:r w:rsidR="00E92209" w:rsidRPr="003A2FB9">
        <w:rPr>
          <w:lang w:val="ru-RU" w:eastAsia="ja-JP"/>
        </w:rPr>
        <w:t xml:space="preserve"> космических станций в этих</w:t>
      </w:r>
      <w:r w:rsidRPr="003A2FB9">
        <w:rPr>
          <w:lang w:val="ru-RU" w:eastAsia="ja-JP"/>
        </w:rPr>
        <w:t xml:space="preserve"> новых орбитальных слот</w:t>
      </w:r>
      <w:r w:rsidR="00E92209" w:rsidRPr="003A2FB9">
        <w:rPr>
          <w:lang w:val="ru-RU" w:eastAsia="ja-JP"/>
        </w:rPr>
        <w:t>ах</w:t>
      </w:r>
      <w:r w:rsidRPr="003A2FB9">
        <w:rPr>
          <w:lang w:val="ru-RU" w:eastAsia="ja-JP"/>
        </w:rPr>
        <w:t xml:space="preserve"> в пересмотре данной Рекомендации применяется только к станциям ФС, установленным после даты вступления в силу пересмотренной Рекомендации МСЭ</w:t>
      </w:r>
      <w:r w:rsidR="003807A1" w:rsidRPr="003A2FB9">
        <w:rPr>
          <w:lang w:val="ru-RU" w:eastAsia="ja-JP"/>
        </w:rPr>
        <w:noBreakHyphen/>
      </w:r>
      <w:r w:rsidRPr="003A2FB9">
        <w:rPr>
          <w:lang w:val="ru-RU" w:eastAsia="ja-JP"/>
        </w:rPr>
        <w:t>R</w:t>
      </w:r>
      <w:r w:rsidR="003807A1" w:rsidRPr="003A2FB9">
        <w:rPr>
          <w:lang w:val="ru-RU" w:eastAsia="ja-JP"/>
        </w:rPr>
        <w:t> </w:t>
      </w:r>
      <w:r w:rsidRPr="003A2FB9">
        <w:rPr>
          <w:lang w:val="ru-RU" w:eastAsia="ja-JP"/>
        </w:rPr>
        <w:t>SA.1276.</w:t>
      </w:r>
    </w:p>
    <w:p w:rsidR="00CA7242" w:rsidRPr="003A2FB9" w:rsidRDefault="00CA7242" w:rsidP="005557DD">
      <w:pPr>
        <w:pStyle w:val="Note"/>
        <w:rPr>
          <w:lang w:val="ru-RU"/>
        </w:rPr>
      </w:pPr>
      <w:r w:rsidRPr="003A2FB9">
        <w:rPr>
          <w:caps/>
          <w:lang w:val="ru-RU"/>
        </w:rPr>
        <w:t>Примечание</w:t>
      </w:r>
      <w:r w:rsidRPr="003A2FB9">
        <w:rPr>
          <w:lang w:val="ru-RU"/>
        </w:rPr>
        <w:t> 2. – Спектральная плотность э.и.и.м., излучаемая в направлении положения СРД на геостационарной орбите должна рассчитываться как произведение передаваемой спектральной плотности мощности и коэффициента усиления всенаправленной или секторной антенны в направлении на СРД. При отсутствии диаграммы направленности антенны станции-концентратора должна применяться эталонная диаграмма направленности из Рекомендации МСЭ</w:t>
      </w:r>
      <w:r w:rsidR="003655E2" w:rsidRPr="003A2FB9">
        <w:rPr>
          <w:lang w:val="ru-RU"/>
        </w:rPr>
        <w:t>-</w:t>
      </w:r>
      <w:r w:rsidRPr="003A2FB9">
        <w:rPr>
          <w:lang w:val="ru-RU"/>
        </w:rPr>
        <w:t>R F.1336. Расчет должен учитывать воздействие атмосферной рефракции и местного горизонта. Метод для расчета углов разноса приведен в Приложении 2.</w:t>
      </w:r>
    </w:p>
    <w:p w:rsidR="003807A1" w:rsidRPr="003A2FB9" w:rsidRDefault="003807A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20"/>
          <w:lang w:val="ru-RU"/>
        </w:rPr>
      </w:pPr>
      <w:r w:rsidRPr="003A2FB9">
        <w:rPr>
          <w:caps/>
          <w:lang w:val="ru-RU"/>
        </w:rPr>
        <w:br w:type="page"/>
      </w:r>
    </w:p>
    <w:p w:rsidR="00CA7242" w:rsidRPr="003A2FB9" w:rsidRDefault="00CA7242" w:rsidP="00A67E51">
      <w:pPr>
        <w:pStyle w:val="Note"/>
        <w:rPr>
          <w:lang w:val="ru-RU"/>
        </w:rPr>
      </w:pPr>
      <w:r w:rsidRPr="003A2FB9">
        <w:rPr>
          <w:caps/>
          <w:lang w:val="ru-RU"/>
        </w:rPr>
        <w:lastRenderedPageBreak/>
        <w:t>Примечание</w:t>
      </w:r>
      <w:r w:rsidRPr="003A2FB9">
        <w:rPr>
          <w:lang w:val="ru-RU"/>
        </w:rPr>
        <w:t xml:space="preserve"> 3. – В том случае, когда станция-концентратор работает на основе временного разделения и использует для работы одну частоту, где одна и та же частота используется и для передачи, и для приема, предел спектральной плотности э.и.и.м. в п. </w:t>
      </w:r>
      <w:r w:rsidR="003655E2" w:rsidRPr="003A2FB9">
        <w:rPr>
          <w:lang w:val="ru-RU"/>
        </w:rPr>
        <w:t xml:space="preserve">1.1 раздела </w:t>
      </w:r>
      <w:r w:rsidRPr="003A2FB9">
        <w:rPr>
          <w:i/>
          <w:lang w:val="ru-RU"/>
        </w:rPr>
        <w:t>рекомендует</w:t>
      </w:r>
      <w:r w:rsidRPr="003A2FB9">
        <w:rPr>
          <w:lang w:val="ru-RU"/>
        </w:rPr>
        <w:t xml:space="preserve"> может быть уменьшен на 7 log (1/</w:t>
      </w:r>
      <w:r w:rsidRPr="003A2FB9">
        <w:rPr>
          <w:lang w:val="ru-RU"/>
        </w:rPr>
        <w:sym w:font="Symbol" w:char="F064"/>
      </w:r>
      <w:r w:rsidRPr="003A2FB9">
        <w:rPr>
          <w:lang w:val="ru-RU"/>
        </w:rPr>
        <w:t xml:space="preserve">) дБ, где </w:t>
      </w:r>
      <w:r w:rsidRPr="003A2FB9">
        <w:rPr>
          <w:lang w:val="ru-RU"/>
        </w:rPr>
        <w:sym w:font="Symbol" w:char="F064"/>
      </w:r>
      <w:r w:rsidRPr="003A2FB9">
        <w:rPr>
          <w:lang w:val="ru-RU"/>
        </w:rPr>
        <w:t> (0 &lt; </w:t>
      </w:r>
      <w:r w:rsidRPr="003A2FB9">
        <w:rPr>
          <w:lang w:val="ru-RU"/>
        </w:rPr>
        <w:sym w:font="Symbol" w:char="F064"/>
      </w:r>
      <w:r w:rsidR="003F2FD7" w:rsidRPr="003A2FB9">
        <w:rPr>
          <w:lang w:val="ru-RU"/>
        </w:rPr>
        <w:t> </w:t>
      </w:r>
      <w:r w:rsidRPr="003A2FB9">
        <w:rPr>
          <w:lang w:val="ru-RU"/>
        </w:rPr>
        <w:t xml:space="preserve">&lt; 1) – доля времени, в течение которого станция-концентратор передает сигналы. Однако данное уменьшение не должно превышать 3 дБ даже для малых </w:t>
      </w:r>
      <w:r w:rsidRPr="003A2FB9">
        <w:rPr>
          <w:lang w:val="ru-RU"/>
        </w:rPr>
        <w:sym w:font="Symbol" w:char="F064"/>
      </w:r>
      <w:r w:rsidRPr="003A2FB9">
        <w:rPr>
          <w:lang w:val="ru-RU"/>
        </w:rPr>
        <w:t>.</w:t>
      </w:r>
    </w:p>
    <w:p w:rsidR="003807A1" w:rsidRPr="003A2FB9" w:rsidRDefault="003807A1" w:rsidP="003807A1">
      <w:pPr>
        <w:rPr>
          <w:lang w:val="ru-RU"/>
        </w:rPr>
      </w:pPr>
    </w:p>
    <w:p w:rsidR="00CA7242" w:rsidRPr="003A2FB9" w:rsidRDefault="00CA7242" w:rsidP="00A12D4D">
      <w:pPr>
        <w:pStyle w:val="AnnexNoTitle"/>
        <w:rPr>
          <w:lang w:val="ru-RU"/>
        </w:rPr>
      </w:pPr>
      <w:r w:rsidRPr="003A2FB9">
        <w:rPr>
          <w:lang w:val="ru-RU"/>
        </w:rPr>
        <w:t>Приложение 1</w:t>
      </w:r>
      <w:r w:rsidRPr="003A2FB9">
        <w:rPr>
          <w:lang w:val="ru-RU"/>
        </w:rPr>
        <w:br/>
      </w:r>
      <w:r w:rsidRPr="003A2FB9">
        <w:rPr>
          <w:lang w:val="ru-RU"/>
        </w:rPr>
        <w:br/>
        <w:t>Оценка пространственного и временного р</w:t>
      </w:r>
      <w:r w:rsidR="00D6136B" w:rsidRPr="003A2FB9">
        <w:rPr>
          <w:lang w:val="ru-RU"/>
        </w:rPr>
        <w:t>аспределения помех системам СРД </w:t>
      </w:r>
      <w:r w:rsidRPr="003A2FB9">
        <w:rPr>
          <w:lang w:val="ru-RU"/>
        </w:rPr>
        <w:t>и</w:t>
      </w:r>
      <w:r w:rsidR="00D6136B" w:rsidRPr="003A2FB9">
        <w:rPr>
          <w:lang w:val="ru-RU"/>
        </w:rPr>
        <w:t> </w:t>
      </w:r>
      <w:r w:rsidRPr="003A2FB9">
        <w:rPr>
          <w:lang w:val="ru-RU"/>
        </w:rPr>
        <w:t xml:space="preserve">POCS от излучения станций-концентраторов П-МП в ФС </w:t>
      </w:r>
      <w:r w:rsidR="00A12D4D" w:rsidRPr="003A2FB9">
        <w:rPr>
          <w:lang w:val="ru-RU"/>
        </w:rPr>
        <w:br/>
      </w:r>
      <w:r w:rsidRPr="003A2FB9">
        <w:rPr>
          <w:lang w:val="ru-RU"/>
        </w:rPr>
        <w:t>в полосе 25,25–27,5</w:t>
      </w:r>
      <w:r w:rsidR="00D6136B" w:rsidRPr="003A2FB9">
        <w:rPr>
          <w:lang w:val="ru-RU"/>
        </w:rPr>
        <w:t> </w:t>
      </w:r>
      <w:r w:rsidRPr="003A2FB9">
        <w:rPr>
          <w:lang w:val="ru-RU"/>
        </w:rPr>
        <w:t>ГГц</w:t>
      </w:r>
    </w:p>
    <w:p w:rsidR="00CA7242" w:rsidRPr="003A2FB9" w:rsidRDefault="003655E2" w:rsidP="004E6CAE">
      <w:pPr>
        <w:pStyle w:val="Heading1"/>
        <w:rPr>
          <w:lang w:val="ru-RU"/>
        </w:rPr>
      </w:pPr>
      <w:r w:rsidRPr="003A2FB9">
        <w:rPr>
          <w:lang w:val="ru-RU"/>
        </w:rPr>
        <w:t>1</w:t>
      </w:r>
      <w:r w:rsidRPr="003A2FB9">
        <w:rPr>
          <w:lang w:val="ru-RU"/>
        </w:rPr>
        <w:tab/>
        <w:t>Введение</w:t>
      </w:r>
    </w:p>
    <w:p w:rsidR="00CA7242" w:rsidRPr="003A2FB9" w:rsidRDefault="00CA7242" w:rsidP="00BE263C">
      <w:pPr>
        <w:rPr>
          <w:lang w:val="ru-RU"/>
        </w:rPr>
      </w:pPr>
      <w:r w:rsidRPr="003A2FB9">
        <w:rPr>
          <w:lang w:val="ru-RU"/>
        </w:rPr>
        <w:t>В данном Приложении приводится оценка, полученная при помощи компьютерного моделирования, пространственного и временного распределения помех системам СРД на определенных орбитальных позициях и системам POCS от излучений глобально развертываемых станций-концентраторов систем П-МП ФС в полосе 25,25</w:t>
      </w:r>
      <w:r w:rsidRPr="003A2FB9">
        <w:rPr>
          <w:lang w:val="ru-RU"/>
        </w:rPr>
        <w:noBreakHyphen/>
        <w:t>27,5 ГГц. Данные системы П-МП ФС зачастую рассматриваются как местные системы распределения со многими пунктами (LMDS). Для данного анализа считается, что спектральная плотность э.и.и.м. в пике луча на каждой станции-концентраторе равна +8 дБ(Вт/МГц)</w:t>
      </w:r>
      <w:r w:rsidR="00574BD3" w:rsidRPr="003A2FB9">
        <w:rPr>
          <w:lang w:val="ru-RU"/>
        </w:rPr>
        <w:t xml:space="preserve">, что указано в Отчете МСЭ-R F.2108 в качестве типового значения для станций-концентраторов в системах связи пункта со многими пунктами. </w:t>
      </w:r>
      <w:r w:rsidRPr="003A2FB9">
        <w:rPr>
          <w:lang w:val="ru-RU"/>
        </w:rPr>
        <w:t>Одна передающая станция LMDS, работающая со спектральной плотностью э.и.и.м., равной +8 дБ(Вт/МГц), не превышает защитный уровень, указанный в Рекомендации МСЭ-R SA.1155, вне зависимости от ее географического положения с учетом орбитальной позиции СРД. Защитный уровень, равный –148</w:t>
      </w:r>
      <w:r w:rsidR="008F7476" w:rsidRPr="003A2FB9">
        <w:rPr>
          <w:lang w:val="ru-RU"/>
        </w:rPr>
        <w:t> </w:t>
      </w:r>
      <w:r w:rsidRPr="003A2FB9">
        <w:rPr>
          <w:lang w:val="ru-RU"/>
        </w:rPr>
        <w:t>дБ(Вт/МГц), не должен превышаться в течение времени более 0,1% орбитального периода. Однако совокупное воздействие множества передающих станций LMDS, работающих в одном кана</w:t>
      </w:r>
      <w:r w:rsidR="004E6CAE" w:rsidRPr="003A2FB9">
        <w:rPr>
          <w:lang w:val="ru-RU"/>
        </w:rPr>
        <w:t>ле в городском центре, может, в </w:t>
      </w:r>
      <w:r w:rsidRPr="003A2FB9">
        <w:rPr>
          <w:lang w:val="ru-RU"/>
        </w:rPr>
        <w:t>некоторых геометрических условиях, создавать помехи, превышающие защитный уровень СРД.</w:t>
      </w:r>
    </w:p>
    <w:p w:rsidR="00CA7242" w:rsidRPr="003A2FB9" w:rsidRDefault="00CA7242" w:rsidP="003807A1">
      <w:pPr>
        <w:rPr>
          <w:lang w:val="ru-RU"/>
        </w:rPr>
      </w:pPr>
      <w:r w:rsidRPr="003A2FB9">
        <w:rPr>
          <w:lang w:val="ru-RU"/>
        </w:rPr>
        <w:t xml:space="preserve">В </w:t>
      </w:r>
      <w:r w:rsidR="00FB17BC" w:rsidRPr="003A2FB9">
        <w:rPr>
          <w:lang w:val="ru-RU"/>
        </w:rPr>
        <w:t xml:space="preserve">разделе </w:t>
      </w:r>
      <w:r w:rsidRPr="003A2FB9">
        <w:rPr>
          <w:lang w:val="ru-RU"/>
        </w:rPr>
        <w:t>2 описывается использованный подход и предположения, сделанные для оценки пространственного и временного распределения помех системам СРД. В данном Приложении представлены два исследования, Исследование A и Исследование B, в п. 3 и п. 4 соответ</w:t>
      </w:r>
      <w:r w:rsidR="001A6F2B" w:rsidRPr="003A2FB9">
        <w:rPr>
          <w:lang w:val="ru-RU"/>
        </w:rPr>
        <w:t>ственно. В </w:t>
      </w:r>
      <w:r w:rsidRPr="003A2FB9">
        <w:rPr>
          <w:lang w:val="ru-RU"/>
        </w:rPr>
        <w:t>Исследовании A рассматривалась спектральная плотность э.и.и.м., равная +8 дБ(Вт/МГц), в то время, как в Исследовании B использовалась спектральная</w:t>
      </w:r>
      <w:r w:rsidR="004E6CAE" w:rsidRPr="003A2FB9">
        <w:rPr>
          <w:lang w:val="ru-RU"/>
        </w:rPr>
        <w:t xml:space="preserve"> плотность э.и.и.м., равная +14 </w:t>
      </w:r>
      <w:r w:rsidR="003F2FD7" w:rsidRPr="003A2FB9">
        <w:rPr>
          <w:lang w:val="ru-RU"/>
        </w:rPr>
        <w:t>дБ(Вт/МГц). В </w:t>
      </w:r>
      <w:r w:rsidR="00FB17BC" w:rsidRPr="003A2FB9">
        <w:rPr>
          <w:lang w:val="ru-RU"/>
        </w:rPr>
        <w:t xml:space="preserve">разделе </w:t>
      </w:r>
      <w:r w:rsidRPr="003A2FB9">
        <w:rPr>
          <w:lang w:val="ru-RU"/>
        </w:rPr>
        <w:t>3 представлено пространственное распределение помех системам СРД на определенных орбитальных позициях. Оно показывает, что когда спектральная плотность э.и.и.м. излучений в локальной горизонтальной плоскости из области обслуживания, состоящей из 29</w:t>
      </w:r>
      <w:r w:rsidR="003655E2" w:rsidRPr="003A2FB9">
        <w:rPr>
          <w:lang w:val="ru-RU"/>
        </w:rPr>
        <w:t> </w:t>
      </w:r>
      <w:r w:rsidRPr="003A2FB9">
        <w:rPr>
          <w:lang w:val="ru-RU"/>
        </w:rPr>
        <w:t>станций</w:t>
      </w:r>
      <w:r w:rsidRPr="003A2FB9">
        <w:rPr>
          <w:lang w:val="ru-RU"/>
        </w:rPr>
        <w:noBreakHyphen/>
        <w:t xml:space="preserve">концентраторов, видна системе СРД и работает с +8 дБ(Вт/МГц), помехи работе СРД могут превышать рекомендованный уровень помех на величину до 9 дБ. Также в п. 3 приведены результаты динамического моделирования для определения временных характеристик помех работе СРД, который отслеживает низкоорбитальный спутник пользователя с орбитальными характеристиками международной космической станции. Показано, что для небольшого количества орбит с восходящими узлами, которые приводят к тому, что спутники пользователя ориентированы на центры с городским населением, которые находятся на или около края Земного диска, длительность помех может превышать период времени, который больше 0,1% орбитального периода спутника пользователя. В </w:t>
      </w:r>
      <w:r w:rsidR="00FB17BC" w:rsidRPr="003A2FB9">
        <w:rPr>
          <w:lang w:val="ru-RU"/>
        </w:rPr>
        <w:t>разделе </w:t>
      </w:r>
      <w:r w:rsidRPr="003A2FB9">
        <w:rPr>
          <w:lang w:val="ru-RU"/>
        </w:rPr>
        <w:t>4 представлены результаты Исследования</w:t>
      </w:r>
      <w:r w:rsidR="008F7476" w:rsidRPr="003A2FB9">
        <w:rPr>
          <w:lang w:val="ru-RU"/>
        </w:rPr>
        <w:t> </w:t>
      </w:r>
      <w:r w:rsidRPr="003A2FB9">
        <w:rPr>
          <w:lang w:val="ru-RU"/>
        </w:rPr>
        <w:t xml:space="preserve">B. В </w:t>
      </w:r>
      <w:r w:rsidR="00FB17BC" w:rsidRPr="003A2FB9">
        <w:rPr>
          <w:lang w:val="ru-RU"/>
        </w:rPr>
        <w:t>разделе </w:t>
      </w:r>
      <w:r w:rsidRPr="003A2FB9">
        <w:rPr>
          <w:lang w:val="ru-RU"/>
        </w:rPr>
        <w:t xml:space="preserve">5 описываются простые способы расширения результатов до станций LMDS, которые используют более мелкие соты. В </w:t>
      </w:r>
      <w:r w:rsidR="00FB17BC" w:rsidRPr="003A2FB9">
        <w:rPr>
          <w:lang w:val="ru-RU"/>
        </w:rPr>
        <w:t xml:space="preserve">разделе </w:t>
      </w:r>
      <w:r w:rsidRPr="003A2FB9">
        <w:rPr>
          <w:lang w:val="ru-RU"/>
        </w:rPr>
        <w:t>6 обсуждаются помехи системам POCS. Результат показывает, что при спектральной плотности э.и.и.м., равной +14</w:t>
      </w:r>
      <w:r w:rsidR="003807A1" w:rsidRPr="003A2FB9">
        <w:rPr>
          <w:lang w:val="ru-RU"/>
        </w:rPr>
        <w:t> </w:t>
      </w:r>
      <w:r w:rsidRPr="003A2FB9">
        <w:rPr>
          <w:lang w:val="ru-RU"/>
        </w:rPr>
        <w:t>дБ(Вт/МГц), совокупные помехи от станций-концентраторов LMDS антеннам приемников POCS всегда намного ниже критерия защиты, равного</w:t>
      </w:r>
      <w:r w:rsidR="0064419B" w:rsidRPr="003A2FB9">
        <w:rPr>
          <w:lang w:val="ru-RU"/>
        </w:rPr>
        <w:t xml:space="preserve"> </w:t>
      </w:r>
      <w:r w:rsidR="004E6CAE" w:rsidRPr="003A2FB9">
        <w:rPr>
          <w:lang w:val="ru-RU"/>
        </w:rPr>
        <w:t>−</w:t>
      </w:r>
      <w:r w:rsidRPr="003A2FB9">
        <w:rPr>
          <w:lang w:val="ru-RU"/>
        </w:rPr>
        <w:t xml:space="preserve">147 дБ(Вт/МГц). В </w:t>
      </w:r>
      <w:r w:rsidR="00FB17BC" w:rsidRPr="003A2FB9">
        <w:rPr>
          <w:lang w:val="ru-RU"/>
        </w:rPr>
        <w:t>разделе </w:t>
      </w:r>
      <w:r w:rsidRPr="003A2FB9">
        <w:rPr>
          <w:lang w:val="ru-RU"/>
        </w:rPr>
        <w:t xml:space="preserve">7 приведены выводы из данного исследования и предложены характеристики для обеспечения возможности совместного использования частот службами космических исследований, системами межспутниковой службы и системами П-МП ФС. </w:t>
      </w:r>
    </w:p>
    <w:p w:rsidR="00CA7242" w:rsidRPr="003A2FB9" w:rsidRDefault="00CA7242" w:rsidP="004E6CAE">
      <w:pPr>
        <w:pStyle w:val="Heading1"/>
        <w:rPr>
          <w:lang w:val="ru-RU"/>
        </w:rPr>
      </w:pPr>
      <w:r w:rsidRPr="003A2FB9">
        <w:rPr>
          <w:lang w:val="ru-RU"/>
        </w:rPr>
        <w:lastRenderedPageBreak/>
        <w:t>2</w:t>
      </w:r>
      <w:r w:rsidRPr="003A2FB9">
        <w:rPr>
          <w:lang w:val="ru-RU"/>
        </w:rPr>
        <w:tab/>
        <w:t>Метод</w:t>
      </w:r>
    </w:p>
    <w:p w:rsidR="00CA7242" w:rsidRPr="003A2FB9" w:rsidRDefault="00CA7242" w:rsidP="004E6CAE">
      <w:pPr>
        <w:rPr>
          <w:lang w:val="ru-RU"/>
        </w:rPr>
      </w:pPr>
      <w:r w:rsidRPr="003A2FB9">
        <w:rPr>
          <w:lang w:val="ru-RU"/>
        </w:rPr>
        <w:t>Для расчета пространственного и временного распределения помех системам СРД от излучений потенциально большого количества систем П-МП ФС высокой плотности, которые, как предполагается, работают в полосе 25,25</w:t>
      </w:r>
      <w:r w:rsidRPr="003A2FB9">
        <w:rPr>
          <w:b/>
          <w:sz w:val="24"/>
          <w:szCs w:val="24"/>
          <w:lang w:val="ru-RU"/>
        </w:rPr>
        <w:t>–</w:t>
      </w:r>
      <w:r w:rsidRPr="003A2FB9">
        <w:rPr>
          <w:lang w:val="ru-RU"/>
        </w:rPr>
        <w:t>27,5 ГГц, использовалось компьютерное моделирование. Основным методом, реализованным в моделировании, является развертывание нескольких станций</w:t>
      </w:r>
      <w:r w:rsidRPr="003A2FB9">
        <w:rPr>
          <w:lang w:val="ru-RU"/>
        </w:rPr>
        <w:noBreakHyphen/>
        <w:t xml:space="preserve">концентраторов LMDS в городских центрах, а затем – определение пространственных и временных помех, возникающих в результате такого развертывания. Для определения пространственного распределения, совокупные помехи СРД в определенной орбитальной позиции рассчитываются таким образом, как если бы приемная антенна СРД с большим усилением вела сканирование по оси </w:t>
      </w:r>
      <w:r w:rsidRPr="003A2FB9">
        <w:rPr>
          <w:i/>
          <w:iCs/>
          <w:lang w:val="ru-RU"/>
        </w:rPr>
        <w:t>y</w:t>
      </w:r>
      <w:r w:rsidRPr="003A2FB9">
        <w:rPr>
          <w:lang w:val="ru-RU"/>
        </w:rPr>
        <w:t xml:space="preserve"> и по оси </w:t>
      </w:r>
      <w:r w:rsidRPr="003A2FB9">
        <w:rPr>
          <w:i/>
          <w:iCs/>
          <w:lang w:val="ru-RU"/>
        </w:rPr>
        <w:t>z</w:t>
      </w:r>
      <w:r w:rsidRPr="003A2FB9">
        <w:rPr>
          <w:lang w:val="ru-RU"/>
        </w:rPr>
        <w:t xml:space="preserve">. Данный метод описан в п. 2.1. Метод, используемый для определения временных характеристик помех, описан в п. 2.2. В обоих случаях модель учитывает: спектральную плотность э.и.и.м. и усиление передающей станции LMDS в направлении на СРД; поглощение в атмосфере; затухание на трассе передачи; усиление приемной антенны СРД в направлении станции LMDS, создающей помехи. </w:t>
      </w:r>
    </w:p>
    <w:p w:rsidR="00CA7242" w:rsidRPr="003A2FB9" w:rsidRDefault="00CA7242" w:rsidP="004E6CAE">
      <w:pPr>
        <w:pStyle w:val="Heading2"/>
        <w:rPr>
          <w:lang w:val="ru-RU"/>
        </w:rPr>
      </w:pPr>
      <w:r w:rsidRPr="003A2FB9">
        <w:rPr>
          <w:lang w:val="ru-RU"/>
        </w:rPr>
        <w:t>2.1</w:t>
      </w:r>
      <w:r w:rsidRPr="003A2FB9">
        <w:rPr>
          <w:lang w:val="ru-RU"/>
        </w:rPr>
        <w:tab/>
        <w:t>Пространственное распределение</w:t>
      </w:r>
    </w:p>
    <w:p w:rsidR="00CA7242" w:rsidRPr="003A2FB9" w:rsidRDefault="00CA7242" w:rsidP="004E6CAE">
      <w:pPr>
        <w:rPr>
          <w:lang w:val="ru-RU"/>
        </w:rPr>
      </w:pPr>
      <w:r w:rsidRPr="003A2FB9">
        <w:rPr>
          <w:lang w:val="ru-RU"/>
        </w:rPr>
        <w:t>Ожидается, что станции LMDS будут развертываться по сотовой конфигурации в городских центрах для обслуживания коммерческих предприятий, правительства и домохозяйств, использующих интерактивные или радиовещательные услуги цифровой связи с пропускной способностью от умеренной до высокой. Эти услуги могут включать в себя доступ в интернет, услуги передачи голоса, передачи данных и видео. Для целей данного анализа предполагается, что совокупные излучения в одном канале от области обслуживания LMDS можно моделировать в виде отдельной станции, которая использует передатчик со спектральной плотностью мощности, равной сумме спектральных плотностей мощности на входе каждой станции-концентратора LMDS в области обслуживания, и что одна передающая антенна обеспечивает приемлемое представление о распределении спектральной плотности э.и.и.м. выше локальной горизонтальной плоскости.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Для данного моделирования предполагалось, что спектральная плотность э.и.и.м. излучений каждой станции-концентратора равна +8 дБ(Вт/МГц)</w:t>
      </w:r>
      <w:r w:rsidRPr="003A2FB9">
        <w:rPr>
          <w:rStyle w:val="FootnoteReference"/>
          <w:lang w:val="ru-RU"/>
        </w:rPr>
        <w:footnoteReference w:customMarkFollows="1" w:id="2"/>
        <w:t>1</w:t>
      </w:r>
      <w:r w:rsidRPr="003A2FB9">
        <w:rPr>
          <w:lang w:val="ru-RU"/>
        </w:rPr>
        <w:t xml:space="preserve">, и что совокупное излучение LMDS из одной области обслуживания пропорционально количеству станций-концентраторов в городском центре. 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Для моделирования используется следующая определенная модель. Мощность, принимаемая от удаленной передающей станции, может быть выражена как:</w:t>
      </w:r>
    </w:p>
    <w:p w:rsidR="00CA7242" w:rsidRPr="003A2FB9" w:rsidRDefault="00CA7242" w:rsidP="00995A7F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995A7F" w:rsidRPr="003A2FB9">
        <w:rPr>
          <w:position w:val="-30"/>
          <w:lang w:val="ru-RU"/>
        </w:rPr>
        <w:object w:dxaOrig="121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35pt;height:33.8pt" o:ole="">
            <v:imagedata r:id="rId14" o:title=""/>
          </v:shape>
          <o:OLEObject Type="Embed" ProgID="Equation.3" ShapeID="_x0000_i1025" DrawAspect="Content" ObjectID="_1543751347" r:id="rId15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(1)</w:t>
      </w:r>
    </w:p>
    <w:p w:rsidR="00CA7242" w:rsidRPr="003A2FB9" w:rsidRDefault="00CA7242" w:rsidP="00670095">
      <w:pPr>
        <w:rPr>
          <w:szCs w:val="22"/>
          <w:lang w:val="ru-RU"/>
        </w:rPr>
      </w:pPr>
      <w:r w:rsidRPr="003A2FB9">
        <w:rPr>
          <w:szCs w:val="22"/>
          <w:lang w:val="ru-RU"/>
        </w:rPr>
        <w:t>где</w:t>
      </w:r>
      <w:r w:rsidR="003807A1" w:rsidRPr="003A2FB9">
        <w:rPr>
          <w:szCs w:val="22"/>
          <w:lang w:val="ru-RU"/>
        </w:rPr>
        <w:t>: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P</w:t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принимаемая спектральная плотность мощности на выходе антенны в определенной полосе частот (определенная, как спектральная плотность мощности для целей данного анализа (Вт/МГц))</w:t>
      </w:r>
      <w:r w:rsidR="00821C5A" w:rsidRPr="003A2FB9">
        <w:rPr>
          <w:lang w:val="ru-RU"/>
        </w:rPr>
        <w:t>;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P</w:t>
      </w:r>
      <w:r w:rsidRPr="003A2FB9">
        <w:rPr>
          <w:i/>
          <w:iCs/>
          <w:vertAlign w:val="subscript"/>
          <w:lang w:val="ru-RU"/>
        </w:rPr>
        <w:t>t</w:t>
      </w:r>
      <w:r w:rsidRPr="003A2FB9">
        <w:rPr>
          <w:rFonts w:ascii="Tms Rmn" w:hAnsi="Tms Rmn"/>
          <w:lang w:val="ru-RU"/>
        </w:rPr>
        <w:t> :</w:t>
      </w:r>
      <w:r w:rsidRPr="003A2FB9">
        <w:rPr>
          <w:lang w:val="ru-RU"/>
        </w:rPr>
        <w:tab/>
        <w:t>передаваемая мощность на входе антенны в той же полосе частот, определенной для принимаемой мощности (определенная, как спектральная плотность для целей данного анализа (Вт/МГц))</w:t>
      </w:r>
      <w:r w:rsidR="00821C5A" w:rsidRPr="003A2FB9">
        <w:rPr>
          <w:lang w:val="ru-RU"/>
        </w:rPr>
        <w:t>;</w:t>
      </w:r>
      <w:r w:rsidRPr="003A2FB9">
        <w:rPr>
          <w:lang w:val="ru-RU"/>
        </w:rPr>
        <w:t xml:space="preserve"> </w:t>
      </w:r>
    </w:p>
    <w:p w:rsidR="00EA4ABB" w:rsidRPr="003A2FB9" w:rsidRDefault="00EA4A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A2FB9">
        <w:rPr>
          <w:lang w:val="ru-RU"/>
        </w:rPr>
        <w:br w:type="page"/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lang w:val="ru-RU"/>
        </w:rPr>
        <w:lastRenderedPageBreak/>
        <w:tab/>
      </w:r>
      <w:r w:rsidRPr="003A2FB9">
        <w:rPr>
          <w:i/>
          <w:iCs/>
          <w:lang w:val="ru-RU"/>
        </w:rPr>
        <w:t>G</w:t>
      </w:r>
      <w:r w:rsidRPr="003A2FB9">
        <w:rPr>
          <w:i/>
          <w:iCs/>
          <w:vertAlign w:val="subscript"/>
          <w:lang w:val="ru-RU"/>
        </w:rPr>
        <w:t>t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усиление передающей антенны в направлении приемной станции, относительно изотропного излучателя (число)</w:t>
      </w:r>
      <w:r w:rsidR="00821C5A" w:rsidRPr="003A2FB9">
        <w:rPr>
          <w:lang w:val="ru-RU"/>
        </w:rPr>
        <w:t>;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усиление приемной антенны в направлении передающей станции, относительно изотропного излучателя (число)</w:t>
      </w:r>
      <w:r w:rsidR="00821C5A" w:rsidRPr="003A2FB9">
        <w:rPr>
          <w:lang w:val="ru-RU"/>
        </w:rPr>
        <w:t>;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l</w:t>
      </w:r>
      <w:r w:rsidRPr="003A2FB9">
        <w:rPr>
          <w:vertAlign w:val="subscript"/>
          <w:lang w:val="ru-RU"/>
        </w:rPr>
        <w:t>1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потери при распространении в свободном пространстве (число)</w:t>
      </w:r>
      <w:r w:rsidR="00821C5A" w:rsidRPr="003A2FB9">
        <w:rPr>
          <w:lang w:val="ru-RU"/>
        </w:rPr>
        <w:t>;</w:t>
      </w:r>
      <w:r w:rsidRPr="003A2FB9">
        <w:rPr>
          <w:lang w:val="ru-RU"/>
        </w:rPr>
        <w:t xml:space="preserve"> 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l</w:t>
      </w:r>
      <w:r w:rsidRPr="003A2FB9">
        <w:rPr>
          <w:vertAlign w:val="subscript"/>
          <w:lang w:val="ru-RU"/>
        </w:rPr>
        <w:t>2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дополнительные потери в свободном пространстве из-за нескольких стационарных и зависящих от времени атмосферных явлений (число)</w:t>
      </w:r>
      <w:r w:rsidR="00821C5A" w:rsidRPr="003A2FB9">
        <w:rPr>
          <w:lang w:val="ru-RU"/>
        </w:rPr>
        <w:t>;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l</w:t>
      </w:r>
      <w:r w:rsidRPr="003A2FB9">
        <w:rPr>
          <w:vertAlign w:val="subscript"/>
          <w:lang w:val="ru-RU"/>
        </w:rPr>
        <w:t>3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переходное затухание из-за поляризации (число), равно единице, если передающая и приемная антенны имеют одинаковую поляризацию</w:t>
      </w:r>
      <w:r w:rsidRPr="003A2FB9">
        <w:rPr>
          <w:rStyle w:val="FootnoteReference"/>
          <w:lang w:val="ru-RU"/>
        </w:rPr>
        <w:footnoteReference w:customMarkFollows="1" w:id="3"/>
        <w:t>2</w:t>
      </w:r>
      <w:r w:rsidRPr="003A2FB9">
        <w:rPr>
          <w:lang w:val="ru-RU"/>
        </w:rPr>
        <w:t>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Потери при распространении в свободном пространстве равны:</w:t>
      </w:r>
    </w:p>
    <w:p w:rsidR="00CA7242" w:rsidRPr="003A2FB9" w:rsidRDefault="00CA7242" w:rsidP="00995A7F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995A7F" w:rsidRPr="003A2FB9">
        <w:rPr>
          <w:position w:val="-28"/>
          <w:lang w:val="ru-RU"/>
        </w:rPr>
        <w:object w:dxaOrig="1200" w:dyaOrig="740">
          <v:shape id="_x0000_i1026" type="#_x0000_t75" style="width:59.5pt;height:37.55pt" o:ole="">
            <v:imagedata r:id="rId16" o:title=""/>
          </v:shape>
          <o:OLEObject Type="Embed" ProgID="Equation.3" ShapeID="_x0000_i1026" DrawAspect="Content" ObjectID="_1543751348" r:id="rId17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(2)</w:t>
      </w:r>
    </w:p>
    <w:p w:rsidR="00CA7242" w:rsidRPr="003A2FB9" w:rsidRDefault="00CA7242" w:rsidP="00995A7F">
      <w:pPr>
        <w:rPr>
          <w:lang w:val="ru-RU"/>
        </w:rPr>
      </w:pPr>
      <w:r w:rsidRPr="003A2FB9">
        <w:rPr>
          <w:lang w:val="ru-RU"/>
        </w:rPr>
        <w:t>где</w:t>
      </w:r>
      <w:r w:rsidR="00995A7F" w:rsidRPr="003A2FB9">
        <w:rPr>
          <w:lang w:val="ru-RU"/>
        </w:rPr>
        <w:t>: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d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расстояние между передающей и приемной станциями (м)</w:t>
      </w:r>
      <w:r w:rsidR="00995A7F" w:rsidRPr="003A2FB9">
        <w:rPr>
          <w:lang w:val="ru-RU"/>
        </w:rPr>
        <w:t>;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C"/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длина волны (м).</w:t>
      </w:r>
    </w:p>
    <w:p w:rsidR="00CA7242" w:rsidRPr="003A2FB9" w:rsidRDefault="00CA7242" w:rsidP="00995A7F">
      <w:pPr>
        <w:rPr>
          <w:lang w:val="ru-RU"/>
        </w:rPr>
      </w:pPr>
      <w:r w:rsidRPr="003A2FB9">
        <w:rPr>
          <w:lang w:val="ru-RU"/>
        </w:rPr>
        <w:t xml:space="preserve">Каждая станция, передающая на одной частоте, создает линию радиосвязи с приемником. Принимаемая мощность от каждой из </w:t>
      </w:r>
      <w:r w:rsidRPr="003A2FB9">
        <w:rPr>
          <w:i/>
          <w:iCs/>
          <w:lang w:val="ru-RU"/>
        </w:rPr>
        <w:t>n</w:t>
      </w:r>
      <w:r w:rsidRPr="003A2FB9">
        <w:rPr>
          <w:lang w:val="ru-RU"/>
        </w:rPr>
        <w:t xml:space="preserve"> линий, в которых, как считается, передаются некореллированные сигналы, добавляется, формируя совокупную принимаемую мощность, рассчитанную по формуле:</w:t>
      </w:r>
    </w:p>
    <w:p w:rsidR="00CA7242" w:rsidRPr="003A2FB9" w:rsidRDefault="00CA7242" w:rsidP="00995A7F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995A7F" w:rsidRPr="003A2FB9">
        <w:rPr>
          <w:position w:val="-30"/>
          <w:lang w:val="ru-RU"/>
        </w:rPr>
        <w:object w:dxaOrig="1600" w:dyaOrig="700">
          <v:shape id="_x0000_i1027" type="#_x0000_t75" style="width:80.15pt;height:35.7pt" o:ole="">
            <v:imagedata r:id="rId18" o:title=""/>
          </v:shape>
          <o:OLEObject Type="Embed" ProgID="Equation.3" ShapeID="_x0000_i1027" DrawAspect="Content" ObjectID="_1543751349" r:id="rId19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(3)</w:t>
      </w:r>
    </w:p>
    <w:p w:rsidR="00CA7242" w:rsidRPr="003A2FB9" w:rsidRDefault="00CA7242" w:rsidP="00995A7F">
      <w:pPr>
        <w:rPr>
          <w:lang w:val="ru-RU"/>
        </w:rPr>
      </w:pPr>
      <w:r w:rsidRPr="003A2FB9">
        <w:rPr>
          <w:lang w:val="ru-RU"/>
        </w:rPr>
        <w:t xml:space="preserve">где множители определены выше, а добавленный подиндекс </w:t>
      </w:r>
      <w:r w:rsidRPr="003A2FB9">
        <w:rPr>
          <w:i/>
          <w:iCs/>
          <w:lang w:val="ru-RU"/>
        </w:rPr>
        <w:t>i</w:t>
      </w:r>
      <w:r w:rsidRPr="003A2FB9">
        <w:rPr>
          <w:lang w:val="ru-RU"/>
        </w:rPr>
        <w:t xml:space="preserve"> указывает каждую линию.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Совокупные помехи являются суммой помех от каждой передающей станции. Помехи от каждой станции определяются на основе усиления передающей и приемной антенн, принимая во внимание внеосевой угол соответствующих антенн.</w:t>
      </w:r>
    </w:p>
    <w:p w:rsidR="00CA7242" w:rsidRPr="003A2FB9" w:rsidRDefault="00CA7242" w:rsidP="001A6F2B">
      <w:pPr>
        <w:rPr>
          <w:spacing w:val="-4"/>
          <w:lang w:val="ru-RU"/>
        </w:rPr>
      </w:pPr>
      <w:r w:rsidRPr="003A2FB9">
        <w:rPr>
          <w:spacing w:val="-4"/>
          <w:lang w:val="ru-RU"/>
        </w:rPr>
        <w:t>Для повышения скорости вычислений и учитывая, что некоторые множители практически неизменны в отдельной области развертывания, уравнение (3) уточняется и принимает вид:</w:t>
      </w:r>
    </w:p>
    <w:p w:rsidR="00CA7242" w:rsidRPr="003A2FB9" w:rsidRDefault="00CA7242" w:rsidP="00995A7F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995A7F" w:rsidRPr="003A2FB9">
        <w:rPr>
          <w:position w:val="-30"/>
          <w:lang w:val="ru-RU"/>
        </w:rPr>
        <w:object w:dxaOrig="1960" w:dyaOrig="1060">
          <v:shape id="_x0000_i1028" type="#_x0000_t75" style="width:97.05pt;height:52.6pt" o:ole="">
            <v:imagedata r:id="rId20" o:title=""/>
          </v:shape>
          <o:OLEObject Type="Embed" ProgID="Equation.3" ShapeID="_x0000_i1028" DrawAspect="Content" ObjectID="_1543751350" r:id="rId21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(4)</w:t>
      </w:r>
    </w:p>
    <w:p w:rsidR="00CA7242" w:rsidRPr="003A2FB9" w:rsidRDefault="00CA7242" w:rsidP="00995A7F">
      <w:pPr>
        <w:rPr>
          <w:lang w:val="ru-RU"/>
        </w:rPr>
      </w:pPr>
      <w:r w:rsidRPr="003A2FB9">
        <w:rPr>
          <w:lang w:val="ru-RU"/>
        </w:rPr>
        <w:t>где</w:t>
      </w:r>
      <w:r w:rsidR="00995A7F" w:rsidRPr="003A2FB9">
        <w:rPr>
          <w:lang w:val="ru-RU"/>
        </w:rPr>
        <w:t>: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q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количество концентраторов в определенной области развертывания</w:t>
      </w:r>
      <w:r w:rsidR="00821C5A" w:rsidRPr="003A2FB9">
        <w:rPr>
          <w:lang w:val="ru-RU"/>
        </w:rPr>
        <w:t>;</w:t>
      </w:r>
    </w:p>
    <w:p w:rsidR="00CA7242" w:rsidRPr="003A2FB9" w:rsidRDefault="00CA7242" w:rsidP="00995A7F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m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 xml:space="preserve">количество областей развертывания. </w:t>
      </w:r>
    </w:p>
    <w:p w:rsidR="00CA7242" w:rsidRPr="003A2FB9" w:rsidRDefault="00CA7242" w:rsidP="00995A7F">
      <w:pPr>
        <w:rPr>
          <w:lang w:val="ru-RU"/>
        </w:rPr>
      </w:pPr>
      <w:r w:rsidRPr="003A2FB9">
        <w:rPr>
          <w:lang w:val="ru-RU"/>
        </w:rPr>
        <w:t>Последующий анализ показал, что для моделируемых помеховых сценариев ошибка, появляющаяся из-за упрощения в уравнении (4), составляет менее 1 дБ.</w:t>
      </w:r>
    </w:p>
    <w:p w:rsidR="00EA4ABB" w:rsidRPr="003A2FB9" w:rsidRDefault="00EA4A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A2FB9">
        <w:rPr>
          <w:lang w:val="ru-RU"/>
        </w:rPr>
        <w:br w:type="page"/>
      </w:r>
    </w:p>
    <w:p w:rsidR="00CA7242" w:rsidRPr="003A2FB9" w:rsidRDefault="00CA7242" w:rsidP="00995A7F">
      <w:pPr>
        <w:rPr>
          <w:lang w:val="ru-RU"/>
        </w:rPr>
      </w:pPr>
      <w:r w:rsidRPr="003A2FB9">
        <w:rPr>
          <w:lang w:val="ru-RU"/>
        </w:rPr>
        <w:lastRenderedPageBreak/>
        <w:t>Предполагается, что развертывание систем LMDS должно соответствовать местоположениям 431</w:t>
      </w:r>
      <w:r w:rsidR="0064419B" w:rsidRPr="003A2FB9">
        <w:rPr>
          <w:lang w:val="ru-RU"/>
        </w:rPr>
        <w:t> </w:t>
      </w:r>
      <w:r w:rsidRPr="003A2FB9">
        <w:rPr>
          <w:lang w:val="ru-RU"/>
        </w:rPr>
        <w:t>городского центра, в которых, по оценкам Организации Объединенных Наций, население к 2015</w:t>
      </w:r>
      <w:r w:rsidR="0064419B" w:rsidRPr="003A2FB9">
        <w:rPr>
          <w:lang w:val="ru-RU"/>
        </w:rPr>
        <w:t> </w:t>
      </w:r>
      <w:r w:rsidRPr="003A2FB9">
        <w:rPr>
          <w:lang w:val="ru-RU"/>
        </w:rPr>
        <w:t>году превысит 750 000 человек (см. Городские агломерации, 1950-2015 (редакция 1996 года), Подразделение ООН по вопросам народонаселения, Нью-Йорк, Соединенные Штаты Америки, 1996</w:t>
      </w:r>
      <w:r w:rsidR="0064419B" w:rsidRPr="003A2FB9">
        <w:rPr>
          <w:lang w:val="ru-RU"/>
        </w:rPr>
        <w:t> </w:t>
      </w:r>
      <w:r w:rsidRPr="003A2FB9">
        <w:rPr>
          <w:lang w:val="ru-RU"/>
        </w:rPr>
        <w:t>год (доступно на дискете)).</w:t>
      </w:r>
    </w:p>
    <w:p w:rsidR="00CA7242" w:rsidRPr="003A2FB9" w:rsidRDefault="00CA7242" w:rsidP="00995A7F">
      <w:pPr>
        <w:rPr>
          <w:lang w:val="ru-RU"/>
        </w:rPr>
      </w:pPr>
      <w:r w:rsidRPr="003A2FB9">
        <w:rPr>
          <w:lang w:val="ru-RU"/>
        </w:rPr>
        <w:t xml:space="preserve">Эмпирическая связь между радиусом </w:t>
      </w:r>
      <w:r w:rsidRPr="003A2FB9">
        <w:rPr>
          <w:i/>
          <w:iCs/>
          <w:lang w:val="ru-RU"/>
        </w:rPr>
        <w:t>R</w:t>
      </w:r>
      <w:r w:rsidRPr="003A2FB9">
        <w:rPr>
          <w:i/>
          <w:iCs/>
          <w:vertAlign w:val="subscript"/>
          <w:lang w:val="ru-RU"/>
        </w:rPr>
        <w:t>p</w:t>
      </w:r>
      <w:r w:rsidRPr="003A2FB9">
        <w:rPr>
          <w:lang w:val="ru-RU"/>
        </w:rPr>
        <w:t xml:space="preserve"> (км) эквивалентной круговой области, содержащей общее число населения </w:t>
      </w:r>
      <w:r w:rsidRPr="003A2FB9">
        <w:rPr>
          <w:i/>
          <w:iCs/>
          <w:lang w:val="ru-RU"/>
        </w:rPr>
        <w:t>P</w:t>
      </w:r>
      <w:r w:rsidRPr="003A2FB9">
        <w:rPr>
          <w:iCs/>
          <w:lang w:val="ru-RU"/>
        </w:rPr>
        <w:t>,</w:t>
      </w:r>
      <w:r w:rsidRPr="003A2FB9">
        <w:rPr>
          <w:lang w:val="ru-RU"/>
        </w:rPr>
        <w:t xml:space="preserve"> выражается при помощи уравнения:</w:t>
      </w:r>
    </w:p>
    <w:p w:rsidR="00CA7242" w:rsidRPr="003A2FB9" w:rsidRDefault="00CA7242" w:rsidP="00995A7F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R</w:t>
      </w:r>
      <w:r w:rsidRPr="003A2FB9">
        <w:rPr>
          <w:i/>
          <w:iCs/>
          <w:vertAlign w:val="subscript"/>
          <w:lang w:val="ru-RU"/>
        </w:rPr>
        <w:t>p</w:t>
      </w:r>
      <w:r w:rsidRPr="003A2FB9">
        <w:rPr>
          <w:lang w:val="ru-RU"/>
        </w:rPr>
        <w:t xml:space="preserve"> = </w:t>
      </w:r>
      <w:r w:rsidRPr="003A2FB9">
        <w:rPr>
          <w:lang w:val="ru-RU"/>
        </w:rPr>
        <w:sym w:font="Symbol" w:char="F061"/>
      </w:r>
      <w:r w:rsidRPr="003A2FB9">
        <w:rPr>
          <w:lang w:val="ru-RU"/>
        </w:rPr>
        <w:t> </w:t>
      </w:r>
      <w:r w:rsidRPr="003A2FB9">
        <w:rPr>
          <w:lang w:val="ru-RU"/>
        </w:rPr>
        <w:sym w:font="Symbol" w:char="F0B4"/>
      </w:r>
      <w:r w:rsidRPr="003A2FB9">
        <w:rPr>
          <w:lang w:val="ru-RU"/>
        </w:rPr>
        <w:t> </w:t>
      </w:r>
      <w:r w:rsidRPr="003A2FB9">
        <w:rPr>
          <w:i/>
          <w:iCs/>
          <w:lang w:val="ru-RU"/>
        </w:rPr>
        <w:t>P</w:t>
      </w:r>
      <w:r w:rsidRPr="003A2FB9">
        <w:rPr>
          <w:vertAlign w:val="superscript"/>
          <w:lang w:val="ru-RU"/>
        </w:rPr>
        <w:sym w:font="Symbol" w:char="F062"/>
      </w:r>
      <w:r w:rsidRPr="003A2FB9">
        <w:rPr>
          <w:lang w:val="ru-RU"/>
        </w:rPr>
        <w:t xml:space="preserve">   .</w:t>
      </w:r>
      <w:r w:rsidRPr="003A2FB9">
        <w:rPr>
          <w:lang w:val="ru-RU"/>
        </w:rPr>
        <w:tab/>
        <w:t>(5)</w:t>
      </w:r>
    </w:p>
    <w:p w:rsidR="00CA7242" w:rsidRPr="003A2FB9" w:rsidRDefault="00CA7242" w:rsidP="00995A7F">
      <w:pPr>
        <w:rPr>
          <w:lang w:val="ru-RU"/>
        </w:rPr>
      </w:pPr>
      <w:r w:rsidRPr="003A2FB9">
        <w:rPr>
          <w:lang w:val="ru-RU"/>
        </w:rPr>
        <w:t xml:space="preserve">Было обнаружено, что для Соединенных Штатов Америки в целях получения удовлетворительных результатов, </w:t>
      </w:r>
      <w:r w:rsidRPr="003A2FB9">
        <w:rPr>
          <w:lang w:val="ru-RU"/>
        </w:rPr>
        <w:sym w:font="Symbol" w:char="F061"/>
      </w:r>
      <w:r w:rsidRPr="003A2FB9">
        <w:rPr>
          <w:lang w:val="ru-RU"/>
        </w:rPr>
        <w:t xml:space="preserve"> = 0,035 и </w:t>
      </w:r>
      <w:r w:rsidRPr="003A2FB9">
        <w:rPr>
          <w:lang w:val="ru-RU"/>
        </w:rPr>
        <w:sym w:font="Symbol" w:char="F062"/>
      </w:r>
      <w:r w:rsidRPr="003A2FB9">
        <w:rPr>
          <w:lang w:val="ru-RU"/>
        </w:rPr>
        <w:t xml:space="preserve"> = 0,44. Для других районов мира было обнаружено, что для получения удовлетворительной оценки </w:t>
      </w:r>
      <w:r w:rsidRPr="003A2FB9">
        <w:rPr>
          <w:lang w:val="ru-RU"/>
        </w:rPr>
        <w:sym w:font="Symbol" w:char="F061"/>
      </w:r>
      <w:r w:rsidRPr="003A2FB9">
        <w:rPr>
          <w:lang w:val="ru-RU"/>
        </w:rPr>
        <w:t xml:space="preserve"> = 0,0155 и </w:t>
      </w:r>
      <w:r w:rsidRPr="003A2FB9">
        <w:rPr>
          <w:lang w:val="ru-RU"/>
        </w:rPr>
        <w:sym w:font="Symbol" w:char="F062"/>
      </w:r>
      <w:r w:rsidRPr="003A2FB9">
        <w:rPr>
          <w:lang w:val="ru-RU"/>
        </w:rPr>
        <w:t xml:space="preserve"> = 0,44.</w:t>
      </w:r>
    </w:p>
    <w:p w:rsidR="00CA7242" w:rsidRPr="003A2FB9" w:rsidRDefault="00CA7242" w:rsidP="00670095">
      <w:pPr>
        <w:keepNext/>
        <w:keepLines/>
        <w:rPr>
          <w:szCs w:val="22"/>
          <w:lang w:val="ru-RU"/>
        </w:rPr>
      </w:pPr>
      <w:r w:rsidRPr="003A2FB9">
        <w:rPr>
          <w:szCs w:val="22"/>
          <w:lang w:val="ru-RU"/>
        </w:rPr>
        <w:t xml:space="preserve">Уравнение (5) использовалось для оценки количества станций-концентраторов, необходимых для обслуживания области, охватывающей все население в городских агломерациях. Учитывая, что каждый концентратор обслуживает круговую область радиуса </w:t>
      </w:r>
      <w:r w:rsidRPr="003A2FB9">
        <w:rPr>
          <w:i/>
          <w:iCs/>
          <w:szCs w:val="22"/>
          <w:lang w:val="ru-RU"/>
        </w:rPr>
        <w:t>R</w:t>
      </w:r>
      <w:r w:rsidRPr="003A2FB9">
        <w:rPr>
          <w:i/>
          <w:iCs/>
          <w:szCs w:val="22"/>
          <w:vertAlign w:val="subscript"/>
          <w:lang w:val="ru-RU"/>
        </w:rPr>
        <w:t>h</w:t>
      </w:r>
      <w:r w:rsidRPr="003A2FB9">
        <w:rPr>
          <w:szCs w:val="22"/>
          <w:lang w:val="ru-RU"/>
        </w:rPr>
        <w:t xml:space="preserve">, количество концентраторов </w:t>
      </w:r>
      <w:r w:rsidRPr="003A2FB9">
        <w:rPr>
          <w:i/>
          <w:iCs/>
          <w:szCs w:val="22"/>
          <w:lang w:val="ru-RU"/>
        </w:rPr>
        <w:t>N</w:t>
      </w:r>
      <w:r w:rsidRPr="003A2FB9">
        <w:rPr>
          <w:szCs w:val="22"/>
          <w:lang w:val="ru-RU"/>
        </w:rPr>
        <w:t xml:space="preserve"> составит:</w:t>
      </w:r>
    </w:p>
    <w:p w:rsidR="00CA7242" w:rsidRPr="003A2FB9" w:rsidRDefault="00CA7242" w:rsidP="00846301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581981" w:rsidRPr="003A2FB9">
        <w:rPr>
          <w:position w:val="-38"/>
          <w:lang w:val="ru-RU"/>
        </w:rPr>
        <w:object w:dxaOrig="2340" w:dyaOrig="880">
          <v:shape id="_x0000_i1029" type="#_x0000_t75" style="width:115.85pt;height:44.45pt" o:ole="">
            <v:imagedata r:id="rId22" o:title=""/>
          </v:shape>
          <o:OLEObject Type="Embed" ProgID="Equation.3" ShapeID="_x0000_i1029" DrawAspect="Content" ObjectID="_1543751351" r:id="rId23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(6)</w:t>
      </w:r>
    </w:p>
    <w:p w:rsidR="00CA7242" w:rsidRPr="003A2FB9" w:rsidRDefault="00535121" w:rsidP="00535121">
      <w:pPr>
        <w:rPr>
          <w:lang w:val="ru-RU"/>
        </w:rPr>
      </w:pPr>
      <w:r w:rsidRPr="003A2FB9">
        <w:rPr>
          <w:lang w:val="ru-RU"/>
        </w:rPr>
        <w:t>где:</w:t>
      </w:r>
    </w:p>
    <w:p w:rsidR="00CA7242" w:rsidRPr="003A2FB9" w:rsidRDefault="00CA7242" w:rsidP="00C47377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N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количество концентраторов для предполагаемого радиуса соты</w:t>
      </w:r>
      <w:r w:rsidR="00821C5A" w:rsidRPr="003A2FB9">
        <w:rPr>
          <w:lang w:val="ru-RU"/>
        </w:rPr>
        <w:t>;</w:t>
      </w:r>
    </w:p>
    <w:p w:rsidR="00CA7242" w:rsidRPr="003A2FB9" w:rsidRDefault="00CA7242" w:rsidP="00C47377">
      <w:pPr>
        <w:pStyle w:val="Equationlegend"/>
        <w:rPr>
          <w:lang w:val="ru-RU"/>
        </w:rPr>
      </w:pPr>
      <w:r w:rsidRPr="003A2FB9">
        <w:rPr>
          <w:lang w:val="ru-RU"/>
        </w:rPr>
        <w:tab/>
        <w:t>Int()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определяет целое значение аргумента</w:t>
      </w:r>
      <w:r w:rsidR="00821C5A" w:rsidRPr="003A2FB9">
        <w:rPr>
          <w:lang w:val="ru-RU"/>
        </w:rPr>
        <w:t>;</w:t>
      </w:r>
    </w:p>
    <w:p w:rsidR="00CA7242" w:rsidRPr="003A2FB9" w:rsidRDefault="00CA7242" w:rsidP="00C47377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R</w:t>
      </w:r>
      <w:r w:rsidRPr="003A2FB9">
        <w:rPr>
          <w:i/>
          <w:iCs/>
          <w:szCs w:val="22"/>
          <w:vertAlign w:val="subscript"/>
          <w:lang w:val="ru-RU"/>
        </w:rPr>
        <w:t>p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эквивалентный р</w:t>
      </w:r>
      <w:r w:rsidR="00883837" w:rsidRPr="003A2FB9">
        <w:rPr>
          <w:lang w:val="ru-RU"/>
        </w:rPr>
        <w:t>адиус городской территории (км)</w:t>
      </w:r>
      <w:r w:rsidR="00821C5A" w:rsidRPr="003A2FB9">
        <w:rPr>
          <w:lang w:val="ru-RU"/>
        </w:rPr>
        <w:t>;</w:t>
      </w:r>
    </w:p>
    <w:p w:rsidR="00CA7242" w:rsidRPr="003A2FB9" w:rsidRDefault="00CA7242" w:rsidP="00C47377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R</w:t>
      </w:r>
      <w:r w:rsidRPr="003A2FB9">
        <w:rPr>
          <w:i/>
          <w:iCs/>
          <w:szCs w:val="22"/>
          <w:vertAlign w:val="subscript"/>
          <w:lang w:val="ru-RU"/>
        </w:rPr>
        <w:t>h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vertAlign w:val="subscript"/>
          <w:lang w:val="ru-RU"/>
        </w:rPr>
        <w:tab/>
      </w:r>
      <w:r w:rsidRPr="003A2FB9">
        <w:rPr>
          <w:lang w:val="ru-RU"/>
        </w:rPr>
        <w:t>радиус обычной соты</w:t>
      </w:r>
      <w:r w:rsidRPr="003A2FB9">
        <w:rPr>
          <w:vertAlign w:val="subscript"/>
          <w:lang w:val="ru-RU"/>
        </w:rPr>
        <w:t xml:space="preserve"> </w:t>
      </w:r>
      <w:r w:rsidR="00883837" w:rsidRPr="003A2FB9">
        <w:rPr>
          <w:lang w:val="ru-RU"/>
        </w:rPr>
        <w:t>LMDS (км)</w:t>
      </w:r>
      <w:r w:rsidR="00821C5A" w:rsidRPr="003A2FB9">
        <w:rPr>
          <w:lang w:val="ru-RU"/>
        </w:rPr>
        <w:t>;</w:t>
      </w:r>
    </w:p>
    <w:p w:rsidR="00CA7242" w:rsidRPr="003A2FB9" w:rsidRDefault="00CA7242" w:rsidP="00C47377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8"/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 xml:space="preserve">фактор распределения (0 </w:t>
      </w:r>
      <w:r w:rsidRPr="003A2FB9">
        <w:rPr>
          <w:lang w:val="ru-RU"/>
        </w:rPr>
        <w:sym w:font="Symbol" w:char="F03C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68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1). </w:t>
      </w:r>
    </w:p>
    <w:p w:rsidR="00CA7242" w:rsidRPr="003A2FB9" w:rsidRDefault="00CA7242" w:rsidP="00DF4E1B">
      <w:pPr>
        <w:rPr>
          <w:lang w:val="ru-RU"/>
        </w:rPr>
      </w:pPr>
      <w:r w:rsidRPr="003A2FB9">
        <w:rPr>
          <w:lang w:val="ru-RU"/>
        </w:rPr>
        <w:t>Для моделирования предполагалось, что радиус соты равен 5 км, и что фактор развертывания равен 0,30. Это значение фактора развертывания учитывает экономические, демографические и географические факторы, а также и то, что некоторые администр</w:t>
      </w:r>
      <w:r w:rsidR="00DF4E1B" w:rsidRPr="003A2FB9">
        <w:rPr>
          <w:lang w:val="ru-RU"/>
        </w:rPr>
        <w:t>ации могут принимать правила, в </w:t>
      </w:r>
      <w:r w:rsidRPr="003A2FB9">
        <w:rPr>
          <w:lang w:val="ru-RU"/>
        </w:rPr>
        <w:t>соответствии с которыми соответствующий диапазон не должен использоваться для систем П-МП ФС. Самое большое рассчитанное количество станций-концентраторов, полученное при помощи базы данных населения ООН и уравнений (5) и (6), равно 35 для Нью-Йорка, Соединенные Штаты Америки и 11 для Токио, Япония. Методика дает результат, согласно которому в мире должно быть развернуто 944 станций-концентраторов, работающих на одной частоте. Следует отметить, что в данном Приложении рассматривается всемирное развертывание только концентраторов, работающих на одной частоте.</w:t>
      </w:r>
    </w:p>
    <w:p w:rsidR="00CA7242" w:rsidRPr="003A2FB9" w:rsidRDefault="00CA7242" w:rsidP="00DF4E1B">
      <w:pPr>
        <w:rPr>
          <w:lang w:val="ru-RU"/>
        </w:rPr>
      </w:pPr>
      <w:r w:rsidRPr="003A2FB9">
        <w:rPr>
          <w:lang w:val="ru-RU"/>
        </w:rPr>
        <w:t>Эталонная диаграмма направленности для антенн станций-концентраторов основана на Рекомендации МСЭ</w:t>
      </w:r>
      <w:r w:rsidR="00F60A6E" w:rsidRPr="003A2FB9">
        <w:rPr>
          <w:lang w:val="ru-RU"/>
        </w:rPr>
        <w:t>-</w:t>
      </w:r>
      <w:r w:rsidRPr="003A2FB9">
        <w:rPr>
          <w:lang w:val="ru-RU"/>
        </w:rPr>
        <w:t>R</w:t>
      </w:r>
      <w:r w:rsidR="00F60A6E" w:rsidRPr="003A2FB9">
        <w:rPr>
          <w:lang w:val="ru-RU"/>
        </w:rPr>
        <w:t xml:space="preserve"> </w:t>
      </w:r>
      <w:r w:rsidRPr="003A2FB9">
        <w:rPr>
          <w:lang w:val="ru-RU"/>
        </w:rPr>
        <w:t>F.1336. Всенаправленная диаграмма получена при помощи четырех секторных антенн, каждая с усилением 15 дБи и шириной луча в горизонтальной плоскости на уровне 3 дБ, равной 90°. Дополнительно предполагалось, что развязка по поляризации величиной 3 дБ учитывает линейно поляризованную передающую антенну станции-концентратора и приемную антенну СРД с круговой поляризацией для связи осевое направление – на – осевое направление. Эталонная диаграмма направленности передающей антенны, не учитывающая никаких наклонов вниз, соответствует следующей диаграмме в вертикальной плоскости:</w:t>
      </w:r>
    </w:p>
    <w:p w:rsidR="00CA7242" w:rsidRPr="003A2FB9" w:rsidRDefault="00CA7242" w:rsidP="00DF4E1B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581981" w:rsidRPr="003A2FB9">
        <w:rPr>
          <w:position w:val="-32"/>
          <w:lang w:val="ru-RU"/>
        </w:rPr>
        <w:object w:dxaOrig="2079" w:dyaOrig="800">
          <v:shape id="_x0000_i1030" type="#_x0000_t75" style="width:103.3pt;height:40.05pt" o:ole="">
            <v:imagedata r:id="rId24" o:title=""/>
          </v:shape>
          <o:OLEObject Type="Embed" ProgID="Equation.3" ShapeID="_x0000_i1030" DrawAspect="Content" ObjectID="_1543751352" r:id="rId25"/>
        </w:object>
      </w:r>
      <w:r w:rsidRPr="003A2FB9">
        <w:rPr>
          <w:lang w:val="ru-RU"/>
        </w:rPr>
        <w:t xml:space="preserve">                        для </w:t>
      </w:r>
      <w:r w:rsidR="00581981" w:rsidRPr="003A2FB9">
        <w:rPr>
          <w:position w:val="-14"/>
          <w:lang w:val="ru-RU"/>
        </w:rPr>
        <w:object w:dxaOrig="960" w:dyaOrig="400">
          <v:shape id="_x0000_i1031" type="#_x0000_t75" style="width:47.6pt;height:20.65pt" o:ole="">
            <v:imagedata r:id="rId26" o:title=""/>
          </v:shape>
          <o:OLEObject Type="Embed" ProgID="Equation.3" ShapeID="_x0000_i1031" DrawAspect="Content" ObjectID="_1543751353" r:id="rId27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(7a)</w:t>
      </w:r>
    </w:p>
    <w:p w:rsidR="00EA4ABB" w:rsidRPr="003A2FB9" w:rsidRDefault="00EA4A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A2FB9">
        <w:rPr>
          <w:lang w:val="ru-RU"/>
        </w:rPr>
        <w:br w:type="page"/>
      </w:r>
    </w:p>
    <w:p w:rsidR="00CA7242" w:rsidRPr="003A2FB9" w:rsidRDefault="00CA7242" w:rsidP="00581981">
      <w:pPr>
        <w:pStyle w:val="Equation"/>
        <w:rPr>
          <w:lang w:val="ru-RU"/>
        </w:rPr>
      </w:pPr>
      <w:r w:rsidRPr="003A2FB9">
        <w:rPr>
          <w:lang w:val="ru-RU"/>
        </w:rPr>
        <w:lastRenderedPageBreak/>
        <w:tab/>
      </w:r>
      <w:r w:rsidRPr="003A2FB9">
        <w:rPr>
          <w:lang w:val="ru-RU"/>
        </w:rPr>
        <w:tab/>
      </w:r>
      <w:r w:rsidR="00DF4E1B" w:rsidRPr="003A2FB9">
        <w:rPr>
          <w:position w:val="-32"/>
          <w:lang w:val="ru-RU"/>
        </w:rPr>
        <w:object w:dxaOrig="2720" w:dyaOrig="760">
          <v:shape id="_x0000_i1032" type="#_x0000_t75" style="width:134pt;height:38.8pt" o:ole="">
            <v:imagedata r:id="rId28" o:title=""/>
          </v:shape>
          <o:OLEObject Type="Embed" ProgID="Equation.3" ShapeID="_x0000_i1032" DrawAspect="Content" ObjectID="_1543751354" r:id="rId29"/>
        </w:object>
      </w:r>
      <w:r w:rsidRPr="003A2FB9">
        <w:rPr>
          <w:lang w:val="ru-RU"/>
        </w:rPr>
        <w:t xml:space="preserve">            для </w:t>
      </w:r>
      <w:r w:rsidR="00581981" w:rsidRPr="003A2FB9">
        <w:rPr>
          <w:position w:val="-14"/>
          <w:lang w:val="ru-RU"/>
        </w:rPr>
        <w:object w:dxaOrig="859" w:dyaOrig="400">
          <v:shape id="_x0000_i1033" type="#_x0000_t75" style="width:43.2pt;height:20.65pt" o:ole="">
            <v:imagedata r:id="rId30" o:title=""/>
          </v:shape>
          <o:OLEObject Type="Embed" ProgID="Equation.3" ShapeID="_x0000_i1033" DrawAspect="Content" ObjectID="_1543751355" r:id="rId31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(7b)</w:t>
      </w:r>
    </w:p>
    <w:p w:rsidR="00CA7242" w:rsidRPr="003A2FB9" w:rsidRDefault="00CA7242" w:rsidP="00DF4E1B">
      <w:pPr>
        <w:rPr>
          <w:lang w:val="ru-RU"/>
        </w:rPr>
      </w:pPr>
      <w:r w:rsidRPr="003A2FB9">
        <w:rPr>
          <w:lang w:val="ru-RU"/>
        </w:rPr>
        <w:t>где</w:t>
      </w:r>
      <w:r w:rsidR="00DF4E1B" w:rsidRPr="003A2FB9">
        <w:rPr>
          <w:lang w:val="ru-RU"/>
        </w:rPr>
        <w:t>:</w:t>
      </w:r>
    </w:p>
    <w:p w:rsidR="00CA7242" w:rsidRPr="003A2FB9" w:rsidRDefault="00CA7242" w:rsidP="00DF4E1B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lang w:val="ru-RU"/>
        </w:rPr>
        <w:t>(</w:t>
      </w:r>
      <w:r w:rsidRPr="003A2FB9">
        <w:rPr>
          <w:lang w:val="ru-RU"/>
        </w:rPr>
        <w:sym w:font="Symbol" w:char="F071"/>
      </w:r>
      <w:r w:rsidRPr="003A2FB9">
        <w:rPr>
          <w:lang w:val="ru-RU"/>
        </w:rPr>
        <w:t>)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усиление относительно изотропной антенны (дБи)</w:t>
      </w:r>
      <w:r w:rsidR="00821C5A" w:rsidRPr="003A2FB9">
        <w:rPr>
          <w:lang w:val="ru-RU"/>
        </w:rPr>
        <w:t>;</w:t>
      </w:r>
    </w:p>
    <w:p w:rsidR="00CA7242" w:rsidRPr="003A2FB9" w:rsidRDefault="00CA7242" w:rsidP="00DF4E1B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position w:val="-4"/>
          <w:vertAlign w:val="subscript"/>
          <w:lang w:val="ru-RU"/>
        </w:rPr>
        <w:t>0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максимальное усиление в горизонтальной плоскости (дБи)</w:t>
      </w:r>
      <w:r w:rsidR="00821C5A" w:rsidRPr="003A2FB9">
        <w:rPr>
          <w:lang w:val="ru-RU"/>
        </w:rPr>
        <w:t>;</w:t>
      </w:r>
    </w:p>
    <w:p w:rsidR="00CA7242" w:rsidRPr="003A2FB9" w:rsidRDefault="00CA7242" w:rsidP="00DF4E1B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position w:val="-6"/>
          <w:lang w:val="ru-RU"/>
        </w:rPr>
        <w:object w:dxaOrig="180" w:dyaOrig="279">
          <v:shape id="_x0000_i1034" type="#_x0000_t75" style="width:8.75pt;height:14.4pt" o:ole="" o:bullet="t">
            <v:imagedata r:id="rId32" o:title=""/>
          </v:shape>
          <o:OLEObject Type="Embed" ProgID="Equation.3" ShapeID="_x0000_i1034" DrawAspect="Content" ObjectID="_1543751356" r:id="rId33"/>
        </w:objec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угол места, измеренный в вертикальной плоскости (градусы)</w:t>
      </w:r>
      <w:r w:rsidR="00821C5A" w:rsidRPr="003A2FB9">
        <w:rPr>
          <w:lang w:val="ru-RU"/>
        </w:rPr>
        <w:t>;</w:t>
      </w:r>
    </w:p>
    <w:p w:rsidR="00CA7242" w:rsidRPr="003A2FB9" w:rsidRDefault="00CA7242" w:rsidP="00DF4E1B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A"/>
      </w:r>
      <w:r w:rsidRPr="003A2FB9">
        <w:rPr>
          <w:position w:val="-4"/>
          <w:vertAlign w:val="subscript"/>
          <w:lang w:val="ru-RU"/>
        </w:rPr>
        <w:t>3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ширина диаграммы в вертикальной плоскости по уроню 3 дБ (градусы).</w:t>
      </w:r>
    </w:p>
    <w:p w:rsidR="00CA7242" w:rsidRPr="003A2FB9" w:rsidRDefault="00CA7242" w:rsidP="00DF4E1B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EA4ABB" w:rsidRPr="003A2FB9">
        <w:rPr>
          <w:position w:val="-24"/>
          <w:lang w:val="ru-RU"/>
        </w:rPr>
        <w:object w:dxaOrig="2140" w:dyaOrig="660">
          <v:shape id="_x0000_i1035" type="#_x0000_t75" style="width:103.95pt;height:32.55pt" o:ole="">
            <v:imagedata r:id="rId34" o:title=""/>
          </v:shape>
          <o:OLEObject Type="Embed" ProgID="Equation.3" ShapeID="_x0000_i1035" DrawAspect="Content" ObjectID="_1543751357" r:id="rId35"/>
        </w:object>
      </w:r>
      <w:r w:rsidRPr="003A2FB9">
        <w:rPr>
          <w:lang w:val="ru-RU"/>
        </w:rPr>
        <w:t>.</w:t>
      </w:r>
      <w:r w:rsidRPr="003A2FB9">
        <w:rPr>
          <w:lang w:val="ru-RU"/>
        </w:rPr>
        <w:tab/>
        <w:t>(7c)</w:t>
      </w:r>
    </w:p>
    <w:p w:rsidR="00CA7242" w:rsidRPr="003A2FB9" w:rsidRDefault="00CA7242" w:rsidP="00581981">
      <w:pPr>
        <w:rPr>
          <w:lang w:val="ru-RU"/>
        </w:rPr>
      </w:pPr>
      <w:r w:rsidRPr="003A2FB9">
        <w:rPr>
          <w:lang w:val="ru-RU"/>
        </w:rPr>
        <w:t>Поглощение в атмосфере в тракте LMDS-СРД было учтено при помощи следующих уравнений, которые применяются на частоте 27,5 ГГц в соответствии с Рекомендацией МСЭ-R F.1404:</w:t>
      </w:r>
    </w:p>
    <w:p w:rsidR="00CA7242" w:rsidRPr="003A2FB9" w:rsidRDefault="00EA4ABB" w:rsidP="00581981">
      <w:pPr>
        <w:pStyle w:val="Equation"/>
        <w:rPr>
          <w:lang w:val="ru-RU"/>
        </w:rPr>
      </w:pPr>
      <w:r w:rsidRPr="003A2FB9">
        <w:rPr>
          <w:position w:val="-24"/>
          <w:lang w:val="ru-RU"/>
        </w:rPr>
        <w:object w:dxaOrig="8740" w:dyaOrig="600">
          <v:shape id="_x0000_i1036" type="#_x0000_t75" style="width:445.15pt;height:29.45pt" o:ole="" o:preferrelative="f">
            <v:imagedata r:id="rId36" o:title=""/>
            <o:lock v:ext="edit" aspectratio="f"/>
          </v:shape>
          <o:OLEObject Type="Embed" ProgID="Equation.3" ShapeID="_x0000_i1036" DrawAspect="Content" ObjectID="_1543751358" r:id="rId37"/>
        </w:object>
      </w:r>
      <w:r w:rsidR="00CA7242" w:rsidRPr="003A2FB9">
        <w:rPr>
          <w:lang w:val="ru-RU"/>
        </w:rPr>
        <w:tab/>
        <w:t>(8a)</w:t>
      </w:r>
    </w:p>
    <w:p w:rsidR="00CA7242" w:rsidRPr="003A2FB9" w:rsidRDefault="00CA7242" w:rsidP="00581981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="00EA4ABB" w:rsidRPr="003A2FB9">
        <w:rPr>
          <w:position w:val="-24"/>
          <w:lang w:val="ru-RU"/>
        </w:rPr>
        <w:object w:dxaOrig="7339" w:dyaOrig="600">
          <v:shape id="_x0000_i1037" type="#_x0000_t75" style="width:386.3pt;height:30.05pt" o:ole="">
            <v:imagedata r:id="rId38" o:title=""/>
          </v:shape>
          <o:OLEObject Type="Embed" ProgID="Equation.3" ShapeID="_x0000_i1037" DrawAspect="Content" ObjectID="_1543751359" r:id="rId39"/>
        </w:object>
      </w:r>
      <w:r w:rsidRPr="003A2FB9">
        <w:rPr>
          <w:lang w:val="ru-RU"/>
        </w:rPr>
        <w:tab/>
        <w:t>(8b)</w:t>
      </w:r>
    </w:p>
    <w:p w:rsidR="00CA7242" w:rsidRPr="003A2FB9" w:rsidRDefault="00CA7242" w:rsidP="00581981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EA4ABB" w:rsidRPr="003A2FB9">
        <w:rPr>
          <w:position w:val="-18"/>
          <w:lang w:val="ru-RU"/>
        </w:rPr>
        <w:object w:dxaOrig="5920" w:dyaOrig="420">
          <v:shape id="_x0000_i1038" type="#_x0000_t75" style="width:296.15pt;height:21.3pt" o:ole="">
            <v:imagedata r:id="rId40" o:title=""/>
          </v:shape>
          <o:OLEObject Type="Embed" ProgID="Equation.3" ShapeID="_x0000_i1038" DrawAspect="Content" ObjectID="_1543751360" r:id="rId41"/>
        </w:objec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(8c)</w:t>
      </w:r>
    </w:p>
    <w:p w:rsidR="00CA7242" w:rsidRPr="003A2FB9" w:rsidRDefault="00CA7242" w:rsidP="00581981">
      <w:pPr>
        <w:rPr>
          <w:lang w:val="ru-RU"/>
        </w:rPr>
      </w:pPr>
      <w:r w:rsidRPr="003A2FB9">
        <w:rPr>
          <w:lang w:val="ru-RU"/>
        </w:rPr>
        <w:t>где</w:t>
      </w:r>
      <w:r w:rsidR="00581981" w:rsidRPr="003A2FB9">
        <w:rPr>
          <w:lang w:val="ru-RU"/>
        </w:rPr>
        <w:t>:</w:t>
      </w:r>
    </w:p>
    <w:p w:rsidR="00CA7242" w:rsidRPr="003A2FB9" w:rsidRDefault="00CA7242" w:rsidP="00581981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A</w:t>
      </w:r>
      <w:r w:rsidRPr="003A2FB9">
        <w:rPr>
          <w:i/>
          <w:iCs/>
          <w:vertAlign w:val="subscript"/>
          <w:lang w:val="ru-RU"/>
        </w:rPr>
        <w:t>LowLat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поглощение в атмосфере для территорий на низких широтах (между</w:t>
      </w:r>
      <w:r w:rsidR="00581981" w:rsidRPr="003A2FB9">
        <w:rPr>
          <w:lang w:val="ru-RU"/>
        </w:rPr>
        <w:t> ±22,5°) </w:t>
      </w:r>
      <w:r w:rsidRPr="003A2FB9">
        <w:rPr>
          <w:lang w:val="ru-RU"/>
        </w:rPr>
        <w:t>(дБ)</w:t>
      </w:r>
      <w:r w:rsidR="00821C5A" w:rsidRPr="003A2FB9">
        <w:rPr>
          <w:lang w:val="ru-RU"/>
        </w:rPr>
        <w:t>;</w:t>
      </w:r>
    </w:p>
    <w:p w:rsidR="00CA7242" w:rsidRPr="003A2FB9" w:rsidRDefault="00CA7242" w:rsidP="00581981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A</w:t>
      </w:r>
      <w:r w:rsidRPr="003A2FB9">
        <w:rPr>
          <w:i/>
          <w:iCs/>
          <w:vertAlign w:val="subscript"/>
          <w:lang w:val="ru-RU"/>
        </w:rPr>
        <w:t>MidLat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поглощение в атмосфере для территорий на средних широтах (между 22,5° и 45°) (дБ)</w:t>
      </w:r>
      <w:r w:rsidR="00821C5A" w:rsidRPr="003A2FB9">
        <w:rPr>
          <w:lang w:val="ru-RU"/>
        </w:rPr>
        <w:t>;</w:t>
      </w:r>
    </w:p>
    <w:p w:rsidR="00CA7242" w:rsidRPr="003A2FB9" w:rsidRDefault="00CA7242" w:rsidP="00581981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A</w:t>
      </w:r>
      <w:r w:rsidRPr="003A2FB9">
        <w:rPr>
          <w:i/>
          <w:iCs/>
          <w:vertAlign w:val="subscript"/>
          <w:lang w:val="ru-RU"/>
        </w:rPr>
        <w:t>HiLat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поглощение в атмосфере для территорий на высоких широтах (более 45°) (дБ)</w:t>
      </w:r>
      <w:r w:rsidR="00821C5A" w:rsidRPr="003A2FB9">
        <w:rPr>
          <w:lang w:val="ru-RU"/>
        </w:rPr>
        <w:t>;</w:t>
      </w:r>
    </w:p>
    <w:p w:rsidR="00CA7242" w:rsidRPr="003A2FB9" w:rsidRDefault="00CA7242" w:rsidP="00581981">
      <w:pPr>
        <w:pStyle w:val="Equationlegend"/>
        <w:rPr>
          <w:lang w:val="ru-RU"/>
        </w:rPr>
      </w:pPr>
      <w:r w:rsidRPr="003A2FB9">
        <w:rPr>
          <w:lang w:val="ru-RU"/>
        </w:rPr>
        <w:tab/>
        <w:t>θ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 xml:space="preserve">угол места (градусы), 0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71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> 90°</w:t>
      </w:r>
      <w:r w:rsidR="00821C5A" w:rsidRPr="003A2FB9">
        <w:rPr>
          <w:lang w:val="ru-RU"/>
        </w:rPr>
        <w:t>;</w:t>
      </w:r>
    </w:p>
    <w:p w:rsidR="00CA7242" w:rsidRPr="003A2FB9" w:rsidRDefault="00CA7242" w:rsidP="00581981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h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 xml:space="preserve">высота передающей антенны над средним уровнем моря (amsl) (км), </w:t>
      </w:r>
      <w:r w:rsidRPr="003A2FB9">
        <w:rPr>
          <w:i/>
          <w:iCs/>
          <w:lang w:val="ru-RU"/>
        </w:rPr>
        <w:t>h</w:t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3 км.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Считалось, что высота передающей антенны для каждой станции LMDS равна 0,</w:t>
      </w:r>
      <w:r w:rsidR="00EA6D13" w:rsidRPr="003A2FB9">
        <w:rPr>
          <w:lang w:val="ru-RU"/>
        </w:rPr>
        <w:t>50 км над средним уровнем моря.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 xml:space="preserve">Спутники СРД используют управляемые приемные антенны с высоким усилением для слежения за спутниками пользователя на низких орбитах. Для пространственного анализа независимыми переменными являются орбитальные позиции геостационарных СРД (подразумевается, что наклонение орбиты равно нулю) и продольные и поперечные углы управляемых антенн. Продольные и поперечные углы определяются в сферической системе координат с центром в СРД. Ось </w:t>
      </w:r>
      <w:r w:rsidRPr="003A2FB9">
        <w:rPr>
          <w:i/>
          <w:iCs/>
          <w:lang w:val="ru-RU"/>
        </w:rPr>
        <w:t>x</w:t>
      </w:r>
      <w:r w:rsidRPr="003A2FB9">
        <w:rPr>
          <w:lang w:val="ru-RU"/>
        </w:rPr>
        <w:t xml:space="preserve"> направлена к центру Земли, ось </w:t>
      </w:r>
      <w:r w:rsidRPr="003A2FB9">
        <w:rPr>
          <w:i/>
          <w:iCs/>
          <w:lang w:val="ru-RU"/>
        </w:rPr>
        <w:t>y</w:t>
      </w:r>
      <w:r w:rsidRPr="003A2FB9">
        <w:rPr>
          <w:lang w:val="ru-RU"/>
        </w:rPr>
        <w:t xml:space="preserve"> указывает в направлении вектора скорости спутника, а ось </w:t>
      </w:r>
      <w:r w:rsidRPr="003A2FB9">
        <w:rPr>
          <w:i/>
          <w:iCs/>
          <w:lang w:val="ru-RU"/>
        </w:rPr>
        <w:t>z</w:t>
      </w:r>
      <w:r w:rsidRPr="003A2FB9">
        <w:rPr>
          <w:lang w:val="ru-RU"/>
        </w:rPr>
        <w:t xml:space="preserve"> параллельна оси вращения Земли. При определении локальной системы координат вращение вокруг оси </w:t>
      </w:r>
      <w:r w:rsidRPr="003A2FB9">
        <w:rPr>
          <w:i/>
          <w:iCs/>
          <w:lang w:val="ru-RU"/>
        </w:rPr>
        <w:t>x</w:t>
      </w:r>
      <w:r w:rsidRPr="003A2FB9">
        <w:rPr>
          <w:lang w:val="ru-RU"/>
        </w:rPr>
        <w:t xml:space="preserve"> называется рысканьем, вращение вокруг оси </w:t>
      </w:r>
      <w:r w:rsidRPr="003A2FB9">
        <w:rPr>
          <w:i/>
          <w:iCs/>
          <w:lang w:val="ru-RU"/>
        </w:rPr>
        <w:t>y</w:t>
      </w:r>
      <w:r w:rsidRPr="003A2FB9">
        <w:rPr>
          <w:lang w:val="ru-RU"/>
        </w:rPr>
        <w:t xml:space="preserve"> называется креном, а вращение вокруг оси </w:t>
      </w:r>
      <w:r w:rsidRPr="003A2FB9">
        <w:rPr>
          <w:i/>
          <w:iCs/>
          <w:lang w:val="ru-RU"/>
        </w:rPr>
        <w:t>z</w:t>
      </w:r>
      <w:r w:rsidRPr="003A2FB9">
        <w:rPr>
          <w:lang w:val="ru-RU"/>
        </w:rPr>
        <w:t xml:space="preserve"> называется тан</w:t>
      </w:r>
      <w:r w:rsidR="00F60A6E" w:rsidRPr="003A2FB9">
        <w:rPr>
          <w:lang w:val="ru-RU"/>
        </w:rPr>
        <w:t>г</w:t>
      </w:r>
      <w:r w:rsidRPr="003A2FB9">
        <w:rPr>
          <w:lang w:val="ru-RU"/>
        </w:rPr>
        <w:t>ажом.</w:t>
      </w:r>
    </w:p>
    <w:p w:rsidR="00CA7242" w:rsidRPr="003A2FB9" w:rsidRDefault="00CA7242" w:rsidP="00CB1817">
      <w:pPr>
        <w:rPr>
          <w:lang w:val="ru-RU"/>
        </w:rPr>
      </w:pPr>
      <w:r w:rsidRPr="003A2FB9">
        <w:rPr>
          <w:lang w:val="ru-RU"/>
        </w:rPr>
        <w:t>Пространственное распределение помеховых условий определяется продольным и поперечным сканированием приемной антенны СРД с приращением 0,2°. В каждой точке наведения антенны СРД совокупные помехи от излучений каждой станции LMDS в пределах видимости СРД рассчитываются с учетом угла места в направлении на СРД, спектральной плот</w:t>
      </w:r>
      <w:r w:rsidR="00CB1817" w:rsidRPr="003A2FB9">
        <w:rPr>
          <w:lang w:val="ru-RU"/>
        </w:rPr>
        <w:t>ности э.и.и.м. излучений LMDS в </w:t>
      </w:r>
      <w:r w:rsidRPr="003A2FB9">
        <w:rPr>
          <w:lang w:val="ru-RU"/>
        </w:rPr>
        <w:t>направлении СРД, поглощения в атмосфере, расстояния и усиления приемной антенны СРД в направлении на станцию LMDS. Считается, что усиление приемной антенны в направлении на осевое излучение СРД равно 58 дБи при диаграмме направленности, соответствующей эталонной диаграмме направленности, указанной в Рекомендации МСЭ-R S.672 для антенны с круговой симметрией и равно –20 дБ на уровне первого бокового лепестка.</w:t>
      </w:r>
    </w:p>
    <w:p w:rsidR="00CA7242" w:rsidRPr="003A2FB9" w:rsidRDefault="00CA7242" w:rsidP="00EA4ABB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lang w:val="ru-RU"/>
        </w:rPr>
      </w:pPr>
      <w:r w:rsidRPr="003A2FB9">
        <w:rPr>
          <w:lang w:val="ru-RU"/>
        </w:rPr>
        <w:lastRenderedPageBreak/>
        <w:tab/>
      </w:r>
      <w:r w:rsidR="00054298" w:rsidRPr="003A2FB9">
        <w:rPr>
          <w:position w:val="-32"/>
          <w:lang w:val="ru-RU"/>
        </w:rPr>
        <w:object w:dxaOrig="2079" w:dyaOrig="820">
          <v:shape id="_x0000_i1039" type="#_x0000_t75" style="width:103.3pt;height:40.7pt" o:ole="">
            <v:imagedata r:id="rId42" o:title=""/>
          </v:shape>
          <o:OLEObject Type="Embed" ProgID="Equation.3" ShapeID="_x0000_i1039" DrawAspect="Content" ObjectID="_1543751361" r:id="rId43"/>
        </w:object>
      </w:r>
      <w:r w:rsidRPr="003A2FB9">
        <w:rPr>
          <w:lang w:val="ru-RU"/>
        </w:rPr>
        <w:tab/>
        <w:t>для</w:t>
      </w:r>
      <w:r w:rsidRPr="003A2FB9">
        <w:rPr>
          <w:lang w:val="ru-RU"/>
        </w:rPr>
        <w:tab/>
        <w:t>0 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6A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1,29 </w:t>
      </w:r>
      <w:r w:rsidRPr="003A2FB9">
        <w:rPr>
          <w:lang w:val="ru-RU"/>
        </w:rPr>
        <w:sym w:font="Symbol" w:char="F06A"/>
      </w:r>
      <w:r w:rsidRPr="003A2FB9">
        <w:rPr>
          <w:vertAlign w:val="subscript"/>
          <w:lang w:val="ru-RU"/>
        </w:rPr>
        <w:t xml:space="preserve">3 </w: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(9a)</w:t>
      </w:r>
    </w:p>
    <w:p w:rsidR="00CA7242" w:rsidRPr="003A2FB9" w:rsidRDefault="00CA7242" w:rsidP="00EA4ABB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lang w:val="ru-RU"/>
        </w:rPr>
      </w:pPr>
      <w:r w:rsidRPr="003A2FB9">
        <w:rPr>
          <w:lang w:val="ru-RU"/>
        </w:rPr>
        <w:tab/>
      </w:r>
      <w:r w:rsidR="00054298" w:rsidRPr="003A2FB9">
        <w:rPr>
          <w:position w:val="-12"/>
          <w:lang w:val="ru-RU"/>
        </w:rPr>
        <w:object w:dxaOrig="1520" w:dyaOrig="360">
          <v:shape id="_x0000_i1040" type="#_x0000_t75" style="width:75.15pt;height:18.15pt" o:ole="">
            <v:imagedata r:id="rId44" o:title=""/>
          </v:shape>
          <o:OLEObject Type="Embed" ProgID="Equation.3" ShapeID="_x0000_i1040" DrawAspect="Content" ObjectID="_1543751362" r:id="rId45"/>
        </w:object>
      </w:r>
      <w:r w:rsidRPr="003A2FB9">
        <w:rPr>
          <w:lang w:val="ru-RU"/>
        </w:rPr>
        <w:tab/>
        <w:t>для</w:t>
      </w:r>
      <w:r w:rsidRPr="003A2FB9">
        <w:rPr>
          <w:lang w:val="ru-RU"/>
        </w:rPr>
        <w:tab/>
        <w:t>1,29 </w:t>
      </w:r>
      <w:r w:rsidRPr="003A2FB9">
        <w:rPr>
          <w:lang w:val="ru-RU"/>
        </w:rPr>
        <w:sym w:font="Symbol" w:char="F06A"/>
      </w:r>
      <w:r w:rsidRPr="003A2FB9">
        <w:rPr>
          <w:vertAlign w:val="subscript"/>
          <w:lang w:val="ru-RU"/>
        </w:rPr>
        <w:t>3</w:t>
      </w:r>
      <w:r w:rsidRPr="003A2FB9">
        <w:rPr>
          <w:lang w:val="ru-RU"/>
        </w:rPr>
        <w:t xml:space="preserve"> &lt; </w:t>
      </w:r>
      <w:r w:rsidRPr="003A2FB9">
        <w:rPr>
          <w:lang w:val="ru-RU"/>
        </w:rPr>
        <w:sym w:font="Symbol" w:char="F06A"/>
      </w:r>
      <w:r w:rsidRPr="003A2FB9">
        <w:rPr>
          <w:lang w:val="ru-RU"/>
        </w:rPr>
        <w:t xml:space="preserve"> </w:t>
      </w:r>
      <w:r w:rsidRPr="003A2FB9">
        <w:rPr>
          <w:lang w:val="ru-RU"/>
        </w:rPr>
        <w:sym w:font="Symbol" w:char="F0A3"/>
      </w:r>
      <w:r w:rsidRPr="003A2FB9">
        <w:rPr>
          <w:lang w:val="ru-RU"/>
        </w:rPr>
        <w:t xml:space="preserve"> 3,16 </w:t>
      </w:r>
      <w:r w:rsidRPr="003A2FB9">
        <w:rPr>
          <w:lang w:val="ru-RU"/>
        </w:rPr>
        <w:sym w:font="Symbol" w:char="F06A"/>
      </w:r>
      <w:r w:rsidRPr="003A2FB9">
        <w:rPr>
          <w:vertAlign w:val="subscript"/>
          <w:lang w:val="ru-RU"/>
        </w:rPr>
        <w:t xml:space="preserve">3 </w:t>
      </w:r>
      <w:r w:rsidRPr="003A2FB9">
        <w:rPr>
          <w:lang w:val="ru-RU"/>
        </w:rPr>
        <w:t>,</w:t>
      </w:r>
      <w:r w:rsidRPr="003A2FB9">
        <w:rPr>
          <w:lang w:val="ru-RU"/>
        </w:rPr>
        <w:tab/>
        <w:t>(9b)</w:t>
      </w:r>
    </w:p>
    <w:p w:rsidR="00CA7242" w:rsidRPr="003A2FB9" w:rsidRDefault="00CA7242" w:rsidP="00EA4ABB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szCs w:val="22"/>
          <w:lang w:val="ru-RU"/>
        </w:rPr>
      </w:pPr>
      <w:r w:rsidRPr="003A2FB9">
        <w:rPr>
          <w:szCs w:val="22"/>
          <w:lang w:val="ru-RU"/>
        </w:rPr>
        <w:tab/>
      </w:r>
      <w:r w:rsidR="00054298" w:rsidRPr="003A2FB9">
        <w:rPr>
          <w:position w:val="-32"/>
          <w:szCs w:val="22"/>
          <w:lang w:val="ru-RU"/>
        </w:rPr>
        <w:object w:dxaOrig="3240" w:dyaOrig="760">
          <v:shape id="_x0000_i1041" type="#_x0000_t75" style="width:160.9pt;height:38.2pt" o:ole="">
            <v:imagedata r:id="rId46" o:title=""/>
          </v:shape>
          <o:OLEObject Type="Embed" ProgID="Equation.3" ShapeID="_x0000_i1041" DrawAspect="Content" ObjectID="_1543751363" r:id="rId47"/>
        </w:object>
      </w:r>
      <w:r w:rsidR="00EA4ABB" w:rsidRPr="003A2FB9">
        <w:rPr>
          <w:szCs w:val="22"/>
          <w:lang w:val="ru-RU"/>
        </w:rPr>
        <w:tab/>
      </w:r>
      <w:r w:rsidRPr="003A2FB9">
        <w:rPr>
          <w:szCs w:val="22"/>
          <w:lang w:val="ru-RU"/>
        </w:rPr>
        <w:t>для</w:t>
      </w:r>
      <w:r w:rsidRPr="003A2FB9">
        <w:rPr>
          <w:szCs w:val="22"/>
          <w:lang w:val="ru-RU"/>
        </w:rPr>
        <w:tab/>
        <w:t xml:space="preserve">3,16 </w:t>
      </w:r>
      <w:r w:rsidRPr="003A2FB9">
        <w:rPr>
          <w:szCs w:val="22"/>
          <w:lang w:val="ru-RU"/>
        </w:rPr>
        <w:sym w:font="Symbol" w:char="F06A"/>
      </w:r>
      <w:r w:rsidRPr="003A2FB9">
        <w:rPr>
          <w:szCs w:val="22"/>
          <w:vertAlign w:val="subscript"/>
          <w:lang w:val="ru-RU"/>
        </w:rPr>
        <w:t>3</w:t>
      </w:r>
      <w:r w:rsidRPr="003A2FB9">
        <w:rPr>
          <w:szCs w:val="22"/>
          <w:lang w:val="ru-RU"/>
        </w:rPr>
        <w:t xml:space="preserve"> &lt; </w:t>
      </w:r>
      <w:r w:rsidRPr="003A2FB9">
        <w:rPr>
          <w:szCs w:val="22"/>
          <w:lang w:val="ru-RU"/>
        </w:rPr>
        <w:sym w:font="Symbol" w:char="F06A"/>
      </w:r>
      <w:r w:rsidRPr="003A2FB9">
        <w:rPr>
          <w:szCs w:val="22"/>
          <w:lang w:val="ru-RU"/>
        </w:rPr>
        <w:t xml:space="preserve"> и </w:t>
      </w:r>
      <w:r w:rsidRPr="003A2FB9">
        <w:rPr>
          <w:i/>
          <w:iCs/>
          <w:szCs w:val="22"/>
          <w:lang w:val="ru-RU"/>
        </w:rPr>
        <w:t>G</w:t>
      </w:r>
      <w:r w:rsidRPr="003A2FB9">
        <w:rPr>
          <w:szCs w:val="22"/>
          <w:lang w:val="ru-RU"/>
        </w:rPr>
        <w:t>(</w:t>
      </w:r>
      <w:r w:rsidRPr="003A2FB9">
        <w:rPr>
          <w:szCs w:val="22"/>
          <w:lang w:val="ru-RU"/>
        </w:rPr>
        <w:sym w:font="Symbol" w:char="F06A"/>
      </w:r>
      <w:r w:rsidRPr="003A2FB9">
        <w:rPr>
          <w:szCs w:val="22"/>
          <w:lang w:val="ru-RU"/>
        </w:rPr>
        <w:t>) </w:t>
      </w:r>
      <w:r w:rsidRPr="003A2FB9">
        <w:rPr>
          <w:szCs w:val="22"/>
          <w:lang w:val="ru-RU"/>
        </w:rPr>
        <w:sym w:font="Symbol" w:char="F0B3"/>
      </w:r>
      <w:r w:rsidRPr="003A2FB9">
        <w:rPr>
          <w:szCs w:val="22"/>
          <w:lang w:val="ru-RU"/>
        </w:rPr>
        <w:t> 0,</w:t>
      </w:r>
      <w:r w:rsidRPr="003A2FB9">
        <w:rPr>
          <w:szCs w:val="22"/>
          <w:lang w:val="ru-RU"/>
        </w:rPr>
        <w:tab/>
        <w:t>(9c)</w:t>
      </w:r>
    </w:p>
    <w:p w:rsidR="00170206" w:rsidRPr="003A2FB9" w:rsidRDefault="00CA7242" w:rsidP="004C02B2">
      <w:pPr>
        <w:pStyle w:val="Equation"/>
        <w:tabs>
          <w:tab w:val="clear" w:pos="794"/>
          <w:tab w:val="clear" w:pos="4820"/>
          <w:tab w:val="left" w:pos="1418"/>
          <w:tab w:val="left" w:pos="5387"/>
          <w:tab w:val="left" w:pos="6407"/>
        </w:tabs>
        <w:ind w:left="9639" w:hanging="9639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lang w:val="ru-RU"/>
        </w:rPr>
        <w:t>(</w:t>
      </w:r>
      <w:r w:rsidRPr="003A2FB9">
        <w:rPr>
          <w:lang w:val="ru-RU"/>
        </w:rPr>
        <w:sym w:font="Symbol" w:char="F06A"/>
      </w:r>
      <w:r w:rsidRPr="003A2FB9">
        <w:rPr>
          <w:lang w:val="ru-RU"/>
        </w:rPr>
        <w:t>) = 0</w:t>
      </w:r>
      <w:r w:rsidRPr="003A2FB9">
        <w:rPr>
          <w:lang w:val="ru-RU"/>
        </w:rPr>
        <w:tab/>
        <w:t>в других обстоятельствах,</w:t>
      </w:r>
      <w:r w:rsidRPr="003A2FB9">
        <w:rPr>
          <w:lang w:val="ru-RU"/>
        </w:rPr>
        <w:tab/>
        <w:t>(9d)</w:t>
      </w:r>
    </w:p>
    <w:p w:rsidR="00CA7242" w:rsidRPr="003A2FB9" w:rsidRDefault="00CA7242" w:rsidP="00170206">
      <w:pPr>
        <w:tabs>
          <w:tab w:val="clear" w:pos="794"/>
          <w:tab w:val="left" w:pos="1418"/>
          <w:tab w:val="left" w:pos="4962"/>
          <w:tab w:val="left" w:pos="5387"/>
          <w:tab w:val="left" w:pos="6390"/>
        </w:tabs>
        <w:ind w:left="1418" w:hanging="1418"/>
        <w:rPr>
          <w:szCs w:val="22"/>
          <w:lang w:val="ru-RU"/>
        </w:rPr>
      </w:pPr>
      <w:r w:rsidRPr="003A2FB9">
        <w:rPr>
          <w:szCs w:val="22"/>
          <w:lang w:val="ru-RU"/>
        </w:rPr>
        <w:t>где</w:t>
      </w:r>
      <w:r w:rsidR="009E2392" w:rsidRPr="003A2FB9">
        <w:rPr>
          <w:szCs w:val="22"/>
          <w:lang w:val="ru-RU"/>
        </w:rPr>
        <w:t>:</w:t>
      </w:r>
    </w:p>
    <w:p w:rsidR="00CA7242" w:rsidRPr="003A2FB9" w:rsidRDefault="00CA7242" w:rsidP="00054298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vertAlign w:val="subscript"/>
          <w:lang w:val="ru-RU"/>
        </w:rPr>
        <w:t>0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максимальное осевое усиление (дБи)</w:t>
      </w:r>
      <w:r w:rsidR="00054298" w:rsidRPr="003A2FB9">
        <w:rPr>
          <w:lang w:val="ru-RU"/>
        </w:rPr>
        <w:t>;</w:t>
      </w:r>
    </w:p>
    <w:p w:rsidR="00CA7242" w:rsidRPr="003A2FB9" w:rsidRDefault="00CA7242" w:rsidP="00054298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i/>
          <w:iCs/>
          <w:lang w:val="ru-RU"/>
        </w:rPr>
        <w:t>G</w:t>
      </w:r>
      <w:r w:rsidRPr="003A2FB9">
        <w:rPr>
          <w:lang w:val="ru-RU"/>
        </w:rPr>
        <w:t>(</w:t>
      </w:r>
      <w:r w:rsidRPr="003A2FB9">
        <w:rPr>
          <w:lang w:val="ru-RU"/>
        </w:rPr>
        <w:sym w:font="Symbol" w:char="F06A"/>
      </w:r>
      <w:r w:rsidRPr="003A2FB9">
        <w:rPr>
          <w:lang w:val="ru-RU"/>
        </w:rPr>
        <w:t>)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внеосевое усиление (дБи)</w:t>
      </w:r>
      <w:r w:rsidR="00054298" w:rsidRPr="003A2FB9">
        <w:rPr>
          <w:lang w:val="ru-RU"/>
        </w:rPr>
        <w:t>;</w:t>
      </w:r>
    </w:p>
    <w:p w:rsidR="00CA7242" w:rsidRPr="003A2FB9" w:rsidRDefault="00CA7242" w:rsidP="00054298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A"/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внеосевой угол (градусы)</w:t>
      </w:r>
      <w:r w:rsidR="00054298" w:rsidRPr="003A2FB9">
        <w:rPr>
          <w:lang w:val="ru-RU"/>
        </w:rPr>
        <w:t>;</w:t>
      </w:r>
    </w:p>
    <w:p w:rsidR="00CA7242" w:rsidRPr="003A2FB9" w:rsidRDefault="00CA7242" w:rsidP="009E2392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6A"/>
      </w:r>
      <w:r w:rsidRPr="003A2FB9">
        <w:rPr>
          <w:vertAlign w:val="subscript"/>
          <w:lang w:val="ru-RU"/>
        </w:rPr>
        <w:t>3</w:t>
      </w:r>
      <w:r w:rsidRPr="003A2FB9">
        <w:rPr>
          <w:rFonts w:ascii="Tms Rmn" w:hAnsi="Tms Rmn"/>
          <w:lang w:val="ru-RU"/>
        </w:rPr>
        <w:t> </w:t>
      </w:r>
      <w:r w:rsidRPr="003A2FB9">
        <w:rPr>
          <w:lang w:val="ru-RU"/>
        </w:rPr>
        <w:t>:</w:t>
      </w:r>
      <w:r w:rsidRPr="003A2FB9">
        <w:rPr>
          <w:lang w:val="ru-RU"/>
        </w:rPr>
        <w:tab/>
        <w:t>3 дБ ширина диаграммы (градусы)</w:t>
      </w:r>
      <w:r w:rsidR="00054298" w:rsidRPr="003A2FB9">
        <w:rPr>
          <w:lang w:val="ru-RU"/>
        </w:rPr>
        <w:t>;</w:t>
      </w:r>
    </w:p>
    <w:p w:rsidR="00CA7242" w:rsidRPr="003A2FB9" w:rsidRDefault="00CA7242" w:rsidP="00F22BF4">
      <w:pPr>
        <w:pStyle w:val="Equation"/>
        <w:rPr>
          <w:i/>
          <w:iCs/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054298" w:rsidRPr="003A2FB9">
        <w:rPr>
          <w:position w:val="-12"/>
          <w:lang w:val="ru-RU"/>
        </w:rPr>
        <w:object w:dxaOrig="2299" w:dyaOrig="440">
          <v:shape id="_x0000_i1042" type="#_x0000_t75" style="width:115.2pt;height:22.55pt" o:ole="">
            <v:imagedata r:id="rId48" o:title=""/>
          </v:shape>
          <o:OLEObject Type="Embed" ProgID="Equation.3" ShapeID="_x0000_i1042" DrawAspect="Content" ObjectID="_1543751364" r:id="rId49"/>
        </w:object>
      </w:r>
      <w:r w:rsidRPr="003A2FB9">
        <w:rPr>
          <w:lang w:val="ru-RU"/>
        </w:rPr>
        <w:t>.</w:t>
      </w:r>
      <w:r w:rsidRPr="003A2FB9">
        <w:rPr>
          <w:lang w:val="ru-RU"/>
        </w:rPr>
        <w:tab/>
        <w:t>(9</w:t>
      </w:r>
      <w:r w:rsidR="00F22BF4" w:rsidRPr="003A2FB9">
        <w:rPr>
          <w:lang w:val="ru-RU"/>
        </w:rPr>
        <w:t>е</w:t>
      </w:r>
      <w:r w:rsidRPr="003A2FB9">
        <w:rPr>
          <w:lang w:val="ru-RU"/>
        </w:rPr>
        <w:t>)</w:t>
      </w:r>
    </w:p>
    <w:p w:rsidR="00CA7242" w:rsidRPr="003A2FB9" w:rsidRDefault="00CA7242" w:rsidP="000235FC">
      <w:pPr>
        <w:pStyle w:val="Heading2"/>
        <w:rPr>
          <w:lang w:val="ru-RU"/>
        </w:rPr>
      </w:pPr>
      <w:r w:rsidRPr="003A2FB9">
        <w:rPr>
          <w:lang w:val="ru-RU"/>
        </w:rPr>
        <w:t>2.2</w:t>
      </w:r>
      <w:r w:rsidRPr="003A2FB9">
        <w:rPr>
          <w:lang w:val="ru-RU"/>
        </w:rPr>
        <w:tab/>
        <w:t>Временное распределение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Временные характеристики помех приемной системе СРД также определяются компьютерным моделированием, но в данном случае используется динамическое моделирование. Технические и эксплуатационные характеристики станций-концентраторов LMDS и их предполагаемое развертывание совпадают с описанными в п. 2.1. Считается, что спутник СРД с характеристиками приемной системы, описанными в п. 2.1, расположен в предписанной геостационарной орбитальной позиции и должен следить за спутником на низкой орбите, который передает сигналы на СРД. Низкой спутниковой орбитой является орбита на высоте 400 км,</w:t>
      </w:r>
      <w:r w:rsidR="00700A0A" w:rsidRPr="003A2FB9">
        <w:rPr>
          <w:lang w:val="ru-RU"/>
        </w:rPr>
        <w:t xml:space="preserve"> </w:t>
      </w:r>
      <w:r w:rsidRPr="003A2FB9">
        <w:rPr>
          <w:lang w:val="ru-RU"/>
        </w:rPr>
        <w:t>отклоненная на 51,6° от плоскости экватора – характеристики орбиты типичны для международной космической станции. В п. 4 также будет рассмотрена орбита спутника наблюдения за поверхностью Земли (</w:t>
      </w:r>
      <w:r w:rsidR="00C25ED5" w:rsidRPr="003A2FB9">
        <w:rPr>
          <w:lang w:val="ru-RU"/>
        </w:rPr>
        <w:t>E</w:t>
      </w:r>
      <w:r w:rsidRPr="003A2FB9">
        <w:rPr>
          <w:lang w:val="ru-RU"/>
        </w:rPr>
        <w:t>OS) с высотой 800 км и углом наклона 98,6°. Предполагается, что приемная антенна СРД отслеживает без ошибок движение низкоорбитального спутника по его орбите с шагом в 1 с. В каждой точке орбиты определяются помехи приемной системе СРД от совокупного излучения всех станций-концентраторов LMDS в пределах поля зрения для каждого орбитального периода на протяжении 10 дней. Орбитальный период определяется как время работы между последовательным пересечением плоскости экватора в направлении с юга на север.</w:t>
      </w:r>
    </w:p>
    <w:p w:rsidR="00CA7242" w:rsidRPr="003A2FB9" w:rsidRDefault="00CA7242" w:rsidP="00670095">
      <w:pPr>
        <w:pStyle w:val="Heading1"/>
        <w:rPr>
          <w:szCs w:val="22"/>
          <w:lang w:val="ru-RU"/>
        </w:rPr>
      </w:pPr>
      <w:r w:rsidRPr="003A2FB9">
        <w:rPr>
          <w:szCs w:val="22"/>
          <w:lang w:val="ru-RU"/>
        </w:rPr>
        <w:t>3</w:t>
      </w:r>
      <w:r w:rsidRPr="003A2FB9">
        <w:rPr>
          <w:szCs w:val="22"/>
          <w:lang w:val="ru-RU"/>
        </w:rPr>
        <w:tab/>
        <w:t>Результаты Исследования A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 xml:space="preserve">На </w:t>
      </w:r>
      <w:r w:rsidR="0064419B" w:rsidRPr="003A2FB9">
        <w:rPr>
          <w:lang w:val="ru-RU"/>
        </w:rPr>
        <w:t xml:space="preserve">рисунке </w:t>
      </w:r>
      <w:r w:rsidRPr="003A2FB9">
        <w:rPr>
          <w:lang w:val="ru-RU"/>
        </w:rPr>
        <w:t>1 показано всемирное распределение 431 областей развертывания. Результаты пространственного распределения были получены для двух наборов орбитальных позиций СРД и приведены в п. 3.1. Временные характеристики помех приведены в п. 3.2.</w:t>
      </w:r>
    </w:p>
    <w:p w:rsidR="008F298F" w:rsidRPr="003A2FB9" w:rsidRDefault="008F298F" w:rsidP="000235FC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</w:t>
      </w:r>
    </w:p>
    <w:p w:rsidR="008F298F" w:rsidRPr="003A2FB9" w:rsidRDefault="008F298F" w:rsidP="000235FC">
      <w:pPr>
        <w:pStyle w:val="Figuretitle"/>
        <w:rPr>
          <w:lang w:val="ru-RU"/>
        </w:rPr>
      </w:pPr>
      <w:r w:rsidRPr="003A2FB9">
        <w:rPr>
          <w:lang w:val="ru-RU"/>
        </w:rPr>
        <w:t>Предполагаемые местоположения систем LMDS</w:t>
      </w:r>
    </w:p>
    <w:p w:rsidR="00CA7242" w:rsidRPr="003A2FB9" w:rsidRDefault="00EB5568" w:rsidP="000235FC">
      <w:pPr>
        <w:pStyle w:val="Figure"/>
        <w:rPr>
          <w:lang w:val="ru-RU"/>
        </w:rPr>
      </w:pPr>
      <w:r w:rsidRPr="003A2FB9">
        <w:rPr>
          <w:lang w:val="ru-RU" w:eastAsia="zh-CN"/>
        </w:rPr>
        <w:object w:dxaOrig="8346" w:dyaOrig="7479">
          <v:shape id="_x0000_i1043" type="#_x0000_t75" style="width:305.55pt;height:272.35pt" o:ole="">
            <v:imagedata r:id="rId50" o:title=""/>
          </v:shape>
          <o:OLEObject Type="Embed" ProgID="CorelDRAW.Graphic.14" ShapeID="_x0000_i1043" DrawAspect="Content" ObjectID="_1543751365" r:id="rId51"/>
        </w:object>
      </w:r>
    </w:p>
    <w:p w:rsidR="00CA7242" w:rsidRPr="003A2FB9" w:rsidRDefault="00CA7242" w:rsidP="000235FC">
      <w:pPr>
        <w:pStyle w:val="Heading2"/>
        <w:rPr>
          <w:lang w:val="ru-RU"/>
        </w:rPr>
      </w:pPr>
      <w:r w:rsidRPr="003A2FB9">
        <w:rPr>
          <w:lang w:val="ru-RU"/>
        </w:rPr>
        <w:t>3.1</w:t>
      </w:r>
      <w:r w:rsidRPr="003A2FB9">
        <w:rPr>
          <w:lang w:val="ru-RU"/>
        </w:rPr>
        <w:tab/>
        <w:t>Пространственное распределение</w:t>
      </w:r>
    </w:p>
    <w:p w:rsidR="00CA7242" w:rsidRPr="003A2FB9" w:rsidRDefault="00CA7242" w:rsidP="003F2FD7">
      <w:pPr>
        <w:rPr>
          <w:lang w:val="ru-RU"/>
        </w:rPr>
      </w:pPr>
      <w:r w:rsidRPr="003A2FB9">
        <w:rPr>
          <w:lang w:val="ru-RU"/>
        </w:rPr>
        <w:t>Было определено два множества. Первое множество содержит орбитальные позиции спутников СРД для работы под управлением Соединенных Штатов Америки. Пространственное распределение помех работе СРД, расположенным на этих орбитальных позициях, определено с приращением в 0,2° на осях x и y. Второе множество содержит все орбитальные позиции СРД,</w:t>
      </w:r>
      <w:r w:rsidR="003F2FD7" w:rsidRPr="003A2FB9">
        <w:rPr>
          <w:lang w:val="ru-RU"/>
        </w:rPr>
        <w:t xml:space="preserve"> указанные в Рекомендации МСЭ</w:t>
      </w:r>
      <w:r w:rsidR="003F2FD7" w:rsidRPr="003A2FB9">
        <w:rPr>
          <w:lang w:val="ru-RU"/>
        </w:rPr>
        <w:noBreakHyphen/>
        <w:t>R </w:t>
      </w:r>
      <w:r w:rsidRPr="003A2FB9">
        <w:rPr>
          <w:lang w:val="ru-RU"/>
        </w:rPr>
        <w:t xml:space="preserve">SA.1276 как орбитальные позиции, которые должны защищаться от излучений систем ФС. </w:t>
      </w:r>
    </w:p>
    <w:p w:rsidR="00CA7242" w:rsidRPr="003A2FB9" w:rsidRDefault="00CA7242" w:rsidP="000235FC">
      <w:pPr>
        <w:pStyle w:val="Heading3"/>
        <w:rPr>
          <w:lang w:val="ru-RU"/>
        </w:rPr>
      </w:pPr>
      <w:r w:rsidRPr="003A2FB9">
        <w:rPr>
          <w:lang w:val="ru-RU"/>
        </w:rPr>
        <w:t>3.1.1</w:t>
      </w:r>
      <w:r w:rsidRPr="003A2FB9">
        <w:rPr>
          <w:lang w:val="ru-RU"/>
        </w:rPr>
        <w:tab/>
        <w:t>Орбитальные позиции СРД на долготе 41° з.</w:t>
      </w:r>
      <w:r w:rsidR="00F60A6E" w:rsidRPr="003A2FB9">
        <w:rPr>
          <w:lang w:val="ru-RU"/>
        </w:rPr>
        <w:t> </w:t>
      </w:r>
      <w:r w:rsidRPr="003A2FB9">
        <w:rPr>
          <w:lang w:val="ru-RU"/>
        </w:rPr>
        <w:t>д., 174° з.</w:t>
      </w:r>
      <w:r w:rsidR="00F60A6E" w:rsidRPr="003A2FB9">
        <w:rPr>
          <w:lang w:val="ru-RU"/>
        </w:rPr>
        <w:t> </w:t>
      </w:r>
      <w:r w:rsidRPr="003A2FB9">
        <w:rPr>
          <w:lang w:val="ru-RU"/>
        </w:rPr>
        <w:t>д. и 85° в.</w:t>
      </w:r>
      <w:r w:rsidR="00F60A6E" w:rsidRPr="003A2FB9">
        <w:rPr>
          <w:lang w:val="ru-RU"/>
        </w:rPr>
        <w:t> </w:t>
      </w:r>
      <w:r w:rsidRPr="003A2FB9">
        <w:rPr>
          <w:lang w:val="ru-RU"/>
        </w:rPr>
        <w:t>д.</w:t>
      </w:r>
    </w:p>
    <w:p w:rsidR="00CA7242" w:rsidRPr="003A2FB9" w:rsidRDefault="00CA7242" w:rsidP="000235FC">
      <w:pPr>
        <w:rPr>
          <w:lang w:val="ru-RU"/>
        </w:rPr>
      </w:pPr>
      <w:r w:rsidRPr="003A2FB9">
        <w:rPr>
          <w:lang w:val="ru-RU"/>
        </w:rPr>
        <w:t xml:space="preserve">На </w:t>
      </w:r>
      <w:r w:rsidR="0045139D" w:rsidRPr="003A2FB9">
        <w:rPr>
          <w:lang w:val="ru-RU"/>
        </w:rPr>
        <w:t xml:space="preserve">рисунке </w:t>
      </w:r>
      <w:r w:rsidRPr="003A2FB9">
        <w:rPr>
          <w:lang w:val="ru-RU"/>
        </w:rPr>
        <w:t>2 приведен контурный план пространственного распределения помех спутнику СРД на геостационарной орбите в точке 41° з.</w:t>
      </w:r>
      <w:r w:rsidR="0045139D" w:rsidRPr="003A2FB9">
        <w:rPr>
          <w:lang w:val="ru-RU"/>
        </w:rPr>
        <w:t> </w:t>
      </w:r>
      <w:r w:rsidRPr="003A2FB9">
        <w:rPr>
          <w:lang w:val="ru-RU"/>
        </w:rPr>
        <w:t xml:space="preserve">д. План основан на спектральной плотности э.и.и.м., равной +8 дБ(Вт/МГц) в локальной горизонтальной плоскости от каждой станции-концентратора LMDS в зоне видимости спутника СРД. Увеличение в спектральной плотности э.и.и.м. всех станций-концентраторов на 1 дБ приведет к увеличению помех СРД на 1 дБ. Максимальный уровень помех </w:t>
      </w:r>
      <w:r w:rsidR="000235FC" w:rsidRPr="003A2FB9">
        <w:rPr>
          <w:lang w:val="ru-RU"/>
        </w:rPr>
        <w:t>−</w:t>
      </w:r>
      <w:r w:rsidRPr="003A2FB9">
        <w:rPr>
          <w:lang w:val="ru-RU"/>
        </w:rPr>
        <w:t xml:space="preserve">139 дБ(Вт/МГц) наблюдается при угле наведения антенны СРД 5° по оси </w:t>
      </w:r>
      <w:r w:rsidRPr="003A2FB9">
        <w:rPr>
          <w:i/>
          <w:iCs/>
          <w:lang w:val="ru-RU"/>
        </w:rPr>
        <w:t>x</w:t>
      </w:r>
      <w:r w:rsidRPr="003A2FB9">
        <w:rPr>
          <w:lang w:val="ru-RU"/>
        </w:rPr>
        <w:t xml:space="preserve"> и –7,2° по оси </w:t>
      </w:r>
      <w:r w:rsidRPr="003A2FB9">
        <w:rPr>
          <w:i/>
          <w:iCs/>
          <w:lang w:val="ru-RU"/>
        </w:rPr>
        <w:t>y</w:t>
      </w:r>
      <w:r w:rsidRPr="003A2FB9">
        <w:rPr>
          <w:lang w:val="ru-RU"/>
        </w:rPr>
        <w:t>, минимальный уровень помех менее –180 дБ(Вт/МГц) наблюдается, когда приемная антенна СРД наведена на Южный полюс. Эти уровни лежат в диапазоне от величины на 9 дБ выше и до величины на 32</w:t>
      </w:r>
      <w:r w:rsidR="000235FC" w:rsidRPr="003A2FB9">
        <w:rPr>
          <w:lang w:val="ru-RU"/>
        </w:rPr>
        <w:t> </w:t>
      </w:r>
      <w:r w:rsidRPr="003A2FB9">
        <w:rPr>
          <w:lang w:val="ru-RU"/>
        </w:rPr>
        <w:t>дБ меньше уровня защиты, приведенного в Рекомендации МСЭ-R SA.1155. Если предположить, что спектральная плотность э.и.и.м. всех станций-концентраторов равна +8</w:t>
      </w:r>
      <w:r w:rsidR="000235FC" w:rsidRPr="003A2FB9">
        <w:rPr>
          <w:lang w:val="ru-RU"/>
        </w:rPr>
        <w:t> </w:t>
      </w:r>
      <w:r w:rsidRPr="003A2FB9">
        <w:rPr>
          <w:lang w:val="ru-RU"/>
        </w:rPr>
        <w:t>дБ(Вт/МГц), то помехи системе СРД, прежде всего, буд</w:t>
      </w:r>
      <w:r w:rsidR="00EA6D13" w:rsidRPr="003A2FB9">
        <w:rPr>
          <w:lang w:val="ru-RU"/>
        </w:rPr>
        <w:t xml:space="preserve">ут наблюдаться при слежении за </w:t>
      </w:r>
      <w:r w:rsidRPr="003A2FB9">
        <w:rPr>
          <w:lang w:val="ru-RU"/>
        </w:rPr>
        <w:t>низкоорбитальными спутниками около края Земного диска в северном полушарии. Следует отметить, что область, выходящая за пределы уровня защиты СРД, относительно мала, и что в большинстве позиций считывания защитный уровень СРД обеспечивается.</w:t>
      </w:r>
      <w:r w:rsidR="003041FE" w:rsidRPr="003A2FB9">
        <w:rPr>
          <w:lang w:val="ru-RU"/>
        </w:rPr>
        <w:t xml:space="preserve"> </w:t>
      </w:r>
    </w:p>
    <w:p w:rsidR="003041FE" w:rsidRPr="003A2FB9" w:rsidRDefault="00683341" w:rsidP="00E77D2B">
      <w:pPr>
        <w:pStyle w:val="FigureNo"/>
        <w:pageBreakBefore/>
        <w:rPr>
          <w:lang w:val="ru-RU"/>
        </w:rPr>
      </w:pPr>
      <w:r w:rsidRPr="003A2FB9">
        <w:rPr>
          <w:lang w:val="ru-RU"/>
        </w:rPr>
        <w:lastRenderedPageBreak/>
        <w:t>РИСУНОК 2</w:t>
      </w:r>
    </w:p>
    <w:p w:rsidR="00683341" w:rsidRPr="003A2FB9" w:rsidRDefault="00683341" w:rsidP="000235FC">
      <w:pPr>
        <w:pStyle w:val="Figuretitle"/>
        <w:rPr>
          <w:lang w:val="ru-RU"/>
        </w:rPr>
      </w:pPr>
      <w:r w:rsidRPr="003A2FB9">
        <w:rPr>
          <w:lang w:val="ru-RU"/>
        </w:rPr>
        <w:t>Пространственное распределение помех (дБ(Вт/МГц)) спутнику СРД, расположенному на долготе 41° з. д., создаваемых от 431 города во всем мире, принимая во внимание работу 944 концентраторов</w:t>
      </w:r>
      <w:r w:rsidR="00234A82" w:rsidRPr="003A2FB9">
        <w:rPr>
          <w:lang w:val="ru-RU"/>
        </w:rPr>
        <w:t xml:space="preserve"> с</w:t>
      </w:r>
      <w:r w:rsidR="00CE338B" w:rsidRPr="003A2FB9">
        <w:rPr>
          <w:lang w:val="ru-RU"/>
        </w:rPr>
        <w:br/>
      </w:r>
      <w:r w:rsidRPr="003A2FB9">
        <w:rPr>
          <w:lang w:val="ru-RU"/>
        </w:rPr>
        <w:t>+8 (дБ(Вт/МГц)). Большой круг –</w:t>
      </w:r>
      <w:r w:rsidR="005D422E" w:rsidRPr="003A2FB9">
        <w:rPr>
          <w:lang w:val="ru-RU"/>
        </w:rPr>
        <w:t xml:space="preserve"> это диск Земл</w:t>
      </w:r>
      <w:r w:rsidRPr="003A2FB9">
        <w:rPr>
          <w:lang w:val="ru-RU"/>
        </w:rPr>
        <w:t xml:space="preserve">и. Отмечены две области в Северной Америке </w:t>
      </w:r>
      <w:r w:rsidR="00CE338B" w:rsidRPr="003A2FB9">
        <w:rPr>
          <w:lang w:val="ru-RU"/>
        </w:rPr>
        <w:br/>
      </w:r>
      <w:r w:rsidRPr="003A2FB9">
        <w:rPr>
          <w:lang w:val="ru-RU"/>
        </w:rPr>
        <w:t>и одна область в Европе, помехи от которых превышают уровень защиты СРД</w:t>
      </w:r>
    </w:p>
    <w:p w:rsidR="004E0FF1" w:rsidRPr="003A2FB9" w:rsidRDefault="004E0FF1" w:rsidP="000235FC">
      <w:pPr>
        <w:pStyle w:val="Figure"/>
        <w:rPr>
          <w:lang w:val="ru-RU"/>
        </w:rPr>
      </w:pPr>
      <w:r w:rsidRPr="003A2FB9">
        <w:rPr>
          <w:lang w:val="ru-RU"/>
        </w:rPr>
        <w:object w:dxaOrig="5270" w:dyaOrig="4469">
          <v:shape id="_x0000_i1044" type="#_x0000_t75" style="width:333.7pt;height:271.1pt" o:ole="">
            <v:imagedata r:id="rId52" o:title=""/>
          </v:shape>
          <o:OLEObject Type="Embed" ProgID="CorelDRAW.Graphic.14" ShapeID="_x0000_i1044" DrawAspect="Content" ObjectID="_1543751366" r:id="rId53"/>
        </w:object>
      </w:r>
    </w:p>
    <w:p w:rsidR="00CA7242" w:rsidRPr="003A2FB9" w:rsidRDefault="00CA7242" w:rsidP="000235FC">
      <w:pPr>
        <w:pStyle w:val="Normalaftertitle"/>
        <w:rPr>
          <w:lang w:val="ru-RU"/>
        </w:rPr>
      </w:pPr>
      <w:r w:rsidRPr="003A2FB9">
        <w:rPr>
          <w:lang w:val="ru-RU"/>
        </w:rPr>
        <w:t xml:space="preserve">На </w:t>
      </w:r>
      <w:r w:rsidR="0045139D" w:rsidRPr="003A2FB9">
        <w:rPr>
          <w:lang w:val="ru-RU"/>
        </w:rPr>
        <w:t xml:space="preserve">рисунках </w:t>
      </w:r>
      <w:r w:rsidRPr="003A2FB9">
        <w:rPr>
          <w:lang w:val="ru-RU"/>
        </w:rPr>
        <w:t>3 и 4 показано пространственное распределение помех орбитальным позициям СРД 174°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и 85° в.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соответственно. Они похожи на результаты для 41°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Для орбитальной позиции СРД 174°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суммарные пиковые помехи равны –144,9 дБ(Вт/МГц). Для орбитальной позиции СРД 85° в.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максимальные помехи равны –146,0 дБ(Вт/МГц). Как и в случае с орбитальной позицией СРД 41°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 xml:space="preserve">д. максимальные уровни помех наблюдаются, когда приемная антенна СРД направлена на городские центры, которые находятся на или рядом с краем Земного диска. </w:t>
      </w:r>
    </w:p>
    <w:p w:rsidR="005D422E" w:rsidRPr="003A2FB9" w:rsidRDefault="005D422E" w:rsidP="00D9511F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3</w:t>
      </w:r>
    </w:p>
    <w:p w:rsidR="005D422E" w:rsidRPr="003A2FB9" w:rsidRDefault="005D422E" w:rsidP="00D9511F">
      <w:pPr>
        <w:pStyle w:val="Figuretitle"/>
        <w:rPr>
          <w:lang w:val="ru-RU"/>
        </w:rPr>
      </w:pPr>
      <w:r w:rsidRPr="003A2FB9">
        <w:rPr>
          <w:lang w:val="ru-RU"/>
        </w:rPr>
        <w:t>Пространственное распределение помех (дБ(Вт/МГц)) спутнику СРД, расположенному на долготе 174° з. д., создаваемых от 431 города во всем мире, принимая во внимание работу 944 концентраторов с э.и.и.м.</w:t>
      </w:r>
      <w:r w:rsidR="006021EE" w:rsidRPr="003A2FB9">
        <w:rPr>
          <w:lang w:val="ru-RU"/>
        </w:rPr>
        <w:t xml:space="preserve"> </w:t>
      </w:r>
      <w:r w:rsidRPr="003A2FB9">
        <w:rPr>
          <w:lang w:val="ru-RU"/>
        </w:rPr>
        <w:t xml:space="preserve">+8 (дБ(Вт/МГц)). Большой круг – это диск Земли </w:t>
      </w:r>
    </w:p>
    <w:p w:rsidR="005D422E" w:rsidRPr="003A2FB9" w:rsidRDefault="0088411E" w:rsidP="00D9511F">
      <w:pPr>
        <w:pStyle w:val="Figure"/>
        <w:rPr>
          <w:lang w:val="ru-RU"/>
        </w:rPr>
      </w:pPr>
      <w:r w:rsidRPr="003A2FB9">
        <w:rPr>
          <w:lang w:val="ru-RU"/>
        </w:rPr>
        <w:object w:dxaOrig="5778" w:dyaOrig="4743">
          <v:shape id="_x0000_i1045" type="#_x0000_t75" style="width:346.25pt;height:283.6pt" o:ole="">
            <v:imagedata r:id="rId54" o:title="" cropbottom="2550f"/>
          </v:shape>
          <o:OLEObject Type="Embed" ProgID="CorelDRAW.Graphic.14" ShapeID="_x0000_i1045" DrawAspect="Content" ObjectID="_1543751367" r:id="rId55"/>
        </w:object>
      </w:r>
    </w:p>
    <w:p w:rsidR="005D422E" w:rsidRPr="003A2FB9" w:rsidRDefault="005D422E" w:rsidP="0088411E">
      <w:pPr>
        <w:pStyle w:val="FigureNo"/>
        <w:rPr>
          <w:lang w:val="ru-RU"/>
        </w:rPr>
      </w:pPr>
      <w:r w:rsidRPr="003A2FB9">
        <w:rPr>
          <w:lang w:val="ru-RU"/>
        </w:rPr>
        <w:t>РИСУНОК 4</w:t>
      </w:r>
    </w:p>
    <w:p w:rsidR="005D422E" w:rsidRPr="003A2FB9" w:rsidRDefault="006021EE" w:rsidP="0088411E">
      <w:pPr>
        <w:pStyle w:val="Figuretitle"/>
        <w:rPr>
          <w:lang w:val="ru-RU"/>
        </w:rPr>
      </w:pPr>
      <w:r w:rsidRPr="003A2FB9">
        <w:rPr>
          <w:lang w:val="ru-RU"/>
        </w:rPr>
        <w:t>Пример</w:t>
      </w:r>
      <w:r w:rsidR="005D422E" w:rsidRPr="003A2FB9">
        <w:rPr>
          <w:lang w:val="ru-RU"/>
        </w:rPr>
        <w:t xml:space="preserve"> помех (дБ(Вт/МГц)) спутнику СРД, расположенному на долготе 85° в. д. от 431 города во всем мире, принимая во внимание работу 944 концентраторов с э.и.и.м.</w:t>
      </w:r>
      <w:r w:rsidRPr="003A2FB9">
        <w:rPr>
          <w:lang w:val="ru-RU"/>
        </w:rPr>
        <w:t xml:space="preserve"> </w:t>
      </w:r>
      <w:r w:rsidR="0088411E" w:rsidRPr="003A2FB9">
        <w:rPr>
          <w:rFonts w:asciiTheme="minorHAnsi" w:hAnsiTheme="minorHAnsi"/>
          <w:lang w:val="ru-RU"/>
        </w:rPr>
        <w:br/>
      </w:r>
      <w:r w:rsidR="005D422E" w:rsidRPr="003A2FB9">
        <w:rPr>
          <w:lang w:val="ru-RU"/>
        </w:rPr>
        <w:t xml:space="preserve">+8 (дБ(Вт/МГц)). Большой круг – это диск Земли </w:t>
      </w:r>
    </w:p>
    <w:p w:rsidR="005D422E" w:rsidRPr="003A2FB9" w:rsidRDefault="00BD1523" w:rsidP="0088411E">
      <w:pPr>
        <w:pStyle w:val="Figure"/>
        <w:rPr>
          <w:lang w:val="ru-RU"/>
        </w:rPr>
      </w:pPr>
      <w:r w:rsidRPr="003A2FB9">
        <w:rPr>
          <w:lang w:val="ru-RU"/>
        </w:rPr>
        <w:object w:dxaOrig="5754" w:dyaOrig="4639">
          <v:shape id="_x0000_i1046" type="#_x0000_t75" style="width:365.65pt;height:284.85pt" o:ole="">
            <v:imagedata r:id="rId56" o:title=""/>
          </v:shape>
          <o:OLEObject Type="Embed" ProgID="CorelDRAW.Graphic.14" ShapeID="_x0000_i1046" DrawAspect="Content" ObjectID="_1543751368" r:id="rId57"/>
        </w:object>
      </w:r>
    </w:p>
    <w:p w:rsidR="00CA7242" w:rsidRPr="003A2FB9" w:rsidRDefault="00CA7242" w:rsidP="00FD75F5">
      <w:pPr>
        <w:pStyle w:val="Heading3"/>
        <w:rPr>
          <w:szCs w:val="22"/>
          <w:lang w:val="ru-RU"/>
        </w:rPr>
      </w:pPr>
      <w:r w:rsidRPr="003A2FB9">
        <w:rPr>
          <w:lang w:val="ru-RU"/>
        </w:rPr>
        <w:br w:type="page"/>
      </w:r>
      <w:r w:rsidRPr="003A2FB9">
        <w:rPr>
          <w:szCs w:val="22"/>
          <w:lang w:val="ru-RU"/>
        </w:rPr>
        <w:lastRenderedPageBreak/>
        <w:t>3.1.2</w:t>
      </w:r>
      <w:r w:rsidRPr="003A2FB9">
        <w:rPr>
          <w:szCs w:val="22"/>
          <w:lang w:val="ru-RU"/>
        </w:rPr>
        <w:tab/>
        <w:t>Орбитальные позиции СРД, указанные в Рекомендации МСЭ-R SA.1276</w:t>
      </w:r>
    </w:p>
    <w:p w:rsidR="00CA7242" w:rsidRPr="003A2FB9" w:rsidRDefault="00CA7242" w:rsidP="001A022A">
      <w:pPr>
        <w:rPr>
          <w:lang w:val="ru-RU"/>
        </w:rPr>
      </w:pPr>
      <w:r w:rsidRPr="003A2FB9">
        <w:rPr>
          <w:lang w:val="ru-RU"/>
        </w:rPr>
        <w:t>В Рекомендации МСЭ-R SA.1276 перечислено 23 орбитальных позиций СРД, которые должны защищаться по мере возможности (Рекомендация МСЭ-R F.1249), от помех, превышающих защитный уровень СРД, от систем ФС, работающих в полосе 25,25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 xml:space="preserve">27,5 ГГц. В </w:t>
      </w:r>
      <w:r w:rsidR="0064419B" w:rsidRPr="003A2FB9">
        <w:rPr>
          <w:lang w:val="ru-RU"/>
        </w:rPr>
        <w:t xml:space="preserve">таблице </w:t>
      </w:r>
      <w:r w:rsidRPr="003A2FB9">
        <w:rPr>
          <w:lang w:val="ru-RU"/>
        </w:rPr>
        <w:t>1 обобщены результаты моделирования пиковых помех для каждой орбитальной позиции, определенной в Рекомендации МСЭ</w:t>
      </w:r>
      <w:r w:rsidR="001A022A" w:rsidRPr="003A2FB9">
        <w:rPr>
          <w:lang w:val="ru-RU"/>
        </w:rPr>
        <w:noBreakHyphen/>
      </w:r>
      <w:r w:rsidRPr="003A2FB9">
        <w:rPr>
          <w:lang w:val="ru-RU"/>
        </w:rPr>
        <w:t>R SA.1276. Использовалась частота развертки, равная 0,</w:t>
      </w:r>
      <w:r w:rsidR="001A6F2B" w:rsidRPr="003A2FB9">
        <w:rPr>
          <w:lang w:val="ru-RU"/>
        </w:rPr>
        <w:t xml:space="preserve">2° по осям </w:t>
      </w:r>
      <w:r w:rsidR="001A6F2B" w:rsidRPr="003A2FB9">
        <w:rPr>
          <w:i/>
          <w:iCs/>
          <w:lang w:val="ru-RU"/>
        </w:rPr>
        <w:t>x</w:t>
      </w:r>
      <w:r w:rsidR="001A6F2B" w:rsidRPr="003A2FB9">
        <w:rPr>
          <w:lang w:val="ru-RU"/>
        </w:rPr>
        <w:t xml:space="preserve"> и </w:t>
      </w:r>
      <w:r w:rsidR="001A6F2B" w:rsidRPr="003A2FB9">
        <w:rPr>
          <w:i/>
          <w:iCs/>
          <w:lang w:val="ru-RU"/>
        </w:rPr>
        <w:t>y</w:t>
      </w:r>
      <w:r w:rsidR="001A6F2B" w:rsidRPr="003A2FB9">
        <w:rPr>
          <w:lang w:val="ru-RU"/>
        </w:rPr>
        <w:t>. В 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>1 также указаны изменения пиковых уровней помех, как они измерены со стандартным отклонением, менее 4 дБ со всех орбитальных позиций. Данное наблюдение предполагает, что изменения пиковых помех от орбитальной позиции к орбитальной позиции относительно невелики.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 xml:space="preserve">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 xml:space="preserve">1 приведен краткий обзор пиковых помех от направления сканирования для каждой орбитальной позиции. Суммарное пиковое значение в среднем составляет –144,3 дБ(Вт/МГц). Максимальные суммарные помехи, получаемые в любой орбитальной позиции и любом направлении сканирования, были равны –139 дБ(Вт/МГц). Также приведена доля помех от области развертывания, влияющей больше всего на суммарные пиковые помехи. 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 xml:space="preserve">Результаты моделирования показывают, что пиковые помехи от широкомасштабного развертывания систем LMDS примерно на 3 дБ больше помех, создаваемых </w:t>
      </w:r>
      <w:r w:rsidR="00347929" w:rsidRPr="003A2FB9">
        <w:rPr>
          <w:lang w:val="ru-RU"/>
        </w:rPr>
        <w:t>одной областью развертывания. В </w:t>
      </w:r>
      <w:r w:rsidR="0064419B" w:rsidRPr="003A2FB9">
        <w:rPr>
          <w:lang w:val="ru-RU"/>
        </w:rPr>
        <w:t xml:space="preserve">таблице </w:t>
      </w:r>
      <w:r w:rsidRPr="003A2FB9">
        <w:rPr>
          <w:lang w:val="ru-RU"/>
        </w:rPr>
        <w:t>1 также показан совокупный коэффициент усиления, определенный здесь как разница в дБ между суммарными пиковыми помехами и помехами от основного источника. Средний совокупный коэффициент усиления равен 2,5 дБ. Моделирование предполагает, что в среднем суммарные пиковые совокупные помехи находятся в пределах 2,5 дБ от помех, создаваемых городским центром, являющимся источником большей части помех. В итоге решено, что совокупная э.и.и.м. городского центра, т.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е. сумма э.и.и.м. отдельных концентраторов в направлении определенной орбитальной позиции СРД может использоваться для предсказания пиковых помех, которые, скорее всего, будут наблюдаться на большинстве позиций СРД, если к совокупной э.и.и.м. города добавить 2,5 дБ.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 xml:space="preserve">Из данных 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>1 видно, что средний угол места по направлению к спутнику основного источника помех равен примерно 7°. Никогда не наблюдались пиковые помехи, вызванные областью развертывания, видимой под углом места менее 1,5°.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 xml:space="preserve">Из данных 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>1 также можно сделать вывод, что если передающая антенна станции</w:t>
      </w:r>
      <w:r w:rsidRPr="003A2FB9">
        <w:rPr>
          <w:lang w:val="ru-RU"/>
        </w:rPr>
        <w:noBreakHyphen/>
        <w:t>концентратора LMDS показывает дополнительное затухание для угла места больше 5°, то суммарные помехи, принимаемые в нескольких орбитальных позициях, будут снижены примерно на значение дополнительных потерь в антенне. Таким образом, регулирование формы плоскости места передающей антенны LMDS может являться полезным подходом, для некоторых областей развертывания с целью уменьшения помех в направлении определенных орбитальных позиций СРД.</w:t>
      </w:r>
    </w:p>
    <w:p w:rsidR="00CA7242" w:rsidRPr="003A2FB9" w:rsidRDefault="00CA7242" w:rsidP="00347929">
      <w:pPr>
        <w:rPr>
          <w:lang w:val="ru-RU"/>
        </w:rPr>
      </w:pPr>
      <w:r w:rsidRPr="003A2FB9">
        <w:rPr>
          <w:lang w:val="ru-RU"/>
        </w:rPr>
        <w:t xml:space="preserve">В </w:t>
      </w:r>
      <w:r w:rsidR="00186364" w:rsidRPr="003A2FB9">
        <w:rPr>
          <w:lang w:val="ru-RU"/>
        </w:rPr>
        <w:t xml:space="preserve">таблицу </w:t>
      </w:r>
      <w:r w:rsidRPr="003A2FB9">
        <w:rPr>
          <w:lang w:val="ru-RU"/>
        </w:rPr>
        <w:t>1 также включены дождевые климатические зоны (зоны дождей), указанные в Рекомендации МСЭ</w:t>
      </w:r>
      <w:r w:rsidR="00186364" w:rsidRPr="003A2FB9">
        <w:rPr>
          <w:lang w:val="ru-RU"/>
        </w:rPr>
        <w:t>-</w:t>
      </w:r>
      <w:r w:rsidRPr="003A2FB9">
        <w:rPr>
          <w:lang w:val="ru-RU"/>
        </w:rPr>
        <w:t>R</w:t>
      </w:r>
      <w:r w:rsidR="00186364" w:rsidRPr="003A2FB9">
        <w:rPr>
          <w:lang w:val="ru-RU"/>
        </w:rPr>
        <w:t xml:space="preserve"> </w:t>
      </w:r>
      <w:r w:rsidRPr="003A2FB9">
        <w:rPr>
          <w:lang w:val="ru-RU"/>
        </w:rPr>
        <w:t>P.837, являющиеся основным источником помех. Ожидается, что эксплуатационная мощность станции-концентратора будет зависеть от параметров доступности канала, протяженности линии связи и дождевой климатической зоны, в которой находится система. В</w:t>
      </w:r>
      <w:r w:rsidR="00FB17BC" w:rsidRPr="003A2FB9">
        <w:rPr>
          <w:lang w:val="ru-RU"/>
        </w:rPr>
        <w:t> </w:t>
      </w:r>
      <w:r w:rsidRPr="003A2FB9">
        <w:rPr>
          <w:lang w:val="ru-RU"/>
        </w:rPr>
        <w:t>Рекомендации МСЭ-R F.758 содержатся особые замечания для оборудования в полосе 25,25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 xml:space="preserve">27,5 ГГц. 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 xml:space="preserve">17 Рекомендации МСЭ-R F.758 в Примечании 8 указывается, что системы, работающие с расстояниями до 5 км и со спектральной плотностью э.и.и.м., равной +8 дБ(Вт/МГц) на концентратор, обеспечивают энергетический запас линии в 37 дБ. В Рекомендации МСЭ-R. F.755, и в частности, в </w:t>
      </w:r>
      <w:r w:rsidR="00186364" w:rsidRPr="003A2FB9">
        <w:rPr>
          <w:lang w:val="ru-RU"/>
        </w:rPr>
        <w:t xml:space="preserve">таблице </w:t>
      </w:r>
      <w:r w:rsidRPr="003A2FB9">
        <w:rPr>
          <w:lang w:val="ru-RU"/>
        </w:rPr>
        <w:t>8, указывается, что энергетический запас 37 дБ на линии длиной 5</w:t>
      </w:r>
      <w:r w:rsidR="00347929" w:rsidRPr="003A2FB9">
        <w:rPr>
          <w:lang w:val="ru-RU"/>
        </w:rPr>
        <w:t> </w:t>
      </w:r>
      <w:r w:rsidRPr="003A2FB9">
        <w:rPr>
          <w:lang w:val="ru-RU"/>
        </w:rPr>
        <w:t>км достаточен для поддержания 0,9999 готовности канала в дождевой климатической зоне K. Энергетический запас линии в 37 дБ недостаточен для 0,9999 доступности канала в дождевых климатических зонах, которые имеют плотность дождя больше, чем в дождевой климатической зоне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K. Это позволяет сделать предварительный вывод о том, что системы LMDS в дождевых климатических зонах с плотностью дождя меньше, чем в дождевой климатической зоне K, могут работать на расстоянии 5 км с э.и.и.м концентратора меньше 8 дБ(Вт/МГц), и что можно снизить помехи СРД. Также делается вывод, что системы в дождевых климатических зонах с плотностью дождя больше, чем в дождевой климатической зоне K, могут иметь ограничения в работе, для некоторых зон развертывания, если плотность э.и.и.м. концентратора ограничена значением 8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дБ(Вт/МГц) с целью упрощения совместного использования с СРД.</w:t>
      </w:r>
    </w:p>
    <w:p w:rsidR="00CA7242" w:rsidRPr="003A2FB9" w:rsidRDefault="00CA7242" w:rsidP="00347929">
      <w:pPr>
        <w:pStyle w:val="TableNo"/>
        <w:rPr>
          <w:lang w:val="ru-RU"/>
        </w:rPr>
      </w:pPr>
      <w:r w:rsidRPr="003A2FB9">
        <w:rPr>
          <w:lang w:val="ru-RU"/>
        </w:rPr>
        <w:lastRenderedPageBreak/>
        <w:t>ТАБЛИЦА 1</w:t>
      </w:r>
    </w:p>
    <w:p w:rsidR="00CA7242" w:rsidRPr="003A2FB9" w:rsidRDefault="00CA7242" w:rsidP="00347929">
      <w:pPr>
        <w:pStyle w:val="Tabletitle"/>
        <w:rPr>
          <w:lang w:val="ru-RU"/>
        </w:rPr>
      </w:pPr>
      <w:r w:rsidRPr="003A2FB9">
        <w:rPr>
          <w:lang w:val="ru-RU"/>
        </w:rPr>
        <w:t xml:space="preserve">Обобщение пиковых помех в зоне видимости СРД на орбитальных позициях СРД, </w:t>
      </w:r>
      <w:r w:rsidRPr="003A2FB9">
        <w:rPr>
          <w:lang w:val="ru-RU"/>
        </w:rPr>
        <w:br/>
        <w:t xml:space="preserve">указанных в Рекомендации МСЭ-R SA.1279, в предположении, что в 431 городе по всему миру работает 944 станции-концентратора с +8 дБ(Вт/МГц) </w:t>
      </w:r>
    </w:p>
    <w:tbl>
      <w:tblPr>
        <w:tblW w:w="9639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"/>
        <w:gridCol w:w="939"/>
        <w:gridCol w:w="972"/>
        <w:gridCol w:w="519"/>
        <w:gridCol w:w="519"/>
        <w:gridCol w:w="1138"/>
        <w:gridCol w:w="1076"/>
        <w:gridCol w:w="1183"/>
        <w:gridCol w:w="1211"/>
        <w:gridCol w:w="994"/>
      </w:tblGrid>
      <w:tr w:rsidR="004E530C" w:rsidRPr="003A2FB9" w:rsidTr="004E530C">
        <w:trPr>
          <w:trHeight w:val="247"/>
        </w:trPr>
        <w:tc>
          <w:tcPr>
            <w:tcW w:w="1088" w:type="dxa"/>
            <w:vAlign w:val="center"/>
          </w:tcPr>
          <w:p w:rsidR="00347929" w:rsidRPr="003A2FB9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В. д.</w:t>
            </w:r>
            <w:r w:rsidR="004E530C"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sz w:val="16"/>
                <w:szCs w:val="16"/>
                <w:lang w:val="ru-RU"/>
              </w:rPr>
              <w:t>орбитальной</w:t>
            </w:r>
            <w:r w:rsidRPr="003A2FB9">
              <w:rPr>
                <w:sz w:val="16"/>
                <w:szCs w:val="16"/>
                <w:lang w:val="ru-RU"/>
              </w:rPr>
              <w:br/>
              <w:t>позиции спутника (градусы)</w:t>
            </w:r>
          </w:p>
        </w:tc>
        <w:tc>
          <w:tcPr>
            <w:tcW w:w="939" w:type="dxa"/>
            <w:vAlign w:val="center"/>
          </w:tcPr>
          <w:p w:rsidR="00347929" w:rsidRPr="003A2FB9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С. ш. основного источника помех (градусы)</w:t>
            </w:r>
          </w:p>
        </w:tc>
        <w:tc>
          <w:tcPr>
            <w:tcW w:w="972" w:type="dxa"/>
            <w:vAlign w:val="center"/>
          </w:tcPr>
          <w:p w:rsidR="00347929" w:rsidRPr="003A2FB9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В. д. основного источника помех (градусы)</w:t>
            </w:r>
          </w:p>
        </w:tc>
        <w:tc>
          <w:tcPr>
            <w:tcW w:w="1038" w:type="dxa"/>
            <w:gridSpan w:val="2"/>
            <w:vAlign w:val="center"/>
          </w:tcPr>
          <w:p w:rsidR="00347929" w:rsidRPr="003A2FB9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Дождевая климати-ческая зона основного источника помех/</w:t>
            </w:r>
            <w:r w:rsidRPr="003A2FB9">
              <w:rPr>
                <w:sz w:val="16"/>
                <w:szCs w:val="16"/>
                <w:lang w:val="ru-RU"/>
              </w:rPr>
              <w:br/>
              <w:t>концентра-тора</w:t>
            </w:r>
          </w:p>
        </w:tc>
        <w:tc>
          <w:tcPr>
            <w:tcW w:w="1138" w:type="dxa"/>
            <w:vAlign w:val="center"/>
          </w:tcPr>
          <w:p w:rsidR="00347929" w:rsidRPr="003A2FB9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Э.и.и.м. </w:t>
            </w:r>
            <w:r w:rsidRPr="003A2FB9">
              <w:rPr>
                <w:sz w:val="16"/>
                <w:szCs w:val="16"/>
                <w:lang w:val="ru-RU"/>
              </w:rPr>
              <w:br/>
              <w:t>области основного источника помех в направлении СРД (дБ(Вт/МГц))</w:t>
            </w:r>
          </w:p>
        </w:tc>
        <w:tc>
          <w:tcPr>
            <w:tcW w:w="1076" w:type="dxa"/>
            <w:vAlign w:val="center"/>
          </w:tcPr>
          <w:p w:rsidR="00347929" w:rsidRPr="003A2FB9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Основной источник помех виден под углом места в направлении СРД (градусы)</w:t>
            </w:r>
          </w:p>
        </w:tc>
        <w:tc>
          <w:tcPr>
            <w:tcW w:w="1183" w:type="dxa"/>
            <w:vAlign w:val="center"/>
          </w:tcPr>
          <w:p w:rsidR="00347929" w:rsidRPr="003A2FB9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Помехи от основного источника помех (дБ(Вт/МГц))</w:t>
            </w:r>
          </w:p>
        </w:tc>
        <w:tc>
          <w:tcPr>
            <w:tcW w:w="1211" w:type="dxa"/>
            <w:vAlign w:val="center"/>
          </w:tcPr>
          <w:p w:rsidR="00347929" w:rsidRPr="003A2FB9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Суммарные пиковые </w:t>
            </w:r>
            <w:r w:rsidRPr="003A2FB9">
              <w:rPr>
                <w:sz w:val="16"/>
                <w:szCs w:val="16"/>
                <w:lang w:val="ru-RU"/>
              </w:rPr>
              <w:br/>
              <w:t>помехи при направлении на основной источник помех (дБ(Вт/МГц))</w:t>
            </w:r>
          </w:p>
        </w:tc>
        <w:tc>
          <w:tcPr>
            <w:tcW w:w="994" w:type="dxa"/>
            <w:vAlign w:val="center"/>
          </w:tcPr>
          <w:p w:rsidR="00347929" w:rsidRPr="003A2FB9" w:rsidRDefault="00347929" w:rsidP="004E530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Суммарное усиление </w:t>
            </w:r>
            <w:r w:rsidRPr="003A2FB9">
              <w:rPr>
                <w:sz w:val="16"/>
                <w:szCs w:val="16"/>
                <w:lang w:val="ru-RU"/>
              </w:rPr>
              <w:br/>
              <w:t>(дБ)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–174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32,833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–96,833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17,7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2,4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–144,6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–144,3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0,3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–171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32,833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–96,833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16,8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4,8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–142,8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0,2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–170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39,133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117,200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H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13,8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4,8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–146,0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–142,0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4,0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–160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41,830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–87,750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18,9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–143,1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–141,1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2,0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40,750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–74,000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17,9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–143,1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2,2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–62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51,467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6,983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11,7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–148,3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–142,7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5,6</w:t>
            </w:r>
          </w:p>
        </w:tc>
      </w:tr>
      <w:tr w:rsidR="003041FE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–49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18,6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0,9</w:t>
            </w:r>
          </w:p>
        </w:tc>
      </w:tr>
      <w:tr w:rsidR="003041FE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–46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20,6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1,3</w:t>
            </w:r>
          </w:p>
        </w:tc>
      </w:tr>
      <w:tr w:rsidR="003041FE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–44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21,5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0,9</w:t>
            </w:r>
          </w:p>
        </w:tc>
      </w:tr>
      <w:tr w:rsidR="003041FE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–41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22,4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41FE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1,3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–32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40,750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–74,000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13,0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26,5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–145,7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0,3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–16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42,330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–83,080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8,2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–145,7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4,9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16,4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23,700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90,367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N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6,1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1,6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21,5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23,700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90,367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N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10,2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10,8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–149,3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–147,7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1,6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47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31,250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121,500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15,3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4,7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2,2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59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34,400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135,270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M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13,6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2,9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–151,1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5,5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48,130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16,220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–153,9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7,3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52,250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18,983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H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–147,8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2,4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41,033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28,950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9,3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–151,6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–149,3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2,3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113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36,200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44,017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7,3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8,3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–154,9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–150,1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4,8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121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36,200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44,017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K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10,8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2,1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–151,4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–148,4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3,0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160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37,750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–122,500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D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17,9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–145,3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1,5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177,5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34,000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–118,167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3041FE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Е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14,2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12,6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–145,3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1,1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Максимум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14,2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26,5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–140,2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–139,0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7,2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В среднем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14,7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6,7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–146,4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–144,3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2,5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Ст. уст-во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5,3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4,4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3,4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1,9</w:t>
            </w:r>
          </w:p>
        </w:tc>
      </w:tr>
      <w:tr w:rsidR="00CA7242" w:rsidRPr="003A2FB9" w:rsidTr="004E53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Минимум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6,4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1,5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–154,9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–150,1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7242" w:rsidRPr="003A2FB9" w:rsidRDefault="00CA7242" w:rsidP="004E530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0,2</w:t>
            </w:r>
          </w:p>
        </w:tc>
      </w:tr>
    </w:tbl>
    <w:p w:rsidR="004E530C" w:rsidRPr="003A2FB9" w:rsidRDefault="004E530C" w:rsidP="004E530C">
      <w:pPr>
        <w:pStyle w:val="Tablefin"/>
        <w:rPr>
          <w:lang w:val="ru-RU"/>
        </w:rPr>
      </w:pPr>
    </w:p>
    <w:p w:rsidR="004E530C" w:rsidRPr="003A2FB9" w:rsidRDefault="004E53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Cs w:val="22"/>
          <w:lang w:val="ru-RU"/>
        </w:rPr>
      </w:pPr>
      <w:r w:rsidRPr="003A2FB9">
        <w:rPr>
          <w:szCs w:val="22"/>
          <w:lang w:val="ru-RU"/>
        </w:rPr>
        <w:br w:type="page"/>
      </w:r>
    </w:p>
    <w:p w:rsidR="00CA7242" w:rsidRPr="003A2FB9" w:rsidRDefault="00CA7242" w:rsidP="004E530C">
      <w:pPr>
        <w:pStyle w:val="Heading2"/>
        <w:rPr>
          <w:lang w:val="ru-RU"/>
        </w:rPr>
      </w:pPr>
      <w:r w:rsidRPr="003A2FB9">
        <w:rPr>
          <w:lang w:val="ru-RU"/>
        </w:rPr>
        <w:lastRenderedPageBreak/>
        <w:t>3.2</w:t>
      </w:r>
      <w:r w:rsidRPr="003A2FB9">
        <w:rPr>
          <w:lang w:val="ru-RU"/>
        </w:rPr>
        <w:tab/>
        <w:t>Временное распределение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Временные характеристики помех СРД при отслеживании спутника пользователя на низкой орбите были рассчитаны для орбитальных позиций СРД, перечисленных в Рекомендации МСЭ</w:t>
      </w:r>
      <w:r w:rsidR="00186364" w:rsidRPr="003A2FB9">
        <w:rPr>
          <w:lang w:val="ru-RU"/>
        </w:rPr>
        <w:t>-</w:t>
      </w:r>
      <w:r w:rsidRPr="003A2FB9">
        <w:rPr>
          <w:lang w:val="ru-RU"/>
        </w:rPr>
        <w:t>R</w:t>
      </w:r>
      <w:r w:rsidR="00186364" w:rsidRPr="003A2FB9">
        <w:rPr>
          <w:lang w:val="ru-RU"/>
        </w:rPr>
        <w:t xml:space="preserve"> </w:t>
      </w:r>
      <w:r w:rsidRPr="003A2FB9">
        <w:rPr>
          <w:lang w:val="ru-RU"/>
        </w:rPr>
        <w:t>SA.1276, т.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е. 41°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д., 174°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>д. и 85° в.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 xml:space="preserve">д. Международная космическая станция является рассматриваемым спутником пользователя на низкоорбитальной орбите, который действует на высоте 400 км, с отклонением 51,6° от плоскости экватора. </w:t>
      </w:r>
    </w:p>
    <w:p w:rsidR="00CA7242" w:rsidRPr="003A2FB9" w:rsidRDefault="00CA7242" w:rsidP="004E530C">
      <w:pPr>
        <w:rPr>
          <w:lang w:val="ru-RU"/>
        </w:rPr>
      </w:pPr>
      <w:r w:rsidRPr="003A2FB9">
        <w:rPr>
          <w:lang w:val="ru-RU"/>
        </w:rPr>
        <w:t>Динамическое моделирование проводилось для 10 дней орбита</w:t>
      </w:r>
      <w:r w:rsidR="004E530C" w:rsidRPr="003A2FB9">
        <w:rPr>
          <w:lang w:val="ru-RU"/>
        </w:rPr>
        <w:t>льного времени с шагом в 1 с. В </w:t>
      </w:r>
      <w:r w:rsidRPr="003A2FB9">
        <w:rPr>
          <w:lang w:val="ru-RU"/>
        </w:rPr>
        <w:t>каждом интервале совокупные помехи от излучений всех станций-концентраторов LMDS в пределах зоны видимости рассчитывались и использовались для определения кумулятивной функции распределения (CDF) помех для данного конкретного орбитального периода. Так как в течение 10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 xml:space="preserve">дней наблюдалось 145 оборотов по орбите, в результате всех динамических моделирований было получено 145 функций CDF. На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>5 приведено семейство кривых вероятности превышения уровня помех для отдельных, последовательных оборотов низкоорбитального спутника пользователя для СРД, расположенного в точке 41° з.</w:t>
      </w:r>
      <w:r w:rsidR="00186364" w:rsidRPr="003A2FB9">
        <w:rPr>
          <w:lang w:val="ru-RU"/>
        </w:rPr>
        <w:t> </w:t>
      </w:r>
      <w:r w:rsidRPr="003A2FB9">
        <w:rPr>
          <w:lang w:val="ru-RU"/>
        </w:rPr>
        <w:t xml:space="preserve">д. Графики соответствуют уровням помех, превышенным в течение 99%, 20% и 0,1% орбитального периода. Это семейство вероятностей превышения уровня нанесено на график, где уровень помех отложен по абсциссе, а время начала периода, когда спутник виден спутнику СРД, отложено на оси ординат. Также на этом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показана вертикальная черта, соответствующая уровню помех –148 дБ(Вт/МГц). На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видно, что существует 11 орбит, которые будут испытывать помехи с уровнем, превышающим уровень –148 дБ(Вт/МГц). Дополнительно на этом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указано, что время между орбитами, когда помехи превышают уровень –148 дБ(Вт/МГц), варьируется от минимального, равного 7,7 час, до максимального – 71 час. На </w:t>
      </w:r>
      <w:r w:rsidR="00186364" w:rsidRPr="003A2FB9">
        <w:rPr>
          <w:lang w:val="ru-RU"/>
        </w:rPr>
        <w:t xml:space="preserve">рисунке </w:t>
      </w:r>
      <w:r w:rsidRPr="003A2FB9">
        <w:rPr>
          <w:lang w:val="ru-RU"/>
        </w:rPr>
        <w:t>6 показаны отдельные временные ряды помех для периода времени, когда уровень помех превышает –148 дБ(Вт/МГц). Как показано на этом рисунке, длительность помех, превышающих защитный уровень, варьируется от менее 10 с до менее 60 с.</w:t>
      </w:r>
    </w:p>
    <w:p w:rsidR="00577112" w:rsidRPr="003A2FB9" w:rsidRDefault="00577112" w:rsidP="004E530C">
      <w:pPr>
        <w:pStyle w:val="FigureNo"/>
        <w:rPr>
          <w:lang w:val="ru-RU"/>
        </w:rPr>
      </w:pPr>
      <w:r w:rsidRPr="003A2FB9">
        <w:rPr>
          <w:lang w:val="ru-RU"/>
        </w:rPr>
        <w:t>РИСУНОК 5</w:t>
      </w:r>
    </w:p>
    <w:p w:rsidR="00577112" w:rsidRPr="003A2FB9" w:rsidRDefault="00622946" w:rsidP="004E530C">
      <w:pPr>
        <w:pStyle w:val="Figuretitle"/>
        <w:rPr>
          <w:lang w:val="ru-RU"/>
        </w:rPr>
      </w:pPr>
      <w:r w:rsidRPr="003A2FB9">
        <w:rPr>
          <w:lang w:val="ru-RU"/>
        </w:rPr>
        <w:t xml:space="preserve">Временные характеристики для спутника СРД, расположенного на 41°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</w:p>
    <w:p w:rsidR="00520583" w:rsidRDefault="004E0FF1" w:rsidP="004E530C">
      <w:pPr>
        <w:pStyle w:val="Figure"/>
        <w:rPr>
          <w:lang w:val="ru-RU"/>
        </w:rPr>
      </w:pPr>
      <w:r w:rsidRPr="003A2FB9">
        <w:rPr>
          <w:lang w:val="ru-RU"/>
        </w:rPr>
        <w:object w:dxaOrig="4677" w:dyaOrig="3585">
          <v:shape id="_x0000_i1047" type="#_x0000_t75" style="width:318.05pt;height:222.9pt" o:ole="">
            <v:imagedata r:id="rId58" o:title=""/>
          </v:shape>
          <o:OLEObject Type="Embed" ProgID="CorelDRAW.Graphic.14" ShapeID="_x0000_i1047" DrawAspect="Content" ObjectID="_1543751369" r:id="rId59"/>
        </w:object>
      </w:r>
    </w:p>
    <w:p w:rsidR="00CA7242" w:rsidRPr="003A2FB9" w:rsidRDefault="00CA7242" w:rsidP="00520583">
      <w:pPr>
        <w:rPr>
          <w:lang w:val="ru-RU"/>
        </w:rPr>
      </w:pPr>
      <w:r w:rsidRPr="003A2FB9">
        <w:rPr>
          <w:lang w:val="ru-RU"/>
        </w:rPr>
        <w:br w:type="page"/>
      </w:r>
    </w:p>
    <w:p w:rsidR="001D3E87" w:rsidRPr="003A2FB9" w:rsidRDefault="001D3E87" w:rsidP="004E530C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6</w:t>
      </w:r>
    </w:p>
    <w:p w:rsidR="001D3E87" w:rsidRPr="003A2FB9" w:rsidRDefault="001D3E87" w:rsidP="004E530C">
      <w:pPr>
        <w:pStyle w:val="Figuretitle"/>
        <w:rPr>
          <w:lang w:val="ru-RU"/>
        </w:rPr>
      </w:pPr>
      <w:r w:rsidRPr="003A2FB9">
        <w:rPr>
          <w:lang w:val="ru-RU"/>
        </w:rPr>
        <w:t xml:space="preserve">Примеры помех для спутника СРД, расположенного на </w:t>
      </w:r>
      <w:r w:rsidR="006021EE" w:rsidRPr="003A2FB9">
        <w:rPr>
          <w:lang w:val="ru-RU"/>
        </w:rPr>
        <w:t>41</w:t>
      </w:r>
      <w:r w:rsidRPr="003A2FB9">
        <w:rPr>
          <w:lang w:val="ru-RU"/>
        </w:rPr>
        <w:t xml:space="preserve">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  <w:r w:rsidRPr="003A2FB9">
        <w:rPr>
          <w:lang w:val="ru-RU"/>
        </w:rPr>
        <w:br/>
        <w:t>(см. п. 3.2)</w:t>
      </w:r>
    </w:p>
    <w:p w:rsidR="001D3E87" w:rsidRPr="003A2FB9" w:rsidRDefault="009152B2" w:rsidP="004E530C">
      <w:pPr>
        <w:pStyle w:val="Figure"/>
        <w:rPr>
          <w:lang w:val="ru-RU"/>
        </w:rPr>
      </w:pPr>
      <w:r w:rsidRPr="003A2FB9">
        <w:rPr>
          <w:lang w:val="ru-RU"/>
        </w:rPr>
        <w:object w:dxaOrig="5245" w:dyaOrig="3912">
          <v:shape id="_x0000_i1048" type="#_x0000_t75" style="width:346.85pt;height:228.5pt" o:ole="">
            <v:imagedata r:id="rId60" o:title="" cropbottom="2202f"/>
          </v:shape>
          <o:OLEObject Type="Embed" ProgID="CorelDRAW.Graphic.14" ShapeID="_x0000_i1048" DrawAspect="Content" ObjectID="_1543751370" r:id="rId61"/>
        </w:object>
      </w:r>
    </w:p>
    <w:p w:rsidR="003330C0" w:rsidRPr="003A2FB9" w:rsidRDefault="00CA7242" w:rsidP="009152B2">
      <w:pPr>
        <w:pStyle w:val="Normalaftertitle"/>
        <w:rPr>
          <w:lang w:val="ru-RU"/>
        </w:rPr>
      </w:pPr>
      <w:r w:rsidRPr="003A2FB9">
        <w:rPr>
          <w:lang w:val="ru-RU"/>
        </w:rPr>
        <w:t xml:space="preserve">На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>7 приведены сравнимые результаты для орбитальной позиции СРД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 xml:space="preserve">д. Для данной позиции существует 12 орбит, которые будут испытывать помехи, превышающие защитный уровень в течение более чем 0,1% орбитального периода. Дополнительно, на этом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указывается, что время между орбитами, когда помехи превышают –148 дБ(Вт/МГц), варьируется от минимального, равного 6,1 час, до максимального – 30,9 час. На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8 приведен временной ряд каждого периода помех. Для данной орбитальной позиции длительность помех, превышающих защитный уровень </w:t>
      </w:r>
      <w:r w:rsidR="009152B2" w:rsidRPr="003A2FB9">
        <w:rPr>
          <w:lang w:val="ru-RU"/>
        </w:rPr>
        <w:t>−</w:t>
      </w:r>
      <w:r w:rsidR="00520583">
        <w:rPr>
          <w:lang w:val="ru-RU"/>
        </w:rPr>
        <w:t>148</w:t>
      </w:r>
      <w:r w:rsidR="00520583">
        <w:rPr>
          <w:lang w:val="en-GB"/>
        </w:rPr>
        <w:t> </w:t>
      </w:r>
      <w:r w:rsidRPr="003A2FB9">
        <w:rPr>
          <w:lang w:val="ru-RU"/>
        </w:rPr>
        <w:t>дБ(Вт/МГц), варьируется от примерно 5 с до 50 с.</w:t>
      </w:r>
    </w:p>
    <w:p w:rsidR="003330C0" w:rsidRPr="003A2FB9" w:rsidRDefault="003330C0" w:rsidP="004E530C">
      <w:pPr>
        <w:pStyle w:val="FigureNo"/>
        <w:rPr>
          <w:lang w:val="ru-RU"/>
        </w:rPr>
      </w:pPr>
      <w:r w:rsidRPr="003A2FB9">
        <w:rPr>
          <w:lang w:val="ru-RU"/>
        </w:rPr>
        <w:t>РИСУНОК 7</w:t>
      </w:r>
    </w:p>
    <w:p w:rsidR="003330C0" w:rsidRPr="003A2FB9" w:rsidRDefault="003330C0" w:rsidP="004E530C">
      <w:pPr>
        <w:pStyle w:val="Figuretitle"/>
        <w:rPr>
          <w:lang w:val="ru-RU"/>
        </w:rPr>
      </w:pPr>
      <w:r w:rsidRPr="003A2FB9">
        <w:rPr>
          <w:lang w:val="ru-RU"/>
        </w:rPr>
        <w:t xml:space="preserve">Временные характеристики для спутника СРД, расположенного на </w:t>
      </w:r>
      <w:r w:rsidR="006021EE" w:rsidRPr="003A2FB9">
        <w:rPr>
          <w:lang w:val="ru-RU"/>
        </w:rPr>
        <w:t>174</w:t>
      </w:r>
      <w:r w:rsidRPr="003A2FB9">
        <w:rPr>
          <w:lang w:val="ru-RU"/>
        </w:rPr>
        <w:t xml:space="preserve">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</w:p>
    <w:p w:rsidR="00CA7242" w:rsidRPr="003A2FB9" w:rsidRDefault="009152B2" w:rsidP="004E530C">
      <w:pPr>
        <w:pStyle w:val="Figure"/>
        <w:rPr>
          <w:lang w:val="ru-RU"/>
        </w:rPr>
      </w:pPr>
      <w:r w:rsidRPr="003A2FB9">
        <w:rPr>
          <w:lang w:val="ru-RU"/>
        </w:rPr>
        <w:object w:dxaOrig="5253" w:dyaOrig="3855">
          <v:shape id="_x0000_i1049" type="#_x0000_t75" style="width:363.75pt;height:238.55pt" o:ole="">
            <v:imagedata r:id="rId62" o:title="" cropbottom="2529f"/>
          </v:shape>
          <o:OLEObject Type="Embed" ProgID="CorelDRAW.Graphic.14" ShapeID="_x0000_i1049" DrawAspect="Content" ObjectID="_1543751371" r:id="rId63"/>
        </w:object>
      </w:r>
    </w:p>
    <w:p w:rsidR="003330C0" w:rsidRPr="003A2FB9" w:rsidRDefault="003330C0" w:rsidP="00661C23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8</w:t>
      </w:r>
    </w:p>
    <w:p w:rsidR="003330C0" w:rsidRPr="003A2FB9" w:rsidRDefault="003330C0" w:rsidP="00661C23">
      <w:pPr>
        <w:pStyle w:val="Figuretitle"/>
        <w:rPr>
          <w:lang w:val="ru-RU"/>
        </w:rPr>
      </w:pPr>
      <w:r w:rsidRPr="003A2FB9">
        <w:rPr>
          <w:lang w:val="ru-RU"/>
        </w:rPr>
        <w:t xml:space="preserve">Примеры помех для спутника СРД, расположенного на </w:t>
      </w:r>
      <w:r w:rsidR="006021EE" w:rsidRPr="003A2FB9">
        <w:rPr>
          <w:lang w:val="ru-RU"/>
        </w:rPr>
        <w:t>174</w:t>
      </w:r>
      <w:r w:rsidRPr="003A2FB9">
        <w:rPr>
          <w:lang w:val="ru-RU"/>
        </w:rPr>
        <w:t xml:space="preserve">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  <w:r w:rsidRPr="003A2FB9">
        <w:rPr>
          <w:lang w:val="ru-RU"/>
        </w:rPr>
        <w:br/>
        <w:t>(см. п. 3.2)</w:t>
      </w:r>
    </w:p>
    <w:p w:rsidR="003330C0" w:rsidRPr="003A2FB9" w:rsidRDefault="00661C23" w:rsidP="00661C23">
      <w:pPr>
        <w:pStyle w:val="Figure"/>
        <w:rPr>
          <w:lang w:val="ru-RU"/>
        </w:rPr>
      </w:pPr>
      <w:r w:rsidRPr="003A2FB9">
        <w:rPr>
          <w:lang w:val="ru-RU"/>
        </w:rPr>
        <w:object w:dxaOrig="5020" w:dyaOrig="3912">
          <v:shape id="_x0000_i1050" type="#_x0000_t75" style="width:319.3pt;height:242.3pt" o:ole="">
            <v:imagedata r:id="rId64" o:title="" cropbottom="1966f"/>
          </v:shape>
          <o:OLEObject Type="Embed" ProgID="CorelDRAW.Graphic.14" ShapeID="_x0000_i1050" DrawAspect="Content" ObjectID="_1543751372" r:id="rId65"/>
        </w:object>
      </w:r>
    </w:p>
    <w:p w:rsidR="00CA7242" w:rsidRPr="003A2FB9" w:rsidRDefault="00CA7242" w:rsidP="00661C23">
      <w:pPr>
        <w:pStyle w:val="Normalaftertitle"/>
        <w:rPr>
          <w:lang w:val="ru-RU"/>
        </w:rPr>
      </w:pPr>
      <w:r w:rsidRPr="003A2FB9">
        <w:rPr>
          <w:lang w:val="ru-RU"/>
        </w:rPr>
        <w:t xml:space="preserve">На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>9 приведены временные характеристики помех для орбитальной позиции СРД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На рисунке показано, что критерии защиты из Рекомендации МСЭ-R</w:t>
      </w:r>
      <w:r w:rsidR="00B7604B" w:rsidRPr="003A2FB9">
        <w:rPr>
          <w:lang w:val="ru-RU"/>
        </w:rPr>
        <w:t xml:space="preserve"> </w:t>
      </w:r>
      <w:r w:rsidRPr="003A2FB9">
        <w:rPr>
          <w:lang w:val="ru-RU"/>
        </w:rPr>
        <w:t>SA.1155 выполняются для каждой орбиты спутника, находящегося на орбите, аналогичной орбите международной космической станции.</w:t>
      </w:r>
    </w:p>
    <w:p w:rsidR="00094739" w:rsidRPr="003A2FB9" w:rsidRDefault="00094739" w:rsidP="00661C23">
      <w:pPr>
        <w:pStyle w:val="FigureNo"/>
        <w:rPr>
          <w:lang w:val="ru-RU"/>
        </w:rPr>
      </w:pPr>
      <w:r w:rsidRPr="003A2FB9">
        <w:rPr>
          <w:lang w:val="ru-RU"/>
        </w:rPr>
        <w:t>РИСУНОК 9</w:t>
      </w:r>
    </w:p>
    <w:p w:rsidR="00094739" w:rsidRPr="003A2FB9" w:rsidRDefault="00094739" w:rsidP="00661C23">
      <w:pPr>
        <w:pStyle w:val="Figuretitle"/>
        <w:rPr>
          <w:lang w:val="ru-RU"/>
        </w:rPr>
      </w:pPr>
      <w:r w:rsidRPr="003A2FB9">
        <w:rPr>
          <w:lang w:val="ru-RU"/>
        </w:rPr>
        <w:t xml:space="preserve">Временные характеристики для спутника СРД, расположенного на 85° з. д. </w:t>
      </w:r>
      <w:r w:rsidRPr="003A2FB9">
        <w:rPr>
          <w:lang w:val="ru-RU"/>
        </w:rPr>
        <w:br/>
        <w:t xml:space="preserve">при отслеживании низкоорбитального спутника пользователя </w:t>
      </w:r>
      <w:r w:rsidRPr="003A2FB9">
        <w:rPr>
          <w:lang w:val="ru-RU"/>
        </w:rPr>
        <w:br/>
        <w:t>на орбите типа орбиты международной космической станции</w:t>
      </w:r>
    </w:p>
    <w:p w:rsidR="008B5260" w:rsidRPr="003A2FB9" w:rsidRDefault="008B5260" w:rsidP="00661C23">
      <w:pPr>
        <w:pStyle w:val="Figure"/>
        <w:rPr>
          <w:lang w:val="ru-RU"/>
        </w:rPr>
      </w:pPr>
      <w:r w:rsidRPr="003A2FB9">
        <w:rPr>
          <w:lang w:val="ru-RU"/>
        </w:rPr>
        <w:object w:dxaOrig="4623" w:dyaOrig="3587">
          <v:shape id="_x0000_i1051" type="#_x0000_t75" style="width:314.3pt;height:232.3pt" o:ole="">
            <v:imagedata r:id="rId66" o:title=""/>
          </v:shape>
          <o:OLEObject Type="Embed" ProgID="CorelDRAW.Graphic.14" ShapeID="_x0000_i1051" DrawAspect="Content" ObjectID="_1543751373" r:id="rId67"/>
        </w:object>
      </w:r>
    </w:p>
    <w:p w:rsidR="00661C23" w:rsidRPr="003A2FB9" w:rsidRDefault="00661C2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 w:rsidRPr="003A2FB9">
        <w:rPr>
          <w:szCs w:val="22"/>
          <w:lang w:val="ru-RU"/>
        </w:rPr>
        <w:br w:type="page"/>
      </w:r>
    </w:p>
    <w:p w:rsidR="00CA7242" w:rsidRPr="003A2FB9" w:rsidRDefault="00CA7242" w:rsidP="008E62D4">
      <w:pPr>
        <w:rPr>
          <w:szCs w:val="22"/>
          <w:lang w:val="ru-RU"/>
        </w:rPr>
      </w:pPr>
      <w:r w:rsidRPr="003A2FB9">
        <w:rPr>
          <w:szCs w:val="22"/>
          <w:lang w:val="ru-RU"/>
        </w:rPr>
        <w:lastRenderedPageBreak/>
        <w:t xml:space="preserve">В </w:t>
      </w:r>
      <w:r w:rsidR="00B7604B" w:rsidRPr="003A2FB9">
        <w:rPr>
          <w:szCs w:val="22"/>
          <w:lang w:val="ru-RU"/>
        </w:rPr>
        <w:t xml:space="preserve">таблице </w:t>
      </w:r>
      <w:r w:rsidRPr="003A2FB9">
        <w:rPr>
          <w:szCs w:val="22"/>
          <w:lang w:val="ru-RU"/>
        </w:rPr>
        <w:t>2 обобщены временные результаты.</w:t>
      </w:r>
    </w:p>
    <w:p w:rsidR="00CA7242" w:rsidRPr="003A2FB9" w:rsidRDefault="00CA7242" w:rsidP="00661C23">
      <w:pPr>
        <w:pStyle w:val="TableNo"/>
        <w:rPr>
          <w:lang w:val="ru-RU"/>
        </w:rPr>
      </w:pPr>
      <w:r w:rsidRPr="003A2FB9">
        <w:rPr>
          <w:lang w:val="ru-RU"/>
        </w:rPr>
        <w:t>ТАБЛИЦА 2</w:t>
      </w:r>
    </w:p>
    <w:p w:rsidR="00CA7242" w:rsidRPr="003A2FB9" w:rsidRDefault="00CA7242" w:rsidP="00661C23">
      <w:pPr>
        <w:pStyle w:val="Tabletitle"/>
        <w:rPr>
          <w:lang w:val="ru-RU"/>
        </w:rPr>
      </w:pPr>
      <w:r w:rsidRPr="003A2FB9">
        <w:rPr>
          <w:lang w:val="ru-RU"/>
        </w:rPr>
        <w:t xml:space="preserve">Краткое изложение временных помех, </w:t>
      </w:r>
      <w:r w:rsidRPr="003A2FB9">
        <w:rPr>
          <w:i/>
          <w:iCs/>
          <w:lang w:val="ru-RU"/>
        </w:rPr>
        <w:t>I</w:t>
      </w:r>
      <w:r w:rsidRPr="003A2FB9">
        <w:rPr>
          <w:lang w:val="ru-RU"/>
        </w:rPr>
        <w:t>, результаты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0"/>
        <w:gridCol w:w="1459"/>
        <w:gridCol w:w="1924"/>
        <w:gridCol w:w="1873"/>
        <w:gridCol w:w="1221"/>
        <w:gridCol w:w="1116"/>
        <w:gridCol w:w="1209"/>
        <w:gridCol w:w="17"/>
      </w:tblGrid>
      <w:tr w:rsidR="00CA7242" w:rsidRPr="001F0117" w:rsidTr="00661C23">
        <w:trPr>
          <w:cantSplit/>
          <w:trHeight w:val="395"/>
          <w:jc w:val="center"/>
        </w:trPr>
        <w:tc>
          <w:tcPr>
            <w:tcW w:w="851" w:type="dxa"/>
            <w:vAlign w:val="center"/>
          </w:tcPr>
          <w:p w:rsidR="00CA7242" w:rsidRPr="003A2FB9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Орби-тальная позиция СРД </w:t>
            </w:r>
          </w:p>
        </w:tc>
        <w:tc>
          <w:tcPr>
            <w:tcW w:w="1523" w:type="dxa"/>
            <w:vAlign w:val="center"/>
          </w:tcPr>
          <w:p w:rsidR="00CA7242" w:rsidRPr="003A2FB9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Общее количество орбит спутника </w:t>
            </w:r>
            <w:r w:rsidRPr="003A2FB9">
              <w:rPr>
                <w:sz w:val="16"/>
                <w:szCs w:val="16"/>
                <w:lang w:val="ru-RU"/>
              </w:rPr>
              <w:br/>
              <w:t>(~1,6 час/орбита)</w:t>
            </w:r>
          </w:p>
        </w:tc>
        <w:tc>
          <w:tcPr>
            <w:tcW w:w="2013" w:type="dxa"/>
            <w:vAlign w:val="center"/>
          </w:tcPr>
          <w:p w:rsidR="00CA7242" w:rsidRPr="003A2FB9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Длительность между орбитами, когда</w:t>
            </w:r>
            <w:r w:rsidR="00B7604B"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&lt; –148 дБ(Вт/МГц)</w:t>
            </w:r>
            <w:r w:rsidRPr="003A2FB9">
              <w:rPr>
                <w:sz w:val="16"/>
                <w:szCs w:val="16"/>
                <w:lang w:val="ru-RU"/>
              </w:rPr>
              <w:br/>
              <w:t>(ч)</w:t>
            </w:r>
          </w:p>
        </w:tc>
        <w:tc>
          <w:tcPr>
            <w:tcW w:w="1959" w:type="dxa"/>
            <w:vAlign w:val="center"/>
          </w:tcPr>
          <w:p w:rsidR="00CA7242" w:rsidRPr="003A2FB9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Количество орбит спутника, когда </w:t>
            </w:r>
            <w:r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&gt; –148 дБ(Вт/МГц)</w:t>
            </w:r>
          </w:p>
        </w:tc>
        <w:tc>
          <w:tcPr>
            <w:tcW w:w="3712" w:type="dxa"/>
            <w:gridSpan w:val="4"/>
            <w:vAlign w:val="center"/>
          </w:tcPr>
          <w:p w:rsidR="00CA7242" w:rsidRPr="003A2FB9" w:rsidRDefault="00CA7242" w:rsidP="00661C23">
            <w:pPr>
              <w:pStyle w:val="Tablehea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Для орбит, на которых </w:t>
            </w:r>
            <w:r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&gt; –148 дБ(Вт/МГц)</w:t>
            </w:r>
          </w:p>
        </w:tc>
      </w:tr>
      <w:tr w:rsidR="00CA7242" w:rsidRPr="001F0117" w:rsidTr="00661C23">
        <w:trPr>
          <w:cantSplit/>
          <w:trHeight w:val="585"/>
          <w:jc w:val="center"/>
        </w:trPr>
        <w:tc>
          <w:tcPr>
            <w:tcW w:w="851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52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01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59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27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Длительность</w:t>
            </w:r>
            <w:r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&gt; –148 дБ(Вт/МГц)</w:t>
            </w:r>
            <w:r w:rsidRPr="003A2FB9">
              <w:rPr>
                <w:sz w:val="16"/>
                <w:szCs w:val="16"/>
                <w:lang w:val="ru-RU"/>
              </w:rPr>
              <w:br/>
              <w:t>(с)</w:t>
            </w:r>
          </w:p>
        </w:tc>
        <w:tc>
          <w:tcPr>
            <w:tcW w:w="1162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Процент орбиты </w:t>
            </w:r>
            <w:r w:rsidRPr="003A2FB9">
              <w:rPr>
                <w:sz w:val="16"/>
                <w:szCs w:val="16"/>
                <w:lang w:val="ru-RU"/>
              </w:rPr>
              <w:br/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 xml:space="preserve"> &gt; –148 дБ(Вт/МГц)</w:t>
            </w:r>
          </w:p>
        </w:tc>
        <w:tc>
          <w:tcPr>
            <w:tcW w:w="1277" w:type="dxa"/>
            <w:gridSpan w:val="2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Пиковое </w:t>
            </w:r>
            <w:r w:rsidRPr="003A2FB9">
              <w:rPr>
                <w:i/>
                <w:iCs/>
                <w:sz w:val="16"/>
                <w:szCs w:val="16"/>
                <w:lang w:val="ru-RU"/>
              </w:rPr>
              <w:t>I</w:t>
            </w:r>
            <w:r w:rsidRPr="003A2FB9">
              <w:rPr>
                <w:sz w:val="16"/>
                <w:szCs w:val="16"/>
                <w:lang w:val="ru-RU"/>
              </w:rPr>
              <w:t> </w:t>
            </w:r>
            <w:r w:rsidRPr="003A2FB9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3A2FB9">
              <w:rPr>
                <w:sz w:val="16"/>
                <w:szCs w:val="16"/>
                <w:lang w:val="ru-RU"/>
              </w:rPr>
              <w:br/>
              <w:t>(дБ(Вт/МГц))</w:t>
            </w:r>
          </w:p>
        </w:tc>
      </w:tr>
      <w:tr w:rsidR="00CA7242" w:rsidRPr="003A2FB9" w:rsidTr="00661C23">
        <w:trPr>
          <w:cantSplit/>
          <w:jc w:val="center"/>
        </w:trPr>
        <w:tc>
          <w:tcPr>
            <w:tcW w:w="851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174° </w:t>
            </w:r>
            <w:r w:rsidR="00F60A6E" w:rsidRPr="003A2FB9">
              <w:rPr>
                <w:sz w:val="16"/>
                <w:szCs w:val="16"/>
                <w:lang w:val="ru-RU"/>
              </w:rPr>
              <w:t>з. </w:t>
            </w:r>
            <w:r w:rsidRPr="003A2FB9">
              <w:rPr>
                <w:sz w:val="16"/>
                <w:szCs w:val="16"/>
                <w:lang w:val="ru-RU"/>
              </w:rPr>
              <w:t>д</w:t>
            </w:r>
            <w:r w:rsidR="00F60A6E" w:rsidRPr="003A2FB9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52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145</w:t>
            </w:r>
          </w:p>
        </w:tc>
        <w:tc>
          <w:tcPr>
            <w:tcW w:w="201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6,1 до 30,9</w:t>
            </w:r>
          </w:p>
        </w:tc>
        <w:tc>
          <w:tcPr>
            <w:tcW w:w="1959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127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5 до 50</w:t>
            </w:r>
          </w:p>
        </w:tc>
        <w:tc>
          <w:tcPr>
            <w:tcW w:w="1162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0,1 до 0,8</w:t>
            </w:r>
          </w:p>
        </w:tc>
        <w:tc>
          <w:tcPr>
            <w:tcW w:w="1277" w:type="dxa"/>
            <w:gridSpan w:val="2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–143,8</w:t>
            </w:r>
          </w:p>
        </w:tc>
      </w:tr>
      <w:tr w:rsidR="00CA7242" w:rsidRPr="003A2FB9" w:rsidTr="00661C23">
        <w:trPr>
          <w:cantSplit/>
          <w:jc w:val="center"/>
        </w:trPr>
        <w:tc>
          <w:tcPr>
            <w:tcW w:w="851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 xml:space="preserve">41° </w:t>
            </w:r>
            <w:r w:rsidR="00F60A6E" w:rsidRPr="003A2FB9">
              <w:rPr>
                <w:sz w:val="16"/>
                <w:szCs w:val="16"/>
                <w:lang w:val="ru-RU"/>
              </w:rPr>
              <w:t>з. </w:t>
            </w:r>
            <w:r w:rsidRPr="003A2FB9">
              <w:rPr>
                <w:sz w:val="16"/>
                <w:szCs w:val="16"/>
                <w:lang w:val="ru-RU"/>
              </w:rPr>
              <w:t>д</w:t>
            </w:r>
            <w:r w:rsidR="00F60A6E" w:rsidRPr="003A2FB9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52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145</w:t>
            </w:r>
          </w:p>
        </w:tc>
        <w:tc>
          <w:tcPr>
            <w:tcW w:w="201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7,7 до 71</w:t>
            </w:r>
          </w:p>
        </w:tc>
        <w:tc>
          <w:tcPr>
            <w:tcW w:w="1959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127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10 до 60</w:t>
            </w:r>
          </w:p>
        </w:tc>
        <w:tc>
          <w:tcPr>
            <w:tcW w:w="1162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от 0,2 до 1,0</w:t>
            </w:r>
          </w:p>
        </w:tc>
        <w:tc>
          <w:tcPr>
            <w:tcW w:w="1277" w:type="dxa"/>
            <w:gridSpan w:val="2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–137,8</w:t>
            </w:r>
          </w:p>
        </w:tc>
      </w:tr>
      <w:tr w:rsidR="00CA7242" w:rsidRPr="003A2FB9" w:rsidTr="00661C23">
        <w:trPr>
          <w:cantSplit/>
          <w:jc w:val="center"/>
        </w:trPr>
        <w:tc>
          <w:tcPr>
            <w:tcW w:w="851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85° в</w:t>
            </w:r>
            <w:r w:rsidR="00F60A6E" w:rsidRPr="003A2FB9">
              <w:rPr>
                <w:sz w:val="16"/>
                <w:szCs w:val="16"/>
                <w:lang w:val="ru-RU"/>
              </w:rPr>
              <w:t>. </w:t>
            </w:r>
            <w:r w:rsidRPr="003A2FB9">
              <w:rPr>
                <w:sz w:val="16"/>
                <w:szCs w:val="16"/>
                <w:lang w:val="ru-RU"/>
              </w:rPr>
              <w:t>д</w:t>
            </w:r>
            <w:r w:rsidR="00F60A6E" w:rsidRPr="003A2FB9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52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145</w:t>
            </w:r>
          </w:p>
        </w:tc>
        <w:tc>
          <w:tcPr>
            <w:tcW w:w="201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н/д</w:t>
            </w:r>
          </w:p>
        </w:tc>
        <w:tc>
          <w:tcPr>
            <w:tcW w:w="1959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273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н/д</w:t>
            </w:r>
          </w:p>
        </w:tc>
        <w:tc>
          <w:tcPr>
            <w:tcW w:w="1162" w:type="dxa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н/д</w:t>
            </w:r>
          </w:p>
        </w:tc>
        <w:tc>
          <w:tcPr>
            <w:tcW w:w="1277" w:type="dxa"/>
            <w:gridSpan w:val="2"/>
          </w:tcPr>
          <w:p w:rsidR="00CA7242" w:rsidRPr="003A2FB9" w:rsidRDefault="00CA7242" w:rsidP="00661C23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lang w:val="ru-RU"/>
              </w:rPr>
              <w:t>–148,3</w:t>
            </w:r>
          </w:p>
        </w:tc>
      </w:tr>
      <w:tr w:rsidR="00CA7242" w:rsidRPr="001F0117" w:rsidTr="00661C23">
        <w:trPr>
          <w:gridAfter w:val="1"/>
          <w:wAfter w:w="17" w:type="dxa"/>
          <w:cantSplit/>
          <w:jc w:val="center"/>
        </w:trPr>
        <w:tc>
          <w:tcPr>
            <w:tcW w:w="10041" w:type="dxa"/>
            <w:gridSpan w:val="7"/>
            <w:tcBorders>
              <w:left w:val="nil"/>
              <w:bottom w:val="nil"/>
              <w:right w:val="nil"/>
            </w:tcBorders>
          </w:tcPr>
          <w:p w:rsidR="00CA7242" w:rsidRPr="003A2FB9" w:rsidRDefault="00CA7242" w:rsidP="00661C23">
            <w:pPr>
              <w:pStyle w:val="Tablelegend"/>
              <w:rPr>
                <w:sz w:val="16"/>
                <w:szCs w:val="16"/>
                <w:lang w:val="ru-RU"/>
              </w:rPr>
            </w:pPr>
            <w:r w:rsidRPr="003A2FB9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3A2FB9">
              <w:rPr>
                <w:sz w:val="16"/>
                <w:szCs w:val="16"/>
                <w:lang w:val="ru-RU"/>
              </w:rPr>
              <w:tab/>
              <w:t>Небольшая разница в пиковых уровнях, полученных при временном и пространственном анализе, обусловлена эффектами выборок между пространственным и временным анализом, небольшими различиями моделей в ширине диаграммы направленности антенны концентратора по углу места по уровню 3 дБ, различиями источников получения верхней точки боковых лепестков, рабочей частоты и включения в пространственную модель влияния изгиба в атмосфере (Рекомендация МСЭ</w:t>
            </w:r>
            <w:r w:rsidR="00B7604B" w:rsidRPr="003A2FB9">
              <w:rPr>
                <w:sz w:val="16"/>
                <w:szCs w:val="16"/>
                <w:lang w:val="ru-RU"/>
              </w:rPr>
              <w:t>-</w:t>
            </w:r>
            <w:r w:rsidRPr="003A2FB9">
              <w:rPr>
                <w:sz w:val="16"/>
                <w:szCs w:val="16"/>
                <w:lang w:val="ru-RU"/>
              </w:rPr>
              <w:t>R F.1333).</w:t>
            </w:r>
          </w:p>
        </w:tc>
      </w:tr>
    </w:tbl>
    <w:p w:rsidR="00CA7242" w:rsidRPr="003A2FB9" w:rsidRDefault="00CA7242" w:rsidP="00661C23">
      <w:pPr>
        <w:pStyle w:val="Tablefin"/>
        <w:rPr>
          <w:lang w:val="ru-RU"/>
        </w:rPr>
      </w:pPr>
    </w:p>
    <w:p w:rsidR="00CA7242" w:rsidRPr="003A2FB9" w:rsidRDefault="00CA7242" w:rsidP="00CB3B47">
      <w:pPr>
        <w:rPr>
          <w:lang w:val="ru-RU"/>
        </w:rPr>
      </w:pPr>
      <w:r w:rsidRPr="003A2FB9">
        <w:rPr>
          <w:lang w:val="ru-RU"/>
        </w:rPr>
        <w:t>В заключении можно сказать, что на протяжении нескольких орбит, в которых уровень помех превышает –148 дБ(Вт/МГц), защитный уровень превышается немногим более, чем на 0,1% для худшего случая в течение примерно 1% времени для СРД, расположенных в точках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Для СРД, расположенного в точке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защитные критерии из Рекомендации МСЭ</w:t>
      </w:r>
      <w:r w:rsidR="00CB3B47" w:rsidRPr="003A2FB9">
        <w:rPr>
          <w:lang w:val="ru-RU"/>
        </w:rPr>
        <w:noBreakHyphen/>
      </w:r>
      <w:r w:rsidRPr="003A2FB9">
        <w:rPr>
          <w:lang w:val="ru-RU"/>
        </w:rPr>
        <w:t>R</w:t>
      </w:r>
      <w:r w:rsidR="00CB3B47" w:rsidRPr="003A2FB9">
        <w:rPr>
          <w:lang w:val="ru-RU"/>
        </w:rPr>
        <w:t> </w:t>
      </w:r>
      <w:r w:rsidRPr="003A2FB9">
        <w:rPr>
          <w:lang w:val="ru-RU"/>
        </w:rPr>
        <w:t>SA.1155 выполняются.</w:t>
      </w:r>
    </w:p>
    <w:p w:rsidR="00CA7242" w:rsidRPr="003A2FB9" w:rsidRDefault="00CA7242" w:rsidP="00CB3B47">
      <w:pPr>
        <w:pStyle w:val="Heading1"/>
        <w:rPr>
          <w:lang w:val="ru-RU"/>
        </w:rPr>
      </w:pPr>
      <w:r w:rsidRPr="003A2FB9">
        <w:rPr>
          <w:lang w:val="ru-RU"/>
        </w:rPr>
        <w:t>4</w:t>
      </w:r>
      <w:r w:rsidRPr="003A2FB9">
        <w:rPr>
          <w:lang w:val="ru-RU"/>
        </w:rPr>
        <w:tab/>
        <w:t>Результаты Исследования B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 xml:space="preserve">В следующих разделах представлены результаты временного и пространственного анализа на основе других исследований. В данном исследовании будет рассматриваться спектральная плотность э.и.и.м. на станцию-концентратор, равная +14 дБ(Вт/МГц), с учетом того, что определенные системы требуют, чтобы плотность э.и.и.м. была больше +8 дБ(Вт/МГц). Будут рассматриваться два спутника пользователя: международная космическая станция (высота орбиты 400 км и угол наклона 51,6°) и </w:t>
      </w:r>
      <w:r w:rsidR="00C25ED5" w:rsidRPr="003A2FB9">
        <w:rPr>
          <w:lang w:val="ru-RU"/>
        </w:rPr>
        <w:t>E</w:t>
      </w:r>
      <w:r w:rsidRPr="003A2FB9">
        <w:rPr>
          <w:lang w:val="ru-RU"/>
        </w:rPr>
        <w:t>OS (высота орбиты 800 км и угол наклона 98,6°). Вместо критерия защиты –148 дБ(Вт/МГц) будет использоваться критерий совместного использования –142 дБ(Вт/МГц).</w:t>
      </w:r>
    </w:p>
    <w:p w:rsidR="00CA7242" w:rsidRPr="003A2FB9" w:rsidRDefault="00CA7242" w:rsidP="00CB3B47">
      <w:pPr>
        <w:pStyle w:val="Heading2"/>
        <w:rPr>
          <w:lang w:val="ru-RU"/>
        </w:rPr>
      </w:pPr>
      <w:r w:rsidRPr="003A2FB9">
        <w:rPr>
          <w:lang w:val="ru-RU"/>
        </w:rPr>
        <w:t>4.1</w:t>
      </w:r>
      <w:r w:rsidRPr="003A2FB9">
        <w:rPr>
          <w:lang w:val="ru-RU"/>
        </w:rPr>
        <w:tab/>
        <w:t>Результаты – временной анализ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Для целей данного анализа представлен сценарий наихудшего случая помех, которым является СРД в точке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 xml:space="preserve">д. На 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>10 показаны совокупные излучения от концентраторов LMDS, полученных СРД во время слежения за международной космической станцией в те</w:t>
      </w:r>
      <w:r w:rsidR="00CB3B47" w:rsidRPr="003A2FB9">
        <w:rPr>
          <w:lang w:val="ru-RU"/>
        </w:rPr>
        <w:t>чение 30 дней с шагом в 5 с. На </w:t>
      </w:r>
      <w:r w:rsidR="00B7604B" w:rsidRPr="003A2FB9">
        <w:rPr>
          <w:lang w:val="ru-RU"/>
        </w:rPr>
        <w:t xml:space="preserve">рисунке </w:t>
      </w:r>
      <w:r w:rsidRPr="003A2FB9">
        <w:rPr>
          <w:lang w:val="ru-RU"/>
        </w:rPr>
        <w:t xml:space="preserve">11 представлен такой же график для СРД, следящим за </w:t>
      </w:r>
      <w:r w:rsidR="00C25ED5" w:rsidRPr="003A2FB9">
        <w:rPr>
          <w:lang w:val="ru-RU"/>
        </w:rPr>
        <w:t>E</w:t>
      </w:r>
      <w:r w:rsidRPr="003A2FB9">
        <w:rPr>
          <w:lang w:val="ru-RU"/>
        </w:rPr>
        <w:t>OS.</w:t>
      </w:r>
    </w:p>
    <w:p w:rsidR="007F66CC" w:rsidRPr="003A2FB9" w:rsidRDefault="007F66CC" w:rsidP="0021319B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10</w:t>
      </w:r>
    </w:p>
    <w:p w:rsidR="007F66CC" w:rsidRPr="003A2FB9" w:rsidRDefault="007F66CC" w:rsidP="0021319B">
      <w:pPr>
        <w:pStyle w:val="Figuretitle"/>
        <w:rPr>
          <w:lang w:val="ru-RU"/>
        </w:rPr>
      </w:pPr>
      <w:r w:rsidRPr="003A2FB9">
        <w:rPr>
          <w:lang w:val="ru-RU"/>
        </w:rPr>
        <w:t>Помехи СРД, расположенному на 41° з. д., во время слежения</w:t>
      </w:r>
      <w:r w:rsidRPr="003A2FB9">
        <w:rPr>
          <w:lang w:val="ru-RU"/>
        </w:rPr>
        <w:br/>
        <w:t>за международной космической станцией</w:t>
      </w:r>
    </w:p>
    <w:p w:rsidR="007F66CC" w:rsidRPr="003A2FB9" w:rsidRDefault="0021319B" w:rsidP="0021319B">
      <w:pPr>
        <w:pStyle w:val="Figure"/>
        <w:rPr>
          <w:lang w:val="ru-RU"/>
        </w:rPr>
      </w:pPr>
      <w:r w:rsidRPr="003A2FB9">
        <w:rPr>
          <w:lang w:val="ru-RU"/>
        </w:rPr>
        <w:object w:dxaOrig="6400" w:dyaOrig="4332">
          <v:shape id="_x0000_i1052" type="#_x0000_t75" style="width:406.95pt;height:266.1pt" o:ole="">
            <v:imagedata r:id="rId68" o:title="" cropbottom="2578f"/>
          </v:shape>
          <o:OLEObject Type="Embed" ProgID="CorelDRAW.Graphic.14" ShapeID="_x0000_i1052" DrawAspect="Content" ObjectID="_1543751374" r:id="rId69"/>
        </w:object>
      </w:r>
    </w:p>
    <w:p w:rsidR="007F66CC" w:rsidRPr="003A2FB9" w:rsidRDefault="007F66CC" w:rsidP="0021319B">
      <w:pPr>
        <w:pStyle w:val="FigureNo"/>
        <w:rPr>
          <w:lang w:val="ru-RU"/>
        </w:rPr>
      </w:pPr>
      <w:r w:rsidRPr="003A2FB9">
        <w:rPr>
          <w:lang w:val="ru-RU"/>
        </w:rPr>
        <w:t>РИСУНОК 11</w:t>
      </w:r>
    </w:p>
    <w:p w:rsidR="007F66CC" w:rsidRPr="003A2FB9" w:rsidRDefault="007F66CC" w:rsidP="0021319B">
      <w:pPr>
        <w:pStyle w:val="Figuretitle"/>
        <w:rPr>
          <w:lang w:val="ru-RU"/>
        </w:rPr>
      </w:pPr>
      <w:r w:rsidRPr="003A2FB9">
        <w:rPr>
          <w:lang w:val="ru-RU"/>
        </w:rPr>
        <w:t>Помехи СРД, расположенному на 41° з. д., при отслеживании EOS</w:t>
      </w:r>
    </w:p>
    <w:p w:rsidR="00CA7242" w:rsidRPr="003A2FB9" w:rsidRDefault="0021319B" w:rsidP="0021319B">
      <w:pPr>
        <w:pStyle w:val="Figure"/>
        <w:rPr>
          <w:lang w:val="ru-RU"/>
        </w:rPr>
      </w:pPr>
      <w:r w:rsidRPr="003A2FB9">
        <w:rPr>
          <w:lang w:val="ru-RU"/>
        </w:rPr>
        <w:object w:dxaOrig="6206" w:dyaOrig="4461">
          <v:shape id="_x0000_i1053" type="#_x0000_t75" style="width:400.05pt;height:252.95pt" o:ole="">
            <v:imagedata r:id="rId70" o:title="" cropbottom="3263f"/>
          </v:shape>
          <o:OLEObject Type="Embed" ProgID="CorelDRAW.Graphic.14" ShapeID="_x0000_i1053" DrawAspect="Content" ObjectID="_1543751375" r:id="rId71"/>
        </w:object>
      </w:r>
    </w:p>
    <w:p w:rsidR="000547DB" w:rsidRDefault="000547D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CA7242" w:rsidRPr="003A2FB9" w:rsidRDefault="00CA7242" w:rsidP="0021319B">
      <w:pPr>
        <w:pStyle w:val="Normalaftertitle"/>
        <w:rPr>
          <w:lang w:val="ru-RU"/>
        </w:rPr>
      </w:pPr>
      <w:r w:rsidRPr="003A2FB9">
        <w:rPr>
          <w:lang w:val="ru-RU"/>
        </w:rPr>
        <w:lastRenderedPageBreak/>
        <w:t xml:space="preserve">Как показано на обоих рисунках, излучения от развернутых станций LMDS, работающих с э.и.и.м. +14 дБ(Вт/МГц) на одну станцию-концентратор, </w:t>
      </w:r>
      <w:r w:rsidR="00700A0A" w:rsidRPr="003A2FB9">
        <w:rPr>
          <w:lang w:val="ru-RU"/>
        </w:rPr>
        <w:t>в основном, оказываются</w:t>
      </w:r>
      <w:r w:rsidRPr="003A2FB9">
        <w:rPr>
          <w:lang w:val="ru-RU"/>
        </w:rPr>
        <w:t xml:space="preserve"> ниже критерия совместного использования –142 дБ(Вт/МГц). Для СРД, следящего за международной космической станцией, суммарные излучения, превышающие значения критерия совместного использования, наблюдаются только в течение примерно 0,1% времени за весь 30-дневный период. Это показано на </w:t>
      </w:r>
      <w:r w:rsidR="00B7604B" w:rsidRPr="003A2FB9">
        <w:rPr>
          <w:lang w:val="ru-RU"/>
        </w:rPr>
        <w:t>рисунке </w:t>
      </w:r>
      <w:r w:rsidRPr="003A2FB9">
        <w:rPr>
          <w:lang w:val="ru-RU"/>
        </w:rPr>
        <w:t xml:space="preserve">12. Как показано на </w:t>
      </w:r>
      <w:r w:rsidR="00B7604B" w:rsidRPr="003A2FB9">
        <w:rPr>
          <w:lang w:val="ru-RU"/>
        </w:rPr>
        <w:t>рисунке </w:t>
      </w:r>
      <w:r w:rsidRPr="003A2FB9">
        <w:rPr>
          <w:lang w:val="ru-RU"/>
        </w:rPr>
        <w:t xml:space="preserve">13, суммарные излучения, принимаемые системой СРД, следящей за </w:t>
      </w:r>
      <w:r w:rsidR="00C25ED5" w:rsidRPr="003A2FB9">
        <w:rPr>
          <w:lang w:val="ru-RU"/>
        </w:rPr>
        <w:t>E</w:t>
      </w:r>
      <w:r w:rsidRPr="003A2FB9">
        <w:rPr>
          <w:lang w:val="ru-RU"/>
        </w:rPr>
        <w:t>OS, превышают критерий совместного использования примерно в течение 0,06% времени. Следует отметить, что эти события наблюдаются на известных прогнозируемых позициях на Земле, которые легко могут быть определены при помощи моделирования.</w:t>
      </w:r>
    </w:p>
    <w:p w:rsidR="007F66CC" w:rsidRPr="003A2FB9" w:rsidRDefault="007F66CC" w:rsidP="00D225D6">
      <w:pPr>
        <w:pStyle w:val="FigureNo"/>
        <w:rPr>
          <w:lang w:val="ru-RU"/>
        </w:rPr>
      </w:pPr>
      <w:r w:rsidRPr="003A2FB9">
        <w:rPr>
          <w:lang w:val="ru-RU"/>
        </w:rPr>
        <w:t>РИСУНОК 12</w:t>
      </w:r>
    </w:p>
    <w:p w:rsidR="007F66CC" w:rsidRPr="003A2FB9" w:rsidRDefault="007F66CC" w:rsidP="00D225D6">
      <w:pPr>
        <w:pStyle w:val="Figuretitle"/>
        <w:rPr>
          <w:lang w:val="ru-RU"/>
        </w:rPr>
      </w:pPr>
      <w:r w:rsidRPr="003A2FB9">
        <w:rPr>
          <w:lang w:val="ru-RU"/>
        </w:rPr>
        <w:t>Интегральная помеха в СРД, расположенного на 41° з. д., во время слежения</w:t>
      </w:r>
      <w:r w:rsidRPr="003A2FB9">
        <w:rPr>
          <w:lang w:val="ru-RU"/>
        </w:rPr>
        <w:br/>
        <w:t>за международной космической станцией в течение 30 дней</w:t>
      </w:r>
    </w:p>
    <w:p w:rsidR="007F66CC" w:rsidRPr="003A2FB9" w:rsidRDefault="00D225D6" w:rsidP="00D225D6">
      <w:pPr>
        <w:pStyle w:val="Figure"/>
        <w:rPr>
          <w:lang w:val="ru-RU"/>
        </w:rPr>
      </w:pPr>
      <w:r w:rsidRPr="003A2FB9">
        <w:rPr>
          <w:lang w:val="ru-RU"/>
        </w:rPr>
        <w:object w:dxaOrig="6674" w:dyaOrig="4509">
          <v:shape id="_x0000_i1054" type="#_x0000_t75" style="width:438.25pt;height:278.6pt" o:ole="">
            <v:imagedata r:id="rId72" o:title="" cropbottom="3578f"/>
          </v:shape>
          <o:OLEObject Type="Embed" ProgID="CorelDRAW.Graphic.14" ShapeID="_x0000_i1054" DrawAspect="Content" ObjectID="_1543751376" r:id="rId73"/>
        </w:object>
      </w:r>
    </w:p>
    <w:p w:rsidR="007F66CC" w:rsidRPr="003A2FB9" w:rsidRDefault="007F66CC" w:rsidP="009E2392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13</w:t>
      </w:r>
    </w:p>
    <w:p w:rsidR="007F66CC" w:rsidRPr="003A2FB9" w:rsidRDefault="007F66CC" w:rsidP="009E2392">
      <w:pPr>
        <w:pStyle w:val="Figuretitle"/>
        <w:rPr>
          <w:lang w:val="ru-RU"/>
        </w:rPr>
      </w:pPr>
      <w:r w:rsidRPr="003A2FB9">
        <w:rPr>
          <w:lang w:val="ru-RU"/>
        </w:rPr>
        <w:t xml:space="preserve">Интегральная помеха в СРД, расположенного на 41° з. д., </w:t>
      </w:r>
      <w:r w:rsidRPr="003A2FB9">
        <w:rPr>
          <w:lang w:val="ru-RU"/>
        </w:rPr>
        <w:br/>
        <w:t>при отслеживании EOS в течение 30 дней</w:t>
      </w:r>
    </w:p>
    <w:p w:rsidR="007F66CC" w:rsidRPr="003A2FB9" w:rsidRDefault="00BD1523" w:rsidP="009E2392">
      <w:pPr>
        <w:pStyle w:val="Figure"/>
        <w:rPr>
          <w:lang w:val="ru-RU"/>
        </w:rPr>
      </w:pPr>
      <w:r w:rsidRPr="003A2FB9">
        <w:rPr>
          <w:lang w:val="ru-RU"/>
        </w:rPr>
        <w:object w:dxaOrig="6553" w:dyaOrig="4340">
          <v:shape id="_x0000_i1055" type="#_x0000_t75" style="width:445.75pt;height:287.35pt" o:ole="">
            <v:imagedata r:id="rId74" o:title=""/>
          </v:shape>
          <o:OLEObject Type="Embed" ProgID="CorelDRAW.Graphic.14" ShapeID="_x0000_i1055" DrawAspect="Content" ObjectID="_1543751377" r:id="rId75"/>
        </w:object>
      </w:r>
    </w:p>
    <w:p w:rsidR="00CA7242" w:rsidRPr="003A2FB9" w:rsidRDefault="00CA7242" w:rsidP="007A6FAE">
      <w:pPr>
        <w:pStyle w:val="Normalaftertitle"/>
        <w:rPr>
          <w:lang w:val="ru-RU"/>
        </w:rPr>
      </w:pPr>
      <w:r w:rsidRPr="003A2FB9">
        <w:rPr>
          <w:lang w:val="ru-RU"/>
        </w:rPr>
        <w:t xml:space="preserve">Приведенные выше результаты соответствуют итогам пространственного анализа, рассмотренного ниже. </w:t>
      </w:r>
    </w:p>
    <w:p w:rsidR="00CA7242" w:rsidRPr="003A2FB9" w:rsidRDefault="00CA7242" w:rsidP="009E2392">
      <w:pPr>
        <w:pStyle w:val="Heading2"/>
        <w:rPr>
          <w:lang w:val="ru-RU"/>
        </w:rPr>
      </w:pPr>
      <w:r w:rsidRPr="003A2FB9">
        <w:rPr>
          <w:lang w:val="ru-RU"/>
        </w:rPr>
        <w:t>4.2</w:t>
      </w:r>
      <w:r w:rsidRPr="003A2FB9">
        <w:rPr>
          <w:lang w:val="ru-RU"/>
        </w:rPr>
        <w:tab/>
        <w:t>Результаты – пространственный анализ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Результаты пространственного анализа приведены для трех орбитальных позиций СРД, включая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д.,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Точки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представляют собой сценарий наихудшего случая, а точка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– типовой случай существования помех. Следует отметить, что для многих точек орбиты критерий совместного использования никогда не превышается.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 xml:space="preserve">На </w:t>
      </w:r>
      <w:r w:rsidR="0045139D" w:rsidRPr="003A2FB9">
        <w:rPr>
          <w:lang w:val="ru-RU"/>
        </w:rPr>
        <w:t xml:space="preserve">рисунке </w:t>
      </w:r>
      <w:r w:rsidRPr="003A2FB9">
        <w:rPr>
          <w:lang w:val="ru-RU"/>
        </w:rPr>
        <w:t>14 показан пространственный профиль помехи, создаваемой излучениями системы LMDS и воздействующей на спутник СРД, расположенный в точке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 xml:space="preserve">д. Как показано, те излучения, которые превышают критерий совместного использования –142 дБ(Вт/МГц) сосредоточены вокруг определенных прогнозируемых местоположений. На </w:t>
      </w:r>
      <w:r w:rsidR="00B7604B" w:rsidRPr="003A2FB9">
        <w:rPr>
          <w:lang w:val="ru-RU"/>
        </w:rPr>
        <w:t xml:space="preserve">рисунках </w:t>
      </w:r>
      <w:r w:rsidRPr="003A2FB9">
        <w:rPr>
          <w:lang w:val="ru-RU"/>
        </w:rPr>
        <w:t>15 и 16 изображены аналогичные графики для орбитальных позиций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</w:t>
      </w:r>
    </w:p>
    <w:p w:rsidR="007F66CC" w:rsidRPr="003A2FB9" w:rsidRDefault="007F66CC" w:rsidP="009E2392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14</w:t>
      </w:r>
    </w:p>
    <w:p w:rsidR="007F66CC" w:rsidRPr="003A2FB9" w:rsidRDefault="007F66CC" w:rsidP="009E2392">
      <w:pPr>
        <w:pStyle w:val="Figuretitle"/>
        <w:rPr>
          <w:lang w:val="ru-RU"/>
        </w:rPr>
      </w:pPr>
      <w:r w:rsidRPr="003A2FB9">
        <w:rPr>
          <w:lang w:val="ru-RU"/>
        </w:rPr>
        <w:t>Профиль пространственной помехи для СРД, расположенного на 41° з. д.</w:t>
      </w:r>
    </w:p>
    <w:p w:rsidR="008B5260" w:rsidRPr="003A2FB9" w:rsidRDefault="005A5165" w:rsidP="007A6FAE">
      <w:pPr>
        <w:pStyle w:val="Figure"/>
        <w:rPr>
          <w:lang w:val="ru-RU"/>
        </w:rPr>
      </w:pPr>
      <w:r w:rsidRPr="003A2FB9">
        <w:rPr>
          <w:lang w:val="ru-RU"/>
        </w:rPr>
        <w:object w:dxaOrig="6395" w:dyaOrig="7189">
          <v:shape id="_x0000_i1056" type="#_x0000_t75" style="width:427.6pt;height:500.85pt" o:ole="">
            <v:imagedata r:id="rId76" o:title=""/>
          </v:shape>
          <o:OLEObject Type="Embed" ProgID="CorelDRAW.Graphic.14" ShapeID="_x0000_i1056" DrawAspect="Content" ObjectID="_1543751378" r:id="rId77"/>
        </w:object>
      </w:r>
    </w:p>
    <w:p w:rsidR="001E58A8" w:rsidRPr="003A2FB9" w:rsidRDefault="001E58A8" w:rsidP="009E2392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15</w:t>
      </w:r>
    </w:p>
    <w:p w:rsidR="001E58A8" w:rsidRPr="003A2FB9" w:rsidRDefault="001E58A8" w:rsidP="009E2392">
      <w:pPr>
        <w:pStyle w:val="Figuretitle"/>
        <w:rPr>
          <w:lang w:val="ru-RU"/>
        </w:rPr>
      </w:pPr>
      <w:r w:rsidRPr="003A2FB9">
        <w:rPr>
          <w:lang w:val="ru-RU"/>
        </w:rPr>
        <w:t>Профиль пространственной помехи для СРД, расположенного на 174° з. д.</w:t>
      </w:r>
    </w:p>
    <w:p w:rsidR="008B5260" w:rsidRPr="003A2FB9" w:rsidRDefault="00DE78D8" w:rsidP="007A6FAE">
      <w:pPr>
        <w:pStyle w:val="Figure"/>
        <w:rPr>
          <w:lang w:val="ru-RU"/>
        </w:rPr>
      </w:pPr>
      <w:r w:rsidRPr="003A2FB9">
        <w:rPr>
          <w:lang w:val="ru-RU"/>
        </w:rPr>
        <w:object w:dxaOrig="6396" w:dyaOrig="6903">
          <v:shape id="_x0000_i1057" type="#_x0000_t75" style="width:443.25pt;height:478.95pt" o:ole="">
            <v:imagedata r:id="rId78" o:title=""/>
          </v:shape>
          <o:OLEObject Type="Embed" ProgID="CorelDRAW.Graphic.14" ShapeID="_x0000_i1057" DrawAspect="Content" ObjectID="_1543751379" r:id="rId79"/>
        </w:object>
      </w:r>
    </w:p>
    <w:p w:rsidR="001E58A8" w:rsidRPr="003A2FB9" w:rsidRDefault="001E58A8" w:rsidP="009E2392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16</w:t>
      </w:r>
    </w:p>
    <w:p w:rsidR="001E58A8" w:rsidRPr="003A2FB9" w:rsidRDefault="001E58A8" w:rsidP="009E2392">
      <w:pPr>
        <w:pStyle w:val="Figuretitle"/>
        <w:rPr>
          <w:lang w:val="ru-RU"/>
        </w:rPr>
      </w:pPr>
      <w:r w:rsidRPr="003A2FB9">
        <w:rPr>
          <w:lang w:val="ru-RU"/>
        </w:rPr>
        <w:t>Профиль пространственной помехи для СРД, расположенного на 85° </w:t>
      </w:r>
      <w:r w:rsidR="006021EE" w:rsidRPr="003A2FB9">
        <w:rPr>
          <w:lang w:val="ru-RU"/>
        </w:rPr>
        <w:t>в</w:t>
      </w:r>
      <w:r w:rsidRPr="003A2FB9">
        <w:rPr>
          <w:lang w:val="ru-RU"/>
        </w:rPr>
        <w:t>. д.</w:t>
      </w:r>
    </w:p>
    <w:p w:rsidR="008B5260" w:rsidRPr="003A2FB9" w:rsidRDefault="005A5165" w:rsidP="00956911">
      <w:pPr>
        <w:pStyle w:val="Figure"/>
        <w:rPr>
          <w:lang w:val="ru-RU"/>
        </w:rPr>
      </w:pPr>
      <w:r w:rsidRPr="003A2FB9">
        <w:rPr>
          <w:lang w:val="ru-RU"/>
        </w:rPr>
        <w:object w:dxaOrig="6396" w:dyaOrig="6892">
          <v:shape id="_x0000_i1058" type="#_x0000_t75" style="width:446.4pt;height:480.2pt" o:ole="">
            <v:imagedata r:id="rId80" o:title=""/>
          </v:shape>
          <o:OLEObject Type="Embed" ProgID="CorelDRAW.Graphic.14" ShapeID="_x0000_i1058" DrawAspect="Content" ObjectID="_1543751380" r:id="rId81"/>
        </w:object>
      </w:r>
    </w:p>
    <w:p w:rsidR="00CA7242" w:rsidRPr="003A2FB9" w:rsidRDefault="00CA7242" w:rsidP="00956911">
      <w:pPr>
        <w:pStyle w:val="Normalaftertitle"/>
        <w:rPr>
          <w:lang w:val="ru-RU"/>
        </w:rPr>
      </w:pPr>
      <w:r w:rsidRPr="003A2FB9">
        <w:rPr>
          <w:lang w:val="ru-RU"/>
        </w:rPr>
        <w:t xml:space="preserve">Следует отметить, что вышеуказанные графики основаны на сеансах моделирования, использующих </w:t>
      </w:r>
      <w:r w:rsidRPr="003A2FB9">
        <w:rPr>
          <w:i/>
          <w:iCs/>
          <w:lang w:val="ru-RU"/>
        </w:rPr>
        <w:t>k</w:t>
      </w:r>
      <w:r w:rsidR="00D60F73" w:rsidRPr="003A2FB9">
        <w:rPr>
          <w:lang w:val="ru-RU"/>
        </w:rPr>
        <w:t> </w:t>
      </w:r>
      <w:r w:rsidRPr="003A2FB9">
        <w:rPr>
          <w:lang w:val="ru-RU"/>
        </w:rPr>
        <w:t xml:space="preserve">= 0 для диаграммы направленности антенны, указанной в Рекомендации МСЭ-R F.1336. Сеансы моделирования выполнялись также при </w:t>
      </w:r>
      <w:r w:rsidRPr="003A2FB9">
        <w:rPr>
          <w:i/>
          <w:iCs/>
          <w:lang w:val="ru-RU"/>
        </w:rPr>
        <w:t>k</w:t>
      </w:r>
      <w:r w:rsidRPr="003A2FB9">
        <w:rPr>
          <w:lang w:val="ru-RU"/>
        </w:rPr>
        <w:t> =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1 (более выраженные боковые лепестки), и было замечено, что общий профиль помехи остается относительно постоянным, что предполагает, что вклад боковых лепестков является незначительным.</w:t>
      </w:r>
    </w:p>
    <w:p w:rsidR="00CA7242" w:rsidRPr="003A2FB9" w:rsidRDefault="00CA7242" w:rsidP="00956911">
      <w:pPr>
        <w:pStyle w:val="Heading2"/>
        <w:rPr>
          <w:lang w:val="ru-RU"/>
        </w:rPr>
      </w:pPr>
      <w:r w:rsidRPr="003A2FB9">
        <w:rPr>
          <w:lang w:val="ru-RU"/>
        </w:rPr>
        <w:t>4.3</w:t>
      </w:r>
      <w:r w:rsidRPr="003A2FB9">
        <w:rPr>
          <w:lang w:val="ru-RU"/>
        </w:rPr>
        <w:tab/>
        <w:t>Обсуждение результатов (п. 4)</w:t>
      </w:r>
    </w:p>
    <w:p w:rsidR="00CA7242" w:rsidRPr="003A2FB9" w:rsidRDefault="00CA7242" w:rsidP="00D60F73">
      <w:pPr>
        <w:rPr>
          <w:lang w:val="ru-RU"/>
        </w:rPr>
      </w:pPr>
      <w:r w:rsidRPr="003A2FB9">
        <w:rPr>
          <w:lang w:val="ru-RU"/>
        </w:rPr>
        <w:t>Как указано в вышеприведенном анализе, критерий совместного использования, равный</w:t>
      </w:r>
      <w:r w:rsidR="00B7604B" w:rsidRPr="003A2FB9">
        <w:rPr>
          <w:lang w:val="ru-RU"/>
        </w:rPr>
        <w:t xml:space="preserve"> величине</w:t>
      </w:r>
      <w:r w:rsidRPr="003A2FB9">
        <w:rPr>
          <w:lang w:val="ru-RU"/>
        </w:rPr>
        <w:t xml:space="preserve"> </w:t>
      </w:r>
      <w:r w:rsidR="00D60F73" w:rsidRPr="003A2FB9">
        <w:rPr>
          <w:lang w:val="ru-RU"/>
        </w:rPr>
        <w:t>−</w:t>
      </w:r>
      <w:r w:rsidRPr="003A2FB9">
        <w:rPr>
          <w:lang w:val="ru-RU"/>
        </w:rPr>
        <w:t>142 дБ(Вт/МГц), позволяет двум службам совместно использовать частоты без существенного ограничения одной из услуг. Критерий совместного использования, в отличие от критерия защиты, должен учитывать природу конкретных служб в полосе частот и отразить необходимость обеспечить работу этих служб. В случае совместного использования полосы частот 25,25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>27,5 ГГц системами СРД и системами П-МП ФС существует ряд смягчающих факторов, которые будут поддерживать критерий совместного использования –142 дБ(Вт/МГц), например:</w:t>
      </w:r>
    </w:p>
    <w:p w:rsidR="00CA7242" w:rsidRPr="003A2FB9" w:rsidRDefault="00CA7242" w:rsidP="00956911">
      <w:pPr>
        <w:pStyle w:val="enumlev1"/>
        <w:rPr>
          <w:lang w:val="ru-RU"/>
        </w:rPr>
      </w:pPr>
      <w:r w:rsidRPr="003A2FB9">
        <w:rPr>
          <w:lang w:val="ru-RU"/>
        </w:rPr>
        <w:lastRenderedPageBreak/>
        <w:t>–</w:t>
      </w:r>
      <w:r w:rsidRPr="003A2FB9">
        <w:rPr>
          <w:lang w:val="ru-RU"/>
        </w:rPr>
        <w:tab/>
        <w:t xml:space="preserve">Как уже обсуждалось, использование систем с секторными антеннами с наклоном вниз будет общепринято для развертывания систем П-МП. В системах потребуется применять высокий уровень секторизации с целью управления внутрисистемной помехой и достижения уровней повторного использования частот, которые были бы выгодными для бизнеса. </w:t>
      </w:r>
    </w:p>
    <w:p w:rsidR="00CA7242" w:rsidRPr="003A2FB9" w:rsidRDefault="00CA7242" w:rsidP="00956911">
      <w:pPr>
        <w:pStyle w:val="enumlev1"/>
        <w:rPr>
          <w:lang w:val="ru-RU"/>
        </w:rPr>
      </w:pPr>
      <w:r w:rsidRPr="003A2FB9">
        <w:rPr>
          <w:lang w:val="ru-RU"/>
        </w:rPr>
        <w:t>–</w:t>
      </w:r>
      <w:r w:rsidRPr="003A2FB9">
        <w:rPr>
          <w:lang w:val="ru-RU"/>
        </w:rPr>
        <w:tab/>
        <w:t xml:space="preserve">Излучения, которые превышают критерий совместного использования, создаются в прогнозируемых местоположениях на Земле, что позволяет </w:t>
      </w:r>
      <w:r w:rsidRPr="003A2FB9">
        <w:rPr>
          <w:i/>
          <w:lang w:val="ru-RU"/>
        </w:rPr>
        <w:t>заранее</w:t>
      </w:r>
      <w:r w:rsidRPr="003A2FB9">
        <w:rPr>
          <w:lang w:val="ru-RU"/>
        </w:rPr>
        <w:t xml:space="preserve"> принять необходимые меры во избежание влияния помех.</w:t>
      </w:r>
    </w:p>
    <w:p w:rsidR="00CA7242" w:rsidRPr="003A2FB9" w:rsidRDefault="00CA7242" w:rsidP="00956911">
      <w:pPr>
        <w:pStyle w:val="enumlev1"/>
        <w:rPr>
          <w:lang w:val="ru-RU"/>
        </w:rPr>
      </w:pPr>
      <w:r w:rsidRPr="003A2FB9">
        <w:rPr>
          <w:lang w:val="ru-RU"/>
        </w:rPr>
        <w:t>–</w:t>
      </w:r>
      <w:r w:rsidRPr="003A2FB9">
        <w:rPr>
          <w:lang w:val="ru-RU"/>
        </w:rPr>
        <w:tab/>
        <w:t>Использование полосы 25,25</w:t>
      </w:r>
      <w:r w:rsidRPr="003A2FB9">
        <w:rPr>
          <w:lang w:val="ru-RU"/>
        </w:rPr>
        <w:sym w:font="Symbol" w:char="F02D"/>
      </w:r>
      <w:r w:rsidRPr="003A2FB9">
        <w:rPr>
          <w:lang w:val="ru-RU"/>
        </w:rPr>
        <w:t>27,5 ГГц фиксированной службой меняется от администрации к администрации. В некоторых странах операторы имеют право использовать системы связи пункта со многими пунктами, в других странах операторы используют сочетание систем связи пункта с пунктом и системы П-МП (некоторые операторы широкополосной связи используют несколько систем связи пункта с пунктом от центральной станции). Кроме того, сегодняшние частотные планы поддерживают целый ряд систем связи пункта с пунктом и систем П-МП. Следовательно, уровень совокупного излучения от систем связи пункта со многими пунктами в системы СРД, вероятно, будет намного меньше, чем описанный в настоящем исследовании.</w:t>
      </w:r>
    </w:p>
    <w:p w:rsidR="00CA7242" w:rsidRPr="003A2FB9" w:rsidRDefault="00CA7242" w:rsidP="00956911">
      <w:pPr>
        <w:pStyle w:val="Heading1"/>
        <w:rPr>
          <w:lang w:val="ru-RU"/>
        </w:rPr>
      </w:pPr>
      <w:r w:rsidRPr="003A2FB9">
        <w:rPr>
          <w:lang w:val="ru-RU"/>
        </w:rPr>
        <w:t>5</w:t>
      </w:r>
      <w:r w:rsidRPr="003A2FB9">
        <w:rPr>
          <w:lang w:val="ru-RU"/>
        </w:rPr>
        <w:tab/>
        <w:t>Получение дополнительных результатов для других развертываний систем LMDS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Результаты, описанные в п</w:t>
      </w:r>
      <w:r w:rsidR="00B7604B" w:rsidRPr="003A2FB9">
        <w:rPr>
          <w:lang w:val="ru-RU"/>
        </w:rPr>
        <w:t>п</w:t>
      </w:r>
      <w:r w:rsidRPr="003A2FB9">
        <w:rPr>
          <w:lang w:val="ru-RU"/>
        </w:rPr>
        <w:t xml:space="preserve">. 3 и 4, основаны на определенных предположениях относительно радиуса соты LMDS. В настоящем разделе описываются простые способы получения дополнительных результатов для вариантов </w:t>
      </w:r>
      <w:r w:rsidR="00700A0A" w:rsidRPr="003A2FB9">
        <w:rPr>
          <w:lang w:val="ru-RU"/>
        </w:rPr>
        <w:t>развертывания систем LMDS,</w:t>
      </w:r>
      <w:r w:rsidRPr="003A2FB9">
        <w:rPr>
          <w:lang w:val="ru-RU"/>
        </w:rPr>
        <w:t xml:space="preserve"> в которых используются соты меньшего размера.</w:t>
      </w:r>
    </w:p>
    <w:p w:rsidR="00CA7242" w:rsidRPr="003A2FB9" w:rsidRDefault="00CA7242" w:rsidP="001A6F2B">
      <w:pPr>
        <w:rPr>
          <w:lang w:val="ru-RU"/>
        </w:rPr>
      </w:pPr>
      <w:r w:rsidRPr="003A2FB9">
        <w:rPr>
          <w:lang w:val="ru-RU"/>
        </w:rPr>
        <w:t>Как правило, в городских центрах малые размеры сот приводят к большему числу сот в зрелой системе LMDS. Вследствие маленького размера соты, э.и.и.м. станции-концентратора, необходимая для предоставления такого же запаса в канале для самого удаленного абонента, будет уменьшаться пропорционально квадрату расстояния, при условии прямой видимости. Таким образом, относительное уменьшение спектральной плотности э.и.и.м. для меньшего размера сот по сравнению с эталонной сотой, определяется по формуле:</w:t>
      </w:r>
    </w:p>
    <w:p w:rsidR="00CA7242" w:rsidRPr="003A2FB9" w:rsidRDefault="00CA7242" w:rsidP="00956911">
      <w:pPr>
        <w:pStyle w:val="Equation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tab/>
      </w:r>
      <w:r w:rsidR="00F21192" w:rsidRPr="003A2FB9">
        <w:rPr>
          <w:position w:val="-30"/>
          <w:lang w:val="ru-RU"/>
        </w:rPr>
        <w:object w:dxaOrig="1460" w:dyaOrig="720">
          <v:shape id="_x0000_i1059" type="#_x0000_t75" style="width:68.25pt;height:36.3pt" o:ole="">
            <v:imagedata r:id="rId82" o:title=""/>
          </v:shape>
          <o:OLEObject Type="Embed" ProgID="Equation.3" ShapeID="_x0000_i1059" DrawAspect="Content" ObjectID="_1543751381" r:id="rId83"/>
        </w:object>
      </w:r>
      <w:r w:rsidRPr="003A2FB9">
        <w:rPr>
          <w:lang w:val="ru-RU"/>
        </w:rPr>
        <w:tab/>
        <w:t>(10)</w:t>
      </w:r>
    </w:p>
    <w:p w:rsidR="00CA7242" w:rsidRPr="003A2FB9" w:rsidRDefault="00CA7242" w:rsidP="00237119">
      <w:pPr>
        <w:rPr>
          <w:lang w:val="ru-RU"/>
        </w:rPr>
      </w:pPr>
      <w:r w:rsidRPr="003A2FB9">
        <w:rPr>
          <w:lang w:val="ru-RU"/>
        </w:rPr>
        <w:t>где</w:t>
      </w:r>
      <w:r w:rsidR="00956911" w:rsidRPr="003A2FB9">
        <w:rPr>
          <w:lang w:val="ru-RU"/>
        </w:rPr>
        <w:t>:</w:t>
      </w:r>
    </w:p>
    <w:p w:rsidR="00CA7242" w:rsidRPr="003A2FB9" w:rsidRDefault="00CA7242" w:rsidP="00956911">
      <w:pPr>
        <w:pStyle w:val="Equationlegend"/>
        <w:rPr>
          <w:lang w:val="ru-RU"/>
        </w:rPr>
      </w:pPr>
      <w:r w:rsidRPr="003A2FB9">
        <w:rPr>
          <w:lang w:val="ru-RU"/>
        </w:rPr>
        <w:tab/>
      </w:r>
      <w:r w:rsidRPr="003A2FB9">
        <w:rPr>
          <w:lang w:val="ru-RU"/>
        </w:rPr>
        <w:sym w:font="Symbol" w:char="F047"/>
      </w:r>
      <w:r w:rsidRPr="003A2FB9">
        <w:rPr>
          <w:i/>
          <w:iCs/>
          <w:vertAlign w:val="subscript"/>
          <w:lang w:val="ru-RU"/>
        </w:rPr>
        <w:t>i</w:t>
      </w:r>
      <w:r w:rsidRPr="003A2FB9">
        <w:rPr>
          <w:rFonts w:ascii="Tms Rmn" w:hAnsi="Tms Rmn"/>
          <w:lang w:val="ru-RU"/>
        </w:rPr>
        <w:t> :</w:t>
      </w:r>
      <w:r w:rsidRPr="003A2FB9">
        <w:rPr>
          <w:lang w:val="ru-RU"/>
        </w:rPr>
        <w:tab/>
        <w:t xml:space="preserve">коэффициент уменьшения спектральной плотности э.и.и.м. для </w:t>
      </w:r>
      <w:r w:rsidRPr="003A2FB9">
        <w:rPr>
          <w:i/>
          <w:iCs/>
          <w:lang w:val="ru-RU"/>
        </w:rPr>
        <w:t>i</w:t>
      </w:r>
      <w:r w:rsidRPr="003A2FB9">
        <w:rPr>
          <w:lang w:val="ru-RU"/>
        </w:rPr>
        <w:t>-й соты (дБ)</w:t>
      </w:r>
      <w:r w:rsidR="00821C5A" w:rsidRPr="003A2FB9">
        <w:rPr>
          <w:lang w:val="ru-RU"/>
        </w:rPr>
        <w:t>;</w:t>
      </w:r>
      <w:r w:rsidRPr="003A2FB9">
        <w:rPr>
          <w:lang w:val="ru-RU"/>
        </w:rPr>
        <w:t xml:space="preserve"> </w:t>
      </w:r>
    </w:p>
    <w:p w:rsidR="00CA7242" w:rsidRPr="003A2FB9" w:rsidRDefault="00CA7242" w:rsidP="00956911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r</w:t>
      </w:r>
      <w:r w:rsidRPr="003A2FB9">
        <w:rPr>
          <w:i/>
          <w:iCs/>
          <w:vertAlign w:val="subscript"/>
          <w:lang w:val="ru-RU"/>
        </w:rPr>
        <w:t>i</w:t>
      </w:r>
      <w:r w:rsidRPr="003A2FB9">
        <w:rPr>
          <w:rFonts w:ascii="Tms Rmn" w:hAnsi="Tms Rmn"/>
          <w:lang w:val="ru-RU"/>
        </w:rPr>
        <w:t> :</w:t>
      </w:r>
      <w:r w:rsidRPr="003A2FB9">
        <w:rPr>
          <w:lang w:val="ru-RU"/>
        </w:rPr>
        <w:tab/>
        <w:t xml:space="preserve">радиус </w:t>
      </w:r>
      <w:r w:rsidRPr="003A2FB9">
        <w:rPr>
          <w:i/>
          <w:iCs/>
          <w:lang w:val="ru-RU"/>
        </w:rPr>
        <w:t>i</w:t>
      </w:r>
      <w:r w:rsidRPr="003A2FB9">
        <w:rPr>
          <w:lang w:val="ru-RU"/>
        </w:rPr>
        <w:t>-й соты (км)</w:t>
      </w:r>
      <w:r w:rsidR="00821C5A" w:rsidRPr="003A2FB9">
        <w:rPr>
          <w:lang w:val="ru-RU"/>
        </w:rPr>
        <w:t>;</w:t>
      </w:r>
    </w:p>
    <w:p w:rsidR="00CA7242" w:rsidRPr="003A2FB9" w:rsidRDefault="00CA7242" w:rsidP="009E2392">
      <w:pPr>
        <w:pStyle w:val="Equationlegend"/>
        <w:rPr>
          <w:lang w:val="ru-RU"/>
        </w:rPr>
      </w:pPr>
      <w:r w:rsidRPr="003A2FB9">
        <w:rPr>
          <w:i/>
          <w:iCs/>
          <w:lang w:val="ru-RU"/>
        </w:rPr>
        <w:tab/>
        <w:t>r</w:t>
      </w:r>
      <w:r w:rsidRPr="003A2FB9">
        <w:rPr>
          <w:vertAlign w:val="subscript"/>
          <w:lang w:val="ru-RU"/>
        </w:rPr>
        <w:t>0</w:t>
      </w:r>
      <w:r w:rsidRPr="003A2FB9">
        <w:rPr>
          <w:rFonts w:ascii="Tms Rmn" w:hAnsi="Tms Rmn"/>
          <w:lang w:val="ru-RU"/>
        </w:rPr>
        <w:t> :</w:t>
      </w:r>
      <w:r w:rsidRPr="003A2FB9">
        <w:rPr>
          <w:lang w:val="ru-RU"/>
        </w:rPr>
        <w:tab/>
        <w:t>радиус эталонной соты, т. е. 5 км.</w:t>
      </w:r>
    </w:p>
    <w:p w:rsidR="00CA7242" w:rsidRPr="003A2FB9" w:rsidRDefault="00CA7242" w:rsidP="009E2392">
      <w:pPr>
        <w:rPr>
          <w:lang w:val="ru-RU"/>
        </w:rPr>
      </w:pPr>
      <w:r w:rsidRPr="003A2FB9">
        <w:rPr>
          <w:lang w:val="ru-RU"/>
        </w:rPr>
        <w:t>Применяется коэффициент снижения просто. Например, предположим, что спектральная плотность э.и.и.м. составляет +8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дБ(Вт/МГц) при использовании эталонной соты радиусом 5 км; тогда уменьшение размера соты до 2,5 км приведет к снижению спектральной плотности до +2 дБ(Вт/МГц).</w:t>
      </w:r>
    </w:p>
    <w:p w:rsidR="00CA7242" w:rsidRPr="003A2FB9" w:rsidRDefault="00CA7242" w:rsidP="00AB5D9A">
      <w:pPr>
        <w:rPr>
          <w:lang w:val="ru-RU"/>
        </w:rPr>
      </w:pPr>
      <w:r w:rsidRPr="003A2FB9">
        <w:rPr>
          <w:lang w:val="ru-RU"/>
        </w:rPr>
        <w:t xml:space="preserve">Следует отметить, что применение данного метода будет ограничивать совокупную спектральную плотность э.и.и.м. от любого городского центра до уровня, который не зависит от размера соты. </w:t>
      </w:r>
    </w:p>
    <w:p w:rsidR="00CA7242" w:rsidRPr="003A2FB9" w:rsidRDefault="00CA7242" w:rsidP="00AB5D9A">
      <w:pPr>
        <w:rPr>
          <w:lang w:val="ru-RU"/>
        </w:rPr>
      </w:pPr>
      <w:r w:rsidRPr="003A2FB9">
        <w:rPr>
          <w:lang w:val="ru-RU"/>
        </w:rPr>
        <w:t>Отметим, что для развертывания нескольких фиксированных служб цель развертывания будет состоять в том, чтобы в отличие от постоянного запаса в канале, сохранить постоянную готовность линии, поскольку изменяется расстояние до наиболее удаленного абонента. Используя методики Рекомендации МСЭ-R P.530 для заданной готовности линии, с уменьшением протяженности линии необходимый запас в канале уменьшается. Таким образом, уравнение (10) дает осторожную оценку уменьшения спектральной плотности э.и.и.м. в зависимости от сокращения размера соты.</w:t>
      </w:r>
    </w:p>
    <w:p w:rsidR="000547DB" w:rsidRDefault="000547D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CA7242" w:rsidRPr="003A2FB9" w:rsidRDefault="00CA7242" w:rsidP="009E2392">
      <w:pPr>
        <w:pStyle w:val="Heading1"/>
        <w:rPr>
          <w:lang w:val="ru-RU"/>
        </w:rPr>
      </w:pPr>
      <w:r w:rsidRPr="003A2FB9">
        <w:rPr>
          <w:lang w:val="ru-RU"/>
        </w:rPr>
        <w:lastRenderedPageBreak/>
        <w:t>6</w:t>
      </w:r>
      <w:r w:rsidRPr="003A2FB9">
        <w:rPr>
          <w:lang w:val="ru-RU"/>
        </w:rPr>
        <w:tab/>
        <w:t>Помехи в POCS</w:t>
      </w: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t xml:space="preserve">Помеховый сценарий для POCS подобен помеховому сценарию для СРД, в котором излучения LMDS в одном канале поступают на приемные антенны POCS, поскольку спутник вращается вокруг Земли. </w:t>
      </w:r>
    </w:p>
    <w:p w:rsidR="00CA7242" w:rsidRPr="003A2FB9" w:rsidRDefault="00CA7242" w:rsidP="009E2392">
      <w:pPr>
        <w:pStyle w:val="Heading2"/>
        <w:rPr>
          <w:lang w:val="ru-RU"/>
        </w:rPr>
      </w:pPr>
      <w:r w:rsidRPr="003A2FB9">
        <w:rPr>
          <w:lang w:val="ru-RU"/>
        </w:rPr>
        <w:t>6.1</w:t>
      </w:r>
      <w:r w:rsidRPr="003A2FB9">
        <w:rPr>
          <w:lang w:val="ru-RU"/>
        </w:rPr>
        <w:tab/>
        <w:t>Характеристики систем LMDS</w:t>
      </w: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t>Некоторые характеристики LMDS, описанные в п. 2.1, были приняты для анализа POCS.</w:t>
      </w: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t>Однако было принято значение спектральной плотности э.и.и.м. +14 дБ(Вт/МГц).</w:t>
      </w:r>
    </w:p>
    <w:p w:rsidR="00CA7242" w:rsidRPr="003A2FB9" w:rsidRDefault="00CA7242" w:rsidP="009E2392">
      <w:pPr>
        <w:pStyle w:val="Heading2"/>
        <w:rPr>
          <w:lang w:val="ru-RU"/>
        </w:rPr>
      </w:pPr>
      <w:r w:rsidRPr="003A2FB9">
        <w:rPr>
          <w:lang w:val="ru-RU"/>
        </w:rPr>
        <w:t>6.2</w:t>
      </w:r>
      <w:r w:rsidRPr="003A2FB9">
        <w:rPr>
          <w:lang w:val="ru-RU"/>
        </w:rPr>
        <w:tab/>
        <w:t>Характеристики POCS</w:t>
      </w: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t xml:space="preserve">В рамках данного анализы были рассмотрены два пользователя POCS: международная космическая станция и многоразовый орбитальный космический аппарат. Предполагается, что каждая POCS имеет две антенны: с высоким и низким усилением. В </w:t>
      </w:r>
      <w:r w:rsidR="00B7604B" w:rsidRPr="003A2FB9">
        <w:rPr>
          <w:lang w:val="ru-RU"/>
        </w:rPr>
        <w:t xml:space="preserve">таблице </w:t>
      </w:r>
      <w:r w:rsidRPr="003A2FB9">
        <w:rPr>
          <w:lang w:val="ru-RU"/>
        </w:rPr>
        <w:t>3 кратко приводятся характеристики систем POCS.</w:t>
      </w:r>
    </w:p>
    <w:p w:rsidR="00CA7242" w:rsidRPr="003A2FB9" w:rsidRDefault="00CA7242" w:rsidP="00237119">
      <w:pPr>
        <w:pStyle w:val="TableNo"/>
        <w:rPr>
          <w:lang w:val="ru-RU"/>
        </w:rPr>
      </w:pPr>
      <w:r w:rsidRPr="003A2FB9">
        <w:rPr>
          <w:lang w:val="ru-RU"/>
        </w:rPr>
        <w:t>ТАБЛИЦА 3</w:t>
      </w:r>
    </w:p>
    <w:p w:rsidR="00CA7242" w:rsidRPr="003A2FB9" w:rsidRDefault="00CA7242" w:rsidP="00237119">
      <w:pPr>
        <w:pStyle w:val="Tabletitle"/>
        <w:rPr>
          <w:lang w:val="ru-RU"/>
        </w:rPr>
      </w:pPr>
      <w:r w:rsidRPr="003A2FB9">
        <w:rPr>
          <w:lang w:val="ru-RU"/>
        </w:rPr>
        <w:t>Характеристики POCS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1"/>
        <w:gridCol w:w="1212"/>
        <w:gridCol w:w="1558"/>
        <w:gridCol w:w="1212"/>
        <w:gridCol w:w="2886"/>
      </w:tblGrid>
      <w:tr w:rsidR="00CA7242" w:rsidRPr="003A2FB9" w:rsidTr="009E2392">
        <w:trPr>
          <w:jc w:val="center"/>
        </w:trPr>
        <w:tc>
          <w:tcPr>
            <w:tcW w:w="2722" w:type="dxa"/>
          </w:tcPr>
          <w:p w:rsidR="00CA7242" w:rsidRPr="003A2FB9" w:rsidRDefault="00CA7242" w:rsidP="009E2392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Пользователь</w:t>
            </w:r>
          </w:p>
        </w:tc>
        <w:tc>
          <w:tcPr>
            <w:tcW w:w="2722" w:type="dxa"/>
            <w:gridSpan w:val="2"/>
          </w:tcPr>
          <w:p w:rsidR="00CA7242" w:rsidRPr="003A2FB9" w:rsidRDefault="00CA7242" w:rsidP="009E2392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Орбита</w:t>
            </w:r>
          </w:p>
        </w:tc>
        <w:tc>
          <w:tcPr>
            <w:tcW w:w="4026" w:type="dxa"/>
            <w:gridSpan w:val="2"/>
          </w:tcPr>
          <w:p w:rsidR="00CA7242" w:rsidRPr="003A2FB9" w:rsidRDefault="00CA7242" w:rsidP="009E2392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Приемная антенна</w:t>
            </w:r>
          </w:p>
        </w:tc>
      </w:tr>
      <w:tr w:rsidR="00CA7242" w:rsidRPr="003A2FB9" w:rsidTr="009E2392">
        <w:trPr>
          <w:jc w:val="center"/>
        </w:trPr>
        <w:tc>
          <w:tcPr>
            <w:tcW w:w="2722" w:type="dxa"/>
          </w:tcPr>
          <w:p w:rsidR="00CA7242" w:rsidRPr="003A2FB9" w:rsidRDefault="00CA7242" w:rsidP="009E2392">
            <w:pPr>
              <w:pStyle w:val="Tablehead"/>
              <w:rPr>
                <w:lang w:val="ru-RU"/>
              </w:rPr>
            </w:pPr>
          </w:p>
        </w:tc>
        <w:tc>
          <w:tcPr>
            <w:tcW w:w="1191" w:type="dxa"/>
          </w:tcPr>
          <w:p w:rsidR="00CA7242" w:rsidRPr="003A2FB9" w:rsidRDefault="00CA7242" w:rsidP="009E2392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Высота</w:t>
            </w:r>
            <w:r w:rsidRPr="003A2FB9">
              <w:rPr>
                <w:lang w:val="ru-RU"/>
              </w:rPr>
              <w:br/>
              <w:t>(км)</w:t>
            </w:r>
          </w:p>
        </w:tc>
        <w:tc>
          <w:tcPr>
            <w:tcW w:w="1531" w:type="dxa"/>
          </w:tcPr>
          <w:p w:rsidR="00CA7242" w:rsidRPr="003A2FB9" w:rsidRDefault="00CA7242" w:rsidP="009E2392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Угол наклона</w:t>
            </w:r>
            <w:r w:rsidRPr="003A2FB9">
              <w:rPr>
                <w:lang w:val="ru-RU"/>
              </w:rPr>
              <w:br/>
              <w:t>(градусы)</w:t>
            </w:r>
          </w:p>
        </w:tc>
        <w:tc>
          <w:tcPr>
            <w:tcW w:w="1191" w:type="dxa"/>
          </w:tcPr>
          <w:p w:rsidR="00CA7242" w:rsidRPr="003A2FB9" w:rsidRDefault="00CA7242" w:rsidP="009E2392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Усиление</w:t>
            </w:r>
            <w:r w:rsidRPr="003A2FB9">
              <w:rPr>
                <w:lang w:val="ru-RU"/>
              </w:rPr>
              <w:br/>
              <w:t>(дБи)</w:t>
            </w:r>
          </w:p>
        </w:tc>
        <w:tc>
          <w:tcPr>
            <w:tcW w:w="2835" w:type="dxa"/>
            <w:vAlign w:val="center"/>
          </w:tcPr>
          <w:p w:rsidR="00CA7242" w:rsidRPr="003A2FB9" w:rsidRDefault="00CA7242" w:rsidP="009E2392">
            <w:pPr>
              <w:pStyle w:val="Tablehead"/>
              <w:rPr>
                <w:lang w:val="ru-RU"/>
              </w:rPr>
            </w:pPr>
            <w:r w:rsidRPr="003A2FB9">
              <w:rPr>
                <w:lang w:val="ru-RU"/>
              </w:rPr>
              <w:t>Направление</w:t>
            </w:r>
          </w:p>
        </w:tc>
      </w:tr>
      <w:tr w:rsidR="00CA7242" w:rsidRPr="003A2FB9" w:rsidTr="009E2392">
        <w:trPr>
          <w:jc w:val="center"/>
        </w:trPr>
        <w:tc>
          <w:tcPr>
            <w:tcW w:w="2722" w:type="dxa"/>
          </w:tcPr>
          <w:p w:rsidR="00CA7242" w:rsidRPr="003A2FB9" w:rsidRDefault="00CA7242" w:rsidP="009E2392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Международная космическая станция</w:t>
            </w:r>
          </w:p>
        </w:tc>
        <w:tc>
          <w:tcPr>
            <w:tcW w:w="1191" w:type="dxa"/>
          </w:tcPr>
          <w:p w:rsidR="00CA7242" w:rsidRPr="003A2FB9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400</w:t>
            </w:r>
          </w:p>
        </w:tc>
        <w:tc>
          <w:tcPr>
            <w:tcW w:w="1531" w:type="dxa"/>
          </w:tcPr>
          <w:p w:rsidR="00CA7242" w:rsidRPr="003A2FB9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51,6</w:t>
            </w:r>
          </w:p>
        </w:tc>
        <w:tc>
          <w:tcPr>
            <w:tcW w:w="1191" w:type="dxa"/>
          </w:tcPr>
          <w:p w:rsidR="00CA7242" w:rsidRPr="003A2FB9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3,5</w:t>
            </w:r>
          </w:p>
          <w:p w:rsidR="00CA7242" w:rsidRPr="003A2FB9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23,5</w:t>
            </w:r>
          </w:p>
        </w:tc>
        <w:tc>
          <w:tcPr>
            <w:tcW w:w="2835" w:type="dxa"/>
          </w:tcPr>
          <w:p w:rsidR="00CA7242" w:rsidRPr="003A2FB9" w:rsidRDefault="00CA7242" w:rsidP="009E2392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Надир</w:t>
            </w:r>
          </w:p>
          <w:p w:rsidR="00CA7242" w:rsidRPr="003A2FB9" w:rsidRDefault="00CA7242" w:rsidP="009E2392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Вдоль вектора скорости</w:t>
            </w:r>
          </w:p>
        </w:tc>
      </w:tr>
      <w:tr w:rsidR="00CA7242" w:rsidRPr="003A2FB9" w:rsidTr="009E2392">
        <w:trPr>
          <w:jc w:val="center"/>
        </w:trPr>
        <w:tc>
          <w:tcPr>
            <w:tcW w:w="2722" w:type="dxa"/>
          </w:tcPr>
          <w:p w:rsidR="00CA7242" w:rsidRPr="003A2FB9" w:rsidRDefault="00CA7242" w:rsidP="009E2392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Многоразовый орбитальный космический аппарат</w:t>
            </w:r>
          </w:p>
        </w:tc>
        <w:tc>
          <w:tcPr>
            <w:tcW w:w="1191" w:type="dxa"/>
          </w:tcPr>
          <w:p w:rsidR="00CA7242" w:rsidRPr="003A2FB9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530</w:t>
            </w:r>
          </w:p>
        </w:tc>
        <w:tc>
          <w:tcPr>
            <w:tcW w:w="1531" w:type="dxa"/>
          </w:tcPr>
          <w:p w:rsidR="00CA7242" w:rsidRPr="003A2FB9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57</w:t>
            </w:r>
          </w:p>
        </w:tc>
        <w:tc>
          <w:tcPr>
            <w:tcW w:w="1191" w:type="dxa"/>
          </w:tcPr>
          <w:p w:rsidR="00CA7242" w:rsidRPr="003A2FB9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3,5</w:t>
            </w:r>
          </w:p>
          <w:p w:rsidR="00CA7242" w:rsidRPr="003A2FB9" w:rsidRDefault="00CA7242" w:rsidP="009E2392">
            <w:pPr>
              <w:pStyle w:val="Tabletext"/>
              <w:jc w:val="center"/>
              <w:rPr>
                <w:lang w:val="ru-RU"/>
              </w:rPr>
            </w:pPr>
            <w:r w:rsidRPr="003A2FB9">
              <w:rPr>
                <w:lang w:val="ru-RU"/>
              </w:rPr>
              <w:t>23,5</w:t>
            </w:r>
          </w:p>
        </w:tc>
        <w:tc>
          <w:tcPr>
            <w:tcW w:w="2835" w:type="dxa"/>
          </w:tcPr>
          <w:p w:rsidR="00CA7242" w:rsidRPr="003A2FB9" w:rsidRDefault="00CA7242" w:rsidP="009E2392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Надир</w:t>
            </w:r>
          </w:p>
          <w:p w:rsidR="00CA7242" w:rsidRPr="003A2FB9" w:rsidRDefault="00CA7242" w:rsidP="009E2392">
            <w:pPr>
              <w:pStyle w:val="Tabletext"/>
              <w:rPr>
                <w:lang w:val="ru-RU"/>
              </w:rPr>
            </w:pPr>
            <w:r w:rsidRPr="003A2FB9">
              <w:rPr>
                <w:lang w:val="ru-RU"/>
              </w:rPr>
              <w:t>Вдоль вектора скорости</w:t>
            </w:r>
          </w:p>
        </w:tc>
      </w:tr>
    </w:tbl>
    <w:p w:rsidR="009E2392" w:rsidRPr="003A2FB9" w:rsidRDefault="009E2392" w:rsidP="009E2392">
      <w:pPr>
        <w:pStyle w:val="Tablefin"/>
        <w:rPr>
          <w:lang w:val="ru-RU"/>
        </w:rPr>
      </w:pP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t>Для варианта с низким усилением было принято, что наихудшим сценарием является всенаправленная антенна, в отличие от полного конического угла 244° главного лепестка по уровню половинной мощности (HPBW). Для варианта с высоким усилением использовалась фиксированная приемная антенна шириной 8° HPBW, эталонная диаграмма направленности которой приведена в Рекомендации МСЭ-R S.672</w:t>
      </w:r>
      <w:r w:rsidRPr="003A2FB9">
        <w:rPr>
          <w:szCs w:val="22"/>
          <w:lang w:val="ru-RU"/>
        </w:rPr>
        <w:t xml:space="preserve"> (</w:t>
      </w:r>
      <w:r w:rsidRPr="003A2FB9">
        <w:rPr>
          <w:i/>
          <w:iCs/>
          <w:szCs w:val="22"/>
          <w:lang w:val="ru-RU"/>
        </w:rPr>
        <w:t>L</w:t>
      </w:r>
      <w:r w:rsidRPr="003A2FB9">
        <w:rPr>
          <w:i/>
          <w:iCs/>
          <w:vertAlign w:val="subscript"/>
          <w:lang w:val="ru-RU"/>
        </w:rPr>
        <w:t>S</w:t>
      </w:r>
      <w:r w:rsidRPr="003A2FB9">
        <w:rPr>
          <w:szCs w:val="22"/>
          <w:lang w:val="ru-RU"/>
        </w:rPr>
        <w:t xml:space="preserve"> = –20 дБ). </w:t>
      </w:r>
      <w:r w:rsidRPr="003A2FB9">
        <w:rPr>
          <w:lang w:val="ru-RU"/>
        </w:rPr>
        <w:t>Для POCS была принята круговая поляризация.</w:t>
      </w:r>
    </w:p>
    <w:p w:rsidR="00CA7242" w:rsidRPr="003A2FB9" w:rsidRDefault="00CA7242" w:rsidP="00B7604B">
      <w:pPr>
        <w:rPr>
          <w:lang w:val="ru-RU"/>
        </w:rPr>
      </w:pPr>
      <w:r w:rsidRPr="003A2FB9">
        <w:rPr>
          <w:lang w:val="ru-RU"/>
        </w:rPr>
        <w:t>Критерий защиты приемника составляет –147 дБ(Вт/МГц) в течение не более чем 0,1% времени, как указано в Рекомендации МСЭ</w:t>
      </w:r>
      <w:r w:rsidR="00B7604B" w:rsidRPr="003A2FB9">
        <w:rPr>
          <w:lang w:val="ru-RU"/>
        </w:rPr>
        <w:t>-</w:t>
      </w:r>
      <w:r w:rsidRPr="003A2FB9">
        <w:rPr>
          <w:lang w:val="ru-RU"/>
        </w:rPr>
        <w:t xml:space="preserve">R SA.609. </w:t>
      </w:r>
    </w:p>
    <w:p w:rsidR="00CA7242" w:rsidRPr="003A2FB9" w:rsidRDefault="00CA7242" w:rsidP="009E2392">
      <w:pPr>
        <w:pStyle w:val="Heading2"/>
        <w:rPr>
          <w:lang w:val="ru-RU"/>
        </w:rPr>
      </w:pPr>
      <w:r w:rsidRPr="003A2FB9">
        <w:rPr>
          <w:lang w:val="ru-RU"/>
        </w:rPr>
        <w:t>6.3</w:t>
      </w:r>
      <w:r w:rsidRPr="003A2FB9">
        <w:rPr>
          <w:lang w:val="ru-RU"/>
        </w:rPr>
        <w:tab/>
        <w:t>Методика</w:t>
      </w: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t>Для POCS в течение 30-дневного периода моделирования проводился только временной анализ. Данные собирались каждые 5 с.</w:t>
      </w:r>
    </w:p>
    <w:p w:rsidR="00CA7242" w:rsidRPr="003A2FB9" w:rsidRDefault="00CA7242" w:rsidP="00B7604B">
      <w:pPr>
        <w:rPr>
          <w:lang w:val="ru-RU"/>
        </w:rPr>
      </w:pPr>
      <w:r w:rsidRPr="003A2FB9">
        <w:rPr>
          <w:lang w:val="ru-RU"/>
        </w:rPr>
        <w:t>По аналогии с анализом СРД, поглощение в атмосфере рассчитывалось на основании Рекомендации МСЭ-R</w:t>
      </w:r>
      <w:r w:rsidR="00B7604B" w:rsidRPr="003A2FB9">
        <w:rPr>
          <w:lang w:val="ru-RU"/>
        </w:rPr>
        <w:t xml:space="preserve"> </w:t>
      </w:r>
      <w:r w:rsidRPr="003A2FB9">
        <w:rPr>
          <w:lang w:val="ru-RU"/>
        </w:rPr>
        <w:t>P.676. Кроме того, учитывались потери 3 дБ, вызванные разницей поляризации.</w:t>
      </w:r>
    </w:p>
    <w:p w:rsidR="00CA7242" w:rsidRPr="003A2FB9" w:rsidRDefault="00CA7242" w:rsidP="009E2392">
      <w:pPr>
        <w:pStyle w:val="Heading2"/>
        <w:rPr>
          <w:lang w:val="ru-RU"/>
        </w:rPr>
      </w:pPr>
      <w:r w:rsidRPr="003A2FB9">
        <w:rPr>
          <w:lang w:val="ru-RU"/>
        </w:rPr>
        <w:t>6.4</w:t>
      </w:r>
      <w:r w:rsidRPr="003A2FB9">
        <w:rPr>
          <w:lang w:val="ru-RU"/>
        </w:rPr>
        <w:tab/>
        <w:t xml:space="preserve">Результаты </w:t>
      </w: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t>На следующем рисунке показаны уровни излучения в двух приемных антеннах обоих POCS от систем LMDS за 30-дневный период.</w:t>
      </w:r>
    </w:p>
    <w:p w:rsidR="00C6422F" w:rsidRPr="003A2FB9" w:rsidRDefault="00C6422F" w:rsidP="009E2392">
      <w:pPr>
        <w:pStyle w:val="FigureNo"/>
        <w:rPr>
          <w:lang w:val="ru-RU"/>
        </w:rPr>
      </w:pPr>
      <w:r w:rsidRPr="003A2FB9">
        <w:rPr>
          <w:lang w:val="ru-RU"/>
        </w:rPr>
        <w:lastRenderedPageBreak/>
        <w:t>РИСУНОК 17</w:t>
      </w:r>
    </w:p>
    <w:p w:rsidR="00C6422F" w:rsidRPr="003A2FB9" w:rsidRDefault="00C6422F" w:rsidP="009E2392">
      <w:pPr>
        <w:pStyle w:val="Figuretitle"/>
        <w:rPr>
          <w:lang w:val="ru-RU"/>
        </w:rPr>
      </w:pPr>
      <w:r w:rsidRPr="003A2FB9">
        <w:rPr>
          <w:lang w:val="ru-RU"/>
        </w:rPr>
        <w:t xml:space="preserve">Интегральная помеха в POCS на международной космической </w:t>
      </w:r>
      <w:r w:rsidRPr="003A2FB9">
        <w:rPr>
          <w:lang w:val="ru-RU"/>
        </w:rPr>
        <w:br/>
        <w:t>станции в течение 30 дней</w:t>
      </w:r>
    </w:p>
    <w:p w:rsidR="00C6422F" w:rsidRPr="003A2FB9" w:rsidRDefault="00BD1523" w:rsidP="00237119">
      <w:pPr>
        <w:pStyle w:val="Figure"/>
        <w:rPr>
          <w:lang w:val="ru-RU"/>
        </w:rPr>
      </w:pPr>
      <w:r w:rsidRPr="003A2FB9">
        <w:rPr>
          <w:lang w:val="ru-RU"/>
        </w:rPr>
        <w:object w:dxaOrig="6601" w:dyaOrig="4647">
          <v:shape id="_x0000_i1060" type="#_x0000_t75" style="width:428.25pt;height:306.8pt" o:ole="">
            <v:imagedata r:id="rId84" o:title=""/>
          </v:shape>
          <o:OLEObject Type="Embed" ProgID="CorelDRAW.Graphic.14" ShapeID="_x0000_i1060" DrawAspect="Content" ObjectID="_1543751382" r:id="rId85"/>
        </w:object>
      </w:r>
    </w:p>
    <w:p w:rsidR="00C6422F" w:rsidRPr="003A2FB9" w:rsidRDefault="00C6422F" w:rsidP="009E2392">
      <w:pPr>
        <w:pStyle w:val="FigureNo"/>
        <w:rPr>
          <w:lang w:val="ru-RU"/>
        </w:rPr>
      </w:pPr>
      <w:r w:rsidRPr="003A2FB9">
        <w:rPr>
          <w:lang w:val="ru-RU"/>
        </w:rPr>
        <w:t>РИСУНОК 18</w:t>
      </w:r>
    </w:p>
    <w:p w:rsidR="00C6422F" w:rsidRPr="003A2FB9" w:rsidRDefault="00C6422F" w:rsidP="009E2392">
      <w:pPr>
        <w:pStyle w:val="Figuretitle"/>
        <w:rPr>
          <w:lang w:val="ru-RU"/>
        </w:rPr>
      </w:pPr>
      <w:r w:rsidRPr="003A2FB9">
        <w:rPr>
          <w:lang w:val="ru-RU"/>
        </w:rPr>
        <w:t>Интегральная помеха в POCS на многоразовом орбитальном космическом аппарате в течение 30 дней</w:t>
      </w:r>
    </w:p>
    <w:p w:rsidR="00CA7242" w:rsidRPr="003A2FB9" w:rsidRDefault="00BD1523" w:rsidP="00237119">
      <w:pPr>
        <w:pStyle w:val="Figure"/>
        <w:rPr>
          <w:lang w:val="ru-RU"/>
        </w:rPr>
      </w:pPr>
      <w:r w:rsidRPr="003A2FB9">
        <w:rPr>
          <w:lang w:val="ru-RU"/>
        </w:rPr>
        <w:object w:dxaOrig="6585" w:dyaOrig="4792">
          <v:shape id="_x0000_i1061" type="#_x0000_t75" style="width:430.75pt;height:292.4pt" o:ole="">
            <v:imagedata r:id="rId86" o:title=""/>
          </v:shape>
          <o:OLEObject Type="Embed" ProgID="CorelDRAW.Graphic.14" ShapeID="_x0000_i1061" DrawAspect="Content" ObjectID="_1543751383" r:id="rId87"/>
        </w:object>
      </w: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lastRenderedPageBreak/>
        <w:t>Как показано, в течение всего времени уровень излучения в любой из приемных антенн POCS намного ниже критерия защиты в</w:t>
      </w:r>
      <w:r w:rsidR="00B7604B" w:rsidRPr="003A2FB9">
        <w:rPr>
          <w:lang w:val="ru-RU"/>
        </w:rPr>
        <w:t xml:space="preserve"> </w:t>
      </w:r>
      <w:r w:rsidRPr="003A2FB9">
        <w:rPr>
          <w:lang w:val="ru-RU"/>
        </w:rPr>
        <w:t>–147 дБ(Вт/МГц).</w:t>
      </w:r>
    </w:p>
    <w:p w:rsidR="00CA7242" w:rsidRPr="003A2FB9" w:rsidRDefault="00CA7242" w:rsidP="009E2392">
      <w:pPr>
        <w:pStyle w:val="Heading1"/>
        <w:rPr>
          <w:lang w:val="ru-RU"/>
        </w:rPr>
      </w:pPr>
      <w:r w:rsidRPr="003A2FB9">
        <w:rPr>
          <w:lang w:val="ru-RU"/>
        </w:rPr>
        <w:t>7</w:t>
      </w:r>
      <w:r w:rsidRPr="003A2FB9">
        <w:rPr>
          <w:lang w:val="ru-RU"/>
        </w:rPr>
        <w:tab/>
        <w:t>Резюме и выводы из Приложения 1</w:t>
      </w:r>
    </w:p>
    <w:p w:rsidR="00CA7242" w:rsidRPr="003A2FB9" w:rsidRDefault="00CA7242" w:rsidP="009E2392">
      <w:pPr>
        <w:rPr>
          <w:lang w:val="ru-RU"/>
        </w:rPr>
      </w:pPr>
      <w:r w:rsidRPr="003A2FB9">
        <w:rPr>
          <w:lang w:val="ru-RU"/>
        </w:rPr>
        <w:t>По результатам Исследования A в п. 3 прогнозируется, что большинство СРД, расположенных на орбитальных позициях, перечисленных в Рекомендации МСЭ-R SA.1276, будут испытывать пиковую суммарную помеху, которая превышает защитный уровень, приведенный в Рекомендации МСЭ</w:t>
      </w:r>
      <w:r w:rsidR="009E2392" w:rsidRPr="003A2FB9">
        <w:rPr>
          <w:lang w:val="ru-RU"/>
        </w:rPr>
        <w:noBreakHyphen/>
      </w:r>
      <w:r w:rsidRPr="003A2FB9">
        <w:rPr>
          <w:lang w:val="ru-RU"/>
        </w:rPr>
        <w:t>R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SA.1155 в среднем примерно на 4 дБ в нескольких областях развертывания LMDS. Этот результат основан на предположении о том, что спектральная плотность э.и.и.м. каждой станции-концентратора составляет +8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дБ(Вт/МГц) и что радиус области обслуживания концентратора составляет 5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 xml:space="preserve">км. Пиковая суммарная помеха для всех орбитальных позиций составила </w:t>
      </w:r>
      <w:r w:rsidR="009E2392" w:rsidRPr="003A2FB9">
        <w:rPr>
          <w:lang w:val="ru-RU"/>
        </w:rPr>
        <w:t>−</w:t>
      </w:r>
      <w:r w:rsidRPr="003A2FB9">
        <w:rPr>
          <w:lang w:val="ru-RU"/>
        </w:rPr>
        <w:t>139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 xml:space="preserve">дБ(Вт/МГц). </w:t>
      </w:r>
    </w:p>
    <w:p w:rsidR="00CA7242" w:rsidRPr="003A2FB9" w:rsidRDefault="00CA7242" w:rsidP="009E2392">
      <w:pPr>
        <w:rPr>
          <w:lang w:val="ru-RU"/>
        </w:rPr>
      </w:pPr>
      <w:r w:rsidRPr="003A2FB9">
        <w:rPr>
          <w:lang w:val="ru-RU"/>
        </w:rPr>
        <w:t>На временной основе защитный уровень, приведенный в Рекомендации МСЭ-R SA.1155, выполняется для большинства орбит. Для некоторых орбит, для которых превышался защитный уровень, превышение составило от чуть более 0,1% периода обращения до примерно 1% периода обращения в наихудшем случае для спутников СРД, расположенных в точках 41°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и 174° з.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 Более того, для этих орбитальных позиций время между периодами обращения, когда уровень помехи превышает значение –148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дБ(Вт/МГц), варьируется от 6,1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ч до 71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>ч. Для СРД, расположенного в точке 85° в.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д., помеха такова, что критерий защиты, приведенный в Рекомендации</w:t>
      </w:r>
      <w:r w:rsidR="00B7604B" w:rsidRPr="003A2FB9">
        <w:rPr>
          <w:lang w:val="ru-RU"/>
        </w:rPr>
        <w:t> </w:t>
      </w:r>
      <w:r w:rsidRPr="003A2FB9">
        <w:rPr>
          <w:lang w:val="ru-RU"/>
        </w:rPr>
        <w:t>МСЭ-R SA.1155, выполняется для всех спутниковых орбит, аналогичных по типу орбите международной космической станции.</w:t>
      </w: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t xml:space="preserve">Для определения предельных значений спектральной плотности э.и.и.м. для сот, размеры которых меньше рекомендуемого размера соты, то есть 5 км в случае данного исследования, был введен понижающий коэффициент (см. формулу (10)), предполагающий постоянный энергетический запас линии. </w:t>
      </w:r>
    </w:p>
    <w:p w:rsidR="00CA7242" w:rsidRPr="003A2FB9" w:rsidRDefault="00CA7242" w:rsidP="009E2392">
      <w:pPr>
        <w:rPr>
          <w:lang w:val="ru-RU"/>
        </w:rPr>
      </w:pPr>
      <w:r w:rsidRPr="003A2FB9">
        <w:rPr>
          <w:lang w:val="ru-RU"/>
        </w:rPr>
        <w:t xml:space="preserve">Как показано в п. 3 и на </w:t>
      </w:r>
      <w:r w:rsidR="00B7604B" w:rsidRPr="003A2FB9">
        <w:rPr>
          <w:lang w:val="ru-RU"/>
        </w:rPr>
        <w:t xml:space="preserve">рисунках </w:t>
      </w:r>
      <w:r w:rsidRPr="003A2FB9">
        <w:rPr>
          <w:lang w:val="ru-RU"/>
        </w:rPr>
        <w:t>2–4, основными источниками помех для СРД являются городские центры с несколькими станциями-концентраторами, работающими на одном канале, которые находятся на или вблизи края диска Земли. Однако при ожидаемых будущих количествах развертывания станций-концентраторов LMDS систем П-МП, полученных с использованием методики, описанной в п. 3, и работающих со спектральной плотностью э.и.и.м. +8 дБ(Вт/МГц) на сектор концентратора, защитный уровень превышается лишь в нескольких географических районах и разумно применять совместное использование частот.</w:t>
      </w:r>
    </w:p>
    <w:p w:rsidR="00CA7242" w:rsidRPr="003A2FB9" w:rsidRDefault="00CA7242" w:rsidP="00B24D30">
      <w:pPr>
        <w:rPr>
          <w:lang w:val="ru-RU"/>
        </w:rPr>
      </w:pPr>
      <w:r w:rsidRPr="003A2FB9">
        <w:rPr>
          <w:lang w:val="ru-RU"/>
        </w:rPr>
        <w:t xml:space="preserve">Результаты Исследования В в п. 4 показывают, что предположительно спектральная плотность э.и.и.м. станции-концентратора составит +14 дБ(Вт/МГц), что на 6 дБ выше, чем получено в Исследовании А, уровень помех также примерно на 6 дБ выше, чем результаты </w:t>
      </w:r>
      <w:r w:rsidR="009E2392" w:rsidRPr="003A2FB9">
        <w:rPr>
          <w:lang w:val="ru-RU"/>
        </w:rPr>
        <w:t xml:space="preserve">Исследования </w:t>
      </w:r>
      <w:r w:rsidRPr="003A2FB9">
        <w:rPr>
          <w:lang w:val="ru-RU"/>
        </w:rPr>
        <w:t>А. Таким образом, два исследования дали почти эквивалентные результаты.</w:t>
      </w:r>
    </w:p>
    <w:p w:rsidR="009E2392" w:rsidRPr="003A2FB9" w:rsidRDefault="009E2392" w:rsidP="009E2392">
      <w:pPr>
        <w:rPr>
          <w:lang w:val="ru-RU"/>
        </w:rPr>
      </w:pPr>
    </w:p>
    <w:p w:rsidR="003F52F4" w:rsidRPr="003A2FB9" w:rsidRDefault="003F52F4" w:rsidP="009E2392">
      <w:pPr>
        <w:rPr>
          <w:lang w:val="ru-RU"/>
        </w:rPr>
      </w:pPr>
    </w:p>
    <w:p w:rsidR="003A2FB9" w:rsidRPr="003A2FB9" w:rsidRDefault="003A2FB9" w:rsidP="003A2FB9">
      <w:pPr>
        <w:rPr>
          <w:sz w:val="26"/>
          <w:lang w:val="ru-RU"/>
        </w:rPr>
      </w:pPr>
      <w:r w:rsidRPr="003A2FB9">
        <w:rPr>
          <w:lang w:val="ru-RU"/>
        </w:rPr>
        <w:br w:type="page"/>
      </w:r>
    </w:p>
    <w:p w:rsidR="00CA7242" w:rsidRPr="003A2FB9" w:rsidRDefault="00CA7242" w:rsidP="009E2392">
      <w:pPr>
        <w:pStyle w:val="AnnexNoTitle"/>
        <w:spacing w:before="0"/>
        <w:rPr>
          <w:lang w:val="ru-RU"/>
        </w:rPr>
      </w:pPr>
      <w:r w:rsidRPr="003A2FB9">
        <w:rPr>
          <w:lang w:val="ru-RU"/>
        </w:rPr>
        <w:lastRenderedPageBreak/>
        <w:t>Приложение 2</w:t>
      </w:r>
      <w:r w:rsidRPr="003A2FB9">
        <w:rPr>
          <w:lang w:val="ru-RU"/>
        </w:rPr>
        <w:br/>
      </w:r>
      <w:r w:rsidRPr="003A2FB9">
        <w:rPr>
          <w:lang w:val="ru-RU"/>
        </w:rPr>
        <w:br/>
        <w:t xml:space="preserve">Метод расчета углов разноса между лучами </w:t>
      </w:r>
      <w:r w:rsidR="009E2392" w:rsidRPr="003A2FB9">
        <w:rPr>
          <w:lang w:val="ru-RU"/>
        </w:rPr>
        <w:t>антенны станции-концентратора и </w:t>
      </w:r>
      <w:r w:rsidRPr="003A2FB9">
        <w:rPr>
          <w:lang w:val="ru-RU"/>
        </w:rPr>
        <w:t>направлениями на СРД на геостационарной орбите</w:t>
      </w:r>
    </w:p>
    <w:p w:rsidR="00CA7242" w:rsidRPr="003A2FB9" w:rsidRDefault="00CA7242" w:rsidP="009E2392">
      <w:pPr>
        <w:pStyle w:val="Normalaftertitle"/>
        <w:rPr>
          <w:lang w:val="ru-RU"/>
        </w:rPr>
      </w:pPr>
      <w:r w:rsidRPr="003A2FB9">
        <w:rPr>
          <w:lang w:val="ru-RU"/>
        </w:rPr>
        <w:t>В Приложении 2 к Рекомендации МСЭ-R F.1249 представлен метод расчета углов разноса между лучами передающей антенны ФС из пункта в пункт и направлениями на геостационарные СРД, расположенные в точках, указанных в Примечании 1 к основному тексту</w:t>
      </w:r>
      <w:r w:rsidR="00700A0A" w:rsidRPr="003A2FB9">
        <w:rPr>
          <w:lang w:val="ru-RU"/>
        </w:rPr>
        <w:t xml:space="preserve"> этой Рекомендации, учитывающий</w:t>
      </w:r>
      <w:r w:rsidRPr="003A2FB9">
        <w:rPr>
          <w:lang w:val="ru-RU"/>
        </w:rPr>
        <w:t xml:space="preserve"> влияние атмосферной рефракции и местного горизонта. Станция-концентратор в сети П-МП оборудована всенаправленной или секторной антенной. В этом случае усиление антенны должно рассматриваться вне зависимости от азимута направления на СРД. В Приложении 2 к Рекомендации МСЭ-R F.1249, 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lang w:val="ru-RU"/>
        </w:rPr>
        <w:t xml:space="preserve"> – это угол места максимального усиления (в угломестной плоскости) антенны станции-концентратора (следует отметить, что 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lang w:val="ru-RU"/>
        </w:rPr>
        <w:t xml:space="preserve"> = 0</w:t>
      </w:r>
      <w:r w:rsidRPr="003A2FB9">
        <w:rPr>
          <w:lang w:val="ru-RU"/>
        </w:rPr>
        <w:sym w:font="Symbol" w:char="F0B0"/>
      </w:r>
      <w:r w:rsidRPr="003A2FB9">
        <w:rPr>
          <w:lang w:val="ru-RU"/>
        </w:rPr>
        <w:t xml:space="preserve">, если нет наклонения луча, и 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lang w:val="ru-RU"/>
        </w:rPr>
        <w:t xml:space="preserve"> имеет отрицательное значение, если луч наклонен вниз).</w:t>
      </w:r>
    </w:p>
    <w:p w:rsidR="00CA7242" w:rsidRPr="003A2FB9" w:rsidRDefault="00CA7242" w:rsidP="009E2392">
      <w:pPr>
        <w:rPr>
          <w:lang w:val="ru-RU"/>
        </w:rPr>
      </w:pPr>
      <w:r w:rsidRPr="003A2FB9">
        <w:rPr>
          <w:lang w:val="ru-RU"/>
        </w:rPr>
        <w:t xml:space="preserve">Угол места СРД </w:t>
      </w:r>
      <w:r w:rsidRPr="003A2FB9">
        <w:rPr>
          <w:lang w:val="ru-RU"/>
        </w:rPr>
        <w:sym w:font="Symbol" w:char="F065"/>
      </w:r>
      <w:r w:rsidRPr="003A2FB9">
        <w:rPr>
          <w:i/>
          <w:iCs/>
          <w:position w:val="-4"/>
          <w:lang w:val="ru-RU"/>
        </w:rPr>
        <w:t>s</w:t>
      </w:r>
      <w:r w:rsidRPr="003A2FB9">
        <w:rPr>
          <w:lang w:val="ru-RU"/>
        </w:rPr>
        <w:t xml:space="preserve"> определяется формулами (8a), (8b) и (8c) Приложения 2 к Рекомендации МСЭ</w:t>
      </w:r>
      <w:r w:rsidR="009E2392" w:rsidRPr="003A2FB9">
        <w:rPr>
          <w:lang w:val="ru-RU"/>
        </w:rPr>
        <w:noBreakHyphen/>
      </w:r>
      <w:r w:rsidRPr="003A2FB9">
        <w:rPr>
          <w:lang w:val="ru-RU"/>
        </w:rPr>
        <w:t>R</w:t>
      </w:r>
      <w:r w:rsidR="009E2392" w:rsidRPr="003A2FB9">
        <w:rPr>
          <w:lang w:val="ru-RU"/>
        </w:rPr>
        <w:t> </w:t>
      </w:r>
      <w:r w:rsidRPr="003A2FB9">
        <w:rPr>
          <w:lang w:val="ru-RU"/>
        </w:rPr>
        <w:t xml:space="preserve">F.1249. Когда СРД находится в зоне видимости, абсолютное значение 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s</w:t>
      </w:r>
      <w:r w:rsidRPr="003A2FB9">
        <w:rPr>
          <w:lang w:val="ru-RU"/>
        </w:rPr>
        <w:t> – </w:t>
      </w:r>
      <w:r w:rsidRPr="003A2FB9">
        <w:rPr>
          <w:lang w:val="ru-RU"/>
        </w:rPr>
        <w:sym w:font="Symbol" w:char="F065"/>
      </w:r>
      <w:r w:rsidRPr="003A2FB9">
        <w:rPr>
          <w:i/>
          <w:iCs/>
          <w:vertAlign w:val="subscript"/>
          <w:lang w:val="ru-RU"/>
        </w:rPr>
        <w:t>r</w:t>
      </w:r>
      <w:r w:rsidRPr="003A2FB9">
        <w:rPr>
          <w:lang w:val="ru-RU"/>
        </w:rPr>
        <w:t xml:space="preserve"> является углом разноса между лучом антенны станции-концентратора и направлением на орбитальную позицию геостационарного СРД.</w:t>
      </w:r>
    </w:p>
    <w:p w:rsidR="00B7604B" w:rsidRPr="003A2FB9" w:rsidRDefault="00B7604B" w:rsidP="00157A69">
      <w:pPr>
        <w:spacing w:before="720"/>
        <w:jc w:val="center"/>
        <w:rPr>
          <w:lang w:val="ru-RU"/>
        </w:rPr>
      </w:pPr>
      <w:r w:rsidRPr="003A2FB9">
        <w:rPr>
          <w:szCs w:val="22"/>
          <w:lang w:val="ru-RU"/>
        </w:rPr>
        <w:t>______________</w:t>
      </w:r>
    </w:p>
    <w:sectPr w:rsidR="00B7604B" w:rsidRPr="003A2FB9" w:rsidSect="003655E2">
      <w:headerReference w:type="even" r:id="rId88"/>
      <w:headerReference w:type="default" r:id="rId8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F73" w:rsidRDefault="00D60F73">
      <w:r>
        <w:separator/>
      </w:r>
    </w:p>
  </w:endnote>
  <w:endnote w:type="continuationSeparator" w:id="0">
    <w:p w:rsidR="00D60F73" w:rsidRDefault="00D60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F73" w:rsidRDefault="00D60F73">
      <w:r>
        <w:separator/>
      </w:r>
    </w:p>
  </w:footnote>
  <w:footnote w:type="continuationSeparator" w:id="0">
    <w:p w:rsidR="00D60F73" w:rsidRDefault="00D60F73">
      <w:r>
        <w:continuationSeparator/>
      </w:r>
    </w:p>
  </w:footnote>
  <w:footnote w:id="1">
    <w:p w:rsidR="00D60F73" w:rsidRPr="00883837" w:rsidRDefault="00D60F73" w:rsidP="00E92209">
      <w:pPr>
        <w:pStyle w:val="FootnoteText"/>
        <w:rPr>
          <w:lang w:val="ru-RU"/>
        </w:rPr>
      </w:pPr>
      <w:r w:rsidRPr="00FB17BC">
        <w:rPr>
          <w:rStyle w:val="FootnoteReference"/>
          <w:lang w:val="ru-RU"/>
        </w:rPr>
        <w:t>*</w:t>
      </w:r>
      <w:r w:rsidRPr="0094244F">
        <w:rPr>
          <w:lang w:val="ru-RU"/>
        </w:rPr>
        <w:tab/>
        <w:t xml:space="preserve">Настоящая Рекомендация была разработана совместно 7-й Исследовательской комиссией и </w:t>
      </w:r>
      <w:r>
        <w:rPr>
          <w:lang w:val="ru-RU"/>
        </w:rPr>
        <w:t>5</w:t>
      </w:r>
      <w:r w:rsidRPr="00FC5577">
        <w:rPr>
          <w:lang w:val="ru-RU"/>
        </w:rPr>
        <w:noBreakHyphen/>
      </w:r>
      <w:r w:rsidRPr="0094244F">
        <w:rPr>
          <w:lang w:val="ru-RU"/>
        </w:rPr>
        <w:t>й</w:t>
      </w:r>
      <w:r>
        <w:rPr>
          <w:lang w:val="en-US"/>
        </w:rPr>
        <w:t> </w:t>
      </w:r>
      <w:r w:rsidRPr="0094244F">
        <w:rPr>
          <w:lang w:val="ru-RU"/>
        </w:rPr>
        <w:t xml:space="preserve">Исследовательской комиссией, </w:t>
      </w:r>
      <w:r>
        <w:rPr>
          <w:lang w:val="ru-RU"/>
        </w:rPr>
        <w:t xml:space="preserve">и </w:t>
      </w:r>
      <w:r w:rsidRPr="00FC5577">
        <w:rPr>
          <w:lang w:val="ru-RU"/>
        </w:rPr>
        <w:t>будущие</w:t>
      </w:r>
      <w:r w:rsidRPr="0094244F">
        <w:rPr>
          <w:lang w:val="ru-RU"/>
        </w:rPr>
        <w:t xml:space="preserve"> пересмотры должны </w:t>
      </w:r>
      <w:r w:rsidRPr="00883837">
        <w:rPr>
          <w:shd w:val="clear" w:color="auto" w:fill="FFFFFF"/>
          <w:lang w:val="ru-RU"/>
        </w:rPr>
        <w:t>осуществляться совместно</w:t>
      </w:r>
      <w:r>
        <w:rPr>
          <w:shd w:val="clear" w:color="auto" w:fill="FFFFFF"/>
          <w:lang w:val="ru-RU"/>
        </w:rPr>
        <w:t xml:space="preserve">. </w:t>
      </w:r>
    </w:p>
  </w:footnote>
  <w:footnote w:id="2">
    <w:p w:rsidR="00D60F73" w:rsidRPr="00883837" w:rsidRDefault="00D60F73" w:rsidP="004E6CAE">
      <w:pPr>
        <w:pStyle w:val="FootnoteText"/>
        <w:rPr>
          <w:lang w:val="ru-RU"/>
        </w:rPr>
      </w:pPr>
      <w:r w:rsidRPr="00FB17BC">
        <w:rPr>
          <w:rStyle w:val="FootnoteReference"/>
          <w:lang w:val="ru-RU"/>
        </w:rPr>
        <w:t>1</w:t>
      </w:r>
      <w:r w:rsidRPr="007834D5">
        <w:rPr>
          <w:lang w:val="ru-RU"/>
        </w:rPr>
        <w:tab/>
        <w:t>Для данного анализа считается, что пик луча излучения концентратора, равн</w:t>
      </w:r>
      <w:r>
        <w:rPr>
          <w:lang w:val="ru-RU"/>
        </w:rPr>
        <w:t>ый</w:t>
      </w:r>
      <w:r w:rsidRPr="007834D5">
        <w:rPr>
          <w:lang w:val="ru-RU"/>
        </w:rPr>
        <w:t xml:space="preserve"> +8 дБ(Вт/МГц)</w:t>
      </w:r>
      <w:r>
        <w:rPr>
          <w:lang w:val="ru-RU"/>
        </w:rPr>
        <w:t xml:space="preserve"> достигается при</w:t>
      </w:r>
      <w:r w:rsidRPr="007834D5">
        <w:rPr>
          <w:lang w:val="ru-RU"/>
        </w:rPr>
        <w:t xml:space="preserve"> угл</w:t>
      </w:r>
      <w:r>
        <w:rPr>
          <w:lang w:val="ru-RU"/>
        </w:rPr>
        <w:t>е</w:t>
      </w:r>
      <w:r w:rsidRPr="007834D5">
        <w:rPr>
          <w:lang w:val="ru-RU"/>
        </w:rPr>
        <w:t xml:space="preserve"> места</w:t>
      </w:r>
      <w:r>
        <w:rPr>
          <w:lang w:val="ru-RU"/>
        </w:rPr>
        <w:t xml:space="preserve"> </w:t>
      </w:r>
      <w:r w:rsidRPr="007834D5">
        <w:rPr>
          <w:lang w:val="ru-RU"/>
        </w:rPr>
        <w:t>0</w:t>
      </w:r>
      <w:r w:rsidRPr="007834D5">
        <w:rPr>
          <w:rFonts w:ascii="Symbol" w:hAnsi="Symbol"/>
          <w:lang w:val="en-US"/>
        </w:rPr>
        <w:t></w:t>
      </w:r>
      <w:r w:rsidRPr="007834D5">
        <w:rPr>
          <w:lang w:val="ru-RU"/>
        </w:rPr>
        <w:t xml:space="preserve"> </w:t>
      </w:r>
      <w:r>
        <w:rPr>
          <w:lang w:val="ru-RU"/>
        </w:rPr>
        <w:t xml:space="preserve">при всех углах </w:t>
      </w:r>
      <w:r w:rsidRPr="007834D5">
        <w:rPr>
          <w:lang w:val="ru-RU"/>
        </w:rPr>
        <w:t>азимута от концентратора. Также считается, что соседн</w:t>
      </w:r>
      <w:r>
        <w:rPr>
          <w:lang w:val="ru-RU"/>
        </w:rPr>
        <w:t>ие</w:t>
      </w:r>
      <w:r w:rsidRPr="007834D5">
        <w:rPr>
          <w:lang w:val="ru-RU"/>
        </w:rPr>
        <w:t xml:space="preserve"> секторы антенны работают на</w:t>
      </w:r>
      <w:r>
        <w:rPr>
          <w:lang w:val="ru-RU"/>
        </w:rPr>
        <w:t xml:space="preserve"> одной и</w:t>
      </w:r>
      <w:r w:rsidRPr="007834D5">
        <w:rPr>
          <w:lang w:val="ru-RU"/>
        </w:rPr>
        <w:t xml:space="preserve"> той же частоте, использу</w:t>
      </w:r>
      <w:r>
        <w:rPr>
          <w:lang w:val="ru-RU"/>
        </w:rPr>
        <w:t>я</w:t>
      </w:r>
      <w:r w:rsidRPr="007834D5">
        <w:rPr>
          <w:lang w:val="ru-RU"/>
        </w:rPr>
        <w:t xml:space="preserve"> ортогональную линейную поляризацию.</w:t>
      </w:r>
    </w:p>
  </w:footnote>
  <w:footnote w:id="3">
    <w:p w:rsidR="00D60F73" w:rsidRPr="00883837" w:rsidRDefault="00D60F73" w:rsidP="00995A7F">
      <w:pPr>
        <w:pStyle w:val="FootnoteText"/>
        <w:rPr>
          <w:lang w:val="ru-RU"/>
        </w:rPr>
      </w:pPr>
      <w:r w:rsidRPr="00FB17BC">
        <w:rPr>
          <w:rStyle w:val="FootnoteReference"/>
          <w:lang w:val="ru-RU"/>
        </w:rPr>
        <w:t>2</w:t>
      </w:r>
      <w:r w:rsidRPr="007834D5">
        <w:rPr>
          <w:lang w:val="ru-RU"/>
        </w:rPr>
        <w:tab/>
        <w:t xml:space="preserve">Для регулировки главного луча между линейно поляризованной передающей антенной (которая обычно используется в </w:t>
      </w:r>
      <w:r>
        <w:rPr>
          <w:lang w:val="ru-RU"/>
        </w:rPr>
        <w:t>ФС</w:t>
      </w:r>
      <w:r w:rsidRPr="007834D5">
        <w:rPr>
          <w:lang w:val="ru-RU"/>
        </w:rPr>
        <w:t xml:space="preserve">) и </w:t>
      </w:r>
      <w:r>
        <w:rPr>
          <w:lang w:val="ru-RU"/>
        </w:rPr>
        <w:t>приемны</w:t>
      </w:r>
      <w:r w:rsidRPr="007834D5">
        <w:rPr>
          <w:lang w:val="ru-RU"/>
        </w:rPr>
        <w:t xml:space="preserve">ми антеннами с круговой поляризацией, считается, что </w:t>
      </w:r>
      <w:r w:rsidRPr="007834D5">
        <w:rPr>
          <w:i/>
          <w:iCs/>
          <w:lang w:val="en-US"/>
        </w:rPr>
        <w:t>l</w:t>
      </w:r>
      <w:r w:rsidRPr="00846301">
        <w:rPr>
          <w:sz w:val="22"/>
          <w:vertAlign w:val="subscript"/>
          <w:lang w:val="ru-RU"/>
        </w:rPr>
        <w:t>3</w:t>
      </w:r>
      <w:r w:rsidRPr="007834D5">
        <w:rPr>
          <w:lang w:val="ru-RU"/>
        </w:rPr>
        <w:t xml:space="preserve"> равно 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73" w:rsidRDefault="00D60F73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73" w:rsidRDefault="00D60F73" w:rsidP="003655E2">
    <w:pPr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705481A" wp14:editId="70ABB1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73" w:rsidRPr="00FC5577" w:rsidRDefault="00D60F73" w:rsidP="00FC5577">
    <w:pPr>
      <w:pStyle w:val="Header"/>
      <w:rPr>
        <w:b/>
        <w:bCs/>
        <w:lang w:val="en-US"/>
      </w:rPr>
    </w:pPr>
    <w:r w:rsidRPr="00FC5577">
      <w:rPr>
        <w:b/>
        <w:bCs/>
        <w:szCs w:val="22"/>
        <w:lang w:val="en-US"/>
      </w:rPr>
      <w:fldChar w:fldCharType="begin"/>
    </w:r>
    <w:r w:rsidRPr="00FC5577">
      <w:rPr>
        <w:b/>
        <w:bCs/>
        <w:szCs w:val="22"/>
        <w:lang w:val="en-US"/>
      </w:rPr>
      <w:instrText xml:space="preserve"> PAGE </w:instrText>
    </w:r>
    <w:r w:rsidRPr="00FC5577">
      <w:rPr>
        <w:b/>
        <w:bCs/>
        <w:szCs w:val="22"/>
        <w:lang w:val="en-US"/>
      </w:rPr>
      <w:fldChar w:fldCharType="separate"/>
    </w:r>
    <w:r w:rsidR="009A0C33">
      <w:rPr>
        <w:b/>
        <w:bCs/>
        <w:noProof/>
        <w:szCs w:val="22"/>
        <w:lang w:val="en-US"/>
      </w:rPr>
      <w:t>ii</w:t>
    </w:r>
    <w:r w:rsidRPr="00FC5577">
      <w:rPr>
        <w:b/>
        <w:bCs/>
        <w:szCs w:val="22"/>
        <w:lang w:val="en-US"/>
      </w:rPr>
      <w:fldChar w:fldCharType="end"/>
    </w:r>
    <w:r w:rsidRPr="00FC5577">
      <w:rPr>
        <w:b/>
        <w:bCs/>
        <w:lang w:val="en-US"/>
      </w:rPr>
      <w:tab/>
    </w:r>
    <w:r w:rsidRPr="00FC5577">
      <w:rPr>
        <w:b/>
        <w:bCs/>
        <w:lang w:val="ru-RU"/>
      </w:rPr>
      <w:t>Рек.</w:t>
    </w:r>
    <w:r w:rsidRPr="00FC5577">
      <w:rPr>
        <w:b/>
        <w:bCs/>
        <w:lang w:val="en-US"/>
      </w:rPr>
      <w:t xml:space="preserve"> </w:t>
    </w:r>
    <w:r w:rsidRPr="00FC5577">
      <w:rPr>
        <w:b/>
        <w:bCs/>
        <w:lang w:val="ru-RU"/>
      </w:rPr>
      <w:t xml:space="preserve"> </w:t>
    </w:r>
    <w:r w:rsidRPr="00FC5577">
      <w:rPr>
        <w:b/>
        <w:bCs/>
        <w:lang w:val="en-US"/>
      </w:rPr>
      <w:fldChar w:fldCharType="begin"/>
    </w:r>
    <w:r w:rsidRPr="00FC5577">
      <w:rPr>
        <w:b/>
        <w:bCs/>
        <w:lang w:val="en-US"/>
      </w:rPr>
      <w:instrText>styleref href</w:instrText>
    </w:r>
    <w:r w:rsidRPr="00FC5577">
      <w:rPr>
        <w:b/>
        <w:bCs/>
        <w:lang w:val="en-US"/>
      </w:rPr>
      <w:fldChar w:fldCharType="separate"/>
    </w:r>
    <w:r w:rsidR="009A0C33">
      <w:rPr>
        <w:b/>
        <w:bCs/>
        <w:noProof/>
        <w:lang w:val="en-US"/>
      </w:rPr>
      <w:t>МСЭ-R  F.1509-3</w:t>
    </w:r>
    <w:r w:rsidRPr="00FC5577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73" w:rsidRPr="00FA460C" w:rsidRDefault="00D60F73" w:rsidP="00FE0B5B">
    <w:pPr>
      <w:tabs>
        <w:tab w:val="right" w:pos="9639"/>
      </w:tabs>
      <w:rPr>
        <w:lang w:val="ru-RU"/>
      </w:rPr>
    </w:pPr>
    <w:r>
      <w:rPr>
        <w:b/>
        <w:bCs/>
      </w:rPr>
      <w:fldChar w:fldCharType="begin"/>
    </w:r>
    <w:r w:rsidRPr="00FA460C">
      <w:rPr>
        <w:b/>
        <w:bCs/>
        <w:lang w:val="ru-RU"/>
      </w:rPr>
      <w:instrText xml:space="preserve"> </w:instrText>
    </w:r>
    <w:r>
      <w:rPr>
        <w:b/>
        <w:bCs/>
      </w:rPr>
      <w:instrText>PAGE</w:instrText>
    </w:r>
    <w:r w:rsidRPr="00FA460C">
      <w:rPr>
        <w:b/>
        <w:bCs/>
        <w:lang w:val="ru-RU"/>
      </w:rPr>
      <w:instrText xml:space="preserve"> </w:instrText>
    </w:r>
    <w:r>
      <w:rPr>
        <w:b/>
        <w:bCs/>
      </w:rPr>
      <w:fldChar w:fldCharType="separate"/>
    </w:r>
    <w:r>
      <w:rPr>
        <w:b/>
        <w:bCs/>
        <w:noProof/>
        <w:lang w:val="ru-RU"/>
      </w:rPr>
      <w:t>iii</w:t>
    </w:r>
    <w:r>
      <w:rPr>
        <w:b/>
        <w:bCs/>
      </w:rPr>
      <w:fldChar w:fldCharType="end"/>
    </w:r>
    <w:r w:rsidRPr="00FA460C">
      <w:rPr>
        <w:lang w:val="ru-RU"/>
      </w:rPr>
      <w:tab/>
    </w:r>
    <w:r w:rsidRPr="00A361C0">
      <w:rPr>
        <w:b/>
        <w:lang w:val="ru-RU"/>
      </w:rPr>
      <w:t xml:space="preserve">Рек. </w:t>
    </w:r>
    <w:r>
      <w:rPr>
        <w:b/>
        <w:bCs/>
        <w:lang w:val="ru-RU"/>
      </w:rPr>
      <w:t>МСЭ</w:t>
    </w:r>
    <w:r>
      <w:rPr>
        <w:b/>
        <w:bCs/>
      </w:rPr>
      <w:fldChar w:fldCharType="begin"/>
    </w:r>
    <w:r>
      <w:rPr>
        <w:b/>
        <w:bCs/>
      </w:rPr>
      <w:instrText>styleref</w:instrText>
    </w:r>
    <w:r w:rsidRPr="00FA460C">
      <w:rPr>
        <w:b/>
        <w:bCs/>
        <w:lang w:val="ru-RU"/>
      </w:rPr>
      <w:instrText xml:space="preserve"> </w:instrText>
    </w:r>
    <w:r>
      <w:rPr>
        <w:b/>
        <w:bCs/>
      </w:rPr>
      <w:instrText>href</w:instrText>
    </w:r>
    <w:r>
      <w:rPr>
        <w:b/>
        <w:bCs/>
      </w:rPr>
      <w:fldChar w:fldCharType="separate"/>
    </w:r>
    <w:r w:rsidR="009A0C33">
      <w:rPr>
        <w:b/>
        <w:bCs/>
        <w:noProof/>
      </w:rPr>
      <w:t>МСЭ-R  F.1509-3</w:t>
    </w:r>
    <w:r>
      <w:rPr>
        <w:b/>
        <w:bCs/>
      </w:rPr>
      <w:fldChar w:fldCharType="end"/>
    </w:r>
    <w:r w:rsidRPr="00FA460C">
      <w:rPr>
        <w:lang w:val="ru-RU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73" w:rsidRPr="00FC5577" w:rsidRDefault="00D60F73" w:rsidP="00FC5577">
    <w:pPr>
      <w:pStyle w:val="Header"/>
      <w:rPr>
        <w:b/>
        <w:bCs/>
        <w:lang w:val="en-US"/>
      </w:rPr>
    </w:pPr>
    <w:r w:rsidRPr="00FC5577">
      <w:rPr>
        <w:b/>
        <w:bCs/>
        <w:szCs w:val="22"/>
        <w:lang w:val="en-US"/>
      </w:rPr>
      <w:fldChar w:fldCharType="begin"/>
    </w:r>
    <w:r w:rsidRPr="00FC5577">
      <w:rPr>
        <w:b/>
        <w:bCs/>
        <w:szCs w:val="22"/>
        <w:lang w:val="en-US"/>
      </w:rPr>
      <w:instrText xml:space="preserve"> PAGE </w:instrText>
    </w:r>
    <w:r w:rsidRPr="00FC5577">
      <w:rPr>
        <w:b/>
        <w:bCs/>
        <w:szCs w:val="22"/>
        <w:lang w:val="en-US"/>
      </w:rPr>
      <w:fldChar w:fldCharType="separate"/>
    </w:r>
    <w:r w:rsidR="009A0C33">
      <w:rPr>
        <w:b/>
        <w:bCs/>
        <w:noProof/>
        <w:szCs w:val="22"/>
        <w:lang w:val="en-US"/>
      </w:rPr>
      <w:t>18</w:t>
    </w:r>
    <w:r w:rsidRPr="00FC5577">
      <w:rPr>
        <w:b/>
        <w:bCs/>
        <w:szCs w:val="22"/>
        <w:lang w:val="en-US"/>
      </w:rPr>
      <w:fldChar w:fldCharType="end"/>
    </w:r>
    <w:r w:rsidRPr="00FC5577">
      <w:rPr>
        <w:b/>
        <w:bCs/>
        <w:lang w:val="en-US"/>
      </w:rPr>
      <w:tab/>
    </w:r>
    <w:r w:rsidRPr="00FC5577">
      <w:rPr>
        <w:b/>
        <w:bCs/>
        <w:lang w:val="ru-RU"/>
      </w:rPr>
      <w:t xml:space="preserve">Рек. </w:t>
    </w:r>
    <w:r>
      <w:rPr>
        <w:b/>
        <w:bCs/>
        <w:lang w:val="en-US"/>
      </w:rPr>
      <w:t xml:space="preserve"> </w:t>
    </w:r>
    <w:r w:rsidRPr="00FC5577">
      <w:rPr>
        <w:b/>
        <w:bCs/>
        <w:lang w:val="en-US"/>
      </w:rPr>
      <w:fldChar w:fldCharType="begin"/>
    </w:r>
    <w:r w:rsidRPr="00FC5577">
      <w:rPr>
        <w:b/>
        <w:bCs/>
        <w:lang w:val="en-US"/>
      </w:rPr>
      <w:instrText>styleref href</w:instrText>
    </w:r>
    <w:r w:rsidRPr="00FC5577">
      <w:rPr>
        <w:b/>
        <w:bCs/>
        <w:lang w:val="en-US"/>
      </w:rPr>
      <w:fldChar w:fldCharType="separate"/>
    </w:r>
    <w:r w:rsidR="009A0C33">
      <w:rPr>
        <w:b/>
        <w:bCs/>
        <w:noProof/>
        <w:lang w:val="en-US"/>
      </w:rPr>
      <w:t>МСЭ-R  F.1509-3</w:t>
    </w:r>
    <w:r w:rsidRPr="00FC5577">
      <w:rPr>
        <w:b/>
        <w:bCs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73" w:rsidRPr="00FC5577" w:rsidRDefault="00D60F73" w:rsidP="00FC5577">
    <w:pPr>
      <w:pStyle w:val="Header"/>
      <w:rPr>
        <w:b/>
        <w:bCs/>
      </w:rPr>
    </w:pPr>
    <w:r w:rsidRPr="00FC5577">
      <w:rPr>
        <w:b/>
        <w:bCs/>
      </w:rPr>
      <w:tab/>
    </w:r>
    <w:r w:rsidRPr="00FC5577">
      <w:rPr>
        <w:b/>
        <w:bCs/>
        <w:lang w:val="ru-RU"/>
      </w:rPr>
      <w:t>Рек.</w:t>
    </w:r>
    <w:r w:rsidRPr="00FC5577">
      <w:rPr>
        <w:b/>
        <w:bCs/>
        <w:lang w:val="en-US"/>
      </w:rPr>
      <w:t xml:space="preserve"> </w:t>
    </w:r>
    <w:r w:rsidRPr="00FC5577">
      <w:rPr>
        <w:b/>
        <w:bCs/>
        <w:lang w:val="ru-RU"/>
      </w:rPr>
      <w:t xml:space="preserve"> </w:t>
    </w:r>
    <w:r w:rsidRPr="00FC5577">
      <w:rPr>
        <w:b/>
        <w:bCs/>
      </w:rPr>
      <w:fldChar w:fldCharType="begin"/>
    </w:r>
    <w:r w:rsidRPr="00FC5577">
      <w:rPr>
        <w:b/>
        <w:bCs/>
      </w:rPr>
      <w:instrText>styleref href</w:instrText>
    </w:r>
    <w:r w:rsidRPr="00FC5577">
      <w:rPr>
        <w:b/>
        <w:bCs/>
      </w:rPr>
      <w:fldChar w:fldCharType="separate"/>
    </w:r>
    <w:r w:rsidR="009A0C33">
      <w:rPr>
        <w:b/>
        <w:bCs/>
        <w:noProof/>
      </w:rPr>
      <w:t>МСЭ-R  F.1509-3</w:t>
    </w:r>
    <w:r w:rsidRPr="00FC5577">
      <w:rPr>
        <w:b/>
        <w:bCs/>
      </w:rPr>
      <w:fldChar w:fldCharType="end"/>
    </w:r>
    <w:r w:rsidRPr="00FC5577">
      <w:rPr>
        <w:b/>
        <w:bCs/>
      </w:rPr>
      <w:tab/>
    </w:r>
    <w:r w:rsidRPr="00FC5577">
      <w:rPr>
        <w:b/>
        <w:bCs/>
        <w:szCs w:val="22"/>
      </w:rPr>
      <w:fldChar w:fldCharType="begin"/>
    </w:r>
    <w:r w:rsidRPr="00FC5577">
      <w:rPr>
        <w:b/>
        <w:bCs/>
        <w:szCs w:val="22"/>
      </w:rPr>
      <w:instrText xml:space="preserve"> PAGE </w:instrText>
    </w:r>
    <w:r w:rsidRPr="00FC5577">
      <w:rPr>
        <w:b/>
        <w:bCs/>
        <w:szCs w:val="22"/>
      </w:rPr>
      <w:fldChar w:fldCharType="separate"/>
    </w:r>
    <w:r w:rsidR="009A0C33">
      <w:rPr>
        <w:b/>
        <w:bCs/>
        <w:noProof/>
        <w:szCs w:val="22"/>
      </w:rPr>
      <w:t>19</w:t>
    </w:r>
    <w:r w:rsidRPr="00FC5577">
      <w:rPr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32A9D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18EE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2C881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769A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83207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0A65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7A265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2C54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8645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14C5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3D1482"/>
    <w:multiLevelType w:val="hybridMultilevel"/>
    <w:tmpl w:val="401AAE5C"/>
    <w:lvl w:ilvl="0" w:tplc="E0666D36"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E2308C"/>
    <w:multiLevelType w:val="multilevel"/>
    <w:tmpl w:val="686EC086"/>
    <w:lvl w:ilvl="0">
      <w:start w:val="7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1F019B4"/>
    <w:multiLevelType w:val="hybridMultilevel"/>
    <w:tmpl w:val="8C0E95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5F0B89"/>
    <w:multiLevelType w:val="hybridMultilevel"/>
    <w:tmpl w:val="470CE4C8"/>
    <w:lvl w:ilvl="0" w:tplc="DE18BF38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AB3743"/>
    <w:multiLevelType w:val="hybridMultilevel"/>
    <w:tmpl w:val="983E26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0A77BD"/>
    <w:multiLevelType w:val="multilevel"/>
    <w:tmpl w:val="CE726DA4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610A74C8"/>
    <w:multiLevelType w:val="hybridMultilevel"/>
    <w:tmpl w:val="B7642E46"/>
    <w:lvl w:ilvl="0" w:tplc="C8A888D6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7EA52DC"/>
    <w:multiLevelType w:val="multilevel"/>
    <w:tmpl w:val="1374AC46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8">
    <w:nsid w:val="76706FFF"/>
    <w:multiLevelType w:val="singleLevel"/>
    <w:tmpl w:val="C8A888D6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</w:abstractNum>
  <w:abstractNum w:abstractNumId="19">
    <w:nsid w:val="7B29210A"/>
    <w:multiLevelType w:val="hybridMultilevel"/>
    <w:tmpl w:val="47F293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8"/>
  </w:num>
  <w:num w:numId="3">
    <w:abstractNumId w:val="16"/>
  </w:num>
  <w:num w:numId="4">
    <w:abstractNumId w:val="17"/>
  </w:num>
  <w:num w:numId="5">
    <w:abstractNumId w:val="15"/>
  </w:num>
  <w:num w:numId="6">
    <w:abstractNumId w:val="10"/>
  </w:num>
  <w:num w:numId="7">
    <w:abstractNumId w:val="13"/>
  </w:num>
  <w:num w:numId="8">
    <w:abstractNumId w:val="12"/>
  </w:num>
  <w:num w:numId="9">
    <w:abstractNumId w:val="19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mirrorMargins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evenAndOddHeader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95B"/>
    <w:rsid w:val="0000120B"/>
    <w:rsid w:val="00007306"/>
    <w:rsid w:val="000100F8"/>
    <w:rsid w:val="00020110"/>
    <w:rsid w:val="00021D97"/>
    <w:rsid w:val="000235FC"/>
    <w:rsid w:val="00024876"/>
    <w:rsid w:val="00042A28"/>
    <w:rsid w:val="0004468F"/>
    <w:rsid w:val="00052290"/>
    <w:rsid w:val="00054298"/>
    <w:rsid w:val="000547DB"/>
    <w:rsid w:val="00062E5C"/>
    <w:rsid w:val="00062F12"/>
    <w:rsid w:val="000730EF"/>
    <w:rsid w:val="0007390C"/>
    <w:rsid w:val="00083F9B"/>
    <w:rsid w:val="000853CE"/>
    <w:rsid w:val="00094739"/>
    <w:rsid w:val="000A2274"/>
    <w:rsid w:val="000A5F9E"/>
    <w:rsid w:val="000B6C0C"/>
    <w:rsid w:val="000E3734"/>
    <w:rsid w:val="000E4D31"/>
    <w:rsid w:val="000E65A8"/>
    <w:rsid w:val="000F2C64"/>
    <w:rsid w:val="000F300A"/>
    <w:rsid w:val="000F337E"/>
    <w:rsid w:val="0010032E"/>
    <w:rsid w:val="00102548"/>
    <w:rsid w:val="00103224"/>
    <w:rsid w:val="001040B7"/>
    <w:rsid w:val="00111F40"/>
    <w:rsid w:val="00116A00"/>
    <w:rsid w:val="00116FE4"/>
    <w:rsid w:val="00117ED1"/>
    <w:rsid w:val="001378D9"/>
    <w:rsid w:val="00157A69"/>
    <w:rsid w:val="00165A1A"/>
    <w:rsid w:val="00170206"/>
    <w:rsid w:val="001752CB"/>
    <w:rsid w:val="00177761"/>
    <w:rsid w:val="00185870"/>
    <w:rsid w:val="00185B59"/>
    <w:rsid w:val="00186364"/>
    <w:rsid w:val="00191818"/>
    <w:rsid w:val="00196E23"/>
    <w:rsid w:val="001976E8"/>
    <w:rsid w:val="001A022A"/>
    <w:rsid w:val="001A6F2B"/>
    <w:rsid w:val="001C0DB1"/>
    <w:rsid w:val="001C1F0B"/>
    <w:rsid w:val="001C2899"/>
    <w:rsid w:val="001D3A98"/>
    <w:rsid w:val="001D3E87"/>
    <w:rsid w:val="001E10DB"/>
    <w:rsid w:val="001E1187"/>
    <w:rsid w:val="001E1CDA"/>
    <w:rsid w:val="001E3B43"/>
    <w:rsid w:val="001E58A8"/>
    <w:rsid w:val="001E61A5"/>
    <w:rsid w:val="001F0117"/>
    <w:rsid w:val="002043A0"/>
    <w:rsid w:val="0020535A"/>
    <w:rsid w:val="002057FB"/>
    <w:rsid w:val="0021319B"/>
    <w:rsid w:val="00217F33"/>
    <w:rsid w:val="00222B3C"/>
    <w:rsid w:val="00234A82"/>
    <w:rsid w:val="0023668D"/>
    <w:rsid w:val="00237119"/>
    <w:rsid w:val="002377AF"/>
    <w:rsid w:val="00237A7A"/>
    <w:rsid w:val="00242C0B"/>
    <w:rsid w:val="00244892"/>
    <w:rsid w:val="00247AB4"/>
    <w:rsid w:val="00252B9C"/>
    <w:rsid w:val="002561A6"/>
    <w:rsid w:val="002564C9"/>
    <w:rsid w:val="00260610"/>
    <w:rsid w:val="00261902"/>
    <w:rsid w:val="00261C3F"/>
    <w:rsid w:val="002649F1"/>
    <w:rsid w:val="00265DB0"/>
    <w:rsid w:val="002731F3"/>
    <w:rsid w:val="00275143"/>
    <w:rsid w:val="00281498"/>
    <w:rsid w:val="00283CBA"/>
    <w:rsid w:val="002924A0"/>
    <w:rsid w:val="002928EE"/>
    <w:rsid w:val="002934B2"/>
    <w:rsid w:val="002A2EDC"/>
    <w:rsid w:val="002A3797"/>
    <w:rsid w:val="002B21D8"/>
    <w:rsid w:val="002B30C3"/>
    <w:rsid w:val="002B5A76"/>
    <w:rsid w:val="002C25B1"/>
    <w:rsid w:val="002C32A7"/>
    <w:rsid w:val="002C4ADE"/>
    <w:rsid w:val="002D35E6"/>
    <w:rsid w:val="002D76C4"/>
    <w:rsid w:val="002E0E16"/>
    <w:rsid w:val="002F4FC1"/>
    <w:rsid w:val="002F68D8"/>
    <w:rsid w:val="003041FE"/>
    <w:rsid w:val="00311E37"/>
    <w:rsid w:val="003146A2"/>
    <w:rsid w:val="00315571"/>
    <w:rsid w:val="003174DA"/>
    <w:rsid w:val="00321FA5"/>
    <w:rsid w:val="00324446"/>
    <w:rsid w:val="00325D04"/>
    <w:rsid w:val="003330C0"/>
    <w:rsid w:val="0034089B"/>
    <w:rsid w:val="0034469F"/>
    <w:rsid w:val="00347929"/>
    <w:rsid w:val="003479AA"/>
    <w:rsid w:val="00350D63"/>
    <w:rsid w:val="0035793B"/>
    <w:rsid w:val="003613D3"/>
    <w:rsid w:val="003655E2"/>
    <w:rsid w:val="0036596A"/>
    <w:rsid w:val="00366013"/>
    <w:rsid w:val="003722F9"/>
    <w:rsid w:val="003725D0"/>
    <w:rsid w:val="00375A0C"/>
    <w:rsid w:val="00380276"/>
    <w:rsid w:val="003807A1"/>
    <w:rsid w:val="00384F84"/>
    <w:rsid w:val="003871A3"/>
    <w:rsid w:val="003A0527"/>
    <w:rsid w:val="003A12C2"/>
    <w:rsid w:val="003A2FB9"/>
    <w:rsid w:val="003A7EFC"/>
    <w:rsid w:val="003B18D1"/>
    <w:rsid w:val="003B4C92"/>
    <w:rsid w:val="003B75C5"/>
    <w:rsid w:val="003D26DD"/>
    <w:rsid w:val="003D2EF7"/>
    <w:rsid w:val="003D6870"/>
    <w:rsid w:val="003D7CF8"/>
    <w:rsid w:val="003E3042"/>
    <w:rsid w:val="003E6FDB"/>
    <w:rsid w:val="003F246E"/>
    <w:rsid w:val="003F2FD7"/>
    <w:rsid w:val="003F3D71"/>
    <w:rsid w:val="003F52F4"/>
    <w:rsid w:val="003F673B"/>
    <w:rsid w:val="0040277B"/>
    <w:rsid w:val="0040517F"/>
    <w:rsid w:val="00410BB8"/>
    <w:rsid w:val="00416823"/>
    <w:rsid w:val="00416DF7"/>
    <w:rsid w:val="00430C6A"/>
    <w:rsid w:val="00431731"/>
    <w:rsid w:val="004419D2"/>
    <w:rsid w:val="00442305"/>
    <w:rsid w:val="0045139D"/>
    <w:rsid w:val="0045344B"/>
    <w:rsid w:val="00454424"/>
    <w:rsid w:val="004576DC"/>
    <w:rsid w:val="004A6B2E"/>
    <w:rsid w:val="004B05BE"/>
    <w:rsid w:val="004B1C2F"/>
    <w:rsid w:val="004C02B2"/>
    <w:rsid w:val="004C1AB9"/>
    <w:rsid w:val="004D25BC"/>
    <w:rsid w:val="004E0FF1"/>
    <w:rsid w:val="004E2102"/>
    <w:rsid w:val="004E530C"/>
    <w:rsid w:val="004E6CAE"/>
    <w:rsid w:val="004F22FB"/>
    <w:rsid w:val="00502D9C"/>
    <w:rsid w:val="00517C0A"/>
    <w:rsid w:val="00520583"/>
    <w:rsid w:val="0052420A"/>
    <w:rsid w:val="005270C5"/>
    <w:rsid w:val="00530FEE"/>
    <w:rsid w:val="00535121"/>
    <w:rsid w:val="00540E52"/>
    <w:rsid w:val="005450E7"/>
    <w:rsid w:val="0054749A"/>
    <w:rsid w:val="005557DD"/>
    <w:rsid w:val="00555A69"/>
    <w:rsid w:val="00570395"/>
    <w:rsid w:val="00574BD3"/>
    <w:rsid w:val="0057679F"/>
    <w:rsid w:val="00577112"/>
    <w:rsid w:val="00581981"/>
    <w:rsid w:val="0058728C"/>
    <w:rsid w:val="0059088F"/>
    <w:rsid w:val="005A0840"/>
    <w:rsid w:val="005A5165"/>
    <w:rsid w:val="005A6E5E"/>
    <w:rsid w:val="005A75D5"/>
    <w:rsid w:val="005A79E5"/>
    <w:rsid w:val="005B38CD"/>
    <w:rsid w:val="005B3D01"/>
    <w:rsid w:val="005B3D23"/>
    <w:rsid w:val="005B5431"/>
    <w:rsid w:val="005C7ADA"/>
    <w:rsid w:val="005C7C5C"/>
    <w:rsid w:val="005D422E"/>
    <w:rsid w:val="005F1DDB"/>
    <w:rsid w:val="005F4454"/>
    <w:rsid w:val="006004A9"/>
    <w:rsid w:val="006021EE"/>
    <w:rsid w:val="006022CD"/>
    <w:rsid w:val="00602E6C"/>
    <w:rsid w:val="00606D80"/>
    <w:rsid w:val="00607D68"/>
    <w:rsid w:val="00610658"/>
    <w:rsid w:val="00610F02"/>
    <w:rsid w:val="006124D5"/>
    <w:rsid w:val="00616ABE"/>
    <w:rsid w:val="00622946"/>
    <w:rsid w:val="006231E3"/>
    <w:rsid w:val="006255F8"/>
    <w:rsid w:val="00637FF5"/>
    <w:rsid w:val="0064419B"/>
    <w:rsid w:val="006468E0"/>
    <w:rsid w:val="00647FD2"/>
    <w:rsid w:val="00661C23"/>
    <w:rsid w:val="00662EBC"/>
    <w:rsid w:val="00670095"/>
    <w:rsid w:val="00671768"/>
    <w:rsid w:val="00683341"/>
    <w:rsid w:val="00685191"/>
    <w:rsid w:val="00686101"/>
    <w:rsid w:val="0069452B"/>
    <w:rsid w:val="006B63E7"/>
    <w:rsid w:val="006C0B84"/>
    <w:rsid w:val="006D148B"/>
    <w:rsid w:val="006D712C"/>
    <w:rsid w:val="006F57E8"/>
    <w:rsid w:val="006F5DA0"/>
    <w:rsid w:val="00700350"/>
    <w:rsid w:val="00700A0A"/>
    <w:rsid w:val="007027A6"/>
    <w:rsid w:val="00710761"/>
    <w:rsid w:val="007142FA"/>
    <w:rsid w:val="00720DF1"/>
    <w:rsid w:val="00721E44"/>
    <w:rsid w:val="007320BB"/>
    <w:rsid w:val="00743350"/>
    <w:rsid w:val="0074344E"/>
    <w:rsid w:val="00745316"/>
    <w:rsid w:val="007468DA"/>
    <w:rsid w:val="0075131A"/>
    <w:rsid w:val="00754B42"/>
    <w:rsid w:val="007555D5"/>
    <w:rsid w:val="00757C17"/>
    <w:rsid w:val="00761DE9"/>
    <w:rsid w:val="0076355A"/>
    <w:rsid w:val="00764AF5"/>
    <w:rsid w:val="0076749B"/>
    <w:rsid w:val="007714B9"/>
    <w:rsid w:val="0077500D"/>
    <w:rsid w:val="0077605E"/>
    <w:rsid w:val="007774FD"/>
    <w:rsid w:val="00781DC5"/>
    <w:rsid w:val="007834D5"/>
    <w:rsid w:val="007844E3"/>
    <w:rsid w:val="00784DBC"/>
    <w:rsid w:val="00792702"/>
    <w:rsid w:val="00792F49"/>
    <w:rsid w:val="007A17F0"/>
    <w:rsid w:val="007A200D"/>
    <w:rsid w:val="007A66FF"/>
    <w:rsid w:val="007A6FA8"/>
    <w:rsid w:val="007A6FAE"/>
    <w:rsid w:val="007B000F"/>
    <w:rsid w:val="007B1021"/>
    <w:rsid w:val="007B5D29"/>
    <w:rsid w:val="007B7DE9"/>
    <w:rsid w:val="007C0AA2"/>
    <w:rsid w:val="007C1E8D"/>
    <w:rsid w:val="007C2E8D"/>
    <w:rsid w:val="007E6A35"/>
    <w:rsid w:val="007F66CC"/>
    <w:rsid w:val="00802BC5"/>
    <w:rsid w:val="00813748"/>
    <w:rsid w:val="008212D4"/>
    <w:rsid w:val="008216B6"/>
    <w:rsid w:val="00821C5A"/>
    <w:rsid w:val="0082604D"/>
    <w:rsid w:val="008407A7"/>
    <w:rsid w:val="00840A01"/>
    <w:rsid w:val="008427E5"/>
    <w:rsid w:val="00846301"/>
    <w:rsid w:val="00856A74"/>
    <w:rsid w:val="0086345C"/>
    <w:rsid w:val="00872937"/>
    <w:rsid w:val="00876043"/>
    <w:rsid w:val="00876263"/>
    <w:rsid w:val="00876879"/>
    <w:rsid w:val="0087784C"/>
    <w:rsid w:val="00877B0C"/>
    <w:rsid w:val="00883837"/>
    <w:rsid w:val="0088411E"/>
    <w:rsid w:val="00891118"/>
    <w:rsid w:val="008A3A84"/>
    <w:rsid w:val="008B5260"/>
    <w:rsid w:val="008C2C03"/>
    <w:rsid w:val="008D59A4"/>
    <w:rsid w:val="008D72A1"/>
    <w:rsid w:val="008E0A7F"/>
    <w:rsid w:val="008E29C8"/>
    <w:rsid w:val="008E3E9F"/>
    <w:rsid w:val="008E43D8"/>
    <w:rsid w:val="008E62D4"/>
    <w:rsid w:val="008F2525"/>
    <w:rsid w:val="008F260C"/>
    <w:rsid w:val="008F298F"/>
    <w:rsid w:val="008F7476"/>
    <w:rsid w:val="009152B2"/>
    <w:rsid w:val="0094244F"/>
    <w:rsid w:val="00944DBF"/>
    <w:rsid w:val="00955A9B"/>
    <w:rsid w:val="00956911"/>
    <w:rsid w:val="0096465C"/>
    <w:rsid w:val="00971711"/>
    <w:rsid w:val="00973278"/>
    <w:rsid w:val="0097636D"/>
    <w:rsid w:val="009835A2"/>
    <w:rsid w:val="0099391D"/>
    <w:rsid w:val="00995A7F"/>
    <w:rsid w:val="009A0C33"/>
    <w:rsid w:val="009A3D45"/>
    <w:rsid w:val="009A3E6F"/>
    <w:rsid w:val="009B0B11"/>
    <w:rsid w:val="009B45A0"/>
    <w:rsid w:val="009C2D3C"/>
    <w:rsid w:val="009C42FB"/>
    <w:rsid w:val="009D0193"/>
    <w:rsid w:val="009D77B0"/>
    <w:rsid w:val="009E2392"/>
    <w:rsid w:val="009E6337"/>
    <w:rsid w:val="009F1889"/>
    <w:rsid w:val="009F27CB"/>
    <w:rsid w:val="00A04D08"/>
    <w:rsid w:val="00A12D4D"/>
    <w:rsid w:val="00A15280"/>
    <w:rsid w:val="00A234E0"/>
    <w:rsid w:val="00A3298A"/>
    <w:rsid w:val="00A32CFA"/>
    <w:rsid w:val="00A335B0"/>
    <w:rsid w:val="00A33A11"/>
    <w:rsid w:val="00A361C0"/>
    <w:rsid w:val="00A53A0A"/>
    <w:rsid w:val="00A624AC"/>
    <w:rsid w:val="00A6617B"/>
    <w:rsid w:val="00A66ECD"/>
    <w:rsid w:val="00A67E51"/>
    <w:rsid w:val="00A7299F"/>
    <w:rsid w:val="00A857EC"/>
    <w:rsid w:val="00A8600E"/>
    <w:rsid w:val="00A860A7"/>
    <w:rsid w:val="00A8737F"/>
    <w:rsid w:val="00A93597"/>
    <w:rsid w:val="00A9523E"/>
    <w:rsid w:val="00AB0DC8"/>
    <w:rsid w:val="00AB5D9A"/>
    <w:rsid w:val="00AD2B20"/>
    <w:rsid w:val="00AD3530"/>
    <w:rsid w:val="00AD553B"/>
    <w:rsid w:val="00AE137D"/>
    <w:rsid w:val="00AF267C"/>
    <w:rsid w:val="00AF295B"/>
    <w:rsid w:val="00AF2E91"/>
    <w:rsid w:val="00B0273C"/>
    <w:rsid w:val="00B049EE"/>
    <w:rsid w:val="00B15F0F"/>
    <w:rsid w:val="00B2282A"/>
    <w:rsid w:val="00B24D30"/>
    <w:rsid w:val="00B35B43"/>
    <w:rsid w:val="00B427D6"/>
    <w:rsid w:val="00B44E24"/>
    <w:rsid w:val="00B5378F"/>
    <w:rsid w:val="00B56AE4"/>
    <w:rsid w:val="00B62A0B"/>
    <w:rsid w:val="00B633B0"/>
    <w:rsid w:val="00B7604B"/>
    <w:rsid w:val="00B77B92"/>
    <w:rsid w:val="00B81979"/>
    <w:rsid w:val="00B82265"/>
    <w:rsid w:val="00B863B3"/>
    <w:rsid w:val="00BA0220"/>
    <w:rsid w:val="00BA040D"/>
    <w:rsid w:val="00BA7AFF"/>
    <w:rsid w:val="00BD1523"/>
    <w:rsid w:val="00BE263C"/>
    <w:rsid w:val="00BE3F1A"/>
    <w:rsid w:val="00BE5CD9"/>
    <w:rsid w:val="00BE6D03"/>
    <w:rsid w:val="00BF4D76"/>
    <w:rsid w:val="00BF7610"/>
    <w:rsid w:val="00C128C7"/>
    <w:rsid w:val="00C154FC"/>
    <w:rsid w:val="00C25ED5"/>
    <w:rsid w:val="00C35280"/>
    <w:rsid w:val="00C35542"/>
    <w:rsid w:val="00C37E24"/>
    <w:rsid w:val="00C47377"/>
    <w:rsid w:val="00C50C57"/>
    <w:rsid w:val="00C51490"/>
    <w:rsid w:val="00C54166"/>
    <w:rsid w:val="00C55015"/>
    <w:rsid w:val="00C55258"/>
    <w:rsid w:val="00C6422F"/>
    <w:rsid w:val="00C66ECE"/>
    <w:rsid w:val="00C6788F"/>
    <w:rsid w:val="00C7551B"/>
    <w:rsid w:val="00C81D1F"/>
    <w:rsid w:val="00C81F91"/>
    <w:rsid w:val="00C979FA"/>
    <w:rsid w:val="00CA4B18"/>
    <w:rsid w:val="00CA7242"/>
    <w:rsid w:val="00CB1817"/>
    <w:rsid w:val="00CB19A7"/>
    <w:rsid w:val="00CB2749"/>
    <w:rsid w:val="00CB2870"/>
    <w:rsid w:val="00CB3B47"/>
    <w:rsid w:val="00CB5F17"/>
    <w:rsid w:val="00CB7086"/>
    <w:rsid w:val="00CC69DE"/>
    <w:rsid w:val="00CC7E10"/>
    <w:rsid w:val="00CC7F56"/>
    <w:rsid w:val="00CD1EE1"/>
    <w:rsid w:val="00CD2E59"/>
    <w:rsid w:val="00CD4319"/>
    <w:rsid w:val="00CE1E16"/>
    <w:rsid w:val="00CE338B"/>
    <w:rsid w:val="00CE5866"/>
    <w:rsid w:val="00CE75CC"/>
    <w:rsid w:val="00CF1F38"/>
    <w:rsid w:val="00CF428D"/>
    <w:rsid w:val="00D00CD5"/>
    <w:rsid w:val="00D01351"/>
    <w:rsid w:val="00D019FA"/>
    <w:rsid w:val="00D16A06"/>
    <w:rsid w:val="00D20278"/>
    <w:rsid w:val="00D20530"/>
    <w:rsid w:val="00D21EF3"/>
    <w:rsid w:val="00D225D6"/>
    <w:rsid w:val="00D22A97"/>
    <w:rsid w:val="00D32624"/>
    <w:rsid w:val="00D370D1"/>
    <w:rsid w:val="00D40586"/>
    <w:rsid w:val="00D56AEC"/>
    <w:rsid w:val="00D573E8"/>
    <w:rsid w:val="00D60F73"/>
    <w:rsid w:val="00D6136B"/>
    <w:rsid w:val="00D6179E"/>
    <w:rsid w:val="00D61858"/>
    <w:rsid w:val="00D648C4"/>
    <w:rsid w:val="00D873C2"/>
    <w:rsid w:val="00D87CB3"/>
    <w:rsid w:val="00D9195F"/>
    <w:rsid w:val="00D9511F"/>
    <w:rsid w:val="00D96038"/>
    <w:rsid w:val="00D97C93"/>
    <w:rsid w:val="00DA0791"/>
    <w:rsid w:val="00DA2BAD"/>
    <w:rsid w:val="00DA5C36"/>
    <w:rsid w:val="00DC6595"/>
    <w:rsid w:val="00DD5C22"/>
    <w:rsid w:val="00DE1A03"/>
    <w:rsid w:val="00DE74A4"/>
    <w:rsid w:val="00DE78D8"/>
    <w:rsid w:val="00DF4176"/>
    <w:rsid w:val="00DF4DD1"/>
    <w:rsid w:val="00DF4E1B"/>
    <w:rsid w:val="00E11AE3"/>
    <w:rsid w:val="00E150B4"/>
    <w:rsid w:val="00E16BD2"/>
    <w:rsid w:val="00E41577"/>
    <w:rsid w:val="00E472E9"/>
    <w:rsid w:val="00E65407"/>
    <w:rsid w:val="00E70888"/>
    <w:rsid w:val="00E77D2B"/>
    <w:rsid w:val="00E80B31"/>
    <w:rsid w:val="00E8673F"/>
    <w:rsid w:val="00E91434"/>
    <w:rsid w:val="00E92209"/>
    <w:rsid w:val="00EA4ABB"/>
    <w:rsid w:val="00EA516E"/>
    <w:rsid w:val="00EA6D13"/>
    <w:rsid w:val="00EB1446"/>
    <w:rsid w:val="00EB2456"/>
    <w:rsid w:val="00EB5568"/>
    <w:rsid w:val="00EC440C"/>
    <w:rsid w:val="00ED2891"/>
    <w:rsid w:val="00ED2D44"/>
    <w:rsid w:val="00EE17FD"/>
    <w:rsid w:val="00EE2869"/>
    <w:rsid w:val="00EE3841"/>
    <w:rsid w:val="00EF1813"/>
    <w:rsid w:val="00EF31C7"/>
    <w:rsid w:val="00F061EC"/>
    <w:rsid w:val="00F066E1"/>
    <w:rsid w:val="00F06F04"/>
    <w:rsid w:val="00F15338"/>
    <w:rsid w:val="00F16604"/>
    <w:rsid w:val="00F21192"/>
    <w:rsid w:val="00F22BF4"/>
    <w:rsid w:val="00F31E45"/>
    <w:rsid w:val="00F35E10"/>
    <w:rsid w:val="00F37049"/>
    <w:rsid w:val="00F37BCA"/>
    <w:rsid w:val="00F44E03"/>
    <w:rsid w:val="00F50CB4"/>
    <w:rsid w:val="00F5122D"/>
    <w:rsid w:val="00F51BE0"/>
    <w:rsid w:val="00F602B9"/>
    <w:rsid w:val="00F60A6E"/>
    <w:rsid w:val="00F61D92"/>
    <w:rsid w:val="00F63947"/>
    <w:rsid w:val="00F71B8B"/>
    <w:rsid w:val="00F816F2"/>
    <w:rsid w:val="00F83099"/>
    <w:rsid w:val="00F90498"/>
    <w:rsid w:val="00F90F0E"/>
    <w:rsid w:val="00FA4233"/>
    <w:rsid w:val="00FA460C"/>
    <w:rsid w:val="00FA7870"/>
    <w:rsid w:val="00FB17BC"/>
    <w:rsid w:val="00FB2665"/>
    <w:rsid w:val="00FB4824"/>
    <w:rsid w:val="00FB7B29"/>
    <w:rsid w:val="00FC181B"/>
    <w:rsid w:val="00FC2E3F"/>
    <w:rsid w:val="00FC42AF"/>
    <w:rsid w:val="00FC5577"/>
    <w:rsid w:val="00FD1D32"/>
    <w:rsid w:val="00FD75F5"/>
    <w:rsid w:val="00FE071E"/>
    <w:rsid w:val="00FE0B5B"/>
    <w:rsid w:val="00FF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."/>
  <w:listSeparator w:val=","/>
  <w15:docId w15:val="{C420ECD0-4521-4AA0-B480-7B7544FD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CA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91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99391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qFormat/>
    <w:rsid w:val="0099391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99391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qFormat/>
    <w:rsid w:val="0099391D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"/>
    <w:qFormat/>
    <w:rsid w:val="0099391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"/>
    <w:qFormat/>
    <w:rsid w:val="0099391D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"/>
    <w:qFormat/>
    <w:rsid w:val="0099391D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"/>
    <w:qFormat/>
    <w:rsid w:val="0099391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E43D8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8E43D8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8E43D8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E43D8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8E43D8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8E43D8"/>
    <w:rPr>
      <w:rFonts w:ascii="Calibri" w:hAnsi="Calibri" w:cs="Times New Roman"/>
      <w:b/>
      <w:bCs/>
      <w:sz w:val="22"/>
      <w:szCs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8E43D8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8E43D8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8E43D8"/>
    <w:rPr>
      <w:rFonts w:ascii="Cambria" w:hAnsi="Cambria" w:cs="Times New Roman"/>
      <w:sz w:val="22"/>
      <w:szCs w:val="22"/>
      <w:lang w:val="fr-FR" w:eastAsia="en-US"/>
    </w:rPr>
  </w:style>
  <w:style w:type="paragraph" w:styleId="Footer">
    <w:name w:val="footer"/>
    <w:basedOn w:val="Normal"/>
    <w:link w:val="FooterChar"/>
    <w:rsid w:val="00FC55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FC5577"/>
    <w:rPr>
      <w:sz w:val="22"/>
      <w:lang w:val="fr-FR" w:eastAsia="en-US"/>
    </w:rPr>
  </w:style>
  <w:style w:type="paragraph" w:styleId="Header">
    <w:name w:val="header"/>
    <w:basedOn w:val="Normal"/>
    <w:link w:val="HeaderChar"/>
    <w:rsid w:val="00FC5577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FC5577"/>
    <w:rPr>
      <w:sz w:val="22"/>
      <w:lang w:val="fr-FR" w:eastAsia="en-US"/>
    </w:rPr>
  </w:style>
  <w:style w:type="paragraph" w:styleId="FootnoteText">
    <w:name w:val="footnote text"/>
    <w:basedOn w:val="Normal"/>
    <w:link w:val="FootnoteTextChar"/>
    <w:rsid w:val="00FC5577"/>
    <w:pPr>
      <w:tabs>
        <w:tab w:val="left" w:pos="284"/>
      </w:tabs>
      <w:spacing w:before="60"/>
      <w:ind w:left="284" w:hanging="284"/>
    </w:pPr>
    <w:rPr>
      <w:sz w:val="20"/>
    </w:rPr>
  </w:style>
  <w:style w:type="character" w:styleId="PageNumber">
    <w:name w:val="page number"/>
    <w:basedOn w:val="DefaultParagraphFont"/>
    <w:uiPriority w:val="99"/>
    <w:rsid w:val="0099391D"/>
    <w:rPr>
      <w:rFonts w:cs="Times New Roman"/>
    </w:rPr>
  </w:style>
  <w:style w:type="paragraph" w:customStyle="1" w:styleId="Headingb">
    <w:name w:val="Heading_b"/>
    <w:basedOn w:val="Heading3"/>
    <w:next w:val="Normal"/>
    <w:rsid w:val="001A6F2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9391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9391D"/>
    <w:rPr>
      <w:rFonts w:cs="Times New Roman"/>
    </w:rPr>
  </w:style>
  <w:style w:type="paragraph" w:customStyle="1" w:styleId="enumlev1">
    <w:name w:val="enumlev1"/>
    <w:basedOn w:val="Normal"/>
    <w:link w:val="enumlev1Char"/>
    <w:rsid w:val="0099391D"/>
    <w:pPr>
      <w:spacing w:before="80"/>
      <w:ind w:left="794" w:hanging="794"/>
    </w:pPr>
  </w:style>
  <w:style w:type="paragraph" w:customStyle="1" w:styleId="enumlev2">
    <w:name w:val="enumlev2"/>
    <w:basedOn w:val="enumlev1"/>
    <w:rsid w:val="0099391D"/>
    <w:pPr>
      <w:ind w:left="1191" w:hanging="397"/>
    </w:pPr>
  </w:style>
  <w:style w:type="paragraph" w:customStyle="1" w:styleId="enumlev3">
    <w:name w:val="enumlev3"/>
    <w:basedOn w:val="enumlev2"/>
    <w:rsid w:val="0099391D"/>
    <w:pPr>
      <w:ind w:left="1588"/>
    </w:pPr>
  </w:style>
  <w:style w:type="paragraph" w:customStyle="1" w:styleId="Normalaftertitle">
    <w:name w:val="Normal_after_title"/>
    <w:basedOn w:val="Normal"/>
    <w:next w:val="Normal"/>
    <w:rsid w:val="0099391D"/>
    <w:pPr>
      <w:spacing w:before="320"/>
    </w:pPr>
  </w:style>
  <w:style w:type="paragraph" w:customStyle="1" w:styleId="Note">
    <w:name w:val="Note"/>
    <w:basedOn w:val="Normal"/>
    <w:rsid w:val="005557D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6F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Normal"/>
    <w:next w:val="Recref"/>
    <w:rsid w:val="00F50CB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9391D"/>
    <w:pPr>
      <w:jc w:val="center"/>
    </w:pPr>
  </w:style>
  <w:style w:type="paragraph" w:customStyle="1" w:styleId="Recdate">
    <w:name w:val="Rec_date"/>
    <w:basedOn w:val="Recref"/>
    <w:next w:val="Normalaftertitle"/>
    <w:rsid w:val="00F50CB4"/>
    <w:pPr>
      <w:jc w:val="right"/>
    </w:pPr>
  </w:style>
  <w:style w:type="paragraph" w:customStyle="1" w:styleId="HeadingSum">
    <w:name w:val="Heading_Sum"/>
    <w:basedOn w:val="Headingb"/>
    <w:next w:val="Normal"/>
    <w:rsid w:val="0099391D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5557D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link w:val="AppendixNoTitleChar"/>
    <w:rsid w:val="0099391D"/>
  </w:style>
  <w:style w:type="paragraph" w:customStyle="1" w:styleId="Tablefin">
    <w:name w:val="Table_fin"/>
    <w:basedOn w:val="Normal"/>
    <w:next w:val="Normal"/>
    <w:rsid w:val="0099391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239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99391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99391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239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9391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9391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99391D"/>
    <w:pPr>
      <w:ind w:left="794"/>
    </w:pPr>
  </w:style>
  <w:style w:type="paragraph" w:customStyle="1" w:styleId="Figurelegend">
    <w:name w:val="Figure_legend"/>
    <w:basedOn w:val="Normal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9391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FigureChar">
    <w:name w:val="Figure Char"/>
    <w:basedOn w:val="FigureNoChar"/>
    <w:link w:val="Figure"/>
    <w:locked/>
    <w:rsid w:val="00944DBF"/>
    <w:rPr>
      <w:rFonts w:cs="Times New Roman"/>
      <w:caps/>
      <w:sz w:val="18"/>
      <w:lang w:val="fr-FR" w:eastAsia="en-US" w:bidi="ar-SA"/>
    </w:rPr>
  </w:style>
  <w:style w:type="character" w:customStyle="1" w:styleId="FigureNoChar">
    <w:name w:val="Figure_No Char"/>
    <w:basedOn w:val="DefaultParagraphFont"/>
    <w:link w:val="FigureNo"/>
    <w:locked/>
    <w:rsid w:val="006124D5"/>
    <w:rPr>
      <w:rFonts w:cs="Times New Roman"/>
      <w:caps/>
      <w:sz w:val="18"/>
      <w:lang w:val="fr-FR" w:eastAsia="en-US" w:bidi="ar-SA"/>
    </w:rPr>
  </w:style>
  <w:style w:type="character" w:customStyle="1" w:styleId="FiguretitleChar">
    <w:name w:val="Figure_title Char"/>
    <w:basedOn w:val="DefaultParagraphFont"/>
    <w:link w:val="Figuretitle"/>
    <w:locked/>
    <w:rsid w:val="006124D5"/>
    <w:rPr>
      <w:rFonts w:ascii="Times New Roman Bold" w:hAnsi="Times New Roman Bold" w:cs="Times New Roman"/>
      <w:b/>
      <w:sz w:val="18"/>
      <w:lang w:val="fr-FR" w:eastAsia="en-US" w:bidi="ar-SA"/>
    </w:rPr>
  </w:style>
  <w:style w:type="paragraph" w:customStyle="1" w:styleId="tocpart">
    <w:name w:val="tocpart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9391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9391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C5577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99391D"/>
    <w:rPr>
      <w:b/>
    </w:rPr>
  </w:style>
  <w:style w:type="paragraph" w:customStyle="1" w:styleId="Chaptitle">
    <w:name w:val="Chap_title"/>
    <w:basedOn w:val="Arttitle"/>
    <w:next w:val="Normalaftertitle"/>
    <w:rsid w:val="0099391D"/>
  </w:style>
  <w:style w:type="character" w:styleId="FootnoteReference">
    <w:name w:val="footnote reference"/>
    <w:basedOn w:val="DefaultParagraphFont"/>
    <w:rsid w:val="008F7476"/>
    <w:rPr>
      <w:rFonts w:cs="Times New Roman"/>
      <w:position w:val="6"/>
      <w:sz w:val="16"/>
    </w:rPr>
  </w:style>
  <w:style w:type="character" w:customStyle="1" w:styleId="FootnoteTextChar">
    <w:name w:val="Footnote Text Char"/>
    <w:basedOn w:val="DefaultParagraphFont"/>
    <w:link w:val="FootnoteText"/>
    <w:rsid w:val="00FC5577"/>
    <w:rPr>
      <w:lang w:val="fr-FR"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99391D"/>
  </w:style>
  <w:style w:type="paragraph" w:styleId="Index2">
    <w:name w:val="index 2"/>
    <w:basedOn w:val="Normal"/>
    <w:next w:val="Normal"/>
    <w:autoRedefine/>
    <w:uiPriority w:val="99"/>
    <w:semiHidden/>
    <w:rsid w:val="0099391D"/>
    <w:pPr>
      <w:ind w:left="283"/>
    </w:pPr>
  </w:style>
  <w:style w:type="paragraph" w:styleId="Index3">
    <w:name w:val="index 3"/>
    <w:basedOn w:val="Normal"/>
    <w:next w:val="Normal"/>
    <w:autoRedefine/>
    <w:uiPriority w:val="99"/>
    <w:semiHidden/>
    <w:rsid w:val="0099391D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99391D"/>
  </w:style>
  <w:style w:type="paragraph" w:customStyle="1" w:styleId="Line">
    <w:name w:val="Line"/>
    <w:basedOn w:val="Normal"/>
    <w:next w:val="Normal"/>
    <w:rsid w:val="0099391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9391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9391D"/>
  </w:style>
  <w:style w:type="paragraph" w:customStyle="1" w:styleId="Partref">
    <w:name w:val="Part_ref"/>
    <w:basedOn w:val="Normal"/>
    <w:next w:val="Normal"/>
    <w:rsid w:val="0099391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9391D"/>
  </w:style>
  <w:style w:type="paragraph" w:customStyle="1" w:styleId="QuestionNo">
    <w:name w:val="Question_No"/>
    <w:basedOn w:val="RecNo"/>
    <w:next w:val="Normal"/>
    <w:rsid w:val="0099391D"/>
  </w:style>
  <w:style w:type="paragraph" w:customStyle="1" w:styleId="Questionref">
    <w:name w:val="Question_ref"/>
    <w:basedOn w:val="Recref"/>
    <w:next w:val="Questiondate"/>
    <w:rsid w:val="0099391D"/>
  </w:style>
  <w:style w:type="paragraph" w:customStyle="1" w:styleId="Questiontitle">
    <w:name w:val="Question_title"/>
    <w:basedOn w:val="Normal"/>
    <w:next w:val="Questionref"/>
    <w:rsid w:val="0099391D"/>
  </w:style>
  <w:style w:type="paragraph" w:customStyle="1" w:styleId="Reftext">
    <w:name w:val="Ref_text"/>
    <w:basedOn w:val="Normal"/>
    <w:rsid w:val="0099391D"/>
    <w:pPr>
      <w:ind w:left="794" w:hanging="794"/>
    </w:pPr>
  </w:style>
  <w:style w:type="paragraph" w:customStyle="1" w:styleId="Reftitle">
    <w:name w:val="Ref_title"/>
    <w:basedOn w:val="Normal"/>
    <w:next w:val="Reftext"/>
    <w:rsid w:val="0099391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9391D"/>
  </w:style>
  <w:style w:type="paragraph" w:customStyle="1" w:styleId="RepNo">
    <w:name w:val="Rep_No"/>
    <w:basedOn w:val="RecNo"/>
    <w:next w:val="Reptitle"/>
    <w:rsid w:val="0099391D"/>
  </w:style>
  <w:style w:type="paragraph" w:customStyle="1" w:styleId="Reptitle">
    <w:name w:val="Rep_title"/>
    <w:basedOn w:val="Rectitle"/>
    <w:next w:val="Repref"/>
    <w:rsid w:val="0099391D"/>
  </w:style>
  <w:style w:type="paragraph" w:customStyle="1" w:styleId="Repref">
    <w:name w:val="Rep_ref"/>
    <w:basedOn w:val="Recref"/>
    <w:next w:val="Repdate"/>
    <w:rsid w:val="0099391D"/>
  </w:style>
  <w:style w:type="paragraph" w:customStyle="1" w:styleId="Resdate">
    <w:name w:val="Res_date"/>
    <w:basedOn w:val="Recdate"/>
    <w:next w:val="Normalaftertitle"/>
    <w:rsid w:val="0099391D"/>
  </w:style>
  <w:style w:type="paragraph" w:customStyle="1" w:styleId="ResNo">
    <w:name w:val="Res_No"/>
    <w:basedOn w:val="RecNo"/>
    <w:next w:val="Restitle"/>
    <w:rsid w:val="0099391D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9391D"/>
  </w:style>
  <w:style w:type="paragraph" w:customStyle="1" w:styleId="SectionNo">
    <w:name w:val="Section_No"/>
    <w:basedOn w:val="Normal"/>
    <w:next w:val="Normal"/>
    <w:rsid w:val="0099391D"/>
  </w:style>
  <w:style w:type="paragraph" w:customStyle="1" w:styleId="Sectiontitle">
    <w:name w:val="Section_title"/>
    <w:basedOn w:val="Normal"/>
    <w:next w:val="Normalaftertitle"/>
    <w:rsid w:val="0099391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9391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autoRedefine/>
    <w:uiPriority w:val="39"/>
    <w:semiHidden/>
    <w:rsid w:val="0099391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uiPriority w:val="39"/>
    <w:semiHidden/>
    <w:rsid w:val="0099391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uiPriority w:val="39"/>
    <w:semiHidden/>
    <w:rsid w:val="0099391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uiPriority w:val="39"/>
    <w:semiHidden/>
    <w:rsid w:val="0099391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uiPriority w:val="39"/>
    <w:semiHidden/>
    <w:rsid w:val="0099391D"/>
  </w:style>
  <w:style w:type="paragraph" w:styleId="TOC6">
    <w:name w:val="toc 6"/>
    <w:basedOn w:val="TOC4"/>
    <w:autoRedefine/>
    <w:uiPriority w:val="39"/>
    <w:semiHidden/>
    <w:rsid w:val="0099391D"/>
  </w:style>
  <w:style w:type="paragraph" w:styleId="TOC7">
    <w:name w:val="toc 7"/>
    <w:basedOn w:val="TOC4"/>
    <w:autoRedefine/>
    <w:uiPriority w:val="39"/>
    <w:semiHidden/>
    <w:rsid w:val="0099391D"/>
  </w:style>
  <w:style w:type="paragraph" w:styleId="TOC8">
    <w:name w:val="toc 8"/>
    <w:basedOn w:val="TOC4"/>
    <w:autoRedefine/>
    <w:uiPriority w:val="39"/>
    <w:semiHidden/>
    <w:rsid w:val="0099391D"/>
  </w:style>
  <w:style w:type="paragraph" w:customStyle="1" w:styleId="Annexref">
    <w:name w:val="Annex_ref"/>
    <w:basedOn w:val="Normal"/>
    <w:next w:val="Normalaftertitle"/>
    <w:rsid w:val="0099391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9391D"/>
  </w:style>
  <w:style w:type="paragraph" w:customStyle="1" w:styleId="Tabletitle">
    <w:name w:val="Table_title"/>
    <w:basedOn w:val="Normal"/>
    <w:next w:val="Tablehead"/>
    <w:link w:val="TabletitleChar"/>
    <w:rsid w:val="0099391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C557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link w:val="TableLegendNoteChar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B75C5"/>
    <w:rPr>
      <w:rFonts w:cs="Times New Roman"/>
      <w:color w:val="0000FF"/>
      <w:u w:val="single"/>
    </w:rPr>
  </w:style>
  <w:style w:type="character" w:customStyle="1" w:styleId="TablelegendChar">
    <w:name w:val="Table_legend Char"/>
    <w:basedOn w:val="DefaultParagraphFont"/>
    <w:link w:val="Tablelegend"/>
    <w:locked/>
    <w:rsid w:val="007555D5"/>
    <w:rPr>
      <w:rFonts w:cs="Times New Roman"/>
      <w:sz w:val="22"/>
      <w:lang w:val="fr-FR" w:eastAsia="en-US" w:bidi="ar-SA"/>
    </w:rPr>
  </w:style>
  <w:style w:type="character" w:customStyle="1" w:styleId="TableLegendNoteChar">
    <w:name w:val="Table_Legend_Note Char"/>
    <w:basedOn w:val="TablelegendChar"/>
    <w:link w:val="TableLegendNote"/>
    <w:locked/>
    <w:rsid w:val="007555D5"/>
    <w:rPr>
      <w:rFonts w:cs="Times New Roman"/>
      <w:sz w:val="22"/>
      <w:lang w:val="en-US" w:eastAsia="en-US" w:bidi="ar-SA"/>
    </w:rPr>
  </w:style>
  <w:style w:type="character" w:customStyle="1" w:styleId="enumlev1Char">
    <w:name w:val="enumlev1 Char"/>
    <w:basedOn w:val="DefaultParagraphFont"/>
    <w:link w:val="enumlev1"/>
    <w:locked/>
    <w:rsid w:val="00743350"/>
    <w:rPr>
      <w:rFonts w:cs="Times New Roman"/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locked/>
    <w:rsid w:val="00743350"/>
    <w:rPr>
      <w:rFonts w:cs="Times New Roman"/>
      <w:b/>
      <w:sz w:val="24"/>
      <w:lang w:val="fr-FR" w:eastAsia="en-US" w:bidi="ar-SA"/>
    </w:rPr>
  </w:style>
  <w:style w:type="character" w:customStyle="1" w:styleId="TableNoChar">
    <w:name w:val="Table_No Char"/>
    <w:basedOn w:val="DefaultParagraphFont"/>
    <w:link w:val="TableNo"/>
    <w:locked/>
    <w:rsid w:val="00743350"/>
    <w:rPr>
      <w:rFonts w:cs="Times New Roman"/>
      <w:sz w:val="24"/>
      <w:lang w:val="fr-FR" w:eastAsia="en-US" w:bidi="ar-SA"/>
    </w:rPr>
  </w:style>
  <w:style w:type="character" w:customStyle="1" w:styleId="TabletextChar">
    <w:name w:val="Table_text Char"/>
    <w:basedOn w:val="DefaultParagraphFont"/>
    <w:link w:val="Tabletext"/>
    <w:locked/>
    <w:rsid w:val="009E2392"/>
    <w:rPr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5557DD"/>
    <w:rPr>
      <w:b/>
      <w:sz w:val="26"/>
      <w:lang w:val="fr-FR" w:eastAsia="en-US"/>
    </w:rPr>
  </w:style>
  <w:style w:type="character" w:customStyle="1" w:styleId="AppendixNoTitleChar">
    <w:name w:val="Appendix_NoTitle Char"/>
    <w:basedOn w:val="AnnexNoTitleChar"/>
    <w:link w:val="AppendixNoTitle"/>
    <w:locked/>
    <w:rsid w:val="00DC6595"/>
    <w:rPr>
      <w:rFonts w:cs="Times New Roman"/>
      <w:b/>
      <w:sz w:val="28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emf"/><Relationship Id="rId76" Type="http://schemas.openxmlformats.org/officeDocument/2006/relationships/image" Target="media/image33.emf"/><Relationship Id="rId84" Type="http://schemas.openxmlformats.org/officeDocument/2006/relationships/image" Target="media/image37.emf"/><Relationship Id="rId89" Type="http://schemas.openxmlformats.org/officeDocument/2006/relationships/header" Target="header6.xml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oleObject" Target="embeddings/oleObject8.bin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image" Target="media/image32.emf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36.wmf"/><Relationship Id="rId90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emf"/><Relationship Id="rId80" Type="http://schemas.openxmlformats.org/officeDocument/2006/relationships/image" Target="media/image35.emf"/><Relationship Id="rId85" Type="http://schemas.openxmlformats.org/officeDocument/2006/relationships/oleObject" Target="embeddings/oleObject36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image" Target="media/image30.e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header" Target="header5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4.emf"/><Relationship Id="rId81" Type="http://schemas.openxmlformats.org/officeDocument/2006/relationships/oleObject" Target="embeddings/oleObject34.bin"/><Relationship Id="rId86" Type="http://schemas.openxmlformats.org/officeDocument/2006/relationships/image" Target="media/image38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130F8-F362-4893-8E17-BC895EEAB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25</TotalTime>
  <Pages>30</Pages>
  <Words>7226</Words>
  <Characters>47223</Characters>
  <Application>Microsoft Office Word</Application>
  <DocSecurity>0</DocSecurity>
  <Lines>1276</Lines>
  <Paragraphs>707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F.1509-2‎ (02/2013) - Технические и эксплуатационные требования, способствующие совместному ‎использованию частот системами связи пункта со многими пунктами ‎в фиксированной службе и межспутниковой службе в полосе 25,25–27,5 ГГц‎</vt:lpstr>
    </vt:vector>
  </TitlesOfParts>
  <Company>ITU</Company>
  <LinksUpToDate>false</LinksUpToDate>
  <CharactersWithSpaces>53742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F.1509-3* - Технические и эксплуатационные требования, способствующие совместному использованию частот системами связи пункта со многими пунктами в фиксированной службе и межспутниковой службе  в полосе 25,25–27,5 ГГц</dc:title>
  <dc:subject>F Series = Fixed service</dc:subject>
  <dc:creator>ITU Radiocommunication Bureau (BR)</dc:creator>
  <cp:keywords>F,1509-3*</cp:keywords>
  <dc:description>Berdyeva, 20/12/2016, ITU51009916</dc:description>
  <cp:lastModifiedBy>Berdyeva, Elena</cp:lastModifiedBy>
  <cp:revision>13</cp:revision>
  <cp:lastPrinted>2016-12-20T13:54:00Z</cp:lastPrinted>
  <dcterms:created xsi:type="dcterms:W3CDTF">2016-12-05T10:58:00Z</dcterms:created>
  <dcterms:modified xsi:type="dcterms:W3CDTF">2016-12-20T13:54:00Z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20 December 2016</vt:lpwstr>
  </property>
</Properties>
</file>