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223D4" w14:textId="77777777" w:rsidR="00FE79FE" w:rsidRDefault="00FE79FE"/>
    <w:p w14:paraId="3485442C" w14:textId="77777777" w:rsidR="00013002" w:rsidRDefault="00013002" w:rsidP="00DE5556">
      <w:pPr>
        <w:tabs>
          <w:tab w:val="clear" w:pos="794"/>
          <w:tab w:val="clear" w:pos="1191"/>
          <w:tab w:val="clear" w:pos="1588"/>
          <w:tab w:val="clear" w:pos="1985"/>
        </w:tabs>
      </w:pPr>
    </w:p>
    <w:p w14:paraId="779522C0" w14:textId="4E23AFB3" w:rsidR="00D5024B" w:rsidRPr="00710A2A" w:rsidRDefault="00D5024B" w:rsidP="00D5024B">
      <w:pPr>
        <w:pStyle w:val="CoverNumber"/>
        <w:rPr>
          <w:lang w:val="fr-FR"/>
        </w:rPr>
      </w:pPr>
      <w:r w:rsidRPr="00710A2A">
        <w:rPr>
          <w:lang w:val="fr-FR"/>
        </w:rPr>
        <w:t>Recomm</w:t>
      </w:r>
      <w:r w:rsidR="00A25EE2" w:rsidRPr="00710A2A">
        <w:rPr>
          <w:lang w:val="fr-FR"/>
        </w:rPr>
        <w:t>a</w:t>
      </w:r>
      <w:r w:rsidRPr="00710A2A">
        <w:rPr>
          <w:lang w:val="fr-FR"/>
        </w:rPr>
        <w:t xml:space="preserve">ndation </w:t>
      </w:r>
      <w:r w:rsidR="007624B1" w:rsidRPr="00710A2A">
        <w:rPr>
          <w:lang w:val="fr-FR"/>
        </w:rPr>
        <w:t>U</w:t>
      </w:r>
      <w:r w:rsidRPr="00710A2A">
        <w:rPr>
          <w:lang w:val="fr-FR"/>
        </w:rPr>
        <w:t xml:space="preserve">IT-R </w:t>
      </w:r>
      <w:r w:rsidR="003B409A">
        <w:rPr>
          <w:lang w:val="fr-FR"/>
        </w:rPr>
        <w:t>F</w:t>
      </w:r>
      <w:r w:rsidRPr="00710A2A">
        <w:rPr>
          <w:lang w:val="fr-FR"/>
        </w:rPr>
        <w:t>.</w:t>
      </w:r>
      <w:r w:rsidR="00542F4C" w:rsidRPr="00596629">
        <w:rPr>
          <w:lang w:val="fr-FR"/>
        </w:rPr>
        <w:t>1568-2</w:t>
      </w:r>
    </w:p>
    <w:p w14:paraId="2F6306A1" w14:textId="6E19AD5E" w:rsidR="00D5024B" w:rsidRPr="004F3F6F" w:rsidRDefault="00D5024B" w:rsidP="00D5024B">
      <w:pPr>
        <w:pStyle w:val="CoverDate"/>
        <w:rPr>
          <w:lang w:val="fr-FR"/>
        </w:rPr>
      </w:pPr>
      <w:r w:rsidRPr="004F3F6F">
        <w:rPr>
          <w:lang w:val="fr-FR"/>
        </w:rPr>
        <w:t>(</w:t>
      </w:r>
      <w:r w:rsidR="00542F4C" w:rsidRPr="00596629">
        <w:rPr>
          <w:lang w:val="fr-FR"/>
        </w:rPr>
        <w:t>12/2023</w:t>
      </w:r>
      <w:r w:rsidRPr="004F3F6F">
        <w:rPr>
          <w:lang w:val="fr-FR"/>
        </w:rPr>
        <w:t>)</w:t>
      </w:r>
    </w:p>
    <w:p w14:paraId="0502111A" w14:textId="77777777" w:rsidR="00D5024B" w:rsidRPr="003B409A" w:rsidRDefault="00A25EE2" w:rsidP="003B409A">
      <w:pPr>
        <w:pStyle w:val="CoverSeries"/>
      </w:pPr>
      <w:r w:rsidRPr="003B409A">
        <w:t xml:space="preserve">Série </w:t>
      </w:r>
      <w:r w:rsidR="003B409A" w:rsidRPr="003B409A">
        <w:t>F</w:t>
      </w:r>
      <w:r w:rsidR="00D5024B" w:rsidRPr="003B409A">
        <w:t xml:space="preserve">: </w:t>
      </w:r>
      <w:r w:rsidR="003B409A" w:rsidRPr="003B409A">
        <w:t>Service fixe</w:t>
      </w:r>
    </w:p>
    <w:p w14:paraId="3B56D847" w14:textId="7195E495" w:rsidR="00D5024B" w:rsidRPr="004F3F6F" w:rsidRDefault="00542F4C" w:rsidP="00D5024B">
      <w:pPr>
        <w:pStyle w:val="CoverTitle"/>
        <w:rPr>
          <w:lang w:val="fr-FR"/>
        </w:rPr>
      </w:pPr>
      <w:r w:rsidRPr="00596629">
        <w:rPr>
          <w:lang w:val="fr-FR"/>
        </w:rPr>
        <w:t>Dispositions de blocs de radiofréquences pour les systèmes d'accès hertzien fixe dans la gamme 10,15-10,3/10,5-10,65 GHz</w:t>
      </w:r>
    </w:p>
    <w:p w14:paraId="0DB400BA" w14:textId="77777777" w:rsidR="00FE79FE" w:rsidRPr="004F3F6F" w:rsidRDefault="00FE79FE" w:rsidP="005373E0"/>
    <w:p w14:paraId="4D8C8662" w14:textId="77777777" w:rsidR="00A71FE5" w:rsidRPr="005373E0" w:rsidRDefault="00A71FE5" w:rsidP="005373E0"/>
    <w:p w14:paraId="230C3AE4" w14:textId="77777777" w:rsidR="00EE47C4" w:rsidRPr="005373E0" w:rsidRDefault="00EE47C4" w:rsidP="005373E0">
      <w:p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73BF5C7" w14:textId="77777777" w:rsidR="00A25EE2" w:rsidRPr="00F54FBD" w:rsidRDefault="00A25EE2" w:rsidP="00A25EE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0" w:name="c2tope"/>
      <w:bookmarkEnd w:id="0"/>
      <w:r w:rsidRPr="00F54FBD">
        <w:rPr>
          <w:bCs/>
          <w:sz w:val="24"/>
          <w:szCs w:val="24"/>
        </w:rPr>
        <w:lastRenderedPageBreak/>
        <w:t>Avant-propos</w:t>
      </w:r>
    </w:p>
    <w:p w14:paraId="42508891" w14:textId="77777777" w:rsidR="00A25EE2" w:rsidRPr="00F54FBD" w:rsidRDefault="00A25EE2" w:rsidP="00A25EE2">
      <w:pPr>
        <w:spacing w:before="240"/>
        <w:rPr>
          <w:sz w:val="20"/>
        </w:rPr>
      </w:pPr>
      <w:r w:rsidRPr="00F54FBD">
        <w:rPr>
          <w:sz w:val="20"/>
        </w:rPr>
        <w:t xml:space="preserve">Le rôle du Secteur des radiocommunications est d’assurer l’utilisation rationnelle, </w:t>
      </w:r>
      <w:r>
        <w:rPr>
          <w:sz w:val="20"/>
        </w:rPr>
        <w:t>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26940223" w14:textId="77777777" w:rsidR="00A25EE2" w:rsidRPr="00F54FBD" w:rsidRDefault="00A25EE2" w:rsidP="00A25EE2">
      <w:pPr>
        <w:rPr>
          <w:sz w:val="20"/>
        </w:rPr>
      </w:pPr>
      <w:r w:rsidRPr="00F54FBD">
        <w:rPr>
          <w:sz w:val="20"/>
        </w:rPr>
        <w:t xml:space="preserve">Les </w:t>
      </w:r>
      <w:r>
        <w:rPr>
          <w:sz w:val="20"/>
        </w:rPr>
        <w:t>fo</w:t>
      </w:r>
      <w:r w:rsidRPr="00F54FBD">
        <w:rPr>
          <w:sz w:val="20"/>
        </w:rPr>
        <w:t>nctions réglementaires et politiques du Secteur des ra</w:t>
      </w:r>
      <w:r>
        <w:rPr>
          <w:sz w:val="20"/>
        </w:rPr>
        <w:t>diocommunications sont remplies par les Conférences mondiales et régionales des radiocommunications et par les Assemblées des radiocommunications assistées par les Commissions d’études.</w:t>
      </w:r>
    </w:p>
    <w:p w14:paraId="1722BBEE" w14:textId="77777777" w:rsidR="00A25EE2" w:rsidRPr="00E44CBB" w:rsidRDefault="00A25EE2" w:rsidP="00A25EE2">
      <w:pPr>
        <w:pStyle w:val="Heading1"/>
        <w:spacing w:before="360"/>
        <w:jc w:val="center"/>
        <w:rPr>
          <w:szCs w:val="24"/>
        </w:rPr>
      </w:pPr>
      <w:r w:rsidRPr="003F6436">
        <w:rPr>
          <w:szCs w:val="24"/>
        </w:rPr>
        <w:t>Politique en matière de droits de propriété intellectuelle</w:t>
      </w:r>
      <w:r w:rsidRPr="00E44CBB">
        <w:rPr>
          <w:szCs w:val="24"/>
        </w:rPr>
        <w:t xml:space="preserve"> (IPR)</w:t>
      </w:r>
    </w:p>
    <w:p w14:paraId="2A904A51" w14:textId="77777777" w:rsidR="00A25EE2" w:rsidRPr="00E44CBB" w:rsidRDefault="00A25EE2" w:rsidP="00A25EE2">
      <w:pPr>
        <w:spacing w:before="240"/>
        <w:rPr>
          <w:sz w:val="20"/>
          <w:lang w:val="fr-CH"/>
        </w:rPr>
      </w:pPr>
      <w:r w:rsidRPr="00E44CBB">
        <w:rPr>
          <w:sz w:val="20"/>
        </w:rPr>
        <w:t>La politique de l'UIT</w:t>
      </w:r>
      <w:r w:rsidRPr="00E44CBB">
        <w:rPr>
          <w:sz w:val="20"/>
        </w:rPr>
        <w:noBreakHyphen/>
        <w:t>R en matière de droits de propriété intellectuelle est décrite dans la</w:t>
      </w:r>
      <w:proofErr w:type="gramStart"/>
      <w:r w:rsidRPr="00E44CBB">
        <w:rPr>
          <w:sz w:val="20"/>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E44CBB">
        <w:rPr>
          <w:sz w:val="20"/>
        </w:rPr>
        <w:t xml:space="preserve">Les formulaires que les titulaires de brevets doivent utiliser pour soumettre les déclarations de brevet et d'octroi de licence sont accessibles à l'adresse </w:t>
      </w:r>
      <w:hyperlink r:id="rId11" w:history="1">
        <w:r w:rsidRPr="00E44CBB">
          <w:rPr>
            <w:rStyle w:val="Hyperlink"/>
            <w:sz w:val="20"/>
          </w:rPr>
          <w:t>http://www.itu.int/ITU-R/go/patents/fr</w:t>
        </w:r>
      </w:hyperlink>
      <w:r w:rsidRPr="00E44CBB">
        <w:rPr>
          <w:sz w:val="20"/>
        </w:rPr>
        <w:t>, où l'on trouvera également les Lignes directrices pour la mise en oeuvre de la politique commune en matière de brevets de l'UIT</w:t>
      </w:r>
      <w:r w:rsidRPr="00E44CBB">
        <w:rPr>
          <w:sz w:val="20"/>
        </w:rPr>
        <w:noBreakHyphen/>
        <w:t>T, l'UIT</w:t>
      </w:r>
      <w:r w:rsidRPr="00E44CBB">
        <w:rPr>
          <w:sz w:val="20"/>
        </w:rPr>
        <w:noBreakHyphen/>
        <w:t>R, l'ISO et la CEI</w:t>
      </w:r>
      <w:r w:rsidRPr="00E44CBB" w:rsidDel="0061025C">
        <w:rPr>
          <w:sz w:val="20"/>
        </w:rPr>
        <w:t xml:space="preserve"> </w:t>
      </w:r>
      <w:r w:rsidRPr="00E44CBB">
        <w:rPr>
          <w:sz w:val="20"/>
        </w:rPr>
        <w:t>et la base de données en matière de brevets de l'UIT-R.</w:t>
      </w:r>
    </w:p>
    <w:p w14:paraId="7C7FC962" w14:textId="77777777" w:rsidR="00A25EE2" w:rsidRPr="0086089D" w:rsidRDefault="00A25EE2" w:rsidP="00A25EE2">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A25EE2" w:rsidRPr="009454F8" w14:paraId="1D1FFC77" w14:textId="77777777" w:rsidTr="00A25EE2">
        <w:tc>
          <w:tcPr>
            <w:tcW w:w="9360" w:type="dxa"/>
            <w:gridSpan w:val="2"/>
          </w:tcPr>
          <w:p w14:paraId="4D5DAB23" w14:textId="77777777" w:rsidR="00A25EE2" w:rsidRPr="009454F8" w:rsidRDefault="00A25EE2" w:rsidP="000B4BD9">
            <w:pPr>
              <w:pStyle w:val="Chaptitle"/>
              <w:keepLines w:val="0"/>
              <w:tabs>
                <w:tab w:val="clear" w:pos="794"/>
                <w:tab w:val="clear" w:pos="1191"/>
                <w:tab w:val="clear" w:pos="1588"/>
                <w:tab w:val="clear" w:pos="1985"/>
              </w:tabs>
              <w:overflowPunct/>
              <w:spacing w:before="140"/>
              <w:textAlignment w:val="auto"/>
              <w:rPr>
                <w:sz w:val="22"/>
                <w:szCs w:val="22"/>
              </w:rPr>
            </w:pPr>
            <w:r w:rsidRPr="009454F8">
              <w:rPr>
                <w:sz w:val="22"/>
                <w:szCs w:val="22"/>
              </w:rPr>
              <w:t>Séries des Recommandations UIT-R</w:t>
            </w:r>
            <w:r>
              <w:rPr>
                <w:sz w:val="22"/>
                <w:szCs w:val="22"/>
              </w:rPr>
              <w:t xml:space="preserve"> </w:t>
            </w:r>
          </w:p>
          <w:p w14:paraId="1D7B4558" w14:textId="77777777" w:rsidR="00A25EE2" w:rsidRPr="009454F8"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BC0651">
              <w:rPr>
                <w:b w:val="0"/>
                <w:sz w:val="18"/>
                <w:szCs w:val="18"/>
              </w:rPr>
              <w:t>(</w:t>
            </w:r>
            <w:r w:rsidRPr="009454F8">
              <w:rPr>
                <w:b w:val="0"/>
                <w:sz w:val="18"/>
                <w:szCs w:val="18"/>
              </w:rPr>
              <w:t xml:space="preserve">Egalement disponible en </w:t>
            </w:r>
            <w:proofErr w:type="gramStart"/>
            <w:r w:rsidRPr="009454F8">
              <w:rPr>
                <w:b w:val="0"/>
                <w:sz w:val="18"/>
                <w:szCs w:val="18"/>
              </w:rPr>
              <w:t>ligne:</w:t>
            </w:r>
            <w:proofErr w:type="gramEnd"/>
            <w:r w:rsidRPr="009454F8">
              <w:rPr>
                <w:b w:val="0"/>
                <w:sz w:val="18"/>
                <w:szCs w:val="18"/>
              </w:rPr>
              <w:t xml:space="preserve"> </w:t>
            </w:r>
            <w:hyperlink r:id="rId12" w:history="1">
              <w:r>
                <w:rPr>
                  <w:rStyle w:val="Hyperlink"/>
                  <w:b w:val="0"/>
                  <w:bCs/>
                  <w:sz w:val="18"/>
                  <w:szCs w:val="18"/>
                </w:rPr>
                <w:t>https://www.itu.int/publ/R-REC/fr</w:t>
              </w:r>
            </w:hyperlink>
            <w:r w:rsidRPr="00BC0651">
              <w:rPr>
                <w:b w:val="0"/>
                <w:bCs/>
                <w:sz w:val="18"/>
                <w:szCs w:val="18"/>
              </w:rPr>
              <w:t>)</w:t>
            </w:r>
          </w:p>
        </w:tc>
      </w:tr>
      <w:tr w:rsidR="00A25EE2" w:rsidRPr="00036EE3" w14:paraId="11A19787" w14:textId="77777777" w:rsidTr="00A25EE2">
        <w:tc>
          <w:tcPr>
            <w:tcW w:w="1140" w:type="dxa"/>
            <w:tcBorders>
              <w:bottom w:val="nil"/>
            </w:tcBorders>
          </w:tcPr>
          <w:p w14:paraId="6F251D3F" w14:textId="77777777" w:rsidR="00A25EE2" w:rsidRPr="00614CC6" w:rsidRDefault="00A25EE2" w:rsidP="000B4BD9">
            <w:pPr>
              <w:spacing w:before="90" w:after="100"/>
              <w:ind w:left="57"/>
              <w:rPr>
                <w:b/>
                <w:bCs/>
                <w:sz w:val="20"/>
                <w:lang w:val="en-US"/>
              </w:rPr>
            </w:pPr>
            <w:r w:rsidRPr="00614CC6">
              <w:rPr>
                <w:b/>
                <w:bCs/>
                <w:sz w:val="20"/>
                <w:lang w:val="en-US"/>
              </w:rPr>
              <w:t>Séries</w:t>
            </w:r>
          </w:p>
        </w:tc>
        <w:tc>
          <w:tcPr>
            <w:tcW w:w="8220" w:type="dxa"/>
            <w:tcBorders>
              <w:bottom w:val="nil"/>
            </w:tcBorders>
          </w:tcPr>
          <w:p w14:paraId="7DDFE6AE" w14:textId="77777777" w:rsidR="00A25EE2" w:rsidRPr="00614CC6"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r w:rsidRPr="00614CC6">
              <w:rPr>
                <w:bCs/>
                <w:sz w:val="20"/>
                <w:lang w:val="en-US"/>
              </w:rPr>
              <w:t>Titre</w:t>
            </w:r>
          </w:p>
        </w:tc>
      </w:tr>
      <w:tr w:rsidR="00A25EE2" w:rsidRPr="005E427C" w14:paraId="31BB41F2" w14:textId="77777777" w:rsidTr="00A25EE2">
        <w:tc>
          <w:tcPr>
            <w:tcW w:w="1140" w:type="dxa"/>
            <w:tcBorders>
              <w:top w:val="nil"/>
              <w:bottom w:val="nil"/>
            </w:tcBorders>
            <w:shd w:val="clear" w:color="auto" w:fill="auto"/>
          </w:tcPr>
          <w:p w14:paraId="7F3EC252" w14:textId="77777777" w:rsidR="00A25EE2" w:rsidRPr="008E50E5" w:rsidRDefault="00A25EE2" w:rsidP="000B4BD9">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25B1D168"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A25EE2" w:rsidRPr="009454F8" w14:paraId="641FBA98" w14:textId="77777777" w:rsidTr="00A25EE2">
        <w:tc>
          <w:tcPr>
            <w:tcW w:w="1140" w:type="dxa"/>
            <w:tcBorders>
              <w:top w:val="nil"/>
              <w:bottom w:val="nil"/>
            </w:tcBorders>
          </w:tcPr>
          <w:p w14:paraId="77DDBF78" w14:textId="77777777" w:rsidR="00A25EE2" w:rsidRPr="00A66700" w:rsidRDefault="00A25EE2" w:rsidP="000B4BD9">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110767A4"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Enregistrement pour la production, l'archivage et la </w:t>
            </w:r>
            <w:proofErr w:type="gramStart"/>
            <w:r w:rsidRPr="00A66700">
              <w:rPr>
                <w:b w:val="0"/>
                <w:sz w:val="20"/>
              </w:rPr>
              <w:t>diffusion;</w:t>
            </w:r>
            <w:proofErr w:type="gramEnd"/>
            <w:r w:rsidRPr="00A66700">
              <w:rPr>
                <w:b w:val="0"/>
                <w:sz w:val="20"/>
              </w:rPr>
              <w:t xml:space="preserve"> films pour la télévision</w:t>
            </w:r>
          </w:p>
        </w:tc>
      </w:tr>
      <w:tr w:rsidR="00A25EE2" w:rsidRPr="00E80F1D" w14:paraId="6F6C5CFD" w14:textId="77777777" w:rsidTr="003B409A">
        <w:tc>
          <w:tcPr>
            <w:tcW w:w="1140" w:type="dxa"/>
            <w:tcBorders>
              <w:top w:val="nil"/>
              <w:bottom w:val="nil"/>
            </w:tcBorders>
            <w:shd w:val="clear" w:color="auto" w:fill="auto"/>
          </w:tcPr>
          <w:p w14:paraId="30464604" w14:textId="77777777" w:rsidR="00A25EE2" w:rsidRPr="003B409A" w:rsidRDefault="00A25EE2" w:rsidP="000B4BD9">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12F8D768" w14:textId="77777777" w:rsidR="00A25EE2" w:rsidRPr="003B409A"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Service de radiodiffusion sonore</w:t>
            </w:r>
          </w:p>
        </w:tc>
      </w:tr>
      <w:tr w:rsidR="00A25EE2" w:rsidRPr="00ED2695" w14:paraId="2C1D3D18" w14:textId="77777777" w:rsidTr="00A25EE2">
        <w:tc>
          <w:tcPr>
            <w:tcW w:w="1140" w:type="dxa"/>
            <w:tcBorders>
              <w:top w:val="nil"/>
              <w:bottom w:val="nil"/>
            </w:tcBorders>
            <w:shd w:val="clear" w:color="auto" w:fill="auto"/>
          </w:tcPr>
          <w:p w14:paraId="2B383632" w14:textId="77777777" w:rsidR="00A25EE2" w:rsidRPr="00614CC6" w:rsidRDefault="00A25EE2" w:rsidP="000B4BD9">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2683DF60"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de radiodiffusion télévisuelle</w:t>
            </w:r>
          </w:p>
        </w:tc>
      </w:tr>
      <w:tr w:rsidR="00A25EE2" w:rsidRPr="00DE5EA2" w14:paraId="30EC7B3B" w14:textId="77777777" w:rsidTr="003B409A">
        <w:tc>
          <w:tcPr>
            <w:tcW w:w="1140" w:type="dxa"/>
            <w:tcBorders>
              <w:top w:val="nil"/>
              <w:bottom w:val="nil"/>
            </w:tcBorders>
            <w:shd w:val="clear" w:color="auto" w:fill="F3F3F3"/>
          </w:tcPr>
          <w:p w14:paraId="78BD85AD" w14:textId="77777777" w:rsidR="00A25EE2" w:rsidRPr="003B409A" w:rsidRDefault="00A25EE2" w:rsidP="000B4BD9">
            <w:pPr>
              <w:spacing w:before="30" w:after="30"/>
              <w:ind w:left="57"/>
              <w:jc w:val="left"/>
              <w:rPr>
                <w:b/>
                <w:bCs/>
                <w:color w:val="000080"/>
                <w:sz w:val="20"/>
                <w:lang w:val="fr-CH"/>
              </w:rPr>
            </w:pPr>
            <w:r w:rsidRPr="003B409A">
              <w:rPr>
                <w:b/>
                <w:bCs/>
                <w:color w:val="000080"/>
                <w:sz w:val="20"/>
                <w:lang w:val="fr-CH"/>
              </w:rPr>
              <w:t>F</w:t>
            </w:r>
          </w:p>
        </w:tc>
        <w:tc>
          <w:tcPr>
            <w:tcW w:w="8220" w:type="dxa"/>
            <w:tcBorders>
              <w:top w:val="nil"/>
              <w:bottom w:val="nil"/>
            </w:tcBorders>
            <w:shd w:val="clear" w:color="auto" w:fill="F3F3F3"/>
          </w:tcPr>
          <w:p w14:paraId="19BE3463" w14:textId="77777777" w:rsidR="00A25EE2" w:rsidRPr="003B409A"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3B409A">
              <w:rPr>
                <w:bCs/>
                <w:color w:val="000080"/>
                <w:sz w:val="20"/>
              </w:rPr>
              <w:t>Service fixe</w:t>
            </w:r>
          </w:p>
        </w:tc>
      </w:tr>
      <w:tr w:rsidR="00A25EE2" w:rsidRPr="00B21066" w14:paraId="5F484C31" w14:textId="77777777" w:rsidTr="00A25EE2">
        <w:tc>
          <w:tcPr>
            <w:tcW w:w="1140" w:type="dxa"/>
            <w:tcBorders>
              <w:top w:val="nil"/>
              <w:bottom w:val="nil"/>
            </w:tcBorders>
            <w:shd w:val="clear" w:color="auto" w:fill="auto"/>
          </w:tcPr>
          <w:p w14:paraId="7B4041EC" w14:textId="77777777" w:rsidR="00A25EE2" w:rsidRPr="00B21066" w:rsidRDefault="00A25EE2" w:rsidP="000B4BD9">
            <w:pPr>
              <w:spacing w:before="30" w:after="30"/>
              <w:ind w:left="57"/>
              <w:jc w:val="left"/>
              <w:rPr>
                <w:b/>
                <w:bCs/>
                <w:sz w:val="20"/>
                <w:lang w:val="en-US"/>
              </w:rPr>
            </w:pPr>
            <w:r w:rsidRPr="00B21066">
              <w:rPr>
                <w:b/>
                <w:bCs/>
                <w:sz w:val="20"/>
                <w:lang w:val="en-US"/>
              </w:rPr>
              <w:t>M</w:t>
            </w:r>
          </w:p>
        </w:tc>
        <w:tc>
          <w:tcPr>
            <w:tcW w:w="8220" w:type="dxa"/>
            <w:tcBorders>
              <w:top w:val="nil"/>
              <w:bottom w:val="nil"/>
            </w:tcBorders>
            <w:shd w:val="clear" w:color="auto" w:fill="auto"/>
          </w:tcPr>
          <w:p w14:paraId="6B2E037A" w14:textId="77777777" w:rsidR="00A25EE2" w:rsidRPr="00B21066"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gramStart"/>
            <w:r w:rsidRPr="00B21066">
              <w:rPr>
                <w:b w:val="0"/>
                <w:sz w:val="20"/>
              </w:rPr>
              <w:t>Services mobile</w:t>
            </w:r>
            <w:proofErr w:type="gramEnd"/>
            <w:r w:rsidRPr="00B21066">
              <w:rPr>
                <w:b w:val="0"/>
                <w:sz w:val="20"/>
              </w:rPr>
              <w:t>, de radiorepérage et d'amateur y compris les services par satellite associés</w:t>
            </w:r>
          </w:p>
        </w:tc>
      </w:tr>
      <w:tr w:rsidR="00A25EE2" w:rsidRPr="00EC361D" w14:paraId="5C075ECB" w14:textId="77777777" w:rsidTr="00A25EE2">
        <w:tc>
          <w:tcPr>
            <w:tcW w:w="1140" w:type="dxa"/>
            <w:tcBorders>
              <w:top w:val="nil"/>
              <w:bottom w:val="nil"/>
            </w:tcBorders>
            <w:shd w:val="clear" w:color="auto" w:fill="auto"/>
          </w:tcPr>
          <w:p w14:paraId="739FCACA" w14:textId="77777777" w:rsidR="00A25EE2" w:rsidRPr="00EC361D" w:rsidRDefault="00A25EE2" w:rsidP="000B4BD9">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5433A32A"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Propagation des ondes radioélectriques</w:t>
            </w:r>
          </w:p>
        </w:tc>
      </w:tr>
      <w:tr w:rsidR="00A25EE2" w:rsidRPr="004822EF" w14:paraId="6D9BD763" w14:textId="77777777" w:rsidTr="00A25EE2">
        <w:tc>
          <w:tcPr>
            <w:tcW w:w="1140" w:type="dxa"/>
            <w:tcBorders>
              <w:top w:val="nil"/>
              <w:bottom w:val="nil"/>
            </w:tcBorders>
            <w:shd w:val="clear" w:color="auto" w:fill="auto"/>
          </w:tcPr>
          <w:p w14:paraId="21CC781A" w14:textId="77777777" w:rsidR="00A25EE2" w:rsidRPr="004822EF" w:rsidRDefault="00A25EE2" w:rsidP="000B4BD9">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3C283591"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Radio astronomie</w:t>
            </w:r>
          </w:p>
        </w:tc>
      </w:tr>
      <w:tr w:rsidR="00A25EE2" w:rsidRPr="00326525" w14:paraId="374A3C1E" w14:textId="77777777" w:rsidTr="00A25EE2">
        <w:tc>
          <w:tcPr>
            <w:tcW w:w="1140" w:type="dxa"/>
            <w:tcBorders>
              <w:top w:val="nil"/>
              <w:bottom w:val="nil"/>
            </w:tcBorders>
            <w:shd w:val="clear" w:color="auto" w:fill="auto"/>
          </w:tcPr>
          <w:p w14:paraId="0EA2D765" w14:textId="77777777" w:rsidR="00A25EE2" w:rsidRPr="00326525" w:rsidRDefault="00A25EE2" w:rsidP="000B4BD9">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182DFCDC"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Systèmes de télédétection</w:t>
            </w:r>
          </w:p>
        </w:tc>
      </w:tr>
      <w:tr w:rsidR="00A25EE2" w:rsidRPr="00C40D3E" w14:paraId="26C1BD5E" w14:textId="77777777" w:rsidTr="00A25EE2">
        <w:tc>
          <w:tcPr>
            <w:tcW w:w="1140" w:type="dxa"/>
            <w:tcBorders>
              <w:top w:val="nil"/>
              <w:bottom w:val="nil"/>
            </w:tcBorders>
            <w:shd w:val="clear" w:color="auto" w:fill="auto"/>
          </w:tcPr>
          <w:p w14:paraId="35F12D94" w14:textId="77777777" w:rsidR="00A25EE2" w:rsidRPr="00C40D3E" w:rsidRDefault="00A25EE2" w:rsidP="000B4BD9">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006E6913"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A25EE2" w:rsidRPr="00C40D3E" w14:paraId="3AE7D733" w14:textId="77777777" w:rsidTr="00CE7896">
        <w:tc>
          <w:tcPr>
            <w:tcW w:w="1140" w:type="dxa"/>
            <w:tcBorders>
              <w:top w:val="nil"/>
              <w:bottom w:val="nil"/>
            </w:tcBorders>
            <w:shd w:val="clear" w:color="auto" w:fill="FFFFFF" w:themeFill="background1"/>
          </w:tcPr>
          <w:p w14:paraId="718A9337" w14:textId="77777777" w:rsidR="00A25EE2" w:rsidRPr="004F3F6F" w:rsidRDefault="00A25EE2" w:rsidP="000B4BD9">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6C3EA90A"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Applications spatiales et météorologie</w:t>
            </w:r>
          </w:p>
        </w:tc>
      </w:tr>
      <w:tr w:rsidR="00A25EE2" w:rsidRPr="00614CC6" w14:paraId="61E348C4" w14:textId="77777777" w:rsidTr="00A25EE2">
        <w:tc>
          <w:tcPr>
            <w:tcW w:w="1140" w:type="dxa"/>
            <w:tcBorders>
              <w:top w:val="nil"/>
            </w:tcBorders>
          </w:tcPr>
          <w:p w14:paraId="6B378F06" w14:textId="77777777" w:rsidR="00A25EE2" w:rsidRPr="00614CC6" w:rsidRDefault="00A25EE2" w:rsidP="000B4BD9">
            <w:pPr>
              <w:spacing w:before="30" w:after="30"/>
              <w:ind w:left="57"/>
              <w:jc w:val="left"/>
              <w:rPr>
                <w:b/>
                <w:bCs/>
                <w:sz w:val="20"/>
                <w:lang w:val="en-US"/>
              </w:rPr>
            </w:pPr>
            <w:r w:rsidRPr="00614CC6">
              <w:rPr>
                <w:b/>
                <w:bCs/>
                <w:sz w:val="20"/>
                <w:lang w:val="en-US"/>
              </w:rPr>
              <w:t>SF</w:t>
            </w:r>
          </w:p>
        </w:tc>
        <w:tc>
          <w:tcPr>
            <w:tcW w:w="8220" w:type="dxa"/>
            <w:tcBorders>
              <w:top w:val="nil"/>
            </w:tcBorders>
          </w:tcPr>
          <w:p w14:paraId="4D76CEAB"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Partage des fréquences et coordination entre les systèmes du service fixe par satellite et du service fixe</w:t>
            </w:r>
          </w:p>
        </w:tc>
      </w:tr>
      <w:tr w:rsidR="00A25EE2" w:rsidRPr="00036EE3" w14:paraId="0939E7F1" w14:textId="77777777" w:rsidTr="00A25EE2">
        <w:tc>
          <w:tcPr>
            <w:tcW w:w="1140" w:type="dxa"/>
            <w:shd w:val="clear" w:color="auto" w:fill="auto"/>
          </w:tcPr>
          <w:p w14:paraId="676B6E74" w14:textId="77777777" w:rsidR="00A25EE2" w:rsidRPr="00592F9F" w:rsidRDefault="00A25EE2" w:rsidP="000B4BD9">
            <w:pPr>
              <w:spacing w:before="30" w:after="30"/>
              <w:ind w:left="57"/>
              <w:jc w:val="left"/>
              <w:rPr>
                <w:b/>
                <w:bCs/>
                <w:sz w:val="20"/>
                <w:lang w:val="en-US"/>
              </w:rPr>
            </w:pPr>
            <w:r w:rsidRPr="00592F9F">
              <w:rPr>
                <w:b/>
                <w:bCs/>
                <w:sz w:val="20"/>
                <w:lang w:val="en-US"/>
              </w:rPr>
              <w:t>SM</w:t>
            </w:r>
          </w:p>
        </w:tc>
        <w:tc>
          <w:tcPr>
            <w:tcW w:w="8220" w:type="dxa"/>
            <w:shd w:val="clear" w:color="auto" w:fill="auto"/>
          </w:tcPr>
          <w:p w14:paraId="1F793D85"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A25EE2" w:rsidRPr="00036EE3" w14:paraId="5703A871" w14:textId="77777777" w:rsidTr="00A25EE2">
        <w:tc>
          <w:tcPr>
            <w:tcW w:w="1140" w:type="dxa"/>
          </w:tcPr>
          <w:p w14:paraId="0D83CD1D" w14:textId="77777777" w:rsidR="00A25EE2" w:rsidRPr="00614CC6" w:rsidRDefault="00A25EE2" w:rsidP="000B4BD9">
            <w:pPr>
              <w:spacing w:before="30" w:after="30"/>
              <w:ind w:left="57"/>
              <w:jc w:val="left"/>
              <w:rPr>
                <w:b/>
                <w:bCs/>
                <w:sz w:val="20"/>
                <w:lang w:val="en-US"/>
              </w:rPr>
            </w:pPr>
            <w:r w:rsidRPr="00614CC6">
              <w:rPr>
                <w:b/>
                <w:bCs/>
                <w:sz w:val="20"/>
                <w:lang w:val="en-US"/>
              </w:rPr>
              <w:t>SNG</w:t>
            </w:r>
          </w:p>
        </w:tc>
        <w:tc>
          <w:tcPr>
            <w:tcW w:w="8220" w:type="dxa"/>
          </w:tcPr>
          <w:p w14:paraId="14608CBB"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Reportage d'actualités par satellite</w:t>
            </w:r>
          </w:p>
        </w:tc>
      </w:tr>
      <w:tr w:rsidR="00A25EE2" w:rsidRPr="00614CC6" w14:paraId="2D3BC228" w14:textId="77777777" w:rsidTr="00A25EE2">
        <w:tc>
          <w:tcPr>
            <w:tcW w:w="1140" w:type="dxa"/>
          </w:tcPr>
          <w:p w14:paraId="4261CDF8" w14:textId="77777777" w:rsidR="00A25EE2" w:rsidRPr="00710A2A" w:rsidRDefault="00A25EE2" w:rsidP="000B4BD9">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3D27718B"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Emissions de fréquences étalon et de signaux horaires</w:t>
            </w:r>
          </w:p>
        </w:tc>
      </w:tr>
      <w:tr w:rsidR="00A25EE2" w:rsidRPr="00036EE3" w14:paraId="7EB596BA" w14:textId="77777777" w:rsidTr="00A25EE2">
        <w:tc>
          <w:tcPr>
            <w:tcW w:w="1140" w:type="dxa"/>
          </w:tcPr>
          <w:p w14:paraId="68943825" w14:textId="77777777" w:rsidR="00A25EE2" w:rsidRPr="00614CC6" w:rsidRDefault="00A25EE2" w:rsidP="000B4BD9">
            <w:pPr>
              <w:spacing w:before="30" w:after="30"/>
              <w:ind w:left="57"/>
              <w:jc w:val="left"/>
              <w:rPr>
                <w:b/>
                <w:bCs/>
                <w:sz w:val="20"/>
                <w:lang w:val="en-US"/>
              </w:rPr>
            </w:pPr>
            <w:r w:rsidRPr="00614CC6">
              <w:rPr>
                <w:b/>
                <w:bCs/>
                <w:sz w:val="20"/>
                <w:lang w:val="en-US"/>
              </w:rPr>
              <w:t>V</w:t>
            </w:r>
          </w:p>
        </w:tc>
        <w:tc>
          <w:tcPr>
            <w:tcW w:w="8220" w:type="dxa"/>
          </w:tcPr>
          <w:p w14:paraId="193AC573" w14:textId="77777777" w:rsidR="00A25EE2" w:rsidRPr="00A66700" w:rsidRDefault="00A25EE2" w:rsidP="00B02C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r w:rsidRPr="00A66700">
              <w:rPr>
                <w:b w:val="0"/>
                <w:sz w:val="20"/>
              </w:rPr>
              <w:t>Vocabulaire et sujets associés</w:t>
            </w:r>
          </w:p>
        </w:tc>
      </w:tr>
    </w:tbl>
    <w:p w14:paraId="1764687D" w14:textId="77777777" w:rsidR="00A25EE2" w:rsidRPr="00036EE3" w:rsidRDefault="00A25EE2" w:rsidP="00A25EE2">
      <w:pPr>
        <w:spacing w:before="0"/>
        <w:jc w:val="center"/>
        <w:rPr>
          <w:sz w:val="20"/>
          <w:lang w:val="en-US"/>
        </w:rPr>
      </w:pPr>
    </w:p>
    <w:p w14:paraId="02095443" w14:textId="77777777" w:rsidR="00A25EE2" w:rsidRPr="00036EE3" w:rsidRDefault="00A25EE2" w:rsidP="00A25EE2">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A25EE2" w:rsidRPr="00756B4D" w14:paraId="7AC5613E" w14:textId="77777777" w:rsidTr="00A25EE2">
        <w:tc>
          <w:tcPr>
            <w:tcW w:w="9360" w:type="dxa"/>
          </w:tcPr>
          <w:p w14:paraId="3AF24171" w14:textId="77777777" w:rsidR="00A25EE2" w:rsidRPr="00756B4D" w:rsidRDefault="00A25EE2" w:rsidP="00A25EE2">
            <w:pPr>
              <w:spacing w:before="80" w:after="80"/>
              <w:rPr>
                <w:i/>
                <w:iCs/>
                <w:sz w:val="20"/>
              </w:rPr>
            </w:pPr>
            <w:proofErr w:type="gramStart"/>
            <w:r w:rsidRPr="00756B4D">
              <w:rPr>
                <w:b/>
                <w:bCs/>
                <w:i/>
                <w:iCs/>
                <w:sz w:val="20"/>
              </w:rPr>
              <w:t>Note</w:t>
            </w:r>
            <w:r w:rsidRPr="00756B4D">
              <w:rPr>
                <w:i/>
                <w:iCs/>
                <w:sz w:val="20"/>
              </w:rPr>
              <w:t>:</w:t>
            </w:r>
            <w:proofErr w:type="gramEnd"/>
            <w:r w:rsidRPr="00756B4D">
              <w:rPr>
                <w:i/>
                <w:iCs/>
                <w:sz w:val="20"/>
              </w:rPr>
              <w:t xml:space="preserve"> Cette Recommandation UIT-R a été approuvée en anglais aux termes de la procédure détaillée dans la</w:t>
            </w:r>
            <w:r w:rsidR="00BD554D">
              <w:rPr>
                <w:i/>
                <w:iCs/>
                <w:sz w:val="20"/>
              </w:rPr>
              <w:t xml:space="preserve"> </w:t>
            </w:r>
            <w:r w:rsidRPr="00756B4D">
              <w:rPr>
                <w:i/>
                <w:iCs/>
                <w:sz w:val="20"/>
              </w:rPr>
              <w:t xml:space="preserve">Résolution UIT-R 1. </w:t>
            </w:r>
          </w:p>
        </w:tc>
      </w:tr>
    </w:tbl>
    <w:p w14:paraId="01308C86" w14:textId="77777777" w:rsidR="00A25EE2" w:rsidRPr="00756B4D" w:rsidRDefault="00A25EE2" w:rsidP="00A25EE2">
      <w:pPr>
        <w:spacing w:before="0"/>
        <w:jc w:val="center"/>
        <w:rPr>
          <w:sz w:val="22"/>
        </w:rPr>
      </w:pPr>
    </w:p>
    <w:p w14:paraId="3E8BB40A" w14:textId="77777777" w:rsidR="00A25EE2" w:rsidRPr="00614CC6" w:rsidRDefault="00A25EE2" w:rsidP="00A25EE2">
      <w:pPr>
        <w:spacing w:before="100"/>
        <w:jc w:val="right"/>
        <w:rPr>
          <w:i/>
          <w:iCs/>
          <w:sz w:val="20"/>
        </w:rPr>
      </w:pPr>
      <w:r w:rsidRPr="00614CC6">
        <w:rPr>
          <w:i/>
          <w:iCs/>
          <w:sz w:val="20"/>
        </w:rPr>
        <w:t>Publication électronique</w:t>
      </w:r>
    </w:p>
    <w:p w14:paraId="1086C8CA" w14:textId="3C4E4426" w:rsidR="00A25EE2" w:rsidRPr="00614CC6" w:rsidRDefault="00A25EE2" w:rsidP="00A25EE2">
      <w:pPr>
        <w:spacing w:before="0"/>
        <w:jc w:val="right"/>
        <w:rPr>
          <w:sz w:val="20"/>
        </w:rPr>
      </w:pPr>
      <w:r w:rsidRPr="00614CC6">
        <w:rPr>
          <w:sz w:val="20"/>
        </w:rPr>
        <w:t>Genève, 20</w:t>
      </w:r>
      <w:r>
        <w:rPr>
          <w:sz w:val="20"/>
        </w:rPr>
        <w:t>2</w:t>
      </w:r>
      <w:r w:rsidR="00542F4C">
        <w:rPr>
          <w:sz w:val="20"/>
        </w:rPr>
        <w:t>4</w:t>
      </w:r>
    </w:p>
    <w:p w14:paraId="1DD1B491" w14:textId="67EB1189" w:rsidR="00A25EE2" w:rsidRPr="00614CC6" w:rsidRDefault="00A25EE2" w:rsidP="00A25EE2">
      <w:pPr>
        <w:spacing w:before="200"/>
        <w:jc w:val="center"/>
        <w:rPr>
          <w:sz w:val="20"/>
        </w:rPr>
      </w:pPr>
      <w:r w:rsidRPr="00470E28">
        <w:rPr>
          <w:sz w:val="20"/>
          <w:lang w:val="en-US"/>
        </w:rPr>
        <w:sym w:font="Symbol" w:char="F0E3"/>
      </w:r>
      <w:r w:rsidRPr="00614CC6">
        <w:rPr>
          <w:sz w:val="20"/>
        </w:rPr>
        <w:t xml:space="preserve"> UIT </w:t>
      </w:r>
      <w:bookmarkStart w:id="1" w:name="iiannee"/>
      <w:bookmarkEnd w:id="1"/>
      <w:r w:rsidRPr="00614CC6">
        <w:rPr>
          <w:sz w:val="20"/>
        </w:rPr>
        <w:t>20</w:t>
      </w:r>
      <w:r>
        <w:rPr>
          <w:sz w:val="20"/>
        </w:rPr>
        <w:t>2</w:t>
      </w:r>
      <w:r w:rsidR="00542F4C">
        <w:rPr>
          <w:sz w:val="20"/>
        </w:rPr>
        <w:t>4</w:t>
      </w:r>
    </w:p>
    <w:p w14:paraId="1108E796" w14:textId="77777777" w:rsidR="00D5024B" w:rsidRPr="004F3F6F" w:rsidRDefault="00A25EE2" w:rsidP="00A25EE2">
      <w:pPr>
        <w:rPr>
          <w:sz w:val="18"/>
          <w:szCs w:val="18"/>
        </w:rPr>
      </w:pPr>
      <w:r w:rsidRPr="00614CC6">
        <w:rPr>
          <w:sz w:val="18"/>
          <w:szCs w:val="18"/>
        </w:rPr>
        <w:t xml:space="preserve">Tous droits </w:t>
      </w:r>
      <w:r>
        <w:rPr>
          <w:sz w:val="18"/>
          <w:szCs w:val="18"/>
        </w:rPr>
        <w:t>réservé</w:t>
      </w:r>
      <w:r w:rsidRPr="00614CC6">
        <w:rPr>
          <w:sz w:val="18"/>
          <w:szCs w:val="18"/>
        </w:rPr>
        <w:t xml:space="preserve">s. </w:t>
      </w:r>
      <w:r>
        <w:rPr>
          <w:sz w:val="18"/>
          <w:szCs w:val="18"/>
        </w:rPr>
        <w:t>Aucune partie de cette publication ne peut être reproduite, par quelque procédé que ce soit, sans l’accord écrit préalable de l’UIT</w:t>
      </w:r>
      <w:r w:rsidRPr="00614CC6">
        <w:rPr>
          <w:sz w:val="18"/>
          <w:szCs w:val="18"/>
        </w:rPr>
        <w:t>.</w:t>
      </w:r>
    </w:p>
    <w:p w14:paraId="1DA90EDB" w14:textId="77777777" w:rsidR="007565CC" w:rsidRPr="004F3F6F" w:rsidRDefault="007565CC" w:rsidP="00A971A1">
      <w:pPr>
        <w:spacing w:before="160"/>
        <w:rPr>
          <w:i/>
          <w:sz w:val="20"/>
        </w:rPr>
        <w:sectPr w:rsidR="007565CC" w:rsidRPr="004F3F6F"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79ABA539" w14:textId="5513BD4D" w:rsidR="00B874C6" w:rsidRPr="004F3F6F" w:rsidRDefault="00B874C6" w:rsidP="00A936CB">
      <w:pPr>
        <w:pStyle w:val="RecNo"/>
        <w:spacing w:before="0"/>
      </w:pPr>
      <w:bookmarkStart w:id="2" w:name="irecnoe"/>
      <w:bookmarkEnd w:id="2"/>
      <w:proofErr w:type="gramStart"/>
      <w:r w:rsidRPr="00BF487A">
        <w:lastRenderedPageBreak/>
        <w:t>RECOMM</w:t>
      </w:r>
      <w:r w:rsidR="00A25EE2">
        <w:t>A</w:t>
      </w:r>
      <w:r w:rsidRPr="00BF487A">
        <w:t xml:space="preserve">NDATION  </w:t>
      </w:r>
      <w:r w:rsidR="00A25EE2" w:rsidRPr="004F3F6F">
        <w:rPr>
          <w:rStyle w:val="href"/>
        </w:rPr>
        <w:t>UI</w:t>
      </w:r>
      <w:r w:rsidRPr="004F3F6F">
        <w:rPr>
          <w:rStyle w:val="href"/>
        </w:rPr>
        <w:t>T</w:t>
      </w:r>
      <w:proofErr w:type="gramEnd"/>
      <w:r w:rsidRPr="004F3F6F">
        <w:rPr>
          <w:rStyle w:val="href"/>
        </w:rPr>
        <w:t xml:space="preserve">-R  </w:t>
      </w:r>
      <w:r w:rsidR="003B409A">
        <w:rPr>
          <w:rStyle w:val="href"/>
        </w:rPr>
        <w:t>F</w:t>
      </w:r>
      <w:r w:rsidRPr="004F3F6F">
        <w:rPr>
          <w:rStyle w:val="href"/>
        </w:rPr>
        <w:t>.</w:t>
      </w:r>
      <w:r w:rsidR="00542F4C">
        <w:rPr>
          <w:rStyle w:val="href"/>
        </w:rPr>
        <w:t>1568-2</w:t>
      </w:r>
    </w:p>
    <w:p w14:paraId="0BC8B20A" w14:textId="77777777" w:rsidR="00542F4C" w:rsidRPr="00596629" w:rsidRDefault="00542F4C" w:rsidP="003B14C2">
      <w:pPr>
        <w:pStyle w:val="Rectitle"/>
      </w:pPr>
      <w:r w:rsidRPr="00596629">
        <w:rPr>
          <w:rFonts w:eastAsia="SimSun"/>
          <w:lang w:eastAsia="zh-CN"/>
        </w:rPr>
        <w:t>Dispositions de blocs de radiofréquences pour les systèmes d'accès hertzien fixe dans la gamme 10,15-10,3/10,5-10,65 GHz</w:t>
      </w:r>
    </w:p>
    <w:p w14:paraId="2D62DD56" w14:textId="77777777" w:rsidR="00542F4C" w:rsidRPr="00596629" w:rsidRDefault="00542F4C" w:rsidP="003B14C2">
      <w:pPr>
        <w:pStyle w:val="Questionref"/>
        <w:rPr>
          <w:szCs w:val="24"/>
        </w:rPr>
      </w:pPr>
      <w:r w:rsidRPr="00596629">
        <w:rPr>
          <w:szCs w:val="24"/>
        </w:rPr>
        <w:t>(Question UIT-R 247-1/5)</w:t>
      </w:r>
    </w:p>
    <w:p w14:paraId="44D1EC75" w14:textId="77777777" w:rsidR="00542F4C" w:rsidRPr="00596629" w:rsidRDefault="00542F4C" w:rsidP="003B14C2">
      <w:pPr>
        <w:pStyle w:val="Recdate"/>
        <w:rPr>
          <w:szCs w:val="24"/>
        </w:rPr>
      </w:pPr>
      <w:r w:rsidRPr="00596629">
        <w:rPr>
          <w:szCs w:val="24"/>
        </w:rPr>
        <w:t>(2002-2005-2023)</w:t>
      </w:r>
    </w:p>
    <w:p w14:paraId="44691188" w14:textId="77777777" w:rsidR="00542F4C" w:rsidRPr="00596629" w:rsidRDefault="00542F4C" w:rsidP="00186051">
      <w:pPr>
        <w:pStyle w:val="HeadingSum"/>
      </w:pPr>
      <w:r w:rsidRPr="00596629">
        <w:t>Domaine de compétence</w:t>
      </w:r>
    </w:p>
    <w:p w14:paraId="0DD25DC2" w14:textId="15F81DB7" w:rsidR="00542F4C" w:rsidRPr="00596629" w:rsidRDefault="00542F4C" w:rsidP="00186051">
      <w:pPr>
        <w:pStyle w:val="Summary"/>
      </w:pPr>
      <w:r w:rsidRPr="00596629">
        <w:t>Cette Recommandation présente les dispositions de blocs de radiofréquences pour les systèmes d'accès hertzien fixe (AHF), dans la gamme 10,15-10,3/10,5-10,65 GHz. Les Annexes</w:t>
      </w:r>
      <w:r w:rsidR="00186051">
        <w:t> </w:t>
      </w:r>
      <w:r w:rsidRPr="00596629">
        <w:t>1</w:t>
      </w:r>
      <w:r w:rsidR="00186051">
        <w:t> </w:t>
      </w:r>
      <w:r w:rsidRPr="00596629">
        <w:t>et</w:t>
      </w:r>
      <w:r w:rsidR="00186051">
        <w:t> </w:t>
      </w:r>
      <w:r w:rsidRPr="00596629">
        <w:t>2 contiennent les dispositions des radiofréquences fondées sur des blocs de 28</w:t>
      </w:r>
      <w:r w:rsidR="00186051">
        <w:t> </w:t>
      </w:r>
      <w:r w:rsidRPr="00596629">
        <w:t>MHz et 30</w:t>
      </w:r>
      <w:r w:rsidR="00186051">
        <w:t> </w:t>
      </w:r>
      <w:r w:rsidRPr="00596629">
        <w:t>MHz respectivement. Ces Annexes contiennent aussi des modèles homogènes avec intervalles de canaux de 0,25 MHz.</w:t>
      </w:r>
    </w:p>
    <w:p w14:paraId="5A639CAA" w14:textId="77777777" w:rsidR="00542F4C" w:rsidRPr="00596629" w:rsidRDefault="00542F4C" w:rsidP="003B14C2">
      <w:pPr>
        <w:pStyle w:val="Headingb"/>
        <w:rPr>
          <w:szCs w:val="24"/>
        </w:rPr>
      </w:pPr>
      <w:r w:rsidRPr="00596629">
        <w:rPr>
          <w:szCs w:val="24"/>
        </w:rPr>
        <w:t>Mots clés</w:t>
      </w:r>
    </w:p>
    <w:p w14:paraId="3A7E00A6" w14:textId="214B6D6C" w:rsidR="00542F4C" w:rsidRPr="00596629" w:rsidRDefault="00542F4C" w:rsidP="003B14C2">
      <w:pPr>
        <w:spacing w:before="136"/>
        <w:rPr>
          <w:szCs w:val="24"/>
        </w:rPr>
      </w:pPr>
      <w:r w:rsidRPr="00596629">
        <w:rPr>
          <w:szCs w:val="24"/>
        </w:rPr>
        <w:t xml:space="preserve">Système hertzien fixe, point à point, dispositions de canaux, </w:t>
      </w:r>
      <w:r w:rsidRPr="00596629">
        <w:t>10,15-10,3/10,5-10,65 GHz</w:t>
      </w:r>
    </w:p>
    <w:p w14:paraId="0EEBA072" w14:textId="77777777" w:rsidR="00542F4C" w:rsidRPr="00596629" w:rsidRDefault="00542F4C" w:rsidP="003350FE">
      <w:pPr>
        <w:pStyle w:val="Headingb"/>
        <w:rPr>
          <w:szCs w:val="24"/>
        </w:rPr>
      </w:pPr>
      <w:r w:rsidRPr="00596629">
        <w:rPr>
          <w:szCs w:val="24"/>
        </w:rPr>
        <w:t>Abréviations</w:t>
      </w:r>
    </w:p>
    <w:p w14:paraId="0076FB7A" w14:textId="77777777" w:rsidR="00542F4C" w:rsidRPr="00596629" w:rsidRDefault="00542F4C" w:rsidP="00186051">
      <w:pPr>
        <w:tabs>
          <w:tab w:val="clear" w:pos="794"/>
          <w:tab w:val="clear" w:pos="1191"/>
          <w:tab w:val="left" w:pos="993"/>
        </w:tabs>
      </w:pPr>
      <w:r w:rsidRPr="00596629">
        <w:t>AHF</w:t>
      </w:r>
      <w:r w:rsidRPr="00596629">
        <w:tab/>
        <w:t>accès hertzien fixe</w:t>
      </w:r>
    </w:p>
    <w:p w14:paraId="6F9A246D" w14:textId="77777777" w:rsidR="00542F4C" w:rsidRPr="00596629" w:rsidRDefault="00542F4C" w:rsidP="00186051">
      <w:pPr>
        <w:tabs>
          <w:tab w:val="clear" w:pos="794"/>
          <w:tab w:val="clear" w:pos="1191"/>
          <w:tab w:val="left" w:pos="993"/>
        </w:tabs>
      </w:pPr>
      <w:r w:rsidRPr="00596629">
        <w:t>P-P</w:t>
      </w:r>
      <w:r w:rsidRPr="00596629">
        <w:tab/>
        <w:t>point à point</w:t>
      </w:r>
    </w:p>
    <w:p w14:paraId="077450C7" w14:textId="77777777" w:rsidR="00542F4C" w:rsidRPr="00596629" w:rsidRDefault="00542F4C" w:rsidP="003350FE">
      <w:pPr>
        <w:pStyle w:val="Headingb"/>
        <w:rPr>
          <w:rFonts w:eastAsia="Batang"/>
        </w:rPr>
      </w:pPr>
      <w:r w:rsidRPr="00596629">
        <w:rPr>
          <w:rFonts w:eastAsia="Batang"/>
        </w:rPr>
        <w:t>Recommandations UIT connexes</w:t>
      </w:r>
    </w:p>
    <w:p w14:paraId="144BA5F5" w14:textId="77777777" w:rsidR="00542F4C" w:rsidRPr="00186051" w:rsidRDefault="00542F4C" w:rsidP="00186051">
      <w:pPr>
        <w:pStyle w:val="Reftext"/>
      </w:pPr>
      <w:r w:rsidRPr="00186051">
        <w:t>Recommandation UIT-R F.746 – Disposition des fréquences radioélectriques pour les systèmes du service fixe</w:t>
      </w:r>
    </w:p>
    <w:p w14:paraId="352A5C4E" w14:textId="77777777" w:rsidR="00542F4C" w:rsidRPr="00186051" w:rsidRDefault="00542F4C" w:rsidP="00186051">
      <w:pPr>
        <w:pStyle w:val="Reftext"/>
      </w:pPr>
      <w:r w:rsidRPr="00186051">
        <w:t>Recommandation UIT-R F.747 – Disposition des canaux radioélectriques pour les systèmes hertziens fixes fonctionnant dans la bande 10,0-10,68 GHz</w:t>
      </w:r>
    </w:p>
    <w:p w14:paraId="3523EDEF" w14:textId="77777777" w:rsidR="00542F4C" w:rsidRPr="00186051" w:rsidRDefault="00542F4C" w:rsidP="00186051">
      <w:pPr>
        <w:pStyle w:val="Reftext"/>
      </w:pPr>
      <w:r w:rsidRPr="00186051">
        <w:t>Recommandation UIT-R F.1191 – Largeur de bande nécessaire et largeur de bande occupée et rayonnements non désirés des systèmes numériques du service fixe</w:t>
      </w:r>
    </w:p>
    <w:p w14:paraId="3E6BBC3F" w14:textId="77777777" w:rsidR="00542F4C" w:rsidRPr="00596629" w:rsidRDefault="00542F4C" w:rsidP="00E6581A">
      <w:pPr>
        <w:pStyle w:val="Normalaftertitle"/>
      </w:pPr>
      <w:r w:rsidRPr="00596629">
        <w:t>L'Assemblée des radiocommunications de l'UIT,</w:t>
      </w:r>
    </w:p>
    <w:p w14:paraId="46218F3C" w14:textId="77777777" w:rsidR="00542F4C" w:rsidRPr="00596629" w:rsidRDefault="00542F4C" w:rsidP="00E6581A">
      <w:pPr>
        <w:pStyle w:val="Call"/>
      </w:pPr>
      <w:r w:rsidRPr="00596629">
        <w:t>considérant</w:t>
      </w:r>
    </w:p>
    <w:p w14:paraId="1080BC2E" w14:textId="77777777" w:rsidR="00542F4C" w:rsidRPr="00596629" w:rsidRDefault="00542F4C" w:rsidP="00B504DA">
      <w:r w:rsidRPr="00596629">
        <w:rPr>
          <w:i/>
          <w:iCs/>
        </w:rPr>
        <w:t>a)</w:t>
      </w:r>
      <w:r w:rsidRPr="00596629">
        <w:tab/>
        <w:t>que l'emploi de systèmes d'accès hertzien fixe (AHF) dans la gamme 10,15-10,65 GHz permet de fournir des services de téléphonie et de transmission de données améliorés;</w:t>
      </w:r>
    </w:p>
    <w:p w14:paraId="35BFD9D9" w14:textId="77777777" w:rsidR="00542F4C" w:rsidRPr="00596629" w:rsidRDefault="00542F4C" w:rsidP="00B504DA">
      <w:r w:rsidRPr="00596629">
        <w:rPr>
          <w:i/>
          <w:iCs/>
        </w:rPr>
        <w:t>b)</w:t>
      </w:r>
      <w:r w:rsidRPr="00596629">
        <w:tab/>
        <w:t>que plusieurs administrations ont introduit des systèmes AHF dans les bandes de la gamme 10,15-10,65 GHz;</w:t>
      </w:r>
    </w:p>
    <w:p w14:paraId="1C1528F5" w14:textId="77777777" w:rsidR="00542F4C" w:rsidRPr="00596629" w:rsidRDefault="00542F4C" w:rsidP="00B504DA">
      <w:r w:rsidRPr="00596629">
        <w:rPr>
          <w:i/>
          <w:iCs/>
        </w:rPr>
        <w:t>c)</w:t>
      </w:r>
      <w:r w:rsidRPr="00596629">
        <w:tab/>
        <w:t>que l'utilisation d'une disposition de blocs (sous-bande) offrant la souplesse voulue, plutôt que celle d'une disposition traditionnelle de canaux destinés à des systèmes point à point, permet le recours à différentes technologies AHF, dans le respect des principes d'une saine gestion du spectre, y compris l'exploitation intersystèmes/interservices et l'efficacité globale d'utilisation du spectre;</w:t>
      </w:r>
    </w:p>
    <w:p w14:paraId="72D111A6" w14:textId="77777777" w:rsidR="00542F4C" w:rsidRPr="00596629" w:rsidRDefault="00542F4C" w:rsidP="00B504DA">
      <w:r w:rsidRPr="00596629">
        <w:rPr>
          <w:i/>
          <w:iCs/>
        </w:rPr>
        <w:t>d)</w:t>
      </w:r>
      <w:r w:rsidRPr="00596629">
        <w:tab/>
        <w:t>que, dans certains pays, il se peut que des systèmes AHF doivent coexister avec des systèmes point à point dans les bandes attribuées au service fixe;</w:t>
      </w:r>
    </w:p>
    <w:p w14:paraId="599EF48E" w14:textId="77777777" w:rsidR="00542F4C" w:rsidRPr="00596629" w:rsidRDefault="00542F4C" w:rsidP="00B504DA">
      <w:r w:rsidRPr="00596629">
        <w:rPr>
          <w:i/>
          <w:iCs/>
        </w:rPr>
        <w:t>e)</w:t>
      </w:r>
      <w:r w:rsidRPr="00596629">
        <w:tab/>
        <w:t>que l'utilisation d'une largeur de bloc normalisée pourrait s'avérer profitable car elle permettrait de réaliser des économies d'échelle et d'assurer une planification simplifiée des fréquences intersystèmes et interopérateurs dans la même zone de déploiement des systèmes;</w:t>
      </w:r>
    </w:p>
    <w:p w14:paraId="4218D11D" w14:textId="77777777" w:rsidR="00542F4C" w:rsidRPr="00596629" w:rsidRDefault="00542F4C" w:rsidP="00B504DA">
      <w:r w:rsidRPr="00596629">
        <w:rPr>
          <w:i/>
          <w:iCs/>
        </w:rPr>
        <w:t>f)</w:t>
      </w:r>
      <w:r w:rsidRPr="00596629">
        <w:tab/>
        <w:t>que l'on peut utiliser un certain nombre de technologies d'accès différentes permettant le recours à divers systèmes de disposition des canaux et/ou des fréquences;</w:t>
      </w:r>
    </w:p>
    <w:p w14:paraId="4D1B2418" w14:textId="77777777" w:rsidR="00542F4C" w:rsidRPr="00596629" w:rsidRDefault="00542F4C" w:rsidP="00B504DA">
      <w:r w:rsidRPr="00596629">
        <w:rPr>
          <w:i/>
          <w:iCs/>
        </w:rPr>
        <w:lastRenderedPageBreak/>
        <w:t>g)</w:t>
      </w:r>
      <w:r w:rsidRPr="00596629">
        <w:tab/>
        <w:t>que la Recommandation UIT</w:t>
      </w:r>
      <w:r w:rsidRPr="00596629">
        <w:noBreakHyphen/>
        <w:t>R F.747 propose, dans ses Annexes 1 et 2, des dispositions de canaux radioélectriques pour les systèmes hertziens fixes fonctionnant dans la bande 10,5</w:t>
      </w:r>
      <w:r w:rsidRPr="00596629">
        <w:noBreakHyphen/>
        <w:t>10,68 GHz;</w:t>
      </w:r>
    </w:p>
    <w:p w14:paraId="25448F67" w14:textId="77777777" w:rsidR="00542F4C" w:rsidRPr="00596629" w:rsidRDefault="00542F4C" w:rsidP="00B504DA">
      <w:r w:rsidRPr="00596629">
        <w:rPr>
          <w:i/>
          <w:iCs/>
        </w:rPr>
        <w:t>h)</w:t>
      </w:r>
      <w:r w:rsidRPr="00596629">
        <w:tab/>
        <w:t>que, dans certains cas, les administrations peuvent appliquer d'autres Recommandations pour parvenir à une harmonisation plus rapide avec les dispositions des canaux destinés à des systèmes point à point;</w:t>
      </w:r>
    </w:p>
    <w:p w14:paraId="523E1E5C" w14:textId="77777777" w:rsidR="00542F4C" w:rsidRPr="00596629" w:rsidRDefault="00542F4C" w:rsidP="00B504DA">
      <w:r w:rsidRPr="00596629">
        <w:rPr>
          <w:i/>
          <w:iCs/>
        </w:rPr>
        <w:t>i)</w:t>
      </w:r>
      <w:r w:rsidRPr="00596629">
        <w:tab/>
        <w:t>que la Recommandation UIT-R F.1191 contient les limites applicables aux rayonnements non désirés des systèmes du service fixe dans les bandes adjacentes,</w:t>
      </w:r>
    </w:p>
    <w:p w14:paraId="341F9540" w14:textId="77777777" w:rsidR="00542F4C" w:rsidRPr="00596629" w:rsidRDefault="00542F4C" w:rsidP="003B14C2">
      <w:pPr>
        <w:pStyle w:val="Call"/>
      </w:pPr>
      <w:r w:rsidRPr="00596629">
        <w:t>reconnaissant</w:t>
      </w:r>
    </w:p>
    <w:p w14:paraId="3AAD8C52" w14:textId="77777777" w:rsidR="00542F4C" w:rsidRPr="00596629" w:rsidRDefault="00542F4C" w:rsidP="00B504DA">
      <w:r w:rsidRPr="00596629">
        <w:rPr>
          <w:i/>
          <w:iCs/>
        </w:rPr>
        <w:t>a)</w:t>
      </w:r>
      <w:r w:rsidRPr="00596629">
        <w:tab/>
        <w:t xml:space="preserve">qu'en vertu de l'Article </w:t>
      </w:r>
      <w:r w:rsidRPr="00596629">
        <w:rPr>
          <w:b/>
          <w:bCs/>
        </w:rPr>
        <w:t>5</w:t>
      </w:r>
      <w:r w:rsidRPr="00596629">
        <w:t xml:space="preserve"> du Règlement des radiocommunications (RR), les bandes de fréquences 10,5-10,68 GHz et 10-10,45 GHz sont attribuées au service fixe, la première à l'échelle mondiale, la seconde dans les Régions 1 et 3;</w:t>
      </w:r>
    </w:p>
    <w:p w14:paraId="2EECF7FD" w14:textId="77777777" w:rsidR="00542F4C" w:rsidRPr="00596629" w:rsidRDefault="00542F4C" w:rsidP="00B504DA">
      <w:r w:rsidRPr="00596629">
        <w:rPr>
          <w:i/>
          <w:iCs/>
        </w:rPr>
        <w:t>b)</w:t>
      </w:r>
      <w:r w:rsidRPr="00596629">
        <w:tab/>
        <w:t>que la bande 10,6-10,68 GHz est attribuée à titre primaire au service d'exploration de la Terre par satellite (passive), au service de recherche spatiale (passive) et au service de radioastronomie;</w:t>
      </w:r>
    </w:p>
    <w:p w14:paraId="53F2625A" w14:textId="77777777" w:rsidR="00542F4C" w:rsidRPr="00596629" w:rsidRDefault="00542F4C" w:rsidP="00B504DA">
      <w:r w:rsidRPr="00596629">
        <w:rPr>
          <w:i/>
          <w:iCs/>
        </w:rPr>
        <w:t>c)</w:t>
      </w:r>
      <w:r w:rsidRPr="00596629">
        <w:tab/>
        <w:t xml:space="preserve">qu'en vertu du numéro </w:t>
      </w:r>
      <w:r w:rsidRPr="00596629">
        <w:rPr>
          <w:b/>
          <w:bCs/>
        </w:rPr>
        <w:t>5.480</w:t>
      </w:r>
      <w:r w:rsidRPr="00596629">
        <w:t xml:space="preserve"> du RR, la bande de fréquences 10-10,45 GHz est attribuée au service fixe dans un certain nombre de pays de la Région 2,</w:t>
      </w:r>
    </w:p>
    <w:p w14:paraId="14B3EE70" w14:textId="77777777" w:rsidR="00542F4C" w:rsidRPr="00596629" w:rsidRDefault="00542F4C" w:rsidP="00B504DA">
      <w:pPr>
        <w:pStyle w:val="Call"/>
      </w:pPr>
      <w:r w:rsidRPr="00596629">
        <w:t>notant</w:t>
      </w:r>
    </w:p>
    <w:p w14:paraId="55CF0D10" w14:textId="77777777" w:rsidR="00542F4C" w:rsidRPr="00596629" w:rsidRDefault="00542F4C" w:rsidP="00B504DA">
      <w:r w:rsidRPr="00596629">
        <w:t>que la Recommandation UIT</w:t>
      </w:r>
      <w:r w:rsidRPr="00596629">
        <w:noBreakHyphen/>
        <w:t>R F.746 propose les éléments de base pour la mise au point des dispositions des canaux radioélectriques et définit les principaux paramètres qui influencent le choix de ces dispositions,</w:t>
      </w:r>
    </w:p>
    <w:p w14:paraId="0334F881" w14:textId="77777777" w:rsidR="00542F4C" w:rsidRPr="00596629" w:rsidRDefault="00542F4C" w:rsidP="00B504DA">
      <w:pPr>
        <w:pStyle w:val="Call"/>
      </w:pPr>
      <w:r w:rsidRPr="00596629">
        <w:t>recommande</w:t>
      </w:r>
    </w:p>
    <w:p w14:paraId="222E309A" w14:textId="77777777" w:rsidR="00542F4C" w:rsidRPr="00596629" w:rsidRDefault="00542F4C" w:rsidP="00B504DA">
      <w:r w:rsidRPr="00186051">
        <w:t>1</w:t>
      </w:r>
      <w:r w:rsidRPr="00186051">
        <w:tab/>
      </w:r>
      <w:r w:rsidRPr="00596629">
        <w:t>aux administrations qui projettent de mettre en œuvre des systèmes AHF dans les bandes de fréquences 10,15-10,3/10,5-10,65 GHz d'envisager les dispositions par blocs présentées dans les Annexes 1 et </w:t>
      </w:r>
      <w:proofErr w:type="gramStart"/>
      <w:r w:rsidRPr="00596629">
        <w:t>2;</w:t>
      </w:r>
      <w:proofErr w:type="gramEnd"/>
    </w:p>
    <w:p w14:paraId="610B3F37" w14:textId="77777777" w:rsidR="00542F4C" w:rsidRPr="00596629" w:rsidRDefault="00542F4C" w:rsidP="00B504DA">
      <w:r w:rsidRPr="00186051">
        <w:t>2</w:t>
      </w:r>
      <w:r w:rsidRPr="00186051">
        <w:tab/>
      </w:r>
      <w:r w:rsidRPr="00596629">
        <w:t xml:space="preserve">aux administrations d'étudier la possibilité d'adopter les fréquences centrales de porteuse, dans les blocs de fréquences préférés, sur la base d'intervalles de 0,25 MHz, déterminés conformément aux Annexes 1 et </w:t>
      </w:r>
      <w:proofErr w:type="gramStart"/>
      <w:r w:rsidRPr="00596629">
        <w:t>2;</w:t>
      </w:r>
      <w:proofErr w:type="gramEnd"/>
    </w:p>
    <w:p w14:paraId="07850577" w14:textId="77777777" w:rsidR="00542F4C" w:rsidRPr="00596629" w:rsidRDefault="00542F4C" w:rsidP="003B14C2">
      <w:r w:rsidRPr="00186051">
        <w:t>3</w:t>
      </w:r>
      <w:r w:rsidRPr="00186051">
        <w:tab/>
      </w:r>
      <w:r w:rsidRPr="00596629">
        <w:t>aux administrations souhaitant adopter d'autres structures homogènes d'envisager d'utiliser un ou plusieurs intervalles de 0,25 MHz déterminés conformément aux Annexes 1 et 2.</w:t>
      </w:r>
    </w:p>
    <w:p w14:paraId="152F4999" w14:textId="77777777" w:rsidR="00542F4C" w:rsidRPr="00596629" w:rsidRDefault="00542F4C" w:rsidP="003B14C2"/>
    <w:p w14:paraId="5227423B" w14:textId="77777777" w:rsidR="00542F4C" w:rsidRPr="00596629" w:rsidRDefault="00542F4C" w:rsidP="003B14C2"/>
    <w:p w14:paraId="4724AE7F" w14:textId="77777777" w:rsidR="00542F4C" w:rsidRPr="00596629" w:rsidRDefault="00542F4C" w:rsidP="00B504DA">
      <w:pPr>
        <w:pStyle w:val="AnnexNoTitle"/>
      </w:pPr>
      <w:r w:rsidRPr="00596629">
        <w:t>Annexe 1</w:t>
      </w:r>
      <w:r w:rsidRPr="00596629">
        <w:br/>
      </w:r>
      <w:r w:rsidRPr="00596629">
        <w:br/>
        <w:t>Disposition des radiofréquences fondée sur des blocs de 28 MHz</w:t>
      </w:r>
    </w:p>
    <w:p w14:paraId="6547088A" w14:textId="77777777" w:rsidR="00542F4C" w:rsidRPr="00596629" w:rsidRDefault="00542F4C" w:rsidP="00B504DA">
      <w:pPr>
        <w:pStyle w:val="Normalaftertitle"/>
      </w:pPr>
      <w:r w:rsidRPr="00596629">
        <w:rPr>
          <w:b/>
          <w:bCs/>
        </w:rPr>
        <w:t>1</w:t>
      </w:r>
      <w:r w:rsidRPr="00596629">
        <w:tab/>
        <w:t>Cette disposition est constituée de cinq blocs adjacents de 28 MHz de largeur dans la bande 10,15-10,3 GHz, appariés avec cinq blocs adjacents de 28 MHz dans la bande 10,5-10,65 GHz, conformément à la Fig. 1 (voir la Note 1).</w:t>
      </w:r>
    </w:p>
    <w:p w14:paraId="711F7E21" w14:textId="77777777" w:rsidR="00542F4C" w:rsidRPr="00596629" w:rsidRDefault="00542F4C" w:rsidP="00812A33">
      <w:pPr>
        <w:pStyle w:val="FigureNo"/>
      </w:pPr>
      <w:r w:rsidRPr="00596629">
        <w:lastRenderedPageBreak/>
        <w:t>FIGURE 1</w:t>
      </w:r>
    </w:p>
    <w:p w14:paraId="6036BCAF" w14:textId="77777777" w:rsidR="00542F4C" w:rsidRPr="00596629" w:rsidRDefault="00542F4C" w:rsidP="00812A33">
      <w:pPr>
        <w:pStyle w:val="Figuretitle"/>
      </w:pPr>
      <w:r w:rsidRPr="00596629">
        <w:t>Disposition des blocs de 28 MHz dans la gamme 10,15-10,3/10,5-10,65 GHz</w:t>
      </w:r>
    </w:p>
    <w:p w14:paraId="2EF179CA" w14:textId="77777777" w:rsidR="00542F4C" w:rsidRPr="00596629" w:rsidRDefault="00542F4C" w:rsidP="00812A33">
      <w:pPr>
        <w:pStyle w:val="Figure"/>
      </w:pPr>
      <w:r w:rsidRPr="00596629">
        <w:rPr>
          <w:noProof/>
        </w:rPr>
        <w:drawing>
          <wp:inline distT="0" distB="0" distL="0" distR="0" wp14:anchorId="353EE43C" wp14:editId="48C691F0">
            <wp:extent cx="4463090" cy="1135348"/>
            <wp:effectExtent l="0" t="0" r="0" b="8255"/>
            <wp:docPr id="2115597530" name="Picture 1" descr="A comparison of a number and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97530" name="Picture 1" descr="A comparison of a number and a number&#10;&#10;Description automatically generated with medium confidence"/>
                    <pic:cNvPicPr/>
                  </pic:nvPicPr>
                  <pic:blipFill>
                    <a:blip r:embed="rId15"/>
                    <a:stretch>
                      <a:fillRect/>
                    </a:stretch>
                  </pic:blipFill>
                  <pic:spPr>
                    <a:xfrm>
                      <a:off x="0" y="0"/>
                      <a:ext cx="4484683" cy="1140841"/>
                    </a:xfrm>
                    <a:prstGeom prst="rect">
                      <a:avLst/>
                    </a:prstGeom>
                  </pic:spPr>
                </pic:pic>
              </a:graphicData>
            </a:graphic>
          </wp:inline>
        </w:drawing>
      </w:r>
    </w:p>
    <w:p w14:paraId="00DA09A9" w14:textId="77777777" w:rsidR="00542F4C" w:rsidRPr="00596629" w:rsidRDefault="00542F4C" w:rsidP="00B504DA">
      <w:pPr>
        <w:pStyle w:val="Note"/>
      </w:pPr>
      <w:r w:rsidRPr="00596629">
        <w:t>NOTE 1 – Dans certains pays, des blocs de 7 MHz peuvent être adaptés dans chaque bloc de 28 MHz. Ces blocs peuvent être groupés pour former de plus grands blocs.</w:t>
      </w:r>
    </w:p>
    <w:p w14:paraId="47B1529D" w14:textId="77777777" w:rsidR="00542F4C" w:rsidRPr="00186051" w:rsidRDefault="00542F4C" w:rsidP="00186051">
      <w:pPr>
        <w:pStyle w:val="Heading1"/>
      </w:pPr>
      <w:r w:rsidRPr="00186051">
        <w:t>2</w:t>
      </w:r>
      <w:r w:rsidRPr="00186051">
        <w:tab/>
        <w:t>Calcul des intervalles de canaux discrets de 0,25 MHz</w:t>
      </w:r>
    </w:p>
    <w:p w14:paraId="78BB300B" w14:textId="77777777" w:rsidR="00542F4C" w:rsidRPr="00596629" w:rsidRDefault="00542F4C" w:rsidP="00B504DA">
      <w:r w:rsidRPr="00596629">
        <w:t xml:space="preserve">Les intervalles de canaux discrets de 0,25 MHz sont calculés comme </w:t>
      </w:r>
      <w:proofErr w:type="gramStart"/>
      <w:r w:rsidRPr="00596629">
        <w:t>suit:</w:t>
      </w:r>
      <w:proofErr w:type="gramEnd"/>
    </w:p>
    <w:p w14:paraId="402F0796" w14:textId="77777777" w:rsidR="00542F4C" w:rsidRPr="00596629" w:rsidRDefault="00542F4C" w:rsidP="00596629">
      <w:pPr>
        <w:pStyle w:val="Equation"/>
        <w:tabs>
          <w:tab w:val="left" w:pos="8931"/>
        </w:tabs>
        <w:spacing w:before="240" w:after="120"/>
      </w:pPr>
      <w:r w:rsidRPr="00596629">
        <w:rPr>
          <w:i/>
        </w:rPr>
        <w:tab/>
      </w:r>
      <w:r w:rsidRPr="00596629">
        <w:rPr>
          <w:i/>
        </w:rPr>
        <w:tab/>
        <w:t>f</w:t>
      </w:r>
      <w:r w:rsidRPr="00596629">
        <w:rPr>
          <w:i/>
          <w:iCs/>
          <w:vertAlign w:val="subscript"/>
        </w:rPr>
        <w:t>n</w:t>
      </w:r>
      <w:r w:rsidRPr="00596629">
        <w:t xml:space="preserve"> </w:t>
      </w:r>
      <w:r w:rsidRPr="00596629">
        <w:rPr>
          <w:rFonts w:ascii="Symbol" w:hAnsi="Symbol"/>
        </w:rPr>
        <w:t></w:t>
      </w:r>
      <w:r w:rsidRPr="00596629">
        <w:t xml:space="preserve"> 10</w:t>
      </w:r>
      <w:r w:rsidRPr="00596629">
        <w:rPr>
          <w:rFonts w:ascii="Tms Rmn" w:hAnsi="Tms Rmn"/>
          <w:sz w:val="12"/>
        </w:rPr>
        <w:t> </w:t>
      </w:r>
      <w:r w:rsidRPr="00596629">
        <w:t xml:space="preserve">150 </w:t>
      </w:r>
      <w:r w:rsidRPr="00596629">
        <w:rPr>
          <w:rFonts w:ascii="Symbol" w:hAnsi="Symbol"/>
        </w:rPr>
        <w:t></w:t>
      </w:r>
      <w:r w:rsidRPr="00596629">
        <w:t xml:space="preserve"> 0,25 </w:t>
      </w:r>
      <w:r w:rsidRPr="00596629">
        <w:rPr>
          <w:i/>
        </w:rPr>
        <w:t>n</w:t>
      </w:r>
      <w:r w:rsidRPr="00596629">
        <w:tab/>
        <w:t>MHz</w:t>
      </w:r>
    </w:p>
    <w:p w14:paraId="6742ED6A" w14:textId="77777777" w:rsidR="00542F4C" w:rsidRPr="00596629" w:rsidRDefault="00542F4C" w:rsidP="00B504DA">
      <w:r w:rsidRPr="00596629">
        <w:t xml:space="preserve">où </w:t>
      </w:r>
      <w:r w:rsidRPr="00596629">
        <w:rPr>
          <w:i/>
        </w:rPr>
        <w:t>f</w:t>
      </w:r>
      <w:r w:rsidRPr="00596629">
        <w:rPr>
          <w:i/>
          <w:iCs/>
          <w:vertAlign w:val="subscript"/>
        </w:rPr>
        <w:t>n</w:t>
      </w:r>
      <w:r w:rsidRPr="00596629">
        <w:t xml:space="preserve"> est la fréquence centrale (MHz) de chaque intervalle et </w:t>
      </w:r>
      <w:r w:rsidRPr="00596629">
        <w:rPr>
          <w:i/>
        </w:rPr>
        <w:t>n</w:t>
      </w:r>
      <w:r w:rsidRPr="00596629">
        <w:t xml:space="preserve"> est compris entre 17 et 575, dans la bande 10,15-10,3 GHz et entre 1</w:t>
      </w:r>
      <w:r w:rsidRPr="00596629">
        <w:rPr>
          <w:rFonts w:ascii="Tms Rmn" w:hAnsi="Tms Rmn"/>
          <w:sz w:val="12"/>
        </w:rPr>
        <w:t> </w:t>
      </w:r>
      <w:r w:rsidRPr="00596629">
        <w:t>417 et 1</w:t>
      </w:r>
      <w:r w:rsidRPr="00596629">
        <w:rPr>
          <w:rFonts w:ascii="Tms Rmn" w:hAnsi="Tms Rmn"/>
          <w:sz w:val="12"/>
        </w:rPr>
        <w:t> </w:t>
      </w:r>
      <w:r w:rsidRPr="00596629">
        <w:t>975, dans la bande 10,5-10,65 GHz.</w:t>
      </w:r>
    </w:p>
    <w:p w14:paraId="0D9AF93E" w14:textId="77777777" w:rsidR="00542F4C" w:rsidRPr="00596629" w:rsidRDefault="00542F4C" w:rsidP="00B504DA"/>
    <w:p w14:paraId="0D586B0F" w14:textId="77777777" w:rsidR="00542F4C" w:rsidRPr="00596629" w:rsidRDefault="00542F4C" w:rsidP="00B504DA"/>
    <w:p w14:paraId="140FE662" w14:textId="77777777" w:rsidR="00542F4C" w:rsidRPr="00596629" w:rsidRDefault="00542F4C" w:rsidP="00B504DA">
      <w:pPr>
        <w:pStyle w:val="AnnexNoTitle"/>
      </w:pPr>
      <w:r w:rsidRPr="00596629">
        <w:t>Annexe 2</w:t>
      </w:r>
      <w:r w:rsidRPr="00596629">
        <w:br/>
      </w:r>
      <w:r w:rsidRPr="00596629">
        <w:br/>
        <w:t>Disposition des radiofréquences fondée sur des blocs de 30 MHz</w:t>
      </w:r>
    </w:p>
    <w:p w14:paraId="4105FF77" w14:textId="77777777" w:rsidR="00542F4C" w:rsidRPr="00596629" w:rsidRDefault="00542F4C" w:rsidP="00812A33">
      <w:pPr>
        <w:pStyle w:val="Normalaftertitle"/>
      </w:pPr>
      <w:r w:rsidRPr="00596629">
        <w:t>Cette disposition est constituée de cinq blocs adjacents de 30 MHz de largeur dans la bande 10,15-10,3 GHz, appariés avec cinq blocs adjacents de 30 MHz dans la bande 10,5-10,65 GHz, conformément à la Fig. 2.</w:t>
      </w:r>
    </w:p>
    <w:p w14:paraId="1E26451C" w14:textId="77777777" w:rsidR="00542F4C" w:rsidRPr="00596629" w:rsidRDefault="00542F4C" w:rsidP="00B504DA">
      <w:pPr>
        <w:spacing w:before="0"/>
        <w:rPr>
          <w:sz w:val="12"/>
        </w:rPr>
      </w:pPr>
    </w:p>
    <w:p w14:paraId="3D360496" w14:textId="77777777" w:rsidR="00542F4C" w:rsidRPr="00596629" w:rsidRDefault="00542F4C" w:rsidP="00812A33">
      <w:pPr>
        <w:pStyle w:val="FigureNo"/>
      </w:pPr>
      <w:r w:rsidRPr="00596629">
        <w:t>FIGURE 2</w:t>
      </w:r>
    </w:p>
    <w:p w14:paraId="5C5AB7EC" w14:textId="77777777" w:rsidR="00542F4C" w:rsidRPr="00596629" w:rsidRDefault="00542F4C" w:rsidP="00812A33">
      <w:pPr>
        <w:pStyle w:val="Figuretitle"/>
      </w:pPr>
      <w:r w:rsidRPr="00596629">
        <w:t>Disposition des blocs de 30 MHz dans la gamme 10,15-10,3/10,5-10,65 GHz</w:t>
      </w:r>
    </w:p>
    <w:p w14:paraId="1F4EB2E0" w14:textId="77777777" w:rsidR="00542F4C" w:rsidRPr="00596629" w:rsidRDefault="00542F4C" w:rsidP="00812A33">
      <w:pPr>
        <w:pStyle w:val="Figure"/>
        <w:rPr>
          <w:noProof/>
        </w:rPr>
      </w:pPr>
      <w:r w:rsidRPr="00596629">
        <w:rPr>
          <w:noProof/>
        </w:rPr>
        <w:drawing>
          <wp:inline distT="0" distB="0" distL="0" distR="0" wp14:anchorId="04D98141" wp14:editId="27403EA8">
            <wp:extent cx="4710025" cy="1226569"/>
            <wp:effectExtent l="0" t="0" r="0" b="0"/>
            <wp:docPr id="857628093"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28093" name="Picture 1" descr="A close-up of a diagram&#10;&#10;Description automatically generated"/>
                    <pic:cNvPicPr/>
                  </pic:nvPicPr>
                  <pic:blipFill>
                    <a:blip r:embed="rId16"/>
                    <a:stretch>
                      <a:fillRect/>
                    </a:stretch>
                  </pic:blipFill>
                  <pic:spPr>
                    <a:xfrm>
                      <a:off x="0" y="0"/>
                      <a:ext cx="4724134" cy="1230243"/>
                    </a:xfrm>
                    <a:prstGeom prst="rect">
                      <a:avLst/>
                    </a:prstGeom>
                  </pic:spPr>
                </pic:pic>
              </a:graphicData>
            </a:graphic>
          </wp:inline>
        </w:drawing>
      </w:r>
    </w:p>
    <w:p w14:paraId="583BF0DA" w14:textId="77777777" w:rsidR="00542F4C" w:rsidRPr="00596629" w:rsidRDefault="00542F4C" w:rsidP="00186051">
      <w:pPr>
        <w:pStyle w:val="Heading1"/>
      </w:pPr>
      <w:r w:rsidRPr="00596629">
        <w:lastRenderedPageBreak/>
        <w:t>1</w:t>
      </w:r>
      <w:r w:rsidRPr="00596629">
        <w:tab/>
        <w:t>Calcul des intervalles de canaux discrets de 0,25 MHz</w:t>
      </w:r>
    </w:p>
    <w:p w14:paraId="0E93D149" w14:textId="77777777" w:rsidR="00542F4C" w:rsidRPr="00596629" w:rsidRDefault="00542F4C" w:rsidP="00186051">
      <w:pPr>
        <w:keepNext/>
        <w:keepLines/>
      </w:pPr>
      <w:r w:rsidRPr="00596629">
        <w:t>Les intervalles de canaux discrets de 0,25 MHz sont calculés comme suit:</w:t>
      </w:r>
    </w:p>
    <w:p w14:paraId="57D09B2F" w14:textId="77777777" w:rsidR="00542F4C" w:rsidRPr="00596629" w:rsidRDefault="00542F4C" w:rsidP="00186051">
      <w:pPr>
        <w:pStyle w:val="Equation"/>
        <w:keepNext/>
        <w:keepLines/>
        <w:tabs>
          <w:tab w:val="left" w:pos="8931"/>
        </w:tabs>
        <w:spacing w:before="240" w:after="120"/>
      </w:pPr>
      <w:r w:rsidRPr="00596629">
        <w:rPr>
          <w:i/>
        </w:rPr>
        <w:tab/>
      </w:r>
      <w:r w:rsidRPr="00596629">
        <w:rPr>
          <w:i/>
        </w:rPr>
        <w:tab/>
        <w:t>f</w:t>
      </w:r>
      <w:r w:rsidRPr="00596629">
        <w:rPr>
          <w:i/>
          <w:iCs/>
          <w:vertAlign w:val="subscript"/>
        </w:rPr>
        <w:t>n</w:t>
      </w:r>
      <w:r w:rsidRPr="00596629">
        <w:t xml:space="preserve"> </w:t>
      </w:r>
      <w:r w:rsidRPr="00596629">
        <w:rPr>
          <w:rFonts w:ascii="Symbol" w:hAnsi="Symbol"/>
        </w:rPr>
        <w:t></w:t>
      </w:r>
      <w:r w:rsidRPr="00596629">
        <w:t xml:space="preserve"> 10</w:t>
      </w:r>
      <w:r w:rsidRPr="00596629">
        <w:rPr>
          <w:rFonts w:ascii="Tms Rmn" w:hAnsi="Tms Rmn"/>
          <w:sz w:val="12"/>
        </w:rPr>
        <w:t> </w:t>
      </w:r>
      <w:r w:rsidRPr="00596629">
        <w:t xml:space="preserve">150 </w:t>
      </w:r>
      <w:r w:rsidRPr="00596629">
        <w:rPr>
          <w:rFonts w:ascii="Symbol" w:hAnsi="Symbol"/>
        </w:rPr>
        <w:t></w:t>
      </w:r>
      <w:r w:rsidRPr="00596629">
        <w:t xml:space="preserve"> 0,25 </w:t>
      </w:r>
      <w:r w:rsidRPr="00596629">
        <w:rPr>
          <w:i/>
        </w:rPr>
        <w:t>n</w:t>
      </w:r>
      <w:r w:rsidRPr="00596629">
        <w:tab/>
        <w:t>MHz</w:t>
      </w:r>
    </w:p>
    <w:p w14:paraId="78DE46B8" w14:textId="77777777" w:rsidR="00542F4C" w:rsidRPr="00596629" w:rsidRDefault="00542F4C" w:rsidP="00186051">
      <w:pPr>
        <w:keepNext/>
        <w:keepLines/>
      </w:pPr>
      <w:r w:rsidRPr="00596629">
        <w:t xml:space="preserve">où </w:t>
      </w:r>
      <w:r w:rsidRPr="00596629">
        <w:rPr>
          <w:i/>
        </w:rPr>
        <w:t>f</w:t>
      </w:r>
      <w:r w:rsidRPr="00596629">
        <w:rPr>
          <w:i/>
          <w:iCs/>
          <w:vertAlign w:val="subscript"/>
        </w:rPr>
        <w:t>n</w:t>
      </w:r>
      <w:r w:rsidRPr="00596629">
        <w:t xml:space="preserve"> est la fréquence centrale (MHz) de chaque intervalle et </w:t>
      </w:r>
      <w:r w:rsidRPr="00596629">
        <w:rPr>
          <w:i/>
        </w:rPr>
        <w:t>n</w:t>
      </w:r>
      <w:r w:rsidRPr="00596629">
        <w:t xml:space="preserve"> est compris entre 1 et 599, dans la bande 10,15-10,3 GHz et entre 1</w:t>
      </w:r>
      <w:r w:rsidRPr="00596629">
        <w:rPr>
          <w:rFonts w:ascii="Tms Rmn" w:hAnsi="Tms Rmn"/>
          <w:sz w:val="12"/>
        </w:rPr>
        <w:t> </w:t>
      </w:r>
      <w:r w:rsidRPr="00596629">
        <w:t>401 et 1</w:t>
      </w:r>
      <w:r w:rsidRPr="00596629">
        <w:rPr>
          <w:rFonts w:ascii="Tms Rmn" w:hAnsi="Tms Rmn"/>
          <w:sz w:val="12"/>
        </w:rPr>
        <w:t> </w:t>
      </w:r>
      <w:r w:rsidRPr="00596629">
        <w:t>999, dans la bande 10,5-10,65 GHz.</w:t>
      </w:r>
    </w:p>
    <w:p w14:paraId="3CA1A618" w14:textId="77777777" w:rsidR="00B874C6" w:rsidRDefault="00B874C6" w:rsidP="00B874C6"/>
    <w:p w14:paraId="206DBE2A" w14:textId="77777777" w:rsidR="00B874C6" w:rsidRPr="004F3F6F" w:rsidRDefault="00B874C6" w:rsidP="00B874C6">
      <w:pPr>
        <w:pStyle w:val="Line"/>
        <w:rPr>
          <w:lang w:val="fr-FR"/>
        </w:rPr>
      </w:pPr>
    </w:p>
    <w:sectPr w:rsidR="00B874C6" w:rsidRPr="004F3F6F" w:rsidSect="007565CC">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29BC" w14:textId="77777777" w:rsidR="00352BA3" w:rsidRDefault="00352BA3">
      <w:r>
        <w:separator/>
      </w:r>
    </w:p>
  </w:endnote>
  <w:endnote w:type="continuationSeparator" w:id="0">
    <w:p w14:paraId="7CE4D1BA" w14:textId="77777777" w:rsidR="00352BA3" w:rsidRDefault="0035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4D77" w14:textId="77777777" w:rsidR="00301DB3" w:rsidRDefault="00301DB3">
    <w:pPr>
      <w:pStyle w:val="Footer"/>
    </w:pPr>
    <w:r>
      <w:drawing>
        <wp:anchor distT="0" distB="0" distL="0" distR="0" simplePos="0" relativeHeight="251656192" behindDoc="0" locked="0" layoutInCell="1" allowOverlap="1" wp14:anchorId="12FD8FDE" wp14:editId="24850624">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C03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E13A7" w14:textId="77777777" w:rsidR="00352BA3" w:rsidRDefault="00352BA3">
      <w:r>
        <w:separator/>
      </w:r>
    </w:p>
  </w:footnote>
  <w:footnote w:type="continuationSeparator" w:id="0">
    <w:p w14:paraId="2FAD20A4" w14:textId="77777777" w:rsidR="00352BA3" w:rsidRDefault="0035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734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6A78D1" w14:textId="77777777" w:rsidTr="0019307B">
      <w:tc>
        <w:tcPr>
          <w:tcW w:w="4634" w:type="dxa"/>
          <w:vAlign w:val="center"/>
        </w:tcPr>
        <w:p w14:paraId="4D822559"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4DFA931"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Union</w:t>
          </w:r>
          <w:r w:rsidR="00A25EE2">
            <w:rPr>
              <w:rFonts w:asciiTheme="minorBidi" w:hAnsiTheme="minorBidi"/>
              <w:b/>
              <w:spacing w:val="4"/>
              <w:szCs w:val="24"/>
            </w:rPr>
            <w:t xml:space="preserve"> i</w:t>
          </w:r>
          <w:r w:rsidR="00A25EE2" w:rsidRPr="00260B24">
            <w:rPr>
              <w:rFonts w:asciiTheme="minorBidi" w:hAnsiTheme="minorBidi"/>
              <w:b/>
              <w:spacing w:val="4"/>
              <w:szCs w:val="24"/>
            </w:rPr>
            <w:t>nternational</w:t>
          </w:r>
          <w:r w:rsidR="00BF3333">
            <w:rPr>
              <w:rFonts w:asciiTheme="minorBidi" w:hAnsiTheme="minorBidi"/>
              <w:b/>
              <w:spacing w:val="4"/>
              <w:szCs w:val="24"/>
            </w:rPr>
            <w:t>e</w:t>
          </w:r>
          <w:r w:rsidR="00A25EE2" w:rsidRPr="00260B24">
            <w:rPr>
              <w:rFonts w:asciiTheme="minorBidi" w:hAnsiTheme="minorBidi"/>
              <w:b/>
              <w:spacing w:val="4"/>
              <w:szCs w:val="24"/>
            </w:rPr>
            <w:t xml:space="preserve"> </w:t>
          </w:r>
          <w:r w:rsidR="00A25EE2">
            <w:rPr>
              <w:rFonts w:asciiTheme="minorBidi" w:hAnsiTheme="minorBidi"/>
              <w:b/>
              <w:spacing w:val="4"/>
              <w:szCs w:val="24"/>
            </w:rPr>
            <w:t>des té</w:t>
          </w:r>
          <w:r w:rsidR="00A25EE2" w:rsidRPr="00260B24">
            <w:rPr>
              <w:rFonts w:asciiTheme="minorBidi" w:hAnsiTheme="minorBidi"/>
              <w:b/>
              <w:spacing w:val="4"/>
              <w:szCs w:val="24"/>
            </w:rPr>
            <w:t>l</w:t>
          </w:r>
          <w:r w:rsidR="00A25EE2">
            <w:rPr>
              <w:rFonts w:asciiTheme="minorBidi" w:hAnsiTheme="minorBidi"/>
              <w:b/>
              <w:spacing w:val="4"/>
              <w:szCs w:val="24"/>
            </w:rPr>
            <w:t>é</w:t>
          </w:r>
          <w:r w:rsidR="00A25EE2" w:rsidRPr="00260B24">
            <w:rPr>
              <w:rFonts w:asciiTheme="minorBidi" w:hAnsiTheme="minorBidi"/>
              <w:b/>
              <w:spacing w:val="4"/>
              <w:szCs w:val="24"/>
            </w:rPr>
            <w:t>communication</w:t>
          </w:r>
          <w:r w:rsidR="00A25EE2">
            <w:rPr>
              <w:rFonts w:asciiTheme="minorBidi" w:hAnsiTheme="minorBidi"/>
              <w:b/>
              <w:spacing w:val="4"/>
              <w:szCs w:val="24"/>
            </w:rPr>
            <w:t>s</w:t>
          </w:r>
        </w:p>
      </w:tc>
    </w:tr>
    <w:tr w:rsidR="005B0371" w:rsidRPr="00A239D1" w14:paraId="45799C1A" w14:textId="77777777" w:rsidTr="0019307B">
      <w:tc>
        <w:tcPr>
          <w:tcW w:w="4634" w:type="dxa"/>
          <w:vAlign w:val="center"/>
        </w:tcPr>
        <w:p w14:paraId="06A9D6BA"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sidR="00A25EE2">
            <w:rPr>
              <w:rFonts w:asciiTheme="minorBidi" w:hAnsiTheme="minorBidi"/>
              <w:spacing w:val="4"/>
              <w:szCs w:val="24"/>
            </w:rPr>
            <w:t>a</w:t>
          </w:r>
          <w:r w:rsidRPr="00260B24">
            <w:rPr>
              <w:rFonts w:asciiTheme="minorBidi" w:hAnsiTheme="minorBidi"/>
              <w:spacing w:val="4"/>
              <w:szCs w:val="24"/>
            </w:rPr>
            <w:t>ndation</w:t>
          </w:r>
          <w:r w:rsidR="004A6FEB" w:rsidRPr="00260B24">
            <w:rPr>
              <w:rFonts w:asciiTheme="minorBidi" w:hAnsiTheme="minorBidi"/>
              <w:spacing w:val="4"/>
              <w:szCs w:val="24"/>
            </w:rPr>
            <w:t>s</w:t>
          </w:r>
        </w:p>
      </w:tc>
      <w:tc>
        <w:tcPr>
          <w:tcW w:w="5998" w:type="dxa"/>
          <w:vAlign w:val="center"/>
        </w:tcPr>
        <w:p w14:paraId="3C9F4728" w14:textId="21BEAA9A"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542F4C">
            <w:rPr>
              <w:rFonts w:asciiTheme="minorBidi" w:hAnsiTheme="minorBidi"/>
              <w:spacing w:val="4"/>
              <w:szCs w:val="24"/>
            </w:rPr>
            <w:t>r</w:t>
          </w:r>
          <w:r w:rsidR="00EE47C4" w:rsidRPr="00260B24">
            <w:rPr>
              <w:rFonts w:asciiTheme="minorBidi" w:hAnsiTheme="minorBidi"/>
              <w:spacing w:val="4"/>
              <w:szCs w:val="24"/>
            </w:rPr>
            <w:t>adiocommunication</w:t>
          </w:r>
          <w:r>
            <w:rPr>
              <w:rFonts w:asciiTheme="minorBidi" w:hAnsiTheme="minorBidi"/>
              <w:spacing w:val="4"/>
              <w:szCs w:val="24"/>
            </w:rPr>
            <w:t>s</w:t>
          </w:r>
        </w:p>
      </w:tc>
    </w:tr>
  </w:tbl>
  <w:p w14:paraId="656671BA"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10295ED7" wp14:editId="1E280DC3">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01A4B967" wp14:editId="2769437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288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625D612"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C4D012D" wp14:editId="0132C007">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B893D"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5D8B" w14:textId="60C35DD4"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9E578A">
      <w:rPr>
        <w:b/>
        <w:bCs/>
        <w:lang w:val="en-US"/>
      </w:rPr>
      <w:t xml:space="preserve">Rec. </w:t>
    </w:r>
    <w:r>
      <w:rPr>
        <w:b/>
        <w:bCs/>
        <w:lang w:val="en-US"/>
      </w:rPr>
      <w:fldChar w:fldCharType="end"/>
    </w:r>
    <w:r w:rsidRPr="004F3F6F">
      <w:rPr>
        <w:b/>
        <w:bCs/>
        <w:lang w:val="en-GB"/>
      </w:rPr>
      <w:t xml:space="preserve"> </w:t>
    </w:r>
    <w:r>
      <w:rPr>
        <w:b/>
        <w:bCs/>
      </w:rPr>
      <w:fldChar w:fldCharType="begin"/>
    </w:r>
    <w:r>
      <w:rPr>
        <w:b/>
        <w:bCs/>
        <w:lang w:val="en-US"/>
      </w:rPr>
      <w:instrText>styleref href</w:instrText>
    </w:r>
    <w:r>
      <w:rPr>
        <w:b/>
        <w:bCs/>
      </w:rPr>
      <w:fldChar w:fldCharType="separate"/>
    </w:r>
    <w:r w:rsidR="00F5644E">
      <w:rPr>
        <w:b/>
        <w:bCs/>
        <w:noProof/>
        <w:lang w:val="en-US"/>
      </w:rPr>
      <w:t>UIT-R  F.1568-2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98C8" w14:textId="5353153C"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9E578A">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F5644E">
      <w:rPr>
        <w:b/>
        <w:bCs/>
        <w:noProof/>
      </w:rPr>
      <w:t>UIT-R  F.1568-2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A3"/>
    <w:rsid w:val="00013002"/>
    <w:rsid w:val="00036EE3"/>
    <w:rsid w:val="00072484"/>
    <w:rsid w:val="00095530"/>
    <w:rsid w:val="00096612"/>
    <w:rsid w:val="000A4A32"/>
    <w:rsid w:val="000B1B2B"/>
    <w:rsid w:val="000B7683"/>
    <w:rsid w:val="000D0677"/>
    <w:rsid w:val="000E0548"/>
    <w:rsid w:val="000E6A6E"/>
    <w:rsid w:val="00102934"/>
    <w:rsid w:val="00147110"/>
    <w:rsid w:val="001511A6"/>
    <w:rsid w:val="00171C4D"/>
    <w:rsid w:val="0017562F"/>
    <w:rsid w:val="00186051"/>
    <w:rsid w:val="0019307B"/>
    <w:rsid w:val="001B0927"/>
    <w:rsid w:val="001B164E"/>
    <w:rsid w:val="001B7886"/>
    <w:rsid w:val="001F38BB"/>
    <w:rsid w:val="002058CE"/>
    <w:rsid w:val="002165F1"/>
    <w:rsid w:val="00233211"/>
    <w:rsid w:val="00260B24"/>
    <w:rsid w:val="0027411A"/>
    <w:rsid w:val="00276D21"/>
    <w:rsid w:val="00282C20"/>
    <w:rsid w:val="00282DCF"/>
    <w:rsid w:val="00296D7F"/>
    <w:rsid w:val="002A5D45"/>
    <w:rsid w:val="002B3CF6"/>
    <w:rsid w:val="002B3E59"/>
    <w:rsid w:val="002C768A"/>
    <w:rsid w:val="002D0BD7"/>
    <w:rsid w:val="002D76C4"/>
    <w:rsid w:val="002F5199"/>
    <w:rsid w:val="00301DB3"/>
    <w:rsid w:val="00305119"/>
    <w:rsid w:val="003157F1"/>
    <w:rsid w:val="00346EC2"/>
    <w:rsid w:val="00352BA3"/>
    <w:rsid w:val="00356B5D"/>
    <w:rsid w:val="00357707"/>
    <w:rsid w:val="0036627C"/>
    <w:rsid w:val="003B3CAC"/>
    <w:rsid w:val="003B409A"/>
    <w:rsid w:val="003E5516"/>
    <w:rsid w:val="003F4B75"/>
    <w:rsid w:val="00420DFD"/>
    <w:rsid w:val="00425BC7"/>
    <w:rsid w:val="00437A76"/>
    <w:rsid w:val="004604B2"/>
    <w:rsid w:val="00470E28"/>
    <w:rsid w:val="0047379B"/>
    <w:rsid w:val="00474170"/>
    <w:rsid w:val="00477729"/>
    <w:rsid w:val="004842E2"/>
    <w:rsid w:val="00486EB3"/>
    <w:rsid w:val="004934C5"/>
    <w:rsid w:val="004A293A"/>
    <w:rsid w:val="004A6FEB"/>
    <w:rsid w:val="004E61FF"/>
    <w:rsid w:val="004F3F6F"/>
    <w:rsid w:val="005373E0"/>
    <w:rsid w:val="00542F4C"/>
    <w:rsid w:val="00556548"/>
    <w:rsid w:val="00571B1C"/>
    <w:rsid w:val="00575E35"/>
    <w:rsid w:val="00576D47"/>
    <w:rsid w:val="00586EF8"/>
    <w:rsid w:val="005B0371"/>
    <w:rsid w:val="005B49AB"/>
    <w:rsid w:val="005B50E7"/>
    <w:rsid w:val="005C4BAB"/>
    <w:rsid w:val="005E12A5"/>
    <w:rsid w:val="005E69F0"/>
    <w:rsid w:val="005E7B4F"/>
    <w:rsid w:val="005F003B"/>
    <w:rsid w:val="005F2E73"/>
    <w:rsid w:val="006012D3"/>
    <w:rsid w:val="00601882"/>
    <w:rsid w:val="00607D68"/>
    <w:rsid w:val="00613212"/>
    <w:rsid w:val="006144F0"/>
    <w:rsid w:val="006149B1"/>
    <w:rsid w:val="00636507"/>
    <w:rsid w:val="00640332"/>
    <w:rsid w:val="00680D2B"/>
    <w:rsid w:val="00681B32"/>
    <w:rsid w:val="00697887"/>
    <w:rsid w:val="006B1D2B"/>
    <w:rsid w:val="006C37D5"/>
    <w:rsid w:val="006E1131"/>
    <w:rsid w:val="006E2037"/>
    <w:rsid w:val="006E6199"/>
    <w:rsid w:val="006E7E89"/>
    <w:rsid w:val="00710A2A"/>
    <w:rsid w:val="00712870"/>
    <w:rsid w:val="00714AC0"/>
    <w:rsid w:val="0074147D"/>
    <w:rsid w:val="00743D85"/>
    <w:rsid w:val="00744F8B"/>
    <w:rsid w:val="00747D6E"/>
    <w:rsid w:val="00753CF4"/>
    <w:rsid w:val="007565CC"/>
    <w:rsid w:val="007624B1"/>
    <w:rsid w:val="00763B9A"/>
    <w:rsid w:val="007A6AA8"/>
    <w:rsid w:val="007B1357"/>
    <w:rsid w:val="007B3343"/>
    <w:rsid w:val="007B5ACD"/>
    <w:rsid w:val="008203DA"/>
    <w:rsid w:val="008310C9"/>
    <w:rsid w:val="008335F0"/>
    <w:rsid w:val="00834306"/>
    <w:rsid w:val="00853CC5"/>
    <w:rsid w:val="00877E6E"/>
    <w:rsid w:val="008B083A"/>
    <w:rsid w:val="008C7848"/>
    <w:rsid w:val="008E50E5"/>
    <w:rsid w:val="00906589"/>
    <w:rsid w:val="00906AD6"/>
    <w:rsid w:val="00912BF7"/>
    <w:rsid w:val="00917AF2"/>
    <w:rsid w:val="0092418A"/>
    <w:rsid w:val="00934ED7"/>
    <w:rsid w:val="00940D16"/>
    <w:rsid w:val="009543C3"/>
    <w:rsid w:val="00966E1B"/>
    <w:rsid w:val="00972F51"/>
    <w:rsid w:val="00984A02"/>
    <w:rsid w:val="009947C0"/>
    <w:rsid w:val="009A4039"/>
    <w:rsid w:val="009A41F9"/>
    <w:rsid w:val="009D4BBD"/>
    <w:rsid w:val="009E578A"/>
    <w:rsid w:val="009F2D2C"/>
    <w:rsid w:val="009F5580"/>
    <w:rsid w:val="00A03C0E"/>
    <w:rsid w:val="00A239D1"/>
    <w:rsid w:val="00A25EE2"/>
    <w:rsid w:val="00A31928"/>
    <w:rsid w:val="00A35B27"/>
    <w:rsid w:val="00A507D4"/>
    <w:rsid w:val="00A5147A"/>
    <w:rsid w:val="00A62A14"/>
    <w:rsid w:val="00A6617B"/>
    <w:rsid w:val="00A66700"/>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1EC3"/>
    <w:rsid w:val="00B0286E"/>
    <w:rsid w:val="00B02C89"/>
    <w:rsid w:val="00B033C8"/>
    <w:rsid w:val="00B33425"/>
    <w:rsid w:val="00B42334"/>
    <w:rsid w:val="00B44E24"/>
    <w:rsid w:val="00B54ECC"/>
    <w:rsid w:val="00B60AC0"/>
    <w:rsid w:val="00B714F3"/>
    <w:rsid w:val="00B75A52"/>
    <w:rsid w:val="00B874C6"/>
    <w:rsid w:val="00B87B6B"/>
    <w:rsid w:val="00B9169E"/>
    <w:rsid w:val="00BB7886"/>
    <w:rsid w:val="00BC5D77"/>
    <w:rsid w:val="00BD4283"/>
    <w:rsid w:val="00BD554D"/>
    <w:rsid w:val="00BF3333"/>
    <w:rsid w:val="00BF487A"/>
    <w:rsid w:val="00BF5544"/>
    <w:rsid w:val="00C15F3E"/>
    <w:rsid w:val="00C46BD9"/>
    <w:rsid w:val="00C55258"/>
    <w:rsid w:val="00C73560"/>
    <w:rsid w:val="00C84DB7"/>
    <w:rsid w:val="00C87A35"/>
    <w:rsid w:val="00CB0F14"/>
    <w:rsid w:val="00CD659B"/>
    <w:rsid w:val="00CE0A43"/>
    <w:rsid w:val="00CE7896"/>
    <w:rsid w:val="00D00118"/>
    <w:rsid w:val="00D16749"/>
    <w:rsid w:val="00D5024B"/>
    <w:rsid w:val="00D61962"/>
    <w:rsid w:val="00D72623"/>
    <w:rsid w:val="00D73376"/>
    <w:rsid w:val="00D83556"/>
    <w:rsid w:val="00DE5556"/>
    <w:rsid w:val="00DF4176"/>
    <w:rsid w:val="00E0095C"/>
    <w:rsid w:val="00E17240"/>
    <w:rsid w:val="00E74595"/>
    <w:rsid w:val="00E77485"/>
    <w:rsid w:val="00EB1CB6"/>
    <w:rsid w:val="00EB5736"/>
    <w:rsid w:val="00EB7C57"/>
    <w:rsid w:val="00ED0C71"/>
    <w:rsid w:val="00ED2695"/>
    <w:rsid w:val="00EE04BA"/>
    <w:rsid w:val="00EE47C4"/>
    <w:rsid w:val="00EF2D52"/>
    <w:rsid w:val="00F30C9B"/>
    <w:rsid w:val="00F354B1"/>
    <w:rsid w:val="00F354D7"/>
    <w:rsid w:val="00F5644E"/>
    <w:rsid w:val="00F6343F"/>
    <w:rsid w:val="00F72776"/>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C8922BA"/>
  <w15:docId w15:val="{3CD347DC-5C96-4939-8174-5BB51D93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186051"/>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186051"/>
    <w:pPr>
      <w:spacing w:before="240"/>
    </w:pPr>
    <w:rPr>
      <w:rFonts w:eastAsia="MS Mincho"/>
      <w:sz w:val="22"/>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186051"/>
    <w:pPr>
      <w:spacing w:after="480"/>
    </w:pPr>
    <w:rPr>
      <w:sz w:val="22"/>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542F4C"/>
    <w:rPr>
      <w:b/>
      <w:sz w:val="24"/>
      <w:lang w:val="fr-FR" w:eastAsia="en-US"/>
    </w:rPr>
  </w:style>
  <w:style w:type="character" w:customStyle="1" w:styleId="NormalaftertitleChar">
    <w:name w:val="Normal_after_title Char"/>
    <w:link w:val="Normalaftertitle"/>
    <w:locked/>
    <w:rsid w:val="00542F4C"/>
    <w:rPr>
      <w:sz w:val="24"/>
      <w:lang w:val="fr-FR" w:eastAsia="en-US"/>
    </w:rPr>
  </w:style>
  <w:style w:type="character" w:customStyle="1" w:styleId="CallChar">
    <w:name w:val="Call Char"/>
    <w:link w:val="Call"/>
    <w:rsid w:val="00542F4C"/>
    <w:rPr>
      <w:i/>
      <w:sz w:val="24"/>
      <w:lang w:val="fr-FR" w:eastAsia="en-US"/>
    </w:rPr>
  </w:style>
  <w:style w:type="character" w:customStyle="1" w:styleId="NoteChar">
    <w:name w:val="Note Char"/>
    <w:link w:val="Note"/>
    <w:locked/>
    <w:rsid w:val="00542F4C"/>
    <w:rPr>
      <w:sz w:val="22"/>
      <w:lang w:val="fr-FR" w:eastAsia="en-US"/>
    </w:rPr>
  </w:style>
  <w:style w:type="character" w:customStyle="1" w:styleId="HeadingbChar">
    <w:name w:val="Heading_b Char"/>
    <w:link w:val="Headingb"/>
    <w:locked/>
    <w:rsid w:val="00542F4C"/>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l/R-REC/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f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F\2023-ITU-R-REC%20BR_F.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9BE4-0D92-46CF-93A2-FB1B5317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 BR_F.F.dotx</Template>
  <TotalTime>27</TotalTime>
  <Pages>6</Pages>
  <Words>1324</Words>
  <Characters>7581</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Recommandation UIT-R F.1568-2 (12/2023) - Dispositions de blocs de radiofréquences pour les systèmes d'accès hertzien fixe dans la gamme 10,15-10,3/10,5-10,65 GHz</vt:lpstr>
    </vt:vector>
  </TitlesOfParts>
  <Manager/>
  <Company>ITU</Company>
  <LinksUpToDate>false</LinksUpToDate>
  <CharactersWithSpaces>8784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F.1568-2 (12/2023) - Dispositions de blocs de radiofréquences pour les systèmes d'accès hertzien fixe dans la gamme 10,15-10,3/10,5-10,65 GHz</dc:title>
  <dc:subject>Série F = Service fixe</dc:subject>
  <dc:creator>Bureau des radiocommunications de l'UIT (BR)</dc:creator>
  <cp:keywords/>
  <dc:description>Saez, 27.08.2024, ITU51017659</dc:description>
  <cp:lastModifiedBy>Saez Grau, Ricardo</cp:lastModifiedBy>
  <cp:revision>8</cp:revision>
  <cp:lastPrinted>2023-03-20T07:41:00Z</cp:lastPrinted>
  <dcterms:created xsi:type="dcterms:W3CDTF">2024-08-27T08:40:00Z</dcterms:created>
  <dcterms:modified xsi:type="dcterms:W3CDTF">2024-08-27T09:08:00Z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Saez</vt:lpwstr>
  </property>
  <property fmtid="{D5CDD505-2E9C-101B-9397-08002B2CF9AE}" pid="11" name="Date completed">
    <vt:lpwstr>mardi, 27 août 2024</vt:lpwstr>
  </property>
</Properties>
</file>